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CAAF77">
      <w:pPr>
        <w:shd w:val="clear" w:color="auto" w:fill="auto"/>
        <w:jc w:val="left"/>
        <w:rPr>
          <w:rFonts w:ascii="宋体" w:hAnsi="宋体" w:cs="宋体"/>
          <w:b/>
          <w:bCs/>
          <w:color w:val="auto"/>
          <w:sz w:val="70"/>
          <w:szCs w:val="70"/>
          <w:highlight w:val="none"/>
        </w:rPr>
      </w:pPr>
      <w:bookmarkStart w:id="726" w:name="_GoBack"/>
      <w:bookmarkEnd w:id="726"/>
      <w:r>
        <w:rPr>
          <w:rFonts w:hint="eastAsia"/>
          <w:color w:val="auto"/>
          <w:highlight w:val="none"/>
        </w:rPr>
        <w:drawing>
          <wp:inline distT="0" distB="0" distL="114300" distR="114300">
            <wp:extent cx="1899920" cy="960120"/>
            <wp:effectExtent l="0" t="0" r="5080" b="11430"/>
            <wp:docPr id="1" name="图片 1" descr="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hare"/>
                    <pic:cNvPicPr>
                      <a:picLocks noChangeAspect="1"/>
                    </pic:cNvPicPr>
                  </pic:nvPicPr>
                  <pic:blipFill>
                    <a:blip r:embed="rId22"/>
                    <a:stretch>
                      <a:fillRect/>
                    </a:stretch>
                  </pic:blipFill>
                  <pic:spPr>
                    <a:xfrm>
                      <a:off x="0" y="0"/>
                      <a:ext cx="1899920" cy="960120"/>
                    </a:xfrm>
                    <a:prstGeom prst="rect">
                      <a:avLst/>
                    </a:prstGeom>
                    <a:noFill/>
                    <a:ln>
                      <a:noFill/>
                    </a:ln>
                  </pic:spPr>
                </pic:pic>
              </a:graphicData>
            </a:graphic>
          </wp:inline>
        </w:drawing>
      </w:r>
      <w:r>
        <w:rPr>
          <w:rFonts w:hint="eastAsia" w:eastAsia="仿宋_GB2312"/>
          <w:color w:val="auto"/>
          <w:sz w:val="44"/>
          <w:szCs w:val="44"/>
          <w:highlight w:val="none"/>
        </w:rPr>
        <w:t xml:space="preserve">  </w:t>
      </w:r>
    </w:p>
    <w:p w14:paraId="1A5CA062">
      <w:pPr>
        <w:shd w:val="clear" w:color="auto" w:fill="auto"/>
        <w:spacing w:line="360" w:lineRule="auto"/>
        <w:jc w:val="center"/>
        <w:rPr>
          <w:rFonts w:hint="eastAsia" w:ascii="宋体" w:hAnsi="宋体" w:cs="宋体"/>
          <w:b/>
          <w:bCs/>
          <w:snapToGrid w:val="0"/>
          <w:color w:val="auto"/>
          <w:spacing w:val="0"/>
          <w:kern w:val="0"/>
          <w:sz w:val="44"/>
          <w:szCs w:val="44"/>
          <w:highlight w:val="none"/>
          <w:lang w:eastAsia="zh-CN"/>
        </w:rPr>
      </w:pPr>
      <w:r>
        <w:rPr>
          <w:rFonts w:hint="eastAsia" w:ascii="宋体" w:hAnsi="宋体" w:cs="宋体"/>
          <w:b/>
          <w:bCs/>
          <w:snapToGrid w:val="0"/>
          <w:color w:val="auto"/>
          <w:spacing w:val="0"/>
          <w:kern w:val="0"/>
          <w:sz w:val="44"/>
          <w:szCs w:val="44"/>
          <w:highlight w:val="none"/>
          <w:lang w:eastAsia="zh-CN"/>
        </w:rPr>
        <w:t>220kV芳赤24M1线-芳柯24M2线、110kV赤黄1879线-赤州1881线迁改移位工程</w:t>
      </w:r>
    </w:p>
    <w:p w14:paraId="68FE809B">
      <w:pPr>
        <w:shd w:val="clear" w:color="auto" w:fill="auto"/>
        <w:spacing w:line="360" w:lineRule="auto"/>
        <w:jc w:val="center"/>
        <w:rPr>
          <w:rFonts w:ascii="宋体" w:hAnsi="宋体" w:cs="宋体"/>
          <w:b/>
          <w:bCs/>
          <w:color w:val="auto"/>
          <w:spacing w:val="20"/>
          <w:sz w:val="44"/>
          <w:szCs w:val="44"/>
          <w:highlight w:val="none"/>
        </w:rPr>
      </w:pPr>
      <w:r>
        <w:rPr>
          <w:rFonts w:hint="eastAsia" w:ascii="宋体" w:hAnsi="宋体" w:cs="宋体"/>
          <w:b/>
          <w:bCs/>
          <w:snapToGrid w:val="0"/>
          <w:color w:val="auto"/>
          <w:spacing w:val="0"/>
          <w:kern w:val="0"/>
          <w:sz w:val="44"/>
          <w:szCs w:val="44"/>
          <w:highlight w:val="none"/>
          <w:lang w:eastAsia="zh-CN"/>
        </w:rPr>
        <w:t>工程总承包(EPC)</w:t>
      </w:r>
    </w:p>
    <w:p w14:paraId="0E55FBEF">
      <w:pPr>
        <w:pStyle w:val="8"/>
        <w:rPr>
          <w:color w:val="auto"/>
          <w:highlight w:val="none"/>
        </w:rPr>
      </w:pPr>
    </w:p>
    <w:p w14:paraId="5DFB5B8E">
      <w:pPr>
        <w:shd w:val="clear" w:color="auto" w:fill="auto"/>
        <w:spacing w:line="360" w:lineRule="auto"/>
        <w:jc w:val="center"/>
        <w:rPr>
          <w:rFonts w:hint="eastAsia" w:ascii="宋体" w:hAnsi="宋体" w:cs="宋体"/>
          <w:b/>
          <w:bCs/>
          <w:color w:val="auto"/>
          <w:spacing w:val="20"/>
          <w:sz w:val="72"/>
          <w:szCs w:val="72"/>
          <w:highlight w:val="none"/>
        </w:rPr>
      </w:pPr>
    </w:p>
    <w:p w14:paraId="7B3A8435">
      <w:pPr>
        <w:shd w:val="clear" w:color="auto" w:fill="auto"/>
        <w:spacing w:line="360" w:lineRule="auto"/>
        <w:jc w:val="center"/>
        <w:rPr>
          <w:rFonts w:ascii="宋体" w:hAnsi="宋体" w:cs="宋体"/>
          <w:b/>
          <w:bCs/>
          <w:color w:val="auto"/>
          <w:spacing w:val="20"/>
          <w:sz w:val="56"/>
          <w:szCs w:val="56"/>
          <w:highlight w:val="none"/>
        </w:rPr>
      </w:pPr>
      <w:r>
        <w:rPr>
          <w:rFonts w:hint="eastAsia" w:ascii="宋体" w:hAnsi="宋体" w:cs="宋体"/>
          <w:b/>
          <w:bCs/>
          <w:color w:val="auto"/>
          <w:spacing w:val="20"/>
          <w:sz w:val="72"/>
          <w:szCs w:val="72"/>
          <w:highlight w:val="none"/>
        </w:rPr>
        <w:t>招标文件</w:t>
      </w:r>
    </w:p>
    <w:p w14:paraId="68B60D5B">
      <w:pPr>
        <w:shd w:val="clear" w:color="auto" w:fill="auto"/>
        <w:spacing w:line="360" w:lineRule="auto"/>
        <w:jc w:val="left"/>
        <w:rPr>
          <w:rFonts w:eastAsia="仿宋_GB2312"/>
          <w:color w:val="auto"/>
          <w:sz w:val="32"/>
          <w:szCs w:val="32"/>
          <w:highlight w:val="none"/>
        </w:rPr>
      </w:pPr>
    </w:p>
    <w:p w14:paraId="649031C5">
      <w:pPr>
        <w:shd w:val="clear" w:color="auto" w:fill="auto"/>
        <w:spacing w:line="360" w:lineRule="auto"/>
        <w:jc w:val="left"/>
        <w:rPr>
          <w:rFonts w:hint="eastAsia" w:ascii="宋体" w:hAnsi="宋体" w:eastAsia="宋体" w:cs="宋体"/>
          <w:color w:val="auto"/>
          <w:sz w:val="32"/>
          <w:szCs w:val="32"/>
          <w:highlight w:val="none"/>
        </w:rPr>
      </w:pPr>
    </w:p>
    <w:p w14:paraId="14DA7CBA">
      <w:pPr>
        <w:pStyle w:val="10"/>
        <w:shd w:val="clear" w:color="auto" w:fill="auto"/>
        <w:ind w:firstLine="0"/>
        <w:rPr>
          <w:color w:val="auto"/>
          <w:highlight w:val="none"/>
        </w:rPr>
      </w:pPr>
    </w:p>
    <w:p w14:paraId="1D71EF79">
      <w:pPr>
        <w:rPr>
          <w:color w:val="auto"/>
          <w:highlight w:val="none"/>
        </w:rPr>
      </w:pPr>
    </w:p>
    <w:p w14:paraId="78427C01">
      <w:pPr>
        <w:shd w:val="clear" w:color="auto" w:fill="auto"/>
        <w:spacing w:line="360" w:lineRule="auto"/>
        <w:jc w:val="left"/>
        <w:rPr>
          <w:rFonts w:ascii="宋体" w:hAnsi="宋体" w:cs="宋体"/>
          <w:color w:val="auto"/>
          <w:sz w:val="28"/>
          <w:szCs w:val="28"/>
          <w:highlight w:val="none"/>
        </w:rPr>
      </w:pPr>
    </w:p>
    <w:p w14:paraId="412BB386">
      <w:pPr>
        <w:shd w:val="clear" w:color="auto" w:fill="auto"/>
        <w:spacing w:line="360" w:lineRule="auto"/>
        <w:jc w:val="left"/>
        <w:rPr>
          <w:rFonts w:ascii="宋体" w:hAnsi="宋体" w:cs="宋体"/>
          <w:color w:val="auto"/>
          <w:sz w:val="28"/>
          <w:szCs w:val="28"/>
          <w:highlight w:val="none"/>
        </w:rPr>
      </w:pPr>
    </w:p>
    <w:p w14:paraId="11CEF47F">
      <w:pPr>
        <w:pStyle w:val="4"/>
        <w:rPr>
          <w:rFonts w:ascii="宋体" w:hAnsi="宋体" w:cs="宋体"/>
          <w:color w:val="auto"/>
          <w:sz w:val="28"/>
          <w:szCs w:val="28"/>
          <w:highlight w:val="none"/>
        </w:rPr>
      </w:pPr>
    </w:p>
    <w:p w14:paraId="0C3FE88D">
      <w:pPr>
        <w:rPr>
          <w:color w:val="auto"/>
          <w:highlight w:val="none"/>
        </w:rPr>
      </w:pPr>
    </w:p>
    <w:p w14:paraId="735FF15F">
      <w:pPr>
        <w:spacing w:line="480" w:lineRule="auto"/>
        <w:ind w:firstLine="1600" w:firstLineChars="500"/>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招标人：</w:t>
      </w:r>
      <w:r>
        <w:rPr>
          <w:rFonts w:hint="eastAsia" w:ascii="宋体" w:hAnsi="宋体" w:eastAsia="宋体" w:cs="宋体"/>
          <w:color w:val="auto"/>
          <w:spacing w:val="-6"/>
          <w:sz w:val="32"/>
          <w:szCs w:val="32"/>
          <w:highlight w:val="none"/>
          <w:u w:val="single"/>
          <w:lang w:eastAsia="zh-CN"/>
        </w:rPr>
        <w:t>衢州市柯城区衢化街道办事处</w:t>
      </w:r>
    </w:p>
    <w:p w14:paraId="13F5C900">
      <w:pPr>
        <w:spacing w:line="480" w:lineRule="auto"/>
        <w:ind w:firstLine="1600" w:firstLineChars="500"/>
        <w:jc w:val="both"/>
        <w:rPr>
          <w:rFonts w:hint="eastAsia" w:ascii="宋体" w:hAnsi="宋体" w:eastAsia="宋体" w:cs="宋体"/>
          <w:color w:val="auto"/>
          <w:spacing w:val="-6"/>
          <w:sz w:val="32"/>
          <w:szCs w:val="32"/>
          <w:highlight w:val="none"/>
          <w:u w:val="single"/>
          <w:lang w:val="en-US" w:eastAsia="zh-CN"/>
        </w:rPr>
      </w:pPr>
      <w:r>
        <w:rPr>
          <w:rFonts w:hint="eastAsia" w:ascii="宋体" w:hAnsi="宋体" w:eastAsia="宋体" w:cs="宋体"/>
          <w:color w:val="auto"/>
          <w:sz w:val="32"/>
          <w:szCs w:val="32"/>
          <w:highlight w:val="none"/>
        </w:rPr>
        <w:t>招标代理：</w:t>
      </w:r>
      <w:r>
        <w:rPr>
          <w:rFonts w:hint="eastAsia" w:ascii="宋体" w:hAnsi="宋体" w:eastAsia="宋体" w:cs="宋体"/>
          <w:color w:val="auto"/>
          <w:sz w:val="32"/>
          <w:szCs w:val="32"/>
          <w:highlight w:val="none"/>
          <w:u w:val="single"/>
          <w:lang w:val="en-US" w:eastAsia="zh-CN"/>
        </w:rPr>
        <w:t xml:space="preserve"> </w:t>
      </w:r>
      <w:r>
        <w:rPr>
          <w:rFonts w:hint="eastAsia" w:ascii="宋体" w:hAnsi="宋体" w:cs="宋体"/>
          <w:color w:val="auto"/>
          <w:spacing w:val="-6"/>
          <w:sz w:val="32"/>
          <w:szCs w:val="32"/>
          <w:highlight w:val="none"/>
          <w:u w:val="single"/>
          <w:lang w:eastAsia="zh-CN"/>
        </w:rPr>
        <w:t>大地工程咨询有限公司</w:t>
      </w:r>
      <w:r>
        <w:rPr>
          <w:rFonts w:hint="eastAsia" w:ascii="宋体" w:hAnsi="宋体" w:eastAsia="宋体" w:cs="宋体"/>
          <w:color w:val="auto"/>
          <w:spacing w:val="-6"/>
          <w:sz w:val="32"/>
          <w:szCs w:val="32"/>
          <w:highlight w:val="none"/>
          <w:u w:val="single"/>
          <w:lang w:val="en-US" w:eastAsia="zh-CN"/>
        </w:rPr>
        <w:t xml:space="preserve"> </w:t>
      </w:r>
    </w:p>
    <w:p w14:paraId="6BF8971C">
      <w:pPr>
        <w:spacing w:line="480" w:lineRule="auto"/>
        <w:jc w:val="center"/>
        <w:rPr>
          <w:rFonts w:hint="eastAsia" w:ascii="宋体" w:hAnsi="宋体" w:eastAsia="宋体" w:cs="宋体"/>
          <w:color w:val="auto"/>
          <w:sz w:val="36"/>
          <w:szCs w:val="36"/>
          <w:highlight w:val="none"/>
          <w:u w:val="none"/>
        </w:rPr>
      </w:pPr>
      <w:bookmarkStart w:id="0" w:name="EBe8a69b1d3c164fd58fa459438bde18a2"/>
      <w:r>
        <w:rPr>
          <w:rFonts w:hint="eastAsia" w:ascii="宋体" w:hAnsi="宋体" w:eastAsia="宋体" w:cs="宋体"/>
          <w:color w:val="auto"/>
          <w:sz w:val="32"/>
          <w:szCs w:val="32"/>
          <w:highlight w:val="none"/>
          <w:u w:val="none"/>
        </w:rPr>
        <w:t>202</w:t>
      </w:r>
      <w:r>
        <w:rPr>
          <w:rFonts w:hint="eastAsia" w:ascii="宋体" w:hAnsi="宋体" w:eastAsia="宋体" w:cs="宋体"/>
          <w:color w:val="auto"/>
          <w:sz w:val="32"/>
          <w:szCs w:val="32"/>
          <w:highlight w:val="none"/>
          <w:u w:val="none"/>
          <w:lang w:val="en-US" w:eastAsia="zh-CN"/>
        </w:rPr>
        <w:t>5</w:t>
      </w:r>
      <w:r>
        <w:rPr>
          <w:rFonts w:hint="eastAsia" w:ascii="宋体" w:hAnsi="宋体" w:eastAsia="宋体" w:cs="宋体"/>
          <w:color w:val="auto"/>
          <w:sz w:val="32"/>
          <w:szCs w:val="32"/>
          <w:highlight w:val="none"/>
          <w:u w:val="none"/>
        </w:rPr>
        <w:t>年</w:t>
      </w:r>
      <w:r>
        <w:rPr>
          <w:rFonts w:hint="eastAsia" w:ascii="宋体" w:hAnsi="宋体" w:cs="宋体"/>
          <w:color w:val="auto"/>
          <w:sz w:val="32"/>
          <w:szCs w:val="32"/>
          <w:highlight w:val="none"/>
          <w:u w:val="none"/>
          <w:lang w:val="en-US" w:eastAsia="zh-CN"/>
        </w:rPr>
        <w:t>7</w:t>
      </w:r>
      <w:r>
        <w:rPr>
          <w:rFonts w:hint="eastAsia" w:ascii="宋体" w:hAnsi="宋体" w:eastAsia="宋体" w:cs="宋体"/>
          <w:color w:val="auto"/>
          <w:sz w:val="32"/>
          <w:szCs w:val="32"/>
          <w:highlight w:val="none"/>
          <w:u w:val="none"/>
        </w:rPr>
        <w:t>月</w:t>
      </w:r>
      <w:bookmarkEnd w:id="0"/>
    </w:p>
    <w:p w14:paraId="061F49E3">
      <w:pPr>
        <w:shd w:val="clear" w:color="auto" w:fill="auto"/>
        <w:spacing w:line="360" w:lineRule="auto"/>
        <w:jc w:val="left"/>
        <w:rPr>
          <w:rFonts w:ascii="宋体" w:hAnsi="宋体" w:cs="宋体"/>
          <w:color w:val="auto"/>
          <w:sz w:val="28"/>
          <w:szCs w:val="28"/>
          <w:highlight w:val="none"/>
        </w:rPr>
      </w:pPr>
    </w:p>
    <w:p w14:paraId="2D08BEB1">
      <w:pPr>
        <w:shd w:val="clear" w:color="auto" w:fill="auto"/>
        <w:spacing w:line="300" w:lineRule="auto"/>
        <w:jc w:val="center"/>
        <w:rPr>
          <w:rFonts w:hint="eastAsia" w:ascii="宋体" w:hAnsi="宋体" w:cs="宋体"/>
          <w:b/>
          <w:bCs/>
          <w:color w:val="auto"/>
          <w:sz w:val="44"/>
          <w:szCs w:val="44"/>
          <w:highlight w:val="none"/>
        </w:rPr>
      </w:pPr>
    </w:p>
    <w:p w14:paraId="2DABAE12">
      <w:pPr>
        <w:shd w:val="clear" w:color="auto" w:fill="auto"/>
        <w:spacing w:line="30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目录</w:t>
      </w:r>
    </w:p>
    <w:p w14:paraId="4DE01FD2">
      <w:pPr>
        <w:shd w:val="clear" w:color="auto" w:fill="auto"/>
        <w:jc w:val="center"/>
        <w:rPr>
          <w:color w:val="auto"/>
          <w:highlight w:val="none"/>
        </w:rPr>
      </w:pPr>
    </w:p>
    <w:p w14:paraId="60C85F23">
      <w:pPr>
        <w:shd w:val="clear" w:color="auto" w:fill="auto"/>
        <w:spacing w:line="300" w:lineRule="auto"/>
        <w:rPr>
          <w:rFonts w:ascii="宋体" w:hAnsi="宋体" w:cs="宋体"/>
          <w:bCs/>
          <w:color w:val="auto"/>
          <w:szCs w:val="44"/>
          <w:highlight w:val="none"/>
        </w:rPr>
      </w:pPr>
    </w:p>
    <w:p w14:paraId="5C7AAC18">
      <w:pPr>
        <w:pStyle w:val="14"/>
        <w:shd w:val="clear" w:color="auto" w:fill="auto"/>
        <w:tabs>
          <w:tab w:val="right" w:leader="dot" w:pos="8956"/>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5CAF4F30">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"_Toc29450" </w:instrText>
      </w:r>
      <w:r>
        <w:rPr>
          <w:color w:val="auto"/>
          <w:highlight w:val="none"/>
        </w:rPr>
        <w:fldChar w:fldCharType="separate"/>
      </w:r>
      <w:r>
        <w:rPr>
          <w:rFonts w:hint="eastAsia" w:ascii="宋体" w:hAnsi="宋体" w:cs="宋体"/>
          <w:color w:val="auto"/>
          <w:kern w:val="44"/>
          <w:sz w:val="24"/>
          <w:szCs w:val="24"/>
          <w:highlight w:val="none"/>
        </w:rPr>
        <w:t>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_Toc29450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85082BB">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"_Toc191" </w:instrText>
      </w:r>
      <w:r>
        <w:rPr>
          <w:color w:val="auto"/>
          <w:highlight w:val="none"/>
        </w:rPr>
        <w:fldChar w:fldCharType="separate"/>
      </w:r>
      <w:r>
        <w:rPr>
          <w:rFonts w:hint="eastAsia" w:ascii="宋体" w:hAnsi="宋体" w:cs="宋体"/>
          <w:color w:val="auto"/>
          <w:spacing w:val="-3"/>
          <w:sz w:val="24"/>
          <w:szCs w:val="24"/>
          <w:highlight w:val="none"/>
        </w:rPr>
        <w:t>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p>
    <w:p w14:paraId="07138C91">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"_Toc18467" </w:instrText>
      </w:r>
      <w:r>
        <w:rPr>
          <w:color w:val="auto"/>
          <w:highlight w:val="none"/>
        </w:rPr>
        <w:fldChar w:fldCharType="separate"/>
      </w:r>
      <w:r>
        <w:rPr>
          <w:rFonts w:hint="eastAsia" w:ascii="宋体" w:hAnsi="宋体" w:cs="宋体"/>
          <w:color w:val="auto"/>
          <w:kern w:val="44"/>
          <w:sz w:val="24"/>
          <w:szCs w:val="24"/>
          <w:highlight w:val="none"/>
        </w:rPr>
        <w:t>第三章  评标定标办法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_Toc18467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B84AEB7">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"_Toc4991" </w:instrText>
      </w:r>
      <w:r>
        <w:rPr>
          <w:color w:val="auto"/>
          <w:highlight w:val="none"/>
        </w:rPr>
        <w:fldChar w:fldCharType="separate"/>
      </w:r>
      <w:r>
        <w:rPr>
          <w:rFonts w:hint="eastAsia" w:ascii="宋体" w:hAnsi="宋体" w:cs="宋体"/>
          <w:color w:val="auto"/>
          <w:sz w:val="24"/>
          <w:szCs w:val="24"/>
          <w:highlight w:val="none"/>
        </w:rPr>
        <w:t>第四章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_Toc4991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9CC2FC1">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"_Toc13148" </w:instrText>
      </w:r>
      <w:r>
        <w:rPr>
          <w:color w:val="auto"/>
          <w:highlight w:val="none"/>
        </w:rPr>
        <w:fldChar w:fldCharType="separate"/>
      </w:r>
      <w:r>
        <w:rPr>
          <w:rFonts w:hint="eastAsia" w:ascii="宋体" w:hAnsi="宋体" w:cs="宋体"/>
          <w:color w:val="auto"/>
          <w:kern w:val="44"/>
          <w:sz w:val="24"/>
          <w:szCs w:val="24"/>
          <w:highlight w:val="none"/>
        </w:rPr>
        <w:t xml:space="preserve">第五章  </w:t>
      </w:r>
      <w:r>
        <w:rPr>
          <w:rFonts w:hint="eastAsia" w:ascii="宋体" w:hAnsi="宋体" w:cs="宋体"/>
          <w:color w:val="auto"/>
          <w:kern w:val="44"/>
          <w:sz w:val="24"/>
          <w:szCs w:val="24"/>
          <w:highlight w:val="none"/>
          <w:lang w:val="en-US" w:eastAsia="zh-CN"/>
        </w:rPr>
        <w:t>发包人</w:t>
      </w:r>
      <w:r>
        <w:rPr>
          <w:rFonts w:hint="eastAsia" w:ascii="宋体" w:hAnsi="宋体" w:cs="宋体"/>
          <w:color w:val="auto"/>
          <w:kern w:val="44"/>
          <w:sz w:val="24"/>
          <w:szCs w:val="24"/>
          <w:highlight w:val="none"/>
        </w:rPr>
        <w:t>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_Toc13148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775C0E0">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"_Toc4976" </w:instrText>
      </w:r>
      <w:r>
        <w:rPr>
          <w:color w:val="auto"/>
          <w:highlight w:val="none"/>
        </w:rPr>
        <w:fldChar w:fldCharType="separate"/>
      </w:r>
      <w:r>
        <w:rPr>
          <w:rFonts w:hint="eastAsia" w:ascii="宋体" w:hAnsi="宋体" w:cs="宋体"/>
          <w:color w:val="auto"/>
          <w:kern w:val="44"/>
          <w:sz w:val="24"/>
          <w:szCs w:val="24"/>
          <w:highlight w:val="none"/>
        </w:rPr>
        <w:t xml:space="preserve">第六章 </w:t>
      </w:r>
      <w:r>
        <w:rPr>
          <w:rFonts w:hint="eastAsia" w:ascii="宋体" w:hAnsi="宋体" w:cs="宋体"/>
          <w:color w:val="auto"/>
          <w:kern w:val="44"/>
          <w:sz w:val="24"/>
          <w:szCs w:val="24"/>
          <w:highlight w:val="none"/>
          <w:lang w:val="en-US" w:eastAsia="zh-CN"/>
        </w:rPr>
        <w:t xml:space="preserve"> </w:t>
      </w:r>
      <w:r>
        <w:rPr>
          <w:rFonts w:hint="eastAsia" w:ascii="宋体" w:hAnsi="宋体" w:cs="宋体"/>
          <w:color w:val="auto"/>
          <w:kern w:val="44"/>
          <w:sz w:val="24"/>
          <w:szCs w:val="24"/>
          <w:highlight w:val="none"/>
        </w:rPr>
        <w:t>发包人提供的资料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_Toc4976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2C4C039">
      <w:pPr>
        <w:pStyle w:val="14"/>
        <w:shd w:val="clear" w:color="auto" w:fill="auto"/>
        <w:tabs>
          <w:tab w:val="right" w:leader="dot" w:pos="8956"/>
        </w:tabs>
        <w:spacing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color w:val="auto"/>
          <w:kern w:val="44"/>
          <w:sz w:val="24"/>
          <w:szCs w:val="24"/>
          <w:highlight w:val="none"/>
        </w:rPr>
        <w:t xml:space="preserve">第七章 </w:t>
      </w:r>
      <w:r>
        <w:rPr>
          <w:rFonts w:hint="eastAsia" w:ascii="宋体" w:hAnsi="宋体" w:cs="宋体"/>
          <w:color w:val="auto"/>
          <w:kern w:val="44"/>
          <w:sz w:val="24"/>
          <w:szCs w:val="24"/>
          <w:highlight w:val="none"/>
          <w:lang w:val="en-US" w:eastAsia="zh-CN"/>
        </w:rPr>
        <w:t xml:space="preserve"> </w:t>
      </w:r>
      <w:r>
        <w:rPr>
          <w:rFonts w:hint="eastAsia" w:ascii="宋体" w:hAnsi="宋体" w:cs="宋体"/>
          <w:color w:val="auto"/>
          <w:kern w:val="44"/>
          <w:sz w:val="24"/>
          <w:szCs w:val="24"/>
          <w:highlight w:val="none"/>
        </w:rPr>
        <w:t>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_Toc32256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45610075">
      <w:pPr>
        <w:pStyle w:val="14"/>
        <w:shd w:val="clear" w:color="auto" w:fill="auto"/>
        <w:tabs>
          <w:tab w:val="right" w:leader="dot" w:pos="8956"/>
        </w:tabs>
        <w:spacing w:line="360" w:lineRule="auto"/>
        <w:rPr>
          <w:rFonts w:ascii="宋体" w:hAnsi="宋体" w:cs="宋体"/>
          <w:color w:val="auto"/>
          <w:sz w:val="24"/>
          <w:szCs w:val="24"/>
          <w:highlight w:val="none"/>
        </w:rPr>
      </w:pPr>
    </w:p>
    <w:p w14:paraId="596FE797">
      <w:pPr>
        <w:pStyle w:val="10"/>
        <w:shd w:val="clear" w:color="auto" w:fill="auto"/>
        <w:rPr>
          <w:color w:val="auto"/>
          <w:highlight w:val="none"/>
        </w:rPr>
      </w:pPr>
      <w:r>
        <w:rPr>
          <w:color w:val="auto"/>
          <w:highlight w:val="none"/>
        </w:rPr>
        <w:fldChar w:fldCharType="end"/>
      </w:r>
    </w:p>
    <w:p w14:paraId="3F99BE86">
      <w:pPr>
        <w:shd w:val="clear" w:color="auto" w:fill="auto"/>
        <w:spacing w:line="300" w:lineRule="auto"/>
        <w:jc w:val="center"/>
        <w:rPr>
          <w:rFonts w:ascii="宋体" w:hAnsi="宋体" w:cs="宋体"/>
          <w:b/>
          <w:bCs/>
          <w:color w:val="auto"/>
          <w:sz w:val="44"/>
          <w:szCs w:val="44"/>
          <w:highlight w:val="none"/>
        </w:rPr>
      </w:pPr>
    </w:p>
    <w:p w14:paraId="6B9A79DE">
      <w:pPr>
        <w:pStyle w:val="5"/>
        <w:shd w:val="clear" w:color="auto" w:fill="auto"/>
        <w:spacing w:line="300" w:lineRule="auto"/>
        <w:rPr>
          <w:rFonts w:ascii="宋体" w:hAnsi="宋体" w:cs="宋体"/>
          <w:color w:val="auto"/>
          <w:szCs w:val="44"/>
          <w:highlight w:val="none"/>
        </w:rPr>
      </w:pPr>
    </w:p>
    <w:p w14:paraId="624D4082">
      <w:pPr>
        <w:pStyle w:val="5"/>
        <w:shd w:val="clear" w:color="auto" w:fill="auto"/>
        <w:spacing w:line="300" w:lineRule="auto"/>
        <w:rPr>
          <w:rFonts w:ascii="宋体" w:hAnsi="宋体" w:cs="宋体"/>
          <w:color w:val="auto"/>
          <w:szCs w:val="44"/>
          <w:highlight w:val="none"/>
        </w:rPr>
      </w:pPr>
    </w:p>
    <w:p w14:paraId="45CDFF0C">
      <w:pPr>
        <w:pStyle w:val="5"/>
        <w:shd w:val="clear" w:color="auto" w:fill="auto"/>
        <w:spacing w:line="300" w:lineRule="auto"/>
        <w:rPr>
          <w:rFonts w:ascii="宋体" w:hAnsi="宋体" w:cs="宋体"/>
          <w:color w:val="auto"/>
          <w:szCs w:val="44"/>
          <w:highlight w:val="none"/>
        </w:rPr>
      </w:pPr>
    </w:p>
    <w:p w14:paraId="18545B8D">
      <w:pPr>
        <w:pStyle w:val="5"/>
        <w:shd w:val="clear" w:color="auto" w:fill="auto"/>
        <w:spacing w:line="300" w:lineRule="auto"/>
        <w:rPr>
          <w:rFonts w:ascii="宋体" w:hAnsi="宋体" w:cs="宋体"/>
          <w:color w:val="auto"/>
          <w:szCs w:val="44"/>
          <w:highlight w:val="none"/>
        </w:rPr>
      </w:pPr>
    </w:p>
    <w:p w14:paraId="4C0CFDA7">
      <w:pPr>
        <w:pStyle w:val="5"/>
        <w:shd w:val="clear" w:color="auto" w:fill="auto"/>
        <w:spacing w:line="300" w:lineRule="auto"/>
        <w:rPr>
          <w:rFonts w:ascii="宋体" w:hAnsi="宋体" w:cs="宋体"/>
          <w:color w:val="auto"/>
          <w:szCs w:val="44"/>
          <w:highlight w:val="none"/>
        </w:rPr>
      </w:pPr>
    </w:p>
    <w:p w14:paraId="19504BFF">
      <w:pPr>
        <w:pStyle w:val="5"/>
        <w:shd w:val="clear" w:color="auto" w:fill="auto"/>
        <w:spacing w:line="300" w:lineRule="auto"/>
        <w:rPr>
          <w:rFonts w:ascii="宋体" w:hAnsi="宋体" w:cs="宋体"/>
          <w:color w:val="auto"/>
          <w:szCs w:val="44"/>
          <w:highlight w:val="none"/>
        </w:rPr>
      </w:pPr>
    </w:p>
    <w:p w14:paraId="1CBE83EA">
      <w:pPr>
        <w:pStyle w:val="5"/>
        <w:shd w:val="clear" w:color="auto" w:fill="auto"/>
        <w:spacing w:line="300" w:lineRule="auto"/>
        <w:rPr>
          <w:rFonts w:ascii="宋体" w:hAnsi="宋体" w:cs="宋体"/>
          <w:color w:val="auto"/>
          <w:szCs w:val="44"/>
          <w:highlight w:val="none"/>
        </w:rPr>
      </w:pPr>
    </w:p>
    <w:p w14:paraId="5AD948C7">
      <w:pPr>
        <w:pStyle w:val="5"/>
        <w:shd w:val="clear" w:color="auto" w:fill="auto"/>
        <w:spacing w:line="300" w:lineRule="auto"/>
        <w:rPr>
          <w:rFonts w:ascii="宋体" w:hAnsi="宋体" w:cs="宋体"/>
          <w:color w:val="auto"/>
          <w:szCs w:val="44"/>
          <w:highlight w:val="none"/>
        </w:rPr>
      </w:pPr>
    </w:p>
    <w:p w14:paraId="5A285B49">
      <w:pPr>
        <w:pStyle w:val="5"/>
        <w:shd w:val="clear" w:color="auto" w:fill="auto"/>
        <w:spacing w:line="300" w:lineRule="auto"/>
        <w:rPr>
          <w:rFonts w:ascii="宋体" w:hAnsi="宋体" w:cs="宋体"/>
          <w:color w:val="auto"/>
          <w:szCs w:val="44"/>
          <w:highlight w:val="none"/>
        </w:rPr>
      </w:pPr>
    </w:p>
    <w:p w14:paraId="51257592">
      <w:pPr>
        <w:pStyle w:val="5"/>
        <w:shd w:val="clear" w:color="auto" w:fill="auto"/>
        <w:spacing w:line="300" w:lineRule="auto"/>
        <w:rPr>
          <w:rFonts w:ascii="宋体" w:hAnsi="宋体" w:cs="宋体"/>
          <w:color w:val="auto"/>
          <w:szCs w:val="44"/>
          <w:highlight w:val="none"/>
        </w:rPr>
      </w:pPr>
    </w:p>
    <w:p w14:paraId="55510DEF">
      <w:pPr>
        <w:pStyle w:val="5"/>
        <w:shd w:val="clear" w:color="auto" w:fill="auto"/>
        <w:spacing w:line="300" w:lineRule="auto"/>
        <w:rPr>
          <w:rFonts w:ascii="宋体" w:hAnsi="宋体" w:cs="宋体"/>
          <w:color w:val="auto"/>
          <w:szCs w:val="44"/>
          <w:highlight w:val="none"/>
        </w:rPr>
      </w:pPr>
    </w:p>
    <w:p w14:paraId="79074343">
      <w:pPr>
        <w:pStyle w:val="5"/>
        <w:shd w:val="clear" w:color="auto" w:fill="auto"/>
        <w:spacing w:line="300" w:lineRule="auto"/>
        <w:rPr>
          <w:rFonts w:ascii="宋体" w:hAnsi="宋体" w:cs="宋体"/>
          <w:color w:val="auto"/>
          <w:szCs w:val="44"/>
          <w:highlight w:val="none"/>
        </w:rPr>
      </w:pPr>
    </w:p>
    <w:p w14:paraId="67D248B7">
      <w:pPr>
        <w:pStyle w:val="5"/>
        <w:shd w:val="clear" w:color="auto" w:fill="auto"/>
        <w:spacing w:line="300" w:lineRule="auto"/>
        <w:rPr>
          <w:rFonts w:ascii="宋体" w:hAnsi="宋体" w:cs="宋体"/>
          <w:color w:val="auto"/>
          <w:szCs w:val="44"/>
          <w:highlight w:val="none"/>
        </w:rPr>
      </w:pPr>
    </w:p>
    <w:p w14:paraId="3B329B0A">
      <w:pPr>
        <w:pStyle w:val="5"/>
        <w:shd w:val="clear" w:color="auto" w:fill="auto"/>
        <w:spacing w:line="300" w:lineRule="auto"/>
        <w:rPr>
          <w:rFonts w:ascii="宋体" w:hAnsi="宋体" w:cs="宋体"/>
          <w:color w:val="auto"/>
          <w:szCs w:val="44"/>
          <w:highlight w:val="none"/>
        </w:rPr>
      </w:pPr>
    </w:p>
    <w:p w14:paraId="633B0CE6">
      <w:pPr>
        <w:pStyle w:val="5"/>
        <w:shd w:val="clear" w:color="auto" w:fill="auto"/>
        <w:spacing w:line="300" w:lineRule="auto"/>
        <w:rPr>
          <w:rFonts w:ascii="宋体" w:hAnsi="宋体" w:cs="宋体"/>
          <w:color w:val="auto"/>
          <w:szCs w:val="44"/>
          <w:highlight w:val="none"/>
        </w:rPr>
      </w:pPr>
    </w:p>
    <w:p w14:paraId="079C32B4">
      <w:pPr>
        <w:keepNext/>
        <w:keepLines/>
        <w:shd w:val="clear" w:color="auto" w:fill="auto"/>
        <w:spacing w:line="300" w:lineRule="auto"/>
        <w:jc w:val="center"/>
        <w:outlineLvl w:val="0"/>
        <w:rPr>
          <w:rFonts w:ascii="宋体" w:hAnsi="宋体" w:cs="宋体"/>
          <w:b/>
          <w:color w:val="auto"/>
          <w:kern w:val="44"/>
          <w:sz w:val="32"/>
          <w:szCs w:val="32"/>
          <w:highlight w:val="none"/>
        </w:rPr>
      </w:pPr>
      <w:bookmarkStart w:id="1" w:name="_Toc24215"/>
      <w:bookmarkStart w:id="2" w:name="_Toc5005"/>
      <w:bookmarkStart w:id="3" w:name="_Toc29450"/>
      <w:bookmarkStart w:id="4" w:name="_Toc19180"/>
      <w:bookmarkStart w:id="5" w:name="_Toc11592"/>
      <w:bookmarkStart w:id="6" w:name="_Toc15399"/>
      <w:bookmarkStart w:id="7" w:name="_Toc38896011"/>
      <w:r>
        <w:rPr>
          <w:rFonts w:hint="eastAsia" w:ascii="宋体" w:hAnsi="宋体" w:cs="宋体"/>
          <w:b/>
          <w:color w:val="auto"/>
          <w:kern w:val="44"/>
          <w:sz w:val="32"/>
          <w:szCs w:val="32"/>
          <w:highlight w:val="none"/>
        </w:rPr>
        <w:t>第一章  招标公告</w:t>
      </w:r>
      <w:bookmarkEnd w:id="1"/>
      <w:bookmarkEnd w:id="2"/>
      <w:bookmarkEnd w:id="3"/>
      <w:bookmarkEnd w:id="4"/>
      <w:bookmarkEnd w:id="5"/>
      <w:bookmarkEnd w:id="6"/>
      <w:bookmarkEnd w:id="7"/>
      <w:bookmarkStart w:id="8" w:name="OLE_LINK2"/>
    </w:p>
    <w:bookmarkEnd w:id="8"/>
    <w:p w14:paraId="2141878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1、招标条件</w:t>
      </w:r>
    </w:p>
    <w:p w14:paraId="254FDE55">
      <w:pPr>
        <w:keepNext w:val="0"/>
        <w:keepLines w:val="0"/>
        <w:pageBreakBefore w:val="0"/>
        <w:widowControl w:val="0"/>
        <w:shd w:val="clear" w:color="auto" w:fill="auto"/>
        <w:tabs>
          <w:tab w:val="right" w:leader="dot" w:pos="8295"/>
        </w:tabs>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u w:val="none"/>
        </w:rPr>
      </w:pPr>
      <w:bookmarkStart w:id="9" w:name="_Toc247085673"/>
      <w:bookmarkStart w:id="10" w:name="_Toc465327394"/>
      <w:r>
        <w:rPr>
          <w:rFonts w:hint="eastAsia" w:ascii="宋体" w:hAnsi="宋体" w:cs="宋体"/>
          <w:color w:val="auto"/>
          <w:kern w:val="0"/>
          <w:szCs w:val="21"/>
          <w:highlight w:val="none"/>
          <w:u w:val="single"/>
          <w:lang w:eastAsia="zh-CN"/>
        </w:rPr>
        <w:t>220kV芳赤24M1线-芳柯24M2线、110kV赤黄1879线-赤州1881线迁改移位工程</w:t>
      </w:r>
      <w:r>
        <w:rPr>
          <w:rFonts w:hint="eastAsia" w:ascii="宋体" w:hAnsi="宋体" w:eastAsia="宋体" w:cs="宋体"/>
          <w:color w:val="auto"/>
          <w:szCs w:val="21"/>
          <w:highlight w:val="none"/>
          <w:u w:val="none"/>
        </w:rPr>
        <w:t>已由</w:t>
      </w:r>
      <w:r>
        <w:rPr>
          <w:rFonts w:hint="eastAsia" w:ascii="宋体" w:hAnsi="宋体" w:cs="宋体"/>
          <w:color w:val="auto"/>
          <w:szCs w:val="21"/>
          <w:highlight w:val="none"/>
          <w:u w:val="single"/>
          <w:lang w:val="en-US" w:eastAsia="zh-CN"/>
        </w:rPr>
        <w:t>衢州市</w:t>
      </w:r>
      <w:r>
        <w:rPr>
          <w:rFonts w:hint="eastAsia" w:ascii="宋体" w:hAnsi="宋体" w:eastAsia="宋体" w:cs="宋体"/>
          <w:color w:val="auto"/>
          <w:szCs w:val="21"/>
          <w:highlight w:val="none"/>
          <w:u w:val="single"/>
        </w:rPr>
        <w:t>柯城区发展和改革局</w:t>
      </w:r>
      <w:r>
        <w:rPr>
          <w:rFonts w:hint="eastAsia" w:ascii="宋体" w:hAnsi="宋体" w:eastAsia="宋体" w:cs="宋体"/>
          <w:color w:val="auto"/>
          <w:szCs w:val="21"/>
          <w:highlight w:val="none"/>
          <w:u w:val="none"/>
        </w:rPr>
        <w:t>以</w:t>
      </w:r>
      <w:r>
        <w:rPr>
          <w:rFonts w:hint="eastAsia" w:ascii="宋体" w:hAnsi="宋体" w:eastAsia="宋体" w:cs="宋体"/>
          <w:color w:val="auto"/>
          <w:spacing w:val="-4"/>
          <w:highlight w:val="none"/>
          <w:u w:val="single"/>
        </w:rPr>
        <w:t>项目代</w:t>
      </w:r>
      <w:r>
        <w:rPr>
          <w:rFonts w:hint="eastAsia" w:ascii="宋体" w:hAnsi="宋体" w:eastAsia="宋体" w:cs="宋体"/>
          <w:color w:val="auto"/>
          <w:szCs w:val="21"/>
          <w:highlight w:val="none"/>
          <w:u w:val="single"/>
        </w:rPr>
        <w:t>码</w:t>
      </w:r>
      <w:r>
        <w:rPr>
          <w:rFonts w:hint="eastAsia" w:ascii="宋体" w:hAnsi="宋体" w:cs="宋体"/>
          <w:color w:val="auto"/>
          <w:szCs w:val="21"/>
          <w:highlight w:val="none"/>
          <w:u w:val="single"/>
          <w:lang w:val="en-US" w:eastAsia="zh-CN"/>
        </w:rPr>
        <w:t>2507-330802-04-01-581108</w:t>
      </w:r>
      <w:r>
        <w:rPr>
          <w:rFonts w:hint="eastAsia" w:ascii="宋体" w:hAnsi="宋体" w:eastAsia="宋体" w:cs="宋体"/>
          <w:color w:val="auto"/>
          <w:szCs w:val="21"/>
          <w:highlight w:val="none"/>
          <w:u w:val="none"/>
        </w:rPr>
        <w:t>批准建设，建设资金来自</w:t>
      </w:r>
      <w:r>
        <w:rPr>
          <w:rFonts w:hint="eastAsia" w:ascii="宋体" w:hAnsi="宋体" w:eastAsia="宋体" w:cs="宋体"/>
          <w:color w:val="auto"/>
          <w:szCs w:val="21"/>
          <w:highlight w:val="none"/>
          <w:u w:val="single"/>
          <w:lang w:val="en-US" w:eastAsia="zh-CN"/>
        </w:rPr>
        <w:t>除积极争取上级部门支持外，不足部分由区财政统筹解决</w:t>
      </w:r>
      <w:r>
        <w:rPr>
          <w:rFonts w:hint="eastAsia" w:ascii="宋体" w:hAnsi="宋体" w:eastAsia="宋体" w:cs="宋体"/>
          <w:color w:val="auto"/>
          <w:szCs w:val="21"/>
          <w:highlight w:val="none"/>
          <w:u w:val="none"/>
        </w:rPr>
        <w:t>，出资比例为</w:t>
      </w:r>
      <w:r>
        <w:rPr>
          <w:rFonts w:hint="eastAsia" w:ascii="宋体" w:hAnsi="宋体" w:eastAsia="宋体" w:cs="宋体"/>
          <w:color w:val="auto"/>
          <w:szCs w:val="21"/>
          <w:highlight w:val="none"/>
          <w:u w:val="single"/>
        </w:rPr>
        <w:t>100%，</w:t>
      </w:r>
      <w:r>
        <w:rPr>
          <w:rFonts w:hint="eastAsia" w:ascii="宋体" w:hAnsi="宋体" w:eastAsia="宋体" w:cs="宋体"/>
          <w:color w:val="auto"/>
          <w:szCs w:val="21"/>
          <w:highlight w:val="none"/>
          <w:u w:val="none"/>
          <w:lang w:eastAsia="zh-CN"/>
        </w:rPr>
        <w:t>项目法人为</w:t>
      </w:r>
      <w:r>
        <w:rPr>
          <w:rFonts w:hint="eastAsia" w:ascii="宋体" w:hAnsi="宋体" w:eastAsia="宋体" w:cs="宋体"/>
          <w:color w:val="auto"/>
          <w:szCs w:val="21"/>
          <w:highlight w:val="none"/>
          <w:u w:val="single"/>
          <w:lang w:eastAsia="zh-CN"/>
        </w:rPr>
        <w:t>衢州市柯城区衢化街道办事处</w:t>
      </w:r>
      <w:r>
        <w:rPr>
          <w:rFonts w:hint="eastAsia" w:ascii="宋体" w:hAnsi="宋体" w:eastAsia="宋体" w:cs="宋体"/>
          <w:color w:val="auto"/>
          <w:szCs w:val="21"/>
          <w:highlight w:val="none"/>
          <w:u w:val="none"/>
          <w:lang w:eastAsia="zh-CN"/>
        </w:rPr>
        <w:t>，</w:t>
      </w:r>
      <w:r>
        <w:rPr>
          <w:rFonts w:hint="eastAsia" w:ascii="宋体" w:hAnsi="宋体" w:eastAsia="宋体" w:cs="宋体"/>
          <w:color w:val="auto"/>
          <w:szCs w:val="21"/>
          <w:highlight w:val="none"/>
          <w:u w:val="none"/>
        </w:rPr>
        <w:t>招标人为</w:t>
      </w:r>
      <w:r>
        <w:rPr>
          <w:rFonts w:hint="eastAsia" w:ascii="宋体" w:hAnsi="宋体" w:eastAsia="宋体" w:cs="宋体"/>
          <w:color w:val="auto"/>
          <w:szCs w:val="21"/>
          <w:highlight w:val="none"/>
          <w:u w:val="single"/>
          <w:lang w:eastAsia="zh-CN"/>
        </w:rPr>
        <w:t>衢州市柯城区衢化街道办事处</w:t>
      </w:r>
      <w:r>
        <w:rPr>
          <w:rFonts w:hint="eastAsia" w:ascii="宋体" w:hAnsi="宋体" w:eastAsia="宋体" w:cs="宋体"/>
          <w:color w:val="auto"/>
          <w:szCs w:val="21"/>
          <w:highlight w:val="none"/>
          <w:u w:val="none"/>
        </w:rPr>
        <w:t>，委托代理机构为</w:t>
      </w:r>
      <w:r>
        <w:rPr>
          <w:rFonts w:hint="eastAsia" w:ascii="宋体" w:hAnsi="宋体" w:cs="宋体"/>
          <w:color w:val="auto"/>
          <w:szCs w:val="21"/>
          <w:highlight w:val="none"/>
          <w:u w:val="single"/>
          <w:lang w:eastAsia="zh-CN"/>
        </w:rPr>
        <w:t>大地工程咨询有限公司</w:t>
      </w:r>
      <w:r>
        <w:rPr>
          <w:rFonts w:hint="eastAsia" w:ascii="宋体" w:hAnsi="宋体" w:eastAsia="宋体" w:cs="宋体"/>
          <w:color w:val="auto"/>
          <w:szCs w:val="21"/>
          <w:highlight w:val="none"/>
          <w:u w:val="none"/>
        </w:rPr>
        <w:t>，行政监督部门为</w:t>
      </w:r>
      <w:r>
        <w:rPr>
          <w:rFonts w:hint="eastAsia" w:ascii="宋体" w:hAnsi="宋体" w:eastAsia="宋体" w:cs="宋体"/>
          <w:color w:val="auto"/>
          <w:szCs w:val="21"/>
          <w:highlight w:val="none"/>
          <w:u w:val="single"/>
        </w:rPr>
        <w:t>衢州市柯城区公共资源交易监督管理办公室</w:t>
      </w:r>
      <w:r>
        <w:rPr>
          <w:rFonts w:hint="eastAsia" w:ascii="宋体" w:hAnsi="宋体" w:eastAsia="宋体" w:cs="宋体"/>
          <w:color w:val="auto"/>
          <w:szCs w:val="21"/>
          <w:highlight w:val="none"/>
          <w:u w:val="none"/>
        </w:rPr>
        <w:t>。项目已具备招标条件，现对</w:t>
      </w:r>
      <w:r>
        <w:rPr>
          <w:rFonts w:hint="eastAsia" w:ascii="宋体" w:hAnsi="宋体" w:cs="宋体"/>
          <w:color w:val="auto"/>
          <w:szCs w:val="21"/>
          <w:highlight w:val="none"/>
          <w:u w:val="single"/>
          <w:lang w:eastAsia="zh-CN"/>
        </w:rPr>
        <w:t>220kV芳赤24M1线-芳柯24M2线、110kV赤黄1879线-赤州1881线迁改移位工程</w:t>
      </w:r>
      <w:r>
        <w:rPr>
          <w:rFonts w:hint="eastAsia" w:ascii="宋体" w:hAnsi="宋体" w:eastAsia="宋体" w:cs="宋体"/>
          <w:color w:val="auto"/>
          <w:szCs w:val="21"/>
          <w:highlight w:val="none"/>
          <w:u w:val="single"/>
          <w:lang w:eastAsia="zh-CN"/>
        </w:rPr>
        <w:t>工程总承包(EPC)</w:t>
      </w:r>
      <w:r>
        <w:rPr>
          <w:rFonts w:hint="eastAsia" w:ascii="宋体" w:hAnsi="宋体" w:eastAsia="宋体" w:cs="宋体"/>
          <w:color w:val="auto"/>
          <w:szCs w:val="21"/>
          <w:highlight w:val="none"/>
          <w:u w:val="none"/>
        </w:rPr>
        <w:t>进行公开招标。</w:t>
      </w:r>
    </w:p>
    <w:p w14:paraId="727EE33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2</w:t>
      </w:r>
      <w:bookmarkEnd w:id="9"/>
      <w:r>
        <w:rPr>
          <w:rFonts w:hint="eastAsia" w:ascii="宋体" w:hAnsi="宋体" w:eastAsia="宋体" w:cs="宋体"/>
          <w:b/>
          <w:color w:val="auto"/>
          <w:szCs w:val="21"/>
          <w:highlight w:val="none"/>
        </w:rPr>
        <w:t>、工程概</w:t>
      </w:r>
      <w:r>
        <w:rPr>
          <w:rFonts w:hint="eastAsia" w:ascii="宋体" w:hAnsi="宋体" w:eastAsia="宋体" w:cs="宋体"/>
          <w:b/>
          <w:bCs/>
          <w:color w:val="auto"/>
          <w:szCs w:val="21"/>
          <w:highlight w:val="none"/>
        </w:rPr>
        <w:t>况与招标范</w:t>
      </w:r>
      <w:bookmarkEnd w:id="10"/>
      <w:r>
        <w:rPr>
          <w:rFonts w:hint="eastAsia" w:ascii="宋体" w:hAnsi="宋体" w:cs="宋体"/>
          <w:b/>
          <w:bCs/>
          <w:color w:val="auto"/>
          <w:szCs w:val="21"/>
          <w:highlight w:val="none"/>
          <w:lang w:eastAsia="zh-CN"/>
        </w:rPr>
        <w:t>围</w:t>
      </w:r>
    </w:p>
    <w:p w14:paraId="632ABF8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color w:val="auto"/>
          <w:szCs w:val="28"/>
          <w:highlight w:val="none"/>
          <w:lang w:val="zh-CN"/>
        </w:rPr>
      </w:pPr>
      <w:bookmarkStart w:id="11" w:name="_Toc296602404"/>
      <w:bookmarkEnd w:id="11"/>
      <w:bookmarkStart w:id="12" w:name="_Toc179632530"/>
      <w:bookmarkEnd w:id="12"/>
      <w:bookmarkStart w:id="13" w:name="_Toc152042290"/>
      <w:bookmarkEnd w:id="13"/>
      <w:bookmarkStart w:id="14" w:name="_Toc247085674"/>
      <w:bookmarkEnd w:id="14"/>
      <w:bookmarkStart w:id="15" w:name="_Toc246996160"/>
      <w:bookmarkEnd w:id="15"/>
      <w:bookmarkStart w:id="16" w:name="_Toc144974482"/>
      <w:bookmarkEnd w:id="16"/>
      <w:bookmarkStart w:id="17" w:name="_Toc246996903"/>
      <w:bookmarkEnd w:id="17"/>
      <w:r>
        <w:rPr>
          <w:rFonts w:hint="eastAsia" w:ascii="宋体" w:hAnsi="宋体" w:eastAsia="宋体" w:cs="宋体"/>
          <w:color w:val="auto"/>
          <w:szCs w:val="21"/>
          <w:highlight w:val="none"/>
        </w:rPr>
        <w:t>2.1</w:t>
      </w:r>
      <w:r>
        <w:rPr>
          <w:rFonts w:hint="eastAsia" w:ascii="宋体" w:hAnsi="宋体" w:eastAsia="宋体" w:cs="宋体"/>
          <w:b/>
          <w:bCs/>
          <w:color w:val="auto"/>
          <w:szCs w:val="21"/>
          <w:highlight w:val="none"/>
        </w:rPr>
        <w:t>项目概况：</w:t>
      </w:r>
      <w:r>
        <w:rPr>
          <w:rFonts w:hint="eastAsia" w:ascii="宋体" w:hAnsi="宋体" w:eastAsia="宋体" w:cs="宋体"/>
          <w:color w:val="auto"/>
          <w:szCs w:val="21"/>
          <w:highlight w:val="none"/>
        </w:rPr>
        <w:t>本项目投资估算</w:t>
      </w:r>
      <w:r>
        <w:rPr>
          <w:rFonts w:hint="eastAsia" w:ascii="宋体" w:hAnsi="宋体" w:eastAsia="宋体" w:cs="宋体"/>
          <w:color w:val="auto"/>
          <w:szCs w:val="21"/>
          <w:highlight w:val="none"/>
          <w:lang w:eastAsia="zh-CN"/>
        </w:rPr>
        <w:t>约</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万元，工程概算</w:t>
      </w:r>
      <w:r>
        <w:rPr>
          <w:rFonts w:hint="eastAsia" w:ascii="宋体" w:hAnsi="宋体" w:cs="宋体"/>
          <w:color w:val="auto"/>
          <w:szCs w:val="21"/>
          <w:highlight w:val="none"/>
          <w:u w:val="single"/>
          <w:lang w:val="en-US" w:eastAsia="zh-CN"/>
        </w:rPr>
        <w:t xml:space="preserve"> 3609.49 </w:t>
      </w:r>
      <w:r>
        <w:rPr>
          <w:rFonts w:hint="eastAsia" w:ascii="宋体" w:hAnsi="宋体" w:eastAsia="宋体" w:cs="宋体"/>
          <w:color w:val="auto"/>
          <w:szCs w:val="21"/>
          <w:highlight w:val="none"/>
        </w:rPr>
        <w:t>万元，其中建安工程造价</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w:t>
      </w:r>
      <w:r>
        <w:rPr>
          <w:rFonts w:hint="eastAsia" w:ascii="Times New Roman" w:hAnsi="Times New Roman" w:eastAsia="宋体" w:cs="Times New Roman"/>
          <w:color w:val="auto"/>
          <w:szCs w:val="28"/>
          <w:highlight w:val="none"/>
          <w:lang w:val="en-US" w:eastAsia="zh-CN"/>
        </w:rPr>
        <w:t xml:space="preserve">220kV 金柯 </w:t>
      </w:r>
      <w:r>
        <w:rPr>
          <w:rFonts w:hint="default" w:ascii="Times New Roman" w:hAnsi="Times New Roman" w:eastAsia="宋体" w:cs="Times New Roman"/>
          <w:color w:val="auto"/>
          <w:szCs w:val="28"/>
          <w:highlight w:val="none"/>
          <w:lang w:val="en-US" w:eastAsia="zh-CN"/>
        </w:rPr>
        <w:t xml:space="preserve">4U78 </w:t>
      </w:r>
      <w:r>
        <w:rPr>
          <w:rFonts w:hint="eastAsia" w:ascii="Times New Roman" w:hAnsi="Times New Roman" w:eastAsia="宋体" w:cs="Times New Roman"/>
          <w:color w:val="auto"/>
          <w:szCs w:val="28"/>
          <w:highlight w:val="none"/>
          <w:lang w:val="en-US" w:eastAsia="zh-CN"/>
        </w:rPr>
        <w:t xml:space="preserve">线起于夏金变，止于赤柯变，线路全长 </w:t>
      </w:r>
      <w:r>
        <w:rPr>
          <w:rFonts w:hint="default" w:ascii="Times New Roman" w:hAnsi="Times New Roman" w:eastAsia="宋体" w:cs="Times New Roman"/>
          <w:color w:val="auto"/>
          <w:szCs w:val="28"/>
          <w:highlight w:val="none"/>
          <w:lang w:val="en-US" w:eastAsia="zh-CN"/>
        </w:rPr>
        <w:t>35.545km</w:t>
      </w:r>
      <w:r>
        <w:rPr>
          <w:rFonts w:hint="eastAsia" w:ascii="Times New Roman" w:hAnsi="Times New Roman" w:eastAsia="宋体" w:cs="Times New Roman"/>
          <w:color w:val="auto"/>
          <w:szCs w:val="28"/>
          <w:highlight w:val="none"/>
          <w:lang w:val="en-US" w:eastAsia="zh-CN"/>
        </w:rPr>
        <w:t xml:space="preserve">，杆塔数量 </w:t>
      </w:r>
      <w:r>
        <w:rPr>
          <w:rFonts w:hint="default" w:ascii="Times New Roman" w:hAnsi="Times New Roman" w:eastAsia="宋体" w:cs="Times New Roman"/>
          <w:color w:val="auto"/>
          <w:szCs w:val="28"/>
          <w:highlight w:val="none"/>
          <w:lang w:val="en-US" w:eastAsia="zh-CN"/>
        </w:rPr>
        <w:t xml:space="preserve">105 </w:t>
      </w:r>
      <w:r>
        <w:rPr>
          <w:rFonts w:hint="eastAsia" w:ascii="Times New Roman" w:hAnsi="Times New Roman" w:eastAsia="宋体" w:cs="Times New Roman"/>
          <w:color w:val="auto"/>
          <w:szCs w:val="28"/>
          <w:highlight w:val="none"/>
          <w:lang w:val="en-US" w:eastAsia="zh-CN"/>
        </w:rPr>
        <w:t xml:space="preserve">基。110 千伏赤黄 </w:t>
      </w:r>
      <w:r>
        <w:rPr>
          <w:rFonts w:hint="default" w:ascii="Times New Roman" w:hAnsi="Times New Roman" w:eastAsia="宋体" w:cs="Times New Roman"/>
          <w:color w:val="auto"/>
          <w:szCs w:val="28"/>
          <w:highlight w:val="none"/>
          <w:lang w:val="en-US" w:eastAsia="zh-CN"/>
        </w:rPr>
        <w:t xml:space="preserve">1879 </w:t>
      </w:r>
      <w:r>
        <w:rPr>
          <w:rFonts w:hint="eastAsia" w:ascii="Times New Roman" w:hAnsi="Times New Roman" w:eastAsia="宋体" w:cs="Times New Roman"/>
          <w:color w:val="auto"/>
          <w:szCs w:val="28"/>
          <w:highlight w:val="none"/>
          <w:lang w:val="en-US" w:eastAsia="zh-CN"/>
        </w:rPr>
        <w:t xml:space="preserve">线线起于赤柯变，止于黄坛口电厂，线路全长 </w:t>
      </w:r>
      <w:r>
        <w:rPr>
          <w:rFonts w:hint="default" w:ascii="Times New Roman" w:hAnsi="Times New Roman" w:eastAsia="宋体" w:cs="Times New Roman"/>
          <w:color w:val="auto"/>
          <w:szCs w:val="28"/>
          <w:highlight w:val="none"/>
          <w:lang w:val="en-US" w:eastAsia="zh-CN"/>
        </w:rPr>
        <w:t>6.165km</w:t>
      </w:r>
      <w:r>
        <w:rPr>
          <w:rFonts w:hint="eastAsia" w:ascii="Times New Roman" w:hAnsi="Times New Roman" w:eastAsia="宋体" w:cs="Times New Roman"/>
          <w:color w:val="auto"/>
          <w:szCs w:val="28"/>
          <w:highlight w:val="none"/>
          <w:lang w:val="en-US" w:eastAsia="zh-CN"/>
        </w:rPr>
        <w:t xml:space="preserve">，杆塔数量 </w:t>
      </w:r>
      <w:r>
        <w:rPr>
          <w:rFonts w:hint="default" w:ascii="Times New Roman" w:hAnsi="Times New Roman" w:eastAsia="宋体" w:cs="Times New Roman"/>
          <w:color w:val="auto"/>
          <w:szCs w:val="28"/>
          <w:highlight w:val="none"/>
          <w:lang w:val="en-US" w:eastAsia="zh-CN"/>
        </w:rPr>
        <w:t xml:space="preserve">25 </w:t>
      </w:r>
      <w:r>
        <w:rPr>
          <w:rFonts w:hint="eastAsia" w:ascii="Times New Roman" w:hAnsi="Times New Roman" w:eastAsia="宋体" w:cs="Times New Roman"/>
          <w:color w:val="auto"/>
          <w:szCs w:val="28"/>
          <w:highlight w:val="none"/>
          <w:lang w:val="en-US" w:eastAsia="zh-CN"/>
        </w:rPr>
        <w:t>基，</w:t>
      </w:r>
      <w:r>
        <w:rPr>
          <w:rFonts w:hint="default" w:ascii="Times New Roman" w:hAnsi="Times New Roman" w:eastAsia="宋体" w:cs="Times New Roman"/>
          <w:color w:val="auto"/>
          <w:szCs w:val="28"/>
          <w:highlight w:val="none"/>
          <w:lang w:val="en-US" w:eastAsia="zh-CN"/>
        </w:rPr>
        <w:t xml:space="preserve">110 </w:t>
      </w:r>
      <w:r>
        <w:rPr>
          <w:rFonts w:hint="eastAsia" w:ascii="Times New Roman" w:hAnsi="Times New Roman" w:eastAsia="宋体" w:cs="Times New Roman"/>
          <w:color w:val="auto"/>
          <w:szCs w:val="28"/>
          <w:highlight w:val="none"/>
          <w:lang w:val="en-US" w:eastAsia="zh-CN"/>
        </w:rPr>
        <w:t xml:space="preserve">千伏赤州 </w:t>
      </w:r>
      <w:r>
        <w:rPr>
          <w:rFonts w:hint="default" w:ascii="Times New Roman" w:hAnsi="Times New Roman" w:eastAsia="宋体" w:cs="Times New Roman"/>
          <w:color w:val="auto"/>
          <w:szCs w:val="28"/>
          <w:highlight w:val="none"/>
          <w:lang w:val="en-US" w:eastAsia="zh-CN"/>
        </w:rPr>
        <w:t xml:space="preserve">1881 </w:t>
      </w:r>
      <w:r>
        <w:rPr>
          <w:rFonts w:hint="eastAsia" w:ascii="Times New Roman" w:hAnsi="Times New Roman" w:eastAsia="宋体" w:cs="Times New Roman"/>
          <w:color w:val="auto"/>
          <w:szCs w:val="28"/>
          <w:highlight w:val="none"/>
          <w:lang w:val="en-US" w:eastAsia="zh-CN"/>
        </w:rPr>
        <w:t xml:space="preserve">线起于赤柯变，止于衢州变，线路全长 </w:t>
      </w:r>
      <w:r>
        <w:rPr>
          <w:rFonts w:hint="default" w:ascii="Times New Roman" w:hAnsi="Times New Roman" w:eastAsia="宋体" w:cs="Times New Roman"/>
          <w:color w:val="auto"/>
          <w:szCs w:val="28"/>
          <w:highlight w:val="none"/>
          <w:lang w:val="en-US" w:eastAsia="zh-CN"/>
        </w:rPr>
        <w:t>14.242km</w:t>
      </w:r>
      <w:r>
        <w:rPr>
          <w:rFonts w:hint="eastAsia" w:ascii="Times New Roman" w:hAnsi="Times New Roman" w:eastAsia="宋体" w:cs="Times New Roman"/>
          <w:color w:val="auto"/>
          <w:szCs w:val="28"/>
          <w:highlight w:val="none"/>
          <w:lang w:val="en-US" w:eastAsia="zh-CN"/>
        </w:rPr>
        <w:t xml:space="preserve">，杆塔数量 </w:t>
      </w:r>
      <w:r>
        <w:rPr>
          <w:rFonts w:hint="default" w:ascii="Times New Roman" w:hAnsi="Times New Roman" w:eastAsia="宋体" w:cs="Times New Roman"/>
          <w:color w:val="auto"/>
          <w:szCs w:val="28"/>
          <w:highlight w:val="none"/>
          <w:lang w:val="en-US" w:eastAsia="zh-CN"/>
        </w:rPr>
        <w:t xml:space="preserve">56 </w:t>
      </w:r>
      <w:r>
        <w:rPr>
          <w:rFonts w:hint="eastAsia" w:ascii="Times New Roman" w:hAnsi="Times New Roman" w:eastAsia="宋体" w:cs="Times New Roman"/>
          <w:color w:val="auto"/>
          <w:szCs w:val="28"/>
          <w:highlight w:val="none"/>
          <w:lang w:val="en-US" w:eastAsia="zh-CN"/>
        </w:rPr>
        <w:t>基。因656能源储备工程建设需要，申请对220kV 芳赤24M1线、芳柯24M2线、110千伏赤黄1879 线、赤州1881线路改迁。</w:t>
      </w:r>
      <w:r>
        <w:rPr>
          <w:rFonts w:hint="eastAsia" w:ascii="Times New Roman" w:hAnsi="Times New Roman" w:eastAsia="宋体" w:cs="Times New Roman"/>
          <w:color w:val="auto"/>
          <w:szCs w:val="28"/>
          <w:highlight w:val="none"/>
          <w:lang w:val="zh-CN"/>
        </w:rPr>
        <w:t>建设需求涉及220kV、</w:t>
      </w:r>
      <w:r>
        <w:rPr>
          <w:rFonts w:hint="eastAsia" w:ascii="Times New Roman" w:hAnsi="Times New Roman" w:eastAsia="宋体" w:cs="Times New Roman"/>
          <w:color w:val="auto"/>
          <w:szCs w:val="28"/>
          <w:highlight w:val="none"/>
          <w:lang w:val="en-US" w:eastAsia="zh-CN"/>
        </w:rPr>
        <w:t>110 千伏</w:t>
      </w:r>
      <w:r>
        <w:rPr>
          <w:rFonts w:hint="eastAsia" w:ascii="Times New Roman" w:hAnsi="Times New Roman" w:eastAsia="宋体" w:cs="Times New Roman"/>
          <w:color w:val="auto"/>
          <w:szCs w:val="28"/>
          <w:highlight w:val="none"/>
          <w:lang w:val="zh-CN"/>
        </w:rPr>
        <w:t>高压线路进行设计、施工，产权单位为衢州市柯城区衢化街道办事处，包括拆除杆塔、新建杆塔、电力线路迁移改造工程等</w:t>
      </w:r>
      <w:r>
        <w:rPr>
          <w:rFonts w:hint="eastAsia" w:ascii="Times New Roman" w:hAnsi="Times New Roman" w:cs="Times New Roman"/>
          <w:color w:val="auto"/>
          <w:szCs w:val="28"/>
          <w:highlight w:val="none"/>
          <w:lang w:val="zh-CN"/>
        </w:rPr>
        <w:t>，</w:t>
      </w:r>
      <w:r>
        <w:rPr>
          <w:rFonts w:hint="eastAsia" w:ascii="Times New Roman" w:hAnsi="Times New Roman" w:eastAsia="宋体" w:cs="Times New Roman"/>
          <w:color w:val="auto"/>
          <w:szCs w:val="28"/>
          <w:highlight w:val="none"/>
          <w:lang w:val="zh-CN"/>
        </w:rPr>
        <w:t>主要建设内容：</w:t>
      </w:r>
    </w:p>
    <w:p w14:paraId="29E870D9">
      <w:pPr>
        <w:spacing w:line="360" w:lineRule="auto"/>
        <w:ind w:firstLine="420" w:firstLineChars="200"/>
        <w:rPr>
          <w:rFonts w:hint="eastAsia" w:ascii="Times New Roman" w:hAnsi="Times New Roman" w:eastAsia="宋体" w:cs="Times New Roman"/>
          <w:color w:val="auto"/>
          <w:szCs w:val="28"/>
          <w:highlight w:val="none"/>
          <w:lang w:val="en-US" w:eastAsia="zh-CN"/>
        </w:rPr>
      </w:pPr>
      <w:r>
        <w:rPr>
          <w:rFonts w:hint="eastAsia" w:cs="宋体" w:asciiTheme="minorEastAsia" w:hAnsiTheme="minorEastAsia"/>
          <w:color w:val="auto"/>
          <w:kern w:val="0"/>
          <w:szCs w:val="21"/>
          <w:highlight w:val="none"/>
          <w:lang w:val="zh-CN"/>
        </w:rPr>
        <w:t>①</w:t>
      </w:r>
      <w:r>
        <w:rPr>
          <w:rFonts w:hint="eastAsia" w:ascii="宋体" w:hAnsi="宋体" w:eastAsia="宋体" w:cs="宋体"/>
          <w:color w:val="auto"/>
          <w:kern w:val="0"/>
          <w:szCs w:val="21"/>
          <w:highlight w:val="none"/>
          <w:u w:val="single"/>
          <w:lang w:eastAsia="zh-CN"/>
        </w:rPr>
        <w:t>220kV芳赤24M1线/芳柯24M2线、</w:t>
      </w:r>
      <w:r>
        <w:rPr>
          <w:rFonts w:hint="eastAsia" w:ascii="Times New Roman" w:hAnsi="Times New Roman" w:eastAsia="宋体" w:cs="Times New Roman"/>
          <w:color w:val="auto"/>
          <w:szCs w:val="28"/>
          <w:highlight w:val="none"/>
          <w:lang w:val="en-US" w:eastAsia="zh-CN"/>
        </w:rPr>
        <w:t xml:space="preserve">迁改移位工程：本工程新建双回路架空线路 3.2km，新建自立式铁塔 </w:t>
      </w:r>
      <w:r>
        <w:rPr>
          <w:rFonts w:hint="default" w:ascii="Times New Roman" w:hAnsi="Times New Roman" w:eastAsia="宋体" w:cs="Times New Roman"/>
          <w:color w:val="auto"/>
          <w:szCs w:val="28"/>
          <w:highlight w:val="none"/>
          <w:lang w:val="en-US" w:eastAsia="zh-CN"/>
        </w:rPr>
        <w:t xml:space="preserve">11 </w:t>
      </w:r>
      <w:r>
        <w:rPr>
          <w:rFonts w:hint="eastAsia" w:ascii="Times New Roman" w:hAnsi="Times New Roman" w:eastAsia="宋体" w:cs="Times New Roman"/>
          <w:color w:val="auto"/>
          <w:szCs w:val="28"/>
          <w:highlight w:val="none"/>
          <w:lang w:val="en-US" w:eastAsia="zh-CN"/>
        </w:rPr>
        <w:t xml:space="preserve">基。拆除原双 回架空 </w:t>
      </w:r>
      <w:r>
        <w:rPr>
          <w:rFonts w:hint="default" w:ascii="Times New Roman" w:hAnsi="Times New Roman" w:eastAsia="宋体" w:cs="Times New Roman"/>
          <w:color w:val="auto"/>
          <w:szCs w:val="28"/>
          <w:highlight w:val="none"/>
          <w:lang w:val="en-US" w:eastAsia="zh-CN"/>
        </w:rPr>
        <w:t>3.3km</w:t>
      </w:r>
      <w:r>
        <w:rPr>
          <w:rFonts w:hint="eastAsia" w:ascii="Times New Roman" w:hAnsi="Times New Roman" w:eastAsia="宋体" w:cs="Times New Roman"/>
          <w:color w:val="auto"/>
          <w:szCs w:val="28"/>
          <w:highlight w:val="none"/>
          <w:lang w:val="en-US" w:eastAsia="zh-CN"/>
        </w:rPr>
        <w:t xml:space="preserve">，四回架空 </w:t>
      </w:r>
      <w:r>
        <w:rPr>
          <w:rFonts w:hint="default" w:ascii="Times New Roman" w:hAnsi="Times New Roman" w:eastAsia="宋体" w:cs="Times New Roman"/>
          <w:color w:val="auto"/>
          <w:szCs w:val="28"/>
          <w:highlight w:val="none"/>
          <w:lang w:val="en-US" w:eastAsia="zh-CN"/>
        </w:rPr>
        <w:t>0.5km</w:t>
      </w:r>
      <w:r>
        <w:rPr>
          <w:rFonts w:hint="eastAsia" w:ascii="Times New Roman" w:hAnsi="Times New Roman" w:eastAsia="宋体" w:cs="Times New Roman"/>
          <w:color w:val="auto"/>
          <w:szCs w:val="28"/>
          <w:highlight w:val="none"/>
          <w:lang w:val="en-US" w:eastAsia="zh-CN"/>
        </w:rPr>
        <w:t xml:space="preserve">。拆除原双回路铁塔 </w:t>
      </w:r>
      <w:r>
        <w:rPr>
          <w:rFonts w:hint="default" w:ascii="Times New Roman" w:hAnsi="Times New Roman" w:eastAsia="宋体" w:cs="Times New Roman"/>
          <w:color w:val="auto"/>
          <w:szCs w:val="28"/>
          <w:highlight w:val="none"/>
          <w:lang w:val="en-US" w:eastAsia="zh-CN"/>
        </w:rPr>
        <w:t xml:space="preserve">10 </w:t>
      </w:r>
      <w:r>
        <w:rPr>
          <w:rFonts w:hint="eastAsia" w:ascii="Times New Roman" w:hAnsi="Times New Roman" w:eastAsia="宋体" w:cs="Times New Roman"/>
          <w:color w:val="auto"/>
          <w:szCs w:val="28"/>
          <w:highlight w:val="none"/>
          <w:lang w:val="en-US" w:eastAsia="zh-CN"/>
        </w:rPr>
        <w:t xml:space="preserve">基，四回路铁 塔 </w:t>
      </w:r>
      <w:r>
        <w:rPr>
          <w:rFonts w:hint="default" w:ascii="Times New Roman" w:hAnsi="Times New Roman" w:eastAsia="宋体" w:cs="Times New Roman"/>
          <w:color w:val="auto"/>
          <w:szCs w:val="28"/>
          <w:highlight w:val="none"/>
          <w:lang w:val="en-US" w:eastAsia="zh-CN"/>
        </w:rPr>
        <w:t xml:space="preserve">3 </w:t>
      </w:r>
      <w:r>
        <w:rPr>
          <w:rFonts w:hint="eastAsia" w:ascii="Times New Roman" w:hAnsi="Times New Roman" w:eastAsia="宋体" w:cs="Times New Roman"/>
          <w:color w:val="auto"/>
          <w:szCs w:val="28"/>
          <w:highlight w:val="none"/>
          <w:lang w:val="en-US" w:eastAsia="zh-CN"/>
        </w:rPr>
        <w:t>基。</w:t>
      </w:r>
    </w:p>
    <w:p w14:paraId="6E613C0F">
      <w:pPr>
        <w:spacing w:line="360" w:lineRule="auto"/>
        <w:ind w:firstLine="420" w:firstLineChars="200"/>
        <w:rPr>
          <w:rFonts w:hint="eastAsia" w:ascii="Times New Roman" w:hAnsi="Times New Roman" w:eastAsia="宋体" w:cs="Times New Roman"/>
          <w:color w:val="auto"/>
          <w:szCs w:val="28"/>
          <w:highlight w:val="none"/>
          <w:lang w:val="zh-CN" w:eastAsia="zh-CN"/>
        </w:rPr>
      </w:pPr>
      <w:r>
        <w:rPr>
          <w:rFonts w:hint="eastAsia" w:ascii="Times New Roman" w:hAnsi="Times New Roman" w:eastAsia="宋体" w:cs="Times New Roman"/>
          <w:color w:val="auto"/>
          <w:szCs w:val="28"/>
          <w:highlight w:val="none"/>
          <w:lang w:val="zh-CN" w:eastAsia="zh-CN"/>
        </w:rPr>
        <w:t>②</w:t>
      </w:r>
      <w:r>
        <w:rPr>
          <w:rFonts w:hint="eastAsia" w:ascii="Times New Roman" w:hAnsi="Times New Roman" w:eastAsia="宋体" w:cs="Times New Roman"/>
          <w:color w:val="auto"/>
          <w:szCs w:val="28"/>
          <w:highlight w:val="none"/>
          <w:lang w:val="en-US" w:eastAsia="zh-CN"/>
        </w:rPr>
        <w:t xml:space="preserve">110kV赤黄1879线/赤州1881线迁改移位工程：本工程新建双回路架空线路 3.1km，新建单回路架空线路 </w:t>
      </w:r>
      <w:r>
        <w:rPr>
          <w:rFonts w:hint="default" w:ascii="Times New Roman" w:hAnsi="Times New Roman" w:eastAsia="宋体" w:cs="Times New Roman"/>
          <w:color w:val="auto"/>
          <w:szCs w:val="28"/>
          <w:highlight w:val="none"/>
          <w:lang w:val="en-US" w:eastAsia="zh-CN"/>
        </w:rPr>
        <w:t>1.2km</w:t>
      </w:r>
      <w:r>
        <w:rPr>
          <w:rFonts w:hint="eastAsia" w:ascii="Times New Roman" w:hAnsi="Times New Roman" w:eastAsia="宋体" w:cs="Times New Roman"/>
          <w:color w:val="auto"/>
          <w:szCs w:val="28"/>
          <w:highlight w:val="none"/>
          <w:lang w:val="en-US" w:eastAsia="zh-CN"/>
        </w:rPr>
        <w:t xml:space="preserve">，新建 自立式铁塔 </w:t>
      </w:r>
      <w:r>
        <w:rPr>
          <w:rFonts w:hint="default" w:ascii="Times New Roman" w:hAnsi="Times New Roman" w:eastAsia="宋体" w:cs="Times New Roman"/>
          <w:color w:val="auto"/>
          <w:szCs w:val="28"/>
          <w:highlight w:val="none"/>
          <w:lang w:val="en-US" w:eastAsia="zh-CN"/>
        </w:rPr>
        <w:t xml:space="preserve">15 </w:t>
      </w:r>
      <w:r>
        <w:rPr>
          <w:rFonts w:hint="eastAsia" w:ascii="Times New Roman" w:hAnsi="Times New Roman" w:eastAsia="宋体" w:cs="Times New Roman"/>
          <w:color w:val="auto"/>
          <w:szCs w:val="28"/>
          <w:highlight w:val="none"/>
          <w:lang w:val="en-US" w:eastAsia="zh-CN"/>
        </w:rPr>
        <w:t xml:space="preserve">基。其中双回路角钢塔 </w:t>
      </w:r>
      <w:r>
        <w:rPr>
          <w:rFonts w:hint="default" w:ascii="Times New Roman" w:hAnsi="Times New Roman" w:eastAsia="宋体" w:cs="Times New Roman"/>
          <w:color w:val="auto"/>
          <w:szCs w:val="28"/>
          <w:highlight w:val="none"/>
          <w:lang w:val="en-US" w:eastAsia="zh-CN"/>
        </w:rPr>
        <w:t xml:space="preserve">11 </w:t>
      </w:r>
      <w:r>
        <w:rPr>
          <w:rFonts w:hint="eastAsia" w:ascii="Times New Roman" w:hAnsi="Times New Roman" w:eastAsia="宋体" w:cs="Times New Roman"/>
          <w:color w:val="auto"/>
          <w:szCs w:val="28"/>
          <w:highlight w:val="none"/>
          <w:lang w:val="en-US" w:eastAsia="zh-CN"/>
        </w:rPr>
        <w:t xml:space="preserve">基，单回路角钢塔 </w:t>
      </w:r>
      <w:r>
        <w:rPr>
          <w:rFonts w:hint="default" w:ascii="Times New Roman" w:hAnsi="Times New Roman" w:eastAsia="宋体" w:cs="Times New Roman"/>
          <w:color w:val="auto"/>
          <w:szCs w:val="28"/>
          <w:highlight w:val="none"/>
          <w:lang w:val="en-US" w:eastAsia="zh-CN"/>
        </w:rPr>
        <w:t xml:space="preserve">4 </w:t>
      </w:r>
      <w:r>
        <w:rPr>
          <w:rFonts w:hint="eastAsia" w:ascii="Times New Roman" w:hAnsi="Times New Roman" w:eastAsia="宋体" w:cs="Times New Roman"/>
          <w:color w:val="auto"/>
          <w:szCs w:val="28"/>
          <w:highlight w:val="none"/>
          <w:lang w:val="en-US" w:eastAsia="zh-CN"/>
        </w:rPr>
        <w:t xml:space="preserve">基。拆 除原四回架空线路 </w:t>
      </w:r>
      <w:r>
        <w:rPr>
          <w:rFonts w:hint="default" w:ascii="Times New Roman" w:hAnsi="Times New Roman" w:eastAsia="宋体" w:cs="Times New Roman"/>
          <w:color w:val="auto"/>
          <w:szCs w:val="28"/>
          <w:highlight w:val="none"/>
          <w:lang w:val="en-US" w:eastAsia="zh-CN"/>
        </w:rPr>
        <w:t>0.16km</w:t>
      </w:r>
      <w:r>
        <w:rPr>
          <w:rFonts w:hint="eastAsia" w:ascii="Times New Roman" w:hAnsi="Times New Roman" w:eastAsia="宋体" w:cs="Times New Roman"/>
          <w:color w:val="auto"/>
          <w:szCs w:val="28"/>
          <w:highlight w:val="none"/>
          <w:lang w:val="en-US" w:eastAsia="zh-CN"/>
        </w:rPr>
        <w:t xml:space="preserve">，原双回架空线路 </w:t>
      </w:r>
      <w:r>
        <w:rPr>
          <w:rFonts w:hint="default" w:ascii="Times New Roman" w:hAnsi="Times New Roman" w:eastAsia="宋体" w:cs="Times New Roman"/>
          <w:color w:val="auto"/>
          <w:szCs w:val="28"/>
          <w:highlight w:val="none"/>
          <w:lang w:val="en-US" w:eastAsia="zh-CN"/>
        </w:rPr>
        <w:t>1.6km</w:t>
      </w:r>
      <w:r>
        <w:rPr>
          <w:rFonts w:hint="eastAsia" w:ascii="Times New Roman" w:hAnsi="Times New Roman" w:eastAsia="宋体" w:cs="Times New Roman"/>
          <w:color w:val="auto"/>
          <w:szCs w:val="28"/>
          <w:highlight w:val="none"/>
          <w:lang w:val="en-US" w:eastAsia="zh-CN"/>
        </w:rPr>
        <w:t xml:space="preserve">，拆除原单回架空 线路 </w:t>
      </w:r>
      <w:r>
        <w:rPr>
          <w:rFonts w:hint="default" w:ascii="Times New Roman" w:hAnsi="Times New Roman" w:eastAsia="宋体" w:cs="Times New Roman"/>
          <w:color w:val="auto"/>
          <w:szCs w:val="28"/>
          <w:highlight w:val="none"/>
          <w:lang w:val="en-US" w:eastAsia="zh-CN"/>
        </w:rPr>
        <w:t>1.0km</w:t>
      </w:r>
      <w:r>
        <w:rPr>
          <w:rFonts w:hint="eastAsia" w:ascii="Times New Roman" w:hAnsi="Times New Roman" w:eastAsia="宋体" w:cs="Times New Roman"/>
          <w:color w:val="auto"/>
          <w:szCs w:val="28"/>
          <w:highlight w:val="none"/>
          <w:lang w:val="en-US" w:eastAsia="zh-CN"/>
        </w:rPr>
        <w:t xml:space="preserve">，拆除四回路铁塔 </w:t>
      </w:r>
      <w:r>
        <w:rPr>
          <w:rFonts w:hint="default" w:ascii="Times New Roman" w:hAnsi="Times New Roman" w:eastAsia="宋体" w:cs="Times New Roman"/>
          <w:color w:val="auto"/>
          <w:szCs w:val="28"/>
          <w:highlight w:val="none"/>
          <w:lang w:val="en-US" w:eastAsia="zh-CN"/>
        </w:rPr>
        <w:t xml:space="preserve">3 </w:t>
      </w:r>
      <w:r>
        <w:rPr>
          <w:rFonts w:hint="eastAsia" w:ascii="Times New Roman" w:hAnsi="Times New Roman" w:eastAsia="宋体" w:cs="Times New Roman"/>
          <w:color w:val="auto"/>
          <w:szCs w:val="28"/>
          <w:highlight w:val="none"/>
          <w:lang w:val="en-US" w:eastAsia="zh-CN"/>
        </w:rPr>
        <w:t xml:space="preserve">基，双回路铁塔 </w:t>
      </w:r>
      <w:r>
        <w:rPr>
          <w:rFonts w:hint="default" w:ascii="Times New Roman" w:hAnsi="Times New Roman" w:eastAsia="宋体" w:cs="Times New Roman"/>
          <w:color w:val="auto"/>
          <w:szCs w:val="28"/>
          <w:highlight w:val="none"/>
          <w:lang w:val="en-US" w:eastAsia="zh-CN"/>
        </w:rPr>
        <w:t xml:space="preserve">5 </w:t>
      </w:r>
      <w:r>
        <w:rPr>
          <w:rFonts w:hint="eastAsia" w:ascii="Times New Roman" w:hAnsi="Times New Roman" w:eastAsia="宋体" w:cs="Times New Roman"/>
          <w:color w:val="auto"/>
          <w:szCs w:val="28"/>
          <w:highlight w:val="none"/>
          <w:lang w:val="en-US" w:eastAsia="zh-CN"/>
        </w:rPr>
        <w:t>基，单回路铁塔</w:t>
      </w:r>
      <w:r>
        <w:rPr>
          <w:rFonts w:hint="default" w:ascii="Times New Roman" w:hAnsi="Times New Roman" w:eastAsia="宋体" w:cs="Times New Roman"/>
          <w:color w:val="auto"/>
          <w:szCs w:val="28"/>
          <w:highlight w:val="none"/>
          <w:lang w:val="en-US" w:eastAsia="zh-CN"/>
        </w:rPr>
        <w:t xml:space="preserve">4 </w:t>
      </w:r>
      <w:r>
        <w:rPr>
          <w:rFonts w:hint="eastAsia" w:ascii="Times New Roman" w:hAnsi="Times New Roman" w:eastAsia="宋体" w:cs="Times New Roman"/>
          <w:color w:val="auto"/>
          <w:szCs w:val="28"/>
          <w:highlight w:val="none"/>
          <w:lang w:val="en-US" w:eastAsia="zh-CN"/>
        </w:rPr>
        <w:t>基。</w:t>
      </w:r>
    </w:p>
    <w:p w14:paraId="3F5A10B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b/>
          <w:color w:val="auto"/>
          <w:szCs w:val="21"/>
          <w:highlight w:val="none"/>
        </w:rPr>
        <w:t>招标范围</w:t>
      </w:r>
      <w:r>
        <w:rPr>
          <w:rFonts w:hint="eastAsia" w:ascii="Times New Roman" w:hAnsi="Times New Roman" w:eastAsia="宋体" w:cs="Times New Roman"/>
          <w:b/>
          <w:color w:val="auto"/>
          <w:szCs w:val="21"/>
          <w:highlight w:val="none"/>
        </w:rPr>
        <w:t>：</w:t>
      </w:r>
      <w:r>
        <w:rPr>
          <w:rFonts w:hint="eastAsia" w:ascii="宋体" w:hAnsi="Times New Roman" w:eastAsia="宋体" w:cs="宋体"/>
          <w:color w:val="auto"/>
          <w:kern w:val="0"/>
          <w:szCs w:val="21"/>
          <w:highlight w:val="none"/>
        </w:rPr>
        <w:t>包括但不限于</w:t>
      </w:r>
      <w:r>
        <w:rPr>
          <w:rFonts w:hint="eastAsia" w:ascii="宋体" w:hAnsi="Times New Roman" w:eastAsia="宋体" w:cs="宋体"/>
          <w:color w:val="auto"/>
          <w:kern w:val="0"/>
          <w:szCs w:val="21"/>
          <w:highlight w:val="none"/>
          <w:lang w:val="zh-CN"/>
        </w:rPr>
        <w:t>建设范围内的设计、协助工程前期手续办理、工程施工、材料设备及设施采购与安装、竣工图编制、调试试运行、竣工验收，直至使用单位接手等相关资料的办理、工程缺陷责任期内的缺陷修复及保修期服务等相关建设方面的内容。其中：</w:t>
      </w:r>
    </w:p>
    <w:p w14:paraId="1D9FCC4D">
      <w:pPr>
        <w:autoSpaceDE w:val="0"/>
        <w:autoSpaceDN w:val="0"/>
        <w:adjustRightInd w:val="0"/>
        <w:spacing w:line="360" w:lineRule="auto"/>
        <w:ind w:firstLine="422" w:firstLineChars="200"/>
        <w:jc w:val="left"/>
        <w:rPr>
          <w:rFonts w:ascii="宋体" w:hAnsi="Times New Roman" w:eastAsia="宋体" w:cs="宋体"/>
          <w:color w:val="auto"/>
          <w:kern w:val="0"/>
          <w:szCs w:val="21"/>
          <w:highlight w:val="none"/>
          <w:lang w:val="zh-CN"/>
        </w:rPr>
      </w:pPr>
      <w:r>
        <w:rPr>
          <w:rFonts w:hint="eastAsia" w:ascii="宋体" w:hAnsi="Times New Roman" w:eastAsia="宋体" w:cs="宋体"/>
          <w:b/>
          <w:color w:val="auto"/>
          <w:kern w:val="0"/>
          <w:szCs w:val="21"/>
          <w:highlight w:val="none"/>
          <w:lang w:val="zh-CN"/>
        </w:rPr>
        <w:t>①设计：</w:t>
      </w:r>
      <w:r>
        <w:rPr>
          <w:rFonts w:hint="eastAsia" w:ascii="宋体" w:hAnsi="Times New Roman" w:eastAsia="宋体" w:cs="宋体"/>
          <w:color w:val="auto"/>
          <w:kern w:val="0"/>
          <w:szCs w:val="21"/>
          <w:highlight w:val="none"/>
        </w:rPr>
        <w:t>包括但不限于</w:t>
      </w:r>
      <w:r>
        <w:rPr>
          <w:rFonts w:hint="eastAsia" w:ascii="宋体" w:hAnsi="Times New Roman" w:eastAsia="宋体" w:cs="宋体"/>
          <w:color w:val="auto"/>
          <w:kern w:val="0"/>
          <w:szCs w:val="21"/>
          <w:highlight w:val="none"/>
          <w:lang w:val="zh-CN"/>
        </w:rPr>
        <w:t>根据招标人要求，完成本项目所有专业施工图设计、施工图预算编制、配合施工图图审、设计文件报审报批及施工阶段服务等内容，以及各阶段、各部门审批提出的设计文件的修改和施工过程中招标人提出的变更设计等内容。</w:t>
      </w:r>
    </w:p>
    <w:p w14:paraId="0E9E4442">
      <w:pPr>
        <w:autoSpaceDE w:val="0"/>
        <w:autoSpaceDN w:val="0"/>
        <w:adjustRightInd w:val="0"/>
        <w:spacing w:line="360" w:lineRule="auto"/>
        <w:ind w:firstLine="422" w:firstLineChars="200"/>
        <w:jc w:val="left"/>
        <w:rPr>
          <w:rFonts w:ascii="Times New Roman" w:hAnsi="Times New Roman" w:eastAsia="宋体" w:cs="Times New Roman"/>
          <w:color w:val="auto"/>
          <w:szCs w:val="28"/>
          <w:highlight w:val="none"/>
        </w:rPr>
      </w:pPr>
      <w:r>
        <w:rPr>
          <w:rFonts w:hint="eastAsia" w:ascii="宋体" w:hAnsi="宋体" w:eastAsia="宋体" w:cs="宋体"/>
          <w:b/>
          <w:bCs/>
          <w:color w:val="auto"/>
          <w:szCs w:val="21"/>
          <w:highlight w:val="none"/>
        </w:rPr>
        <w:t>②</w:t>
      </w:r>
      <w:r>
        <w:rPr>
          <w:rFonts w:hint="eastAsia" w:ascii="宋体" w:hAnsi="Times New Roman" w:eastAsia="宋体" w:cs="宋体"/>
          <w:b/>
          <w:bCs/>
          <w:color w:val="auto"/>
          <w:kern w:val="0"/>
          <w:szCs w:val="21"/>
          <w:highlight w:val="none"/>
          <w:lang w:val="zh-CN"/>
        </w:rPr>
        <w:t>施工：</w:t>
      </w:r>
      <w:r>
        <w:rPr>
          <w:rFonts w:hint="eastAsia" w:ascii="Times New Roman" w:hAnsi="Times New Roman" w:eastAsia="宋体" w:cs="Times New Roman"/>
          <w:color w:val="auto"/>
          <w:szCs w:val="28"/>
          <w:highlight w:val="none"/>
        </w:rPr>
        <w:t>包括但不限于</w:t>
      </w:r>
      <w:r>
        <w:rPr>
          <w:rFonts w:hint="eastAsia" w:ascii="Times New Roman" w:hAnsi="Times New Roman" w:eastAsia="宋体" w:cs="Times New Roman"/>
          <w:color w:val="auto"/>
          <w:szCs w:val="28"/>
          <w:highlight w:val="none"/>
          <w:lang w:val="en-US" w:eastAsia="zh-CN"/>
        </w:rPr>
        <w:t>对220kV 芳赤24M1线、芳柯24M2线、110千伏赤黄1879 线、赤州1881线路改迁</w:t>
      </w:r>
      <w:r>
        <w:rPr>
          <w:rFonts w:hint="eastAsia" w:ascii="Times New Roman" w:hAnsi="Times New Roman" w:eastAsia="宋体" w:cs="Times New Roman"/>
          <w:color w:val="auto"/>
          <w:szCs w:val="28"/>
          <w:highlight w:val="none"/>
        </w:rPr>
        <w:t>电力线路、杆塔施工和拆旧等</w:t>
      </w:r>
      <w:r>
        <w:rPr>
          <w:rFonts w:hint="eastAsia" w:ascii="宋体" w:hAnsi="Times New Roman" w:eastAsia="宋体" w:cs="宋体"/>
          <w:color w:val="auto"/>
          <w:kern w:val="0"/>
          <w:szCs w:val="21"/>
          <w:highlight w:val="none"/>
        </w:rPr>
        <w:t>以及为完成本工程所需的所有措施项目、竣工验收及保修服务。</w:t>
      </w:r>
    </w:p>
    <w:p w14:paraId="2EEF51AC">
      <w:pPr>
        <w:spacing w:line="360" w:lineRule="auto"/>
        <w:ind w:firstLine="422" w:firstLineChars="200"/>
        <w:jc w:val="left"/>
        <w:rPr>
          <w:rFonts w:ascii="宋体" w:hAnsi="宋体" w:eastAsia="宋体" w:cs="宋体"/>
          <w:color w:val="auto"/>
          <w:szCs w:val="24"/>
          <w:highlight w:val="none"/>
        </w:rPr>
      </w:pPr>
      <w:r>
        <w:rPr>
          <w:rFonts w:hint="eastAsia" w:ascii="宋体" w:hAnsi="宋体" w:eastAsia="宋体" w:cs="宋体"/>
          <w:b/>
          <w:bCs/>
          <w:color w:val="auto"/>
          <w:szCs w:val="21"/>
          <w:highlight w:val="none"/>
        </w:rPr>
        <w:t>③</w:t>
      </w:r>
      <w:r>
        <w:rPr>
          <w:rFonts w:hint="eastAsia" w:ascii="宋体" w:hAnsi="Times New Roman" w:eastAsia="宋体" w:cs="宋体"/>
          <w:b/>
          <w:bCs/>
          <w:color w:val="auto"/>
          <w:kern w:val="0"/>
          <w:szCs w:val="21"/>
          <w:highlight w:val="none"/>
          <w:lang w:val="zh-CN"/>
        </w:rPr>
        <w:t>采购：</w:t>
      </w:r>
      <w:r>
        <w:rPr>
          <w:rFonts w:hint="eastAsia" w:ascii="宋体" w:hAnsi="Times New Roman" w:eastAsia="宋体" w:cs="宋体"/>
          <w:color w:val="auto"/>
          <w:kern w:val="0"/>
          <w:szCs w:val="21"/>
          <w:highlight w:val="none"/>
        </w:rPr>
        <w:t>包括但不限于</w:t>
      </w:r>
      <w:r>
        <w:rPr>
          <w:rFonts w:hint="eastAsia" w:ascii="宋体" w:hAnsi="Times New Roman" w:eastAsia="宋体" w:cs="宋体"/>
          <w:color w:val="auto"/>
          <w:kern w:val="0"/>
          <w:szCs w:val="21"/>
          <w:highlight w:val="none"/>
          <w:lang w:val="zh-CN"/>
        </w:rPr>
        <w:t>本项目所涉及的</w:t>
      </w:r>
      <w:r>
        <w:rPr>
          <w:rFonts w:hint="eastAsia" w:ascii="宋体" w:hAnsi="宋体" w:eastAsia="宋体" w:cs="宋体"/>
          <w:color w:val="auto"/>
          <w:szCs w:val="24"/>
          <w:highlight w:val="none"/>
        </w:rPr>
        <w:t>设施设备材料采购、运输、保管、安装及调试（试运行）、移交以及质保期内的保修服务等。</w:t>
      </w:r>
    </w:p>
    <w:p w14:paraId="60F70F0C">
      <w:pPr>
        <w:spacing w:line="360" w:lineRule="auto"/>
        <w:ind w:firstLine="422" w:firstLineChars="200"/>
        <w:jc w:val="left"/>
        <w:rPr>
          <w:rFonts w:ascii="宋体" w:hAnsi="Times New Roman" w:eastAsia="宋体" w:cs="宋体"/>
          <w:color w:val="auto"/>
          <w:kern w:val="0"/>
          <w:szCs w:val="21"/>
          <w:highlight w:val="none"/>
          <w:lang w:val="zh-CN"/>
        </w:rPr>
      </w:pPr>
      <w:r>
        <w:rPr>
          <w:rFonts w:hint="eastAsia" w:ascii="宋体" w:hAnsi="宋体" w:eastAsia="宋体" w:cs="宋体"/>
          <w:b/>
          <w:bCs/>
          <w:color w:val="auto"/>
          <w:szCs w:val="21"/>
          <w:highlight w:val="none"/>
        </w:rPr>
        <w:t>④</w:t>
      </w:r>
      <w:r>
        <w:rPr>
          <w:rFonts w:hint="eastAsia" w:ascii="宋体" w:hAnsi="Times New Roman" w:eastAsia="宋体" w:cs="宋体"/>
          <w:b/>
          <w:bCs/>
          <w:color w:val="auto"/>
          <w:kern w:val="0"/>
          <w:szCs w:val="21"/>
          <w:highlight w:val="none"/>
          <w:lang w:val="zh-CN"/>
        </w:rPr>
        <w:t>总承包管理和服务内容：</w:t>
      </w:r>
      <w:r>
        <w:rPr>
          <w:rFonts w:hint="eastAsia" w:ascii="宋体" w:hAnsi="Times New Roman" w:eastAsia="宋体" w:cs="宋体"/>
          <w:color w:val="auto"/>
          <w:kern w:val="0"/>
          <w:szCs w:val="21"/>
          <w:highlight w:val="none"/>
          <w:lang w:val="zh-CN"/>
        </w:rPr>
        <w:t>包括但不限于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如有)、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p>
    <w:p w14:paraId="316FC02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⑤从初步设计论证完成至竣工验收、项目移交完成所产生的所有工作及费用均由投标人承担（除招标文件约定的由招标人承担的工作和费用外）。</w:t>
      </w:r>
    </w:p>
    <w:p w14:paraId="62279F1F">
      <w:pPr>
        <w:pStyle w:val="10"/>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2.3计划工期</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u w:val="single"/>
          <w:lang w:val="en-US" w:eastAsia="zh-CN"/>
        </w:rPr>
        <w:t>90</w:t>
      </w:r>
      <w:r>
        <w:rPr>
          <w:rFonts w:hint="eastAsia" w:ascii="宋体" w:hAnsi="宋体" w:eastAsia="宋体" w:cs="宋体"/>
          <w:color w:val="auto"/>
          <w:sz w:val="21"/>
          <w:szCs w:val="21"/>
          <w:highlight w:val="none"/>
          <w:u w:val="single"/>
        </w:rPr>
        <w:t>个日历天（</w:t>
      </w:r>
      <w:r>
        <w:rPr>
          <w:rFonts w:hint="eastAsia" w:ascii="宋体" w:hAnsi="宋体" w:eastAsia="宋体" w:cs="宋体"/>
          <w:color w:val="auto"/>
          <w:sz w:val="21"/>
          <w:szCs w:val="21"/>
          <w:highlight w:val="none"/>
          <w:u w:val="single"/>
          <w:lang w:eastAsia="zh-CN"/>
        </w:rPr>
        <w:t>含</w:t>
      </w:r>
      <w:r>
        <w:rPr>
          <w:rFonts w:hint="eastAsia" w:ascii="宋体" w:hAnsi="宋体" w:eastAsia="宋体" w:cs="宋体"/>
          <w:color w:val="auto"/>
          <w:sz w:val="21"/>
          <w:szCs w:val="21"/>
          <w:highlight w:val="none"/>
          <w:u w:val="single"/>
        </w:rPr>
        <w:t>施工图设计）</w:t>
      </w:r>
      <w:r>
        <w:rPr>
          <w:rFonts w:hint="eastAsia" w:ascii="宋体" w:hAnsi="宋体" w:cs="宋体"/>
          <w:color w:val="auto"/>
          <w:sz w:val="21"/>
          <w:szCs w:val="21"/>
          <w:highlight w:val="none"/>
          <w:u w:val="single"/>
          <w:lang w:eastAsia="zh-CN"/>
        </w:rPr>
        <w:t>，</w:t>
      </w:r>
      <w:r>
        <w:rPr>
          <w:rFonts w:hint="eastAsia" w:ascii="宋体" w:hAnsi="宋体"/>
          <w:color w:val="auto"/>
          <w:sz w:val="21"/>
          <w:szCs w:val="21"/>
          <w:u w:val="single"/>
        </w:rPr>
        <w:t>中标通知书发出后</w:t>
      </w:r>
      <w:r>
        <w:rPr>
          <w:rFonts w:hint="eastAsia" w:ascii="宋体" w:hAnsi="宋体"/>
          <w:color w:val="auto"/>
          <w:sz w:val="21"/>
          <w:szCs w:val="21"/>
          <w:u w:val="single"/>
          <w:lang w:val="en-US" w:eastAsia="zh-CN"/>
        </w:rPr>
        <w:t>15</w:t>
      </w:r>
      <w:r>
        <w:rPr>
          <w:rFonts w:hint="eastAsia" w:ascii="宋体" w:hAnsi="宋体"/>
          <w:color w:val="auto"/>
          <w:sz w:val="21"/>
          <w:szCs w:val="21"/>
          <w:u w:val="single"/>
        </w:rPr>
        <w:t>日内完成施工图设计，</w:t>
      </w:r>
      <w:r>
        <w:rPr>
          <w:rFonts w:hint="eastAsia" w:ascii="宋体" w:hAnsi="宋体"/>
          <w:color w:val="auto"/>
          <w:sz w:val="21"/>
          <w:szCs w:val="21"/>
          <w:u w:val="single"/>
          <w:lang w:val="en-US" w:eastAsia="zh-CN"/>
        </w:rPr>
        <w:t>施工图审查通过后15日内完成施工图预算及评审。</w:t>
      </w:r>
    </w:p>
    <w:p w14:paraId="1A74B39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 是否属于政府采购工程   □是  ☑否</w:t>
      </w:r>
    </w:p>
    <w:p w14:paraId="79DD510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 是否专门面向中小企业预留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是</w:t>
      </w:r>
    </w:p>
    <w:p w14:paraId="0ABECD0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 （不专门面向中小企业采购的原因及适用条款）</w:t>
      </w:r>
    </w:p>
    <w:p w14:paraId="36995DB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 专门面向中小企业预留的实施方式 </w:t>
      </w:r>
    </w:p>
    <w:p w14:paraId="04391D2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□2.6.1本标段整体面向中小企业；</w:t>
      </w:r>
    </w:p>
    <w:p w14:paraId="63B455D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□2.6.2本标段联合体形式面向中小企业，以联合体形式参加本次投标的，联合体中中小企业承担的合同份额需达到（不低于40%）以上。</w:t>
      </w:r>
    </w:p>
    <w:p w14:paraId="2190174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0" w:firstLineChars="147"/>
        <w:textAlignment w:val="auto"/>
        <w:outlineLvl w:val="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3、投标人资格要求</w:t>
      </w:r>
    </w:p>
    <w:p w14:paraId="232F4DA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outlineLvl w:val="2"/>
        <w:rPr>
          <w:rFonts w:hint="eastAsia" w:ascii="宋体" w:hAnsi="宋体" w:eastAsia="宋体" w:cs="宋体"/>
          <w:color w:val="auto"/>
          <w:szCs w:val="21"/>
          <w:highlight w:val="none"/>
        </w:rPr>
      </w:pPr>
      <w:bookmarkStart w:id="18" w:name="_Toc246996904"/>
      <w:bookmarkEnd w:id="18"/>
      <w:bookmarkStart w:id="19" w:name="_Toc152045515"/>
      <w:bookmarkEnd w:id="19"/>
      <w:bookmarkStart w:id="20" w:name="_Toc152042291"/>
      <w:bookmarkEnd w:id="20"/>
      <w:bookmarkStart w:id="21" w:name="_Toc296602405"/>
      <w:bookmarkEnd w:id="21"/>
      <w:bookmarkStart w:id="22" w:name="_Toc179632531"/>
      <w:bookmarkEnd w:id="22"/>
      <w:bookmarkStart w:id="23" w:name="_Toc247085675"/>
      <w:bookmarkEnd w:id="23"/>
      <w:bookmarkStart w:id="24" w:name="_Toc246996161"/>
      <w:bookmarkEnd w:id="24"/>
      <w:r>
        <w:rPr>
          <w:rFonts w:hint="eastAsia" w:ascii="宋体" w:hAnsi="宋体" w:eastAsia="宋体" w:cs="宋体"/>
          <w:color w:val="auto"/>
          <w:szCs w:val="21"/>
          <w:highlight w:val="none"/>
        </w:rPr>
        <w:t>（一）投标人：</w:t>
      </w:r>
    </w:p>
    <w:p w14:paraId="79C68F7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3.1投标人须在中华人民共和国境内注册，同时具有以下资质的独立法人或联合体：</w:t>
      </w:r>
    </w:p>
    <w:p w14:paraId="392C571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具有建设行政主管部门核发的工程设计综合甲级资质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或电力行业乙级或以上资质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或工程设计电力行业送电工程专业</w:t>
      </w:r>
      <w:r>
        <w:rPr>
          <w:rFonts w:hint="eastAsia" w:ascii="宋体" w:hAnsi="宋体" w:eastAsia="宋体" w:cs="宋体"/>
          <w:color w:val="auto"/>
          <w:szCs w:val="21"/>
          <w:highlight w:val="none"/>
          <w:lang w:val="en-US" w:eastAsia="zh-CN"/>
        </w:rPr>
        <w:t>乙</w:t>
      </w:r>
      <w:r>
        <w:rPr>
          <w:rFonts w:hint="eastAsia" w:ascii="宋体" w:hAnsi="宋体" w:eastAsia="宋体" w:cs="宋体"/>
          <w:color w:val="auto"/>
          <w:szCs w:val="21"/>
          <w:highlight w:val="none"/>
        </w:rPr>
        <w:t>级或以上资质。</w:t>
      </w:r>
    </w:p>
    <w:p w14:paraId="6B8E96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具备建设主管部门颁发的的电力工程施工总承包</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级或以上资质,同时取得国家能源局派出机构颁发的承装（修、试）电力设施许可证</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级或以上资质，并具有有效的安全生产许可证。</w:t>
      </w:r>
    </w:p>
    <w:p w14:paraId="1E8DB57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3.2本次招标(☑接受/□不接受）联合体投标。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联合体投标的，应满足下列要求：</w:t>
      </w:r>
    </w:p>
    <w:p w14:paraId="767C178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3.2.1项目负责人由牵头单位人员委派；</w:t>
      </w:r>
    </w:p>
    <w:p w14:paraId="52A4D52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210" w:firstLineChars="100"/>
        <w:textAlignment w:val="auto"/>
        <w:outlineLvl w:val="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☑3.2.2联合体数量不超过</w:t>
      </w:r>
      <w:r>
        <w:rPr>
          <w:rFonts w:hint="eastAsia" w:ascii="宋体" w:hAnsi="宋体" w:cs="宋体"/>
          <w:color w:val="auto"/>
          <w:szCs w:val="21"/>
          <w:highlight w:val="none"/>
          <w:u w:val="single"/>
          <w:lang w:val="en-US" w:eastAsia="zh-CN"/>
        </w:rPr>
        <w:t xml:space="preserve"> 2 </w:t>
      </w:r>
      <w:r>
        <w:rPr>
          <w:rFonts w:hint="eastAsia" w:ascii="宋体" w:hAnsi="宋体" w:eastAsia="宋体" w:cs="宋体"/>
          <w:color w:val="auto"/>
          <w:szCs w:val="21"/>
          <w:highlight w:val="none"/>
        </w:rPr>
        <w:t>个；</w:t>
      </w:r>
    </w:p>
    <w:p w14:paraId="5E0D0C9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联合体的各专业资质等级，根据联合体协议书约定的专业分工认定，相同专业单位组成的联合体，按照承担相应专业工作的资质等级较低的单位确定；不同专业单位组成的联合体，按照联合体协议分工所承担的专业工作对应各自的专业资质认定；</w:t>
      </w:r>
    </w:p>
    <w:p w14:paraId="2803D45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☑3.2.4其他：联合体牵头人为</w:t>
      </w:r>
      <w:r>
        <w:rPr>
          <w:rFonts w:hint="eastAsia" w:ascii="宋体" w:hAnsi="宋体" w:eastAsia="宋体" w:cs="宋体"/>
          <w:color w:val="auto"/>
          <w:szCs w:val="21"/>
          <w:highlight w:val="none"/>
          <w:lang w:val="en-US" w:eastAsia="zh-CN"/>
        </w:rPr>
        <w:t>施工</w:t>
      </w:r>
      <w:r>
        <w:rPr>
          <w:rFonts w:hint="eastAsia" w:ascii="宋体" w:hAnsi="宋体" w:eastAsia="宋体" w:cs="宋体"/>
          <w:color w:val="auto"/>
          <w:szCs w:val="21"/>
          <w:highlight w:val="none"/>
        </w:rPr>
        <w:t>单位，联合体成员总数（含牵头人）不超过</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家（设计单位</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家，施工单位</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家）。组成联合体的各方不得单独或再与其他单位组成其他联合体参与本项目的投标；联合体成员应具备满足联合体协议书约定的成员分工所需的资格条件和能力；联合体各方应签订联合体投标协议书，明确联合体牵头人和各方权利义务。</w:t>
      </w:r>
    </w:p>
    <w:p w14:paraId="691E5AB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☑3.3具备有效的企业安全生产许可证（联合体投标的，承担施工工作的联合体成员应提供）；</w:t>
      </w:r>
    </w:p>
    <w:p w14:paraId="380FA14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□3.4自</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日以来承接过/完成过 (与发包工程相类似的设计、施工或者工程总承包业绩均可作为资格条件业绩) 业绩；</w:t>
      </w:r>
    </w:p>
    <w:p w14:paraId="1265763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3.5企业主要负责人（法定代表人、企业经理、企业分管安全生产的副经理 、企业技术负责人）具有对应有效的安全生产考核合格证书（联合体投标的，承担施工工作的联合体成员应提供）；</w:t>
      </w:r>
    </w:p>
    <w:p w14:paraId="60B33EA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t>□3.6面向中小企业招标的，投标人（或联合体中的中小企业）须为中小企业,并提供《中小企业声明函》。</w:t>
      </w:r>
    </w:p>
    <w:p w14:paraId="66D7AE3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2"/>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（二）</w:t>
      </w:r>
      <w:r>
        <w:rPr>
          <w:rFonts w:hint="eastAsia" w:ascii="宋体" w:hAnsi="宋体" w:eastAsia="宋体" w:cs="宋体"/>
          <w:b/>
          <w:bCs/>
          <w:color w:val="auto"/>
          <w:szCs w:val="21"/>
          <w:highlight w:val="none"/>
        </w:rPr>
        <w:t>拟派项目负责人、设计负责人、施工负责人：</w:t>
      </w:r>
    </w:p>
    <w:p w14:paraId="462E1C6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3.7拟派项目负责人具有注册在投标人单位的☑</w:t>
      </w:r>
      <w:r>
        <w:rPr>
          <w:rFonts w:hint="eastAsia" w:ascii="宋体" w:hAnsi="宋体" w:eastAsia="宋体" w:cs="宋体"/>
          <w:b/>
          <w:bCs/>
          <w:color w:val="auto"/>
          <w:szCs w:val="21"/>
          <w:highlight w:val="none"/>
          <w:u w:val="single"/>
        </w:rPr>
        <w:t>注册电气工程师或电气类高级工程师及以上职称</w:t>
      </w:r>
      <w:r>
        <w:rPr>
          <w:rFonts w:hint="eastAsia" w:ascii="宋体" w:hAnsi="Times New Roman" w:eastAsia="宋体" w:cs="Times New Roman"/>
          <w:b/>
          <w:bCs/>
          <w:color w:val="auto"/>
          <w:szCs w:val="21"/>
          <w:highlight w:val="none"/>
          <w:u w:val="single"/>
        </w:rPr>
        <w:t>或者具</w:t>
      </w:r>
      <w:r>
        <w:rPr>
          <w:rFonts w:hint="eastAsia" w:ascii="宋体" w:hAnsi="Times New Roman" w:eastAsia="宋体" w:cs="Times New Roman"/>
          <w:b/>
          <w:bCs/>
          <w:color w:val="auto"/>
          <w:szCs w:val="21"/>
          <w:highlight w:val="yellow"/>
          <w:u w:val="single"/>
        </w:rPr>
        <w:t>备机电工程专业</w:t>
      </w:r>
      <w:r>
        <w:rPr>
          <w:rFonts w:hint="eastAsia" w:ascii="宋体" w:hAnsi="Times New Roman" w:cs="Times New Roman"/>
          <w:b/>
          <w:bCs/>
          <w:color w:val="auto"/>
          <w:szCs w:val="21"/>
          <w:highlight w:val="yellow"/>
          <w:u w:val="single"/>
          <w:lang w:eastAsia="zh-CN"/>
        </w:rPr>
        <w:t>一</w:t>
      </w:r>
      <w:r>
        <w:rPr>
          <w:rFonts w:hint="eastAsia" w:ascii="宋体" w:hAnsi="Times New Roman" w:eastAsia="宋体" w:cs="Times New Roman"/>
          <w:b/>
          <w:bCs/>
          <w:color w:val="auto"/>
          <w:szCs w:val="21"/>
          <w:highlight w:val="yellow"/>
          <w:u w:val="single"/>
        </w:rPr>
        <w:t>级注册建造师资格</w:t>
      </w:r>
      <w:r>
        <w:rPr>
          <w:rFonts w:hint="eastAsia" w:ascii="宋体" w:hAnsi="宋体" w:eastAsia="宋体" w:cs="宋体"/>
          <w:b/>
          <w:bCs/>
          <w:color w:val="auto"/>
          <w:szCs w:val="21"/>
          <w:highlight w:val="yellow"/>
        </w:rPr>
        <w:t>□</w:t>
      </w:r>
      <w:r>
        <w:rPr>
          <w:rFonts w:hint="eastAsia" w:ascii="宋体" w:hAnsi="宋体" w:eastAsia="宋体" w:cs="宋体"/>
          <w:b/>
          <w:bCs/>
          <w:color w:val="auto"/>
          <w:szCs w:val="21"/>
          <w:highlight w:val="none"/>
        </w:rPr>
        <w:t xml:space="preserve"> （专业名称）高级专业技术职称， </w:t>
      </w:r>
      <w:r>
        <w:rPr>
          <w:rFonts w:hint="eastAsia" w:ascii="宋体" w:hAnsi="宋体" w:eastAsia="宋体" w:cs="宋体"/>
          <w:b/>
          <w:bCs/>
          <w:color w:val="auto"/>
          <w:szCs w:val="21"/>
          <w:highlight w:val="none"/>
          <w:u w:val="single"/>
        </w:rPr>
        <w:t>☑投标人拟派的项目负责人可以兼任本项目施工负责人</w:t>
      </w:r>
      <w:r>
        <w:rPr>
          <w:rFonts w:hint="eastAsia" w:ascii="宋体" w:hAnsi="宋体" w:eastAsia="宋体" w:cs="宋体"/>
          <w:b/>
          <w:bCs/>
          <w:color w:val="auto"/>
          <w:szCs w:val="21"/>
          <w:highlight w:val="none"/>
        </w:rPr>
        <w:t>，其余人员不得兼任，</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同时具有对应有效的安全生产考核合格证书（联合体投标的，承担施工工作联合体成员拟派项目负责人的须提供）；</w:t>
      </w:r>
    </w:p>
    <w:p w14:paraId="4A04610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3.8拟派设计负责人</w:t>
      </w:r>
      <w:r>
        <w:rPr>
          <w:rFonts w:hint="eastAsia" w:ascii="宋体" w:hAnsi="宋体" w:eastAsia="宋体" w:cs="宋体"/>
          <w:b/>
          <w:bCs/>
          <w:color w:val="auto"/>
          <w:szCs w:val="21"/>
          <w:highlight w:val="none"/>
          <w:lang w:val="en-US" w:eastAsia="zh-CN"/>
        </w:rPr>
        <w:t>具有</w:t>
      </w:r>
      <w:r>
        <w:rPr>
          <w:rFonts w:hint="eastAsia" w:ascii="宋体" w:hAnsi="宋体" w:eastAsia="宋体" w:cs="宋体"/>
          <w:b/>
          <w:bCs/>
          <w:color w:val="auto"/>
          <w:szCs w:val="21"/>
          <w:highlight w:val="none"/>
          <w:u w:val="single"/>
        </w:rPr>
        <w:t>注册电气工程师或电气类高级工程师及以上职称</w:t>
      </w:r>
      <w:r>
        <w:rPr>
          <w:rFonts w:hint="eastAsia" w:ascii="宋体" w:hAnsi="宋体" w:eastAsia="宋体" w:cs="宋体"/>
          <w:b/>
          <w:bCs/>
          <w:color w:val="auto"/>
          <w:szCs w:val="21"/>
          <w:highlight w:val="none"/>
        </w:rPr>
        <w:t>。联合体投标的，设计负责人须由承担设计工作的联合体成员委派；</w:t>
      </w:r>
    </w:p>
    <w:p w14:paraId="2386FCA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☑3.9拟派施工负责人</w:t>
      </w:r>
      <w:r>
        <w:rPr>
          <w:rFonts w:hint="eastAsia" w:ascii="宋体" w:hAnsi="宋体" w:cs="宋体"/>
          <w:b/>
          <w:bCs/>
          <w:color w:val="auto"/>
          <w:szCs w:val="21"/>
          <w:highlight w:val="none"/>
          <w:u w:val="single"/>
          <w:lang w:eastAsia="zh-CN"/>
        </w:rPr>
        <w:t>具</w:t>
      </w:r>
      <w:r>
        <w:rPr>
          <w:rFonts w:hint="eastAsia" w:ascii="宋体" w:hAnsi="宋体" w:cs="宋体"/>
          <w:b/>
          <w:bCs/>
          <w:color w:val="auto"/>
          <w:szCs w:val="21"/>
          <w:highlight w:val="yellow"/>
          <w:u w:val="single"/>
          <w:lang w:eastAsia="zh-CN"/>
        </w:rPr>
        <w:t>有</w:t>
      </w:r>
      <w:r>
        <w:rPr>
          <w:rFonts w:hint="eastAsia" w:ascii="宋体" w:hAnsi="宋体" w:eastAsia="宋体" w:cs="宋体"/>
          <w:b/>
          <w:bCs/>
          <w:color w:val="auto"/>
          <w:szCs w:val="21"/>
          <w:highlight w:val="yellow"/>
          <w:u w:val="single"/>
        </w:rPr>
        <w:t>机电工程专业</w:t>
      </w:r>
      <w:r>
        <w:rPr>
          <w:rFonts w:hint="eastAsia" w:ascii="宋体" w:hAnsi="宋体" w:cs="宋体"/>
          <w:b/>
          <w:bCs/>
          <w:color w:val="auto"/>
          <w:szCs w:val="21"/>
          <w:highlight w:val="yellow"/>
          <w:u w:val="single"/>
          <w:lang w:val="en-US" w:eastAsia="zh-CN"/>
        </w:rPr>
        <w:t>一</w:t>
      </w:r>
      <w:r>
        <w:rPr>
          <w:rFonts w:hint="eastAsia" w:ascii="宋体" w:hAnsi="宋体" w:eastAsia="宋体" w:cs="宋体"/>
          <w:b/>
          <w:bCs/>
          <w:color w:val="auto"/>
          <w:szCs w:val="21"/>
          <w:highlight w:val="yellow"/>
          <w:u w:val="single"/>
        </w:rPr>
        <w:t>级注册建造师</w:t>
      </w:r>
      <w:r>
        <w:rPr>
          <w:rFonts w:hint="eastAsia" w:ascii="宋体" w:hAnsi="宋体" w:eastAsia="宋体" w:cs="宋体"/>
          <w:b/>
          <w:bCs/>
          <w:color w:val="auto"/>
          <w:szCs w:val="21"/>
          <w:highlight w:val="none"/>
          <w:u w:val="single"/>
        </w:rPr>
        <w:t>、安全生产考核合格证（B证）</w:t>
      </w:r>
      <w:r>
        <w:rPr>
          <w:rFonts w:hint="eastAsia" w:ascii="宋体" w:hAnsi="宋体" w:eastAsia="宋体" w:cs="宋体"/>
          <w:b/>
          <w:bCs/>
          <w:color w:val="auto"/>
          <w:szCs w:val="21"/>
          <w:highlight w:val="none"/>
          <w:u w:val="none"/>
        </w:rPr>
        <w:t>，</w:t>
      </w:r>
      <w:r>
        <w:rPr>
          <w:rFonts w:hint="eastAsia" w:ascii="宋体" w:hAnsi="宋体" w:eastAsia="宋体" w:cs="宋体"/>
          <w:b/>
          <w:bCs/>
          <w:color w:val="auto"/>
          <w:szCs w:val="21"/>
          <w:highlight w:val="none"/>
        </w:rPr>
        <w:t>同时具有对应有效的安全生产考核合格证书（联合体投标的，施工负责人须由承担施工工作的联合体成员委派）；</w:t>
      </w:r>
    </w:p>
    <w:p w14:paraId="04FB18A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3.10</w:t>
      </w:r>
      <w:r>
        <w:rPr>
          <w:rFonts w:hint="eastAsia" w:ascii="宋体" w:hAnsi="宋体" w:eastAsia="宋体" w:cs="宋体"/>
          <w:b/>
          <w:bCs/>
          <w:snapToGrid w:val="0"/>
          <w:color w:val="auto"/>
          <w:kern w:val="0"/>
          <w:sz w:val="21"/>
          <w:szCs w:val="21"/>
          <w:highlight w:val="none"/>
        </w:rPr>
        <w:t>如拟派项目负责人或施工</w:t>
      </w:r>
      <w:r>
        <w:rPr>
          <w:rFonts w:hint="eastAsia" w:ascii="宋体" w:hAnsi="宋体" w:eastAsia="宋体" w:cs="宋体"/>
          <w:b/>
          <w:bCs/>
          <w:color w:val="auto"/>
          <w:szCs w:val="21"/>
          <w:highlight w:val="none"/>
        </w:rPr>
        <w:t>负责人在投标截止日存在在其他任何在建合同工程（在建合同工程的开始时间为合同工程中标通知书发出日期，或者不通过招标方式的则以合同签订日期为开始时间，结束时间为该合同工程验收合格或合同解除日期）担任工程总承包项目负责人、施工负责人（含工程总承包项目中担任施工负责人）的，不得以拟派项目负责人或施工负责人的身份参加本次投标；</w:t>
      </w:r>
    </w:p>
    <w:p w14:paraId="6F19B8E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outlineLvl w:val="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☑3.11 </w:t>
      </w:r>
      <w:r>
        <w:rPr>
          <w:rFonts w:hint="eastAsia" w:ascii="宋体" w:hAnsi="宋体" w:eastAsia="宋体" w:cs="宋体"/>
          <w:b/>
          <w:bCs/>
          <w:color w:val="auto"/>
          <w:szCs w:val="21"/>
          <w:highlight w:val="none"/>
          <w:u w:val="single"/>
        </w:rPr>
        <w:t>招标人对项目班子人员的数量及资格要求</w:t>
      </w:r>
      <w:r>
        <w:rPr>
          <w:rFonts w:hint="eastAsia" w:ascii="宋体" w:hAnsi="宋体" w:eastAsia="宋体" w:cs="宋体"/>
          <w:b/>
          <w:bCs/>
          <w:color w:val="auto"/>
          <w:szCs w:val="21"/>
          <w:highlight w:val="none"/>
        </w:rPr>
        <w:t>：</w:t>
      </w:r>
    </w:p>
    <w:tbl>
      <w:tblPr>
        <w:tblStyle w:val="11"/>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7"/>
        <w:gridCol w:w="555"/>
        <w:gridCol w:w="2157"/>
        <w:gridCol w:w="1131"/>
        <w:gridCol w:w="4563"/>
      </w:tblGrid>
      <w:tr w14:paraId="1B19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1157" w:type="dxa"/>
            <w:vAlign w:val="center"/>
          </w:tcPr>
          <w:p w14:paraId="3F929823">
            <w:pPr>
              <w:tabs>
                <w:tab w:val="left" w:pos="45"/>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组别</w:t>
            </w:r>
          </w:p>
        </w:tc>
        <w:tc>
          <w:tcPr>
            <w:tcW w:w="555" w:type="dxa"/>
            <w:vAlign w:val="center"/>
          </w:tcPr>
          <w:p w14:paraId="3FC5F8B6">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157" w:type="dxa"/>
            <w:vAlign w:val="center"/>
          </w:tcPr>
          <w:p w14:paraId="70D820FB">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岗位</w:t>
            </w:r>
          </w:p>
        </w:tc>
        <w:tc>
          <w:tcPr>
            <w:tcW w:w="1131" w:type="dxa"/>
            <w:vAlign w:val="center"/>
          </w:tcPr>
          <w:p w14:paraId="7403660E">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提供证书人数（人）</w:t>
            </w:r>
          </w:p>
        </w:tc>
        <w:tc>
          <w:tcPr>
            <w:tcW w:w="4563" w:type="dxa"/>
            <w:vAlign w:val="center"/>
          </w:tcPr>
          <w:p w14:paraId="65136BB1">
            <w:pPr>
              <w:tabs>
                <w:tab w:val="left" w:pos="616"/>
              </w:tabs>
              <w:spacing w:line="360" w:lineRule="auto"/>
              <w:ind w:firstLine="4" w:firstLineChars="2"/>
              <w:jc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具有的资格要求</w:t>
            </w:r>
          </w:p>
        </w:tc>
      </w:tr>
      <w:tr w14:paraId="2CB4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157" w:type="dxa"/>
            <w:vAlign w:val="center"/>
          </w:tcPr>
          <w:p w14:paraId="180D9F18">
            <w:pPr>
              <w:tabs>
                <w:tab w:val="left" w:pos="45"/>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总承包管理组人员</w:t>
            </w:r>
          </w:p>
        </w:tc>
        <w:tc>
          <w:tcPr>
            <w:tcW w:w="555" w:type="dxa"/>
            <w:vAlign w:val="center"/>
          </w:tcPr>
          <w:p w14:paraId="0FECC77A">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57" w:type="dxa"/>
            <w:vAlign w:val="center"/>
          </w:tcPr>
          <w:p w14:paraId="28A6789F">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szCs w:val="21"/>
                <w:highlight w:val="none"/>
              </w:rPr>
              <w:t>工程总承包项目负责人</w:t>
            </w:r>
          </w:p>
        </w:tc>
        <w:tc>
          <w:tcPr>
            <w:tcW w:w="1131" w:type="dxa"/>
            <w:vAlign w:val="center"/>
          </w:tcPr>
          <w:p w14:paraId="54E7E607">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4FC02C20">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具备注册电气工程师或电气类高级工程师及以上职称</w:t>
            </w:r>
            <w:r>
              <w:rPr>
                <w:rFonts w:hint="eastAsia" w:ascii="宋体" w:hAnsi="Times New Roman" w:eastAsia="宋体" w:cs="Times New Roman"/>
                <w:color w:val="auto"/>
                <w:szCs w:val="21"/>
                <w:highlight w:val="none"/>
              </w:rPr>
              <w:t>或者具备机</w:t>
            </w:r>
            <w:r>
              <w:rPr>
                <w:rFonts w:hint="eastAsia" w:ascii="宋体" w:hAnsi="Times New Roman" w:eastAsia="宋体" w:cs="Times New Roman"/>
                <w:color w:val="auto"/>
                <w:szCs w:val="21"/>
                <w:highlight w:val="yellow"/>
              </w:rPr>
              <w:t>电工程专业</w:t>
            </w:r>
            <w:r>
              <w:rPr>
                <w:rFonts w:hint="eastAsia" w:ascii="宋体" w:hAnsi="Times New Roman" w:cs="Times New Roman"/>
                <w:color w:val="auto"/>
                <w:szCs w:val="21"/>
                <w:highlight w:val="yellow"/>
                <w:lang w:eastAsia="zh-CN"/>
              </w:rPr>
              <w:t>一</w:t>
            </w:r>
            <w:r>
              <w:rPr>
                <w:rFonts w:hint="eastAsia" w:ascii="宋体" w:hAnsi="Times New Roman" w:eastAsia="宋体" w:cs="Times New Roman"/>
                <w:color w:val="auto"/>
                <w:szCs w:val="21"/>
                <w:highlight w:val="yellow"/>
              </w:rPr>
              <w:t>级注</w:t>
            </w:r>
            <w:r>
              <w:rPr>
                <w:rFonts w:hint="eastAsia" w:ascii="宋体" w:hAnsi="Times New Roman" w:eastAsia="宋体" w:cs="Times New Roman"/>
                <w:color w:val="auto"/>
                <w:szCs w:val="21"/>
                <w:highlight w:val="none"/>
              </w:rPr>
              <w:t>册建造师资格</w:t>
            </w:r>
          </w:p>
        </w:tc>
      </w:tr>
      <w:tr w14:paraId="5A4F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7" w:type="dxa"/>
            <w:vMerge w:val="restart"/>
            <w:vAlign w:val="center"/>
          </w:tcPr>
          <w:p w14:paraId="545B8440">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设计组</w:t>
            </w:r>
          </w:p>
          <w:p w14:paraId="75354418">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人员</w:t>
            </w:r>
          </w:p>
        </w:tc>
        <w:tc>
          <w:tcPr>
            <w:tcW w:w="555" w:type="dxa"/>
            <w:vAlign w:val="center"/>
          </w:tcPr>
          <w:p w14:paraId="1AD5BBAC">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57" w:type="dxa"/>
            <w:vAlign w:val="center"/>
          </w:tcPr>
          <w:p w14:paraId="4777EC62">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Times New Roman"/>
                <w:b/>
                <w:bCs/>
                <w:color w:val="auto"/>
                <w:szCs w:val="21"/>
                <w:highlight w:val="none"/>
                <w:lang w:val="zh-CN"/>
              </w:rPr>
              <w:t>★</w:t>
            </w:r>
            <w:r>
              <w:rPr>
                <w:rFonts w:hint="eastAsia" w:ascii="宋体" w:hAnsi="宋体" w:eastAsia="宋体" w:cs="宋体"/>
                <w:color w:val="auto"/>
                <w:szCs w:val="21"/>
                <w:highlight w:val="none"/>
              </w:rPr>
              <w:t>设计负责人</w:t>
            </w:r>
          </w:p>
        </w:tc>
        <w:tc>
          <w:tcPr>
            <w:tcW w:w="1131" w:type="dxa"/>
            <w:vAlign w:val="center"/>
          </w:tcPr>
          <w:p w14:paraId="75880439">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24EEE2CF">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注册电气工程师或电气类高级工程师及以上职称</w:t>
            </w:r>
          </w:p>
        </w:tc>
      </w:tr>
      <w:tr w14:paraId="312E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1157" w:type="dxa"/>
            <w:vMerge w:val="continue"/>
            <w:vAlign w:val="center"/>
          </w:tcPr>
          <w:p w14:paraId="585CCD04">
            <w:pPr>
              <w:widowControl/>
              <w:spacing w:line="360" w:lineRule="auto"/>
              <w:jc w:val="left"/>
              <w:rPr>
                <w:rFonts w:ascii="宋体" w:hAnsi="宋体" w:eastAsia="宋体" w:cs="宋体"/>
                <w:color w:val="auto"/>
                <w:szCs w:val="21"/>
                <w:highlight w:val="none"/>
              </w:rPr>
            </w:pPr>
          </w:p>
        </w:tc>
        <w:tc>
          <w:tcPr>
            <w:tcW w:w="555" w:type="dxa"/>
            <w:vAlign w:val="center"/>
          </w:tcPr>
          <w:p w14:paraId="4BFB1A39">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57" w:type="dxa"/>
            <w:vAlign w:val="center"/>
          </w:tcPr>
          <w:p w14:paraId="122E5B13">
            <w:pPr>
              <w:tabs>
                <w:tab w:val="left" w:pos="616"/>
              </w:tabs>
              <w:spacing w:line="360" w:lineRule="auto"/>
              <w:jc w:val="center"/>
              <w:rPr>
                <w:rFonts w:ascii="宋体" w:hAnsi="宋体" w:eastAsia="宋体" w:cs="宋体"/>
                <w:color w:val="auto"/>
                <w:kern w:val="0"/>
                <w:szCs w:val="21"/>
                <w:highlight w:val="none"/>
                <w:lang w:val="zh-CN"/>
              </w:rPr>
            </w:pPr>
            <w:r>
              <w:rPr>
                <w:rFonts w:hint="eastAsia" w:ascii="宋体" w:hAnsi="宋体" w:eastAsia="宋体" w:cs="宋体"/>
                <w:color w:val="auto"/>
                <w:szCs w:val="21"/>
                <w:highlight w:val="none"/>
              </w:rPr>
              <w:t>电气专业设计人员</w:t>
            </w:r>
          </w:p>
        </w:tc>
        <w:tc>
          <w:tcPr>
            <w:tcW w:w="1131" w:type="dxa"/>
            <w:vAlign w:val="center"/>
          </w:tcPr>
          <w:p w14:paraId="749061C1">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7D4623D9">
            <w:pPr>
              <w:tabs>
                <w:tab w:val="left" w:pos="616"/>
              </w:tabs>
              <w:spacing w:line="360" w:lineRule="auto"/>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rPr>
              <w:t>注册电气工程师或相应专业工程师及以上职称</w:t>
            </w:r>
          </w:p>
        </w:tc>
      </w:tr>
      <w:tr w14:paraId="4213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jc w:val="center"/>
        </w:trPr>
        <w:tc>
          <w:tcPr>
            <w:tcW w:w="1157" w:type="dxa"/>
            <w:vMerge w:val="restart"/>
            <w:vAlign w:val="center"/>
          </w:tcPr>
          <w:p w14:paraId="210961B2">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施工组人员</w:t>
            </w:r>
          </w:p>
        </w:tc>
        <w:tc>
          <w:tcPr>
            <w:tcW w:w="555" w:type="dxa"/>
            <w:vAlign w:val="center"/>
          </w:tcPr>
          <w:p w14:paraId="3AADC77C">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57" w:type="dxa"/>
            <w:vAlign w:val="center"/>
          </w:tcPr>
          <w:p w14:paraId="172BBCA9">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Times New Roman"/>
                <w:b/>
                <w:bCs/>
                <w:color w:val="auto"/>
                <w:szCs w:val="21"/>
                <w:highlight w:val="none"/>
                <w:lang w:val="zh-CN"/>
              </w:rPr>
              <w:t>★</w:t>
            </w:r>
            <w:r>
              <w:rPr>
                <w:rFonts w:hint="eastAsia" w:ascii="宋体" w:hAnsi="宋体" w:eastAsia="宋体" w:cs="宋体"/>
                <w:color w:val="auto"/>
                <w:szCs w:val="21"/>
                <w:highlight w:val="none"/>
              </w:rPr>
              <w:t>施工负责人</w:t>
            </w:r>
          </w:p>
        </w:tc>
        <w:tc>
          <w:tcPr>
            <w:tcW w:w="1131" w:type="dxa"/>
            <w:vAlign w:val="center"/>
          </w:tcPr>
          <w:p w14:paraId="03522EF7">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407F2709">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机电工程专业</w:t>
            </w:r>
            <w:r>
              <w:rPr>
                <w:rFonts w:hint="eastAsia" w:ascii="宋体" w:hAnsi="宋体" w:cs="宋体"/>
                <w:color w:val="auto"/>
                <w:szCs w:val="21"/>
                <w:highlight w:val="none"/>
                <w:lang w:val="en-US" w:eastAsia="zh-CN"/>
              </w:rPr>
              <w:t>一</w:t>
            </w:r>
            <w:r>
              <w:rPr>
                <w:rFonts w:hint="eastAsia" w:ascii="宋体" w:hAnsi="宋体" w:eastAsia="宋体" w:cs="宋体"/>
                <w:color w:val="auto"/>
                <w:szCs w:val="21"/>
                <w:highlight w:val="none"/>
              </w:rPr>
              <w:t>级注册建造师、安全生产考核合格证（B证）</w:t>
            </w:r>
          </w:p>
        </w:tc>
      </w:tr>
      <w:tr w14:paraId="06D8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7" w:type="dxa"/>
            <w:vMerge w:val="continue"/>
            <w:vAlign w:val="center"/>
          </w:tcPr>
          <w:p w14:paraId="5BEC84CB">
            <w:pPr>
              <w:widowControl/>
              <w:spacing w:line="360" w:lineRule="auto"/>
              <w:jc w:val="left"/>
              <w:rPr>
                <w:rFonts w:ascii="宋体" w:hAnsi="宋体" w:eastAsia="宋体" w:cs="宋体"/>
                <w:color w:val="auto"/>
                <w:szCs w:val="21"/>
                <w:highlight w:val="none"/>
              </w:rPr>
            </w:pPr>
          </w:p>
        </w:tc>
        <w:tc>
          <w:tcPr>
            <w:tcW w:w="555" w:type="dxa"/>
            <w:vAlign w:val="center"/>
          </w:tcPr>
          <w:p w14:paraId="419056CF">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57" w:type="dxa"/>
            <w:vAlign w:val="center"/>
          </w:tcPr>
          <w:p w14:paraId="5250046A">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施工技术负责人</w:t>
            </w:r>
          </w:p>
        </w:tc>
        <w:tc>
          <w:tcPr>
            <w:tcW w:w="1131" w:type="dxa"/>
            <w:vAlign w:val="center"/>
          </w:tcPr>
          <w:p w14:paraId="28EDE667">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7F8173BA">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工程师及以上职称</w:t>
            </w:r>
          </w:p>
        </w:tc>
      </w:tr>
      <w:tr w14:paraId="10B7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157" w:type="dxa"/>
            <w:vMerge w:val="continue"/>
            <w:vAlign w:val="center"/>
          </w:tcPr>
          <w:p w14:paraId="2B123790">
            <w:pPr>
              <w:widowControl/>
              <w:spacing w:line="360" w:lineRule="auto"/>
              <w:jc w:val="left"/>
              <w:rPr>
                <w:rFonts w:ascii="宋体" w:hAnsi="宋体" w:eastAsia="宋体" w:cs="宋体"/>
                <w:color w:val="auto"/>
                <w:szCs w:val="21"/>
                <w:highlight w:val="none"/>
              </w:rPr>
            </w:pPr>
          </w:p>
        </w:tc>
        <w:tc>
          <w:tcPr>
            <w:tcW w:w="555" w:type="dxa"/>
            <w:vAlign w:val="center"/>
          </w:tcPr>
          <w:p w14:paraId="0D20D7F2">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57" w:type="dxa"/>
            <w:vAlign w:val="center"/>
          </w:tcPr>
          <w:p w14:paraId="0C9EBB77">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采购负责人</w:t>
            </w:r>
          </w:p>
        </w:tc>
        <w:tc>
          <w:tcPr>
            <w:tcW w:w="1131" w:type="dxa"/>
            <w:vAlign w:val="center"/>
          </w:tcPr>
          <w:p w14:paraId="4D6E2E82">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412D5771">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工程师及以上职称</w:t>
            </w:r>
          </w:p>
        </w:tc>
      </w:tr>
      <w:tr w14:paraId="2ABE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157" w:type="dxa"/>
            <w:vMerge w:val="continue"/>
            <w:vAlign w:val="center"/>
          </w:tcPr>
          <w:p w14:paraId="5FB653CD">
            <w:pPr>
              <w:widowControl/>
              <w:spacing w:line="360" w:lineRule="auto"/>
              <w:jc w:val="left"/>
              <w:rPr>
                <w:rFonts w:ascii="宋体" w:hAnsi="宋体" w:eastAsia="宋体" w:cs="宋体"/>
                <w:color w:val="auto"/>
                <w:szCs w:val="21"/>
                <w:highlight w:val="none"/>
              </w:rPr>
            </w:pPr>
          </w:p>
        </w:tc>
        <w:tc>
          <w:tcPr>
            <w:tcW w:w="555" w:type="dxa"/>
            <w:vAlign w:val="center"/>
          </w:tcPr>
          <w:p w14:paraId="2EB23796">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57" w:type="dxa"/>
            <w:vAlign w:val="center"/>
          </w:tcPr>
          <w:p w14:paraId="5400CB4A">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施工员</w:t>
            </w:r>
          </w:p>
        </w:tc>
        <w:tc>
          <w:tcPr>
            <w:tcW w:w="1131" w:type="dxa"/>
            <w:vAlign w:val="center"/>
          </w:tcPr>
          <w:p w14:paraId="1857CB64">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795BF87D">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相关职业资格证书</w:t>
            </w:r>
          </w:p>
        </w:tc>
      </w:tr>
      <w:tr w14:paraId="30B0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1157" w:type="dxa"/>
            <w:vMerge w:val="continue"/>
            <w:vAlign w:val="center"/>
          </w:tcPr>
          <w:p w14:paraId="27A21B48">
            <w:pPr>
              <w:widowControl/>
              <w:spacing w:line="360" w:lineRule="auto"/>
              <w:jc w:val="left"/>
              <w:rPr>
                <w:rFonts w:ascii="宋体" w:hAnsi="宋体" w:eastAsia="宋体" w:cs="宋体"/>
                <w:color w:val="auto"/>
                <w:szCs w:val="21"/>
                <w:highlight w:val="none"/>
              </w:rPr>
            </w:pPr>
          </w:p>
        </w:tc>
        <w:tc>
          <w:tcPr>
            <w:tcW w:w="555" w:type="dxa"/>
            <w:vAlign w:val="center"/>
          </w:tcPr>
          <w:p w14:paraId="07EA8E70">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57" w:type="dxa"/>
            <w:vAlign w:val="center"/>
          </w:tcPr>
          <w:p w14:paraId="0EC8556B">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安全员</w:t>
            </w:r>
          </w:p>
        </w:tc>
        <w:tc>
          <w:tcPr>
            <w:tcW w:w="1131" w:type="dxa"/>
            <w:vAlign w:val="center"/>
          </w:tcPr>
          <w:p w14:paraId="4246F538">
            <w:pPr>
              <w:tabs>
                <w:tab w:val="left" w:pos="616"/>
              </w:tabs>
              <w:spacing w:line="360" w:lineRule="auto"/>
              <w:jc w:val="center"/>
              <w:rPr>
                <w:rFonts w:ascii="宋体" w:hAnsi="宋体" w:eastAsia="宋体" w:cs="宋体"/>
                <w:color w:val="auto"/>
                <w:szCs w:val="21"/>
                <w:highlight w:val="none"/>
              </w:rPr>
            </w:pPr>
            <w:r>
              <w:rPr>
                <w:rFonts w:ascii="宋体" w:hAnsi="宋体" w:eastAsia="宋体" w:cs="宋体"/>
                <w:color w:val="auto"/>
                <w:szCs w:val="21"/>
                <w:highlight w:val="none"/>
              </w:rPr>
              <w:t>1</w:t>
            </w:r>
          </w:p>
        </w:tc>
        <w:tc>
          <w:tcPr>
            <w:tcW w:w="4563" w:type="dxa"/>
            <w:vAlign w:val="center"/>
          </w:tcPr>
          <w:p w14:paraId="6389E447">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安全生产考核合格证（C证）</w:t>
            </w:r>
          </w:p>
        </w:tc>
      </w:tr>
      <w:tr w14:paraId="28E8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jc w:val="center"/>
        </w:trPr>
        <w:tc>
          <w:tcPr>
            <w:tcW w:w="1157" w:type="dxa"/>
            <w:vMerge w:val="continue"/>
            <w:vAlign w:val="center"/>
          </w:tcPr>
          <w:p w14:paraId="4AA45B68">
            <w:pPr>
              <w:widowControl/>
              <w:spacing w:line="360" w:lineRule="auto"/>
              <w:jc w:val="left"/>
              <w:rPr>
                <w:rFonts w:ascii="宋体" w:hAnsi="宋体" w:eastAsia="宋体" w:cs="宋体"/>
                <w:color w:val="auto"/>
                <w:szCs w:val="21"/>
                <w:highlight w:val="none"/>
              </w:rPr>
            </w:pPr>
          </w:p>
        </w:tc>
        <w:tc>
          <w:tcPr>
            <w:tcW w:w="555" w:type="dxa"/>
            <w:vAlign w:val="center"/>
          </w:tcPr>
          <w:p w14:paraId="410ABBF6">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157" w:type="dxa"/>
            <w:vAlign w:val="center"/>
          </w:tcPr>
          <w:p w14:paraId="547C9350">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质量员</w:t>
            </w:r>
          </w:p>
        </w:tc>
        <w:tc>
          <w:tcPr>
            <w:tcW w:w="1131" w:type="dxa"/>
            <w:vAlign w:val="center"/>
          </w:tcPr>
          <w:p w14:paraId="4CEFA908">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708564FC">
            <w:pPr>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相关职业资格证书</w:t>
            </w:r>
          </w:p>
        </w:tc>
      </w:tr>
      <w:tr w14:paraId="3EFF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 w:hRule="atLeast"/>
          <w:jc w:val="center"/>
        </w:trPr>
        <w:tc>
          <w:tcPr>
            <w:tcW w:w="1157" w:type="dxa"/>
            <w:vMerge w:val="continue"/>
            <w:vAlign w:val="center"/>
          </w:tcPr>
          <w:p w14:paraId="7EEE2748">
            <w:pPr>
              <w:widowControl/>
              <w:spacing w:line="360" w:lineRule="auto"/>
              <w:jc w:val="left"/>
              <w:rPr>
                <w:rFonts w:ascii="宋体" w:hAnsi="宋体" w:eastAsia="宋体" w:cs="宋体"/>
                <w:color w:val="auto"/>
                <w:szCs w:val="21"/>
                <w:highlight w:val="none"/>
              </w:rPr>
            </w:pPr>
          </w:p>
        </w:tc>
        <w:tc>
          <w:tcPr>
            <w:tcW w:w="555" w:type="dxa"/>
            <w:vAlign w:val="center"/>
          </w:tcPr>
          <w:p w14:paraId="2A7197F6">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157" w:type="dxa"/>
            <w:vAlign w:val="center"/>
          </w:tcPr>
          <w:p w14:paraId="387D1D1B">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资料员</w:t>
            </w:r>
          </w:p>
        </w:tc>
        <w:tc>
          <w:tcPr>
            <w:tcW w:w="1131" w:type="dxa"/>
            <w:vAlign w:val="center"/>
          </w:tcPr>
          <w:p w14:paraId="1ACF4616">
            <w:pPr>
              <w:tabs>
                <w:tab w:val="left" w:pos="616"/>
              </w:tabs>
              <w:spacing w:line="360" w:lineRule="auto"/>
              <w:ind w:firstLine="4" w:firstLineChars="2"/>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2379CEDF">
            <w:pPr>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相关职业资格证书</w:t>
            </w:r>
          </w:p>
        </w:tc>
      </w:tr>
      <w:tr w14:paraId="1065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7" w:type="dxa"/>
            <w:vMerge w:val="continue"/>
            <w:vAlign w:val="center"/>
          </w:tcPr>
          <w:p w14:paraId="22A7E111">
            <w:pPr>
              <w:widowControl/>
              <w:spacing w:line="360" w:lineRule="auto"/>
              <w:jc w:val="left"/>
              <w:rPr>
                <w:rFonts w:ascii="宋体" w:hAnsi="宋体" w:eastAsia="宋体" w:cs="宋体"/>
                <w:color w:val="auto"/>
                <w:szCs w:val="21"/>
                <w:highlight w:val="none"/>
              </w:rPr>
            </w:pPr>
          </w:p>
        </w:tc>
        <w:tc>
          <w:tcPr>
            <w:tcW w:w="555" w:type="dxa"/>
            <w:vAlign w:val="center"/>
          </w:tcPr>
          <w:p w14:paraId="535367F4">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157" w:type="dxa"/>
            <w:vAlign w:val="center"/>
          </w:tcPr>
          <w:p w14:paraId="1938CE64">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造价员</w:t>
            </w:r>
          </w:p>
        </w:tc>
        <w:tc>
          <w:tcPr>
            <w:tcW w:w="1131" w:type="dxa"/>
            <w:vAlign w:val="center"/>
          </w:tcPr>
          <w:p w14:paraId="31796D5A">
            <w:pPr>
              <w:tabs>
                <w:tab w:val="left" w:pos="616"/>
              </w:tabs>
              <w:spacing w:line="360" w:lineRule="auto"/>
              <w:ind w:firstLine="4" w:firstLineChars="2"/>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3B6B6AC4">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二级造价工程师或以上资格证书</w:t>
            </w:r>
          </w:p>
        </w:tc>
      </w:tr>
      <w:tr w14:paraId="326D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157" w:type="dxa"/>
            <w:vMerge w:val="continue"/>
            <w:vAlign w:val="center"/>
          </w:tcPr>
          <w:p w14:paraId="3C5C2796">
            <w:pPr>
              <w:widowControl/>
              <w:spacing w:line="360" w:lineRule="auto"/>
              <w:jc w:val="left"/>
              <w:rPr>
                <w:rFonts w:ascii="宋体" w:hAnsi="宋体" w:eastAsia="宋体" w:cs="宋体"/>
                <w:color w:val="auto"/>
                <w:szCs w:val="21"/>
                <w:highlight w:val="none"/>
              </w:rPr>
            </w:pPr>
          </w:p>
        </w:tc>
        <w:tc>
          <w:tcPr>
            <w:tcW w:w="555" w:type="dxa"/>
            <w:vAlign w:val="center"/>
          </w:tcPr>
          <w:p w14:paraId="70324494">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157" w:type="dxa"/>
            <w:vAlign w:val="center"/>
          </w:tcPr>
          <w:p w14:paraId="3955630A">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材料员</w:t>
            </w:r>
          </w:p>
        </w:tc>
        <w:tc>
          <w:tcPr>
            <w:tcW w:w="1131" w:type="dxa"/>
            <w:vAlign w:val="center"/>
          </w:tcPr>
          <w:p w14:paraId="50B579AC">
            <w:pPr>
              <w:tabs>
                <w:tab w:val="left" w:pos="616"/>
              </w:tabs>
              <w:spacing w:line="360" w:lineRule="auto"/>
              <w:ind w:firstLine="4" w:firstLineChars="2"/>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63" w:type="dxa"/>
            <w:vAlign w:val="center"/>
          </w:tcPr>
          <w:p w14:paraId="4FA5434A">
            <w:pPr>
              <w:tabs>
                <w:tab w:val="left" w:pos="616"/>
              </w:tabs>
              <w:spacing w:line="360" w:lineRule="auto"/>
              <w:ind w:left="8" w:leftChars="-11" w:hanging="31" w:hangingChars="15"/>
              <w:jc w:val="center"/>
              <w:rPr>
                <w:rFonts w:ascii="宋体" w:hAnsi="宋体" w:eastAsia="宋体" w:cs="宋体"/>
                <w:color w:val="auto"/>
                <w:szCs w:val="21"/>
                <w:highlight w:val="none"/>
              </w:rPr>
            </w:pPr>
            <w:r>
              <w:rPr>
                <w:rFonts w:hint="eastAsia" w:ascii="宋体" w:hAnsi="宋体" w:eastAsia="宋体" w:cs="宋体"/>
                <w:color w:val="auto"/>
                <w:szCs w:val="21"/>
                <w:highlight w:val="none"/>
              </w:rPr>
              <w:t>相关职业资格证书</w:t>
            </w:r>
          </w:p>
        </w:tc>
      </w:tr>
      <w:tr w14:paraId="0086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157" w:type="dxa"/>
            <w:vAlign w:val="center"/>
          </w:tcPr>
          <w:p w14:paraId="1279CE3B">
            <w:pPr>
              <w:tabs>
                <w:tab w:val="left" w:pos="616"/>
              </w:tabs>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8406" w:type="dxa"/>
            <w:gridSpan w:val="4"/>
            <w:vAlign w:val="center"/>
          </w:tcPr>
          <w:p w14:paraId="3077689F">
            <w:pPr>
              <w:spacing w:line="360" w:lineRule="auto"/>
              <w:ind w:firstLine="211" w:firstLineChars="1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1、如采用联合体投标的，工程总承包项目负责人的</w:t>
            </w:r>
            <w:r>
              <w:rPr>
                <w:rFonts w:hint="eastAsia" w:ascii="宋体" w:hAnsi="宋体" w:eastAsia="宋体" w:cs="宋体"/>
                <w:b/>
                <w:bCs/>
                <w:color w:val="auto"/>
                <w:szCs w:val="21"/>
                <w:highlight w:val="none"/>
                <w:lang w:val="zh-CN"/>
              </w:rPr>
              <w:t>养老保险</w:t>
            </w:r>
            <w:r>
              <w:rPr>
                <w:rFonts w:hint="eastAsia" w:ascii="宋体" w:hAnsi="宋体" w:eastAsia="宋体" w:cs="宋体"/>
                <w:b/>
                <w:bCs/>
                <w:color w:val="auto"/>
                <w:szCs w:val="21"/>
                <w:highlight w:val="none"/>
              </w:rPr>
              <w:t>必须在联合体牵头人单位交纳，</w:t>
            </w:r>
            <w:r>
              <w:rPr>
                <w:rFonts w:hint="eastAsia" w:ascii="宋体" w:hAnsi="Times New Roman" w:eastAsia="宋体" w:cs="Times New Roman"/>
                <w:b/>
                <w:color w:val="auto"/>
                <w:szCs w:val="21"/>
                <w:highlight w:val="none"/>
              </w:rPr>
              <w:t>设计负责人</w:t>
            </w:r>
            <w:r>
              <w:rPr>
                <w:rFonts w:hint="eastAsia" w:ascii="宋体" w:hAnsi="Times New Roman" w:eastAsia="宋体" w:cs="Times New Roman"/>
                <w:b/>
                <w:color w:val="auto"/>
                <w:szCs w:val="21"/>
                <w:highlight w:val="none"/>
                <w:lang w:val="zh-CN"/>
              </w:rPr>
              <w:t>社保必须在承担设计工作的联合体成员单位交纳，</w:t>
            </w:r>
            <w:r>
              <w:rPr>
                <w:rFonts w:hint="eastAsia" w:ascii="宋体" w:hAnsi="Times New Roman" w:eastAsia="宋体" w:cs="Times New Roman"/>
                <w:b/>
                <w:color w:val="auto"/>
                <w:szCs w:val="21"/>
                <w:highlight w:val="none"/>
              </w:rPr>
              <w:t>施工负责人必须注册在承担施工工作的单位。</w:t>
            </w:r>
            <w:r>
              <w:rPr>
                <w:rFonts w:hint="eastAsia" w:ascii="宋体" w:hAnsi="宋体" w:eastAsia="宋体" w:cs="宋体"/>
                <w:b/>
                <w:bCs/>
                <w:color w:val="auto"/>
                <w:kern w:val="2"/>
                <w:szCs w:val="24"/>
                <w:highlight w:val="none"/>
                <w:lang w:val="zh-CN"/>
              </w:rPr>
              <w:t>不得出现退休返聘人员。</w:t>
            </w:r>
          </w:p>
          <w:p w14:paraId="4788BC23">
            <w:pPr>
              <w:keepNext w:val="0"/>
              <w:keepLines w:val="0"/>
              <w:pageBreakBefore w:val="0"/>
              <w:widowControl w:val="0"/>
              <w:numPr>
                <w:ilvl w:val="0"/>
                <w:numId w:val="0"/>
              </w:numPr>
              <w:suppressLineNumbers w:val="0"/>
              <w:shd w:val="clear" w:color="auto" w:fill="auto"/>
              <w:kinsoku/>
              <w:wordWrap w:val="0"/>
              <w:overflowPunct/>
              <w:topLinePunct w:val="0"/>
              <w:autoSpaceDE w:val="0"/>
              <w:autoSpaceDN w:val="0"/>
              <w:bidi w:val="0"/>
              <w:adjustRightInd w:val="0"/>
              <w:snapToGrid w:val="0"/>
              <w:spacing w:before="0" w:beforeAutospacing="0" w:after="0" w:afterAutospacing="0" w:line="360" w:lineRule="auto"/>
              <w:ind w:right="0" w:rightChars="0" w:firstLine="211" w:firstLineChars="100"/>
              <w:textAlignment w:val="auto"/>
              <w:rPr>
                <w:rFonts w:hint="eastAsia" w:ascii="宋体" w:hAnsi="宋体" w:eastAsia="宋体" w:cs="宋体"/>
                <w:color w:val="auto"/>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highlight w:val="none"/>
                <w:lang w:val="zh-CN"/>
              </w:rPr>
              <w:t>拟派项目负责人可</w:t>
            </w:r>
            <w:r>
              <w:rPr>
                <w:rFonts w:hint="eastAsia" w:ascii="宋体" w:hAnsi="宋体" w:eastAsia="宋体" w:cs="宋体"/>
                <w:b/>
                <w:bCs/>
                <w:color w:val="auto"/>
                <w:highlight w:val="none"/>
              </w:rPr>
              <w:t>兼任</w:t>
            </w:r>
            <w:r>
              <w:rPr>
                <w:rFonts w:hint="eastAsia" w:ascii="宋体" w:hAnsi="宋体" w:eastAsia="宋体" w:cs="宋体"/>
                <w:b/>
                <w:bCs/>
                <w:color w:val="auto"/>
                <w:highlight w:val="none"/>
                <w:lang w:val="zh-CN"/>
              </w:rPr>
              <w:t>本项目施工负责人，其余人员不得兼任。</w:t>
            </w:r>
            <w:r>
              <w:rPr>
                <w:rFonts w:hint="eastAsia" w:ascii="宋体" w:hAnsi="宋体" w:eastAsia="宋体" w:cs="宋体"/>
                <w:color w:val="auto"/>
                <w:highlight w:val="none"/>
                <w:lang w:val="zh-CN"/>
              </w:rPr>
              <w:t>所有人员须为投标人在职职工，服务期同合同工期，</w:t>
            </w:r>
            <w:r>
              <w:rPr>
                <w:rFonts w:hint="eastAsia" w:ascii="宋体" w:hAnsi="宋体" w:eastAsia="宋体" w:cs="宋体"/>
                <w:color w:val="auto"/>
                <w:highlight w:val="none"/>
              </w:rPr>
              <w:t>建造师证书需提供带二维码的中华人民共和国注册证书，注册证书需在有效期内，截至投标截止日已年满65周岁的不得参加投标【一级建造师电子注册证书须符合建办市（2021）40号文件的要求】。</w:t>
            </w:r>
          </w:p>
          <w:p w14:paraId="04ED38C5">
            <w:pPr>
              <w:tabs>
                <w:tab w:val="left" w:pos="616"/>
              </w:tabs>
              <w:autoSpaceDE w:val="0"/>
              <w:autoSpaceDN w:val="0"/>
              <w:adjustRightInd w:val="0"/>
              <w:spacing w:line="360" w:lineRule="auto"/>
              <w:ind w:firstLine="211" w:firstLineChars="100"/>
              <w:jc w:val="lef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zh-CN"/>
              </w:rPr>
              <w:t>以上标注★</w:t>
            </w:r>
            <w:r>
              <w:rPr>
                <w:rFonts w:hint="eastAsia" w:ascii="宋体" w:hAnsi="宋体" w:eastAsia="宋体" w:cs="宋体"/>
                <w:b/>
                <w:bCs/>
                <w:color w:val="auto"/>
                <w:szCs w:val="21"/>
                <w:highlight w:val="none"/>
              </w:rPr>
              <w:t>号</w:t>
            </w:r>
            <w:r>
              <w:rPr>
                <w:rFonts w:hint="eastAsia" w:ascii="宋体" w:hAnsi="宋体" w:eastAsia="宋体" w:cs="宋体"/>
                <w:b/>
                <w:bCs/>
                <w:color w:val="auto"/>
                <w:szCs w:val="21"/>
                <w:highlight w:val="none"/>
                <w:lang w:val="zh-CN"/>
              </w:rPr>
              <w:t>位置的人员需按招标文件</w:t>
            </w:r>
            <w:r>
              <w:rPr>
                <w:rFonts w:hint="eastAsia" w:ascii="宋体" w:hAnsi="宋体" w:eastAsia="宋体" w:cs="宋体"/>
                <w:b/>
                <w:bCs/>
                <w:color w:val="auto"/>
                <w:szCs w:val="21"/>
                <w:highlight w:val="none"/>
              </w:rPr>
              <w:t>要求在投标时提供</w:t>
            </w:r>
            <w:r>
              <w:rPr>
                <w:rFonts w:hint="eastAsia" w:ascii="宋体" w:hAnsi="宋体" w:eastAsia="宋体" w:cs="宋体"/>
                <w:b/>
                <w:bCs/>
                <w:color w:val="auto"/>
                <w:szCs w:val="21"/>
                <w:highlight w:val="none"/>
                <w:lang w:val="zh-CN"/>
              </w:rPr>
              <w:t>202</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lang w:val="zh-CN"/>
              </w:rPr>
              <w:t>年</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lang w:val="zh-CN"/>
              </w:rPr>
              <w:t>月至投标截止时间止任意连续三个月投标人所属社保机构养老保险交纳证明（</w:t>
            </w:r>
            <w:r>
              <w:rPr>
                <w:rFonts w:hint="eastAsia" w:ascii="宋体" w:hAnsi="宋体" w:eastAsia="宋体" w:cs="宋体"/>
                <w:b/>
                <w:bCs/>
                <w:color w:val="auto"/>
                <w:szCs w:val="21"/>
                <w:highlight w:val="none"/>
              </w:rPr>
              <w:t>加盖投标人所属社保机构印章</w:t>
            </w:r>
            <w:r>
              <w:rPr>
                <w:rFonts w:hint="eastAsia" w:ascii="宋体" w:hAnsi="宋体" w:eastAsia="宋体" w:cs="宋体"/>
                <w:b/>
                <w:bCs/>
                <w:color w:val="auto"/>
                <w:szCs w:val="21"/>
                <w:highlight w:val="none"/>
                <w:lang w:val="zh-CN"/>
              </w:rPr>
              <w:t>）。</w:t>
            </w:r>
          </w:p>
          <w:p w14:paraId="1D4AA756">
            <w:pPr>
              <w:autoSpaceDE w:val="0"/>
              <w:autoSpaceDN w:val="0"/>
              <w:adjustRightInd w:val="0"/>
              <w:spacing w:line="360" w:lineRule="auto"/>
              <w:ind w:firstLine="207" w:firstLineChars="98"/>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rPr>
              <w:t>4、无</w:t>
            </w:r>
            <w:r>
              <w:rPr>
                <w:rFonts w:hint="eastAsia" w:ascii="宋体" w:hAnsi="宋体" w:eastAsia="宋体" w:cs="宋体"/>
                <w:b/>
                <w:bCs/>
                <w:color w:val="auto"/>
                <w:kern w:val="0"/>
                <w:szCs w:val="21"/>
                <w:highlight w:val="none"/>
                <w:lang w:val="zh-CN"/>
              </w:rPr>
              <w:t>★</w:t>
            </w:r>
            <w:r>
              <w:rPr>
                <w:rFonts w:hint="eastAsia" w:ascii="宋体" w:hAnsi="宋体" w:eastAsia="宋体" w:cs="宋体"/>
                <w:b/>
                <w:bCs/>
                <w:color w:val="auto"/>
                <w:kern w:val="0"/>
                <w:szCs w:val="21"/>
                <w:highlight w:val="none"/>
              </w:rPr>
              <w:t>号标注的其他人员可在签订合同时按招标文件要求填报，在经招标人审批后作为派驻项目班子成员</w:t>
            </w:r>
            <w:r>
              <w:rPr>
                <w:rFonts w:hint="eastAsia" w:ascii="宋体" w:hAnsi="宋体" w:eastAsia="宋体" w:cs="宋体"/>
                <w:b/>
                <w:bCs/>
                <w:color w:val="auto"/>
                <w:kern w:val="0"/>
                <w:szCs w:val="21"/>
                <w:highlight w:val="none"/>
                <w:lang w:val="zh-CN"/>
              </w:rPr>
              <w:t>。</w:t>
            </w:r>
          </w:p>
          <w:p w14:paraId="6F7D609B">
            <w:pPr>
              <w:autoSpaceDE w:val="0"/>
              <w:autoSpaceDN w:val="0"/>
              <w:adjustRightInd w:val="0"/>
              <w:spacing w:line="360" w:lineRule="auto"/>
              <w:ind w:firstLine="211" w:firstLineChars="100"/>
              <w:rPr>
                <w:rFonts w:ascii="宋体" w:hAnsi="宋体" w:eastAsia="宋体" w:cs="宋体"/>
                <w:b/>
                <w:bCs/>
                <w:color w:val="auto"/>
                <w:kern w:val="0"/>
                <w:szCs w:val="21"/>
                <w:highlight w:val="none"/>
                <w:lang w:val="zh-CN"/>
              </w:rPr>
            </w:pPr>
            <w:r>
              <w:rPr>
                <w:rFonts w:hint="eastAsia" w:ascii="宋体" w:hAnsi="宋体" w:eastAsia="宋体" w:cs="宋体"/>
                <w:b/>
                <w:bCs/>
                <w:color w:val="auto"/>
                <w:kern w:val="0"/>
                <w:szCs w:val="21"/>
                <w:highlight w:val="none"/>
              </w:rPr>
              <w:t>5</w:t>
            </w:r>
            <w:r>
              <w:rPr>
                <w:rFonts w:hint="eastAsia" w:ascii="宋体" w:hAnsi="宋体" w:eastAsia="宋体" w:cs="宋体"/>
                <w:b/>
                <w:bCs/>
                <w:color w:val="auto"/>
                <w:kern w:val="0"/>
                <w:szCs w:val="21"/>
                <w:highlight w:val="none"/>
                <w:lang w:eastAsia="zh-CN"/>
              </w:rPr>
              <w:t>、</w:t>
            </w:r>
            <w:r>
              <w:rPr>
                <w:rFonts w:hint="eastAsia" w:ascii="宋体" w:hAnsi="宋体" w:eastAsia="宋体" w:cs="宋体"/>
                <w:color w:val="auto"/>
                <w:highlight w:val="none"/>
                <w:lang w:val="zh-CN"/>
              </w:rPr>
              <w:t>职称证明所提供的证明材料①或②即可：①纸质版职称证书或获得职称的文件（</w:t>
            </w:r>
            <w:r>
              <w:rPr>
                <w:rFonts w:hint="eastAsia" w:ascii="宋体" w:hAnsi="宋体" w:eastAsia="宋体" w:cs="宋体"/>
                <w:color w:val="auto"/>
                <w:highlight w:val="none"/>
              </w:rPr>
              <w:t>附</w:t>
            </w:r>
            <w:r>
              <w:rPr>
                <w:rFonts w:hint="eastAsia" w:ascii="宋体" w:hAnsi="宋体" w:eastAsia="宋体" w:cs="宋体"/>
                <w:color w:val="auto"/>
                <w:highlight w:val="none"/>
                <w:lang w:val="zh-CN"/>
              </w:rPr>
              <w:t>文件的网络查询网址）；②电子职称证书（包含网络查询二维码）。</w:t>
            </w:r>
            <w:r>
              <w:rPr>
                <w:rFonts w:hint="eastAsia" w:ascii="宋体" w:hAnsi="宋体" w:eastAsia="宋体" w:cs="宋体"/>
                <w:b/>
                <w:bCs/>
                <w:color w:val="auto"/>
                <w:kern w:val="0"/>
                <w:szCs w:val="21"/>
                <w:highlight w:val="none"/>
                <w:lang w:val="zh-CN"/>
              </w:rPr>
              <w:t>职称证书发证部门一般应为人力资源和社会保障部门，非人力资源和社会保障部门颁发的，必须提供人力资源和社会保障部门出具的授权职称评定证明原件扫描件。未提供完整或不符合要求的不予认可。</w:t>
            </w:r>
          </w:p>
          <w:p w14:paraId="2507B282">
            <w:pPr>
              <w:autoSpaceDE w:val="0"/>
              <w:autoSpaceDN w:val="0"/>
              <w:adjustRightInd w:val="0"/>
              <w:spacing w:line="360" w:lineRule="auto"/>
              <w:ind w:firstLine="211" w:firstLineChars="100"/>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本项目要求拟派施工负责人无担任在建工程的工程总承包项目经理（项目总负责人或项目负责人）或施工负责人，或施工总承包项目的项目负责人（项目经理），也不得在已中标工程或为(第一)中标候选人的工程中担任以上身份。</w:t>
            </w:r>
          </w:p>
          <w:p w14:paraId="1625EEF3">
            <w:pPr>
              <w:autoSpaceDE w:val="0"/>
              <w:autoSpaceDN w:val="0"/>
              <w:adjustRightInd w:val="0"/>
              <w:spacing w:line="360" w:lineRule="auto"/>
              <w:ind w:firstLine="422" w:firstLineChars="200"/>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在建工程的认定及变更证明：</w:t>
            </w:r>
          </w:p>
          <w:p w14:paraId="7A2309D1">
            <w:pPr>
              <w:autoSpaceDE w:val="0"/>
              <w:autoSpaceDN w:val="0"/>
              <w:adjustRightInd w:val="0"/>
              <w:spacing w:line="360" w:lineRule="auto"/>
              <w:ind w:firstLine="211" w:firstLineChars="100"/>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（一）对项目经理【工程总承包项目经理（或项目总负责人）或施工负责人或施工总承包项目的项目负责人（或项目经理），下同】“有在建工程”的认定标准：</w:t>
            </w:r>
          </w:p>
          <w:p w14:paraId="070C7D13">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①在建合同工程的时间界定：中标通知书发出之日（非招标方式承接工程的，为合同签订之日）起，至该合同工程通过竣（交）工验收或合同解除之日止。</w:t>
            </w:r>
          </w:p>
          <w:p w14:paraId="604A7F37">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②以下情形视为“有在建工程”：</w:t>
            </w:r>
          </w:p>
          <w:p w14:paraId="17892644">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a、合同协议书尚未签订的，中标通知书中载明的项目经理；</w:t>
            </w:r>
          </w:p>
          <w:p w14:paraId="46A4A6ED">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b、合同协议书已经签订，合同协议书中明确的项目经理；</w:t>
            </w:r>
          </w:p>
          <w:p w14:paraId="5B60FBCF">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c、项目经理发生更换的，投标人在投标文件中附有本条第（二）款证明材料的，以现任项目经理视为有“在建工程”；未附证明材料的，则仍然以更换前的项目经理视为有“在建工程”。</w:t>
            </w:r>
          </w:p>
          <w:p w14:paraId="6708CD34">
            <w:pPr>
              <w:autoSpaceDE w:val="0"/>
              <w:autoSpaceDN w:val="0"/>
              <w:adjustRightInd w:val="0"/>
              <w:spacing w:line="360" w:lineRule="auto"/>
              <w:ind w:firstLine="211" w:firstLineChars="100"/>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（二）在建项目的项目经理办理更换后，投标时需提供的资料：</w:t>
            </w:r>
          </w:p>
          <w:p w14:paraId="44FB5EC1">
            <w:pPr>
              <w:autoSpaceDE w:val="0"/>
              <w:autoSpaceDN w:val="0"/>
              <w:adjustRightInd w:val="0"/>
              <w:spacing w:line="360" w:lineRule="auto"/>
              <w:ind w:firstLine="207" w:firstLineChars="98"/>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①项目业主同意更换证明原件扫描件（见投标文件格式）；</w:t>
            </w:r>
          </w:p>
          <w:p w14:paraId="5B0F2CA9">
            <w:pPr>
              <w:spacing w:line="360" w:lineRule="auto"/>
              <w:ind w:firstLine="211" w:firstLineChars="100"/>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②原项目经理有建设主管部门的，应提供建设主管部门同意更换的证明或网上变更信息原件扫描件。</w:t>
            </w:r>
          </w:p>
        </w:tc>
      </w:tr>
    </w:tbl>
    <w:p w14:paraId="3ED4FD04">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2"/>
        <w:rPr>
          <w:rFonts w:ascii="宋体" w:hAnsi="宋体" w:cs="宋体"/>
          <w:bCs/>
          <w:color w:val="auto"/>
          <w:szCs w:val="21"/>
          <w:highlight w:val="none"/>
        </w:rPr>
      </w:pPr>
      <w:r>
        <w:rPr>
          <w:rFonts w:hint="eastAsia" w:ascii="宋体" w:hAnsi="宋体" w:cs="宋体"/>
          <w:bCs/>
          <w:color w:val="auto"/>
          <w:szCs w:val="21"/>
          <w:highlight w:val="none"/>
        </w:rPr>
        <w:t>（三）其他：</w:t>
      </w:r>
    </w:p>
    <w:p w14:paraId="2D6FC91B">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outlineLvl w:val="1"/>
        <w:rPr>
          <w:rFonts w:ascii="宋体" w:hAnsi="宋体" w:cs="宋体"/>
          <w:bCs/>
          <w:color w:val="auto"/>
          <w:szCs w:val="21"/>
          <w:highlight w:val="none"/>
        </w:rPr>
      </w:pP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3.12专职安全生产管理人员具有对应有效的安全生产考核合格证书，配备人数</w:t>
      </w:r>
      <w:r>
        <w:rPr>
          <w:rFonts w:hint="eastAsia" w:ascii="宋体" w:hAnsi="宋体" w:cs="宋体"/>
          <w:bCs/>
          <w:color w:val="auto"/>
          <w:szCs w:val="21"/>
          <w:highlight w:val="none"/>
          <w:u w:val="single"/>
          <w:lang w:val="en-US" w:eastAsia="zh-CN"/>
        </w:rPr>
        <w:t>1</w:t>
      </w:r>
      <w:r>
        <w:rPr>
          <w:rFonts w:hint="eastAsia" w:ascii="宋体" w:hAnsi="宋体" w:cs="宋体"/>
          <w:bCs/>
          <w:color w:val="auto"/>
          <w:szCs w:val="21"/>
          <w:highlight w:val="none"/>
        </w:rPr>
        <w:t>个。联合体投标的，专职安全生产管理人员须由承担施工工作的联合体成员委派；</w:t>
      </w:r>
    </w:p>
    <w:p w14:paraId="30811059">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3.13投标人及其拟派项目负责人、施工负责人、设计负责人未被列入建筑市场失信黑名单（以全国建筑市场监管公共服务平台黑名单记录、失信联合惩戒记录和浙江省建筑市场监管公共服务系统严重失信名单的信息为准）；</w:t>
      </w:r>
    </w:p>
    <w:p w14:paraId="35493769">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3.14投标人及其拟派项目负责人、施工负责人、设计负责人自202</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年1月1日起至投标截止日止无行贿犯罪记录；</w:t>
      </w:r>
    </w:p>
    <w:p w14:paraId="1BCA9F5C">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3.15投标人及其拟派项目负责人、施工负责人、设计负责人自202</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年1月1日起至投标截止日止未被列入失信被执行人名单；</w:t>
      </w:r>
    </w:p>
    <w:p w14:paraId="36ECFD75">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3.16投标人及其拟派项目负责人未被市场监督管理机关在全国企业信用信息公示系统中列入严重违法失信企业名单；</w:t>
      </w:r>
    </w:p>
    <w:p w14:paraId="1E1141AD">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3.17投标人及其拟派项目负责人未被人力资源社会保障行政部门列入失信联合惩戒名单（有效期内）并共享至信用信息共享平台；</w:t>
      </w:r>
    </w:p>
    <w:p w14:paraId="5F05AC38">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630" w:firstLineChars="300"/>
        <w:textAlignment w:val="auto"/>
        <w:outlineLvl w:val="3"/>
        <w:rPr>
          <w:rFonts w:ascii="宋体" w:hAnsi="宋体" w:cs="宋体"/>
          <w:bCs/>
          <w:color w:val="auto"/>
          <w:szCs w:val="21"/>
          <w:highlight w:val="none"/>
        </w:rPr>
      </w:pPr>
      <w:r>
        <w:rPr>
          <w:rFonts w:hint="eastAsia" w:ascii="宋体" w:hAnsi="宋体" w:cs="宋体"/>
          <w:bCs/>
          <w:color w:val="auto"/>
          <w:szCs w:val="21"/>
          <w:highlight w:val="none"/>
        </w:rPr>
        <w:t>3.18省外企业应按规定办理“省外建设工程企业进浙备案”手续；</w:t>
      </w:r>
    </w:p>
    <w:p w14:paraId="138E7EE9">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outlineLvl w:val="1"/>
        <w:rPr>
          <w:rFonts w:ascii="宋体" w:hAnsi="宋体" w:cs="宋体"/>
          <w:bCs/>
          <w:color w:val="auto"/>
          <w:szCs w:val="21"/>
          <w:highlight w:val="none"/>
        </w:rPr>
      </w:pPr>
      <w:r>
        <w:rPr>
          <w:rFonts w:hint="eastAsia" w:ascii="宋体" w:hAnsi="宋体" w:cs="宋体"/>
          <w:bCs/>
          <w:color w:val="auto"/>
          <w:szCs w:val="21"/>
          <w:highlight w:val="none"/>
        </w:rPr>
        <w:t xml:space="preserve">□3.19  </w:t>
      </w:r>
      <w:r>
        <w:rPr>
          <w:rFonts w:hint="eastAsia" w:ascii="宋体" w:hAnsi="宋体" w:cs="宋体"/>
          <w:bCs/>
          <w:color w:val="auto"/>
          <w:szCs w:val="21"/>
          <w:highlight w:val="none"/>
          <w:u w:val="single"/>
        </w:rPr>
        <w:t>（招标人认为需要增加的、符合法律法规的其他要求）</w:t>
      </w:r>
      <w:r>
        <w:rPr>
          <w:rFonts w:hint="eastAsia" w:ascii="宋体" w:hAnsi="宋体" w:cs="宋体"/>
          <w:bCs/>
          <w:color w:val="auto"/>
          <w:szCs w:val="21"/>
          <w:highlight w:val="none"/>
        </w:rPr>
        <w:t>。</w:t>
      </w:r>
    </w:p>
    <w:p w14:paraId="33C89ABD">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4、电子评标</w:t>
      </w:r>
    </w:p>
    <w:p w14:paraId="6B531C7C">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outlineLvl w:val="2"/>
        <w:rPr>
          <w:rFonts w:ascii="宋体" w:hAnsi="宋体" w:cs="宋体"/>
          <w:color w:val="auto"/>
          <w:szCs w:val="21"/>
          <w:highlight w:val="none"/>
        </w:rPr>
      </w:pPr>
      <w:r>
        <w:rPr>
          <w:rFonts w:hint="eastAsia" w:ascii="宋体" w:hAnsi="宋体" w:cs="宋体"/>
          <w:color w:val="auto"/>
          <w:szCs w:val="21"/>
          <w:highlight w:val="none"/>
        </w:rPr>
        <w:t>本工程实行电子招投标。</w:t>
      </w:r>
    </w:p>
    <w:p w14:paraId="23723FC5">
      <w:pPr>
        <w:keepNext w:val="0"/>
        <w:keepLines w:val="0"/>
        <w:pageBreakBefore w:val="0"/>
        <w:widowControl/>
        <w:numPr>
          <w:ilvl w:val="0"/>
          <w:numId w:val="1"/>
        </w:numPr>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投标人信息入库</w:t>
      </w:r>
    </w:p>
    <w:p w14:paraId="7039DF5D">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bookmarkStart w:id="25" w:name="_Toc3530"/>
      <w:r>
        <w:rPr>
          <w:rFonts w:hint="eastAsia" w:ascii="宋体" w:hAnsi="宋体" w:cs="宋体"/>
          <w:color w:val="auto"/>
          <w:szCs w:val="20"/>
          <w:highlight w:val="none"/>
        </w:rPr>
        <w:t>5.1本项目招标文件和补充（答疑、澄清）、修改文件以网上下载方式获取。</w:t>
      </w:r>
    </w:p>
    <w:p w14:paraId="13FF2D32">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5.2招标文件网上下载时间：自招标文件发布之日起至投标截止时间。</w:t>
      </w:r>
    </w:p>
    <w:p w14:paraId="123125FA">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5.3潜在投标人登录衢州市公共资源交易网（http://ggzy.qz.gov.cn/）办理投标人信息入库（衢州市级交易平台市场主体信息库，下同）备案事宜。</w:t>
      </w:r>
    </w:p>
    <w:p w14:paraId="3574965C">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cs="宋体"/>
          <w:color w:val="auto"/>
          <w:szCs w:val="20"/>
          <w:highlight w:val="none"/>
        </w:rPr>
      </w:pPr>
      <w:r>
        <w:rPr>
          <w:rFonts w:hint="eastAsia" w:ascii="宋体" w:hAnsi="宋体" w:cs="宋体"/>
          <w:color w:val="auto"/>
          <w:szCs w:val="20"/>
          <w:highlight w:val="none"/>
        </w:rPr>
        <w:t>5.3.1未办理企业信息入库的投标人，根据显示界面提示免费注册，填写、上传相关主体信息，带“*”号的必填，填好提交即完成。 投标企业同时可申领招投标企业CA证书及电子签章。具体操作可参考衢州市企业入库操作手册（投标人）。</w:t>
      </w:r>
    </w:p>
    <w:p w14:paraId="6820C27C">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投标人需在投标日期截止前进入主体库更新主体信息，经营资质、职业人员、投标业绩、企业获奖、各类证书、奖惩记录等将作为重要依据。（投标人登录衢州市市县一体公共资源交易平台会员端，点击右上角头像中的单位信息后对单位信息进行更新，请提前准备）</w:t>
      </w:r>
    </w:p>
    <w:bookmarkEnd w:id="25"/>
    <w:p w14:paraId="3702CA47">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outlineLvl w:val="2"/>
        <w:rPr>
          <w:rFonts w:ascii="宋体" w:hAnsi="宋体" w:cs="宋体"/>
          <w:color w:val="auto"/>
          <w:szCs w:val="20"/>
          <w:highlight w:val="none"/>
        </w:rPr>
      </w:pPr>
      <w:bookmarkStart w:id="26" w:name="_Toc10003"/>
      <w:bookmarkStart w:id="27" w:name="_Hlk530727115"/>
      <w:r>
        <w:rPr>
          <w:rFonts w:hint="eastAsia" w:ascii="宋体" w:hAnsi="宋体" w:cs="宋体"/>
          <w:color w:val="auto"/>
          <w:szCs w:val="20"/>
          <w:highlight w:val="none"/>
        </w:rPr>
        <w:t>5.3.2</w:t>
      </w:r>
      <w:bookmarkEnd w:id="26"/>
      <w:bookmarkStart w:id="28" w:name="_Toc4627"/>
      <w:r>
        <w:rPr>
          <w:rFonts w:hint="eastAsia" w:ascii="宋体" w:hAnsi="宋体" w:cs="宋体"/>
          <w:color w:val="auto"/>
          <w:szCs w:val="20"/>
          <w:highlight w:val="none"/>
        </w:rPr>
        <w:t xml:space="preserve"> CA办理：</w:t>
      </w:r>
    </w:p>
    <w:p w14:paraId="0ECC0F90">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（1）中国联通衢州CA办理流程：投标人注册登录系统后点击左侧“联通CA在线办理”,根据流程图在线申请办理，联系电话，0570-8256007,0570-8252229（流程图网址http://zjqzcert.uni-ca.com.cn:7008/）。</w:t>
      </w:r>
    </w:p>
    <w:p w14:paraId="413394BD">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（2）天谷CA在线办理流程：在统一登录界面右侧点击平台使用帮助下方的“如何申领介质CA？”，根据《CA数字证书用户自主》手册在线申请办理。联系电话：400-087-8198。</w:t>
      </w:r>
    </w:p>
    <w:p w14:paraId="78D159EC">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r>
        <w:rPr>
          <w:rFonts w:hint="eastAsia" w:ascii="宋体" w:hAnsi="宋体" w:cs="宋体"/>
          <w:color w:val="auto"/>
          <w:szCs w:val="20"/>
          <w:highlight w:val="none"/>
        </w:rPr>
        <w:t>（3）浙江CA互认办理流程：在统一登录界面右侧点击“如何申领浙江CA互认？”或登录网址：http://zjpubservice.zjzwfw.gov.cn/zhejiangnew/ca_system.html，联系电话：400-998-0000。</w:t>
      </w:r>
    </w:p>
    <w:bookmarkEnd w:id="27"/>
    <w:bookmarkEnd w:id="28"/>
    <w:p w14:paraId="024184BF">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szCs w:val="20"/>
          <w:highlight w:val="none"/>
        </w:rPr>
      </w:pPr>
      <w:bookmarkStart w:id="29" w:name="_Toc10174"/>
      <w:r>
        <w:rPr>
          <w:rFonts w:hint="eastAsia" w:ascii="宋体" w:hAnsi="宋体" w:cs="宋体"/>
          <w:color w:val="auto"/>
          <w:szCs w:val="20"/>
          <w:highlight w:val="none"/>
        </w:rPr>
        <w:t>5.4潜在投标人可在衢州市公共资源电子交易系统（http://ggzy.qz.gov.cn/）</w:t>
      </w:r>
      <w:r>
        <w:rPr>
          <w:rFonts w:hint="eastAsia" w:ascii="宋体" w:hAnsi="宋体" w:cs="宋体"/>
          <w:color w:val="auto"/>
          <w:szCs w:val="21"/>
          <w:highlight w:val="none"/>
          <w:lang w:val="zh-CN"/>
        </w:rPr>
        <w:t>免</w:t>
      </w:r>
      <w:r>
        <w:rPr>
          <w:rFonts w:hint="eastAsia" w:ascii="宋体" w:hAnsi="宋体" w:cs="宋体"/>
          <w:color w:val="auto"/>
          <w:szCs w:val="20"/>
          <w:highlight w:val="none"/>
        </w:rPr>
        <w:t>费下载招标文件。确定参加投标的企业可凭本单位CA数字证书</w:t>
      </w:r>
      <w:bookmarkStart w:id="30" w:name="_Hlk530727180"/>
      <w:r>
        <w:rPr>
          <w:rFonts w:hint="eastAsia" w:ascii="宋体" w:hAnsi="宋体" w:cs="宋体"/>
          <w:color w:val="auto"/>
          <w:szCs w:val="20"/>
          <w:highlight w:val="none"/>
        </w:rPr>
        <w:t>登录衢州市公共资源电子交易系统</w:t>
      </w:r>
      <w:bookmarkEnd w:id="30"/>
      <w:r>
        <w:rPr>
          <w:rFonts w:hint="eastAsia" w:ascii="宋体" w:hAnsi="宋体" w:cs="宋体"/>
          <w:color w:val="auto"/>
          <w:szCs w:val="20"/>
          <w:highlight w:val="none"/>
        </w:rPr>
        <w:t>，</w:t>
      </w:r>
      <w:bookmarkStart w:id="31" w:name="_Hlk530727192"/>
      <w:r>
        <w:rPr>
          <w:rFonts w:hint="eastAsia" w:ascii="宋体" w:hAnsi="宋体" w:cs="宋体"/>
          <w:color w:val="auto"/>
          <w:szCs w:val="20"/>
          <w:highlight w:val="none"/>
        </w:rPr>
        <w:t>在报名之后按照操作手册在对应模块领取。</w:t>
      </w:r>
      <w:bookmarkEnd w:id="29"/>
      <w:bookmarkEnd w:id="31"/>
    </w:p>
    <w:p w14:paraId="2A002206">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03" w:firstLineChars="192"/>
        <w:textAlignment w:val="auto"/>
        <w:rPr>
          <w:rFonts w:ascii="宋体" w:hAnsi="宋体" w:cs="宋体"/>
          <w:color w:val="auto"/>
          <w:szCs w:val="21"/>
          <w:highlight w:val="none"/>
        </w:rPr>
      </w:pPr>
      <w:r>
        <w:rPr>
          <w:rFonts w:hint="eastAsia" w:ascii="宋体" w:hAnsi="宋体" w:cs="宋体"/>
          <w:color w:val="auto"/>
          <w:szCs w:val="21"/>
          <w:highlight w:val="none"/>
        </w:rPr>
        <w:t>5.5潜在投标人对招标文件有异议的，应通过衢州市公共资源电子交易系统或书面向招标人提出。提交异议截止日为投标截止时间前10日。招标人将在衢州市市县一体公共资源交易平台上发布补充（答疑、澄清）文件。潜在投标人应自行关注网站公告，招标人不再书面通知。投标人因自身贻误行为导致投标失败的，责任自负。</w:t>
      </w:r>
    </w:p>
    <w:p w14:paraId="29357553">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bCs/>
          <w:color w:val="auto"/>
          <w:szCs w:val="21"/>
          <w:highlight w:val="none"/>
        </w:rPr>
      </w:pPr>
      <w:r>
        <w:rPr>
          <w:rFonts w:hint="eastAsia" w:ascii="宋体" w:hAnsi="宋体" w:cs="宋体"/>
          <w:b/>
          <w:bCs/>
          <w:color w:val="auto"/>
          <w:szCs w:val="21"/>
          <w:highlight w:val="none"/>
        </w:rPr>
        <w:t>6、投标保证金</w:t>
      </w:r>
    </w:p>
    <w:p w14:paraId="460C31FA">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03" w:firstLineChars="192"/>
        <w:textAlignment w:val="auto"/>
        <w:rPr>
          <w:rFonts w:ascii="宋体" w:hAnsi="宋体" w:cs="宋体"/>
          <w:b/>
          <w:bCs/>
          <w:color w:val="auto"/>
          <w:szCs w:val="21"/>
          <w:highlight w:val="none"/>
        </w:rPr>
      </w:pPr>
      <w:r>
        <w:rPr>
          <w:rFonts w:hint="eastAsia" w:ascii="宋体" w:hAnsi="宋体" w:cs="宋体"/>
          <w:color w:val="auto"/>
          <w:kern w:val="0"/>
          <w:szCs w:val="21"/>
          <w:highlight w:val="none"/>
          <w:shd w:val="clear" w:color="auto" w:fill="FFFFFF"/>
        </w:rPr>
        <w:t>6.1</w:t>
      </w:r>
      <w:r>
        <w:rPr>
          <w:rFonts w:hint="eastAsia" w:ascii="宋体" w:hAnsi="宋体" w:cs="宋体"/>
          <w:color w:val="auto"/>
          <w:szCs w:val="21"/>
          <w:highlight w:val="none"/>
        </w:rPr>
        <w:t>本项目交纳投标保证金</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rPr>
        <w:t>万元整，</w:t>
      </w:r>
      <w:r>
        <w:rPr>
          <w:rFonts w:hint="eastAsia" w:ascii="宋体" w:hAnsi="宋体" w:cs="宋体"/>
          <w:b/>
          <w:bCs/>
          <w:color w:val="auto"/>
          <w:szCs w:val="21"/>
          <w:highlight w:val="none"/>
        </w:rPr>
        <w:t>操作详见招标文件投标人须知前附表。</w:t>
      </w:r>
    </w:p>
    <w:p w14:paraId="78E80167">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bCs/>
          <w:color w:val="auto"/>
          <w:szCs w:val="21"/>
          <w:highlight w:val="none"/>
        </w:rPr>
        <w:t>7、</w:t>
      </w:r>
      <w:r>
        <w:rPr>
          <w:rFonts w:hint="eastAsia" w:ascii="宋体" w:hAnsi="宋体" w:cs="宋体"/>
          <w:b/>
          <w:color w:val="auto"/>
          <w:szCs w:val="21"/>
          <w:highlight w:val="none"/>
        </w:rPr>
        <w:t>投标文件的递交</w:t>
      </w:r>
    </w:p>
    <w:p w14:paraId="27B6B460">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textAlignment w:val="auto"/>
        <w:rPr>
          <w:rFonts w:ascii="宋体" w:hAnsi="宋体" w:cs="宋体"/>
          <w:color w:val="auto"/>
          <w:highlight w:val="none"/>
        </w:rPr>
      </w:pPr>
      <w:r>
        <w:rPr>
          <w:rFonts w:hint="eastAsia" w:ascii="宋体" w:hAnsi="宋体" w:cs="宋体"/>
          <w:color w:val="auto"/>
          <w:highlight w:val="none"/>
        </w:rPr>
        <w:t>7.1投标文件递交的截止时间(投标截止时间，下同) 为</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5</w:t>
      </w:r>
      <w:r>
        <w:rPr>
          <w:rFonts w:hint="eastAsia" w:ascii="宋体" w:hAnsi="宋体" w:cs="宋体"/>
          <w:color w:val="auto"/>
          <w:highlight w:val="none"/>
        </w:rPr>
        <w:t>年</w:t>
      </w:r>
      <w:r>
        <w:rPr>
          <w:rFonts w:hint="eastAsia" w:ascii="宋体" w:hAnsi="宋体" w:cs="宋体"/>
          <w:color w:val="auto"/>
          <w:highlight w:val="none"/>
          <w:u w:val="single"/>
          <w:lang w:val="en-US" w:eastAsia="zh-CN"/>
        </w:rPr>
        <w:t xml:space="preserve"> 8 </w:t>
      </w:r>
      <w:r>
        <w:rPr>
          <w:rFonts w:hint="eastAsia" w:ascii="宋体" w:hAnsi="宋体" w:cs="宋体"/>
          <w:color w:val="auto"/>
          <w:highlight w:val="none"/>
        </w:rPr>
        <w:t>月</w:t>
      </w:r>
      <w:r>
        <w:rPr>
          <w:rFonts w:hint="eastAsia" w:ascii="宋体" w:hAnsi="宋体" w:cs="宋体"/>
          <w:color w:val="auto"/>
          <w:highlight w:val="none"/>
          <w:u w:val="single"/>
          <w:lang w:val="en-US" w:eastAsia="zh-CN"/>
        </w:rPr>
        <w:t xml:space="preserve">  21 </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0</w:t>
      </w:r>
      <w:r>
        <w:rPr>
          <w:rFonts w:hint="eastAsia" w:ascii="宋体" w:hAnsi="宋体" w:cs="宋体"/>
          <w:color w:val="auto"/>
          <w:highlight w:val="none"/>
        </w:rPr>
        <w:t>9时 30分00秒。</w:t>
      </w:r>
    </w:p>
    <w:p w14:paraId="020DB9D1">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jc w:val="left"/>
        <w:textAlignment w:val="auto"/>
        <w:rPr>
          <w:rFonts w:hint="eastAsia" w:ascii="宋体" w:hAnsi="宋体" w:eastAsia="宋体" w:cs="宋体"/>
          <w:color w:val="auto"/>
          <w:highlight w:val="none"/>
          <w:lang w:eastAsia="zh-CN"/>
        </w:rPr>
      </w:pPr>
      <w:r>
        <w:rPr>
          <w:rStyle w:val="15"/>
          <w:rFonts w:hint="eastAsia" w:ascii="宋体" w:hAnsi="宋体" w:cs="宋体"/>
          <w:color w:val="auto"/>
          <w:highlight w:val="none"/>
        </w:rPr>
        <w:t xml:space="preserve">7.2 </w:t>
      </w:r>
      <w:r>
        <w:rPr>
          <w:rFonts w:hint="eastAsia" w:ascii="宋体" w:hAnsi="宋体" w:cs="宋体"/>
          <w:color w:val="auto"/>
          <w:szCs w:val="21"/>
          <w:highlight w:val="none"/>
        </w:rPr>
        <w:t>投标文件递交方式：</w:t>
      </w:r>
      <w:r>
        <w:rPr>
          <w:rFonts w:hint="eastAsia" w:ascii="宋体" w:hAnsi="宋体" w:cs="宋体"/>
          <w:color w:val="auto"/>
          <w:highlight w:val="none"/>
        </w:rPr>
        <w:t>电子投标文件采用网上递交的方式，上传至衢州市公共资源电子交易系统（http://ggzy.qz.gov.cn/）</w:t>
      </w:r>
      <w:r>
        <w:rPr>
          <w:rFonts w:hint="eastAsia" w:ascii="宋体" w:hAnsi="宋体" w:cs="宋体"/>
          <w:color w:val="auto"/>
          <w:highlight w:val="none"/>
          <w:lang w:eastAsia="zh-CN"/>
        </w:rPr>
        <w:t>。</w:t>
      </w:r>
    </w:p>
    <w:p w14:paraId="345348CB">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jc w:val="left"/>
        <w:textAlignment w:val="auto"/>
        <w:rPr>
          <w:rFonts w:ascii="宋体" w:hAnsi="宋体" w:cs="宋体"/>
          <w:color w:val="auto"/>
          <w:szCs w:val="21"/>
          <w:highlight w:val="none"/>
        </w:rPr>
      </w:pPr>
      <w:r>
        <w:rPr>
          <w:rStyle w:val="15"/>
          <w:rFonts w:hint="eastAsia" w:ascii="宋体" w:hAnsi="宋体" w:cs="宋体"/>
          <w:color w:val="auto"/>
          <w:highlight w:val="none"/>
        </w:rPr>
        <w:t>7.3</w:t>
      </w:r>
      <w:r>
        <w:rPr>
          <w:rFonts w:hint="eastAsia" w:ascii="宋体" w:hAnsi="宋体" w:cs="宋体"/>
          <w:color w:val="auto"/>
          <w:szCs w:val="21"/>
          <w:highlight w:val="none"/>
        </w:rPr>
        <w:t>不见面开标大厅网址：（https://jyzx.ggzy.qz.gov.cn/BidOpening/bidopeninghallaction/hall/login）</w:t>
      </w:r>
      <w:r>
        <w:rPr>
          <w:rStyle w:val="15"/>
          <w:rFonts w:hint="eastAsia" w:ascii="宋体" w:hAnsi="宋体" w:cs="宋体"/>
          <w:color w:val="auto"/>
          <w:highlight w:val="none"/>
        </w:rPr>
        <w:t>。</w:t>
      </w:r>
    </w:p>
    <w:p w14:paraId="602535CB">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8、招投标方式</w:t>
      </w:r>
    </w:p>
    <w:p w14:paraId="39A88D09">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2" w:firstLineChars="200"/>
        <w:textAlignment w:val="auto"/>
        <w:outlineLvl w:val="2"/>
        <w:rPr>
          <w:rFonts w:ascii="宋体" w:hAnsi="宋体" w:cs="宋体"/>
          <w:b/>
          <w:color w:val="auto"/>
          <w:szCs w:val="21"/>
          <w:highlight w:val="none"/>
        </w:rPr>
      </w:pPr>
      <w:r>
        <w:rPr>
          <w:rFonts w:hint="eastAsia" w:ascii="宋体" w:hAnsi="宋体" w:cs="宋体"/>
          <w:b/>
          <w:color w:val="auto"/>
          <w:szCs w:val="21"/>
          <w:highlight w:val="none"/>
        </w:rPr>
        <w:t>8</w:t>
      </w:r>
      <w:r>
        <w:rPr>
          <w:rFonts w:ascii="宋体" w:hAnsi="宋体" w:cs="宋体"/>
          <w:b/>
          <w:color w:val="auto"/>
          <w:szCs w:val="21"/>
          <w:highlight w:val="none"/>
        </w:rPr>
        <w:t>.1公开招标。</w:t>
      </w:r>
    </w:p>
    <w:p w14:paraId="2E3D4AD7">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2" w:firstLineChars="20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8</w:t>
      </w:r>
      <w:r>
        <w:rPr>
          <w:rFonts w:ascii="宋体" w:hAnsi="宋体" w:cs="宋体"/>
          <w:b/>
          <w:color w:val="auto"/>
          <w:szCs w:val="21"/>
          <w:highlight w:val="none"/>
        </w:rPr>
        <w:t>.2</w:t>
      </w:r>
      <w:r>
        <w:rPr>
          <w:rFonts w:hint="eastAsia" w:ascii="宋体" w:hAnsi="宋体" w:cs="宋体"/>
          <w:b/>
          <w:color w:val="auto"/>
          <w:szCs w:val="21"/>
          <w:highlight w:val="none"/>
          <w:lang w:eastAsia="zh-CN"/>
        </w:rPr>
        <w:t>☑</w:t>
      </w:r>
      <w:r>
        <w:rPr>
          <w:rFonts w:ascii="宋体" w:hAnsi="宋体" w:cs="宋体"/>
          <w:b/>
          <w:color w:val="auto"/>
          <w:szCs w:val="21"/>
          <w:highlight w:val="none"/>
        </w:rPr>
        <w:t>采用评定分离，</w:t>
      </w:r>
      <w:r>
        <w:rPr>
          <w:rFonts w:hint="eastAsia" w:ascii="宋体" w:hAnsi="宋体" w:cs="宋体"/>
          <w:b/>
          <w:color w:val="auto"/>
          <w:szCs w:val="21"/>
          <w:highlight w:val="none"/>
          <w:lang w:eastAsia="zh-CN"/>
        </w:rPr>
        <w:t>□</w:t>
      </w:r>
      <w:r>
        <w:rPr>
          <w:rFonts w:ascii="宋体" w:hAnsi="宋体" w:cs="宋体"/>
          <w:b/>
          <w:color w:val="auto"/>
          <w:szCs w:val="21"/>
          <w:highlight w:val="none"/>
        </w:rPr>
        <w:t>不采用评定分离。</w:t>
      </w:r>
    </w:p>
    <w:p w14:paraId="2517727E">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9发布公告的媒介</w:t>
      </w:r>
    </w:p>
    <w:p w14:paraId="0612CF5A">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firstLine="420" w:firstLineChars="200"/>
        <w:jc w:val="left"/>
        <w:textAlignment w:val="auto"/>
        <w:rPr>
          <w:rFonts w:ascii="宋体" w:hAnsi="宋体" w:cs="宋体"/>
          <w:color w:val="auto"/>
          <w:szCs w:val="21"/>
          <w:highlight w:val="none"/>
        </w:rPr>
      </w:pPr>
      <w:r>
        <w:rPr>
          <w:rFonts w:hint="eastAsia" w:ascii="宋体" w:hAnsi="宋体" w:cs="宋体"/>
          <w:color w:val="auto"/>
          <w:highlight w:val="none"/>
        </w:rPr>
        <w:t>浙江省公共资源交易服务平台、衢州市公共资源交易网。</w:t>
      </w:r>
    </w:p>
    <w:p w14:paraId="3C324674">
      <w:pPr>
        <w:keepNext w:val="0"/>
        <w:keepLines w:val="0"/>
        <w:pageBreakBefore w:val="0"/>
        <w:widowControl/>
        <w:shd w:val="clear" w:color="auto" w:fill="auto"/>
        <w:kinsoku/>
        <w:wordWrap w:val="0"/>
        <w:overflowPunct/>
        <w:topLinePunct w:val="0"/>
        <w:autoSpaceDE/>
        <w:autoSpaceDN/>
        <w:bidi w:val="0"/>
        <w:adjustRightInd w:val="0"/>
        <w:snapToGrid w:val="0"/>
        <w:spacing w:line="360" w:lineRule="auto"/>
        <w:ind w:left="0" w:leftChars="0"/>
        <w:textAlignment w:val="auto"/>
        <w:outlineLvl w:val="1"/>
        <w:rPr>
          <w:rFonts w:ascii="宋体" w:hAnsi="宋体" w:cs="宋体"/>
          <w:b/>
          <w:color w:val="auto"/>
          <w:szCs w:val="21"/>
          <w:highlight w:val="none"/>
        </w:rPr>
      </w:pPr>
      <w:r>
        <w:rPr>
          <w:rFonts w:hint="eastAsia" w:ascii="宋体" w:hAnsi="宋体" w:cs="宋体"/>
          <w:b/>
          <w:color w:val="auto"/>
          <w:szCs w:val="21"/>
          <w:highlight w:val="none"/>
        </w:rPr>
        <w:t>10、联系方式</w:t>
      </w:r>
    </w:p>
    <w:tbl>
      <w:tblPr>
        <w:tblStyle w:val="11"/>
        <w:tblW w:w="9013" w:type="dxa"/>
        <w:jc w:val="center"/>
        <w:tblLayout w:type="autofit"/>
        <w:tblCellMar>
          <w:top w:w="0" w:type="dxa"/>
          <w:left w:w="108" w:type="dxa"/>
          <w:bottom w:w="0" w:type="dxa"/>
          <w:right w:w="108" w:type="dxa"/>
        </w:tblCellMar>
      </w:tblPr>
      <w:tblGrid>
        <w:gridCol w:w="1209"/>
        <w:gridCol w:w="3362"/>
        <w:gridCol w:w="1637"/>
        <w:gridCol w:w="2805"/>
      </w:tblGrid>
      <w:tr w14:paraId="0630D281">
        <w:tblPrEx>
          <w:tblCellMar>
            <w:top w:w="0" w:type="dxa"/>
            <w:left w:w="108" w:type="dxa"/>
            <w:bottom w:w="0" w:type="dxa"/>
            <w:right w:w="108" w:type="dxa"/>
          </w:tblCellMar>
        </w:tblPrEx>
        <w:trPr>
          <w:trHeight w:val="502" w:hRule="atLeast"/>
          <w:jc w:val="center"/>
        </w:trPr>
        <w:tc>
          <w:tcPr>
            <w:tcW w:w="1209" w:type="dxa"/>
            <w:noWrap w:val="0"/>
            <w:vAlign w:val="center"/>
          </w:tcPr>
          <w:p w14:paraId="4232E8B1">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bookmarkStart w:id="32" w:name="_Toc9393"/>
            <w:bookmarkStart w:id="33" w:name="_Toc32666"/>
            <w:bookmarkStart w:id="34" w:name="_Toc11701"/>
            <w:bookmarkStart w:id="35" w:name="_Toc38896012"/>
            <w:r>
              <w:rPr>
                <w:rFonts w:hint="eastAsia" w:ascii="宋体" w:hAnsi="宋体" w:eastAsia="宋体" w:cs="Times New Roman"/>
                <w:color w:val="auto"/>
                <w:szCs w:val="21"/>
                <w:highlight w:val="none"/>
              </w:rPr>
              <w:t>招标人：</w:t>
            </w:r>
          </w:p>
        </w:tc>
        <w:tc>
          <w:tcPr>
            <w:tcW w:w="3362" w:type="dxa"/>
            <w:noWrap w:val="0"/>
            <w:vAlign w:val="center"/>
          </w:tcPr>
          <w:p w14:paraId="1AE86CA4">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衢州市柯城区衢化街道办事处</w:t>
            </w:r>
          </w:p>
        </w:tc>
        <w:tc>
          <w:tcPr>
            <w:tcW w:w="1637" w:type="dxa"/>
            <w:noWrap w:val="0"/>
            <w:vAlign w:val="center"/>
          </w:tcPr>
          <w:p w14:paraId="19C12B97">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招标代理机构：</w:t>
            </w:r>
          </w:p>
        </w:tc>
        <w:tc>
          <w:tcPr>
            <w:tcW w:w="2805" w:type="dxa"/>
            <w:noWrap w:val="0"/>
            <w:vAlign w:val="center"/>
          </w:tcPr>
          <w:p w14:paraId="3C13D38A">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eastAsia="zh-CN"/>
              </w:rPr>
              <w:t>大地工程咨询有限公司</w:t>
            </w:r>
          </w:p>
        </w:tc>
      </w:tr>
      <w:tr w14:paraId="1A51F8A1">
        <w:tblPrEx>
          <w:tblCellMar>
            <w:top w:w="0" w:type="dxa"/>
            <w:left w:w="108" w:type="dxa"/>
            <w:bottom w:w="0" w:type="dxa"/>
            <w:right w:w="108" w:type="dxa"/>
          </w:tblCellMar>
        </w:tblPrEx>
        <w:trPr>
          <w:trHeight w:val="533" w:hRule="atLeast"/>
          <w:jc w:val="center"/>
        </w:trPr>
        <w:tc>
          <w:tcPr>
            <w:tcW w:w="1209" w:type="dxa"/>
            <w:noWrap w:val="0"/>
            <w:vAlign w:val="center"/>
          </w:tcPr>
          <w:p w14:paraId="583BE91B">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w:t>
            </w:r>
          </w:p>
        </w:tc>
        <w:tc>
          <w:tcPr>
            <w:tcW w:w="3362" w:type="dxa"/>
            <w:noWrap w:val="0"/>
            <w:vAlign w:val="center"/>
          </w:tcPr>
          <w:p w14:paraId="08FDD733">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衢州市柯城区文昌路63号</w:t>
            </w:r>
          </w:p>
        </w:tc>
        <w:tc>
          <w:tcPr>
            <w:tcW w:w="1637" w:type="dxa"/>
            <w:noWrap w:val="0"/>
            <w:vAlign w:val="center"/>
          </w:tcPr>
          <w:p w14:paraId="2A96C79C">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w:t>
            </w:r>
          </w:p>
        </w:tc>
        <w:tc>
          <w:tcPr>
            <w:tcW w:w="2805" w:type="dxa"/>
            <w:noWrap w:val="0"/>
            <w:vAlign w:val="center"/>
          </w:tcPr>
          <w:p w14:paraId="43720BA7">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u w:val="none"/>
              </w:rPr>
              <w:t>衢州市</w:t>
            </w:r>
            <w:bookmarkStart w:id="36" w:name="OLE_LINK34"/>
            <w:r>
              <w:rPr>
                <w:rFonts w:hint="eastAsia" w:asciiTheme="minorEastAsia" w:hAnsiTheme="minorEastAsia" w:eastAsiaTheme="minorEastAsia" w:cstheme="minorEastAsia"/>
                <w:i w:val="0"/>
                <w:iCs w:val="0"/>
                <w:color w:val="auto"/>
                <w:sz w:val="21"/>
                <w:szCs w:val="21"/>
                <w:highlight w:val="none"/>
                <w:u w:val="none"/>
                <w:lang w:val="en-US" w:eastAsia="zh-CN"/>
              </w:rPr>
              <w:t>衢江区浮石街道杭长时代19幢三楼</w:t>
            </w:r>
            <w:bookmarkEnd w:id="36"/>
            <w:r>
              <w:rPr>
                <w:rFonts w:hint="eastAsia" w:ascii="宋体" w:hAnsi="宋体" w:eastAsia="宋体" w:cs="Times New Roman"/>
                <w:color w:val="auto"/>
                <w:szCs w:val="21"/>
                <w:highlight w:val="none"/>
                <w:u w:val="none"/>
              </w:rPr>
              <w:t xml:space="preserve"> </w:t>
            </w:r>
          </w:p>
        </w:tc>
      </w:tr>
      <w:tr w14:paraId="6B551C25">
        <w:tblPrEx>
          <w:tblCellMar>
            <w:top w:w="0" w:type="dxa"/>
            <w:left w:w="108" w:type="dxa"/>
            <w:bottom w:w="0" w:type="dxa"/>
            <w:right w:w="108" w:type="dxa"/>
          </w:tblCellMar>
        </w:tblPrEx>
        <w:trPr>
          <w:trHeight w:val="533" w:hRule="atLeast"/>
          <w:jc w:val="center"/>
        </w:trPr>
        <w:tc>
          <w:tcPr>
            <w:tcW w:w="1209" w:type="dxa"/>
            <w:noWrap w:val="0"/>
            <w:vAlign w:val="center"/>
          </w:tcPr>
          <w:p w14:paraId="346CD624">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邮政编码：</w:t>
            </w:r>
          </w:p>
        </w:tc>
        <w:tc>
          <w:tcPr>
            <w:tcW w:w="3362" w:type="dxa"/>
            <w:noWrap w:val="0"/>
            <w:vAlign w:val="center"/>
          </w:tcPr>
          <w:p w14:paraId="04241EE2">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324000</w:t>
            </w:r>
          </w:p>
        </w:tc>
        <w:tc>
          <w:tcPr>
            <w:tcW w:w="1637" w:type="dxa"/>
            <w:noWrap w:val="0"/>
            <w:vAlign w:val="center"/>
          </w:tcPr>
          <w:p w14:paraId="4DAFB2FA">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邮政编码：</w:t>
            </w:r>
          </w:p>
        </w:tc>
        <w:tc>
          <w:tcPr>
            <w:tcW w:w="2805" w:type="dxa"/>
            <w:noWrap w:val="0"/>
            <w:vAlign w:val="center"/>
          </w:tcPr>
          <w:p w14:paraId="53BF1C9F">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324000</w:t>
            </w:r>
          </w:p>
        </w:tc>
      </w:tr>
      <w:tr w14:paraId="67696013">
        <w:tblPrEx>
          <w:tblCellMar>
            <w:top w:w="0" w:type="dxa"/>
            <w:left w:w="108" w:type="dxa"/>
            <w:bottom w:w="0" w:type="dxa"/>
            <w:right w:w="108" w:type="dxa"/>
          </w:tblCellMar>
        </w:tblPrEx>
        <w:trPr>
          <w:trHeight w:val="533" w:hRule="atLeast"/>
          <w:jc w:val="center"/>
        </w:trPr>
        <w:tc>
          <w:tcPr>
            <w:tcW w:w="1209" w:type="dxa"/>
            <w:noWrap w:val="0"/>
            <w:vAlign w:val="center"/>
          </w:tcPr>
          <w:p w14:paraId="5F6A772E">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p>
        </w:tc>
        <w:tc>
          <w:tcPr>
            <w:tcW w:w="3362" w:type="dxa"/>
            <w:noWrap w:val="0"/>
            <w:vAlign w:val="center"/>
          </w:tcPr>
          <w:p w14:paraId="0B3D8267">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余先生</w:t>
            </w:r>
          </w:p>
        </w:tc>
        <w:tc>
          <w:tcPr>
            <w:tcW w:w="1637" w:type="dxa"/>
            <w:noWrap w:val="0"/>
            <w:vAlign w:val="center"/>
          </w:tcPr>
          <w:p w14:paraId="66C63049">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w:t>
            </w:r>
          </w:p>
        </w:tc>
        <w:tc>
          <w:tcPr>
            <w:tcW w:w="2805" w:type="dxa"/>
            <w:noWrap w:val="0"/>
            <w:vAlign w:val="center"/>
          </w:tcPr>
          <w:p w14:paraId="0E52EE34">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祝建霞</w:t>
            </w:r>
          </w:p>
        </w:tc>
      </w:tr>
      <w:tr w14:paraId="211EF02B">
        <w:tblPrEx>
          <w:tblCellMar>
            <w:top w:w="0" w:type="dxa"/>
            <w:left w:w="108" w:type="dxa"/>
            <w:bottom w:w="0" w:type="dxa"/>
            <w:right w:w="108" w:type="dxa"/>
          </w:tblCellMar>
        </w:tblPrEx>
        <w:trPr>
          <w:trHeight w:val="502" w:hRule="atLeast"/>
          <w:jc w:val="center"/>
        </w:trPr>
        <w:tc>
          <w:tcPr>
            <w:tcW w:w="1209" w:type="dxa"/>
            <w:noWrap w:val="0"/>
            <w:vAlign w:val="center"/>
          </w:tcPr>
          <w:p w14:paraId="3546DE8B">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电话：</w:t>
            </w:r>
          </w:p>
        </w:tc>
        <w:tc>
          <w:tcPr>
            <w:tcW w:w="3362" w:type="dxa"/>
            <w:noWrap w:val="0"/>
            <w:vAlign w:val="center"/>
          </w:tcPr>
          <w:p w14:paraId="44DC9A95">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0570-3069208</w:t>
            </w:r>
          </w:p>
        </w:tc>
        <w:tc>
          <w:tcPr>
            <w:tcW w:w="1637" w:type="dxa"/>
            <w:noWrap w:val="0"/>
            <w:vAlign w:val="center"/>
          </w:tcPr>
          <w:p w14:paraId="2C6B96F2">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电话：</w:t>
            </w:r>
          </w:p>
        </w:tc>
        <w:tc>
          <w:tcPr>
            <w:tcW w:w="2805" w:type="dxa"/>
            <w:noWrap w:val="0"/>
            <w:vAlign w:val="center"/>
          </w:tcPr>
          <w:p w14:paraId="2CC566F4">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0570-8787889</w:t>
            </w:r>
          </w:p>
        </w:tc>
      </w:tr>
      <w:tr w14:paraId="0946C565">
        <w:tblPrEx>
          <w:tblCellMar>
            <w:top w:w="0" w:type="dxa"/>
            <w:left w:w="108" w:type="dxa"/>
            <w:bottom w:w="0" w:type="dxa"/>
            <w:right w:w="108" w:type="dxa"/>
          </w:tblCellMar>
        </w:tblPrEx>
        <w:trPr>
          <w:trHeight w:val="502" w:hRule="atLeast"/>
          <w:jc w:val="center"/>
        </w:trPr>
        <w:tc>
          <w:tcPr>
            <w:tcW w:w="1209" w:type="dxa"/>
            <w:noWrap w:val="0"/>
            <w:vAlign w:val="center"/>
          </w:tcPr>
          <w:p w14:paraId="45041C95">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电子邮件：</w:t>
            </w:r>
          </w:p>
        </w:tc>
        <w:tc>
          <w:tcPr>
            <w:tcW w:w="3362" w:type="dxa"/>
            <w:noWrap w:val="0"/>
            <w:vAlign w:val="center"/>
          </w:tcPr>
          <w:p w14:paraId="5D7DB620">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598078062@qq.com</w:t>
            </w:r>
          </w:p>
        </w:tc>
        <w:tc>
          <w:tcPr>
            <w:tcW w:w="1637" w:type="dxa"/>
            <w:noWrap w:val="0"/>
            <w:vAlign w:val="center"/>
          </w:tcPr>
          <w:p w14:paraId="6D5B95B1">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电子邮件：</w:t>
            </w:r>
          </w:p>
        </w:tc>
        <w:tc>
          <w:tcPr>
            <w:tcW w:w="2805" w:type="dxa"/>
            <w:noWrap w:val="0"/>
            <w:vAlign w:val="center"/>
          </w:tcPr>
          <w:p w14:paraId="42B37DEB">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u w:val="none"/>
                <w:lang w:val="en-US" w:eastAsia="zh-CN"/>
              </w:rPr>
              <w:fldChar w:fldCharType="begin"/>
            </w:r>
            <w:r>
              <w:rPr>
                <w:rFonts w:hint="eastAsia" w:ascii="宋体" w:hAnsi="宋体" w:cs="Times New Roman"/>
                <w:color w:val="auto"/>
                <w:szCs w:val="21"/>
                <w:highlight w:val="none"/>
                <w:u w:val="none"/>
                <w:lang w:val="en-US" w:eastAsia="zh-CN"/>
              </w:rPr>
              <w:instrText xml:space="preserve"> HYPERLINK "mailto:2934727025@qq.com" </w:instrText>
            </w:r>
            <w:r>
              <w:rPr>
                <w:rFonts w:hint="eastAsia" w:ascii="宋体" w:hAnsi="宋体" w:cs="Times New Roman"/>
                <w:color w:val="auto"/>
                <w:szCs w:val="21"/>
                <w:highlight w:val="none"/>
                <w:u w:val="none"/>
                <w:lang w:val="en-US" w:eastAsia="zh-CN"/>
              </w:rPr>
              <w:fldChar w:fldCharType="separate"/>
            </w:r>
            <w:r>
              <w:rPr>
                <w:rStyle w:val="13"/>
                <w:rFonts w:hint="eastAsia" w:ascii="宋体" w:hAnsi="宋体" w:cs="Times New Roman"/>
                <w:szCs w:val="21"/>
                <w:highlight w:val="none"/>
                <w:u w:val="none"/>
                <w:lang w:val="en-US" w:eastAsia="zh-CN"/>
              </w:rPr>
              <w:t>68705727@qq.com</w:t>
            </w:r>
            <w:r>
              <w:rPr>
                <w:rFonts w:hint="eastAsia" w:ascii="宋体" w:hAnsi="宋体" w:cs="Times New Roman"/>
                <w:color w:val="auto"/>
                <w:szCs w:val="21"/>
                <w:highlight w:val="none"/>
                <w:u w:val="none"/>
                <w:lang w:val="en-US" w:eastAsia="zh-CN"/>
              </w:rPr>
              <w:fldChar w:fldCharType="end"/>
            </w:r>
          </w:p>
        </w:tc>
      </w:tr>
      <w:tr w14:paraId="66BFFFB8">
        <w:tblPrEx>
          <w:tblCellMar>
            <w:top w:w="0" w:type="dxa"/>
            <w:left w:w="108" w:type="dxa"/>
            <w:bottom w:w="0" w:type="dxa"/>
            <w:right w:w="108" w:type="dxa"/>
          </w:tblCellMar>
        </w:tblPrEx>
        <w:trPr>
          <w:trHeight w:val="533" w:hRule="atLeast"/>
          <w:jc w:val="center"/>
        </w:trPr>
        <w:tc>
          <w:tcPr>
            <w:tcW w:w="1209" w:type="dxa"/>
            <w:noWrap w:val="0"/>
            <w:vAlign w:val="center"/>
          </w:tcPr>
          <w:p w14:paraId="646F7DE4">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tc>
        <w:tc>
          <w:tcPr>
            <w:tcW w:w="3362" w:type="dxa"/>
            <w:noWrap w:val="0"/>
            <w:vAlign w:val="center"/>
          </w:tcPr>
          <w:p w14:paraId="1F3D0400">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w:t>
            </w:r>
          </w:p>
        </w:tc>
        <w:tc>
          <w:tcPr>
            <w:tcW w:w="1637" w:type="dxa"/>
            <w:noWrap w:val="0"/>
            <w:vAlign w:val="center"/>
          </w:tcPr>
          <w:p w14:paraId="6D61CEBB">
            <w:pPr>
              <w:keepNext w:val="0"/>
              <w:keepLines w:val="0"/>
              <w:suppressLineNumbers w:val="0"/>
              <w:shd w:val="clear" w:color="auto" w:fill="auto"/>
              <w:tabs>
                <w:tab w:val="left" w:pos="616"/>
              </w:tabs>
              <w:spacing w:before="0" w:beforeAutospacing="0" w:after="0" w:afterAutospacing="0" w:line="360" w:lineRule="auto"/>
              <w:ind w:left="0" w:right="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tc>
        <w:tc>
          <w:tcPr>
            <w:tcW w:w="2805" w:type="dxa"/>
            <w:noWrap w:val="0"/>
            <w:vAlign w:val="center"/>
          </w:tcPr>
          <w:p w14:paraId="3F6B44EB">
            <w:pPr>
              <w:keepNext w:val="0"/>
              <w:keepLines w:val="0"/>
              <w:suppressLineNumbers w:val="0"/>
              <w:shd w:val="clear" w:color="auto" w:fill="auto"/>
              <w:tabs>
                <w:tab w:val="left" w:pos="616"/>
              </w:tabs>
              <w:spacing w:before="0" w:beforeAutospacing="0" w:after="0" w:afterAutospacing="0" w:line="360" w:lineRule="auto"/>
              <w:ind w:left="0" w:right="0"/>
              <w:jc w:val="lef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w:t>
            </w:r>
          </w:p>
        </w:tc>
      </w:tr>
    </w:tbl>
    <w:p w14:paraId="7420A51E">
      <w:pPr>
        <w:shd w:val="clear" w:color="auto" w:fill="auto"/>
        <w:adjustRightInd w:val="0"/>
        <w:snapToGrid w:val="0"/>
        <w:spacing w:line="360" w:lineRule="auto"/>
        <w:jc w:val="center"/>
        <w:rPr>
          <w:rFonts w:hint="eastAsia" w:ascii="宋体" w:hAnsi="宋体" w:cs="宋体"/>
          <w:color w:val="auto"/>
          <w:highlight w:val="none"/>
          <w:lang w:val="en-US" w:eastAsia="zh-CN"/>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p>
    <w:p w14:paraId="5C22CF46">
      <w:pPr>
        <w:shd w:val="clear" w:color="auto" w:fill="auto"/>
        <w:adjustRightInd w:val="0"/>
        <w:snapToGrid w:val="0"/>
        <w:spacing w:line="360" w:lineRule="auto"/>
        <w:jc w:val="center"/>
        <w:rPr>
          <w:rFonts w:ascii="宋体" w:hAnsi="宋体" w:cs="宋体"/>
          <w:b/>
          <w:color w:val="auto"/>
          <w:kern w:val="44"/>
          <w:sz w:val="32"/>
          <w:szCs w:val="32"/>
          <w:highlight w:val="none"/>
        </w:rPr>
      </w:pPr>
      <w:r>
        <w:rPr>
          <w:rFonts w:hint="eastAsia" w:ascii="宋体" w:hAnsi="宋体" w:cs="宋体"/>
          <w:color w:val="auto"/>
          <w:highlight w:val="none"/>
          <w:lang w:val="en-US" w:eastAsia="zh-CN"/>
        </w:rPr>
        <w:t xml:space="preserve">                                      2025</w:t>
      </w:r>
      <w:r>
        <w:rPr>
          <w:rFonts w:hint="eastAsia" w:ascii="宋体" w:hAnsi="宋体" w:cs="宋体"/>
          <w:color w:val="auto"/>
          <w:highlight w:val="none"/>
        </w:rPr>
        <w:t>年</w:t>
      </w:r>
      <w:r>
        <w:rPr>
          <w:rFonts w:hint="eastAsia" w:ascii="宋体" w:hAnsi="宋体" w:cs="宋体"/>
          <w:color w:val="auto"/>
          <w:highlight w:val="none"/>
          <w:lang w:val="en-US" w:eastAsia="zh-CN"/>
        </w:rPr>
        <w:t xml:space="preserve"> 7  </w:t>
      </w:r>
      <w:r>
        <w:rPr>
          <w:rFonts w:hint="eastAsia" w:ascii="宋体" w:hAnsi="宋体" w:cs="宋体"/>
          <w:color w:val="auto"/>
          <w:highlight w:val="none"/>
        </w:rPr>
        <w:t>月</w:t>
      </w:r>
      <w:r>
        <w:rPr>
          <w:rFonts w:hint="eastAsia" w:ascii="宋体" w:hAnsi="宋体" w:cs="宋体"/>
          <w:color w:val="auto"/>
          <w:highlight w:val="none"/>
          <w:lang w:val="en-US" w:eastAsia="zh-CN"/>
        </w:rPr>
        <w:t xml:space="preserve">21  </w:t>
      </w:r>
      <w:r>
        <w:rPr>
          <w:rFonts w:hint="eastAsia" w:ascii="宋体" w:hAnsi="宋体" w:cs="宋体"/>
          <w:color w:val="auto"/>
          <w:highlight w:val="none"/>
        </w:rPr>
        <w:t>日</w:t>
      </w:r>
      <w:r>
        <w:rPr>
          <w:rFonts w:hint="eastAsia" w:ascii="宋体" w:hAnsi="宋体" w:cs="宋体"/>
          <w:b/>
          <w:color w:val="auto"/>
          <w:kern w:val="44"/>
          <w:sz w:val="36"/>
          <w:szCs w:val="36"/>
          <w:highlight w:val="none"/>
        </w:rPr>
        <w:br w:type="page"/>
      </w:r>
      <w:bookmarkStart w:id="37" w:name="_Toc29472"/>
      <w:r>
        <w:rPr>
          <w:rFonts w:hint="eastAsia" w:ascii="宋体" w:hAnsi="宋体" w:cs="宋体"/>
          <w:b/>
          <w:color w:val="auto"/>
          <w:kern w:val="44"/>
          <w:sz w:val="32"/>
          <w:szCs w:val="32"/>
          <w:highlight w:val="none"/>
        </w:rPr>
        <w:t>第二章  投标人须知</w:t>
      </w:r>
      <w:bookmarkEnd w:id="32"/>
      <w:bookmarkEnd w:id="33"/>
      <w:bookmarkEnd w:id="34"/>
      <w:bookmarkEnd w:id="35"/>
      <w:bookmarkEnd w:id="37"/>
    </w:p>
    <w:p w14:paraId="4BE6059D">
      <w:pPr>
        <w:keepNext/>
        <w:keepLines/>
        <w:shd w:val="clear" w:color="auto" w:fill="auto"/>
        <w:adjustRightInd w:val="0"/>
        <w:snapToGrid w:val="0"/>
        <w:spacing w:line="360" w:lineRule="auto"/>
        <w:jc w:val="center"/>
        <w:outlineLvl w:val="1"/>
        <w:rPr>
          <w:rFonts w:ascii="宋体" w:hAnsi="宋体" w:cs="宋体"/>
          <w:color w:val="auto"/>
          <w:sz w:val="24"/>
          <w:highlight w:val="none"/>
        </w:rPr>
      </w:pPr>
      <w:bookmarkStart w:id="38" w:name="_Toc144974496"/>
      <w:bookmarkStart w:id="39" w:name="_Toc152042304"/>
      <w:bookmarkStart w:id="40" w:name="_Toc247527552"/>
      <w:bookmarkStart w:id="41" w:name="_Toc152045528"/>
      <w:bookmarkStart w:id="42" w:name="_Toc247513951"/>
      <w:bookmarkStart w:id="43" w:name="_Toc300834948"/>
      <w:r>
        <w:rPr>
          <w:rFonts w:hint="eastAsia" w:ascii="宋体" w:hAnsi="宋体" w:cs="宋体"/>
          <w:bCs/>
          <w:color w:val="auto"/>
          <w:sz w:val="24"/>
          <w:highlight w:val="none"/>
        </w:rPr>
        <w:t>投标人须知前附表</w:t>
      </w:r>
      <w:bookmarkEnd w:id="38"/>
      <w:bookmarkEnd w:id="39"/>
      <w:bookmarkEnd w:id="40"/>
      <w:bookmarkEnd w:id="41"/>
      <w:bookmarkEnd w:id="42"/>
      <w:bookmarkEnd w:id="43"/>
    </w:p>
    <w:tbl>
      <w:tblPr>
        <w:tblStyle w:val="11"/>
        <w:tblW w:w="9835" w:type="dxa"/>
        <w:jc w:val="center"/>
        <w:tblLayout w:type="fixed"/>
        <w:tblCellMar>
          <w:top w:w="0" w:type="dxa"/>
          <w:left w:w="108" w:type="dxa"/>
          <w:bottom w:w="0" w:type="dxa"/>
          <w:right w:w="108" w:type="dxa"/>
        </w:tblCellMar>
      </w:tblPr>
      <w:tblGrid>
        <w:gridCol w:w="1011"/>
        <w:gridCol w:w="1862"/>
        <w:gridCol w:w="6962"/>
      </w:tblGrid>
      <w:tr w14:paraId="4846C978">
        <w:tblPrEx>
          <w:tblCellMar>
            <w:top w:w="0" w:type="dxa"/>
            <w:left w:w="108" w:type="dxa"/>
            <w:bottom w:w="0" w:type="dxa"/>
            <w:right w:w="108" w:type="dxa"/>
          </w:tblCellMar>
        </w:tblPrEx>
        <w:trPr>
          <w:trHeight w:val="49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B332CE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B1B740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6B432D1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17880AFA">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30BA0EB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90A5ABF">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EDBC0FC">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衢州市柯城区衢化街道办事处</w:t>
            </w:r>
          </w:p>
          <w:p w14:paraId="0C607982">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衢州市柯城区文昌路63号</w:t>
            </w:r>
          </w:p>
          <w:p w14:paraId="4BC3328C">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项目联系人：</w:t>
            </w:r>
            <w:r>
              <w:rPr>
                <w:rFonts w:hint="eastAsia" w:ascii="宋体" w:hAnsi="宋体" w:cs="宋体"/>
                <w:color w:val="auto"/>
                <w:sz w:val="21"/>
                <w:szCs w:val="21"/>
                <w:highlight w:val="none"/>
                <w:lang w:val="en-US" w:eastAsia="zh-CN"/>
              </w:rPr>
              <w:t>余先生</w:t>
            </w:r>
          </w:p>
          <w:p w14:paraId="58035D62">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lang w:val="en-US" w:eastAsia="zh-CN"/>
              </w:rPr>
              <w:t>0570-</w:t>
            </w:r>
            <w:r>
              <w:rPr>
                <w:rFonts w:hint="eastAsia" w:ascii="宋体" w:hAnsi="宋体" w:eastAsia="宋体" w:cs="宋体"/>
                <w:color w:val="auto"/>
                <w:sz w:val="21"/>
                <w:szCs w:val="21"/>
                <w:highlight w:val="none"/>
              </w:rPr>
              <w:t>3069208</w:t>
            </w:r>
          </w:p>
        </w:tc>
      </w:tr>
      <w:tr w14:paraId="5D63EA10">
        <w:tblPrEx>
          <w:tblCellMar>
            <w:top w:w="0" w:type="dxa"/>
            <w:left w:w="108" w:type="dxa"/>
            <w:bottom w:w="0" w:type="dxa"/>
            <w:right w:w="108" w:type="dxa"/>
          </w:tblCellMar>
        </w:tblPrEx>
        <w:trPr>
          <w:trHeight w:val="896"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6BC9F5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844032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2F38087">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cs="宋体"/>
                <w:color w:val="auto"/>
                <w:sz w:val="21"/>
                <w:szCs w:val="21"/>
                <w:highlight w:val="none"/>
                <w:lang w:eastAsia="zh-CN"/>
              </w:rPr>
              <w:t>大地工程咨询有限公司</w:t>
            </w:r>
          </w:p>
          <w:p w14:paraId="542FFD31">
            <w:pPr>
              <w:keepNext w:val="0"/>
              <w:keepLines w:val="0"/>
              <w:suppressLineNumbers w:val="0"/>
              <w:spacing w:before="0" w:beforeAutospacing="0" w:after="0" w:afterAutospacing="0" w:line="360" w:lineRule="auto"/>
              <w:ind w:left="0" w:right="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val="en-US" w:eastAsia="zh-CN"/>
              </w:rPr>
              <w:t>衢州市衢江区浮石街道杭长时代19幢三楼</w:t>
            </w:r>
          </w:p>
          <w:p w14:paraId="1C8217B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eastAsia="zh-CN"/>
              </w:rPr>
              <w:t>祝建霞</w:t>
            </w:r>
          </w:p>
          <w:p w14:paraId="2F0772B5">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电话：</w:t>
            </w:r>
            <w:r>
              <w:rPr>
                <w:rFonts w:hint="eastAsia" w:ascii="宋体" w:hAnsi="宋体" w:cs="宋体"/>
                <w:color w:val="auto"/>
                <w:sz w:val="21"/>
                <w:szCs w:val="21"/>
                <w:highlight w:val="none"/>
                <w:lang w:val="en-US" w:eastAsia="zh-CN"/>
              </w:rPr>
              <w:t>0570-8787889</w:t>
            </w:r>
          </w:p>
        </w:tc>
      </w:tr>
      <w:tr w14:paraId="3471A3D6">
        <w:tblPrEx>
          <w:tblCellMar>
            <w:top w:w="0" w:type="dxa"/>
            <w:left w:w="108" w:type="dxa"/>
            <w:bottom w:w="0" w:type="dxa"/>
            <w:right w:w="108" w:type="dxa"/>
          </w:tblCellMar>
        </w:tblPrEx>
        <w:trPr>
          <w:trHeight w:val="573"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FDA84B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C9B42F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60DE973B">
            <w:pPr>
              <w:keepNext w:val="0"/>
              <w:keepLines w:val="0"/>
              <w:suppressLineNumbers w:val="0"/>
              <w:shd w:val="clear" w:color="auto" w:fill="auto"/>
              <w:adjustRightInd w:val="0"/>
              <w:snapToGrid w:val="0"/>
              <w:spacing w:before="0" w:beforeAutospacing="0" w:after="0" w:afterAutospacing="0" w:line="360" w:lineRule="auto"/>
              <w:ind w:left="0" w:right="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220kV芳赤24M1线-芳柯24M2线、110kV赤黄1879线-赤州1881线迁改移位工程工程总承包(EPC)</w:t>
            </w:r>
          </w:p>
        </w:tc>
      </w:tr>
      <w:tr w14:paraId="42DE2D0B">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59B179A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D92D84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1030FD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位于柯城区</w:t>
            </w:r>
            <w:r>
              <w:rPr>
                <w:rFonts w:hint="eastAsia" w:ascii="宋体" w:hAnsi="宋体" w:eastAsia="宋体" w:cs="宋体"/>
                <w:color w:val="auto"/>
                <w:sz w:val="21"/>
                <w:szCs w:val="21"/>
                <w:highlight w:val="none"/>
                <w:lang w:val="en-US" w:eastAsia="zh-CN"/>
              </w:rPr>
              <w:t>衢化街道</w:t>
            </w:r>
            <w:r>
              <w:rPr>
                <w:rFonts w:hint="eastAsia" w:ascii="宋体" w:hAnsi="宋体" w:cs="宋体"/>
                <w:color w:val="auto"/>
                <w:sz w:val="21"/>
                <w:szCs w:val="21"/>
                <w:highlight w:val="none"/>
                <w:lang w:val="en-US" w:eastAsia="zh-CN"/>
              </w:rPr>
              <w:t xml:space="preserve">   </w:t>
            </w:r>
          </w:p>
        </w:tc>
      </w:tr>
      <w:tr w14:paraId="3A14CF33">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5053DC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3AC3A2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60EB10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除积极争取上级部门支持外，不足部分由区财政统筹解决</w:t>
            </w:r>
            <w:r>
              <w:rPr>
                <w:rFonts w:hint="eastAsia" w:ascii="宋体" w:hAnsi="宋体" w:eastAsia="宋体" w:cs="宋体"/>
                <w:color w:val="auto"/>
                <w:sz w:val="21"/>
                <w:szCs w:val="21"/>
                <w:highlight w:val="none"/>
              </w:rPr>
              <w:t>，100%</w:t>
            </w:r>
          </w:p>
        </w:tc>
      </w:tr>
      <w:tr w14:paraId="1C300608">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802F70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C303C9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CE6BDF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38913C6C">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D88B28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F654F9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BB0356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p>
        </w:tc>
      </w:tr>
      <w:tr w14:paraId="4A8D52C1">
        <w:tblPrEx>
          <w:tblCellMar>
            <w:top w:w="0" w:type="dxa"/>
            <w:left w:w="108" w:type="dxa"/>
            <w:bottom w:w="0" w:type="dxa"/>
            <w:right w:w="108" w:type="dxa"/>
          </w:tblCellMar>
        </w:tblPrEx>
        <w:trPr>
          <w:trHeight w:val="123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FB412B4">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E7C42F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937B38A">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计划工期：</w:t>
            </w:r>
            <w:r>
              <w:rPr>
                <w:rFonts w:hint="eastAsia" w:cs="宋体"/>
                <w:color w:val="auto"/>
                <w:sz w:val="21"/>
                <w:szCs w:val="21"/>
                <w:highlight w:val="none"/>
                <w:u w:val="single"/>
                <w:lang w:val="en-US" w:eastAsia="zh-CN"/>
              </w:rPr>
              <w:t>90</w:t>
            </w:r>
            <w:r>
              <w:rPr>
                <w:rFonts w:hint="eastAsia" w:ascii="宋体" w:hAnsi="宋体" w:eastAsia="宋体" w:cs="宋体"/>
                <w:color w:val="auto"/>
                <w:sz w:val="21"/>
                <w:szCs w:val="21"/>
                <w:highlight w:val="none"/>
                <w:lang w:eastAsia="zh-CN"/>
              </w:rPr>
              <w:t>个日历天（</w:t>
            </w:r>
            <w:r>
              <w:rPr>
                <w:rFonts w:hint="eastAsia" w:ascii="宋体" w:hAnsi="宋体" w:eastAsia="宋体" w:cs="宋体"/>
                <w:color w:val="auto"/>
                <w:sz w:val="21"/>
                <w:szCs w:val="21"/>
                <w:highlight w:val="none"/>
                <w:u w:val="single"/>
                <w:lang w:eastAsia="zh-CN"/>
              </w:rPr>
              <w:t>含施工图设计</w:t>
            </w:r>
            <w:r>
              <w:rPr>
                <w:rFonts w:hint="eastAsia" w:ascii="宋体" w:hAnsi="宋体" w:eastAsia="宋体" w:cs="宋体"/>
                <w:color w:val="auto"/>
                <w:sz w:val="21"/>
                <w:szCs w:val="21"/>
                <w:highlight w:val="none"/>
                <w:lang w:eastAsia="zh-CN"/>
              </w:rPr>
              <w:t>）。投标承诺工期不得超过该计划工期。</w:t>
            </w:r>
          </w:p>
          <w:p w14:paraId="0DF54315">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计划开始工作日期：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w:t>
            </w:r>
          </w:p>
          <w:p w14:paraId="0F7B3280">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计划开始现场施工日期：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w:t>
            </w:r>
          </w:p>
          <w:p w14:paraId="6B7CC499">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计划竣工日期：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 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日</w:t>
            </w:r>
          </w:p>
          <w:p w14:paraId="1E07B890">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kern w:val="2"/>
                <w:sz w:val="21"/>
                <w:szCs w:val="21"/>
                <w:highlight w:val="none"/>
                <w:u w:val="single"/>
                <w:lang w:val="en-US" w:eastAsia="zh-CN" w:bidi="ar"/>
              </w:rPr>
              <w:t>中标通知书发出后</w:t>
            </w:r>
            <w:r>
              <w:rPr>
                <w:rFonts w:hint="eastAsia" w:cs="宋体"/>
                <w:color w:val="auto"/>
                <w:kern w:val="2"/>
                <w:sz w:val="21"/>
                <w:szCs w:val="21"/>
                <w:highlight w:val="none"/>
                <w:u w:val="single"/>
                <w:lang w:val="en-US" w:eastAsia="zh-CN" w:bidi="ar"/>
              </w:rPr>
              <w:t>15</w:t>
            </w:r>
            <w:r>
              <w:rPr>
                <w:rFonts w:hint="eastAsia" w:ascii="宋体" w:hAnsi="宋体" w:eastAsia="宋体" w:cs="宋体"/>
                <w:color w:val="auto"/>
                <w:kern w:val="2"/>
                <w:sz w:val="21"/>
                <w:szCs w:val="21"/>
                <w:highlight w:val="none"/>
                <w:u w:val="single"/>
                <w:lang w:val="en-US" w:eastAsia="zh-CN" w:bidi="ar"/>
              </w:rPr>
              <w:t>日内完成施工图设计，施工图审查通过后</w:t>
            </w:r>
            <w:r>
              <w:rPr>
                <w:rFonts w:hint="eastAsia" w:cs="宋体"/>
                <w:color w:val="auto"/>
                <w:kern w:val="2"/>
                <w:sz w:val="21"/>
                <w:szCs w:val="21"/>
                <w:highlight w:val="none"/>
                <w:u w:val="single"/>
                <w:lang w:val="en-US" w:eastAsia="zh-CN" w:bidi="ar"/>
              </w:rPr>
              <w:t>15</w:t>
            </w:r>
            <w:r>
              <w:rPr>
                <w:rFonts w:hint="eastAsia" w:ascii="宋体" w:hAnsi="宋体" w:eastAsia="宋体" w:cs="宋体"/>
                <w:color w:val="auto"/>
                <w:kern w:val="2"/>
                <w:sz w:val="21"/>
                <w:szCs w:val="21"/>
                <w:highlight w:val="none"/>
                <w:u w:val="single"/>
                <w:lang w:val="en-US" w:eastAsia="zh-CN" w:bidi="ar"/>
              </w:rPr>
              <w:t>日内完成施工图预算</w:t>
            </w:r>
            <w:r>
              <w:rPr>
                <w:rFonts w:hint="eastAsia" w:ascii="宋体" w:hAnsi="宋体"/>
                <w:color w:val="auto"/>
                <w:sz w:val="21"/>
                <w:szCs w:val="21"/>
                <w:u w:val="single"/>
                <w:lang w:val="en-US" w:eastAsia="zh-CN"/>
              </w:rPr>
              <w:t>及评审</w:t>
            </w:r>
            <w:r>
              <w:rPr>
                <w:rFonts w:hint="eastAsia" w:ascii="宋体" w:hAnsi="宋体" w:eastAsia="宋体" w:cs="宋体"/>
                <w:color w:val="auto"/>
                <w:kern w:val="2"/>
                <w:sz w:val="21"/>
                <w:szCs w:val="21"/>
                <w:highlight w:val="none"/>
                <w:u w:val="single"/>
                <w:lang w:val="en-US" w:eastAsia="zh-CN" w:bidi="ar"/>
              </w:rPr>
              <w:t>。</w:t>
            </w:r>
            <w:r>
              <w:rPr>
                <w:rFonts w:hint="eastAsia" w:cs="宋体"/>
                <w:color w:val="auto"/>
                <w:kern w:val="2"/>
                <w:sz w:val="21"/>
                <w:szCs w:val="21"/>
                <w:highlight w:val="none"/>
                <w:u w:val="single"/>
                <w:lang w:val="en-US" w:eastAsia="zh-CN" w:bidi="ar"/>
              </w:rPr>
              <w:t xml:space="preserve"> </w:t>
            </w:r>
          </w:p>
        </w:tc>
      </w:tr>
      <w:tr w14:paraId="5DFBC0B7">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72BA9A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0078A7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24DB4C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设计质量标准：满足国家、行业及地方现行技术标准、设计规范及初步设计图纸的要求；</w:t>
            </w:r>
          </w:p>
          <w:p w14:paraId="6ACF952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工程所有物资（设备） 采购质量标准：符合招标文件、设计图纸及有关标准、规范的要求、进场前组织样品确认后，方可使用；</w:t>
            </w:r>
          </w:p>
          <w:p w14:paraId="2D17D80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施工质量标准：符合国家、行业及地方现行建设工程施工质量验收规范和标准及施工图纸要求，一次性验收合格。</w:t>
            </w:r>
          </w:p>
        </w:tc>
      </w:tr>
      <w:tr w14:paraId="2C9596AA">
        <w:tblPrEx>
          <w:tblCellMar>
            <w:top w:w="0" w:type="dxa"/>
            <w:left w:w="108" w:type="dxa"/>
            <w:bottom w:w="0" w:type="dxa"/>
            <w:right w:w="108" w:type="dxa"/>
          </w:tblCellMar>
        </w:tblPrEx>
        <w:trPr>
          <w:trHeight w:val="603"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E84853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AF95D7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投标人资质条件、能力和信誉</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24F9146">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p w14:paraId="72803670">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□见投标邀请书内容</w:t>
            </w:r>
          </w:p>
        </w:tc>
      </w:tr>
      <w:tr w14:paraId="44865E8E">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13B2E5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B84F5A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CB4075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p w14:paraId="1DCF77D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☑接受。应满足下列要求：见☑招标公告□投标邀请书及投标人须知相应条款内容要求。</w:t>
            </w:r>
          </w:p>
        </w:tc>
      </w:tr>
      <w:tr w14:paraId="1482215C">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D579F2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470803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联合体投标其他要求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7BC0E15">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1.招标人支付项目各项费用的对象约定：</w:t>
            </w:r>
          </w:p>
          <w:p w14:paraId="0AFEAA87">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（1）各项费用由招标人直接支付给牵头人，再由牵头人按工作内容分配；</w:t>
            </w:r>
          </w:p>
          <w:p w14:paraId="0572D103">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（2）各项费用由招标人按联合体成员职责分工，分别支付给联合体各成员；</w:t>
            </w:r>
          </w:p>
          <w:p w14:paraId="1BE39439">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□（3）中标后由发承包双方另行约定；</w:t>
            </w:r>
          </w:p>
          <w:p w14:paraId="6FE2D201">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□（4）其他约定：            。</w:t>
            </w:r>
          </w:p>
          <w:p w14:paraId="5614C3E6">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r>
              <w:rPr>
                <w:rFonts w:hint="eastAsia" w:ascii="宋体" w:hAnsi="宋体" w:eastAsia="宋体" w:cs="宋体"/>
                <w:color w:val="auto"/>
                <w:sz w:val="21"/>
                <w:szCs w:val="21"/>
                <w:highlight w:val="none"/>
                <w:u w:val="single"/>
              </w:rPr>
              <w:t xml:space="preserve">：见招标公告内容 </w:t>
            </w:r>
            <w:r>
              <w:rPr>
                <w:rFonts w:hint="eastAsia" w:ascii="宋体" w:hAnsi="宋体" w:eastAsia="宋体" w:cs="宋体"/>
                <w:color w:val="auto"/>
                <w:sz w:val="21"/>
                <w:szCs w:val="21"/>
                <w:highlight w:val="none"/>
              </w:rPr>
              <w:t>。</w:t>
            </w:r>
          </w:p>
        </w:tc>
      </w:tr>
      <w:tr w14:paraId="558D342F">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C265C7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1BE76C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设计成果补偿</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741DCD2">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☑不补偿</w:t>
            </w:r>
          </w:p>
          <w:p w14:paraId="5519ED99">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□补偿，补偿标准：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6AFC699C">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B56F0CF">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9C8D2EF">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C89A767">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☑投标人自行踏勘。</w:t>
            </w:r>
          </w:p>
          <w:p w14:paraId="139EF3A8">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□由招标人组织，时间和地点：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633A644">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联系人和联系电话：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633452FF">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8305B9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991230B">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A1CAE3F">
            <w:pPr>
              <w:keepNext w:val="0"/>
              <w:keepLines w:val="0"/>
              <w:suppressLineNumbers w:val="0"/>
              <w:shd w:val="clear" w:color="auto" w:fill="auto"/>
              <w:topLinePunct/>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p w14:paraId="45C3AF17">
            <w:pPr>
              <w:keepNext w:val="0"/>
              <w:keepLines w:val="0"/>
              <w:suppressLineNumbers w:val="0"/>
              <w:shd w:val="clear" w:color="auto" w:fill="auto"/>
              <w:topLinePunct/>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5E1B6404">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620239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5C6432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7626C9D">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截止时间：</w:t>
            </w:r>
            <w:r>
              <w:rPr>
                <w:rFonts w:hint="eastAsia" w:ascii="宋体" w:hAnsi="宋体" w:eastAsia="宋体" w:cs="宋体"/>
                <w:color w:val="auto"/>
                <w:sz w:val="21"/>
                <w:szCs w:val="21"/>
                <w:highlight w:val="none"/>
                <w:u w:val="single"/>
                <w:lang w:val="en-US" w:eastAsia="zh-CN"/>
              </w:rPr>
              <w:t xml:space="preserve"> 2025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8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5  </w:t>
            </w:r>
            <w:r>
              <w:rPr>
                <w:rFonts w:hint="eastAsia" w:ascii="宋体" w:hAnsi="宋体" w:eastAsia="宋体" w:cs="宋体"/>
                <w:color w:val="auto"/>
                <w:sz w:val="21"/>
                <w:szCs w:val="21"/>
                <w:highlight w:val="none"/>
              </w:rPr>
              <w:t>日</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u w:val="single"/>
                <w:lang w:val="en-US" w:eastAsia="zh-CN"/>
              </w:rPr>
              <w:t>17</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en-US" w:eastAsia="zh-CN"/>
              </w:rPr>
              <w:t>00</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时</w:t>
            </w:r>
          </w:p>
          <w:p w14:paraId="2A0A0593">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提交方式：</w:t>
            </w:r>
            <w:r>
              <w:rPr>
                <w:rFonts w:hint="eastAsia" w:ascii="宋体" w:hAnsi="宋体" w:eastAsia="宋体" w:cs="宋体"/>
                <w:color w:val="auto"/>
                <w:kern w:val="0"/>
                <w:sz w:val="21"/>
                <w:szCs w:val="21"/>
                <w:highlight w:val="none"/>
                <w:u w:val="single"/>
                <w:lang w:val="zh-CN"/>
              </w:rPr>
              <w:t>登录</w:t>
            </w:r>
            <w:r>
              <w:rPr>
                <w:rFonts w:hint="eastAsia" w:ascii="宋体" w:hAnsi="宋体" w:eastAsia="宋体" w:cs="宋体"/>
                <w:color w:val="auto"/>
                <w:sz w:val="21"/>
                <w:szCs w:val="21"/>
                <w:highlight w:val="none"/>
                <w:u w:val="single"/>
              </w:rPr>
              <w:t>衢州市公共资源电子交易系统（http://ggzy.qz.gov.cn/）</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zh-CN"/>
              </w:rPr>
              <w:t>业务办理</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zh-CN"/>
              </w:rPr>
              <w:t>我要投标</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zh-CN"/>
              </w:rPr>
              <w:t>提出质疑。</w:t>
            </w:r>
            <w:r>
              <w:rPr>
                <w:rFonts w:hint="eastAsia" w:ascii="宋体" w:hAnsi="宋体" w:eastAsia="宋体" w:cs="宋体"/>
                <w:color w:val="auto"/>
                <w:kern w:val="0"/>
                <w:sz w:val="21"/>
                <w:szCs w:val="21"/>
                <w:highlight w:val="none"/>
                <w:lang w:val="zh-CN"/>
              </w:rPr>
              <w:t xml:space="preserve">                              </w:t>
            </w:r>
          </w:p>
          <w:p w14:paraId="131FD77D">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联系方式：</w:t>
            </w:r>
            <w:r>
              <w:rPr>
                <w:rFonts w:hint="eastAsia" w:ascii="宋体" w:hAnsi="宋体" w:cs="宋体"/>
                <w:color w:val="auto"/>
                <w:kern w:val="0"/>
                <w:sz w:val="21"/>
                <w:szCs w:val="21"/>
                <w:highlight w:val="none"/>
                <w:u w:val="single"/>
                <w:lang w:val="en-US" w:eastAsia="zh-CN"/>
              </w:rPr>
              <w:t>祝建霞</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lang w:val="zh-CN"/>
              </w:rPr>
              <w:t>；  联系人：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rPr>
              <w:t>0570-8787889/13186726868</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w:t>
            </w:r>
          </w:p>
        </w:tc>
      </w:tr>
      <w:tr w14:paraId="2201C480">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C7C133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DE987F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w:t>
            </w:r>
          </w:p>
          <w:p w14:paraId="39F54AE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澄清、补充、修改的时间及下载网址</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171BE54">
            <w:pPr>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澄清、补充、修改的内容影响投标文件编制的，招标人将在投标截止时间15日前，在</w:t>
            </w:r>
            <w:r>
              <w:rPr>
                <w:rStyle w:val="15"/>
                <w:rFonts w:hint="eastAsia" w:ascii="宋体" w:hAnsi="宋体" w:eastAsia="宋体" w:cs="宋体"/>
                <w:color w:val="auto"/>
                <w:sz w:val="21"/>
                <w:szCs w:val="21"/>
                <w:highlight w:val="none"/>
                <w:u w:val="single"/>
              </w:rPr>
              <w:t>衢州市公共资源电子交易系统（http://ggzy.qz.gov.cn/）</w:t>
            </w:r>
            <w:r>
              <w:rPr>
                <w:rStyle w:val="15"/>
                <w:rFonts w:hint="eastAsia" w:ascii="宋体" w:hAnsi="宋体" w:eastAsia="宋体" w:cs="宋体"/>
                <w:color w:val="auto"/>
                <w:sz w:val="21"/>
                <w:szCs w:val="21"/>
                <w:highlight w:val="none"/>
              </w:rPr>
              <w:t>公布，并以电子文件形式上传至交易中心电子招投标交易平台供投标人下载，不足15日的，招标人将顺延递交投标文件的截止时间。</w:t>
            </w:r>
          </w:p>
          <w:p w14:paraId="64E1EEF3">
            <w:pPr>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澄清、补充、修改的内容不影响投标文件编制的，将在投标文件递交截止时间</w:t>
            </w:r>
            <w:r>
              <w:rPr>
                <w:rStyle w:val="15"/>
                <w:rFonts w:hint="eastAsia" w:ascii="宋体" w:hAnsi="宋体" w:eastAsia="宋体" w:cs="宋体"/>
                <w:color w:val="auto"/>
                <w:sz w:val="21"/>
                <w:szCs w:val="21"/>
                <w:highlight w:val="none"/>
                <w:u w:val="single"/>
              </w:rPr>
              <w:t xml:space="preserve"> 3 </w:t>
            </w:r>
            <w:r>
              <w:rPr>
                <w:rStyle w:val="15"/>
                <w:rFonts w:hint="eastAsia" w:ascii="宋体" w:hAnsi="宋体" w:eastAsia="宋体" w:cs="宋体"/>
                <w:color w:val="auto"/>
                <w:sz w:val="21"/>
                <w:szCs w:val="21"/>
                <w:highlight w:val="none"/>
              </w:rPr>
              <w:t>日前，以上款相同的形式发布。</w:t>
            </w:r>
          </w:p>
          <w:p w14:paraId="7C3FBA51">
            <w:pPr>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公布网址：</w:t>
            </w:r>
            <w:r>
              <w:rPr>
                <w:rStyle w:val="15"/>
                <w:rFonts w:hint="eastAsia" w:ascii="宋体" w:hAnsi="宋体" w:eastAsia="宋体" w:cs="宋体"/>
                <w:color w:val="auto"/>
                <w:sz w:val="21"/>
                <w:szCs w:val="21"/>
                <w:highlight w:val="none"/>
                <w:u w:val="single"/>
              </w:rPr>
              <w:t>衢州市公共资源电子交易系统（http://ggzy.qz.gov.cn/）</w:t>
            </w:r>
          </w:p>
          <w:p w14:paraId="18124345">
            <w:pPr>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rPr>
            </w:pPr>
            <w:r>
              <w:rPr>
                <w:rStyle w:val="15"/>
                <w:rFonts w:hint="eastAsia" w:ascii="宋体" w:hAnsi="宋体" w:eastAsia="宋体" w:cs="宋体"/>
                <w:b/>
                <w:bCs/>
                <w:color w:val="auto"/>
                <w:sz w:val="21"/>
                <w:szCs w:val="21"/>
                <w:highlight w:val="none"/>
              </w:rPr>
              <w:t>注：</w:t>
            </w:r>
            <w:r>
              <w:rPr>
                <w:rStyle w:val="15"/>
                <w:rFonts w:hint="eastAsia" w:ascii="宋体" w:hAnsi="宋体" w:eastAsia="宋体" w:cs="宋体"/>
                <w:b/>
                <w:bCs/>
                <w:color w:val="auto"/>
                <w:sz w:val="21"/>
                <w:szCs w:val="21"/>
                <w:highlight w:val="none"/>
                <w:u w:val="single"/>
              </w:rPr>
              <w:t>潜在投标人应密切关注衢州市公共资源电子交易系统，如有补充文件，投标人必须下载最新补充文件并导入投标文件制作工具，否则制作的电子投标文件将无法开标。</w:t>
            </w:r>
          </w:p>
        </w:tc>
      </w:tr>
      <w:tr w14:paraId="001F24C0">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155C2A4">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9EC535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投标人拟分包的工作</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E92A35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5E9A72A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允许。分包的工程内容：允许，</w:t>
            </w:r>
          </w:p>
          <w:p w14:paraId="737459A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分包内容要求：经发包人同意，承包人可将本项目主体、关键性部位之外的施工工作进行分包。</w:t>
            </w:r>
          </w:p>
          <w:p w14:paraId="2A4D8F1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分包金额要求：无</w:t>
            </w:r>
          </w:p>
          <w:p w14:paraId="30DA825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对分包人的资质要求：分包人应符合国家法律规定的企业资质等级，且资格能力应与其分包工程的标准和规模相适应；</w:t>
            </w:r>
          </w:p>
        </w:tc>
      </w:tr>
      <w:tr w14:paraId="173392F6">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03CAE9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95831F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EBC6275">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579E760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  允许偏差的内容、偏差范围和幅度：</w:t>
            </w:r>
            <w:r>
              <w:rPr>
                <w:rFonts w:hint="eastAsia" w:ascii="宋体" w:hAnsi="宋体" w:eastAsia="宋体" w:cs="宋体"/>
                <w:color w:val="auto"/>
                <w:sz w:val="21"/>
                <w:szCs w:val="21"/>
                <w:highlight w:val="none"/>
                <w:u w:val="single"/>
              </w:rPr>
              <w:t>允许，</w:t>
            </w:r>
            <w:r>
              <w:rPr>
                <w:rFonts w:hint="eastAsia" w:ascii="宋体" w:hAnsi="宋体" w:eastAsia="宋体" w:cs="宋体"/>
                <w:color w:val="auto"/>
                <w:kern w:val="0"/>
                <w:sz w:val="21"/>
                <w:szCs w:val="21"/>
                <w:highlight w:val="none"/>
                <w:u w:val="single"/>
              </w:rPr>
              <w:t>偏离的内容、偏离范围和幅度：指标应优于“技术标准和要求”的要求，正偏离</w:t>
            </w:r>
            <w:r>
              <w:rPr>
                <w:rFonts w:hint="eastAsia" w:ascii="宋体" w:hAnsi="宋体" w:eastAsia="宋体" w:cs="宋体"/>
                <w:color w:val="auto"/>
                <w:kern w:val="0"/>
                <w:sz w:val="21"/>
                <w:szCs w:val="21"/>
                <w:highlight w:val="none"/>
              </w:rPr>
              <w:t>。</w:t>
            </w:r>
          </w:p>
        </w:tc>
      </w:tr>
      <w:tr w14:paraId="3294BC4F">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6E6F88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0DF9D73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构成招标文件的其他资料</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0FF185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1.招标控制价及明细（招标控制价所列数量不视为要求承包人实施的实际或准确的工程量，仅作为投标报价参考）； </w:t>
            </w:r>
          </w:p>
          <w:p w14:paraId="76B4349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sym w:font="Wingdings 2" w:char="00A3"/>
            </w:r>
            <w:r>
              <w:rPr>
                <w:rFonts w:hint="eastAsia" w:ascii="宋体" w:hAnsi="宋体" w:eastAsia="宋体" w:cs="宋体"/>
                <w:color w:val="auto"/>
                <w:kern w:val="0"/>
                <w:sz w:val="21"/>
                <w:szCs w:val="21"/>
                <w:highlight w:val="none"/>
              </w:rPr>
              <w:t>（1）本项目不具备公开完整项目建议书、可行性研究报告、初步设计文件的条件，故前期项目建议书、可行性研究报告、初步设计文件的编制单位及其评估单位不允许参与本工程总承包项目的投标。（适用政府投资项目）</w:t>
            </w:r>
          </w:p>
          <w:p w14:paraId="0CDBF52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（2）本项目已公开完整的项目建议书、可行性研究报告、初步设计文件,允许上述前期项目建议书、可行性研究报告、初步设计文件的编制单位及其评估单位参与本工程总承包项目的投标。（适用政府投资项目）</w:t>
            </w:r>
          </w:p>
          <w:p w14:paraId="326746E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□（3）其他：（招标人根据项目实际情况参照（1）（2）给予明确要求）。</w:t>
            </w:r>
          </w:p>
          <w:p w14:paraId="3B1472A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 其他：</w:t>
            </w:r>
            <w:r>
              <w:rPr>
                <w:rFonts w:hint="eastAsia" w:ascii="宋体" w:hAnsi="宋体" w:eastAsia="宋体" w:cs="宋体"/>
                <w:color w:val="auto"/>
                <w:kern w:val="0"/>
                <w:sz w:val="21"/>
                <w:szCs w:val="21"/>
                <w:highlight w:val="none"/>
                <w:u w:val="single"/>
              </w:rPr>
              <w:t>澄清、补充文件（如有）</w:t>
            </w:r>
            <w:r>
              <w:rPr>
                <w:rFonts w:hint="eastAsia" w:ascii="宋体" w:hAnsi="宋体" w:eastAsia="宋体" w:cs="宋体"/>
                <w:color w:val="auto"/>
                <w:kern w:val="0"/>
                <w:sz w:val="21"/>
                <w:szCs w:val="21"/>
                <w:highlight w:val="none"/>
              </w:rPr>
              <w:t>。</w:t>
            </w:r>
          </w:p>
        </w:tc>
      </w:tr>
      <w:tr w14:paraId="50B4C751">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7CE8BEF">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A244BB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800853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151948D3">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47F96E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E7C0AB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投标截止时间/电子投标文件上传截止时间</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62A918E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202</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b/>
                <w:bCs/>
                <w:color w:val="auto"/>
                <w:sz w:val="21"/>
                <w:szCs w:val="21"/>
                <w:highlight w:val="none"/>
              </w:rPr>
              <w:t>年</w:t>
            </w:r>
            <w:r>
              <w:rPr>
                <w:rFonts w:hint="eastAsia" w:ascii="宋体" w:hAnsi="宋体" w:cs="宋体"/>
                <w:b/>
                <w:bCs/>
                <w:color w:val="auto"/>
                <w:sz w:val="21"/>
                <w:szCs w:val="21"/>
                <w:highlight w:val="none"/>
                <w:u w:val="single"/>
                <w:lang w:val="en-US" w:eastAsia="zh-CN"/>
              </w:rPr>
              <w:t xml:space="preserve"> 8  </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u w:val="single"/>
                <w:lang w:val="en-US" w:eastAsia="zh-CN"/>
              </w:rPr>
              <w:t xml:space="preserve"> 21  </w:t>
            </w:r>
            <w:r>
              <w:rPr>
                <w:rFonts w:hint="eastAsia" w:ascii="宋体" w:hAnsi="宋体" w:eastAsia="宋体" w:cs="宋体"/>
                <w:b/>
                <w:bCs/>
                <w:color w:val="auto"/>
                <w:sz w:val="21"/>
                <w:szCs w:val="21"/>
                <w:highlight w:val="none"/>
              </w:rPr>
              <w:t>日</w:t>
            </w:r>
            <w:r>
              <w:rPr>
                <w:rFonts w:hint="eastAsia" w:ascii="宋体" w:hAnsi="宋体" w:eastAsia="宋体" w:cs="宋体"/>
                <w:b/>
                <w:bCs/>
                <w:color w:val="auto"/>
                <w:sz w:val="21"/>
                <w:szCs w:val="21"/>
                <w:highlight w:val="none"/>
                <w:u w:val="single"/>
              </w:rPr>
              <w:t xml:space="preserve"> 09</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u w:val="single"/>
              </w:rPr>
              <w:t xml:space="preserve"> 30 </w:t>
            </w:r>
            <w:r>
              <w:rPr>
                <w:rFonts w:hint="eastAsia" w:ascii="宋体" w:hAnsi="宋体" w:eastAsia="宋体" w:cs="宋体"/>
                <w:b/>
                <w:bCs/>
                <w:color w:val="auto"/>
                <w:sz w:val="21"/>
                <w:szCs w:val="21"/>
                <w:highlight w:val="none"/>
              </w:rPr>
              <w:t>分整（北京时间）</w:t>
            </w:r>
          </w:p>
        </w:tc>
      </w:tr>
      <w:tr w14:paraId="5EB1CB29">
        <w:tblPrEx>
          <w:tblCellMar>
            <w:top w:w="0" w:type="dxa"/>
            <w:left w:w="108" w:type="dxa"/>
            <w:bottom w:w="0" w:type="dxa"/>
            <w:right w:w="108" w:type="dxa"/>
          </w:tblCellMar>
        </w:tblPrEx>
        <w:trPr>
          <w:trHeight w:val="94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8A8004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4846D09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60AB07AA">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潜在投标人应自行关注衢州市公共资源电子交易系统（http://ggzy.qz.gov.cn/）公告，招标人不再一一通知。投标人因自身贻误行为导致投标失败的，责任自负。</w:t>
            </w:r>
          </w:p>
        </w:tc>
      </w:tr>
      <w:tr w14:paraId="49238CDD">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5025A4D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9AC3ED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投标文件组成</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00EC41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3.1.1资格审查资料</w:t>
            </w:r>
          </w:p>
          <w:p w14:paraId="10301F0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（1）封面；</w:t>
            </w:r>
          </w:p>
          <w:p w14:paraId="3490C3ED">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（2）资质资格证明材料；</w:t>
            </w:r>
          </w:p>
          <w:p w14:paraId="53129EA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（3）项目管理班子配备；</w:t>
            </w:r>
          </w:p>
          <w:p w14:paraId="4D4CE07C">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①项目管理班子配备情况表；</w:t>
            </w:r>
          </w:p>
          <w:p w14:paraId="5143862C">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②项目负责人简历表；</w:t>
            </w:r>
          </w:p>
          <w:p w14:paraId="5D0AA44F">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③施工负责人简历表；</w:t>
            </w:r>
          </w:p>
          <w:p w14:paraId="6EE63FB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④设计负责人简历表</w:t>
            </w:r>
            <w:r>
              <w:rPr>
                <w:rFonts w:hint="eastAsia" w:ascii="宋体" w:hAnsi="宋体" w:cs="宋体"/>
                <w:color w:val="auto"/>
                <w:kern w:val="0"/>
                <w:sz w:val="21"/>
                <w:szCs w:val="21"/>
                <w:highlight w:val="none"/>
                <w:lang w:eastAsia="zh-CN"/>
              </w:rPr>
              <w:t>；</w:t>
            </w:r>
          </w:p>
          <w:p w14:paraId="2085EC18">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33BDA250">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（5）联合体协议书（如有）；</w:t>
            </w:r>
          </w:p>
          <w:p w14:paraId="584C10A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（6）省外企业在“浙江省建筑市场监管公共服务系统”备案信息截图复制件；</w:t>
            </w:r>
          </w:p>
          <w:p w14:paraId="0F8B1D3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（7）促进农民就业承诺书；</w:t>
            </w:r>
          </w:p>
          <w:p w14:paraId="74D50396">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（8）招标人要求提交的其他资料(详见投标须知前附表)</w:t>
            </w:r>
          </w:p>
          <w:p w14:paraId="00A97A82">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3.1.2技术标主要包括下列内容</w:t>
            </w:r>
          </w:p>
          <w:p w14:paraId="4CED4F60">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具体按评标办法评审要求编制。</w:t>
            </w:r>
          </w:p>
          <w:p w14:paraId="753F5A03">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3.1.3投标人资信标主要包括下列内容（具体按评标办法评审要求编制）：</w:t>
            </w:r>
          </w:p>
          <w:p w14:paraId="08CAF9E2">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(1)投标人一般情况； □《中小企业声明函》</w:t>
            </w:r>
          </w:p>
          <w:p w14:paraId="58AF84F8">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(2)投标人资格审查业绩汇总表</w:t>
            </w:r>
            <w:r>
              <w:rPr>
                <w:rFonts w:hint="eastAsia" w:ascii="宋体" w:hAnsi="宋体" w:cs="宋体"/>
                <w:color w:val="auto"/>
                <w:kern w:val="0"/>
                <w:sz w:val="21"/>
                <w:szCs w:val="21"/>
                <w:highlight w:val="none"/>
                <w:lang w:eastAsia="zh-CN"/>
              </w:rPr>
              <w:t>；</w:t>
            </w:r>
          </w:p>
          <w:p w14:paraId="4B24B783">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招标人要求提交的其他资料(详见投标须知前附表)。</w:t>
            </w:r>
          </w:p>
          <w:p w14:paraId="067F973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3.1.4商务标主要内容包括下列内容：</w:t>
            </w:r>
          </w:p>
          <w:p w14:paraId="3A99652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3.1.4.1投标函及商务标相关附件：</w:t>
            </w:r>
          </w:p>
          <w:p w14:paraId="32011B38">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（1）法定代表人资格证明书；</w:t>
            </w:r>
          </w:p>
          <w:p w14:paraId="1B01CE29">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（2）法定代表人授权委托书、参加开标会议委托书参考格式；</w:t>
            </w:r>
          </w:p>
          <w:p w14:paraId="33E4DFD5">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（3）投标函；</w:t>
            </w:r>
          </w:p>
          <w:p w14:paraId="4295FEDC">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（4）投标函附录；</w:t>
            </w:r>
          </w:p>
          <w:p w14:paraId="784564F6">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（5）投标承诺书；</w:t>
            </w:r>
          </w:p>
          <w:p w14:paraId="65D2770E">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（6）招标文件要求投标人提交的其它投标资料(详见投标须知前附表)</w:t>
            </w:r>
            <w:r>
              <w:rPr>
                <w:rFonts w:hint="eastAsia" w:ascii="宋体" w:hAnsi="宋体" w:eastAsia="宋体" w:cs="宋体"/>
                <w:color w:val="auto"/>
                <w:kern w:val="0"/>
                <w:sz w:val="21"/>
                <w:szCs w:val="21"/>
                <w:highlight w:val="none"/>
                <w:lang w:eastAsia="zh-CN"/>
              </w:rPr>
              <w:t>。</w:t>
            </w:r>
          </w:p>
          <w:p w14:paraId="563AF416">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3.1.5招标公告（或投标邀请书）规定不接受联合体投标的，或投标人没有组成联合体的，投标文件不包括联合体协议书。</w:t>
            </w:r>
          </w:p>
          <w:p w14:paraId="30254C9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3.1.6招标文件要求投标人提交的其它投标资料(见投标须知前附表）</w:t>
            </w:r>
          </w:p>
          <w:p w14:paraId="62DA4B57">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投标文件由资格审查标、技术标、资信标、商务标四部分组成。资格审查标、技术标、资信标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商务标</w:t>
            </w:r>
            <w:r>
              <w:rPr>
                <w:rFonts w:hint="eastAsia" w:ascii="宋体" w:hAnsi="宋体" w:eastAsia="宋体" w:cs="宋体"/>
                <w:color w:val="auto"/>
                <w:kern w:val="0"/>
                <w:sz w:val="21"/>
                <w:szCs w:val="21"/>
                <w:highlight w:val="none"/>
              </w:rPr>
              <w:t>上传至</w:t>
            </w:r>
            <w:r>
              <w:rPr>
                <w:rFonts w:hint="eastAsia" w:ascii="宋体" w:hAnsi="宋体" w:cs="宋体"/>
                <w:color w:val="auto"/>
                <w:kern w:val="0"/>
                <w:sz w:val="21"/>
                <w:szCs w:val="21"/>
                <w:highlight w:val="none"/>
                <w:lang w:val="en-US" w:eastAsia="zh-CN"/>
              </w:rPr>
              <w:t>相应</w:t>
            </w:r>
            <w:r>
              <w:rPr>
                <w:rFonts w:hint="eastAsia" w:ascii="宋体" w:hAnsi="宋体" w:eastAsia="宋体" w:cs="宋体"/>
                <w:color w:val="auto"/>
                <w:kern w:val="0"/>
                <w:sz w:val="21"/>
                <w:szCs w:val="21"/>
                <w:highlight w:val="none"/>
              </w:rPr>
              <w:t>模块</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具体见投标人须知正文部分3.1条规定。</w:t>
            </w:r>
          </w:p>
          <w:p w14:paraId="7D4BE720">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（注：中标公示结束后，中标人应按招标人要求的份数免费提供投标文件副本。）</w:t>
            </w:r>
          </w:p>
        </w:tc>
      </w:tr>
      <w:tr w14:paraId="1BA10CE2">
        <w:tblPrEx>
          <w:tblCellMar>
            <w:top w:w="0" w:type="dxa"/>
            <w:left w:w="108" w:type="dxa"/>
            <w:bottom w:w="0" w:type="dxa"/>
            <w:right w:w="108" w:type="dxa"/>
          </w:tblCellMar>
        </w:tblPrEx>
        <w:trPr>
          <w:trHeight w:val="53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471A96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3.1.6</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B25060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1F9052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2BB15FC0">
        <w:tblPrEx>
          <w:tblCellMar>
            <w:top w:w="0" w:type="dxa"/>
            <w:left w:w="108" w:type="dxa"/>
            <w:bottom w:w="0" w:type="dxa"/>
            <w:right w:w="108" w:type="dxa"/>
          </w:tblCellMar>
        </w:tblPrEx>
        <w:trPr>
          <w:trHeight w:val="69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190744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259D8F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投标最高限价</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E8540D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1.最高投标限价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万元，其中设计费限价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（该费用为不可竞争性报价，</w:t>
            </w:r>
            <w:r>
              <w:rPr>
                <w:rFonts w:hint="eastAsia" w:ascii="宋体" w:hAnsi="宋体" w:eastAsia="宋体" w:cs="宋体"/>
                <w:color w:val="auto"/>
                <w:sz w:val="21"/>
                <w:szCs w:val="21"/>
                <w:highlight w:val="none"/>
                <w:lang w:val="en-US" w:eastAsia="zh-CN"/>
              </w:rPr>
              <w:t>投标人改变</w:t>
            </w:r>
            <w:r>
              <w:rPr>
                <w:rFonts w:hint="eastAsia" w:ascii="宋体" w:hAnsi="宋体" w:eastAsia="宋体" w:cs="宋体"/>
                <w:color w:val="auto"/>
                <w:sz w:val="21"/>
                <w:szCs w:val="21"/>
                <w:highlight w:val="none"/>
              </w:rPr>
              <w:t>设计费</w:t>
            </w:r>
            <w:r>
              <w:rPr>
                <w:rFonts w:hint="eastAsia" w:ascii="宋体" w:hAnsi="宋体" w:eastAsia="宋体" w:cs="宋体"/>
                <w:color w:val="auto"/>
                <w:sz w:val="21"/>
                <w:szCs w:val="21"/>
                <w:highlight w:val="none"/>
                <w:lang w:val="en-US" w:eastAsia="zh-CN"/>
              </w:rPr>
              <w:t>报价的，做无效标处理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，建安工程费限价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val="en-US" w:eastAsia="zh-CN"/>
              </w:rPr>
              <w:t>（含</w:t>
            </w:r>
            <w:r>
              <w:rPr>
                <w:rFonts w:hint="eastAsia" w:ascii="宋体" w:hAnsi="宋体" w:eastAsia="宋体" w:cs="宋体"/>
                <w:color w:val="auto"/>
                <w:sz w:val="21"/>
                <w:szCs w:val="21"/>
                <w:highlight w:val="none"/>
              </w:rPr>
              <w:t>暂估价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税前）。</w:t>
            </w:r>
          </w:p>
          <w:p w14:paraId="1EC32E0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2.最高投标限价在招标文件澄清或修改文件中发布；</w:t>
            </w:r>
          </w:p>
          <w:p w14:paraId="250ECC2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3.招标控制价人民币（大写）：           (￥         ) 暂列金额人民币（大写）：           (￥        )暂估价人民币（大写）：           (￥        ) 。最高投标限价的计算方法：最高投标限价=（招标控制价-暂列金额-暂估价）×（1-下浮值）+暂列金额+暂估价，下浮值由招标人在开标时从    、   、   、   、   等      个数组成的等差数列中随机抽取其中一值作为下浮值 ”的方式确定，投标报价不得超过最高限价。（招标人在编制招标文件时从      % ……      %等      个数中确定一组其中      个数组成的等差数列）。</w:t>
            </w:r>
          </w:p>
          <w:p w14:paraId="08137DB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4.风险控制价；为防止投标人恶意低价竞标，最高投标限价的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rPr>
              <w:t>%作为风险控制价（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万元,其中施工图设计费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万元（不可竞争，结算时不作调整））；</w:t>
            </w:r>
          </w:p>
          <w:p w14:paraId="239B5B6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□5.其他：招标控制价    万元。</w:t>
            </w:r>
          </w:p>
        </w:tc>
      </w:tr>
      <w:tr w14:paraId="2DB9FCC9">
        <w:tblPrEx>
          <w:tblCellMar>
            <w:top w:w="0" w:type="dxa"/>
            <w:left w:w="108" w:type="dxa"/>
            <w:bottom w:w="0" w:type="dxa"/>
            <w:right w:w="108" w:type="dxa"/>
          </w:tblCellMar>
        </w:tblPrEx>
        <w:trPr>
          <w:trHeight w:val="303"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7C8161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976775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1FCD18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1.投标人可依据项目清单及招标文件中总承包所承担的工作范围和工作界面明确报价费用。</w:t>
            </w:r>
          </w:p>
          <w:p w14:paraId="51D7FA5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p>
          <w:p w14:paraId="1793F149">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1、本项目严格按照审定概算工程费用及招标文件的要求进行限额设计【注：最终以财政评审</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第三方造价审核单位</w:t>
            </w:r>
            <w:r>
              <w:rPr>
                <w:rFonts w:hint="eastAsia" w:ascii="宋体" w:hAnsi="宋体" w:eastAsia="宋体" w:cs="宋体"/>
                <w:color w:val="auto"/>
                <w:sz w:val="21"/>
                <w:szCs w:val="21"/>
                <w:highlight w:val="none"/>
                <w:lang w:val="en-US" w:eastAsia="zh-CN"/>
              </w:rPr>
              <w:t>审定价格</w:t>
            </w:r>
            <w:r>
              <w:rPr>
                <w:rFonts w:hint="eastAsia" w:ascii="宋体" w:hAnsi="宋体" w:eastAsia="宋体" w:cs="宋体"/>
                <w:color w:val="auto"/>
                <w:sz w:val="21"/>
                <w:szCs w:val="21"/>
                <w:highlight w:val="none"/>
              </w:rPr>
              <w:t>为准，下同】。本项目工程费用设计限额为概算审定工程费用（不含设计费），施工图预算评审价（下浮前）不得超出设计限额，超出部分由承包人承担，发包人不予支付。</w:t>
            </w:r>
          </w:p>
          <w:p w14:paraId="54FCBF68">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2、投标人按金额进行报价，报价超出最高限价的作无效标处理。</w:t>
            </w:r>
          </w:p>
          <w:p w14:paraId="15A080DC">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施工图预算编制：按发包人审核后且施工图审查通过后的图纸作为预算编制依据，原则上不得对施工图进行修改，使用功能、标准、做法需在施工图审查前，征得发包人同意。若承包人对施工图纸进行完善、调整须经发包人同意，否则不予认可。若因发包人需求改变等因素引起的变更将按实结算。因承包人原因引起的变更，造价增加的发包人不另行支付，造价减少的按实结算。（①、预算审核时因图纸表示不清、前后矛盾、做法不明确等无法计算时，允许总承包单位、监理工程师及建设单位进行现场答疑会，答疑纪要可作为预算审核依据；②、若因承包人提出的对图纸进行提高标准（档次）、扩大范围、放大尺寸，引起费用增加的不予计取；③、若施工现场发现存在与施工图不符，如降低标准（档次）、偷工减料、缩小尺寸、未按图施工等情况进度款和结算时需扣除。人工费及材料价格按合同签订日所在月衢州市建设工程造价管理站发布的《衢州造价信息》正刊编制，如《衢州造价信息》上主要建筑材料无的，按照同期的《浙江造价信息》正刊编制。最终施工图预算经发包人委托第三方造价审核单位审定，施工图预算审定价不得超出设计限额，具体规定如下：</w:t>
            </w:r>
          </w:p>
          <w:p w14:paraId="6BAA3B8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（1）施工图预算按照工程量清单综合单价法计价。</w:t>
            </w:r>
          </w:p>
          <w:p w14:paraId="1B3E266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 xml:space="preserve">DLT5767-2018 </w:t>
            </w:r>
            <w:r>
              <w:rPr>
                <w:rFonts w:hint="eastAsia" w:ascii="宋体" w:hAnsi="宋体" w:cs="宋体"/>
                <w:color w:val="auto"/>
                <w:szCs w:val="21"/>
                <w:highlight w:val="none"/>
              </w:rPr>
              <w:t>电网技术改造工程工程量清单计价规范、</w:t>
            </w:r>
            <w:r>
              <w:rPr>
                <w:rFonts w:ascii="宋体" w:hAnsi="宋体" w:cs="宋体"/>
                <w:color w:val="auto"/>
                <w:szCs w:val="21"/>
                <w:highlight w:val="none"/>
              </w:rPr>
              <w:t>DLT5768-2018</w:t>
            </w:r>
            <w:r>
              <w:rPr>
                <w:rFonts w:hint="eastAsia" w:ascii="宋体" w:hAnsi="宋体" w:cs="宋体"/>
                <w:color w:val="auto"/>
                <w:szCs w:val="21"/>
                <w:highlight w:val="none"/>
              </w:rPr>
              <w:t>，电网技术改造工程工程量清单计算规范、电网技术改造工程预算定额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-建筑工程(2020版）、电网技术改造工程预算定额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-电气工程（2020版本）、电网技术改造工程预算定额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-架空线路工程（2020版）、电网技术改造工程预算定额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-电缆线路工程（2020版）、电网技术改造工程预算定额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-调试工程（2020版））、电网技术改造工程预算定额</w:t>
            </w:r>
            <w:r>
              <w:rPr>
                <w:rFonts w:ascii="宋体" w:hAnsi="宋体" w:cs="宋体"/>
                <w:color w:val="auto"/>
                <w:szCs w:val="21"/>
                <w:highlight w:val="none"/>
              </w:rPr>
              <w:t xml:space="preserve"> </w:t>
            </w:r>
            <w:r>
              <w:rPr>
                <w:rFonts w:hint="eastAsia" w:ascii="宋体" w:hAnsi="宋体" w:cs="宋体"/>
                <w:color w:val="auto"/>
                <w:szCs w:val="21"/>
                <w:highlight w:val="none"/>
              </w:rPr>
              <w:t>-通信工程（2020版））、</w:t>
            </w:r>
            <w:r>
              <w:rPr>
                <w:rFonts w:ascii="宋体" w:hAnsi="宋体" w:cs="宋体"/>
                <w:color w:val="auto"/>
                <w:szCs w:val="21"/>
                <w:highlight w:val="none"/>
              </w:rPr>
              <w:t>DLT5768-2018</w:t>
            </w:r>
            <w:r>
              <w:rPr>
                <w:rFonts w:hint="eastAsia" w:ascii="宋体" w:hAnsi="宋体" w:cs="宋体"/>
                <w:color w:val="auto"/>
                <w:szCs w:val="21"/>
                <w:highlight w:val="none"/>
              </w:rPr>
              <w:t>，电网技术改造工程工程量清单计算规范、②承包人提供项目审定后的施工图；③电力定额总站发布的补充文件，浙江省与衢州市有关补充规定编制、与本项目相关的标准、规范、技术资料、施工方案、图纸会审等有关资料。</w:t>
            </w:r>
          </w:p>
          <w:p w14:paraId="0C6AAEF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（3）施工图预算各类取费：电网技术改造工程预算编制与计算规定》，设计费依据：根据《工程勘察设计标准》2002修订本计算；</w:t>
            </w:r>
          </w:p>
          <w:p w14:paraId="757DB57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勘察费依据：根据《工程勘察设计收费标准》2002修订本计算；</w:t>
            </w:r>
          </w:p>
          <w:p w14:paraId="3B06103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社会保障费按《关于降低社会保险费率有关问题的通知》浙人社发【2019】20号文执行，住房公积金按浙电基【2008】467号《关于印发浙江省电力工程概预算定额价格水平调整办法及社会保障费、住房公积金计算办法的通知》社会保险费缴费费率采用27.1%计算，住房公积金缴费费率采用12%计算；工程税率执行电力工程造价与定额管理总站发布的《关于调整电力工程计价依据增值税税率的通知》定额[2019]13号文，费率9%。</w:t>
            </w:r>
          </w:p>
          <w:p w14:paraId="282AC79F">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color w:val="auto"/>
                <w:szCs w:val="21"/>
                <w:highlight w:val="none"/>
              </w:rPr>
              <w:t>（4）土建材料（如砂、石、水泥、</w:t>
            </w:r>
            <w:r>
              <w:rPr>
                <w:rFonts w:hint="eastAsia" w:ascii="宋体" w:hAnsi="宋体" w:cs="宋体"/>
                <w:szCs w:val="21"/>
                <w:highlight w:val="none"/>
              </w:rPr>
              <w:t>钢筋等地方性材料）价格（按合同签订日所在月衢州市建设工程造价管理站发布的《衢州造价信息》正刊），衢州市建设工程造价管理站发布的正刊信息价上主要建筑材料无的，按照同期的《浙江造价信息》正刊编制；对于塔材、导线、电缆、电缆附件、金具、耐张串、绝缘子、防坠落装置、设备等价格 ，根据招标文件提供的材料设备表，承包方投标报价时投标人报单价，作为预算编制价格依据，如因设计变更等因素新增合同外无价材料或设备，甲方、乙方、监理三方共同询价，作为计价依据。作为预算编制依据，人材机调差系数：电力工程造价与定额管理总站定额[2024]28号文</w:t>
            </w:r>
          </w:p>
          <w:p w14:paraId="3680A557">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（5）最终施工图预算经发包人委托第三方造价审核单位审定。</w:t>
            </w:r>
          </w:p>
          <w:p w14:paraId="2C79BEE4">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4、工程结算价</w:t>
            </w:r>
          </w:p>
          <w:p w14:paraId="3C9BB611">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（1）本项目工程结算价由工程设计费、工程费用</w:t>
            </w:r>
            <w:r>
              <w:rPr>
                <w:rFonts w:hint="eastAsia" w:ascii="宋体" w:hAnsi="宋体" w:eastAsia="宋体" w:cs="宋体"/>
                <w:color w:val="auto"/>
                <w:sz w:val="21"/>
                <w:szCs w:val="21"/>
                <w:highlight w:val="none"/>
                <w:lang w:eastAsia="zh-CN"/>
              </w:rPr>
              <w:t>两</w:t>
            </w:r>
            <w:r>
              <w:rPr>
                <w:rFonts w:hint="eastAsia" w:ascii="宋体" w:hAnsi="宋体" w:eastAsia="宋体" w:cs="宋体"/>
                <w:color w:val="auto"/>
                <w:sz w:val="21"/>
                <w:szCs w:val="21"/>
                <w:highlight w:val="none"/>
              </w:rPr>
              <w:t>部分组成，税金分别按国家现行规定缴纳，开具增值税专用发票。因政策性原因导致增值税税率变动，变动部分按实调整。</w:t>
            </w:r>
          </w:p>
          <w:p w14:paraId="2A00ADA9">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（2）本项目采用单价合同，工程费用最终结算价以竣工图为结算依据， </w:t>
            </w:r>
          </w:p>
          <w:p w14:paraId="4B8661C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按实结算；工程结算单价为：施工图审定预算单价×中标费率【中标费率=（工程费投标报价-税后暂估价）÷（审定概算工程费</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万元-税后暂估价）×100%，四舍五入保留两位小数）】。</w:t>
            </w:r>
          </w:p>
        </w:tc>
      </w:tr>
      <w:tr w14:paraId="70CC704E">
        <w:tblPrEx>
          <w:tblCellMar>
            <w:top w:w="0" w:type="dxa"/>
            <w:left w:w="108" w:type="dxa"/>
            <w:bottom w:w="0" w:type="dxa"/>
            <w:right w:w="108" w:type="dxa"/>
          </w:tblCellMar>
        </w:tblPrEx>
        <w:trPr>
          <w:trHeight w:val="509"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80991D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02C0B3C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E928D0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90日历天（从投标截止之日起算）</w:t>
            </w:r>
          </w:p>
        </w:tc>
      </w:tr>
      <w:tr w14:paraId="0040E03F">
        <w:tblPrEx>
          <w:tblCellMar>
            <w:top w:w="0" w:type="dxa"/>
            <w:left w:w="108" w:type="dxa"/>
            <w:bottom w:w="0" w:type="dxa"/>
            <w:right w:w="108" w:type="dxa"/>
          </w:tblCellMar>
        </w:tblPrEx>
        <w:trPr>
          <w:trHeight w:val="3861"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936438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035541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881AA6E">
            <w:pPr>
              <w:keepNext w:val="0"/>
              <w:keepLines w:val="0"/>
              <w:suppressLineNumbers w:val="0"/>
              <w:shd w:val="clear" w:color="auto" w:fill="auto"/>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要求递交投标保证金。</w:t>
            </w:r>
          </w:p>
          <w:p w14:paraId="596CE0DA">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一、本项目交纳投标保证金</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万元整。（不得超过项目估算价的2%，且最高不得超过50万元。）</w:t>
            </w:r>
          </w:p>
          <w:p w14:paraId="552D7337">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投标保证金专户信息如下：  </w:t>
            </w:r>
          </w:p>
          <w:p w14:paraId="7110DB27">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号：按系统随机分配账号。</w:t>
            </w:r>
          </w:p>
          <w:p w14:paraId="33FBB188">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缴纳时间：投标截止时间前，以衢州市公共资源电子交易系统确认到账为准（因各银行系统到账时间不同，请提前交纳，否则后果自负）。</w:t>
            </w:r>
          </w:p>
          <w:p w14:paraId="5BB6DAC9">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二、缴纳方式</w:t>
            </w:r>
          </w:p>
          <w:p w14:paraId="60FD5F51">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投标人登录衢州市公共资源电子交易系统--“业务办理”--“缴纳保证金”模块：</w:t>
            </w:r>
          </w:p>
          <w:p w14:paraId="5220A5FE">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缴纳方式之一（按项目在线支付）：投标人通过网银（电汇）方式，从经系统备案的银行基本账户汇出。如银行原因显示的银行账号与系统备案的不符，应及时提交缴款凭证和银行出具的相关基本户证明至监管部门（保证金室）确认（电话3次无法接通或30分钟内未能提交的按照拒收处理）。</w:t>
            </w:r>
          </w:p>
          <w:p w14:paraId="7670E3BC">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缴纳方式之二（联保资金支付）：联保资金小于项目投标保证金时，按系统提示，从经系统备案的银行基本账户汇出，一次性足额补交差额。</w:t>
            </w:r>
          </w:p>
          <w:p w14:paraId="4E2FA802">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申请联保资金请咨询市招投标协会秘书处，联系电话0570-8757610。</w:t>
            </w:r>
          </w:p>
          <w:p w14:paraId="3847D3B8">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缴纳方式之三（电子保函）：使用电子保函方式缴纳的，具体操作流程详见《衢州市公共资源交易平台投标电子保函操作规则（试行）》。投标人须在投标截止时间前，一次性提供不低于招标要求的投标保证金金额的担保，否则视为未缴纳投标保证金。投标保证金缴纳时间以电子保函实际获得时间为准。投标人使用电子保函所遇一切相关问题及相关纠纷，均由投标人与保函出具机构之间自行解决，监管办及交易中心不承担任何责任。</w:t>
            </w:r>
          </w:p>
          <w:p w14:paraId="3E138A96">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软件公司联系电话：4009980000。浙江省投标保证金数字保函业务系统，客服热线：400-153-8889（每天8:00-17:30）</w:t>
            </w:r>
          </w:p>
          <w:p w14:paraId="39F397EC">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保证金室，咨询联系电话：</w:t>
            </w:r>
          </w:p>
          <w:p w14:paraId="4567D180">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市本级 0570-8757613， </w:t>
            </w:r>
          </w:p>
          <w:p w14:paraId="1DA9A386">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柯城区 0570-3056975，</w:t>
            </w:r>
          </w:p>
          <w:p w14:paraId="713EA3BD">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衢江区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0570-8071230，</w:t>
            </w:r>
          </w:p>
          <w:p w14:paraId="78CCA7A2">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龙游县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0570-7261080，</w:t>
            </w:r>
          </w:p>
          <w:p w14:paraId="3BF37534">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江山市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0570-4962111，</w:t>
            </w:r>
          </w:p>
          <w:p w14:paraId="0DACB4FE">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常山县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0570-5662019，</w:t>
            </w:r>
          </w:p>
          <w:p w14:paraId="5F485D3D">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开化县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0570-6010600。</w:t>
            </w:r>
          </w:p>
          <w:p w14:paraId="1B64ECC7">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投标人如有违反法律法规、招标文件和其他相关规定，作不予退还投标保证金处理的，保函出具机构收到《不予退还投标保证金通知单》后5个工作日内将投标保证金担保赔偿款汇入监管办投标保证金专户。</w:t>
            </w:r>
          </w:p>
          <w:p w14:paraId="2DB1ADEB">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b/>
                <w:bCs/>
                <w:color w:val="auto"/>
                <w:sz w:val="21"/>
                <w:szCs w:val="21"/>
                <w:highlight w:val="none"/>
              </w:rPr>
            </w:pPr>
            <w:bookmarkStart w:id="44" w:name="EB1ad3717ca93d4b1796b580d1db987846"/>
            <w:bookmarkEnd w:id="44"/>
            <w:r>
              <w:rPr>
                <w:rFonts w:hint="eastAsia" w:ascii="宋体" w:hAnsi="宋体" w:eastAsia="宋体" w:cs="宋体"/>
                <w:color w:val="auto"/>
                <w:sz w:val="21"/>
                <w:szCs w:val="21"/>
                <w:highlight w:val="none"/>
              </w:rPr>
              <w:t>备注：重新招标项目，参与投标的投标人仍需按上述规定要求重新递交投标保证金。如联合体投标的，其投标保证金由牵头人递交。</w:t>
            </w:r>
          </w:p>
        </w:tc>
      </w:tr>
      <w:tr w14:paraId="59E2E42E">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2EB1DB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054354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其他不予退还投标保证金的情形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B8FD7B5">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1.经查实，投标人在投标过程中存在串通投标或弄虚作假的。</w:t>
            </w:r>
          </w:p>
          <w:p w14:paraId="6838517B">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☑2.拟派项目负责人或施工负责人在投标截止日有在其他在建合同工程上担任工程总承包项目负责人、施工负责人（含工程总承包项目中担任施工负责人）的情形。</w:t>
            </w:r>
          </w:p>
          <w:p w14:paraId="5DDEFA05">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3.其他：</w:t>
            </w:r>
            <w:r>
              <w:rPr>
                <w:rFonts w:hint="eastAsia" w:ascii="宋体" w:hAnsi="宋体" w:eastAsia="宋体" w:cs="宋体"/>
                <w:b/>
                <w:bCs/>
                <w:color w:val="auto"/>
                <w:sz w:val="21"/>
                <w:szCs w:val="21"/>
                <w:highlight w:val="none"/>
                <w:u w:val="single"/>
              </w:rPr>
              <w:t xml:space="preserve">投标人在投标有效期内撤销或修改其投标文件；中标人无正当理由不与招标人订立合同，或在签订合同时向招标人提出附加条件，或未按招标文件要求提交履约保证金的 </w:t>
            </w:r>
            <w:r>
              <w:rPr>
                <w:rFonts w:hint="eastAsia" w:ascii="宋体" w:hAnsi="宋体" w:eastAsia="宋体" w:cs="宋体"/>
                <w:b/>
                <w:bCs/>
                <w:color w:val="auto"/>
                <w:sz w:val="21"/>
                <w:szCs w:val="21"/>
                <w:highlight w:val="none"/>
              </w:rPr>
              <w:t>。</w:t>
            </w:r>
          </w:p>
          <w:p w14:paraId="1F8569C2">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注：本招标文件的“投标保证金不予退还”是指：</w:t>
            </w:r>
          </w:p>
          <w:p w14:paraId="088CDE62">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（1）以现金转账形式，转账现金不予退还。</w:t>
            </w:r>
          </w:p>
          <w:p w14:paraId="14170BAA">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（2）以银行保函形式，招标人作为受益人向银行提起索赔。</w:t>
            </w:r>
          </w:p>
          <w:p w14:paraId="5B09776D">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（3）以保证保险形式，招标人作为被保险人（受益人）向保险人提起索赔。</w:t>
            </w:r>
          </w:p>
          <w:p w14:paraId="5167A47B">
            <w:pPr>
              <w:keepNext w:val="0"/>
              <w:keepLines w:val="0"/>
              <w:suppressLineNumbers w:val="0"/>
              <w:shd w:val="clear" w:color="auto" w:fill="auto"/>
              <w:adjustRightInd w:val="0"/>
              <w:snapToGrid w:val="0"/>
              <w:spacing w:before="0" w:beforeAutospacing="0" w:after="0" w:afterAutospacing="0" w:line="360" w:lineRule="auto"/>
              <w:ind w:left="0" w:righ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（4）以担保公司担保形式，招标人作为受益人向担保人提起索赔。</w:t>
            </w:r>
          </w:p>
        </w:tc>
      </w:tr>
      <w:tr w14:paraId="5551CCF7">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D6F2CD9">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A9B1F76">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实质性响应招标文件资料</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F02ED3C">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☑1.企业法人营业执照；（若联合体投标，则提供所有联合体成员营业执照）</w:t>
            </w:r>
          </w:p>
          <w:p w14:paraId="3528E17C">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256737FE">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☑3.联合体各方签订的联合体协议书（联合体投标的提供）；</w:t>
            </w:r>
          </w:p>
          <w:p w14:paraId="53C644F1">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☑4.建设行政部门核发的资质证书；（若联合体投标，则提供所有联合体成员资质证书）</w:t>
            </w:r>
          </w:p>
          <w:p w14:paraId="7A296C4E">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5.企业安全生产许可证；法定代表人、企业经理、企业分管安全生产的副经理、企业技术负责人的安全生产考核合格证书，企业经理、企业分管安全生产的副经理、企业技术负责人的任命书。（联合体投标的，承担施工工作的所有联合体成员均需提供）；</w:t>
            </w:r>
          </w:p>
          <w:p w14:paraId="2391F448">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提供招标公告发布之日至投标截止日之间投标人在“浙江省建筑市场监管公共服务系统”上，参与投标资质的“资质动态核查结果证明</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EQ \* jc3 \* hps10 \o\al(\s\up 9(”),。)</w:instrText>
            </w:r>
            <w:r>
              <w:rPr>
                <w:rFonts w:hint="eastAsia" w:ascii="宋体" w:hAnsi="宋体" w:eastAsia="宋体" w:cs="宋体"/>
                <w:color w:val="auto"/>
                <w:sz w:val="21"/>
                <w:szCs w:val="21"/>
                <w:highlight w:val="none"/>
              </w:rPr>
              <w:fldChar w:fldCharType="end"/>
            </w:r>
          </w:p>
          <w:p w14:paraId="6EE1391D">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□《中小企业声明函》（面向中小企业招标的，投标人或联合体中的中小企业需提供）</w:t>
            </w:r>
          </w:p>
          <w:p w14:paraId="74816D33">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☑6.施工负责人（建造师）的安全生产考核合格证书（联合体投标的，承担施工工作的联合体成员均需提供）；</w:t>
            </w:r>
          </w:p>
          <w:p w14:paraId="5DDF923D">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☑7.拟派项目负责人、施工负责人、设计负责人的注册执业资格证书或专业技术职称证书；</w:t>
            </w:r>
          </w:p>
          <w:p w14:paraId="26BFEB51">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8.投标承诺书（应按照本招标文件提供的格式填写）；</w:t>
            </w:r>
          </w:p>
          <w:p w14:paraId="5B1004D8">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9.投标保证金缴纳证明资料（银行转账记录或银行保函或投标保险保单或保证金联保证明或其他，并提供购买保险 或办理保函、担保等保证金相关费用从投标人基本账户转出凭证。）；</w:t>
            </w:r>
          </w:p>
          <w:p w14:paraId="4447A79E">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10.专职安全生产管理人员的安全生产考核合格证书（联合体投标的，承担施工工作的联合体成员均需提供）；</w:t>
            </w:r>
          </w:p>
          <w:p w14:paraId="608D8A02">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□11.符合招标公告要求的类似业绩证明材料；</w:t>
            </w:r>
          </w:p>
          <w:p w14:paraId="0CD868A4">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①建造师证书需提供带二维码的中华人民共和国注册证书，注册证书需在有效期内，截至投标截止日已年满65周岁的不得参加投标【一级建造师电子注册证书须符合建办市（2021）40号文件的要求】。②拟派项目项目经理有已变更的“在建合同工程”的，须在投标文件中提交招标文件第二章第一节“投标人须知前附表”10.4条的证明材料；</w:t>
            </w:r>
          </w:p>
          <w:p w14:paraId="703C6B19">
            <w:pPr>
              <w:pStyle w:val="17"/>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注：招标人应考虑联合体投标情形，进一步明确上述资料的相关要求。</w:t>
            </w:r>
          </w:p>
        </w:tc>
      </w:tr>
      <w:tr w14:paraId="2947F3DB">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1F9C59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99E7B6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E3C421C">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0F2F9D8E">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053BC795">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154013D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CD38C1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签字或盖章要求/电子投标文件盖章要求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832517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提供的投标文件格式要求投标人盖章、法定代表人印章的地方，投标人均应使用CA数字证书加盖投标人的单位电子印章、法定代表人个人电子印章。联合体投标的，除联合体协议书格式之外的仅由联合体牵头人加盖单位电子印章、法定代表人个人电子印章即可；</w:t>
            </w:r>
          </w:p>
          <w:p w14:paraId="5F4B5F8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☑2.投标文件所附证书证件、业绩证明文件、投标保证金等证明材料用原件的复制件并加盖投标单位电子印章；</w:t>
            </w:r>
          </w:p>
          <w:p w14:paraId="2E02E4E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□3.其它要求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4BADC334">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94C60C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28CBF95">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53AFEA2">
            <w:pPr>
              <w:keepNext w:val="0"/>
              <w:keepLines w:val="0"/>
              <w:suppressLineNumbers w:val="0"/>
              <w:shd w:val="clear" w:color="auto" w:fill="auto"/>
              <w:tabs>
                <w:tab w:val="right" w:leader="dot" w:pos="8295"/>
              </w:tabs>
              <w:kinsoku w:val="0"/>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电子加密投标文件一份（</w:t>
            </w:r>
            <w:r>
              <w:rPr>
                <w:rStyle w:val="15"/>
                <w:rFonts w:hint="eastAsia" w:ascii="宋体" w:hAnsi="宋体" w:eastAsia="宋体" w:cs="宋体"/>
                <w:color w:val="auto"/>
                <w:sz w:val="21"/>
                <w:szCs w:val="21"/>
                <w:highlight w:val="none"/>
              </w:rPr>
              <w:t>衢州市公共资源电子交易系统（http://ggzy.qz.gov.cn/</w:t>
            </w:r>
            <w:r>
              <w:rPr>
                <w:rFonts w:hint="eastAsia" w:ascii="宋体" w:hAnsi="宋体" w:eastAsia="宋体" w:cs="宋体"/>
                <w:color w:val="auto"/>
                <w:sz w:val="21"/>
                <w:szCs w:val="21"/>
                <w:highlight w:val="none"/>
              </w:rPr>
              <w:t>），作为投标文件正本。</w:t>
            </w:r>
          </w:p>
          <w:p w14:paraId="456C65A6">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其他：</w:t>
            </w:r>
            <w:r>
              <w:rPr>
                <w:rFonts w:hint="eastAsia" w:ascii="宋体" w:hAnsi="宋体" w:eastAsia="宋体" w:cs="宋体"/>
                <w:color w:val="auto"/>
                <w:sz w:val="21"/>
                <w:szCs w:val="21"/>
                <w:highlight w:val="none"/>
                <w:u w:val="single"/>
              </w:rPr>
              <w:t xml:space="preserve">详见投标须知3.1 </w:t>
            </w:r>
            <w:r>
              <w:rPr>
                <w:rFonts w:hint="eastAsia" w:ascii="宋体" w:hAnsi="宋体" w:eastAsia="宋体" w:cs="宋体"/>
                <w:color w:val="auto"/>
                <w:sz w:val="21"/>
                <w:szCs w:val="21"/>
                <w:highlight w:val="none"/>
              </w:rPr>
              <w:t>。</w:t>
            </w:r>
          </w:p>
        </w:tc>
      </w:tr>
      <w:tr w14:paraId="48D6AC7D">
        <w:tblPrEx>
          <w:tblCellMar>
            <w:top w:w="0" w:type="dxa"/>
            <w:left w:w="108" w:type="dxa"/>
            <w:bottom w:w="0" w:type="dxa"/>
            <w:right w:w="108" w:type="dxa"/>
          </w:tblCellMar>
        </w:tblPrEx>
        <w:trPr>
          <w:trHeight w:val="801"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411A013">
            <w:pPr>
              <w:pStyle w:val="16"/>
              <w:keepNext w:val="0"/>
              <w:keepLines w:val="0"/>
              <w:suppressLineNumbers w:val="0"/>
              <w:shd w:val="clear" w:color="auto" w:fill="auto"/>
              <w:adjustRightInd w:val="0"/>
              <w:snapToGrid w:val="0"/>
              <w:spacing w:before="0" w:beforeAutospacing="0" w:after="0" w:afterAutospacing="0" w:line="360" w:lineRule="auto"/>
              <w:ind w:left="0" w:right="0"/>
              <w:jc w:val="center"/>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□4.1.1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0299D91">
            <w:pPr>
              <w:pStyle w:val="16"/>
              <w:keepNext w:val="0"/>
              <w:keepLines w:val="0"/>
              <w:suppressLineNumbers w:val="0"/>
              <w:shd w:val="clear" w:color="auto" w:fill="auto"/>
              <w:adjustRightInd w:val="0"/>
              <w:snapToGrid w:val="0"/>
              <w:spacing w:before="0" w:beforeAutospacing="0" w:after="0" w:afterAutospacing="0" w:line="360" w:lineRule="auto"/>
              <w:ind w:left="0" w:right="0"/>
              <w:jc w:val="center"/>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投标文件外包装和密封要求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EFC961F">
            <w:pPr>
              <w:keepNext w:val="0"/>
              <w:keepLines w:val="0"/>
              <w:suppressLineNumbers w:val="0"/>
              <w:shd w:val="clear" w:color="auto" w:fill="auto"/>
              <w:adjustRightInd w:val="0"/>
              <w:snapToGrid w:val="0"/>
              <w:spacing w:before="0" w:beforeAutospacing="0" w:after="0" w:afterAutospacing="0" w:line="360" w:lineRule="auto"/>
              <w:ind w:left="0" w:right="0"/>
              <w:jc w:val="both"/>
              <w:rPr>
                <w:rStyle w:val="15"/>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w:t>
            </w:r>
          </w:p>
        </w:tc>
      </w:tr>
      <w:tr w14:paraId="27B3252A">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0AAABBC">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□4.1.2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5AED88A">
            <w:pPr>
              <w:keepNext w:val="0"/>
              <w:keepLines w:val="0"/>
              <w:suppressLineNumbers w:val="0"/>
              <w:shd w:val="clear" w:color="auto" w:fill="auto"/>
              <w:adjustRightInd w:val="0"/>
              <w:snapToGrid w:val="0"/>
              <w:spacing w:before="0" w:beforeAutospacing="0" w:after="0" w:afterAutospacing="0" w:line="360" w:lineRule="auto"/>
              <w:ind w:left="0" w:right="0"/>
              <w:jc w:val="center"/>
              <w:rPr>
                <w:rStyle w:val="15"/>
                <w:rFonts w:hint="eastAsia" w:ascii="宋体" w:hAnsi="宋体" w:eastAsia="宋体" w:cs="宋体"/>
                <w:color w:val="auto"/>
                <w:sz w:val="21"/>
                <w:szCs w:val="21"/>
                <w:highlight w:val="none"/>
              </w:rPr>
            </w:pPr>
          </w:p>
          <w:p w14:paraId="709C8574">
            <w:pPr>
              <w:pStyle w:val="16"/>
              <w:keepNext w:val="0"/>
              <w:keepLines w:val="0"/>
              <w:suppressLineNumbers w:val="0"/>
              <w:shd w:val="clear" w:color="auto" w:fill="auto"/>
              <w:adjustRightInd w:val="0"/>
              <w:snapToGrid w:val="0"/>
              <w:spacing w:before="0" w:beforeAutospacing="0" w:after="0" w:afterAutospacing="0" w:line="360" w:lineRule="auto"/>
              <w:ind w:left="0" w:right="0"/>
              <w:jc w:val="center"/>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封套上应载明的信息</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12674C0E">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招标人名称：</w:t>
            </w:r>
            <w:r>
              <w:rPr>
                <w:rStyle w:val="15"/>
                <w:rFonts w:hint="eastAsia" w:ascii="宋体" w:hAnsi="宋体" w:eastAsia="宋体" w:cs="宋体"/>
                <w:color w:val="auto"/>
                <w:sz w:val="21"/>
                <w:szCs w:val="21"/>
                <w:highlight w:val="none"/>
                <w:u w:val="single"/>
                <w:lang w:eastAsia="zh-CN"/>
              </w:rPr>
              <w:t xml:space="preserve">   /   </w:t>
            </w:r>
          </w:p>
          <w:p w14:paraId="3D5C83EB">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（项目名称）工程总承包招标项目投标文件</w:t>
            </w:r>
          </w:p>
          <w:p w14:paraId="4D9A04E9">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u w:val="single"/>
                <w:lang w:eastAsia="zh-CN"/>
              </w:rPr>
            </w:pPr>
            <w:r>
              <w:rPr>
                <w:rStyle w:val="15"/>
                <w:rFonts w:hint="eastAsia" w:ascii="宋体" w:hAnsi="宋体" w:eastAsia="宋体" w:cs="宋体"/>
                <w:color w:val="auto"/>
                <w:sz w:val="21"/>
                <w:szCs w:val="21"/>
                <w:highlight w:val="none"/>
                <w:lang w:eastAsia="zh-CN"/>
              </w:rPr>
              <w:t>招标项目编号：</w:t>
            </w:r>
            <w:r>
              <w:rPr>
                <w:rStyle w:val="15"/>
                <w:rFonts w:hint="eastAsia" w:ascii="宋体" w:hAnsi="宋体" w:eastAsia="宋体" w:cs="宋体"/>
                <w:color w:val="auto"/>
                <w:sz w:val="21"/>
                <w:szCs w:val="21"/>
                <w:highlight w:val="none"/>
                <w:u w:val="single"/>
                <w:lang w:eastAsia="zh-CN"/>
              </w:rPr>
              <w:t xml:space="preserve"> /  </w:t>
            </w:r>
            <w:r>
              <w:rPr>
                <w:rStyle w:val="15"/>
                <w:rFonts w:hint="eastAsia" w:ascii="宋体" w:hAnsi="宋体" w:eastAsia="宋体" w:cs="宋体"/>
                <w:color w:val="auto"/>
                <w:sz w:val="21"/>
                <w:szCs w:val="21"/>
                <w:highlight w:val="none"/>
                <w:lang w:eastAsia="zh-CN"/>
              </w:rPr>
              <w:t xml:space="preserve"> 投标单位名称：</w:t>
            </w:r>
            <w:r>
              <w:rPr>
                <w:rStyle w:val="15"/>
                <w:rFonts w:hint="eastAsia" w:ascii="宋体" w:hAnsi="宋体" w:eastAsia="宋体" w:cs="宋体"/>
                <w:color w:val="auto"/>
                <w:sz w:val="21"/>
                <w:szCs w:val="21"/>
                <w:highlight w:val="none"/>
                <w:u w:val="single"/>
                <w:lang w:eastAsia="zh-CN"/>
              </w:rPr>
              <w:t xml:space="preserve">    /   </w:t>
            </w:r>
          </w:p>
          <w:p w14:paraId="58AE1498">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在投标截止时间前不得开启</w:t>
            </w:r>
          </w:p>
          <w:p w14:paraId="5829E271">
            <w:pPr>
              <w:pStyle w:val="16"/>
              <w:keepNext w:val="0"/>
              <w:keepLines w:val="0"/>
              <w:suppressLineNumbers w:val="0"/>
              <w:shd w:val="clear" w:color="auto" w:fill="auto"/>
              <w:adjustRightInd w:val="0"/>
              <w:snapToGrid w:val="0"/>
              <w:spacing w:before="0" w:beforeAutospacing="0" w:after="0" w:afterAutospacing="0" w:line="360" w:lineRule="auto"/>
              <w:ind w:left="0" w:right="0"/>
              <w:rPr>
                <w:rStyle w:val="15"/>
                <w:rFonts w:hint="eastAsia" w:ascii="宋体" w:hAnsi="宋体" w:eastAsia="宋体" w:cs="宋体"/>
                <w:color w:val="auto"/>
                <w:sz w:val="21"/>
                <w:szCs w:val="21"/>
                <w:highlight w:val="none"/>
                <w:lang w:eastAsia="zh-CN"/>
              </w:rPr>
            </w:pPr>
            <w:r>
              <w:rPr>
                <w:rStyle w:val="15"/>
                <w:rFonts w:hint="eastAsia" w:ascii="宋体" w:hAnsi="宋体" w:eastAsia="宋体" w:cs="宋体"/>
                <w:color w:val="auto"/>
                <w:sz w:val="21"/>
                <w:szCs w:val="21"/>
                <w:highlight w:val="none"/>
                <w:lang w:eastAsia="zh-CN"/>
              </w:rPr>
              <w:t>□其他：</w:t>
            </w:r>
            <w:r>
              <w:rPr>
                <w:rStyle w:val="15"/>
                <w:rFonts w:hint="eastAsia" w:ascii="宋体" w:hAnsi="宋体" w:eastAsia="宋体" w:cs="宋体"/>
                <w:color w:val="auto"/>
                <w:sz w:val="21"/>
                <w:szCs w:val="21"/>
                <w:highlight w:val="none"/>
                <w:u w:val="single"/>
                <w:lang w:eastAsia="zh-CN"/>
              </w:rPr>
              <w:t xml:space="preserve">    /    </w:t>
            </w:r>
            <w:r>
              <w:rPr>
                <w:rStyle w:val="15"/>
                <w:rFonts w:hint="eastAsia" w:ascii="宋体" w:hAnsi="宋体" w:eastAsia="宋体" w:cs="宋体"/>
                <w:color w:val="auto"/>
                <w:sz w:val="21"/>
                <w:szCs w:val="21"/>
                <w:highlight w:val="none"/>
                <w:lang w:eastAsia="zh-CN"/>
              </w:rPr>
              <w:t>。</w:t>
            </w:r>
          </w:p>
        </w:tc>
      </w:tr>
      <w:tr w14:paraId="07D8D4DA">
        <w:tblPrEx>
          <w:tblCellMar>
            <w:top w:w="0" w:type="dxa"/>
            <w:left w:w="108" w:type="dxa"/>
            <w:bottom w:w="0" w:type="dxa"/>
            <w:right w:w="108" w:type="dxa"/>
          </w:tblCellMar>
        </w:tblPrEx>
        <w:trPr>
          <w:trHeight w:val="46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A68D5D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825F4A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递交投标文件地点/电子投标文件上传平台</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D7E35BC">
            <w:pPr>
              <w:keepNext w:val="0"/>
              <w:keepLines w:val="0"/>
              <w:suppressLineNumbers w:val="0"/>
              <w:shd w:val="clear" w:color="auto" w:fill="auto"/>
              <w:adjustRightInd w:val="0"/>
              <w:snapToGrid w:val="0"/>
              <w:spacing w:before="0" w:beforeAutospacing="0" w:after="0" w:afterAutospacing="0" w:line="360" w:lineRule="auto"/>
              <w:ind w:left="0" w:right="0" w:firstLine="210" w:firstLineChars="100"/>
              <w:rPr>
                <w:rStyle w:val="15"/>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□1.递交投标文件地点：</w:t>
            </w:r>
            <w:r>
              <w:rPr>
                <w:rStyle w:val="15"/>
                <w:rFonts w:hint="eastAsia" w:ascii="宋体" w:hAnsi="宋体" w:eastAsia="宋体" w:cs="宋体"/>
                <w:color w:val="auto"/>
                <w:sz w:val="21"/>
                <w:szCs w:val="21"/>
                <w:highlight w:val="none"/>
                <w:u w:val="single"/>
              </w:rPr>
              <w:t xml:space="preserve">           /             </w:t>
            </w:r>
            <w:r>
              <w:rPr>
                <w:rStyle w:val="15"/>
                <w:rFonts w:hint="eastAsia" w:ascii="宋体" w:hAnsi="宋体" w:eastAsia="宋体" w:cs="宋体"/>
                <w:color w:val="auto"/>
                <w:sz w:val="21"/>
                <w:szCs w:val="21"/>
                <w:highlight w:val="none"/>
              </w:rPr>
              <w:t xml:space="preserve"> 。</w:t>
            </w:r>
          </w:p>
          <w:p w14:paraId="412888CD">
            <w:pPr>
              <w:keepNext w:val="0"/>
              <w:keepLines w:val="0"/>
              <w:suppressLineNumbers w:val="0"/>
              <w:shd w:val="clear" w:color="auto" w:fill="auto"/>
              <w:adjustRightInd w:val="0"/>
              <w:snapToGrid w:val="0"/>
              <w:spacing w:before="0" w:beforeAutospacing="0" w:after="0" w:afterAutospacing="0" w:line="360" w:lineRule="auto"/>
              <w:ind w:left="0" w:right="0" w:firstLine="210" w:firstLineChars="100"/>
              <w:rPr>
                <w:rFonts w:hint="eastAsia" w:ascii="宋体" w:hAnsi="宋体" w:eastAsia="宋体" w:cs="宋体"/>
                <w:color w:val="auto"/>
                <w:sz w:val="21"/>
                <w:szCs w:val="21"/>
                <w:highlight w:val="none"/>
              </w:rPr>
            </w:pPr>
            <w:r>
              <w:rPr>
                <w:rStyle w:val="15"/>
                <w:rFonts w:hint="eastAsia" w:ascii="宋体" w:hAnsi="宋体" w:eastAsia="宋体" w:cs="宋体"/>
                <w:color w:val="auto"/>
                <w:sz w:val="21"/>
                <w:szCs w:val="21"/>
                <w:highlight w:val="none"/>
              </w:rPr>
              <w:t>☑2.</w:t>
            </w:r>
            <w:r>
              <w:rPr>
                <w:rStyle w:val="15"/>
                <w:rFonts w:hint="eastAsia" w:ascii="宋体" w:hAnsi="宋体" w:eastAsia="宋体" w:cs="宋体"/>
                <w:color w:val="auto"/>
                <w:sz w:val="21"/>
                <w:szCs w:val="21"/>
                <w:highlight w:val="none"/>
                <w:u w:val="single"/>
              </w:rPr>
              <w:t>将由投标文件制作工具制作生成的加密投标文件（.加密标书）在投标截止时间前（以上传完成时间为准）上传至衢州市公共资源电子交易系统（http://ggzy.qz.gov.cn/)。</w:t>
            </w:r>
          </w:p>
        </w:tc>
      </w:tr>
      <w:tr w14:paraId="029777B5">
        <w:tblPrEx>
          <w:tblCellMar>
            <w:top w:w="0" w:type="dxa"/>
            <w:left w:w="108" w:type="dxa"/>
            <w:bottom w:w="0" w:type="dxa"/>
            <w:right w:w="108" w:type="dxa"/>
          </w:tblCellMar>
        </w:tblPrEx>
        <w:trPr>
          <w:trHeight w:val="58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678013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05E4832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投标文件退还情形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2CE95C5">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投标截止时间止，存在以下情形之一的不予开标，投标文件退还：</w:t>
            </w:r>
          </w:p>
          <w:p w14:paraId="0E2F23B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1.递交投标文件的投标人少于3个的；</w:t>
            </w:r>
          </w:p>
          <w:p w14:paraId="6C35C086">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tc>
      </w:tr>
      <w:tr w14:paraId="750BF31A">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AFA3E7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4.2.5</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62B548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投标文件的拒收情形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EAB431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1.投标人未按规定加密的投标文件。</w:t>
            </w:r>
          </w:p>
          <w:p w14:paraId="2C465D6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2.未在投标截止时间前完成上传的投标文件。</w:t>
            </w:r>
          </w:p>
          <w:p w14:paraId="32006F6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w:t>
            </w:r>
            <w:r>
              <w:rPr>
                <w:rFonts w:hint="eastAsia" w:ascii="宋体" w:hAnsi="宋体" w:eastAsia="宋体" w:cs="宋体"/>
                <w:color w:val="auto"/>
                <w:sz w:val="21"/>
                <w:szCs w:val="21"/>
                <w:highlight w:val="none"/>
                <w:u w:val="single"/>
              </w:rPr>
              <w:t xml:space="preserve">：存在下列情况之一的，视为拒收： </w:t>
            </w:r>
            <w:r>
              <w:rPr>
                <w:rFonts w:hint="eastAsia" w:ascii="宋体" w:hAnsi="宋体" w:eastAsia="宋体" w:cs="宋体"/>
                <w:color w:val="auto"/>
                <w:sz w:val="21"/>
                <w:szCs w:val="21"/>
                <w:highlight w:val="none"/>
              </w:rPr>
              <w:t xml:space="preserve"> </w:t>
            </w:r>
          </w:p>
          <w:p w14:paraId="6B021C06">
            <w:pPr>
              <w:keepNext w:val="0"/>
              <w:keepLines w:val="0"/>
              <w:suppressLineNumbers w:val="0"/>
              <w:shd w:val="clear" w:color="auto" w:fill="auto"/>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693B850D">
            <w:pPr>
              <w:keepNext w:val="0"/>
              <w:keepLines w:val="0"/>
              <w:suppressLineNumbers w:val="0"/>
              <w:shd w:val="clear" w:color="auto" w:fill="auto"/>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（2）招标人或招标代理在开启解密后30分钟内投标人未解密的；</w:t>
            </w:r>
          </w:p>
          <w:p w14:paraId="68DF43F4">
            <w:pPr>
              <w:keepNext w:val="0"/>
              <w:keepLines w:val="0"/>
              <w:suppressLineNumbers w:val="0"/>
              <w:shd w:val="clear" w:color="auto" w:fill="auto"/>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（3）电子投标文件解密后无法正确读取的；</w:t>
            </w:r>
          </w:p>
          <w:p w14:paraId="5017A4A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（4）电子投标文件无法导入成功的。</w:t>
            </w:r>
          </w:p>
        </w:tc>
      </w:tr>
      <w:tr w14:paraId="1CE9EF3A">
        <w:tblPrEx>
          <w:tblCellMar>
            <w:top w:w="0" w:type="dxa"/>
            <w:left w:w="108" w:type="dxa"/>
            <w:bottom w:w="0" w:type="dxa"/>
            <w:right w:w="108" w:type="dxa"/>
          </w:tblCellMar>
        </w:tblPrEx>
        <w:trPr>
          <w:trHeight w:val="48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59114A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267CD25">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p>
          <w:p w14:paraId="79BCD6CD">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p>
          <w:p w14:paraId="04EF522E">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参加开标会议的要求</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D16CCC1">
            <w:pPr>
              <w:pStyle w:val="18"/>
              <w:keepNext w:val="0"/>
              <w:keepLines w:val="0"/>
              <w:widowControl/>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1.开标时间：同投标截止时间。</w:t>
            </w:r>
          </w:p>
          <w:p w14:paraId="11871451">
            <w:pPr>
              <w:pStyle w:val="18"/>
              <w:keepNext w:val="0"/>
              <w:keepLines w:val="0"/>
              <w:widowControl/>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2.开标地点：</w:t>
            </w:r>
            <w:r>
              <w:rPr>
                <w:rFonts w:hint="eastAsia" w:ascii="宋体" w:hAnsi="宋体" w:eastAsia="宋体" w:cs="宋体"/>
                <w:color w:val="auto"/>
                <w:kern w:val="2"/>
                <w:sz w:val="21"/>
                <w:szCs w:val="21"/>
                <w:highlight w:val="none"/>
                <w:u w:val="single"/>
              </w:rPr>
              <w:t xml:space="preserve"> 衢州市柯城区公共资源交易中心指定开标厅</w:t>
            </w:r>
            <w:r>
              <w:rPr>
                <w:rFonts w:hint="eastAsia" w:ascii="宋体" w:hAnsi="宋体" w:eastAsia="宋体" w:cs="宋体"/>
                <w:color w:val="auto"/>
                <w:kern w:val="2"/>
                <w:sz w:val="21"/>
                <w:szCs w:val="21"/>
                <w:highlight w:val="none"/>
              </w:rPr>
              <w:t>。</w:t>
            </w:r>
          </w:p>
          <w:p w14:paraId="06ECE13A">
            <w:pPr>
              <w:pStyle w:val="18"/>
              <w:keepNext w:val="0"/>
              <w:keepLines w:val="0"/>
              <w:pageBreakBefore w:val="0"/>
              <w:widowControl/>
              <w:suppressLineNumbers w:val="0"/>
              <w:shd w:val="clear" w:color="auto" w:fill="auto"/>
              <w:tabs>
                <w:tab w:val="right" w:leader="dot" w:pos="8295"/>
              </w:tabs>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3.开标平台：https://jyzx.ggzy.qz.gov.cn/BidOpening/bidopeninghallaction/hall/login</w:t>
            </w:r>
          </w:p>
          <w:p w14:paraId="05D4FC1F">
            <w:pPr>
              <w:pStyle w:val="18"/>
              <w:keepNext w:val="0"/>
              <w:keepLines w:val="0"/>
              <w:widowControl/>
              <w:suppressLineNumbers w:val="0"/>
              <w:shd w:val="clear" w:color="auto" w:fill="auto"/>
              <w:tabs>
                <w:tab w:val="right" w:leader="dot" w:pos="8295"/>
              </w:tabs>
              <w:adjustRightInd w:val="0"/>
              <w:snapToGrid w:val="0"/>
              <w:spacing w:before="0" w:beforeAutospacing="0" w:after="0" w:afterAutospacing="0" w:line="360" w:lineRule="auto"/>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4.其他</w:t>
            </w:r>
            <w:r>
              <w:rPr>
                <w:rFonts w:hint="eastAsia" w:ascii="宋体" w:hAnsi="宋体" w:eastAsia="宋体" w:cs="宋体"/>
                <w:color w:val="auto"/>
                <w:kern w:val="2"/>
                <w:sz w:val="21"/>
                <w:szCs w:val="21"/>
                <w:highlight w:val="none"/>
                <w:u w:val="single"/>
              </w:rPr>
              <w:t>：开标过程中，投标人参与远程音视频交互的法人代表或授权委托人应始终为同一人，中途不得更换，并能及时响应开标要求。投标人终端操作人员均被视为投标人法人代表或授权委托人，投标人自行承担随意更换人员所导致的一切后果</w:t>
            </w:r>
            <w:r>
              <w:rPr>
                <w:rFonts w:hint="eastAsia" w:ascii="宋体" w:hAnsi="宋体" w:eastAsia="宋体" w:cs="宋体"/>
                <w:color w:val="auto"/>
                <w:kern w:val="2"/>
                <w:sz w:val="21"/>
                <w:szCs w:val="21"/>
                <w:highlight w:val="none"/>
              </w:rPr>
              <w:t>。</w:t>
            </w:r>
          </w:p>
        </w:tc>
      </w:tr>
      <w:tr w14:paraId="25ACB5E3">
        <w:tblPrEx>
          <w:tblCellMar>
            <w:top w:w="0" w:type="dxa"/>
            <w:left w:w="108" w:type="dxa"/>
            <w:bottom w:w="0" w:type="dxa"/>
            <w:right w:w="108" w:type="dxa"/>
          </w:tblCellMar>
        </w:tblPrEx>
        <w:trPr>
          <w:trHeight w:val="381"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68CE40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E51D2B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1B838F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1.投标人须准备好加密投标文件的CA数字证书以供开标时远程解密投标文件。</w:t>
            </w:r>
          </w:p>
          <w:p w14:paraId="3FE40DB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2.开标程序 </w:t>
            </w:r>
          </w:p>
          <w:p w14:paraId="7AA928C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（1）至投标截止时间，招标人（或招标代理）宣布开始开标，宣布开标项目人员姓名，公布在投标截止时间前受理的投标文件的投名称、招标人代表等有关人员名称。</w:t>
            </w:r>
          </w:p>
          <w:p w14:paraId="6194623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（2）投标人解密</w:t>
            </w:r>
          </w:p>
          <w:p w14:paraId="383B93C5">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解密时间：招标人（或招标代理）宣布开始解密后30分钟以内。投标人解密方式：投标人自行登录衢州市公共资源不见面开标大厅（https://jyzx.ggzy.qz.gov.cn/BidOpening/bidopeninghallaction/hall/login)——我的项目——选择标段——待招标代理开启解密后进行解密操作。</w:t>
            </w:r>
          </w:p>
          <w:p w14:paraId="37FE437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（3）投标人使用生成投标文件的CA数字证书解密投标文件。</w:t>
            </w:r>
          </w:p>
          <w:p w14:paraId="7128E0E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（4）投标文件解密完成后，开标系统公布投标单位、项目负责人、工期及其他内容。</w:t>
            </w:r>
          </w:p>
          <w:p w14:paraId="455B5F4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（5）投标人确认</w:t>
            </w:r>
          </w:p>
          <w:p w14:paraId="1A07211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唱标完成后，投标人可通过衢州市公共资源不见面开标大厅系统对唱标结果进行确认，未在开标结束前完成在线确认的投标人，衢州市公共资源不见面开标大厅系统将视作自动确认。</w:t>
            </w:r>
          </w:p>
          <w:p w14:paraId="5A85EAD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过程有异议的，应通过衢州市公共资源不见面开标大厅系统的“开标异议语音提问”或“开标异议文字提问”按钮进行异议，招标人通过衢州市公共资源不见面开标大厅系统在线语音或文字答复，投标人提出异议的时间截止至开标结果公布后5分钟；</w:t>
            </w:r>
          </w:p>
          <w:p w14:paraId="13F588E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w:t>
            </w:r>
          </w:p>
          <w:p w14:paraId="2B319AD6">
            <w:pPr>
              <w:keepNext w:val="0"/>
              <w:keepLines w:val="0"/>
              <w:suppressLineNumbers w:val="0"/>
              <w:shd w:val="clear" w:color="auto" w:fill="auto"/>
              <w:tabs>
                <w:tab w:val="right" w:leader="dot" w:pos="8295"/>
              </w:tabs>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进入评标环节，首先进行资格审查标，由工作人员当场查询各投标人《项目班子人员配备表》中项目负责人、设计负责人、施工负责人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安全员</w:t>
            </w:r>
            <w:r>
              <w:rPr>
                <w:rFonts w:hint="eastAsia" w:ascii="宋体" w:hAnsi="宋体" w:eastAsia="宋体" w:cs="宋体"/>
                <w:color w:val="auto"/>
                <w:sz w:val="21"/>
                <w:szCs w:val="21"/>
                <w:highlight w:val="none"/>
              </w:rPr>
              <w:t>的社保关系及项目负责人、施工负责人在建工程情况【开评标阶段仅在“全国建筑市场监管公共服务平台”或“浙江省建筑市场监管公共服务系统”查询】，并送交评标委员会评审；通过资格审查的投标文件进入技术标、资信标的评审，最后进行商务报价评审及评分。</w:t>
            </w:r>
          </w:p>
          <w:p w14:paraId="5679664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（7）评标结束后，招标人宣布中标候选人。招标人宣布开标会议结束。</w:t>
            </w:r>
          </w:p>
          <w:p w14:paraId="43C7E3A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3.开标特别说明</w:t>
            </w:r>
          </w:p>
          <w:p w14:paraId="3B117D1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（1）开标解密使用投标人上传的电子投标文件。 </w:t>
            </w:r>
          </w:p>
          <w:p w14:paraId="27FCDCC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（2）因投标人原因（包括投标人自主选择的CA证书、计价软件、投标工具等），造成其电子投标文件未解密的，或投标文件解密了，但投标文件无法识别、读取的，视为撤销其投标文件。</w:t>
            </w:r>
          </w:p>
          <w:p w14:paraId="01BC4BE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（3）部分投标人的电子投标文件无法解密（识别、读取）的，其他投标文件的开标可以继续进行，但最终解密（识别、读取）成功的应不少于3家。</w:t>
            </w:r>
          </w:p>
          <w:p w14:paraId="1FC23F0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（4）投标人必须使用生成电子投标文件的CA数字证书解密电子投标文件。</w:t>
            </w:r>
          </w:p>
        </w:tc>
      </w:tr>
      <w:tr w14:paraId="5A784F0D">
        <w:tblPrEx>
          <w:tblCellMar>
            <w:top w:w="0" w:type="dxa"/>
            <w:left w:w="108" w:type="dxa"/>
            <w:bottom w:w="0" w:type="dxa"/>
            <w:right w:w="108" w:type="dxa"/>
          </w:tblCellMar>
        </w:tblPrEx>
        <w:trPr>
          <w:trHeight w:val="88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5DC68B7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4AC603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F3D079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w:t>
            </w:r>
            <w:r>
              <w:rPr>
                <w:rFonts w:hint="eastAsia" w:ascii="宋体" w:hAnsi="宋体" w:cs="宋体"/>
                <w:color w:val="auto"/>
                <w:sz w:val="21"/>
                <w:szCs w:val="21"/>
                <w:highlight w:val="none"/>
                <w:u w:val="single"/>
                <w:lang w:val="en-US" w:eastAsia="zh-CN"/>
              </w:rPr>
              <w:t>7</w:t>
            </w:r>
            <w:r>
              <w:rPr>
                <w:rFonts w:hint="eastAsia" w:ascii="宋体" w:hAnsi="宋体" w:eastAsia="宋体" w:cs="宋体"/>
                <w:color w:val="auto"/>
                <w:sz w:val="21"/>
                <w:szCs w:val="21"/>
                <w:highlight w:val="none"/>
              </w:rPr>
              <w:t>人，其中招标人代表</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人，评标专家</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rPr>
              <w:t>人；</w:t>
            </w:r>
          </w:p>
          <w:p w14:paraId="2780479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评标专家确定方式：依法随机抽取。</w:t>
            </w:r>
          </w:p>
        </w:tc>
      </w:tr>
      <w:tr w14:paraId="1C58F257">
        <w:tblPrEx>
          <w:tblCellMar>
            <w:top w:w="0" w:type="dxa"/>
            <w:left w:w="108" w:type="dxa"/>
            <w:bottom w:w="0" w:type="dxa"/>
            <w:right w:w="108" w:type="dxa"/>
          </w:tblCellMar>
        </w:tblPrEx>
        <w:trPr>
          <w:trHeight w:val="88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7172DE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D2B138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E2CC73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☑1.综合评估法：</w:t>
            </w:r>
          </w:p>
          <w:p w14:paraId="5A9E1C5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□（1）适用于技术复杂项目，技术标评分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分,资信标评分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分,商务标评分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分 。</w:t>
            </w:r>
          </w:p>
          <w:p w14:paraId="4CE0FE4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☑（2）适用于非技术复杂项目，技术标评分</w:t>
            </w:r>
            <w:r>
              <w:rPr>
                <w:rFonts w:hint="eastAsia" w:ascii="宋体" w:hAnsi="宋体" w:eastAsia="宋体" w:cs="宋体"/>
                <w:color w:val="auto"/>
                <w:sz w:val="21"/>
                <w:szCs w:val="21"/>
                <w:highlight w:val="none"/>
                <w:u w:val="single"/>
              </w:rPr>
              <w:t>20</w:t>
            </w:r>
            <w:r>
              <w:rPr>
                <w:rFonts w:hint="eastAsia" w:ascii="宋体" w:hAnsi="宋体" w:eastAsia="宋体" w:cs="宋体"/>
                <w:color w:val="auto"/>
                <w:sz w:val="21"/>
                <w:szCs w:val="21"/>
                <w:highlight w:val="none"/>
              </w:rPr>
              <w:t>分,资信标评分</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rPr>
              <w:t>分,商务标评分</w:t>
            </w:r>
            <w:r>
              <w:rPr>
                <w:rFonts w:hint="eastAsia" w:ascii="宋体" w:hAnsi="宋体" w:eastAsia="宋体" w:cs="宋体"/>
                <w:color w:val="auto"/>
                <w:sz w:val="21"/>
                <w:szCs w:val="21"/>
                <w:highlight w:val="none"/>
                <w:u w:val="single"/>
                <w:lang w:val="en-US" w:eastAsia="zh-CN"/>
              </w:rPr>
              <w:t>77</w:t>
            </w:r>
            <w:r>
              <w:rPr>
                <w:rFonts w:hint="eastAsia" w:ascii="宋体" w:hAnsi="宋体" w:eastAsia="宋体" w:cs="宋体"/>
                <w:color w:val="auto"/>
                <w:sz w:val="21"/>
                <w:szCs w:val="21"/>
                <w:highlight w:val="none"/>
              </w:rPr>
              <w:t>分 。</w:t>
            </w:r>
          </w:p>
          <w:p w14:paraId="0FBC745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tc>
      </w:tr>
      <w:tr w14:paraId="3E7114B7">
        <w:tblPrEx>
          <w:tblCellMar>
            <w:top w:w="0" w:type="dxa"/>
            <w:left w:w="108" w:type="dxa"/>
            <w:bottom w:w="0" w:type="dxa"/>
            <w:right w:w="108" w:type="dxa"/>
          </w:tblCellMar>
        </w:tblPrEx>
        <w:trPr>
          <w:trHeight w:val="88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EDDDA1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093AD7A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评标委员会推荐中标候选人的人数和是否排序</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6D19349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B9B179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2.评定分离：</w:t>
            </w:r>
            <w:r>
              <w:rPr>
                <w:rFonts w:hint="eastAsia" w:ascii="宋体" w:hAnsi="宋体" w:eastAsia="宋体" w:cs="宋体"/>
                <w:color w:val="auto"/>
                <w:sz w:val="21"/>
                <w:szCs w:val="21"/>
                <w:highlight w:val="none"/>
                <w:lang w:eastAsia="zh-CN"/>
              </w:rPr>
              <w:t>不排序的方式向招标人推荐中标候选人，</w:t>
            </w:r>
            <w:r>
              <w:rPr>
                <w:rFonts w:hint="eastAsia" w:ascii="宋体" w:hAnsi="宋体" w:eastAsia="宋体" w:cs="宋体"/>
                <w:color w:val="auto"/>
                <w:sz w:val="21"/>
                <w:szCs w:val="21"/>
                <w:highlight w:val="none"/>
                <w:u w:val="single"/>
              </w:rPr>
              <w:t>当有效投标人为3-7名时，推荐3名中标候选人； 当有效投标人为8名及以上时，推荐5名中标候选人</w:t>
            </w:r>
            <w:r>
              <w:rPr>
                <w:rFonts w:hint="eastAsia" w:ascii="宋体" w:hAnsi="宋体" w:eastAsia="宋体" w:cs="宋体"/>
                <w:color w:val="auto"/>
                <w:sz w:val="21"/>
                <w:szCs w:val="21"/>
                <w:highlight w:val="none"/>
                <w:u w:val="single"/>
                <w:lang w:eastAsia="zh-CN"/>
              </w:rPr>
              <w:t>。</w:t>
            </w:r>
          </w:p>
        </w:tc>
      </w:tr>
      <w:tr w14:paraId="3FDF2459">
        <w:tblPrEx>
          <w:tblCellMar>
            <w:top w:w="0" w:type="dxa"/>
            <w:left w:w="108" w:type="dxa"/>
            <w:bottom w:w="0" w:type="dxa"/>
            <w:right w:w="108" w:type="dxa"/>
          </w:tblCellMar>
        </w:tblPrEx>
        <w:trPr>
          <w:trHeight w:val="2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24653FB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F6AD55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89B16B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□授权评标委员会确定中标人。</w:t>
            </w:r>
          </w:p>
          <w:p w14:paraId="3A80688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516A14F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5793221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bidi="zh-CN"/>
              </w:rPr>
              <w:t>/</w:t>
            </w:r>
            <w:r>
              <w:rPr>
                <w:rFonts w:hint="eastAsia" w:ascii="宋体" w:hAnsi="宋体" w:eastAsia="宋体" w:cs="宋体"/>
                <w:color w:val="auto"/>
                <w:sz w:val="21"/>
                <w:szCs w:val="21"/>
                <w:highlight w:val="none"/>
              </w:rPr>
              <w:t>。</w:t>
            </w:r>
          </w:p>
        </w:tc>
      </w:tr>
      <w:tr w14:paraId="69132006">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21FFE64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0D493DA0">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36FAFB4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7.1.3</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1606D28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7D28902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定标会议地点和时间</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40C304B2">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1.定标时间：</w:t>
            </w:r>
            <w:r>
              <w:rPr>
                <w:rFonts w:hint="eastAsia" w:ascii="宋体" w:hAnsi="宋体" w:eastAsia="宋体" w:cs="宋体"/>
                <w:color w:val="auto"/>
                <w:sz w:val="21"/>
                <w:szCs w:val="21"/>
                <w:highlight w:val="none"/>
                <w:u w:val="single"/>
              </w:rPr>
              <w:t xml:space="preserve"> 评标结果公示结束后10日内召开定标会议  </w:t>
            </w:r>
            <w:r>
              <w:rPr>
                <w:rFonts w:hint="eastAsia" w:ascii="宋体" w:hAnsi="宋体" w:eastAsia="宋体" w:cs="宋体"/>
                <w:color w:val="auto"/>
                <w:spacing w:val="-4"/>
                <w:sz w:val="21"/>
                <w:szCs w:val="21"/>
                <w:highlight w:val="none"/>
              </w:rPr>
              <w:t>。</w:t>
            </w:r>
          </w:p>
          <w:p w14:paraId="2A4B8404">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2.定标地点：</w:t>
            </w:r>
            <w:r>
              <w:rPr>
                <w:rFonts w:hint="eastAsia" w:ascii="宋体" w:hAnsi="宋体" w:eastAsia="宋体" w:cs="宋体"/>
                <w:color w:val="auto"/>
                <w:sz w:val="21"/>
                <w:szCs w:val="21"/>
                <w:highlight w:val="none"/>
                <w:u w:val="single"/>
              </w:rPr>
              <w:t xml:space="preserve">  衢州市柯城区公共资源交易中心 </w:t>
            </w:r>
            <w:r>
              <w:rPr>
                <w:rFonts w:hint="eastAsia" w:ascii="宋体" w:hAnsi="宋体" w:eastAsia="宋体" w:cs="宋体"/>
                <w:color w:val="auto"/>
                <w:spacing w:val="-4"/>
                <w:sz w:val="21"/>
                <w:szCs w:val="21"/>
                <w:highlight w:val="none"/>
              </w:rPr>
              <w:t>。</w:t>
            </w:r>
          </w:p>
          <w:p w14:paraId="47BA57D9">
            <w:pPr>
              <w:pStyle w:val="16"/>
              <w:keepNext w:val="0"/>
              <w:keepLines w:val="0"/>
              <w:suppressLineNumbers w:val="0"/>
              <w:shd w:val="clear" w:color="auto" w:fill="auto"/>
              <w:adjustRightInd w:val="0"/>
              <w:snapToGrid w:val="0"/>
              <w:spacing w:before="0" w:beforeAutospacing="0" w:after="0" w:afterAutospacing="0" w:line="360" w:lineRule="auto"/>
              <w:ind w:left="0" w:right="0" w:firstLine="18"/>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招标人根据相关规定在评标结果公示结束后</w:t>
            </w:r>
            <w:r>
              <w:rPr>
                <w:rFonts w:hint="eastAsia" w:ascii="宋体" w:hAnsi="宋体" w:eastAsia="宋体" w:cs="宋体"/>
                <w:color w:val="auto"/>
                <w:sz w:val="21"/>
                <w:szCs w:val="21"/>
                <w:highlight w:val="none"/>
              </w:rPr>
              <w:t>10日内召开</w:t>
            </w:r>
            <w:r>
              <w:rPr>
                <w:rFonts w:hint="eastAsia" w:ascii="宋体" w:hAnsi="宋体" w:eastAsia="宋体" w:cs="宋体"/>
                <w:color w:val="auto"/>
                <w:spacing w:val="-4"/>
                <w:sz w:val="21"/>
                <w:szCs w:val="21"/>
                <w:highlight w:val="none"/>
              </w:rPr>
              <w:t>定标会议。</w:t>
            </w:r>
          </w:p>
        </w:tc>
      </w:tr>
      <w:tr w14:paraId="7997AC63">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3347525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18E099A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68B784D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68DEA14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考察、质询</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6F8F809D">
            <w:pPr>
              <w:pStyle w:val="16"/>
              <w:keepNext w:val="0"/>
              <w:keepLines w:val="0"/>
              <w:suppressLineNumbers w:val="0"/>
              <w:shd w:val="clear" w:color="auto" w:fill="auto"/>
              <w:adjustRightInd w:val="0"/>
              <w:snapToGrid w:val="0"/>
              <w:spacing w:before="0" w:beforeAutospacing="0" w:after="0" w:afterAutospacing="0" w:line="360" w:lineRule="auto"/>
              <w:ind w:left="0" w:right="0" w:firstLine="22"/>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eastAsia="zh-CN"/>
              </w:rPr>
              <w:t>□</w:t>
            </w:r>
            <w:r>
              <w:rPr>
                <w:rFonts w:hint="eastAsia" w:ascii="宋体" w:hAnsi="宋体" w:eastAsia="宋体" w:cs="宋体"/>
                <w:color w:val="auto"/>
                <w:spacing w:val="3"/>
                <w:sz w:val="21"/>
                <w:szCs w:val="21"/>
                <w:highlight w:val="none"/>
              </w:rPr>
              <w:t>1.在定标会议前（考察、质询应给予中标候选人合理的</w:t>
            </w:r>
            <w:r>
              <w:rPr>
                <w:rFonts w:hint="eastAsia" w:ascii="宋体" w:hAnsi="宋体" w:eastAsia="宋体" w:cs="宋体"/>
                <w:color w:val="auto"/>
                <w:spacing w:val="-1"/>
                <w:sz w:val="21"/>
                <w:szCs w:val="21"/>
                <w:highlight w:val="none"/>
              </w:rPr>
              <w:t>准备时间。）对所有中标候选人进行考察、质询。</w:t>
            </w:r>
          </w:p>
          <w:p w14:paraId="250208A0">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w:t>
            </w:r>
            <w:r>
              <w:rPr>
                <w:rFonts w:hint="eastAsia" w:ascii="宋体" w:hAnsi="宋体" w:eastAsia="宋体" w:cs="宋体"/>
                <w:color w:val="auto"/>
                <w:spacing w:val="-5"/>
                <w:sz w:val="21"/>
                <w:szCs w:val="21"/>
                <w:highlight w:val="none"/>
              </w:rPr>
              <w:t>2.考察、质询小组由</w:t>
            </w:r>
            <w:r>
              <w:rPr>
                <w:rFonts w:hint="eastAsia" w:ascii="宋体" w:hAnsi="宋体" w:eastAsia="宋体" w:cs="宋体"/>
                <w:i/>
                <w:iCs/>
                <w:color w:val="auto"/>
                <w:spacing w:val="-5"/>
                <w:sz w:val="21"/>
                <w:szCs w:val="21"/>
                <w:highlight w:val="none"/>
                <w:u w:val="single"/>
              </w:rPr>
              <w:t>（3人及以上单数）</w:t>
            </w:r>
            <w:r>
              <w:rPr>
                <w:rFonts w:hint="eastAsia" w:ascii="宋体" w:hAnsi="宋体" w:eastAsia="宋体" w:cs="宋体"/>
                <w:color w:val="auto"/>
                <w:spacing w:val="-5"/>
                <w:sz w:val="21"/>
                <w:szCs w:val="21"/>
                <w:highlight w:val="none"/>
              </w:rPr>
              <w:t>组成。</w:t>
            </w:r>
          </w:p>
        </w:tc>
      </w:tr>
      <w:tr w14:paraId="3DB9C0DE">
        <w:tblPrEx>
          <w:tblCellMar>
            <w:top w:w="0" w:type="dxa"/>
            <w:left w:w="108" w:type="dxa"/>
            <w:bottom w:w="0" w:type="dxa"/>
            <w:right w:w="108" w:type="dxa"/>
          </w:tblCellMar>
        </w:tblPrEx>
        <w:trPr>
          <w:trHeight w:val="49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2831714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7.1.5</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0E3BA2F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定标委员会的组建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CA65AE3">
            <w:pPr>
              <w:pStyle w:val="16"/>
              <w:keepNext w:val="0"/>
              <w:keepLines w:val="0"/>
              <w:suppressLineNumbers w:val="0"/>
              <w:shd w:val="clear" w:color="auto" w:fill="auto"/>
              <w:adjustRightInd w:val="0"/>
              <w:snapToGrid w:val="0"/>
              <w:spacing w:before="0" w:beforeAutospacing="0" w:after="0" w:afterAutospacing="0" w:line="360" w:lineRule="auto"/>
              <w:ind w:left="0" w:right="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6"/>
                <w:sz w:val="21"/>
                <w:szCs w:val="21"/>
                <w:highlight w:val="none"/>
              </w:rPr>
              <w:t>定标委员会由</w:t>
            </w:r>
            <w:r>
              <w:rPr>
                <w:rFonts w:hint="eastAsia" w:ascii="宋体" w:hAnsi="宋体" w:eastAsia="宋体" w:cs="宋体"/>
                <w:i w:val="0"/>
                <w:iCs w:val="0"/>
                <w:color w:val="auto"/>
                <w:spacing w:val="-6"/>
                <w:sz w:val="21"/>
                <w:szCs w:val="21"/>
                <w:highlight w:val="none"/>
                <w:u w:val="single"/>
                <w:lang w:val="en-US" w:eastAsia="zh-CN"/>
              </w:rPr>
              <w:t>5</w:t>
            </w:r>
            <w:r>
              <w:rPr>
                <w:rFonts w:hint="eastAsia" w:ascii="宋体" w:hAnsi="宋体" w:eastAsia="宋体" w:cs="宋体"/>
                <w:i w:val="0"/>
                <w:iCs w:val="0"/>
                <w:color w:val="auto"/>
                <w:spacing w:val="-6"/>
                <w:sz w:val="21"/>
                <w:szCs w:val="21"/>
                <w:highlight w:val="none"/>
                <w:u w:val="none"/>
                <w:lang w:val="en-US" w:eastAsia="zh-CN"/>
              </w:rPr>
              <w:t>人</w:t>
            </w:r>
            <w:r>
              <w:rPr>
                <w:rFonts w:hint="eastAsia" w:ascii="宋体" w:hAnsi="宋体" w:eastAsia="宋体" w:cs="宋体"/>
                <w:color w:val="auto"/>
                <w:spacing w:val="-6"/>
                <w:sz w:val="21"/>
                <w:szCs w:val="21"/>
                <w:highlight w:val="none"/>
              </w:rPr>
              <w:t>组成。</w:t>
            </w:r>
          </w:p>
        </w:tc>
      </w:tr>
      <w:tr w14:paraId="522D4FD3">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7BCC698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79B0D38B">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406983A4">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68F5EF7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7.1.6</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BA1280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□现场面试</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1C113666">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w:t>
            </w:r>
            <w:r>
              <w:rPr>
                <w:rFonts w:hint="eastAsia" w:ascii="宋体" w:hAnsi="宋体" w:eastAsia="宋体" w:cs="宋体"/>
                <w:color w:val="auto"/>
                <w:spacing w:val="-1"/>
                <w:sz w:val="21"/>
                <w:szCs w:val="21"/>
                <w:highlight w:val="none"/>
              </w:rPr>
              <w:t>理、企业技术负责人中任意一人）参加现场面试。</w:t>
            </w:r>
          </w:p>
        </w:tc>
      </w:tr>
      <w:tr w14:paraId="4F877282">
        <w:tblPrEx>
          <w:tblCellMar>
            <w:top w:w="0" w:type="dxa"/>
            <w:left w:w="108" w:type="dxa"/>
            <w:bottom w:w="0" w:type="dxa"/>
            <w:right w:w="108" w:type="dxa"/>
          </w:tblCellMar>
        </w:tblPrEx>
        <w:trPr>
          <w:trHeight w:val="387"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55E3B274">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506E2B8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09ECD6E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18DCDC1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46F0064D">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3AC2AA8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1B9B16C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4B8B2E4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7.1.7</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39844C0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732E3BA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7B0943A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3BBD85C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4B5DF5C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4495F3D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15F4D81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定标要素及具体内容</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611FC2E5">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☑1.价格因素； </w:t>
            </w:r>
          </w:p>
          <w:p w14:paraId="681D3163">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☑2.企业实力； </w:t>
            </w:r>
          </w:p>
          <w:p w14:paraId="749D3500">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☑3.企业信誉； </w:t>
            </w:r>
          </w:p>
          <w:p w14:paraId="6CD6483C">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☑4.投标方案； </w:t>
            </w:r>
          </w:p>
          <w:p w14:paraId="4CFC29F0">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☑5.拟派团队能力与水平； </w:t>
            </w:r>
          </w:p>
          <w:p w14:paraId="5E518220">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☑6.联合体投标的，联合体组成情况； </w:t>
            </w:r>
          </w:p>
          <w:p w14:paraId="4D937200">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☑7.企业质量安全、无欠薪管理情况； </w:t>
            </w:r>
          </w:p>
          <w:p w14:paraId="24ADD7A5">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☑8.企业项目班组人员到岗履职等管理情况； </w:t>
            </w:r>
          </w:p>
          <w:p w14:paraId="7C84C3D2">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☑9.工程保修维护等后续服务便利； </w:t>
            </w:r>
          </w:p>
          <w:p w14:paraId="46AC9DAE">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□10.落实建筑业高质量发展政策；</w:t>
            </w:r>
          </w:p>
          <w:p w14:paraId="40B81709">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□11.落实政府其他政策；</w:t>
            </w:r>
          </w:p>
          <w:p w14:paraId="0777D96C">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☑12.评标报告；</w:t>
            </w:r>
          </w:p>
          <w:p w14:paraId="4B32D4CF">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□13.质询或（和）考察报告；</w:t>
            </w:r>
          </w:p>
          <w:p w14:paraId="71A43529">
            <w:pPr>
              <w:pStyle w:val="16"/>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□14.现场面试情况；</w:t>
            </w:r>
          </w:p>
          <w:p w14:paraId="6255F40F">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strike w:val="0"/>
                <w:dstrike w:val="0"/>
                <w:color w:val="auto"/>
                <w:sz w:val="21"/>
                <w:szCs w:val="21"/>
                <w:highlight w:val="none"/>
                <w:lang w:val="en-US" w:eastAsia="zh-CN"/>
              </w:rPr>
              <w:t>招标人认为需要考量的其他因素：</w:t>
            </w:r>
            <w:r>
              <w:rPr>
                <w:rFonts w:hint="eastAsia" w:ascii="宋体" w:hAnsi="宋体" w:eastAsia="宋体" w:cs="宋体"/>
                <w:strike w:val="0"/>
                <w:dstrike w:val="0"/>
                <w:color w:val="auto"/>
                <w:sz w:val="21"/>
                <w:szCs w:val="21"/>
                <w:highlight w:val="none"/>
                <w:u w:val="single"/>
                <w:lang w:val="en-US" w:eastAsia="zh-CN"/>
              </w:rPr>
              <w:t>项目地服务（机构设置、人员配置、服务响应时间、赶工、应急处置等）、社会综合贡献（建筑业产值、税收）等</w:t>
            </w:r>
            <w:r>
              <w:rPr>
                <w:rFonts w:hint="eastAsia" w:ascii="宋体" w:hAnsi="宋体" w:eastAsia="宋体" w:cs="宋体"/>
                <w:color w:val="auto"/>
                <w:sz w:val="21"/>
                <w:szCs w:val="21"/>
                <w:highlight w:val="none"/>
                <w:lang w:val="en-US" w:eastAsia="zh-CN"/>
              </w:rPr>
              <w:t>。</w:t>
            </w:r>
          </w:p>
        </w:tc>
      </w:tr>
      <w:tr w14:paraId="218D9CAE">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31D8C3C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3C45BFD6">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7.1.8</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4E19216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p w14:paraId="0B9DCC7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定标方法</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06A3813B">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lang w:eastAsia="zh-CN"/>
              </w:rPr>
              <w:t>☑</w:t>
            </w:r>
            <w:r>
              <w:rPr>
                <w:rFonts w:hint="eastAsia" w:ascii="宋体" w:hAnsi="宋体" w:eastAsia="宋体" w:cs="宋体"/>
                <w:color w:val="auto"/>
                <w:spacing w:val="-5"/>
                <w:sz w:val="21"/>
                <w:szCs w:val="21"/>
                <w:highlight w:val="none"/>
              </w:rPr>
              <w:t>1.票决法；</w:t>
            </w:r>
          </w:p>
          <w:p w14:paraId="0302CE9D">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□2.集体议事法；</w:t>
            </w:r>
          </w:p>
          <w:p w14:paraId="1C0DD24B">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rPr>
              <w:t>□3.其他定标办法：</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u w:val="single"/>
                <w:lang w:eastAsia="zh-CN"/>
              </w:rPr>
              <w:t>/</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w:t>
            </w:r>
          </w:p>
        </w:tc>
      </w:tr>
      <w:tr w14:paraId="69DF21D8">
        <w:tblPrEx>
          <w:tblCellMar>
            <w:top w:w="0" w:type="dxa"/>
            <w:left w:w="108" w:type="dxa"/>
            <w:bottom w:w="0" w:type="dxa"/>
            <w:right w:w="108" w:type="dxa"/>
          </w:tblCellMar>
        </w:tblPrEx>
        <w:trPr>
          <w:trHeight w:val="64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top"/>
          </w:tcPr>
          <w:p w14:paraId="5A8BC8C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504413B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7.1.9</w:t>
            </w:r>
          </w:p>
        </w:tc>
        <w:tc>
          <w:tcPr>
            <w:tcW w:w="1862" w:type="dxa"/>
            <w:tcBorders>
              <w:top w:val="single" w:color="auto" w:sz="4" w:space="0"/>
              <w:left w:val="single" w:color="auto" w:sz="4" w:space="0"/>
              <w:bottom w:val="single" w:color="auto" w:sz="4" w:space="0"/>
              <w:right w:val="single" w:color="auto" w:sz="4" w:space="0"/>
            </w:tcBorders>
            <w:noWrap w:val="0"/>
            <w:vAlign w:val="top"/>
          </w:tcPr>
          <w:p w14:paraId="00D8B16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中标公告媒介及期限</w:t>
            </w:r>
          </w:p>
        </w:tc>
        <w:tc>
          <w:tcPr>
            <w:tcW w:w="6962" w:type="dxa"/>
            <w:tcBorders>
              <w:top w:val="single" w:color="auto" w:sz="4" w:space="0"/>
              <w:left w:val="single" w:color="auto" w:sz="4" w:space="0"/>
              <w:bottom w:val="single" w:color="auto" w:sz="4" w:space="0"/>
              <w:right w:val="single" w:color="auto" w:sz="4" w:space="0"/>
            </w:tcBorders>
            <w:noWrap w:val="0"/>
            <w:vAlign w:val="top"/>
          </w:tcPr>
          <w:p w14:paraId="0E41BF69">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pacing w:val="-2"/>
                <w:sz w:val="21"/>
                <w:szCs w:val="21"/>
                <w:highlight w:val="none"/>
                <w:u w:val="single"/>
              </w:rPr>
            </w:pPr>
            <w:r>
              <w:rPr>
                <w:rFonts w:hint="eastAsia" w:ascii="宋体" w:hAnsi="宋体" w:eastAsia="宋体" w:cs="宋体"/>
                <w:color w:val="auto"/>
                <w:spacing w:val="-4"/>
                <w:sz w:val="21"/>
                <w:szCs w:val="21"/>
                <w:highlight w:val="none"/>
              </w:rPr>
              <w:t>公告媒介：</w:t>
            </w:r>
            <w:r>
              <w:rPr>
                <w:rFonts w:hint="eastAsia" w:ascii="宋体" w:hAnsi="宋体" w:eastAsia="宋体" w:cs="宋体"/>
                <w:color w:val="auto"/>
                <w:spacing w:val="-4"/>
                <w:sz w:val="21"/>
                <w:szCs w:val="21"/>
                <w:highlight w:val="none"/>
                <w:u w:val="single"/>
                <w:lang w:eastAsia="zh-CN"/>
              </w:rPr>
              <w:t>浙江省</w:t>
            </w:r>
            <w:r>
              <w:rPr>
                <w:rFonts w:hint="eastAsia" w:ascii="宋体" w:hAnsi="宋体" w:eastAsia="宋体" w:cs="宋体"/>
                <w:color w:val="auto"/>
                <w:spacing w:val="-2"/>
                <w:sz w:val="21"/>
                <w:szCs w:val="21"/>
                <w:highlight w:val="none"/>
                <w:u w:val="single"/>
              </w:rPr>
              <w:t>公共资源交易</w:t>
            </w:r>
            <w:r>
              <w:rPr>
                <w:rFonts w:hint="eastAsia" w:ascii="宋体" w:hAnsi="宋体" w:eastAsia="宋体" w:cs="宋体"/>
                <w:color w:val="auto"/>
                <w:spacing w:val="-2"/>
                <w:sz w:val="21"/>
                <w:szCs w:val="21"/>
                <w:highlight w:val="none"/>
                <w:u w:val="single"/>
                <w:lang w:eastAsia="zh-CN"/>
              </w:rPr>
              <w:t>服务平台（www.zjpubservice.com）、衢州市公共资源交易网</w:t>
            </w:r>
            <w:r>
              <w:rPr>
                <w:rFonts w:hint="eastAsia" w:ascii="宋体" w:hAnsi="宋体" w:eastAsia="宋体" w:cs="宋体"/>
                <w:color w:val="auto"/>
                <w:spacing w:val="-2"/>
                <w:sz w:val="21"/>
                <w:szCs w:val="21"/>
                <w:highlight w:val="none"/>
                <w:u w:val="single"/>
              </w:rPr>
              <w:t>（http://ggzy.qz.gov.cn/）</w:t>
            </w:r>
          </w:p>
          <w:p w14:paraId="1EE1AC7C">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0"/>
                <w:sz w:val="21"/>
                <w:szCs w:val="21"/>
                <w:highlight w:val="none"/>
              </w:rPr>
              <w:t>公告期限：不少于</w:t>
            </w:r>
            <w:r>
              <w:rPr>
                <w:rFonts w:hint="eastAsia" w:ascii="宋体" w:hAnsi="宋体" w:eastAsia="宋体" w:cs="宋体"/>
                <w:color w:val="auto"/>
                <w:spacing w:val="34"/>
                <w:sz w:val="21"/>
                <w:szCs w:val="21"/>
                <w:highlight w:val="none"/>
                <w:u w:val="single"/>
              </w:rPr>
              <w:t xml:space="preserve"> </w:t>
            </w:r>
            <w:r>
              <w:rPr>
                <w:rFonts w:hint="eastAsia" w:ascii="宋体" w:hAnsi="宋体" w:eastAsia="宋体" w:cs="宋体"/>
                <w:color w:val="auto"/>
                <w:spacing w:val="34"/>
                <w:sz w:val="21"/>
                <w:szCs w:val="21"/>
                <w:highlight w:val="none"/>
                <w:u w:val="single"/>
                <w:lang w:val="en-US" w:eastAsia="zh-CN"/>
              </w:rPr>
              <w:t>3</w:t>
            </w:r>
            <w:r>
              <w:rPr>
                <w:rFonts w:hint="eastAsia" w:ascii="宋体" w:hAnsi="宋体" w:eastAsia="宋体" w:cs="宋体"/>
                <w:color w:val="auto"/>
                <w:spacing w:val="34"/>
                <w:sz w:val="21"/>
                <w:szCs w:val="21"/>
                <w:highlight w:val="none"/>
                <w:u w:val="single"/>
              </w:rPr>
              <w:t xml:space="preserve"> </w:t>
            </w:r>
            <w:r>
              <w:rPr>
                <w:rFonts w:hint="eastAsia" w:ascii="宋体" w:hAnsi="宋体" w:eastAsia="宋体" w:cs="宋体"/>
                <w:color w:val="auto"/>
                <w:spacing w:val="-10"/>
                <w:sz w:val="21"/>
                <w:szCs w:val="21"/>
                <w:highlight w:val="none"/>
              </w:rPr>
              <w:t>日。</w:t>
            </w:r>
          </w:p>
        </w:tc>
      </w:tr>
      <w:tr w14:paraId="56FD5199">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85DA1B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7.1.10</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B1D8F5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□按原定标方法确定中标人</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53E97A0">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pacing w:val="-10"/>
                <w:sz w:val="21"/>
                <w:szCs w:val="21"/>
                <w:highlight w:val="none"/>
              </w:rPr>
            </w:pPr>
            <w:r>
              <w:rPr>
                <w:rFonts w:hint="eastAsia" w:ascii="宋体" w:hAnsi="宋体" w:eastAsia="宋体" w:cs="宋体"/>
                <w:color w:val="auto"/>
                <w:spacing w:val="-2"/>
                <w:sz w:val="21"/>
                <w:szCs w:val="21"/>
                <w:highlight w:val="none"/>
              </w:rPr>
              <w:t>其他情形：</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u w:val="single"/>
                <w:lang w:eastAsia="zh-CN"/>
              </w:rPr>
              <w:t>/</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2"/>
                <w:sz w:val="21"/>
                <w:szCs w:val="21"/>
                <w:highlight w:val="none"/>
                <w:u w:val="single"/>
              </w:rPr>
              <w:t>。</w:t>
            </w:r>
          </w:p>
        </w:tc>
      </w:tr>
      <w:tr w14:paraId="203C0DE2">
        <w:tblPrEx>
          <w:tblCellMar>
            <w:top w:w="0" w:type="dxa"/>
            <w:left w:w="108" w:type="dxa"/>
            <w:bottom w:w="0" w:type="dxa"/>
            <w:right w:w="108" w:type="dxa"/>
          </w:tblCellMar>
        </w:tblPrEx>
        <w:trPr>
          <w:trHeight w:val="904"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C360D1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6F41C0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□重新定标</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2B91F02">
            <w:pPr>
              <w:pStyle w:val="16"/>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rPr>
              <w:t>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w:t>
            </w:r>
          </w:p>
        </w:tc>
      </w:tr>
      <w:tr w14:paraId="454E4C66">
        <w:tblPrEx>
          <w:tblCellMar>
            <w:top w:w="0" w:type="dxa"/>
            <w:left w:w="108" w:type="dxa"/>
            <w:bottom w:w="0" w:type="dxa"/>
            <w:right w:w="108" w:type="dxa"/>
          </w:tblCellMar>
        </w:tblPrEx>
        <w:trPr>
          <w:trHeight w:val="880"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65979F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A1A842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中标候选人公示媒介及期限</w:t>
            </w:r>
          </w:p>
        </w:tc>
        <w:tc>
          <w:tcPr>
            <w:tcW w:w="6962" w:type="dxa"/>
            <w:tcBorders>
              <w:top w:val="single" w:color="auto" w:sz="4" w:space="0"/>
              <w:left w:val="single" w:color="auto" w:sz="4" w:space="0"/>
              <w:bottom w:val="single" w:color="auto" w:sz="4" w:space="0"/>
              <w:right w:val="single" w:color="auto" w:sz="4" w:space="0"/>
            </w:tcBorders>
            <w:noWrap w:val="0"/>
            <w:vAlign w:val="bottom"/>
          </w:tcPr>
          <w:p w14:paraId="11C2196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公示媒介：</w:t>
            </w:r>
            <w:r>
              <w:rPr>
                <w:rFonts w:hint="eastAsia" w:ascii="宋体" w:hAnsi="宋体" w:eastAsia="宋体" w:cs="宋体"/>
                <w:color w:val="auto"/>
                <w:sz w:val="21"/>
                <w:szCs w:val="21"/>
                <w:highlight w:val="none"/>
                <w:u w:val="single"/>
              </w:rPr>
              <w:t>浙江省公共资源交易服务平台（www.zjpubservice.com）、衢州市公共资源交易网（http://ggzy.qz.gov.cn/）、衢州市柯城区人民政府网（</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"http://www.kecheng.gov.cn/"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http://www.kecheng.gov.cn/</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w:t>
            </w:r>
          </w:p>
          <w:p w14:paraId="50FF75D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w:t>
            </w:r>
            <w:r>
              <w:rPr>
                <w:rFonts w:hint="eastAsia" w:ascii="宋体" w:hAnsi="宋体" w:eastAsia="宋体" w:cs="宋体"/>
                <w:color w:val="auto"/>
                <w:sz w:val="21"/>
                <w:szCs w:val="21"/>
                <w:highlight w:val="none"/>
                <w:u w:val="single"/>
              </w:rPr>
              <w:t>：不少于3日。如遇国家法定休假日，应顺延至法定休假日后第一个工作日。</w:t>
            </w:r>
          </w:p>
        </w:tc>
      </w:tr>
      <w:tr w14:paraId="282A255C">
        <w:tblPrEx>
          <w:tblCellMar>
            <w:top w:w="0" w:type="dxa"/>
            <w:left w:w="108" w:type="dxa"/>
            <w:bottom w:w="0" w:type="dxa"/>
            <w:right w:w="108" w:type="dxa"/>
          </w:tblCellMar>
        </w:tblPrEx>
        <w:trPr>
          <w:trHeight w:val="1495"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D550B9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1448692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履约担保及工程款支付担保</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E25AF8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履约担保的金额：合同总价的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w:t>
            </w:r>
          </w:p>
          <w:p w14:paraId="5EF928F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工程款支付担保的金额：与履约担保同比例。</w:t>
            </w:r>
          </w:p>
          <w:p w14:paraId="57867DA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履约担保/工程款支付担保的形式：现金、支票、汇票、转账、银行保函、融资担保公司保函或者保险机构保证、保险、保单。</w:t>
            </w:r>
          </w:p>
        </w:tc>
      </w:tr>
      <w:tr w14:paraId="30035652">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9861D7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5844BCA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重新招标的其他情形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E76CD8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1.招标投标过程中，因项目发生变更，现有招标资格条件与项目工程规模不符的；</w:t>
            </w:r>
          </w:p>
          <w:p w14:paraId="572DE5A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9B920A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3.法律法规规定的其他情形。</w:t>
            </w:r>
          </w:p>
        </w:tc>
      </w:tr>
      <w:tr w14:paraId="54F9287A">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090885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ACA037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不在招标的情形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11B703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重新招标后投标人仍少于3个的，属于必须审批、核准的工程建设项目，报经原审批、核准部门审批、核准后可以不再进行招标。（其他项目由行政监督部门进行核定）</w:t>
            </w:r>
          </w:p>
        </w:tc>
      </w:tr>
      <w:tr w14:paraId="2C9E3859">
        <w:tblPrEx>
          <w:tblCellMar>
            <w:top w:w="0" w:type="dxa"/>
            <w:left w:w="108" w:type="dxa"/>
            <w:bottom w:w="0" w:type="dxa"/>
            <w:right w:w="108" w:type="dxa"/>
          </w:tblCellMar>
        </w:tblPrEx>
        <w:trPr>
          <w:trHeight w:val="1394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96A9143">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375A067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2DFCDF9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凡评标委员会拟作出否决投标决定的，应先向投标人进行书面询问核实。未进行询问核实程序的，不得做出否决投标决定，投标人放弃接受询问核实机会的除外。投标人应自行关注评标委员会发出的澄清并及时答复，在规定的时限内投标人不参加核实或不予答复的，视为放弃接受询</w:t>
            </w:r>
          </w:p>
          <w:p w14:paraId="046C7C8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问核实机会。</w:t>
            </w:r>
          </w:p>
          <w:p w14:paraId="5D97D9F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2.投标文件存在以下情形之一的，由评标委员会审核并经过询标程序，其投标文件将被否决：</w:t>
            </w:r>
          </w:p>
          <w:p w14:paraId="4A757B6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（1）符合性内容</w:t>
            </w:r>
          </w:p>
          <w:p w14:paraId="4286659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的营业执照、企业资质、项目负责人（含设计负责人、施工负责人）资格、安全生产许可证、业绩条件等条件和标准未满足招标文件实质性响应要求的（以投标人须知前附表第3.5款中“实质性响应招标文件 ”内容为准）；</w:t>
            </w:r>
          </w:p>
          <w:p w14:paraId="1C2A700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企业资质动态核查：招标公告发布之日至投标截止日之间投标人在“浙江省建筑市场监管公共服务系统”上，资质动态核查结果处于“不合格”状态的（或者资质“合格”状态的等级低于投标要求的资质等级）；</w:t>
            </w:r>
          </w:p>
          <w:p w14:paraId="2939DDD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□投标人为非中小企业的，投标人未提供《中小企业声明函》或未按照招标文件所附的《中小企业声明函》格式提供的；</w:t>
            </w:r>
          </w:p>
          <w:p w14:paraId="41937A3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省外企业未按规定办理省外建设工程企业进浙备案手续的；</w:t>
            </w:r>
          </w:p>
          <w:p w14:paraId="2B03723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②投标文件未按招标文件规定的要求（以投标人须知前附表第3.7.3项规定为准）签字或盖章的；投标文件中投标函或投标承诺书未按要求填写的；</w:t>
            </w:r>
          </w:p>
          <w:p w14:paraId="23077A8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③法定代表人授权委托代理人参加投标或签署书面文件的，委托代理人无有效的授权委托书；</w:t>
            </w:r>
          </w:p>
          <w:p w14:paraId="63A7DE1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④投标人不以自己的名义或投标人未按照招标文件的要求提交投标保证金（含投标保函未按本招标文件格式要求提供）或提供的投标保证金有缺陷而不能接受的；</w:t>
            </w:r>
          </w:p>
          <w:p w14:paraId="3C20650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⑤投标人（投标人是联合体的，指联合体各方）存在投标须知第1.4.3项情形之一的；</w:t>
            </w:r>
          </w:p>
          <w:p w14:paraId="1AF86AA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⑥投标人（投标人是联合体的，指联合体各方）或其拟派的项目负责人、设计负责人、施工负责人</w:t>
            </w:r>
            <w:r>
              <w:rPr>
                <w:rFonts w:hint="eastAsia" w:ascii="宋体" w:hAnsi="宋体" w:cs="宋体"/>
                <w:color w:val="auto"/>
                <w:sz w:val="21"/>
                <w:szCs w:val="21"/>
                <w:highlight w:val="none"/>
                <w:lang w:eastAsia="zh-CN"/>
              </w:rPr>
              <w:t>、设计负责人</w:t>
            </w:r>
            <w:r>
              <w:rPr>
                <w:rFonts w:hint="eastAsia" w:ascii="宋体" w:hAnsi="宋体" w:eastAsia="宋体" w:cs="宋体"/>
                <w:color w:val="auto"/>
                <w:sz w:val="21"/>
                <w:szCs w:val="21"/>
                <w:highlight w:val="none"/>
              </w:rPr>
              <w:t>不符合招标公告“（三）其他 ”规定的任一情形的；</w:t>
            </w:r>
          </w:p>
          <w:p w14:paraId="3110304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⑦拟派项目负责人、施工负责人在投标截止日前在其他在建合同工程上担任工程总承包项目负责人、施工负责人（含工程总承包项目中担任施工负责人）的；</w:t>
            </w:r>
          </w:p>
          <w:p w14:paraId="0534E51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⑧投标人名称或组织结构与开标时提供的不一致的；</w:t>
            </w:r>
          </w:p>
          <w:p w14:paraId="2AFED52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⑨组成联合体投标的，投标文件未附联合体协议书的；</w:t>
            </w:r>
          </w:p>
          <w:p w14:paraId="73407A5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⑩□投标人提供的纸质投标文件水印码与电子投标文件不一致的；</w:t>
            </w:r>
          </w:p>
          <w:p w14:paraId="1CDF8F6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⑪评标委员会评标中，发现投标人有下列情形之一的，且经询标澄清投标人无令人信服的理由和可靠证据证明其合理性的，经半数以上成员确认，其投标文件按否决投标处理，不再对其进行评审，也不影响招标工程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1777BE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A.不同投标人的投标文件由同一单位或者个人编制；</w:t>
            </w:r>
          </w:p>
          <w:p w14:paraId="435CA27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B.不同投标人的投标文件的文件电子检测码或制作码或创建码相同；</w:t>
            </w:r>
          </w:p>
          <w:p w14:paraId="64D5DE1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C.不同投标人委托同一单位或者个人办理投标事宜；</w:t>
            </w:r>
          </w:p>
          <w:p w14:paraId="674EF11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D.投标文件的编制人接受同一工程招标人委托编制招标文 件（含招标控制价），或接受其他投标人委托编制投标文件的；</w:t>
            </w:r>
          </w:p>
          <w:p w14:paraId="5BDCAAF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E.不同投标人从同一投标单位或者同一自然人的IP地址下载招标文件、上传投标文件、购买电子保函或参加投标的人员为同一标段其他投标人的在职人员；</w:t>
            </w:r>
          </w:p>
          <w:p w14:paraId="66DF399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F.不同投标人的投标文件载明的项目管理成员为同一人； </w:t>
            </w:r>
          </w:p>
          <w:p w14:paraId="6324FAB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G.不同投标人的投标文件异常一致或者投标报价呈规律性差异；</w:t>
            </w:r>
          </w:p>
          <w:p w14:paraId="38E66D4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H.不同投标人的投标文件相互混装；</w:t>
            </w:r>
          </w:p>
          <w:p w14:paraId="66166CC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I.不同投标人的投标保证金从同一单位或者个人的账户转出，或者通过同一单位、个人的账户购买电子保函、担保、保险、银行保函；</w:t>
            </w:r>
          </w:p>
          <w:p w14:paraId="492BFB5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J.投标人之间协商投标报价等投标文件的实质性内容；</w:t>
            </w:r>
          </w:p>
          <w:p w14:paraId="55B4555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K.投标人之间约定中标人；</w:t>
            </w:r>
          </w:p>
          <w:p w14:paraId="2AF57B8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L.投标人之间约定部分投标人放弃投标或者中标；</w:t>
            </w:r>
          </w:p>
          <w:p w14:paraId="3DC7106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N.属于同一集团、协会、商会等组织成员的投标人按照该组织要求协同投标；</w:t>
            </w:r>
          </w:p>
          <w:p w14:paraId="4DB6E58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M.投标人之间为谋取中标或者排斥特定投标人而采取的其他联合行动。</w:t>
            </w:r>
          </w:p>
          <w:p w14:paraId="2E28792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⑫法律、法规、规章规定其他应否决投标的情形。 </w:t>
            </w:r>
          </w:p>
          <w:p w14:paraId="3C52699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⑬其他</w:t>
            </w:r>
            <w:r>
              <w:rPr>
                <w:rFonts w:hint="eastAsia" w:ascii="宋体" w:hAnsi="宋体" w:eastAsia="宋体" w:cs="宋体"/>
                <w:color w:val="auto"/>
                <w:sz w:val="21"/>
                <w:szCs w:val="21"/>
                <w:highlight w:val="none"/>
                <w:u w:val="single"/>
              </w:rPr>
              <w:t xml:space="preserve">： （招标人增加的其他否决条款）     </w:t>
            </w:r>
            <w:r>
              <w:rPr>
                <w:rFonts w:hint="eastAsia" w:ascii="宋体" w:hAnsi="宋体" w:eastAsia="宋体" w:cs="宋体"/>
                <w:color w:val="auto"/>
                <w:sz w:val="21"/>
                <w:szCs w:val="21"/>
                <w:highlight w:val="none"/>
              </w:rPr>
              <w:t>。</w:t>
            </w:r>
          </w:p>
          <w:p w14:paraId="6A4E96A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（2）技术性内容</w:t>
            </w:r>
          </w:p>
          <w:p w14:paraId="29ED09F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①投标文件的设计深度、技术指标、技术标准、工艺流程等未响应招标文件规定的实质性内容的，具体内容如下：</w:t>
            </w:r>
            <w:r>
              <w:rPr>
                <w:rFonts w:hint="eastAsia" w:ascii="宋体" w:hAnsi="宋体" w:eastAsia="宋体" w:cs="宋体"/>
                <w:b/>
                <w:bCs/>
                <w:color w:val="auto"/>
                <w:sz w:val="21"/>
                <w:szCs w:val="21"/>
                <w:highlight w:val="none"/>
                <w:u w:val="single"/>
              </w:rPr>
              <w:t>/；</w:t>
            </w:r>
          </w:p>
          <w:p w14:paraId="290A887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②主要的施工技术方案或安全保障措施不可行的；</w:t>
            </w:r>
          </w:p>
          <w:p w14:paraId="5CB594F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③主要施工机械设备不能满足本工程需要的；</w:t>
            </w:r>
          </w:p>
          <w:p w14:paraId="261E70C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④采用的验收标准或主要技术指标达不到国家强制性标准的；</w:t>
            </w:r>
          </w:p>
          <w:p w14:paraId="1F9B85C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⑤采用的质量安全管理措施不能满足国家强制性标准或要求的；</w:t>
            </w:r>
          </w:p>
          <w:p w14:paraId="7F2FF7D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⑥法律、法规、规章规定的其它否决投标情况的；</w:t>
            </w:r>
          </w:p>
          <w:p w14:paraId="62ACC37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⑦其他：</w:t>
            </w:r>
            <w:r>
              <w:rPr>
                <w:rFonts w:hint="eastAsia" w:ascii="宋体" w:hAnsi="宋体" w:eastAsia="宋体" w:cs="宋体"/>
                <w:color w:val="auto"/>
                <w:sz w:val="21"/>
                <w:szCs w:val="21"/>
                <w:highlight w:val="none"/>
                <w:u w:val="single"/>
              </w:rPr>
              <w:t xml:space="preserve"> （招标人增加的其他否决条款） </w:t>
            </w:r>
            <w:r>
              <w:rPr>
                <w:rFonts w:hint="eastAsia" w:ascii="宋体" w:hAnsi="宋体" w:eastAsia="宋体" w:cs="宋体"/>
                <w:color w:val="auto"/>
                <w:sz w:val="21"/>
                <w:szCs w:val="21"/>
                <w:highlight w:val="none"/>
              </w:rPr>
              <w:t>。</w:t>
            </w:r>
          </w:p>
          <w:p w14:paraId="3100C2C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注：技术标采用暗标评审的，招标人应在“（2）技术性内容”增加针对暗标专用的否决投标约定。</w:t>
            </w:r>
          </w:p>
          <w:p w14:paraId="11687CC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（3）商务性内容</w:t>
            </w:r>
          </w:p>
          <w:p w14:paraId="56156A9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①投标报价高于最高投标限价总价或分项最高投标限价的；</w:t>
            </w:r>
          </w:p>
          <w:p w14:paraId="5E88898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②同一投标人递交两份或多份内容不同的投标文件，或在一份投标文件中对同一招标项目有两个或多个报价，且未声明哪一个有效，按招标文件规定提交备选投标方案的除外；</w:t>
            </w:r>
          </w:p>
          <w:p w14:paraId="3E05C9C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③投标文件中投标函未按要求填写的；</w:t>
            </w:r>
          </w:p>
          <w:p w14:paraId="3542440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□④通过符合性审查的最低评标价比通过符合性审查的次低评标价低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（在5%-10%范围内，由招标人约定）以上，且投标人对其报价不能充分说明理由，或提供的相关资料无法证明报价不低于其成本价的；</w:t>
            </w:r>
          </w:p>
          <w:p w14:paraId="0D233A8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⑤法律、法规、规章规定其他应否决投标的情形。</w:t>
            </w:r>
          </w:p>
          <w:p w14:paraId="49B7033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⑥其他 </w:t>
            </w:r>
            <w:r>
              <w:rPr>
                <w:rFonts w:hint="eastAsia" w:ascii="宋体" w:hAnsi="宋体" w:eastAsia="宋体" w:cs="宋体"/>
                <w:color w:val="auto"/>
                <w:sz w:val="21"/>
                <w:szCs w:val="21"/>
                <w:highlight w:val="none"/>
                <w:u w:val="single"/>
                <w:lang w:val="en-US" w:eastAsia="zh-CN"/>
              </w:rPr>
              <w:t>投标人改变不可竞争价的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AFB280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注：招标人可根据项目实际情况结合我省《房屋建筑和市政基础设施项目工程总承包计价规则》等相关规定，增加具体否决投标的条款。</w:t>
            </w:r>
          </w:p>
          <w:p w14:paraId="1EA5F2F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除本条规定以外，招标文件中其他条款均不得作为否决投标文件的依据。</w:t>
            </w:r>
          </w:p>
        </w:tc>
      </w:tr>
      <w:tr w14:paraId="7FFB5BF2">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4269EEA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DCB88E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异议与投诉</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A076FB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1.异议：</w:t>
            </w:r>
          </w:p>
          <w:p w14:paraId="07D3865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700FE851">
            <w:pPr>
              <w:keepNext w:val="0"/>
              <w:keepLines w:val="0"/>
              <w:suppressLineNumbers w:val="0"/>
              <w:shd w:val="clear" w:color="auto" w:fill="auto"/>
              <w:wordWrap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（2）投标人认为开标不符合有关规定的，应当在开标现场通过</w:t>
            </w:r>
            <w:r>
              <w:rPr>
                <w:rFonts w:hint="eastAsia" w:ascii="宋体" w:hAnsi="宋体" w:eastAsia="宋体" w:cs="宋体"/>
                <w:color w:val="auto"/>
                <w:sz w:val="21"/>
                <w:szCs w:val="21"/>
                <w:highlight w:val="none"/>
                <w:u w:val="single"/>
              </w:rPr>
              <w:t>（https://jyzx.ggzy.qz.gov.cn/BidOpening/bidopeninghallaction/hall/login）</w:t>
            </w:r>
            <w:r>
              <w:rPr>
                <w:rFonts w:hint="eastAsia" w:ascii="宋体" w:hAnsi="宋体" w:eastAsia="宋体" w:cs="宋体"/>
                <w:color w:val="auto"/>
                <w:sz w:val="21"/>
                <w:szCs w:val="21"/>
                <w:highlight w:val="none"/>
              </w:rPr>
              <w:t>向招标人提出异议。招标人将当场对异议给予处理或者告知处理的办法。异议和答复应记入开标记录或者制作专门记录以存档备查；</w:t>
            </w:r>
          </w:p>
          <w:p w14:paraId="5202CF6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266CE5F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w:t>
            </w:r>
            <w:r>
              <w:rPr>
                <w:rFonts w:hint="eastAsia" w:ascii="宋体" w:hAnsi="宋体" w:eastAsia="宋体" w:cs="宋体"/>
                <w:color w:val="auto"/>
                <w:sz w:val="21"/>
                <w:szCs w:val="21"/>
                <w:highlight w:val="none"/>
                <w:u w:val="single"/>
              </w:rPr>
              <w:t xml:space="preserve">（由各地招投标主管部门填写）  </w:t>
            </w:r>
            <w:r>
              <w:rPr>
                <w:rFonts w:hint="eastAsia" w:ascii="宋体" w:hAnsi="宋体" w:eastAsia="宋体" w:cs="宋体"/>
                <w:color w:val="auto"/>
                <w:sz w:val="21"/>
                <w:szCs w:val="21"/>
                <w:highlight w:val="none"/>
              </w:rPr>
              <w:t xml:space="preserve"> 。</w:t>
            </w:r>
          </w:p>
          <w:p w14:paraId="47D482B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2.投诉：</w:t>
            </w:r>
          </w:p>
          <w:p w14:paraId="0272D4B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3343A44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w:t>
            </w:r>
            <w:r>
              <w:rPr>
                <w:rFonts w:hint="eastAsia" w:ascii="宋体" w:hAnsi="宋体" w:eastAsia="宋体" w:cs="宋体"/>
                <w:color w:val="auto"/>
                <w:sz w:val="21"/>
                <w:szCs w:val="21"/>
                <w:highlight w:val="none"/>
                <w:u w:val="single"/>
              </w:rPr>
              <w:t xml:space="preserve">：（由各地招投标主管部门填写）        </w:t>
            </w:r>
            <w:r>
              <w:rPr>
                <w:rFonts w:hint="eastAsia" w:ascii="宋体" w:hAnsi="宋体" w:eastAsia="宋体" w:cs="宋体"/>
                <w:color w:val="auto"/>
                <w:sz w:val="21"/>
                <w:szCs w:val="21"/>
                <w:highlight w:val="none"/>
              </w:rPr>
              <w:t xml:space="preserve">。 </w:t>
            </w:r>
          </w:p>
          <w:p w14:paraId="188D206B">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3.上述时限最后一日如遇国家法定节假日的，顺延至法定节假日后的第一个工作日。</w:t>
            </w:r>
          </w:p>
          <w:p w14:paraId="6F4605C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6524865B">
        <w:tblPrEx>
          <w:tblCellMar>
            <w:top w:w="0" w:type="dxa"/>
            <w:left w:w="108" w:type="dxa"/>
            <w:bottom w:w="0" w:type="dxa"/>
            <w:right w:w="108" w:type="dxa"/>
          </w:tblCellMar>
        </w:tblPrEx>
        <w:trPr>
          <w:trHeight w:val="356"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3B922A9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FBADBF4">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0AB608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1.招标人定标前，将组织：</w:t>
            </w:r>
          </w:p>
          <w:p w14:paraId="49523545">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（1）核验《安全生产许可证》和有效的安全生产考核合格证书；“浙江省建筑市场监管公共服务系统”上最新资质动态核查结果处于“合格”状态。</w:t>
            </w:r>
          </w:p>
          <w:p w14:paraId="26AB196B">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（2）查询拟中标人及拟派项目负责人、施工负责人及设计负责人等是否符合招标公告“（三）其他 ”的要求。</w:t>
            </w:r>
          </w:p>
          <w:p w14:paraId="13D219D9">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□（3）面向中小企业招标的，核验中标候选人的中小企业身份</w:t>
            </w:r>
          </w:p>
          <w:p w14:paraId="6227A2F6">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7640E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上述凡一项核验不符合招标文件规定的，</w:t>
            </w:r>
            <w:r>
              <w:rPr>
                <w:rFonts w:hint="eastAsia" w:ascii="宋体" w:hAnsi="宋体" w:eastAsia="宋体" w:cs="宋体"/>
                <w:b/>
                <w:bCs/>
                <w:color w:val="auto"/>
                <w:sz w:val="21"/>
                <w:szCs w:val="21"/>
                <w:highlight w:val="none"/>
                <w:lang w:val="en-US" w:eastAsia="zh-CN"/>
              </w:rPr>
              <w:t>招标人</w:t>
            </w:r>
            <w:r>
              <w:rPr>
                <w:rFonts w:hint="eastAsia" w:ascii="宋体" w:hAnsi="宋体" w:eastAsia="宋体" w:cs="宋体"/>
                <w:b/>
                <w:bCs/>
                <w:color w:val="auto"/>
                <w:sz w:val="21"/>
                <w:szCs w:val="21"/>
                <w:highlight w:val="none"/>
              </w:rPr>
              <w:t>取消其</w:t>
            </w:r>
            <w:r>
              <w:rPr>
                <w:rFonts w:hint="eastAsia" w:ascii="宋体" w:hAnsi="宋体" w:eastAsia="宋体" w:cs="宋体"/>
                <w:b/>
                <w:bCs/>
                <w:color w:val="auto"/>
                <w:sz w:val="21"/>
                <w:szCs w:val="21"/>
                <w:highlight w:val="none"/>
                <w:lang w:val="en-US" w:eastAsia="zh-CN"/>
              </w:rPr>
              <w:t>参加定</w:t>
            </w:r>
            <w:r>
              <w:rPr>
                <w:rFonts w:hint="eastAsia" w:ascii="宋体" w:hAnsi="宋体" w:eastAsia="宋体" w:cs="宋体"/>
                <w:b/>
                <w:bCs/>
                <w:color w:val="auto"/>
                <w:sz w:val="21"/>
                <w:szCs w:val="21"/>
                <w:highlight w:val="none"/>
              </w:rPr>
              <w:t>标资格，</w:t>
            </w:r>
            <w:r>
              <w:rPr>
                <w:rFonts w:hint="eastAsia" w:ascii="宋体" w:hAnsi="宋体" w:eastAsia="宋体" w:cs="宋体"/>
                <w:b/>
                <w:bCs/>
                <w:color w:val="auto"/>
                <w:sz w:val="21"/>
                <w:szCs w:val="21"/>
                <w:highlight w:val="none"/>
                <w:lang w:val="en-US" w:eastAsia="zh-CN"/>
              </w:rPr>
              <w:t>当剩余参与定标的中标候选人少于3名的，组织原评标委员会重新评标并向招标人推荐中标候选人。</w:t>
            </w:r>
          </w:p>
          <w:p w14:paraId="67742E39">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招标人将在评标委员会推荐的中标候选人中确定</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名为中标人。中标人放弃中标、因不可抗力不能履行合同、不按照招标文件要求提交履约保证金，或者被查实存在影响中标结果的违法行为等情形，不符合中标条件的，招标人</w:t>
            </w:r>
            <w:r>
              <w:rPr>
                <w:rFonts w:hint="eastAsia" w:ascii="宋体" w:hAnsi="宋体" w:eastAsia="宋体" w:cs="宋体"/>
                <w:b/>
                <w:bCs/>
                <w:color w:val="auto"/>
                <w:sz w:val="21"/>
                <w:szCs w:val="21"/>
                <w:highlight w:val="none"/>
                <w:lang w:val="en-US" w:eastAsia="zh-CN"/>
              </w:rPr>
              <w:t>将</w:t>
            </w:r>
            <w:r>
              <w:rPr>
                <w:rFonts w:hint="eastAsia" w:ascii="宋体" w:hAnsi="宋体" w:eastAsia="宋体" w:cs="宋体"/>
                <w:b/>
                <w:bCs/>
                <w:color w:val="auto"/>
                <w:sz w:val="21"/>
                <w:szCs w:val="21"/>
                <w:highlight w:val="none"/>
              </w:rPr>
              <w:t>从原评标委员会推荐的中标候选人名单中剔除中标人，重新定标。</w:t>
            </w:r>
            <w:r>
              <w:rPr>
                <w:rFonts w:hint="eastAsia" w:ascii="宋体" w:hAnsi="宋体" w:eastAsia="宋体" w:cs="宋体"/>
                <w:b/>
                <w:bCs/>
                <w:color w:val="auto"/>
                <w:sz w:val="21"/>
                <w:szCs w:val="21"/>
                <w:highlight w:val="none"/>
                <w:lang w:val="en-US" w:eastAsia="zh-CN"/>
              </w:rPr>
              <w:t>若中标候选人仅剩1名时，招标人将重新组织招标。</w:t>
            </w:r>
          </w:p>
        </w:tc>
      </w:tr>
      <w:tr w14:paraId="6D95D91F">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05908F8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C094BEF">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在建合同工程的认定及变更证明</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8CE4D1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1.对项目负责人和施工负责人“有在建合同工程 ”的认定标准：</w:t>
            </w:r>
          </w:p>
          <w:p w14:paraId="2BD848C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（1）拟派项目负责人和施工负责人在投标截止时间尚有在其他在建合同工程中担任工程总承包项目负责人、施工负责人（含工程总承包项目中担任施工负责人）的情形为“有在建合同工程 ”。</w:t>
            </w:r>
          </w:p>
          <w:p w14:paraId="44D0A07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（2）其他工程项目，包括在中华人民共和国境内所有建设工程，不受地域、行业和投资性质的限制。</w:t>
            </w:r>
          </w:p>
          <w:p w14:paraId="40B243B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（3）在建合同工程的时间界定：在建合同工程的开始时间为合同工程中标通知书发出日期，或者不通过招标方式的 则以合同签订日期为开始时间，结束时间为该合同工程验收合格或合同解除日期）。</w:t>
            </w:r>
          </w:p>
          <w:p w14:paraId="15004A4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以下情形视为“有在建合同工程 ”：</w:t>
            </w:r>
          </w:p>
          <w:p w14:paraId="04A8BF2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（1）合同协议书尚未签订的，中标通知书中载明的项目负责人；</w:t>
            </w:r>
          </w:p>
          <w:p w14:paraId="6966DE7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（2）合同协议书已经签订，合同协议书中明确的项目负责人；</w:t>
            </w:r>
          </w:p>
          <w:p w14:paraId="59A8FC4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（3）项目负责人和施工负责人发生更换的，以现任项目负责人和施工负责人视为有“在建合同工程 ”。</w:t>
            </w:r>
          </w:p>
          <w:p w14:paraId="7E09795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2.在建项目的项目负责人和施工负责人办理更换后，投标时需提供的资料：</w:t>
            </w:r>
          </w:p>
          <w:p w14:paraId="198CB6F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（1）项目业主同意更换的证明；</w:t>
            </w:r>
          </w:p>
          <w:p w14:paraId="29B64FD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（2）原项目负责人和施工负责人在建项目信息有备案在建设主管部门的，应提供建设主管部门同意更换的证明或网上变更信息原件的复制件；</w:t>
            </w:r>
          </w:p>
          <w:p w14:paraId="6E2A702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3.在建合同工程和人员信息可参照全国和浙江省建筑市场监管公共服务系统发布的信息。</w:t>
            </w:r>
          </w:p>
        </w:tc>
      </w:tr>
      <w:tr w14:paraId="29A6551D">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3957A50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2C92D2C">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投标文件的澄清、说明、补正</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0AEDD33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1.澄清回复时间不得超过在发出通知后</w:t>
            </w:r>
            <w:r>
              <w:rPr>
                <w:rFonts w:hint="eastAsia"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rPr>
              <w:t>分钟 ，投标人逾期或未按要求澄清回复的，将视为不予回复或确认，评标委员会有权否决其投标。投标人通讯不畅通，导致不能及时联系的，视作为投标人不予回复或确认。</w:t>
            </w:r>
          </w:p>
          <w:p w14:paraId="5B07B292">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2.评标委员会对投标人提交的澄清、说明或补正有疑问的，可以要求投标人进一步澄清、说明或补正，直至满足评标委员会的要求。</w:t>
            </w:r>
          </w:p>
          <w:p w14:paraId="5A7AF8B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3.投标人拒不按照要求对投标文件进行澄清、说明或者补正的，评标委员会可以否决其投标。</w:t>
            </w:r>
          </w:p>
        </w:tc>
      </w:tr>
      <w:tr w14:paraId="56CDE186">
        <w:tblPrEx>
          <w:tblCellMar>
            <w:top w:w="0" w:type="dxa"/>
            <w:left w:w="108" w:type="dxa"/>
            <w:bottom w:w="0" w:type="dxa"/>
            <w:right w:w="108" w:type="dxa"/>
          </w:tblCellMar>
        </w:tblPrEx>
        <w:trPr>
          <w:trHeight w:val="703"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5665E9B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10.6</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4B9CEB75">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陈述和答辩</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722E12A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陈述和答辩人：通过资格审查和技术评审的有效投标人的拟派项目负责人。</w:t>
            </w:r>
          </w:p>
          <w:p w14:paraId="33B2231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2.答辩方式： □现场语音答复□书面答复□电子平台在线答复</w:t>
            </w:r>
          </w:p>
          <w:p w14:paraId="018F45F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3.陈述和答辩通知方式及相关规定：</w:t>
            </w:r>
          </w:p>
          <w:p w14:paraId="47E47B9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（1）入围后进行预通知（通过电话或短信等方式发送给开标委托人，提醒项目负责人做好陈述和答辩准备）；</w:t>
            </w:r>
          </w:p>
          <w:p w14:paraId="51C595F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标评审评分过程中正式通知（通过电话或短信等方式发送给开标委托人，通知项目负责人进行陈述和答辩）。项目负责人未按通知要求的时间到达指定地点的，视为自动放弃陈述和答辩，该项按0分处理。</w:t>
            </w:r>
          </w:p>
          <w:p w14:paraId="14BE56D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（3）陈述和答辩人应在陈述和答辩问题的范围内进行陈述和答辩。</w:t>
            </w:r>
          </w:p>
          <w:p w14:paraId="09F3466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4.陈述和答辩地点：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FACD55">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陈述和答辩问题：可在招标文件中公布，或者由评标委员会根据招标文件及评审因素内容统一拟定，原则上由评标委员会负责人执笔。</w:t>
            </w:r>
          </w:p>
          <w:p w14:paraId="59919971">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6.参加答辩人员在进入答辩区域后须缴存通讯工具，进场不允许携带资料。</w:t>
            </w:r>
          </w:p>
          <w:p w14:paraId="1E17BFB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□电子平台在线答复：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7C566E98">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BFAE6FE">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7BC5CF9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特殊说明</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4ACD5C9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投标人投标函与投标函附录不一致的，以投标人投标函为准。</w:t>
            </w:r>
          </w:p>
          <w:p w14:paraId="03742A7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其他：</w:t>
            </w:r>
            <w:r>
              <w:rPr>
                <w:rFonts w:hint="eastAsia" w:ascii="宋体" w:hAnsi="宋体" w:eastAsia="宋体" w:cs="宋体"/>
                <w:color w:val="auto"/>
                <w:sz w:val="21"/>
                <w:szCs w:val="21"/>
                <w:highlight w:val="none"/>
                <w:u w:val="single"/>
              </w:rPr>
              <w:t>本项目实行不见面系统电子评标</w:t>
            </w:r>
            <w:r>
              <w:rPr>
                <w:rFonts w:hint="eastAsia" w:ascii="宋体" w:hAnsi="宋体" w:eastAsia="宋体" w:cs="宋体"/>
                <w:color w:val="auto"/>
                <w:sz w:val="21"/>
                <w:szCs w:val="21"/>
                <w:highlight w:val="none"/>
              </w:rPr>
              <w:t xml:space="preserve"> 。</w:t>
            </w:r>
          </w:p>
        </w:tc>
      </w:tr>
      <w:tr w14:paraId="7320FF56">
        <w:tblPrEx>
          <w:tblCellMar>
            <w:top w:w="0" w:type="dxa"/>
            <w:left w:w="108" w:type="dxa"/>
            <w:bottom w:w="0" w:type="dxa"/>
            <w:right w:w="108" w:type="dxa"/>
          </w:tblCellMar>
        </w:tblPrEx>
        <w:trPr>
          <w:trHeight w:val="517"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38E0D359">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673C648">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1AAD460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1.本前附表是投标人须知正文内容的补充和细化，应当与正文内容一致。如本前附表与正文内容表述不一，以本前附表为准。</w:t>
            </w:r>
          </w:p>
          <w:p w14:paraId="1D3BD8F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2.暂估价：</w:t>
            </w:r>
          </w:p>
          <w:p w14:paraId="4DA6ED5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5C313C7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元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w:t>
            </w:r>
          </w:p>
          <w:p w14:paraId="4A8BFFE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（3）占招标控制价比例：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8301704">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（4）招标计划及内容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110E7F6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3.价款结算方式：</w:t>
            </w:r>
          </w:p>
          <w:p w14:paraId="432ABB1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☑竣工后一次性结算</w:t>
            </w:r>
          </w:p>
          <w:p w14:paraId="5E85C66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A3"/>
            </w:r>
            <w:r>
              <w:rPr>
                <w:rFonts w:hint="eastAsia" w:ascii="宋体" w:hAnsi="宋体" w:eastAsia="宋体" w:cs="宋体"/>
                <w:color w:val="auto"/>
                <w:sz w:val="21"/>
                <w:szCs w:val="21"/>
                <w:highlight w:val="none"/>
              </w:rPr>
              <w:t>施工过程分段结算</w:t>
            </w:r>
          </w:p>
          <w:p w14:paraId="625872E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4.农民工工资保证金：</w:t>
            </w:r>
          </w:p>
          <w:p w14:paraId="197EDAE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（1）投标人应在投标前仔细核查本企业农民工工资保证金缴纳情况，应按当地有关农民工工资保证金管理制度执行。</w:t>
            </w:r>
          </w:p>
          <w:p w14:paraId="5EC5399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（2）农民工工资支付按照当地相关文件执行，具体在合同专用条款中明确。</w:t>
            </w:r>
          </w:p>
          <w:p w14:paraId="3E855B4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☑5.投标人存在撤销投标文件、无正当理由放弃中标、不与招标人签订书面合同等情形或者在本标段招投标过程中被行政监督部门查实存在违法行为的，招标人组织重新招 标时将拒绝其单独或组建联合体方式再次参与本标段投标。</w:t>
            </w:r>
          </w:p>
          <w:p w14:paraId="168BC7B9">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6.招标人应当按规定向中标人提供工程款支付担保。</w:t>
            </w:r>
          </w:p>
          <w:p w14:paraId="11F816DA">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7.创安全文明标准化工地等级要求：</w:t>
            </w:r>
            <w:r>
              <w:rPr>
                <w:rFonts w:hint="eastAsia" w:ascii="宋体" w:hAnsi="宋体" w:eastAsia="宋体" w:cs="宋体"/>
                <w:color w:val="auto"/>
                <w:sz w:val="21"/>
                <w:szCs w:val="21"/>
                <w:highlight w:val="none"/>
                <w:u w:val="single"/>
              </w:rPr>
              <w:t>参照《衢州市建筑安全文明施工标准化工地管理办法》执行。</w:t>
            </w:r>
          </w:p>
          <w:p w14:paraId="2FBC4FA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8.工伤保险按相关规定要求执行。</w:t>
            </w:r>
          </w:p>
          <w:p w14:paraId="1BC32C18">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9.本招标文件项目负责人一般情况下是指工程总承包项目经理。</w:t>
            </w:r>
          </w:p>
          <w:p w14:paraId="2AE39AD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10.本招标文件如未做特别说明，联合体投标时投标人指联合体各方。</w:t>
            </w:r>
          </w:p>
          <w:p w14:paraId="5F09AC8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11.本招标文件信用评价执行《浙江省建筑施工企业信用评价的实施意见》 《浙江省注册建造师信用评价的实施意见》。</w:t>
            </w:r>
          </w:p>
          <w:p w14:paraId="7AAEDBF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12.投标人应在投标前自行做好“浙江省建筑市场监管公共服务系统 ”相关信息的维护工作，并对企业资质、人员资格、项目状况、信用评价等信息的真实性、准确性、完整性负责。</w:t>
            </w:r>
          </w:p>
          <w:p w14:paraId="2C2D1B9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13.其他：</w:t>
            </w:r>
            <w:r>
              <w:rPr>
                <w:rFonts w:hint="eastAsia" w:ascii="宋体" w:hAnsi="宋体" w:eastAsia="宋体" w:cs="宋体"/>
                <w:color w:val="auto"/>
                <w:sz w:val="21"/>
                <w:szCs w:val="21"/>
                <w:highlight w:val="none"/>
                <w:u w:val="single"/>
              </w:rPr>
              <w:t>解释顺序：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5F625E14">
        <w:tblPrEx>
          <w:tblCellMar>
            <w:top w:w="0" w:type="dxa"/>
            <w:left w:w="108" w:type="dxa"/>
            <w:bottom w:w="0" w:type="dxa"/>
            <w:right w:w="108" w:type="dxa"/>
          </w:tblCellMar>
        </w:tblPrEx>
        <w:trPr>
          <w:trHeight w:val="907"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3B25CD52">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10.9</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2AA461CA">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特别提醒</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588E5936">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请投标人事先自行将拟派项目班子人员配备表社保缴纳情况在网上或电话查询确认，需要加密锁的请随身携带以便开标时提高查询速度。</w:t>
            </w:r>
          </w:p>
        </w:tc>
      </w:tr>
      <w:tr w14:paraId="63C18988">
        <w:tblPrEx>
          <w:tblCellMar>
            <w:top w:w="0" w:type="dxa"/>
            <w:left w:w="108" w:type="dxa"/>
            <w:bottom w:w="0" w:type="dxa"/>
            <w:right w:w="108" w:type="dxa"/>
          </w:tblCellMar>
        </w:tblPrEx>
        <w:trPr>
          <w:trHeight w:val="1082" w:hRule="atLeast"/>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7E473067">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10.10</w:t>
            </w:r>
          </w:p>
        </w:tc>
        <w:tc>
          <w:tcPr>
            <w:tcW w:w="1862" w:type="dxa"/>
            <w:tcBorders>
              <w:top w:val="single" w:color="auto" w:sz="4" w:space="0"/>
              <w:left w:val="single" w:color="auto" w:sz="4" w:space="0"/>
              <w:bottom w:val="single" w:color="auto" w:sz="4" w:space="0"/>
              <w:right w:val="single" w:color="auto" w:sz="4" w:space="0"/>
            </w:tcBorders>
            <w:noWrap w:val="0"/>
            <w:vAlign w:val="center"/>
          </w:tcPr>
          <w:p w14:paraId="6BE0E9B1">
            <w:pPr>
              <w:keepNext w:val="0"/>
              <w:keepLines w:val="0"/>
              <w:suppressLineNumbers w:val="0"/>
              <w:shd w:val="clear" w:color="auto" w:fill="auto"/>
              <w:adjustRightInd w:val="0"/>
              <w:snapToGrid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不见面开标特别说明</w:t>
            </w:r>
          </w:p>
        </w:tc>
        <w:tc>
          <w:tcPr>
            <w:tcW w:w="6962" w:type="dxa"/>
            <w:tcBorders>
              <w:top w:val="single" w:color="auto" w:sz="4" w:space="0"/>
              <w:left w:val="single" w:color="auto" w:sz="4" w:space="0"/>
              <w:bottom w:val="single" w:color="auto" w:sz="4" w:space="0"/>
              <w:right w:val="single" w:color="auto" w:sz="4" w:space="0"/>
            </w:tcBorders>
            <w:noWrap w:val="0"/>
            <w:vAlign w:val="center"/>
          </w:tcPr>
          <w:p w14:paraId="3F5EF9A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因本工程采用不见面交易模式，故招标人特别说明如下：</w:t>
            </w:r>
          </w:p>
          <w:p w14:paraId="7D1AFE51">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1、不见面开标项目的时间以衢州市公共资源不见面开标系统显示的时间为准。</w:t>
            </w:r>
          </w:p>
          <w:p w14:paraId="3604A32F">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2、递交投标文件时，</w:t>
            </w:r>
            <w:r>
              <w:rPr>
                <w:rFonts w:hint="eastAsia" w:ascii="宋体" w:hAnsi="宋体" w:eastAsia="宋体" w:cs="宋体"/>
                <w:b/>
                <w:color w:val="auto"/>
                <w:sz w:val="21"/>
                <w:szCs w:val="21"/>
                <w:highlight w:val="none"/>
                <w:u w:val="single"/>
              </w:rPr>
              <w:t>请使用衢州市公共资源交易平台投标文件上传模块中的模拟解密功能，如能正常解密，说明本机满足远程自助解密要求</w:t>
            </w:r>
            <w:r>
              <w:rPr>
                <w:rFonts w:hint="eastAsia" w:ascii="宋体" w:hAnsi="宋体" w:eastAsia="宋体" w:cs="宋体"/>
                <w:color w:val="auto"/>
                <w:sz w:val="21"/>
                <w:szCs w:val="21"/>
                <w:highlight w:val="none"/>
              </w:rPr>
              <w:t>。</w:t>
            </w:r>
          </w:p>
          <w:p w14:paraId="25719E5B">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通过衢州市公共资源交易平台系统递交的电子投标文件为评标依据。开标当日，投标人不必抵达开标现场，仅需登录衢州市公共资源不见面开标系统参加开标会议，并根据需要通过衢州市公共资源不见面开标系统与现场招标人进行互动交流、澄清、提异议等活动。</w:t>
            </w:r>
          </w:p>
          <w:p w14:paraId="7E959560">
            <w:pPr>
              <w:keepNext w:val="0"/>
              <w:keepLines w:val="0"/>
              <w:suppressLineNumbers w:val="0"/>
              <w:shd w:val="clear" w:color="auto" w:fill="auto"/>
              <w:wordWrap w:val="0"/>
              <w:adjustRightInd w:val="0"/>
              <w:snapToGrid w:val="0"/>
              <w:spacing w:before="0" w:beforeAutospacing="0" w:after="0" w:afterAutospacing="0" w:line="360" w:lineRule="auto"/>
              <w:ind w:left="0" w:right="0"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4、投标文件递交截止时间前，各投标人的授权委托人或法人代表应提前登录衢州市公共资源不见面开标系统（https://jyzx.ggzy.qz.gov.cn/BidOpening/bidopeninghallaction/hall/login）。</w:t>
            </w:r>
          </w:p>
          <w:p w14:paraId="05D6BDCA">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递交截止时间后，招标人将在系统内公布投标人名单并核验投标保证金递交情况，然后通过开标会议区发出投标文件解密的指令，投标人在各自地点自行实施远程解密（投标人远程解密方法见操作手册, http://ggzy.qz.gov.cn/zlxz/008002/008002001/20210122/91f35738-abf6-4a80-bba8-4ff2ab6cfd9d.html），投标人解密限定在开标截止时间后</w:t>
            </w:r>
            <w:r>
              <w:rPr>
                <w:rFonts w:hint="eastAsia" w:ascii="宋体" w:hAnsi="宋体" w:eastAsia="宋体" w:cs="宋体"/>
                <w:color w:val="auto"/>
                <w:sz w:val="21"/>
                <w:szCs w:val="21"/>
                <w:highlight w:val="none"/>
                <w:u w:val="single"/>
              </w:rPr>
              <w:t>30分钟</w:t>
            </w:r>
            <w:r>
              <w:rPr>
                <w:rFonts w:hint="eastAsia" w:ascii="宋体" w:hAnsi="宋体" w:eastAsia="宋体" w:cs="宋体"/>
                <w:color w:val="auto"/>
                <w:sz w:val="21"/>
                <w:szCs w:val="21"/>
                <w:highlight w:val="none"/>
              </w:rPr>
              <w:t>内完成。 因投标人网络与电源不稳定、未按操作手册要求配置软硬件、解密锁发生故障或用错、故意不在要求时限内完成解密等自身原因，导致投标文件在规定时间内未能解密、解密失败或解密超时，视为投标人撤销其投标文件；因招标人原因或衢州市公共资源不见面开标系统发生故障，导致无法按时完成投标文件解密或开、评标工作无法进行的，经行政监督部门同意，可根据实际情况相应延迟解密时间或调整开、评标时间。</w:t>
            </w:r>
          </w:p>
          <w:p w14:paraId="096FB225">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开评标全过程中，各投标人参与远程交互的授权委托人或法人代表应始终为同一个人，中途不得更换，在询标、澄清、提疑、传送文件等特殊情况下需要交互时，投标人一端参与交互的人员均被视为是投标人的授权委托人或法人代表，投标人不得以不承认交易人员的资格或身份等为借口抵赖推脱，投标人自行承担随意更换人员所导致的一切后果。</w:t>
            </w:r>
          </w:p>
          <w:p w14:paraId="5C67CBF3">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7、为顺利实现本项目开评标的远程交互，建议投标人配备的硬件设施有：电脑、高速稳定的网络、电源（不间断）、CA 锁、音视频设备（话筒、耳麦、高清摄像头、音响）等；建议投标人具备的软件设施有：操作系统：windows7、windows8、windows8.1、windows10完整版、浏览器：IE11、文字处理软件：office2007以上完整版。软硬件具体配置要求见操作手册。</w:t>
            </w:r>
          </w:p>
          <w:p w14:paraId="5C4235BE">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为保证交互效果，建议投标人选择封闭安静的地点参与远程交互。因投标人自身软硬件配备不齐全或发生故障等问题而导致在交互过程中出现不稳定或中断等情况的，由投标人自行承担后果。</w:t>
            </w:r>
          </w:p>
          <w:p w14:paraId="248415C6">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评标办法及其系数的抽取时，现场数字高频变换，抽取结果随机，抽取人无法人为设定，但受网络带宽、硬件设备等因素影响，远程投标人通过衢州市公共资源不见面开标系统观看时，可能会感觉数字变化较慢或出现卡顿，此属正常现象，若投标人需要调取开标现场视频影像资料的，可以在评标完成后 3 个工作日之内以书面方式提出，逾期的概不受理现场视频调阅申请。</w:t>
            </w:r>
          </w:p>
          <w:p w14:paraId="1900DEB4">
            <w:pPr>
              <w:keepNext w:val="0"/>
              <w:keepLines w:val="0"/>
              <w:pageBreakBefore w:val="0"/>
              <w:widowControl w:val="0"/>
              <w:suppressLineNumbers w:val="0"/>
              <w:shd w:val="clear" w:color="auto" w:fill="auto"/>
              <w:kinsoku/>
              <w:wordWrap w:val="0"/>
              <w:overflowPunct/>
              <w:topLinePunct w:val="0"/>
              <w:autoSpaceDE/>
              <w:autoSpaceDN/>
              <w:bidi w:val="0"/>
              <w:adjustRightInd w:val="0"/>
              <w:snapToGrid w:val="0"/>
              <w:spacing w:before="0" w:beforeAutospacing="0" w:after="0" w:afterAutospacing="0" w:line="360" w:lineRule="auto"/>
              <w:ind w:left="0" w:right="0"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特别提醒：本项目招投标全流程均使用衢州市公共资源不见面开标系统操作和发布，操作和发布平台为衢州市公共资源交易平台，网址为  http://ggzy.qz.gov.cn/ ，投标文件制作工具软件请在衢州市公共资源交易平台首页“投标文件制作工具”中下载，投标人使用操作遇到问题时，请及时向软件公司咨询，咨询联系方式为： 0570-3899008 。</w:t>
            </w:r>
          </w:p>
          <w:p w14:paraId="50AEC860">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出现下列情形导致系统无法正常运行，或者无法保证交易过程的公平、公正和信息安全时，各方招投标活动当事人免责：（一）所涉开标项目电子交易服务系统，因服务器、网络等问题无法正常运行的； （二）系统安全漏洞，计算机病毒，黑客攻击等安全威胁，存在数据泄密、损坏，系统无法运行等严重风险的；（三）电力系统发生故障导致交易系统无法运行的；（四）其他非投标人原因导致开标活动无法正常进行的。</w:t>
            </w:r>
          </w:p>
          <w:p w14:paraId="534FC59E">
            <w:pPr>
              <w:keepNext w:val="0"/>
              <w:keepLines w:val="0"/>
              <w:suppressLineNumbers w:val="0"/>
              <w:shd w:val="clear" w:color="auto" w:fill="auto"/>
              <w:adjustRightInd w:val="0"/>
              <w:snapToGrid w:val="0"/>
              <w:spacing w:before="0" w:beforeAutospacing="0" w:after="0" w:afterAutospacing="0" w:line="360" w:lineRule="auto"/>
              <w:ind w:left="0" w:righ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出现第10条所列情形，不能及时解决的，应由招标人、监管部门和交易中心及时进行协商。可以采取以下办法处理：（一）项目暂停，系统或网络故障在三个小时内排除并通过可靠测试的，恢复系统运行，继续完成项目开标活动；（二）系统或网络故障在三个小时内未能排除的，已在线解密的，通知投标人代表按照约定时间到开标现场，继续进行开标；未解密的，另行通知不见面开标时间。</w:t>
            </w:r>
          </w:p>
          <w:p w14:paraId="04E73EC4">
            <w:pPr>
              <w:keepNext w:val="0"/>
              <w:keepLines w:val="0"/>
              <w:suppressLineNumbers w:val="0"/>
              <w:shd w:val="clear" w:color="auto" w:fill="auto"/>
              <w:adjustRightInd w:val="0"/>
              <w:snapToGrid w:val="0"/>
              <w:spacing w:before="0" w:beforeAutospacing="0" w:after="0" w:afterAutospacing="0" w:line="360" w:lineRule="auto"/>
              <w:ind w:left="0" w:right="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12、投标人应妥善保管CA数字证书，确保在有效期内，并保证加密和解密时使用同样的CA，目前不见面开标系统不支持移动CA。出现下列情况的，投标人须重新用数字证书签章加密投标文件，并在投标截止时间之前上传完成到交易系统：（一）数字证书到期后重新续期；（二）数字证书因遗失、损坏、企业信息变更等情况更换新证书。由于数字证书遗失、损坏、更换、续期等情况导致投标文件无法解密，由投标人自行承担责任。</w:t>
            </w:r>
          </w:p>
        </w:tc>
      </w:tr>
      <w:tr w14:paraId="4536E2AF">
        <w:tblPrEx>
          <w:tblCellMar>
            <w:top w:w="0" w:type="dxa"/>
            <w:left w:w="108" w:type="dxa"/>
            <w:bottom w:w="0" w:type="dxa"/>
            <w:right w:w="108" w:type="dxa"/>
          </w:tblCellMar>
        </w:tblPrEx>
        <w:trPr>
          <w:jc w:val="center"/>
        </w:trPr>
        <w:tc>
          <w:tcPr>
            <w:tcW w:w="1011" w:type="dxa"/>
            <w:tcBorders>
              <w:top w:val="single" w:color="auto" w:sz="4" w:space="0"/>
              <w:left w:val="single" w:color="auto" w:sz="4" w:space="0"/>
              <w:bottom w:val="single" w:color="auto" w:sz="4" w:space="0"/>
              <w:right w:val="single" w:color="auto" w:sz="4" w:space="0"/>
            </w:tcBorders>
            <w:noWrap w:val="0"/>
            <w:vAlign w:val="center"/>
          </w:tcPr>
          <w:p w14:paraId="60C5438E">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8824" w:type="dxa"/>
            <w:gridSpan w:val="2"/>
            <w:tcBorders>
              <w:top w:val="single" w:color="auto" w:sz="4" w:space="0"/>
              <w:left w:val="single" w:color="auto" w:sz="4" w:space="0"/>
              <w:bottom w:val="single" w:color="auto" w:sz="4" w:space="0"/>
              <w:right w:val="single" w:color="auto" w:sz="4" w:space="0"/>
            </w:tcBorders>
            <w:noWrap w:val="0"/>
            <w:vAlign w:val="center"/>
          </w:tcPr>
          <w:p w14:paraId="2D37E4C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投标人须保持联系方式畅通，如遇询标，评委会询标记录做出后10分钟内联系不上投标人视为自动确认，投标人收到询标记录后30分钟内未正式书面回复的视为自动确认。</w:t>
            </w:r>
          </w:p>
        </w:tc>
      </w:tr>
    </w:tbl>
    <w:p w14:paraId="320C4161">
      <w:pPr>
        <w:shd w:val="clear" w:color="auto" w:fill="auto"/>
        <w:jc w:val="center"/>
        <w:rPr>
          <w:rFonts w:hint="eastAsia" w:ascii="宋体" w:hAnsi="宋体" w:cs="宋体"/>
          <w:color w:val="auto"/>
          <w:highlight w:val="none"/>
        </w:rPr>
      </w:pPr>
      <w:bookmarkStart w:id="45" w:name="_Toc144974497"/>
      <w:bookmarkStart w:id="46" w:name="_Toc247513952"/>
      <w:bookmarkStart w:id="47" w:name="_Toc247527553"/>
      <w:bookmarkStart w:id="48" w:name="_Toc21211"/>
      <w:bookmarkStart w:id="49" w:name="_Toc4702"/>
      <w:bookmarkStart w:id="50" w:name="_Toc152042305"/>
      <w:bookmarkStart w:id="51" w:name="_Toc300834949"/>
      <w:bookmarkStart w:id="52" w:name="_Toc152045529"/>
      <w:bookmarkStart w:id="53" w:name="_Toc38896013"/>
    </w:p>
    <w:p w14:paraId="06A7AB67">
      <w:pPr>
        <w:shd w:val="clear" w:color="auto" w:fill="auto"/>
        <w:jc w:val="center"/>
        <w:rPr>
          <w:rFonts w:hint="eastAsia" w:ascii="宋体" w:hAnsi="宋体" w:cs="宋体"/>
          <w:color w:val="auto"/>
          <w:highlight w:val="none"/>
        </w:rPr>
      </w:pPr>
    </w:p>
    <w:p w14:paraId="43F94144">
      <w:pPr>
        <w:shd w:val="clear" w:color="auto" w:fill="auto"/>
        <w:jc w:val="center"/>
        <w:rPr>
          <w:rFonts w:hint="eastAsia" w:ascii="宋体" w:hAnsi="宋体" w:cs="宋体"/>
          <w:bCs/>
          <w:color w:val="auto"/>
          <w:sz w:val="24"/>
          <w:highlight w:val="none"/>
        </w:rPr>
      </w:pPr>
    </w:p>
    <w:p w14:paraId="5C08DF16">
      <w:pPr>
        <w:shd w:val="clear" w:color="auto" w:fill="auto"/>
        <w:jc w:val="center"/>
        <w:rPr>
          <w:rFonts w:ascii="宋体" w:hAnsi="宋体" w:cs="宋体"/>
          <w:bCs/>
          <w:color w:val="auto"/>
          <w:sz w:val="24"/>
          <w:highlight w:val="none"/>
        </w:rPr>
      </w:pPr>
      <w:r>
        <w:rPr>
          <w:rFonts w:hint="eastAsia" w:ascii="宋体" w:hAnsi="宋体" w:cs="宋体"/>
          <w:bCs/>
          <w:color w:val="auto"/>
          <w:sz w:val="24"/>
          <w:highlight w:val="none"/>
        </w:rPr>
        <w:t>投标人须知正文部分</w:t>
      </w:r>
    </w:p>
    <w:p w14:paraId="7A19977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Cs/>
          <w:color w:val="auto"/>
          <w:szCs w:val="21"/>
          <w:highlight w:val="none"/>
        </w:rPr>
      </w:pPr>
      <w:bookmarkStart w:id="54" w:name="_Toc18928"/>
      <w:r>
        <w:rPr>
          <w:rFonts w:hint="eastAsia" w:ascii="宋体" w:hAnsi="宋体" w:eastAsia="宋体" w:cs="宋体"/>
          <w:bCs/>
          <w:color w:val="auto"/>
          <w:szCs w:val="21"/>
          <w:highlight w:val="none"/>
        </w:rPr>
        <w:t>1. 总则</w:t>
      </w:r>
      <w:bookmarkEnd w:id="45"/>
      <w:bookmarkEnd w:id="46"/>
      <w:bookmarkEnd w:id="47"/>
      <w:bookmarkEnd w:id="48"/>
      <w:bookmarkEnd w:id="49"/>
      <w:bookmarkEnd w:id="50"/>
      <w:bookmarkEnd w:id="51"/>
      <w:bookmarkEnd w:id="52"/>
      <w:bookmarkEnd w:id="53"/>
      <w:bookmarkEnd w:id="54"/>
    </w:p>
    <w:p w14:paraId="691B9E5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55" w:name="_Toc144974498"/>
      <w:bookmarkStart w:id="56" w:name="_Toc247513953"/>
      <w:bookmarkStart w:id="57" w:name="_Toc152042306"/>
      <w:bookmarkStart w:id="58" w:name="_Toc300834950"/>
      <w:bookmarkStart w:id="59" w:name="_Toc247527554"/>
      <w:bookmarkStart w:id="60" w:name="_Toc152045530"/>
      <w:r>
        <w:rPr>
          <w:rFonts w:hint="eastAsia" w:ascii="宋体" w:hAnsi="宋体" w:eastAsia="宋体" w:cs="宋体"/>
          <w:b/>
          <w:color w:val="auto"/>
          <w:szCs w:val="21"/>
          <w:highlight w:val="none"/>
        </w:rPr>
        <w:t>1.1项目概况</w:t>
      </w:r>
      <w:bookmarkEnd w:id="55"/>
      <w:bookmarkEnd w:id="56"/>
      <w:bookmarkEnd w:id="57"/>
      <w:bookmarkEnd w:id="58"/>
      <w:bookmarkEnd w:id="59"/>
      <w:bookmarkEnd w:id="60"/>
    </w:p>
    <w:p w14:paraId="5D69D9A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1.1.1根据《中华人民共和国招标投标法》等有关法律、法规和规章的规定，本招标项目已具备招标条件，现对该项目设计、采购、施工进行工程总承包招标。</w:t>
      </w:r>
    </w:p>
    <w:p w14:paraId="57C1FB6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本招标项目招标人：见投标人须知前附表。</w:t>
      </w:r>
    </w:p>
    <w:p w14:paraId="33FD75A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本标段招标代理机构：见投标人须知前附表。</w:t>
      </w:r>
    </w:p>
    <w:p w14:paraId="1B958F5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 本招标项目名称：见投标人须知前附表。</w:t>
      </w:r>
    </w:p>
    <w:p w14:paraId="43628DF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 本标段项目建设地点：见投标人须知前附表。</w:t>
      </w:r>
    </w:p>
    <w:p w14:paraId="3F04D3D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61" w:name="_Toc144974499"/>
      <w:bookmarkStart w:id="62" w:name="_Toc247513954"/>
      <w:bookmarkStart w:id="63" w:name="_Toc152042307"/>
      <w:bookmarkStart w:id="64" w:name="_Toc300834951"/>
      <w:bookmarkStart w:id="65" w:name="_Toc247527555"/>
      <w:bookmarkStart w:id="66" w:name="_Toc152045531"/>
      <w:r>
        <w:rPr>
          <w:rFonts w:hint="eastAsia" w:ascii="宋体" w:hAnsi="宋体" w:eastAsia="宋体" w:cs="宋体"/>
          <w:b/>
          <w:color w:val="auto"/>
          <w:szCs w:val="21"/>
          <w:highlight w:val="none"/>
        </w:rPr>
        <w:t>1.2 项目的资金来源和落实情况</w:t>
      </w:r>
      <w:bookmarkEnd w:id="61"/>
      <w:bookmarkEnd w:id="62"/>
      <w:bookmarkEnd w:id="63"/>
      <w:bookmarkEnd w:id="64"/>
      <w:bookmarkEnd w:id="65"/>
      <w:bookmarkEnd w:id="66"/>
    </w:p>
    <w:p w14:paraId="3C8C833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本招标项目资金来源及比例：见投标人须知前附表。</w:t>
      </w:r>
    </w:p>
    <w:p w14:paraId="3ABF802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本招标项目资金落实情况：见投标人须知前附表。</w:t>
      </w:r>
    </w:p>
    <w:p w14:paraId="5905396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67" w:name="_Toc152045532"/>
      <w:bookmarkStart w:id="68" w:name="_Toc152042308"/>
      <w:bookmarkStart w:id="69" w:name="_Toc247513955"/>
      <w:bookmarkStart w:id="70" w:name="_Toc144974500"/>
      <w:bookmarkStart w:id="71" w:name="_Toc247527556"/>
      <w:bookmarkStart w:id="72" w:name="_Toc300834952"/>
      <w:r>
        <w:rPr>
          <w:rFonts w:hint="eastAsia" w:ascii="宋体" w:hAnsi="宋体" w:eastAsia="宋体" w:cs="宋体"/>
          <w:b/>
          <w:color w:val="auto"/>
          <w:szCs w:val="21"/>
          <w:highlight w:val="none"/>
        </w:rPr>
        <w:t>1.3招标范围、计划工期和</w:t>
      </w:r>
      <w:bookmarkEnd w:id="67"/>
      <w:bookmarkEnd w:id="68"/>
      <w:bookmarkEnd w:id="69"/>
      <w:bookmarkEnd w:id="70"/>
      <w:bookmarkEnd w:id="71"/>
      <w:r>
        <w:rPr>
          <w:rFonts w:hint="eastAsia" w:ascii="宋体" w:hAnsi="宋体" w:eastAsia="宋体" w:cs="宋体"/>
          <w:b/>
          <w:color w:val="auto"/>
          <w:szCs w:val="21"/>
          <w:highlight w:val="none"/>
        </w:rPr>
        <w:t>质量标准</w:t>
      </w:r>
      <w:bookmarkEnd w:id="72"/>
    </w:p>
    <w:p w14:paraId="5B477F1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本次招标范围：见投标人须知前附表。</w:t>
      </w:r>
    </w:p>
    <w:p w14:paraId="6BB32A8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本标段的计划工期：见投标人须知前附表。</w:t>
      </w:r>
    </w:p>
    <w:p w14:paraId="6178E19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质量标准：见投标人须知前附表。</w:t>
      </w:r>
    </w:p>
    <w:p w14:paraId="16CFF34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73" w:name="_Toc247527558"/>
      <w:bookmarkStart w:id="74" w:name="_Toc247513957"/>
      <w:bookmarkStart w:id="75" w:name="_Toc300834954"/>
      <w:bookmarkStart w:id="76" w:name="_Toc152042310"/>
      <w:bookmarkStart w:id="77" w:name="_Toc152045534"/>
      <w:bookmarkStart w:id="78" w:name="_Toc144974502"/>
      <w:r>
        <w:rPr>
          <w:rFonts w:hint="eastAsia" w:ascii="宋体" w:hAnsi="宋体" w:eastAsia="宋体" w:cs="宋体"/>
          <w:b/>
          <w:color w:val="auto"/>
          <w:szCs w:val="21"/>
          <w:highlight w:val="none"/>
        </w:rPr>
        <w:t>1.4投标人资格要求</w:t>
      </w:r>
      <w:bookmarkEnd w:id="73"/>
      <w:bookmarkEnd w:id="74"/>
      <w:bookmarkEnd w:id="75"/>
      <w:bookmarkEnd w:id="76"/>
      <w:bookmarkEnd w:id="77"/>
      <w:bookmarkEnd w:id="78"/>
    </w:p>
    <w:p w14:paraId="6F75D39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投标人应具备承担本招标项目资质条件、能力和信誉。</w:t>
      </w:r>
    </w:p>
    <w:p w14:paraId="3B6024E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（1）资质要求：见投标人须知前附表；</w:t>
      </w:r>
    </w:p>
    <w:p w14:paraId="228EAA7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（2）业绩要求：见投标人须知前附表；</w:t>
      </w:r>
    </w:p>
    <w:p w14:paraId="6BE59DB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（3）项目负责人的资格要求：具体要求见投标人须知前附表；</w:t>
      </w:r>
    </w:p>
    <w:p w14:paraId="37DF8C2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（4）施工负责人的资格要求：具体要求见投标人须知前附表；</w:t>
      </w:r>
    </w:p>
    <w:p w14:paraId="0865273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（5）设计负责人的资格要求：具体要求见投标人须知前附表；</w:t>
      </w:r>
    </w:p>
    <w:p w14:paraId="04E264B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投标人须知前附表规定接受联合体投标的，除应符合本章第1.4.1项和投标人须知前附表的要求外，还应遵守以下规定：</w:t>
      </w:r>
    </w:p>
    <w:p w14:paraId="27B8A87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（1）联合体各方应按招标文件提供的格式签订联合体协议书，明确联合体牵头人和各方权利义务，并承诺就中标项目向招标人承担连带责任；</w:t>
      </w:r>
    </w:p>
    <w:p w14:paraId="0C4D4E8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（2）联合体各方不得再以自己名义单独或参加其他联合体在本招标项目中投标；</w:t>
      </w:r>
    </w:p>
    <w:p w14:paraId="622C38F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（3）联合体投标其他要求见投标人须知前附表。</w:t>
      </w:r>
    </w:p>
    <w:p w14:paraId="113C997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投标人（投标人是联合体的，指联合体各方）不得存在下列情形之一：</w:t>
      </w:r>
    </w:p>
    <w:p w14:paraId="65F04A1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（1）为招标人不具有独立法人资格的附属机构（单位）；</w:t>
      </w:r>
    </w:p>
    <w:p w14:paraId="4636289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（2）为与招标人存在利害关系可能影响招标公正性的法人、其他组织或者个人；</w:t>
      </w:r>
    </w:p>
    <w:p w14:paraId="15AE80B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（3）不同投标人的单位负责人为同一人或者互相存在控股、管理关系的；</w:t>
      </w:r>
    </w:p>
    <w:p w14:paraId="270178C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（4）为本标段前期工作提供咨询服务的，但政府投资项目已公开项目建议书、可行</w:t>
      </w:r>
    </w:p>
    <w:p w14:paraId="3EB9A9F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性研究报告及初步设计文件的可研、勘察设计编制单位及其评估单位除外；</w:t>
      </w:r>
    </w:p>
    <w:p w14:paraId="1C459D5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（5）为本标段的监理人；</w:t>
      </w:r>
    </w:p>
    <w:p w14:paraId="0B216C5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（6）为本标段的代建人；</w:t>
      </w:r>
    </w:p>
    <w:p w14:paraId="77542BF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（7）为本标段提供招标代理服务的；</w:t>
      </w:r>
    </w:p>
    <w:p w14:paraId="6526C51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（8）与本标段的监理人或代建人或招标代理机构同为一个法定代表人的；</w:t>
      </w:r>
    </w:p>
    <w:p w14:paraId="575EEFE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（9）与本标段的监理人或代建人或招标代理机构相互控股或参股的；</w:t>
      </w:r>
    </w:p>
    <w:p w14:paraId="56F244A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（10）与本标段的监理人或代建人或招标代理机构相互任职或工作的；</w:t>
      </w:r>
    </w:p>
    <w:p w14:paraId="19958D7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（11）被责令停产停业、暂扣或者吊销许可证、暂扣或者吊销执照的；</w:t>
      </w:r>
    </w:p>
    <w:p w14:paraId="67F4705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（12）进入清算程序，或被宣告破产的；</w:t>
      </w:r>
    </w:p>
    <w:p w14:paraId="67465D6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（13）被依法暂停或取消投标资格的；</w:t>
      </w:r>
    </w:p>
    <w:p w14:paraId="4EE0D56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（14）法律法规或投标人须知前附表规定的其他情形。</w:t>
      </w:r>
    </w:p>
    <w:p w14:paraId="15AD363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79" w:name="_Toc144974503"/>
      <w:bookmarkStart w:id="80" w:name="_Toc152042311"/>
      <w:bookmarkStart w:id="81" w:name="_Toc247527559"/>
      <w:bookmarkStart w:id="82" w:name="_Toc152045535"/>
      <w:bookmarkStart w:id="83" w:name="_Toc247513958"/>
      <w:bookmarkStart w:id="84" w:name="_Toc300834955"/>
      <w:r>
        <w:rPr>
          <w:rFonts w:hint="eastAsia" w:ascii="宋体" w:hAnsi="宋体" w:eastAsia="宋体" w:cs="宋体"/>
          <w:b/>
          <w:color w:val="auto"/>
          <w:szCs w:val="21"/>
          <w:highlight w:val="none"/>
        </w:rPr>
        <w:t>1.5费用承担</w:t>
      </w:r>
      <w:bookmarkEnd w:id="79"/>
      <w:bookmarkEnd w:id="80"/>
      <w:bookmarkEnd w:id="81"/>
      <w:bookmarkEnd w:id="82"/>
      <w:bookmarkEnd w:id="83"/>
      <w:r>
        <w:rPr>
          <w:rFonts w:hint="eastAsia" w:ascii="宋体" w:hAnsi="宋体" w:eastAsia="宋体" w:cs="宋体"/>
          <w:b/>
          <w:color w:val="auto"/>
          <w:szCs w:val="21"/>
          <w:highlight w:val="none"/>
        </w:rPr>
        <w:t>和设计成果补偿</w:t>
      </w:r>
      <w:bookmarkEnd w:id="84"/>
    </w:p>
    <w:p w14:paraId="078C8D7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投标人准备和参加投标活动发生的费用自理。</w:t>
      </w:r>
    </w:p>
    <w:p w14:paraId="64907F8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 招标人对符合招标文件规定的未中标人的设计成果进行补偿的，按投标人须知前附表规定给予补偿。</w:t>
      </w:r>
    </w:p>
    <w:p w14:paraId="5859CF9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85" w:name="_Toc152045536"/>
      <w:bookmarkStart w:id="86" w:name="_Toc247513959"/>
      <w:bookmarkStart w:id="87" w:name="_Toc144974504"/>
      <w:bookmarkStart w:id="88" w:name="_Toc247527560"/>
      <w:bookmarkStart w:id="89" w:name="_Toc300834956"/>
      <w:bookmarkStart w:id="90" w:name="_Toc152042312"/>
      <w:r>
        <w:rPr>
          <w:rFonts w:hint="eastAsia" w:ascii="宋体" w:hAnsi="宋体" w:eastAsia="宋体" w:cs="宋体"/>
          <w:b/>
          <w:color w:val="auto"/>
          <w:szCs w:val="21"/>
          <w:highlight w:val="none"/>
        </w:rPr>
        <w:t>1.6 保密</w:t>
      </w:r>
      <w:bookmarkEnd w:id="85"/>
      <w:bookmarkEnd w:id="86"/>
      <w:bookmarkEnd w:id="87"/>
      <w:bookmarkEnd w:id="88"/>
      <w:bookmarkEnd w:id="89"/>
      <w:bookmarkEnd w:id="90"/>
    </w:p>
    <w:p w14:paraId="62FEF51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参与招标投标活动的各方应对招标文件和投标文件中的商业和技术等秘密保密，否则应承担相应的法律责任。</w:t>
      </w:r>
    </w:p>
    <w:p w14:paraId="306C9BD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91" w:name="_Toc144974505"/>
      <w:bookmarkStart w:id="92" w:name="_Toc247513960"/>
      <w:bookmarkStart w:id="93" w:name="_Toc247527561"/>
      <w:bookmarkStart w:id="94" w:name="_Toc152045537"/>
      <w:bookmarkStart w:id="95" w:name="_Toc152042313"/>
      <w:bookmarkStart w:id="96" w:name="_Toc300834957"/>
      <w:r>
        <w:rPr>
          <w:rFonts w:hint="eastAsia" w:ascii="宋体" w:hAnsi="宋体" w:eastAsia="宋体" w:cs="宋体"/>
          <w:b/>
          <w:color w:val="auto"/>
          <w:szCs w:val="21"/>
          <w:highlight w:val="none"/>
        </w:rPr>
        <w:t>1.7语言</w:t>
      </w:r>
      <w:bookmarkEnd w:id="91"/>
      <w:r>
        <w:rPr>
          <w:rFonts w:hint="eastAsia" w:ascii="宋体" w:hAnsi="宋体" w:eastAsia="宋体" w:cs="宋体"/>
          <w:b/>
          <w:color w:val="auto"/>
          <w:szCs w:val="21"/>
          <w:highlight w:val="none"/>
        </w:rPr>
        <w:t>文字</w:t>
      </w:r>
      <w:bookmarkEnd w:id="92"/>
      <w:bookmarkEnd w:id="93"/>
      <w:bookmarkEnd w:id="94"/>
      <w:bookmarkEnd w:id="95"/>
      <w:bookmarkEnd w:id="96"/>
    </w:p>
    <w:p w14:paraId="18865E1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除专用术语外，与招标投标有关的语言均使用中文。必要时专用术语应附有中文注释。</w:t>
      </w:r>
    </w:p>
    <w:p w14:paraId="3748F42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97" w:name="_Toc144974506"/>
      <w:bookmarkStart w:id="98" w:name="_Toc247527562"/>
      <w:bookmarkStart w:id="99" w:name="_Toc247513961"/>
      <w:bookmarkStart w:id="100" w:name="_Toc300834958"/>
      <w:bookmarkStart w:id="101" w:name="_Toc152045538"/>
      <w:bookmarkStart w:id="102" w:name="_Toc152042314"/>
      <w:r>
        <w:rPr>
          <w:rFonts w:hint="eastAsia" w:ascii="宋体" w:hAnsi="宋体" w:eastAsia="宋体" w:cs="宋体"/>
          <w:b/>
          <w:color w:val="auto"/>
          <w:szCs w:val="21"/>
          <w:highlight w:val="none"/>
        </w:rPr>
        <w:t>1.8 计量单位</w:t>
      </w:r>
      <w:bookmarkEnd w:id="97"/>
      <w:bookmarkEnd w:id="98"/>
      <w:bookmarkEnd w:id="99"/>
      <w:bookmarkEnd w:id="100"/>
      <w:bookmarkEnd w:id="101"/>
      <w:bookmarkEnd w:id="102"/>
    </w:p>
    <w:p w14:paraId="10A0352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所有计量均采用中华人民共和国法定计量单位。</w:t>
      </w:r>
    </w:p>
    <w:p w14:paraId="2C8CFAF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03" w:name="_Toc144974507"/>
      <w:bookmarkStart w:id="104" w:name="_Toc152042315"/>
      <w:bookmarkStart w:id="105" w:name="_Toc247527563"/>
      <w:bookmarkStart w:id="106" w:name="_Toc247513962"/>
      <w:bookmarkStart w:id="107" w:name="_Toc152045539"/>
      <w:bookmarkStart w:id="108" w:name="_Toc300834959"/>
      <w:r>
        <w:rPr>
          <w:rFonts w:hint="eastAsia" w:ascii="宋体" w:hAnsi="宋体" w:eastAsia="宋体" w:cs="宋体"/>
          <w:b/>
          <w:color w:val="auto"/>
          <w:szCs w:val="21"/>
          <w:highlight w:val="none"/>
        </w:rPr>
        <w:t>1.9踏勘现场</w:t>
      </w:r>
      <w:bookmarkEnd w:id="103"/>
      <w:bookmarkEnd w:id="104"/>
      <w:bookmarkEnd w:id="105"/>
      <w:bookmarkEnd w:id="106"/>
      <w:bookmarkEnd w:id="107"/>
      <w:bookmarkEnd w:id="108"/>
    </w:p>
    <w:p w14:paraId="060EC83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投标人须知前附表规定组织踏勘现场的，招标人按投标人须知前附表规定的时间、地点组织投标人踏勘项目现场。</w:t>
      </w:r>
    </w:p>
    <w:p w14:paraId="71C1164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投标人踏勘现场发生的费用自理。</w:t>
      </w:r>
    </w:p>
    <w:p w14:paraId="5AECA96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除招标人的原因外，投标人自行负责在踏勘现场中所发生的人员伤亡和财产损失。</w:t>
      </w:r>
    </w:p>
    <w:p w14:paraId="62A8810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 招标人在踏勘现场中介绍的工程场地和相关的周边环境情况，供投标人在编制投标文件时参考，招标人不对投标人据此作出的判断和决策负责。</w:t>
      </w:r>
    </w:p>
    <w:p w14:paraId="2F53A01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09" w:name="_Toc152045540"/>
      <w:bookmarkStart w:id="110" w:name="_Toc152042316"/>
      <w:bookmarkStart w:id="111" w:name="_Toc300834960"/>
      <w:bookmarkStart w:id="112" w:name="_Toc247527564"/>
      <w:bookmarkStart w:id="113" w:name="_Toc247513963"/>
      <w:bookmarkStart w:id="114" w:name="_Toc144974508"/>
      <w:r>
        <w:rPr>
          <w:rFonts w:hint="eastAsia" w:ascii="宋体" w:hAnsi="宋体" w:eastAsia="宋体" w:cs="宋体"/>
          <w:b/>
          <w:color w:val="auto"/>
          <w:szCs w:val="21"/>
          <w:highlight w:val="none"/>
        </w:rPr>
        <w:t>1.10投标预备会</w:t>
      </w:r>
      <w:bookmarkEnd w:id="109"/>
      <w:bookmarkEnd w:id="110"/>
      <w:bookmarkEnd w:id="111"/>
      <w:bookmarkEnd w:id="112"/>
      <w:bookmarkEnd w:id="113"/>
      <w:bookmarkEnd w:id="114"/>
    </w:p>
    <w:p w14:paraId="425955C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1.10.1投标人须知前附表规定召开投标预备会的，招标人按投标人须知前附表规定的时间和地点召开投标预备会，澄清投标人提出的问题。</w:t>
      </w:r>
    </w:p>
    <w:p w14:paraId="08844CD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1.10.2投标人提出问题的截止时间、上传疑问方式：见投标人须知前附表。</w:t>
      </w:r>
    </w:p>
    <w:p w14:paraId="6D6EC7F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1.10.3 招标文件的澄清、补充、修改的时间及下载网址：见投标人须知前附表。</w:t>
      </w:r>
    </w:p>
    <w:p w14:paraId="44EB98C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15" w:name="_Toc152042317"/>
      <w:bookmarkStart w:id="116" w:name="_Toc152045541"/>
      <w:bookmarkStart w:id="117" w:name="_Toc247527565"/>
      <w:bookmarkStart w:id="118" w:name="_Toc300834961"/>
      <w:bookmarkStart w:id="119" w:name="_Toc144974509"/>
      <w:bookmarkStart w:id="120" w:name="_Toc247513964"/>
      <w:r>
        <w:rPr>
          <w:rFonts w:hint="eastAsia" w:ascii="宋体" w:hAnsi="宋体" w:eastAsia="宋体" w:cs="宋体"/>
          <w:b/>
          <w:color w:val="auto"/>
          <w:szCs w:val="21"/>
          <w:highlight w:val="none"/>
        </w:rPr>
        <w:t>1.11 分包</w:t>
      </w:r>
      <w:bookmarkEnd w:id="115"/>
      <w:bookmarkEnd w:id="116"/>
      <w:bookmarkEnd w:id="117"/>
      <w:bookmarkEnd w:id="118"/>
      <w:bookmarkEnd w:id="119"/>
      <w:bookmarkEnd w:id="120"/>
    </w:p>
    <w:p w14:paraId="6991D73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67" w:firstLineChars="27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投标人拟在中标后将中标项目的部分非主体、非关键性工作进行分包的，应符合投标人须知前附表规定的分包内容、分包金额和接受分包的第三人资质要求等限制性条件。</w:t>
      </w:r>
    </w:p>
    <w:p w14:paraId="44B8951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21" w:name="_Toc247513965"/>
      <w:bookmarkStart w:id="122" w:name="_Toc247527566"/>
      <w:bookmarkStart w:id="123" w:name="_Toc300834962"/>
      <w:r>
        <w:rPr>
          <w:rFonts w:hint="eastAsia" w:ascii="宋体" w:hAnsi="宋体" w:eastAsia="宋体" w:cs="宋体"/>
          <w:b/>
          <w:color w:val="auto"/>
          <w:szCs w:val="21"/>
          <w:highlight w:val="none"/>
        </w:rPr>
        <w:t>1.12偏</w:t>
      </w:r>
      <w:bookmarkEnd w:id="121"/>
      <w:bookmarkEnd w:id="122"/>
      <w:bookmarkEnd w:id="123"/>
      <w:r>
        <w:rPr>
          <w:rFonts w:hint="eastAsia" w:ascii="宋体" w:hAnsi="宋体" w:eastAsia="宋体" w:cs="宋体"/>
          <w:b/>
          <w:color w:val="auto"/>
          <w:szCs w:val="21"/>
          <w:highlight w:val="none"/>
        </w:rPr>
        <w:t>差</w:t>
      </w:r>
    </w:p>
    <w:p w14:paraId="44C3E9E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 投标文件应当对招标文件的实质性要求和条件作出满足性或更有利于招标人的响应，否则，投标人的投标将被否决。实质性要求和条件见投标人须知前附表。</w:t>
      </w:r>
    </w:p>
    <w:p w14:paraId="596A08A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1.12.2 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0CEB997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124" w:name="_Toc27356"/>
      <w:bookmarkStart w:id="125" w:name="_Toc247513966"/>
      <w:bookmarkStart w:id="126" w:name="_Toc247527567"/>
      <w:bookmarkStart w:id="127" w:name="_Toc22473"/>
      <w:bookmarkStart w:id="128" w:name="_Toc152042318"/>
      <w:bookmarkStart w:id="129" w:name="_Toc152045542"/>
      <w:bookmarkStart w:id="130" w:name="_Toc38896014"/>
      <w:bookmarkStart w:id="131" w:name="_Toc6454"/>
      <w:bookmarkStart w:id="132" w:name="_Toc300834963"/>
      <w:bookmarkStart w:id="133" w:name="_Toc144974510"/>
      <w:r>
        <w:rPr>
          <w:rFonts w:hint="eastAsia" w:ascii="宋体" w:hAnsi="宋体" w:eastAsia="宋体" w:cs="宋体"/>
          <w:b/>
          <w:color w:val="auto"/>
          <w:szCs w:val="21"/>
          <w:highlight w:val="none"/>
        </w:rPr>
        <w:t>2. 招标文件</w:t>
      </w:r>
      <w:bookmarkEnd w:id="124"/>
      <w:bookmarkEnd w:id="125"/>
      <w:bookmarkEnd w:id="126"/>
      <w:bookmarkEnd w:id="127"/>
      <w:bookmarkEnd w:id="128"/>
      <w:bookmarkEnd w:id="129"/>
      <w:bookmarkEnd w:id="130"/>
      <w:bookmarkEnd w:id="131"/>
      <w:bookmarkEnd w:id="132"/>
      <w:bookmarkEnd w:id="133"/>
    </w:p>
    <w:p w14:paraId="1B39AC6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34" w:name="_Toc300834964"/>
      <w:bookmarkStart w:id="135" w:name="_Toc152045543"/>
      <w:bookmarkStart w:id="136" w:name="_Toc247513967"/>
      <w:bookmarkStart w:id="137" w:name="_Toc247527568"/>
      <w:bookmarkStart w:id="138" w:name="_Toc144974511"/>
      <w:bookmarkStart w:id="139" w:name="_Toc152042319"/>
      <w:r>
        <w:rPr>
          <w:rFonts w:hint="eastAsia" w:ascii="宋体" w:hAnsi="宋体" w:eastAsia="宋体" w:cs="宋体"/>
          <w:b/>
          <w:color w:val="auto"/>
          <w:szCs w:val="21"/>
          <w:highlight w:val="none"/>
        </w:rPr>
        <w:t>2.1招标文件的组成</w:t>
      </w:r>
      <w:bookmarkEnd w:id="134"/>
      <w:bookmarkEnd w:id="135"/>
      <w:bookmarkEnd w:id="136"/>
      <w:bookmarkEnd w:id="137"/>
      <w:bookmarkEnd w:id="138"/>
      <w:bookmarkEnd w:id="139"/>
    </w:p>
    <w:p w14:paraId="2AFE122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本招标文件包括：</w:t>
      </w:r>
    </w:p>
    <w:p w14:paraId="4E1E1F9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（1）招标公告（或投标邀请书）；</w:t>
      </w:r>
    </w:p>
    <w:p w14:paraId="35305CF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（2）投标人须知；</w:t>
      </w:r>
    </w:p>
    <w:p w14:paraId="364ACF4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（3）评标办法；</w:t>
      </w:r>
    </w:p>
    <w:p w14:paraId="5A6694D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（4）合同条款及格式；</w:t>
      </w:r>
    </w:p>
    <w:p w14:paraId="6D073DF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（5）发包人要求；</w:t>
      </w:r>
    </w:p>
    <w:p w14:paraId="2A47728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（6）发包人提供的资料和条件；</w:t>
      </w:r>
    </w:p>
    <w:p w14:paraId="51F94E0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（7）投标文件格式；</w:t>
      </w:r>
    </w:p>
    <w:p w14:paraId="1E58CD7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（8）其他资料（详见投标人须知前附表）。</w:t>
      </w:r>
    </w:p>
    <w:p w14:paraId="238CE05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根据本章第1.10和第2.2对招标文件所作的澄清、修改，构成招标文件的组成部分。招标文件、招标文件的澄清或修改等在同一内容的表述上不一致时，以最后发出的书面文件为准。</w:t>
      </w:r>
    </w:p>
    <w:p w14:paraId="1E97D4E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40" w:name="_Toc300834965"/>
      <w:bookmarkStart w:id="141" w:name="_Toc247527569"/>
      <w:bookmarkStart w:id="142" w:name="_Toc144974512"/>
      <w:bookmarkStart w:id="143" w:name="_Toc247513968"/>
      <w:bookmarkStart w:id="144" w:name="_Toc152042320"/>
      <w:bookmarkStart w:id="145" w:name="_Toc152045544"/>
      <w:r>
        <w:rPr>
          <w:rFonts w:hint="eastAsia" w:ascii="宋体" w:hAnsi="宋体" w:eastAsia="宋体" w:cs="宋体"/>
          <w:b/>
          <w:color w:val="auto"/>
          <w:szCs w:val="21"/>
          <w:highlight w:val="none"/>
        </w:rPr>
        <w:t>2.2招标文件的澄清</w:t>
      </w:r>
      <w:bookmarkEnd w:id="140"/>
      <w:bookmarkEnd w:id="141"/>
      <w:bookmarkEnd w:id="142"/>
      <w:bookmarkEnd w:id="143"/>
      <w:bookmarkEnd w:id="144"/>
      <w:bookmarkEnd w:id="145"/>
      <w:r>
        <w:rPr>
          <w:rFonts w:hint="eastAsia" w:ascii="宋体" w:hAnsi="宋体" w:eastAsia="宋体" w:cs="宋体"/>
          <w:b/>
          <w:color w:val="auto"/>
          <w:szCs w:val="21"/>
          <w:highlight w:val="none"/>
        </w:rPr>
        <w:t>和修改</w:t>
      </w:r>
    </w:p>
    <w:p w14:paraId="03364F1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bookmarkStart w:id="146" w:name="_Toc300834966"/>
      <w:bookmarkStart w:id="147" w:name="_Toc152042321"/>
      <w:bookmarkStart w:id="148" w:name="_Toc247513969"/>
      <w:bookmarkStart w:id="149" w:name="_Toc247527570"/>
      <w:bookmarkStart w:id="150" w:name="_Toc152045545"/>
      <w:bookmarkStart w:id="151" w:name="_Toc144974513"/>
      <w:r>
        <w:rPr>
          <w:rFonts w:hint="eastAsia" w:ascii="宋体" w:hAnsi="宋体" w:eastAsia="宋体" w:cs="宋体"/>
          <w:color w:val="auto"/>
          <w:szCs w:val="21"/>
          <w:highlight w:val="none"/>
        </w:rPr>
        <w:t>2.2.1 投标人应仔细阅读和检查招标文件的全部内容。如发现缺页或附件不全，应及时向招标人提出，以便补齐。如有疑问，应在投标人须知前附表规定的时间前以书面形式（包括信函、电子邮件、传真等可以有形地表现所载内容的形式，下同），要求招标人对招标文件予以澄清。</w:t>
      </w:r>
    </w:p>
    <w:p w14:paraId="02D5CE4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招标文件的澄清发布形式详见投标人须知前附表，但不指明澄清问题的来源。澄清发出的时间距投标人须知前附表规定的投标截止时间不足15天的，并且澄清内容影响投标文件编制的，将相应延长投标截止时间。</w:t>
      </w:r>
    </w:p>
    <w:p w14:paraId="0A41296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2.3招标文件的修改</w:t>
      </w:r>
      <w:bookmarkEnd w:id="146"/>
      <w:bookmarkEnd w:id="147"/>
      <w:bookmarkEnd w:id="148"/>
      <w:bookmarkEnd w:id="149"/>
      <w:bookmarkEnd w:id="150"/>
      <w:bookmarkEnd w:id="151"/>
    </w:p>
    <w:p w14:paraId="3C563BC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 投标人应仔细阅读和检查招标文件的全部内容。如发现缺页或附件不全，应及时向招标人提出，以便补齐。如有疑问，应在投标人须知前附表第1.10.2规定的时间前通过</w:t>
      </w:r>
      <w:r>
        <w:rPr>
          <w:rFonts w:hint="eastAsia" w:ascii="宋体" w:hAnsi="宋体" w:eastAsia="宋体" w:cs="宋体"/>
          <w:color w:val="auto"/>
          <w:szCs w:val="21"/>
          <w:highlight w:val="none"/>
          <w:u w:val="single"/>
        </w:rPr>
        <w:t>衢州市公共资源电子交易系统（http://ggzy.qz.gov.cn/）提出</w:t>
      </w:r>
      <w:r>
        <w:rPr>
          <w:rFonts w:hint="eastAsia" w:ascii="宋体" w:hAnsi="宋体" w:eastAsia="宋体" w:cs="宋体"/>
          <w:color w:val="auto"/>
          <w:szCs w:val="21"/>
          <w:highlight w:val="none"/>
        </w:rPr>
        <w:t>，要求招标人对招标文件予以澄清。</w:t>
      </w:r>
    </w:p>
    <w:p w14:paraId="7F1A4C3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招标文件的澄清、修改可能影响投标文件编制的，招标人将在投标人须知前附表规定的投标截止时间15日前通过</w:t>
      </w:r>
      <w:r>
        <w:rPr>
          <w:rFonts w:hint="eastAsia" w:ascii="宋体" w:hAnsi="宋体" w:eastAsia="宋体" w:cs="宋体"/>
          <w:color w:val="auto"/>
          <w:szCs w:val="21"/>
          <w:highlight w:val="none"/>
          <w:u w:val="single"/>
        </w:rPr>
        <w:t>衢州市公共资源电子交易系统（http://ggzy.qz.gov.cn/）平台</w:t>
      </w:r>
      <w:r>
        <w:rPr>
          <w:rFonts w:hint="eastAsia" w:ascii="宋体" w:hAnsi="宋体" w:eastAsia="宋体" w:cs="宋体"/>
          <w:color w:val="auto"/>
          <w:szCs w:val="21"/>
          <w:highlight w:val="none"/>
        </w:rPr>
        <w:t>进行发布，但不指明澄清问题的来源。如果澄清发出的时间距投标截止时间不足15日，相应延长投标截止时间。</w:t>
      </w:r>
    </w:p>
    <w:p w14:paraId="01015FC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 投标人确认收到招标文件澄清和修改内容的时间：见投标人须知前附表。</w:t>
      </w:r>
    </w:p>
    <w:p w14:paraId="562A19D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152" w:name="_Toc17975"/>
      <w:bookmarkStart w:id="153" w:name="_Toc17777"/>
      <w:bookmarkStart w:id="154" w:name="_Toc18168"/>
      <w:bookmarkStart w:id="155" w:name="_Toc1939"/>
      <w:bookmarkStart w:id="156" w:name="_Toc247513970"/>
      <w:bookmarkStart w:id="157" w:name="_Toc144974514"/>
      <w:bookmarkStart w:id="158" w:name="_Toc152045546"/>
      <w:bookmarkStart w:id="159" w:name="_Toc300834967"/>
      <w:bookmarkStart w:id="160" w:name="_Toc152042322"/>
      <w:bookmarkStart w:id="161" w:name="_Toc38896015"/>
      <w:bookmarkStart w:id="162" w:name="_Toc247527571"/>
      <w:r>
        <w:rPr>
          <w:rFonts w:hint="eastAsia" w:ascii="宋体" w:hAnsi="宋体" w:eastAsia="宋体" w:cs="宋体"/>
          <w:b/>
          <w:color w:val="auto"/>
          <w:szCs w:val="21"/>
          <w:highlight w:val="none"/>
        </w:rPr>
        <w:t>3. 投标文件</w:t>
      </w:r>
      <w:bookmarkEnd w:id="152"/>
      <w:bookmarkEnd w:id="153"/>
      <w:bookmarkEnd w:id="154"/>
      <w:bookmarkEnd w:id="155"/>
      <w:bookmarkEnd w:id="156"/>
      <w:bookmarkEnd w:id="157"/>
      <w:bookmarkEnd w:id="158"/>
      <w:bookmarkEnd w:id="159"/>
      <w:bookmarkEnd w:id="160"/>
      <w:bookmarkEnd w:id="161"/>
      <w:bookmarkEnd w:id="162"/>
    </w:p>
    <w:p w14:paraId="3459B22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63" w:name="_Toc152042323"/>
      <w:bookmarkStart w:id="164" w:name="_Toc144974515"/>
      <w:bookmarkStart w:id="165" w:name="_Toc247527572"/>
      <w:bookmarkStart w:id="166" w:name="_Toc152045547"/>
      <w:bookmarkStart w:id="167" w:name="_Toc300834968"/>
      <w:bookmarkStart w:id="168" w:name="_Toc247513971"/>
      <w:r>
        <w:rPr>
          <w:rFonts w:hint="eastAsia" w:ascii="宋体" w:hAnsi="宋体" w:eastAsia="宋体" w:cs="宋体"/>
          <w:b/>
          <w:color w:val="auto"/>
          <w:szCs w:val="21"/>
          <w:highlight w:val="none"/>
        </w:rPr>
        <w:t>3.1投标文件的组成</w:t>
      </w:r>
      <w:bookmarkEnd w:id="163"/>
      <w:bookmarkEnd w:id="164"/>
      <w:bookmarkEnd w:id="165"/>
      <w:bookmarkEnd w:id="166"/>
      <w:bookmarkEnd w:id="167"/>
      <w:bookmarkEnd w:id="168"/>
    </w:p>
    <w:p w14:paraId="327A2E1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投标文件根据评标办法由投标文件商务标、技术标、资信标、资格审查资料组成。具体内容详见投标人须知前附表3.1。</w:t>
      </w:r>
    </w:p>
    <w:p w14:paraId="5C48D42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69" w:name="_Toc247527573"/>
      <w:bookmarkStart w:id="170" w:name="_Toc144974516"/>
      <w:bookmarkStart w:id="171" w:name="_Toc152045548"/>
      <w:bookmarkStart w:id="172" w:name="_Toc152042324"/>
      <w:bookmarkStart w:id="173" w:name="_Toc300834969"/>
      <w:bookmarkStart w:id="174" w:name="_Toc247513972"/>
      <w:r>
        <w:rPr>
          <w:rFonts w:hint="eastAsia" w:ascii="宋体" w:hAnsi="宋体" w:eastAsia="宋体" w:cs="宋体"/>
          <w:b/>
          <w:color w:val="auto"/>
          <w:szCs w:val="21"/>
          <w:highlight w:val="none"/>
        </w:rPr>
        <w:t>3.2投标报价</w:t>
      </w:r>
      <w:bookmarkEnd w:id="169"/>
      <w:bookmarkEnd w:id="170"/>
      <w:bookmarkEnd w:id="171"/>
      <w:bookmarkEnd w:id="172"/>
      <w:bookmarkEnd w:id="173"/>
      <w:bookmarkEnd w:id="174"/>
    </w:p>
    <w:p w14:paraId="47FBF3F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bookmarkStart w:id="175" w:name="_Toc247527574"/>
      <w:bookmarkStart w:id="176" w:name="_Toc300834970"/>
      <w:bookmarkStart w:id="177" w:name="_Toc152042325"/>
      <w:bookmarkStart w:id="178" w:name="_Toc152045549"/>
      <w:bookmarkStart w:id="179" w:name="_Toc144974517"/>
      <w:bookmarkStart w:id="180" w:name="_Toc247513973"/>
      <w:r>
        <w:rPr>
          <w:rFonts w:hint="eastAsia" w:ascii="宋体" w:hAnsi="宋体" w:eastAsia="宋体" w:cs="宋体"/>
          <w:color w:val="auto"/>
          <w:szCs w:val="21"/>
          <w:highlight w:val="none"/>
        </w:rPr>
        <w:t>3.2.1 投标人应按第七章“投标文件格式”的要求填写。</w:t>
      </w:r>
    </w:p>
    <w:p w14:paraId="40D9B49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投标人应充分了解施工场地的位置、周边环境、道路、装卸、保管、安装限制以及影响投标报价的其他要素。投标人根据投标设计，结合市场情况进行投标报价。</w:t>
      </w:r>
    </w:p>
    <w:p w14:paraId="02A0A37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投标人在投标截止时间前修改投标函中的投标报价总额，应同时修改投标文件“项目清单”中的相应报价，投标报价总额为各分项金额之和。此修改须符合本章第4.3的有关要求。</w:t>
      </w:r>
    </w:p>
    <w:p w14:paraId="5226110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 投招标人设有最高投标限价的，投标人的投标报价不得超过最高投标限价，最高投标限价或其计算方法见投标人须知前附表。</w:t>
      </w:r>
    </w:p>
    <w:p w14:paraId="590624F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3.2.5 投标报价的其他要求见投标人须知前附表。</w:t>
      </w:r>
    </w:p>
    <w:p w14:paraId="3E0A68F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3.3投标有效期</w:t>
      </w:r>
      <w:bookmarkEnd w:id="175"/>
      <w:bookmarkEnd w:id="176"/>
      <w:bookmarkEnd w:id="177"/>
      <w:bookmarkEnd w:id="178"/>
      <w:bookmarkEnd w:id="179"/>
      <w:bookmarkEnd w:id="180"/>
    </w:p>
    <w:p w14:paraId="296E070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在投标人须知前附表规定的投标有效期内，投标人不得要求撤销或修改其投标文件。</w:t>
      </w:r>
    </w:p>
    <w:p w14:paraId="1F3CCBD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 在投标有效期内，投标人撤销或修改其投标文件的，应承担招标文件和法律规定的责任。</w:t>
      </w:r>
    </w:p>
    <w:p w14:paraId="0047F3E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出现特殊情况需要延长投标有效期的，招标人通过</w:t>
      </w:r>
      <w:r>
        <w:rPr>
          <w:rFonts w:hint="eastAsia" w:ascii="宋体" w:hAnsi="宋体" w:eastAsia="宋体" w:cs="宋体"/>
          <w:color w:val="auto"/>
          <w:szCs w:val="21"/>
          <w:highlight w:val="none"/>
          <w:u w:val="single"/>
        </w:rPr>
        <w:t>衢州市公共资源电子交易系统（http://ggzy.qz.gov.cn/）</w:t>
      </w:r>
      <w:r>
        <w:rPr>
          <w:rFonts w:hint="eastAsia" w:ascii="宋体" w:hAnsi="宋体" w:eastAsia="宋体" w:cs="宋体"/>
          <w:color w:val="auto"/>
          <w:szCs w:val="21"/>
          <w:highlight w:val="none"/>
        </w:rPr>
        <w:t>平台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16945C7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81" w:name="_Toc152042326"/>
      <w:bookmarkStart w:id="182" w:name="_Toc144974518"/>
      <w:bookmarkStart w:id="183" w:name="_Toc247513974"/>
      <w:bookmarkStart w:id="184" w:name="_Toc300834971"/>
      <w:bookmarkStart w:id="185" w:name="_Toc247527575"/>
      <w:bookmarkStart w:id="186" w:name="_Toc152045550"/>
      <w:r>
        <w:rPr>
          <w:rFonts w:hint="eastAsia" w:ascii="宋体" w:hAnsi="宋体" w:eastAsia="宋体" w:cs="宋体"/>
          <w:b/>
          <w:color w:val="auto"/>
          <w:szCs w:val="21"/>
          <w:highlight w:val="none"/>
        </w:rPr>
        <w:t>3.4投标保证金</w:t>
      </w:r>
      <w:bookmarkEnd w:id="181"/>
      <w:bookmarkEnd w:id="182"/>
      <w:bookmarkEnd w:id="183"/>
      <w:bookmarkEnd w:id="184"/>
      <w:bookmarkEnd w:id="185"/>
      <w:bookmarkEnd w:id="186"/>
    </w:p>
    <w:p w14:paraId="5FEC4AC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 投标人在递交投标文件的同时，应按投标人须知前附表规定的金额、担保形式和第七章“投标文件格式”规定的投标保证金格式递交投标保证金，并作为其投标文件的组成部分。联合体投标的，其投标保证金由牵头人递交，并应符合投标人须知前附表的规定。</w:t>
      </w:r>
    </w:p>
    <w:p w14:paraId="43046AF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 投标人不按本章第3.4.1要求提交投标保证金的，其投标文件作否决投标处理。</w:t>
      </w:r>
    </w:p>
    <w:p w14:paraId="22E94DB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3.4.3 </w:t>
      </w:r>
      <w:bookmarkStart w:id="187" w:name="_Toc152042328"/>
      <w:bookmarkStart w:id="188" w:name="_Toc152045552"/>
      <w:bookmarkStart w:id="189" w:name="_Toc247527577"/>
      <w:bookmarkStart w:id="190" w:name="_Toc144974520"/>
      <w:bookmarkStart w:id="191" w:name="_Toc247513976"/>
      <w:bookmarkStart w:id="192" w:name="_Toc300834973"/>
      <w:r>
        <w:rPr>
          <w:rFonts w:hint="eastAsia" w:ascii="宋体" w:hAnsi="宋体" w:eastAsia="宋体" w:cs="宋体"/>
          <w:color w:val="auto"/>
          <w:szCs w:val="21"/>
          <w:highlight w:val="none"/>
        </w:rPr>
        <w:t>有下列情形之一的，投标保证金不予退还：</w:t>
      </w:r>
    </w:p>
    <w:p w14:paraId="44BDE32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（1）在提交投标文件截止时间后到招标文件规定的投标有效期终止之前，投标人撤销其投标文件的；</w:t>
      </w:r>
    </w:p>
    <w:p w14:paraId="7C1F0D9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（2）中标人在收到中标通知书后，无正当理由不与招标人订立合同，在签订合同时向招标人提出附加条件，或者不按照招标文件要求提交履约担保；</w:t>
      </w:r>
    </w:p>
    <w:p w14:paraId="78A7349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（3）投标人须知前附表规定的其他情形。</w:t>
      </w:r>
    </w:p>
    <w:p w14:paraId="243E5D8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3.5实质性响应招标文件资料</w:t>
      </w:r>
      <w:bookmarkEnd w:id="187"/>
      <w:bookmarkEnd w:id="188"/>
      <w:bookmarkEnd w:id="189"/>
      <w:bookmarkEnd w:id="190"/>
      <w:bookmarkEnd w:id="191"/>
      <w:bookmarkEnd w:id="192"/>
    </w:p>
    <w:p w14:paraId="6AF4D1E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实质性响应招标文件资料见投标人须知前附表。</w:t>
      </w:r>
    </w:p>
    <w:p w14:paraId="093D1E5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193" w:name="_Toc300834975"/>
      <w:bookmarkStart w:id="194" w:name="_Toc247513978"/>
      <w:bookmarkStart w:id="195" w:name="_Toc152045554"/>
      <w:bookmarkStart w:id="196" w:name="_Toc152042330"/>
      <w:bookmarkStart w:id="197" w:name="_Toc144974522"/>
      <w:bookmarkStart w:id="198" w:name="_Toc247527579"/>
      <w:r>
        <w:rPr>
          <w:rFonts w:hint="eastAsia" w:ascii="宋体" w:hAnsi="宋体" w:eastAsia="宋体" w:cs="宋体"/>
          <w:b/>
          <w:color w:val="auto"/>
          <w:szCs w:val="21"/>
          <w:highlight w:val="none"/>
        </w:rPr>
        <w:t>3.6</w:t>
      </w:r>
      <w:bookmarkEnd w:id="193"/>
      <w:bookmarkEnd w:id="194"/>
      <w:bookmarkEnd w:id="195"/>
      <w:bookmarkEnd w:id="196"/>
      <w:bookmarkEnd w:id="197"/>
      <w:bookmarkEnd w:id="198"/>
      <w:r>
        <w:rPr>
          <w:rFonts w:hint="eastAsia" w:ascii="宋体" w:hAnsi="宋体" w:eastAsia="宋体" w:cs="宋体"/>
          <w:b/>
          <w:color w:val="auto"/>
          <w:szCs w:val="21"/>
          <w:highlight w:val="none"/>
        </w:rPr>
        <w:t>备选投标方案</w:t>
      </w:r>
    </w:p>
    <w:p w14:paraId="1C53F79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22" w:firstLineChars="249"/>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2D5DAF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3.7投标文件的编制</w:t>
      </w:r>
    </w:p>
    <w:p w14:paraId="2A521EB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3.7.1 投标文件应按第七章“投标文件格式 ”进行编写，如有必要，可以增加附页，作为投标文件的组成部分。其中，投标函附录在满足招标文件实质性要求的基础上，可以提出比招标文件要求更有利于招标人的承诺。</w:t>
      </w:r>
    </w:p>
    <w:p w14:paraId="5170566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3.7.2 投标文件应当对招标文件有关招标范围、投标有效期、工期、质量标准等实质性内容作出响应。</w:t>
      </w:r>
    </w:p>
    <w:p w14:paraId="355F4DE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 投标文件签字或盖章的具体要求见投标人须知前附表。</w:t>
      </w:r>
    </w:p>
    <w:p w14:paraId="3C7106C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3.7.4 投标文件份数的具体要求见投标人须知前附表。</w:t>
      </w:r>
    </w:p>
    <w:p w14:paraId="7C14416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Cs/>
          <w:color w:val="auto"/>
          <w:szCs w:val="21"/>
          <w:highlight w:val="none"/>
        </w:rPr>
      </w:pPr>
      <w:bookmarkStart w:id="199" w:name="_Toc152045555"/>
      <w:bookmarkStart w:id="200" w:name="_Toc247527580"/>
      <w:bookmarkStart w:id="201" w:name="_Toc13482"/>
      <w:bookmarkStart w:id="202" w:name="_Toc38896016"/>
      <w:bookmarkStart w:id="203" w:name="_Toc23800"/>
      <w:bookmarkStart w:id="204" w:name="_Toc144974523"/>
      <w:bookmarkStart w:id="205" w:name="_Toc12286"/>
      <w:bookmarkStart w:id="206" w:name="_Toc3980"/>
      <w:bookmarkStart w:id="207" w:name="_Toc300834976"/>
      <w:bookmarkStart w:id="208" w:name="_Toc247513979"/>
      <w:bookmarkStart w:id="209" w:name="_Toc152042331"/>
      <w:r>
        <w:rPr>
          <w:rFonts w:hint="eastAsia" w:ascii="宋体" w:hAnsi="宋体" w:eastAsia="宋体" w:cs="宋体"/>
          <w:bCs/>
          <w:color w:val="auto"/>
          <w:szCs w:val="21"/>
          <w:highlight w:val="none"/>
        </w:rPr>
        <w:t>4. 投标</w:t>
      </w:r>
      <w:bookmarkEnd w:id="199"/>
      <w:bookmarkEnd w:id="200"/>
      <w:bookmarkEnd w:id="201"/>
      <w:bookmarkEnd w:id="202"/>
      <w:bookmarkEnd w:id="203"/>
      <w:bookmarkEnd w:id="204"/>
      <w:bookmarkEnd w:id="205"/>
      <w:bookmarkEnd w:id="206"/>
      <w:bookmarkEnd w:id="207"/>
      <w:bookmarkEnd w:id="208"/>
      <w:bookmarkEnd w:id="209"/>
    </w:p>
    <w:p w14:paraId="227A8FF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10" w:name="_Toc152045556"/>
      <w:bookmarkStart w:id="211" w:name="_Toc300834977"/>
      <w:bookmarkStart w:id="212" w:name="_Toc247513980"/>
      <w:bookmarkStart w:id="213" w:name="_Toc152042332"/>
      <w:bookmarkStart w:id="214" w:name="_Toc247527581"/>
      <w:bookmarkStart w:id="215" w:name="_Toc144974524"/>
      <w:r>
        <w:rPr>
          <w:rFonts w:hint="eastAsia" w:ascii="宋体" w:hAnsi="宋体" w:eastAsia="宋体" w:cs="宋体"/>
          <w:b/>
          <w:color w:val="auto"/>
          <w:szCs w:val="21"/>
          <w:highlight w:val="none"/>
        </w:rPr>
        <w:t>4.1投标文件的密封和标记</w:t>
      </w:r>
      <w:bookmarkEnd w:id="210"/>
      <w:bookmarkEnd w:id="211"/>
      <w:bookmarkEnd w:id="212"/>
      <w:bookmarkEnd w:id="213"/>
      <w:bookmarkEnd w:id="214"/>
      <w:bookmarkEnd w:id="215"/>
    </w:p>
    <w:p w14:paraId="1029BED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4.1.1纸质投标文件的密封及标记要求见投标人须知前附表。</w:t>
      </w:r>
    </w:p>
    <w:p w14:paraId="6134B49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4.1.2投标文件封套上应写明的内容见投标人须知前附表。</w:t>
      </w:r>
    </w:p>
    <w:p w14:paraId="4A8806D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16" w:name="_Toc152045557"/>
      <w:bookmarkStart w:id="217" w:name="_Toc247527582"/>
      <w:bookmarkStart w:id="218" w:name="_Toc300834978"/>
      <w:bookmarkStart w:id="219" w:name="_Toc152042333"/>
      <w:bookmarkStart w:id="220" w:name="_Toc144974525"/>
      <w:bookmarkStart w:id="221" w:name="_Toc247513981"/>
      <w:r>
        <w:rPr>
          <w:rFonts w:hint="eastAsia" w:ascii="宋体" w:hAnsi="宋体" w:eastAsia="宋体" w:cs="宋体"/>
          <w:b/>
          <w:color w:val="auto"/>
          <w:szCs w:val="21"/>
          <w:highlight w:val="none"/>
        </w:rPr>
        <w:t>4.2投标文件的递交</w:t>
      </w:r>
      <w:bookmarkEnd w:id="216"/>
      <w:bookmarkEnd w:id="217"/>
      <w:bookmarkEnd w:id="218"/>
      <w:bookmarkEnd w:id="219"/>
      <w:bookmarkEnd w:id="220"/>
      <w:bookmarkEnd w:id="221"/>
    </w:p>
    <w:p w14:paraId="25A9302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bookmarkStart w:id="222" w:name="_Toc152042334"/>
      <w:bookmarkStart w:id="223" w:name="_Toc247513982"/>
      <w:bookmarkStart w:id="224" w:name="_Toc300834979"/>
      <w:bookmarkStart w:id="225" w:name="_Toc144974526"/>
      <w:bookmarkStart w:id="226" w:name="_Toc247527583"/>
      <w:bookmarkStart w:id="227" w:name="_Toc152045558"/>
      <w:r>
        <w:rPr>
          <w:rFonts w:hint="eastAsia" w:ascii="宋体" w:hAnsi="宋体" w:eastAsia="宋体" w:cs="宋体"/>
          <w:color w:val="auto"/>
          <w:szCs w:val="21"/>
          <w:highlight w:val="none"/>
        </w:rPr>
        <w:t>4.2.1投标人应在投标人须知前附表2.2.2规定的投标截止时间前递交投标文件。</w:t>
      </w:r>
    </w:p>
    <w:p w14:paraId="5AF48D8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4.2.2投标人递交投标文件的地点：见投标人须知前附表。投标人通过下载招标文件的电子招标投标交易平台递交电子投标文件。</w:t>
      </w:r>
    </w:p>
    <w:p w14:paraId="2E691EF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4.2.3除投标人须知前附表另有规定外，投标人所递交的投标文件不予退还。</w:t>
      </w:r>
    </w:p>
    <w:p w14:paraId="3F68EE1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4.2.4投标人完成电子投标文件上传后，电子招标投标交易平台即时向投标人发出递交回执通知。递交时间以递交回执通知载明的传输完成时间为准。</w:t>
      </w:r>
    </w:p>
    <w:p w14:paraId="7FB04CE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4.2.5投标文件的拒收情形：见投标须知前附表。</w:t>
      </w:r>
    </w:p>
    <w:p w14:paraId="5F05956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4.3投标文件的修改与撤回</w:t>
      </w:r>
      <w:bookmarkEnd w:id="222"/>
      <w:bookmarkEnd w:id="223"/>
      <w:bookmarkEnd w:id="224"/>
      <w:bookmarkEnd w:id="225"/>
      <w:bookmarkEnd w:id="226"/>
      <w:bookmarkEnd w:id="227"/>
    </w:p>
    <w:p w14:paraId="3CB48B9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4.3.1在本章第4.2.1规定的投标截止时间前，投标人可以修改或撤回已递交的投标文件，但应以书面形式通知招标人。</w:t>
      </w:r>
    </w:p>
    <w:p w14:paraId="70D0551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4.3.2投标人修改或撤回已递交投标文件的通知，应按照本章第3.7.3的要求加盖电子印章。电子招标投标交易平台收到通知后，即时向投标人发出确认回执通知。</w:t>
      </w:r>
    </w:p>
    <w:p w14:paraId="581D62B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4.3.3投标人撤回投标文件的，招标人自收到投标人书面撤回通知之日起5日内退还已收取的投标担保。</w:t>
      </w:r>
    </w:p>
    <w:p w14:paraId="6ABAC52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4.3.4修改的内容为投标文件的组成部分。修改的投标文件应按照本章第3条、第4条的规定进行编制、密封、标记和递交，并标明“修改 ”字样。</w:t>
      </w:r>
    </w:p>
    <w:p w14:paraId="15C5DB3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228" w:name="_Toc247527584"/>
      <w:bookmarkStart w:id="229" w:name="_Toc152045559"/>
      <w:bookmarkStart w:id="230" w:name="_Toc7874"/>
      <w:bookmarkStart w:id="231" w:name="_Toc144974527"/>
      <w:bookmarkStart w:id="232" w:name="_Toc300834980"/>
      <w:bookmarkStart w:id="233" w:name="_Toc247513983"/>
      <w:bookmarkStart w:id="234" w:name="_Toc152042335"/>
      <w:bookmarkStart w:id="235" w:name="_Toc20500"/>
      <w:bookmarkStart w:id="236" w:name="_Toc10133"/>
      <w:bookmarkStart w:id="237" w:name="_Toc38896017"/>
      <w:bookmarkStart w:id="238" w:name="_Toc22111"/>
      <w:r>
        <w:rPr>
          <w:rFonts w:hint="eastAsia" w:ascii="宋体" w:hAnsi="宋体" w:eastAsia="宋体" w:cs="宋体"/>
          <w:b/>
          <w:color w:val="auto"/>
          <w:szCs w:val="21"/>
          <w:highlight w:val="none"/>
        </w:rPr>
        <w:t>5. 开标</w:t>
      </w:r>
      <w:bookmarkEnd w:id="228"/>
      <w:bookmarkEnd w:id="229"/>
      <w:bookmarkEnd w:id="230"/>
      <w:bookmarkEnd w:id="231"/>
      <w:bookmarkEnd w:id="232"/>
      <w:bookmarkEnd w:id="233"/>
      <w:bookmarkEnd w:id="234"/>
      <w:bookmarkEnd w:id="235"/>
      <w:bookmarkEnd w:id="236"/>
      <w:bookmarkEnd w:id="237"/>
      <w:bookmarkEnd w:id="238"/>
    </w:p>
    <w:p w14:paraId="3604856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39" w:name="_Toc247513984"/>
      <w:bookmarkStart w:id="240" w:name="_Toc247527585"/>
      <w:bookmarkStart w:id="241" w:name="_Toc144974528"/>
      <w:bookmarkStart w:id="242" w:name="_Toc300834981"/>
      <w:bookmarkStart w:id="243" w:name="_Toc152042336"/>
      <w:bookmarkStart w:id="244" w:name="_Toc152045560"/>
      <w:r>
        <w:rPr>
          <w:rFonts w:hint="eastAsia" w:ascii="宋体" w:hAnsi="宋体" w:eastAsia="宋体" w:cs="宋体"/>
          <w:b/>
          <w:color w:val="auto"/>
          <w:szCs w:val="21"/>
          <w:highlight w:val="none"/>
        </w:rPr>
        <w:t>5.1开标时间和地点</w:t>
      </w:r>
      <w:bookmarkEnd w:id="239"/>
      <w:bookmarkEnd w:id="240"/>
      <w:bookmarkEnd w:id="241"/>
      <w:bookmarkEnd w:id="242"/>
      <w:bookmarkEnd w:id="243"/>
      <w:bookmarkEnd w:id="244"/>
    </w:p>
    <w:p w14:paraId="1273C11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522" w:firstLineChars="249"/>
        <w:textAlignment w:val="auto"/>
        <w:rPr>
          <w:rFonts w:hint="eastAsia" w:ascii="宋体" w:hAnsi="宋体" w:eastAsia="宋体" w:cs="宋体"/>
          <w:color w:val="auto"/>
          <w:szCs w:val="21"/>
          <w:highlight w:val="none"/>
        </w:rPr>
      </w:pPr>
      <w:bookmarkStart w:id="245" w:name="_Toc152042337"/>
      <w:bookmarkStart w:id="246" w:name="_Toc300834982"/>
      <w:bookmarkStart w:id="247" w:name="_Toc144974529"/>
      <w:bookmarkStart w:id="248" w:name="_Toc247513985"/>
      <w:bookmarkStart w:id="249" w:name="_Toc247527586"/>
      <w:bookmarkStart w:id="250" w:name="_Toc152045561"/>
      <w:r>
        <w:rPr>
          <w:rFonts w:hint="eastAsia" w:ascii="宋体" w:hAnsi="宋体" w:eastAsia="宋体" w:cs="宋体"/>
          <w:color w:val="auto"/>
          <w:szCs w:val="21"/>
          <w:highlight w:val="none"/>
        </w:rPr>
        <w:t>招标人在本章第2.2.2规定的投标截止时间（开标时间）和投标人须知前附表规定的地点和要求公开开标。参加开标会议的要求见投标人须知前附表。</w:t>
      </w:r>
    </w:p>
    <w:p w14:paraId="0E0B664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5.2开标程序</w:t>
      </w:r>
      <w:bookmarkEnd w:id="245"/>
      <w:bookmarkEnd w:id="246"/>
      <w:bookmarkEnd w:id="247"/>
      <w:bookmarkEnd w:id="248"/>
      <w:bookmarkEnd w:id="249"/>
      <w:bookmarkEnd w:id="250"/>
    </w:p>
    <w:p w14:paraId="1715038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开标程序：见投标人须知前附表。</w:t>
      </w:r>
    </w:p>
    <w:p w14:paraId="140A5E8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251" w:name="_Toc16596"/>
      <w:bookmarkStart w:id="252" w:name="_Toc247527587"/>
      <w:bookmarkStart w:id="253" w:name="_Toc152042338"/>
      <w:bookmarkStart w:id="254" w:name="_Toc300834984"/>
      <w:bookmarkStart w:id="255" w:name="_Toc152045562"/>
      <w:bookmarkStart w:id="256" w:name="_Toc23230"/>
      <w:bookmarkStart w:id="257" w:name="_Toc247513986"/>
      <w:bookmarkStart w:id="258" w:name="_Toc2905"/>
      <w:bookmarkStart w:id="259" w:name="_Toc26043"/>
      <w:bookmarkStart w:id="260" w:name="_Toc144974530"/>
      <w:bookmarkStart w:id="261" w:name="_Toc38896018"/>
      <w:r>
        <w:rPr>
          <w:rFonts w:hint="eastAsia" w:ascii="宋体" w:hAnsi="宋体" w:eastAsia="宋体" w:cs="宋体"/>
          <w:b/>
          <w:color w:val="auto"/>
          <w:szCs w:val="21"/>
          <w:highlight w:val="none"/>
        </w:rPr>
        <w:t>6. 评标</w:t>
      </w:r>
      <w:bookmarkEnd w:id="251"/>
      <w:bookmarkEnd w:id="252"/>
      <w:bookmarkEnd w:id="253"/>
      <w:bookmarkEnd w:id="254"/>
      <w:bookmarkEnd w:id="255"/>
      <w:bookmarkEnd w:id="256"/>
      <w:bookmarkEnd w:id="257"/>
      <w:bookmarkEnd w:id="258"/>
      <w:bookmarkEnd w:id="259"/>
      <w:bookmarkEnd w:id="260"/>
      <w:bookmarkEnd w:id="261"/>
    </w:p>
    <w:p w14:paraId="60B55DC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62" w:name="_Toc247527588"/>
      <w:bookmarkStart w:id="263" w:name="_Toc144974531"/>
      <w:bookmarkStart w:id="264" w:name="_Toc152045563"/>
      <w:bookmarkStart w:id="265" w:name="_Toc247513987"/>
      <w:bookmarkStart w:id="266" w:name="_Toc152042339"/>
      <w:bookmarkStart w:id="267" w:name="_Toc300834985"/>
      <w:r>
        <w:rPr>
          <w:rFonts w:hint="eastAsia" w:ascii="宋体" w:hAnsi="宋体" w:eastAsia="宋体" w:cs="宋体"/>
          <w:b/>
          <w:color w:val="auto"/>
          <w:szCs w:val="21"/>
          <w:highlight w:val="none"/>
        </w:rPr>
        <w:t>6.1评标委员会</w:t>
      </w:r>
      <w:bookmarkEnd w:id="262"/>
      <w:bookmarkEnd w:id="263"/>
      <w:bookmarkEnd w:id="264"/>
      <w:bookmarkEnd w:id="265"/>
      <w:bookmarkEnd w:id="266"/>
      <w:bookmarkEnd w:id="267"/>
    </w:p>
    <w:p w14:paraId="312E111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657BB35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 评标委员会成员有下列情形之一的，应当回避：</w:t>
      </w:r>
    </w:p>
    <w:p w14:paraId="6DBCD5F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投标人或投标人主要负责人的近亲属；</w:t>
      </w:r>
    </w:p>
    <w:p w14:paraId="1FB5495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 项目主管部门或者行政监督部门的人员；</w:t>
      </w:r>
    </w:p>
    <w:p w14:paraId="7F26E0E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与投标人有经济利益关系，可能影响对投标公正评审的；</w:t>
      </w:r>
    </w:p>
    <w:p w14:paraId="41FA95A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359" w:firstLineChars="171"/>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曾因在招标、评标以及其他与招标投标有关活动中从事违法行为而受过行政处罚或刑事处罚的。</w:t>
      </w:r>
    </w:p>
    <w:p w14:paraId="5FC88BC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68" w:name="_Toc144974532"/>
      <w:bookmarkStart w:id="269" w:name="_Toc247527589"/>
      <w:bookmarkStart w:id="270" w:name="_Toc300834986"/>
      <w:bookmarkStart w:id="271" w:name="_Toc152045564"/>
      <w:bookmarkStart w:id="272" w:name="_Toc247513988"/>
      <w:bookmarkStart w:id="273" w:name="_Toc152042340"/>
      <w:r>
        <w:rPr>
          <w:rFonts w:hint="eastAsia" w:ascii="宋体" w:hAnsi="宋体" w:eastAsia="宋体" w:cs="宋体"/>
          <w:b/>
          <w:color w:val="auto"/>
          <w:szCs w:val="21"/>
          <w:highlight w:val="none"/>
        </w:rPr>
        <w:t>6.2评标原则</w:t>
      </w:r>
      <w:bookmarkEnd w:id="268"/>
      <w:bookmarkEnd w:id="269"/>
      <w:bookmarkEnd w:id="270"/>
      <w:bookmarkEnd w:id="271"/>
      <w:bookmarkEnd w:id="272"/>
      <w:bookmarkEnd w:id="273"/>
      <w:r>
        <w:rPr>
          <w:rFonts w:hint="eastAsia" w:ascii="宋体" w:hAnsi="宋体" w:eastAsia="宋体" w:cs="宋体"/>
          <w:b/>
          <w:color w:val="auto"/>
          <w:szCs w:val="21"/>
          <w:highlight w:val="none"/>
        </w:rPr>
        <w:tab/>
      </w:r>
    </w:p>
    <w:p w14:paraId="54B160A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评标活动遵循公平、公正、科学和择优的原则。</w:t>
      </w:r>
    </w:p>
    <w:p w14:paraId="79D6AFF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74" w:name="_Toc144974533"/>
      <w:bookmarkStart w:id="275" w:name="_Toc152042341"/>
      <w:bookmarkStart w:id="276" w:name="_Toc247527590"/>
      <w:bookmarkStart w:id="277" w:name="_Toc152045565"/>
      <w:bookmarkStart w:id="278" w:name="_Toc300834987"/>
      <w:bookmarkStart w:id="279" w:name="_Toc247513989"/>
      <w:r>
        <w:rPr>
          <w:rFonts w:hint="eastAsia" w:ascii="宋体" w:hAnsi="宋体" w:eastAsia="宋体" w:cs="宋体"/>
          <w:b/>
          <w:color w:val="auto"/>
          <w:szCs w:val="21"/>
          <w:highlight w:val="none"/>
        </w:rPr>
        <w:t>6.3评标</w:t>
      </w:r>
      <w:bookmarkEnd w:id="274"/>
      <w:bookmarkEnd w:id="275"/>
      <w:bookmarkEnd w:id="276"/>
      <w:bookmarkEnd w:id="277"/>
      <w:bookmarkEnd w:id="278"/>
      <w:bookmarkEnd w:id="279"/>
    </w:p>
    <w:p w14:paraId="67EB20F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6.3.1评标委员会按照第三章“评标办法 ”规定的方法、评审因素、标准和程序对投标文件进行评审。第三章“评标办法 ”没有规定的方法、评审因素和标准，不作为评标依据。</w:t>
      </w:r>
    </w:p>
    <w:p w14:paraId="6756A0A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 评标委员会推荐中标候选人的人数和是否排序见投标人须知前附表。</w:t>
      </w:r>
    </w:p>
    <w:p w14:paraId="0471E2F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6.4中标候选人公示</w:t>
      </w:r>
    </w:p>
    <w:p w14:paraId="332250E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招标人自收到评标报告之日起3日内公示中标候选人，公示期不少于3日，公示媒介详见投标人须知前附表。</w:t>
      </w:r>
    </w:p>
    <w:p w14:paraId="59FE4FD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280" w:name="_Toc300834988"/>
      <w:bookmarkStart w:id="281" w:name="_Toc4966"/>
      <w:bookmarkStart w:id="282" w:name="_Toc5690"/>
      <w:bookmarkStart w:id="283" w:name="_Toc16362"/>
      <w:bookmarkStart w:id="284" w:name="_Toc152045566"/>
      <w:bookmarkStart w:id="285" w:name="_Toc144974534"/>
      <w:bookmarkStart w:id="286" w:name="_Toc152042342"/>
      <w:bookmarkStart w:id="287" w:name="_Toc29930"/>
      <w:bookmarkStart w:id="288" w:name="_Toc247513990"/>
      <w:bookmarkStart w:id="289" w:name="_Toc38896019"/>
      <w:bookmarkStart w:id="290" w:name="_Toc247527591"/>
      <w:r>
        <w:rPr>
          <w:rFonts w:hint="eastAsia" w:ascii="宋体" w:hAnsi="宋体" w:eastAsia="宋体" w:cs="宋体"/>
          <w:b/>
          <w:color w:val="auto"/>
          <w:szCs w:val="21"/>
          <w:highlight w:val="none"/>
        </w:rPr>
        <w:t>7. 合同授予</w:t>
      </w:r>
      <w:bookmarkEnd w:id="280"/>
      <w:bookmarkEnd w:id="281"/>
      <w:bookmarkEnd w:id="282"/>
      <w:bookmarkEnd w:id="283"/>
      <w:bookmarkEnd w:id="284"/>
      <w:bookmarkEnd w:id="285"/>
      <w:bookmarkEnd w:id="286"/>
      <w:bookmarkEnd w:id="287"/>
      <w:bookmarkEnd w:id="288"/>
      <w:bookmarkEnd w:id="289"/>
      <w:bookmarkEnd w:id="290"/>
    </w:p>
    <w:p w14:paraId="338B9AD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291" w:name="_Toc152045567"/>
      <w:bookmarkStart w:id="292" w:name="_Toc247527592"/>
      <w:bookmarkStart w:id="293" w:name="_Toc144974535"/>
      <w:bookmarkStart w:id="294" w:name="_Toc247513991"/>
      <w:bookmarkStart w:id="295" w:name="_Toc18425055"/>
      <w:bookmarkStart w:id="296" w:name="_Toc152042343"/>
      <w:bookmarkStart w:id="297" w:name="_Toc152042345"/>
      <w:bookmarkStart w:id="298" w:name="_Toc247513993"/>
      <w:bookmarkStart w:id="299" w:name="_Toc300834992"/>
      <w:bookmarkStart w:id="300" w:name="_Toc152045569"/>
      <w:bookmarkStart w:id="301" w:name="_Toc247527594"/>
      <w:bookmarkStart w:id="302" w:name="_Toc144974537"/>
      <w:r>
        <w:rPr>
          <w:rFonts w:hint="eastAsia" w:ascii="宋体" w:hAnsi="宋体" w:eastAsia="宋体" w:cs="宋体"/>
          <w:b/>
          <w:color w:val="auto"/>
          <w:szCs w:val="21"/>
          <w:highlight w:val="none"/>
        </w:rPr>
        <w:t>7.1定标方式</w:t>
      </w:r>
      <w:bookmarkEnd w:id="291"/>
      <w:bookmarkEnd w:id="292"/>
      <w:bookmarkEnd w:id="293"/>
      <w:bookmarkEnd w:id="294"/>
      <w:bookmarkEnd w:id="295"/>
      <w:bookmarkEnd w:id="296"/>
    </w:p>
    <w:p w14:paraId="1E70762A">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7.1.1招标人授权评标委员会确定中标人或根据评标委员会推荐</w:t>
      </w:r>
      <w:r>
        <w:rPr>
          <w:rFonts w:hint="eastAsia" w:ascii="宋体" w:hAnsi="宋体" w:eastAsia="宋体" w:cs="宋体"/>
          <w:color w:val="auto"/>
          <w:highlight w:val="none"/>
          <w:lang w:val="en-US" w:eastAsia="zh-CN"/>
        </w:rPr>
        <w:t>中标</w:t>
      </w:r>
      <w:r>
        <w:rPr>
          <w:rFonts w:hint="eastAsia" w:ascii="宋体" w:hAnsi="宋体" w:eastAsia="宋体" w:cs="宋体"/>
          <w:color w:val="auto"/>
          <w:highlight w:val="none"/>
        </w:rPr>
        <w:t>人确定</w:t>
      </w:r>
      <w:r>
        <w:rPr>
          <w:rFonts w:hint="eastAsia" w:ascii="宋体" w:hAnsi="宋体" w:eastAsia="宋体" w:cs="宋体"/>
          <w:color w:val="auto"/>
          <w:highlight w:val="none"/>
          <w:lang w:val="en-US" w:eastAsia="zh-CN"/>
        </w:rPr>
        <w:t>中标</w:t>
      </w:r>
      <w:r>
        <w:rPr>
          <w:rFonts w:hint="eastAsia" w:ascii="宋体" w:hAnsi="宋体" w:eastAsia="宋体" w:cs="宋体"/>
          <w:color w:val="auto"/>
          <w:highlight w:val="none"/>
        </w:rPr>
        <w:t>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49083C1">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7.1.2 定标原则：招标人负责制、公开透明、诚信守约的原则。</w:t>
      </w:r>
    </w:p>
    <w:p w14:paraId="398A48C7">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7.1.3定标会议时间和地点：招标人在投标须知前附表7.1.3规定的时间和地点召开定标会议，招标人的纪检监察部门应对招标投标活动的全过程进行监督。</w:t>
      </w:r>
    </w:p>
    <w:p w14:paraId="1D8BA405">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7.1.4 招标人可在投标须知前附表7.1.3规定的时间前对所有中标候选人进行考察、质询。考察、质询小组应由投标须知前附表7.1.4规定的人数组成。考察、质询小组应如实记录考察、质询情况，并出具考察、质询报告作为定标要素之一。考察、质询报告应客观公正，不得有明示或暗示中标人的内容。</w:t>
      </w:r>
    </w:p>
    <w:p w14:paraId="4F239F29">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7.1.5 定标委员会由招标人负责组建。定标委员会由投标须知前附表7.2.5规定的人数组成。定标委员会成员与中标候选人有利害关系的应主动说明并申请回避，定标委员会名单在中标结果确定前保密。</w:t>
      </w:r>
    </w:p>
    <w:p w14:paraId="46384CED">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7.1.6</w:t>
      </w:r>
      <w:r>
        <w:rPr>
          <w:rFonts w:hint="eastAsia" w:ascii="宋体" w:hAnsi="宋体" w:eastAsia="宋体" w:cs="宋体"/>
          <w:color w:val="auto"/>
          <w:highlight w:val="none"/>
          <w:lang w:val="en-US" w:eastAsia="zh-CN"/>
        </w:rPr>
        <w:t>定</w:t>
      </w:r>
      <w:r>
        <w:rPr>
          <w:rFonts w:hint="eastAsia" w:ascii="宋体" w:hAnsi="宋体" w:eastAsia="宋体" w:cs="宋体"/>
          <w:color w:val="auto"/>
          <w:highlight w:val="none"/>
        </w:rPr>
        <w:t>标人在定标会议中可对中标候选人开展现场面试，中标候选人拟派项目负责人， 以及投标人（联合体投标的，为联合体牵头人）持有安全生产考核合格证书的企业主要负责人（法定代表人、企业经理、企业分管安全生产的副经理、企业技术负责人中任意一人）参加现场面试。</w:t>
      </w:r>
    </w:p>
    <w:p w14:paraId="514317E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7.1.7 定标要素应参考评标委员会评标报告、质询或考察报告、现场面试情况，此外，还可以包含以下要素：</w:t>
      </w:r>
    </w:p>
    <w:p w14:paraId="0837C39B">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（1）价格因素：主要包括商务报价高低、主要材料报价的合理性、不平衡报价情况等；</w:t>
      </w:r>
    </w:p>
    <w:p w14:paraId="71A1FA24">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（2）企业实力：主要包括企业规模、资质等级、专业技术人员规模、近年的财务状况、过往业绩（含业绩影响力、难易程度）等；</w:t>
      </w:r>
    </w:p>
    <w:p w14:paraId="3376CC66">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2ECBD889">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（4）投标方案：主要包括技术标情况、工程建设重难点解决方案、主要材料品牌等；</w:t>
      </w:r>
    </w:p>
    <w:p w14:paraId="7E9E8DCF">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（5）拟派团队能力与水平：主要包括团队主要负责人类似工程业绩、拟派项目团队人员的资信实力等；</w:t>
      </w:r>
    </w:p>
    <w:p w14:paraId="485A2664">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（6）联合体投标的，联合体组成情况；</w:t>
      </w:r>
    </w:p>
    <w:p w14:paraId="641FE619">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（7）企业质量安全、无欠薪管理情况；</w:t>
      </w:r>
    </w:p>
    <w:p w14:paraId="04B82C78">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（8）企业项目班组人员到岗履职等管理情况；</w:t>
      </w:r>
    </w:p>
    <w:p w14:paraId="2CC8B5CB">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（9）工程保修维护等后续服务便利；</w:t>
      </w:r>
    </w:p>
    <w:p w14:paraId="58239095">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（10）落实建筑业高质量发展政策；</w:t>
      </w:r>
    </w:p>
    <w:p w14:paraId="754C06D5">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（11）落实政府其他政策；</w:t>
      </w:r>
    </w:p>
    <w:p w14:paraId="70699BBA">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sz w:val="21"/>
          <w:szCs w:val="21"/>
          <w:highlight w:val="none"/>
          <w:lang w:val="en-US" w:eastAsia="zh-CN"/>
        </w:rPr>
        <w:t>质询或（和）考察报告；</w:t>
      </w:r>
    </w:p>
    <w:p w14:paraId="3781D278">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招标人认为需要考量的其他因素。</w:t>
      </w:r>
    </w:p>
    <w:p w14:paraId="6C47E47D">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7.1.8定标方法可采用下列方法或者下列方法的组合：</w:t>
      </w:r>
    </w:p>
    <w:p w14:paraId="2D8E76DE">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票决法。由定标委员会以直接票决或者逐轮票决的方式确定中标人。</w:t>
      </w:r>
    </w:p>
    <w:p w14:paraId="48D2CB5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6948FB4F">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投标须知前附表7.1.8规定的其他定标办法。</w:t>
      </w:r>
    </w:p>
    <w:p w14:paraId="4ACAF0F7">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7.1.9招标人应当将中标结果情况在投标须知前附表7.1.9规定的媒介上公告不少于3日。</w:t>
      </w:r>
    </w:p>
    <w:p w14:paraId="19B3D2EA">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7.1.10 定标后有下列情形之一的，招标人可以组织原定标委员会从其他中标候选人中按原定标方法确定中标人：</w:t>
      </w:r>
    </w:p>
    <w:p w14:paraId="5CE93FB9">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中标人放弃中标资格或者拒不签订合同的；</w:t>
      </w:r>
    </w:p>
    <w:p w14:paraId="7E437A10">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中标人被查实存在违法行为影响中标结果的；</w:t>
      </w:r>
    </w:p>
    <w:p w14:paraId="4CAAAE53">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投标须知前附表 7.1.10 规定的其他情形。</w:t>
      </w:r>
    </w:p>
    <w:p w14:paraId="3422A2EF">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7.1.11 定标后有下列情形之一的，应重新定标：</w:t>
      </w:r>
    </w:p>
    <w:p w14:paraId="4B97D780">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（1）查实定标委员会未按定标办法公正履职的；</w:t>
      </w:r>
    </w:p>
    <w:p w14:paraId="7CABD314">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（2）有定标委员会成员与中标候选人有利害关系且未申请回避的；</w:t>
      </w:r>
    </w:p>
    <w:p w14:paraId="3DF53B1E">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（3）投标须知前附表 7.1.11 规定的其他情形。</w:t>
      </w:r>
    </w:p>
    <w:p w14:paraId="0EDFA70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03" w:name="_Toc18425056"/>
      <w:r>
        <w:rPr>
          <w:rFonts w:hint="eastAsia" w:ascii="宋体" w:hAnsi="宋体" w:eastAsia="宋体" w:cs="宋体"/>
          <w:b/>
          <w:color w:val="auto"/>
          <w:szCs w:val="21"/>
          <w:highlight w:val="none"/>
        </w:rPr>
        <w:t>7.2</w:t>
      </w:r>
      <w:bookmarkEnd w:id="303"/>
      <w:bookmarkStart w:id="304" w:name="_Toc152045568"/>
      <w:bookmarkStart w:id="305" w:name="_Toc144974536"/>
      <w:bookmarkStart w:id="306" w:name="_Toc152042344"/>
      <w:bookmarkStart w:id="307" w:name="_Toc247513992"/>
      <w:bookmarkStart w:id="308" w:name="_Toc18425057"/>
      <w:bookmarkStart w:id="309" w:name="_Toc247527593"/>
      <w:r>
        <w:rPr>
          <w:rFonts w:hint="eastAsia" w:ascii="宋体" w:hAnsi="宋体" w:eastAsia="宋体" w:cs="宋体"/>
          <w:b/>
          <w:color w:val="auto"/>
          <w:szCs w:val="21"/>
          <w:highlight w:val="none"/>
        </w:rPr>
        <w:t>中标通知</w:t>
      </w:r>
      <w:bookmarkEnd w:id="304"/>
      <w:bookmarkEnd w:id="305"/>
      <w:bookmarkEnd w:id="306"/>
      <w:bookmarkEnd w:id="307"/>
      <w:bookmarkEnd w:id="308"/>
      <w:bookmarkEnd w:id="309"/>
    </w:p>
    <w:p w14:paraId="0F6BC55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在本章第3.3款规定的投标有效期内，通过</w:t>
      </w:r>
      <w:r>
        <w:rPr>
          <w:rFonts w:hint="eastAsia" w:ascii="宋体" w:hAnsi="宋体" w:eastAsia="宋体" w:cs="宋体"/>
          <w:color w:val="auto"/>
          <w:szCs w:val="21"/>
          <w:highlight w:val="none"/>
          <w:u w:val="single"/>
        </w:rPr>
        <w:t>衢州市公共资源交易网站（http://ggzy.qz.gov.cn）</w:t>
      </w:r>
      <w:r>
        <w:rPr>
          <w:rFonts w:hint="eastAsia" w:ascii="宋体" w:hAnsi="宋体" w:eastAsia="宋体" w:cs="宋体"/>
          <w:color w:val="auto"/>
          <w:szCs w:val="21"/>
          <w:highlight w:val="none"/>
        </w:rPr>
        <w:t>制作并发放中标通知书，同时将中标结果通知未中标的投标人。</w:t>
      </w:r>
    </w:p>
    <w:p w14:paraId="71AB21F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bookmarkEnd w:id="297"/>
      <w:bookmarkEnd w:id="298"/>
      <w:bookmarkEnd w:id="299"/>
      <w:bookmarkEnd w:id="300"/>
      <w:bookmarkEnd w:id="301"/>
      <w:bookmarkEnd w:id="302"/>
      <w:r>
        <w:rPr>
          <w:rFonts w:hint="eastAsia" w:ascii="宋体" w:hAnsi="宋体" w:eastAsia="宋体" w:cs="宋体"/>
          <w:b/>
          <w:color w:val="auto"/>
          <w:szCs w:val="21"/>
          <w:highlight w:val="none"/>
        </w:rPr>
        <w:t>3履约担保</w:t>
      </w:r>
    </w:p>
    <w:p w14:paraId="33DA583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bookmarkStart w:id="310" w:name="_Toc247527595"/>
      <w:bookmarkStart w:id="311" w:name="_Toc144974538"/>
      <w:bookmarkStart w:id="312" w:name="_Toc152042346"/>
      <w:bookmarkStart w:id="313" w:name="_Toc247513994"/>
      <w:bookmarkStart w:id="314" w:name="_Toc300834993"/>
      <w:bookmarkStart w:id="315" w:name="_Toc152045570"/>
      <w:r>
        <w:rPr>
          <w:rFonts w:hint="eastAsia" w:ascii="宋体" w:hAnsi="宋体" w:eastAsia="宋体" w:cs="宋体"/>
          <w:color w:val="auto"/>
          <w:szCs w:val="21"/>
          <w:highlight w:val="none"/>
        </w:rPr>
        <w:t>7.3.1 在签订合同前，中标人应按投标人须知前附表规定的金额、形式向招标人递交履约保证金，并应符合招标文件第四章“合同条款及格式 ”规定的履约保证金要求。联合体中标的，其履约保证金由牵头人递交。招标人要求中标人提供履约担保的，招标人也应当同时向中标人提供工程款支付担保。</w:t>
      </w:r>
    </w:p>
    <w:p w14:paraId="778EF21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 中标人不能按本章第7.3.1要求递交履约保证金的，视为放弃中标，其投标保证金不予退还，给招标人造成的损失超过投标保证金数额的，中标人还应当对超过部分予以赔偿。</w:t>
      </w:r>
    </w:p>
    <w:p w14:paraId="425D846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7.4签订合同</w:t>
      </w:r>
      <w:bookmarkEnd w:id="310"/>
      <w:bookmarkEnd w:id="311"/>
      <w:bookmarkEnd w:id="312"/>
      <w:bookmarkEnd w:id="313"/>
      <w:bookmarkEnd w:id="314"/>
      <w:bookmarkEnd w:id="315"/>
    </w:p>
    <w:p w14:paraId="12BC760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7.4.1 招标人和中标人应当自中标通知书发出之日起30日内，根据招标文件和中标人的投标文件订立合同。中标人无正当理由拒签合同的或在签订合同时向招标人提出附加条件的，招标人取消其中标资格，其投标保证金不予退还；给招标人造成的损失超过投标保证金数额的，中标人还应当对超过部分予以赔偿。</w:t>
      </w:r>
    </w:p>
    <w:p w14:paraId="64EFA52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7.4.2 发出中标通知书后，招标人无正当理由拒签合同的，招标人向中标人退还投标保证金及银行同期存款利息；给中标人造成损失的，还应当赔偿损失。</w:t>
      </w:r>
    </w:p>
    <w:p w14:paraId="1637A38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316" w:name="_Toc30429"/>
      <w:bookmarkStart w:id="317" w:name="_Toc38896020"/>
      <w:bookmarkStart w:id="318" w:name="_Toc26438"/>
      <w:bookmarkStart w:id="319" w:name="_Toc6066"/>
      <w:bookmarkStart w:id="320" w:name="_Toc18425060"/>
      <w:bookmarkStart w:id="321" w:name="_Toc17037"/>
      <w:r>
        <w:rPr>
          <w:rFonts w:hint="eastAsia" w:ascii="宋体" w:hAnsi="宋体" w:eastAsia="宋体" w:cs="宋体"/>
          <w:b/>
          <w:color w:val="auto"/>
          <w:szCs w:val="21"/>
          <w:highlight w:val="none"/>
        </w:rPr>
        <w:t>8. 重新招标和不再招标</w:t>
      </w:r>
      <w:bookmarkEnd w:id="316"/>
      <w:bookmarkEnd w:id="317"/>
      <w:bookmarkEnd w:id="318"/>
      <w:bookmarkEnd w:id="319"/>
      <w:bookmarkEnd w:id="320"/>
      <w:bookmarkEnd w:id="321"/>
    </w:p>
    <w:p w14:paraId="66B2ACB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22" w:name="_Toc152042348"/>
      <w:bookmarkStart w:id="323" w:name="_Toc179632590"/>
      <w:bookmarkStart w:id="324" w:name="_Toc152045572"/>
      <w:bookmarkStart w:id="325" w:name="_Toc144974540"/>
      <w:bookmarkStart w:id="326" w:name="_Toc18425061"/>
      <w:r>
        <w:rPr>
          <w:rFonts w:hint="eastAsia" w:ascii="宋体" w:hAnsi="宋体" w:eastAsia="宋体" w:cs="宋体"/>
          <w:b/>
          <w:color w:val="auto"/>
          <w:szCs w:val="21"/>
          <w:highlight w:val="none"/>
        </w:rPr>
        <w:t>8.1 重新招标</w:t>
      </w:r>
      <w:bookmarkEnd w:id="322"/>
      <w:bookmarkEnd w:id="323"/>
      <w:bookmarkEnd w:id="324"/>
      <w:bookmarkEnd w:id="325"/>
      <w:bookmarkEnd w:id="326"/>
    </w:p>
    <w:p w14:paraId="0E228B9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bookmarkStart w:id="327" w:name="_Toc179632591"/>
      <w:bookmarkStart w:id="328" w:name="_Toc144974541"/>
      <w:bookmarkStart w:id="329" w:name="_Toc152045573"/>
      <w:bookmarkStart w:id="330" w:name="_Toc152042349"/>
      <w:r>
        <w:rPr>
          <w:rFonts w:hint="eastAsia" w:ascii="宋体" w:hAnsi="宋体" w:eastAsia="宋体" w:cs="宋体"/>
          <w:color w:val="auto"/>
          <w:szCs w:val="21"/>
          <w:highlight w:val="none"/>
        </w:rPr>
        <w:t>有下列情形之一的，招标人将重新招标：</w:t>
      </w:r>
    </w:p>
    <w:p w14:paraId="08A7576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（1）投标截止时间止，投标人少于3个的；</w:t>
      </w:r>
    </w:p>
    <w:p w14:paraId="03067F5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（2）经评标委员会评审后否决所有投标的；</w:t>
      </w:r>
    </w:p>
    <w:p w14:paraId="67D2E4D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（3）其他情形：详见投标人须知前附表。</w:t>
      </w:r>
    </w:p>
    <w:p w14:paraId="36A3546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31" w:name="_Toc18425062"/>
      <w:r>
        <w:rPr>
          <w:rFonts w:hint="eastAsia" w:ascii="宋体" w:hAnsi="宋体" w:eastAsia="宋体" w:cs="宋体"/>
          <w:b/>
          <w:color w:val="auto"/>
          <w:szCs w:val="21"/>
          <w:highlight w:val="none"/>
        </w:rPr>
        <w:t>8.2 不再招标</w:t>
      </w:r>
      <w:bookmarkEnd w:id="327"/>
      <w:bookmarkEnd w:id="328"/>
      <w:bookmarkEnd w:id="329"/>
      <w:bookmarkEnd w:id="330"/>
      <w:bookmarkEnd w:id="331"/>
    </w:p>
    <w:p w14:paraId="21D9F1E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重新招标后投标人仍少于3个或者所有投标被否决的，属于必须审批或核准的工程建设项目，经原审批或核准部门批准后不再进行招标。</w:t>
      </w:r>
    </w:p>
    <w:p w14:paraId="22BBFB1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332" w:name="_Toc247527596"/>
      <w:bookmarkStart w:id="333" w:name="_Toc152042347"/>
      <w:bookmarkStart w:id="334" w:name="_Toc144974539"/>
      <w:bookmarkStart w:id="335" w:name="_Toc152045571"/>
      <w:bookmarkStart w:id="336" w:name="_Toc247513995"/>
      <w:bookmarkStart w:id="337" w:name="_Toc9668"/>
      <w:bookmarkStart w:id="338" w:name="_Toc26381"/>
      <w:bookmarkStart w:id="339" w:name="_Toc38896021"/>
      <w:bookmarkStart w:id="340" w:name="_Toc8019"/>
      <w:bookmarkStart w:id="341" w:name="_Toc26096"/>
      <w:bookmarkStart w:id="342" w:name="_Toc300834994"/>
      <w:r>
        <w:rPr>
          <w:rFonts w:hint="eastAsia" w:ascii="宋体" w:hAnsi="宋体" w:eastAsia="宋体" w:cs="宋体"/>
          <w:b/>
          <w:color w:val="auto"/>
          <w:szCs w:val="21"/>
          <w:highlight w:val="none"/>
        </w:rPr>
        <w:t>9.</w:t>
      </w:r>
      <w:bookmarkEnd w:id="332"/>
      <w:bookmarkEnd w:id="333"/>
      <w:bookmarkEnd w:id="334"/>
      <w:bookmarkEnd w:id="335"/>
      <w:bookmarkEnd w:id="336"/>
      <w:bookmarkStart w:id="343" w:name="_Toc247513998"/>
      <w:bookmarkStart w:id="344" w:name="_Toc152042350"/>
      <w:bookmarkStart w:id="345" w:name="_Toc247527599"/>
      <w:bookmarkStart w:id="346" w:name="_Toc152045574"/>
      <w:bookmarkStart w:id="347" w:name="_Toc144974542"/>
      <w:r>
        <w:rPr>
          <w:rFonts w:hint="eastAsia" w:ascii="宋体" w:hAnsi="宋体" w:eastAsia="宋体" w:cs="宋体"/>
          <w:b/>
          <w:color w:val="auto"/>
          <w:szCs w:val="21"/>
          <w:highlight w:val="none"/>
        </w:rPr>
        <w:t>纪律和监督</w:t>
      </w:r>
      <w:bookmarkEnd w:id="337"/>
      <w:bookmarkEnd w:id="338"/>
      <w:bookmarkEnd w:id="339"/>
      <w:bookmarkEnd w:id="340"/>
      <w:bookmarkEnd w:id="341"/>
      <w:bookmarkEnd w:id="342"/>
      <w:bookmarkEnd w:id="343"/>
      <w:bookmarkEnd w:id="344"/>
      <w:bookmarkEnd w:id="345"/>
      <w:bookmarkEnd w:id="346"/>
      <w:bookmarkEnd w:id="347"/>
    </w:p>
    <w:p w14:paraId="2921CF2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48" w:name="_Toc247527600"/>
      <w:bookmarkStart w:id="349" w:name="_Toc144974543"/>
      <w:bookmarkStart w:id="350" w:name="_Toc152042351"/>
      <w:bookmarkStart w:id="351" w:name="_Toc300834995"/>
      <w:bookmarkStart w:id="352" w:name="_Toc152045575"/>
      <w:bookmarkStart w:id="353" w:name="_Toc247513999"/>
      <w:r>
        <w:rPr>
          <w:rFonts w:hint="eastAsia" w:ascii="宋体" w:hAnsi="宋体" w:eastAsia="宋体" w:cs="宋体"/>
          <w:b/>
          <w:color w:val="auto"/>
          <w:szCs w:val="21"/>
          <w:highlight w:val="none"/>
        </w:rPr>
        <w:t>9.1对招标人的纪律要求</w:t>
      </w:r>
      <w:bookmarkEnd w:id="348"/>
      <w:bookmarkEnd w:id="349"/>
      <w:bookmarkEnd w:id="350"/>
      <w:bookmarkEnd w:id="351"/>
      <w:bookmarkEnd w:id="352"/>
      <w:bookmarkEnd w:id="353"/>
    </w:p>
    <w:p w14:paraId="3251D6A0">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招标人不得泄漏招标投标活动中应当保密的情况和资料，不得与投标人串通损害国家利益、社会公共利益或者他人合法权益。</w:t>
      </w:r>
    </w:p>
    <w:p w14:paraId="0BA2C44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54" w:name="_Toc152045576"/>
      <w:bookmarkStart w:id="355" w:name="_Toc152042352"/>
      <w:bookmarkStart w:id="356" w:name="_Toc144974544"/>
      <w:bookmarkStart w:id="357" w:name="_Toc247514000"/>
      <w:bookmarkStart w:id="358" w:name="_Toc300834996"/>
      <w:bookmarkStart w:id="359" w:name="_Toc247527601"/>
      <w:r>
        <w:rPr>
          <w:rFonts w:hint="eastAsia" w:ascii="宋体" w:hAnsi="宋体" w:eastAsia="宋体" w:cs="宋体"/>
          <w:b/>
          <w:color w:val="auto"/>
          <w:szCs w:val="21"/>
          <w:highlight w:val="none"/>
        </w:rPr>
        <w:t>9.2对投标人的纪律要求</w:t>
      </w:r>
      <w:bookmarkEnd w:id="354"/>
      <w:bookmarkEnd w:id="355"/>
      <w:bookmarkEnd w:id="356"/>
      <w:bookmarkEnd w:id="357"/>
      <w:bookmarkEnd w:id="358"/>
      <w:bookmarkEnd w:id="359"/>
    </w:p>
    <w:p w14:paraId="18DE7183">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7F11E3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60" w:name="_Toc247514001"/>
      <w:bookmarkStart w:id="361" w:name="_Toc152045577"/>
      <w:bookmarkStart w:id="362" w:name="_Toc152042353"/>
      <w:bookmarkStart w:id="363" w:name="_Toc144974545"/>
      <w:bookmarkStart w:id="364" w:name="_Toc247527602"/>
      <w:bookmarkStart w:id="365" w:name="_Toc300834997"/>
      <w:r>
        <w:rPr>
          <w:rFonts w:hint="eastAsia" w:ascii="宋体" w:hAnsi="宋体" w:eastAsia="宋体" w:cs="宋体"/>
          <w:b/>
          <w:color w:val="auto"/>
          <w:szCs w:val="21"/>
          <w:highlight w:val="none"/>
        </w:rPr>
        <w:t>9.3对评标委员会成员的纪律要求</w:t>
      </w:r>
      <w:bookmarkEnd w:id="360"/>
      <w:bookmarkEnd w:id="361"/>
      <w:bookmarkEnd w:id="362"/>
      <w:bookmarkEnd w:id="363"/>
      <w:bookmarkEnd w:id="364"/>
      <w:bookmarkEnd w:id="365"/>
    </w:p>
    <w:p w14:paraId="23A0FA2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09852B4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103" w:firstLineChars="49"/>
        <w:textAlignment w:val="auto"/>
        <w:outlineLvl w:val="2"/>
        <w:rPr>
          <w:rFonts w:hint="eastAsia" w:ascii="宋体" w:hAnsi="宋体" w:eastAsia="宋体" w:cs="宋体"/>
          <w:b/>
          <w:color w:val="auto"/>
          <w:szCs w:val="21"/>
          <w:highlight w:val="none"/>
        </w:rPr>
      </w:pPr>
      <w:bookmarkStart w:id="366" w:name="_Toc247527603"/>
      <w:bookmarkStart w:id="367" w:name="_Toc152042354"/>
      <w:bookmarkStart w:id="368" w:name="_Toc247514002"/>
      <w:bookmarkStart w:id="369" w:name="_Toc300834998"/>
      <w:bookmarkStart w:id="370" w:name="_Toc152045578"/>
      <w:bookmarkStart w:id="371" w:name="_Toc144974546"/>
      <w:r>
        <w:rPr>
          <w:rFonts w:hint="eastAsia" w:ascii="宋体" w:hAnsi="宋体" w:eastAsia="宋体" w:cs="宋体"/>
          <w:b/>
          <w:color w:val="auto"/>
          <w:szCs w:val="21"/>
          <w:highlight w:val="none"/>
        </w:rPr>
        <w:t>9.4对与评标活动有关的工作人员的纪律要求</w:t>
      </w:r>
      <w:bookmarkEnd w:id="366"/>
      <w:bookmarkEnd w:id="367"/>
      <w:bookmarkEnd w:id="368"/>
      <w:bookmarkEnd w:id="369"/>
      <w:bookmarkEnd w:id="370"/>
    </w:p>
    <w:p w14:paraId="15D3FD1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bookmarkStart w:id="372" w:name="_Toc152042355"/>
      <w:r>
        <w:rPr>
          <w:rFonts w:hint="eastAsia" w:ascii="宋体" w:hAnsi="宋体" w:eastAsia="宋体" w:cs="宋体"/>
          <w:color w:val="auto"/>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2"/>
    </w:p>
    <w:bookmarkEnd w:id="371"/>
    <w:p w14:paraId="3C7278A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textAlignment w:val="auto"/>
        <w:outlineLvl w:val="1"/>
        <w:rPr>
          <w:rFonts w:hint="eastAsia" w:ascii="宋体" w:hAnsi="宋体" w:eastAsia="宋体" w:cs="宋体"/>
          <w:b/>
          <w:color w:val="auto"/>
          <w:szCs w:val="21"/>
          <w:highlight w:val="none"/>
        </w:rPr>
      </w:pPr>
      <w:bookmarkStart w:id="373" w:name="_Toc38896022"/>
      <w:bookmarkStart w:id="374" w:name="_Toc300835000"/>
      <w:bookmarkStart w:id="375" w:name="_Toc18916"/>
      <w:bookmarkStart w:id="376" w:name="_Toc28942"/>
      <w:bookmarkStart w:id="377" w:name="_Toc152045580"/>
      <w:bookmarkStart w:id="378" w:name="_Toc144974547"/>
      <w:bookmarkStart w:id="379" w:name="_Toc152042357"/>
      <w:bookmarkStart w:id="380" w:name="_Toc22195"/>
      <w:bookmarkStart w:id="381" w:name="_Toc247514004"/>
      <w:bookmarkStart w:id="382" w:name="_Toc15463"/>
      <w:bookmarkStart w:id="383" w:name="_Toc247527605"/>
      <w:r>
        <w:rPr>
          <w:rFonts w:hint="eastAsia" w:ascii="宋体" w:hAnsi="宋体" w:eastAsia="宋体" w:cs="宋体"/>
          <w:b/>
          <w:color w:val="auto"/>
          <w:szCs w:val="21"/>
          <w:highlight w:val="none"/>
        </w:rPr>
        <w:t>10. 需要补充的其他内容</w:t>
      </w:r>
      <w:bookmarkEnd w:id="373"/>
      <w:bookmarkEnd w:id="374"/>
      <w:bookmarkEnd w:id="375"/>
      <w:bookmarkEnd w:id="376"/>
      <w:bookmarkEnd w:id="377"/>
      <w:bookmarkEnd w:id="378"/>
      <w:bookmarkEnd w:id="379"/>
      <w:bookmarkEnd w:id="380"/>
      <w:bookmarkEnd w:id="381"/>
      <w:bookmarkEnd w:id="382"/>
      <w:bookmarkEnd w:id="383"/>
    </w:p>
    <w:p w14:paraId="33CB84D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否决投标的情形：见投标人须知前附表。</w:t>
      </w:r>
    </w:p>
    <w:p w14:paraId="25B5337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  异议和投诉：见投标人须知前附表。</w:t>
      </w:r>
    </w:p>
    <w:p w14:paraId="19D9E1E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定标：见投标人须知前附表。</w:t>
      </w:r>
    </w:p>
    <w:p w14:paraId="2F547502">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在建合同工程的认定及变更证明：见投标人须知前附表。</w:t>
      </w:r>
    </w:p>
    <w:p w14:paraId="7FC7014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  投标文件的澄清、说明、补正</w:t>
      </w:r>
    </w:p>
    <w:p w14:paraId="24F63159">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10.6  陈述和答辩</w:t>
      </w:r>
    </w:p>
    <w:p w14:paraId="6507013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  特殊说明</w:t>
      </w:r>
    </w:p>
    <w:p w14:paraId="1F64BC9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其他</w:t>
      </w:r>
    </w:p>
    <w:p w14:paraId="6ED64A5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10.9  特别提醒</w:t>
      </w:r>
    </w:p>
    <w:p w14:paraId="59813998">
      <w:pPr>
        <w:shd w:val="clear" w:color="auto" w:fill="auto"/>
        <w:wordWrap w:val="0"/>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10.10不见面开标特别说明</w:t>
      </w:r>
    </w:p>
    <w:p w14:paraId="0ECD3D9B">
      <w:pPr>
        <w:shd w:val="clear" w:color="auto" w:fill="auto"/>
        <w:spacing w:before="50" w:line="219" w:lineRule="auto"/>
        <w:outlineLvl w:val="0"/>
        <w:rPr>
          <w:rFonts w:ascii="宋体" w:hAnsi="宋体" w:cs="宋体"/>
          <w:color w:val="auto"/>
          <w:spacing w:val="-3"/>
          <w:sz w:val="24"/>
          <w:highlight w:val="none"/>
        </w:rPr>
      </w:pPr>
      <w:bookmarkStart w:id="384" w:name="_Toc191"/>
      <w:bookmarkStart w:id="385" w:name="_Toc8545"/>
      <w:bookmarkStart w:id="386" w:name="_Toc30236"/>
    </w:p>
    <w:p w14:paraId="17A5DBE4">
      <w:pPr>
        <w:shd w:val="clear" w:color="auto" w:fill="auto"/>
        <w:spacing w:before="50" w:line="219" w:lineRule="auto"/>
        <w:outlineLvl w:val="0"/>
        <w:rPr>
          <w:rFonts w:ascii="宋体" w:hAnsi="宋体" w:cs="宋体"/>
          <w:color w:val="auto"/>
          <w:spacing w:val="-3"/>
          <w:sz w:val="24"/>
          <w:highlight w:val="none"/>
        </w:rPr>
      </w:pPr>
    </w:p>
    <w:p w14:paraId="672C4F16">
      <w:pPr>
        <w:shd w:val="clear" w:color="auto" w:fill="auto"/>
        <w:spacing w:before="50" w:line="219" w:lineRule="auto"/>
        <w:outlineLvl w:val="0"/>
        <w:rPr>
          <w:rFonts w:ascii="宋体" w:hAnsi="宋体" w:cs="宋体"/>
          <w:color w:val="auto"/>
          <w:spacing w:val="-3"/>
          <w:sz w:val="24"/>
          <w:highlight w:val="none"/>
        </w:rPr>
      </w:pPr>
    </w:p>
    <w:p w14:paraId="0D08241F">
      <w:pPr>
        <w:shd w:val="clear" w:color="auto" w:fill="auto"/>
        <w:spacing w:before="50" w:line="219" w:lineRule="auto"/>
        <w:outlineLvl w:val="0"/>
        <w:rPr>
          <w:rFonts w:ascii="宋体" w:hAnsi="宋体" w:cs="宋体"/>
          <w:color w:val="auto"/>
          <w:spacing w:val="-3"/>
          <w:sz w:val="24"/>
          <w:highlight w:val="none"/>
        </w:rPr>
      </w:pPr>
    </w:p>
    <w:p w14:paraId="2C500737">
      <w:pPr>
        <w:shd w:val="clear" w:color="auto" w:fill="auto"/>
        <w:spacing w:before="50" w:line="219" w:lineRule="auto"/>
        <w:outlineLvl w:val="0"/>
        <w:rPr>
          <w:rFonts w:ascii="宋体" w:hAnsi="宋体" w:cs="宋体"/>
          <w:color w:val="auto"/>
          <w:spacing w:val="-3"/>
          <w:sz w:val="24"/>
          <w:highlight w:val="none"/>
        </w:rPr>
      </w:pPr>
    </w:p>
    <w:p w14:paraId="1920A590">
      <w:pPr>
        <w:shd w:val="clear" w:color="auto" w:fill="auto"/>
        <w:spacing w:before="50" w:line="219" w:lineRule="auto"/>
        <w:outlineLvl w:val="0"/>
        <w:rPr>
          <w:rFonts w:ascii="宋体" w:hAnsi="宋体" w:cs="宋体"/>
          <w:color w:val="auto"/>
          <w:spacing w:val="-3"/>
          <w:sz w:val="24"/>
          <w:highlight w:val="none"/>
        </w:rPr>
      </w:pPr>
    </w:p>
    <w:p w14:paraId="01BAD2EE">
      <w:pPr>
        <w:shd w:val="clear" w:color="auto" w:fill="auto"/>
        <w:spacing w:before="50" w:line="219" w:lineRule="auto"/>
        <w:outlineLvl w:val="0"/>
        <w:rPr>
          <w:rFonts w:ascii="宋体" w:hAnsi="宋体" w:cs="宋体"/>
          <w:color w:val="auto"/>
          <w:spacing w:val="-3"/>
          <w:sz w:val="24"/>
          <w:highlight w:val="none"/>
        </w:rPr>
      </w:pPr>
    </w:p>
    <w:p w14:paraId="1B7EC3CB">
      <w:pPr>
        <w:shd w:val="clear" w:color="auto" w:fill="auto"/>
        <w:spacing w:before="50" w:line="219" w:lineRule="auto"/>
        <w:outlineLvl w:val="0"/>
        <w:rPr>
          <w:rFonts w:ascii="宋体" w:hAnsi="宋体" w:cs="宋体"/>
          <w:color w:val="auto"/>
          <w:spacing w:val="-3"/>
          <w:sz w:val="24"/>
          <w:highlight w:val="none"/>
        </w:rPr>
      </w:pPr>
    </w:p>
    <w:p w14:paraId="1C29821A">
      <w:pPr>
        <w:pStyle w:val="10"/>
        <w:rPr>
          <w:rFonts w:ascii="宋体" w:hAnsi="宋体" w:cs="宋体"/>
          <w:color w:val="auto"/>
          <w:spacing w:val="-3"/>
          <w:sz w:val="24"/>
          <w:highlight w:val="none"/>
        </w:rPr>
      </w:pPr>
    </w:p>
    <w:p w14:paraId="2F4FF578">
      <w:pPr>
        <w:rPr>
          <w:rFonts w:ascii="宋体" w:hAnsi="宋体" w:cs="宋体"/>
          <w:color w:val="auto"/>
          <w:spacing w:val="-3"/>
          <w:sz w:val="24"/>
          <w:highlight w:val="none"/>
        </w:rPr>
      </w:pPr>
    </w:p>
    <w:p w14:paraId="3EC87E58">
      <w:pPr>
        <w:pStyle w:val="10"/>
        <w:rPr>
          <w:rFonts w:ascii="宋体" w:hAnsi="宋体" w:cs="宋体"/>
          <w:color w:val="auto"/>
          <w:spacing w:val="-3"/>
          <w:sz w:val="24"/>
          <w:highlight w:val="none"/>
        </w:rPr>
      </w:pPr>
    </w:p>
    <w:p w14:paraId="52629EA2">
      <w:pPr>
        <w:rPr>
          <w:rFonts w:ascii="宋体" w:hAnsi="宋体" w:cs="宋体"/>
          <w:color w:val="auto"/>
          <w:spacing w:val="-3"/>
          <w:sz w:val="24"/>
          <w:highlight w:val="none"/>
        </w:rPr>
      </w:pPr>
    </w:p>
    <w:p w14:paraId="54AAF847">
      <w:pPr>
        <w:rPr>
          <w:rFonts w:ascii="宋体" w:hAnsi="宋体" w:cs="宋体"/>
          <w:color w:val="auto"/>
          <w:spacing w:val="-3"/>
          <w:sz w:val="24"/>
          <w:highlight w:val="none"/>
        </w:rPr>
      </w:pPr>
    </w:p>
    <w:p w14:paraId="6B541A32">
      <w:pPr>
        <w:rPr>
          <w:rFonts w:ascii="宋体" w:hAnsi="宋体" w:cs="宋体"/>
          <w:color w:val="auto"/>
          <w:spacing w:val="-3"/>
          <w:sz w:val="24"/>
          <w:highlight w:val="none"/>
        </w:rPr>
      </w:pPr>
    </w:p>
    <w:p w14:paraId="431C22DE">
      <w:pPr>
        <w:rPr>
          <w:rFonts w:ascii="宋体" w:hAnsi="宋体" w:cs="宋体"/>
          <w:color w:val="auto"/>
          <w:spacing w:val="-3"/>
          <w:sz w:val="24"/>
          <w:highlight w:val="none"/>
        </w:rPr>
      </w:pPr>
    </w:p>
    <w:p w14:paraId="342ACAFA">
      <w:pPr>
        <w:rPr>
          <w:rFonts w:ascii="宋体" w:hAnsi="宋体" w:cs="宋体"/>
          <w:color w:val="auto"/>
          <w:spacing w:val="-3"/>
          <w:sz w:val="24"/>
          <w:highlight w:val="none"/>
        </w:rPr>
      </w:pPr>
    </w:p>
    <w:p w14:paraId="4703660E">
      <w:pPr>
        <w:rPr>
          <w:rFonts w:ascii="宋体" w:hAnsi="宋体" w:cs="宋体"/>
          <w:color w:val="auto"/>
          <w:spacing w:val="-3"/>
          <w:sz w:val="24"/>
          <w:highlight w:val="none"/>
        </w:rPr>
      </w:pPr>
    </w:p>
    <w:p w14:paraId="43FB6954">
      <w:pPr>
        <w:rPr>
          <w:color w:val="auto"/>
          <w:highlight w:val="none"/>
        </w:rPr>
      </w:pPr>
    </w:p>
    <w:p w14:paraId="49E85479">
      <w:pPr>
        <w:shd w:val="clear" w:color="auto" w:fill="auto"/>
        <w:spacing w:before="50" w:line="219" w:lineRule="auto"/>
        <w:outlineLvl w:val="0"/>
        <w:rPr>
          <w:rFonts w:ascii="宋体" w:hAnsi="宋体" w:cs="宋体"/>
          <w:color w:val="auto"/>
          <w:sz w:val="24"/>
          <w:highlight w:val="none"/>
        </w:rPr>
      </w:pPr>
      <w:r>
        <w:rPr>
          <w:rFonts w:ascii="宋体" w:hAnsi="宋体" w:cs="宋体"/>
          <w:color w:val="auto"/>
          <w:spacing w:val="-3"/>
          <w:sz w:val="24"/>
          <w:highlight w:val="none"/>
        </w:rPr>
        <w:t>附件一：开标记录表</w:t>
      </w:r>
      <w:bookmarkEnd w:id="384"/>
      <w:bookmarkEnd w:id="385"/>
      <w:bookmarkEnd w:id="386"/>
    </w:p>
    <w:p w14:paraId="3BECCD03">
      <w:pPr>
        <w:shd w:val="clear" w:color="auto" w:fill="auto"/>
        <w:tabs>
          <w:tab w:val="left" w:pos="1423"/>
        </w:tabs>
        <w:spacing w:before="320" w:line="215" w:lineRule="auto"/>
        <w:ind w:left="1235"/>
        <w:outlineLvl w:val="2"/>
        <w:rPr>
          <w:rFonts w:ascii="宋体" w:hAnsi="宋体" w:cs="宋体"/>
          <w:color w:val="auto"/>
          <w:sz w:val="35"/>
          <w:szCs w:val="35"/>
          <w:highlight w:val="none"/>
        </w:rPr>
      </w:pPr>
      <w:bookmarkStart w:id="387" w:name="bookmark3"/>
      <w:bookmarkEnd w:id="387"/>
      <w:r>
        <w:rPr>
          <w:rFonts w:ascii="宋体" w:hAnsi="宋体" w:cs="宋体"/>
          <w:color w:val="auto"/>
          <w:sz w:val="37"/>
          <w:szCs w:val="37"/>
          <w:highlight w:val="none"/>
          <w:u w:val="single"/>
        </w:rPr>
        <w:tab/>
      </w:r>
      <w:r>
        <w:rPr>
          <w:rFonts w:ascii="宋体" w:hAnsi="宋体" w:cs="宋体"/>
          <w:i/>
          <w:iCs/>
          <w:color w:val="auto"/>
          <w:spacing w:val="-6"/>
          <w:sz w:val="37"/>
          <w:szCs w:val="37"/>
          <w:highlight w:val="none"/>
          <w:u w:val="single" w:color="000000"/>
        </w:rPr>
        <w:t>（项目名称）</w:t>
      </w:r>
      <w:r>
        <w:rPr>
          <w:rFonts w:ascii="宋体" w:hAnsi="宋体" w:cs="宋体"/>
          <w:color w:val="auto"/>
          <w:spacing w:val="-6"/>
          <w:sz w:val="35"/>
          <w:szCs w:val="35"/>
          <w:highlight w:val="none"/>
        </w:rPr>
        <w:t>工程总承包招标开标记录表</w:t>
      </w:r>
    </w:p>
    <w:p w14:paraId="406C060E">
      <w:pPr>
        <w:pStyle w:val="5"/>
        <w:shd w:val="clear" w:color="auto" w:fill="auto"/>
        <w:spacing w:line="310" w:lineRule="auto"/>
        <w:rPr>
          <w:color w:val="auto"/>
          <w:highlight w:val="none"/>
        </w:rPr>
      </w:pPr>
    </w:p>
    <w:p w14:paraId="7597B79A">
      <w:pPr>
        <w:shd w:val="clear" w:color="auto" w:fill="auto"/>
        <w:spacing w:before="78" w:line="219" w:lineRule="auto"/>
        <w:jc w:val="right"/>
        <w:rPr>
          <w:rFonts w:ascii="宋体" w:hAnsi="宋体" w:cs="宋体"/>
          <w:color w:val="auto"/>
          <w:sz w:val="24"/>
          <w:highlight w:val="none"/>
        </w:rPr>
      </w:pPr>
      <w:r>
        <w:rPr>
          <w:rFonts w:ascii="宋体" w:hAnsi="宋体" w:cs="宋体"/>
          <w:color w:val="auto"/>
          <w:spacing w:val="-10"/>
          <w:sz w:val="24"/>
          <w:highlight w:val="none"/>
        </w:rPr>
        <w:t>开标时间：</w:t>
      </w:r>
      <w:r>
        <w:rPr>
          <w:rFonts w:ascii="宋体" w:hAnsi="宋体" w:cs="宋体"/>
          <w:color w:val="auto"/>
          <w:spacing w:val="1"/>
          <w:sz w:val="24"/>
          <w:highlight w:val="none"/>
          <w:u w:val="single"/>
        </w:rPr>
        <w:t xml:space="preserve">      </w:t>
      </w:r>
      <w:r>
        <w:rPr>
          <w:rFonts w:ascii="宋体" w:hAnsi="宋体" w:cs="宋体"/>
          <w:color w:val="auto"/>
          <w:spacing w:val="-107"/>
          <w:sz w:val="24"/>
          <w:highlight w:val="none"/>
        </w:rPr>
        <w:t xml:space="preserve"> </w:t>
      </w:r>
      <w:r>
        <w:rPr>
          <w:rFonts w:ascii="宋体" w:hAnsi="宋体" w:cs="宋体"/>
          <w:color w:val="auto"/>
          <w:spacing w:val="-10"/>
          <w:sz w:val="24"/>
          <w:highlight w:val="none"/>
        </w:rPr>
        <w:t>年</w:t>
      </w:r>
      <w:r>
        <w:rPr>
          <w:rFonts w:ascii="宋体" w:hAnsi="宋体" w:cs="宋体"/>
          <w:color w:val="auto"/>
          <w:spacing w:val="-10"/>
          <w:sz w:val="24"/>
          <w:highlight w:val="none"/>
          <w:u w:val="single"/>
        </w:rPr>
        <w:t xml:space="preserve">   </w:t>
      </w:r>
      <w:r>
        <w:rPr>
          <w:rFonts w:ascii="宋体" w:hAnsi="宋体" w:cs="宋体"/>
          <w:color w:val="auto"/>
          <w:spacing w:val="-104"/>
          <w:sz w:val="24"/>
          <w:highlight w:val="none"/>
        </w:rPr>
        <w:t xml:space="preserve"> </w:t>
      </w:r>
      <w:r>
        <w:rPr>
          <w:rFonts w:ascii="宋体" w:hAnsi="宋体" w:cs="宋体"/>
          <w:color w:val="auto"/>
          <w:spacing w:val="-10"/>
          <w:sz w:val="24"/>
          <w:highlight w:val="none"/>
        </w:rPr>
        <w:t>月</w:t>
      </w:r>
      <w:r>
        <w:rPr>
          <w:rFonts w:ascii="宋体" w:hAnsi="宋体" w:cs="宋体"/>
          <w:color w:val="auto"/>
          <w:spacing w:val="59"/>
          <w:sz w:val="24"/>
          <w:highlight w:val="none"/>
          <w:u w:val="single"/>
        </w:rPr>
        <w:t xml:space="preserve">  </w:t>
      </w:r>
      <w:r>
        <w:rPr>
          <w:rFonts w:ascii="宋体" w:hAnsi="宋体" w:cs="宋体"/>
          <w:color w:val="auto"/>
          <w:spacing w:val="-68"/>
          <w:sz w:val="24"/>
          <w:highlight w:val="none"/>
        </w:rPr>
        <w:t xml:space="preserve"> </w:t>
      </w:r>
      <w:r>
        <w:rPr>
          <w:rFonts w:ascii="宋体" w:hAnsi="宋体" w:cs="宋体"/>
          <w:color w:val="auto"/>
          <w:spacing w:val="-10"/>
          <w:sz w:val="24"/>
          <w:highlight w:val="none"/>
        </w:rPr>
        <w:t>日</w:t>
      </w:r>
      <w:r>
        <w:rPr>
          <w:rFonts w:ascii="宋体" w:hAnsi="宋体" w:cs="宋体"/>
          <w:color w:val="auto"/>
          <w:spacing w:val="60"/>
          <w:sz w:val="24"/>
          <w:highlight w:val="none"/>
          <w:u w:val="single"/>
        </w:rPr>
        <w:t xml:space="preserve">  </w:t>
      </w:r>
      <w:r>
        <w:rPr>
          <w:rFonts w:ascii="宋体" w:hAnsi="宋体" w:cs="宋体"/>
          <w:color w:val="auto"/>
          <w:spacing w:val="-99"/>
          <w:sz w:val="24"/>
          <w:highlight w:val="none"/>
        </w:rPr>
        <w:t xml:space="preserve"> </w:t>
      </w:r>
      <w:r>
        <w:rPr>
          <w:rFonts w:ascii="宋体" w:hAnsi="宋体" w:cs="宋体"/>
          <w:color w:val="auto"/>
          <w:spacing w:val="-10"/>
          <w:sz w:val="24"/>
          <w:highlight w:val="none"/>
        </w:rPr>
        <w:t>时</w:t>
      </w:r>
      <w:r>
        <w:rPr>
          <w:rFonts w:ascii="宋体" w:hAnsi="宋体" w:cs="宋体"/>
          <w:color w:val="auto"/>
          <w:spacing w:val="60"/>
          <w:sz w:val="24"/>
          <w:highlight w:val="none"/>
          <w:u w:val="single"/>
        </w:rPr>
        <w:t xml:space="preserve">  </w:t>
      </w:r>
      <w:r>
        <w:rPr>
          <w:rFonts w:ascii="宋体" w:hAnsi="宋体" w:cs="宋体"/>
          <w:color w:val="auto"/>
          <w:spacing w:val="-108"/>
          <w:sz w:val="24"/>
          <w:highlight w:val="none"/>
        </w:rPr>
        <w:t xml:space="preserve"> </w:t>
      </w:r>
      <w:r>
        <w:rPr>
          <w:rFonts w:ascii="宋体" w:hAnsi="宋体" w:cs="宋体"/>
          <w:color w:val="auto"/>
          <w:spacing w:val="-10"/>
          <w:sz w:val="24"/>
          <w:highlight w:val="none"/>
        </w:rPr>
        <w:t>分</w:t>
      </w:r>
    </w:p>
    <w:p w14:paraId="65408117">
      <w:pPr>
        <w:shd w:val="clear" w:color="auto" w:fill="auto"/>
        <w:spacing w:line="34" w:lineRule="exact"/>
        <w:rPr>
          <w:color w:val="auto"/>
          <w:highlight w:val="none"/>
        </w:rPr>
      </w:pPr>
    </w:p>
    <w:tbl>
      <w:tblPr>
        <w:tblStyle w:val="22"/>
        <w:tblW w:w="0" w:type="auto"/>
        <w:tblInd w:w="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1"/>
        <w:gridCol w:w="615"/>
        <w:gridCol w:w="615"/>
        <w:gridCol w:w="854"/>
        <w:gridCol w:w="625"/>
        <w:gridCol w:w="790"/>
        <w:gridCol w:w="672"/>
        <w:gridCol w:w="819"/>
        <w:gridCol w:w="939"/>
        <w:gridCol w:w="879"/>
        <w:gridCol w:w="714"/>
        <w:gridCol w:w="810"/>
      </w:tblGrid>
      <w:tr w14:paraId="4A4CF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501" w:type="dxa"/>
            <w:vMerge w:val="restart"/>
            <w:tcBorders>
              <w:bottom w:val="nil"/>
            </w:tcBorders>
            <w:noWrap w:val="0"/>
            <w:vAlign w:val="top"/>
          </w:tcPr>
          <w:p w14:paraId="3969B88E">
            <w:pPr>
              <w:shd w:val="clear" w:color="auto" w:fill="auto"/>
              <w:rPr>
                <w:rFonts w:ascii="Arial"/>
                <w:color w:val="auto"/>
                <w:highlight w:val="none"/>
              </w:rPr>
            </w:pPr>
          </w:p>
          <w:p w14:paraId="440312E2">
            <w:pPr>
              <w:shd w:val="clear" w:color="auto" w:fill="auto"/>
              <w:rPr>
                <w:rFonts w:ascii="Arial"/>
                <w:color w:val="auto"/>
                <w:highlight w:val="none"/>
              </w:rPr>
            </w:pPr>
          </w:p>
          <w:p w14:paraId="73203944">
            <w:pPr>
              <w:shd w:val="clear" w:color="auto" w:fill="auto"/>
              <w:rPr>
                <w:rFonts w:ascii="Arial"/>
                <w:color w:val="auto"/>
                <w:highlight w:val="none"/>
              </w:rPr>
            </w:pPr>
          </w:p>
          <w:p w14:paraId="7521D299">
            <w:pPr>
              <w:shd w:val="clear" w:color="auto" w:fill="auto"/>
              <w:rPr>
                <w:rFonts w:ascii="Arial"/>
                <w:color w:val="auto"/>
                <w:highlight w:val="none"/>
              </w:rPr>
            </w:pPr>
          </w:p>
          <w:p w14:paraId="6B2EF3C6">
            <w:pPr>
              <w:shd w:val="clear" w:color="auto" w:fill="auto"/>
              <w:rPr>
                <w:rFonts w:ascii="Arial"/>
                <w:color w:val="auto"/>
                <w:highlight w:val="none"/>
              </w:rPr>
            </w:pPr>
          </w:p>
          <w:p w14:paraId="014E9CFB">
            <w:pPr>
              <w:shd w:val="clear" w:color="auto" w:fill="auto"/>
              <w:spacing w:line="241" w:lineRule="auto"/>
              <w:rPr>
                <w:rFonts w:ascii="Arial"/>
                <w:color w:val="auto"/>
                <w:highlight w:val="none"/>
              </w:rPr>
            </w:pPr>
          </w:p>
          <w:p w14:paraId="41C2FAF1">
            <w:pPr>
              <w:shd w:val="clear" w:color="auto" w:fill="auto"/>
              <w:spacing w:line="241" w:lineRule="auto"/>
              <w:rPr>
                <w:rFonts w:ascii="Arial"/>
                <w:color w:val="auto"/>
                <w:highlight w:val="none"/>
              </w:rPr>
            </w:pPr>
          </w:p>
          <w:p w14:paraId="379FAC3A">
            <w:pPr>
              <w:pStyle w:val="16"/>
              <w:shd w:val="clear" w:color="auto" w:fill="auto"/>
              <w:spacing w:before="78" w:line="221" w:lineRule="auto"/>
              <w:ind w:left="12"/>
              <w:rPr>
                <w:color w:val="auto"/>
                <w:sz w:val="24"/>
                <w:szCs w:val="24"/>
                <w:highlight w:val="none"/>
              </w:rPr>
            </w:pPr>
            <w:r>
              <w:rPr>
                <w:color w:val="auto"/>
                <w:spacing w:val="-5"/>
                <w:sz w:val="24"/>
                <w:szCs w:val="24"/>
                <w:highlight w:val="none"/>
              </w:rPr>
              <w:t>序号</w:t>
            </w:r>
          </w:p>
        </w:tc>
        <w:tc>
          <w:tcPr>
            <w:tcW w:w="1230" w:type="dxa"/>
            <w:gridSpan w:val="2"/>
            <w:noWrap w:val="0"/>
            <w:vAlign w:val="top"/>
          </w:tcPr>
          <w:p w14:paraId="7A4F64B8">
            <w:pPr>
              <w:pStyle w:val="16"/>
              <w:shd w:val="clear" w:color="auto" w:fill="auto"/>
              <w:spacing w:before="304" w:line="220" w:lineRule="auto"/>
              <w:ind w:left="334"/>
              <w:rPr>
                <w:color w:val="auto"/>
                <w:sz w:val="24"/>
                <w:szCs w:val="24"/>
                <w:highlight w:val="none"/>
              </w:rPr>
            </w:pPr>
            <w:r>
              <w:rPr>
                <w:color w:val="auto"/>
                <w:spacing w:val="-5"/>
                <w:sz w:val="24"/>
                <w:szCs w:val="24"/>
                <w:highlight w:val="none"/>
              </w:rPr>
              <w:t>投标人</w:t>
            </w:r>
          </w:p>
        </w:tc>
        <w:tc>
          <w:tcPr>
            <w:tcW w:w="854" w:type="dxa"/>
            <w:vMerge w:val="restart"/>
            <w:tcBorders>
              <w:bottom w:val="nil"/>
            </w:tcBorders>
            <w:noWrap w:val="0"/>
            <w:vAlign w:val="top"/>
          </w:tcPr>
          <w:p w14:paraId="4883CD63">
            <w:pPr>
              <w:shd w:val="clear" w:color="auto" w:fill="auto"/>
              <w:spacing w:line="255" w:lineRule="auto"/>
              <w:rPr>
                <w:rFonts w:ascii="Arial"/>
                <w:color w:val="auto"/>
                <w:highlight w:val="none"/>
              </w:rPr>
            </w:pPr>
          </w:p>
          <w:p w14:paraId="49F33CFC">
            <w:pPr>
              <w:shd w:val="clear" w:color="auto" w:fill="auto"/>
              <w:spacing w:line="256" w:lineRule="auto"/>
              <w:rPr>
                <w:rFonts w:ascii="Arial"/>
                <w:color w:val="auto"/>
                <w:highlight w:val="none"/>
              </w:rPr>
            </w:pPr>
          </w:p>
          <w:p w14:paraId="70382D69">
            <w:pPr>
              <w:shd w:val="clear" w:color="auto" w:fill="auto"/>
              <w:spacing w:line="256" w:lineRule="auto"/>
              <w:rPr>
                <w:rFonts w:ascii="Arial"/>
                <w:color w:val="auto"/>
                <w:highlight w:val="none"/>
              </w:rPr>
            </w:pPr>
          </w:p>
          <w:p w14:paraId="6F841103">
            <w:pPr>
              <w:shd w:val="clear" w:color="auto" w:fill="auto"/>
              <w:spacing w:line="256" w:lineRule="auto"/>
              <w:rPr>
                <w:rFonts w:ascii="Arial"/>
                <w:color w:val="auto"/>
                <w:highlight w:val="none"/>
              </w:rPr>
            </w:pPr>
          </w:p>
          <w:p w14:paraId="427C32DC">
            <w:pPr>
              <w:shd w:val="clear" w:color="auto" w:fill="auto"/>
              <w:spacing w:line="256" w:lineRule="auto"/>
              <w:rPr>
                <w:rFonts w:ascii="Arial"/>
                <w:color w:val="auto"/>
                <w:highlight w:val="none"/>
              </w:rPr>
            </w:pPr>
          </w:p>
          <w:p w14:paraId="26F524DC">
            <w:pPr>
              <w:pStyle w:val="16"/>
              <w:shd w:val="clear" w:color="auto" w:fill="auto"/>
              <w:spacing w:before="78" w:line="312" w:lineRule="auto"/>
              <w:ind w:left="89" w:right="48" w:firstLine="2"/>
              <w:rPr>
                <w:color w:val="auto"/>
                <w:sz w:val="24"/>
                <w:szCs w:val="24"/>
                <w:highlight w:val="none"/>
              </w:rPr>
            </w:pPr>
            <w:r>
              <w:rPr>
                <w:color w:val="auto"/>
                <w:spacing w:val="-5"/>
                <w:sz w:val="24"/>
                <w:szCs w:val="24"/>
                <w:highlight w:val="none"/>
              </w:rPr>
              <w:t>投标保</w:t>
            </w:r>
            <w:r>
              <w:rPr>
                <w:color w:val="auto"/>
                <w:spacing w:val="1"/>
                <w:sz w:val="24"/>
                <w:szCs w:val="24"/>
                <w:highlight w:val="none"/>
              </w:rPr>
              <w:t xml:space="preserve"> </w:t>
            </w:r>
            <w:r>
              <w:rPr>
                <w:color w:val="auto"/>
                <w:spacing w:val="-4"/>
                <w:sz w:val="24"/>
                <w:szCs w:val="24"/>
                <w:highlight w:val="none"/>
              </w:rPr>
              <w:t>证金缴</w:t>
            </w:r>
          </w:p>
          <w:p w14:paraId="58657599">
            <w:pPr>
              <w:pStyle w:val="16"/>
              <w:shd w:val="clear" w:color="auto" w:fill="auto"/>
              <w:spacing w:line="220" w:lineRule="auto"/>
              <w:ind w:left="91"/>
              <w:rPr>
                <w:color w:val="auto"/>
                <w:sz w:val="24"/>
                <w:szCs w:val="24"/>
                <w:highlight w:val="none"/>
              </w:rPr>
            </w:pPr>
            <w:r>
              <w:rPr>
                <w:color w:val="auto"/>
                <w:spacing w:val="-4"/>
                <w:sz w:val="24"/>
                <w:szCs w:val="24"/>
                <w:highlight w:val="none"/>
              </w:rPr>
              <w:t>纳情况</w:t>
            </w:r>
          </w:p>
        </w:tc>
        <w:tc>
          <w:tcPr>
            <w:tcW w:w="625" w:type="dxa"/>
            <w:vMerge w:val="restart"/>
            <w:tcBorders>
              <w:bottom w:val="nil"/>
            </w:tcBorders>
            <w:noWrap w:val="0"/>
            <w:vAlign w:val="top"/>
          </w:tcPr>
          <w:p w14:paraId="354F5EEC">
            <w:pPr>
              <w:shd w:val="clear" w:color="auto" w:fill="auto"/>
              <w:spacing w:line="269" w:lineRule="auto"/>
              <w:rPr>
                <w:rFonts w:ascii="Arial"/>
                <w:color w:val="auto"/>
                <w:highlight w:val="none"/>
              </w:rPr>
            </w:pPr>
          </w:p>
          <w:p w14:paraId="05B2E965">
            <w:pPr>
              <w:shd w:val="clear" w:color="auto" w:fill="auto"/>
              <w:spacing w:line="269" w:lineRule="auto"/>
              <w:rPr>
                <w:rFonts w:ascii="Arial"/>
                <w:color w:val="auto"/>
                <w:highlight w:val="none"/>
              </w:rPr>
            </w:pPr>
          </w:p>
          <w:p w14:paraId="0785CE87">
            <w:pPr>
              <w:shd w:val="clear" w:color="auto" w:fill="auto"/>
              <w:spacing w:line="269" w:lineRule="auto"/>
              <w:rPr>
                <w:rFonts w:ascii="Arial"/>
                <w:color w:val="auto"/>
                <w:highlight w:val="none"/>
              </w:rPr>
            </w:pPr>
          </w:p>
          <w:p w14:paraId="7DFF3D6E">
            <w:pPr>
              <w:shd w:val="clear" w:color="auto" w:fill="auto"/>
              <w:spacing w:line="269" w:lineRule="auto"/>
              <w:rPr>
                <w:rFonts w:ascii="Arial"/>
                <w:color w:val="auto"/>
                <w:highlight w:val="none"/>
              </w:rPr>
            </w:pPr>
          </w:p>
          <w:p w14:paraId="34322F8C">
            <w:pPr>
              <w:pStyle w:val="16"/>
              <w:shd w:val="clear" w:color="auto" w:fill="auto"/>
              <w:spacing w:before="78" w:line="312" w:lineRule="auto"/>
              <w:ind w:left="28" w:right="119" w:firstLine="4"/>
              <w:rPr>
                <w:color w:val="auto"/>
                <w:sz w:val="24"/>
                <w:szCs w:val="24"/>
                <w:highlight w:val="none"/>
              </w:rPr>
            </w:pPr>
            <w:r>
              <w:rPr>
                <w:color w:val="auto"/>
                <w:spacing w:val="-16"/>
                <w:sz w:val="24"/>
                <w:szCs w:val="24"/>
                <w:highlight w:val="none"/>
              </w:rPr>
              <w:t>投标</w:t>
            </w:r>
            <w:r>
              <w:rPr>
                <w:color w:val="auto"/>
                <w:sz w:val="24"/>
                <w:szCs w:val="24"/>
                <w:highlight w:val="none"/>
              </w:rPr>
              <w:t xml:space="preserve"> </w:t>
            </w:r>
            <w:r>
              <w:rPr>
                <w:color w:val="auto"/>
                <w:spacing w:val="-14"/>
                <w:sz w:val="24"/>
                <w:szCs w:val="24"/>
                <w:highlight w:val="none"/>
              </w:rPr>
              <w:t>报价</w:t>
            </w:r>
            <w:r>
              <w:rPr>
                <w:color w:val="auto"/>
                <w:sz w:val="24"/>
                <w:szCs w:val="24"/>
                <w:highlight w:val="none"/>
              </w:rPr>
              <w:t xml:space="preserve"> </w:t>
            </w:r>
            <w:r>
              <w:rPr>
                <w:color w:val="auto"/>
                <w:spacing w:val="-4"/>
                <w:sz w:val="24"/>
                <w:szCs w:val="24"/>
                <w:highlight w:val="none"/>
              </w:rPr>
              <w:t>（万</w:t>
            </w:r>
          </w:p>
          <w:p w14:paraId="2EA61A66">
            <w:pPr>
              <w:pStyle w:val="16"/>
              <w:shd w:val="clear" w:color="auto" w:fill="auto"/>
              <w:spacing w:line="220" w:lineRule="auto"/>
              <w:ind w:left="32"/>
              <w:rPr>
                <w:color w:val="auto"/>
                <w:sz w:val="24"/>
                <w:szCs w:val="24"/>
                <w:highlight w:val="none"/>
              </w:rPr>
            </w:pPr>
            <w:r>
              <w:rPr>
                <w:color w:val="auto"/>
                <w:spacing w:val="-6"/>
                <w:sz w:val="24"/>
                <w:szCs w:val="24"/>
                <w:highlight w:val="none"/>
              </w:rPr>
              <w:t>元）</w:t>
            </w:r>
          </w:p>
        </w:tc>
        <w:tc>
          <w:tcPr>
            <w:tcW w:w="790" w:type="dxa"/>
            <w:vMerge w:val="restart"/>
            <w:tcBorders>
              <w:bottom w:val="nil"/>
            </w:tcBorders>
            <w:noWrap w:val="0"/>
            <w:vAlign w:val="top"/>
          </w:tcPr>
          <w:p w14:paraId="1623EBC3">
            <w:pPr>
              <w:shd w:val="clear" w:color="auto" w:fill="auto"/>
              <w:spacing w:line="262" w:lineRule="auto"/>
              <w:rPr>
                <w:rFonts w:ascii="Arial"/>
                <w:color w:val="auto"/>
                <w:highlight w:val="none"/>
              </w:rPr>
            </w:pPr>
          </w:p>
          <w:p w14:paraId="3DF4B7BF">
            <w:pPr>
              <w:shd w:val="clear" w:color="auto" w:fill="auto"/>
              <w:spacing w:line="262" w:lineRule="auto"/>
              <w:rPr>
                <w:rFonts w:ascii="Arial"/>
                <w:color w:val="auto"/>
                <w:highlight w:val="none"/>
              </w:rPr>
            </w:pPr>
          </w:p>
          <w:p w14:paraId="6B6A0722">
            <w:pPr>
              <w:shd w:val="clear" w:color="auto" w:fill="auto"/>
              <w:spacing w:line="262" w:lineRule="auto"/>
              <w:rPr>
                <w:rFonts w:ascii="Arial"/>
                <w:color w:val="auto"/>
                <w:highlight w:val="none"/>
              </w:rPr>
            </w:pPr>
          </w:p>
          <w:p w14:paraId="5409486E">
            <w:pPr>
              <w:shd w:val="clear" w:color="auto" w:fill="auto"/>
              <w:spacing w:line="262" w:lineRule="auto"/>
              <w:rPr>
                <w:rFonts w:ascii="Arial"/>
                <w:color w:val="auto"/>
                <w:highlight w:val="none"/>
              </w:rPr>
            </w:pPr>
          </w:p>
          <w:p w14:paraId="0EE70CDD">
            <w:pPr>
              <w:shd w:val="clear" w:color="auto" w:fill="auto"/>
              <w:spacing w:line="262" w:lineRule="auto"/>
              <w:rPr>
                <w:rFonts w:ascii="Arial"/>
                <w:color w:val="auto"/>
                <w:highlight w:val="none"/>
              </w:rPr>
            </w:pPr>
          </w:p>
          <w:p w14:paraId="5B1700C3">
            <w:pPr>
              <w:shd w:val="clear" w:color="auto" w:fill="auto"/>
              <w:spacing w:line="262" w:lineRule="auto"/>
              <w:rPr>
                <w:rFonts w:ascii="Arial"/>
                <w:color w:val="auto"/>
                <w:highlight w:val="none"/>
              </w:rPr>
            </w:pPr>
          </w:p>
          <w:p w14:paraId="611F53EB">
            <w:pPr>
              <w:pStyle w:val="16"/>
              <w:shd w:val="clear" w:color="auto" w:fill="auto"/>
              <w:spacing w:before="78" w:line="404" w:lineRule="exact"/>
              <w:ind w:left="167"/>
              <w:rPr>
                <w:color w:val="auto"/>
                <w:sz w:val="24"/>
                <w:szCs w:val="24"/>
                <w:highlight w:val="none"/>
              </w:rPr>
            </w:pPr>
            <w:r>
              <w:rPr>
                <w:color w:val="auto"/>
                <w:spacing w:val="-6"/>
                <w:position w:val="12"/>
                <w:sz w:val="24"/>
                <w:szCs w:val="24"/>
                <w:highlight w:val="none"/>
              </w:rPr>
              <w:t>质量</w:t>
            </w:r>
          </w:p>
          <w:p w14:paraId="6EBEF174">
            <w:pPr>
              <w:pStyle w:val="16"/>
              <w:shd w:val="clear" w:color="auto" w:fill="auto"/>
              <w:spacing w:line="220" w:lineRule="auto"/>
              <w:ind w:left="167"/>
              <w:rPr>
                <w:color w:val="auto"/>
                <w:sz w:val="24"/>
                <w:szCs w:val="24"/>
                <w:highlight w:val="none"/>
              </w:rPr>
            </w:pPr>
            <w:r>
              <w:rPr>
                <w:color w:val="auto"/>
                <w:spacing w:val="-6"/>
                <w:sz w:val="24"/>
                <w:szCs w:val="24"/>
                <w:highlight w:val="none"/>
              </w:rPr>
              <w:t>标准</w:t>
            </w:r>
          </w:p>
        </w:tc>
        <w:tc>
          <w:tcPr>
            <w:tcW w:w="672" w:type="dxa"/>
            <w:vMerge w:val="restart"/>
            <w:tcBorders>
              <w:bottom w:val="nil"/>
            </w:tcBorders>
            <w:noWrap w:val="0"/>
            <w:vAlign w:val="top"/>
          </w:tcPr>
          <w:p w14:paraId="5E6283CE">
            <w:pPr>
              <w:shd w:val="clear" w:color="auto" w:fill="auto"/>
              <w:rPr>
                <w:rFonts w:ascii="Arial"/>
                <w:color w:val="auto"/>
                <w:highlight w:val="none"/>
              </w:rPr>
            </w:pPr>
          </w:p>
          <w:p w14:paraId="48E11F70">
            <w:pPr>
              <w:shd w:val="clear" w:color="auto" w:fill="auto"/>
              <w:rPr>
                <w:rFonts w:ascii="Arial"/>
                <w:color w:val="auto"/>
                <w:highlight w:val="none"/>
              </w:rPr>
            </w:pPr>
          </w:p>
          <w:p w14:paraId="1FB5A6C1">
            <w:pPr>
              <w:shd w:val="clear" w:color="auto" w:fill="auto"/>
              <w:rPr>
                <w:rFonts w:ascii="Arial"/>
                <w:color w:val="auto"/>
                <w:highlight w:val="none"/>
              </w:rPr>
            </w:pPr>
          </w:p>
          <w:p w14:paraId="416061FC">
            <w:pPr>
              <w:shd w:val="clear" w:color="auto" w:fill="auto"/>
              <w:rPr>
                <w:rFonts w:ascii="Arial"/>
                <w:color w:val="auto"/>
                <w:highlight w:val="none"/>
              </w:rPr>
            </w:pPr>
          </w:p>
          <w:p w14:paraId="2733395D">
            <w:pPr>
              <w:shd w:val="clear" w:color="auto" w:fill="auto"/>
              <w:rPr>
                <w:rFonts w:ascii="Arial"/>
                <w:color w:val="auto"/>
                <w:highlight w:val="none"/>
              </w:rPr>
            </w:pPr>
          </w:p>
          <w:p w14:paraId="627A8908">
            <w:pPr>
              <w:shd w:val="clear" w:color="auto" w:fill="auto"/>
              <w:spacing w:line="241" w:lineRule="auto"/>
              <w:rPr>
                <w:rFonts w:ascii="Arial"/>
                <w:color w:val="auto"/>
                <w:highlight w:val="none"/>
              </w:rPr>
            </w:pPr>
          </w:p>
          <w:p w14:paraId="3BC62E08">
            <w:pPr>
              <w:shd w:val="clear" w:color="auto" w:fill="auto"/>
              <w:spacing w:line="241" w:lineRule="auto"/>
              <w:rPr>
                <w:rFonts w:ascii="Arial"/>
                <w:color w:val="auto"/>
                <w:highlight w:val="none"/>
              </w:rPr>
            </w:pPr>
          </w:p>
          <w:p w14:paraId="245AFDD9">
            <w:pPr>
              <w:pStyle w:val="16"/>
              <w:shd w:val="clear" w:color="auto" w:fill="auto"/>
              <w:spacing w:before="78" w:line="220" w:lineRule="auto"/>
              <w:ind w:right="18"/>
              <w:jc w:val="right"/>
              <w:rPr>
                <w:color w:val="auto"/>
                <w:sz w:val="24"/>
                <w:szCs w:val="24"/>
                <w:highlight w:val="none"/>
              </w:rPr>
            </w:pPr>
            <w:r>
              <w:rPr>
                <w:color w:val="auto"/>
                <w:spacing w:val="-7"/>
                <w:sz w:val="24"/>
                <w:szCs w:val="24"/>
                <w:highlight w:val="none"/>
              </w:rPr>
              <w:t>工期</w:t>
            </w:r>
          </w:p>
        </w:tc>
        <w:tc>
          <w:tcPr>
            <w:tcW w:w="819" w:type="dxa"/>
            <w:vMerge w:val="restart"/>
            <w:tcBorders>
              <w:bottom w:val="nil"/>
            </w:tcBorders>
            <w:noWrap w:val="0"/>
            <w:vAlign w:val="top"/>
          </w:tcPr>
          <w:p w14:paraId="56298272">
            <w:pPr>
              <w:shd w:val="clear" w:color="auto" w:fill="auto"/>
              <w:spacing w:line="274" w:lineRule="auto"/>
              <w:rPr>
                <w:rFonts w:ascii="Arial"/>
                <w:color w:val="auto"/>
                <w:highlight w:val="none"/>
              </w:rPr>
            </w:pPr>
          </w:p>
          <w:p w14:paraId="62F9F917">
            <w:pPr>
              <w:shd w:val="clear" w:color="auto" w:fill="auto"/>
              <w:spacing w:line="274" w:lineRule="auto"/>
              <w:rPr>
                <w:rFonts w:ascii="Arial"/>
                <w:color w:val="auto"/>
                <w:highlight w:val="none"/>
              </w:rPr>
            </w:pPr>
          </w:p>
          <w:p w14:paraId="6BEE5DD6">
            <w:pPr>
              <w:shd w:val="clear" w:color="auto" w:fill="auto"/>
              <w:spacing w:line="274" w:lineRule="auto"/>
              <w:rPr>
                <w:rFonts w:ascii="Arial"/>
                <w:color w:val="auto"/>
                <w:highlight w:val="none"/>
              </w:rPr>
            </w:pPr>
          </w:p>
          <w:p w14:paraId="7341A287">
            <w:pPr>
              <w:shd w:val="clear" w:color="auto" w:fill="auto"/>
              <w:spacing w:line="274" w:lineRule="auto"/>
              <w:rPr>
                <w:rFonts w:ascii="Arial"/>
                <w:color w:val="auto"/>
                <w:highlight w:val="none"/>
              </w:rPr>
            </w:pPr>
          </w:p>
          <w:p w14:paraId="3CA5FE4C">
            <w:pPr>
              <w:shd w:val="clear" w:color="auto" w:fill="auto"/>
              <w:spacing w:line="274" w:lineRule="auto"/>
              <w:rPr>
                <w:rFonts w:ascii="Arial"/>
                <w:color w:val="auto"/>
                <w:highlight w:val="none"/>
              </w:rPr>
            </w:pPr>
          </w:p>
          <w:p w14:paraId="67FC30EC">
            <w:pPr>
              <w:pStyle w:val="16"/>
              <w:shd w:val="clear" w:color="auto" w:fill="auto"/>
              <w:spacing w:before="78" w:line="405" w:lineRule="exact"/>
              <w:ind w:left="184"/>
              <w:rPr>
                <w:color w:val="auto"/>
                <w:sz w:val="24"/>
                <w:szCs w:val="24"/>
                <w:highlight w:val="none"/>
              </w:rPr>
            </w:pPr>
            <w:r>
              <w:rPr>
                <w:color w:val="auto"/>
                <w:spacing w:val="-7"/>
                <w:position w:val="12"/>
                <w:sz w:val="24"/>
                <w:szCs w:val="24"/>
                <w:highlight w:val="none"/>
              </w:rPr>
              <w:t>项目</w:t>
            </w:r>
          </w:p>
          <w:p w14:paraId="0F536363">
            <w:pPr>
              <w:pStyle w:val="16"/>
              <w:shd w:val="clear" w:color="auto" w:fill="auto"/>
              <w:spacing w:line="219" w:lineRule="auto"/>
              <w:ind w:left="189"/>
              <w:rPr>
                <w:color w:val="auto"/>
                <w:sz w:val="24"/>
                <w:szCs w:val="24"/>
                <w:highlight w:val="none"/>
              </w:rPr>
            </w:pPr>
            <w:r>
              <w:rPr>
                <w:color w:val="auto"/>
                <w:spacing w:val="-10"/>
                <w:sz w:val="24"/>
                <w:szCs w:val="24"/>
                <w:highlight w:val="none"/>
              </w:rPr>
              <w:t>负责</w:t>
            </w:r>
          </w:p>
          <w:p w14:paraId="2EB26981">
            <w:pPr>
              <w:pStyle w:val="16"/>
              <w:shd w:val="clear" w:color="auto" w:fill="auto"/>
              <w:spacing w:before="120" w:line="222" w:lineRule="auto"/>
              <w:ind w:left="302"/>
              <w:rPr>
                <w:color w:val="auto"/>
                <w:sz w:val="24"/>
                <w:szCs w:val="24"/>
                <w:highlight w:val="none"/>
              </w:rPr>
            </w:pPr>
            <w:r>
              <w:rPr>
                <w:color w:val="auto"/>
                <w:sz w:val="24"/>
                <w:szCs w:val="24"/>
                <w:highlight w:val="none"/>
              </w:rPr>
              <w:t>人</w:t>
            </w:r>
          </w:p>
        </w:tc>
        <w:tc>
          <w:tcPr>
            <w:tcW w:w="939" w:type="dxa"/>
            <w:vMerge w:val="restart"/>
            <w:tcBorders>
              <w:bottom w:val="nil"/>
            </w:tcBorders>
            <w:noWrap w:val="0"/>
            <w:vAlign w:val="top"/>
          </w:tcPr>
          <w:p w14:paraId="5A21B3CB">
            <w:pPr>
              <w:shd w:val="clear" w:color="auto" w:fill="auto"/>
              <w:spacing w:line="274" w:lineRule="auto"/>
              <w:rPr>
                <w:rFonts w:ascii="Arial"/>
                <w:color w:val="auto"/>
                <w:highlight w:val="none"/>
              </w:rPr>
            </w:pPr>
          </w:p>
          <w:p w14:paraId="60C76054">
            <w:pPr>
              <w:shd w:val="clear" w:color="auto" w:fill="auto"/>
              <w:spacing w:line="274" w:lineRule="auto"/>
              <w:rPr>
                <w:rFonts w:ascii="Arial"/>
                <w:color w:val="auto"/>
                <w:highlight w:val="none"/>
              </w:rPr>
            </w:pPr>
          </w:p>
          <w:p w14:paraId="27E18A17">
            <w:pPr>
              <w:shd w:val="clear" w:color="auto" w:fill="auto"/>
              <w:spacing w:line="274" w:lineRule="auto"/>
              <w:rPr>
                <w:rFonts w:ascii="Arial"/>
                <w:color w:val="auto"/>
                <w:highlight w:val="none"/>
              </w:rPr>
            </w:pPr>
          </w:p>
          <w:p w14:paraId="07FBDFAD">
            <w:pPr>
              <w:shd w:val="clear" w:color="auto" w:fill="auto"/>
              <w:spacing w:line="274" w:lineRule="auto"/>
              <w:rPr>
                <w:rFonts w:ascii="Arial"/>
                <w:color w:val="auto"/>
                <w:highlight w:val="none"/>
              </w:rPr>
            </w:pPr>
          </w:p>
          <w:p w14:paraId="30D7819C">
            <w:pPr>
              <w:shd w:val="clear" w:color="auto" w:fill="auto"/>
              <w:spacing w:line="274" w:lineRule="auto"/>
              <w:rPr>
                <w:rFonts w:ascii="Arial"/>
                <w:color w:val="auto"/>
                <w:highlight w:val="none"/>
              </w:rPr>
            </w:pPr>
          </w:p>
          <w:p w14:paraId="359C598B">
            <w:pPr>
              <w:pStyle w:val="16"/>
              <w:shd w:val="clear" w:color="auto" w:fill="auto"/>
              <w:spacing w:before="78" w:line="222" w:lineRule="auto"/>
              <w:ind w:left="241"/>
              <w:rPr>
                <w:color w:val="auto"/>
                <w:sz w:val="24"/>
                <w:szCs w:val="24"/>
                <w:highlight w:val="none"/>
              </w:rPr>
            </w:pPr>
            <w:r>
              <w:rPr>
                <w:color w:val="auto"/>
                <w:spacing w:val="-5"/>
                <w:sz w:val="24"/>
                <w:szCs w:val="24"/>
                <w:highlight w:val="none"/>
              </w:rPr>
              <w:t>施工</w:t>
            </w:r>
          </w:p>
          <w:p w14:paraId="3E7ED958">
            <w:pPr>
              <w:pStyle w:val="16"/>
              <w:shd w:val="clear" w:color="auto" w:fill="auto"/>
              <w:spacing w:before="117" w:line="219" w:lineRule="auto"/>
              <w:ind w:left="251"/>
              <w:rPr>
                <w:color w:val="auto"/>
                <w:sz w:val="24"/>
                <w:szCs w:val="24"/>
                <w:highlight w:val="none"/>
              </w:rPr>
            </w:pPr>
            <w:r>
              <w:rPr>
                <w:color w:val="auto"/>
                <w:spacing w:val="-10"/>
                <w:sz w:val="24"/>
                <w:szCs w:val="24"/>
                <w:highlight w:val="none"/>
              </w:rPr>
              <w:t>负责</w:t>
            </w:r>
          </w:p>
          <w:p w14:paraId="796DB90B">
            <w:pPr>
              <w:pStyle w:val="16"/>
              <w:shd w:val="clear" w:color="auto" w:fill="auto"/>
              <w:spacing w:before="120" w:line="222" w:lineRule="auto"/>
              <w:ind w:left="363"/>
              <w:rPr>
                <w:color w:val="auto"/>
                <w:sz w:val="24"/>
                <w:szCs w:val="24"/>
                <w:highlight w:val="none"/>
              </w:rPr>
            </w:pPr>
            <w:r>
              <w:rPr>
                <w:color w:val="auto"/>
                <w:sz w:val="24"/>
                <w:szCs w:val="24"/>
                <w:highlight w:val="none"/>
              </w:rPr>
              <w:t>人</w:t>
            </w:r>
          </w:p>
        </w:tc>
        <w:tc>
          <w:tcPr>
            <w:tcW w:w="879" w:type="dxa"/>
            <w:vMerge w:val="restart"/>
            <w:tcBorders>
              <w:bottom w:val="nil"/>
            </w:tcBorders>
            <w:noWrap w:val="0"/>
            <w:vAlign w:val="top"/>
          </w:tcPr>
          <w:p w14:paraId="2EDFD84F">
            <w:pPr>
              <w:shd w:val="clear" w:color="auto" w:fill="auto"/>
              <w:spacing w:line="274" w:lineRule="auto"/>
              <w:rPr>
                <w:rFonts w:ascii="Arial"/>
                <w:color w:val="auto"/>
                <w:highlight w:val="none"/>
              </w:rPr>
            </w:pPr>
          </w:p>
          <w:p w14:paraId="1B517BDF">
            <w:pPr>
              <w:shd w:val="clear" w:color="auto" w:fill="auto"/>
              <w:spacing w:line="274" w:lineRule="auto"/>
              <w:rPr>
                <w:rFonts w:ascii="Arial"/>
                <w:color w:val="auto"/>
                <w:highlight w:val="none"/>
              </w:rPr>
            </w:pPr>
          </w:p>
          <w:p w14:paraId="5E752B63">
            <w:pPr>
              <w:shd w:val="clear" w:color="auto" w:fill="auto"/>
              <w:spacing w:line="274" w:lineRule="auto"/>
              <w:rPr>
                <w:rFonts w:ascii="Arial"/>
                <w:color w:val="auto"/>
                <w:highlight w:val="none"/>
              </w:rPr>
            </w:pPr>
          </w:p>
          <w:p w14:paraId="6C6010C0">
            <w:pPr>
              <w:shd w:val="clear" w:color="auto" w:fill="auto"/>
              <w:spacing w:line="274" w:lineRule="auto"/>
              <w:rPr>
                <w:rFonts w:ascii="Arial"/>
                <w:color w:val="auto"/>
                <w:highlight w:val="none"/>
              </w:rPr>
            </w:pPr>
          </w:p>
          <w:p w14:paraId="6B6DEDA3">
            <w:pPr>
              <w:shd w:val="clear" w:color="auto" w:fill="auto"/>
              <w:spacing w:line="274" w:lineRule="auto"/>
              <w:rPr>
                <w:rFonts w:ascii="Arial"/>
                <w:color w:val="auto"/>
                <w:highlight w:val="none"/>
              </w:rPr>
            </w:pPr>
          </w:p>
          <w:p w14:paraId="388DCB34">
            <w:pPr>
              <w:pStyle w:val="16"/>
              <w:shd w:val="clear" w:color="auto" w:fill="auto"/>
              <w:spacing w:before="78" w:line="405" w:lineRule="exact"/>
              <w:ind w:left="218"/>
              <w:rPr>
                <w:color w:val="auto"/>
                <w:sz w:val="24"/>
                <w:szCs w:val="24"/>
                <w:highlight w:val="none"/>
              </w:rPr>
            </w:pPr>
            <w:r>
              <w:rPr>
                <w:color w:val="auto"/>
                <w:spacing w:val="-7"/>
                <w:position w:val="12"/>
                <w:sz w:val="24"/>
                <w:szCs w:val="24"/>
                <w:highlight w:val="none"/>
              </w:rPr>
              <w:t>设计</w:t>
            </w:r>
          </w:p>
          <w:p w14:paraId="16B28FF2">
            <w:pPr>
              <w:pStyle w:val="16"/>
              <w:shd w:val="clear" w:color="auto" w:fill="auto"/>
              <w:spacing w:line="219" w:lineRule="auto"/>
              <w:ind w:left="224"/>
              <w:rPr>
                <w:color w:val="auto"/>
                <w:sz w:val="24"/>
                <w:szCs w:val="24"/>
                <w:highlight w:val="none"/>
              </w:rPr>
            </w:pPr>
            <w:r>
              <w:rPr>
                <w:color w:val="auto"/>
                <w:spacing w:val="-10"/>
                <w:sz w:val="24"/>
                <w:szCs w:val="24"/>
                <w:highlight w:val="none"/>
              </w:rPr>
              <w:t>负责</w:t>
            </w:r>
          </w:p>
          <w:p w14:paraId="45D37D9D">
            <w:pPr>
              <w:pStyle w:val="16"/>
              <w:shd w:val="clear" w:color="auto" w:fill="auto"/>
              <w:spacing w:before="120" w:line="222" w:lineRule="auto"/>
              <w:ind w:left="336"/>
              <w:rPr>
                <w:color w:val="auto"/>
                <w:sz w:val="24"/>
                <w:szCs w:val="24"/>
                <w:highlight w:val="none"/>
              </w:rPr>
            </w:pPr>
            <w:r>
              <w:rPr>
                <w:color w:val="auto"/>
                <w:sz w:val="24"/>
                <w:szCs w:val="24"/>
                <w:highlight w:val="none"/>
              </w:rPr>
              <w:t>人</w:t>
            </w:r>
          </w:p>
        </w:tc>
        <w:tc>
          <w:tcPr>
            <w:tcW w:w="714" w:type="dxa"/>
            <w:vMerge w:val="restart"/>
            <w:tcBorders>
              <w:bottom w:val="nil"/>
            </w:tcBorders>
            <w:noWrap w:val="0"/>
            <w:vAlign w:val="top"/>
          </w:tcPr>
          <w:p w14:paraId="33F81244">
            <w:pPr>
              <w:shd w:val="clear" w:color="auto" w:fill="auto"/>
              <w:rPr>
                <w:rFonts w:ascii="Arial"/>
                <w:color w:val="auto"/>
                <w:highlight w:val="none"/>
              </w:rPr>
            </w:pPr>
          </w:p>
          <w:p w14:paraId="031FA79A">
            <w:pPr>
              <w:shd w:val="clear" w:color="auto" w:fill="auto"/>
              <w:rPr>
                <w:rFonts w:ascii="Arial"/>
                <w:color w:val="auto"/>
                <w:highlight w:val="none"/>
              </w:rPr>
            </w:pPr>
          </w:p>
          <w:p w14:paraId="6059E97A">
            <w:pPr>
              <w:shd w:val="clear" w:color="auto" w:fill="auto"/>
              <w:rPr>
                <w:rFonts w:ascii="Arial"/>
                <w:color w:val="auto"/>
                <w:highlight w:val="none"/>
              </w:rPr>
            </w:pPr>
          </w:p>
          <w:p w14:paraId="2609DCCB">
            <w:pPr>
              <w:shd w:val="clear" w:color="auto" w:fill="auto"/>
              <w:rPr>
                <w:rFonts w:ascii="Arial"/>
                <w:color w:val="auto"/>
                <w:highlight w:val="none"/>
              </w:rPr>
            </w:pPr>
          </w:p>
          <w:p w14:paraId="48AAD2D2">
            <w:pPr>
              <w:shd w:val="clear" w:color="auto" w:fill="auto"/>
              <w:rPr>
                <w:rFonts w:ascii="Arial"/>
                <w:color w:val="auto"/>
                <w:highlight w:val="none"/>
              </w:rPr>
            </w:pPr>
          </w:p>
          <w:p w14:paraId="49E646EF">
            <w:pPr>
              <w:shd w:val="clear" w:color="auto" w:fill="auto"/>
              <w:spacing w:line="241" w:lineRule="auto"/>
              <w:rPr>
                <w:rFonts w:ascii="Arial"/>
                <w:color w:val="auto"/>
                <w:highlight w:val="none"/>
              </w:rPr>
            </w:pPr>
          </w:p>
          <w:p w14:paraId="38E06065">
            <w:pPr>
              <w:shd w:val="clear" w:color="auto" w:fill="auto"/>
              <w:spacing w:line="241" w:lineRule="auto"/>
              <w:rPr>
                <w:rFonts w:ascii="Arial"/>
                <w:color w:val="auto"/>
                <w:highlight w:val="none"/>
              </w:rPr>
            </w:pPr>
          </w:p>
          <w:p w14:paraId="61B96591">
            <w:pPr>
              <w:pStyle w:val="16"/>
              <w:shd w:val="clear" w:color="auto" w:fill="auto"/>
              <w:spacing w:before="78" w:line="221" w:lineRule="auto"/>
              <w:ind w:left="18"/>
              <w:rPr>
                <w:color w:val="auto"/>
                <w:sz w:val="24"/>
                <w:szCs w:val="24"/>
                <w:highlight w:val="none"/>
              </w:rPr>
            </w:pPr>
            <w:r>
              <w:rPr>
                <w:color w:val="auto"/>
                <w:spacing w:val="-7"/>
                <w:sz w:val="24"/>
                <w:szCs w:val="24"/>
                <w:highlight w:val="none"/>
              </w:rPr>
              <w:t>备注</w:t>
            </w:r>
          </w:p>
        </w:tc>
        <w:tc>
          <w:tcPr>
            <w:tcW w:w="810" w:type="dxa"/>
            <w:vMerge w:val="restart"/>
            <w:tcBorders>
              <w:bottom w:val="nil"/>
            </w:tcBorders>
            <w:noWrap w:val="0"/>
            <w:vAlign w:val="top"/>
          </w:tcPr>
          <w:p w14:paraId="4046D462">
            <w:pPr>
              <w:shd w:val="clear" w:color="auto" w:fill="auto"/>
              <w:spacing w:line="255" w:lineRule="auto"/>
              <w:rPr>
                <w:rFonts w:ascii="Arial"/>
                <w:color w:val="auto"/>
                <w:highlight w:val="none"/>
              </w:rPr>
            </w:pPr>
          </w:p>
          <w:p w14:paraId="5E644D00">
            <w:pPr>
              <w:shd w:val="clear" w:color="auto" w:fill="auto"/>
              <w:spacing w:line="256" w:lineRule="auto"/>
              <w:rPr>
                <w:rFonts w:ascii="Arial"/>
                <w:color w:val="auto"/>
                <w:highlight w:val="none"/>
              </w:rPr>
            </w:pPr>
          </w:p>
          <w:p w14:paraId="422C2432">
            <w:pPr>
              <w:shd w:val="clear" w:color="auto" w:fill="auto"/>
              <w:spacing w:line="256" w:lineRule="auto"/>
              <w:rPr>
                <w:rFonts w:ascii="Arial"/>
                <w:color w:val="auto"/>
                <w:highlight w:val="none"/>
              </w:rPr>
            </w:pPr>
          </w:p>
          <w:p w14:paraId="136B189E">
            <w:pPr>
              <w:shd w:val="clear" w:color="auto" w:fill="auto"/>
              <w:spacing w:line="256" w:lineRule="auto"/>
              <w:rPr>
                <w:rFonts w:ascii="Arial"/>
                <w:color w:val="auto"/>
                <w:highlight w:val="none"/>
              </w:rPr>
            </w:pPr>
          </w:p>
          <w:p w14:paraId="0171BBA5">
            <w:pPr>
              <w:shd w:val="clear" w:color="auto" w:fill="auto"/>
              <w:spacing w:line="256" w:lineRule="auto"/>
              <w:rPr>
                <w:rFonts w:ascii="Arial"/>
                <w:color w:val="auto"/>
                <w:highlight w:val="none"/>
              </w:rPr>
            </w:pPr>
          </w:p>
          <w:p w14:paraId="70BCE508">
            <w:pPr>
              <w:pStyle w:val="16"/>
              <w:shd w:val="clear" w:color="auto" w:fill="auto"/>
              <w:spacing w:before="78" w:line="403" w:lineRule="exact"/>
              <w:ind w:left="69"/>
              <w:rPr>
                <w:color w:val="auto"/>
                <w:sz w:val="24"/>
                <w:szCs w:val="24"/>
                <w:highlight w:val="none"/>
              </w:rPr>
            </w:pPr>
            <w:r>
              <w:rPr>
                <w:color w:val="auto"/>
                <w:spacing w:val="-7"/>
                <w:position w:val="12"/>
                <w:sz w:val="24"/>
                <w:szCs w:val="24"/>
                <w:highlight w:val="none"/>
              </w:rPr>
              <w:t>投标</w:t>
            </w:r>
          </w:p>
          <w:p w14:paraId="3718A982">
            <w:pPr>
              <w:pStyle w:val="16"/>
              <w:shd w:val="clear" w:color="auto" w:fill="auto"/>
              <w:spacing w:line="220" w:lineRule="auto"/>
              <w:ind w:left="68"/>
              <w:rPr>
                <w:color w:val="auto"/>
                <w:sz w:val="24"/>
                <w:szCs w:val="24"/>
                <w:highlight w:val="none"/>
              </w:rPr>
            </w:pPr>
            <w:r>
              <w:rPr>
                <w:color w:val="auto"/>
                <w:spacing w:val="-6"/>
                <w:sz w:val="24"/>
                <w:szCs w:val="24"/>
                <w:highlight w:val="none"/>
              </w:rPr>
              <w:t>人确</w:t>
            </w:r>
          </w:p>
          <w:p w14:paraId="673EEB2D">
            <w:pPr>
              <w:pStyle w:val="16"/>
              <w:shd w:val="clear" w:color="auto" w:fill="auto"/>
              <w:spacing w:before="121" w:line="221" w:lineRule="auto"/>
              <w:ind w:left="186"/>
              <w:rPr>
                <w:color w:val="auto"/>
                <w:sz w:val="24"/>
                <w:szCs w:val="24"/>
                <w:highlight w:val="none"/>
              </w:rPr>
            </w:pPr>
            <w:r>
              <w:rPr>
                <w:color w:val="auto"/>
                <w:sz w:val="24"/>
                <w:szCs w:val="24"/>
                <w:highlight w:val="none"/>
              </w:rPr>
              <w:t>认</w:t>
            </w:r>
          </w:p>
        </w:tc>
      </w:tr>
      <w:tr w14:paraId="5C69E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3" w:hRule="atLeast"/>
        </w:trPr>
        <w:tc>
          <w:tcPr>
            <w:tcW w:w="501" w:type="dxa"/>
            <w:vMerge w:val="continue"/>
            <w:tcBorders>
              <w:top w:val="nil"/>
            </w:tcBorders>
            <w:noWrap w:val="0"/>
            <w:vAlign w:val="top"/>
          </w:tcPr>
          <w:p w14:paraId="76926467">
            <w:pPr>
              <w:shd w:val="clear" w:color="auto" w:fill="auto"/>
              <w:rPr>
                <w:rFonts w:ascii="Arial"/>
                <w:color w:val="auto"/>
                <w:highlight w:val="none"/>
              </w:rPr>
            </w:pPr>
          </w:p>
        </w:tc>
        <w:tc>
          <w:tcPr>
            <w:tcW w:w="615" w:type="dxa"/>
            <w:noWrap w:val="0"/>
            <w:vAlign w:val="top"/>
          </w:tcPr>
          <w:p w14:paraId="77240C8B">
            <w:pPr>
              <w:pStyle w:val="16"/>
              <w:shd w:val="clear" w:color="auto" w:fill="auto"/>
              <w:spacing w:before="161" w:line="300" w:lineRule="auto"/>
              <w:ind w:left="20" w:right="42"/>
              <w:rPr>
                <w:color w:val="auto"/>
                <w:sz w:val="25"/>
                <w:szCs w:val="25"/>
                <w:highlight w:val="none"/>
              </w:rPr>
            </w:pPr>
            <w:r>
              <w:rPr>
                <w:i/>
                <w:iCs/>
                <w:color w:val="auto"/>
                <w:spacing w:val="23"/>
                <w:sz w:val="25"/>
                <w:szCs w:val="25"/>
                <w:highlight w:val="none"/>
              </w:rPr>
              <w:t>联合</w:t>
            </w:r>
            <w:r>
              <w:rPr>
                <w:color w:val="auto"/>
                <w:sz w:val="25"/>
                <w:szCs w:val="25"/>
                <w:highlight w:val="none"/>
              </w:rPr>
              <w:t xml:space="preserve"> </w:t>
            </w:r>
            <w:r>
              <w:rPr>
                <w:i/>
                <w:iCs/>
                <w:color w:val="auto"/>
                <w:spacing w:val="23"/>
                <w:sz w:val="25"/>
                <w:szCs w:val="25"/>
                <w:highlight w:val="none"/>
              </w:rPr>
              <w:t>体牵</w:t>
            </w:r>
            <w:r>
              <w:rPr>
                <w:color w:val="auto"/>
                <w:sz w:val="25"/>
                <w:szCs w:val="25"/>
                <w:highlight w:val="none"/>
              </w:rPr>
              <w:t xml:space="preserve"> </w:t>
            </w:r>
            <w:r>
              <w:rPr>
                <w:i/>
                <w:iCs/>
                <w:color w:val="auto"/>
                <w:spacing w:val="23"/>
                <w:sz w:val="25"/>
                <w:szCs w:val="25"/>
                <w:highlight w:val="none"/>
              </w:rPr>
              <w:t>头人</w:t>
            </w:r>
            <w:r>
              <w:rPr>
                <w:color w:val="auto"/>
                <w:sz w:val="25"/>
                <w:szCs w:val="25"/>
                <w:highlight w:val="none"/>
              </w:rPr>
              <w:t xml:space="preserve"> </w:t>
            </w:r>
            <w:r>
              <w:rPr>
                <w:i/>
                <w:iCs/>
                <w:color w:val="auto"/>
                <w:spacing w:val="26"/>
                <w:w w:val="116"/>
                <w:sz w:val="25"/>
                <w:szCs w:val="25"/>
                <w:highlight w:val="none"/>
              </w:rPr>
              <w:t>(如</w:t>
            </w:r>
            <w:r>
              <w:rPr>
                <w:color w:val="auto"/>
                <w:sz w:val="25"/>
                <w:szCs w:val="25"/>
                <w:highlight w:val="none"/>
              </w:rPr>
              <w:t xml:space="preserve"> </w:t>
            </w:r>
            <w:r>
              <w:rPr>
                <w:i/>
                <w:iCs/>
                <w:color w:val="auto"/>
                <w:spacing w:val="23"/>
                <w:sz w:val="25"/>
                <w:szCs w:val="25"/>
                <w:highlight w:val="none"/>
              </w:rPr>
              <w:t>联合</w:t>
            </w:r>
            <w:r>
              <w:rPr>
                <w:color w:val="auto"/>
                <w:sz w:val="25"/>
                <w:szCs w:val="25"/>
                <w:highlight w:val="none"/>
              </w:rPr>
              <w:t xml:space="preserve"> </w:t>
            </w:r>
            <w:r>
              <w:rPr>
                <w:i/>
                <w:iCs/>
                <w:color w:val="auto"/>
                <w:spacing w:val="23"/>
                <w:sz w:val="25"/>
                <w:szCs w:val="25"/>
                <w:highlight w:val="none"/>
              </w:rPr>
              <w:t>体投</w:t>
            </w:r>
          </w:p>
          <w:p w14:paraId="2C1D6C6B">
            <w:pPr>
              <w:pStyle w:val="16"/>
              <w:shd w:val="clear" w:color="auto" w:fill="auto"/>
              <w:spacing w:line="212" w:lineRule="auto"/>
              <w:ind w:left="81"/>
              <w:rPr>
                <w:color w:val="auto"/>
                <w:sz w:val="25"/>
                <w:szCs w:val="25"/>
                <w:highlight w:val="none"/>
              </w:rPr>
            </w:pPr>
            <w:r>
              <w:rPr>
                <w:i/>
                <w:iCs/>
                <w:color w:val="auto"/>
                <w:spacing w:val="28"/>
                <w:sz w:val="25"/>
                <w:szCs w:val="25"/>
                <w:highlight w:val="none"/>
              </w:rPr>
              <w:t>标)</w:t>
            </w:r>
          </w:p>
        </w:tc>
        <w:tc>
          <w:tcPr>
            <w:tcW w:w="615" w:type="dxa"/>
            <w:noWrap w:val="0"/>
            <w:vAlign w:val="top"/>
          </w:tcPr>
          <w:p w14:paraId="103D687C">
            <w:pPr>
              <w:shd w:val="clear" w:color="auto" w:fill="auto"/>
              <w:rPr>
                <w:rFonts w:ascii="Arial"/>
                <w:color w:val="auto"/>
                <w:highlight w:val="none"/>
              </w:rPr>
            </w:pPr>
          </w:p>
          <w:p w14:paraId="095BA1F9">
            <w:pPr>
              <w:pStyle w:val="16"/>
              <w:shd w:val="clear" w:color="auto" w:fill="auto"/>
              <w:spacing w:before="81" w:line="300" w:lineRule="auto"/>
              <w:ind w:left="38" w:firstLine="44"/>
              <w:rPr>
                <w:color w:val="auto"/>
                <w:sz w:val="25"/>
                <w:szCs w:val="25"/>
                <w:highlight w:val="none"/>
              </w:rPr>
            </w:pPr>
            <w:r>
              <w:rPr>
                <w:i/>
                <w:iCs/>
                <w:color w:val="auto"/>
                <w:spacing w:val="-13"/>
                <w:sz w:val="25"/>
                <w:szCs w:val="25"/>
                <w:highlight w:val="none"/>
              </w:rPr>
              <w:t>联合</w:t>
            </w:r>
            <w:r>
              <w:rPr>
                <w:color w:val="auto"/>
                <w:sz w:val="25"/>
                <w:szCs w:val="25"/>
                <w:highlight w:val="none"/>
              </w:rPr>
              <w:t xml:space="preserve"> </w:t>
            </w:r>
            <w:r>
              <w:rPr>
                <w:i/>
                <w:iCs/>
                <w:color w:val="auto"/>
                <w:spacing w:val="9"/>
                <w:sz w:val="25"/>
                <w:szCs w:val="25"/>
                <w:highlight w:val="none"/>
              </w:rPr>
              <w:t>体成</w:t>
            </w:r>
            <w:r>
              <w:rPr>
                <w:color w:val="auto"/>
                <w:sz w:val="25"/>
                <w:szCs w:val="25"/>
                <w:highlight w:val="none"/>
              </w:rPr>
              <w:t xml:space="preserve"> </w:t>
            </w:r>
            <w:r>
              <w:rPr>
                <w:i/>
                <w:iCs/>
                <w:color w:val="auto"/>
                <w:spacing w:val="-18"/>
                <w:sz w:val="25"/>
                <w:szCs w:val="25"/>
                <w:highlight w:val="none"/>
              </w:rPr>
              <w:t>员(如</w:t>
            </w:r>
            <w:r>
              <w:rPr>
                <w:color w:val="auto"/>
                <w:sz w:val="25"/>
                <w:szCs w:val="25"/>
                <w:highlight w:val="none"/>
              </w:rPr>
              <w:t xml:space="preserve"> </w:t>
            </w:r>
            <w:r>
              <w:rPr>
                <w:i/>
                <w:iCs/>
                <w:color w:val="auto"/>
                <w:spacing w:val="9"/>
                <w:sz w:val="25"/>
                <w:szCs w:val="25"/>
                <w:highlight w:val="none"/>
              </w:rPr>
              <w:t>联合</w:t>
            </w:r>
            <w:r>
              <w:rPr>
                <w:color w:val="auto"/>
                <w:sz w:val="25"/>
                <w:szCs w:val="25"/>
                <w:highlight w:val="none"/>
              </w:rPr>
              <w:t xml:space="preserve"> </w:t>
            </w:r>
            <w:r>
              <w:rPr>
                <w:i/>
                <w:iCs/>
                <w:color w:val="auto"/>
                <w:spacing w:val="30"/>
                <w:sz w:val="25"/>
                <w:szCs w:val="25"/>
                <w:highlight w:val="none"/>
              </w:rPr>
              <w:t>体投</w:t>
            </w:r>
          </w:p>
          <w:p w14:paraId="7975D8B5">
            <w:pPr>
              <w:pStyle w:val="16"/>
              <w:shd w:val="clear" w:color="auto" w:fill="auto"/>
              <w:spacing w:line="212" w:lineRule="auto"/>
              <w:ind w:left="135"/>
              <w:rPr>
                <w:color w:val="auto"/>
                <w:sz w:val="25"/>
                <w:szCs w:val="25"/>
                <w:highlight w:val="none"/>
              </w:rPr>
            </w:pPr>
            <w:r>
              <w:rPr>
                <w:i/>
                <w:iCs/>
                <w:color w:val="auto"/>
                <w:spacing w:val="7"/>
                <w:sz w:val="25"/>
                <w:szCs w:val="25"/>
                <w:highlight w:val="none"/>
              </w:rPr>
              <w:t>标)</w:t>
            </w:r>
          </w:p>
        </w:tc>
        <w:tc>
          <w:tcPr>
            <w:tcW w:w="854" w:type="dxa"/>
            <w:vMerge w:val="continue"/>
            <w:tcBorders>
              <w:top w:val="nil"/>
            </w:tcBorders>
            <w:noWrap w:val="0"/>
            <w:vAlign w:val="top"/>
          </w:tcPr>
          <w:p w14:paraId="33DB9014">
            <w:pPr>
              <w:shd w:val="clear" w:color="auto" w:fill="auto"/>
              <w:rPr>
                <w:rFonts w:ascii="Arial"/>
                <w:color w:val="auto"/>
                <w:highlight w:val="none"/>
              </w:rPr>
            </w:pPr>
          </w:p>
        </w:tc>
        <w:tc>
          <w:tcPr>
            <w:tcW w:w="625" w:type="dxa"/>
            <w:vMerge w:val="continue"/>
            <w:tcBorders>
              <w:top w:val="nil"/>
            </w:tcBorders>
            <w:noWrap w:val="0"/>
            <w:vAlign w:val="top"/>
          </w:tcPr>
          <w:p w14:paraId="4E38FC0D">
            <w:pPr>
              <w:shd w:val="clear" w:color="auto" w:fill="auto"/>
              <w:rPr>
                <w:rFonts w:ascii="Arial"/>
                <w:color w:val="auto"/>
                <w:highlight w:val="none"/>
              </w:rPr>
            </w:pPr>
          </w:p>
        </w:tc>
        <w:tc>
          <w:tcPr>
            <w:tcW w:w="790" w:type="dxa"/>
            <w:vMerge w:val="continue"/>
            <w:tcBorders>
              <w:top w:val="nil"/>
            </w:tcBorders>
            <w:noWrap w:val="0"/>
            <w:vAlign w:val="top"/>
          </w:tcPr>
          <w:p w14:paraId="3E9AF6E3">
            <w:pPr>
              <w:shd w:val="clear" w:color="auto" w:fill="auto"/>
              <w:rPr>
                <w:rFonts w:ascii="Arial"/>
                <w:color w:val="auto"/>
                <w:highlight w:val="none"/>
              </w:rPr>
            </w:pPr>
          </w:p>
        </w:tc>
        <w:tc>
          <w:tcPr>
            <w:tcW w:w="672" w:type="dxa"/>
            <w:vMerge w:val="continue"/>
            <w:tcBorders>
              <w:top w:val="nil"/>
            </w:tcBorders>
            <w:noWrap w:val="0"/>
            <w:vAlign w:val="top"/>
          </w:tcPr>
          <w:p w14:paraId="5339D14E">
            <w:pPr>
              <w:shd w:val="clear" w:color="auto" w:fill="auto"/>
              <w:rPr>
                <w:rFonts w:ascii="Arial"/>
                <w:color w:val="auto"/>
                <w:highlight w:val="none"/>
              </w:rPr>
            </w:pPr>
          </w:p>
        </w:tc>
        <w:tc>
          <w:tcPr>
            <w:tcW w:w="819" w:type="dxa"/>
            <w:vMerge w:val="continue"/>
            <w:tcBorders>
              <w:top w:val="nil"/>
            </w:tcBorders>
            <w:noWrap w:val="0"/>
            <w:vAlign w:val="top"/>
          </w:tcPr>
          <w:p w14:paraId="34B42F8F">
            <w:pPr>
              <w:shd w:val="clear" w:color="auto" w:fill="auto"/>
              <w:rPr>
                <w:rFonts w:ascii="Arial"/>
                <w:color w:val="auto"/>
                <w:highlight w:val="none"/>
              </w:rPr>
            </w:pPr>
          </w:p>
        </w:tc>
        <w:tc>
          <w:tcPr>
            <w:tcW w:w="939" w:type="dxa"/>
            <w:vMerge w:val="continue"/>
            <w:tcBorders>
              <w:top w:val="nil"/>
            </w:tcBorders>
            <w:noWrap w:val="0"/>
            <w:vAlign w:val="top"/>
          </w:tcPr>
          <w:p w14:paraId="38805E32">
            <w:pPr>
              <w:shd w:val="clear" w:color="auto" w:fill="auto"/>
              <w:rPr>
                <w:rFonts w:ascii="Arial"/>
                <w:color w:val="auto"/>
                <w:highlight w:val="none"/>
              </w:rPr>
            </w:pPr>
          </w:p>
        </w:tc>
        <w:tc>
          <w:tcPr>
            <w:tcW w:w="879" w:type="dxa"/>
            <w:vMerge w:val="continue"/>
            <w:tcBorders>
              <w:top w:val="nil"/>
            </w:tcBorders>
            <w:noWrap w:val="0"/>
            <w:vAlign w:val="top"/>
          </w:tcPr>
          <w:p w14:paraId="4DDAEE92">
            <w:pPr>
              <w:shd w:val="clear" w:color="auto" w:fill="auto"/>
              <w:rPr>
                <w:rFonts w:ascii="Arial"/>
                <w:color w:val="auto"/>
                <w:highlight w:val="none"/>
              </w:rPr>
            </w:pPr>
          </w:p>
        </w:tc>
        <w:tc>
          <w:tcPr>
            <w:tcW w:w="714" w:type="dxa"/>
            <w:vMerge w:val="continue"/>
            <w:tcBorders>
              <w:top w:val="nil"/>
            </w:tcBorders>
            <w:noWrap w:val="0"/>
            <w:vAlign w:val="top"/>
          </w:tcPr>
          <w:p w14:paraId="1E3225C0">
            <w:pPr>
              <w:shd w:val="clear" w:color="auto" w:fill="auto"/>
              <w:rPr>
                <w:rFonts w:ascii="Arial"/>
                <w:color w:val="auto"/>
                <w:highlight w:val="none"/>
              </w:rPr>
            </w:pPr>
          </w:p>
        </w:tc>
        <w:tc>
          <w:tcPr>
            <w:tcW w:w="810" w:type="dxa"/>
            <w:vMerge w:val="continue"/>
            <w:tcBorders>
              <w:top w:val="nil"/>
            </w:tcBorders>
            <w:noWrap w:val="0"/>
            <w:vAlign w:val="top"/>
          </w:tcPr>
          <w:p w14:paraId="1332262B">
            <w:pPr>
              <w:shd w:val="clear" w:color="auto" w:fill="auto"/>
              <w:rPr>
                <w:rFonts w:ascii="Arial"/>
                <w:color w:val="auto"/>
                <w:highlight w:val="none"/>
              </w:rPr>
            </w:pPr>
          </w:p>
        </w:tc>
      </w:tr>
      <w:tr w14:paraId="62B85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noWrap w:val="0"/>
            <w:vAlign w:val="top"/>
          </w:tcPr>
          <w:p w14:paraId="043731EB">
            <w:pPr>
              <w:shd w:val="clear" w:color="auto" w:fill="auto"/>
              <w:rPr>
                <w:rFonts w:ascii="Arial"/>
                <w:color w:val="auto"/>
                <w:highlight w:val="none"/>
              </w:rPr>
            </w:pPr>
          </w:p>
        </w:tc>
        <w:tc>
          <w:tcPr>
            <w:tcW w:w="615" w:type="dxa"/>
            <w:noWrap w:val="0"/>
            <w:vAlign w:val="top"/>
          </w:tcPr>
          <w:p w14:paraId="1127B477">
            <w:pPr>
              <w:shd w:val="clear" w:color="auto" w:fill="auto"/>
              <w:rPr>
                <w:rFonts w:ascii="Arial"/>
                <w:color w:val="auto"/>
                <w:highlight w:val="none"/>
              </w:rPr>
            </w:pPr>
          </w:p>
        </w:tc>
        <w:tc>
          <w:tcPr>
            <w:tcW w:w="615" w:type="dxa"/>
            <w:noWrap w:val="0"/>
            <w:vAlign w:val="top"/>
          </w:tcPr>
          <w:p w14:paraId="5718BBB8">
            <w:pPr>
              <w:shd w:val="clear" w:color="auto" w:fill="auto"/>
              <w:rPr>
                <w:rFonts w:ascii="Arial"/>
                <w:color w:val="auto"/>
                <w:highlight w:val="none"/>
              </w:rPr>
            </w:pPr>
          </w:p>
        </w:tc>
        <w:tc>
          <w:tcPr>
            <w:tcW w:w="854" w:type="dxa"/>
            <w:noWrap w:val="0"/>
            <w:vAlign w:val="top"/>
          </w:tcPr>
          <w:p w14:paraId="1610BCEC">
            <w:pPr>
              <w:shd w:val="clear" w:color="auto" w:fill="auto"/>
              <w:rPr>
                <w:rFonts w:ascii="Arial"/>
                <w:color w:val="auto"/>
                <w:highlight w:val="none"/>
              </w:rPr>
            </w:pPr>
          </w:p>
        </w:tc>
        <w:tc>
          <w:tcPr>
            <w:tcW w:w="625" w:type="dxa"/>
            <w:noWrap w:val="0"/>
            <w:vAlign w:val="top"/>
          </w:tcPr>
          <w:p w14:paraId="14138121">
            <w:pPr>
              <w:shd w:val="clear" w:color="auto" w:fill="auto"/>
              <w:rPr>
                <w:rFonts w:ascii="Arial"/>
                <w:color w:val="auto"/>
                <w:highlight w:val="none"/>
              </w:rPr>
            </w:pPr>
          </w:p>
        </w:tc>
        <w:tc>
          <w:tcPr>
            <w:tcW w:w="790" w:type="dxa"/>
            <w:noWrap w:val="0"/>
            <w:vAlign w:val="top"/>
          </w:tcPr>
          <w:p w14:paraId="079D0278">
            <w:pPr>
              <w:shd w:val="clear" w:color="auto" w:fill="auto"/>
              <w:rPr>
                <w:rFonts w:ascii="Arial"/>
                <w:color w:val="auto"/>
                <w:highlight w:val="none"/>
              </w:rPr>
            </w:pPr>
          </w:p>
        </w:tc>
        <w:tc>
          <w:tcPr>
            <w:tcW w:w="672" w:type="dxa"/>
            <w:noWrap w:val="0"/>
            <w:vAlign w:val="top"/>
          </w:tcPr>
          <w:p w14:paraId="48FF20BF">
            <w:pPr>
              <w:shd w:val="clear" w:color="auto" w:fill="auto"/>
              <w:rPr>
                <w:rFonts w:ascii="Arial"/>
                <w:color w:val="auto"/>
                <w:highlight w:val="none"/>
              </w:rPr>
            </w:pPr>
          </w:p>
        </w:tc>
        <w:tc>
          <w:tcPr>
            <w:tcW w:w="819" w:type="dxa"/>
            <w:noWrap w:val="0"/>
            <w:vAlign w:val="top"/>
          </w:tcPr>
          <w:p w14:paraId="68BC3091">
            <w:pPr>
              <w:shd w:val="clear" w:color="auto" w:fill="auto"/>
              <w:rPr>
                <w:rFonts w:ascii="Arial"/>
                <w:color w:val="auto"/>
                <w:highlight w:val="none"/>
              </w:rPr>
            </w:pPr>
          </w:p>
        </w:tc>
        <w:tc>
          <w:tcPr>
            <w:tcW w:w="939" w:type="dxa"/>
            <w:noWrap w:val="0"/>
            <w:vAlign w:val="top"/>
          </w:tcPr>
          <w:p w14:paraId="2D2F8DFF">
            <w:pPr>
              <w:shd w:val="clear" w:color="auto" w:fill="auto"/>
              <w:rPr>
                <w:rFonts w:ascii="Arial"/>
                <w:color w:val="auto"/>
                <w:highlight w:val="none"/>
              </w:rPr>
            </w:pPr>
          </w:p>
        </w:tc>
        <w:tc>
          <w:tcPr>
            <w:tcW w:w="879" w:type="dxa"/>
            <w:noWrap w:val="0"/>
            <w:vAlign w:val="top"/>
          </w:tcPr>
          <w:p w14:paraId="78A77C2F">
            <w:pPr>
              <w:shd w:val="clear" w:color="auto" w:fill="auto"/>
              <w:rPr>
                <w:rFonts w:ascii="Arial"/>
                <w:color w:val="auto"/>
                <w:highlight w:val="none"/>
              </w:rPr>
            </w:pPr>
          </w:p>
        </w:tc>
        <w:tc>
          <w:tcPr>
            <w:tcW w:w="714" w:type="dxa"/>
            <w:noWrap w:val="0"/>
            <w:vAlign w:val="top"/>
          </w:tcPr>
          <w:p w14:paraId="03074ECF">
            <w:pPr>
              <w:shd w:val="clear" w:color="auto" w:fill="auto"/>
              <w:rPr>
                <w:rFonts w:ascii="Arial"/>
                <w:color w:val="auto"/>
                <w:highlight w:val="none"/>
              </w:rPr>
            </w:pPr>
          </w:p>
        </w:tc>
        <w:tc>
          <w:tcPr>
            <w:tcW w:w="810" w:type="dxa"/>
            <w:noWrap w:val="0"/>
            <w:vAlign w:val="top"/>
          </w:tcPr>
          <w:p w14:paraId="5C6CDEF8">
            <w:pPr>
              <w:shd w:val="clear" w:color="auto" w:fill="auto"/>
              <w:rPr>
                <w:rFonts w:ascii="Arial"/>
                <w:color w:val="auto"/>
                <w:highlight w:val="none"/>
              </w:rPr>
            </w:pPr>
          </w:p>
        </w:tc>
      </w:tr>
      <w:tr w14:paraId="01BBD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noWrap w:val="0"/>
            <w:vAlign w:val="top"/>
          </w:tcPr>
          <w:p w14:paraId="702243FC">
            <w:pPr>
              <w:shd w:val="clear" w:color="auto" w:fill="auto"/>
              <w:rPr>
                <w:rFonts w:ascii="Arial"/>
                <w:color w:val="auto"/>
                <w:highlight w:val="none"/>
              </w:rPr>
            </w:pPr>
          </w:p>
        </w:tc>
        <w:tc>
          <w:tcPr>
            <w:tcW w:w="615" w:type="dxa"/>
            <w:noWrap w:val="0"/>
            <w:vAlign w:val="top"/>
          </w:tcPr>
          <w:p w14:paraId="17738BA5">
            <w:pPr>
              <w:shd w:val="clear" w:color="auto" w:fill="auto"/>
              <w:rPr>
                <w:rFonts w:ascii="Arial"/>
                <w:color w:val="auto"/>
                <w:highlight w:val="none"/>
              </w:rPr>
            </w:pPr>
          </w:p>
        </w:tc>
        <w:tc>
          <w:tcPr>
            <w:tcW w:w="615" w:type="dxa"/>
            <w:noWrap w:val="0"/>
            <w:vAlign w:val="top"/>
          </w:tcPr>
          <w:p w14:paraId="73C0B280">
            <w:pPr>
              <w:shd w:val="clear" w:color="auto" w:fill="auto"/>
              <w:rPr>
                <w:rFonts w:ascii="Arial"/>
                <w:color w:val="auto"/>
                <w:highlight w:val="none"/>
              </w:rPr>
            </w:pPr>
          </w:p>
        </w:tc>
        <w:tc>
          <w:tcPr>
            <w:tcW w:w="854" w:type="dxa"/>
            <w:noWrap w:val="0"/>
            <w:vAlign w:val="top"/>
          </w:tcPr>
          <w:p w14:paraId="3950B546">
            <w:pPr>
              <w:shd w:val="clear" w:color="auto" w:fill="auto"/>
              <w:rPr>
                <w:rFonts w:ascii="Arial"/>
                <w:color w:val="auto"/>
                <w:highlight w:val="none"/>
              </w:rPr>
            </w:pPr>
          </w:p>
        </w:tc>
        <w:tc>
          <w:tcPr>
            <w:tcW w:w="625" w:type="dxa"/>
            <w:noWrap w:val="0"/>
            <w:vAlign w:val="top"/>
          </w:tcPr>
          <w:p w14:paraId="4FFBD1D0">
            <w:pPr>
              <w:shd w:val="clear" w:color="auto" w:fill="auto"/>
              <w:rPr>
                <w:rFonts w:ascii="Arial"/>
                <w:color w:val="auto"/>
                <w:highlight w:val="none"/>
              </w:rPr>
            </w:pPr>
          </w:p>
        </w:tc>
        <w:tc>
          <w:tcPr>
            <w:tcW w:w="790" w:type="dxa"/>
            <w:noWrap w:val="0"/>
            <w:vAlign w:val="top"/>
          </w:tcPr>
          <w:p w14:paraId="5B799511">
            <w:pPr>
              <w:shd w:val="clear" w:color="auto" w:fill="auto"/>
              <w:rPr>
                <w:rFonts w:ascii="Arial"/>
                <w:color w:val="auto"/>
                <w:highlight w:val="none"/>
              </w:rPr>
            </w:pPr>
          </w:p>
        </w:tc>
        <w:tc>
          <w:tcPr>
            <w:tcW w:w="672" w:type="dxa"/>
            <w:noWrap w:val="0"/>
            <w:vAlign w:val="top"/>
          </w:tcPr>
          <w:p w14:paraId="08033F4C">
            <w:pPr>
              <w:shd w:val="clear" w:color="auto" w:fill="auto"/>
              <w:rPr>
                <w:rFonts w:ascii="Arial"/>
                <w:color w:val="auto"/>
                <w:highlight w:val="none"/>
              </w:rPr>
            </w:pPr>
          </w:p>
        </w:tc>
        <w:tc>
          <w:tcPr>
            <w:tcW w:w="819" w:type="dxa"/>
            <w:noWrap w:val="0"/>
            <w:vAlign w:val="top"/>
          </w:tcPr>
          <w:p w14:paraId="3AC30D26">
            <w:pPr>
              <w:shd w:val="clear" w:color="auto" w:fill="auto"/>
              <w:rPr>
                <w:rFonts w:ascii="Arial"/>
                <w:color w:val="auto"/>
                <w:highlight w:val="none"/>
              </w:rPr>
            </w:pPr>
          </w:p>
        </w:tc>
        <w:tc>
          <w:tcPr>
            <w:tcW w:w="939" w:type="dxa"/>
            <w:noWrap w:val="0"/>
            <w:vAlign w:val="top"/>
          </w:tcPr>
          <w:p w14:paraId="184393D1">
            <w:pPr>
              <w:shd w:val="clear" w:color="auto" w:fill="auto"/>
              <w:rPr>
                <w:rFonts w:ascii="Arial"/>
                <w:color w:val="auto"/>
                <w:highlight w:val="none"/>
              </w:rPr>
            </w:pPr>
          </w:p>
        </w:tc>
        <w:tc>
          <w:tcPr>
            <w:tcW w:w="879" w:type="dxa"/>
            <w:noWrap w:val="0"/>
            <w:vAlign w:val="top"/>
          </w:tcPr>
          <w:p w14:paraId="3F65B4BB">
            <w:pPr>
              <w:shd w:val="clear" w:color="auto" w:fill="auto"/>
              <w:rPr>
                <w:rFonts w:ascii="Arial"/>
                <w:color w:val="auto"/>
                <w:highlight w:val="none"/>
              </w:rPr>
            </w:pPr>
          </w:p>
        </w:tc>
        <w:tc>
          <w:tcPr>
            <w:tcW w:w="714" w:type="dxa"/>
            <w:noWrap w:val="0"/>
            <w:vAlign w:val="top"/>
          </w:tcPr>
          <w:p w14:paraId="0C0C4C88">
            <w:pPr>
              <w:shd w:val="clear" w:color="auto" w:fill="auto"/>
              <w:rPr>
                <w:rFonts w:ascii="Arial"/>
                <w:color w:val="auto"/>
                <w:highlight w:val="none"/>
              </w:rPr>
            </w:pPr>
          </w:p>
        </w:tc>
        <w:tc>
          <w:tcPr>
            <w:tcW w:w="810" w:type="dxa"/>
            <w:noWrap w:val="0"/>
            <w:vAlign w:val="top"/>
          </w:tcPr>
          <w:p w14:paraId="25E7BE9B">
            <w:pPr>
              <w:shd w:val="clear" w:color="auto" w:fill="auto"/>
              <w:rPr>
                <w:rFonts w:ascii="Arial"/>
                <w:color w:val="auto"/>
                <w:highlight w:val="none"/>
              </w:rPr>
            </w:pPr>
          </w:p>
        </w:tc>
      </w:tr>
      <w:tr w14:paraId="25ADC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noWrap w:val="0"/>
            <w:vAlign w:val="top"/>
          </w:tcPr>
          <w:p w14:paraId="3E022844">
            <w:pPr>
              <w:shd w:val="clear" w:color="auto" w:fill="auto"/>
              <w:rPr>
                <w:rFonts w:ascii="Arial"/>
                <w:color w:val="auto"/>
                <w:highlight w:val="none"/>
              </w:rPr>
            </w:pPr>
          </w:p>
        </w:tc>
        <w:tc>
          <w:tcPr>
            <w:tcW w:w="615" w:type="dxa"/>
            <w:noWrap w:val="0"/>
            <w:vAlign w:val="top"/>
          </w:tcPr>
          <w:p w14:paraId="3145EF9B">
            <w:pPr>
              <w:shd w:val="clear" w:color="auto" w:fill="auto"/>
              <w:rPr>
                <w:rFonts w:ascii="Arial"/>
                <w:color w:val="auto"/>
                <w:highlight w:val="none"/>
              </w:rPr>
            </w:pPr>
          </w:p>
        </w:tc>
        <w:tc>
          <w:tcPr>
            <w:tcW w:w="615" w:type="dxa"/>
            <w:noWrap w:val="0"/>
            <w:vAlign w:val="top"/>
          </w:tcPr>
          <w:p w14:paraId="7756C1CD">
            <w:pPr>
              <w:shd w:val="clear" w:color="auto" w:fill="auto"/>
              <w:rPr>
                <w:rFonts w:ascii="Arial"/>
                <w:color w:val="auto"/>
                <w:highlight w:val="none"/>
              </w:rPr>
            </w:pPr>
          </w:p>
        </w:tc>
        <w:tc>
          <w:tcPr>
            <w:tcW w:w="854" w:type="dxa"/>
            <w:noWrap w:val="0"/>
            <w:vAlign w:val="top"/>
          </w:tcPr>
          <w:p w14:paraId="355CD510">
            <w:pPr>
              <w:shd w:val="clear" w:color="auto" w:fill="auto"/>
              <w:rPr>
                <w:rFonts w:ascii="Arial"/>
                <w:color w:val="auto"/>
                <w:highlight w:val="none"/>
              </w:rPr>
            </w:pPr>
          </w:p>
        </w:tc>
        <w:tc>
          <w:tcPr>
            <w:tcW w:w="625" w:type="dxa"/>
            <w:noWrap w:val="0"/>
            <w:vAlign w:val="top"/>
          </w:tcPr>
          <w:p w14:paraId="1677F019">
            <w:pPr>
              <w:shd w:val="clear" w:color="auto" w:fill="auto"/>
              <w:rPr>
                <w:rFonts w:ascii="Arial"/>
                <w:color w:val="auto"/>
                <w:highlight w:val="none"/>
              </w:rPr>
            </w:pPr>
          </w:p>
        </w:tc>
        <w:tc>
          <w:tcPr>
            <w:tcW w:w="790" w:type="dxa"/>
            <w:noWrap w:val="0"/>
            <w:vAlign w:val="top"/>
          </w:tcPr>
          <w:p w14:paraId="24B0A356">
            <w:pPr>
              <w:shd w:val="clear" w:color="auto" w:fill="auto"/>
              <w:rPr>
                <w:rFonts w:ascii="Arial"/>
                <w:color w:val="auto"/>
                <w:highlight w:val="none"/>
              </w:rPr>
            </w:pPr>
          </w:p>
        </w:tc>
        <w:tc>
          <w:tcPr>
            <w:tcW w:w="672" w:type="dxa"/>
            <w:noWrap w:val="0"/>
            <w:vAlign w:val="top"/>
          </w:tcPr>
          <w:p w14:paraId="3E10C358">
            <w:pPr>
              <w:shd w:val="clear" w:color="auto" w:fill="auto"/>
              <w:rPr>
                <w:rFonts w:ascii="Arial"/>
                <w:color w:val="auto"/>
                <w:highlight w:val="none"/>
              </w:rPr>
            </w:pPr>
          </w:p>
        </w:tc>
        <w:tc>
          <w:tcPr>
            <w:tcW w:w="819" w:type="dxa"/>
            <w:noWrap w:val="0"/>
            <w:vAlign w:val="top"/>
          </w:tcPr>
          <w:p w14:paraId="2B1164A7">
            <w:pPr>
              <w:shd w:val="clear" w:color="auto" w:fill="auto"/>
              <w:rPr>
                <w:rFonts w:ascii="Arial"/>
                <w:color w:val="auto"/>
                <w:highlight w:val="none"/>
              </w:rPr>
            </w:pPr>
          </w:p>
        </w:tc>
        <w:tc>
          <w:tcPr>
            <w:tcW w:w="939" w:type="dxa"/>
            <w:noWrap w:val="0"/>
            <w:vAlign w:val="top"/>
          </w:tcPr>
          <w:p w14:paraId="5260993A">
            <w:pPr>
              <w:shd w:val="clear" w:color="auto" w:fill="auto"/>
              <w:rPr>
                <w:rFonts w:ascii="Arial"/>
                <w:color w:val="auto"/>
                <w:highlight w:val="none"/>
              </w:rPr>
            </w:pPr>
          </w:p>
        </w:tc>
        <w:tc>
          <w:tcPr>
            <w:tcW w:w="879" w:type="dxa"/>
            <w:noWrap w:val="0"/>
            <w:vAlign w:val="top"/>
          </w:tcPr>
          <w:p w14:paraId="5548D7A3">
            <w:pPr>
              <w:shd w:val="clear" w:color="auto" w:fill="auto"/>
              <w:rPr>
                <w:rFonts w:ascii="Arial"/>
                <w:color w:val="auto"/>
                <w:highlight w:val="none"/>
              </w:rPr>
            </w:pPr>
          </w:p>
        </w:tc>
        <w:tc>
          <w:tcPr>
            <w:tcW w:w="714" w:type="dxa"/>
            <w:noWrap w:val="0"/>
            <w:vAlign w:val="top"/>
          </w:tcPr>
          <w:p w14:paraId="563281EE">
            <w:pPr>
              <w:shd w:val="clear" w:color="auto" w:fill="auto"/>
              <w:rPr>
                <w:rFonts w:ascii="Arial"/>
                <w:color w:val="auto"/>
                <w:highlight w:val="none"/>
              </w:rPr>
            </w:pPr>
          </w:p>
        </w:tc>
        <w:tc>
          <w:tcPr>
            <w:tcW w:w="810" w:type="dxa"/>
            <w:noWrap w:val="0"/>
            <w:vAlign w:val="top"/>
          </w:tcPr>
          <w:p w14:paraId="3371A89D">
            <w:pPr>
              <w:shd w:val="clear" w:color="auto" w:fill="auto"/>
              <w:rPr>
                <w:rFonts w:ascii="Arial"/>
                <w:color w:val="auto"/>
                <w:highlight w:val="none"/>
              </w:rPr>
            </w:pPr>
          </w:p>
        </w:tc>
      </w:tr>
      <w:tr w14:paraId="4E79F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noWrap w:val="0"/>
            <w:vAlign w:val="top"/>
          </w:tcPr>
          <w:p w14:paraId="28C4499A">
            <w:pPr>
              <w:shd w:val="clear" w:color="auto" w:fill="auto"/>
              <w:rPr>
                <w:rFonts w:ascii="Arial"/>
                <w:color w:val="auto"/>
                <w:highlight w:val="none"/>
              </w:rPr>
            </w:pPr>
          </w:p>
        </w:tc>
        <w:tc>
          <w:tcPr>
            <w:tcW w:w="615" w:type="dxa"/>
            <w:noWrap w:val="0"/>
            <w:vAlign w:val="top"/>
          </w:tcPr>
          <w:p w14:paraId="376CE2F7">
            <w:pPr>
              <w:shd w:val="clear" w:color="auto" w:fill="auto"/>
              <w:rPr>
                <w:rFonts w:ascii="Arial"/>
                <w:color w:val="auto"/>
                <w:highlight w:val="none"/>
              </w:rPr>
            </w:pPr>
          </w:p>
        </w:tc>
        <w:tc>
          <w:tcPr>
            <w:tcW w:w="615" w:type="dxa"/>
            <w:noWrap w:val="0"/>
            <w:vAlign w:val="top"/>
          </w:tcPr>
          <w:p w14:paraId="2DC17AD4">
            <w:pPr>
              <w:shd w:val="clear" w:color="auto" w:fill="auto"/>
              <w:rPr>
                <w:rFonts w:ascii="Arial"/>
                <w:color w:val="auto"/>
                <w:highlight w:val="none"/>
              </w:rPr>
            </w:pPr>
          </w:p>
        </w:tc>
        <w:tc>
          <w:tcPr>
            <w:tcW w:w="854" w:type="dxa"/>
            <w:noWrap w:val="0"/>
            <w:vAlign w:val="top"/>
          </w:tcPr>
          <w:p w14:paraId="003FCB3E">
            <w:pPr>
              <w:shd w:val="clear" w:color="auto" w:fill="auto"/>
              <w:rPr>
                <w:rFonts w:ascii="Arial"/>
                <w:color w:val="auto"/>
                <w:highlight w:val="none"/>
              </w:rPr>
            </w:pPr>
          </w:p>
        </w:tc>
        <w:tc>
          <w:tcPr>
            <w:tcW w:w="625" w:type="dxa"/>
            <w:noWrap w:val="0"/>
            <w:vAlign w:val="top"/>
          </w:tcPr>
          <w:p w14:paraId="36E8E036">
            <w:pPr>
              <w:shd w:val="clear" w:color="auto" w:fill="auto"/>
              <w:rPr>
                <w:rFonts w:ascii="Arial"/>
                <w:color w:val="auto"/>
                <w:highlight w:val="none"/>
              </w:rPr>
            </w:pPr>
          </w:p>
        </w:tc>
        <w:tc>
          <w:tcPr>
            <w:tcW w:w="790" w:type="dxa"/>
            <w:noWrap w:val="0"/>
            <w:vAlign w:val="top"/>
          </w:tcPr>
          <w:p w14:paraId="45FDD8C5">
            <w:pPr>
              <w:shd w:val="clear" w:color="auto" w:fill="auto"/>
              <w:rPr>
                <w:rFonts w:ascii="Arial"/>
                <w:color w:val="auto"/>
                <w:highlight w:val="none"/>
              </w:rPr>
            </w:pPr>
          </w:p>
        </w:tc>
        <w:tc>
          <w:tcPr>
            <w:tcW w:w="672" w:type="dxa"/>
            <w:noWrap w:val="0"/>
            <w:vAlign w:val="top"/>
          </w:tcPr>
          <w:p w14:paraId="319F5B49">
            <w:pPr>
              <w:shd w:val="clear" w:color="auto" w:fill="auto"/>
              <w:rPr>
                <w:rFonts w:ascii="Arial"/>
                <w:color w:val="auto"/>
                <w:highlight w:val="none"/>
              </w:rPr>
            </w:pPr>
          </w:p>
        </w:tc>
        <w:tc>
          <w:tcPr>
            <w:tcW w:w="819" w:type="dxa"/>
            <w:noWrap w:val="0"/>
            <w:vAlign w:val="top"/>
          </w:tcPr>
          <w:p w14:paraId="1F44365D">
            <w:pPr>
              <w:shd w:val="clear" w:color="auto" w:fill="auto"/>
              <w:rPr>
                <w:rFonts w:ascii="Arial"/>
                <w:color w:val="auto"/>
                <w:highlight w:val="none"/>
              </w:rPr>
            </w:pPr>
          </w:p>
        </w:tc>
        <w:tc>
          <w:tcPr>
            <w:tcW w:w="939" w:type="dxa"/>
            <w:noWrap w:val="0"/>
            <w:vAlign w:val="top"/>
          </w:tcPr>
          <w:p w14:paraId="75ACD4B6">
            <w:pPr>
              <w:shd w:val="clear" w:color="auto" w:fill="auto"/>
              <w:rPr>
                <w:rFonts w:ascii="Arial"/>
                <w:color w:val="auto"/>
                <w:highlight w:val="none"/>
              </w:rPr>
            </w:pPr>
          </w:p>
        </w:tc>
        <w:tc>
          <w:tcPr>
            <w:tcW w:w="879" w:type="dxa"/>
            <w:noWrap w:val="0"/>
            <w:vAlign w:val="top"/>
          </w:tcPr>
          <w:p w14:paraId="29D7FBB3">
            <w:pPr>
              <w:shd w:val="clear" w:color="auto" w:fill="auto"/>
              <w:rPr>
                <w:rFonts w:ascii="Arial"/>
                <w:color w:val="auto"/>
                <w:highlight w:val="none"/>
              </w:rPr>
            </w:pPr>
          </w:p>
        </w:tc>
        <w:tc>
          <w:tcPr>
            <w:tcW w:w="714" w:type="dxa"/>
            <w:noWrap w:val="0"/>
            <w:vAlign w:val="top"/>
          </w:tcPr>
          <w:p w14:paraId="2BDE509B">
            <w:pPr>
              <w:shd w:val="clear" w:color="auto" w:fill="auto"/>
              <w:rPr>
                <w:rFonts w:ascii="Arial"/>
                <w:color w:val="auto"/>
                <w:highlight w:val="none"/>
              </w:rPr>
            </w:pPr>
          </w:p>
        </w:tc>
        <w:tc>
          <w:tcPr>
            <w:tcW w:w="810" w:type="dxa"/>
            <w:noWrap w:val="0"/>
            <w:vAlign w:val="top"/>
          </w:tcPr>
          <w:p w14:paraId="472D7641">
            <w:pPr>
              <w:shd w:val="clear" w:color="auto" w:fill="auto"/>
              <w:rPr>
                <w:rFonts w:ascii="Arial"/>
                <w:color w:val="auto"/>
                <w:highlight w:val="none"/>
              </w:rPr>
            </w:pPr>
          </w:p>
        </w:tc>
      </w:tr>
      <w:tr w14:paraId="48BF7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noWrap w:val="0"/>
            <w:vAlign w:val="top"/>
          </w:tcPr>
          <w:p w14:paraId="6F64B7B5">
            <w:pPr>
              <w:shd w:val="clear" w:color="auto" w:fill="auto"/>
              <w:rPr>
                <w:rFonts w:ascii="Arial"/>
                <w:color w:val="auto"/>
                <w:highlight w:val="none"/>
              </w:rPr>
            </w:pPr>
          </w:p>
        </w:tc>
        <w:tc>
          <w:tcPr>
            <w:tcW w:w="615" w:type="dxa"/>
            <w:noWrap w:val="0"/>
            <w:vAlign w:val="top"/>
          </w:tcPr>
          <w:p w14:paraId="6531B0AB">
            <w:pPr>
              <w:shd w:val="clear" w:color="auto" w:fill="auto"/>
              <w:rPr>
                <w:rFonts w:ascii="Arial"/>
                <w:color w:val="auto"/>
                <w:highlight w:val="none"/>
              </w:rPr>
            </w:pPr>
          </w:p>
        </w:tc>
        <w:tc>
          <w:tcPr>
            <w:tcW w:w="615" w:type="dxa"/>
            <w:noWrap w:val="0"/>
            <w:vAlign w:val="top"/>
          </w:tcPr>
          <w:p w14:paraId="00C3BF1C">
            <w:pPr>
              <w:shd w:val="clear" w:color="auto" w:fill="auto"/>
              <w:rPr>
                <w:rFonts w:ascii="Arial"/>
                <w:color w:val="auto"/>
                <w:highlight w:val="none"/>
              </w:rPr>
            </w:pPr>
          </w:p>
        </w:tc>
        <w:tc>
          <w:tcPr>
            <w:tcW w:w="854" w:type="dxa"/>
            <w:noWrap w:val="0"/>
            <w:vAlign w:val="top"/>
          </w:tcPr>
          <w:p w14:paraId="6B3AB44D">
            <w:pPr>
              <w:shd w:val="clear" w:color="auto" w:fill="auto"/>
              <w:rPr>
                <w:rFonts w:ascii="Arial"/>
                <w:color w:val="auto"/>
                <w:highlight w:val="none"/>
              </w:rPr>
            </w:pPr>
          </w:p>
        </w:tc>
        <w:tc>
          <w:tcPr>
            <w:tcW w:w="625" w:type="dxa"/>
            <w:noWrap w:val="0"/>
            <w:vAlign w:val="top"/>
          </w:tcPr>
          <w:p w14:paraId="3CDA8FB4">
            <w:pPr>
              <w:shd w:val="clear" w:color="auto" w:fill="auto"/>
              <w:rPr>
                <w:rFonts w:ascii="Arial"/>
                <w:color w:val="auto"/>
                <w:highlight w:val="none"/>
              </w:rPr>
            </w:pPr>
          </w:p>
        </w:tc>
        <w:tc>
          <w:tcPr>
            <w:tcW w:w="790" w:type="dxa"/>
            <w:noWrap w:val="0"/>
            <w:vAlign w:val="top"/>
          </w:tcPr>
          <w:p w14:paraId="0D85D01E">
            <w:pPr>
              <w:shd w:val="clear" w:color="auto" w:fill="auto"/>
              <w:rPr>
                <w:rFonts w:ascii="Arial"/>
                <w:color w:val="auto"/>
                <w:highlight w:val="none"/>
              </w:rPr>
            </w:pPr>
          </w:p>
        </w:tc>
        <w:tc>
          <w:tcPr>
            <w:tcW w:w="672" w:type="dxa"/>
            <w:noWrap w:val="0"/>
            <w:vAlign w:val="top"/>
          </w:tcPr>
          <w:p w14:paraId="4AAF4483">
            <w:pPr>
              <w:shd w:val="clear" w:color="auto" w:fill="auto"/>
              <w:rPr>
                <w:rFonts w:ascii="Arial"/>
                <w:color w:val="auto"/>
                <w:highlight w:val="none"/>
              </w:rPr>
            </w:pPr>
          </w:p>
        </w:tc>
        <w:tc>
          <w:tcPr>
            <w:tcW w:w="819" w:type="dxa"/>
            <w:noWrap w:val="0"/>
            <w:vAlign w:val="top"/>
          </w:tcPr>
          <w:p w14:paraId="61FF0C90">
            <w:pPr>
              <w:shd w:val="clear" w:color="auto" w:fill="auto"/>
              <w:rPr>
                <w:rFonts w:ascii="Arial"/>
                <w:color w:val="auto"/>
                <w:highlight w:val="none"/>
              </w:rPr>
            </w:pPr>
          </w:p>
        </w:tc>
        <w:tc>
          <w:tcPr>
            <w:tcW w:w="939" w:type="dxa"/>
            <w:noWrap w:val="0"/>
            <w:vAlign w:val="top"/>
          </w:tcPr>
          <w:p w14:paraId="65523EC0">
            <w:pPr>
              <w:shd w:val="clear" w:color="auto" w:fill="auto"/>
              <w:rPr>
                <w:rFonts w:ascii="Arial"/>
                <w:color w:val="auto"/>
                <w:highlight w:val="none"/>
              </w:rPr>
            </w:pPr>
          </w:p>
        </w:tc>
        <w:tc>
          <w:tcPr>
            <w:tcW w:w="879" w:type="dxa"/>
            <w:noWrap w:val="0"/>
            <w:vAlign w:val="top"/>
          </w:tcPr>
          <w:p w14:paraId="3F558F4C">
            <w:pPr>
              <w:shd w:val="clear" w:color="auto" w:fill="auto"/>
              <w:rPr>
                <w:rFonts w:ascii="Arial"/>
                <w:color w:val="auto"/>
                <w:highlight w:val="none"/>
              </w:rPr>
            </w:pPr>
          </w:p>
        </w:tc>
        <w:tc>
          <w:tcPr>
            <w:tcW w:w="714" w:type="dxa"/>
            <w:noWrap w:val="0"/>
            <w:vAlign w:val="top"/>
          </w:tcPr>
          <w:p w14:paraId="74AA34E9">
            <w:pPr>
              <w:shd w:val="clear" w:color="auto" w:fill="auto"/>
              <w:rPr>
                <w:rFonts w:ascii="Arial"/>
                <w:color w:val="auto"/>
                <w:highlight w:val="none"/>
              </w:rPr>
            </w:pPr>
          </w:p>
        </w:tc>
        <w:tc>
          <w:tcPr>
            <w:tcW w:w="810" w:type="dxa"/>
            <w:noWrap w:val="0"/>
            <w:vAlign w:val="top"/>
          </w:tcPr>
          <w:p w14:paraId="1423ECAF">
            <w:pPr>
              <w:shd w:val="clear" w:color="auto" w:fill="auto"/>
              <w:rPr>
                <w:rFonts w:ascii="Arial"/>
                <w:color w:val="auto"/>
                <w:highlight w:val="none"/>
              </w:rPr>
            </w:pPr>
          </w:p>
        </w:tc>
      </w:tr>
      <w:tr w14:paraId="6EA4E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noWrap w:val="0"/>
            <w:vAlign w:val="top"/>
          </w:tcPr>
          <w:p w14:paraId="252406E9">
            <w:pPr>
              <w:shd w:val="clear" w:color="auto" w:fill="auto"/>
              <w:rPr>
                <w:rFonts w:ascii="Arial"/>
                <w:color w:val="auto"/>
                <w:highlight w:val="none"/>
              </w:rPr>
            </w:pPr>
          </w:p>
        </w:tc>
        <w:tc>
          <w:tcPr>
            <w:tcW w:w="615" w:type="dxa"/>
            <w:noWrap w:val="0"/>
            <w:vAlign w:val="top"/>
          </w:tcPr>
          <w:p w14:paraId="06CD2E2D">
            <w:pPr>
              <w:shd w:val="clear" w:color="auto" w:fill="auto"/>
              <w:rPr>
                <w:rFonts w:ascii="Arial"/>
                <w:color w:val="auto"/>
                <w:highlight w:val="none"/>
              </w:rPr>
            </w:pPr>
          </w:p>
        </w:tc>
        <w:tc>
          <w:tcPr>
            <w:tcW w:w="615" w:type="dxa"/>
            <w:noWrap w:val="0"/>
            <w:vAlign w:val="top"/>
          </w:tcPr>
          <w:p w14:paraId="44F941F0">
            <w:pPr>
              <w:shd w:val="clear" w:color="auto" w:fill="auto"/>
              <w:rPr>
                <w:rFonts w:ascii="Arial"/>
                <w:color w:val="auto"/>
                <w:highlight w:val="none"/>
              </w:rPr>
            </w:pPr>
          </w:p>
        </w:tc>
        <w:tc>
          <w:tcPr>
            <w:tcW w:w="854" w:type="dxa"/>
            <w:noWrap w:val="0"/>
            <w:vAlign w:val="top"/>
          </w:tcPr>
          <w:p w14:paraId="6C8D7A90">
            <w:pPr>
              <w:shd w:val="clear" w:color="auto" w:fill="auto"/>
              <w:rPr>
                <w:rFonts w:ascii="Arial"/>
                <w:color w:val="auto"/>
                <w:highlight w:val="none"/>
              </w:rPr>
            </w:pPr>
          </w:p>
        </w:tc>
        <w:tc>
          <w:tcPr>
            <w:tcW w:w="625" w:type="dxa"/>
            <w:noWrap w:val="0"/>
            <w:vAlign w:val="top"/>
          </w:tcPr>
          <w:p w14:paraId="3BED6DC8">
            <w:pPr>
              <w:shd w:val="clear" w:color="auto" w:fill="auto"/>
              <w:rPr>
                <w:rFonts w:ascii="Arial"/>
                <w:color w:val="auto"/>
                <w:highlight w:val="none"/>
              </w:rPr>
            </w:pPr>
          </w:p>
        </w:tc>
        <w:tc>
          <w:tcPr>
            <w:tcW w:w="790" w:type="dxa"/>
            <w:noWrap w:val="0"/>
            <w:vAlign w:val="top"/>
          </w:tcPr>
          <w:p w14:paraId="05253616">
            <w:pPr>
              <w:shd w:val="clear" w:color="auto" w:fill="auto"/>
              <w:rPr>
                <w:rFonts w:ascii="Arial"/>
                <w:color w:val="auto"/>
                <w:highlight w:val="none"/>
              </w:rPr>
            </w:pPr>
          </w:p>
        </w:tc>
        <w:tc>
          <w:tcPr>
            <w:tcW w:w="672" w:type="dxa"/>
            <w:noWrap w:val="0"/>
            <w:vAlign w:val="top"/>
          </w:tcPr>
          <w:p w14:paraId="0DFA7051">
            <w:pPr>
              <w:shd w:val="clear" w:color="auto" w:fill="auto"/>
              <w:rPr>
                <w:rFonts w:ascii="Arial"/>
                <w:color w:val="auto"/>
                <w:highlight w:val="none"/>
              </w:rPr>
            </w:pPr>
          </w:p>
        </w:tc>
        <w:tc>
          <w:tcPr>
            <w:tcW w:w="819" w:type="dxa"/>
            <w:noWrap w:val="0"/>
            <w:vAlign w:val="top"/>
          </w:tcPr>
          <w:p w14:paraId="241532D9">
            <w:pPr>
              <w:shd w:val="clear" w:color="auto" w:fill="auto"/>
              <w:rPr>
                <w:rFonts w:ascii="Arial"/>
                <w:color w:val="auto"/>
                <w:highlight w:val="none"/>
              </w:rPr>
            </w:pPr>
          </w:p>
        </w:tc>
        <w:tc>
          <w:tcPr>
            <w:tcW w:w="939" w:type="dxa"/>
            <w:noWrap w:val="0"/>
            <w:vAlign w:val="top"/>
          </w:tcPr>
          <w:p w14:paraId="46BDA8A0">
            <w:pPr>
              <w:shd w:val="clear" w:color="auto" w:fill="auto"/>
              <w:rPr>
                <w:rFonts w:ascii="Arial"/>
                <w:color w:val="auto"/>
                <w:highlight w:val="none"/>
              </w:rPr>
            </w:pPr>
          </w:p>
        </w:tc>
        <w:tc>
          <w:tcPr>
            <w:tcW w:w="879" w:type="dxa"/>
            <w:noWrap w:val="0"/>
            <w:vAlign w:val="top"/>
          </w:tcPr>
          <w:p w14:paraId="156E43BA">
            <w:pPr>
              <w:shd w:val="clear" w:color="auto" w:fill="auto"/>
              <w:rPr>
                <w:rFonts w:ascii="Arial"/>
                <w:color w:val="auto"/>
                <w:highlight w:val="none"/>
              </w:rPr>
            </w:pPr>
          </w:p>
        </w:tc>
        <w:tc>
          <w:tcPr>
            <w:tcW w:w="714" w:type="dxa"/>
            <w:noWrap w:val="0"/>
            <w:vAlign w:val="top"/>
          </w:tcPr>
          <w:p w14:paraId="6A9C861D">
            <w:pPr>
              <w:shd w:val="clear" w:color="auto" w:fill="auto"/>
              <w:rPr>
                <w:rFonts w:ascii="Arial"/>
                <w:color w:val="auto"/>
                <w:highlight w:val="none"/>
              </w:rPr>
            </w:pPr>
          </w:p>
        </w:tc>
        <w:tc>
          <w:tcPr>
            <w:tcW w:w="810" w:type="dxa"/>
            <w:noWrap w:val="0"/>
            <w:vAlign w:val="top"/>
          </w:tcPr>
          <w:p w14:paraId="2CD12108">
            <w:pPr>
              <w:shd w:val="clear" w:color="auto" w:fill="auto"/>
              <w:rPr>
                <w:rFonts w:ascii="Arial"/>
                <w:color w:val="auto"/>
                <w:highlight w:val="none"/>
              </w:rPr>
            </w:pPr>
          </w:p>
        </w:tc>
      </w:tr>
      <w:tr w14:paraId="50D16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01" w:type="dxa"/>
            <w:noWrap w:val="0"/>
            <w:vAlign w:val="top"/>
          </w:tcPr>
          <w:p w14:paraId="11C40399">
            <w:pPr>
              <w:shd w:val="clear" w:color="auto" w:fill="auto"/>
              <w:rPr>
                <w:rFonts w:ascii="Arial"/>
                <w:color w:val="auto"/>
                <w:highlight w:val="none"/>
              </w:rPr>
            </w:pPr>
          </w:p>
        </w:tc>
        <w:tc>
          <w:tcPr>
            <w:tcW w:w="615" w:type="dxa"/>
            <w:noWrap w:val="0"/>
            <w:vAlign w:val="top"/>
          </w:tcPr>
          <w:p w14:paraId="54887980">
            <w:pPr>
              <w:shd w:val="clear" w:color="auto" w:fill="auto"/>
              <w:rPr>
                <w:rFonts w:ascii="Arial"/>
                <w:color w:val="auto"/>
                <w:highlight w:val="none"/>
              </w:rPr>
            </w:pPr>
          </w:p>
        </w:tc>
        <w:tc>
          <w:tcPr>
            <w:tcW w:w="615" w:type="dxa"/>
            <w:noWrap w:val="0"/>
            <w:vAlign w:val="top"/>
          </w:tcPr>
          <w:p w14:paraId="45433D69">
            <w:pPr>
              <w:shd w:val="clear" w:color="auto" w:fill="auto"/>
              <w:rPr>
                <w:rFonts w:ascii="Arial"/>
                <w:color w:val="auto"/>
                <w:highlight w:val="none"/>
              </w:rPr>
            </w:pPr>
          </w:p>
        </w:tc>
        <w:tc>
          <w:tcPr>
            <w:tcW w:w="854" w:type="dxa"/>
            <w:noWrap w:val="0"/>
            <w:vAlign w:val="top"/>
          </w:tcPr>
          <w:p w14:paraId="64A4EC52">
            <w:pPr>
              <w:shd w:val="clear" w:color="auto" w:fill="auto"/>
              <w:rPr>
                <w:rFonts w:ascii="Arial"/>
                <w:color w:val="auto"/>
                <w:highlight w:val="none"/>
              </w:rPr>
            </w:pPr>
          </w:p>
        </w:tc>
        <w:tc>
          <w:tcPr>
            <w:tcW w:w="625" w:type="dxa"/>
            <w:noWrap w:val="0"/>
            <w:vAlign w:val="top"/>
          </w:tcPr>
          <w:p w14:paraId="5A67984C">
            <w:pPr>
              <w:shd w:val="clear" w:color="auto" w:fill="auto"/>
              <w:rPr>
                <w:rFonts w:ascii="Arial"/>
                <w:color w:val="auto"/>
                <w:highlight w:val="none"/>
              </w:rPr>
            </w:pPr>
          </w:p>
        </w:tc>
        <w:tc>
          <w:tcPr>
            <w:tcW w:w="790" w:type="dxa"/>
            <w:noWrap w:val="0"/>
            <w:vAlign w:val="top"/>
          </w:tcPr>
          <w:p w14:paraId="72E7AFC2">
            <w:pPr>
              <w:shd w:val="clear" w:color="auto" w:fill="auto"/>
              <w:rPr>
                <w:rFonts w:ascii="Arial"/>
                <w:color w:val="auto"/>
                <w:highlight w:val="none"/>
              </w:rPr>
            </w:pPr>
          </w:p>
        </w:tc>
        <w:tc>
          <w:tcPr>
            <w:tcW w:w="672" w:type="dxa"/>
            <w:noWrap w:val="0"/>
            <w:vAlign w:val="top"/>
          </w:tcPr>
          <w:p w14:paraId="72A1D6F7">
            <w:pPr>
              <w:shd w:val="clear" w:color="auto" w:fill="auto"/>
              <w:rPr>
                <w:rFonts w:ascii="Arial"/>
                <w:color w:val="auto"/>
                <w:highlight w:val="none"/>
              </w:rPr>
            </w:pPr>
          </w:p>
        </w:tc>
        <w:tc>
          <w:tcPr>
            <w:tcW w:w="819" w:type="dxa"/>
            <w:noWrap w:val="0"/>
            <w:vAlign w:val="top"/>
          </w:tcPr>
          <w:p w14:paraId="7F4C553F">
            <w:pPr>
              <w:shd w:val="clear" w:color="auto" w:fill="auto"/>
              <w:rPr>
                <w:rFonts w:ascii="Arial"/>
                <w:color w:val="auto"/>
                <w:highlight w:val="none"/>
              </w:rPr>
            </w:pPr>
          </w:p>
        </w:tc>
        <w:tc>
          <w:tcPr>
            <w:tcW w:w="939" w:type="dxa"/>
            <w:noWrap w:val="0"/>
            <w:vAlign w:val="top"/>
          </w:tcPr>
          <w:p w14:paraId="33E73150">
            <w:pPr>
              <w:shd w:val="clear" w:color="auto" w:fill="auto"/>
              <w:rPr>
                <w:rFonts w:ascii="Arial"/>
                <w:color w:val="auto"/>
                <w:highlight w:val="none"/>
              </w:rPr>
            </w:pPr>
          </w:p>
        </w:tc>
        <w:tc>
          <w:tcPr>
            <w:tcW w:w="879" w:type="dxa"/>
            <w:noWrap w:val="0"/>
            <w:vAlign w:val="top"/>
          </w:tcPr>
          <w:p w14:paraId="17525D51">
            <w:pPr>
              <w:shd w:val="clear" w:color="auto" w:fill="auto"/>
              <w:rPr>
                <w:rFonts w:ascii="Arial"/>
                <w:color w:val="auto"/>
                <w:highlight w:val="none"/>
              </w:rPr>
            </w:pPr>
          </w:p>
        </w:tc>
        <w:tc>
          <w:tcPr>
            <w:tcW w:w="714" w:type="dxa"/>
            <w:noWrap w:val="0"/>
            <w:vAlign w:val="top"/>
          </w:tcPr>
          <w:p w14:paraId="79F85DA3">
            <w:pPr>
              <w:shd w:val="clear" w:color="auto" w:fill="auto"/>
              <w:rPr>
                <w:rFonts w:ascii="Arial"/>
                <w:color w:val="auto"/>
                <w:highlight w:val="none"/>
              </w:rPr>
            </w:pPr>
          </w:p>
        </w:tc>
        <w:tc>
          <w:tcPr>
            <w:tcW w:w="810" w:type="dxa"/>
            <w:noWrap w:val="0"/>
            <w:vAlign w:val="top"/>
          </w:tcPr>
          <w:p w14:paraId="06FAAAD1">
            <w:pPr>
              <w:shd w:val="clear" w:color="auto" w:fill="auto"/>
              <w:rPr>
                <w:rFonts w:ascii="Arial"/>
                <w:color w:val="auto"/>
                <w:highlight w:val="none"/>
              </w:rPr>
            </w:pPr>
          </w:p>
        </w:tc>
      </w:tr>
    </w:tbl>
    <w:p w14:paraId="0D941697">
      <w:pPr>
        <w:shd w:val="clear" w:color="auto" w:fill="auto"/>
        <w:spacing w:before="38" w:line="219" w:lineRule="auto"/>
        <w:ind w:left="769"/>
        <w:rPr>
          <w:rFonts w:ascii="宋体" w:hAnsi="宋体" w:cs="宋体"/>
          <w:color w:val="auto"/>
          <w:sz w:val="24"/>
          <w:highlight w:val="none"/>
        </w:rPr>
      </w:pPr>
      <w:r>
        <w:rPr>
          <w:rFonts w:ascii="宋体" w:hAnsi="宋体" w:cs="宋体"/>
          <w:color w:val="auto"/>
          <w:spacing w:val="-3"/>
          <w:sz w:val="24"/>
          <w:highlight w:val="none"/>
        </w:rPr>
        <w:t>招标人代表：</w:t>
      </w:r>
      <w:r>
        <w:rPr>
          <w:rFonts w:ascii="宋体" w:hAnsi="宋体" w:cs="宋体"/>
          <w:color w:val="auto"/>
          <w:spacing w:val="-3"/>
          <w:sz w:val="24"/>
          <w:highlight w:val="none"/>
          <w:u w:val="single"/>
        </w:rPr>
        <w:t xml:space="preserve">       </w:t>
      </w:r>
      <w:r>
        <w:rPr>
          <w:rFonts w:ascii="宋体" w:hAnsi="宋体" w:cs="宋体"/>
          <w:color w:val="auto"/>
          <w:spacing w:val="-95"/>
          <w:sz w:val="24"/>
          <w:highlight w:val="none"/>
        </w:rPr>
        <w:t xml:space="preserve"> </w:t>
      </w:r>
      <w:r>
        <w:rPr>
          <w:rFonts w:ascii="宋体" w:hAnsi="宋体" w:cs="宋体"/>
          <w:color w:val="auto"/>
          <w:spacing w:val="-3"/>
          <w:sz w:val="24"/>
          <w:highlight w:val="none"/>
        </w:rPr>
        <w:t>记录人：</w:t>
      </w:r>
      <w:r>
        <w:rPr>
          <w:rFonts w:ascii="宋体" w:hAnsi="宋体" w:cs="宋体"/>
          <w:color w:val="auto"/>
          <w:spacing w:val="-3"/>
          <w:sz w:val="24"/>
          <w:highlight w:val="none"/>
          <w:u w:val="single"/>
        </w:rPr>
        <w:t xml:space="preserve">       </w:t>
      </w:r>
      <w:r>
        <w:rPr>
          <w:rFonts w:ascii="宋体" w:hAnsi="宋体" w:cs="宋体"/>
          <w:color w:val="auto"/>
          <w:spacing w:val="-109"/>
          <w:sz w:val="24"/>
          <w:highlight w:val="none"/>
        </w:rPr>
        <w:t xml:space="preserve"> </w:t>
      </w:r>
      <w:r>
        <w:rPr>
          <w:rFonts w:ascii="宋体" w:hAnsi="宋体" w:cs="宋体"/>
          <w:color w:val="auto"/>
          <w:spacing w:val="-3"/>
          <w:sz w:val="24"/>
          <w:highlight w:val="none"/>
        </w:rPr>
        <w:t>监标人：</w:t>
      </w:r>
      <w:r>
        <w:rPr>
          <w:rFonts w:ascii="宋体" w:hAnsi="宋体" w:cs="宋体"/>
          <w:color w:val="auto"/>
          <w:spacing w:val="-3"/>
          <w:sz w:val="24"/>
          <w:highlight w:val="none"/>
          <w:u w:val="single"/>
        </w:rPr>
        <w:t xml:space="preserve">        </w:t>
      </w:r>
    </w:p>
    <w:p w14:paraId="519D4643">
      <w:pPr>
        <w:shd w:val="clear" w:color="auto" w:fill="auto"/>
        <w:tabs>
          <w:tab w:val="left" w:pos="6387"/>
        </w:tabs>
        <w:spacing w:before="147" w:line="219" w:lineRule="auto"/>
        <w:ind w:left="6028"/>
        <w:rPr>
          <w:rFonts w:ascii="宋体" w:hAnsi="宋体" w:cs="宋体"/>
          <w:color w:val="auto"/>
          <w:sz w:val="24"/>
          <w:highlight w:val="none"/>
        </w:rPr>
      </w:pPr>
      <w:r>
        <w:rPr>
          <w:rFonts w:ascii="宋体" w:hAnsi="宋体" w:cs="宋体"/>
          <w:color w:val="auto"/>
          <w:sz w:val="24"/>
          <w:highlight w:val="none"/>
          <w:u w:val="single"/>
        </w:rPr>
        <w:tab/>
      </w:r>
      <w:r>
        <w:rPr>
          <w:rFonts w:ascii="宋体" w:hAnsi="宋体" w:cs="宋体"/>
          <w:color w:val="auto"/>
          <w:spacing w:val="-108"/>
          <w:sz w:val="24"/>
          <w:highlight w:val="none"/>
        </w:rPr>
        <w:t xml:space="preserve"> </w:t>
      </w:r>
      <w:r>
        <w:rPr>
          <w:rFonts w:ascii="宋体" w:hAnsi="宋体" w:cs="宋体"/>
          <w:color w:val="auto"/>
          <w:spacing w:val="-9"/>
          <w:sz w:val="24"/>
          <w:highlight w:val="none"/>
        </w:rPr>
        <w:t>年</w:t>
      </w:r>
      <w:r>
        <w:rPr>
          <w:rFonts w:ascii="宋体" w:hAnsi="宋体" w:cs="宋体"/>
          <w:color w:val="auto"/>
          <w:spacing w:val="59"/>
          <w:sz w:val="24"/>
          <w:highlight w:val="none"/>
          <w:u w:val="single"/>
        </w:rPr>
        <w:t xml:space="preserve">  </w:t>
      </w:r>
      <w:r>
        <w:rPr>
          <w:rFonts w:ascii="宋体" w:hAnsi="宋体" w:cs="宋体"/>
          <w:color w:val="auto"/>
          <w:spacing w:val="-103"/>
          <w:sz w:val="24"/>
          <w:highlight w:val="none"/>
        </w:rPr>
        <w:t xml:space="preserve"> </w:t>
      </w:r>
      <w:r>
        <w:rPr>
          <w:rFonts w:ascii="宋体" w:hAnsi="宋体" w:cs="宋体"/>
          <w:color w:val="auto"/>
          <w:spacing w:val="-9"/>
          <w:sz w:val="24"/>
          <w:highlight w:val="none"/>
        </w:rPr>
        <w:t>月</w:t>
      </w:r>
      <w:r>
        <w:rPr>
          <w:rFonts w:ascii="宋体" w:hAnsi="宋体" w:cs="宋体"/>
          <w:color w:val="auto"/>
          <w:spacing w:val="59"/>
          <w:sz w:val="24"/>
          <w:highlight w:val="none"/>
          <w:u w:val="single"/>
        </w:rPr>
        <w:t xml:space="preserve">  </w:t>
      </w:r>
      <w:r>
        <w:rPr>
          <w:rFonts w:ascii="宋体" w:hAnsi="宋体" w:cs="宋体"/>
          <w:color w:val="auto"/>
          <w:spacing w:val="-67"/>
          <w:sz w:val="24"/>
          <w:highlight w:val="none"/>
        </w:rPr>
        <w:t xml:space="preserve"> </w:t>
      </w:r>
      <w:r>
        <w:rPr>
          <w:rFonts w:ascii="宋体" w:hAnsi="宋体" w:cs="宋体"/>
          <w:color w:val="auto"/>
          <w:spacing w:val="-9"/>
          <w:sz w:val="24"/>
          <w:highlight w:val="none"/>
        </w:rPr>
        <w:t>日</w:t>
      </w:r>
    </w:p>
    <w:p w14:paraId="0D1BD43A">
      <w:pPr>
        <w:shd w:val="clear" w:color="auto" w:fill="auto"/>
        <w:spacing w:line="219" w:lineRule="auto"/>
        <w:rPr>
          <w:rFonts w:ascii="宋体" w:hAnsi="宋体" w:cs="宋体"/>
          <w:color w:val="auto"/>
          <w:sz w:val="24"/>
          <w:highlight w:val="none"/>
        </w:rPr>
        <w:sectPr>
          <w:footerReference r:id="rId3" w:type="default"/>
          <w:pgSz w:w="11850" w:h="16783"/>
          <w:pgMar w:top="1440" w:right="1080" w:bottom="1440" w:left="1080" w:header="0" w:footer="992" w:gutter="0"/>
          <w:pgNumType w:start="1"/>
          <w:cols w:space="720" w:num="1"/>
        </w:sectPr>
      </w:pPr>
    </w:p>
    <w:p w14:paraId="24554FB2">
      <w:pPr>
        <w:shd w:val="clear" w:color="auto" w:fill="auto"/>
        <w:spacing w:before="50" w:line="219" w:lineRule="auto"/>
        <w:ind w:left="28"/>
        <w:rPr>
          <w:rFonts w:ascii="宋体" w:hAnsi="宋体" w:cs="宋体"/>
          <w:color w:val="auto"/>
          <w:sz w:val="24"/>
          <w:highlight w:val="none"/>
        </w:rPr>
      </w:pPr>
      <w:r>
        <w:rPr>
          <w:rFonts w:ascii="宋体" w:hAnsi="宋体" w:cs="宋体"/>
          <w:color w:val="auto"/>
          <w:spacing w:val="-2"/>
          <w:sz w:val="24"/>
          <w:highlight w:val="none"/>
        </w:rPr>
        <w:t>附件二：问题澄清通知</w:t>
      </w:r>
    </w:p>
    <w:p w14:paraId="461076D9">
      <w:pPr>
        <w:shd w:val="clear" w:color="auto" w:fill="auto"/>
        <w:spacing w:before="188" w:line="228" w:lineRule="auto"/>
        <w:ind w:left="3470"/>
        <w:rPr>
          <w:rFonts w:ascii="黑体" w:hAnsi="黑体" w:eastAsia="黑体" w:cs="黑体"/>
          <w:color w:val="auto"/>
          <w:sz w:val="35"/>
          <w:szCs w:val="35"/>
          <w:highlight w:val="none"/>
        </w:rPr>
      </w:pPr>
      <w:r>
        <w:rPr>
          <w:rFonts w:ascii="黑体" w:hAnsi="黑体" w:eastAsia="黑体" w:cs="黑体"/>
          <w:color w:val="auto"/>
          <w:spacing w:val="4"/>
          <w:sz w:val="35"/>
          <w:szCs w:val="35"/>
          <w:highlight w:val="none"/>
        </w:rPr>
        <w:t>问题澄清通知</w:t>
      </w:r>
    </w:p>
    <w:p w14:paraId="68E7B360">
      <w:pPr>
        <w:pStyle w:val="5"/>
        <w:shd w:val="clear" w:color="auto" w:fill="auto"/>
        <w:spacing w:line="264" w:lineRule="auto"/>
        <w:rPr>
          <w:color w:val="auto"/>
          <w:highlight w:val="none"/>
        </w:rPr>
      </w:pPr>
    </w:p>
    <w:p w14:paraId="0D4B4601">
      <w:pPr>
        <w:shd w:val="clear" w:color="auto" w:fill="auto"/>
        <w:spacing w:before="78" w:line="219" w:lineRule="auto"/>
        <w:ind w:left="7604"/>
        <w:rPr>
          <w:rFonts w:ascii="宋体" w:hAnsi="宋体" w:cs="宋体"/>
          <w:color w:val="auto"/>
          <w:sz w:val="24"/>
          <w:highlight w:val="none"/>
        </w:rPr>
      </w:pPr>
      <w:r>
        <w:rPr>
          <w:rFonts w:ascii="宋体" w:hAnsi="宋体" w:cs="宋体"/>
          <w:color w:val="auto"/>
          <w:spacing w:val="-4"/>
          <w:sz w:val="24"/>
          <w:highlight w:val="none"/>
        </w:rPr>
        <w:t>编号：</w:t>
      </w:r>
      <w:r>
        <w:rPr>
          <w:rFonts w:ascii="宋体" w:hAnsi="宋体" w:cs="宋体"/>
          <w:color w:val="auto"/>
          <w:sz w:val="24"/>
          <w:highlight w:val="none"/>
          <w:u w:val="single"/>
        </w:rPr>
        <w:t xml:space="preserve">      </w:t>
      </w:r>
    </w:p>
    <w:p w14:paraId="5A8B1DCB">
      <w:pPr>
        <w:shd w:val="clear" w:color="auto" w:fill="auto"/>
        <w:tabs>
          <w:tab w:val="left" w:pos="125"/>
        </w:tabs>
        <w:spacing w:before="220" w:line="213" w:lineRule="auto"/>
        <w:rPr>
          <w:rFonts w:ascii="宋体" w:hAnsi="宋体" w:cs="宋体"/>
          <w:color w:val="auto"/>
          <w:sz w:val="24"/>
          <w:highlight w:val="none"/>
        </w:rPr>
      </w:pPr>
      <w:r>
        <w:rPr>
          <w:rFonts w:ascii="宋体" w:hAnsi="宋体" w:cs="宋体"/>
          <w:color w:val="auto"/>
          <w:sz w:val="25"/>
          <w:szCs w:val="25"/>
          <w:highlight w:val="none"/>
          <w:u w:val="single"/>
        </w:rPr>
        <w:tab/>
      </w:r>
      <w:r>
        <w:rPr>
          <w:rFonts w:ascii="宋体" w:hAnsi="宋体" w:cs="宋体"/>
          <w:i/>
          <w:iCs/>
          <w:color w:val="auto"/>
          <w:spacing w:val="-20"/>
          <w:sz w:val="25"/>
          <w:szCs w:val="25"/>
          <w:highlight w:val="none"/>
          <w:u w:val="single"/>
        </w:rPr>
        <w:t>（投标人名称</w:t>
      </w:r>
      <w:r>
        <w:rPr>
          <w:rFonts w:ascii="宋体" w:hAnsi="宋体" w:cs="宋体"/>
          <w:i/>
          <w:iCs/>
          <w:color w:val="auto"/>
          <w:spacing w:val="-38"/>
          <w:sz w:val="25"/>
          <w:szCs w:val="25"/>
          <w:highlight w:val="none"/>
          <w:u w:val="single"/>
        </w:rPr>
        <w:t>）</w:t>
      </w:r>
      <w:r>
        <w:rPr>
          <w:rFonts w:ascii="宋体" w:hAnsi="宋体" w:cs="宋体"/>
          <w:color w:val="auto"/>
          <w:spacing w:val="-38"/>
          <w:sz w:val="24"/>
          <w:highlight w:val="none"/>
        </w:rPr>
        <w:t>：</w:t>
      </w:r>
    </w:p>
    <w:p w14:paraId="3A89536B">
      <w:pPr>
        <w:pStyle w:val="5"/>
        <w:shd w:val="clear" w:color="auto" w:fill="auto"/>
        <w:spacing w:line="308" w:lineRule="auto"/>
        <w:rPr>
          <w:color w:val="auto"/>
          <w:highlight w:val="none"/>
        </w:rPr>
      </w:pPr>
    </w:p>
    <w:p w14:paraId="3E71A2C5">
      <w:pPr>
        <w:pStyle w:val="5"/>
        <w:shd w:val="clear" w:color="auto" w:fill="auto"/>
        <w:spacing w:line="309" w:lineRule="auto"/>
        <w:rPr>
          <w:color w:val="auto"/>
          <w:highlight w:val="none"/>
        </w:rPr>
      </w:pPr>
    </w:p>
    <w:p w14:paraId="463D08C1">
      <w:pPr>
        <w:shd w:val="clear" w:color="auto" w:fill="auto"/>
        <w:tabs>
          <w:tab w:val="left" w:pos="3420"/>
        </w:tabs>
        <w:spacing w:before="82" w:line="422" w:lineRule="auto"/>
        <w:ind w:left="439"/>
        <w:rPr>
          <w:rFonts w:ascii="宋体" w:hAnsi="宋体" w:cs="宋体"/>
          <w:color w:val="auto"/>
          <w:sz w:val="24"/>
          <w:highlight w:val="none"/>
        </w:rPr>
      </w:pPr>
      <w:r>
        <w:rPr>
          <w:rFonts w:ascii="宋体" w:hAnsi="宋体" w:cs="宋体"/>
          <w:color w:val="auto"/>
          <w:sz w:val="25"/>
          <w:szCs w:val="25"/>
          <w:highlight w:val="none"/>
          <w:u w:val="single"/>
        </w:rPr>
        <w:tab/>
      </w:r>
      <w:r>
        <w:rPr>
          <w:rFonts w:ascii="宋体" w:hAnsi="宋体" w:cs="宋体"/>
          <w:i/>
          <w:iCs/>
          <w:color w:val="auto"/>
          <w:spacing w:val="-12"/>
          <w:sz w:val="25"/>
          <w:szCs w:val="25"/>
          <w:highlight w:val="none"/>
          <w:u w:val="single"/>
        </w:rPr>
        <w:t>（项目名称）</w:t>
      </w:r>
      <w:r>
        <w:rPr>
          <w:rFonts w:ascii="宋体" w:hAnsi="宋体" w:cs="宋体"/>
          <w:color w:val="auto"/>
          <w:spacing w:val="-12"/>
          <w:sz w:val="24"/>
          <w:highlight w:val="none"/>
        </w:rPr>
        <w:t>工程总承包招标的评标委员会，对你方的</w:t>
      </w:r>
      <w:r>
        <w:rPr>
          <w:rFonts w:ascii="宋体" w:hAnsi="宋体" w:cs="宋体"/>
          <w:color w:val="auto"/>
          <w:spacing w:val="-1"/>
          <w:sz w:val="24"/>
          <w:highlight w:val="none"/>
        </w:rPr>
        <w:t>投标文件进行了仔细的审查，现需你方对下列问题以书面形式予以澄清：</w:t>
      </w:r>
    </w:p>
    <w:p w14:paraId="4A7F422B">
      <w:pPr>
        <w:shd w:val="clear" w:color="auto" w:fill="auto"/>
        <w:spacing w:before="314" w:line="184" w:lineRule="auto"/>
        <w:ind w:left="466"/>
        <w:rPr>
          <w:rFonts w:ascii="宋体" w:hAnsi="宋体" w:cs="宋体"/>
          <w:color w:val="auto"/>
          <w:sz w:val="24"/>
          <w:highlight w:val="none"/>
        </w:rPr>
      </w:pPr>
      <w:r>
        <w:rPr>
          <w:rFonts w:ascii="宋体" w:hAnsi="宋体" w:cs="宋体"/>
          <w:color w:val="auto"/>
          <w:spacing w:val="-14"/>
          <w:sz w:val="24"/>
          <w:highlight w:val="none"/>
        </w:rPr>
        <w:t>1.</w:t>
      </w:r>
    </w:p>
    <w:p w14:paraId="2BEB7493">
      <w:pPr>
        <w:pStyle w:val="5"/>
        <w:shd w:val="clear" w:color="auto" w:fill="auto"/>
        <w:spacing w:line="272" w:lineRule="auto"/>
        <w:rPr>
          <w:color w:val="auto"/>
          <w:highlight w:val="none"/>
        </w:rPr>
      </w:pPr>
    </w:p>
    <w:p w14:paraId="692D87D4">
      <w:pPr>
        <w:pStyle w:val="5"/>
        <w:shd w:val="clear" w:color="auto" w:fill="auto"/>
        <w:spacing w:line="272" w:lineRule="auto"/>
        <w:rPr>
          <w:color w:val="auto"/>
          <w:highlight w:val="none"/>
        </w:rPr>
      </w:pPr>
    </w:p>
    <w:p w14:paraId="2D14A43B">
      <w:pPr>
        <w:shd w:val="clear" w:color="auto" w:fill="auto"/>
        <w:spacing w:before="79" w:line="183" w:lineRule="auto"/>
        <w:ind w:left="451"/>
        <w:rPr>
          <w:rFonts w:ascii="宋体" w:hAnsi="宋体" w:cs="宋体"/>
          <w:color w:val="auto"/>
          <w:sz w:val="24"/>
          <w:highlight w:val="none"/>
        </w:rPr>
      </w:pPr>
      <w:r>
        <w:rPr>
          <w:rFonts w:ascii="宋体" w:hAnsi="宋体" w:cs="宋体"/>
          <w:color w:val="auto"/>
          <w:spacing w:val="-7"/>
          <w:sz w:val="24"/>
          <w:highlight w:val="none"/>
        </w:rPr>
        <w:t>2.</w:t>
      </w:r>
    </w:p>
    <w:p w14:paraId="3115411A">
      <w:pPr>
        <w:pStyle w:val="5"/>
        <w:shd w:val="clear" w:color="auto" w:fill="auto"/>
        <w:spacing w:line="341" w:lineRule="auto"/>
        <w:rPr>
          <w:color w:val="auto"/>
          <w:highlight w:val="none"/>
        </w:rPr>
      </w:pPr>
    </w:p>
    <w:p w14:paraId="53FD563D">
      <w:pPr>
        <w:pStyle w:val="5"/>
        <w:shd w:val="clear" w:color="auto" w:fill="auto"/>
        <w:spacing w:line="341" w:lineRule="auto"/>
        <w:rPr>
          <w:color w:val="auto"/>
          <w:highlight w:val="none"/>
        </w:rPr>
      </w:pPr>
    </w:p>
    <w:p w14:paraId="554DE96A">
      <w:pPr>
        <w:shd w:val="clear" w:color="auto" w:fill="auto"/>
        <w:spacing w:before="78" w:line="99" w:lineRule="exact"/>
        <w:ind w:left="455"/>
        <w:rPr>
          <w:rFonts w:ascii="宋体" w:hAnsi="宋体" w:cs="宋体"/>
          <w:color w:val="auto"/>
          <w:sz w:val="24"/>
          <w:highlight w:val="none"/>
        </w:rPr>
      </w:pPr>
      <w:r>
        <w:rPr>
          <w:rFonts w:ascii="宋体" w:hAnsi="宋体" w:cs="宋体"/>
          <w:color w:val="auto"/>
          <w:position w:val="1"/>
          <w:sz w:val="24"/>
          <w:highlight w:val="none"/>
        </w:rPr>
        <w:t>......</w:t>
      </w:r>
    </w:p>
    <w:p w14:paraId="0DA357BB">
      <w:pPr>
        <w:pStyle w:val="5"/>
        <w:shd w:val="clear" w:color="auto" w:fill="auto"/>
        <w:spacing w:line="248" w:lineRule="auto"/>
        <w:rPr>
          <w:color w:val="auto"/>
          <w:highlight w:val="none"/>
        </w:rPr>
      </w:pPr>
    </w:p>
    <w:p w14:paraId="72BD649B">
      <w:pPr>
        <w:pStyle w:val="5"/>
        <w:shd w:val="clear" w:color="auto" w:fill="auto"/>
        <w:spacing w:line="248" w:lineRule="auto"/>
        <w:rPr>
          <w:color w:val="auto"/>
          <w:highlight w:val="none"/>
        </w:rPr>
      </w:pPr>
    </w:p>
    <w:p w14:paraId="4F543CB5">
      <w:pPr>
        <w:pStyle w:val="5"/>
        <w:shd w:val="clear" w:color="auto" w:fill="auto"/>
        <w:spacing w:line="249" w:lineRule="auto"/>
        <w:rPr>
          <w:color w:val="auto"/>
          <w:highlight w:val="none"/>
        </w:rPr>
      </w:pPr>
    </w:p>
    <w:p w14:paraId="271DD8B9">
      <w:pPr>
        <w:shd w:val="clear" w:color="auto" w:fill="auto"/>
        <w:spacing w:before="79" w:line="436" w:lineRule="auto"/>
        <w:ind w:right="31"/>
        <w:jc w:val="right"/>
        <w:rPr>
          <w:rFonts w:ascii="宋体" w:hAnsi="宋体" w:cs="宋体"/>
          <w:color w:val="auto"/>
          <w:sz w:val="24"/>
          <w:highlight w:val="none"/>
        </w:rPr>
      </w:pPr>
      <w:r>
        <w:rPr>
          <w:rFonts w:ascii="宋体" w:hAnsi="宋体" w:cs="宋体"/>
          <w:color w:val="auto"/>
          <w:spacing w:val="-2"/>
          <w:sz w:val="24"/>
          <w:highlight w:val="none"/>
        </w:rPr>
        <w:t>请将上述问题的澄清于</w:t>
      </w:r>
      <w:r>
        <w:rPr>
          <w:rFonts w:ascii="宋体" w:hAnsi="宋体" w:cs="宋体"/>
          <w:color w:val="auto"/>
          <w:spacing w:val="-2"/>
          <w:sz w:val="24"/>
          <w:highlight w:val="none"/>
          <w:u w:val="single"/>
        </w:rPr>
        <w:t xml:space="preserve">          </w:t>
      </w:r>
      <w:r>
        <w:rPr>
          <w:rFonts w:ascii="宋体" w:hAnsi="宋体" w:cs="宋体"/>
          <w:color w:val="auto"/>
          <w:spacing w:val="-96"/>
          <w:sz w:val="24"/>
          <w:highlight w:val="none"/>
        </w:rPr>
        <w:t xml:space="preserve"> </w:t>
      </w:r>
      <w:r>
        <w:rPr>
          <w:rFonts w:ascii="宋体" w:hAnsi="宋体" w:cs="宋体"/>
          <w:color w:val="auto"/>
          <w:spacing w:val="-2"/>
          <w:sz w:val="24"/>
          <w:highlight w:val="none"/>
        </w:rPr>
        <w:t>年</w:t>
      </w:r>
      <w:r>
        <w:rPr>
          <w:rFonts w:ascii="宋体" w:hAnsi="宋体" w:cs="宋体"/>
          <w:color w:val="auto"/>
          <w:spacing w:val="-2"/>
          <w:sz w:val="24"/>
          <w:highlight w:val="none"/>
          <w:u w:val="single"/>
        </w:rPr>
        <w:t xml:space="preserve">   </w:t>
      </w:r>
      <w:r>
        <w:rPr>
          <w:rFonts w:ascii="宋体" w:hAnsi="宋体" w:cs="宋体"/>
          <w:color w:val="auto"/>
          <w:spacing w:val="-104"/>
          <w:sz w:val="24"/>
          <w:highlight w:val="none"/>
        </w:rPr>
        <w:t xml:space="preserve"> </w:t>
      </w:r>
      <w:r>
        <w:rPr>
          <w:rFonts w:ascii="宋体" w:hAnsi="宋体" w:cs="宋体"/>
          <w:color w:val="auto"/>
          <w:spacing w:val="-2"/>
          <w:sz w:val="24"/>
          <w:highlight w:val="none"/>
        </w:rPr>
        <w:t>月</w:t>
      </w:r>
      <w:r>
        <w:rPr>
          <w:rFonts w:ascii="宋体" w:hAnsi="宋体" w:cs="宋体"/>
          <w:color w:val="auto"/>
          <w:spacing w:val="-2"/>
          <w:sz w:val="24"/>
          <w:highlight w:val="none"/>
          <w:u w:val="single"/>
        </w:rPr>
        <w:t xml:space="preserve">   </w:t>
      </w:r>
      <w:r>
        <w:rPr>
          <w:rFonts w:ascii="宋体" w:hAnsi="宋体" w:cs="宋体"/>
          <w:color w:val="auto"/>
          <w:spacing w:val="-70"/>
          <w:sz w:val="24"/>
          <w:highlight w:val="none"/>
        </w:rPr>
        <w:t xml:space="preserve"> </w:t>
      </w:r>
      <w:r>
        <w:rPr>
          <w:rFonts w:ascii="宋体" w:hAnsi="宋体" w:cs="宋体"/>
          <w:color w:val="auto"/>
          <w:spacing w:val="-2"/>
          <w:sz w:val="24"/>
          <w:highlight w:val="none"/>
        </w:rPr>
        <w:t>日</w:t>
      </w:r>
      <w:r>
        <w:rPr>
          <w:rFonts w:ascii="宋体" w:hAnsi="宋体" w:cs="宋体"/>
          <w:color w:val="auto"/>
          <w:spacing w:val="3"/>
          <w:sz w:val="24"/>
          <w:highlight w:val="none"/>
          <w:u w:val="single"/>
        </w:rPr>
        <w:t xml:space="preserve">   </w:t>
      </w:r>
      <w:r>
        <w:rPr>
          <w:rFonts w:ascii="宋体" w:hAnsi="宋体" w:cs="宋体"/>
          <w:color w:val="auto"/>
          <w:spacing w:val="-98"/>
          <w:sz w:val="24"/>
          <w:highlight w:val="none"/>
        </w:rPr>
        <w:t xml:space="preserve"> </w:t>
      </w:r>
      <w:r>
        <w:rPr>
          <w:rFonts w:ascii="宋体" w:hAnsi="宋体" w:cs="宋体"/>
          <w:color w:val="auto"/>
          <w:spacing w:val="-2"/>
          <w:sz w:val="24"/>
          <w:highlight w:val="none"/>
        </w:rPr>
        <w:t>时前通过交易中心电子招标投</w:t>
      </w:r>
    </w:p>
    <w:p w14:paraId="7BEADF5E">
      <w:pPr>
        <w:shd w:val="clear" w:color="auto" w:fill="auto"/>
        <w:spacing w:line="220" w:lineRule="auto"/>
        <w:ind w:left="10"/>
        <w:rPr>
          <w:rFonts w:ascii="宋体" w:hAnsi="宋体" w:cs="宋体"/>
          <w:color w:val="auto"/>
          <w:sz w:val="24"/>
          <w:highlight w:val="none"/>
        </w:rPr>
      </w:pPr>
      <w:r>
        <w:rPr>
          <w:rFonts w:ascii="宋体" w:hAnsi="宋体" w:cs="宋体"/>
          <w:color w:val="auto"/>
          <w:spacing w:val="-5"/>
          <w:sz w:val="24"/>
          <w:highlight w:val="none"/>
        </w:rPr>
        <w:t>标交易平台反馈。</w:t>
      </w:r>
    </w:p>
    <w:p w14:paraId="2394B0DF">
      <w:pPr>
        <w:pStyle w:val="5"/>
        <w:shd w:val="clear" w:color="auto" w:fill="auto"/>
        <w:spacing w:line="349" w:lineRule="auto"/>
        <w:rPr>
          <w:color w:val="auto"/>
          <w:highlight w:val="none"/>
        </w:rPr>
      </w:pPr>
    </w:p>
    <w:p w14:paraId="2FA8F30A">
      <w:pPr>
        <w:pStyle w:val="5"/>
        <w:shd w:val="clear" w:color="auto" w:fill="auto"/>
        <w:spacing w:line="350" w:lineRule="auto"/>
        <w:rPr>
          <w:color w:val="auto"/>
          <w:highlight w:val="none"/>
        </w:rPr>
      </w:pPr>
    </w:p>
    <w:p w14:paraId="160602A8">
      <w:pPr>
        <w:shd w:val="clear" w:color="auto" w:fill="auto"/>
        <w:spacing w:before="78" w:line="219" w:lineRule="auto"/>
        <w:ind w:left="447"/>
        <w:rPr>
          <w:rFonts w:ascii="宋体" w:hAnsi="宋体" w:cs="宋体"/>
          <w:color w:val="auto"/>
          <w:sz w:val="24"/>
          <w:highlight w:val="none"/>
        </w:rPr>
      </w:pPr>
      <w:r>
        <w:rPr>
          <w:rFonts w:ascii="宋体" w:hAnsi="宋体" w:cs="宋体"/>
          <w:color w:val="auto"/>
          <w:spacing w:val="2"/>
          <w:sz w:val="24"/>
          <w:highlight w:val="none"/>
        </w:rPr>
        <w:t>评标委员会负责人</w:t>
      </w:r>
      <w:r>
        <w:rPr>
          <w:rFonts w:ascii="宋体" w:hAnsi="宋体" w:cs="宋体"/>
          <w:color w:val="auto"/>
          <w:spacing w:val="-16"/>
          <w:sz w:val="24"/>
          <w:highlight w:val="none"/>
        </w:rPr>
        <w:t>：</w:t>
      </w:r>
      <w:r>
        <w:rPr>
          <w:rFonts w:ascii="宋体" w:hAnsi="宋体" w:cs="宋体"/>
          <w:color w:val="auto"/>
          <w:spacing w:val="-16"/>
          <w:sz w:val="24"/>
          <w:highlight w:val="none"/>
          <w:u w:val="single"/>
        </w:rPr>
        <w:t>（</w:t>
      </w:r>
      <w:r>
        <w:rPr>
          <w:rFonts w:ascii="宋体" w:hAnsi="宋体" w:cs="宋体"/>
          <w:color w:val="auto"/>
          <w:spacing w:val="2"/>
          <w:sz w:val="24"/>
          <w:highlight w:val="none"/>
          <w:u w:val="single"/>
        </w:rPr>
        <w:t>签字）</w:t>
      </w:r>
    </w:p>
    <w:p w14:paraId="6380661E">
      <w:pPr>
        <w:pStyle w:val="5"/>
        <w:shd w:val="clear" w:color="auto" w:fill="auto"/>
        <w:spacing w:line="249" w:lineRule="auto"/>
        <w:rPr>
          <w:color w:val="auto"/>
          <w:highlight w:val="none"/>
        </w:rPr>
      </w:pPr>
    </w:p>
    <w:p w14:paraId="50CCF262">
      <w:pPr>
        <w:pStyle w:val="5"/>
        <w:shd w:val="clear" w:color="auto" w:fill="auto"/>
        <w:spacing w:line="250" w:lineRule="auto"/>
        <w:rPr>
          <w:color w:val="auto"/>
          <w:highlight w:val="none"/>
        </w:rPr>
      </w:pPr>
    </w:p>
    <w:p w14:paraId="3524F0AD">
      <w:pPr>
        <w:shd w:val="clear" w:color="auto" w:fill="auto"/>
        <w:tabs>
          <w:tab w:val="left" w:pos="7655"/>
        </w:tabs>
        <w:spacing w:before="78" w:line="219" w:lineRule="auto"/>
        <w:ind w:left="7415"/>
        <w:rPr>
          <w:rFonts w:ascii="宋体" w:hAnsi="宋体" w:cs="宋体"/>
          <w:color w:val="auto"/>
          <w:sz w:val="24"/>
          <w:highlight w:val="none"/>
        </w:rPr>
      </w:pPr>
      <w:r>
        <w:rPr>
          <w:rFonts w:ascii="宋体" w:hAnsi="宋体" w:cs="宋体"/>
          <w:color w:val="auto"/>
          <w:sz w:val="24"/>
          <w:highlight w:val="none"/>
          <w:u w:val="single"/>
        </w:rPr>
        <w:tab/>
      </w:r>
      <w:r>
        <w:rPr>
          <w:rFonts w:ascii="宋体" w:hAnsi="宋体" w:cs="宋体"/>
          <w:color w:val="auto"/>
          <w:spacing w:val="-108"/>
          <w:sz w:val="24"/>
          <w:highlight w:val="none"/>
        </w:rPr>
        <w:t xml:space="preserve"> </w:t>
      </w:r>
      <w:r>
        <w:rPr>
          <w:rFonts w:ascii="宋体" w:hAnsi="宋体" w:cs="宋体"/>
          <w:color w:val="auto"/>
          <w:spacing w:val="-26"/>
          <w:sz w:val="24"/>
          <w:highlight w:val="none"/>
        </w:rPr>
        <w:t>年</w:t>
      </w:r>
      <w:r>
        <w:rPr>
          <w:rFonts w:ascii="宋体" w:hAnsi="宋体" w:cs="宋体"/>
          <w:color w:val="auto"/>
          <w:sz w:val="24"/>
          <w:highlight w:val="none"/>
          <w:u w:val="single"/>
        </w:rPr>
        <w:t xml:space="preserve">   </w:t>
      </w:r>
      <w:r>
        <w:rPr>
          <w:rFonts w:ascii="宋体" w:hAnsi="宋体" w:cs="宋体"/>
          <w:color w:val="auto"/>
          <w:spacing w:val="-105"/>
          <w:sz w:val="24"/>
          <w:highlight w:val="none"/>
        </w:rPr>
        <w:t xml:space="preserve"> </w:t>
      </w:r>
      <w:r>
        <w:rPr>
          <w:rFonts w:ascii="宋体" w:hAnsi="宋体" w:cs="宋体"/>
          <w:color w:val="auto"/>
          <w:spacing w:val="-26"/>
          <w:sz w:val="24"/>
          <w:highlight w:val="none"/>
        </w:rPr>
        <w:t>月</w:t>
      </w:r>
      <w:r>
        <w:rPr>
          <w:rFonts w:ascii="宋体" w:hAnsi="宋体" w:cs="宋体"/>
          <w:color w:val="auto"/>
          <w:spacing w:val="30"/>
          <w:sz w:val="24"/>
          <w:highlight w:val="none"/>
          <w:u w:val="single"/>
        </w:rPr>
        <w:t xml:space="preserve">  </w:t>
      </w:r>
      <w:r>
        <w:rPr>
          <w:rFonts w:ascii="宋体" w:hAnsi="宋体" w:cs="宋体"/>
          <w:color w:val="auto"/>
          <w:spacing w:val="-70"/>
          <w:sz w:val="24"/>
          <w:highlight w:val="none"/>
        </w:rPr>
        <w:t xml:space="preserve"> </w:t>
      </w:r>
      <w:r>
        <w:rPr>
          <w:rFonts w:ascii="宋体" w:hAnsi="宋体" w:cs="宋体"/>
          <w:color w:val="auto"/>
          <w:spacing w:val="-26"/>
          <w:sz w:val="24"/>
          <w:highlight w:val="none"/>
        </w:rPr>
        <w:t>日</w:t>
      </w:r>
    </w:p>
    <w:p w14:paraId="7EC0059C">
      <w:pPr>
        <w:shd w:val="clear" w:color="auto" w:fill="auto"/>
        <w:spacing w:line="219" w:lineRule="auto"/>
        <w:rPr>
          <w:rFonts w:ascii="宋体" w:hAnsi="宋体" w:cs="宋体"/>
          <w:color w:val="auto"/>
          <w:sz w:val="24"/>
          <w:highlight w:val="none"/>
        </w:rPr>
        <w:sectPr>
          <w:footerReference r:id="rId4" w:type="default"/>
          <w:pgSz w:w="11850" w:h="16783"/>
          <w:pgMar w:top="1426" w:right="1434" w:bottom="1155" w:left="1380" w:header="0" w:footer="992" w:gutter="0"/>
          <w:cols w:space="720" w:num="1"/>
        </w:sectPr>
      </w:pPr>
    </w:p>
    <w:p w14:paraId="70154222">
      <w:pPr>
        <w:shd w:val="clear" w:color="auto" w:fill="auto"/>
        <w:spacing w:before="78" w:line="219" w:lineRule="auto"/>
        <w:ind w:left="28"/>
        <w:rPr>
          <w:rFonts w:ascii="宋体" w:hAnsi="宋体" w:cs="宋体"/>
          <w:color w:val="auto"/>
          <w:sz w:val="24"/>
          <w:highlight w:val="none"/>
        </w:rPr>
      </w:pPr>
      <w:r>
        <w:rPr>
          <w:rFonts w:ascii="宋体" w:hAnsi="宋体" w:cs="宋体"/>
          <w:color w:val="auto"/>
          <w:spacing w:val="-3"/>
          <w:sz w:val="24"/>
          <w:highlight w:val="none"/>
        </w:rPr>
        <w:t>附件三：问题的澄清</w:t>
      </w:r>
    </w:p>
    <w:p w14:paraId="34D05DF5">
      <w:pPr>
        <w:pStyle w:val="5"/>
        <w:shd w:val="clear" w:color="auto" w:fill="auto"/>
        <w:spacing w:line="279" w:lineRule="auto"/>
        <w:rPr>
          <w:color w:val="auto"/>
          <w:highlight w:val="none"/>
        </w:rPr>
      </w:pPr>
    </w:p>
    <w:p w14:paraId="4A6BABB7">
      <w:pPr>
        <w:pStyle w:val="5"/>
        <w:shd w:val="clear" w:color="auto" w:fill="auto"/>
        <w:spacing w:line="279" w:lineRule="auto"/>
        <w:rPr>
          <w:color w:val="auto"/>
          <w:highlight w:val="none"/>
        </w:rPr>
      </w:pPr>
    </w:p>
    <w:p w14:paraId="29D4FD92">
      <w:pPr>
        <w:shd w:val="clear" w:color="auto" w:fill="auto"/>
        <w:spacing w:before="113" w:line="228" w:lineRule="auto"/>
        <w:ind w:left="3650"/>
        <w:rPr>
          <w:rFonts w:ascii="黑体" w:hAnsi="黑体" w:eastAsia="黑体" w:cs="黑体"/>
          <w:color w:val="auto"/>
          <w:sz w:val="35"/>
          <w:szCs w:val="35"/>
          <w:highlight w:val="none"/>
        </w:rPr>
      </w:pPr>
      <w:r>
        <w:rPr>
          <w:rFonts w:ascii="黑体" w:hAnsi="黑体" w:eastAsia="黑体" w:cs="黑体"/>
          <w:color w:val="auto"/>
          <w:spacing w:val="3"/>
          <w:sz w:val="35"/>
          <w:szCs w:val="35"/>
          <w:highlight w:val="none"/>
        </w:rPr>
        <w:t>问题的澄清</w:t>
      </w:r>
    </w:p>
    <w:p w14:paraId="69CB0E2D">
      <w:pPr>
        <w:pStyle w:val="5"/>
        <w:shd w:val="clear" w:color="auto" w:fill="auto"/>
        <w:spacing w:line="264" w:lineRule="auto"/>
        <w:rPr>
          <w:color w:val="auto"/>
          <w:highlight w:val="none"/>
        </w:rPr>
      </w:pPr>
    </w:p>
    <w:p w14:paraId="64112155">
      <w:pPr>
        <w:shd w:val="clear" w:color="auto" w:fill="auto"/>
        <w:spacing w:before="78" w:line="219" w:lineRule="auto"/>
        <w:ind w:left="7844"/>
        <w:rPr>
          <w:rFonts w:ascii="宋体" w:hAnsi="宋体" w:cs="宋体"/>
          <w:color w:val="auto"/>
          <w:sz w:val="24"/>
          <w:highlight w:val="none"/>
        </w:rPr>
      </w:pPr>
      <w:r>
        <w:rPr>
          <w:rFonts w:ascii="宋体" w:hAnsi="宋体" w:cs="宋体"/>
          <w:color w:val="auto"/>
          <w:spacing w:val="-4"/>
          <w:sz w:val="24"/>
          <w:highlight w:val="none"/>
        </w:rPr>
        <w:t>编号：</w:t>
      </w:r>
      <w:r>
        <w:rPr>
          <w:rFonts w:ascii="宋体" w:hAnsi="宋体" w:cs="宋体"/>
          <w:color w:val="auto"/>
          <w:sz w:val="24"/>
          <w:highlight w:val="none"/>
          <w:u w:val="single"/>
        </w:rPr>
        <w:t xml:space="preserve">    </w:t>
      </w:r>
    </w:p>
    <w:p w14:paraId="15E311CC">
      <w:pPr>
        <w:pStyle w:val="5"/>
        <w:shd w:val="clear" w:color="auto" w:fill="auto"/>
        <w:spacing w:line="250" w:lineRule="auto"/>
        <w:rPr>
          <w:color w:val="auto"/>
          <w:highlight w:val="none"/>
        </w:rPr>
      </w:pPr>
    </w:p>
    <w:p w14:paraId="1CC6EE04">
      <w:pPr>
        <w:pStyle w:val="5"/>
        <w:shd w:val="clear" w:color="auto" w:fill="auto"/>
        <w:spacing w:line="251" w:lineRule="auto"/>
        <w:rPr>
          <w:color w:val="auto"/>
          <w:highlight w:val="none"/>
        </w:rPr>
      </w:pPr>
    </w:p>
    <w:p w14:paraId="046F475F">
      <w:pPr>
        <w:shd w:val="clear" w:color="auto" w:fill="auto"/>
        <w:tabs>
          <w:tab w:val="left" w:pos="125"/>
        </w:tabs>
        <w:spacing w:before="81" w:line="212" w:lineRule="auto"/>
        <w:rPr>
          <w:rFonts w:ascii="宋体" w:hAnsi="宋体" w:cs="宋体"/>
          <w:color w:val="auto"/>
          <w:sz w:val="24"/>
          <w:highlight w:val="none"/>
        </w:rPr>
      </w:pPr>
      <w:r>
        <w:rPr>
          <w:rFonts w:ascii="宋体" w:hAnsi="宋体" w:cs="宋体"/>
          <w:color w:val="auto"/>
          <w:sz w:val="25"/>
          <w:szCs w:val="25"/>
          <w:highlight w:val="none"/>
          <w:u w:val="single"/>
        </w:rPr>
        <w:tab/>
      </w:r>
      <w:r>
        <w:rPr>
          <w:rFonts w:ascii="宋体" w:hAnsi="宋体" w:cs="宋体"/>
          <w:i/>
          <w:iCs/>
          <w:color w:val="auto"/>
          <w:spacing w:val="-10"/>
          <w:sz w:val="25"/>
          <w:szCs w:val="25"/>
          <w:highlight w:val="none"/>
          <w:u w:val="single"/>
        </w:rPr>
        <w:t>（项目名称）</w:t>
      </w:r>
      <w:r>
        <w:rPr>
          <w:rFonts w:ascii="宋体" w:hAnsi="宋体" w:cs="宋体"/>
          <w:color w:val="auto"/>
          <w:spacing w:val="-10"/>
          <w:sz w:val="24"/>
          <w:highlight w:val="none"/>
        </w:rPr>
        <w:t>工程总承包招标评标委员会：</w:t>
      </w:r>
    </w:p>
    <w:p w14:paraId="1F2F3F30">
      <w:pPr>
        <w:pStyle w:val="5"/>
        <w:shd w:val="clear" w:color="auto" w:fill="auto"/>
        <w:spacing w:line="248" w:lineRule="auto"/>
        <w:rPr>
          <w:color w:val="auto"/>
          <w:highlight w:val="none"/>
        </w:rPr>
      </w:pPr>
    </w:p>
    <w:p w14:paraId="33CB0C0A">
      <w:pPr>
        <w:pStyle w:val="5"/>
        <w:shd w:val="clear" w:color="auto" w:fill="auto"/>
        <w:spacing w:line="248" w:lineRule="auto"/>
        <w:rPr>
          <w:color w:val="auto"/>
          <w:highlight w:val="none"/>
        </w:rPr>
      </w:pPr>
    </w:p>
    <w:p w14:paraId="3AE430FB">
      <w:pPr>
        <w:shd w:val="clear" w:color="auto" w:fill="auto"/>
        <w:spacing w:before="79" w:line="219" w:lineRule="auto"/>
        <w:ind w:left="516"/>
        <w:rPr>
          <w:rFonts w:ascii="宋体" w:hAnsi="宋体" w:cs="宋体"/>
          <w:color w:val="auto"/>
          <w:sz w:val="24"/>
          <w:highlight w:val="none"/>
        </w:rPr>
      </w:pPr>
      <w:r>
        <w:rPr>
          <w:rFonts w:ascii="宋体" w:hAnsi="宋体" w:cs="宋体"/>
          <w:color w:val="auto"/>
          <w:spacing w:val="-4"/>
          <w:sz w:val="24"/>
          <w:highlight w:val="none"/>
        </w:rPr>
        <w:t>问题澄清通知（编号</w:t>
      </w:r>
      <w:r>
        <w:rPr>
          <w:rFonts w:ascii="宋体" w:hAnsi="宋体" w:cs="宋体"/>
          <w:color w:val="auto"/>
          <w:spacing w:val="1"/>
          <w:sz w:val="24"/>
          <w:highlight w:val="none"/>
        </w:rPr>
        <w:t>：</w:t>
      </w:r>
      <w:r>
        <w:rPr>
          <w:rFonts w:ascii="宋体" w:hAnsi="宋体" w:cs="宋体"/>
          <w:color w:val="auto"/>
          <w:spacing w:val="6"/>
          <w:sz w:val="24"/>
          <w:highlight w:val="none"/>
          <w:u w:val="single"/>
        </w:rPr>
        <w:t xml:space="preserve">           </w:t>
      </w:r>
      <w:r>
        <w:rPr>
          <w:rFonts w:ascii="宋体" w:hAnsi="宋体" w:cs="宋体"/>
          <w:color w:val="auto"/>
          <w:spacing w:val="-83"/>
          <w:sz w:val="24"/>
          <w:highlight w:val="none"/>
        </w:rPr>
        <w:t xml:space="preserve"> </w:t>
      </w:r>
      <w:r>
        <w:rPr>
          <w:rFonts w:ascii="宋体" w:hAnsi="宋体" w:cs="宋体"/>
          <w:color w:val="auto"/>
          <w:spacing w:val="1"/>
          <w:sz w:val="24"/>
          <w:highlight w:val="none"/>
        </w:rPr>
        <w:t>）</w:t>
      </w:r>
      <w:r>
        <w:rPr>
          <w:rFonts w:ascii="宋体" w:hAnsi="宋体" w:cs="宋体"/>
          <w:color w:val="auto"/>
          <w:spacing w:val="-4"/>
          <w:sz w:val="24"/>
          <w:highlight w:val="none"/>
        </w:rPr>
        <w:t>已收悉，现澄清如下：</w:t>
      </w:r>
    </w:p>
    <w:p w14:paraId="26E76134">
      <w:pPr>
        <w:pStyle w:val="5"/>
        <w:shd w:val="clear" w:color="auto" w:fill="auto"/>
        <w:spacing w:line="267" w:lineRule="auto"/>
        <w:rPr>
          <w:color w:val="auto"/>
          <w:highlight w:val="none"/>
        </w:rPr>
      </w:pPr>
    </w:p>
    <w:p w14:paraId="6854E8F2">
      <w:pPr>
        <w:pStyle w:val="5"/>
        <w:shd w:val="clear" w:color="auto" w:fill="auto"/>
        <w:spacing w:line="267" w:lineRule="auto"/>
        <w:rPr>
          <w:color w:val="auto"/>
          <w:highlight w:val="none"/>
        </w:rPr>
      </w:pPr>
    </w:p>
    <w:p w14:paraId="7FC742BB">
      <w:pPr>
        <w:shd w:val="clear" w:color="auto" w:fill="auto"/>
        <w:spacing w:before="78" w:line="184" w:lineRule="auto"/>
        <w:ind w:left="466"/>
        <w:rPr>
          <w:rFonts w:ascii="宋体" w:hAnsi="宋体" w:cs="宋体"/>
          <w:color w:val="auto"/>
          <w:sz w:val="24"/>
          <w:highlight w:val="none"/>
        </w:rPr>
      </w:pPr>
      <w:r>
        <w:rPr>
          <w:rFonts w:ascii="宋体" w:hAnsi="宋体" w:cs="宋体"/>
          <w:color w:val="auto"/>
          <w:spacing w:val="-14"/>
          <w:sz w:val="24"/>
          <w:highlight w:val="none"/>
        </w:rPr>
        <w:t>1.</w:t>
      </w:r>
    </w:p>
    <w:p w14:paraId="5024A3CE">
      <w:pPr>
        <w:pStyle w:val="5"/>
        <w:shd w:val="clear" w:color="auto" w:fill="auto"/>
        <w:spacing w:line="272" w:lineRule="auto"/>
        <w:rPr>
          <w:color w:val="auto"/>
          <w:highlight w:val="none"/>
        </w:rPr>
      </w:pPr>
    </w:p>
    <w:p w14:paraId="28870C41">
      <w:pPr>
        <w:pStyle w:val="5"/>
        <w:shd w:val="clear" w:color="auto" w:fill="auto"/>
        <w:spacing w:line="272" w:lineRule="auto"/>
        <w:rPr>
          <w:color w:val="auto"/>
          <w:highlight w:val="none"/>
        </w:rPr>
      </w:pPr>
    </w:p>
    <w:p w14:paraId="3AEB00AB">
      <w:pPr>
        <w:shd w:val="clear" w:color="auto" w:fill="auto"/>
        <w:spacing w:before="79" w:line="183" w:lineRule="auto"/>
        <w:ind w:left="451"/>
        <w:rPr>
          <w:rFonts w:ascii="宋体" w:hAnsi="宋体" w:cs="宋体"/>
          <w:color w:val="auto"/>
          <w:sz w:val="24"/>
          <w:highlight w:val="none"/>
        </w:rPr>
      </w:pPr>
      <w:r>
        <w:rPr>
          <w:rFonts w:ascii="宋体" w:hAnsi="宋体" w:cs="宋体"/>
          <w:color w:val="auto"/>
          <w:spacing w:val="-7"/>
          <w:sz w:val="24"/>
          <w:highlight w:val="none"/>
        </w:rPr>
        <w:t>2.</w:t>
      </w:r>
    </w:p>
    <w:p w14:paraId="37CFC476">
      <w:pPr>
        <w:pStyle w:val="5"/>
        <w:shd w:val="clear" w:color="auto" w:fill="auto"/>
        <w:spacing w:line="341" w:lineRule="auto"/>
        <w:rPr>
          <w:color w:val="auto"/>
          <w:highlight w:val="none"/>
        </w:rPr>
      </w:pPr>
    </w:p>
    <w:p w14:paraId="7F6EFE4C">
      <w:pPr>
        <w:pStyle w:val="5"/>
        <w:shd w:val="clear" w:color="auto" w:fill="auto"/>
        <w:spacing w:line="341" w:lineRule="auto"/>
        <w:rPr>
          <w:color w:val="auto"/>
          <w:highlight w:val="none"/>
        </w:rPr>
      </w:pPr>
    </w:p>
    <w:p w14:paraId="084EFFFD">
      <w:pPr>
        <w:shd w:val="clear" w:color="auto" w:fill="auto"/>
        <w:spacing w:before="79" w:line="99" w:lineRule="exact"/>
        <w:ind w:left="455"/>
        <w:rPr>
          <w:rFonts w:ascii="宋体" w:hAnsi="宋体" w:cs="宋体"/>
          <w:color w:val="auto"/>
          <w:sz w:val="24"/>
          <w:highlight w:val="none"/>
        </w:rPr>
      </w:pPr>
      <w:r>
        <w:rPr>
          <w:rFonts w:ascii="宋体" w:hAnsi="宋体" w:cs="宋体"/>
          <w:color w:val="auto"/>
          <w:position w:val="1"/>
          <w:sz w:val="24"/>
          <w:highlight w:val="none"/>
        </w:rPr>
        <w:t>.....</w:t>
      </w:r>
    </w:p>
    <w:p w14:paraId="039B713F">
      <w:pPr>
        <w:pStyle w:val="5"/>
        <w:shd w:val="clear" w:color="auto" w:fill="auto"/>
        <w:spacing w:line="292" w:lineRule="auto"/>
        <w:rPr>
          <w:color w:val="auto"/>
          <w:highlight w:val="none"/>
        </w:rPr>
      </w:pPr>
    </w:p>
    <w:p w14:paraId="7402083C">
      <w:pPr>
        <w:pStyle w:val="5"/>
        <w:shd w:val="clear" w:color="auto" w:fill="auto"/>
        <w:spacing w:line="293" w:lineRule="auto"/>
        <w:rPr>
          <w:color w:val="auto"/>
          <w:highlight w:val="none"/>
        </w:rPr>
      </w:pPr>
    </w:p>
    <w:p w14:paraId="4557A0C2">
      <w:pPr>
        <w:shd w:val="clear" w:color="auto" w:fill="auto"/>
        <w:spacing w:before="78" w:line="220" w:lineRule="auto"/>
        <w:ind w:left="3331"/>
        <w:rPr>
          <w:rFonts w:ascii="宋体" w:hAnsi="宋体" w:cs="宋体"/>
          <w:color w:val="auto"/>
          <w:sz w:val="24"/>
          <w:highlight w:val="none"/>
        </w:rPr>
      </w:pPr>
      <w:r>
        <w:rPr>
          <w:rFonts w:ascii="宋体" w:hAnsi="宋体" w:cs="宋体"/>
          <w:color w:val="auto"/>
          <w:spacing w:val="2"/>
          <w:sz w:val="24"/>
          <w:highlight w:val="none"/>
        </w:rPr>
        <w:t>投标人</w:t>
      </w:r>
      <w:r>
        <w:rPr>
          <w:rFonts w:ascii="宋体" w:hAnsi="宋体" w:cs="宋体"/>
          <w:color w:val="auto"/>
          <w:spacing w:val="-15"/>
          <w:sz w:val="24"/>
          <w:highlight w:val="none"/>
        </w:rPr>
        <w:t>：</w:t>
      </w:r>
      <w:r>
        <w:rPr>
          <w:rFonts w:ascii="宋体" w:hAnsi="宋体" w:cs="宋体"/>
          <w:color w:val="auto"/>
          <w:sz w:val="24"/>
          <w:highlight w:val="none"/>
          <w:u w:val="single"/>
        </w:rPr>
        <w:t xml:space="preserve">                        </w:t>
      </w:r>
      <w:r>
        <w:rPr>
          <w:rFonts w:ascii="宋体" w:hAnsi="宋体" w:cs="宋体"/>
          <w:color w:val="auto"/>
          <w:spacing w:val="-15"/>
          <w:sz w:val="24"/>
          <w:highlight w:val="none"/>
        </w:rPr>
        <w:t>（</w:t>
      </w:r>
      <w:r>
        <w:rPr>
          <w:rFonts w:ascii="宋体" w:hAnsi="宋体" w:cs="宋体"/>
          <w:color w:val="auto"/>
          <w:spacing w:val="2"/>
          <w:sz w:val="24"/>
          <w:highlight w:val="none"/>
        </w:rPr>
        <w:t>单位名称）</w:t>
      </w:r>
    </w:p>
    <w:p w14:paraId="3EEF1742">
      <w:pPr>
        <w:shd w:val="clear" w:color="auto" w:fill="auto"/>
        <w:spacing w:before="303" w:line="452" w:lineRule="auto"/>
        <w:ind w:left="3370"/>
        <w:rPr>
          <w:rFonts w:ascii="宋体" w:hAnsi="宋体" w:cs="宋体"/>
          <w:color w:val="auto"/>
          <w:sz w:val="24"/>
          <w:highlight w:val="none"/>
        </w:rPr>
      </w:pPr>
      <w:r>
        <w:rPr>
          <w:rFonts w:ascii="宋体" w:hAnsi="宋体" w:cs="宋体"/>
          <w:color w:val="auto"/>
          <w:spacing w:val="1"/>
          <w:sz w:val="24"/>
          <w:highlight w:val="none"/>
        </w:rPr>
        <w:t>法定代表人或其委托代理人</w:t>
      </w:r>
      <w:r>
        <w:rPr>
          <w:rFonts w:ascii="宋体" w:hAnsi="宋体" w:cs="宋体"/>
          <w:color w:val="auto"/>
          <w:spacing w:val="-15"/>
          <w:sz w:val="24"/>
          <w:highlight w:val="none"/>
        </w:rPr>
        <w:t>：</w:t>
      </w:r>
      <w:r>
        <w:rPr>
          <w:rFonts w:ascii="宋体" w:hAnsi="宋体" w:cs="宋体"/>
          <w:color w:val="auto"/>
          <w:sz w:val="24"/>
          <w:highlight w:val="none"/>
          <w:u w:val="single"/>
        </w:rPr>
        <w:t xml:space="preserve">      </w:t>
      </w:r>
      <w:r>
        <w:rPr>
          <w:rFonts w:ascii="宋体" w:hAnsi="宋体" w:cs="宋体"/>
          <w:color w:val="auto"/>
          <w:spacing w:val="-15"/>
          <w:sz w:val="24"/>
          <w:highlight w:val="none"/>
        </w:rPr>
        <w:t>（</w:t>
      </w:r>
      <w:r>
        <w:rPr>
          <w:rFonts w:ascii="宋体" w:hAnsi="宋体" w:cs="宋体"/>
          <w:color w:val="auto"/>
          <w:spacing w:val="1"/>
          <w:sz w:val="24"/>
          <w:highlight w:val="none"/>
        </w:rPr>
        <w:t>签字或盖章）</w:t>
      </w:r>
    </w:p>
    <w:p w14:paraId="0A770BF7">
      <w:pPr>
        <w:shd w:val="clear" w:color="auto" w:fill="auto"/>
        <w:tabs>
          <w:tab w:val="left" w:pos="4157"/>
        </w:tabs>
        <w:spacing w:line="219" w:lineRule="auto"/>
        <w:ind w:left="3438"/>
        <w:rPr>
          <w:rFonts w:ascii="宋体" w:hAnsi="宋体" w:cs="宋体"/>
          <w:color w:val="auto"/>
          <w:sz w:val="24"/>
          <w:highlight w:val="none"/>
        </w:rPr>
      </w:pPr>
      <w:r>
        <w:rPr>
          <w:rFonts w:ascii="宋体" w:hAnsi="宋体" w:cs="宋体"/>
          <w:color w:val="auto"/>
          <w:sz w:val="24"/>
          <w:highlight w:val="none"/>
          <w:u w:val="single"/>
        </w:rPr>
        <w:tab/>
      </w:r>
      <w:r>
        <w:rPr>
          <w:rFonts w:ascii="宋体" w:hAnsi="宋体" w:cs="宋体"/>
          <w:color w:val="auto"/>
          <w:spacing w:val="-108"/>
          <w:sz w:val="24"/>
          <w:highlight w:val="none"/>
        </w:rPr>
        <w:t xml:space="preserve"> </w:t>
      </w:r>
      <w:r>
        <w:rPr>
          <w:rFonts w:ascii="宋体" w:hAnsi="宋体" w:cs="宋体"/>
          <w:color w:val="auto"/>
          <w:spacing w:val="-9"/>
          <w:sz w:val="24"/>
          <w:highlight w:val="none"/>
        </w:rPr>
        <w:t>年</w:t>
      </w:r>
      <w:r>
        <w:rPr>
          <w:rFonts w:ascii="宋体" w:hAnsi="宋体" w:cs="宋体"/>
          <w:color w:val="auto"/>
          <w:spacing w:val="29"/>
          <w:sz w:val="24"/>
          <w:highlight w:val="none"/>
          <w:u w:val="single"/>
        </w:rPr>
        <w:t xml:space="preserve">    </w:t>
      </w:r>
      <w:r>
        <w:rPr>
          <w:rFonts w:ascii="宋体" w:hAnsi="宋体" w:cs="宋体"/>
          <w:color w:val="auto"/>
          <w:spacing w:val="-101"/>
          <w:sz w:val="24"/>
          <w:highlight w:val="none"/>
        </w:rPr>
        <w:t xml:space="preserve"> </w:t>
      </w:r>
      <w:r>
        <w:rPr>
          <w:rFonts w:ascii="宋体" w:hAnsi="宋体" w:cs="宋体"/>
          <w:color w:val="auto"/>
          <w:spacing w:val="-9"/>
          <w:sz w:val="24"/>
          <w:highlight w:val="none"/>
        </w:rPr>
        <w:t>月</w:t>
      </w:r>
      <w:r>
        <w:rPr>
          <w:rFonts w:ascii="宋体" w:hAnsi="宋体" w:cs="宋体"/>
          <w:color w:val="auto"/>
          <w:spacing w:val="29"/>
          <w:sz w:val="24"/>
          <w:highlight w:val="none"/>
          <w:u w:val="single"/>
        </w:rPr>
        <w:t xml:space="preserve">    </w:t>
      </w:r>
      <w:r>
        <w:rPr>
          <w:rFonts w:ascii="宋体" w:hAnsi="宋体" w:cs="宋体"/>
          <w:color w:val="auto"/>
          <w:spacing w:val="-66"/>
          <w:sz w:val="24"/>
          <w:highlight w:val="none"/>
        </w:rPr>
        <w:t xml:space="preserve"> </w:t>
      </w:r>
      <w:r>
        <w:rPr>
          <w:rFonts w:ascii="宋体" w:hAnsi="宋体" w:cs="宋体"/>
          <w:color w:val="auto"/>
          <w:spacing w:val="-9"/>
          <w:sz w:val="24"/>
          <w:highlight w:val="none"/>
        </w:rPr>
        <w:t>日</w:t>
      </w:r>
    </w:p>
    <w:p w14:paraId="192DCCAA">
      <w:pPr>
        <w:shd w:val="clear" w:color="auto" w:fill="auto"/>
        <w:spacing w:line="219" w:lineRule="auto"/>
        <w:rPr>
          <w:rFonts w:ascii="宋体" w:hAnsi="宋体" w:cs="宋体"/>
          <w:color w:val="auto"/>
          <w:sz w:val="24"/>
          <w:highlight w:val="none"/>
        </w:rPr>
        <w:sectPr>
          <w:footerReference r:id="rId5" w:type="default"/>
          <w:pgSz w:w="11850" w:h="16783"/>
          <w:pgMar w:top="1426" w:right="1437" w:bottom="1157" w:left="1380" w:header="0" w:footer="992" w:gutter="0"/>
          <w:cols w:space="720" w:num="1"/>
        </w:sectPr>
      </w:pPr>
    </w:p>
    <w:p w14:paraId="42ABC4E5">
      <w:pPr>
        <w:shd w:val="clear" w:color="auto" w:fill="auto"/>
        <w:spacing w:before="50" w:line="219" w:lineRule="auto"/>
        <w:ind w:left="28"/>
        <w:rPr>
          <w:rFonts w:ascii="宋体" w:hAnsi="宋体" w:cs="宋体"/>
          <w:color w:val="auto"/>
          <w:sz w:val="24"/>
          <w:highlight w:val="none"/>
        </w:rPr>
      </w:pPr>
      <w:r>
        <w:rPr>
          <w:rFonts w:ascii="宋体" w:hAnsi="宋体" w:cs="宋体"/>
          <w:color w:val="auto"/>
          <w:spacing w:val="-3"/>
          <w:sz w:val="24"/>
          <w:highlight w:val="none"/>
        </w:rPr>
        <w:t>附件四：中标通知书</w:t>
      </w:r>
    </w:p>
    <w:p w14:paraId="0CF348F3">
      <w:pPr>
        <w:pStyle w:val="5"/>
        <w:shd w:val="clear" w:color="auto" w:fill="auto"/>
        <w:spacing w:line="317" w:lineRule="auto"/>
        <w:rPr>
          <w:color w:val="auto"/>
          <w:highlight w:val="none"/>
        </w:rPr>
      </w:pPr>
    </w:p>
    <w:p w14:paraId="751C0C64">
      <w:pPr>
        <w:shd w:val="clear" w:color="auto" w:fill="auto"/>
        <w:spacing w:before="114" w:line="919" w:lineRule="exact"/>
        <w:ind w:left="3634"/>
        <w:rPr>
          <w:rFonts w:ascii="黑体" w:hAnsi="黑体" w:eastAsia="黑体" w:cs="黑体"/>
          <w:color w:val="auto"/>
          <w:sz w:val="35"/>
          <w:szCs w:val="35"/>
          <w:highlight w:val="none"/>
        </w:rPr>
      </w:pPr>
      <w:r>
        <w:rPr>
          <w:rFonts w:ascii="黑体" w:hAnsi="黑体" w:eastAsia="黑体" w:cs="黑体"/>
          <w:color w:val="auto"/>
          <w:spacing w:val="1"/>
          <w:position w:val="43"/>
          <w:sz w:val="35"/>
          <w:szCs w:val="35"/>
          <w:highlight w:val="none"/>
        </w:rPr>
        <w:t>中标通知书</w:t>
      </w:r>
    </w:p>
    <w:p w14:paraId="29B45C8E">
      <w:pPr>
        <w:shd w:val="clear" w:color="auto" w:fill="auto"/>
        <w:tabs>
          <w:tab w:val="left" w:pos="1925"/>
        </w:tabs>
        <w:spacing w:line="212" w:lineRule="auto"/>
        <w:rPr>
          <w:rFonts w:ascii="宋体" w:hAnsi="宋体" w:cs="宋体"/>
          <w:color w:val="auto"/>
          <w:sz w:val="24"/>
          <w:highlight w:val="none"/>
        </w:rPr>
      </w:pPr>
      <w:r>
        <w:rPr>
          <w:rFonts w:ascii="宋体" w:hAnsi="宋体" w:cs="宋体"/>
          <w:color w:val="auto"/>
          <w:sz w:val="25"/>
          <w:szCs w:val="25"/>
          <w:highlight w:val="none"/>
          <w:u w:val="single"/>
        </w:rPr>
        <w:tab/>
      </w:r>
      <w:r>
        <w:rPr>
          <w:rFonts w:ascii="宋体" w:hAnsi="宋体" w:cs="宋体"/>
          <w:i/>
          <w:iCs/>
          <w:color w:val="auto"/>
          <w:spacing w:val="-20"/>
          <w:sz w:val="25"/>
          <w:szCs w:val="25"/>
          <w:highlight w:val="none"/>
          <w:u w:val="single"/>
        </w:rPr>
        <w:t>（中标人名称</w:t>
      </w:r>
      <w:r>
        <w:rPr>
          <w:rFonts w:ascii="宋体" w:hAnsi="宋体" w:cs="宋体"/>
          <w:i/>
          <w:iCs/>
          <w:color w:val="auto"/>
          <w:spacing w:val="-38"/>
          <w:sz w:val="25"/>
          <w:szCs w:val="25"/>
          <w:highlight w:val="none"/>
          <w:u w:val="single"/>
        </w:rPr>
        <w:t>）</w:t>
      </w:r>
      <w:r>
        <w:rPr>
          <w:rFonts w:ascii="宋体" w:hAnsi="宋体" w:cs="宋体"/>
          <w:color w:val="auto"/>
          <w:spacing w:val="-38"/>
          <w:sz w:val="24"/>
          <w:highlight w:val="none"/>
        </w:rPr>
        <w:t>：</w:t>
      </w:r>
    </w:p>
    <w:p w14:paraId="5873269A">
      <w:pPr>
        <w:pStyle w:val="5"/>
        <w:shd w:val="clear" w:color="auto" w:fill="auto"/>
        <w:spacing w:line="281" w:lineRule="auto"/>
        <w:rPr>
          <w:color w:val="auto"/>
          <w:highlight w:val="none"/>
        </w:rPr>
      </w:pPr>
    </w:p>
    <w:p w14:paraId="2F100C50">
      <w:pPr>
        <w:pStyle w:val="5"/>
        <w:shd w:val="clear" w:color="auto" w:fill="auto"/>
        <w:spacing w:line="281" w:lineRule="auto"/>
        <w:rPr>
          <w:color w:val="auto"/>
          <w:highlight w:val="none"/>
        </w:rPr>
      </w:pPr>
    </w:p>
    <w:p w14:paraId="57428616">
      <w:pPr>
        <w:shd w:val="clear" w:color="auto" w:fill="auto"/>
        <w:spacing w:before="81" w:line="346" w:lineRule="auto"/>
        <w:ind w:left="490"/>
        <w:rPr>
          <w:rFonts w:ascii="宋体" w:hAnsi="宋体" w:cs="宋体"/>
          <w:color w:val="auto"/>
          <w:sz w:val="24"/>
          <w:highlight w:val="none"/>
        </w:rPr>
      </w:pPr>
      <w:r>
        <w:rPr>
          <w:rFonts w:ascii="宋体" w:hAnsi="宋体" w:cs="宋体"/>
          <w:color w:val="auto"/>
          <w:spacing w:val="-3"/>
          <w:sz w:val="24"/>
          <w:highlight w:val="none"/>
        </w:rPr>
        <w:t>你方于</w:t>
      </w:r>
      <w:r>
        <w:rPr>
          <w:rFonts w:ascii="宋体" w:hAnsi="宋体" w:cs="宋体"/>
          <w:color w:val="auto"/>
          <w:spacing w:val="6"/>
          <w:sz w:val="25"/>
          <w:szCs w:val="25"/>
          <w:highlight w:val="none"/>
          <w:u w:val="single"/>
        </w:rPr>
        <w:t xml:space="preserve">            </w:t>
      </w:r>
      <w:r>
        <w:rPr>
          <w:rFonts w:ascii="宋体" w:hAnsi="宋体" w:cs="宋体"/>
          <w:i/>
          <w:iCs/>
          <w:color w:val="auto"/>
          <w:spacing w:val="-3"/>
          <w:sz w:val="25"/>
          <w:szCs w:val="25"/>
          <w:highlight w:val="none"/>
          <w:u w:val="single"/>
        </w:rPr>
        <w:t>（投标日期）</w:t>
      </w:r>
      <w:r>
        <w:rPr>
          <w:rFonts w:ascii="宋体" w:hAnsi="宋体" w:cs="宋体"/>
          <w:color w:val="auto"/>
          <w:spacing w:val="-3"/>
          <w:sz w:val="24"/>
          <w:highlight w:val="none"/>
        </w:rPr>
        <w:t>所递交的</w:t>
      </w:r>
      <w:r>
        <w:rPr>
          <w:rFonts w:ascii="宋体" w:hAnsi="宋体" w:cs="宋体"/>
          <w:color w:val="auto"/>
          <w:spacing w:val="11"/>
          <w:sz w:val="25"/>
          <w:szCs w:val="25"/>
          <w:highlight w:val="none"/>
          <w:u w:val="single"/>
        </w:rPr>
        <w:t xml:space="preserve">         </w:t>
      </w:r>
      <w:r>
        <w:rPr>
          <w:rFonts w:ascii="宋体" w:hAnsi="宋体" w:cs="宋体"/>
          <w:i/>
          <w:iCs/>
          <w:color w:val="auto"/>
          <w:spacing w:val="-3"/>
          <w:sz w:val="25"/>
          <w:szCs w:val="25"/>
          <w:highlight w:val="none"/>
          <w:u w:val="single"/>
        </w:rPr>
        <w:t>（项目名称）</w:t>
      </w:r>
      <w:r>
        <w:rPr>
          <w:rFonts w:ascii="宋体" w:hAnsi="宋体" w:cs="宋体"/>
          <w:color w:val="auto"/>
          <w:spacing w:val="-3"/>
          <w:sz w:val="25"/>
          <w:szCs w:val="25"/>
          <w:highlight w:val="none"/>
          <w:u w:val="single"/>
        </w:rPr>
        <w:t xml:space="preserve"> </w:t>
      </w:r>
      <w:r>
        <w:rPr>
          <w:rFonts w:ascii="宋体" w:hAnsi="宋体" w:cs="宋体"/>
          <w:color w:val="auto"/>
          <w:spacing w:val="-4"/>
          <w:sz w:val="25"/>
          <w:szCs w:val="25"/>
          <w:highlight w:val="none"/>
          <w:u w:val="single"/>
        </w:rPr>
        <w:t xml:space="preserve">     </w:t>
      </w:r>
      <w:r>
        <w:rPr>
          <w:rFonts w:ascii="宋体" w:hAnsi="宋体" w:cs="宋体"/>
          <w:color w:val="auto"/>
          <w:spacing w:val="-109"/>
          <w:sz w:val="25"/>
          <w:szCs w:val="25"/>
          <w:highlight w:val="none"/>
        </w:rPr>
        <w:t xml:space="preserve"> </w:t>
      </w:r>
      <w:r>
        <w:rPr>
          <w:rFonts w:ascii="宋体" w:hAnsi="宋体" w:cs="宋体"/>
          <w:color w:val="auto"/>
          <w:spacing w:val="-4"/>
          <w:sz w:val="24"/>
          <w:highlight w:val="none"/>
        </w:rPr>
        <w:t>标</w:t>
      </w:r>
    </w:p>
    <w:p w14:paraId="61A41E34">
      <w:pPr>
        <w:shd w:val="clear" w:color="auto" w:fill="auto"/>
        <w:spacing w:before="1" w:line="219" w:lineRule="auto"/>
        <w:ind w:left="10"/>
        <w:rPr>
          <w:rFonts w:ascii="宋体" w:hAnsi="宋体" w:cs="宋体"/>
          <w:color w:val="auto"/>
          <w:sz w:val="24"/>
          <w:highlight w:val="none"/>
        </w:rPr>
      </w:pPr>
      <w:r>
        <w:rPr>
          <w:rFonts w:ascii="宋体" w:hAnsi="宋体" w:cs="宋体"/>
          <w:color w:val="auto"/>
          <w:spacing w:val="-1"/>
          <w:sz w:val="24"/>
          <w:highlight w:val="none"/>
        </w:rPr>
        <w:t>段工程总承包投标文件已被我方接受，被确定为中标人。</w:t>
      </w:r>
    </w:p>
    <w:p w14:paraId="6DF24F6A">
      <w:pPr>
        <w:shd w:val="clear" w:color="auto" w:fill="auto"/>
        <w:spacing w:before="182" w:line="218" w:lineRule="auto"/>
        <w:ind w:left="511"/>
        <w:rPr>
          <w:rFonts w:ascii="宋体" w:hAnsi="宋体" w:cs="宋体"/>
          <w:color w:val="auto"/>
          <w:sz w:val="24"/>
          <w:highlight w:val="none"/>
        </w:rPr>
      </w:pPr>
      <w:r>
        <w:rPr>
          <w:rFonts w:ascii="宋体" w:hAnsi="宋体" w:cs="宋体"/>
          <w:color w:val="auto"/>
          <w:spacing w:val="-11"/>
          <w:sz w:val="24"/>
          <w:highlight w:val="none"/>
        </w:rPr>
        <w:t>中</w:t>
      </w:r>
      <w:r>
        <w:rPr>
          <w:rFonts w:ascii="宋体" w:hAnsi="宋体" w:cs="宋体"/>
          <w:color w:val="auto"/>
          <w:spacing w:val="2"/>
          <w:sz w:val="24"/>
          <w:highlight w:val="none"/>
        </w:rPr>
        <w:t xml:space="preserve">    </w:t>
      </w:r>
      <w:r>
        <w:rPr>
          <w:rFonts w:ascii="宋体" w:hAnsi="宋体" w:cs="宋体"/>
          <w:color w:val="auto"/>
          <w:spacing w:val="-11"/>
          <w:sz w:val="24"/>
          <w:highlight w:val="none"/>
        </w:rPr>
        <w:t>标</w:t>
      </w:r>
      <w:r>
        <w:rPr>
          <w:rFonts w:ascii="宋体" w:hAnsi="宋体" w:cs="宋体"/>
          <w:color w:val="auto"/>
          <w:spacing w:val="3"/>
          <w:sz w:val="24"/>
          <w:highlight w:val="none"/>
        </w:rPr>
        <w:t xml:space="preserve">    </w:t>
      </w:r>
      <w:r>
        <w:rPr>
          <w:rFonts w:ascii="宋体" w:hAnsi="宋体" w:cs="宋体"/>
          <w:color w:val="auto"/>
          <w:spacing w:val="-11"/>
          <w:sz w:val="24"/>
          <w:highlight w:val="none"/>
        </w:rPr>
        <w:t>价：</w:t>
      </w:r>
      <w:r>
        <w:rPr>
          <w:rFonts w:ascii="宋体" w:hAnsi="宋体" w:cs="宋体"/>
          <w:color w:val="auto"/>
          <w:sz w:val="24"/>
          <w:highlight w:val="none"/>
          <w:u w:val="single"/>
        </w:rPr>
        <w:t xml:space="preserve">                               </w:t>
      </w:r>
      <w:r>
        <w:rPr>
          <w:rFonts w:ascii="宋体" w:hAnsi="宋体" w:cs="宋体"/>
          <w:color w:val="auto"/>
          <w:spacing w:val="-107"/>
          <w:sz w:val="24"/>
          <w:highlight w:val="none"/>
        </w:rPr>
        <w:t xml:space="preserve"> </w:t>
      </w:r>
      <w:r>
        <w:rPr>
          <w:rFonts w:ascii="宋体" w:hAnsi="宋体" w:cs="宋体"/>
          <w:color w:val="auto"/>
          <w:spacing w:val="-11"/>
          <w:sz w:val="24"/>
          <w:highlight w:val="none"/>
        </w:rPr>
        <w:t>元。</w:t>
      </w:r>
    </w:p>
    <w:p w14:paraId="6AB40740">
      <w:pPr>
        <w:shd w:val="clear" w:color="auto" w:fill="auto"/>
        <w:spacing w:before="185" w:line="220" w:lineRule="auto"/>
        <w:ind w:left="492"/>
        <w:rPr>
          <w:rFonts w:ascii="宋体" w:hAnsi="宋体" w:cs="宋体"/>
          <w:color w:val="auto"/>
          <w:sz w:val="24"/>
          <w:highlight w:val="none"/>
        </w:rPr>
      </w:pPr>
      <w:r>
        <w:rPr>
          <w:rFonts w:ascii="宋体" w:hAnsi="宋体" w:cs="宋体"/>
          <w:color w:val="auto"/>
          <w:spacing w:val="-5"/>
          <w:sz w:val="24"/>
          <w:highlight w:val="none"/>
        </w:rPr>
        <w:t>工</w:t>
      </w:r>
      <w:r>
        <w:rPr>
          <w:rFonts w:ascii="宋体" w:hAnsi="宋体" w:cs="宋体"/>
          <w:color w:val="auto"/>
          <w:spacing w:val="1"/>
          <w:sz w:val="24"/>
          <w:highlight w:val="none"/>
        </w:rPr>
        <w:t xml:space="preserve">          </w:t>
      </w:r>
      <w:r>
        <w:rPr>
          <w:rFonts w:ascii="宋体" w:hAnsi="宋体" w:cs="宋体"/>
          <w:color w:val="auto"/>
          <w:spacing w:val="-5"/>
          <w:sz w:val="24"/>
          <w:highlight w:val="none"/>
        </w:rPr>
        <w:t>期：</w:t>
      </w:r>
      <w:r>
        <w:rPr>
          <w:rFonts w:ascii="宋体" w:hAnsi="宋体" w:cs="宋体"/>
          <w:color w:val="auto"/>
          <w:spacing w:val="-5"/>
          <w:sz w:val="24"/>
          <w:highlight w:val="none"/>
          <w:u w:val="single"/>
        </w:rPr>
        <w:t xml:space="preserve">                </w:t>
      </w:r>
      <w:r>
        <w:rPr>
          <w:rFonts w:ascii="宋体" w:hAnsi="宋体" w:cs="宋体"/>
          <w:color w:val="auto"/>
          <w:spacing w:val="-6"/>
          <w:sz w:val="24"/>
          <w:highlight w:val="none"/>
          <w:u w:val="single"/>
        </w:rPr>
        <w:t xml:space="preserve">             </w:t>
      </w:r>
      <w:r>
        <w:rPr>
          <w:rFonts w:ascii="宋体" w:hAnsi="宋体" w:cs="宋体"/>
          <w:color w:val="auto"/>
          <w:spacing w:val="-67"/>
          <w:sz w:val="24"/>
          <w:highlight w:val="none"/>
        </w:rPr>
        <w:t xml:space="preserve"> </w:t>
      </w:r>
      <w:r>
        <w:rPr>
          <w:rFonts w:ascii="宋体" w:hAnsi="宋体" w:cs="宋体"/>
          <w:color w:val="auto"/>
          <w:spacing w:val="-6"/>
          <w:sz w:val="24"/>
          <w:highlight w:val="none"/>
        </w:rPr>
        <w:t>日历天。</w:t>
      </w:r>
    </w:p>
    <w:p w14:paraId="5AEDEF67">
      <w:pPr>
        <w:shd w:val="clear" w:color="auto" w:fill="auto"/>
        <w:spacing w:before="182" w:line="360" w:lineRule="auto"/>
        <w:ind w:left="493"/>
        <w:rPr>
          <w:rFonts w:ascii="宋体" w:hAnsi="宋体" w:cs="宋体"/>
          <w:color w:val="auto"/>
          <w:sz w:val="24"/>
          <w:highlight w:val="none"/>
        </w:rPr>
      </w:pPr>
      <w:r>
        <w:rPr>
          <w:rFonts w:ascii="宋体" w:hAnsi="宋体" w:cs="宋体"/>
          <w:color w:val="auto"/>
          <w:spacing w:val="-9"/>
          <w:sz w:val="24"/>
          <w:highlight w:val="none"/>
        </w:rPr>
        <w:t>项</w:t>
      </w:r>
      <w:r>
        <w:rPr>
          <w:rFonts w:ascii="宋体" w:hAnsi="宋体" w:cs="宋体"/>
          <w:color w:val="auto"/>
          <w:spacing w:val="67"/>
          <w:sz w:val="24"/>
          <w:highlight w:val="none"/>
        </w:rPr>
        <w:t xml:space="preserve"> </w:t>
      </w:r>
      <w:r>
        <w:rPr>
          <w:rFonts w:ascii="宋体" w:hAnsi="宋体" w:cs="宋体"/>
          <w:color w:val="auto"/>
          <w:spacing w:val="-9"/>
          <w:sz w:val="24"/>
          <w:highlight w:val="none"/>
        </w:rPr>
        <w:t>目</w:t>
      </w:r>
      <w:r>
        <w:rPr>
          <w:rFonts w:ascii="宋体" w:hAnsi="宋体" w:cs="宋体"/>
          <w:color w:val="auto"/>
          <w:spacing w:val="18"/>
          <w:sz w:val="24"/>
          <w:highlight w:val="none"/>
        </w:rPr>
        <w:t xml:space="preserve"> </w:t>
      </w:r>
      <w:r>
        <w:rPr>
          <w:rFonts w:ascii="宋体" w:hAnsi="宋体" w:cs="宋体"/>
          <w:color w:val="auto"/>
          <w:spacing w:val="-9"/>
          <w:sz w:val="24"/>
          <w:highlight w:val="none"/>
        </w:rPr>
        <w:t>负</w:t>
      </w:r>
      <w:r>
        <w:rPr>
          <w:rFonts w:ascii="宋体" w:hAnsi="宋体" w:cs="宋体"/>
          <w:color w:val="auto"/>
          <w:spacing w:val="18"/>
          <w:sz w:val="24"/>
          <w:highlight w:val="none"/>
        </w:rPr>
        <w:t xml:space="preserve"> </w:t>
      </w:r>
      <w:r>
        <w:rPr>
          <w:rFonts w:ascii="宋体" w:hAnsi="宋体" w:cs="宋体"/>
          <w:color w:val="auto"/>
          <w:spacing w:val="-9"/>
          <w:sz w:val="24"/>
          <w:highlight w:val="none"/>
        </w:rPr>
        <w:t>责</w:t>
      </w:r>
      <w:r>
        <w:rPr>
          <w:rFonts w:ascii="宋体" w:hAnsi="宋体" w:cs="宋体"/>
          <w:color w:val="auto"/>
          <w:spacing w:val="11"/>
          <w:sz w:val="24"/>
          <w:highlight w:val="none"/>
        </w:rPr>
        <w:t xml:space="preserve"> </w:t>
      </w:r>
      <w:r>
        <w:rPr>
          <w:rFonts w:ascii="宋体" w:hAnsi="宋体" w:cs="宋体"/>
          <w:color w:val="auto"/>
          <w:spacing w:val="-9"/>
          <w:sz w:val="24"/>
          <w:highlight w:val="none"/>
        </w:rPr>
        <w:t>人：</w:t>
      </w:r>
      <w:r>
        <w:rPr>
          <w:rFonts w:ascii="宋体" w:hAnsi="宋体" w:cs="宋体"/>
          <w:color w:val="auto"/>
          <w:spacing w:val="-9"/>
          <w:sz w:val="24"/>
          <w:highlight w:val="none"/>
          <w:u w:val="single"/>
        </w:rPr>
        <w:t xml:space="preserve">                                  </w:t>
      </w:r>
      <w:r>
        <w:rPr>
          <w:rFonts w:ascii="宋体" w:hAnsi="宋体" w:cs="宋体"/>
          <w:color w:val="auto"/>
          <w:spacing w:val="-9"/>
          <w:sz w:val="24"/>
          <w:highlight w:val="none"/>
        </w:rPr>
        <w:t>。</w:t>
      </w:r>
    </w:p>
    <w:p w14:paraId="62B11795">
      <w:pPr>
        <w:shd w:val="clear" w:color="auto" w:fill="auto"/>
        <w:spacing w:before="1" w:line="219" w:lineRule="auto"/>
        <w:ind w:left="493"/>
        <w:rPr>
          <w:rFonts w:ascii="宋体" w:hAnsi="宋体" w:cs="宋体"/>
          <w:color w:val="auto"/>
          <w:sz w:val="24"/>
          <w:highlight w:val="none"/>
        </w:rPr>
      </w:pPr>
      <w:r>
        <w:rPr>
          <w:rFonts w:ascii="宋体" w:hAnsi="宋体" w:cs="宋体"/>
          <w:color w:val="auto"/>
          <w:spacing w:val="-8"/>
          <w:sz w:val="24"/>
          <w:highlight w:val="none"/>
        </w:rPr>
        <w:t>设 计</w:t>
      </w:r>
      <w:r>
        <w:rPr>
          <w:rFonts w:ascii="宋体" w:hAnsi="宋体" w:cs="宋体"/>
          <w:color w:val="auto"/>
          <w:spacing w:val="20"/>
          <w:sz w:val="24"/>
          <w:highlight w:val="none"/>
        </w:rPr>
        <w:t xml:space="preserve"> </w:t>
      </w:r>
      <w:r>
        <w:rPr>
          <w:rFonts w:ascii="宋体" w:hAnsi="宋体" w:cs="宋体"/>
          <w:color w:val="auto"/>
          <w:spacing w:val="-8"/>
          <w:sz w:val="24"/>
          <w:highlight w:val="none"/>
        </w:rPr>
        <w:t>负</w:t>
      </w:r>
      <w:r>
        <w:rPr>
          <w:rFonts w:ascii="宋体" w:hAnsi="宋体" w:cs="宋体"/>
          <w:color w:val="auto"/>
          <w:spacing w:val="18"/>
          <w:sz w:val="24"/>
          <w:highlight w:val="none"/>
        </w:rPr>
        <w:t xml:space="preserve"> </w:t>
      </w:r>
      <w:r>
        <w:rPr>
          <w:rFonts w:ascii="宋体" w:hAnsi="宋体" w:cs="宋体"/>
          <w:color w:val="auto"/>
          <w:spacing w:val="-8"/>
          <w:sz w:val="24"/>
          <w:highlight w:val="none"/>
        </w:rPr>
        <w:t>责</w:t>
      </w:r>
      <w:r>
        <w:rPr>
          <w:rFonts w:ascii="宋体" w:hAnsi="宋体" w:cs="宋体"/>
          <w:color w:val="auto"/>
          <w:spacing w:val="11"/>
          <w:sz w:val="24"/>
          <w:highlight w:val="none"/>
        </w:rPr>
        <w:t xml:space="preserve"> </w:t>
      </w:r>
      <w:r>
        <w:rPr>
          <w:rFonts w:ascii="宋体" w:hAnsi="宋体" w:cs="宋体"/>
          <w:color w:val="auto"/>
          <w:spacing w:val="-8"/>
          <w:sz w:val="24"/>
          <w:highlight w:val="none"/>
        </w:rPr>
        <w:t>人：</w:t>
      </w:r>
      <w:r>
        <w:rPr>
          <w:rFonts w:ascii="宋体" w:hAnsi="宋体" w:cs="宋体"/>
          <w:color w:val="auto"/>
          <w:sz w:val="24"/>
          <w:highlight w:val="none"/>
          <w:u w:val="single"/>
        </w:rPr>
        <w:t xml:space="preserve">                                </w:t>
      </w:r>
      <w:r>
        <w:rPr>
          <w:rFonts w:ascii="宋体" w:hAnsi="宋体" w:cs="宋体"/>
          <w:color w:val="auto"/>
          <w:spacing w:val="-8"/>
          <w:sz w:val="24"/>
          <w:highlight w:val="none"/>
        </w:rPr>
        <w:t>。</w:t>
      </w:r>
    </w:p>
    <w:p w14:paraId="12A8907F">
      <w:pPr>
        <w:shd w:val="clear" w:color="auto" w:fill="auto"/>
        <w:spacing w:before="183" w:line="219" w:lineRule="auto"/>
        <w:ind w:left="488"/>
        <w:rPr>
          <w:rFonts w:ascii="宋体" w:hAnsi="宋体" w:cs="宋体"/>
          <w:color w:val="auto"/>
          <w:sz w:val="24"/>
          <w:highlight w:val="none"/>
        </w:rPr>
      </w:pPr>
      <w:r>
        <w:rPr>
          <w:rFonts w:ascii="宋体" w:hAnsi="宋体" w:cs="宋体"/>
          <w:color w:val="auto"/>
          <w:spacing w:val="-8"/>
          <w:sz w:val="24"/>
          <w:highlight w:val="none"/>
        </w:rPr>
        <w:t>施</w:t>
      </w:r>
      <w:r>
        <w:rPr>
          <w:rFonts w:ascii="宋体" w:hAnsi="宋体" w:cs="宋体"/>
          <w:color w:val="auto"/>
          <w:spacing w:val="18"/>
          <w:sz w:val="24"/>
          <w:highlight w:val="none"/>
        </w:rPr>
        <w:t xml:space="preserve"> </w:t>
      </w:r>
      <w:r>
        <w:rPr>
          <w:rFonts w:ascii="宋体" w:hAnsi="宋体" w:cs="宋体"/>
          <w:color w:val="auto"/>
          <w:spacing w:val="-8"/>
          <w:sz w:val="24"/>
          <w:highlight w:val="none"/>
        </w:rPr>
        <w:t>工</w:t>
      </w:r>
      <w:r>
        <w:rPr>
          <w:rFonts w:ascii="宋体" w:hAnsi="宋体" w:cs="宋体"/>
          <w:color w:val="auto"/>
          <w:spacing w:val="18"/>
          <w:sz w:val="24"/>
          <w:highlight w:val="none"/>
        </w:rPr>
        <w:t xml:space="preserve"> </w:t>
      </w:r>
      <w:r>
        <w:rPr>
          <w:rFonts w:ascii="宋体" w:hAnsi="宋体" w:cs="宋体"/>
          <w:color w:val="auto"/>
          <w:spacing w:val="-8"/>
          <w:sz w:val="24"/>
          <w:highlight w:val="none"/>
        </w:rPr>
        <w:t>负</w:t>
      </w:r>
      <w:r>
        <w:rPr>
          <w:rFonts w:ascii="宋体" w:hAnsi="宋体" w:cs="宋体"/>
          <w:color w:val="auto"/>
          <w:spacing w:val="18"/>
          <w:sz w:val="24"/>
          <w:highlight w:val="none"/>
        </w:rPr>
        <w:t xml:space="preserve"> </w:t>
      </w:r>
      <w:r>
        <w:rPr>
          <w:rFonts w:ascii="宋体" w:hAnsi="宋体" w:cs="宋体"/>
          <w:color w:val="auto"/>
          <w:spacing w:val="-8"/>
          <w:sz w:val="24"/>
          <w:highlight w:val="none"/>
        </w:rPr>
        <w:t>责 人：</w:t>
      </w:r>
      <w:r>
        <w:rPr>
          <w:rFonts w:ascii="宋体" w:hAnsi="宋体" w:cs="宋体"/>
          <w:color w:val="auto"/>
          <w:sz w:val="24"/>
          <w:highlight w:val="none"/>
          <w:u w:val="single"/>
        </w:rPr>
        <w:t xml:space="preserve">                                </w:t>
      </w:r>
      <w:r>
        <w:rPr>
          <w:rFonts w:ascii="宋体" w:hAnsi="宋体" w:cs="宋体"/>
          <w:color w:val="auto"/>
          <w:spacing w:val="-8"/>
          <w:sz w:val="24"/>
          <w:highlight w:val="none"/>
        </w:rPr>
        <w:t>。</w:t>
      </w:r>
    </w:p>
    <w:p w14:paraId="20BE911C">
      <w:pPr>
        <w:shd w:val="clear" w:color="auto" w:fill="auto"/>
        <w:spacing w:before="182" w:line="211" w:lineRule="auto"/>
        <w:ind w:left="511"/>
        <w:rPr>
          <w:rFonts w:ascii="宋体" w:hAnsi="宋体" w:cs="宋体"/>
          <w:color w:val="auto"/>
          <w:sz w:val="24"/>
          <w:highlight w:val="none"/>
        </w:rPr>
      </w:pPr>
      <w:r>
        <w:rPr>
          <w:rFonts w:ascii="宋体" w:hAnsi="宋体" w:cs="宋体"/>
          <w:color w:val="auto"/>
          <w:spacing w:val="-5"/>
          <w:sz w:val="24"/>
          <w:highlight w:val="none"/>
        </w:rPr>
        <w:t>中标内容范围</w:t>
      </w:r>
      <w:r>
        <w:rPr>
          <w:rFonts w:ascii="宋体" w:hAnsi="宋体" w:cs="宋体"/>
          <w:color w:val="auto"/>
          <w:spacing w:val="16"/>
          <w:sz w:val="24"/>
          <w:highlight w:val="none"/>
        </w:rPr>
        <w:t>：</w:t>
      </w:r>
      <w:r>
        <w:rPr>
          <w:rFonts w:ascii="宋体" w:hAnsi="宋体" w:cs="宋体"/>
          <w:i/>
          <w:iCs/>
          <w:color w:val="auto"/>
          <w:spacing w:val="16"/>
          <w:sz w:val="25"/>
          <w:szCs w:val="25"/>
          <w:highlight w:val="none"/>
          <w:u w:val="single"/>
        </w:rPr>
        <w:t>（</w:t>
      </w:r>
      <w:r>
        <w:rPr>
          <w:rFonts w:ascii="宋体" w:hAnsi="宋体" w:cs="宋体"/>
          <w:i/>
          <w:iCs/>
          <w:color w:val="auto"/>
          <w:spacing w:val="-5"/>
          <w:sz w:val="25"/>
          <w:szCs w:val="25"/>
          <w:highlight w:val="none"/>
          <w:u w:val="single"/>
        </w:rPr>
        <w:t>应与招标公告、招标文件内容一致）</w:t>
      </w:r>
      <w:r>
        <w:rPr>
          <w:rFonts w:ascii="宋体" w:hAnsi="宋体" w:cs="宋体"/>
          <w:color w:val="auto"/>
          <w:spacing w:val="-5"/>
          <w:sz w:val="24"/>
          <w:highlight w:val="none"/>
        </w:rPr>
        <w:t>。</w:t>
      </w:r>
    </w:p>
    <w:p w14:paraId="4A6E0926">
      <w:pPr>
        <w:shd w:val="clear" w:color="auto" w:fill="auto"/>
        <w:spacing w:before="183" w:line="360" w:lineRule="auto"/>
        <w:ind w:left="21" w:right="99" w:firstLine="465"/>
        <w:rPr>
          <w:rFonts w:ascii="宋体" w:hAnsi="宋体" w:cs="宋体"/>
          <w:color w:val="auto"/>
          <w:sz w:val="24"/>
          <w:highlight w:val="none"/>
        </w:rPr>
      </w:pPr>
      <w:r>
        <w:rPr>
          <w:rFonts w:ascii="宋体" w:hAnsi="宋体" w:cs="宋体"/>
          <w:color w:val="auto"/>
          <w:sz w:val="24"/>
          <w:highlight w:val="none"/>
        </w:rPr>
        <w:t>请你方在接到本通知书后的</w:t>
      </w:r>
      <w:r>
        <w:rPr>
          <w:rFonts w:ascii="宋体" w:hAnsi="宋体" w:cs="宋体"/>
          <w:color w:val="auto"/>
          <w:spacing w:val="-103"/>
          <w:sz w:val="24"/>
          <w:highlight w:val="none"/>
        </w:rPr>
        <w:t xml:space="preserve"> </w:t>
      </w:r>
      <w:r>
        <w:rPr>
          <w:rFonts w:ascii="宋体" w:hAnsi="宋体" w:cs="宋体"/>
          <w:color w:val="auto"/>
          <w:spacing w:val="4"/>
          <w:sz w:val="24"/>
          <w:highlight w:val="none"/>
          <w:u w:val="single"/>
        </w:rPr>
        <w:t xml:space="preserve">      </w:t>
      </w:r>
      <w:r>
        <w:rPr>
          <w:rFonts w:ascii="宋体" w:hAnsi="宋体" w:cs="宋体"/>
          <w:color w:val="auto"/>
          <w:spacing w:val="-64"/>
          <w:sz w:val="24"/>
          <w:highlight w:val="none"/>
        </w:rPr>
        <w:t xml:space="preserve"> </w:t>
      </w:r>
      <w:r>
        <w:rPr>
          <w:rFonts w:ascii="宋体" w:hAnsi="宋体" w:cs="宋体"/>
          <w:color w:val="auto"/>
          <w:sz w:val="24"/>
          <w:highlight w:val="none"/>
        </w:rPr>
        <w:t>日内到</w:t>
      </w:r>
      <w:r>
        <w:rPr>
          <w:rFonts w:ascii="宋体" w:hAnsi="宋体" w:cs="宋体"/>
          <w:color w:val="auto"/>
          <w:spacing w:val="-115"/>
          <w:sz w:val="24"/>
          <w:highlight w:val="none"/>
        </w:rPr>
        <w:t xml:space="preserve"> </w:t>
      </w:r>
      <w:r>
        <w:rPr>
          <w:rFonts w:ascii="宋体" w:hAnsi="宋体" w:cs="宋体"/>
          <w:color w:val="auto"/>
          <w:spacing w:val="4"/>
          <w:sz w:val="24"/>
          <w:highlight w:val="none"/>
          <w:u w:val="single"/>
        </w:rPr>
        <w:t xml:space="preserve">                         </w:t>
      </w:r>
      <w:r>
        <w:rPr>
          <w:rFonts w:ascii="宋体" w:hAnsi="宋体" w:cs="宋体"/>
          <w:color w:val="auto"/>
          <w:sz w:val="24"/>
          <w:highlight w:val="none"/>
        </w:rPr>
        <w:t>（指定地</w:t>
      </w:r>
      <w:r>
        <w:rPr>
          <w:rFonts w:ascii="宋体" w:hAnsi="宋体" w:cs="宋体"/>
          <w:color w:val="auto"/>
          <w:spacing w:val="-2"/>
          <w:sz w:val="24"/>
          <w:highlight w:val="none"/>
        </w:rPr>
        <w:t>点）与我方签订工程总承包合同，在此之前按招标文件第二章“投标人须知</w:t>
      </w:r>
      <w:r>
        <w:rPr>
          <w:rFonts w:ascii="宋体" w:hAnsi="宋体" w:cs="宋体"/>
          <w:color w:val="auto"/>
          <w:spacing w:val="-82"/>
          <w:sz w:val="24"/>
          <w:highlight w:val="none"/>
        </w:rPr>
        <w:t xml:space="preserve"> </w:t>
      </w:r>
      <w:r>
        <w:rPr>
          <w:rFonts w:ascii="宋体" w:hAnsi="宋体" w:cs="宋体"/>
          <w:color w:val="auto"/>
          <w:spacing w:val="-2"/>
          <w:sz w:val="24"/>
          <w:highlight w:val="none"/>
        </w:rPr>
        <w:t>”第7.3款</w:t>
      </w:r>
      <w:r>
        <w:rPr>
          <w:rFonts w:ascii="宋体" w:hAnsi="宋体" w:cs="宋体"/>
          <w:color w:val="auto"/>
          <w:spacing w:val="-1"/>
          <w:sz w:val="24"/>
          <w:highlight w:val="none"/>
        </w:rPr>
        <w:t>规定向我方提交履约担保。</w:t>
      </w:r>
    </w:p>
    <w:p w14:paraId="417D5FF9">
      <w:pPr>
        <w:shd w:val="clear" w:color="auto" w:fill="auto"/>
        <w:spacing w:before="182" w:line="219" w:lineRule="auto"/>
        <w:ind w:left="489"/>
        <w:rPr>
          <w:rFonts w:ascii="宋体" w:hAnsi="宋体" w:cs="宋体"/>
          <w:color w:val="auto"/>
          <w:sz w:val="24"/>
          <w:highlight w:val="none"/>
        </w:rPr>
      </w:pPr>
      <w:r>
        <w:rPr>
          <w:rFonts w:ascii="宋体" w:hAnsi="宋体" w:cs="宋体"/>
          <w:color w:val="auto"/>
          <w:spacing w:val="-2"/>
          <w:sz w:val="24"/>
          <w:highlight w:val="none"/>
        </w:rPr>
        <w:t>特此通知。</w:t>
      </w:r>
    </w:p>
    <w:p w14:paraId="165406B7">
      <w:pPr>
        <w:shd w:val="clear" w:color="auto" w:fill="auto"/>
        <w:spacing w:before="183" w:line="360" w:lineRule="auto"/>
        <w:ind w:left="3849" w:hanging="1"/>
        <w:rPr>
          <w:rFonts w:ascii="宋体" w:hAnsi="宋体" w:cs="宋体"/>
          <w:color w:val="auto"/>
          <w:spacing w:val="7"/>
          <w:sz w:val="24"/>
          <w:highlight w:val="none"/>
        </w:rPr>
      </w:pPr>
      <w:r>
        <w:rPr>
          <w:rFonts w:ascii="黑体" w:hAnsi="黑体" w:eastAsia="黑体" w:cs="黑体"/>
          <w:color w:val="auto"/>
          <w:sz w:val="24"/>
          <w:highlight w:val="none"/>
        </w:rPr>
        <w:t>招    标    人</w:t>
      </w:r>
      <w:r>
        <w:rPr>
          <w:rFonts w:ascii="黑体" w:hAnsi="黑体" w:eastAsia="黑体" w:cs="黑体"/>
          <w:color w:val="auto"/>
          <w:spacing w:val="-20"/>
          <w:sz w:val="24"/>
          <w:highlight w:val="none"/>
        </w:rPr>
        <w:t>：</w:t>
      </w:r>
      <w:r>
        <w:rPr>
          <w:rFonts w:ascii="宋体" w:hAnsi="宋体" w:cs="宋体"/>
          <w:color w:val="auto"/>
          <w:spacing w:val="7"/>
          <w:sz w:val="24"/>
          <w:highlight w:val="none"/>
          <w:u w:val="single"/>
        </w:rPr>
        <w:t xml:space="preserve">               </w:t>
      </w:r>
      <w:r>
        <w:rPr>
          <w:rFonts w:ascii="宋体" w:hAnsi="宋体" w:cs="宋体"/>
          <w:color w:val="auto"/>
          <w:spacing w:val="-20"/>
          <w:sz w:val="24"/>
          <w:highlight w:val="none"/>
          <w:u w:val="single"/>
        </w:rPr>
        <w:t>（</w:t>
      </w:r>
      <w:r>
        <w:rPr>
          <w:rFonts w:ascii="宋体" w:hAnsi="宋体" w:cs="宋体"/>
          <w:color w:val="auto"/>
          <w:sz w:val="24"/>
          <w:highlight w:val="none"/>
          <w:u w:val="single"/>
        </w:rPr>
        <w:t>单位盖章）</w:t>
      </w:r>
      <w:r>
        <w:rPr>
          <w:rFonts w:ascii="宋体" w:hAnsi="宋体" w:cs="宋体"/>
          <w:color w:val="auto"/>
          <w:spacing w:val="7"/>
          <w:sz w:val="24"/>
          <w:highlight w:val="none"/>
        </w:rPr>
        <w:t xml:space="preserve"> </w:t>
      </w:r>
    </w:p>
    <w:p w14:paraId="5F9FBCB4">
      <w:pPr>
        <w:shd w:val="clear" w:color="auto" w:fill="auto"/>
        <w:spacing w:before="183" w:line="360" w:lineRule="auto"/>
        <w:ind w:left="3849" w:hanging="1"/>
        <w:rPr>
          <w:rFonts w:ascii="宋体" w:hAnsi="宋体" w:cs="宋体"/>
          <w:color w:val="auto"/>
          <w:spacing w:val="10"/>
          <w:sz w:val="24"/>
          <w:highlight w:val="none"/>
        </w:rPr>
      </w:pPr>
      <w:r>
        <w:rPr>
          <w:rFonts w:ascii="黑体" w:hAnsi="黑体" w:eastAsia="黑体" w:cs="黑体"/>
          <w:color w:val="auto"/>
          <w:spacing w:val="-2"/>
          <w:sz w:val="24"/>
          <w:highlight w:val="none"/>
        </w:rPr>
        <w:t>法 定 代</w:t>
      </w:r>
      <w:r>
        <w:rPr>
          <w:rFonts w:ascii="黑体" w:hAnsi="黑体" w:eastAsia="黑体" w:cs="黑体"/>
          <w:color w:val="auto"/>
          <w:spacing w:val="14"/>
          <w:sz w:val="24"/>
          <w:highlight w:val="none"/>
        </w:rPr>
        <w:t xml:space="preserve"> </w:t>
      </w:r>
      <w:r>
        <w:rPr>
          <w:rFonts w:ascii="黑体" w:hAnsi="黑体" w:eastAsia="黑体" w:cs="黑体"/>
          <w:color w:val="auto"/>
          <w:spacing w:val="-2"/>
          <w:sz w:val="24"/>
          <w:highlight w:val="none"/>
        </w:rPr>
        <w:t>表</w:t>
      </w:r>
      <w:r>
        <w:rPr>
          <w:rFonts w:ascii="黑体" w:hAnsi="黑体" w:eastAsia="黑体" w:cs="黑体"/>
          <w:color w:val="auto"/>
          <w:spacing w:val="13"/>
          <w:sz w:val="24"/>
          <w:highlight w:val="none"/>
        </w:rPr>
        <w:t xml:space="preserve"> </w:t>
      </w:r>
      <w:r>
        <w:rPr>
          <w:rFonts w:ascii="黑体" w:hAnsi="黑体" w:eastAsia="黑体" w:cs="黑体"/>
          <w:color w:val="auto"/>
          <w:spacing w:val="-2"/>
          <w:sz w:val="24"/>
          <w:highlight w:val="none"/>
        </w:rPr>
        <w:t>人</w:t>
      </w:r>
      <w:r>
        <w:rPr>
          <w:rFonts w:ascii="黑体" w:hAnsi="黑体" w:eastAsia="黑体" w:cs="黑体"/>
          <w:color w:val="auto"/>
          <w:spacing w:val="-51"/>
          <w:sz w:val="24"/>
          <w:highlight w:val="none"/>
        </w:rPr>
        <w:t>：</w:t>
      </w:r>
      <w:r>
        <w:rPr>
          <w:rFonts w:ascii="宋体" w:hAnsi="宋体" w:cs="宋体"/>
          <w:color w:val="auto"/>
          <w:spacing w:val="3"/>
          <w:sz w:val="24"/>
          <w:highlight w:val="none"/>
          <w:u w:val="single"/>
        </w:rPr>
        <w:t xml:space="preserve">              </w:t>
      </w:r>
      <w:r>
        <w:rPr>
          <w:rFonts w:ascii="宋体" w:hAnsi="宋体" w:cs="宋体"/>
          <w:color w:val="auto"/>
          <w:spacing w:val="-51"/>
          <w:sz w:val="24"/>
          <w:highlight w:val="none"/>
          <w:u w:val="single"/>
        </w:rPr>
        <w:t>（</w:t>
      </w:r>
      <w:r>
        <w:rPr>
          <w:rFonts w:ascii="宋体" w:hAnsi="宋体" w:cs="宋体"/>
          <w:color w:val="auto"/>
          <w:spacing w:val="-2"/>
          <w:sz w:val="24"/>
          <w:highlight w:val="none"/>
          <w:u w:val="single"/>
        </w:rPr>
        <w:t>签字或盖章）</w:t>
      </w:r>
      <w:r>
        <w:rPr>
          <w:rFonts w:ascii="宋体" w:hAnsi="宋体" w:cs="宋体"/>
          <w:color w:val="auto"/>
          <w:spacing w:val="10"/>
          <w:sz w:val="24"/>
          <w:highlight w:val="none"/>
        </w:rPr>
        <w:t xml:space="preserve"> </w:t>
      </w:r>
    </w:p>
    <w:p w14:paraId="0CEF9802">
      <w:pPr>
        <w:shd w:val="clear" w:color="auto" w:fill="auto"/>
        <w:spacing w:before="183" w:line="360" w:lineRule="auto"/>
        <w:ind w:left="3849" w:hanging="1"/>
        <w:rPr>
          <w:rFonts w:ascii="黑体" w:hAnsi="黑体" w:eastAsia="黑体" w:cs="黑体"/>
          <w:color w:val="auto"/>
          <w:sz w:val="24"/>
          <w:highlight w:val="none"/>
        </w:rPr>
      </w:pPr>
      <w:r>
        <w:rPr>
          <w:rFonts w:ascii="黑体" w:hAnsi="黑体" w:eastAsia="黑体" w:cs="黑体"/>
          <w:color w:val="auto"/>
          <w:spacing w:val="-6"/>
          <w:sz w:val="24"/>
          <w:highlight w:val="none"/>
        </w:rPr>
        <w:t>联</w:t>
      </w:r>
      <w:r>
        <w:rPr>
          <w:rFonts w:ascii="黑体" w:hAnsi="黑体" w:eastAsia="黑体" w:cs="黑体"/>
          <w:color w:val="auto"/>
          <w:spacing w:val="7"/>
          <w:sz w:val="24"/>
          <w:highlight w:val="none"/>
        </w:rPr>
        <w:t xml:space="preserve">    </w:t>
      </w:r>
      <w:r>
        <w:rPr>
          <w:rFonts w:ascii="黑体" w:hAnsi="黑体" w:eastAsia="黑体" w:cs="黑体"/>
          <w:color w:val="auto"/>
          <w:spacing w:val="-6"/>
          <w:sz w:val="24"/>
          <w:highlight w:val="none"/>
        </w:rPr>
        <w:t>系</w:t>
      </w:r>
      <w:r>
        <w:rPr>
          <w:rFonts w:ascii="黑体" w:hAnsi="黑体" w:eastAsia="黑体" w:cs="黑体"/>
          <w:color w:val="auto"/>
          <w:spacing w:val="3"/>
          <w:sz w:val="24"/>
          <w:highlight w:val="none"/>
        </w:rPr>
        <w:t xml:space="preserve">    </w:t>
      </w:r>
      <w:r>
        <w:rPr>
          <w:rFonts w:ascii="黑体" w:hAnsi="黑体" w:eastAsia="黑体" w:cs="黑体"/>
          <w:color w:val="auto"/>
          <w:spacing w:val="-6"/>
          <w:sz w:val="24"/>
          <w:highlight w:val="none"/>
        </w:rPr>
        <w:t>人：</w:t>
      </w:r>
      <w:r>
        <w:rPr>
          <w:rFonts w:ascii="黑体" w:hAnsi="黑体" w:eastAsia="黑体" w:cs="黑体"/>
          <w:color w:val="auto"/>
          <w:spacing w:val="-6"/>
          <w:sz w:val="24"/>
          <w:highlight w:val="none"/>
          <w:u w:val="single"/>
        </w:rPr>
        <w:t xml:space="preserve">                            </w:t>
      </w:r>
    </w:p>
    <w:p w14:paraId="1DBE3100">
      <w:pPr>
        <w:shd w:val="clear" w:color="auto" w:fill="auto"/>
        <w:spacing w:before="1" w:line="221" w:lineRule="auto"/>
        <w:ind w:left="3850"/>
        <w:rPr>
          <w:rFonts w:ascii="黑体" w:hAnsi="黑体" w:eastAsia="黑体" w:cs="黑体"/>
          <w:color w:val="auto"/>
          <w:sz w:val="24"/>
          <w:highlight w:val="none"/>
        </w:rPr>
      </w:pPr>
      <w:r>
        <w:rPr>
          <w:rFonts w:ascii="黑体" w:hAnsi="黑体" w:eastAsia="黑体" w:cs="黑体"/>
          <w:color w:val="auto"/>
          <w:spacing w:val="-10"/>
          <w:sz w:val="24"/>
          <w:highlight w:val="none"/>
        </w:rPr>
        <w:t>联</w:t>
      </w:r>
      <w:r>
        <w:rPr>
          <w:rFonts w:ascii="黑体" w:hAnsi="黑体" w:eastAsia="黑体" w:cs="黑体"/>
          <w:color w:val="auto"/>
          <w:spacing w:val="18"/>
          <w:sz w:val="24"/>
          <w:highlight w:val="none"/>
        </w:rPr>
        <w:t xml:space="preserve">  </w:t>
      </w:r>
      <w:r>
        <w:rPr>
          <w:rFonts w:ascii="黑体" w:hAnsi="黑体" w:eastAsia="黑体" w:cs="黑体"/>
          <w:color w:val="auto"/>
          <w:spacing w:val="-10"/>
          <w:sz w:val="24"/>
          <w:highlight w:val="none"/>
        </w:rPr>
        <w:t>系  电</w:t>
      </w:r>
      <w:r>
        <w:rPr>
          <w:rFonts w:ascii="黑体" w:hAnsi="黑体" w:eastAsia="黑体" w:cs="黑体"/>
          <w:color w:val="auto"/>
          <w:spacing w:val="15"/>
          <w:sz w:val="24"/>
          <w:highlight w:val="none"/>
        </w:rPr>
        <w:t xml:space="preserve">  </w:t>
      </w:r>
      <w:r>
        <w:rPr>
          <w:rFonts w:ascii="黑体" w:hAnsi="黑体" w:eastAsia="黑体" w:cs="黑体"/>
          <w:color w:val="auto"/>
          <w:spacing w:val="-10"/>
          <w:sz w:val="24"/>
          <w:highlight w:val="none"/>
        </w:rPr>
        <w:t>话：</w:t>
      </w:r>
      <w:r>
        <w:rPr>
          <w:rFonts w:ascii="黑体" w:hAnsi="黑体" w:eastAsia="黑体" w:cs="黑体"/>
          <w:color w:val="auto"/>
          <w:sz w:val="24"/>
          <w:highlight w:val="none"/>
          <w:u w:val="single"/>
        </w:rPr>
        <w:t xml:space="preserve">                           </w:t>
      </w:r>
    </w:p>
    <w:p w14:paraId="6DDBF056">
      <w:pPr>
        <w:shd w:val="clear" w:color="auto" w:fill="auto"/>
        <w:tabs>
          <w:tab w:val="left" w:pos="6582"/>
        </w:tabs>
        <w:spacing w:before="180" w:line="219" w:lineRule="auto"/>
        <w:ind w:left="5622"/>
        <w:rPr>
          <w:rFonts w:ascii="宋体" w:hAnsi="宋体" w:cs="宋体"/>
          <w:color w:val="auto"/>
          <w:sz w:val="24"/>
          <w:highlight w:val="none"/>
        </w:rPr>
      </w:pPr>
      <w:r>
        <w:rPr>
          <w:rFonts w:ascii="宋体" w:hAnsi="宋体" w:cs="宋体"/>
          <w:color w:val="auto"/>
          <w:sz w:val="24"/>
          <w:highlight w:val="none"/>
          <w:u w:val="single"/>
        </w:rPr>
        <w:tab/>
      </w:r>
      <w:r>
        <w:rPr>
          <w:rFonts w:ascii="宋体" w:hAnsi="宋体" w:cs="宋体"/>
          <w:color w:val="auto"/>
          <w:spacing w:val="-108"/>
          <w:sz w:val="24"/>
          <w:highlight w:val="none"/>
        </w:rPr>
        <w:t xml:space="preserve"> </w:t>
      </w:r>
      <w:r>
        <w:rPr>
          <w:rFonts w:ascii="宋体" w:hAnsi="宋体" w:cs="宋体"/>
          <w:color w:val="auto"/>
          <w:spacing w:val="-9"/>
          <w:sz w:val="24"/>
          <w:highlight w:val="none"/>
        </w:rPr>
        <w:t>年</w:t>
      </w:r>
      <w:r>
        <w:rPr>
          <w:rFonts w:ascii="宋体" w:hAnsi="宋体" w:cs="宋体"/>
          <w:color w:val="auto"/>
          <w:spacing w:val="29"/>
          <w:sz w:val="24"/>
          <w:highlight w:val="none"/>
          <w:u w:val="single"/>
        </w:rPr>
        <w:t xml:space="preserve">    </w:t>
      </w:r>
      <w:r>
        <w:rPr>
          <w:rFonts w:ascii="宋体" w:hAnsi="宋体" w:cs="宋体"/>
          <w:color w:val="auto"/>
          <w:spacing w:val="-101"/>
          <w:sz w:val="24"/>
          <w:highlight w:val="none"/>
        </w:rPr>
        <w:t xml:space="preserve"> </w:t>
      </w:r>
      <w:r>
        <w:rPr>
          <w:rFonts w:ascii="宋体" w:hAnsi="宋体" w:cs="宋体"/>
          <w:color w:val="auto"/>
          <w:spacing w:val="-9"/>
          <w:sz w:val="24"/>
          <w:highlight w:val="none"/>
        </w:rPr>
        <w:t>月</w:t>
      </w:r>
      <w:r>
        <w:rPr>
          <w:rFonts w:ascii="宋体" w:hAnsi="宋体" w:cs="宋体"/>
          <w:color w:val="auto"/>
          <w:spacing w:val="29"/>
          <w:sz w:val="24"/>
          <w:highlight w:val="none"/>
          <w:u w:val="single"/>
        </w:rPr>
        <w:t xml:space="preserve">    </w:t>
      </w:r>
      <w:r>
        <w:rPr>
          <w:rFonts w:ascii="宋体" w:hAnsi="宋体" w:cs="宋体"/>
          <w:color w:val="auto"/>
          <w:spacing w:val="-66"/>
          <w:sz w:val="24"/>
          <w:highlight w:val="none"/>
        </w:rPr>
        <w:t xml:space="preserve"> </w:t>
      </w:r>
      <w:r>
        <w:rPr>
          <w:rFonts w:ascii="宋体" w:hAnsi="宋体" w:cs="宋体"/>
          <w:color w:val="auto"/>
          <w:spacing w:val="-9"/>
          <w:sz w:val="24"/>
          <w:highlight w:val="none"/>
        </w:rPr>
        <w:t>日</w:t>
      </w:r>
    </w:p>
    <w:p w14:paraId="3C4C55A4">
      <w:pPr>
        <w:shd w:val="clear" w:color="auto" w:fill="auto"/>
        <w:snapToGrid w:val="0"/>
        <w:spacing w:line="300" w:lineRule="auto"/>
        <w:rPr>
          <w:rFonts w:ascii="宋体" w:hAnsi="宋体" w:cs="宋体"/>
          <w:color w:val="auto"/>
          <w:highlight w:val="none"/>
        </w:rPr>
        <w:sectPr>
          <w:footerReference r:id="rId8" w:type="first"/>
          <w:headerReference r:id="rId6" w:type="default"/>
          <w:footerReference r:id="rId7" w:type="default"/>
          <w:pgSz w:w="11907" w:h="16840"/>
          <w:pgMar w:top="1389" w:right="1000" w:bottom="1389" w:left="1247" w:header="851" w:footer="992" w:gutter="0"/>
          <w:cols w:space="720" w:num="1"/>
          <w:titlePg/>
          <w:docGrid w:linePitch="312" w:charSpace="0"/>
        </w:sectPr>
      </w:pPr>
    </w:p>
    <w:p w14:paraId="2B36510A">
      <w:pPr>
        <w:keepNext/>
        <w:keepLines/>
        <w:shd w:val="clear" w:color="auto" w:fill="auto"/>
        <w:spacing w:line="300" w:lineRule="auto"/>
        <w:jc w:val="center"/>
        <w:outlineLvl w:val="0"/>
        <w:rPr>
          <w:rFonts w:ascii="宋体" w:hAnsi="宋体" w:cs="宋体"/>
          <w:b/>
          <w:color w:val="auto"/>
          <w:kern w:val="44"/>
          <w:sz w:val="32"/>
          <w:szCs w:val="32"/>
          <w:highlight w:val="none"/>
        </w:rPr>
      </w:pPr>
      <w:bookmarkStart w:id="388" w:name="_Toc247527623"/>
      <w:bookmarkStart w:id="389" w:name="_Toc10601"/>
      <w:bookmarkStart w:id="390" w:name="_Toc152045598"/>
      <w:bookmarkStart w:id="391" w:name="_Toc11212"/>
      <w:bookmarkStart w:id="392" w:name="_Toc247514022"/>
      <w:bookmarkStart w:id="393" w:name="_Toc152042375"/>
      <w:bookmarkStart w:id="394" w:name="_Toc18467"/>
      <w:bookmarkStart w:id="395" w:name="_Toc27641"/>
      <w:bookmarkStart w:id="396" w:name="_Toc1692"/>
      <w:bookmarkStart w:id="397" w:name="_Toc300835008"/>
      <w:bookmarkStart w:id="398" w:name="_Toc144974565"/>
      <w:bookmarkStart w:id="399" w:name="_Toc32274"/>
      <w:bookmarkStart w:id="400" w:name="_Toc38896028"/>
      <w:bookmarkStart w:id="401" w:name="_Toc144974567"/>
      <w:bookmarkStart w:id="402" w:name="_Toc247527625"/>
      <w:bookmarkStart w:id="403" w:name="_Toc300835010"/>
      <w:bookmarkStart w:id="404" w:name="_Toc247514024"/>
      <w:bookmarkStart w:id="405" w:name="_Toc12426"/>
      <w:bookmarkStart w:id="406" w:name="_Toc8970"/>
      <w:bookmarkStart w:id="407" w:name="_Toc38896029"/>
      <w:bookmarkStart w:id="408" w:name="_Toc30581"/>
      <w:bookmarkStart w:id="409" w:name="_Toc152042377"/>
      <w:bookmarkStart w:id="410" w:name="_Toc152045600"/>
      <w:r>
        <w:rPr>
          <w:rFonts w:hint="eastAsia" w:ascii="宋体" w:hAnsi="宋体" w:cs="宋体"/>
          <w:b/>
          <w:color w:val="auto"/>
          <w:kern w:val="44"/>
          <w:sz w:val="32"/>
          <w:szCs w:val="32"/>
          <w:highlight w:val="none"/>
        </w:rPr>
        <w:t>第三章  评标定标办法</w:t>
      </w:r>
      <w:bookmarkEnd w:id="388"/>
      <w:bookmarkEnd w:id="389"/>
      <w:bookmarkEnd w:id="390"/>
      <w:bookmarkEnd w:id="391"/>
      <w:bookmarkEnd w:id="392"/>
      <w:bookmarkEnd w:id="393"/>
      <w:bookmarkEnd w:id="394"/>
      <w:bookmarkEnd w:id="395"/>
      <w:bookmarkEnd w:id="396"/>
      <w:bookmarkEnd w:id="397"/>
      <w:bookmarkEnd w:id="398"/>
      <w:bookmarkEnd w:id="399"/>
      <w:bookmarkEnd w:id="400"/>
      <w:bookmarkStart w:id="411" w:name="_Toc247527624"/>
      <w:bookmarkStart w:id="412" w:name="_Toc144974566"/>
      <w:bookmarkStart w:id="413" w:name="_Toc152045599"/>
      <w:bookmarkStart w:id="414" w:name="_Toc152042376"/>
      <w:bookmarkStart w:id="415" w:name="_Toc247514023"/>
    </w:p>
    <w:p w14:paraId="45A92488">
      <w:pPr>
        <w:shd w:val="clear" w:color="auto" w:fill="auto"/>
        <w:adjustRightInd w:val="0"/>
        <w:snapToGrid w:val="0"/>
        <w:spacing w:line="360" w:lineRule="auto"/>
        <w:ind w:left="3441"/>
        <w:outlineLvl w:val="1"/>
        <w:rPr>
          <w:rFonts w:ascii="宋体" w:hAnsi="宋体" w:cs="宋体"/>
          <w:color w:val="auto"/>
          <w:sz w:val="24"/>
          <w:highlight w:val="none"/>
        </w:rPr>
      </w:pPr>
      <w:r>
        <w:rPr>
          <w:rFonts w:ascii="宋体" w:hAnsi="宋体" w:cs="宋体"/>
          <w:color w:val="auto"/>
          <w:spacing w:val="8"/>
          <w:sz w:val="24"/>
          <w:highlight w:val="none"/>
        </w:rPr>
        <w:t>第一节 评标办法</w:t>
      </w:r>
    </w:p>
    <w:p w14:paraId="5E49A509">
      <w:pPr>
        <w:shd w:val="clear" w:color="auto" w:fill="auto"/>
        <w:adjustRightInd w:val="0"/>
        <w:snapToGrid w:val="0"/>
        <w:spacing w:line="360" w:lineRule="auto"/>
        <w:jc w:val="center"/>
        <w:outlineLvl w:val="2"/>
        <w:rPr>
          <w:rFonts w:ascii="宋体" w:hAnsi="宋体" w:cs="宋体"/>
          <w:color w:val="auto"/>
          <w:sz w:val="24"/>
          <w:highlight w:val="none"/>
        </w:rPr>
      </w:pPr>
      <w:r>
        <w:rPr>
          <w:rFonts w:hint="eastAsia" w:ascii="宋体" w:hAnsi="宋体" w:cs="宋体"/>
          <w:color w:val="auto"/>
          <w:spacing w:val="-11"/>
          <w:sz w:val="24"/>
          <w:highlight w:val="none"/>
        </w:rPr>
        <w:t>☑</w:t>
      </w:r>
      <w:r>
        <w:rPr>
          <w:rFonts w:ascii="宋体" w:hAnsi="宋体" w:cs="宋体"/>
          <w:color w:val="auto"/>
          <w:spacing w:val="-151"/>
          <w:sz w:val="24"/>
          <w:highlight w:val="none"/>
        </w:rPr>
        <w:t xml:space="preserve"> </w:t>
      </w:r>
      <w:r>
        <w:rPr>
          <w:rFonts w:ascii="宋体" w:hAnsi="宋体" w:cs="宋体"/>
          <w:color w:val="auto"/>
          <w:spacing w:val="-11"/>
          <w:sz w:val="24"/>
          <w:highlight w:val="none"/>
        </w:rPr>
        <w:t>一、综合评估法（适用于技术标明标）</w:t>
      </w:r>
    </w:p>
    <w:p w14:paraId="2AE687E4">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工程总承包综合评估法应先对投标人进行资格审</w:t>
      </w:r>
      <w:r>
        <w:rPr>
          <w:rFonts w:hint="eastAsia" w:ascii="宋体" w:hAnsi="宋体" w:cs="宋体"/>
          <w:color w:val="auto"/>
          <w:spacing w:val="-1"/>
          <w:szCs w:val="21"/>
          <w:highlight w:val="none"/>
        </w:rPr>
        <w:t>查，已通过资格审查的，采用百</w:t>
      </w:r>
      <w:r>
        <w:rPr>
          <w:rFonts w:hint="eastAsia" w:ascii="宋体" w:hAnsi="宋体" w:cs="宋体"/>
          <w:color w:val="auto"/>
          <w:spacing w:val="-2"/>
          <w:szCs w:val="21"/>
          <w:highlight w:val="none"/>
        </w:rPr>
        <w:t>分制记分法对投标人分别进行技术、资信、商务报价评分</w:t>
      </w:r>
      <w:r>
        <w:rPr>
          <w:rFonts w:hint="eastAsia" w:ascii="宋体" w:hAnsi="宋体" w:cs="宋体"/>
          <w:color w:val="auto"/>
          <w:spacing w:val="-3"/>
          <w:szCs w:val="21"/>
          <w:highlight w:val="none"/>
        </w:rPr>
        <w:t>，按总分从高到低进行排序，</w:t>
      </w:r>
      <w:r>
        <w:rPr>
          <w:rFonts w:hint="eastAsia" w:ascii="宋体" w:hAnsi="宋体" w:cs="宋体"/>
          <w:color w:val="auto"/>
          <w:spacing w:val="-1"/>
          <w:szCs w:val="21"/>
          <w:highlight w:val="none"/>
        </w:rPr>
        <w:t>并按照排序推荐中标候选人。评标应遵循公平、公正、科学、择优的原则。</w:t>
      </w:r>
    </w:p>
    <w:p w14:paraId="104221F3">
      <w:pPr>
        <w:shd w:val="clear" w:color="auto" w:fill="auto"/>
        <w:adjustRightInd w:val="0"/>
        <w:snapToGrid w:val="0"/>
        <w:spacing w:line="360" w:lineRule="auto"/>
        <w:ind w:firstLine="424" w:firstLineChars="200"/>
        <w:rPr>
          <w:rFonts w:ascii="宋体" w:hAnsi="宋体" w:cs="宋体"/>
          <w:color w:val="auto"/>
          <w:szCs w:val="21"/>
          <w:highlight w:val="none"/>
        </w:rPr>
      </w:pPr>
      <w:r>
        <w:rPr>
          <w:rFonts w:hint="eastAsia" w:ascii="宋体" w:hAnsi="宋体" w:cs="宋体"/>
          <w:color w:val="auto"/>
          <w:spacing w:val="1"/>
          <w:szCs w:val="21"/>
          <w:highlight w:val="none"/>
        </w:rPr>
        <w:t>□总分（100分</w:t>
      </w:r>
      <w:r>
        <w:rPr>
          <w:rFonts w:hint="eastAsia" w:ascii="宋体" w:hAnsi="宋体" w:cs="宋体"/>
          <w:color w:val="auto"/>
          <w:spacing w:val="7"/>
          <w:szCs w:val="21"/>
          <w:highlight w:val="none"/>
        </w:rPr>
        <w:t>）：</w:t>
      </w:r>
      <w:r>
        <w:rPr>
          <w:rFonts w:hint="eastAsia" w:ascii="宋体" w:hAnsi="宋体" w:cs="宋体"/>
          <w:color w:val="auto"/>
          <w:spacing w:val="1"/>
          <w:szCs w:val="21"/>
          <w:highlight w:val="none"/>
        </w:rPr>
        <w:t>技术标评分</w:t>
      </w:r>
      <w:r>
        <w:rPr>
          <w:rFonts w:hint="eastAsia" w:ascii="宋体" w:hAnsi="宋体" w:cs="宋体"/>
          <w:color w:val="auto"/>
          <w:spacing w:val="1"/>
          <w:szCs w:val="21"/>
          <w:highlight w:val="none"/>
          <w:u w:val="single"/>
        </w:rPr>
        <w:t>(≤30分）</w:t>
      </w:r>
      <w:r>
        <w:rPr>
          <w:rFonts w:hint="eastAsia" w:ascii="宋体" w:hAnsi="宋体" w:cs="宋体"/>
          <w:color w:val="auto"/>
          <w:spacing w:val="-112"/>
          <w:szCs w:val="21"/>
          <w:highlight w:val="none"/>
        </w:rPr>
        <w:t xml:space="preserve"> </w:t>
      </w:r>
      <w:r>
        <w:rPr>
          <w:rFonts w:hint="eastAsia" w:ascii="宋体" w:hAnsi="宋体" w:cs="宋体"/>
          <w:color w:val="auto"/>
          <w:spacing w:val="1"/>
          <w:szCs w:val="21"/>
          <w:highlight w:val="none"/>
        </w:rPr>
        <w:t>分,资信标评分</w:t>
      </w:r>
      <w:r>
        <w:rPr>
          <w:rFonts w:hint="eastAsia" w:ascii="宋体" w:hAnsi="宋体" w:cs="宋体"/>
          <w:color w:val="auto"/>
          <w:spacing w:val="1"/>
          <w:szCs w:val="21"/>
          <w:highlight w:val="none"/>
          <w:u w:val="single"/>
        </w:rPr>
        <w:t>（3-10分）</w:t>
      </w:r>
      <w:r>
        <w:rPr>
          <w:rFonts w:hint="eastAsia" w:ascii="宋体" w:hAnsi="宋体" w:cs="宋体"/>
          <w:color w:val="auto"/>
          <w:spacing w:val="-112"/>
          <w:szCs w:val="21"/>
          <w:highlight w:val="none"/>
        </w:rPr>
        <w:t xml:space="preserve"> </w:t>
      </w:r>
      <w:r>
        <w:rPr>
          <w:rFonts w:hint="eastAsia" w:ascii="宋体" w:hAnsi="宋体" w:cs="宋体"/>
          <w:color w:val="auto"/>
          <w:spacing w:val="1"/>
          <w:szCs w:val="21"/>
          <w:highlight w:val="none"/>
        </w:rPr>
        <w:t>分,</w:t>
      </w:r>
      <w:r>
        <w:rPr>
          <w:rFonts w:hint="eastAsia" w:ascii="宋体" w:hAnsi="宋体" w:cs="宋体"/>
          <w:color w:val="auto"/>
          <w:szCs w:val="21"/>
          <w:highlight w:val="none"/>
        </w:rPr>
        <w:t xml:space="preserve"> </w:t>
      </w:r>
      <w:r>
        <w:rPr>
          <w:rFonts w:hint="eastAsia" w:ascii="宋体" w:hAnsi="宋体" w:cs="宋体"/>
          <w:color w:val="auto"/>
          <w:spacing w:val="-5"/>
          <w:szCs w:val="21"/>
          <w:highlight w:val="none"/>
        </w:rPr>
        <w:t>商务标评分</w:t>
      </w:r>
      <w:r>
        <w:rPr>
          <w:rFonts w:hint="eastAsia" w:ascii="宋体" w:hAnsi="宋体" w:cs="宋体"/>
          <w:color w:val="auto"/>
          <w:spacing w:val="-5"/>
          <w:szCs w:val="21"/>
          <w:highlight w:val="none"/>
          <w:u w:val="single"/>
        </w:rPr>
        <w:t>(≥60分）</w:t>
      </w:r>
      <w:r>
        <w:rPr>
          <w:rFonts w:hint="eastAsia" w:ascii="宋体" w:hAnsi="宋体" w:cs="宋体"/>
          <w:color w:val="auto"/>
          <w:spacing w:val="-113"/>
          <w:szCs w:val="21"/>
          <w:highlight w:val="none"/>
          <w:u w:val="single"/>
        </w:rPr>
        <w:t xml:space="preserve"> </w:t>
      </w:r>
      <w:r>
        <w:rPr>
          <w:rFonts w:hint="eastAsia" w:ascii="宋体" w:hAnsi="宋体" w:cs="宋体"/>
          <w:color w:val="auto"/>
          <w:spacing w:val="-5"/>
          <w:szCs w:val="21"/>
          <w:highlight w:val="none"/>
        </w:rPr>
        <w:t>分之和（具体分值由当地招</w:t>
      </w:r>
      <w:r>
        <w:rPr>
          <w:rFonts w:hint="eastAsia" w:ascii="宋体" w:hAnsi="宋体" w:cs="宋体"/>
          <w:color w:val="auto"/>
          <w:spacing w:val="-6"/>
          <w:szCs w:val="21"/>
          <w:highlight w:val="none"/>
        </w:rPr>
        <w:t>投标主管部门和招标人确定，</w:t>
      </w:r>
      <w:r>
        <w:rPr>
          <w:rFonts w:hint="eastAsia" w:ascii="宋体" w:hAnsi="宋体" w:cs="宋体"/>
          <w:color w:val="auto"/>
          <w:spacing w:val="-3"/>
          <w:szCs w:val="21"/>
          <w:highlight w:val="none"/>
        </w:rPr>
        <w:t>适用于技术复杂项目）</w:t>
      </w:r>
    </w:p>
    <w:p w14:paraId="590D2DC9">
      <w:pPr>
        <w:shd w:val="clear" w:color="auto" w:fill="auto"/>
        <w:adjustRightInd w:val="0"/>
        <w:snapToGrid w:val="0"/>
        <w:spacing w:line="360" w:lineRule="auto"/>
        <w:ind w:firstLine="424" w:firstLineChars="200"/>
        <w:rPr>
          <w:rFonts w:ascii="宋体" w:hAnsi="宋体" w:cs="宋体"/>
          <w:color w:val="auto"/>
          <w:szCs w:val="21"/>
          <w:highlight w:val="none"/>
        </w:rPr>
      </w:pPr>
      <w:r>
        <w:rPr>
          <w:rFonts w:hint="eastAsia" w:ascii="宋体" w:hAnsi="宋体" w:cs="宋体"/>
          <w:color w:val="auto"/>
          <w:spacing w:val="1"/>
          <w:szCs w:val="21"/>
          <w:highlight w:val="none"/>
        </w:rPr>
        <w:t>☑总分（100分</w:t>
      </w:r>
      <w:r>
        <w:rPr>
          <w:rFonts w:hint="eastAsia" w:ascii="宋体" w:hAnsi="宋体" w:cs="宋体"/>
          <w:color w:val="auto"/>
          <w:spacing w:val="7"/>
          <w:szCs w:val="21"/>
          <w:highlight w:val="none"/>
        </w:rPr>
        <w:t>）：</w:t>
      </w:r>
      <w:r>
        <w:rPr>
          <w:rFonts w:hint="eastAsia" w:ascii="宋体" w:hAnsi="宋体" w:cs="宋体"/>
          <w:color w:val="auto"/>
          <w:spacing w:val="1"/>
          <w:szCs w:val="21"/>
          <w:highlight w:val="none"/>
        </w:rPr>
        <w:t>技术标评分</w:t>
      </w:r>
      <w:r>
        <w:rPr>
          <w:rFonts w:hint="eastAsia" w:ascii="宋体" w:hAnsi="宋体" w:cs="宋体"/>
          <w:color w:val="auto"/>
          <w:spacing w:val="35"/>
          <w:szCs w:val="21"/>
          <w:highlight w:val="none"/>
          <w:u w:val="single"/>
        </w:rPr>
        <w:t>20</w:t>
      </w:r>
      <w:r>
        <w:rPr>
          <w:rFonts w:hint="eastAsia" w:ascii="宋体" w:hAnsi="宋体" w:cs="宋体"/>
          <w:color w:val="auto"/>
          <w:spacing w:val="-112"/>
          <w:szCs w:val="21"/>
          <w:highlight w:val="none"/>
        </w:rPr>
        <w:t xml:space="preserve"> </w:t>
      </w:r>
      <w:r>
        <w:rPr>
          <w:rFonts w:hint="eastAsia" w:ascii="宋体" w:hAnsi="宋体" w:cs="宋体"/>
          <w:color w:val="auto"/>
          <w:spacing w:val="1"/>
          <w:szCs w:val="21"/>
          <w:highlight w:val="none"/>
        </w:rPr>
        <w:t>分,资信标评分</w:t>
      </w:r>
      <w:r>
        <w:rPr>
          <w:rFonts w:hint="eastAsia" w:ascii="宋体" w:hAnsi="宋体" w:cs="宋体"/>
          <w:color w:val="auto"/>
          <w:spacing w:val="1"/>
          <w:szCs w:val="21"/>
          <w:highlight w:val="none"/>
          <w:u w:val="single"/>
          <w:lang w:val="en-US" w:eastAsia="zh-CN"/>
        </w:rPr>
        <w:t>3</w:t>
      </w:r>
      <w:r>
        <w:rPr>
          <w:rFonts w:hint="eastAsia" w:ascii="宋体" w:hAnsi="宋体" w:cs="宋体"/>
          <w:color w:val="auto"/>
          <w:spacing w:val="1"/>
          <w:szCs w:val="21"/>
          <w:highlight w:val="none"/>
        </w:rPr>
        <w:t>分,</w:t>
      </w:r>
      <w:r>
        <w:rPr>
          <w:rFonts w:hint="eastAsia" w:ascii="宋体" w:hAnsi="宋体" w:cs="宋体"/>
          <w:color w:val="auto"/>
          <w:spacing w:val="-6"/>
          <w:szCs w:val="21"/>
          <w:highlight w:val="none"/>
        </w:rPr>
        <w:t>商务标评分</w:t>
      </w:r>
      <w:r>
        <w:rPr>
          <w:rFonts w:hint="eastAsia" w:ascii="宋体" w:hAnsi="宋体" w:cs="宋体"/>
          <w:color w:val="auto"/>
          <w:spacing w:val="28"/>
          <w:szCs w:val="21"/>
          <w:highlight w:val="none"/>
          <w:u w:val="single"/>
        </w:rPr>
        <w:t xml:space="preserve"> </w:t>
      </w:r>
      <w:r>
        <w:rPr>
          <w:rFonts w:hint="eastAsia" w:ascii="宋体" w:hAnsi="宋体" w:cs="宋体"/>
          <w:color w:val="auto"/>
          <w:spacing w:val="28"/>
          <w:szCs w:val="21"/>
          <w:highlight w:val="none"/>
          <w:u w:val="single"/>
          <w:lang w:val="en-US" w:eastAsia="zh-CN"/>
        </w:rPr>
        <w:t>77</w:t>
      </w:r>
      <w:r>
        <w:rPr>
          <w:rFonts w:hint="eastAsia" w:ascii="宋体" w:hAnsi="宋体" w:cs="宋体"/>
          <w:color w:val="auto"/>
          <w:spacing w:val="-6"/>
          <w:szCs w:val="21"/>
          <w:highlight w:val="none"/>
        </w:rPr>
        <w:t>分之和（具体分值由当地招投标主管部门和招标人确定，</w:t>
      </w:r>
      <w:r>
        <w:rPr>
          <w:rFonts w:hint="eastAsia" w:ascii="宋体" w:hAnsi="宋体" w:cs="宋体"/>
          <w:color w:val="auto"/>
          <w:spacing w:val="-3"/>
          <w:szCs w:val="21"/>
          <w:highlight w:val="none"/>
        </w:rPr>
        <w:t>适用于非技术复杂项目）。</w:t>
      </w:r>
    </w:p>
    <w:p w14:paraId="6674188E">
      <w:pPr>
        <w:shd w:val="clear" w:color="auto" w:fill="auto"/>
        <w:adjustRightInd w:val="0"/>
        <w:snapToGrid w:val="0"/>
        <w:spacing w:line="360" w:lineRule="auto"/>
        <w:ind w:firstLine="396" w:firstLineChars="200"/>
        <w:rPr>
          <w:rFonts w:ascii="宋体" w:hAnsi="宋体" w:cs="宋体"/>
          <w:color w:val="auto"/>
          <w:spacing w:val="-6"/>
          <w:szCs w:val="21"/>
          <w:highlight w:val="none"/>
        </w:rPr>
      </w:pPr>
      <w:r>
        <w:rPr>
          <w:rFonts w:hint="eastAsia" w:ascii="宋体" w:hAnsi="宋体" w:cs="宋体"/>
          <w:color w:val="auto"/>
          <w:spacing w:val="-6"/>
          <w:szCs w:val="21"/>
          <w:highlight w:val="none"/>
        </w:rPr>
        <w:t>评标工作由招标人依法组建的评标委员会负责，评标委员会的组建见投标人须知前附表 6.1.1。</w:t>
      </w:r>
    </w:p>
    <w:p w14:paraId="015353C4">
      <w:pPr>
        <w:shd w:val="clear" w:color="auto" w:fill="auto"/>
        <w:adjustRightInd w:val="0"/>
        <w:snapToGrid w:val="0"/>
        <w:spacing w:line="360" w:lineRule="auto"/>
        <w:ind w:firstLine="420" w:firstLineChars="200"/>
        <w:outlineLvl w:val="2"/>
        <w:rPr>
          <w:rFonts w:ascii="宋体" w:hAnsi="宋体" w:cs="宋体"/>
          <w:color w:val="auto"/>
          <w:szCs w:val="21"/>
          <w:highlight w:val="none"/>
        </w:rPr>
      </w:pPr>
      <w:r>
        <w:rPr>
          <w:rFonts w:hint="eastAsia" w:ascii="宋体" w:hAnsi="宋体" w:cs="宋体"/>
          <w:color w:val="auto"/>
          <w:szCs w:val="21"/>
          <w:highlight w:val="none"/>
        </w:rPr>
        <w:t>一、评标程序</w:t>
      </w:r>
    </w:p>
    <w:p w14:paraId="5C2795B9">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1.熟悉招标文件和评标办法；</w:t>
      </w:r>
    </w:p>
    <w:p w14:paraId="4DE884EA">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2.初步评审；</w:t>
      </w:r>
    </w:p>
    <w:p w14:paraId="79703D0D">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3.技术标评审；</w:t>
      </w:r>
    </w:p>
    <w:p w14:paraId="29DF6426">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4.资信标评审；</w:t>
      </w:r>
    </w:p>
    <w:p w14:paraId="79EE04F9">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5.商务标评审；</w:t>
      </w:r>
    </w:p>
    <w:p w14:paraId="2156816A">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6.对投标文件进行综合评分、排序，推荐中标候选人；</w:t>
      </w:r>
    </w:p>
    <w:p w14:paraId="3308DF60">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7.出具评标报告。</w:t>
      </w:r>
    </w:p>
    <w:p w14:paraId="27EC2FF0">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pacing w:val="-14"/>
          <w:position w:val="17"/>
          <w:szCs w:val="21"/>
          <w:highlight w:val="none"/>
        </w:rPr>
      </w:pPr>
      <w:r>
        <w:rPr>
          <w:rFonts w:hint="eastAsia" w:ascii="宋体" w:hAnsi="宋体" w:cs="宋体"/>
          <w:color w:val="auto"/>
          <w:position w:val="17"/>
          <w:szCs w:val="21"/>
          <w:highlight w:val="none"/>
        </w:rPr>
        <w:t>询标</w:t>
      </w:r>
      <w:r>
        <w:rPr>
          <w:rFonts w:hint="eastAsia" w:ascii="宋体" w:hAnsi="宋体" w:cs="宋体"/>
          <w:color w:val="auto"/>
          <w:spacing w:val="-14"/>
          <w:position w:val="17"/>
          <w:szCs w:val="21"/>
          <w:highlight w:val="none"/>
        </w:rPr>
        <w:t>：</w:t>
      </w:r>
    </w:p>
    <w:p w14:paraId="0F6F87DE">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（1）投标文件中有含义不明确的内容、明显文字或计算错误，评标委员会认为需要投标人作出必要澄清、说明的，应当组织询标。</w:t>
      </w:r>
    </w:p>
    <w:p w14:paraId="332D81FB">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凡是评标委员会拟作出否决投标决定的，须组织相关投标人询问核实。未进行询问核实的，不得作出否决投标的决定，投标人放弃询问核实机会的除外。投标人应自行关注评标委员会发出的澄清并及时答复，在规定的时限内投标人不参加核实或不予答复的，视为放弃接受询问核实的机会。</w:t>
      </w:r>
    </w:p>
    <w:p w14:paraId="165A5649">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（3）询标问题及投标人的澄清、说明应当采用书面形式，并不得超出投标文件的范围或者改变投标文件的实质性内容。</w:t>
      </w:r>
    </w:p>
    <w:p w14:paraId="202F5905">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（4）评标委员会不得暗示或者诱导投标人作出澄清、说明，不得接受投标人主动提出的澄清、说明。</w:t>
      </w:r>
    </w:p>
    <w:p w14:paraId="47E322E1">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（5）投标人不得通过补充、修改或撤销投标文件中的内容使其成为实质性响应的投标，投标人在投标截止时间以后不得提交任何资料作为评标依据。</w:t>
      </w:r>
    </w:p>
    <w:p w14:paraId="597FF3C5">
      <w:pPr>
        <w:shd w:val="clear" w:color="auto" w:fill="auto"/>
        <w:adjustRightInd w:val="0"/>
        <w:snapToGrid w:val="0"/>
        <w:spacing w:line="360" w:lineRule="auto"/>
        <w:ind w:firstLine="412" w:firstLineChars="200"/>
        <w:outlineLvl w:val="2"/>
        <w:rPr>
          <w:rFonts w:ascii="宋体" w:hAnsi="宋体" w:cs="宋体"/>
          <w:color w:val="auto"/>
          <w:szCs w:val="21"/>
          <w:highlight w:val="none"/>
        </w:rPr>
      </w:pPr>
      <w:r>
        <w:rPr>
          <w:rFonts w:hint="eastAsia" w:ascii="宋体" w:hAnsi="宋体" w:cs="宋体"/>
          <w:color w:val="auto"/>
          <w:spacing w:val="-2"/>
          <w:szCs w:val="21"/>
          <w:highlight w:val="none"/>
        </w:rPr>
        <w:t>二、评审细则</w:t>
      </w:r>
    </w:p>
    <w:p w14:paraId="3D2C8B74">
      <w:pPr>
        <w:shd w:val="clear" w:color="auto" w:fill="auto"/>
        <w:adjustRightInd w:val="0"/>
        <w:snapToGrid w:val="0"/>
        <w:spacing w:line="360" w:lineRule="auto"/>
        <w:ind w:firstLine="416" w:firstLineChars="200"/>
        <w:outlineLvl w:val="3"/>
        <w:rPr>
          <w:rFonts w:ascii="宋体" w:hAnsi="宋体" w:cs="宋体"/>
          <w:color w:val="auto"/>
          <w:szCs w:val="21"/>
          <w:highlight w:val="none"/>
        </w:rPr>
      </w:pPr>
      <w:r>
        <w:rPr>
          <w:rFonts w:hint="eastAsia" w:ascii="宋体" w:hAnsi="宋体" w:cs="宋体"/>
          <w:color w:val="auto"/>
          <w:spacing w:val="-1"/>
          <w:szCs w:val="21"/>
          <w:highlight w:val="none"/>
        </w:rPr>
        <w:t>（一）投标文件的初步评审</w:t>
      </w:r>
    </w:p>
    <w:p w14:paraId="008505A3">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1.评标委员会应依照招标文件的要求和规定，对投标人的投标资格和投标文件进行初步评审。</w:t>
      </w:r>
    </w:p>
    <w:p w14:paraId="76FFF8DC">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评标委员会应审查，投标人符合投标所需资质条件的“浙江省建筑市场监管公共服务系统 ”动态考核结果处于“合格 ”状态证明截图复制件。</w:t>
      </w:r>
    </w:p>
    <w:p w14:paraId="6F0FB5B6">
      <w:pPr>
        <w:shd w:val="clear" w:color="auto" w:fill="auto"/>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如评标委员会发现投标文件存在招标文件投标人须知前附表10.1“否决投标的情形 ”符合性内容之一的，经询问核实并认定后，即可判定该投标文件初步评审不通过，</w:t>
      </w:r>
      <w:r>
        <w:rPr>
          <w:rFonts w:hint="eastAsia" w:ascii="宋体" w:hAnsi="宋体" w:cs="宋体"/>
          <w:color w:val="auto"/>
          <w:spacing w:val="-1"/>
          <w:szCs w:val="21"/>
          <w:highlight w:val="none"/>
        </w:rPr>
        <w:t>应予以否决，不再进入后续评审程序。</w:t>
      </w:r>
    </w:p>
    <w:p w14:paraId="0C982096">
      <w:pPr>
        <w:shd w:val="clear" w:color="auto" w:fill="auto"/>
        <w:adjustRightInd w:val="0"/>
        <w:snapToGrid w:val="0"/>
        <w:spacing w:line="360" w:lineRule="auto"/>
        <w:ind w:firstLine="382" w:firstLineChars="200"/>
        <w:rPr>
          <w:rFonts w:ascii="宋体" w:hAnsi="宋体" w:cs="宋体"/>
          <w:b/>
          <w:bCs/>
          <w:i w:val="0"/>
          <w:iCs w:val="0"/>
          <w:color w:val="auto"/>
          <w:szCs w:val="21"/>
          <w:highlight w:val="none"/>
        </w:rPr>
      </w:pPr>
      <w:r>
        <w:rPr>
          <w:rFonts w:hint="eastAsia" w:ascii="宋体" w:hAnsi="宋体" w:cs="宋体"/>
          <w:b/>
          <w:bCs/>
          <w:i w:val="0"/>
          <w:iCs w:val="0"/>
          <w:color w:val="auto"/>
          <w:spacing w:val="-10"/>
          <w:szCs w:val="21"/>
          <w:highlight w:val="none"/>
        </w:rPr>
        <w:t>评标委员会应审查投标人须知前附表3.5规定要求的“资质动态核查结果证明”。</w:t>
      </w:r>
    </w:p>
    <w:p w14:paraId="1FC1C87A">
      <w:pPr>
        <w:shd w:val="clear" w:color="auto" w:fill="auto"/>
        <w:adjustRightInd w:val="0"/>
        <w:snapToGrid w:val="0"/>
        <w:spacing w:line="360" w:lineRule="auto"/>
        <w:ind w:firstLine="416" w:firstLineChars="200"/>
        <w:outlineLvl w:val="3"/>
        <w:rPr>
          <w:rFonts w:ascii="宋体" w:hAnsi="宋体" w:cs="宋体"/>
          <w:color w:val="auto"/>
          <w:szCs w:val="21"/>
          <w:highlight w:val="none"/>
        </w:rPr>
      </w:pPr>
      <w:r>
        <w:rPr>
          <w:rFonts w:hint="eastAsia" w:ascii="宋体" w:hAnsi="宋体" w:cs="宋体"/>
          <w:color w:val="auto"/>
          <w:spacing w:val="-1"/>
          <w:szCs w:val="21"/>
          <w:highlight w:val="none"/>
        </w:rPr>
        <w:t>（二）投标文件的技术标评审</w:t>
      </w:r>
    </w:p>
    <w:p w14:paraId="21D7B6E5">
      <w:pPr>
        <w:shd w:val="clear" w:color="auto" w:fill="auto"/>
        <w:adjustRightInd w:val="0"/>
        <w:snapToGrid w:val="0"/>
        <w:spacing w:line="360" w:lineRule="auto"/>
        <w:ind w:firstLine="404" w:firstLineChars="200"/>
        <w:rPr>
          <w:rFonts w:ascii="宋体" w:hAnsi="宋体" w:cs="宋体"/>
          <w:color w:val="auto"/>
          <w:szCs w:val="21"/>
          <w:highlight w:val="none"/>
        </w:rPr>
      </w:pPr>
      <w:r>
        <w:rPr>
          <w:rFonts w:hint="eastAsia" w:ascii="宋体" w:hAnsi="宋体" w:cs="宋体"/>
          <w:color w:val="auto"/>
          <w:spacing w:val="-4"/>
          <w:szCs w:val="21"/>
          <w:highlight w:val="none"/>
        </w:rPr>
        <w:t>1、投标文件存在投标须知前附表10.1情形技术性内容之一的，评标委员会组织投</w:t>
      </w:r>
      <w:r>
        <w:rPr>
          <w:rFonts w:hint="eastAsia" w:ascii="宋体" w:hAnsi="宋体" w:cs="宋体"/>
          <w:color w:val="auto"/>
          <w:szCs w:val="21"/>
          <w:highlight w:val="none"/>
        </w:rPr>
        <w:t>标人询问核实后，情况属实的，技术标评审不予通过，否</w:t>
      </w:r>
      <w:r>
        <w:rPr>
          <w:rFonts w:hint="eastAsia" w:ascii="宋体" w:hAnsi="宋体" w:cs="宋体"/>
          <w:color w:val="auto"/>
          <w:spacing w:val="-1"/>
          <w:szCs w:val="21"/>
          <w:highlight w:val="none"/>
        </w:rPr>
        <w:t>决其投标，不再进入后续评</w:t>
      </w:r>
      <w:r>
        <w:rPr>
          <w:rFonts w:hint="eastAsia" w:ascii="宋体" w:hAnsi="宋体" w:cs="宋体"/>
          <w:color w:val="auto"/>
          <w:spacing w:val="-6"/>
          <w:szCs w:val="21"/>
          <w:highlight w:val="none"/>
        </w:rPr>
        <w:t>审程序。</w:t>
      </w:r>
    </w:p>
    <w:p w14:paraId="51F820A1">
      <w:pPr>
        <w:shd w:val="clear" w:color="auto" w:fill="auto"/>
        <w:adjustRightInd w:val="0"/>
        <w:snapToGrid w:val="0"/>
        <w:spacing w:line="360" w:lineRule="auto"/>
        <w:ind w:firstLine="404"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2、技术标评分(□≤30分，适用于技术复杂项目；☑≤20分，适用于非技术复杂项目）。</w:t>
      </w:r>
    </w:p>
    <w:p w14:paraId="74A24147">
      <w:pPr>
        <w:shd w:val="clear" w:color="auto" w:fill="auto"/>
        <w:adjustRightInd w:val="0"/>
        <w:snapToGrid w:val="0"/>
        <w:spacing w:line="360" w:lineRule="auto"/>
        <w:ind w:firstLine="416" w:firstLineChars="200"/>
        <w:rPr>
          <w:rFonts w:ascii="宋体" w:hAnsi="宋体" w:cs="宋体"/>
          <w:color w:val="auto"/>
          <w:szCs w:val="21"/>
          <w:highlight w:val="none"/>
        </w:rPr>
      </w:pPr>
      <w:r>
        <w:rPr>
          <w:rFonts w:hint="eastAsia" w:ascii="宋体" w:hAnsi="宋体" w:cs="宋体"/>
          <w:color w:val="auto"/>
          <w:spacing w:val="-1"/>
          <w:szCs w:val="21"/>
          <w:highlight w:val="none"/>
        </w:rPr>
        <w:t>（1）由评标委员会各成员按评审因素和评分标准进行独立评分（保留2位小</w:t>
      </w:r>
      <w:r>
        <w:rPr>
          <w:rFonts w:hint="eastAsia" w:ascii="宋体" w:hAnsi="宋体" w:cs="宋体"/>
          <w:color w:val="auto"/>
          <w:spacing w:val="-2"/>
          <w:szCs w:val="21"/>
          <w:highlight w:val="none"/>
        </w:rPr>
        <w:t>数）</w:t>
      </w:r>
      <w:r>
        <w:rPr>
          <w:rFonts w:hint="eastAsia" w:ascii="宋体" w:hAnsi="宋体" w:cs="宋体"/>
          <w:color w:val="auto"/>
          <w:spacing w:val="-1"/>
          <w:szCs w:val="21"/>
          <w:highlight w:val="none"/>
        </w:rPr>
        <w:t>并署名。此项评分为：从评标专家的有效评分大于等于5个的，扣除一个最高总分和一个最低总分后的算术平均值，有效评分少于5个的，按全部有效评分的算术平均值（保留小</w:t>
      </w:r>
      <w:r>
        <w:rPr>
          <w:rFonts w:hint="eastAsia" w:ascii="宋体" w:hAnsi="宋体" w:cs="宋体"/>
          <w:color w:val="auto"/>
          <w:spacing w:val="-3"/>
          <w:szCs w:val="21"/>
          <w:highlight w:val="none"/>
        </w:rPr>
        <w:t>数2位）。</w:t>
      </w:r>
    </w:p>
    <w:p w14:paraId="55DA6D88">
      <w:pPr>
        <w:shd w:val="clear" w:color="auto" w:fill="auto"/>
        <w:adjustRightInd w:val="0"/>
        <w:snapToGrid w:val="0"/>
        <w:spacing w:line="360" w:lineRule="auto"/>
        <w:ind w:firstLine="404"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（2）技术评审主要因素包括以下内容（技术标打分条款由招标人根据项目实际情况进行设置）。</w:t>
      </w:r>
    </w:p>
    <w:p w14:paraId="548C0591">
      <w:pPr>
        <w:shd w:val="clear" w:color="auto" w:fill="auto"/>
        <w:spacing w:before="310"/>
        <w:ind w:left="3647"/>
        <w:rPr>
          <w:rFonts w:hint="eastAsia" w:ascii="宋体" w:hAnsi="宋体" w:eastAsia="宋体" w:cs="宋体"/>
          <w:i/>
          <w:iCs/>
          <w:color w:val="auto"/>
          <w:spacing w:val="1"/>
          <w:sz w:val="24"/>
          <w:highlight w:val="none"/>
          <w:lang w:eastAsia="zh-CN"/>
        </w:rPr>
      </w:pPr>
      <w:r>
        <w:rPr>
          <w:rFonts w:hint="eastAsia" w:ascii="宋体" w:hAnsi="宋体" w:cs="宋体"/>
          <w:i w:val="0"/>
          <w:iCs w:val="0"/>
          <w:color w:val="auto"/>
          <w:spacing w:val="1"/>
          <w:sz w:val="24"/>
          <w:highlight w:val="none"/>
        </w:rPr>
        <w:t>技术评审因素表</w:t>
      </w:r>
      <w:r>
        <w:rPr>
          <w:rFonts w:hint="eastAsia" w:ascii="宋体" w:hAnsi="宋体" w:cs="宋体"/>
          <w:i w:val="0"/>
          <w:iCs w:val="0"/>
          <w:color w:val="auto"/>
          <w:spacing w:val="1"/>
          <w:sz w:val="24"/>
          <w:highlight w:val="none"/>
          <w:lang w:eastAsia="zh-CN"/>
        </w:rPr>
        <w:t>（</w:t>
      </w:r>
      <w:r>
        <w:rPr>
          <w:rFonts w:hint="eastAsia" w:ascii="宋体" w:hAnsi="宋体" w:cs="宋体"/>
          <w:i w:val="0"/>
          <w:iCs w:val="0"/>
          <w:color w:val="auto"/>
          <w:spacing w:val="1"/>
          <w:sz w:val="24"/>
          <w:highlight w:val="none"/>
          <w:lang w:val="en-US" w:eastAsia="zh-CN"/>
        </w:rPr>
        <w:t>20分</w:t>
      </w:r>
      <w:r>
        <w:rPr>
          <w:rFonts w:hint="eastAsia" w:ascii="宋体" w:hAnsi="宋体" w:cs="宋体"/>
          <w:i w:val="0"/>
          <w:iCs w:val="0"/>
          <w:color w:val="auto"/>
          <w:spacing w:val="1"/>
          <w:sz w:val="24"/>
          <w:highlight w:val="none"/>
          <w:lang w:eastAsia="zh-CN"/>
        </w:rPr>
        <w:t>）</w:t>
      </w:r>
    </w:p>
    <w:tbl>
      <w:tblPr>
        <w:tblStyle w:val="11"/>
        <w:tblW w:w="8980" w:type="dxa"/>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0"/>
        <w:gridCol w:w="3020"/>
        <w:gridCol w:w="3130"/>
        <w:gridCol w:w="1200"/>
      </w:tblGrid>
      <w:tr w14:paraId="02EB6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630" w:type="dxa"/>
            <w:tcBorders>
              <w:top w:val="single" w:color="auto" w:sz="4" w:space="0"/>
              <w:left w:val="single" w:color="auto" w:sz="4" w:space="0"/>
              <w:right w:val="single" w:color="auto" w:sz="4" w:space="0"/>
            </w:tcBorders>
            <w:noWrap w:val="0"/>
            <w:vAlign w:val="center"/>
          </w:tcPr>
          <w:p w14:paraId="4F6FDF7C">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主项</w:t>
            </w: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74263265">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1200" w:type="dxa"/>
            <w:tcBorders>
              <w:top w:val="single" w:color="auto" w:sz="4" w:space="0"/>
              <w:left w:val="single" w:color="auto" w:sz="4" w:space="0"/>
              <w:bottom w:val="single" w:color="auto" w:sz="4" w:space="0"/>
              <w:right w:val="single" w:color="auto" w:sz="4" w:space="0"/>
            </w:tcBorders>
            <w:noWrap w:val="0"/>
            <w:vAlign w:val="top"/>
          </w:tcPr>
          <w:p w14:paraId="292472A4">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 值</w:t>
            </w:r>
          </w:p>
        </w:tc>
      </w:tr>
      <w:tr w14:paraId="43F94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1630" w:type="dxa"/>
            <w:vMerge w:val="restart"/>
            <w:tcBorders>
              <w:top w:val="single" w:color="auto" w:sz="4" w:space="0"/>
              <w:left w:val="single" w:color="auto" w:sz="4" w:space="0"/>
              <w:right w:val="single" w:color="auto" w:sz="4" w:space="0"/>
            </w:tcBorders>
            <w:noWrap w:val="0"/>
            <w:vAlign w:val="center"/>
          </w:tcPr>
          <w:p w14:paraId="1F319DE0">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总体项目管理方案（2分）</w:t>
            </w:r>
          </w:p>
        </w:tc>
        <w:tc>
          <w:tcPr>
            <w:tcW w:w="6150" w:type="dxa"/>
            <w:gridSpan w:val="2"/>
            <w:tcBorders>
              <w:top w:val="single" w:color="auto" w:sz="4" w:space="0"/>
              <w:left w:val="single" w:color="auto" w:sz="4" w:space="0"/>
              <w:right w:val="single" w:color="auto" w:sz="4" w:space="0"/>
            </w:tcBorders>
            <w:noWrap w:val="0"/>
            <w:vAlign w:val="center"/>
          </w:tcPr>
          <w:p w14:paraId="2A381A29">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项目目标分解、项目情况分析</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979B0BE">
            <w:pPr>
              <w:spacing w:line="360" w:lineRule="auto"/>
              <w:jc w:val="center"/>
              <w:outlineLvl w:val="9"/>
              <w:rPr>
                <w:rFonts w:hint="eastAsia" w:ascii="宋体" w:hAnsi="宋体" w:eastAsia="宋体" w:cs="宋体"/>
                <w:i/>
                <w:iCs/>
                <w:color w:val="auto"/>
                <w:sz w:val="21"/>
                <w:szCs w:val="21"/>
                <w:highlight w:val="none"/>
              </w:rPr>
            </w:pP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779BA0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630" w:type="dxa"/>
            <w:vMerge w:val="continue"/>
            <w:tcBorders>
              <w:left w:val="single" w:color="auto" w:sz="4" w:space="0"/>
              <w:right w:val="single" w:color="auto" w:sz="4" w:space="0"/>
            </w:tcBorders>
            <w:noWrap w:val="0"/>
            <w:vAlign w:val="center"/>
          </w:tcPr>
          <w:p w14:paraId="4D1EA906">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right w:val="single" w:color="auto" w:sz="4" w:space="0"/>
            </w:tcBorders>
            <w:noWrap w:val="0"/>
            <w:vAlign w:val="center"/>
          </w:tcPr>
          <w:p w14:paraId="77D4BD8F">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项目概述，工程总承包项目管理，具体包括专项管理、综合集成、采购和试运行等</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A3EE958">
            <w:pPr>
              <w:spacing w:line="360" w:lineRule="auto"/>
              <w:jc w:val="center"/>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120CC0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1630" w:type="dxa"/>
            <w:vMerge w:val="restart"/>
            <w:tcBorders>
              <w:top w:val="single" w:color="auto" w:sz="4" w:space="0"/>
              <w:left w:val="single" w:color="auto" w:sz="4" w:space="0"/>
              <w:right w:val="single" w:color="auto" w:sz="4" w:space="0"/>
            </w:tcBorders>
            <w:noWrap w:val="0"/>
            <w:vAlign w:val="center"/>
          </w:tcPr>
          <w:p w14:paraId="75DF9902">
            <w:r>
              <w:rPr>
                <w:rFonts w:hint="eastAsia" w:ascii="宋体" w:hAnsi="宋体" w:eastAsia="宋体" w:cs="宋体"/>
                <w:color w:val="auto"/>
                <w:sz w:val="21"/>
                <w:szCs w:val="21"/>
                <w:highlight w:val="none"/>
              </w:rPr>
              <w:t>设计方案（</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0D744798"/>
          <w:p w14:paraId="5E94BA01">
            <w:pPr>
              <w:spacing w:line="360" w:lineRule="auto"/>
              <w:outlineLvl w:val="9"/>
              <w:rPr>
                <w:rFonts w:hint="default" w:ascii="宋体" w:hAnsi="宋体" w:eastAsia="宋体" w:cs="宋体"/>
                <w:color w:val="auto"/>
                <w:sz w:val="21"/>
                <w:szCs w:val="21"/>
                <w:highlight w:val="none"/>
                <w:lang w:val="en-US" w:eastAsia="zh-CN"/>
              </w:rPr>
            </w:pP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78927A33">
            <w:pPr>
              <w:spacing w:line="360" w:lineRule="auto"/>
              <w:outlineLvl w:val="9"/>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val="en-US" w:eastAsia="zh-CN"/>
              </w:rPr>
              <w:t>方案设计（</w:t>
            </w:r>
            <w:r>
              <w:rPr>
                <w:rFonts w:hint="eastAsia" w:ascii="宋体" w:hAnsi="宋体" w:eastAsia="宋体" w:cs="宋体"/>
                <w:color w:val="auto"/>
                <w:sz w:val="21"/>
                <w:szCs w:val="21"/>
                <w:highlight w:val="none"/>
              </w:rPr>
              <w:t>初步设计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的优化，具体包括主要设计思路、设计创新、先进技术应用、节能环保等</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4E039E1">
            <w:pPr>
              <w:spacing w:line="360" w:lineRule="auto"/>
              <w:jc w:val="center"/>
              <w:outlineLvl w:val="9"/>
              <w:rPr>
                <w:rFonts w:hint="eastAsia" w:ascii="宋体" w:hAnsi="宋体" w:eastAsia="宋体" w:cs="宋体"/>
                <w:i/>
                <w:iCs/>
                <w:color w:val="auto"/>
                <w:sz w:val="21"/>
                <w:szCs w:val="21"/>
                <w:highlight w:val="none"/>
              </w:rPr>
            </w:pP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-2 分</w:t>
            </w:r>
          </w:p>
        </w:tc>
      </w:tr>
      <w:tr w14:paraId="7045F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trPr>
        <w:tc>
          <w:tcPr>
            <w:tcW w:w="1630" w:type="dxa"/>
            <w:vMerge w:val="continue"/>
            <w:tcBorders>
              <w:left w:val="single" w:color="auto" w:sz="4" w:space="0"/>
              <w:right w:val="single" w:color="auto" w:sz="4" w:space="0"/>
            </w:tcBorders>
            <w:noWrap w:val="0"/>
            <w:vAlign w:val="center"/>
          </w:tcPr>
          <w:p w14:paraId="7F6DA1C7">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right w:val="single" w:color="auto" w:sz="4" w:space="0"/>
            </w:tcBorders>
            <w:noWrap w:val="0"/>
            <w:vAlign w:val="center"/>
          </w:tcPr>
          <w:p w14:paraId="10F58965">
            <w:pPr>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工程经济的合理性分析、评价（投资估算是否与设计方案匹配、是否结合现场建设条件，各项指标取值是否合理、是否满足相关规范要求等）</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461795B">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14:paraId="5B0437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74A6EDEC">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32A243EA">
            <w:pPr>
              <w:jc w:val="left"/>
              <w:outlineLvl w:val="9"/>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rPr>
              <w:t>设计管理机构的构成和设计力量的配备</w:t>
            </w:r>
            <w:r>
              <w:rPr>
                <w:rFonts w:hint="eastAsia" w:hAnsi="宋体" w:eastAsia="宋体" w:cs="宋体"/>
                <w:color w:val="auto"/>
                <w:sz w:val="21"/>
                <w:szCs w:val="21"/>
                <w:highlight w:val="none"/>
                <w:lang w:eastAsia="zh-CN"/>
              </w:rPr>
              <w:t>。</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2A6C1DF">
            <w:pPr>
              <w:spacing w:line="360" w:lineRule="auto"/>
              <w:jc w:val="center"/>
              <w:outlineLvl w:val="9"/>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0.5-2</w:t>
            </w:r>
            <w:r>
              <w:rPr>
                <w:rFonts w:hint="eastAsia" w:ascii="宋体" w:hAnsi="宋体" w:eastAsia="宋体" w:cs="宋体"/>
                <w:color w:val="auto"/>
                <w:sz w:val="21"/>
                <w:szCs w:val="21"/>
                <w:highlight w:val="none"/>
              </w:rPr>
              <w:t>分</w:t>
            </w:r>
          </w:p>
        </w:tc>
      </w:tr>
      <w:tr w14:paraId="03C16A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0133CEE5">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06BCA1AB">
            <w:pPr>
              <w:jc w:val="left"/>
              <w:outlineLvl w:val="9"/>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rPr>
              <w:t>设计组织方案及各阶段计划进度安排</w:t>
            </w:r>
            <w:r>
              <w:rPr>
                <w:rFonts w:hint="eastAsia" w:hAnsi="宋体" w:eastAsia="宋体" w:cs="宋体"/>
                <w:color w:val="auto"/>
                <w:sz w:val="21"/>
                <w:szCs w:val="21"/>
                <w:highlight w:val="none"/>
                <w:lang w:eastAsia="zh-CN"/>
              </w:rPr>
              <w:t>。</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7BD1E44">
            <w:pPr>
              <w:spacing w:line="360" w:lineRule="auto"/>
              <w:jc w:val="center"/>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0.5-1</w:t>
            </w:r>
            <w:r>
              <w:rPr>
                <w:rFonts w:hint="eastAsia" w:ascii="宋体" w:hAnsi="宋体" w:eastAsia="宋体" w:cs="宋体"/>
                <w:color w:val="auto"/>
                <w:sz w:val="21"/>
                <w:szCs w:val="21"/>
                <w:highlight w:val="none"/>
              </w:rPr>
              <w:t>分</w:t>
            </w:r>
          </w:p>
        </w:tc>
      </w:tr>
      <w:tr w14:paraId="1C8E9D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32DEFE59">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0DB77BA1">
            <w:pPr>
              <w:jc w:val="left"/>
              <w:outlineLvl w:val="9"/>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rPr>
              <w:t>施工图设计质量控制措施</w:t>
            </w:r>
            <w:r>
              <w:rPr>
                <w:rFonts w:hint="eastAsia" w:hAnsi="宋体" w:eastAsia="宋体" w:cs="宋体"/>
                <w:color w:val="auto"/>
                <w:sz w:val="21"/>
                <w:szCs w:val="21"/>
                <w:highlight w:val="none"/>
                <w:lang w:eastAsia="zh-CN"/>
              </w:rPr>
              <w:t>。</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01B6C1E">
            <w:pPr>
              <w:spacing w:line="360" w:lineRule="auto"/>
              <w:jc w:val="center"/>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0.5-1</w:t>
            </w:r>
            <w:r>
              <w:rPr>
                <w:rFonts w:hint="eastAsia" w:ascii="宋体" w:hAnsi="宋体" w:eastAsia="宋体" w:cs="宋体"/>
                <w:color w:val="auto"/>
                <w:sz w:val="21"/>
                <w:szCs w:val="21"/>
                <w:highlight w:val="none"/>
              </w:rPr>
              <w:t>分</w:t>
            </w:r>
          </w:p>
        </w:tc>
      </w:tr>
      <w:tr w14:paraId="414992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630" w:type="dxa"/>
            <w:vMerge w:val="continue"/>
            <w:tcBorders>
              <w:left w:val="single" w:color="auto" w:sz="4" w:space="0"/>
              <w:right w:val="single" w:color="auto" w:sz="4" w:space="0"/>
            </w:tcBorders>
            <w:noWrap w:val="0"/>
            <w:vAlign w:val="center"/>
          </w:tcPr>
          <w:p w14:paraId="45C2DEFB">
            <w:pPr>
              <w:spacing w:line="360" w:lineRule="auto"/>
              <w:outlineLvl w:val="9"/>
              <w:rPr>
                <w:rFonts w:hint="default" w:ascii="宋体" w:hAnsi="宋体" w:eastAsia="宋体" w:cs="宋体"/>
                <w:color w:val="auto"/>
                <w:sz w:val="21"/>
                <w:szCs w:val="21"/>
                <w:highlight w:val="none"/>
                <w:lang w:val="en-US" w:eastAsia="zh-CN"/>
              </w:rPr>
            </w:pP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1986CCD4">
            <w:pPr>
              <w:jc w:val="left"/>
              <w:outlineLvl w:val="9"/>
              <w:rPr>
                <w:rFonts w:hint="default"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新型技术应用服务措施（如建筑工业化、BIM技术、绿色建筑、海绵体城市应用等）</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5A0DD73">
            <w:pPr>
              <w:spacing w:line="360" w:lineRule="auto"/>
              <w:jc w:val="center"/>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0.5-1</w:t>
            </w:r>
            <w:r>
              <w:rPr>
                <w:rFonts w:hint="eastAsia" w:ascii="宋体" w:hAnsi="宋体" w:eastAsia="宋体" w:cs="宋体"/>
                <w:color w:val="auto"/>
                <w:sz w:val="21"/>
                <w:szCs w:val="21"/>
                <w:highlight w:val="none"/>
              </w:rPr>
              <w:t>分</w:t>
            </w:r>
          </w:p>
        </w:tc>
      </w:tr>
      <w:tr w14:paraId="46BD5D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1630" w:type="dxa"/>
            <w:vMerge w:val="restart"/>
            <w:tcBorders>
              <w:top w:val="single" w:color="auto" w:sz="4" w:space="0"/>
              <w:left w:val="single" w:color="auto" w:sz="4" w:space="0"/>
              <w:right w:val="single" w:color="auto" w:sz="4" w:space="0"/>
            </w:tcBorders>
            <w:noWrap w:val="0"/>
            <w:vAlign w:val="center"/>
          </w:tcPr>
          <w:p w14:paraId="35D82AF0">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采购方案（</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65D605A">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right w:val="single" w:color="auto" w:sz="4" w:space="0"/>
            </w:tcBorders>
            <w:noWrap w:val="0"/>
            <w:vAlign w:val="center"/>
          </w:tcPr>
          <w:p w14:paraId="56690E0A">
            <w:pPr>
              <w:pStyle w:val="10"/>
              <w:spacing w:line="360" w:lineRule="auto"/>
              <w:ind w:firstLine="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设备采购、分包工作的总体安排与资源配置</w:t>
            </w:r>
          </w:p>
        </w:tc>
        <w:tc>
          <w:tcPr>
            <w:tcW w:w="1200" w:type="dxa"/>
            <w:tcBorders>
              <w:top w:val="single" w:color="auto" w:sz="4" w:space="0"/>
              <w:left w:val="single" w:color="auto" w:sz="4" w:space="0"/>
              <w:right w:val="single" w:color="auto" w:sz="4" w:space="0"/>
            </w:tcBorders>
            <w:noWrap w:val="0"/>
            <w:vAlign w:val="center"/>
          </w:tcPr>
          <w:p w14:paraId="45D7EC6D">
            <w:pPr>
              <w:spacing w:line="360" w:lineRule="auto"/>
              <w:jc w:val="center"/>
              <w:outlineLvl w:val="9"/>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-1分</w:t>
            </w:r>
          </w:p>
        </w:tc>
      </w:tr>
      <w:tr w14:paraId="303349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630" w:type="dxa"/>
            <w:vMerge w:val="continue"/>
            <w:tcBorders>
              <w:left w:val="single" w:color="auto" w:sz="4" w:space="0"/>
              <w:right w:val="single" w:color="auto" w:sz="4" w:space="0"/>
            </w:tcBorders>
            <w:noWrap w:val="0"/>
            <w:vAlign w:val="center"/>
          </w:tcPr>
          <w:p w14:paraId="19E25957">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right w:val="single" w:color="auto" w:sz="4" w:space="0"/>
            </w:tcBorders>
            <w:noWrap w:val="0"/>
            <w:vAlign w:val="center"/>
          </w:tcPr>
          <w:p w14:paraId="7177290C">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设备采购进度、质量控制措施</w:t>
            </w:r>
          </w:p>
        </w:tc>
        <w:tc>
          <w:tcPr>
            <w:tcW w:w="1200" w:type="dxa"/>
            <w:tcBorders>
              <w:top w:val="single" w:color="auto" w:sz="4" w:space="0"/>
              <w:left w:val="single" w:color="auto" w:sz="4" w:space="0"/>
              <w:right w:val="single" w:color="auto" w:sz="4" w:space="0"/>
            </w:tcBorders>
            <w:noWrap w:val="0"/>
            <w:vAlign w:val="center"/>
          </w:tcPr>
          <w:p w14:paraId="2C8EA522">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76E3D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0" w:type="dxa"/>
            <w:vMerge w:val="continue"/>
            <w:tcBorders>
              <w:left w:val="single" w:color="auto" w:sz="4" w:space="0"/>
              <w:right w:val="single" w:color="auto" w:sz="4" w:space="0"/>
            </w:tcBorders>
            <w:noWrap w:val="0"/>
            <w:vAlign w:val="center"/>
          </w:tcPr>
          <w:p w14:paraId="691016A1">
            <w:pPr>
              <w:spacing w:line="360" w:lineRule="auto"/>
              <w:outlineLvl w:val="9"/>
              <w:rPr>
                <w:rFonts w:hint="eastAsia" w:ascii="宋体" w:hAnsi="宋体" w:eastAsia="宋体" w:cs="宋体"/>
                <w:color w:val="auto"/>
                <w:sz w:val="21"/>
                <w:szCs w:val="21"/>
                <w:highlight w:val="none"/>
              </w:rPr>
            </w:pPr>
          </w:p>
        </w:tc>
        <w:tc>
          <w:tcPr>
            <w:tcW w:w="6150" w:type="dxa"/>
            <w:gridSpan w:val="2"/>
            <w:tcBorders>
              <w:top w:val="single" w:color="auto" w:sz="4" w:space="0"/>
              <w:left w:val="single" w:color="auto" w:sz="4" w:space="0"/>
              <w:right w:val="single" w:color="auto" w:sz="4" w:space="0"/>
            </w:tcBorders>
            <w:noWrap w:val="0"/>
            <w:vAlign w:val="center"/>
          </w:tcPr>
          <w:p w14:paraId="32ECC23C">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分包商进度、质量和安全文明的管理措施及违约处理</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652216B">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2BBA89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1630" w:type="dxa"/>
            <w:vMerge w:val="restart"/>
            <w:tcBorders>
              <w:top w:val="single" w:color="auto" w:sz="4" w:space="0"/>
              <w:left w:val="single" w:color="auto" w:sz="4" w:space="0"/>
              <w:right w:val="single" w:color="auto" w:sz="4" w:space="0"/>
            </w:tcBorders>
            <w:noWrap w:val="0"/>
            <w:vAlign w:val="center"/>
          </w:tcPr>
          <w:p w14:paraId="3D4AB0BF">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29B8507B">
            <w:pPr>
              <w:spacing w:line="360" w:lineRule="auto"/>
              <w:outlineLvl w:val="9"/>
              <w:rPr>
                <w:rFonts w:hint="eastAsia" w:ascii="宋体" w:hAnsi="宋体" w:eastAsia="宋体" w:cs="宋体"/>
                <w:color w:val="auto"/>
                <w:sz w:val="21"/>
                <w:szCs w:val="21"/>
                <w:highlight w:val="none"/>
              </w:rPr>
            </w:pPr>
          </w:p>
        </w:tc>
        <w:tc>
          <w:tcPr>
            <w:tcW w:w="3020" w:type="dxa"/>
            <w:tcBorders>
              <w:top w:val="single" w:color="auto" w:sz="4" w:space="0"/>
              <w:left w:val="single" w:color="auto" w:sz="4" w:space="0"/>
              <w:right w:val="single" w:color="auto" w:sz="4" w:space="0"/>
            </w:tcBorders>
            <w:noWrap w:val="0"/>
            <w:vAlign w:val="center"/>
          </w:tcPr>
          <w:p w14:paraId="53E3FE06">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项目重点难点分析</w:t>
            </w:r>
          </w:p>
        </w:tc>
        <w:tc>
          <w:tcPr>
            <w:tcW w:w="3130" w:type="dxa"/>
            <w:tcBorders>
              <w:top w:val="single" w:color="auto" w:sz="4" w:space="0"/>
              <w:left w:val="single" w:color="auto" w:sz="4" w:space="0"/>
              <w:right w:val="single" w:color="auto" w:sz="4" w:space="0"/>
            </w:tcBorders>
            <w:noWrap w:val="0"/>
            <w:vAlign w:val="center"/>
          </w:tcPr>
          <w:p w14:paraId="6657BD25">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项目重点难点分析及合理化建议</w:t>
            </w:r>
          </w:p>
        </w:tc>
        <w:tc>
          <w:tcPr>
            <w:tcW w:w="1200" w:type="dxa"/>
            <w:tcBorders>
              <w:top w:val="single" w:color="auto" w:sz="4" w:space="0"/>
              <w:left w:val="single" w:color="auto" w:sz="4" w:space="0"/>
              <w:bottom w:val="single" w:color="auto" w:sz="4" w:space="0"/>
              <w:right w:val="single" w:color="auto" w:sz="4" w:space="0"/>
            </w:tcBorders>
            <w:noWrap w:val="0"/>
            <w:vAlign w:val="top"/>
          </w:tcPr>
          <w:p w14:paraId="760B1B21">
            <w:pPr>
              <w:spacing w:line="360" w:lineRule="auto"/>
              <w:jc w:val="center"/>
              <w:outlineLvl w:val="9"/>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7A29D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1630" w:type="dxa"/>
            <w:vMerge w:val="continue"/>
            <w:tcBorders>
              <w:left w:val="single" w:color="auto" w:sz="4" w:space="0"/>
              <w:right w:val="single" w:color="auto" w:sz="4" w:space="0"/>
            </w:tcBorders>
            <w:noWrap w:val="0"/>
            <w:vAlign w:val="center"/>
          </w:tcPr>
          <w:p w14:paraId="4EF8665E">
            <w:pPr>
              <w:spacing w:line="360" w:lineRule="auto"/>
              <w:outlineLvl w:val="9"/>
              <w:rPr>
                <w:rFonts w:hint="eastAsia" w:ascii="宋体" w:hAnsi="宋体" w:eastAsia="宋体" w:cs="宋体"/>
                <w:color w:val="auto"/>
                <w:sz w:val="21"/>
                <w:szCs w:val="21"/>
                <w:highlight w:val="none"/>
              </w:rPr>
            </w:pPr>
          </w:p>
        </w:tc>
        <w:tc>
          <w:tcPr>
            <w:tcW w:w="3020" w:type="dxa"/>
            <w:vMerge w:val="restart"/>
            <w:tcBorders>
              <w:top w:val="single" w:color="auto" w:sz="4" w:space="0"/>
              <w:left w:val="single" w:color="auto" w:sz="4" w:space="0"/>
              <w:right w:val="single" w:color="auto" w:sz="4" w:space="0"/>
            </w:tcBorders>
            <w:noWrap w:val="0"/>
            <w:vAlign w:val="center"/>
          </w:tcPr>
          <w:p w14:paraId="05970662">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工程施工管理</w:t>
            </w:r>
          </w:p>
        </w:tc>
        <w:tc>
          <w:tcPr>
            <w:tcW w:w="3130" w:type="dxa"/>
            <w:tcBorders>
              <w:top w:val="single" w:color="auto" w:sz="4" w:space="0"/>
              <w:left w:val="single" w:color="auto" w:sz="4" w:space="0"/>
              <w:right w:val="single" w:color="auto" w:sz="4" w:space="0"/>
            </w:tcBorders>
            <w:noWrap w:val="0"/>
            <w:vAlign w:val="center"/>
          </w:tcPr>
          <w:p w14:paraId="6B8CADA4">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工程施工进度控制和管理</w:t>
            </w:r>
          </w:p>
        </w:tc>
        <w:tc>
          <w:tcPr>
            <w:tcW w:w="1200" w:type="dxa"/>
            <w:tcBorders>
              <w:top w:val="single" w:color="auto" w:sz="4" w:space="0"/>
              <w:left w:val="single" w:color="auto" w:sz="4" w:space="0"/>
              <w:bottom w:val="single" w:color="auto" w:sz="4" w:space="0"/>
              <w:right w:val="single" w:color="auto" w:sz="4" w:space="0"/>
            </w:tcBorders>
            <w:noWrap w:val="0"/>
            <w:vAlign w:val="top"/>
          </w:tcPr>
          <w:p w14:paraId="2E16AB52">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4576FF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 w:hRule="atLeast"/>
        </w:trPr>
        <w:tc>
          <w:tcPr>
            <w:tcW w:w="1630" w:type="dxa"/>
            <w:vMerge w:val="continue"/>
            <w:tcBorders>
              <w:left w:val="single" w:color="auto" w:sz="4" w:space="0"/>
              <w:right w:val="single" w:color="auto" w:sz="4" w:space="0"/>
            </w:tcBorders>
            <w:noWrap w:val="0"/>
            <w:vAlign w:val="center"/>
          </w:tcPr>
          <w:p w14:paraId="2A273702">
            <w:pPr>
              <w:spacing w:line="360" w:lineRule="auto"/>
              <w:outlineLvl w:val="9"/>
              <w:rPr>
                <w:rFonts w:hint="eastAsia" w:ascii="宋体" w:hAnsi="宋体" w:eastAsia="宋体" w:cs="宋体"/>
                <w:b/>
                <w:bCs/>
                <w:color w:val="auto"/>
                <w:sz w:val="21"/>
                <w:szCs w:val="21"/>
                <w:highlight w:val="none"/>
              </w:rPr>
            </w:pPr>
          </w:p>
        </w:tc>
        <w:tc>
          <w:tcPr>
            <w:tcW w:w="3020" w:type="dxa"/>
            <w:vMerge w:val="continue"/>
            <w:tcBorders>
              <w:left w:val="single" w:color="auto" w:sz="4" w:space="0"/>
              <w:right w:val="single" w:color="auto" w:sz="4" w:space="0"/>
            </w:tcBorders>
            <w:noWrap w:val="0"/>
            <w:vAlign w:val="center"/>
          </w:tcPr>
          <w:p w14:paraId="1E19CA38">
            <w:pPr>
              <w:spacing w:line="360" w:lineRule="auto"/>
              <w:outlineLvl w:val="9"/>
              <w:rPr>
                <w:rFonts w:hint="eastAsia" w:ascii="宋体" w:hAnsi="宋体" w:eastAsia="宋体" w:cs="宋体"/>
                <w:color w:val="auto"/>
                <w:sz w:val="21"/>
                <w:szCs w:val="21"/>
                <w:highlight w:val="none"/>
              </w:rPr>
            </w:pPr>
          </w:p>
        </w:tc>
        <w:tc>
          <w:tcPr>
            <w:tcW w:w="3130" w:type="dxa"/>
            <w:tcBorders>
              <w:top w:val="single" w:color="auto" w:sz="4" w:space="0"/>
              <w:left w:val="single" w:color="auto" w:sz="4" w:space="0"/>
              <w:right w:val="single" w:color="auto" w:sz="4" w:space="0"/>
            </w:tcBorders>
            <w:noWrap w:val="0"/>
            <w:vAlign w:val="center"/>
          </w:tcPr>
          <w:p w14:paraId="5FDB3D0D">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工程施工质量管理</w:t>
            </w:r>
          </w:p>
        </w:tc>
        <w:tc>
          <w:tcPr>
            <w:tcW w:w="1200" w:type="dxa"/>
            <w:tcBorders>
              <w:top w:val="single" w:color="auto" w:sz="4" w:space="0"/>
              <w:left w:val="single" w:color="auto" w:sz="4" w:space="0"/>
              <w:bottom w:val="single" w:color="auto" w:sz="4" w:space="0"/>
              <w:right w:val="single" w:color="auto" w:sz="4" w:space="0"/>
            </w:tcBorders>
            <w:noWrap w:val="0"/>
            <w:vAlign w:val="top"/>
          </w:tcPr>
          <w:p w14:paraId="6C5F43F9">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621095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 w:hRule="atLeast"/>
        </w:trPr>
        <w:tc>
          <w:tcPr>
            <w:tcW w:w="1630" w:type="dxa"/>
            <w:vMerge w:val="continue"/>
            <w:tcBorders>
              <w:left w:val="single" w:color="auto" w:sz="4" w:space="0"/>
              <w:right w:val="single" w:color="auto" w:sz="4" w:space="0"/>
            </w:tcBorders>
            <w:noWrap w:val="0"/>
            <w:vAlign w:val="center"/>
          </w:tcPr>
          <w:p w14:paraId="78C1154F">
            <w:pPr>
              <w:spacing w:line="360" w:lineRule="auto"/>
              <w:outlineLvl w:val="9"/>
              <w:rPr>
                <w:rFonts w:hint="eastAsia" w:ascii="宋体" w:hAnsi="宋体" w:eastAsia="宋体" w:cs="宋体"/>
                <w:b/>
                <w:bCs/>
                <w:color w:val="auto"/>
                <w:sz w:val="21"/>
                <w:szCs w:val="21"/>
                <w:highlight w:val="none"/>
              </w:rPr>
            </w:pPr>
          </w:p>
        </w:tc>
        <w:tc>
          <w:tcPr>
            <w:tcW w:w="3020" w:type="dxa"/>
            <w:vMerge w:val="continue"/>
            <w:tcBorders>
              <w:left w:val="single" w:color="auto" w:sz="4" w:space="0"/>
              <w:right w:val="single" w:color="auto" w:sz="4" w:space="0"/>
            </w:tcBorders>
            <w:noWrap w:val="0"/>
            <w:vAlign w:val="center"/>
          </w:tcPr>
          <w:p w14:paraId="6F237D88">
            <w:pPr>
              <w:spacing w:line="360" w:lineRule="auto"/>
              <w:outlineLvl w:val="9"/>
              <w:rPr>
                <w:rFonts w:hint="eastAsia" w:ascii="宋体" w:hAnsi="宋体" w:eastAsia="宋体" w:cs="宋体"/>
                <w:color w:val="auto"/>
                <w:sz w:val="21"/>
                <w:szCs w:val="21"/>
                <w:highlight w:val="none"/>
              </w:rPr>
            </w:pPr>
          </w:p>
        </w:tc>
        <w:tc>
          <w:tcPr>
            <w:tcW w:w="3130" w:type="dxa"/>
            <w:tcBorders>
              <w:top w:val="single" w:color="auto" w:sz="4" w:space="0"/>
              <w:left w:val="single" w:color="auto" w:sz="4" w:space="0"/>
              <w:right w:val="single" w:color="auto" w:sz="4" w:space="0"/>
            </w:tcBorders>
            <w:noWrap w:val="0"/>
            <w:vAlign w:val="center"/>
          </w:tcPr>
          <w:p w14:paraId="4C607CB4">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工程施工安全文明管理</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02240E6">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31021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 w:hRule="atLeast"/>
        </w:trPr>
        <w:tc>
          <w:tcPr>
            <w:tcW w:w="1630" w:type="dxa"/>
            <w:vMerge w:val="continue"/>
            <w:tcBorders>
              <w:left w:val="single" w:color="auto" w:sz="4" w:space="0"/>
              <w:right w:val="single" w:color="auto" w:sz="4" w:space="0"/>
            </w:tcBorders>
            <w:noWrap w:val="0"/>
            <w:vAlign w:val="center"/>
          </w:tcPr>
          <w:p w14:paraId="26D7B206">
            <w:pPr>
              <w:spacing w:line="360" w:lineRule="auto"/>
              <w:outlineLvl w:val="9"/>
              <w:rPr>
                <w:rFonts w:hint="eastAsia" w:ascii="宋体" w:hAnsi="宋体" w:eastAsia="宋体" w:cs="宋体"/>
                <w:b/>
                <w:bCs/>
                <w:color w:val="auto"/>
                <w:sz w:val="21"/>
                <w:szCs w:val="21"/>
                <w:highlight w:val="none"/>
              </w:rPr>
            </w:pPr>
          </w:p>
        </w:tc>
        <w:tc>
          <w:tcPr>
            <w:tcW w:w="3020" w:type="dxa"/>
            <w:vMerge w:val="continue"/>
            <w:tcBorders>
              <w:left w:val="single" w:color="auto" w:sz="4" w:space="0"/>
              <w:right w:val="single" w:color="auto" w:sz="4" w:space="0"/>
            </w:tcBorders>
            <w:noWrap w:val="0"/>
            <w:vAlign w:val="center"/>
          </w:tcPr>
          <w:p w14:paraId="2D36CFEF">
            <w:pPr>
              <w:spacing w:line="360" w:lineRule="auto"/>
              <w:outlineLvl w:val="9"/>
              <w:rPr>
                <w:rFonts w:hint="eastAsia" w:ascii="宋体" w:hAnsi="宋体" w:eastAsia="宋体" w:cs="宋体"/>
                <w:color w:val="auto"/>
                <w:sz w:val="21"/>
                <w:szCs w:val="21"/>
                <w:highlight w:val="none"/>
              </w:rPr>
            </w:pPr>
          </w:p>
        </w:tc>
        <w:tc>
          <w:tcPr>
            <w:tcW w:w="3130" w:type="dxa"/>
            <w:tcBorders>
              <w:top w:val="single" w:color="auto" w:sz="4" w:space="0"/>
              <w:left w:val="single" w:color="auto" w:sz="4" w:space="0"/>
              <w:right w:val="single" w:color="auto" w:sz="4" w:space="0"/>
            </w:tcBorders>
            <w:noWrap w:val="0"/>
            <w:vAlign w:val="center"/>
          </w:tcPr>
          <w:p w14:paraId="5AFC396A">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关键技术方案可行性</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30ADDD7">
            <w:pPr>
              <w:spacing w:line="36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14:paraId="677E14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1630" w:type="dxa"/>
            <w:tcBorders>
              <w:top w:val="single" w:color="auto" w:sz="4" w:space="0"/>
              <w:left w:val="single" w:color="auto" w:sz="4" w:space="0"/>
              <w:right w:val="single" w:color="auto" w:sz="4" w:space="0"/>
            </w:tcBorders>
            <w:noWrap w:val="0"/>
            <w:vAlign w:val="center"/>
          </w:tcPr>
          <w:p w14:paraId="60DF51EF">
            <w:pPr>
              <w:spacing w:line="36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c>
          <w:tcPr>
            <w:tcW w:w="6150" w:type="dxa"/>
            <w:gridSpan w:val="2"/>
            <w:tcBorders>
              <w:top w:val="single" w:color="auto" w:sz="4" w:space="0"/>
              <w:left w:val="single" w:color="auto" w:sz="4" w:space="0"/>
              <w:bottom w:val="single" w:color="auto" w:sz="4" w:space="0"/>
              <w:right w:val="single" w:color="auto" w:sz="4" w:space="0"/>
            </w:tcBorders>
            <w:noWrap w:val="0"/>
            <w:vAlign w:val="center"/>
          </w:tcPr>
          <w:p w14:paraId="202ECE28">
            <w:pPr>
              <w:pStyle w:val="23"/>
              <w:spacing w:before="30" w:line="360" w:lineRule="auto"/>
              <w:jc w:val="both"/>
              <w:outlineLvl w:val="9"/>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rPr>
              <w:t>本地化服务的能力及应急事件处理</w:t>
            </w:r>
            <w:r>
              <w:rPr>
                <w:rFonts w:hint="eastAsia" w:ascii="宋体" w:hAnsi="宋体" w:eastAsia="宋体" w:cs="宋体"/>
                <w:color w:val="auto"/>
                <w:sz w:val="21"/>
                <w:szCs w:val="21"/>
                <w:highlight w:val="none"/>
                <w:lang w:val="en-US"/>
              </w:rPr>
              <w:t>措施</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B3A6815">
            <w:pPr>
              <w:spacing w:line="360" w:lineRule="auto"/>
              <w:jc w:val="center"/>
              <w:outlineLvl w:val="9"/>
              <w:rPr>
                <w:rFonts w:hint="eastAsia" w:ascii="宋体" w:hAnsi="宋体" w:eastAsia="宋体" w:cs="宋体"/>
                <w:i/>
                <w:iCs/>
                <w:color w:val="auto"/>
                <w:sz w:val="21"/>
                <w:szCs w:val="21"/>
                <w:highlight w:val="none"/>
              </w:rPr>
            </w:pP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bl>
    <w:p w14:paraId="2891ECC2">
      <w:pPr>
        <w:keepNext w:val="0"/>
        <w:keepLines w:val="0"/>
        <w:pageBreakBefore w:val="0"/>
        <w:widowControl w:val="0"/>
        <w:shd w:val="clear" w:color="auto" w:fill="auto"/>
        <w:kinsoku/>
        <w:wordWrap/>
        <w:overflowPunct/>
        <w:topLinePunct w:val="0"/>
        <w:autoSpaceDE/>
        <w:autoSpaceDN/>
        <w:bidi w:val="0"/>
        <w:adjustRightInd w:val="0"/>
        <w:snapToGrid w:val="0"/>
        <w:spacing w:before="0" w:line="360" w:lineRule="auto"/>
        <w:ind w:firstLine="422" w:firstLineChars="200"/>
        <w:textAlignment w:val="auto"/>
        <w:rPr>
          <w:rFonts w:ascii="宋体" w:hAnsi="宋体" w:cs="宋体"/>
          <w:color w:val="auto"/>
          <w:kern w:val="0"/>
          <w:sz w:val="21"/>
          <w:szCs w:val="21"/>
          <w:highlight w:val="none"/>
          <w:lang w:val="zh-CN"/>
        </w:rPr>
      </w:pPr>
      <w:r>
        <w:rPr>
          <w:rFonts w:hint="eastAsia" w:ascii="宋体" w:hAnsi="宋体" w:cs="宋体"/>
          <w:b/>
          <w:bCs/>
          <w:color w:val="auto"/>
          <w:kern w:val="0"/>
          <w:sz w:val="21"/>
          <w:szCs w:val="21"/>
          <w:highlight w:val="none"/>
          <w:lang w:val="zh-CN"/>
        </w:rPr>
        <w:t>注：</w:t>
      </w:r>
      <w:r>
        <w:rPr>
          <w:rFonts w:hint="eastAsia" w:ascii="宋体" w:hAnsi="宋体" w:cs="宋体"/>
          <w:color w:val="auto"/>
          <w:kern w:val="0"/>
          <w:sz w:val="21"/>
          <w:szCs w:val="21"/>
          <w:highlight w:val="none"/>
          <w:lang w:val="zh-CN"/>
        </w:rPr>
        <w:t>1.技术标评审通过的但技术标缺项，该项得0分。2.技术标评审一般不宜设置以施工图设计为评审因素。</w:t>
      </w:r>
    </w:p>
    <w:p w14:paraId="5686C512">
      <w:pPr>
        <w:keepNext w:val="0"/>
        <w:keepLines w:val="0"/>
        <w:pageBreakBefore w:val="0"/>
        <w:widowControl w:val="0"/>
        <w:shd w:val="clear" w:color="auto" w:fill="auto"/>
        <w:kinsoku/>
        <w:wordWrap/>
        <w:overflowPunct/>
        <w:topLinePunct w:val="0"/>
        <w:autoSpaceDE/>
        <w:autoSpaceDN/>
        <w:bidi w:val="0"/>
        <w:adjustRightInd w:val="0"/>
        <w:snapToGrid w:val="0"/>
        <w:spacing w:before="0" w:line="360" w:lineRule="auto"/>
        <w:ind w:firstLine="424" w:firstLineChars="200"/>
        <w:textAlignment w:val="auto"/>
        <w:outlineLvl w:val="3"/>
        <w:rPr>
          <w:rFonts w:hint="default" w:ascii="宋体" w:hAnsi="宋体" w:eastAsia="宋体" w:cs="宋体"/>
          <w:color w:val="auto"/>
          <w:sz w:val="21"/>
          <w:szCs w:val="21"/>
          <w:highlight w:val="none"/>
          <w:lang w:val="en-US" w:eastAsia="zh-CN"/>
        </w:rPr>
      </w:pPr>
      <w:r>
        <w:rPr>
          <w:rFonts w:hint="eastAsia" w:ascii="宋体" w:hAnsi="宋体" w:cs="宋体"/>
          <w:color w:val="auto"/>
          <w:spacing w:val="1"/>
          <w:sz w:val="21"/>
          <w:szCs w:val="21"/>
          <w:highlight w:val="none"/>
        </w:rPr>
        <w:t>（三）资信标评审</w:t>
      </w:r>
      <w:r>
        <w:rPr>
          <w:rFonts w:hint="eastAsia" w:ascii="宋体" w:hAnsi="宋体" w:cs="宋体"/>
          <w:i w:val="0"/>
          <w:iCs w:val="0"/>
          <w:color w:val="auto"/>
          <w:spacing w:val="1"/>
          <w:sz w:val="21"/>
          <w:szCs w:val="21"/>
          <w:highlight w:val="none"/>
        </w:rPr>
        <w:t>（</w:t>
      </w:r>
      <w:r>
        <w:rPr>
          <w:rFonts w:hint="eastAsia" w:ascii="宋体" w:hAnsi="宋体" w:cs="宋体"/>
          <w:i w:val="0"/>
          <w:iCs w:val="0"/>
          <w:color w:val="auto"/>
          <w:spacing w:val="1"/>
          <w:sz w:val="21"/>
          <w:szCs w:val="21"/>
          <w:highlight w:val="none"/>
          <w:lang w:val="en-US" w:eastAsia="zh-CN"/>
        </w:rPr>
        <w:t>3</w:t>
      </w:r>
      <w:r>
        <w:rPr>
          <w:rFonts w:hint="eastAsia" w:ascii="宋体" w:hAnsi="宋体" w:cs="宋体"/>
          <w:i w:val="0"/>
          <w:iCs w:val="0"/>
          <w:color w:val="auto"/>
          <w:spacing w:val="1"/>
          <w:sz w:val="21"/>
          <w:szCs w:val="21"/>
          <w:highlight w:val="none"/>
        </w:rPr>
        <w:t>分）</w:t>
      </w:r>
    </w:p>
    <w:p w14:paraId="7C03C237">
      <w:pPr>
        <w:keepNext w:val="0"/>
        <w:keepLines w:val="0"/>
        <w:pageBreakBefore w:val="0"/>
        <w:widowControl w:val="0"/>
        <w:kinsoku/>
        <w:wordWrap/>
        <w:overflowPunct/>
        <w:topLinePunct w:val="0"/>
        <w:autoSpaceDE/>
        <w:autoSpaceDN/>
        <w:bidi w:val="0"/>
        <w:adjustRightInd w:val="0"/>
        <w:snapToGrid w:val="0"/>
        <w:spacing w:before="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评标委员会对通过初步评审、技术标评审的投标文件进行资信标评审。 （资信标评分设置具体内容和分值由招标人根据当地招投标主管部门相关规定确定，允许联合投标的应当和联合体投标单位在项目中所承担的工作内容相对应)。</w:t>
      </w:r>
    </w:p>
    <w:p w14:paraId="528FA5F1">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i w:val="0"/>
          <w:iCs w:val="0"/>
          <w:color w:val="auto"/>
          <w:spacing w:val="1"/>
          <w:sz w:val="24"/>
          <w:highlight w:val="none"/>
          <w:lang w:eastAsia="zh-CN"/>
        </w:rPr>
      </w:pPr>
      <w:r>
        <w:rPr>
          <w:rFonts w:hint="eastAsia" w:ascii="宋体" w:hAnsi="宋体" w:eastAsia="宋体" w:cs="宋体"/>
          <w:i w:val="0"/>
          <w:iCs w:val="0"/>
          <w:color w:val="auto"/>
          <w:spacing w:val="1"/>
          <w:sz w:val="24"/>
          <w:highlight w:val="none"/>
        </w:rPr>
        <w:t>资信评审因素表</w:t>
      </w:r>
      <w:r>
        <w:rPr>
          <w:rFonts w:hint="eastAsia" w:ascii="宋体" w:hAnsi="宋体" w:eastAsia="宋体" w:cs="宋体"/>
          <w:i w:val="0"/>
          <w:iCs w:val="0"/>
          <w:color w:val="auto"/>
          <w:spacing w:val="1"/>
          <w:sz w:val="24"/>
          <w:highlight w:val="none"/>
          <w:lang w:eastAsia="zh-CN"/>
        </w:rPr>
        <w:t>（</w:t>
      </w:r>
      <w:r>
        <w:rPr>
          <w:rFonts w:hint="eastAsia" w:ascii="宋体" w:hAnsi="宋体" w:eastAsia="宋体" w:cs="宋体"/>
          <w:i w:val="0"/>
          <w:iCs w:val="0"/>
          <w:color w:val="auto"/>
          <w:spacing w:val="1"/>
          <w:sz w:val="24"/>
          <w:highlight w:val="none"/>
          <w:lang w:val="en-US" w:eastAsia="zh-CN"/>
        </w:rPr>
        <w:t>3分</w:t>
      </w:r>
      <w:r>
        <w:rPr>
          <w:rFonts w:hint="eastAsia" w:ascii="宋体" w:hAnsi="宋体" w:eastAsia="宋体" w:cs="宋体"/>
          <w:i w:val="0"/>
          <w:iCs w:val="0"/>
          <w:color w:val="auto"/>
          <w:spacing w:val="1"/>
          <w:sz w:val="24"/>
          <w:highlight w:val="none"/>
          <w:lang w:eastAsia="zh-CN"/>
        </w:rPr>
        <w:t>）</w:t>
      </w:r>
    </w:p>
    <w:tbl>
      <w:tblPr>
        <w:tblStyle w:val="11"/>
        <w:tblW w:w="95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9"/>
        <w:gridCol w:w="894"/>
        <w:gridCol w:w="6348"/>
        <w:gridCol w:w="1097"/>
      </w:tblGrid>
      <w:tr w14:paraId="6BDB7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411" w:type="dxa"/>
            <w:gridSpan w:val="3"/>
            <w:noWrap w:val="0"/>
            <w:vAlign w:val="center"/>
          </w:tcPr>
          <w:p w14:paraId="7DD4E293">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b/>
                <w:bCs/>
                <w:color w:val="auto"/>
                <w:szCs w:val="21"/>
                <w:highlight w:val="none"/>
              </w:rPr>
              <w:t>评分标准</w:t>
            </w:r>
          </w:p>
        </w:tc>
        <w:tc>
          <w:tcPr>
            <w:tcW w:w="1097" w:type="dxa"/>
            <w:noWrap w:val="0"/>
            <w:vAlign w:val="center"/>
          </w:tcPr>
          <w:p w14:paraId="45239FD3">
            <w:pPr>
              <w:keepNext w:val="0"/>
              <w:keepLines w:val="0"/>
              <w:widowControl/>
              <w:suppressLineNumbers w:val="0"/>
              <w:tabs>
                <w:tab w:val="left" w:pos="616"/>
              </w:tabs>
              <w:adjustRightInd w:val="0"/>
              <w:snapToGrid w:val="0"/>
              <w:spacing w:before="0" w:beforeAutospacing="0" w:after="0" w:afterAutospacing="0" w:line="360" w:lineRule="auto"/>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分 值</w:t>
            </w:r>
          </w:p>
        </w:tc>
      </w:tr>
      <w:tr w14:paraId="371D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9" w:hRule="atLeast"/>
        </w:trPr>
        <w:tc>
          <w:tcPr>
            <w:tcW w:w="1169" w:type="dxa"/>
            <w:noWrap w:val="0"/>
            <w:vAlign w:val="center"/>
          </w:tcPr>
          <w:p w14:paraId="08659B5F">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s="宋体"/>
                <w:b/>
                <w:bCs/>
                <w:color w:val="auto"/>
                <w:szCs w:val="21"/>
                <w:highlight w:val="none"/>
              </w:rPr>
            </w:pPr>
            <w:r>
              <w:rPr>
                <w:rFonts w:hint="eastAsia" w:ascii="宋体" w:hAnsi="宋体" w:cs="宋体"/>
                <w:b/>
                <w:bCs/>
                <w:color w:val="auto"/>
                <w:szCs w:val="21"/>
                <w:highlight w:val="none"/>
              </w:rPr>
              <w:t>资信部分评分标准</w:t>
            </w:r>
          </w:p>
          <w:p w14:paraId="1CF0AC91">
            <w:pPr>
              <w:pStyle w:val="10"/>
              <w:keepNext w:val="0"/>
              <w:keepLines w:val="0"/>
              <w:suppressLineNumbers w:val="0"/>
              <w:adjustRightInd w:val="0"/>
              <w:snapToGrid w:val="0"/>
              <w:spacing w:before="0" w:beforeAutospacing="0" w:after="0" w:afterAutospacing="0" w:line="360" w:lineRule="auto"/>
              <w:ind w:left="0" w:right="0" w:firstLine="0"/>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分）</w:t>
            </w:r>
          </w:p>
          <w:p w14:paraId="64B1BAEE">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cs="宋体"/>
                <w:color w:val="auto"/>
                <w:szCs w:val="21"/>
                <w:highlight w:val="none"/>
              </w:rPr>
            </w:pPr>
          </w:p>
        </w:tc>
        <w:tc>
          <w:tcPr>
            <w:tcW w:w="894" w:type="dxa"/>
            <w:noWrap w:val="0"/>
            <w:vAlign w:val="center"/>
          </w:tcPr>
          <w:p w14:paraId="5561600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类似</w:t>
            </w:r>
          </w:p>
          <w:p w14:paraId="18EA206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业绩</w:t>
            </w:r>
          </w:p>
        </w:tc>
        <w:tc>
          <w:tcPr>
            <w:tcW w:w="6348" w:type="dxa"/>
            <w:noWrap w:val="0"/>
            <w:vAlign w:val="center"/>
          </w:tcPr>
          <w:p w14:paraId="550C9D3E">
            <w:pPr>
              <w:spacing w:line="360" w:lineRule="auto"/>
              <w:jc w:val="left"/>
              <w:rPr>
                <w:highlight w:val="none"/>
              </w:rPr>
            </w:pPr>
            <w:r>
              <w:rPr>
                <w:rFonts w:hint="eastAsia"/>
                <w:highlight w:val="none"/>
              </w:rPr>
              <w:t>1、类似业绩（本项最高3分）</w:t>
            </w:r>
          </w:p>
          <w:p w14:paraId="1B6DF1E0">
            <w:pPr>
              <w:spacing w:line="360" w:lineRule="auto"/>
              <w:ind w:firstLine="420" w:firstLineChars="200"/>
              <w:jc w:val="left"/>
              <w:rPr>
                <w:highlight w:val="none"/>
              </w:rPr>
            </w:pPr>
            <w:r>
              <w:rPr>
                <w:rFonts w:hint="eastAsia" w:ascii="宋体" w:hAnsi="宋体" w:cs="宋体"/>
                <w:kern w:val="0"/>
                <w:szCs w:val="21"/>
                <w:highlight w:val="none"/>
              </w:rPr>
              <w:t>投标人自2020年7月1日至投标截止之日止，完成过单个施工合同金额在</w:t>
            </w:r>
            <w:r>
              <w:rPr>
                <w:rFonts w:hint="eastAsia" w:ascii="宋体" w:hAnsi="宋体" w:cs="宋体"/>
                <w:kern w:val="0"/>
                <w:szCs w:val="21"/>
                <w:highlight w:val="none"/>
                <w:lang w:val="en-US" w:eastAsia="zh-CN"/>
              </w:rPr>
              <w:t>2000</w:t>
            </w:r>
            <w:r>
              <w:rPr>
                <w:rFonts w:hint="eastAsia" w:ascii="宋体" w:hAnsi="宋体" w:cs="宋体"/>
                <w:kern w:val="0"/>
                <w:szCs w:val="21"/>
                <w:highlight w:val="none"/>
              </w:rPr>
              <w:t>万元及以上的220kV或以上电压等级电力输电线路工程施工业绩的，每个得1.5分，本项最高得3分。</w:t>
            </w:r>
          </w:p>
          <w:p w14:paraId="178B3AE7">
            <w:pPr>
              <w:widowControl/>
              <w:autoSpaceDN w:val="0"/>
              <w:spacing w:line="360" w:lineRule="auto"/>
              <w:ind w:firstLine="422" w:firstLineChars="200"/>
              <w:rPr>
                <w:rFonts w:ascii="宋体" w:hAnsi="宋体" w:cs="宋体"/>
                <w:b/>
                <w:bCs/>
                <w:kern w:val="0"/>
                <w:szCs w:val="21"/>
                <w:highlight w:val="none"/>
              </w:rPr>
            </w:pPr>
            <w:r>
              <w:rPr>
                <w:rFonts w:hint="eastAsia" w:ascii="宋体" w:hAnsi="宋体" w:cs="宋体"/>
                <w:b/>
                <w:bCs/>
                <w:kern w:val="0"/>
                <w:szCs w:val="21"/>
                <w:highlight w:val="none"/>
              </w:rPr>
              <w:t>证明材料：</w:t>
            </w:r>
          </w:p>
          <w:p w14:paraId="6498C62D">
            <w:pPr>
              <w:widowControl/>
              <w:autoSpaceDN w:val="0"/>
              <w:spacing w:line="360" w:lineRule="auto"/>
              <w:ind w:firstLine="422" w:firstLineChars="200"/>
              <w:rPr>
                <w:rFonts w:ascii="宋体" w:hAnsi="宋体" w:cs="宋体"/>
                <w:b/>
                <w:bCs/>
                <w:kern w:val="0"/>
                <w:szCs w:val="21"/>
                <w:highlight w:val="none"/>
              </w:rPr>
            </w:pPr>
            <w:r>
              <w:rPr>
                <w:rFonts w:hint="eastAsia" w:ascii="宋体" w:hAnsi="宋体" w:cs="宋体"/>
                <w:b/>
                <w:bCs/>
                <w:kern w:val="0"/>
                <w:szCs w:val="21"/>
                <w:highlight w:val="none"/>
              </w:rPr>
              <w:t>施工业绩证明材料：须同时提供①中标通知书②施工合同（或工程总承包合同）③竣工验收证明材料。</w:t>
            </w:r>
          </w:p>
          <w:p w14:paraId="394E1770">
            <w:pPr>
              <w:widowControl/>
              <w:autoSpaceDN w:val="0"/>
              <w:spacing w:line="360" w:lineRule="auto"/>
              <w:ind w:firstLine="422" w:firstLineChars="200"/>
              <w:rPr>
                <w:rFonts w:ascii="宋体" w:hAnsi="宋体" w:cs="宋体"/>
                <w:b/>
                <w:bCs/>
                <w:kern w:val="0"/>
                <w:szCs w:val="21"/>
                <w:highlight w:val="none"/>
              </w:rPr>
            </w:pPr>
            <w:r>
              <w:rPr>
                <w:rFonts w:hint="eastAsia" w:ascii="宋体" w:hAnsi="宋体" w:cs="宋体"/>
                <w:b/>
                <w:bCs/>
                <w:kern w:val="0"/>
                <w:szCs w:val="21"/>
                <w:highlight w:val="none"/>
              </w:rPr>
              <w:t>项目规模：施工业绩项目规模、类型以施工合同为准；类似业绩时间以竣工验收证明材料上最晚的落款时间为准。</w:t>
            </w:r>
          </w:p>
          <w:p w14:paraId="3CAC30F7">
            <w:pPr>
              <w:widowControl/>
              <w:autoSpaceDN w:val="0"/>
              <w:spacing w:line="360" w:lineRule="auto"/>
              <w:ind w:firstLine="422" w:firstLineChars="200"/>
              <w:rPr>
                <w:rFonts w:hint="default" w:ascii="宋体" w:hAnsi="宋体" w:cs="宋体"/>
                <w:color w:val="auto"/>
                <w:szCs w:val="21"/>
                <w:highlight w:val="none"/>
                <w:lang w:val="zh-CN"/>
              </w:rPr>
            </w:pPr>
            <w:r>
              <w:rPr>
                <w:rFonts w:hint="eastAsia" w:ascii="宋体" w:hAnsi="宋体" w:cs="宋体"/>
                <w:b/>
                <w:bCs/>
                <w:kern w:val="0"/>
                <w:szCs w:val="21"/>
                <w:highlight w:val="none"/>
              </w:rPr>
              <w:t>如投标人提供的业绩是作为联合体成员完成过的，则须提供明确由投标人承担相应施工工作的联合体协议书，否则不予认可。若证明材料不符合上述要求或不能体现项目类型（指220kV或以上电压等级电力输电线路工程）的均不予计分。</w:t>
            </w:r>
          </w:p>
        </w:tc>
        <w:tc>
          <w:tcPr>
            <w:tcW w:w="1097" w:type="dxa"/>
            <w:noWrap w:val="0"/>
            <w:vAlign w:val="center"/>
          </w:tcPr>
          <w:p w14:paraId="4B6521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分</w:t>
            </w:r>
          </w:p>
        </w:tc>
      </w:tr>
      <w:tr w14:paraId="63E9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9508" w:type="dxa"/>
            <w:gridSpan w:val="4"/>
            <w:noWrap w:val="0"/>
            <w:vAlign w:val="center"/>
          </w:tcPr>
          <w:p w14:paraId="43F68547">
            <w:pPr>
              <w:jc w:val="left"/>
            </w:pPr>
            <w:r>
              <w:rPr>
                <w:rFonts w:hint="eastAsia"/>
              </w:rPr>
              <w:t>注：1、评标委员会成员按上述评分标准评判，每人一张评分表，并记名；各评委评分须一致，如不一致须寻求原因直到一致。</w:t>
            </w:r>
          </w:p>
          <w:p w14:paraId="04A0316B">
            <w:pPr>
              <w:jc w:val="left"/>
            </w:pPr>
            <w:r>
              <w:rPr>
                <w:rFonts w:hint="eastAsia"/>
              </w:rPr>
              <w:t>2、以上竣工验收证明材料是指至少包括建设单位、施工单位、监理单位等责任主体签署的竣工验收证明材料。</w:t>
            </w:r>
          </w:p>
          <w:p w14:paraId="01DFCA16">
            <w:pPr>
              <w:keepNext w:val="0"/>
              <w:keepLines w:val="0"/>
              <w:suppressLineNumbers w:val="0"/>
              <w:adjustRightInd w:val="0"/>
              <w:snapToGrid w:val="0"/>
              <w:spacing w:before="0" w:beforeAutospacing="0" w:after="0" w:afterAutospacing="0" w:line="360" w:lineRule="auto"/>
              <w:ind w:left="0" w:right="0"/>
              <w:jc w:val="center"/>
              <w:rPr>
                <w:rFonts w:hint="eastAsia"/>
              </w:rPr>
            </w:pPr>
            <w:r>
              <w:rPr>
                <w:rFonts w:hint="eastAsia"/>
              </w:rPr>
              <w:t>3、以上证明材料中的企业名称须与投标人名称一致，企业名称发生变更的，须提供相关主管部门出具</w:t>
            </w:r>
          </w:p>
          <w:p w14:paraId="03742E7A">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cs="宋体"/>
                <w:color w:val="auto"/>
                <w:szCs w:val="21"/>
                <w:highlight w:val="none"/>
              </w:rPr>
            </w:pPr>
            <w:r>
              <w:rPr>
                <w:rFonts w:hint="eastAsia"/>
              </w:rPr>
              <w:t>的企业变更证明材料，未按要求提供的，不予计分。</w:t>
            </w:r>
          </w:p>
        </w:tc>
      </w:tr>
    </w:tbl>
    <w:p w14:paraId="03D0F5D2">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12" w:firstLineChars="200"/>
        <w:textAlignment w:val="auto"/>
        <w:outlineLvl w:val="3"/>
        <w:rPr>
          <w:rFonts w:ascii="宋体" w:hAnsi="宋体" w:cs="宋体"/>
          <w:color w:val="auto"/>
          <w:szCs w:val="21"/>
          <w:highlight w:val="none"/>
        </w:rPr>
      </w:pPr>
      <w:r>
        <w:rPr>
          <w:rFonts w:hint="eastAsia" w:ascii="宋体" w:hAnsi="宋体" w:cs="宋体"/>
          <w:color w:val="auto"/>
          <w:spacing w:val="-2"/>
          <w:szCs w:val="21"/>
          <w:highlight w:val="none"/>
        </w:rPr>
        <w:t>（四）商务标评审</w:t>
      </w:r>
    </w:p>
    <w:p w14:paraId="692EF4A2">
      <w:pPr>
        <w:keepNext w:val="0"/>
        <w:keepLines w:val="0"/>
        <w:pageBreakBefore w:val="0"/>
        <w:widowControl w:val="0"/>
        <w:shd w:val="clear" w:color="auto" w:fill="auto"/>
        <w:tabs>
          <w:tab w:val="right" w:leader="dot" w:pos="8295"/>
        </w:tabs>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cs="宋体"/>
          <w:color w:val="auto"/>
          <w:kern w:val="0"/>
          <w:szCs w:val="21"/>
          <w:highlight w:val="none"/>
        </w:rPr>
      </w:pPr>
      <w:r>
        <w:rPr>
          <w:rFonts w:hint="eastAsia" w:ascii="宋体" w:hAnsi="宋体" w:cs="宋体"/>
          <w:color w:val="auto"/>
          <w:kern w:val="0"/>
          <w:szCs w:val="21"/>
          <w:highlight w:val="none"/>
        </w:rPr>
        <w:t>1、商务标评审是对投标文件中项目清单的范围、数量、报价进行全面审核和对比分析。投标文件存在投标须知前附表10.1情形商务性内容之一的，评标委员会组织投标人询问核实后，情况属实的，商务标评审不予通过，否决其投标，不再进入后续评审程序。</w:t>
      </w:r>
    </w:p>
    <w:p w14:paraId="58977835">
      <w:pPr>
        <w:keepNext w:val="0"/>
        <w:keepLines w:val="0"/>
        <w:pageBreakBefore w:val="0"/>
        <w:widowControl w:val="0"/>
        <w:shd w:val="clear" w:color="auto" w:fill="auto"/>
        <w:tabs>
          <w:tab w:val="right" w:leader="dot" w:pos="8295"/>
        </w:tabs>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cs="宋体"/>
          <w:color w:val="auto"/>
          <w:kern w:val="0"/>
          <w:szCs w:val="21"/>
          <w:highlight w:val="none"/>
        </w:rPr>
      </w:pPr>
      <w:r>
        <w:rPr>
          <w:rFonts w:hint="eastAsia" w:ascii="宋体" w:hAnsi="宋体" w:cs="宋体"/>
          <w:color w:val="auto"/>
          <w:kern w:val="0"/>
          <w:szCs w:val="21"/>
          <w:highlight w:val="none"/>
        </w:rPr>
        <w:t>2、商务标评分(□≥60分，适用于技术复杂项目；☑≥</w:t>
      </w:r>
      <w:r>
        <w:rPr>
          <w:rFonts w:hint="eastAsia" w:ascii="宋体" w:hAnsi="宋体" w:cs="宋体"/>
          <w:color w:val="auto"/>
          <w:kern w:val="0"/>
          <w:szCs w:val="21"/>
          <w:highlight w:val="none"/>
          <w:lang w:val="en-US" w:eastAsia="zh-CN"/>
        </w:rPr>
        <w:t>70</w:t>
      </w:r>
      <w:r>
        <w:rPr>
          <w:rFonts w:hint="eastAsia" w:ascii="宋体" w:hAnsi="宋体" w:cs="宋体"/>
          <w:color w:val="auto"/>
          <w:kern w:val="0"/>
          <w:szCs w:val="21"/>
          <w:highlight w:val="none"/>
        </w:rPr>
        <w:t>分，适用于非技术复杂项目）</w:t>
      </w:r>
    </w:p>
    <w:tbl>
      <w:tblPr>
        <w:tblStyle w:val="11"/>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8"/>
        <w:gridCol w:w="6796"/>
        <w:gridCol w:w="1003"/>
      </w:tblGrid>
      <w:tr w14:paraId="7FBD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8" w:type="dxa"/>
            <w:vAlign w:val="center"/>
          </w:tcPr>
          <w:p w14:paraId="70ECB806">
            <w:pPr>
              <w:spacing w:line="360" w:lineRule="auto"/>
              <w:jc w:val="center"/>
              <w:rPr>
                <w:rFonts w:ascii="宋体" w:hAnsi="宋体"/>
                <w:szCs w:val="21"/>
              </w:rPr>
            </w:pPr>
            <w:r>
              <w:rPr>
                <w:rFonts w:hint="eastAsia"/>
              </w:rPr>
              <w:t>商务</w:t>
            </w:r>
            <w:r>
              <w:rPr>
                <w:rFonts w:hint="eastAsia" w:ascii="宋体" w:hAnsi="宋体"/>
                <w:szCs w:val="21"/>
              </w:rPr>
              <w:t>报价评分标准</w:t>
            </w:r>
          </w:p>
        </w:tc>
        <w:tc>
          <w:tcPr>
            <w:tcW w:w="6796" w:type="dxa"/>
            <w:vAlign w:val="center"/>
          </w:tcPr>
          <w:p w14:paraId="51040FCA">
            <w:pPr>
              <w:pStyle w:val="36"/>
              <w:spacing w:line="360" w:lineRule="auto"/>
              <w:rPr>
                <w:rFonts w:hint="default" w:ascii="宋体" w:hAnsi="宋体"/>
                <w:szCs w:val="22"/>
              </w:rPr>
            </w:pPr>
            <w:r>
              <w:rPr>
                <w:rFonts w:ascii="宋体" w:hAnsi="宋体"/>
                <w:szCs w:val="22"/>
              </w:rPr>
              <w:t>本环节需通过抽取下浮率等参数的，须在资格审查、技术标评审、资信标评审结束后，通过商务标的有效性审查，进行到商务报价评分时，方可抽取。</w:t>
            </w:r>
          </w:p>
          <w:p w14:paraId="36630DC0">
            <w:pPr>
              <w:pStyle w:val="36"/>
              <w:spacing w:line="360" w:lineRule="auto"/>
              <w:rPr>
                <w:rFonts w:hint="default" w:ascii="宋体" w:hAnsi="宋体"/>
                <w:szCs w:val="22"/>
              </w:rPr>
            </w:pPr>
            <w:r>
              <w:rPr>
                <w:rFonts w:ascii="宋体" w:hAnsi="宋体"/>
                <w:szCs w:val="22"/>
              </w:rPr>
              <w:t>评标基准价：</w:t>
            </w:r>
          </w:p>
          <w:p w14:paraId="2DB08D0E">
            <w:pPr>
              <w:pStyle w:val="36"/>
              <w:spacing w:line="360" w:lineRule="auto"/>
              <w:rPr>
                <w:rFonts w:hint="default" w:ascii="宋体" w:hAnsi="宋体"/>
                <w:szCs w:val="22"/>
              </w:rPr>
            </w:pPr>
            <w:r>
              <w:rPr>
                <w:rFonts w:ascii="宋体" w:hAnsi="宋体"/>
                <w:szCs w:val="22"/>
              </w:rPr>
              <w:t>由招标人随机抽取下浮率M1和M2，M1和M2值在4%-8%九档(每档间隔0.5个百分点)中随机抽取（M1值抽取结束后不再放回抽），M=（M1+M2）/2，则评标基准价=（1-M）*最高投标限价，评标基准价四舍五入后保留2位小数。</w:t>
            </w:r>
          </w:p>
          <w:p w14:paraId="78BFCD19">
            <w:pPr>
              <w:pStyle w:val="36"/>
              <w:spacing w:line="360" w:lineRule="auto"/>
              <w:rPr>
                <w:rFonts w:hint="default" w:ascii="宋体" w:hAnsi="宋体"/>
                <w:szCs w:val="22"/>
              </w:rPr>
            </w:pPr>
            <w:r>
              <w:rPr>
                <w:rFonts w:ascii="宋体" w:hAnsi="宋体"/>
                <w:szCs w:val="22"/>
              </w:rPr>
              <w:t>评标基准价由评标委员会依据上述方法计算，除计算差错外，确认后的评标基准价在本次招标期间保持不变。</w:t>
            </w:r>
          </w:p>
          <w:p w14:paraId="574C48C7">
            <w:pPr>
              <w:pStyle w:val="36"/>
              <w:spacing w:line="360" w:lineRule="auto"/>
              <w:rPr>
                <w:rFonts w:hint="default" w:ascii="宋体" w:hAnsi="宋体"/>
                <w:szCs w:val="22"/>
              </w:rPr>
            </w:pPr>
            <w:r>
              <w:rPr>
                <w:rFonts w:ascii="宋体" w:hAnsi="宋体"/>
                <w:szCs w:val="22"/>
              </w:rPr>
              <w:t>上述计算差错，仅限于以下两种情况：</w:t>
            </w:r>
          </w:p>
          <w:p w14:paraId="62FE58F9">
            <w:pPr>
              <w:pStyle w:val="36"/>
              <w:spacing w:line="360" w:lineRule="auto"/>
              <w:rPr>
                <w:rFonts w:hint="default" w:ascii="宋体" w:hAnsi="宋体"/>
                <w:szCs w:val="22"/>
              </w:rPr>
            </w:pPr>
            <w:r>
              <w:rPr>
                <w:rFonts w:ascii="宋体" w:hAnsi="宋体"/>
                <w:szCs w:val="22"/>
              </w:rPr>
              <w:t>（1）纯算术性四则运算差错；</w:t>
            </w:r>
          </w:p>
          <w:p w14:paraId="558C319C">
            <w:pPr>
              <w:pStyle w:val="36"/>
              <w:spacing w:line="360" w:lineRule="auto"/>
              <w:rPr>
                <w:rFonts w:hint="default" w:ascii="宋体" w:hAnsi="宋体"/>
                <w:szCs w:val="22"/>
              </w:rPr>
            </w:pPr>
            <w:r>
              <w:rPr>
                <w:rFonts w:ascii="宋体" w:hAnsi="宋体"/>
                <w:szCs w:val="22"/>
              </w:rPr>
              <w:t>（2）未按约定的计算方法，未按抽取的参数计算的。由于评标差错，导致否决投标错误，重新评标纠正等其他情况，不属于计算差错。</w:t>
            </w:r>
          </w:p>
          <w:p w14:paraId="09EBC1E8">
            <w:pPr>
              <w:pStyle w:val="36"/>
              <w:spacing w:line="360" w:lineRule="auto"/>
              <w:rPr>
                <w:rFonts w:hint="default" w:ascii="宋体" w:hAnsi="宋体"/>
                <w:szCs w:val="22"/>
              </w:rPr>
            </w:pPr>
            <w:r>
              <w:rPr>
                <w:rFonts w:ascii="宋体" w:hAnsi="宋体"/>
                <w:szCs w:val="22"/>
              </w:rPr>
              <w:t>（3）除商务标得零分的报价外，其他投标报价与评标基准价对比，计算投标人的商务报价的得分值。即：</w:t>
            </w:r>
          </w:p>
          <w:p w14:paraId="70ECAAD2">
            <w:pPr>
              <w:pStyle w:val="36"/>
              <w:spacing w:line="360" w:lineRule="auto"/>
              <w:rPr>
                <w:rFonts w:hint="default" w:ascii="宋体" w:hAnsi="宋体"/>
                <w:szCs w:val="22"/>
              </w:rPr>
            </w:pPr>
            <w:r>
              <w:rPr>
                <w:rFonts w:ascii="宋体" w:hAnsi="宋体"/>
                <w:szCs w:val="22"/>
              </w:rPr>
              <w:t>a.投标报价等于评标基准价时，得满分（77分）；</w:t>
            </w:r>
          </w:p>
          <w:p w14:paraId="5E61B8B3">
            <w:pPr>
              <w:pStyle w:val="36"/>
              <w:spacing w:line="360" w:lineRule="auto"/>
              <w:rPr>
                <w:rFonts w:hint="default" w:ascii="宋体" w:hAnsi="宋体"/>
                <w:szCs w:val="22"/>
              </w:rPr>
            </w:pPr>
            <w:r>
              <w:rPr>
                <w:rFonts w:ascii="宋体" w:hAnsi="宋体"/>
                <w:szCs w:val="22"/>
              </w:rPr>
              <w:t>b.投标报价每低于评标基准价1个百分点，扣0.5分；</w:t>
            </w:r>
          </w:p>
          <w:p w14:paraId="689E86AC">
            <w:pPr>
              <w:pStyle w:val="36"/>
              <w:spacing w:line="360" w:lineRule="auto"/>
              <w:rPr>
                <w:rFonts w:hint="default" w:ascii="宋体" w:hAnsi="宋体"/>
                <w:szCs w:val="22"/>
              </w:rPr>
            </w:pPr>
            <w:r>
              <w:rPr>
                <w:rFonts w:ascii="宋体" w:hAnsi="宋体"/>
                <w:szCs w:val="22"/>
              </w:rPr>
              <w:t>c.投标报价每高于评标基准价1个百分点，扣1分。</w:t>
            </w:r>
          </w:p>
          <w:p w14:paraId="529C93FD">
            <w:pPr>
              <w:spacing w:line="360" w:lineRule="auto"/>
              <w:jc w:val="left"/>
              <w:rPr>
                <w:rFonts w:ascii="宋体" w:hAnsi="宋体"/>
                <w:szCs w:val="21"/>
              </w:rPr>
            </w:pPr>
            <w:r>
              <w:rPr>
                <w:rFonts w:hint="eastAsia" w:ascii="宋体" w:hAnsi="宋体"/>
              </w:rPr>
              <w:t>以上报价得分不足一个百分点时，使用直线插入法计算，结果四舍五入保留小数2位。</w:t>
            </w:r>
          </w:p>
        </w:tc>
        <w:tc>
          <w:tcPr>
            <w:tcW w:w="1003" w:type="dxa"/>
            <w:vAlign w:val="center"/>
          </w:tcPr>
          <w:p w14:paraId="32E84989">
            <w:pPr>
              <w:spacing w:line="360" w:lineRule="auto"/>
              <w:jc w:val="center"/>
              <w:rPr>
                <w:rFonts w:ascii="宋体" w:hAnsi="宋体"/>
                <w:szCs w:val="21"/>
              </w:rPr>
            </w:pPr>
            <w:r>
              <w:rPr>
                <w:rFonts w:hint="eastAsia" w:ascii="宋体" w:hAnsi="宋体"/>
                <w:szCs w:val="21"/>
              </w:rPr>
              <w:t>0-77分</w:t>
            </w:r>
          </w:p>
        </w:tc>
      </w:tr>
    </w:tbl>
    <w:p w14:paraId="3DA7D8E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00" w:firstLineChars="200"/>
        <w:textAlignment w:val="auto"/>
        <w:rPr>
          <w:rFonts w:ascii="宋体" w:hAnsi="宋体" w:cs="宋体"/>
          <w:color w:val="auto"/>
          <w:szCs w:val="21"/>
          <w:highlight w:val="none"/>
        </w:rPr>
      </w:pPr>
      <w:r>
        <w:rPr>
          <w:rFonts w:hint="eastAsia" w:ascii="宋体" w:hAnsi="宋体" w:cs="宋体"/>
          <w:color w:val="auto"/>
          <w:spacing w:val="-5"/>
          <w:szCs w:val="21"/>
          <w:highlight w:val="none"/>
          <w:lang w:eastAsia="zh-CN"/>
        </w:rPr>
        <w:t>□</w:t>
      </w:r>
      <w:r>
        <w:rPr>
          <w:rFonts w:hint="eastAsia" w:ascii="宋体" w:hAnsi="宋体" w:cs="宋体"/>
          <w:color w:val="auto"/>
          <w:spacing w:val="-5"/>
          <w:szCs w:val="21"/>
          <w:highlight w:val="none"/>
        </w:rPr>
        <w:t>（五）推荐中标候选人</w:t>
      </w:r>
    </w:p>
    <w:p w14:paraId="7212246F">
      <w:pPr>
        <w:keepNext w:val="0"/>
        <w:keepLines w:val="0"/>
        <w:pageBreakBefore w:val="0"/>
        <w:widowControl w:val="0"/>
        <w:shd w:val="clear" w:color="auto" w:fill="auto"/>
        <w:tabs>
          <w:tab w:val="right" w:leader="dot" w:pos="8295"/>
        </w:tabs>
        <w:kinsoku/>
        <w:wordWrap/>
        <w:overflowPunct/>
        <w:topLinePunct w:val="0"/>
        <w:autoSpaceDE/>
        <w:autoSpaceDN/>
        <w:bidi w:val="0"/>
        <w:adjustRightInd w:val="0"/>
        <w:snapToGrid w:val="0"/>
        <w:spacing w:line="360" w:lineRule="auto"/>
        <w:ind w:firstLine="480"/>
        <w:jc w:val="left"/>
        <w:textAlignment w:val="auto"/>
        <w:rPr>
          <w:rFonts w:ascii="宋体" w:hAnsi="宋体"/>
          <w:color w:val="auto"/>
          <w:kern w:val="0"/>
          <w:szCs w:val="21"/>
          <w:highlight w:val="none"/>
        </w:rPr>
      </w:pPr>
      <w:r>
        <w:rPr>
          <w:rFonts w:hint="eastAsia" w:ascii="宋体" w:hAnsi="宋体"/>
          <w:color w:val="auto"/>
          <w:kern w:val="0"/>
          <w:szCs w:val="21"/>
          <w:highlight w:val="none"/>
        </w:rPr>
        <w:t>评标委员会对投标人按总分从高到低进行排序，并按照排序推荐中标候选人。如总分相同的，以投标报价低的优先；上述均相同的</w:t>
      </w:r>
      <w:r>
        <w:rPr>
          <w:rFonts w:hint="eastAsia" w:ascii="宋体" w:hAnsi="宋体"/>
          <w:color w:val="auto"/>
          <w:kern w:val="0"/>
          <w:szCs w:val="21"/>
          <w:highlight w:val="none"/>
          <w:u w:val="single"/>
        </w:rPr>
        <w:t xml:space="preserve"> 投标报价也相等的，以技术标得分高的优先；技术标得分也相同时，则现场抽签确定</w:t>
      </w:r>
      <w:r>
        <w:rPr>
          <w:rFonts w:hint="eastAsia" w:ascii="宋体" w:hAnsi="宋体"/>
          <w:color w:val="auto"/>
          <w:kern w:val="0"/>
          <w:szCs w:val="21"/>
          <w:highlight w:val="none"/>
        </w:rPr>
        <w:t xml:space="preserve"> 。</w:t>
      </w:r>
    </w:p>
    <w:p w14:paraId="58BDE98A">
      <w:pPr>
        <w:keepNext w:val="0"/>
        <w:keepLines w:val="0"/>
        <w:pageBreakBefore w:val="0"/>
        <w:widowControl w:val="0"/>
        <w:shd w:val="clear" w:color="auto" w:fill="auto"/>
        <w:tabs>
          <w:tab w:val="right" w:leader="dot" w:pos="8295"/>
        </w:tabs>
        <w:kinsoku/>
        <w:wordWrap/>
        <w:overflowPunct/>
        <w:topLinePunct w:val="0"/>
        <w:autoSpaceDE/>
        <w:autoSpaceDN/>
        <w:bidi w:val="0"/>
        <w:adjustRightInd w:val="0"/>
        <w:snapToGrid w:val="0"/>
        <w:spacing w:line="360" w:lineRule="auto"/>
        <w:ind w:firstLine="480"/>
        <w:jc w:val="left"/>
        <w:textAlignment w:val="auto"/>
        <w:rPr>
          <w:rFonts w:ascii="宋体" w:hAnsi="宋体"/>
          <w:color w:val="auto"/>
          <w:kern w:val="0"/>
          <w:szCs w:val="21"/>
          <w:highlight w:val="none"/>
        </w:rPr>
      </w:pPr>
      <w:r>
        <w:rPr>
          <w:rFonts w:hint="eastAsia" w:ascii="宋体" w:hAnsi="宋体"/>
          <w:color w:val="auto"/>
          <w:kern w:val="0"/>
          <w:szCs w:val="21"/>
          <w:highlight w:val="none"/>
          <w:u w:val="single"/>
        </w:rPr>
        <w:t>招标人</w:t>
      </w:r>
      <w:r>
        <w:rPr>
          <w:rFonts w:hint="eastAsia" w:ascii="宋体" w:hAnsi="宋体"/>
          <w:color w:val="auto"/>
          <w:kern w:val="0"/>
          <w:szCs w:val="21"/>
          <w:highlight w:val="none"/>
        </w:rPr>
        <w:t>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7342C6C3">
      <w:pPr>
        <w:keepNext w:val="0"/>
        <w:keepLines w:val="0"/>
        <w:pageBreakBefore w:val="0"/>
        <w:widowControl w:val="0"/>
        <w:shd w:val="clear" w:color="auto" w:fill="auto"/>
        <w:tabs>
          <w:tab w:val="right" w:leader="dot" w:pos="8295"/>
        </w:tabs>
        <w:kinsoku/>
        <w:wordWrap/>
        <w:overflowPunct/>
        <w:topLinePunct w:val="0"/>
        <w:autoSpaceDE/>
        <w:autoSpaceDN/>
        <w:bidi w:val="0"/>
        <w:adjustRightInd w:val="0"/>
        <w:snapToGrid w:val="0"/>
        <w:spacing w:line="360" w:lineRule="auto"/>
        <w:ind w:firstLine="480"/>
        <w:jc w:val="left"/>
        <w:textAlignment w:val="auto"/>
        <w:rPr>
          <w:rFonts w:hint="eastAsia" w:ascii="宋体" w:hAnsi="宋体"/>
          <w:color w:val="auto"/>
          <w:kern w:val="0"/>
          <w:szCs w:val="21"/>
          <w:highlight w:val="none"/>
        </w:rPr>
      </w:pPr>
      <w:r>
        <w:rPr>
          <w:rFonts w:hint="eastAsia" w:ascii="宋体" w:hAnsi="宋体"/>
          <w:color w:val="auto"/>
          <w:kern w:val="0"/>
          <w:szCs w:val="21"/>
          <w:highlight w:val="none"/>
        </w:rPr>
        <w:t>当有效投标人＜3个时，评标委员会应判定本次投标是否具有竞争性。若评标委员会认为本次投标明显缺乏竞争的，可以否决全部投标。</w:t>
      </w:r>
    </w:p>
    <w:p w14:paraId="5272D914">
      <w:pPr>
        <w:keepNext w:val="0"/>
        <w:keepLines w:val="0"/>
        <w:pageBreakBefore w:val="0"/>
        <w:widowControl w:val="0"/>
        <w:tabs>
          <w:tab w:val="right" w:leader="dot" w:pos="8295"/>
        </w:tabs>
        <w:kinsoku/>
        <w:wordWrap/>
        <w:overflowPunct/>
        <w:topLinePunct w:val="0"/>
        <w:autoSpaceDE/>
        <w:autoSpaceDN/>
        <w:bidi w:val="0"/>
        <w:adjustRightInd w:val="0"/>
        <w:snapToGrid w:val="0"/>
        <w:spacing w:line="360" w:lineRule="auto"/>
        <w:ind w:left="0" w:firstLine="480"/>
        <w:jc w:val="left"/>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i w:val="0"/>
          <w:iCs w:val="0"/>
          <w:color w:val="auto"/>
          <w:spacing w:val="0"/>
          <w:kern w:val="0"/>
          <w:sz w:val="21"/>
          <w:szCs w:val="21"/>
          <w:highlight w:val="none"/>
        </w:rPr>
        <w:sym w:font="Wingdings 2" w:char="00A3"/>
      </w:r>
      <w:r>
        <w:rPr>
          <w:rFonts w:hint="eastAsia" w:ascii="宋体" w:hAnsi="宋体" w:eastAsia="宋体" w:cs="Times New Roman"/>
          <w:color w:val="auto"/>
          <w:spacing w:val="0"/>
          <w:kern w:val="0"/>
          <w:sz w:val="21"/>
          <w:szCs w:val="21"/>
          <w:highlight w:val="none"/>
        </w:rPr>
        <w:t xml:space="preserve"> </w:t>
      </w:r>
      <w:r>
        <w:rPr>
          <w:rFonts w:hint="eastAsia" w:ascii="宋体" w:hAnsi="宋体" w:eastAsia="宋体" w:cs="Times New Roman"/>
          <w:i w:val="0"/>
          <w:iCs w:val="0"/>
          <w:color w:val="auto"/>
          <w:spacing w:val="0"/>
          <w:kern w:val="0"/>
          <w:sz w:val="21"/>
          <w:szCs w:val="21"/>
          <w:highlight w:val="none"/>
        </w:rPr>
        <w:t>(</w:t>
      </w:r>
      <w:r>
        <w:rPr>
          <w:rFonts w:hint="eastAsia" w:ascii="宋体" w:hAnsi="宋体" w:eastAsia="宋体" w:cs="Times New Roman"/>
          <w:i w:val="0"/>
          <w:iCs w:val="0"/>
          <w:color w:val="auto"/>
          <w:spacing w:val="0"/>
          <w:kern w:val="0"/>
          <w:sz w:val="21"/>
          <w:szCs w:val="21"/>
          <w:highlight w:val="none"/>
          <w:lang w:eastAsia="zh-CN"/>
        </w:rPr>
        <w:t>五</w:t>
      </w:r>
      <w:r>
        <w:rPr>
          <w:rFonts w:hint="eastAsia" w:ascii="宋体" w:hAnsi="宋体" w:eastAsia="宋体" w:cs="Times New Roman"/>
          <w:i w:val="0"/>
          <w:iCs w:val="0"/>
          <w:color w:val="auto"/>
          <w:spacing w:val="0"/>
          <w:kern w:val="0"/>
          <w:sz w:val="21"/>
          <w:szCs w:val="21"/>
          <w:highlight w:val="none"/>
        </w:rPr>
        <w:t>)</w:t>
      </w:r>
      <w:r>
        <w:rPr>
          <w:rFonts w:hint="eastAsia" w:ascii="宋体" w:hAnsi="宋体" w:eastAsia="宋体" w:cs="Times New Roman"/>
          <w:color w:val="auto"/>
          <w:spacing w:val="0"/>
          <w:kern w:val="0"/>
          <w:sz w:val="21"/>
          <w:szCs w:val="21"/>
          <w:highlight w:val="none"/>
        </w:rPr>
        <w:t xml:space="preserve"> 推荐中标候选人 (</w:t>
      </w:r>
      <w:r>
        <w:rPr>
          <w:rFonts w:hint="eastAsia" w:ascii="宋体" w:hAnsi="宋体" w:eastAsia="宋体" w:cs="Times New Roman"/>
          <w:i w:val="0"/>
          <w:iCs w:val="0"/>
          <w:color w:val="auto"/>
          <w:spacing w:val="0"/>
          <w:kern w:val="0"/>
          <w:sz w:val="21"/>
          <w:szCs w:val="21"/>
          <w:highlight w:val="none"/>
        </w:rPr>
        <w:t>适用于“评定分离”方法一)</w:t>
      </w:r>
    </w:p>
    <w:p w14:paraId="014344D5">
      <w:pPr>
        <w:keepNext w:val="0"/>
        <w:keepLines w:val="0"/>
        <w:pageBreakBefore w:val="0"/>
        <w:widowControl/>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spacing w:val="0"/>
          <w:kern w:val="0"/>
          <w:sz w:val="21"/>
          <w:szCs w:val="21"/>
          <w:highlight w:val="none"/>
        </w:rPr>
        <w:t>评标委员会对投标人按总分从高到低进行排序，并按照排序推荐中标候选人。如总分相同的， 以投标报价低的优先；投标报价仍相同的， 以资信标排名靠前的优先；</w:t>
      </w:r>
      <w:r>
        <w:rPr>
          <w:rFonts w:hint="eastAsia" w:ascii="宋体" w:hAnsi="宋体" w:eastAsia="宋体" w:cs="Times New Roman"/>
          <w:color w:val="auto"/>
          <w:kern w:val="0"/>
          <w:sz w:val="21"/>
          <w:szCs w:val="21"/>
          <w:highlight w:val="none"/>
        </w:rPr>
        <w:t xml:space="preserve"> </w:t>
      </w:r>
      <w:r>
        <w:rPr>
          <w:rFonts w:hint="eastAsia" w:ascii="宋体" w:hAnsi="宋体" w:eastAsia="宋体" w:cs="Times New Roman"/>
          <w:color w:val="auto"/>
          <w:spacing w:val="0"/>
          <w:kern w:val="0"/>
          <w:sz w:val="21"/>
          <w:szCs w:val="21"/>
          <w:highlight w:val="none"/>
        </w:rPr>
        <w:t>资信标排名仍相同的， 以技术标排名靠前的优先；上述均相同的</w:t>
      </w:r>
      <w:r>
        <w:rPr>
          <w:rFonts w:hint="eastAsia" w:ascii="宋体" w:hAnsi="宋体" w:eastAsia="宋体" w:cs="Times New Roman"/>
          <w:i w:val="0"/>
          <w:iCs w:val="0"/>
          <w:color w:val="auto"/>
          <w:spacing w:val="0"/>
          <w:kern w:val="0"/>
          <w:sz w:val="21"/>
          <w:szCs w:val="21"/>
          <w:highlight w:val="none"/>
          <w:u w:val="none"/>
        </w:rPr>
        <w:t>(在招标文件中</w:t>
      </w:r>
      <w:r>
        <w:rPr>
          <w:rFonts w:hint="eastAsia" w:ascii="宋体" w:hAnsi="宋体" w:eastAsia="宋体" w:cs="Times New Roman"/>
          <w:i w:val="0"/>
          <w:iCs w:val="0"/>
          <w:color w:val="auto"/>
          <w:spacing w:val="0"/>
          <w:kern w:val="0"/>
          <w:sz w:val="21"/>
          <w:szCs w:val="21"/>
          <w:highlight w:val="none"/>
        </w:rPr>
        <w:t>明</w:t>
      </w:r>
      <w:r>
        <w:rPr>
          <w:rFonts w:hint="eastAsia" w:ascii="宋体" w:hAnsi="宋体" w:eastAsia="宋体" w:cs="Times New Roman"/>
          <w:i w:val="0"/>
          <w:iCs w:val="0"/>
          <w:color w:val="auto"/>
          <w:spacing w:val="0"/>
          <w:kern w:val="0"/>
          <w:sz w:val="21"/>
          <w:szCs w:val="21"/>
          <w:highlight w:val="none"/>
          <w:u w:val="none"/>
        </w:rPr>
        <w:t>确确定方式)</w:t>
      </w:r>
      <w:r>
        <w:rPr>
          <w:rFonts w:hint="eastAsia" w:ascii="宋体" w:hAnsi="宋体" w:eastAsia="宋体" w:cs="Times New Roman"/>
          <w:color w:val="auto"/>
          <w:spacing w:val="0"/>
          <w:kern w:val="0"/>
          <w:sz w:val="21"/>
          <w:szCs w:val="21"/>
          <w:highlight w:val="none"/>
        </w:rPr>
        <w:t>。</w:t>
      </w:r>
    </w:p>
    <w:p w14:paraId="04117388">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left="0" w:firstLine="482"/>
        <w:jc w:val="left"/>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u w:val="none"/>
        </w:rPr>
        <w:tab/>
      </w:r>
      <w:r>
        <w:rPr>
          <w:rFonts w:hint="eastAsia" w:ascii="宋体" w:hAnsi="宋体" w:eastAsia="宋体" w:cs="Times New Roman"/>
          <w:i w:val="0"/>
          <w:iCs w:val="0"/>
          <w:color w:val="auto"/>
          <w:spacing w:val="0"/>
          <w:kern w:val="0"/>
          <w:sz w:val="21"/>
          <w:szCs w:val="21"/>
          <w:highlight w:val="none"/>
          <w:u w:val="none"/>
        </w:rPr>
        <w:t>(评标委员会或者招标人)</w:t>
      </w:r>
      <w:r>
        <w:rPr>
          <w:rFonts w:hint="eastAsia" w:ascii="宋体" w:hAnsi="宋体" w:eastAsia="宋体" w:cs="Times New Roman"/>
          <w:color w:val="auto"/>
          <w:spacing w:val="0"/>
          <w:kern w:val="0"/>
          <w:sz w:val="21"/>
          <w:szCs w:val="21"/>
          <w:highlight w:val="none"/>
          <w:u w:val="none"/>
        </w:rPr>
        <w:t xml:space="preserve"> </w:t>
      </w:r>
      <w:r>
        <w:rPr>
          <w:rFonts w:hint="eastAsia" w:ascii="宋体" w:hAnsi="宋体" w:eastAsia="宋体" w:cs="Times New Roman"/>
          <w:color w:val="auto"/>
          <w:spacing w:val="0"/>
          <w:kern w:val="0"/>
          <w:sz w:val="21"/>
          <w:szCs w:val="21"/>
          <w:highlight w:val="none"/>
        </w:rPr>
        <w:t>对拟确定的推荐中标候选人和其拟派项目负责人，是否列</w:t>
      </w:r>
      <w:r>
        <w:rPr>
          <w:rFonts w:hint="eastAsia" w:ascii="宋体" w:hAnsi="宋体" w:eastAsia="宋体" w:cs="Times New Roman"/>
          <w:color w:val="auto"/>
          <w:kern w:val="0"/>
          <w:sz w:val="21"/>
          <w:szCs w:val="21"/>
          <w:highlight w:val="none"/>
        </w:rPr>
        <w:t>入</w:t>
      </w:r>
      <w:r>
        <w:rPr>
          <w:rFonts w:hint="eastAsia" w:ascii="宋体" w:hAnsi="宋体" w:eastAsia="宋体" w:cs="Times New Roman"/>
          <w:color w:val="auto"/>
          <w:spacing w:val="0"/>
          <w:kern w:val="0"/>
          <w:sz w:val="21"/>
          <w:szCs w:val="21"/>
          <w:highlight w:val="none"/>
        </w:rPr>
        <w:t>失信被执行人名单以及在本招标文件 (招标公告) 规定时间范围内是否有行贿犯罪记录；投标人及其拟派项目负责人是否被列入建筑市场严重失信名单的、是否被市场监督管理机关在全国企业信用信息公示系统中列入严重违法失信企业名单的、是否被人</w:t>
      </w:r>
      <w:r>
        <w:rPr>
          <w:rFonts w:hint="eastAsia" w:ascii="宋体" w:hAnsi="宋体" w:eastAsia="宋体" w:cs="Times New Roman"/>
          <w:color w:val="auto"/>
          <w:kern w:val="0"/>
          <w:sz w:val="21"/>
          <w:szCs w:val="21"/>
          <w:highlight w:val="none"/>
        </w:rPr>
        <w:t xml:space="preserve"> </w:t>
      </w:r>
      <w:r>
        <w:rPr>
          <w:rFonts w:hint="eastAsia" w:ascii="宋体" w:hAnsi="宋体" w:eastAsia="宋体" w:cs="Times New Roman"/>
          <w:color w:val="auto"/>
          <w:spacing w:val="0"/>
          <w:kern w:val="0"/>
          <w:sz w:val="21"/>
          <w:szCs w:val="21"/>
          <w:highlight w:val="none"/>
        </w:rPr>
        <w:t>力资源社会保障行政部门列入失信联合惩戒名单 (有效期内) 并共享至信用信息共享</w:t>
      </w:r>
      <w:bookmarkStart w:id="416" w:name="_bookmark4"/>
      <w:bookmarkEnd w:id="416"/>
      <w:r>
        <w:rPr>
          <w:rFonts w:hint="eastAsia" w:ascii="宋体" w:hAnsi="宋体" w:eastAsia="宋体" w:cs="Times New Roman"/>
          <w:color w:val="auto"/>
          <w:spacing w:val="0"/>
          <w:kern w:val="0"/>
          <w:sz w:val="21"/>
          <w:szCs w:val="21"/>
          <w:highlight w:val="none"/>
        </w:rPr>
        <w:t>平台的进行查验。如查实存在的，则取消其中标候选资格。</w:t>
      </w:r>
    </w:p>
    <w:p w14:paraId="3B9925A6">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left="0" w:right="0" w:firstLine="482"/>
        <w:jc w:val="left"/>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spacing w:val="0"/>
          <w:kern w:val="0"/>
          <w:sz w:val="21"/>
          <w:szCs w:val="21"/>
          <w:highlight w:val="none"/>
        </w:rPr>
        <w:t>当有效投标人＜3个时，评标委员会应判定本次投标是否具有竞争性。若评标委员会认为本次投标明显缺乏竞争的，可以否决全部投标。</w:t>
      </w:r>
    </w:p>
    <w:p w14:paraId="4D51DB0C">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rPr>
      </w:pPr>
      <w:r>
        <w:rPr>
          <w:rFonts w:hint="eastAsia" w:ascii="宋体" w:hAnsi="宋体" w:eastAsia="宋体" w:cs="Times New Roman"/>
          <w:i w:val="0"/>
          <w:iCs w:val="0"/>
          <w:color w:val="auto"/>
          <w:spacing w:val="0"/>
          <w:kern w:val="0"/>
          <w:sz w:val="21"/>
          <w:szCs w:val="21"/>
          <w:highlight w:val="none"/>
        </w:rPr>
        <w:sym w:font="Wingdings 2" w:char="0052"/>
      </w:r>
      <w:r>
        <w:rPr>
          <w:rFonts w:hint="eastAsia" w:ascii="宋体" w:hAnsi="宋体" w:eastAsia="宋体" w:cs="Times New Roman"/>
          <w:color w:val="auto"/>
          <w:spacing w:val="0"/>
          <w:kern w:val="0"/>
          <w:sz w:val="21"/>
          <w:szCs w:val="21"/>
          <w:highlight w:val="none"/>
        </w:rPr>
        <w:t xml:space="preserve"> </w:t>
      </w:r>
      <w:r>
        <w:rPr>
          <w:rFonts w:hint="eastAsia" w:ascii="宋体" w:hAnsi="宋体" w:eastAsia="宋体" w:cs="Times New Roman"/>
          <w:i w:val="0"/>
          <w:iCs w:val="0"/>
          <w:color w:val="auto"/>
          <w:spacing w:val="0"/>
          <w:kern w:val="0"/>
          <w:sz w:val="21"/>
          <w:szCs w:val="21"/>
          <w:highlight w:val="none"/>
        </w:rPr>
        <w:t>(</w:t>
      </w:r>
      <w:r>
        <w:rPr>
          <w:rFonts w:hint="eastAsia" w:ascii="宋体" w:hAnsi="宋体" w:eastAsia="宋体" w:cs="Times New Roman"/>
          <w:i w:val="0"/>
          <w:iCs w:val="0"/>
          <w:color w:val="auto"/>
          <w:spacing w:val="0"/>
          <w:kern w:val="0"/>
          <w:sz w:val="21"/>
          <w:szCs w:val="21"/>
          <w:highlight w:val="none"/>
          <w:lang w:eastAsia="zh-CN"/>
        </w:rPr>
        <w:t>五</w:t>
      </w:r>
      <w:r>
        <w:rPr>
          <w:rFonts w:hint="eastAsia" w:ascii="宋体" w:hAnsi="宋体" w:eastAsia="宋体" w:cs="Times New Roman"/>
          <w:i w:val="0"/>
          <w:iCs w:val="0"/>
          <w:color w:val="auto"/>
          <w:spacing w:val="0"/>
          <w:kern w:val="0"/>
          <w:sz w:val="21"/>
          <w:szCs w:val="21"/>
          <w:highlight w:val="none"/>
        </w:rPr>
        <w:t>)</w:t>
      </w:r>
      <w:r>
        <w:rPr>
          <w:rFonts w:hint="eastAsia" w:ascii="宋体" w:hAnsi="宋体" w:eastAsia="宋体" w:cs="Times New Roman"/>
          <w:color w:val="auto"/>
          <w:spacing w:val="0"/>
          <w:kern w:val="0"/>
          <w:sz w:val="21"/>
          <w:szCs w:val="21"/>
          <w:highlight w:val="none"/>
        </w:rPr>
        <w:t xml:space="preserve"> </w:t>
      </w:r>
      <w:r>
        <w:rPr>
          <w:rFonts w:hint="eastAsia" w:ascii="宋体" w:hAnsi="宋体" w:eastAsia="宋体" w:cs="Times New Roman"/>
          <w:i w:val="0"/>
          <w:iCs w:val="0"/>
          <w:color w:val="auto"/>
          <w:spacing w:val="0"/>
          <w:kern w:val="0"/>
          <w:sz w:val="21"/>
          <w:szCs w:val="21"/>
          <w:highlight w:val="none"/>
        </w:rPr>
        <w:t>推荐中标</w:t>
      </w:r>
      <w:r>
        <w:rPr>
          <w:rFonts w:hint="eastAsia" w:ascii="宋体" w:hAnsi="宋体" w:eastAsia="宋体" w:cs="Times New Roman"/>
          <w:i w:val="0"/>
          <w:iCs w:val="0"/>
          <w:color w:val="auto"/>
          <w:spacing w:val="0"/>
          <w:kern w:val="0"/>
          <w:sz w:val="21"/>
          <w:szCs w:val="21"/>
          <w:highlight w:val="none"/>
          <w:u w:val="none"/>
        </w:rPr>
        <w:t>候选人(适用于“评定分离”方法二，可完善修改)</w:t>
      </w:r>
    </w:p>
    <w:p w14:paraId="58E36D24">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rPr>
      </w:pPr>
      <w:r>
        <w:rPr>
          <w:rFonts w:hint="eastAsia" w:ascii="宋体" w:hAnsi="宋体" w:eastAsia="宋体" w:cs="Times New Roman"/>
          <w:i w:val="0"/>
          <w:iCs w:val="0"/>
          <w:color w:val="auto"/>
          <w:spacing w:val="0"/>
          <w:kern w:val="0"/>
          <w:sz w:val="21"/>
          <w:szCs w:val="21"/>
          <w:highlight w:val="none"/>
          <w:u w:val="none"/>
        </w:rPr>
        <w:t>评标委员会根据招标文件评标办法设置的技术评审项目和评分规则，对全部通过符合性审查的投标文件进行资信、技术、商务评分并按照总得分由高到低向招标人推荐中标候选人</w:t>
      </w:r>
      <w:r>
        <w:rPr>
          <w:rFonts w:hint="eastAsia" w:ascii="宋体" w:hAnsi="宋体" w:eastAsia="宋体" w:cs="Times New Roman"/>
          <w:i w:val="0"/>
          <w:iCs w:val="0"/>
          <w:color w:val="auto"/>
          <w:spacing w:val="0"/>
          <w:kern w:val="0"/>
          <w:sz w:val="21"/>
          <w:szCs w:val="21"/>
          <w:highlight w:val="none"/>
          <w:u w:val="none"/>
          <w:lang w:eastAsia="zh-CN"/>
        </w:rPr>
        <w:t>（评标委员会对投标人按总</w:t>
      </w:r>
      <w:r>
        <w:rPr>
          <w:rFonts w:hint="eastAsia" w:ascii="宋体" w:hAnsi="宋体" w:eastAsia="宋体" w:cs="Times New Roman"/>
          <w:i w:val="0"/>
          <w:iCs w:val="0"/>
          <w:color w:val="auto"/>
          <w:spacing w:val="0"/>
          <w:kern w:val="0"/>
          <w:sz w:val="21"/>
          <w:szCs w:val="21"/>
          <w:highlight w:val="none"/>
          <w:u w:val="none"/>
          <w:lang w:val="en-US" w:eastAsia="zh-CN"/>
        </w:rPr>
        <w:t>得</w:t>
      </w:r>
      <w:r>
        <w:rPr>
          <w:rFonts w:hint="eastAsia" w:ascii="宋体" w:hAnsi="宋体" w:eastAsia="宋体" w:cs="Times New Roman"/>
          <w:i w:val="0"/>
          <w:iCs w:val="0"/>
          <w:color w:val="auto"/>
          <w:spacing w:val="0"/>
          <w:kern w:val="0"/>
          <w:sz w:val="21"/>
          <w:szCs w:val="21"/>
          <w:highlight w:val="none"/>
          <w:u w:val="none"/>
          <w:lang w:eastAsia="zh-CN"/>
        </w:rPr>
        <w:t>分从高到低进行排序，并按照排序推荐中标候选人。如总分相同的，以投标报价低的优先；上述均相同的 投标报价也相等的，以技术标得分高的优先；技术标得分也相同时，则现场抽签确定）</w:t>
      </w:r>
      <w:r>
        <w:rPr>
          <w:rFonts w:hint="eastAsia" w:ascii="宋体" w:hAnsi="宋体" w:eastAsia="宋体" w:cs="Times New Roman"/>
          <w:i w:val="0"/>
          <w:iCs w:val="0"/>
          <w:color w:val="auto"/>
          <w:spacing w:val="0"/>
          <w:kern w:val="0"/>
          <w:sz w:val="21"/>
          <w:szCs w:val="21"/>
          <w:highlight w:val="none"/>
          <w:u w:val="none"/>
        </w:rPr>
        <w:t>。中标候选人具体推荐方式如下：进入推荐名单的中标候选人不排名次。</w:t>
      </w:r>
    </w:p>
    <w:p w14:paraId="59BB8226">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lang w:val="en-US" w:eastAsia="zh-CN"/>
        </w:rPr>
      </w:pPr>
      <w:r>
        <w:rPr>
          <w:rFonts w:hint="eastAsia" w:ascii="宋体" w:hAnsi="宋体" w:eastAsia="宋体" w:cs="Times New Roman"/>
          <w:i w:val="0"/>
          <w:iCs w:val="0"/>
          <w:color w:val="auto"/>
          <w:spacing w:val="0"/>
          <w:kern w:val="0"/>
          <w:sz w:val="21"/>
          <w:szCs w:val="21"/>
          <w:highlight w:val="none"/>
          <w:u w:val="none"/>
          <w:lang w:val="en-US" w:eastAsia="zh-CN"/>
        </w:rPr>
        <w:t>推荐中标候选人数量：</w:t>
      </w:r>
    </w:p>
    <w:p w14:paraId="6680C059">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lang w:val="en-US" w:eastAsia="zh-CN"/>
        </w:rPr>
      </w:pPr>
      <w:r>
        <w:rPr>
          <w:rFonts w:hint="eastAsia" w:ascii="宋体" w:hAnsi="宋体" w:cs="宋体"/>
          <w:color w:val="auto"/>
          <w:szCs w:val="21"/>
          <w:highlight w:val="none"/>
          <w:lang w:eastAsia="zh-CN"/>
        </w:rPr>
        <w:t>不排序的方式向招标人推荐中标候选人，</w:t>
      </w:r>
      <w:r>
        <w:rPr>
          <w:rFonts w:hint="eastAsia" w:ascii="宋体" w:hAnsi="宋体" w:cs="宋体"/>
          <w:color w:val="auto"/>
          <w:szCs w:val="21"/>
          <w:highlight w:val="none"/>
          <w:u w:val="single"/>
        </w:rPr>
        <w:t>当有效投标人为3-7名时，推荐3名中标候选人； 当有效投标人为8名及以上时，推荐5名中标候选人</w:t>
      </w:r>
      <w:r>
        <w:rPr>
          <w:rFonts w:hint="eastAsia" w:ascii="宋体" w:hAnsi="宋体" w:cs="宋体"/>
          <w:color w:val="auto"/>
          <w:szCs w:val="21"/>
          <w:highlight w:val="none"/>
        </w:rPr>
        <w:t>。</w:t>
      </w:r>
    </w:p>
    <w:p w14:paraId="0C9A1EBF">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lang w:val="en-US" w:eastAsia="zh-CN"/>
        </w:rPr>
      </w:pPr>
      <w:r>
        <w:rPr>
          <w:rFonts w:hint="eastAsia" w:ascii="宋体" w:hAnsi="宋体" w:eastAsia="宋体" w:cs="Times New Roman"/>
          <w:i w:val="0"/>
          <w:iCs w:val="0"/>
          <w:color w:val="auto"/>
          <w:spacing w:val="0"/>
          <w:kern w:val="0"/>
          <w:sz w:val="21"/>
          <w:szCs w:val="21"/>
          <w:highlight w:val="none"/>
          <w:u w:val="none"/>
          <w:lang w:val="en-US" w:eastAsia="zh-CN"/>
        </w:rPr>
        <w:t>注：①以上推荐的中标候选人均不排序。</w:t>
      </w:r>
    </w:p>
    <w:p w14:paraId="172DE025">
      <w:pPr>
        <w:keepNext w:val="0"/>
        <w:keepLines w:val="0"/>
        <w:pageBreakBefore w:val="0"/>
        <w:widowControl w:val="0"/>
        <w:tabs>
          <w:tab w:val="right" w:leader="dot" w:pos="8295"/>
        </w:tabs>
        <w:kinsoku/>
        <w:wordWrap/>
        <w:overflowPunct/>
        <w:topLinePunct w:val="0"/>
        <w:autoSpaceDE/>
        <w:autoSpaceDN/>
        <w:bidi w:val="0"/>
        <w:adjustRightInd w:val="0"/>
        <w:snapToGrid/>
        <w:spacing w:before="0" w:line="360" w:lineRule="auto"/>
        <w:ind w:right="0" w:firstLine="482"/>
        <w:jc w:val="left"/>
        <w:textAlignment w:val="auto"/>
        <w:rPr>
          <w:rFonts w:hint="eastAsia" w:ascii="宋体" w:hAnsi="宋体" w:eastAsia="宋体" w:cs="Times New Roman"/>
          <w:i w:val="0"/>
          <w:iCs w:val="0"/>
          <w:color w:val="auto"/>
          <w:spacing w:val="0"/>
          <w:kern w:val="0"/>
          <w:sz w:val="21"/>
          <w:szCs w:val="21"/>
          <w:highlight w:val="none"/>
          <w:u w:val="none"/>
        </w:rPr>
      </w:pPr>
      <w:r>
        <w:rPr>
          <w:rFonts w:hint="eastAsia" w:ascii="宋体" w:hAnsi="宋体" w:eastAsia="宋体" w:cs="Times New Roman"/>
          <w:i w:val="0"/>
          <w:iCs w:val="0"/>
          <w:color w:val="auto"/>
          <w:spacing w:val="0"/>
          <w:kern w:val="0"/>
          <w:sz w:val="21"/>
          <w:szCs w:val="21"/>
          <w:highlight w:val="none"/>
          <w:u w:val="none"/>
          <w:lang w:val="en-US" w:eastAsia="zh-CN"/>
        </w:rPr>
        <w:t>②本条中的有效投标人指全部通过符合性审查的投标人。</w:t>
      </w:r>
    </w:p>
    <w:p w14:paraId="7B35E0D1">
      <w:pPr>
        <w:pStyle w:val="10"/>
        <w:rPr>
          <w:color w:val="auto"/>
          <w:highlight w:val="none"/>
        </w:rPr>
      </w:pPr>
    </w:p>
    <w:p w14:paraId="2EC84456">
      <w:pPr>
        <w:widowControl/>
        <w:shd w:val="clear" w:color="auto" w:fill="auto"/>
        <w:tabs>
          <w:tab w:val="right" w:leader="dot" w:pos="8295"/>
        </w:tabs>
        <w:snapToGrid w:val="0"/>
        <w:spacing w:line="440" w:lineRule="exact"/>
        <w:ind w:firstLine="480"/>
        <w:jc w:val="left"/>
        <w:rPr>
          <w:rFonts w:ascii="宋体" w:hAnsi="宋体"/>
          <w:color w:val="auto"/>
          <w:kern w:val="0"/>
          <w:szCs w:val="21"/>
          <w:highlight w:val="none"/>
        </w:rPr>
      </w:pPr>
    </w:p>
    <w:p w14:paraId="75DEC0B4">
      <w:pPr>
        <w:pStyle w:val="10"/>
        <w:rPr>
          <w:rFonts w:ascii="宋体" w:hAnsi="宋体"/>
          <w:color w:val="auto"/>
          <w:kern w:val="0"/>
          <w:szCs w:val="21"/>
          <w:highlight w:val="none"/>
        </w:rPr>
      </w:pPr>
    </w:p>
    <w:p w14:paraId="528A9FEC">
      <w:pPr>
        <w:rPr>
          <w:rFonts w:ascii="宋体" w:hAnsi="宋体"/>
          <w:color w:val="auto"/>
          <w:kern w:val="0"/>
          <w:szCs w:val="21"/>
          <w:highlight w:val="none"/>
        </w:rPr>
      </w:pPr>
    </w:p>
    <w:p w14:paraId="783ED044">
      <w:pPr>
        <w:pStyle w:val="4"/>
        <w:rPr>
          <w:rFonts w:ascii="宋体" w:hAnsi="宋体"/>
          <w:color w:val="auto"/>
          <w:kern w:val="0"/>
          <w:szCs w:val="21"/>
          <w:highlight w:val="none"/>
        </w:rPr>
      </w:pPr>
    </w:p>
    <w:p w14:paraId="6E5057FA">
      <w:pPr>
        <w:rPr>
          <w:rFonts w:ascii="宋体" w:hAnsi="宋体"/>
          <w:color w:val="auto"/>
          <w:kern w:val="0"/>
          <w:szCs w:val="21"/>
          <w:highlight w:val="none"/>
        </w:rPr>
      </w:pPr>
    </w:p>
    <w:p w14:paraId="6531E284">
      <w:pPr>
        <w:pStyle w:val="4"/>
        <w:rPr>
          <w:rFonts w:ascii="宋体" w:hAnsi="宋体"/>
          <w:color w:val="auto"/>
          <w:kern w:val="0"/>
          <w:szCs w:val="21"/>
          <w:highlight w:val="none"/>
        </w:rPr>
      </w:pPr>
    </w:p>
    <w:p w14:paraId="3F5DAB4E">
      <w:pPr>
        <w:rPr>
          <w:rFonts w:ascii="宋体" w:hAnsi="宋体"/>
          <w:color w:val="auto"/>
          <w:kern w:val="0"/>
          <w:szCs w:val="21"/>
          <w:highlight w:val="none"/>
        </w:rPr>
      </w:pPr>
    </w:p>
    <w:p w14:paraId="269B4F5A">
      <w:pPr>
        <w:pStyle w:val="4"/>
        <w:rPr>
          <w:rFonts w:ascii="宋体" w:hAnsi="宋体"/>
          <w:color w:val="auto"/>
          <w:kern w:val="0"/>
          <w:szCs w:val="21"/>
          <w:highlight w:val="none"/>
        </w:rPr>
      </w:pPr>
    </w:p>
    <w:p w14:paraId="44F129E6">
      <w:pPr>
        <w:rPr>
          <w:rFonts w:ascii="宋体" w:hAnsi="宋体"/>
          <w:color w:val="auto"/>
          <w:kern w:val="0"/>
          <w:szCs w:val="21"/>
          <w:highlight w:val="none"/>
        </w:rPr>
      </w:pPr>
    </w:p>
    <w:p w14:paraId="04C819A0">
      <w:pPr>
        <w:pStyle w:val="10"/>
        <w:rPr>
          <w:rFonts w:ascii="宋体" w:hAnsi="宋体"/>
          <w:color w:val="auto"/>
          <w:kern w:val="0"/>
          <w:szCs w:val="21"/>
          <w:highlight w:val="none"/>
        </w:rPr>
      </w:pPr>
    </w:p>
    <w:p w14:paraId="2BF33D86">
      <w:pPr>
        <w:rPr>
          <w:rFonts w:ascii="宋体" w:hAnsi="宋体"/>
          <w:color w:val="auto"/>
          <w:kern w:val="0"/>
          <w:szCs w:val="21"/>
          <w:highlight w:val="none"/>
        </w:rPr>
      </w:pPr>
    </w:p>
    <w:p w14:paraId="58FF6EEB">
      <w:pPr>
        <w:pStyle w:val="10"/>
      </w:pPr>
    </w:p>
    <w:p w14:paraId="4F443BA0">
      <w:pPr>
        <w:pageBreakBefore w:val="0"/>
        <w:wordWrap/>
        <w:overflowPunct/>
        <w:bidi w:val="0"/>
        <w:spacing w:before="297" w:line="360" w:lineRule="auto"/>
        <w:jc w:val="center"/>
        <w:outlineLvl w:val="1"/>
        <w:rPr>
          <w:rFonts w:ascii="宋体" w:hAnsi="宋体" w:cs="宋体"/>
          <w:color w:val="auto"/>
          <w:spacing w:val="8"/>
          <w:sz w:val="31"/>
          <w:szCs w:val="31"/>
          <w:highlight w:val="none"/>
        </w:rPr>
      </w:pPr>
      <w:bookmarkStart w:id="417" w:name="EB0afca0fe690745ec84f2c890f7afcf18"/>
      <w:r>
        <w:rPr>
          <w:rFonts w:hint="eastAsia" w:ascii="宋体" w:hAnsi="宋体" w:cs="宋体"/>
          <w:color w:val="auto"/>
          <w:spacing w:val="8"/>
          <w:sz w:val="31"/>
          <w:szCs w:val="31"/>
          <w:highlight w:val="none"/>
        </w:rPr>
        <w:t>☑</w:t>
      </w:r>
      <w:bookmarkEnd w:id="417"/>
      <w:r>
        <w:rPr>
          <w:rFonts w:ascii="宋体" w:hAnsi="宋体" w:cs="宋体"/>
          <w:color w:val="auto"/>
          <w:spacing w:val="8"/>
          <w:sz w:val="31"/>
          <w:szCs w:val="31"/>
          <w:highlight w:val="none"/>
        </w:rPr>
        <w:t>第二节 定标办法</w:t>
      </w:r>
      <w:r>
        <w:rPr>
          <w:rFonts w:hint="eastAsia" w:ascii="宋体" w:hAnsi="宋体" w:cs="宋体"/>
          <w:color w:val="auto"/>
          <w:spacing w:val="8"/>
          <w:sz w:val="31"/>
          <w:szCs w:val="31"/>
          <w:highlight w:val="none"/>
        </w:rPr>
        <w:t>（适用于“评定分离”项目）</w:t>
      </w:r>
    </w:p>
    <w:p w14:paraId="231F01B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color w:val="auto"/>
          <w:kern w:val="2"/>
          <w:sz w:val="21"/>
          <w:szCs w:val="21"/>
          <w:highlight w:val="none"/>
          <w:lang w:val="en-US"/>
        </w:rPr>
      </w:pPr>
      <w:r>
        <w:rPr>
          <w:rFonts w:hint="eastAsia" w:ascii="宋体" w:hAnsi="宋体" w:eastAsia="宋体" w:cs="Times New Roman"/>
          <w:b/>
          <w:bCs/>
          <w:color w:val="auto"/>
          <w:kern w:val="2"/>
          <w:sz w:val="21"/>
          <w:szCs w:val="21"/>
          <w:highlight w:val="none"/>
          <w:lang w:val="en-US"/>
        </w:rPr>
        <w:t>一、定标原则</w:t>
      </w:r>
    </w:p>
    <w:p w14:paraId="6F5E59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定标应遵循招标人负责制、公开透明、诚信守约的原则。</w:t>
      </w:r>
    </w:p>
    <w:p w14:paraId="650C934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color w:val="auto"/>
          <w:kern w:val="2"/>
          <w:sz w:val="21"/>
          <w:szCs w:val="21"/>
          <w:highlight w:val="none"/>
          <w:lang w:val="en-US"/>
        </w:rPr>
      </w:pPr>
      <w:r>
        <w:rPr>
          <w:rFonts w:hint="eastAsia" w:ascii="宋体" w:hAnsi="宋体" w:eastAsia="宋体" w:cs="Times New Roman"/>
          <w:b/>
          <w:bCs/>
          <w:color w:val="auto"/>
          <w:kern w:val="2"/>
          <w:sz w:val="21"/>
          <w:szCs w:val="21"/>
          <w:highlight w:val="none"/>
          <w:lang w:val="en-US"/>
        </w:rPr>
        <w:t>二、定标组织</w:t>
      </w:r>
    </w:p>
    <w:p w14:paraId="1378CA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kern w:val="2"/>
          <w:sz w:val="21"/>
          <w:szCs w:val="21"/>
          <w:highlight w:val="none"/>
          <w:lang w:val="en-US"/>
        </w:rPr>
      </w:pPr>
      <w:r>
        <w:rPr>
          <w:rFonts w:hint="eastAsia" w:ascii="宋体" w:hAnsi="宋体" w:eastAsia="宋体" w:cs="Times New Roman"/>
          <w:color w:val="auto"/>
          <w:kern w:val="2"/>
          <w:sz w:val="21"/>
          <w:szCs w:val="21"/>
          <w:highlight w:val="none"/>
          <w:lang w:val="en-US"/>
        </w:rPr>
        <w:t>（一）定标工作由招标人组建的定标委员会负责，定标委员会的组建：</w:t>
      </w:r>
    </w:p>
    <w:p w14:paraId="7BC613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1.定标委员会组建人数见投标人须知前附表。</w:t>
      </w:r>
    </w:p>
    <w:p w14:paraId="2F7C29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2.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0CD9B7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3.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771AF2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4.定标委员会成员与中标候选人有利害关系的应主动说明并申请回避。</w:t>
      </w:r>
    </w:p>
    <w:p w14:paraId="169F6D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5.定标委员会名单在中标结果确定前应保密。</w:t>
      </w:r>
    </w:p>
    <w:p w14:paraId="2E1A9E5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color w:val="auto"/>
          <w:kern w:val="2"/>
          <w:sz w:val="21"/>
          <w:szCs w:val="21"/>
          <w:highlight w:val="none"/>
          <w:lang w:val="en-US"/>
        </w:rPr>
      </w:pPr>
      <w:r>
        <w:rPr>
          <w:rFonts w:hint="eastAsia" w:ascii="宋体" w:hAnsi="宋体" w:eastAsia="宋体" w:cs="Times New Roman"/>
          <w:color w:val="auto"/>
          <w:kern w:val="2"/>
          <w:sz w:val="21"/>
          <w:szCs w:val="21"/>
          <w:highlight w:val="none"/>
          <w:lang w:val="en-US"/>
        </w:rPr>
        <w:t>（二）定标委员会应当按照招标文件确定的定标标准和方法，客观、公正定标，招标文件没有规定的定标标准和方法不得作为定标的依据。</w:t>
      </w:r>
    </w:p>
    <w:p w14:paraId="3F00D43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color w:val="auto"/>
          <w:kern w:val="2"/>
          <w:sz w:val="21"/>
          <w:szCs w:val="21"/>
          <w:highlight w:val="none"/>
        </w:rPr>
      </w:pPr>
      <w:r>
        <w:rPr>
          <w:rFonts w:hint="eastAsia" w:ascii="宋体" w:hAnsi="宋体" w:eastAsia="宋体" w:cs="Times New Roman"/>
          <w:b/>
          <w:bCs/>
          <w:color w:val="auto"/>
          <w:kern w:val="2"/>
          <w:sz w:val="21"/>
          <w:szCs w:val="21"/>
          <w:highlight w:val="none"/>
        </w:rPr>
        <w:t>三、定标方法</w:t>
      </w:r>
    </w:p>
    <w:p w14:paraId="28CF74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定标委员会按下列方法确定中标人：</w:t>
      </w:r>
    </w:p>
    <w:p w14:paraId="5C34D7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rPr>
      </w:pPr>
      <w:bookmarkStart w:id="418" w:name="EBd94261fda32f46b4873b333d75af32df"/>
      <w:r>
        <w:rPr>
          <w:rFonts w:hint="eastAsia" w:ascii="宋体" w:hAnsi="宋体" w:eastAsia="宋体" w:cs="Times New Roman"/>
          <w:b w:val="0"/>
          <w:bCs w:val="0"/>
          <w:color w:val="auto"/>
          <w:kern w:val="2"/>
          <w:sz w:val="21"/>
          <w:szCs w:val="21"/>
          <w:highlight w:val="none"/>
          <w:lang w:val="en-US" w:eastAsia="zh-CN"/>
        </w:rPr>
        <w:t>☑</w:t>
      </w:r>
      <w:bookmarkEnd w:id="418"/>
      <w:r>
        <w:rPr>
          <w:rFonts w:hint="eastAsia" w:ascii="宋体" w:hAnsi="宋体" w:eastAsia="宋体" w:cs="Times New Roman"/>
          <w:b/>
          <w:bCs/>
          <w:color w:val="auto"/>
          <w:kern w:val="2"/>
          <w:sz w:val="21"/>
          <w:szCs w:val="21"/>
          <w:highlight w:val="none"/>
          <w:lang w:val="en-US" w:eastAsia="zh-CN"/>
        </w:rPr>
        <w:t>票决法。</w:t>
      </w:r>
      <w:r>
        <w:rPr>
          <w:rFonts w:hint="eastAsia" w:ascii="宋体" w:hAnsi="宋体" w:eastAsia="宋体" w:cs="Times New Roman"/>
          <w:b w:val="0"/>
          <w:bCs w:val="0"/>
          <w:color w:val="auto"/>
          <w:kern w:val="2"/>
          <w:sz w:val="21"/>
          <w:szCs w:val="21"/>
          <w:highlight w:val="none"/>
          <w:lang w:val="en-US" w:eastAsia="zh-CN"/>
        </w:rPr>
        <w:t>由定标委员会以直接票决或者逐轮票决的方式确定中标人。</w:t>
      </w:r>
    </w:p>
    <w:p w14:paraId="11FA167F">
      <w:pPr>
        <w:spacing w:line="400" w:lineRule="exact"/>
        <w:ind w:firstLine="422" w:firstLineChars="200"/>
        <w:rPr>
          <w:rFonts w:ascii="宋体" w:hAnsi="宋体" w:cs="宋体"/>
          <w:b/>
          <w:color w:val="auto"/>
          <w:sz w:val="21"/>
          <w:szCs w:val="21"/>
          <w:highlight w:val="none"/>
        </w:rPr>
      </w:pP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rPr>
        <w:t>直接票决法：</w:t>
      </w:r>
    </w:p>
    <w:p w14:paraId="1081094B">
      <w:pPr>
        <w:spacing w:line="400" w:lineRule="exact"/>
        <w:ind w:firstLine="420" w:firstLineChars="200"/>
        <w:rPr>
          <w:rFonts w:ascii="宋体" w:hAnsi="宋体" w:cs="宋体"/>
          <w:color w:val="auto"/>
          <w:kern w:val="0"/>
          <w:sz w:val="21"/>
          <w:szCs w:val="21"/>
          <w:highlight w:val="none"/>
        </w:rPr>
      </w:pPr>
      <w:bookmarkStart w:id="419" w:name="EB61650f58d1024298873eedeeb277f069"/>
      <w:r>
        <w:rPr>
          <w:rFonts w:hint="eastAsia" w:ascii="宋体" w:hAnsi="宋体" w:cs="宋体"/>
          <w:color w:val="auto"/>
          <w:sz w:val="21"/>
          <w:szCs w:val="21"/>
          <w:highlight w:val="none"/>
        </w:rPr>
        <w:t>☑</w:t>
      </w:r>
      <w:bookmarkEnd w:id="419"/>
      <w:r>
        <w:rPr>
          <w:rFonts w:hint="eastAsia" w:ascii="宋体" w:hAnsi="宋体" w:cs="宋体"/>
          <w:color w:val="auto"/>
          <w:kern w:val="0"/>
          <w:sz w:val="21"/>
          <w:szCs w:val="21"/>
          <w:highlight w:val="none"/>
        </w:rPr>
        <w:t>直接票决法一：定标委员会在进入投票范围的中标候选人中，以每人投票支持一个中标候选人的方式，得票最多且过半数的中标候选人为中标人。</w:t>
      </w:r>
    </w:p>
    <w:p w14:paraId="504C8157">
      <w:pPr>
        <w:spacing w:line="400" w:lineRule="exact"/>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当没有中标候选人得票超过半数时，选择得票较多的2个中标候选人（按上一轮得票多少的顺序选择，在选择第2个中标候选人时出现同票的中标候选人时，</w:t>
      </w:r>
      <w:r>
        <w:rPr>
          <w:rFonts w:hint="eastAsia" w:ascii="宋体" w:hAnsi="宋体" w:cs="宋体"/>
          <w:color w:val="auto"/>
          <w:kern w:val="0"/>
          <w:sz w:val="21"/>
          <w:szCs w:val="21"/>
          <w:highlight w:val="none"/>
          <w:lang w:eastAsia="zh-CN"/>
        </w:rPr>
        <w:t>☑</w:t>
      </w:r>
      <w:r>
        <w:rPr>
          <w:rFonts w:hint="eastAsia" w:ascii="宋体" w:hAnsi="宋体" w:cs="宋体"/>
          <w:i/>
          <w:iCs/>
          <w:color w:val="auto"/>
          <w:kern w:val="0"/>
          <w:sz w:val="21"/>
          <w:szCs w:val="21"/>
          <w:highlight w:val="none"/>
        </w:rPr>
        <w:t>报价低者（报价相同时抽签抽取1个中标候选人）</w:t>
      </w:r>
      <w:r>
        <w:rPr>
          <w:rFonts w:hint="eastAsia" w:ascii="宋体" w:hAnsi="宋体" w:cs="宋体"/>
          <w:color w:val="auto"/>
          <w:kern w:val="0"/>
          <w:sz w:val="21"/>
          <w:szCs w:val="21"/>
          <w:highlight w:val="none"/>
        </w:rPr>
        <w:t>作为二次投票的范围，直至出现得票过半数的中标候选人为止。</w:t>
      </w:r>
    </w:p>
    <w:p w14:paraId="37896EB5">
      <w:pPr>
        <w:spacing w:line="400" w:lineRule="exact"/>
        <w:ind w:firstLine="420" w:firstLineChars="200"/>
        <w:rPr>
          <w:rFonts w:ascii="宋体" w:hAnsi="宋体" w:cs="宋体"/>
          <w:color w:val="auto"/>
          <w:kern w:val="0"/>
          <w:sz w:val="21"/>
          <w:szCs w:val="21"/>
          <w:highlight w:val="none"/>
        </w:rPr>
      </w:pPr>
      <w:bookmarkStart w:id="420" w:name="EB1f4e37476dc54307897014d3478a58fb"/>
      <w:r>
        <w:rPr>
          <w:rFonts w:hint="eastAsia" w:ascii="宋体" w:hAnsi="宋体" w:cs="宋体"/>
          <w:color w:val="auto"/>
          <w:kern w:val="0"/>
          <w:sz w:val="21"/>
          <w:szCs w:val="21"/>
          <w:highlight w:val="none"/>
        </w:rPr>
        <w:t>□</w:t>
      </w:r>
      <w:bookmarkEnd w:id="420"/>
      <w:r>
        <w:rPr>
          <w:rFonts w:hint="eastAsia" w:ascii="宋体" w:hAnsi="宋体" w:cs="宋体"/>
          <w:color w:val="auto"/>
          <w:kern w:val="0"/>
          <w:sz w:val="21"/>
          <w:szCs w:val="21"/>
          <w:highlight w:val="none"/>
        </w:rPr>
        <w:t>直接票决法二：定标委员会在进入投票范围的中标候选人中，以每人投票支持</w:t>
      </w:r>
      <w:bookmarkStart w:id="421" w:name="EB76f4d7ad1882466e8b7390a4a21a5dd1"/>
      <w:r>
        <w:rPr>
          <w:rFonts w:hint="eastAsia" w:ascii="宋体" w:hAnsi="宋体" w:cs="宋体"/>
          <w:color w:val="auto"/>
          <w:kern w:val="0"/>
          <w:sz w:val="21"/>
          <w:szCs w:val="21"/>
          <w:highlight w:val="none"/>
        </w:rPr>
        <w:t>N</w:t>
      </w:r>
      <w:bookmarkEnd w:id="421"/>
      <w:r>
        <w:rPr>
          <w:rFonts w:hint="eastAsia" w:ascii="宋体" w:hAnsi="宋体" w:cs="宋体"/>
          <w:i/>
          <w:iCs/>
          <w:color w:val="auto"/>
          <w:kern w:val="0"/>
          <w:sz w:val="21"/>
          <w:szCs w:val="21"/>
          <w:highlight w:val="none"/>
        </w:rPr>
        <w:t>（N不得超过中标候选人数）</w:t>
      </w:r>
      <w:r>
        <w:rPr>
          <w:rFonts w:hint="eastAsia" w:ascii="宋体" w:hAnsi="宋体" w:cs="宋体"/>
          <w:color w:val="auto"/>
          <w:kern w:val="0"/>
          <w:sz w:val="21"/>
          <w:szCs w:val="21"/>
          <w:highlight w:val="none"/>
        </w:rPr>
        <w:t>个中标候选人的方式，得票最多且过半数的中标候选人为中标人。</w:t>
      </w:r>
    </w:p>
    <w:p w14:paraId="6FF72B92">
      <w:pPr>
        <w:spacing w:line="400" w:lineRule="exact"/>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当没有中标候选人得票超过半数时，选择得票较多的2个中标候选人（按上一轮得票多少的顺序选择，在选择第2个中标候选人时出现同票的中标候选人时，</w:t>
      </w:r>
      <w:bookmarkStart w:id="422" w:name="EB64cbb6ace6e0466d9acaaeedade84531"/>
      <w:r>
        <w:rPr>
          <w:rFonts w:hint="eastAsia" w:ascii="宋体" w:hAnsi="宋体" w:cs="宋体"/>
          <w:color w:val="auto"/>
          <w:kern w:val="0"/>
          <w:sz w:val="21"/>
          <w:szCs w:val="21"/>
          <w:highlight w:val="none"/>
        </w:rPr>
        <w:t>□</w:t>
      </w:r>
      <w:bookmarkEnd w:id="422"/>
      <w:r>
        <w:rPr>
          <w:rFonts w:hint="eastAsia" w:ascii="宋体" w:hAnsi="宋体" w:cs="宋体"/>
          <w:i/>
          <w:iCs/>
          <w:color w:val="auto"/>
          <w:kern w:val="0"/>
          <w:sz w:val="21"/>
          <w:szCs w:val="21"/>
          <w:highlight w:val="none"/>
        </w:rPr>
        <w:t>抽签抽取中标候选人</w:t>
      </w:r>
      <w:bookmarkStart w:id="423" w:name="EBc493338e40564ea9b7a2a3386c6c2948"/>
      <w:r>
        <w:rPr>
          <w:rFonts w:hint="eastAsia" w:ascii="宋体" w:hAnsi="宋体" w:cs="宋体"/>
          <w:color w:val="auto"/>
          <w:kern w:val="0"/>
          <w:sz w:val="21"/>
          <w:szCs w:val="21"/>
          <w:highlight w:val="none"/>
        </w:rPr>
        <w:t>□</w:t>
      </w:r>
      <w:bookmarkEnd w:id="423"/>
      <w:r>
        <w:rPr>
          <w:rFonts w:hint="eastAsia" w:ascii="宋体" w:hAnsi="宋体" w:cs="宋体"/>
          <w:i/>
          <w:iCs/>
          <w:color w:val="auto"/>
          <w:kern w:val="0"/>
          <w:sz w:val="21"/>
          <w:szCs w:val="21"/>
          <w:highlight w:val="none"/>
        </w:rPr>
        <w:t>报价低者（报价相同时抽签抽取1个中标候选人）</w:t>
      </w:r>
      <w:bookmarkStart w:id="424" w:name="EB8f3a31c831de4b408b02a57f51ea8e9b"/>
      <w:r>
        <w:rPr>
          <w:rFonts w:hint="eastAsia" w:ascii="宋体" w:hAnsi="宋体" w:cs="宋体"/>
          <w:color w:val="auto"/>
          <w:kern w:val="0"/>
          <w:sz w:val="21"/>
          <w:szCs w:val="21"/>
          <w:highlight w:val="none"/>
        </w:rPr>
        <w:t>□</w:t>
      </w:r>
      <w:bookmarkEnd w:id="424"/>
      <w:r>
        <w:rPr>
          <w:rFonts w:hint="eastAsia" w:ascii="宋体" w:hAnsi="宋体" w:cs="宋体"/>
          <w:i/>
          <w:iCs/>
          <w:color w:val="auto"/>
          <w:kern w:val="0"/>
          <w:sz w:val="21"/>
          <w:szCs w:val="21"/>
          <w:highlight w:val="none"/>
        </w:rPr>
        <w:t>由招标人法定代表人或其委托代表直接确定1个中标候选人</w:t>
      </w:r>
      <w:r>
        <w:rPr>
          <w:rFonts w:hint="eastAsia" w:ascii="宋体" w:hAnsi="宋体" w:cs="宋体"/>
          <w:color w:val="auto"/>
          <w:kern w:val="0"/>
          <w:sz w:val="21"/>
          <w:szCs w:val="21"/>
          <w:highlight w:val="none"/>
        </w:rPr>
        <w:t>作为二次投票的范围，直至出现得票过半数的中标候选人为止。</w:t>
      </w:r>
    </w:p>
    <w:p w14:paraId="680AC538">
      <w:pPr>
        <w:spacing w:line="400" w:lineRule="exact"/>
        <w:ind w:firstLine="420" w:firstLineChars="200"/>
        <w:rPr>
          <w:rFonts w:ascii="宋体" w:hAnsi="宋体" w:cs="宋体"/>
          <w:color w:val="auto"/>
          <w:kern w:val="0"/>
          <w:sz w:val="21"/>
          <w:szCs w:val="21"/>
          <w:highlight w:val="none"/>
        </w:rPr>
      </w:pPr>
      <w:bookmarkStart w:id="425" w:name="EBa36f6fce8c59496fa684932474b7d447"/>
      <w:r>
        <w:rPr>
          <w:rFonts w:hint="eastAsia" w:ascii="宋体" w:hAnsi="宋体" w:cs="宋体"/>
          <w:color w:val="auto"/>
          <w:kern w:val="0"/>
          <w:sz w:val="21"/>
          <w:szCs w:val="21"/>
          <w:highlight w:val="none"/>
        </w:rPr>
        <w:t>□</w:t>
      </w:r>
      <w:bookmarkEnd w:id="425"/>
      <w:r>
        <w:rPr>
          <w:rFonts w:hint="eastAsia" w:ascii="宋体" w:hAnsi="宋体" w:cs="宋体"/>
          <w:color w:val="auto"/>
          <w:kern w:val="0"/>
          <w:sz w:val="21"/>
          <w:szCs w:val="21"/>
          <w:highlight w:val="none"/>
        </w:rPr>
        <w:t>直接票决法三：定标委员会在进入投票范围的中标候选人中，以每人投票支持</w:t>
      </w:r>
      <w:bookmarkStart w:id="426" w:name="EB507a16fefc58461dab1318d5685cb4ec"/>
      <w:r>
        <w:rPr>
          <w:rFonts w:hint="eastAsia" w:ascii="宋体" w:hAnsi="宋体" w:cs="宋体"/>
          <w:color w:val="auto"/>
          <w:kern w:val="0"/>
          <w:sz w:val="21"/>
          <w:szCs w:val="21"/>
          <w:highlight w:val="none"/>
        </w:rPr>
        <w:t>N</w:t>
      </w:r>
      <w:bookmarkEnd w:id="426"/>
      <w:r>
        <w:rPr>
          <w:rFonts w:hint="eastAsia" w:ascii="宋体" w:hAnsi="宋体" w:cs="宋体"/>
          <w:i/>
          <w:iCs/>
          <w:color w:val="auto"/>
          <w:kern w:val="0"/>
          <w:sz w:val="21"/>
          <w:szCs w:val="21"/>
          <w:highlight w:val="none"/>
        </w:rPr>
        <w:t>（N不得超过中标候选人数）</w:t>
      </w:r>
      <w:r>
        <w:rPr>
          <w:rFonts w:hint="eastAsia" w:ascii="宋体" w:hAnsi="宋体" w:cs="宋体"/>
          <w:color w:val="auto"/>
          <w:kern w:val="0"/>
          <w:sz w:val="21"/>
          <w:szCs w:val="21"/>
          <w:highlight w:val="none"/>
        </w:rPr>
        <w:t>个中标候选人的方式，得票最多的中标候选人为中标人。</w:t>
      </w:r>
    </w:p>
    <w:p w14:paraId="0C6162F0">
      <w:pPr>
        <w:spacing w:line="400" w:lineRule="exact"/>
        <w:ind w:firstLine="420" w:firstLineChars="200"/>
        <w:rPr>
          <w:rFonts w:ascii="宋体" w:hAnsi="宋体" w:cs="宋体"/>
          <w:color w:val="auto"/>
          <w:sz w:val="21"/>
          <w:szCs w:val="21"/>
          <w:highlight w:val="none"/>
        </w:rPr>
      </w:pPr>
      <w:r>
        <w:rPr>
          <w:rFonts w:hint="eastAsia" w:ascii="宋体" w:hAnsi="宋体" w:cs="宋体"/>
          <w:color w:val="auto"/>
          <w:kern w:val="0"/>
          <w:sz w:val="21"/>
          <w:szCs w:val="21"/>
          <w:highlight w:val="none"/>
        </w:rPr>
        <w:t>当得票最多的中标候选人出现多个时，采用</w:t>
      </w:r>
      <w:bookmarkStart w:id="427" w:name="EB8b788f6868094406b7011803f1ccea41"/>
      <w:r>
        <w:rPr>
          <w:rFonts w:hint="eastAsia" w:ascii="宋体" w:hAnsi="宋体" w:cs="宋体"/>
          <w:color w:val="auto"/>
          <w:kern w:val="0"/>
          <w:sz w:val="21"/>
          <w:szCs w:val="21"/>
          <w:highlight w:val="none"/>
        </w:rPr>
        <w:t>□</w:t>
      </w:r>
      <w:bookmarkEnd w:id="427"/>
      <w:r>
        <w:rPr>
          <w:rFonts w:hint="eastAsia" w:ascii="宋体" w:hAnsi="宋体" w:cs="宋体"/>
          <w:i/>
          <w:iCs/>
          <w:color w:val="auto"/>
          <w:kern w:val="0"/>
          <w:sz w:val="21"/>
          <w:szCs w:val="21"/>
          <w:highlight w:val="none"/>
        </w:rPr>
        <w:t>抽签抽取</w:t>
      </w:r>
      <w:bookmarkStart w:id="428" w:name="EB2e90def56fae43638111554699f191fe"/>
      <w:r>
        <w:rPr>
          <w:rFonts w:hint="eastAsia" w:ascii="宋体" w:hAnsi="宋体" w:cs="宋体"/>
          <w:color w:val="auto"/>
          <w:kern w:val="0"/>
          <w:sz w:val="21"/>
          <w:szCs w:val="21"/>
          <w:highlight w:val="none"/>
        </w:rPr>
        <w:t>□</w:t>
      </w:r>
      <w:bookmarkEnd w:id="428"/>
      <w:r>
        <w:rPr>
          <w:rFonts w:hint="eastAsia" w:ascii="宋体" w:hAnsi="宋体" w:cs="宋体"/>
          <w:i/>
          <w:iCs/>
          <w:color w:val="auto"/>
          <w:kern w:val="0"/>
          <w:sz w:val="21"/>
          <w:szCs w:val="21"/>
          <w:highlight w:val="none"/>
        </w:rPr>
        <w:t>报价低者（报价相同时抽签抽取1个中标候选人）</w:t>
      </w:r>
      <w:bookmarkStart w:id="429" w:name="EB398f4285ae004896b16ad3bf3b06ff0e"/>
      <w:r>
        <w:rPr>
          <w:rFonts w:hint="eastAsia" w:ascii="宋体" w:hAnsi="宋体" w:cs="宋体"/>
          <w:color w:val="auto"/>
          <w:kern w:val="0"/>
          <w:sz w:val="21"/>
          <w:szCs w:val="21"/>
          <w:highlight w:val="none"/>
        </w:rPr>
        <w:t>□</w:t>
      </w:r>
      <w:bookmarkEnd w:id="429"/>
      <w:r>
        <w:rPr>
          <w:rFonts w:hint="eastAsia" w:ascii="宋体" w:hAnsi="宋体" w:cs="宋体"/>
          <w:i/>
          <w:iCs/>
          <w:color w:val="auto"/>
          <w:kern w:val="0"/>
          <w:sz w:val="21"/>
          <w:szCs w:val="21"/>
          <w:highlight w:val="none"/>
        </w:rPr>
        <w:t>由招标人法定代表人或其委托代表直接确定1个中标候选人</w:t>
      </w:r>
      <w:r>
        <w:rPr>
          <w:rFonts w:hint="eastAsia" w:ascii="宋体" w:hAnsi="宋体" w:cs="宋体"/>
          <w:color w:val="auto"/>
          <w:kern w:val="0"/>
          <w:sz w:val="21"/>
          <w:szCs w:val="21"/>
          <w:highlight w:val="none"/>
        </w:rPr>
        <w:t xml:space="preserve">作为中标人。  </w:t>
      </w:r>
      <w:r>
        <w:rPr>
          <w:rFonts w:hint="eastAsia" w:ascii="宋体" w:hAnsi="宋体" w:cs="宋体"/>
          <w:color w:val="auto"/>
          <w:sz w:val="21"/>
          <w:szCs w:val="21"/>
          <w:highlight w:val="none"/>
        </w:rPr>
        <w:t xml:space="preserve">       </w:t>
      </w:r>
    </w:p>
    <w:p w14:paraId="4FD0AA11">
      <w:pPr>
        <w:adjustRightInd w:val="0"/>
        <w:snapToGrid w:val="0"/>
        <w:spacing w:line="400" w:lineRule="exact"/>
        <w:ind w:firstLine="422" w:firstLineChars="200"/>
        <w:rPr>
          <w:rFonts w:ascii="宋体" w:hAnsi="宋体" w:cs="宋体"/>
          <w:b/>
          <w:color w:val="auto"/>
          <w:sz w:val="21"/>
          <w:szCs w:val="21"/>
          <w:highlight w:val="none"/>
        </w:rPr>
      </w:pPr>
      <w:bookmarkStart w:id="430" w:name="EB6df1b5bb46ce438abf7a6c7acd9a58d9"/>
      <w:r>
        <w:rPr>
          <w:rFonts w:hint="eastAsia" w:ascii="宋体" w:hAnsi="宋体" w:cs="宋体"/>
          <w:b/>
          <w:color w:val="auto"/>
          <w:sz w:val="21"/>
          <w:szCs w:val="21"/>
          <w:highlight w:val="none"/>
        </w:rPr>
        <w:t>□</w:t>
      </w:r>
      <w:bookmarkEnd w:id="430"/>
      <w:r>
        <w:rPr>
          <w:rFonts w:hint="eastAsia" w:ascii="宋体" w:hAnsi="宋体" w:cs="宋体"/>
          <w:b/>
          <w:color w:val="auto"/>
          <w:sz w:val="21"/>
          <w:szCs w:val="21"/>
          <w:highlight w:val="none"/>
        </w:rPr>
        <w:t>逐轮票决法：</w:t>
      </w:r>
    </w:p>
    <w:p w14:paraId="672D4DAE">
      <w:pPr>
        <w:adjustRightInd w:val="0"/>
        <w:snapToGrid w:val="0"/>
        <w:spacing w:line="400" w:lineRule="exact"/>
        <w:ind w:firstLine="420" w:firstLineChars="200"/>
        <w:rPr>
          <w:rFonts w:ascii="宋体" w:hAnsi="宋体" w:cs="宋体"/>
          <w:color w:val="auto"/>
          <w:kern w:val="0"/>
          <w:sz w:val="21"/>
          <w:szCs w:val="21"/>
          <w:highlight w:val="none"/>
        </w:rPr>
      </w:pPr>
      <w:bookmarkStart w:id="431" w:name="EBfbf8e3d0ca8243fba05ef75511179a57"/>
      <w:r>
        <w:rPr>
          <w:rFonts w:hint="eastAsia" w:ascii="宋体" w:hAnsi="宋体" w:cs="宋体"/>
          <w:color w:val="auto"/>
          <w:sz w:val="21"/>
          <w:szCs w:val="21"/>
          <w:highlight w:val="none"/>
        </w:rPr>
        <w:t>□</w:t>
      </w:r>
      <w:bookmarkEnd w:id="431"/>
      <w:r>
        <w:rPr>
          <w:rFonts w:hint="eastAsia" w:ascii="宋体" w:hAnsi="宋体" w:cs="宋体"/>
          <w:color w:val="auto"/>
          <w:kern w:val="0"/>
          <w:sz w:val="21"/>
          <w:szCs w:val="21"/>
          <w:highlight w:val="none"/>
        </w:rPr>
        <w:t>逐轮票决法一：定标委员会在进入投票范围的中标候选人中，以每人投票支持</w:t>
      </w:r>
      <w:bookmarkStart w:id="432" w:name="EB74223828c6224730bc73f8f6f64b0d85"/>
      <w:r>
        <w:rPr>
          <w:rFonts w:hint="eastAsia" w:ascii="宋体" w:hAnsi="宋体" w:cs="宋体"/>
          <w:color w:val="auto"/>
          <w:kern w:val="0"/>
          <w:sz w:val="21"/>
          <w:szCs w:val="21"/>
          <w:highlight w:val="none"/>
        </w:rPr>
        <w:t>N (N≥3)</w:t>
      </w:r>
      <w:bookmarkEnd w:id="432"/>
      <w:r>
        <w:rPr>
          <w:rFonts w:hint="eastAsia" w:ascii="宋体" w:hAnsi="宋体" w:cs="宋体"/>
          <w:color w:val="auto"/>
          <w:kern w:val="0"/>
          <w:sz w:val="21"/>
          <w:szCs w:val="21"/>
          <w:highlight w:val="none"/>
        </w:rPr>
        <w:t>个中标候选人的方式，得票最多的</w:t>
      </w:r>
      <w:bookmarkStart w:id="433" w:name="EB165742fe12db422e9b5a0342bdea2cc8"/>
      <w:r>
        <w:rPr>
          <w:rFonts w:hint="eastAsia" w:ascii="宋体" w:hAnsi="宋体" w:cs="宋体"/>
          <w:color w:val="auto"/>
          <w:kern w:val="0"/>
          <w:sz w:val="21"/>
          <w:szCs w:val="21"/>
          <w:highlight w:val="none"/>
        </w:rPr>
        <w:t>N</w:t>
      </w:r>
      <w:bookmarkEnd w:id="433"/>
      <w:r>
        <w:rPr>
          <w:rFonts w:hint="eastAsia" w:ascii="宋体" w:hAnsi="宋体" w:cs="宋体"/>
          <w:color w:val="auto"/>
          <w:kern w:val="0"/>
          <w:sz w:val="21"/>
          <w:szCs w:val="21"/>
          <w:highlight w:val="none"/>
        </w:rPr>
        <w:t>个中标候选人进入下一轮的淘汰投票。在确定第</w:t>
      </w:r>
      <w:bookmarkStart w:id="434" w:name="EBdc1a4e1afc8245fe96e13c77a0b3cf11"/>
      <w:r>
        <w:rPr>
          <w:rFonts w:hint="eastAsia" w:ascii="宋体" w:hAnsi="宋体" w:cs="宋体"/>
          <w:color w:val="auto"/>
          <w:kern w:val="0"/>
          <w:sz w:val="21"/>
          <w:szCs w:val="21"/>
          <w:highlight w:val="none"/>
        </w:rPr>
        <w:t>N</w:t>
      </w:r>
      <w:bookmarkEnd w:id="434"/>
      <w:r>
        <w:rPr>
          <w:rFonts w:hint="eastAsia" w:ascii="宋体" w:hAnsi="宋体" w:cs="宋体"/>
          <w:color w:val="auto"/>
          <w:kern w:val="0"/>
          <w:sz w:val="21"/>
          <w:szCs w:val="21"/>
          <w:highlight w:val="none"/>
        </w:rPr>
        <w:t>个中标候选人时如果出现同票的，则采用</w:t>
      </w:r>
      <w:bookmarkStart w:id="435" w:name="EB4de13bcaffee4c53a98067c5c4c8da3b"/>
      <w:r>
        <w:rPr>
          <w:rFonts w:hint="eastAsia" w:ascii="宋体" w:hAnsi="宋体" w:cs="宋体"/>
          <w:color w:val="auto"/>
          <w:kern w:val="0"/>
          <w:sz w:val="21"/>
          <w:szCs w:val="21"/>
          <w:highlight w:val="none"/>
        </w:rPr>
        <w:t>□</w:t>
      </w:r>
      <w:bookmarkEnd w:id="435"/>
      <w:r>
        <w:rPr>
          <w:rFonts w:hint="eastAsia" w:ascii="宋体" w:hAnsi="宋体" w:cs="宋体"/>
          <w:i/>
          <w:iCs/>
          <w:color w:val="auto"/>
          <w:kern w:val="0"/>
          <w:sz w:val="21"/>
          <w:szCs w:val="21"/>
          <w:highlight w:val="none"/>
        </w:rPr>
        <w:t>抽签抽取或报价低者（报价相同时抽签抽取1个中标候选人）</w:t>
      </w:r>
      <w:bookmarkStart w:id="436" w:name="EB7d1c53ceb7bf4f0788b1a3f270d6b7e5"/>
      <w:r>
        <w:rPr>
          <w:rFonts w:hint="eastAsia" w:ascii="宋体" w:hAnsi="宋体" w:cs="宋体"/>
          <w:color w:val="auto"/>
          <w:kern w:val="0"/>
          <w:sz w:val="21"/>
          <w:szCs w:val="21"/>
          <w:highlight w:val="none"/>
        </w:rPr>
        <w:t>□</w:t>
      </w:r>
      <w:bookmarkEnd w:id="436"/>
      <w:r>
        <w:rPr>
          <w:rFonts w:hint="eastAsia" w:ascii="宋体" w:hAnsi="宋体" w:cs="宋体"/>
          <w:i/>
          <w:iCs/>
          <w:color w:val="auto"/>
          <w:kern w:val="0"/>
          <w:sz w:val="21"/>
          <w:szCs w:val="21"/>
          <w:highlight w:val="none"/>
        </w:rPr>
        <w:t>由招标人法定代表人或其委托代表直接确定1个中标候选人</w:t>
      </w:r>
      <w:r>
        <w:rPr>
          <w:rFonts w:hint="eastAsia" w:ascii="宋体" w:hAnsi="宋体" w:cs="宋体"/>
          <w:color w:val="auto"/>
          <w:kern w:val="0"/>
          <w:sz w:val="21"/>
          <w:szCs w:val="21"/>
          <w:highlight w:val="none"/>
        </w:rPr>
        <w:t>进入下一轮的淘汰投票。</w:t>
      </w:r>
    </w:p>
    <w:p w14:paraId="52FED959">
      <w:pPr>
        <w:adjustRightInd w:val="0"/>
        <w:snapToGrid w:val="0"/>
        <w:spacing w:line="400" w:lineRule="exact"/>
        <w:ind w:firstLine="420" w:firstLineChars="200"/>
        <w:rPr>
          <w:rFonts w:ascii="宋体" w:hAnsi="宋体" w:cs="宋体"/>
          <w:color w:val="auto"/>
          <w:kern w:val="0"/>
          <w:sz w:val="21"/>
          <w:szCs w:val="21"/>
          <w:highlight w:val="none"/>
        </w:rPr>
      </w:pPr>
      <w:r>
        <w:rPr>
          <w:rFonts w:hint="eastAsia" w:ascii="宋体" w:hAnsi="宋体" w:cs="宋体"/>
          <w:color w:val="auto"/>
          <w:kern w:val="0"/>
          <w:sz w:val="21"/>
          <w:szCs w:val="21"/>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w:t>
      </w:r>
      <w:bookmarkStart w:id="437" w:name="EB3a34a87d686545b3869ede27c887366d"/>
      <w:r>
        <w:rPr>
          <w:rFonts w:hint="eastAsia" w:ascii="宋体" w:hAnsi="宋体" w:cs="宋体"/>
          <w:color w:val="auto"/>
          <w:kern w:val="0"/>
          <w:sz w:val="21"/>
          <w:szCs w:val="21"/>
          <w:highlight w:val="none"/>
        </w:rPr>
        <w:t>N</w:t>
      </w:r>
      <w:bookmarkEnd w:id="437"/>
      <w:r>
        <w:rPr>
          <w:rFonts w:hint="eastAsia" w:ascii="宋体" w:hAnsi="宋体" w:cs="宋体"/>
          <w:color w:val="auto"/>
          <w:kern w:val="0"/>
          <w:sz w:val="21"/>
          <w:szCs w:val="21"/>
          <w:highlight w:val="none"/>
        </w:rPr>
        <w:t>个中标候选人中按前述规则进行二次淘汰，剩余的中标候选人进入下一轮淘汰投票。根据前述规则，直至剩余1名中标候选人为中标人。</w:t>
      </w:r>
    </w:p>
    <w:p w14:paraId="497F43E3">
      <w:pPr>
        <w:adjustRightInd w:val="0"/>
        <w:snapToGrid w:val="0"/>
        <w:spacing w:line="400" w:lineRule="exact"/>
        <w:ind w:firstLine="420" w:firstLineChars="200"/>
        <w:rPr>
          <w:rFonts w:ascii="宋体" w:hAnsi="宋体" w:cs="宋体"/>
          <w:color w:val="auto"/>
          <w:kern w:val="0"/>
          <w:sz w:val="21"/>
          <w:szCs w:val="21"/>
          <w:highlight w:val="none"/>
        </w:rPr>
      </w:pPr>
      <w:bookmarkStart w:id="438" w:name="EBe8c9924f7c0344ccb19abc504512a41b"/>
      <w:r>
        <w:rPr>
          <w:rFonts w:hint="eastAsia" w:ascii="宋体" w:hAnsi="宋体" w:cs="宋体"/>
          <w:color w:val="auto"/>
          <w:sz w:val="21"/>
          <w:szCs w:val="21"/>
          <w:highlight w:val="none"/>
        </w:rPr>
        <w:t>□</w:t>
      </w:r>
      <w:bookmarkEnd w:id="438"/>
      <w:r>
        <w:rPr>
          <w:rFonts w:hint="eastAsia" w:ascii="宋体" w:hAnsi="宋体" w:cs="宋体"/>
          <w:color w:val="auto"/>
          <w:kern w:val="0"/>
          <w:sz w:val="21"/>
          <w:szCs w:val="21"/>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w:t>
      </w:r>
      <w:bookmarkStart w:id="439" w:name="EB79eb4554997243c6ab7fdc9ed7829b97"/>
      <w:r>
        <w:rPr>
          <w:rFonts w:hint="eastAsia" w:ascii="宋体" w:hAnsi="宋体" w:cs="宋体"/>
          <w:color w:val="auto"/>
          <w:kern w:val="0"/>
          <w:sz w:val="21"/>
          <w:szCs w:val="21"/>
          <w:highlight w:val="none"/>
        </w:rPr>
        <w:t>□</w:t>
      </w:r>
      <w:bookmarkEnd w:id="439"/>
      <w:r>
        <w:rPr>
          <w:rFonts w:hint="eastAsia" w:ascii="宋体" w:hAnsi="宋体" w:cs="宋体"/>
          <w:i/>
          <w:iCs/>
          <w:color w:val="auto"/>
          <w:kern w:val="0"/>
          <w:sz w:val="21"/>
          <w:szCs w:val="21"/>
          <w:highlight w:val="none"/>
        </w:rPr>
        <w:t>抽签抽取或报价低者（报价相同时抽签抽取1个中标候选人）</w:t>
      </w:r>
      <w:bookmarkStart w:id="440" w:name="EB641016e9c1d547e29e7f99ddc4a02f1d"/>
      <w:r>
        <w:rPr>
          <w:rFonts w:hint="eastAsia" w:ascii="宋体" w:hAnsi="宋体" w:cs="宋体"/>
          <w:color w:val="auto"/>
          <w:kern w:val="0"/>
          <w:sz w:val="21"/>
          <w:szCs w:val="21"/>
          <w:highlight w:val="none"/>
        </w:rPr>
        <w:t>□</w:t>
      </w:r>
      <w:bookmarkEnd w:id="440"/>
      <w:r>
        <w:rPr>
          <w:rFonts w:hint="eastAsia" w:ascii="宋体" w:hAnsi="宋体" w:cs="宋体"/>
          <w:i/>
          <w:iCs/>
          <w:color w:val="auto"/>
          <w:kern w:val="0"/>
          <w:sz w:val="21"/>
          <w:szCs w:val="21"/>
          <w:highlight w:val="none"/>
        </w:rPr>
        <w:t>由招标人法定代表人或其委托代表直接确定</w:t>
      </w:r>
      <w:r>
        <w:rPr>
          <w:rFonts w:hint="eastAsia" w:ascii="宋体" w:hAnsi="宋体" w:cs="宋体"/>
          <w:color w:val="auto"/>
          <w:kern w:val="0"/>
          <w:sz w:val="21"/>
          <w:szCs w:val="21"/>
          <w:highlight w:val="none"/>
        </w:rPr>
        <w:t>最终的中标人。</w:t>
      </w:r>
    </w:p>
    <w:p w14:paraId="2C6C2389">
      <w:pPr>
        <w:spacing w:line="400" w:lineRule="exact"/>
        <w:ind w:firstLine="422" w:firstLineChars="200"/>
        <w:rPr>
          <w:rFonts w:ascii="宋体" w:hAnsi="宋体" w:cs="宋体"/>
          <w:b/>
          <w:color w:val="auto"/>
          <w:sz w:val="21"/>
          <w:szCs w:val="21"/>
          <w:highlight w:val="none"/>
        </w:rPr>
      </w:pPr>
      <w:bookmarkStart w:id="441" w:name="EB75c9e5a671a54d958b55b2a01b3897d3"/>
      <w:r>
        <w:rPr>
          <w:rFonts w:hint="eastAsia" w:ascii="宋体" w:hAnsi="宋体" w:cs="宋体"/>
          <w:b/>
          <w:color w:val="auto"/>
          <w:sz w:val="21"/>
          <w:szCs w:val="21"/>
          <w:highlight w:val="none"/>
        </w:rPr>
        <w:t>□</w:t>
      </w:r>
      <w:bookmarkEnd w:id="441"/>
      <w:r>
        <w:rPr>
          <w:rFonts w:hint="eastAsia" w:ascii="宋体" w:hAnsi="宋体" w:cs="宋体"/>
          <w:b/>
          <w:color w:val="auto"/>
          <w:sz w:val="21"/>
          <w:szCs w:val="21"/>
          <w:highlight w:val="none"/>
        </w:rPr>
        <w:t>票决抽签法：</w:t>
      </w:r>
    </w:p>
    <w:p w14:paraId="02C739DD">
      <w:pPr>
        <w:adjustRightInd w:val="0"/>
        <w:snapToGrid w:val="0"/>
        <w:spacing w:line="400" w:lineRule="exact"/>
        <w:ind w:firstLine="422" w:firstLineChars="200"/>
        <w:rPr>
          <w:rFonts w:ascii="宋体" w:hAnsi="宋体" w:cs="宋体"/>
          <w:color w:val="auto"/>
          <w:kern w:val="0"/>
          <w:sz w:val="21"/>
          <w:szCs w:val="21"/>
          <w:highlight w:val="none"/>
        </w:rPr>
      </w:pPr>
      <w:bookmarkStart w:id="442" w:name="EB28da1b7a9ffc455f89c16f8d8bf13e59"/>
      <w:r>
        <w:rPr>
          <w:rFonts w:hint="eastAsia" w:ascii="宋体" w:hAnsi="宋体" w:cs="宋体"/>
          <w:b/>
          <w:color w:val="auto"/>
          <w:sz w:val="21"/>
          <w:szCs w:val="21"/>
          <w:highlight w:val="none"/>
        </w:rPr>
        <w:t>□</w:t>
      </w:r>
      <w:bookmarkEnd w:id="442"/>
      <w:r>
        <w:rPr>
          <w:rFonts w:hint="eastAsia" w:ascii="宋体" w:hAnsi="宋体" w:cs="宋体"/>
          <w:color w:val="auto"/>
          <w:kern w:val="0"/>
          <w:sz w:val="21"/>
          <w:szCs w:val="21"/>
          <w:highlight w:val="none"/>
        </w:rPr>
        <w:t>票决抽签法一：定标委员会在进入投票范围的中标候选人中，以每人投票支持</w:t>
      </w:r>
      <w:bookmarkStart w:id="443" w:name="EBd278078c261743be8b768f9bf119e328"/>
      <w:r>
        <w:rPr>
          <w:rFonts w:hint="eastAsia" w:ascii="宋体" w:hAnsi="宋体" w:cs="宋体"/>
          <w:color w:val="auto"/>
          <w:kern w:val="0"/>
          <w:sz w:val="21"/>
          <w:szCs w:val="21"/>
          <w:highlight w:val="none"/>
        </w:rPr>
        <w:t>N (N≥3)</w:t>
      </w:r>
      <w:bookmarkEnd w:id="443"/>
      <w:r>
        <w:rPr>
          <w:rFonts w:hint="eastAsia" w:ascii="宋体" w:hAnsi="宋体" w:cs="宋体"/>
          <w:color w:val="auto"/>
          <w:kern w:val="0"/>
          <w:sz w:val="21"/>
          <w:szCs w:val="21"/>
          <w:highlight w:val="none"/>
        </w:rPr>
        <w:t>个中标候选人的方式，得票较多的</w:t>
      </w:r>
      <w:r>
        <w:rPr>
          <w:rFonts w:hint="eastAsia" w:ascii="宋体" w:hAnsi="宋体" w:cs="宋体"/>
          <w:i/>
          <w:iCs/>
          <w:color w:val="auto"/>
          <w:kern w:val="0"/>
          <w:sz w:val="21"/>
          <w:szCs w:val="21"/>
          <w:highlight w:val="none"/>
          <w:u w:val="single"/>
        </w:rPr>
        <w:t>N</w:t>
      </w:r>
      <w:r>
        <w:rPr>
          <w:rFonts w:hint="eastAsia" w:ascii="宋体" w:hAnsi="宋体" w:cs="宋体"/>
          <w:color w:val="auto"/>
          <w:kern w:val="0"/>
          <w:sz w:val="21"/>
          <w:szCs w:val="21"/>
          <w:highlight w:val="none"/>
        </w:rPr>
        <w:t>个中标候选人（最终得票均须超过半数）进入抽签环节</w:t>
      </w:r>
      <w:r>
        <w:rPr>
          <w:rFonts w:hint="eastAsia" w:ascii="宋体" w:hAnsi="宋体" w:cs="宋体"/>
          <w:color w:val="auto"/>
          <w:sz w:val="21"/>
          <w:szCs w:val="21"/>
          <w:highlight w:val="none"/>
        </w:rPr>
        <w:t>，中标候选人数量不足时全部进入</w:t>
      </w:r>
      <w:r>
        <w:rPr>
          <w:rFonts w:hint="eastAsia" w:ascii="宋体" w:hAnsi="宋体" w:cs="宋体"/>
          <w:color w:val="auto"/>
          <w:kern w:val="0"/>
          <w:sz w:val="21"/>
          <w:szCs w:val="21"/>
          <w:highlight w:val="none"/>
        </w:rPr>
        <w:t>。投票过程中出现票数相同时，则采用</w:t>
      </w:r>
      <w:bookmarkStart w:id="444" w:name="EB59ec2a4b9d644977a3e6195f7e891c43"/>
      <w:r>
        <w:rPr>
          <w:rFonts w:hint="eastAsia" w:ascii="宋体" w:hAnsi="宋体" w:cs="宋体"/>
          <w:color w:val="auto"/>
          <w:sz w:val="21"/>
          <w:szCs w:val="21"/>
          <w:highlight w:val="none"/>
        </w:rPr>
        <w:t>□</w:t>
      </w:r>
      <w:bookmarkEnd w:id="444"/>
      <w:r>
        <w:rPr>
          <w:rFonts w:hint="eastAsia" w:ascii="宋体" w:hAnsi="宋体" w:cs="宋体"/>
          <w:i/>
          <w:iCs/>
          <w:color w:val="auto"/>
          <w:kern w:val="0"/>
          <w:sz w:val="21"/>
          <w:szCs w:val="21"/>
          <w:highlight w:val="none"/>
        </w:rPr>
        <w:t>抽签抽取</w:t>
      </w:r>
      <w:bookmarkStart w:id="445" w:name="EB6732ed1cbe4342a381bf08dd0de4ef44"/>
      <w:r>
        <w:rPr>
          <w:rFonts w:hint="eastAsia" w:ascii="宋体" w:hAnsi="宋体" w:cs="宋体"/>
          <w:color w:val="auto"/>
          <w:sz w:val="21"/>
          <w:szCs w:val="21"/>
          <w:highlight w:val="none"/>
        </w:rPr>
        <w:t>□</w:t>
      </w:r>
      <w:bookmarkEnd w:id="445"/>
      <w:r>
        <w:rPr>
          <w:rFonts w:hint="eastAsia" w:ascii="宋体" w:hAnsi="宋体" w:cs="宋体"/>
          <w:i/>
          <w:iCs/>
          <w:color w:val="auto"/>
          <w:kern w:val="0"/>
          <w:sz w:val="21"/>
          <w:szCs w:val="21"/>
          <w:highlight w:val="none"/>
        </w:rPr>
        <w:t>报价低者（报价相同时抽签抽取1个中标候选人）</w:t>
      </w:r>
      <w:bookmarkStart w:id="446" w:name="EB81a095c3c27c484a8a8aa18f00c7e615"/>
      <w:r>
        <w:rPr>
          <w:rFonts w:hint="eastAsia" w:ascii="宋体" w:hAnsi="宋体" w:cs="宋体"/>
          <w:color w:val="auto"/>
          <w:sz w:val="21"/>
          <w:szCs w:val="21"/>
          <w:highlight w:val="none"/>
        </w:rPr>
        <w:t>□</w:t>
      </w:r>
      <w:bookmarkEnd w:id="446"/>
      <w:r>
        <w:rPr>
          <w:rFonts w:hint="eastAsia" w:ascii="宋体" w:hAnsi="宋体" w:cs="宋体"/>
          <w:i/>
          <w:iCs/>
          <w:color w:val="auto"/>
          <w:kern w:val="0"/>
          <w:sz w:val="21"/>
          <w:szCs w:val="21"/>
          <w:highlight w:val="none"/>
        </w:rPr>
        <w:t>由招标人法定代表人或其委托代表直接确定1个中标候选人</w:t>
      </w:r>
      <w:r>
        <w:rPr>
          <w:rFonts w:hint="eastAsia" w:ascii="宋体" w:hAnsi="宋体" w:cs="宋体"/>
          <w:color w:val="auto"/>
          <w:kern w:val="0"/>
          <w:sz w:val="21"/>
          <w:szCs w:val="21"/>
          <w:highlight w:val="none"/>
        </w:rPr>
        <w:t>的方式确定进入抽签范围的中标候选人。</w:t>
      </w:r>
    </w:p>
    <w:p w14:paraId="4B936EEC">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5414585B">
      <w:pPr>
        <w:adjustRightInd w:val="0"/>
        <w:snapToGrid w:val="0"/>
        <w:spacing w:line="400" w:lineRule="exact"/>
        <w:ind w:firstLine="422" w:firstLineChars="200"/>
        <w:rPr>
          <w:rFonts w:hint="eastAsia" w:ascii="宋体" w:hAnsi="宋体" w:cs="宋体"/>
          <w:color w:val="auto"/>
          <w:kern w:val="0"/>
          <w:sz w:val="21"/>
          <w:szCs w:val="21"/>
          <w:highlight w:val="none"/>
          <w:lang w:val="en-US"/>
        </w:rPr>
      </w:pPr>
      <w:bookmarkStart w:id="447" w:name="EB9200a25925dc4e29b50b330d84188e83"/>
      <w:r>
        <w:rPr>
          <w:rFonts w:hint="eastAsia" w:ascii="宋体" w:hAnsi="宋体" w:cs="宋体"/>
          <w:b/>
          <w:bCs/>
          <w:color w:val="auto"/>
          <w:kern w:val="0"/>
          <w:sz w:val="21"/>
          <w:szCs w:val="21"/>
          <w:highlight w:val="none"/>
          <w:lang w:val="en-US" w:eastAsia="zh-CN"/>
        </w:rPr>
        <w:t>□</w:t>
      </w:r>
      <w:bookmarkEnd w:id="447"/>
      <w:r>
        <w:rPr>
          <w:rFonts w:hint="eastAsia" w:ascii="宋体" w:hAnsi="宋体" w:cs="宋体"/>
          <w:color w:val="auto"/>
          <w:kern w:val="0"/>
          <w:sz w:val="21"/>
          <w:szCs w:val="21"/>
          <w:highlight w:val="none"/>
          <w:lang w:val="en-US" w:eastAsia="zh-CN"/>
        </w:rPr>
        <w:t>票决抽签法</w:t>
      </w:r>
      <w:r>
        <w:rPr>
          <w:rFonts w:hint="eastAsia" w:ascii="宋体" w:hAnsi="宋体" w:eastAsia="宋体" w:cs="宋体"/>
          <w:color w:val="auto"/>
          <w:kern w:val="0"/>
          <w:sz w:val="21"/>
          <w:szCs w:val="21"/>
          <w:highlight w:val="none"/>
          <w:lang w:val="en-US" w:eastAsia="zh-CN" w:bidi="ar-SA"/>
        </w:rPr>
        <w:t>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w:t>
      </w:r>
      <w:bookmarkStart w:id="448" w:name="EB93dbb05479df49b1a2ad8c19d3b13097"/>
      <w:r>
        <w:rPr>
          <w:rFonts w:hint="eastAsia" w:cs="宋体"/>
          <w:color w:val="auto"/>
          <w:sz w:val="21"/>
          <w:szCs w:val="21"/>
          <w:highlight w:val="none"/>
        </w:rPr>
        <w:t>□</w:t>
      </w:r>
      <w:bookmarkEnd w:id="448"/>
      <w:r>
        <w:rPr>
          <w:rFonts w:hint="eastAsia" w:cs="宋体"/>
          <w:i/>
          <w:iCs/>
          <w:color w:val="auto"/>
          <w:sz w:val="21"/>
          <w:szCs w:val="21"/>
          <w:highlight w:val="none"/>
        </w:rPr>
        <w:t>抽签抽取</w:t>
      </w:r>
      <w:bookmarkStart w:id="449" w:name="EB0f5868af70e749b88c83255212754c0a"/>
      <w:r>
        <w:rPr>
          <w:rFonts w:hint="eastAsia" w:cs="宋体"/>
          <w:color w:val="auto"/>
          <w:sz w:val="21"/>
          <w:szCs w:val="21"/>
          <w:highlight w:val="none"/>
        </w:rPr>
        <w:t>□</w:t>
      </w:r>
      <w:bookmarkEnd w:id="449"/>
      <w:r>
        <w:rPr>
          <w:rFonts w:hint="eastAsia" w:cs="宋体"/>
          <w:i/>
          <w:iCs/>
          <w:color w:val="auto"/>
          <w:sz w:val="21"/>
          <w:szCs w:val="21"/>
          <w:highlight w:val="none"/>
        </w:rPr>
        <w:t>报价低者（报价相同时抽签抽取1个中标候选人）</w:t>
      </w:r>
      <w:bookmarkStart w:id="450" w:name="EBca50762faf05426487324103a6bd647e"/>
      <w:r>
        <w:rPr>
          <w:rFonts w:hint="eastAsia" w:cs="宋体"/>
          <w:color w:val="auto"/>
          <w:sz w:val="21"/>
          <w:szCs w:val="21"/>
          <w:highlight w:val="none"/>
        </w:rPr>
        <w:t>□</w:t>
      </w:r>
      <w:bookmarkEnd w:id="450"/>
      <w:r>
        <w:rPr>
          <w:rFonts w:hint="eastAsia" w:cs="宋体"/>
          <w:i/>
          <w:iCs/>
          <w:color w:val="auto"/>
          <w:sz w:val="21"/>
          <w:szCs w:val="21"/>
          <w:highlight w:val="none"/>
        </w:rPr>
        <w:t>由招标人法定代表人或其委托代表直接确定</w:t>
      </w:r>
      <w:r>
        <w:rPr>
          <w:rFonts w:hint="eastAsia" w:cs="宋体"/>
          <w:color w:val="auto"/>
          <w:sz w:val="21"/>
          <w:szCs w:val="21"/>
          <w:highlight w:val="none"/>
        </w:rPr>
        <w:t>进入抽签环节的中标候选人。定标委员会在上述</w:t>
      </w:r>
      <w:r>
        <w:rPr>
          <w:rFonts w:hint="eastAsia" w:cs="宋体"/>
          <w:i/>
          <w:color w:val="auto"/>
          <w:sz w:val="21"/>
          <w:szCs w:val="21"/>
          <w:highlight w:val="none"/>
          <w:u w:val="single"/>
        </w:rPr>
        <w:t>N</w:t>
      </w:r>
      <w:r>
        <w:rPr>
          <w:rFonts w:hint="eastAsia" w:cs="宋体"/>
          <w:color w:val="auto"/>
          <w:sz w:val="21"/>
          <w:szCs w:val="21"/>
          <w:highlight w:val="none"/>
        </w:rPr>
        <w:t>个中标候选人中随机抽签确定中标</w:t>
      </w:r>
      <w:r>
        <w:rPr>
          <w:rFonts w:hint="eastAsia" w:ascii="宋体" w:hAnsi="宋体" w:cs="宋体"/>
          <w:color w:val="auto"/>
          <w:kern w:val="0"/>
          <w:sz w:val="21"/>
          <w:szCs w:val="21"/>
          <w:highlight w:val="none"/>
        </w:rPr>
        <w:t>人。</w:t>
      </w:r>
    </w:p>
    <w:p w14:paraId="0A290074">
      <w:pPr>
        <w:adjustRightInd w:val="0"/>
        <w:snapToGrid w:val="0"/>
        <w:spacing w:line="400" w:lineRule="exact"/>
        <w:ind w:firstLine="422" w:firstLineChars="200"/>
        <w:rPr>
          <w:rFonts w:hint="eastAsia" w:ascii="宋体" w:hAnsi="宋体" w:cs="宋体"/>
          <w:color w:val="auto"/>
          <w:kern w:val="0"/>
          <w:sz w:val="21"/>
          <w:szCs w:val="21"/>
          <w:highlight w:val="none"/>
        </w:rPr>
      </w:pPr>
      <w:bookmarkStart w:id="451" w:name="EBed485789442c45968b669646a7ada51b"/>
      <w:r>
        <w:rPr>
          <w:rFonts w:hint="eastAsia" w:ascii="宋体" w:hAnsi="宋体" w:cs="宋体"/>
          <w:b/>
          <w:bCs/>
          <w:color w:val="auto"/>
          <w:kern w:val="0"/>
          <w:sz w:val="21"/>
          <w:szCs w:val="21"/>
          <w:highlight w:val="none"/>
        </w:rPr>
        <w:t>□</w:t>
      </w:r>
      <w:bookmarkEnd w:id="451"/>
      <w:r>
        <w:rPr>
          <w:rFonts w:hint="eastAsia" w:ascii="宋体" w:hAnsi="宋体" w:cs="宋体"/>
          <w:color w:val="auto"/>
          <w:kern w:val="0"/>
          <w:sz w:val="21"/>
          <w:szCs w:val="21"/>
          <w:highlight w:val="none"/>
          <w:lang w:val="en-US" w:eastAsia="zh-CN"/>
        </w:rPr>
        <w:t>集体议事法</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rPr>
        <w:t>由定标委员会进行集体商议，定标委员会成员各自发表意见，由定标委员会组长最终确定中标人。所有参加会议的定标委员会成员的意见应当作书面记录，并由定标委员会成员签字确认。</w:t>
      </w:r>
    </w:p>
    <w:p w14:paraId="67884A2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color w:val="auto"/>
          <w:kern w:val="2"/>
          <w:sz w:val="21"/>
          <w:szCs w:val="21"/>
          <w:highlight w:val="none"/>
          <w:lang w:val="en-US"/>
        </w:rPr>
      </w:pPr>
      <w:bookmarkStart w:id="452" w:name="EBc2199588bb8446339bb330bfb8bda637"/>
      <w:r>
        <w:rPr>
          <w:rFonts w:hint="eastAsia" w:ascii="宋体" w:hAnsi="宋体" w:cs="宋体"/>
          <w:b/>
          <w:bCs/>
          <w:color w:val="auto"/>
          <w:kern w:val="0"/>
          <w:sz w:val="21"/>
          <w:szCs w:val="21"/>
          <w:highlight w:val="none"/>
        </w:rPr>
        <w:t>□</w:t>
      </w:r>
      <w:bookmarkEnd w:id="452"/>
      <w:r>
        <w:rPr>
          <w:rFonts w:hint="eastAsia" w:ascii="宋体" w:hAnsi="宋体" w:cs="宋体"/>
          <w:color w:val="auto"/>
          <w:kern w:val="0"/>
          <w:sz w:val="21"/>
          <w:szCs w:val="21"/>
          <w:highlight w:val="none"/>
          <w:lang w:val="en-US" w:eastAsia="zh-CN"/>
        </w:rPr>
        <w:t>其他定标办</w:t>
      </w:r>
      <w:r>
        <w:rPr>
          <w:rFonts w:hint="eastAsia" w:ascii="宋体" w:hAnsi="宋体" w:eastAsia="宋体" w:cs="Times New Roman"/>
          <w:color w:val="auto"/>
          <w:kern w:val="2"/>
          <w:sz w:val="21"/>
          <w:szCs w:val="21"/>
          <w:highlight w:val="none"/>
          <w:lang w:val="en-US" w:eastAsia="zh-CN"/>
        </w:rPr>
        <w:t>法：</w:t>
      </w:r>
      <w:bookmarkStart w:id="453" w:name="EBbb11f6003a844fa89bcc9e4860c3b222"/>
      <w:bookmarkEnd w:id="453"/>
    </w:p>
    <w:p w14:paraId="5400C61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color w:val="auto"/>
          <w:kern w:val="2"/>
          <w:sz w:val="21"/>
          <w:szCs w:val="21"/>
          <w:highlight w:val="none"/>
          <w:lang w:val="en-US"/>
        </w:rPr>
      </w:pPr>
      <w:r>
        <w:rPr>
          <w:rFonts w:hint="eastAsia" w:ascii="宋体" w:hAnsi="宋体" w:eastAsia="宋体" w:cs="Times New Roman"/>
          <w:b/>
          <w:bCs/>
          <w:color w:val="auto"/>
          <w:kern w:val="2"/>
          <w:sz w:val="21"/>
          <w:szCs w:val="21"/>
          <w:highlight w:val="none"/>
          <w:lang w:val="en-US"/>
        </w:rPr>
        <w:t>四、定标报告</w:t>
      </w:r>
    </w:p>
    <w:p w14:paraId="30DDD8A6">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lang w:val="en-US"/>
        </w:rPr>
        <w:t>（一）定标委员会应当向招标人提交书面定标报告。</w:t>
      </w:r>
      <w:r>
        <w:rPr>
          <w:rFonts w:hint="eastAsia" w:ascii="宋体" w:hAnsi="宋体" w:cs="宋体"/>
          <w:color w:val="auto"/>
          <w:kern w:val="0"/>
          <w:sz w:val="21"/>
          <w:szCs w:val="21"/>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05B100F9">
      <w:pPr>
        <w:adjustRightInd w:val="0"/>
        <w:snapToGrid w:val="0"/>
        <w:spacing w:line="400" w:lineRule="exact"/>
        <w:ind w:firstLine="420" w:firstLineChars="200"/>
        <w:rPr>
          <w:rFonts w:hint="eastAsia" w:ascii="宋体" w:hAnsi="宋体" w:cs="宋体"/>
          <w:color w:val="auto"/>
          <w:kern w:val="0"/>
          <w:sz w:val="21"/>
          <w:szCs w:val="21"/>
          <w:highlight w:val="none"/>
          <w:lang w:val="en-US"/>
        </w:rPr>
      </w:pPr>
      <w:r>
        <w:rPr>
          <w:rFonts w:hint="eastAsia" w:ascii="宋体" w:hAnsi="宋体" w:cs="宋体"/>
          <w:color w:val="auto"/>
          <w:kern w:val="0"/>
          <w:sz w:val="21"/>
          <w:szCs w:val="21"/>
          <w:highlight w:val="none"/>
          <w:lang w:val="en-US"/>
        </w:rPr>
        <w:t>（二）定标报告应包括以下内容：</w:t>
      </w:r>
    </w:p>
    <w:p w14:paraId="3ECA7ADC">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1.定标程序；</w:t>
      </w:r>
    </w:p>
    <w:p w14:paraId="13CA3418">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2.定标委员名单；</w:t>
      </w:r>
    </w:p>
    <w:p w14:paraId="2B0A2A31">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3.定标要素；</w:t>
      </w:r>
    </w:p>
    <w:p w14:paraId="6666FD20">
      <w:pPr>
        <w:adjustRightInd w:val="0"/>
        <w:snapToGrid w:val="0"/>
        <w:spacing w:line="40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4.定标办法；</w:t>
      </w:r>
    </w:p>
    <w:p w14:paraId="3EF14613">
      <w:pPr>
        <w:adjustRightInd w:val="0"/>
        <w:snapToGrid w:val="0"/>
        <w:spacing w:line="400" w:lineRule="exact"/>
        <w:ind w:firstLine="420" w:firstLineChars="200"/>
        <w:rPr>
          <w:rFonts w:hint="eastAsia"/>
          <w:color w:val="auto"/>
          <w:highlight w:val="none"/>
        </w:rPr>
        <w:sectPr>
          <w:footerReference r:id="rId9" w:type="default"/>
          <w:pgSz w:w="11850" w:h="16783"/>
          <w:pgMar w:top="1426" w:right="1414" w:bottom="1157" w:left="1377" w:header="0" w:footer="992" w:gutter="0"/>
          <w:cols w:space="720" w:num="1"/>
        </w:sectPr>
      </w:pPr>
      <w:r>
        <w:rPr>
          <w:rFonts w:hint="eastAsia" w:ascii="宋体" w:hAnsi="宋体" w:cs="宋体"/>
          <w:color w:val="auto"/>
          <w:kern w:val="0"/>
          <w:sz w:val="21"/>
          <w:szCs w:val="21"/>
          <w:highlight w:val="none"/>
        </w:rPr>
        <w:t>5.定标结果。</w:t>
      </w:r>
      <w:bookmarkStart w:id="454" w:name="EBef78986cf4554d56ab350c326d20f551"/>
      <w:r>
        <w:rPr>
          <w:rFonts w:hint="eastAsia" w:ascii="宋体" w:hAnsi="宋体" w:cs="宋体"/>
          <w:color w:val="auto"/>
          <w:kern w:val="0"/>
          <w:sz w:val="21"/>
          <w:szCs w:val="21"/>
          <w:highlight w:val="none"/>
        </w:rPr>
        <w:t xml:space="preserve"> </w:t>
      </w:r>
      <w:bookmarkEnd w:id="454"/>
      <w:bookmarkStart w:id="455" w:name="EBcaf472862a874bf298cdfe8d2607f617"/>
      <w:r>
        <w:rPr>
          <w:rFonts w:hint="eastAsia" w:ascii="宋体" w:hAnsi="宋体" w:cs="宋体"/>
          <w:color w:val="auto"/>
          <w:kern w:val="0"/>
          <w:sz w:val="21"/>
          <w:szCs w:val="21"/>
          <w:highlight w:val="none"/>
        </w:rPr>
        <w:t xml:space="preserve"> </w:t>
      </w:r>
      <w:bookmarkEnd w:id="455"/>
    </w:p>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14:paraId="48E75D9E">
      <w:pPr>
        <w:pStyle w:val="2"/>
        <w:shd w:val="clear" w:color="auto" w:fill="auto"/>
        <w:adjustRightInd w:val="0"/>
        <w:snapToGrid w:val="0"/>
        <w:spacing w:before="0" w:after="0" w:line="360" w:lineRule="auto"/>
        <w:jc w:val="center"/>
        <w:rPr>
          <w:rFonts w:ascii="宋体" w:hAnsi="宋体" w:cs="宋体"/>
          <w:color w:val="auto"/>
          <w:sz w:val="32"/>
          <w:szCs w:val="32"/>
          <w:highlight w:val="none"/>
        </w:rPr>
      </w:pPr>
      <w:bookmarkStart w:id="456" w:name="_Toc4991"/>
      <w:bookmarkStart w:id="457" w:name="_Toc459653902"/>
      <w:bookmarkStart w:id="458" w:name="_Toc17812_WPSOffice_Level1"/>
      <w:bookmarkStart w:id="459" w:name="_Toc6907_WPSOffice_Level1"/>
      <w:bookmarkStart w:id="460" w:name="_Toc26058"/>
      <w:bookmarkStart w:id="461" w:name="_Toc3909"/>
      <w:bookmarkStart w:id="462" w:name="_Toc20225"/>
      <w:bookmarkStart w:id="463" w:name="_Toc19893"/>
      <w:bookmarkStart w:id="464" w:name="_Toc7955"/>
      <w:r>
        <w:rPr>
          <w:rFonts w:hint="eastAsia" w:ascii="宋体" w:hAnsi="宋体" w:cs="宋体"/>
          <w:color w:val="auto"/>
          <w:sz w:val="32"/>
          <w:szCs w:val="32"/>
          <w:highlight w:val="none"/>
        </w:rPr>
        <w:t>第四章  合同条款及格式</w:t>
      </w:r>
      <w:bookmarkEnd w:id="456"/>
      <w:bookmarkEnd w:id="457"/>
      <w:bookmarkEnd w:id="458"/>
      <w:bookmarkEnd w:id="459"/>
      <w:bookmarkEnd w:id="460"/>
      <w:bookmarkEnd w:id="461"/>
      <w:bookmarkEnd w:id="462"/>
      <w:bookmarkEnd w:id="463"/>
      <w:bookmarkEnd w:id="464"/>
    </w:p>
    <w:p w14:paraId="144ECB79">
      <w:pPr>
        <w:shd w:val="clear" w:color="auto" w:fill="auto"/>
        <w:rPr>
          <w:rFonts w:ascii="宋体" w:hAnsi="宋体" w:cs="宋体"/>
          <w:color w:val="auto"/>
          <w:sz w:val="32"/>
          <w:szCs w:val="32"/>
          <w:highlight w:val="none"/>
        </w:rPr>
      </w:pPr>
    </w:p>
    <w:p w14:paraId="1141D0C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32"/>
          <w:szCs w:val="32"/>
          <w:highlight w:val="none"/>
        </w:rPr>
      </w:pPr>
      <w:r>
        <w:rPr>
          <w:rFonts w:hint="eastAsia" w:ascii="宋体" w:hAnsi="宋体" w:eastAsia="宋体" w:cs="宋体"/>
          <w:color w:val="auto"/>
          <w:kern w:val="2"/>
          <w:sz w:val="32"/>
          <w:szCs w:val="32"/>
          <w:highlight w:val="none"/>
          <w:lang w:val="en-US" w:eastAsia="zh-CN" w:bidi="ar"/>
        </w:rPr>
        <w:t>GF-2020-0216</w:t>
      </w:r>
    </w:p>
    <w:p w14:paraId="2D2FF8E6">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268616A4">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3B7C184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469F0E9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3920ACB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5F291FBC">
      <w:pPr>
        <w:pStyle w:val="9"/>
        <w:keepNext w:val="0"/>
        <w:keepLines w:val="0"/>
        <w:widowControl/>
        <w:suppressLineNumbers w:val="0"/>
        <w:adjustRightInd w:val="0"/>
        <w:snapToGrid w:val="0"/>
        <w:spacing w:before="100" w:beforeAutospacing="1" w:after="120" w:afterLines="50" w:afterAutospacing="0" w:line="360" w:lineRule="auto"/>
        <w:ind w:left="0" w:right="0"/>
        <w:jc w:val="center"/>
        <w:outlineLvl w:val="1"/>
        <w:rPr>
          <w:rFonts w:hint="eastAsia" w:ascii="宋体" w:hAnsi="宋体" w:eastAsia="宋体" w:cs="宋体"/>
          <w:b w:val="0"/>
          <w:bCs/>
          <w:color w:val="auto"/>
          <w:kern w:val="2"/>
          <w:sz w:val="52"/>
          <w:szCs w:val="52"/>
          <w:highlight w:val="none"/>
        </w:rPr>
      </w:pPr>
      <w:r>
        <w:rPr>
          <w:rFonts w:hint="eastAsia" w:ascii="宋体" w:hAnsi="宋体" w:eastAsia="宋体" w:cs="宋体"/>
          <w:b w:val="0"/>
          <w:bCs/>
          <w:color w:val="auto"/>
          <w:kern w:val="2"/>
          <w:sz w:val="72"/>
          <w:szCs w:val="72"/>
          <w:highlight w:val="none"/>
          <w:lang w:val="en-US" w:eastAsia="zh-CN" w:bidi="ar"/>
        </w:rPr>
        <w:t>建设项目工程总承包合同</w:t>
      </w:r>
    </w:p>
    <w:p w14:paraId="0567792F">
      <w:pPr>
        <w:pStyle w:val="9"/>
        <w:keepNext w:val="0"/>
        <w:keepLines w:val="0"/>
        <w:widowControl/>
        <w:suppressLineNumbers w:val="0"/>
        <w:adjustRightInd w:val="0"/>
        <w:snapToGrid w:val="0"/>
        <w:spacing w:before="100" w:beforeAutospacing="1" w:after="120" w:afterLines="50" w:afterAutospacing="0" w:line="360" w:lineRule="auto"/>
        <w:ind w:left="0" w:right="0"/>
        <w:jc w:val="center"/>
        <w:rPr>
          <w:rFonts w:hint="eastAsia" w:ascii="宋体" w:hAnsi="宋体" w:eastAsia="宋体" w:cs="宋体"/>
          <w:b w:val="0"/>
          <w:bCs/>
          <w:color w:val="auto"/>
          <w:kern w:val="2"/>
          <w:sz w:val="52"/>
          <w:szCs w:val="52"/>
          <w:highlight w:val="none"/>
        </w:rPr>
      </w:pPr>
      <w:r>
        <w:rPr>
          <w:rFonts w:hint="eastAsia" w:ascii="宋体" w:hAnsi="宋体" w:eastAsia="宋体" w:cs="宋体"/>
          <w:b w:val="0"/>
          <w:bCs/>
          <w:color w:val="auto"/>
          <w:kern w:val="2"/>
          <w:sz w:val="52"/>
          <w:szCs w:val="52"/>
          <w:highlight w:val="none"/>
          <w:lang w:val="en-US" w:eastAsia="zh-CN" w:bidi="ar"/>
        </w:rPr>
        <w:t>（示范文本）</w:t>
      </w:r>
    </w:p>
    <w:p w14:paraId="7699407C">
      <w:pPr>
        <w:pStyle w:val="9"/>
        <w:keepNext w:val="0"/>
        <w:keepLines w:val="0"/>
        <w:widowControl/>
        <w:suppressLineNumbers w:val="0"/>
        <w:adjustRightInd w:val="0"/>
        <w:snapToGrid w:val="0"/>
        <w:spacing w:before="100" w:beforeAutospacing="1" w:after="120" w:afterLines="50" w:afterAutospacing="0" w:line="360" w:lineRule="auto"/>
        <w:ind w:left="0" w:right="0"/>
        <w:jc w:val="center"/>
        <w:rPr>
          <w:rFonts w:hint="eastAsia" w:ascii="宋体" w:hAnsi="宋体" w:eastAsia="宋体" w:cs="宋体"/>
          <w:b/>
          <w:bCs w:val="0"/>
          <w:color w:val="auto"/>
          <w:kern w:val="2"/>
          <w:sz w:val="40"/>
          <w:szCs w:val="40"/>
          <w:highlight w:val="none"/>
        </w:rPr>
      </w:pPr>
      <w:r>
        <w:rPr>
          <w:rFonts w:hint="eastAsia" w:ascii="宋体" w:hAnsi="宋体" w:eastAsia="宋体" w:cs="宋体"/>
          <w:b/>
          <w:bCs w:val="0"/>
          <w:color w:val="auto"/>
          <w:kern w:val="2"/>
          <w:sz w:val="40"/>
          <w:szCs w:val="40"/>
          <w:highlight w:val="none"/>
          <w:lang w:val="en-US" w:eastAsia="zh-CN" w:bidi="ar"/>
        </w:rPr>
        <w:t xml:space="preserve"> </w:t>
      </w:r>
    </w:p>
    <w:p w14:paraId="076F3EB3">
      <w:pPr>
        <w:pStyle w:val="9"/>
        <w:keepNext w:val="0"/>
        <w:keepLines w:val="0"/>
        <w:widowControl/>
        <w:suppressLineNumbers w:val="0"/>
        <w:adjustRightInd w:val="0"/>
        <w:snapToGrid w:val="0"/>
        <w:spacing w:before="100" w:beforeAutospacing="1" w:after="120" w:afterLines="50" w:afterAutospacing="0" w:line="360" w:lineRule="auto"/>
        <w:ind w:left="0" w:right="0"/>
        <w:jc w:val="center"/>
        <w:rPr>
          <w:rFonts w:hint="eastAsia" w:ascii="宋体" w:hAnsi="宋体" w:eastAsia="宋体" w:cs="宋体"/>
          <w:b/>
          <w:bCs w:val="0"/>
          <w:color w:val="auto"/>
          <w:kern w:val="2"/>
          <w:sz w:val="40"/>
          <w:szCs w:val="40"/>
          <w:highlight w:val="none"/>
        </w:rPr>
      </w:pPr>
      <w:r>
        <w:rPr>
          <w:rFonts w:hint="eastAsia" w:ascii="宋体" w:hAnsi="宋体" w:eastAsia="宋体" w:cs="宋体"/>
          <w:b/>
          <w:bCs w:val="0"/>
          <w:color w:val="auto"/>
          <w:kern w:val="2"/>
          <w:sz w:val="40"/>
          <w:szCs w:val="40"/>
          <w:highlight w:val="none"/>
          <w:lang w:val="en-US" w:eastAsia="zh-CN" w:bidi="ar"/>
        </w:rPr>
        <w:t xml:space="preserve"> </w:t>
      </w:r>
    </w:p>
    <w:p w14:paraId="32484A5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15EE718A">
      <w:pPr>
        <w:pStyle w:val="9"/>
        <w:keepNext w:val="0"/>
        <w:keepLines w:val="0"/>
        <w:widowControl/>
        <w:suppressLineNumbers w:val="0"/>
        <w:adjustRightInd w:val="0"/>
        <w:snapToGrid w:val="0"/>
        <w:spacing w:before="100" w:beforeAutospacing="1" w:after="120" w:afterLines="50" w:afterAutospacing="0" w:line="360" w:lineRule="auto"/>
        <w:ind w:left="0" w:right="0"/>
        <w:jc w:val="center"/>
        <w:rPr>
          <w:rFonts w:hint="eastAsia" w:ascii="宋体" w:hAnsi="宋体" w:eastAsia="宋体" w:cs="宋体"/>
          <w:b/>
          <w:bCs w:val="0"/>
          <w:color w:val="auto"/>
          <w:kern w:val="2"/>
          <w:sz w:val="32"/>
          <w:szCs w:val="32"/>
          <w:highlight w:val="none"/>
        </w:rPr>
      </w:pPr>
      <w:r>
        <w:rPr>
          <w:rFonts w:hint="eastAsia" w:ascii="宋体" w:hAnsi="宋体" w:eastAsia="宋体" w:cs="宋体"/>
          <w:b/>
          <w:bCs w:val="0"/>
          <w:color w:val="auto"/>
          <w:kern w:val="2"/>
          <w:sz w:val="40"/>
          <w:szCs w:val="40"/>
          <w:highlight w:val="none"/>
          <w:lang w:val="en-US" w:eastAsia="zh-CN" w:bidi="ar"/>
        </w:rPr>
        <w:t xml:space="preserve"> </w:t>
      </w:r>
      <w:r>
        <w:rPr>
          <w:rFonts w:hint="eastAsia" w:ascii="宋体" w:hAnsi="宋体" w:eastAsia="宋体" w:cs="宋体"/>
          <w:b/>
          <w:bCs w:val="0"/>
          <w:color w:val="auto"/>
          <w:kern w:val="2"/>
          <w:sz w:val="32"/>
          <w:szCs w:val="32"/>
          <w:highlight w:val="none"/>
          <w:lang w:val="en-US" w:eastAsia="zh-CN" w:bidi="ar"/>
        </w:rPr>
        <w:t xml:space="preserve"> </w:t>
      </w:r>
    </w:p>
    <w:p w14:paraId="57231B43">
      <w:pPr>
        <w:keepNext w:val="0"/>
        <w:keepLines w:val="0"/>
        <w:widowControl w:val="0"/>
        <w:suppressLineNumbers w:val="0"/>
        <w:spacing w:before="0" w:beforeAutospacing="0" w:after="0" w:afterAutospacing="0"/>
        <w:ind w:left="0" w:right="2182" w:rightChars="1039"/>
        <w:jc w:val="left"/>
        <w:rPr>
          <w:rFonts w:hint="default" w:ascii="宋体" w:hAnsi="宋体" w:eastAsia="宋体" w:cs="宋体"/>
          <w:b/>
          <w:bCs/>
          <w:color w:val="auto"/>
          <w:kern w:val="2"/>
          <w:sz w:val="32"/>
          <w:szCs w:val="32"/>
          <w:highlight w:val="none"/>
          <w:lang w:val="en-US"/>
        </w:rPr>
      </w:pPr>
      <w:r>
        <w:rPr>
          <w:rFonts w:hint="eastAsia" w:ascii="宋体" w:hAnsi="宋体" w:eastAsia="宋体" w:cs="宋体"/>
          <w:b/>
          <w:bCs w:val="0"/>
          <w:color w:val="auto"/>
          <w:kern w:val="2"/>
          <w:sz w:val="32"/>
          <w:szCs w:val="32"/>
          <w:highlight w:val="none"/>
          <w:lang w:val="en-US" w:eastAsia="zh-CN" w:bidi="ar"/>
        </w:rPr>
        <w:t xml:space="preserve">     </w:t>
      </w:r>
      <w:r>
        <w:rPr>
          <w:rFonts w:hint="eastAsia" w:ascii="宋体" w:hAnsi="宋体" w:eastAsia="宋体" w:cs="宋体"/>
          <w:b/>
          <w:bCs/>
          <w:color w:val="auto"/>
          <w:kern w:val="2"/>
          <w:sz w:val="32"/>
          <w:szCs w:val="32"/>
          <w:highlight w:val="none"/>
          <w:lang w:val="en-US" w:eastAsia="zh-CN" w:bidi="ar"/>
        </w:rPr>
        <w:t>中华人民共和国住房和城乡建设部</w:t>
      </w:r>
      <w:r>
        <w:rPr>
          <w:rFonts w:hint="eastAsia" w:ascii="宋体" w:hAnsi="宋体" w:cs="宋体"/>
          <w:b/>
          <w:bCs/>
          <w:color w:val="auto"/>
          <w:kern w:val="2"/>
          <w:sz w:val="32"/>
          <w:szCs w:val="32"/>
          <w:highlight w:val="none"/>
          <w:lang w:val="en-US" w:eastAsia="zh-CN" w:bidi="ar"/>
        </w:rPr>
        <w:t xml:space="preserve">                                            </w:t>
      </w:r>
      <w:r>
        <w:rPr>
          <w:rFonts w:hint="eastAsia" w:eastAsia="宋体" w:cs="Times New Roman"/>
          <w:color w:val="auto"/>
          <w:kern w:val="2"/>
          <w:sz w:val="21"/>
          <w:szCs w:val="21"/>
          <w:highlight w:val="none"/>
          <w:lang w:val="en-US" w:eastAsia="zh-CN" w:bidi="ar"/>
        </w:rPr>
        <w:t xml:space="preserve">                               </w:t>
      </w:r>
    </w:p>
    <w:p w14:paraId="4DF478B8">
      <w:pPr>
        <w:keepNext w:val="0"/>
        <w:keepLines w:val="0"/>
        <w:widowControl w:val="0"/>
        <w:suppressLineNumbers w:val="0"/>
        <w:tabs>
          <w:tab w:val="left" w:pos="7980"/>
        </w:tabs>
        <w:spacing w:before="0" w:beforeAutospacing="0" w:after="0" w:afterAutospacing="0"/>
        <w:ind w:left="0" w:right="544" w:rightChars="259"/>
        <w:jc w:val="left"/>
        <w:rPr>
          <w:rFonts w:hint="eastAsia" w:ascii="宋体" w:hAnsi="宋体" w:eastAsia="宋体" w:cs="宋体"/>
          <w:b/>
          <w:bCs/>
          <w:color w:val="auto"/>
          <w:kern w:val="2"/>
          <w:sz w:val="32"/>
          <w:szCs w:val="32"/>
          <w:highlight w:val="none"/>
        </w:rPr>
        <w:sectPr>
          <w:footerReference r:id="rId10" w:type="default"/>
          <w:pgSz w:w="11906" w:h="16838"/>
          <w:pgMar w:top="1440" w:right="1800" w:bottom="1440" w:left="1800" w:header="720" w:footer="998" w:gutter="0"/>
          <w:cols w:space="720" w:num="1"/>
          <w:titlePg/>
          <w:docGrid w:type="lines" w:linePitch="326" w:charSpace="0"/>
        </w:sectPr>
      </w:pPr>
      <w:r>
        <w:rPr>
          <w:rFonts w:hint="eastAsia" w:ascii="宋体" w:hAnsi="宋体" w:eastAsia="宋体" w:cs="宋体"/>
          <w:b/>
          <w:bCs w:val="0"/>
          <w:color w:val="auto"/>
          <w:kern w:val="2"/>
          <w:sz w:val="32"/>
          <w:szCs w:val="32"/>
          <w:highlight w:val="none"/>
          <w:lang w:val="en-US" w:eastAsia="zh-CN" w:bidi="ar"/>
        </w:rPr>
        <w:t xml:space="preserve">     </w:t>
      </w:r>
      <w:r>
        <w:rPr>
          <w:rFonts w:hint="eastAsia" w:ascii="宋体" w:hAnsi="宋体" w:cs="宋体"/>
          <w:b/>
          <w:bCs w:val="0"/>
          <w:color w:val="auto"/>
          <w:kern w:val="2"/>
          <w:sz w:val="32"/>
          <w:szCs w:val="32"/>
          <w:highlight w:val="none"/>
          <w:lang w:val="en-US" w:eastAsia="zh-CN" w:bidi="ar"/>
        </w:rPr>
        <w:t xml:space="preserve">  </w:t>
      </w:r>
      <w:r>
        <w:rPr>
          <w:rFonts w:hint="eastAsia" w:ascii="宋体" w:hAnsi="宋体" w:eastAsia="宋体" w:cs="宋体"/>
          <w:b/>
          <w:bCs w:val="0"/>
          <w:color w:val="auto"/>
          <w:kern w:val="2"/>
          <w:sz w:val="32"/>
          <w:szCs w:val="32"/>
          <w:highlight w:val="none"/>
          <w:lang w:val="en-US" w:eastAsia="zh-CN" w:bidi="ar"/>
        </w:rPr>
        <w:t>国家</w:t>
      </w:r>
      <w:r>
        <w:rPr>
          <w:rFonts w:hint="eastAsia" w:ascii="宋体" w:hAnsi="宋体" w:eastAsia="宋体" w:cs="宋体"/>
          <w:b/>
          <w:bCs/>
          <w:color w:val="auto"/>
          <w:kern w:val="2"/>
          <w:sz w:val="32"/>
          <w:szCs w:val="32"/>
          <w:highlight w:val="none"/>
          <w:lang w:val="en-US" w:eastAsia="zh-CN" w:bidi="ar"/>
        </w:rPr>
        <w:t>市场监</w:t>
      </w:r>
      <w:r>
        <w:rPr>
          <w:rFonts w:hint="eastAsia" w:ascii="宋体" w:hAnsi="宋体" w:eastAsia="宋体" w:cs="宋体"/>
          <w:b/>
          <w:bCs w:val="0"/>
          <w:color w:val="auto"/>
          <w:kern w:val="2"/>
          <w:sz w:val="32"/>
          <w:szCs w:val="32"/>
          <w:highlight w:val="none"/>
          <w:lang w:val="en-US" w:eastAsia="zh-CN" w:bidi="ar"/>
        </w:rPr>
        <w:t>督</w:t>
      </w:r>
      <w:r>
        <w:rPr>
          <w:rFonts w:hint="eastAsia" w:ascii="宋体" w:hAnsi="宋体" w:eastAsia="宋体" w:cs="宋体"/>
          <w:b/>
          <w:bCs/>
          <w:color w:val="auto"/>
          <w:kern w:val="2"/>
          <w:sz w:val="32"/>
          <w:szCs w:val="32"/>
          <w:highlight w:val="none"/>
          <w:lang w:val="en-US" w:eastAsia="zh-CN" w:bidi="ar"/>
        </w:rPr>
        <w:t>管理总局</w:t>
      </w:r>
      <w:r>
        <w:rPr>
          <w:rFonts w:hint="eastAsia" w:ascii="宋体" w:hAnsi="宋体" w:cs="宋体"/>
          <w:b/>
          <w:bCs/>
          <w:color w:val="auto"/>
          <w:kern w:val="2"/>
          <w:sz w:val="32"/>
          <w:szCs w:val="32"/>
          <w:highlight w:val="none"/>
          <w:lang w:val="en-US" w:eastAsia="zh-CN" w:bidi="ar"/>
        </w:rPr>
        <w:t xml:space="preserve">           </w:t>
      </w:r>
      <w:r>
        <w:rPr>
          <w:rFonts w:hint="default" w:ascii="Calibri" w:hAnsi="Calibri" w:eastAsia="宋体" w:cs="Times New Roman"/>
          <w:color w:val="auto"/>
          <w:kern w:val="2"/>
          <w:sz w:val="21"/>
          <w:szCs w:val="21"/>
          <w:highlight w:val="none"/>
          <w:lang w:val="en-US" w:eastAsia="zh-CN" w:bidi="ar"/>
        </w:rPr>
        <w:drawing>
          <wp:inline distT="0" distB="0" distL="114300" distR="114300">
            <wp:extent cx="800100" cy="390525"/>
            <wp:effectExtent l="0" t="0" r="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23"/>
                    <a:stretch>
                      <a:fillRect/>
                    </a:stretch>
                  </pic:blipFill>
                  <pic:spPr>
                    <a:xfrm>
                      <a:off x="0" y="0"/>
                      <a:ext cx="800100" cy="390525"/>
                    </a:xfrm>
                    <a:prstGeom prst="rect">
                      <a:avLst/>
                    </a:prstGeom>
                    <a:noFill/>
                    <a:ln>
                      <a:noFill/>
                    </a:ln>
                  </pic:spPr>
                </pic:pic>
              </a:graphicData>
            </a:graphic>
          </wp:inline>
        </w:drawing>
      </w:r>
    </w:p>
    <w:p w14:paraId="7E026B5D">
      <w:pPr>
        <w:keepNext w:val="0"/>
        <w:keepLines w:val="0"/>
        <w:widowControl w:val="0"/>
        <w:suppressLineNumbers w:val="0"/>
        <w:spacing w:before="0" w:beforeAutospacing="0" w:after="0" w:afterAutospacing="0" w:line="360" w:lineRule="auto"/>
        <w:ind w:left="0" w:right="0"/>
        <w:jc w:val="center"/>
        <w:outlineLvl w:val="1"/>
        <w:rPr>
          <w:rFonts w:hint="default" w:ascii="Calibri" w:hAnsi="Calibri" w:eastAsia="宋体" w:cs="Times New Roman"/>
          <w:b/>
          <w:bCs/>
          <w:color w:val="auto"/>
          <w:kern w:val="2"/>
          <w:sz w:val="24"/>
          <w:szCs w:val="24"/>
          <w:highlight w:val="none"/>
        </w:rPr>
      </w:pPr>
      <w:bookmarkStart w:id="465" w:name="_Toc465327470"/>
      <w:bookmarkEnd w:id="465"/>
      <w:bookmarkStart w:id="466" w:name="_Toc15188"/>
      <w:r>
        <w:rPr>
          <w:rFonts w:hint="eastAsia" w:ascii="宋体" w:hAnsi="宋体" w:eastAsia="宋体" w:cs="宋体"/>
          <w:b/>
          <w:bCs/>
          <w:color w:val="auto"/>
          <w:kern w:val="2"/>
          <w:sz w:val="24"/>
          <w:szCs w:val="24"/>
          <w:highlight w:val="none"/>
          <w:lang w:val="en-US" w:eastAsia="zh-CN" w:bidi="ar"/>
        </w:rPr>
        <w:t>第一部分</w:t>
      </w:r>
      <w:r>
        <w:rPr>
          <w:rFonts w:hint="eastAsia" w:ascii="Calibri" w:hAnsi="Calibri" w:eastAsia="宋体" w:cs="Times New Roman"/>
          <w:b/>
          <w:bCs/>
          <w:color w:val="auto"/>
          <w:kern w:val="2"/>
          <w:sz w:val="24"/>
          <w:szCs w:val="24"/>
          <w:highlight w:val="none"/>
          <w:lang w:val="en-US" w:eastAsia="zh-CN" w:bidi="ar"/>
        </w:rPr>
        <w:t xml:space="preserve"> </w:t>
      </w:r>
      <w:r>
        <w:rPr>
          <w:rFonts w:hint="eastAsia" w:ascii="宋体" w:hAnsi="宋体" w:eastAsia="宋体" w:cs="宋体"/>
          <w:b/>
          <w:bCs/>
          <w:color w:val="auto"/>
          <w:kern w:val="2"/>
          <w:sz w:val="24"/>
          <w:szCs w:val="24"/>
          <w:highlight w:val="none"/>
          <w:lang w:val="en-US" w:eastAsia="zh-CN" w:bidi="ar"/>
        </w:rPr>
        <w:t>合同协议书</w:t>
      </w:r>
      <w:bookmarkEnd w:id="466"/>
    </w:p>
    <w:p w14:paraId="65F0579F">
      <w:pPr>
        <w:keepNext w:val="0"/>
        <w:keepLines w:val="0"/>
        <w:widowControl w:val="0"/>
        <w:suppressLineNumbers w:val="0"/>
        <w:spacing w:before="0" w:beforeAutospacing="0" w:after="0" w:afterAutospacing="0"/>
        <w:ind w:left="0" w:right="0"/>
        <w:jc w:val="both"/>
        <w:rPr>
          <w:rFonts w:hint="default" w:ascii="Calibri" w:hAnsi="Calibri" w:eastAsia="宋体" w:cs="Times New Roman"/>
          <w:color w:val="auto"/>
          <w:kern w:val="2"/>
          <w:sz w:val="21"/>
          <w:szCs w:val="21"/>
          <w:highlight w:val="none"/>
        </w:rPr>
      </w:pPr>
      <w:r>
        <w:rPr>
          <w:rFonts w:hint="default" w:ascii="Calibri" w:hAnsi="Calibri" w:eastAsia="宋体" w:cs="Times New Roman"/>
          <w:color w:val="auto"/>
          <w:kern w:val="2"/>
          <w:sz w:val="21"/>
          <w:szCs w:val="21"/>
          <w:highlight w:val="none"/>
          <w:lang w:val="en-US" w:eastAsia="zh-CN" w:bidi="ar"/>
        </w:rPr>
        <w:t xml:space="preserve"> </w:t>
      </w:r>
    </w:p>
    <w:p w14:paraId="7F8C409E">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u w:val="single"/>
          <w:lang w:val="en-US" w:eastAsia="zh-CN" w:bidi="ar"/>
        </w:rPr>
      </w:pPr>
      <w:r>
        <w:rPr>
          <w:rFonts w:hint="eastAsia" w:ascii="宋体" w:hAnsi="宋体" w:eastAsia="宋体" w:cs="宋体"/>
          <w:color w:val="auto"/>
          <w:kern w:val="2"/>
          <w:sz w:val="21"/>
          <w:szCs w:val="21"/>
          <w:highlight w:val="none"/>
          <w:lang w:val="en-US" w:eastAsia="zh-CN" w:bidi="ar"/>
        </w:rPr>
        <w:t>发包人（全称）：</w:t>
      </w:r>
      <w:r>
        <w:rPr>
          <w:rFonts w:hint="eastAsia" w:ascii="宋体" w:hAnsi="宋体" w:eastAsia="宋体" w:cs="宋体"/>
          <w:color w:val="auto"/>
          <w:kern w:val="2"/>
          <w:sz w:val="21"/>
          <w:szCs w:val="21"/>
          <w:highlight w:val="none"/>
          <w:u w:val="single"/>
          <w:lang w:val="en-US" w:eastAsia="zh-CN" w:bidi="ar"/>
        </w:rPr>
        <w:t xml:space="preserve">                               </w:t>
      </w:r>
    </w:p>
    <w:p w14:paraId="6A94DE67">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承包人（全称）：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（牵头人）    </w:t>
      </w:r>
    </w:p>
    <w:p w14:paraId="0F8E4564">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承包人（全称）：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（联合体成员 ）</w:t>
      </w:r>
    </w:p>
    <w:p w14:paraId="35E685B3">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承包人（全称）：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（联合体成员 ）                    </w:t>
      </w:r>
    </w:p>
    <w:p w14:paraId="0D898918">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依照《中华人民共和国民法典》、《中华人民共和国建筑法》及其他有关法律、行政法规、遵循平等、自愿、公平和诚实信用的原则，经招投标，双方就</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及有关事项协商一致，共同达成如下协议</w:t>
      </w:r>
    </w:p>
    <w:p w14:paraId="2958DE07">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一、工程概况：</w:t>
      </w:r>
    </w:p>
    <w:p w14:paraId="65087B5A">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工程名称 ：</w:t>
      </w:r>
    </w:p>
    <w:p w14:paraId="09DC4FE2">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工程地点 ：</w:t>
      </w:r>
    </w:p>
    <w:p w14:paraId="729D62D3">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工程规模 ：</w:t>
      </w:r>
    </w:p>
    <w:p w14:paraId="0E7EA620">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项目备案代码</w:t>
      </w:r>
      <w:r>
        <w:rPr>
          <w:rFonts w:hint="eastAsia" w:ascii="宋体" w:hAnsi="宋体" w:eastAsia="宋体" w:cs="宋体"/>
          <w:color w:val="auto"/>
          <w:kern w:val="2"/>
          <w:sz w:val="21"/>
          <w:szCs w:val="21"/>
          <w:highlight w:val="none"/>
          <w:lang w:val="en-US" w:eastAsia="zh-CN" w:bidi="ar"/>
        </w:rPr>
        <w:t xml:space="preserve"> ：   </w:t>
      </w:r>
      <w:r>
        <w:rPr>
          <w:rFonts w:hint="eastAsia" w:ascii="宋体" w:hAnsi="宋体" w:eastAsia="宋体" w:cs="宋体"/>
          <w:color w:val="auto"/>
          <w:kern w:val="2"/>
          <w:sz w:val="21"/>
          <w:szCs w:val="21"/>
          <w:highlight w:val="none"/>
          <w:lang w:val="en-US" w:eastAsia="zh-CN" w:bidi="ar"/>
        </w:rPr>
        <w:tab/>
      </w:r>
    </w:p>
    <w:p w14:paraId="34DCB6EA">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资金来源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spacing w:val="2"/>
          <w:kern w:val="0"/>
          <w:sz w:val="21"/>
          <w:szCs w:val="21"/>
          <w:highlight w:val="none"/>
          <w:u w:val="single"/>
          <w:lang w:val="en-US" w:eastAsia="zh-CN" w:bidi="ar"/>
        </w:rPr>
        <w:t xml:space="preserve">       </w:t>
      </w:r>
    </w:p>
    <w:p w14:paraId="7CB8AF57">
      <w:pPr>
        <w:keepNext w:val="0"/>
        <w:keepLines w:val="0"/>
        <w:pageBreakBefore w:val="0"/>
        <w:widowControl w:val="0"/>
        <w:numPr>
          <w:ilvl w:val="0"/>
          <w:numId w:val="2"/>
        </w:numPr>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工程承包范围：</w:t>
      </w:r>
    </w:p>
    <w:p w14:paraId="54992948">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包括施工图设计、施工、材料设备及设施采购与安装，竣工验收、移交、备案、工程缺陷责任期内的缺陷修复，保修期服务等。其中：</w:t>
      </w:r>
    </w:p>
    <w:p w14:paraId="41FBACD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设计：根据招标人要求，完成包括但不限于本项目所有专业施工图设计、配合并组织施工图图审、各类专项设计、设计文件报审报批及施工配合等服务内容，以及各阶段、各部门审批提出的设计文件的修改和施工过程中招标人提出的变更设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相关图纸深化设计（可委托专业设计部门深化设计，费用包含在合同总价中）等内容。</w:t>
      </w:r>
    </w:p>
    <w:p w14:paraId="441A435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施工：初步设计文件发包范围内的所有施工内容。包括但不限于据此出具的施工图范围内的道路、给排水等涉及的所有工程。最终的工程施工内容以业主确认的施工图为准。</w:t>
      </w:r>
    </w:p>
    <w:p w14:paraId="0A89842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采购：负责本项目涉及的所有物资的采购、运输、保管、安装及调试、移交以及使用培训服务、质保期服务等工作。</w:t>
      </w:r>
    </w:p>
    <w:p w14:paraId="7DDA0C5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总承包管理和服务内容：包括但不限于项目策划、设计管理、采购管理、施工管理、风险管理、进度管理、质量管理、费用管理、安全职业健康与环境管理、沟通与信息管理、合同管理、项目收尾的所有管理工作，并包括项目前后期服务和协调配合工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协助施工许可证办理、竣工验收，配合竣工验收备案、城建档案馆备案、整体移交、配合项目投用前准备、工程保修期管理等所有总承包管理和服务工作，施工过程中的内外协调和配合，</w:t>
      </w:r>
      <w:r>
        <w:rPr>
          <w:rFonts w:hint="eastAsia" w:ascii="宋体" w:hAnsi="宋体" w:eastAsia="宋体" w:cs="Times New Roman"/>
          <w:color w:val="auto"/>
          <w:szCs w:val="20"/>
        </w:rPr>
        <w:t>与周边市政的衔接工程、检验检测（发包人委托第三方的检测除外），</w:t>
      </w:r>
      <w:r>
        <w:rPr>
          <w:rFonts w:hint="eastAsia" w:ascii="宋体" w:hAnsi="宋体" w:eastAsia="宋体" w:cs="宋体"/>
          <w:color w:val="auto"/>
          <w:szCs w:val="21"/>
          <w:highlight w:val="none"/>
        </w:rPr>
        <w:t>满足竣工验收及竣工验收备案及综合验收并交付的需要。</w:t>
      </w:r>
    </w:p>
    <w:p w14:paraId="2567E5E1">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从初步设计论证完成至竣工验收、项目移交完成所产生的所有工作及费用均由投标人承担（除招标文件约定的由招标人承担的工作和费用外）。</w:t>
      </w:r>
    </w:p>
    <w:p w14:paraId="47C652D6">
      <w:pPr>
        <w:keepNext w:val="0"/>
        <w:keepLines w:val="0"/>
        <w:pageBreakBefore w:val="0"/>
        <w:widowControl w:val="0"/>
        <w:numPr>
          <w:ilvl w:val="0"/>
          <w:numId w:val="2"/>
        </w:numPr>
        <w:suppressLineNumbers w:val="0"/>
        <w:kinsoku/>
        <w:wordWrap w:val="0"/>
        <w:overflowPunct/>
        <w:topLinePunct w:val="0"/>
        <w:bidi w:val="0"/>
        <w:adjustRightInd w:val="0"/>
        <w:snapToGrid w:val="0"/>
        <w:spacing w:before="0" w:beforeAutospacing="0" w:after="0" w:afterAutospacing="0" w:line="360" w:lineRule="auto"/>
        <w:ind w:left="0" w:right="0"/>
        <w:jc w:val="both"/>
        <w:textAlignment w:val="auto"/>
        <w:outlineLvl w:val="2"/>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建设总工期：</w:t>
      </w:r>
    </w:p>
    <w:p w14:paraId="5F643488">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个日历天（含施工图设计）</w:t>
      </w:r>
      <w:r>
        <w:rPr>
          <w:rFonts w:hint="eastAsia" w:ascii="宋体" w:hAnsi="宋体" w:eastAsia="宋体" w:cs="宋体"/>
          <w:color w:val="auto"/>
          <w:kern w:val="2"/>
          <w:sz w:val="21"/>
          <w:szCs w:val="21"/>
          <w:highlight w:val="none"/>
          <w:lang w:val="en-US" w:eastAsia="zh-CN" w:bidi="ar"/>
        </w:rPr>
        <w:t>。</w:t>
      </w:r>
      <w:r>
        <w:rPr>
          <w:rFonts w:hint="eastAsia" w:ascii="宋体" w:hAnsi="宋体"/>
          <w:color w:val="auto"/>
          <w:sz w:val="21"/>
          <w:szCs w:val="21"/>
          <w:u w:val="single"/>
        </w:rPr>
        <w:t>中标通知书发出后</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日内完成施工图设计，</w:t>
      </w:r>
      <w:r>
        <w:rPr>
          <w:rFonts w:hint="eastAsia" w:ascii="宋体" w:hAnsi="宋体"/>
          <w:color w:val="auto"/>
          <w:sz w:val="21"/>
          <w:szCs w:val="21"/>
          <w:u w:val="single"/>
          <w:lang w:val="en-US" w:eastAsia="zh-CN"/>
        </w:rPr>
        <w:t>施工图审查通过后   日内完成施工图预算及评审。</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日前完成所有工程并完成所有设备安装调试且具备使用条件。</w:t>
      </w:r>
    </w:p>
    <w:p w14:paraId="185DEBE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jc w:val="both"/>
        <w:textAlignment w:val="auto"/>
        <w:outlineLvl w:val="2"/>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四、质量要求：</w:t>
      </w:r>
    </w:p>
    <w:p w14:paraId="176F284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1、设计质量标准：满足国家、行业及地方现行技术标准、设计规范及初步设计图纸的要求；</w:t>
      </w:r>
    </w:p>
    <w:p w14:paraId="77B91F6A">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2、工程所有物资（设备） 采购质量标准：符合招标文件、设计图纸及有关标准、规范的要求、进场前组织样品确认后，方可使用；</w:t>
      </w:r>
    </w:p>
    <w:p w14:paraId="020FAC19">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3、施工质量标准：符合国家、行业及地方现行建设工程施工质量验收规范和标准及施工图纸要求，一次性验收合格。</w:t>
      </w:r>
    </w:p>
    <w:p w14:paraId="4D914B9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五、合同价款</w:t>
      </w:r>
    </w:p>
    <w:p w14:paraId="56D4FEF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签约合同价：人民币（大写）</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元整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w:t>
      </w:r>
    </w:p>
    <w:p w14:paraId="32E95AF4">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其中：</w:t>
      </w:r>
      <w:r>
        <w:rPr>
          <w:rFonts w:hint="eastAsia" w:ascii="宋体" w:hAnsi="宋体" w:eastAsia="宋体" w:cs="宋体"/>
          <w:color w:val="auto"/>
          <w:sz w:val="21"/>
          <w:szCs w:val="21"/>
        </w:rPr>
        <w:t>工程费用签约合同价按设计限额乘以中标结算率暂定</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即</w:t>
      </w:r>
      <w:r>
        <w:rPr>
          <w:rFonts w:hint="eastAsia" w:ascii="宋体" w:hAnsi="宋体" w:eastAsia="宋体" w:cs="宋体"/>
          <w:color w:val="auto"/>
          <w:kern w:val="2"/>
          <w:sz w:val="21"/>
          <w:szCs w:val="21"/>
          <w:highlight w:val="none"/>
          <w:lang w:val="en-US" w:eastAsia="zh-CN" w:bidi="ar"/>
        </w:rPr>
        <w:t>人民币（大写）</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元整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w:t>
      </w:r>
    </w:p>
    <w:p w14:paraId="73C40F1D">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施工图设计费签约合同价：人民币（大写）</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元整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w:t>
      </w:r>
    </w:p>
    <w:p w14:paraId="7DC7F48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工程总承包其他费签约合同价：人民币（大写）</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元整 （¥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元）。</w:t>
      </w:r>
    </w:p>
    <w:p w14:paraId="6FBD24A1">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2" w:firstLineChars="200"/>
        <w:jc w:val="both"/>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本项目工程费设计限额为</w:t>
      </w:r>
      <w:r>
        <w:rPr>
          <w:rFonts w:hint="eastAsia" w:ascii="宋体" w:hAnsi="宋体" w:cs="宋体"/>
          <w:color w:val="auto"/>
          <w:kern w:val="2"/>
          <w:sz w:val="21"/>
          <w:szCs w:val="21"/>
          <w:highlight w:val="none"/>
          <w:u w:val="single"/>
          <w:lang w:val="en-US" w:eastAsia="zh-CN" w:bidi="ar"/>
        </w:rPr>
        <w:t xml:space="preserve">    </w:t>
      </w:r>
      <w:r>
        <w:rPr>
          <w:rFonts w:hint="eastAsia" w:ascii="宋体" w:hAnsi="宋体" w:eastAsia="宋体" w:cs="宋体"/>
          <w:b/>
          <w:bCs/>
          <w:color w:val="auto"/>
          <w:kern w:val="2"/>
          <w:sz w:val="21"/>
          <w:szCs w:val="21"/>
          <w:highlight w:val="none"/>
          <w:lang w:val="en-US" w:eastAsia="zh-CN" w:bidi="ar"/>
        </w:rPr>
        <w:t>万元，施工图预算评审价（下浮前）不得超出设计限额。</w:t>
      </w:r>
    </w:p>
    <w:p w14:paraId="4649D32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本项目采用单价合同，工程费用最终结算价以竣工图为结算依据，按实结算；工程结算单价为：施工</w:t>
      </w:r>
    </w:p>
    <w:p w14:paraId="338C943D">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图审定预算单价×中标费率%【中标费率=（工程费投标报价-税后暂列金-税后暂估价）÷（审定概算工程费</w:t>
      </w:r>
      <w:r>
        <w:rPr>
          <w:rFonts w:hint="eastAsia" w:ascii="宋体" w:hAnsi="宋体" w:eastAsia="宋体" w:cs="宋体"/>
          <w:b/>
          <w:bCs/>
          <w:color w:val="auto"/>
          <w:kern w:val="2"/>
          <w:sz w:val="21"/>
          <w:szCs w:val="21"/>
          <w:highlight w:val="none"/>
          <w:u w:val="single"/>
          <w:lang w:val="en-US" w:eastAsia="zh-CN" w:bidi="ar"/>
        </w:rPr>
        <w:t xml:space="preserve"> </w:t>
      </w:r>
      <w:r>
        <w:rPr>
          <w:rFonts w:hint="eastAsia" w:ascii="宋体" w:hAnsi="宋体" w:cs="宋体"/>
          <w:b/>
          <w:bCs/>
          <w:color w:val="auto"/>
          <w:kern w:val="2"/>
          <w:sz w:val="21"/>
          <w:szCs w:val="21"/>
          <w:highlight w:val="none"/>
          <w:u w:val="single"/>
          <w:lang w:val="en-US" w:eastAsia="zh-CN" w:bidi="ar"/>
        </w:rPr>
        <w:t xml:space="preserve">    </w:t>
      </w:r>
      <w:r>
        <w:rPr>
          <w:rFonts w:hint="eastAsia" w:ascii="宋体" w:hAnsi="宋体" w:eastAsia="宋体" w:cs="宋体"/>
          <w:b/>
          <w:bCs/>
          <w:color w:val="auto"/>
          <w:kern w:val="2"/>
          <w:sz w:val="21"/>
          <w:szCs w:val="21"/>
          <w:highlight w:val="none"/>
          <w:u w:val="single"/>
          <w:lang w:val="en-US" w:eastAsia="zh-CN" w:bidi="ar"/>
        </w:rPr>
        <w:t xml:space="preserve"> </w:t>
      </w:r>
      <w:r>
        <w:rPr>
          <w:rFonts w:hint="eastAsia" w:ascii="宋体" w:hAnsi="宋体" w:eastAsia="宋体" w:cs="宋体"/>
          <w:b/>
          <w:bCs/>
          <w:color w:val="auto"/>
          <w:kern w:val="2"/>
          <w:sz w:val="21"/>
          <w:szCs w:val="21"/>
          <w:highlight w:val="none"/>
          <w:lang w:val="en-US" w:eastAsia="zh-CN" w:bidi="ar"/>
        </w:rPr>
        <w:t>万元-税后暂列金-税后暂估价）×100%，四舍五入保留两位小数）】。</w:t>
      </w:r>
    </w:p>
    <w:p w14:paraId="0CB7BC0A">
      <w:pPr>
        <w:pStyle w:val="9"/>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0"/>
        <w:jc w:val="both"/>
        <w:textAlignment w:val="auto"/>
        <w:outlineLvl w:val="2"/>
        <w:rPr>
          <w:rFonts w:hint="eastAsia" w:ascii="宋体" w:hAnsi="宋体" w:eastAsia="宋体" w:cs="宋体"/>
          <w:b/>
          <w:bCs w:val="0"/>
          <w:color w:val="auto"/>
          <w:kern w:val="2"/>
          <w:sz w:val="21"/>
          <w:szCs w:val="21"/>
          <w:highlight w:val="none"/>
        </w:rPr>
      </w:pPr>
      <w:r>
        <w:rPr>
          <w:rFonts w:hint="eastAsia" w:ascii="宋体" w:hAnsi="宋体" w:eastAsia="宋体" w:cs="宋体"/>
          <w:b/>
          <w:bCs w:val="0"/>
          <w:color w:val="auto"/>
          <w:kern w:val="2"/>
          <w:sz w:val="21"/>
          <w:szCs w:val="21"/>
          <w:highlight w:val="none"/>
          <w:lang w:val="en-US" w:eastAsia="zh-CN" w:bidi="ar"/>
        </w:rPr>
        <w:t>六、组成合同的文件</w:t>
      </w:r>
    </w:p>
    <w:p w14:paraId="0621E6C7">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210" w:firstLineChars="1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组成本合同的文件包括：</w:t>
      </w:r>
    </w:p>
    <w:p w14:paraId="7487A8BD">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招标文件、询标答疑纪要（含其他有关双方洽商、变更等书面协议）、投标书、投标承诺书、中标通知书、本合同（含通用与专用条款）、经双方协商签订的补充协议、业主工作协调会议纪要、工程业主及监理例会纪要、国家施工质量验收规范及有关技术文件、本工程施工图纸及技术变更单、工程施工组织设计和方案及技术资料、经业主确认的工程造价增减变更单及现场有关造价的施工签证单、工程施工预算和结算。</w:t>
      </w:r>
    </w:p>
    <w:p w14:paraId="173E3155">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七、本协议书中有关词语含义本合同第二部分《通用条款》中分别赋予它们的定义相同。</w:t>
      </w:r>
    </w:p>
    <w:p w14:paraId="2E32EC4B">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八、承包人向发包人承诺按照合同约定进行施工、竣工并在质量保修期内承担工程质量保修责任。</w:t>
      </w:r>
    </w:p>
    <w:p w14:paraId="2365C34E">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九、发包人向承包人承诺按照合同约定的期限和方式支付合同价款及其他应当支付的款项。</w:t>
      </w:r>
    </w:p>
    <w:p w14:paraId="7D23D611">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十、合同生效：</w:t>
      </w:r>
    </w:p>
    <w:p w14:paraId="6D9A4DCA">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1、合同订立时间： 年 月 日</w:t>
      </w:r>
    </w:p>
    <w:p w14:paraId="5789FB75">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2、合同订立地点：</w:t>
      </w:r>
    </w:p>
    <w:p w14:paraId="4422AA78">
      <w:pPr>
        <w:keepNext w:val="0"/>
        <w:keepLines w:val="0"/>
        <w:pageBreakBefore w:val="0"/>
        <w:widowControl w:val="0"/>
        <w:suppressLineNumbers w:val="0"/>
        <w:kinsoku/>
        <w:wordWrap w:val="0"/>
        <w:overflowPunct/>
        <w:topLinePunct w:val="0"/>
        <w:autoSpaceDE w:val="0"/>
        <w:autoSpaceDN w:val="0"/>
        <w:bidi w:val="0"/>
        <w:adjustRightInd w:val="0"/>
        <w:snapToGrid w:val="0"/>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3、本合同双方约定 </w:t>
      </w:r>
      <w:r>
        <w:rPr>
          <w:rFonts w:hint="eastAsia" w:ascii="宋体" w:hAnsi="宋体" w:eastAsia="宋体" w:cs="宋体"/>
          <w:color w:val="auto"/>
          <w:kern w:val="2"/>
          <w:sz w:val="21"/>
          <w:szCs w:val="21"/>
          <w:highlight w:val="none"/>
          <w:u w:val="single"/>
          <w:lang w:val="en-US" w:eastAsia="zh-CN" w:bidi="ar"/>
        </w:rPr>
        <w:t>双方签字盖章且乙方按要求缴纳履约保证金后</w:t>
      </w:r>
      <w:r>
        <w:rPr>
          <w:rFonts w:hint="eastAsia" w:ascii="宋体" w:hAnsi="宋体" w:eastAsia="宋体" w:cs="宋体"/>
          <w:color w:val="auto"/>
          <w:kern w:val="2"/>
          <w:sz w:val="21"/>
          <w:szCs w:val="21"/>
          <w:highlight w:val="none"/>
          <w:lang w:val="en-US" w:eastAsia="zh-CN" w:bidi="ar"/>
        </w:rPr>
        <w:t xml:space="preserve"> 生效。</w:t>
      </w:r>
    </w:p>
    <w:p w14:paraId="27397FE6">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4、本合同一式</w:t>
      </w:r>
      <w:r>
        <w:rPr>
          <w:rFonts w:hint="eastAsia" w:ascii="宋体" w:hAnsi="宋体" w:eastAsia="宋体" w:cs="宋体"/>
          <w:color w:val="auto"/>
          <w:kern w:val="2"/>
          <w:sz w:val="21"/>
          <w:szCs w:val="21"/>
          <w:highlight w:val="none"/>
          <w:u w:val="single"/>
          <w:lang w:val="en-US" w:eastAsia="zh-CN" w:bidi="ar"/>
        </w:rPr>
        <w:t xml:space="preserve"> 捌</w:t>
      </w:r>
      <w:r>
        <w:rPr>
          <w:rFonts w:hint="eastAsia" w:ascii="宋体" w:hAnsi="宋体" w:eastAsia="宋体" w:cs="宋体"/>
          <w:color w:val="auto"/>
          <w:kern w:val="2"/>
          <w:sz w:val="21"/>
          <w:szCs w:val="21"/>
          <w:highlight w:val="none"/>
          <w:lang w:val="en-US" w:eastAsia="zh-CN" w:bidi="ar"/>
        </w:rPr>
        <w:t xml:space="preserve"> 份，发承包双方各执</w:t>
      </w:r>
      <w:r>
        <w:rPr>
          <w:rFonts w:hint="eastAsia" w:ascii="宋体" w:hAnsi="宋体" w:eastAsia="宋体" w:cs="宋体"/>
          <w:color w:val="auto"/>
          <w:kern w:val="2"/>
          <w:sz w:val="21"/>
          <w:szCs w:val="21"/>
          <w:highlight w:val="none"/>
          <w:u w:val="single"/>
          <w:lang w:val="en-US" w:eastAsia="zh-CN" w:bidi="ar"/>
        </w:rPr>
        <w:t>肆</w:t>
      </w:r>
      <w:r>
        <w:rPr>
          <w:rFonts w:hint="eastAsia" w:ascii="宋体" w:hAnsi="宋体" w:eastAsia="宋体" w:cs="宋体"/>
          <w:color w:val="auto"/>
          <w:kern w:val="2"/>
          <w:sz w:val="21"/>
          <w:szCs w:val="21"/>
          <w:highlight w:val="none"/>
          <w:lang w:val="en-US" w:eastAsia="zh-CN" w:bidi="ar"/>
        </w:rPr>
        <w:t>份。</w:t>
      </w:r>
    </w:p>
    <w:p w14:paraId="08B9959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lang w:val="en-US" w:eastAsia="zh-CN" w:bidi="ar"/>
        </w:rPr>
      </w:pPr>
    </w:p>
    <w:p w14:paraId="75D7F8A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lang w:val="en-US" w:eastAsia="zh-CN" w:bidi="ar"/>
        </w:rPr>
      </w:pPr>
    </w:p>
    <w:p w14:paraId="7B15C07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发包人：（公章）                                    承包人：（公章）</w:t>
      </w:r>
    </w:p>
    <w:p w14:paraId="6E0F6388">
      <w:pPr>
        <w:pStyle w:val="9"/>
        <w:keepNext w:val="0"/>
        <w:keepLines w:val="0"/>
        <w:pageBreakBefore w:val="0"/>
        <w:widowControl w:val="0"/>
        <w:suppressLineNumbers w:val="0"/>
        <w:kinsoku/>
        <w:wordWrap/>
        <w:overflowPunct/>
        <w:topLinePunct w:val="0"/>
        <w:bidi w:val="0"/>
        <w:adjustRightInd w:val="0"/>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统一社会信用代码：                                  统一社会信用代码：</w:t>
      </w:r>
    </w:p>
    <w:p w14:paraId="0B8164C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住所：                                              住所：</w:t>
      </w:r>
    </w:p>
    <w:p w14:paraId="3151172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法定代表人：                                        法定代表人：</w:t>
      </w:r>
    </w:p>
    <w:p w14:paraId="13143C4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                                              电话：</w:t>
      </w:r>
    </w:p>
    <w:p w14:paraId="2BC4515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                                              传真：</w:t>
      </w:r>
    </w:p>
    <w:p w14:paraId="6F86472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邮政编码：                                          邮政编码：</w:t>
      </w:r>
    </w:p>
    <w:p w14:paraId="6501318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开户银行：                                          开户银行：</w:t>
      </w:r>
    </w:p>
    <w:p w14:paraId="706701F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账号：                                              账号：</w:t>
      </w:r>
    </w:p>
    <w:p w14:paraId="2720805F">
      <w:pPr>
        <w:pStyle w:val="10"/>
        <w:rPr>
          <w:rFonts w:hint="eastAsia" w:ascii="宋体" w:hAnsi="宋体" w:eastAsia="宋体" w:cs="宋体"/>
          <w:color w:val="auto"/>
          <w:kern w:val="2"/>
          <w:sz w:val="21"/>
          <w:szCs w:val="21"/>
          <w:highlight w:val="none"/>
          <w:lang w:val="en-US" w:eastAsia="zh-CN" w:bidi="ar"/>
        </w:rPr>
      </w:pPr>
    </w:p>
    <w:p w14:paraId="63835726">
      <w:pPr>
        <w:rPr>
          <w:rFonts w:hint="eastAsia"/>
        </w:rPr>
      </w:pPr>
    </w:p>
    <w:p w14:paraId="3EE7E744">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承包人：（公章）（联合体成员 ）                        </w:t>
      </w:r>
    </w:p>
    <w:p w14:paraId="4F629867">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统一社会信用代码：                        </w:t>
      </w:r>
    </w:p>
    <w:p w14:paraId="2DF4B379">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住所：                                            </w:t>
      </w:r>
    </w:p>
    <w:p w14:paraId="27EE7798">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                                      </w:t>
      </w:r>
    </w:p>
    <w:p w14:paraId="58374998">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                                         </w:t>
      </w:r>
    </w:p>
    <w:p w14:paraId="5510C42F">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                                          </w:t>
      </w:r>
    </w:p>
    <w:p w14:paraId="6BCA98C9">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                                       </w:t>
      </w:r>
    </w:p>
    <w:p w14:paraId="3E6FB1BF">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w:t>
      </w:r>
    </w:p>
    <w:p w14:paraId="27DE2555">
      <w:pPr>
        <w:autoSpaceDE w:val="0"/>
        <w:autoSpaceDN w:val="0"/>
        <w:adjustRightInd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   </w:t>
      </w:r>
    </w:p>
    <w:p w14:paraId="5DBDD28F">
      <w:pPr>
        <w:pStyle w:val="9"/>
        <w:keepNext w:val="0"/>
        <w:keepLines w:val="0"/>
        <w:widowControl w:val="0"/>
        <w:suppressLineNumbers w:val="0"/>
        <w:spacing w:before="100" w:beforeAutospacing="1" w:after="120" w:afterAutospacing="0" w:line="360" w:lineRule="auto"/>
        <w:ind w:left="0" w:right="0"/>
        <w:jc w:val="both"/>
        <w:rPr>
          <w:rFonts w:hint="default" w:ascii="宋体" w:hAnsi="宋体" w:eastAsia="宋体" w:cs="宋体"/>
          <w:color w:val="auto"/>
          <w:kern w:val="2"/>
          <w:sz w:val="21"/>
          <w:szCs w:val="21"/>
          <w:highlight w:val="none"/>
          <w:lang w:val="en-US"/>
        </w:rPr>
      </w:pPr>
    </w:p>
    <w:p w14:paraId="62C65050">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default" w:ascii="宋体" w:hAnsi="宋体" w:eastAsia="宋体" w:cs="宋体"/>
          <w:color w:val="auto"/>
          <w:kern w:val="2"/>
          <w:sz w:val="21"/>
          <w:szCs w:val="21"/>
          <w:highlight w:val="none"/>
          <w:lang w:val="en-US"/>
        </w:rPr>
      </w:pPr>
    </w:p>
    <w:p w14:paraId="61F312EC">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p>
    <w:p w14:paraId="1071F879">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w:t>
      </w:r>
    </w:p>
    <w:p w14:paraId="0CAD1A3E">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lang w:val="en-US" w:eastAsia="zh-CN" w:bidi="ar"/>
        </w:rPr>
      </w:pPr>
    </w:p>
    <w:p w14:paraId="74C917A3">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宋体" w:hAnsi="宋体" w:eastAsia="宋体" w:cs="宋体"/>
          <w:b/>
          <w:bCs/>
          <w:color w:val="auto"/>
          <w:kern w:val="2"/>
          <w:sz w:val="24"/>
          <w:szCs w:val="24"/>
          <w:highlight w:val="none"/>
          <w:lang w:val="en-US" w:eastAsia="zh-CN" w:bidi="ar"/>
        </w:rPr>
      </w:pPr>
      <w:bookmarkStart w:id="467" w:name="_Toc14958"/>
      <w:bookmarkEnd w:id="467"/>
    </w:p>
    <w:p w14:paraId="24EDF2D9">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default" w:ascii="Calibri" w:hAnsi="Calibri"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bidi="ar"/>
        </w:rPr>
        <w:t>第二部分</w:t>
      </w:r>
      <w:r>
        <w:rPr>
          <w:rFonts w:hint="eastAsia" w:ascii="Calibri" w:hAnsi="Calibri" w:eastAsia="宋体" w:cs="Times New Roman"/>
          <w:b/>
          <w:bCs/>
          <w:color w:val="auto"/>
          <w:kern w:val="2"/>
          <w:sz w:val="24"/>
          <w:szCs w:val="24"/>
          <w:highlight w:val="none"/>
          <w:lang w:val="en-US" w:eastAsia="zh-CN" w:bidi="ar"/>
        </w:rPr>
        <w:t xml:space="preserve">  </w:t>
      </w:r>
      <w:r>
        <w:rPr>
          <w:rFonts w:hint="eastAsia" w:ascii="宋体" w:hAnsi="宋体" w:eastAsia="宋体" w:cs="宋体"/>
          <w:b/>
          <w:bCs/>
          <w:color w:val="auto"/>
          <w:kern w:val="2"/>
          <w:sz w:val="24"/>
          <w:szCs w:val="24"/>
          <w:highlight w:val="none"/>
          <w:lang w:val="en-US" w:eastAsia="zh-CN" w:bidi="ar"/>
        </w:rPr>
        <w:t>通用合同条款</w:t>
      </w:r>
    </w:p>
    <w:p w14:paraId="29CE1DEA">
      <w:pPr>
        <w:pStyle w:val="9"/>
        <w:keepNext w:val="0"/>
        <w:keepLines w:val="0"/>
        <w:widowControl/>
        <w:suppressLineNumbers w:val="0"/>
        <w:adjustRightInd w:val="0"/>
        <w:snapToGrid w:val="0"/>
        <w:spacing w:before="100" w:beforeAutospacing="1" w:after="156" w:afterLines="50" w:afterAutospacing="0" w:line="360" w:lineRule="auto"/>
        <w:ind w:left="0" w:right="0"/>
        <w:jc w:val="center"/>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bidi="ar"/>
        </w:rPr>
        <w:t>按《建设项目工程总承包合同（示范文本）》GF-2020-0216中的通用合同条款执行</w:t>
      </w:r>
    </w:p>
    <w:p w14:paraId="51741593">
      <w:pPr>
        <w:keepNext w:val="0"/>
        <w:keepLines w:val="0"/>
        <w:widowControl w:val="0"/>
        <w:suppressLineNumbers w:val="0"/>
        <w:adjustRightInd w:val="0"/>
        <w:snapToGrid w:val="0"/>
        <w:spacing w:before="0" w:beforeLines="50" w:beforeAutospacing="0" w:after="0" w:afterAutospacing="0" w:line="360" w:lineRule="auto"/>
        <w:ind w:left="0" w:right="0"/>
        <w:jc w:val="center"/>
        <w:outlineLvl w:val="1"/>
        <w:rPr>
          <w:rFonts w:hint="default" w:ascii="Calibri" w:hAnsi="Calibri" w:eastAsia="宋体" w:cs="Times New Roman"/>
          <w:b/>
          <w:bCs/>
          <w:color w:val="auto"/>
          <w:kern w:val="2"/>
          <w:sz w:val="24"/>
          <w:szCs w:val="24"/>
          <w:highlight w:val="none"/>
        </w:rPr>
      </w:pPr>
      <w:bookmarkStart w:id="468" w:name="_Toc271821942"/>
      <w:bookmarkEnd w:id="468"/>
      <w:bookmarkStart w:id="469" w:name="_Toc465327634"/>
      <w:bookmarkEnd w:id="469"/>
      <w:bookmarkStart w:id="470" w:name="_Toc25932307"/>
      <w:bookmarkEnd w:id="470"/>
      <w:bookmarkStart w:id="471" w:name="_Toc300835233"/>
      <w:r>
        <w:rPr>
          <w:rFonts w:hint="eastAsia" w:ascii="宋体" w:hAnsi="宋体" w:eastAsia="宋体" w:cs="宋体"/>
          <w:b/>
          <w:bCs/>
          <w:color w:val="auto"/>
          <w:kern w:val="2"/>
          <w:sz w:val="24"/>
          <w:szCs w:val="24"/>
          <w:highlight w:val="none"/>
          <w:lang w:val="en-US" w:eastAsia="zh-CN" w:bidi="ar"/>
        </w:rPr>
        <w:t>第三部分</w:t>
      </w:r>
      <w:r>
        <w:rPr>
          <w:rFonts w:hint="eastAsia" w:ascii="Calibri" w:hAnsi="Calibri" w:eastAsia="宋体" w:cs="Times New Roman"/>
          <w:b/>
          <w:bCs/>
          <w:color w:val="auto"/>
          <w:kern w:val="2"/>
          <w:sz w:val="24"/>
          <w:szCs w:val="24"/>
          <w:highlight w:val="none"/>
          <w:lang w:val="en-US" w:eastAsia="zh-CN" w:bidi="ar"/>
        </w:rPr>
        <w:t xml:space="preserve">  </w:t>
      </w:r>
      <w:r>
        <w:rPr>
          <w:rFonts w:hint="eastAsia" w:ascii="宋体" w:hAnsi="宋体" w:eastAsia="宋体" w:cs="宋体"/>
          <w:b/>
          <w:bCs/>
          <w:color w:val="auto"/>
          <w:kern w:val="2"/>
          <w:sz w:val="24"/>
          <w:szCs w:val="24"/>
          <w:highlight w:val="none"/>
          <w:lang w:val="en-US" w:eastAsia="zh-CN" w:bidi="ar"/>
        </w:rPr>
        <w:t>专用合同条款</w:t>
      </w:r>
      <w:bookmarkEnd w:id="471"/>
    </w:p>
    <w:p w14:paraId="31DB78D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bookmarkStart w:id="472" w:name="_Toc28823"/>
      <w:bookmarkEnd w:id="472"/>
      <w:bookmarkStart w:id="473" w:name="_Toc25709"/>
      <w:bookmarkEnd w:id="473"/>
      <w:bookmarkStart w:id="474" w:name="_Toc25932308"/>
      <w:bookmarkEnd w:id="474"/>
      <w:bookmarkStart w:id="475" w:name="_Toc11447"/>
      <w:bookmarkEnd w:id="475"/>
      <w:bookmarkStart w:id="476" w:name="_Toc38896036"/>
      <w:bookmarkEnd w:id="476"/>
      <w:bookmarkStart w:id="477" w:name="_Toc2816"/>
      <w:r>
        <w:rPr>
          <w:rFonts w:hint="eastAsia" w:ascii="宋体" w:hAnsi="宋体" w:eastAsia="宋体" w:cs="宋体"/>
          <w:b/>
          <w:bCs/>
          <w:color w:val="auto"/>
          <w:kern w:val="2"/>
          <w:sz w:val="21"/>
          <w:szCs w:val="21"/>
          <w:highlight w:val="none"/>
          <w:lang w:val="en-US" w:eastAsia="zh-CN" w:bidi="ar"/>
        </w:rPr>
        <w:t>1.</w:t>
      </w:r>
      <w:bookmarkEnd w:id="477"/>
      <w:r>
        <w:rPr>
          <w:rFonts w:hint="eastAsia" w:ascii="宋体" w:hAnsi="宋体" w:eastAsia="宋体" w:cs="宋体"/>
          <w:b/>
          <w:bCs/>
          <w:color w:val="auto"/>
          <w:kern w:val="2"/>
          <w:sz w:val="21"/>
          <w:szCs w:val="21"/>
          <w:highlight w:val="none"/>
          <w:lang w:val="en-US" w:eastAsia="zh-CN" w:bidi="ar"/>
        </w:rPr>
        <w:t>一般约定</w:t>
      </w:r>
    </w:p>
    <w:p w14:paraId="55EF91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1.1  词语定义</w:t>
      </w:r>
    </w:p>
    <w:p w14:paraId="3EF8B58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在本合同文件中，招标人与发包人、甲方、业主具有相同的含义；中标人与承包人、乙方具有相同的含义；监理单位：指在协议书中约定，经发包人授权委托对本项目实施组织管理、行使全过程工程咨询服务合同中约定的发包人权利与义务的一方（工程合同款支付除外）。</w:t>
      </w:r>
    </w:p>
    <w:p w14:paraId="0637F85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1.1.1合同</w:t>
      </w:r>
    </w:p>
    <w:p w14:paraId="7BE8DC1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1.1.1.1其他合同文件包括：</w:t>
      </w:r>
    </w:p>
    <w:p w14:paraId="3FB411A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⑴含合同谈判中澄清文件；⑵承包人在评标期间递交和确认并经发包人同意的对有关问题的补充资料和澄清文件等；(3)询标纪要、招标补充文件（答疑纪要）、招标文件；（4）发包人与承包人有关工程的洽商、工程变更等书面协议或文件等；</w:t>
      </w:r>
    </w:p>
    <w:p w14:paraId="36DEF1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1.1.2合同当事人和人员</w:t>
      </w:r>
    </w:p>
    <w:p w14:paraId="0AB753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 xml:space="preserve">1.1.2.1发包人：  </w:t>
      </w:r>
    </w:p>
    <w:p w14:paraId="298F53F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1.1.2.2承包人：</w:t>
      </w:r>
    </w:p>
    <w:p w14:paraId="439FBC1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1.1.2.3承包人工程总承包项目经理：</w:t>
      </w:r>
    </w:p>
    <w:p w14:paraId="539D4BF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姓名：</w:t>
      </w:r>
    </w:p>
    <w:p w14:paraId="13F6330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身份证号：</w:t>
      </w:r>
    </w:p>
    <w:p w14:paraId="3A56B5C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执业资格等级：</w:t>
      </w:r>
    </w:p>
    <w:p w14:paraId="73E9CE5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注册证书号：</w:t>
      </w:r>
    </w:p>
    <w:p w14:paraId="108F633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执业印章号：</w:t>
      </w:r>
    </w:p>
    <w:p w14:paraId="4EC8AAD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联系电话：</w:t>
      </w:r>
    </w:p>
    <w:p w14:paraId="6BAD2E1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电子信箱：</w:t>
      </w:r>
    </w:p>
    <w:p w14:paraId="0E739C8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通信地址：</w:t>
      </w:r>
    </w:p>
    <w:p w14:paraId="195E59E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承包人对工程总承包项目经理的授权范围如下：</w:t>
      </w:r>
      <w:r>
        <w:rPr>
          <w:rFonts w:hint="eastAsia" w:ascii="宋体" w:hAnsi="宋体" w:eastAsia="宋体" w:cs="宋体"/>
          <w:color w:val="auto"/>
          <w:kern w:val="2"/>
          <w:sz w:val="21"/>
          <w:szCs w:val="21"/>
          <w:highlight w:val="none"/>
          <w:u w:val="single"/>
          <w:lang w:val="en-US" w:eastAsia="zh-CN" w:bidi="ar"/>
        </w:rPr>
        <w:t>按发包人认可的设计方案、施工方案，按工程师发出的指令组织工程设计和施工，以及保修工作</w:t>
      </w:r>
      <w:r>
        <w:rPr>
          <w:rFonts w:hint="eastAsia" w:ascii="宋体" w:hAnsi="宋体" w:eastAsia="宋体" w:cs="宋体"/>
          <w:color w:val="auto"/>
          <w:kern w:val="2"/>
          <w:sz w:val="21"/>
          <w:szCs w:val="21"/>
          <w:highlight w:val="none"/>
          <w:lang w:val="en-US" w:eastAsia="zh-CN" w:bidi="ar"/>
        </w:rPr>
        <w:t>。</w:t>
      </w:r>
    </w:p>
    <w:p w14:paraId="3DBB762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1.1.2.4设计负责人：</w:t>
      </w:r>
    </w:p>
    <w:p w14:paraId="500437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姓名：</w:t>
      </w:r>
    </w:p>
    <w:p w14:paraId="08F388E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身份证号：</w:t>
      </w:r>
    </w:p>
    <w:p w14:paraId="3E5E930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执业资格等级：</w:t>
      </w:r>
    </w:p>
    <w:p w14:paraId="172EFBB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注册证书号：</w:t>
      </w:r>
    </w:p>
    <w:p w14:paraId="7921820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执业印章号：</w:t>
      </w:r>
    </w:p>
    <w:p w14:paraId="53582F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联系电话：</w:t>
      </w:r>
    </w:p>
    <w:p w14:paraId="12A9EC6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电子信箱：</w:t>
      </w:r>
    </w:p>
    <w:p w14:paraId="328FEBE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通信地址：</w:t>
      </w:r>
    </w:p>
    <w:p w14:paraId="58C8C88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承包人对设计负责人的授权范围如下：</w:t>
      </w:r>
      <w:r>
        <w:rPr>
          <w:rFonts w:hint="eastAsia" w:ascii="宋体" w:hAnsi="宋体" w:eastAsia="宋体" w:cs="宋体"/>
          <w:color w:val="auto"/>
          <w:kern w:val="2"/>
          <w:sz w:val="21"/>
          <w:szCs w:val="21"/>
          <w:highlight w:val="none"/>
          <w:u w:val="single"/>
          <w:lang w:val="en-US" w:eastAsia="zh-CN" w:bidi="ar"/>
        </w:rPr>
        <w:t>按发包人认可的设计方案，按工程师发出的指令进行工程设计工作</w:t>
      </w:r>
      <w:r>
        <w:rPr>
          <w:rFonts w:hint="eastAsia" w:ascii="宋体" w:hAnsi="宋体" w:eastAsia="宋体" w:cs="宋体"/>
          <w:color w:val="auto"/>
          <w:kern w:val="2"/>
          <w:sz w:val="21"/>
          <w:szCs w:val="21"/>
          <w:highlight w:val="none"/>
          <w:lang w:val="en-US" w:eastAsia="zh-CN" w:bidi="ar"/>
        </w:rPr>
        <w:t>。</w:t>
      </w:r>
    </w:p>
    <w:p w14:paraId="24D3F91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1.1.2.5施工负责人：</w:t>
      </w:r>
    </w:p>
    <w:p w14:paraId="0F06FD8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姓名：</w:t>
      </w:r>
    </w:p>
    <w:p w14:paraId="1C22C90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身份证号：</w:t>
      </w:r>
    </w:p>
    <w:p w14:paraId="6CCC40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建造师执业资格等级：</w:t>
      </w:r>
    </w:p>
    <w:p w14:paraId="5BCD3A2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建造师注册证书号：</w:t>
      </w:r>
    </w:p>
    <w:p w14:paraId="739E214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建造师执业印章号：</w:t>
      </w:r>
    </w:p>
    <w:p w14:paraId="2B976F3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安全生产考核合格证书号：</w:t>
      </w:r>
    </w:p>
    <w:p w14:paraId="507A50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联系电话：</w:t>
      </w:r>
    </w:p>
    <w:p w14:paraId="4A3184B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电子信箱：</w:t>
      </w:r>
    </w:p>
    <w:p w14:paraId="77DF144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通信地址：</w:t>
      </w:r>
    </w:p>
    <w:p w14:paraId="391C561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承包人对施工负责人的授权范围如下：</w:t>
      </w:r>
      <w:r>
        <w:rPr>
          <w:rFonts w:hint="eastAsia" w:ascii="宋体" w:hAnsi="宋体" w:eastAsia="宋体" w:cs="宋体"/>
          <w:color w:val="auto"/>
          <w:kern w:val="2"/>
          <w:sz w:val="21"/>
          <w:szCs w:val="21"/>
          <w:highlight w:val="none"/>
          <w:u w:val="single"/>
          <w:lang w:val="en-US" w:eastAsia="zh-CN" w:bidi="ar"/>
        </w:rPr>
        <w:t>按发包人认可的施工方案，按工程师发出的指令组织工程施工，以及保修工作</w:t>
      </w:r>
      <w:r>
        <w:rPr>
          <w:rFonts w:hint="eastAsia" w:ascii="宋体" w:hAnsi="宋体" w:eastAsia="宋体" w:cs="宋体"/>
          <w:color w:val="auto"/>
          <w:kern w:val="2"/>
          <w:sz w:val="21"/>
          <w:szCs w:val="21"/>
          <w:highlight w:val="none"/>
          <w:lang w:val="en-US" w:eastAsia="zh-CN" w:bidi="ar"/>
        </w:rPr>
        <w:t>。</w:t>
      </w:r>
    </w:p>
    <w:p w14:paraId="2B3E9E1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1.1.2.</w:t>
      </w:r>
      <w:r>
        <w:rPr>
          <w:rFonts w:hint="eastAsia" w:ascii="宋体" w:hAnsi="宋体"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en-US" w:eastAsia="zh-CN" w:bidi="ar"/>
        </w:rPr>
        <w:t xml:space="preserve"> 监理单位：</w:t>
      </w:r>
    </w:p>
    <w:p w14:paraId="1AA45B8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总监理工程师：</w:t>
      </w:r>
    </w:p>
    <w:p w14:paraId="0087F9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姓名：</w:t>
      </w:r>
    </w:p>
    <w:p w14:paraId="1BF7D4F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职务：</w:t>
      </w:r>
    </w:p>
    <w:p w14:paraId="353FCC1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监理工程师执业资格证书号：</w:t>
      </w:r>
    </w:p>
    <w:p w14:paraId="5E95E18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联系电话：</w:t>
      </w:r>
    </w:p>
    <w:p w14:paraId="7116BDC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电子信箱：</w:t>
      </w:r>
    </w:p>
    <w:p w14:paraId="5EEB989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通信地址：</w:t>
      </w:r>
    </w:p>
    <w:p w14:paraId="41F47D8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1.1.3工程和设备</w:t>
      </w:r>
    </w:p>
    <w:p w14:paraId="3408A83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1.1.3.1永久工程：所有工程内容均属永久工程，承包人应完成本工程红线范围内永久工程的设计、采购、施工、验收、移交备案及保修服务等。</w:t>
      </w:r>
    </w:p>
    <w:p w14:paraId="7CB6368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1.1.3.2临时工程：</w:t>
      </w:r>
      <w:r>
        <w:rPr>
          <w:rFonts w:hint="eastAsia" w:ascii="宋体" w:hAnsi="宋体" w:eastAsia="宋体" w:cs="宋体"/>
          <w:color w:val="auto"/>
          <w:kern w:val="2"/>
          <w:sz w:val="21"/>
          <w:szCs w:val="21"/>
          <w:highlight w:val="none"/>
          <w:u w:val="single"/>
          <w:lang w:val="en-US" w:eastAsia="zh-CN" w:bidi="ar"/>
        </w:rPr>
        <w:t>项目现场管理用房和其他临时设施。</w:t>
      </w:r>
    </w:p>
    <w:p w14:paraId="1462A37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1.1.3.3区段工程：</w:t>
      </w:r>
      <w:r>
        <w:rPr>
          <w:rFonts w:hint="eastAsia" w:ascii="宋体" w:hAnsi="宋体" w:eastAsia="宋体" w:cs="宋体"/>
          <w:color w:val="auto"/>
          <w:kern w:val="2"/>
          <w:sz w:val="21"/>
          <w:szCs w:val="21"/>
          <w:highlight w:val="none"/>
          <w:u w:val="single"/>
          <w:lang w:val="en-US" w:eastAsia="zh-CN" w:bidi="ar"/>
        </w:rPr>
        <w:t>指具有相对独立的设计文件，能够独立组织施工并能形成独立使用功能的永久工程的组成部分。</w:t>
      </w:r>
    </w:p>
    <w:p w14:paraId="17AABFE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1.1.3.4永久占地：</w:t>
      </w:r>
      <w:r>
        <w:rPr>
          <w:rFonts w:hint="eastAsia" w:ascii="宋体" w:hAnsi="宋体" w:eastAsia="宋体" w:cs="宋体"/>
          <w:color w:val="auto"/>
          <w:kern w:val="2"/>
          <w:sz w:val="21"/>
          <w:szCs w:val="21"/>
          <w:highlight w:val="none"/>
          <w:u w:val="single"/>
          <w:lang w:val="en-US" w:eastAsia="zh-CN" w:bidi="ar"/>
        </w:rPr>
        <w:t>建设永久工程的用地及其附属设施用地。</w:t>
      </w:r>
    </w:p>
    <w:p w14:paraId="725CBC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1.1.3.5临时占地：</w:t>
      </w:r>
      <w:r>
        <w:rPr>
          <w:rFonts w:hint="eastAsia" w:ascii="宋体" w:hAnsi="宋体" w:eastAsia="宋体" w:cs="宋体"/>
          <w:color w:val="auto"/>
          <w:kern w:val="2"/>
          <w:sz w:val="21"/>
          <w:szCs w:val="21"/>
          <w:highlight w:val="none"/>
          <w:u w:val="single"/>
          <w:lang w:val="en-US" w:eastAsia="zh-CN" w:bidi="ar"/>
        </w:rPr>
        <w:t>建设临时工程的用地或用于施工所需的临时场地，用地红线外的临时占地由承包人自行解决并承担费用。</w:t>
      </w:r>
    </w:p>
    <w:p w14:paraId="7C90917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1.1.4日期</w:t>
      </w:r>
    </w:p>
    <w:p w14:paraId="78A27A3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1.1.4.1缺陷责任期期限：</w:t>
      </w:r>
      <w:r>
        <w:rPr>
          <w:rFonts w:hint="eastAsia" w:ascii="宋体" w:hAnsi="宋体" w:eastAsia="宋体" w:cs="宋体"/>
          <w:color w:val="auto"/>
          <w:kern w:val="2"/>
          <w:sz w:val="21"/>
          <w:szCs w:val="21"/>
          <w:highlight w:val="none"/>
          <w:u w:val="single"/>
          <w:lang w:val="en-US" w:eastAsia="zh-CN" w:bidi="ar"/>
        </w:rPr>
        <w:t>24 个月</w:t>
      </w:r>
      <w:r>
        <w:rPr>
          <w:rFonts w:hint="eastAsia" w:ascii="宋体" w:hAnsi="宋体" w:eastAsia="宋体" w:cs="宋体"/>
          <w:color w:val="auto"/>
          <w:kern w:val="2"/>
          <w:sz w:val="21"/>
          <w:szCs w:val="21"/>
          <w:highlight w:val="none"/>
          <w:lang w:val="en-US" w:eastAsia="zh-CN" w:bidi="ar"/>
        </w:rPr>
        <w:t>。</w:t>
      </w:r>
    </w:p>
    <w:p w14:paraId="3421FE5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1.1.4.2保修期：是根据现行有关法律规定，在合同条款第19.7款中约定的由承包人负责对合同约定的保修范围内发生的质量问题履行保修义务并对造成的损失承担赔偿责任的期限。</w:t>
      </w:r>
    </w:p>
    <w:p w14:paraId="570D333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1.1.5合同价格和费用</w:t>
      </w:r>
    </w:p>
    <w:p w14:paraId="7492B2B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合同价=</w:t>
      </w:r>
      <w:r>
        <w:rPr>
          <w:rFonts w:hint="eastAsia" w:ascii="宋体" w:hAnsi="宋体" w:eastAsia="宋体" w:cs="宋体"/>
          <w:bCs/>
          <w:color w:val="auto"/>
          <w:kern w:val="0"/>
          <w:sz w:val="21"/>
          <w:szCs w:val="21"/>
          <w:highlight w:val="none"/>
          <w:lang w:val="en-US" w:eastAsia="zh-CN" w:bidi="ar"/>
        </w:rPr>
        <w:t>工程建安费+设计费</w:t>
      </w:r>
      <w:r>
        <w:rPr>
          <w:rFonts w:hint="eastAsia" w:ascii="宋体" w:hAnsi="宋体" w:eastAsia="宋体" w:cs="宋体"/>
          <w:color w:val="auto"/>
          <w:kern w:val="2"/>
          <w:sz w:val="21"/>
          <w:szCs w:val="21"/>
          <w:highlight w:val="none"/>
          <w:lang w:val="en-US" w:eastAsia="zh-CN" w:bidi="ar"/>
        </w:rPr>
        <w:t>。其中：</w:t>
      </w:r>
    </w:p>
    <w:p w14:paraId="7588241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①</w:t>
      </w:r>
      <w:r>
        <w:rPr>
          <w:rFonts w:hint="eastAsia" w:ascii="宋体" w:hAnsi="宋体" w:eastAsia="宋体" w:cs="宋体"/>
          <w:bCs/>
          <w:color w:val="auto"/>
          <w:kern w:val="0"/>
          <w:sz w:val="21"/>
          <w:szCs w:val="21"/>
          <w:highlight w:val="none"/>
          <w:lang w:val="en-US" w:eastAsia="zh-CN" w:bidi="ar"/>
        </w:rPr>
        <w:t>工程建安费签约合同价为经发包人委托第三方造价审核单位审核的施工图预算的</w:t>
      </w:r>
      <w:r>
        <w:rPr>
          <w:rFonts w:hint="eastAsia" w:ascii="宋体" w:hAnsi="宋体" w:eastAsia="宋体" w:cs="宋体"/>
          <w:bCs/>
          <w:color w:val="auto"/>
          <w:kern w:val="0"/>
          <w:sz w:val="21"/>
          <w:szCs w:val="21"/>
          <w:highlight w:val="none"/>
          <w:u w:val="single"/>
          <w:lang w:val="en-US" w:eastAsia="zh-CN" w:bidi="ar"/>
        </w:rPr>
        <w:t xml:space="preserve">      </w:t>
      </w:r>
      <w:r>
        <w:rPr>
          <w:rFonts w:hint="eastAsia" w:ascii="宋体" w:hAnsi="宋体" w:eastAsia="宋体" w:cs="宋体"/>
          <w:bCs/>
          <w:color w:val="auto"/>
          <w:kern w:val="0"/>
          <w:sz w:val="21"/>
          <w:szCs w:val="21"/>
          <w:highlight w:val="none"/>
          <w:lang w:val="en-US" w:eastAsia="zh-CN" w:bidi="ar"/>
        </w:rPr>
        <w:t xml:space="preserve"> %；</w:t>
      </w:r>
    </w:p>
    <w:p w14:paraId="0BCE28BB">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②设计费：设计费签约合同价，即</w:t>
      </w:r>
      <w:r>
        <w:rPr>
          <w:rFonts w:hint="eastAsia" w:ascii="宋体" w:hAnsi="宋体" w:eastAsia="宋体" w:cs="宋体"/>
          <w:color w:val="auto"/>
          <w:kern w:val="2"/>
          <w:sz w:val="21"/>
          <w:szCs w:val="21"/>
          <w:highlight w:val="none"/>
          <w:u w:val="single"/>
          <w:lang w:val="en-US" w:eastAsia="zh-CN" w:bidi="ar"/>
        </w:rPr>
        <w:t xml:space="preserve">           万</w:t>
      </w:r>
      <w:r>
        <w:rPr>
          <w:rFonts w:hint="eastAsia" w:ascii="宋体" w:hAnsi="宋体" w:eastAsia="宋体" w:cs="宋体"/>
          <w:color w:val="auto"/>
          <w:kern w:val="2"/>
          <w:sz w:val="21"/>
          <w:szCs w:val="21"/>
          <w:highlight w:val="none"/>
          <w:lang w:val="en-US" w:eastAsia="zh-CN" w:bidi="ar"/>
        </w:rPr>
        <w:t>元。</w:t>
      </w:r>
    </w:p>
    <w:p w14:paraId="0D510AF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1.1.6其他</w:t>
      </w:r>
    </w:p>
    <w:p w14:paraId="10A760E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1.1.6.1除另有特别指明外，专用合同条款中使用的措辞“合同条款”指通用合同条款和（或）专用合同条款。</w:t>
      </w:r>
    </w:p>
    <w:p w14:paraId="5E283B9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1.2法律</w:t>
      </w:r>
    </w:p>
    <w:p w14:paraId="134DCB7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适用于合同的其他规范性文件：</w:t>
      </w:r>
      <w:r>
        <w:rPr>
          <w:rFonts w:hint="eastAsia" w:ascii="宋体" w:hAnsi="宋体" w:eastAsia="宋体" w:cs="宋体"/>
          <w:color w:val="auto"/>
          <w:kern w:val="2"/>
          <w:sz w:val="21"/>
          <w:szCs w:val="21"/>
          <w:highlight w:val="none"/>
          <w:u w:val="single"/>
          <w:lang w:val="en-US" w:eastAsia="zh-CN" w:bidi="ar"/>
        </w:rPr>
        <w:t>《中华人民共和国民法典》、《中华人民共和国建筑法》、《中华人民共和国招标投标法》、《中华人民共和国招标投标法实施条例》、《中华人民共和国安全生产法》、《中华人民共和国劳动法》、《中华人民共和国环境保护法》、《建设工程质量管理条例》及中华人民共和国住房和城乡建设部等法律、行政法规、规章及省、市、区的有关规定。</w:t>
      </w:r>
    </w:p>
    <w:p w14:paraId="6C89341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1.3合同文件的优先顺序</w:t>
      </w:r>
    </w:p>
    <w:p w14:paraId="0E56FD9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合同文件的优先解释顺序如下：</w:t>
      </w:r>
    </w:p>
    <w:p w14:paraId="6341ECE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（1）补充合同、补充协议；</w:t>
      </w:r>
    </w:p>
    <w:p w14:paraId="34A3240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（2）合同协议书；</w:t>
      </w:r>
    </w:p>
    <w:p w14:paraId="2D7561B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（3）中标通知书；</w:t>
      </w:r>
    </w:p>
    <w:p w14:paraId="07F7C4A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（4）投标函及投标函附录；</w:t>
      </w:r>
    </w:p>
    <w:p w14:paraId="7231889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（5）本合同专用条款；</w:t>
      </w:r>
    </w:p>
    <w:p w14:paraId="35497EA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（6）本合同通用条款；</w:t>
      </w:r>
    </w:p>
    <w:p w14:paraId="0C8B4A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（7）招标文件；</w:t>
      </w:r>
    </w:p>
    <w:p w14:paraId="4239F26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（8）标准、规范及有关技术文件；</w:t>
      </w:r>
    </w:p>
    <w:p w14:paraId="1CEB4FE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（9）招标人委托第三方审定的价格清单；</w:t>
      </w:r>
    </w:p>
    <w:p w14:paraId="080020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（10）其他合同文件。</w:t>
      </w:r>
    </w:p>
    <w:p w14:paraId="6613596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1.4文件的提供和照管</w:t>
      </w:r>
    </w:p>
    <w:p w14:paraId="5050FFF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1.4.1 承包人文件的提供</w:t>
      </w:r>
    </w:p>
    <w:p w14:paraId="195623B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（1）承包人文件的范围和提供的期限、数量：</w:t>
      </w:r>
    </w:p>
    <w:p w14:paraId="42DC6E0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①项目设计文件</w:t>
      </w:r>
    </w:p>
    <w:p w14:paraId="704F442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◆建设内容的所有</w:t>
      </w:r>
    </w:p>
    <w:p w14:paraId="56DD711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630" w:firstLineChars="3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 xml:space="preserve">2.2工程内容及规模： </w:t>
      </w:r>
      <w:r>
        <w:rPr>
          <w:rFonts w:hint="eastAsia" w:ascii="宋体" w:hAnsi="宋体" w:eastAsia="宋体" w:cs="宋体"/>
          <w:color w:val="auto"/>
          <w:kern w:val="2"/>
          <w:sz w:val="21"/>
          <w:szCs w:val="21"/>
          <w:highlight w:val="none"/>
          <w:u w:val="single"/>
          <w:lang w:val="en-US" w:eastAsia="zh-CN" w:bidi="ar"/>
        </w:rPr>
        <w:t xml:space="preserve">                                                      。</w:t>
      </w:r>
    </w:p>
    <w:p w14:paraId="1F28F1F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最终的工程内容及规模以业主确认的施工图为准。</w:t>
      </w:r>
    </w:p>
    <w:p w14:paraId="7472103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1"/>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按发包人确认后施工图的正式设计文件给发包人，</w:t>
      </w:r>
      <w:r>
        <w:rPr>
          <w:rFonts w:hint="eastAsia" w:ascii="宋体" w:hAnsi="宋体" w:eastAsia="宋体" w:cs="宋体"/>
          <w:color w:val="auto"/>
          <w:kern w:val="2"/>
          <w:sz w:val="21"/>
          <w:szCs w:val="21"/>
          <w:highlight w:val="none"/>
          <w:u w:val="single"/>
          <w:lang w:val="en-US" w:eastAsia="zh-CN" w:bidi="ar"/>
        </w:rPr>
        <w:t>具体份数不低于8套且满足业主要求。</w:t>
      </w:r>
    </w:p>
    <w:p w14:paraId="6BD48EB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施工图联审及前期手续办理中所需的文件数量均由承包人负责提供，费用均包含在工程设计费中。</w:t>
      </w:r>
    </w:p>
    <w:p w14:paraId="12918CE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②项目实施文件</w:t>
      </w:r>
    </w:p>
    <w:p w14:paraId="1C3586F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◆项目进度计划：</w:t>
      </w:r>
      <w:r>
        <w:rPr>
          <w:rFonts w:hint="eastAsia" w:ascii="宋体" w:hAnsi="宋体" w:eastAsia="宋体" w:cs="宋体"/>
          <w:color w:val="auto"/>
          <w:kern w:val="2"/>
          <w:sz w:val="21"/>
          <w:szCs w:val="21"/>
          <w:highlight w:val="none"/>
          <w:u w:val="single"/>
          <w:lang w:val="en-US" w:eastAsia="zh-CN" w:bidi="ar"/>
        </w:rPr>
        <w:t>承包人进场前提供的份数不低于6份且满足业主要求</w:t>
      </w:r>
      <w:r>
        <w:rPr>
          <w:rFonts w:hint="eastAsia" w:ascii="宋体" w:hAnsi="宋体" w:eastAsia="宋体" w:cs="宋体"/>
          <w:color w:val="auto"/>
          <w:kern w:val="2"/>
          <w:sz w:val="21"/>
          <w:szCs w:val="21"/>
          <w:highlight w:val="none"/>
          <w:lang w:val="en-US" w:eastAsia="zh-CN" w:bidi="ar"/>
        </w:rPr>
        <w:t>；</w:t>
      </w:r>
    </w:p>
    <w:p w14:paraId="5CFEDEE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◆设计进度计划：</w:t>
      </w:r>
      <w:r>
        <w:rPr>
          <w:rFonts w:hint="eastAsia" w:ascii="宋体" w:hAnsi="宋体" w:eastAsia="宋体" w:cs="宋体"/>
          <w:color w:val="auto"/>
          <w:kern w:val="2"/>
          <w:sz w:val="21"/>
          <w:szCs w:val="21"/>
          <w:highlight w:val="none"/>
          <w:u w:val="single"/>
          <w:lang w:val="en-US" w:eastAsia="zh-CN" w:bidi="ar"/>
        </w:rPr>
        <w:t>承包人进场前提供的份数不低于6份且满足业主要求</w:t>
      </w:r>
      <w:r>
        <w:rPr>
          <w:rFonts w:hint="eastAsia" w:ascii="宋体" w:hAnsi="宋体" w:eastAsia="宋体" w:cs="宋体"/>
          <w:color w:val="auto"/>
          <w:kern w:val="2"/>
          <w:sz w:val="21"/>
          <w:szCs w:val="21"/>
          <w:highlight w:val="none"/>
          <w:lang w:val="en-US" w:eastAsia="zh-CN" w:bidi="ar"/>
        </w:rPr>
        <w:t>；</w:t>
      </w:r>
    </w:p>
    <w:p w14:paraId="49ECC77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◆采购进度计划：</w:t>
      </w:r>
      <w:r>
        <w:rPr>
          <w:rFonts w:hint="eastAsia" w:ascii="宋体" w:hAnsi="宋体" w:eastAsia="宋体" w:cs="宋体"/>
          <w:color w:val="auto"/>
          <w:kern w:val="2"/>
          <w:sz w:val="21"/>
          <w:szCs w:val="21"/>
          <w:highlight w:val="none"/>
          <w:u w:val="single"/>
          <w:lang w:val="en-US" w:eastAsia="zh-CN" w:bidi="ar"/>
        </w:rPr>
        <w:t>承包人进场前提供的份数不低于6份且满足业主要求</w:t>
      </w:r>
      <w:r>
        <w:rPr>
          <w:rFonts w:hint="eastAsia" w:ascii="宋体" w:hAnsi="宋体" w:eastAsia="宋体" w:cs="宋体"/>
          <w:color w:val="auto"/>
          <w:kern w:val="2"/>
          <w:sz w:val="21"/>
          <w:szCs w:val="21"/>
          <w:highlight w:val="none"/>
          <w:lang w:val="en-US" w:eastAsia="zh-CN" w:bidi="ar"/>
        </w:rPr>
        <w:t>；</w:t>
      </w:r>
    </w:p>
    <w:p w14:paraId="4C95FA4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◆总体施工组织设计（包括施工技术方法、施工进度计划、施工人力资源计划一览表、主要施工机具资源计划一览表在内）：</w:t>
      </w:r>
      <w:r>
        <w:rPr>
          <w:rFonts w:hint="eastAsia" w:ascii="宋体" w:hAnsi="宋体" w:eastAsia="宋体" w:cs="宋体"/>
          <w:color w:val="auto"/>
          <w:kern w:val="2"/>
          <w:sz w:val="21"/>
          <w:szCs w:val="21"/>
          <w:highlight w:val="none"/>
          <w:u w:val="single"/>
          <w:lang w:val="en-US" w:eastAsia="zh-CN" w:bidi="ar"/>
        </w:rPr>
        <w:t>承包人进场施工7日前提供的份数不低于3份且满足业主要求</w:t>
      </w:r>
      <w:r>
        <w:rPr>
          <w:rFonts w:hint="eastAsia" w:ascii="宋体" w:hAnsi="宋体" w:eastAsia="宋体" w:cs="宋体"/>
          <w:color w:val="auto"/>
          <w:kern w:val="2"/>
          <w:sz w:val="21"/>
          <w:szCs w:val="21"/>
          <w:highlight w:val="none"/>
          <w:lang w:val="en-US" w:eastAsia="zh-CN" w:bidi="ar"/>
        </w:rPr>
        <w:t>；</w:t>
      </w:r>
    </w:p>
    <w:p w14:paraId="6A3D191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◆职业健康、安全、环境保护管理实施计划：</w:t>
      </w:r>
      <w:r>
        <w:rPr>
          <w:rFonts w:hint="eastAsia" w:ascii="宋体" w:hAnsi="宋体" w:eastAsia="宋体" w:cs="宋体"/>
          <w:color w:val="auto"/>
          <w:kern w:val="2"/>
          <w:sz w:val="21"/>
          <w:szCs w:val="21"/>
          <w:highlight w:val="none"/>
          <w:u w:val="single"/>
          <w:lang w:val="en-US" w:eastAsia="zh-CN" w:bidi="ar"/>
        </w:rPr>
        <w:t>承包人进场前提供的份数不低于6份且满足业主要求</w:t>
      </w:r>
      <w:r>
        <w:rPr>
          <w:rFonts w:hint="eastAsia" w:ascii="宋体" w:hAnsi="宋体" w:eastAsia="宋体" w:cs="宋体"/>
          <w:color w:val="auto"/>
          <w:kern w:val="2"/>
          <w:sz w:val="21"/>
          <w:szCs w:val="21"/>
          <w:highlight w:val="none"/>
          <w:lang w:val="en-US" w:eastAsia="zh-CN" w:bidi="ar"/>
        </w:rPr>
        <w:t>；</w:t>
      </w:r>
    </w:p>
    <w:p w14:paraId="6D91E2D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◆主要单项工程和主要分部分项工程施工组织设计：</w:t>
      </w:r>
      <w:r>
        <w:rPr>
          <w:rFonts w:hint="eastAsia" w:ascii="宋体" w:hAnsi="宋体" w:eastAsia="宋体" w:cs="宋体"/>
          <w:color w:val="auto"/>
          <w:kern w:val="2"/>
          <w:sz w:val="21"/>
          <w:szCs w:val="21"/>
          <w:highlight w:val="none"/>
          <w:u w:val="single"/>
          <w:lang w:val="en-US" w:eastAsia="zh-CN" w:bidi="ar"/>
        </w:rPr>
        <w:t>单项工程和分部分项施工前7日内提供的份数不低于6份且满足业主要求</w:t>
      </w:r>
      <w:r>
        <w:rPr>
          <w:rFonts w:hint="eastAsia" w:ascii="宋体" w:hAnsi="宋体" w:eastAsia="宋体" w:cs="宋体"/>
          <w:color w:val="auto"/>
          <w:kern w:val="2"/>
          <w:sz w:val="21"/>
          <w:szCs w:val="21"/>
          <w:highlight w:val="none"/>
          <w:lang w:val="en-US" w:eastAsia="zh-CN" w:bidi="ar"/>
        </w:rPr>
        <w:t>；</w:t>
      </w:r>
    </w:p>
    <w:p w14:paraId="637C8E5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◆质量保证细则和工作执行文件：</w:t>
      </w:r>
      <w:r>
        <w:rPr>
          <w:rFonts w:hint="eastAsia" w:ascii="宋体" w:hAnsi="宋体" w:eastAsia="宋体" w:cs="宋体"/>
          <w:color w:val="auto"/>
          <w:kern w:val="2"/>
          <w:sz w:val="21"/>
          <w:szCs w:val="21"/>
          <w:highlight w:val="none"/>
          <w:u w:val="single"/>
          <w:lang w:val="en-US" w:eastAsia="zh-CN" w:bidi="ar"/>
        </w:rPr>
        <w:t>各设计和实施阶段开始实施前14日内提供的份数不低于6份且满足业主要求</w:t>
      </w:r>
      <w:r>
        <w:rPr>
          <w:rFonts w:hint="eastAsia" w:ascii="宋体" w:hAnsi="宋体" w:eastAsia="宋体" w:cs="宋体"/>
          <w:color w:val="auto"/>
          <w:kern w:val="2"/>
          <w:sz w:val="21"/>
          <w:szCs w:val="21"/>
          <w:highlight w:val="none"/>
          <w:lang w:val="en-US" w:eastAsia="zh-CN" w:bidi="ar"/>
        </w:rPr>
        <w:t>；</w:t>
      </w:r>
    </w:p>
    <w:p w14:paraId="3E561C7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◆竣工试验方案：</w:t>
      </w:r>
      <w:r>
        <w:rPr>
          <w:rFonts w:hint="eastAsia" w:ascii="宋体" w:hAnsi="宋体" w:eastAsia="宋体" w:cs="宋体"/>
          <w:color w:val="auto"/>
          <w:kern w:val="2"/>
          <w:sz w:val="21"/>
          <w:szCs w:val="21"/>
          <w:highlight w:val="none"/>
          <w:u w:val="single"/>
          <w:lang w:val="en-US" w:eastAsia="zh-CN" w:bidi="ar"/>
        </w:rPr>
        <w:t>达到竣工试验条件14日前提供要求的份数不低于6份且满足业主要求</w:t>
      </w:r>
      <w:r>
        <w:rPr>
          <w:rFonts w:hint="eastAsia" w:ascii="宋体" w:hAnsi="宋体" w:eastAsia="宋体" w:cs="宋体"/>
          <w:color w:val="auto"/>
          <w:kern w:val="2"/>
          <w:sz w:val="21"/>
          <w:szCs w:val="21"/>
          <w:highlight w:val="none"/>
          <w:lang w:val="en-US" w:eastAsia="zh-CN" w:bidi="ar"/>
        </w:rPr>
        <w:t>；</w:t>
      </w:r>
    </w:p>
    <w:p w14:paraId="615C08C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③在工程正式移交前提交工程所有审批资料一套。</w:t>
      </w:r>
    </w:p>
    <w:p w14:paraId="4EEFF5F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◆承包人的设计文件和施工方案在施工前必须由发包人和监理单位认可后方可实施。</w:t>
      </w:r>
    </w:p>
    <w:p w14:paraId="4ABC39E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（2）监理单位对承包人文件批复的期限：监理单位在接到项目实施文件后7日内批复，监理单位的批复认可并不能减轻或免除承包人的合同责任。</w:t>
      </w:r>
    </w:p>
    <w:p w14:paraId="1D6E9F3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1.5.1发包人提供的文件</w:t>
      </w:r>
    </w:p>
    <w:p w14:paraId="2A2BE7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发包人提供的文件范围和提供的期限、数量：</w:t>
      </w:r>
      <w:r>
        <w:rPr>
          <w:rFonts w:hint="eastAsia" w:ascii="宋体" w:hAnsi="宋体" w:eastAsia="宋体" w:cs="宋体"/>
          <w:color w:val="auto"/>
          <w:kern w:val="2"/>
          <w:sz w:val="21"/>
          <w:szCs w:val="21"/>
          <w:highlight w:val="none"/>
          <w:u w:val="single"/>
          <w:lang w:val="en-US" w:eastAsia="zh-CN" w:bidi="ar"/>
        </w:rPr>
        <w:t>本项目设计方案、初步设计、详勘报告及相关审核文件等在合同签订后提供2份</w:t>
      </w:r>
      <w:r>
        <w:rPr>
          <w:rFonts w:hint="eastAsia" w:ascii="宋体" w:hAnsi="宋体" w:eastAsia="宋体" w:cs="宋体"/>
          <w:color w:val="auto"/>
          <w:kern w:val="2"/>
          <w:sz w:val="21"/>
          <w:szCs w:val="21"/>
          <w:highlight w:val="none"/>
          <w:lang w:val="en-US" w:eastAsia="zh-CN" w:bidi="ar"/>
        </w:rPr>
        <w:t>。</w:t>
      </w:r>
    </w:p>
    <w:p w14:paraId="0460F0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1.6联络</w:t>
      </w:r>
    </w:p>
    <w:p w14:paraId="076A98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1.6.1联络来往函件的送达和接收</w:t>
      </w:r>
    </w:p>
    <w:p w14:paraId="3D04DD2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（1）联络来往信函的送达期限：合同约定了发出期限的，送达期限为合同约定的发出期限后的24小时内；合同约定了通知、提供或者报送期限的，通知、提供或者报送期限即为送达期限。</w:t>
      </w:r>
    </w:p>
    <w:p w14:paraId="71F3DD2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（2）发包人指定的接收人： </w:t>
      </w:r>
    </w:p>
    <w:p w14:paraId="16762BE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（3）发包人指定的接收地点： </w:t>
      </w:r>
    </w:p>
    <w:p w14:paraId="14ED5E7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（4）监理单位指定的接收人：</w:t>
      </w:r>
    </w:p>
    <w:p w14:paraId="089021F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（5）监理单位指定的接收地点：</w:t>
      </w:r>
      <w:r>
        <w:rPr>
          <w:rFonts w:hint="eastAsia" w:ascii="宋体" w:hAnsi="宋体" w:eastAsia="宋体" w:cs="宋体"/>
          <w:color w:val="auto"/>
          <w:kern w:val="2"/>
          <w:sz w:val="21"/>
          <w:szCs w:val="21"/>
          <w:highlight w:val="none"/>
          <w:u w:val="single"/>
          <w:lang w:val="en-US" w:eastAsia="zh-CN" w:bidi="ar"/>
        </w:rPr>
        <w:t>现场监理办公室</w:t>
      </w:r>
      <w:r>
        <w:rPr>
          <w:rFonts w:hint="eastAsia" w:ascii="宋体" w:hAnsi="宋体" w:eastAsia="宋体" w:cs="宋体"/>
          <w:color w:val="auto"/>
          <w:kern w:val="2"/>
          <w:sz w:val="21"/>
          <w:szCs w:val="21"/>
          <w:highlight w:val="none"/>
          <w:lang w:val="en-US" w:eastAsia="zh-CN" w:bidi="ar"/>
        </w:rPr>
        <w:t>。</w:t>
      </w:r>
    </w:p>
    <w:p w14:paraId="7FA0169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承包人指定的接收人为合同协议书中载明的承包人工程总承包项目经理本人或者工程总承包项目经理的授权代表。承包人应在收到合同签订后7天内，将承包人指定的接收人和授权范围通知监理单位。除合同另有约定外，承包人施工场地管理机构的办公地点即为承包人指定的接收地点。</w:t>
      </w:r>
    </w:p>
    <w:p w14:paraId="794C8EF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发包人（包括监理单位）和承包中任何一方指定的接收人或者接收地点发生变动，应当在实际变动前提前至少一个工作日以书面方式通知另一方。发包人（包括监理单位）和承包人应当确保其各自指定的接收人在法定的和（或）符合合同约定的工作时间内始终工作在指定的接收地点，指定接收人离开工作岗位而无法及时签收来往信函构成拒不签收。</w:t>
      </w:r>
    </w:p>
    <w:p w14:paraId="4FC2D54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发包人（包括监理单位）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50CBBE5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1.7交通运输</w:t>
      </w:r>
    </w:p>
    <w:p w14:paraId="4CAB8FD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1.7.1 出入现场的权利</w:t>
      </w:r>
    </w:p>
    <w:p w14:paraId="34AF7C2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关于出入现场的权利的约定：</w:t>
      </w:r>
      <w:r>
        <w:rPr>
          <w:rFonts w:hint="eastAsia" w:ascii="宋体" w:hAnsi="宋体" w:eastAsia="宋体" w:cs="宋体"/>
          <w:color w:val="auto"/>
          <w:kern w:val="2"/>
          <w:sz w:val="21"/>
          <w:szCs w:val="21"/>
          <w:highlight w:val="none"/>
          <w:u w:val="single"/>
          <w:lang w:val="en-US" w:eastAsia="zh-CN" w:bidi="ar"/>
        </w:rPr>
        <w:t>承包人负责出入现场的管理工作，并承担相应的管理责任及费用，但发包人有权根据项目管理的需要，随时进入施工现场，承包人应提供相应的便利条件</w:t>
      </w:r>
      <w:r>
        <w:rPr>
          <w:rFonts w:hint="eastAsia" w:ascii="宋体" w:hAnsi="宋体" w:eastAsia="宋体" w:cs="宋体"/>
          <w:color w:val="auto"/>
          <w:kern w:val="2"/>
          <w:sz w:val="21"/>
          <w:szCs w:val="21"/>
          <w:highlight w:val="none"/>
          <w:lang w:val="en-US" w:eastAsia="zh-CN" w:bidi="ar"/>
        </w:rPr>
        <w:t>。</w:t>
      </w:r>
    </w:p>
    <w:p w14:paraId="392C2A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1.7.2场内交通</w:t>
      </w:r>
    </w:p>
    <w:p w14:paraId="731B950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关于场外交通和场内交通的边界的约定：</w:t>
      </w:r>
      <w:r>
        <w:rPr>
          <w:rFonts w:hint="eastAsia" w:ascii="宋体" w:hAnsi="宋体" w:eastAsia="宋体" w:cs="宋体"/>
          <w:color w:val="auto"/>
          <w:kern w:val="2"/>
          <w:sz w:val="21"/>
          <w:szCs w:val="21"/>
          <w:highlight w:val="none"/>
          <w:u w:val="single"/>
          <w:lang w:val="en-US" w:eastAsia="zh-CN" w:bidi="ar"/>
        </w:rPr>
        <w:t>以用地红线为分界线</w:t>
      </w:r>
      <w:r>
        <w:rPr>
          <w:rFonts w:hint="eastAsia" w:ascii="宋体" w:hAnsi="宋体" w:eastAsia="宋体" w:cs="宋体"/>
          <w:color w:val="auto"/>
          <w:kern w:val="2"/>
          <w:sz w:val="21"/>
          <w:szCs w:val="21"/>
          <w:highlight w:val="none"/>
          <w:lang w:val="en-US" w:eastAsia="zh-CN" w:bidi="ar"/>
        </w:rPr>
        <w:t>。</w:t>
      </w:r>
    </w:p>
    <w:p w14:paraId="64CC31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关于发包人向承包人免费提供满足工程施工需要的场内道路和交通设施的约定：发包人不免费提供,该费用已包含在临时设施费内，由承包人负责实施、维护及拆除等。</w:t>
      </w:r>
    </w:p>
    <w:p w14:paraId="187A402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1.8知识产权</w:t>
      </w:r>
    </w:p>
    <w:p w14:paraId="49AE2D6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2"/>
          <w:sz w:val="21"/>
          <w:szCs w:val="21"/>
          <w:highlight w:val="none"/>
          <w:u w:val="single"/>
          <w:lang w:val="en-US" w:eastAsia="zh-CN" w:bidi="ar"/>
        </w:rPr>
        <w:t>发包人</w:t>
      </w:r>
      <w:r>
        <w:rPr>
          <w:rFonts w:hint="eastAsia" w:ascii="宋体" w:hAnsi="宋体" w:eastAsia="宋体" w:cs="宋体"/>
          <w:color w:val="auto"/>
          <w:kern w:val="2"/>
          <w:sz w:val="21"/>
          <w:szCs w:val="21"/>
          <w:highlight w:val="none"/>
          <w:lang w:val="en-US" w:eastAsia="zh-CN" w:bidi="ar"/>
        </w:rPr>
        <w:t>。</w:t>
      </w:r>
    </w:p>
    <w:p w14:paraId="1935C77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关于发包人提供的上述文件的使用限制的要求：</w:t>
      </w:r>
      <w:r>
        <w:rPr>
          <w:rFonts w:hint="eastAsia" w:ascii="宋体" w:hAnsi="宋体" w:eastAsia="宋体" w:cs="宋体"/>
          <w:color w:val="auto"/>
          <w:kern w:val="2"/>
          <w:sz w:val="21"/>
          <w:szCs w:val="21"/>
          <w:highlight w:val="none"/>
          <w:u w:val="single"/>
          <w:lang w:val="en-US" w:eastAsia="zh-CN" w:bidi="ar"/>
        </w:rPr>
        <w:t>按通用条款</w:t>
      </w:r>
      <w:r>
        <w:rPr>
          <w:rFonts w:hint="eastAsia" w:ascii="宋体" w:hAnsi="宋体" w:eastAsia="宋体" w:cs="宋体"/>
          <w:color w:val="auto"/>
          <w:kern w:val="2"/>
          <w:sz w:val="21"/>
          <w:szCs w:val="21"/>
          <w:highlight w:val="none"/>
          <w:lang w:val="en-US" w:eastAsia="zh-CN" w:bidi="ar"/>
        </w:rPr>
        <w:t>。</w:t>
      </w:r>
    </w:p>
    <w:p w14:paraId="48C45F3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1.8.2 关于承包人为实施工程所编制文件的著作权的归属：</w:t>
      </w:r>
      <w:r>
        <w:rPr>
          <w:rFonts w:hint="eastAsia" w:ascii="宋体" w:hAnsi="宋体" w:eastAsia="宋体" w:cs="宋体"/>
          <w:color w:val="auto"/>
          <w:kern w:val="2"/>
          <w:sz w:val="21"/>
          <w:szCs w:val="21"/>
          <w:highlight w:val="none"/>
          <w:u w:val="single"/>
          <w:lang w:val="en-US" w:eastAsia="zh-CN" w:bidi="ar"/>
        </w:rPr>
        <w:t>归发包人所有</w:t>
      </w:r>
      <w:r>
        <w:rPr>
          <w:rFonts w:hint="eastAsia" w:ascii="宋体" w:hAnsi="宋体" w:eastAsia="宋体" w:cs="宋体"/>
          <w:color w:val="auto"/>
          <w:kern w:val="2"/>
          <w:sz w:val="21"/>
          <w:szCs w:val="21"/>
          <w:highlight w:val="none"/>
          <w:lang w:val="en-US" w:eastAsia="zh-CN" w:bidi="ar"/>
        </w:rPr>
        <w:t>。</w:t>
      </w:r>
    </w:p>
    <w:p w14:paraId="037B38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关于承包人提供的上述文件的使用限制的要求：</w:t>
      </w:r>
      <w:r>
        <w:rPr>
          <w:rFonts w:hint="eastAsia" w:ascii="宋体" w:hAnsi="宋体" w:eastAsia="宋体" w:cs="宋体"/>
          <w:color w:val="auto"/>
          <w:kern w:val="2"/>
          <w:sz w:val="21"/>
          <w:szCs w:val="21"/>
          <w:highlight w:val="none"/>
          <w:u w:val="single"/>
          <w:lang w:val="en-US" w:eastAsia="zh-CN" w:bidi="ar"/>
        </w:rPr>
        <w:t>按通用条款</w:t>
      </w:r>
      <w:r>
        <w:rPr>
          <w:rFonts w:hint="eastAsia" w:ascii="宋体" w:hAnsi="宋体" w:eastAsia="宋体" w:cs="宋体"/>
          <w:color w:val="auto"/>
          <w:kern w:val="2"/>
          <w:sz w:val="21"/>
          <w:szCs w:val="21"/>
          <w:highlight w:val="none"/>
          <w:lang w:val="en-US" w:eastAsia="zh-CN" w:bidi="ar"/>
        </w:rPr>
        <w:t>。</w:t>
      </w:r>
    </w:p>
    <w:p w14:paraId="2F327AD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1.8.3承包人在施工过程中所采用的专利、专有技术、技术秘密的使用费的承担方式：</w:t>
      </w:r>
      <w:r>
        <w:rPr>
          <w:rFonts w:hint="eastAsia" w:ascii="宋体" w:hAnsi="宋体" w:eastAsia="宋体" w:cs="宋体"/>
          <w:color w:val="auto"/>
          <w:kern w:val="2"/>
          <w:sz w:val="21"/>
          <w:szCs w:val="21"/>
          <w:highlight w:val="none"/>
          <w:u w:val="single"/>
          <w:lang w:val="en-US" w:eastAsia="zh-CN" w:bidi="ar"/>
        </w:rPr>
        <w:t>承包人在施工过程中所采用的专利、专有技术、技术秘密的使用费等费用包含在签约价中，不再单独计价</w:t>
      </w:r>
      <w:r>
        <w:rPr>
          <w:rFonts w:hint="eastAsia" w:ascii="宋体" w:hAnsi="宋体" w:eastAsia="宋体" w:cs="宋体"/>
          <w:color w:val="auto"/>
          <w:kern w:val="2"/>
          <w:sz w:val="21"/>
          <w:szCs w:val="21"/>
          <w:highlight w:val="none"/>
          <w:lang w:val="en-US" w:eastAsia="zh-CN" w:bidi="ar"/>
        </w:rPr>
        <w:t>。</w:t>
      </w:r>
    </w:p>
    <w:p w14:paraId="59EC103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bookmarkStart w:id="478" w:name="_Toc19104"/>
      <w:bookmarkEnd w:id="478"/>
      <w:bookmarkStart w:id="479" w:name="_Toc7615"/>
      <w:bookmarkEnd w:id="479"/>
      <w:bookmarkStart w:id="480" w:name="_Toc38896037"/>
      <w:bookmarkEnd w:id="480"/>
      <w:bookmarkStart w:id="481" w:name="_Toc32208"/>
      <w:bookmarkEnd w:id="481"/>
      <w:bookmarkStart w:id="482" w:name="_Toc13047"/>
      <w:bookmarkEnd w:id="482"/>
      <w:bookmarkStart w:id="483" w:name="_Toc25932309"/>
      <w:r>
        <w:rPr>
          <w:rFonts w:hint="eastAsia" w:ascii="宋体" w:hAnsi="宋体" w:eastAsia="宋体" w:cs="宋体"/>
          <w:b/>
          <w:bCs/>
          <w:color w:val="auto"/>
          <w:kern w:val="2"/>
          <w:sz w:val="21"/>
          <w:szCs w:val="21"/>
          <w:highlight w:val="none"/>
          <w:lang w:val="en-US" w:eastAsia="zh-CN" w:bidi="ar"/>
        </w:rPr>
        <w:t>2.</w:t>
      </w:r>
      <w:bookmarkEnd w:id="483"/>
      <w:r>
        <w:rPr>
          <w:rFonts w:hint="eastAsia" w:ascii="宋体" w:hAnsi="宋体" w:eastAsia="宋体" w:cs="宋体"/>
          <w:b/>
          <w:bCs/>
          <w:color w:val="auto"/>
          <w:kern w:val="2"/>
          <w:sz w:val="21"/>
          <w:szCs w:val="21"/>
          <w:highlight w:val="none"/>
          <w:lang w:val="en-US" w:eastAsia="zh-CN" w:bidi="ar"/>
        </w:rPr>
        <w:t>发包人义务</w:t>
      </w:r>
    </w:p>
    <w:p w14:paraId="2291D47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u w:val="single"/>
        </w:rPr>
      </w:pPr>
      <w:r>
        <w:rPr>
          <w:rFonts w:hint="eastAsia" w:ascii="宋体" w:hAnsi="宋体" w:eastAsia="宋体" w:cs="宋体"/>
          <w:b/>
          <w:bCs/>
          <w:color w:val="auto"/>
          <w:kern w:val="2"/>
          <w:sz w:val="21"/>
          <w:szCs w:val="21"/>
          <w:highlight w:val="none"/>
          <w:lang w:val="en-US" w:eastAsia="zh-CN" w:bidi="ar"/>
        </w:rPr>
        <w:t>2.1发包人代表</w:t>
      </w:r>
    </w:p>
    <w:p w14:paraId="114F58F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发包人代表：</w:t>
      </w:r>
    </w:p>
    <w:p w14:paraId="4E71B8C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姓名：</w:t>
      </w:r>
    </w:p>
    <w:p w14:paraId="66EE47A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身份证号：</w:t>
      </w:r>
    </w:p>
    <w:p w14:paraId="173C772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职务：</w:t>
      </w:r>
    </w:p>
    <w:p w14:paraId="0C72D48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联系电话：</w:t>
      </w:r>
    </w:p>
    <w:p w14:paraId="3179330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电子信箱：</w:t>
      </w:r>
    </w:p>
    <w:p w14:paraId="0D6D563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通信地址：</w:t>
      </w:r>
    </w:p>
    <w:p w14:paraId="3E571CE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发包人对发包人代表的授权范围如下：</w:t>
      </w:r>
      <w:r>
        <w:rPr>
          <w:rFonts w:hint="eastAsia" w:ascii="宋体" w:hAnsi="宋体" w:eastAsia="宋体" w:cs="宋体"/>
          <w:color w:val="auto"/>
          <w:kern w:val="2"/>
          <w:sz w:val="21"/>
          <w:szCs w:val="21"/>
          <w:highlight w:val="none"/>
          <w:u w:val="single"/>
          <w:lang w:val="en-US" w:eastAsia="zh-CN" w:bidi="ar"/>
        </w:rPr>
        <w:t>代表发包方处理本工程建设中的相关事务，负责对整个工程进行全面监控和协调工作，管理合同，协调EPC工程总承包单位和监理单位及其它参建单位的关系</w:t>
      </w:r>
      <w:r>
        <w:rPr>
          <w:rFonts w:hint="eastAsia" w:ascii="宋体" w:hAnsi="宋体" w:eastAsia="宋体" w:cs="宋体"/>
          <w:color w:val="auto"/>
          <w:kern w:val="2"/>
          <w:sz w:val="21"/>
          <w:szCs w:val="21"/>
          <w:highlight w:val="none"/>
          <w:lang w:val="en-US" w:eastAsia="zh-CN" w:bidi="ar"/>
        </w:rPr>
        <w:t>。</w:t>
      </w:r>
    </w:p>
    <w:p w14:paraId="4F608A0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2.2提供施工场地</w:t>
      </w:r>
    </w:p>
    <w:p w14:paraId="19F6A6F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由承包人办理相应前期手续，发包人予以配合。承包人须根据国家、省、市等有关规定、发包人要求进场施工。</w:t>
      </w:r>
    </w:p>
    <w:p w14:paraId="508A8B7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2.3施工现场、施工条件和基础资料的提供</w:t>
      </w:r>
    </w:p>
    <w:p w14:paraId="2007E8F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2.3.1 提供施工现场</w:t>
      </w:r>
    </w:p>
    <w:p w14:paraId="48A0CDE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关于发包人移交施工现场的期限要求：</w:t>
      </w:r>
      <w:r>
        <w:rPr>
          <w:rFonts w:hint="eastAsia" w:ascii="宋体" w:hAnsi="宋体" w:eastAsia="宋体" w:cs="宋体"/>
          <w:color w:val="auto"/>
          <w:kern w:val="2"/>
          <w:sz w:val="21"/>
          <w:szCs w:val="21"/>
          <w:highlight w:val="none"/>
          <w:u w:val="single"/>
          <w:lang w:val="en-US" w:eastAsia="zh-CN" w:bidi="ar"/>
        </w:rPr>
        <w:t>开工前</w:t>
      </w:r>
      <w:r>
        <w:rPr>
          <w:rFonts w:hint="eastAsia" w:ascii="宋体" w:hAnsi="宋体" w:eastAsia="宋体" w:cs="宋体"/>
          <w:color w:val="auto"/>
          <w:kern w:val="2"/>
          <w:sz w:val="21"/>
          <w:szCs w:val="21"/>
          <w:highlight w:val="none"/>
          <w:lang w:val="en-US" w:eastAsia="zh-CN" w:bidi="ar"/>
        </w:rPr>
        <w:t>。</w:t>
      </w:r>
    </w:p>
    <w:p w14:paraId="5AB1E92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2.3.2 提供施工条件</w:t>
      </w:r>
    </w:p>
    <w:p w14:paraId="4F888FA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关于发包人应负责提供施工所需要的条件，包括：</w:t>
      </w:r>
    </w:p>
    <w:p w14:paraId="448D5421">
      <w:pPr>
        <w:keepNext w:val="0"/>
        <w:keepLines w:val="0"/>
        <w:pageBreakBefore w:val="0"/>
        <w:widowControl w:val="0"/>
        <w:numPr>
          <w:ilvl w:val="0"/>
          <w:numId w:val="3"/>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将施工所需的水、电接至施工场地的时间、地点和供应要求：</w:t>
      </w:r>
      <w:r>
        <w:rPr>
          <w:rFonts w:hint="eastAsia" w:ascii="宋体" w:hAnsi="宋体" w:eastAsia="宋体" w:cs="宋体"/>
          <w:color w:val="auto"/>
          <w:kern w:val="2"/>
          <w:sz w:val="21"/>
          <w:szCs w:val="21"/>
          <w:highlight w:val="none"/>
          <w:u w:val="single"/>
          <w:lang w:val="en-US" w:eastAsia="zh-CN" w:bidi="ar"/>
        </w:rPr>
        <w:t>本工程临时用电、用水由承包人自行向相关部门申请办理，其产生费用已包含着在投标报价中；施工期间因电力紧张或其他原因造成短期供电不足的，应由承包人自行配备足够容量的发电设备，确保施工正常进行，该费用由承包人自行承担，发包人不再计取措施费。</w:t>
      </w:r>
    </w:p>
    <w:p w14:paraId="2ACF8A4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99" w:firstLineChars="19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(2)工程地质和地下管线资料的提供时间</w:t>
      </w:r>
      <w:r>
        <w:rPr>
          <w:rFonts w:hint="eastAsia" w:ascii="宋体" w:hAnsi="宋体" w:eastAsia="宋体" w:cs="宋体"/>
          <w:color w:val="auto"/>
          <w:kern w:val="2"/>
          <w:sz w:val="21"/>
          <w:szCs w:val="21"/>
          <w:highlight w:val="none"/>
          <w:u w:val="single"/>
          <w:lang w:val="en-US" w:eastAsia="zh-CN" w:bidi="ar"/>
        </w:rPr>
        <w:t>：工程地质勘察报告、地下管线资料由发包人在设计前提供。</w:t>
      </w:r>
    </w:p>
    <w:p w14:paraId="7AE1FEF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(3)水准点与坐标控制点交验要求：</w:t>
      </w:r>
      <w:r>
        <w:rPr>
          <w:rFonts w:hint="eastAsia" w:ascii="宋体" w:hAnsi="宋体" w:eastAsia="宋体" w:cs="宋体"/>
          <w:color w:val="auto"/>
          <w:kern w:val="2"/>
          <w:sz w:val="21"/>
          <w:szCs w:val="21"/>
          <w:highlight w:val="none"/>
          <w:u w:val="single"/>
          <w:lang w:val="en-US" w:eastAsia="zh-CN" w:bidi="ar"/>
        </w:rPr>
        <w:t>本工程的水准点、坐标控制点等其余施工所需条件均由承包人负责，并承担相关费用。水准点与坐标点交验完毕即由承包人负责保护，此后由于破坏和失准带来的重新测量、放点费用及由此造成的其他损失均由承包人承担。</w:t>
      </w:r>
    </w:p>
    <w:p w14:paraId="29C6BF2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bookmarkStart w:id="484" w:name="_Toc22983"/>
      <w:bookmarkEnd w:id="484"/>
      <w:bookmarkStart w:id="485" w:name="_Toc11778"/>
      <w:bookmarkEnd w:id="485"/>
      <w:bookmarkStart w:id="486" w:name="_Toc38896038"/>
      <w:bookmarkEnd w:id="486"/>
      <w:bookmarkStart w:id="487" w:name="_Toc23157"/>
      <w:bookmarkEnd w:id="487"/>
      <w:bookmarkStart w:id="488" w:name="_Toc25932311"/>
      <w:bookmarkEnd w:id="488"/>
      <w:bookmarkStart w:id="489" w:name="_Toc15659"/>
      <w:r>
        <w:rPr>
          <w:rFonts w:hint="eastAsia" w:ascii="宋体" w:hAnsi="宋体" w:eastAsia="宋体" w:cs="宋体"/>
          <w:b/>
          <w:bCs/>
          <w:color w:val="auto"/>
          <w:kern w:val="2"/>
          <w:sz w:val="21"/>
          <w:szCs w:val="21"/>
          <w:highlight w:val="none"/>
          <w:lang w:val="en-US" w:eastAsia="zh-CN" w:bidi="ar"/>
        </w:rPr>
        <w:t>4.</w:t>
      </w:r>
      <w:bookmarkEnd w:id="489"/>
      <w:r>
        <w:rPr>
          <w:rFonts w:hint="eastAsia" w:ascii="宋体" w:hAnsi="宋体" w:eastAsia="宋体" w:cs="宋体"/>
          <w:b/>
          <w:bCs/>
          <w:color w:val="auto"/>
          <w:kern w:val="2"/>
          <w:sz w:val="21"/>
          <w:szCs w:val="21"/>
          <w:highlight w:val="none"/>
          <w:lang w:val="en-US" w:eastAsia="zh-CN" w:bidi="ar"/>
        </w:rPr>
        <w:t>承包人</w:t>
      </w:r>
    </w:p>
    <w:p w14:paraId="0F76B62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4.1承包人的一般义务</w:t>
      </w:r>
    </w:p>
    <w:p w14:paraId="3196D82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4.1.1承包人提交的竣工资料的内容：</w:t>
      </w:r>
      <w:r>
        <w:rPr>
          <w:rFonts w:hint="eastAsia" w:ascii="宋体" w:hAnsi="宋体" w:eastAsia="宋体" w:cs="宋体"/>
          <w:color w:val="auto"/>
          <w:kern w:val="2"/>
          <w:sz w:val="21"/>
          <w:szCs w:val="21"/>
          <w:highlight w:val="none"/>
          <w:u w:val="single"/>
          <w:lang w:val="en-US" w:eastAsia="zh-CN" w:bidi="ar"/>
        </w:rPr>
        <w:t>向发包人提交完整的竣工图纸及技术资料（含电子版）并应符合衢州市城建档案馆的存档要求且通过相关审核</w:t>
      </w:r>
      <w:r>
        <w:rPr>
          <w:rFonts w:hint="eastAsia" w:ascii="宋体" w:hAnsi="宋体" w:eastAsia="宋体" w:cs="宋体"/>
          <w:color w:val="auto"/>
          <w:kern w:val="2"/>
          <w:sz w:val="21"/>
          <w:szCs w:val="21"/>
          <w:highlight w:val="none"/>
          <w:lang w:val="en-US" w:eastAsia="zh-CN" w:bidi="ar"/>
        </w:rPr>
        <w:t>。在竣工过程中所需的文件数量均由承包人负责另行提供，费用均已包括在投标报价中。</w:t>
      </w:r>
    </w:p>
    <w:p w14:paraId="1F04FA4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承包人需要提交的竣工资料套数：</w:t>
      </w:r>
      <w:r>
        <w:rPr>
          <w:rFonts w:hint="eastAsia" w:ascii="宋体" w:hAnsi="宋体" w:eastAsia="宋体" w:cs="宋体"/>
          <w:color w:val="auto"/>
          <w:kern w:val="2"/>
          <w:sz w:val="21"/>
          <w:szCs w:val="21"/>
          <w:highlight w:val="none"/>
          <w:u w:val="single"/>
          <w:lang w:val="en-US" w:eastAsia="zh-CN" w:bidi="ar"/>
        </w:rPr>
        <w:t>纸质文件不少于捌套（必须含叁套原件）、电子版文件不少于贰套，且满足业主要求</w:t>
      </w:r>
      <w:r>
        <w:rPr>
          <w:rFonts w:hint="eastAsia" w:ascii="宋体" w:hAnsi="宋体" w:eastAsia="宋体" w:cs="宋体"/>
          <w:color w:val="auto"/>
          <w:kern w:val="2"/>
          <w:sz w:val="21"/>
          <w:szCs w:val="21"/>
          <w:highlight w:val="none"/>
          <w:lang w:val="en-US" w:eastAsia="zh-CN" w:bidi="ar"/>
        </w:rPr>
        <w:t>。</w:t>
      </w:r>
    </w:p>
    <w:p w14:paraId="3B26EF9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承包人提交的竣工资料的费用承担：</w:t>
      </w:r>
      <w:r>
        <w:rPr>
          <w:rFonts w:hint="eastAsia" w:ascii="宋体" w:hAnsi="宋体" w:eastAsia="宋体" w:cs="宋体"/>
          <w:color w:val="auto"/>
          <w:kern w:val="2"/>
          <w:sz w:val="21"/>
          <w:szCs w:val="21"/>
          <w:highlight w:val="none"/>
          <w:u w:val="single"/>
          <w:lang w:val="en-US" w:eastAsia="zh-CN" w:bidi="ar"/>
        </w:rPr>
        <w:t>由承包人承担（不另外计取）。</w:t>
      </w:r>
    </w:p>
    <w:p w14:paraId="15F111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承包人提交的竣工资料移交时间：</w:t>
      </w:r>
      <w:r>
        <w:rPr>
          <w:rFonts w:hint="eastAsia" w:ascii="宋体" w:hAnsi="宋体" w:eastAsia="宋体" w:cs="宋体"/>
          <w:color w:val="auto"/>
          <w:kern w:val="2"/>
          <w:sz w:val="21"/>
          <w:szCs w:val="21"/>
          <w:highlight w:val="none"/>
          <w:u w:val="single"/>
          <w:lang w:val="en-US" w:eastAsia="zh-CN" w:bidi="ar"/>
        </w:rPr>
        <w:t>竣工验收合格后一个月内。</w:t>
      </w:r>
    </w:p>
    <w:p w14:paraId="6976AB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承包人提交的竣工资料形式要求：</w:t>
      </w:r>
      <w:r>
        <w:rPr>
          <w:rFonts w:hint="eastAsia" w:ascii="宋体" w:hAnsi="宋体" w:eastAsia="宋体" w:cs="宋体"/>
          <w:color w:val="auto"/>
          <w:kern w:val="2"/>
          <w:sz w:val="21"/>
          <w:szCs w:val="21"/>
          <w:highlight w:val="none"/>
          <w:u w:val="single"/>
          <w:lang w:val="en-US" w:eastAsia="zh-CN" w:bidi="ar"/>
        </w:rPr>
        <w:t>书面文件原件及电子文件。</w:t>
      </w:r>
    </w:p>
    <w:p w14:paraId="629AAFE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4.1.2承包人应履行的其他义务：</w:t>
      </w:r>
      <w:r>
        <w:rPr>
          <w:rFonts w:hint="eastAsia" w:ascii="宋体" w:hAnsi="宋体" w:eastAsia="宋体" w:cs="宋体"/>
          <w:color w:val="auto"/>
          <w:kern w:val="2"/>
          <w:sz w:val="21"/>
          <w:szCs w:val="21"/>
          <w:highlight w:val="none"/>
          <w:u w:val="single"/>
          <w:lang w:val="en-US" w:eastAsia="zh-CN" w:bidi="ar"/>
        </w:rPr>
        <w:t>遵守相关法律法规，接受发包人及监理单位的监督，按照合同、施工图纸、工程联系单、图纸会审、会议纪要、施工及验收规范等精心施工，按期完成。</w:t>
      </w:r>
    </w:p>
    <w:p w14:paraId="5AA23AE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u w:val="single"/>
          <w:lang w:val="en-US" w:eastAsia="zh-CN" w:bidi="ar"/>
        </w:rPr>
        <w:t>承担施工安全保卫工作及非夜间施工照明的责任和要求:承包人应按建设管理相关部门的要求，自费承担此类工作（如安保）和提供相应设施以保护公共安全，并提供方便，夜间照明线必须单独敷设；</w:t>
      </w:r>
    </w:p>
    <w:p w14:paraId="4CC73E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u w:val="single"/>
          <w:lang w:val="en-US" w:eastAsia="zh-CN" w:bidi="ar"/>
        </w:rPr>
        <w:t>需承包人办理的有关施工场地交通、环卫和施工噪音管理等手续：遵守政府有关部门对施工交通、环卫排污及施工噪音管理规定，按规定办理有关手续，费用由承包人承担。涉及治安、市政市容、环保、交通、计生、工程所在地周围关系，由发包人和承包人共同协调处理，如发生费用，由承包人承担。如在施工过程中由于承包人原因引发的相关责任和费用，由承包人承担。</w:t>
      </w:r>
    </w:p>
    <w:p w14:paraId="2CDD4A6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u w:val="single"/>
          <w:lang w:val="en-US" w:eastAsia="zh-CN" w:bidi="ar"/>
        </w:rPr>
        <w:t>完工工程成品保护的特殊要求及费用承担:承包人必须做好成品和半成品保护工作，费用已包含在投标报价中，不予另行计取。</w:t>
      </w:r>
    </w:p>
    <w:p w14:paraId="72A91CF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u w:val="single"/>
          <w:lang w:val="en-US" w:eastAsia="zh-CN" w:bidi="ar"/>
        </w:rPr>
        <w:t>施工场地周围地下管线和邻近建筑物、构筑物（含文物保护建筑）要求及费用承担：承包人在投标前及进场后进行充分现场踏勘，了解可能存在的地下管线、地下障碍物、邻近建筑物、构筑物、文物保护建筑，并对发包人告知的情况进行复核。承包人在施工过程中须负责对上述地下管线、文物等进行保护或移除，费用已包含在投标报价中，不予另行计取。</w:t>
      </w:r>
    </w:p>
    <w:p w14:paraId="29BF7E7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施工现场清洁卫生的要求：符合相关管理部门的文明工地要求管理，并做到工完场清。承包人承担本工程生活区、施工区、发包人办公区内生活污水的外抽、垃圾清除外运、道路专人清扫及相关的一切费用。生活区、办公区生活垃圾及施工场内建筑垃圾须及时清运出场，承包人每日至少清扫三次，保证施工范围内及周边道路清洁、卫生，不允许将建筑垃圾堆放到本工程施工范围内或附近地带。厕所、食堂、生活设施要整洁；承包人应保证施工场地清洁符合环境卫生管理的有关规定，并做到工完场清。承包人有义务做好创文期间的卫生及相关车辆、设备停放工作，若被查到未按规定清洁及停放等问题，发包人有权对承包人按1000元/次扣罚。若未达到相关要求发包人有权另行委托他人清理，发生的费用由承包人双倍承担。承包人按衢州市人民政府相关规定执行并达到创国家级文明城市和卫生城市的要求，若有关部门检查不合格的，承包人应按监理工程师的通知整改，视为承包人违约，拒绝或故意拖延整改的发包人有权按现行预算定额价三倍委托第三方完成，费用由承包人承担。</w:t>
      </w:r>
    </w:p>
    <w:p w14:paraId="6D0931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u w:val="single"/>
          <w:lang w:val="en-US" w:eastAsia="zh-CN" w:bidi="ar"/>
        </w:rPr>
        <w:t>承包人必须按照发包人要求合理协调各个系统之间的相互配合，包括（但不限于）：</w:t>
      </w:r>
    </w:p>
    <w:p w14:paraId="4486701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①</w:t>
      </w:r>
      <w:r>
        <w:rPr>
          <w:rFonts w:hint="eastAsia" w:ascii="宋体" w:hAnsi="宋体" w:eastAsia="宋体" w:cs="宋体"/>
          <w:color w:val="auto"/>
          <w:kern w:val="2"/>
          <w:sz w:val="21"/>
          <w:szCs w:val="21"/>
          <w:highlight w:val="none"/>
          <w:u w:val="single"/>
          <w:lang w:val="en-US" w:eastAsia="zh-CN" w:bidi="ar"/>
        </w:rPr>
        <w:t>承包人配合发包人组织的政府部门及其他社会团体到现场参观、考察，保证现场的安全、整洁、美观，相关费用已包含在合同范围内，费用不予另行计取。</w:t>
      </w:r>
    </w:p>
    <w:p w14:paraId="51E4910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②</w:t>
      </w:r>
      <w:r>
        <w:rPr>
          <w:rFonts w:hint="eastAsia" w:ascii="宋体" w:hAnsi="宋体" w:eastAsia="宋体" w:cs="宋体"/>
          <w:color w:val="auto"/>
          <w:kern w:val="2"/>
          <w:sz w:val="21"/>
          <w:szCs w:val="21"/>
          <w:highlight w:val="none"/>
          <w:u w:val="single"/>
          <w:lang w:val="en-US" w:eastAsia="zh-CN" w:bidi="ar"/>
        </w:rPr>
        <w:t>承包人做好各项手续审批工作。</w:t>
      </w:r>
    </w:p>
    <w:p w14:paraId="686A043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③</w:t>
      </w:r>
      <w:r>
        <w:rPr>
          <w:rFonts w:hint="eastAsia" w:ascii="宋体" w:hAnsi="宋体" w:eastAsia="宋体" w:cs="宋体"/>
          <w:color w:val="auto"/>
          <w:kern w:val="2"/>
          <w:sz w:val="21"/>
          <w:szCs w:val="21"/>
          <w:highlight w:val="none"/>
          <w:u w:val="single"/>
          <w:lang w:val="en-US" w:eastAsia="zh-CN" w:bidi="ar"/>
        </w:rPr>
        <w:t>根据政府有关要求，考试或大型活动等如需承包人停工，承包人应无条件配合，工期相应顺延，产生的相关费用不予增加。</w:t>
      </w:r>
    </w:p>
    <w:p w14:paraId="04B298D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承包人必须对整个工程项目负责，对工期、质量、现场管理、安全生产、资金使用和管理全面负责，统一协调。</w:t>
      </w:r>
    </w:p>
    <w:p w14:paraId="7565860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承包人应将专业分包工程的进度、质量、资料纳入承包人统一管理。承包人应明确专业分包工程的完工时间并提交给各专业分包单位进行工期安排，并及时为分包单位提供工作面。</w:t>
      </w:r>
    </w:p>
    <w:p w14:paraId="45D4F7B4">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发包方、监理单位在施工现场的办公场所、生活场所的提供和费用承担的约定：</w:t>
      </w:r>
      <w:r>
        <w:rPr>
          <w:rFonts w:hint="eastAsia" w:ascii="宋体" w:hAnsi="宋体" w:eastAsia="宋体" w:cs="宋体"/>
          <w:color w:val="auto"/>
          <w:kern w:val="2"/>
          <w:sz w:val="21"/>
          <w:szCs w:val="21"/>
          <w:highlight w:val="none"/>
          <w:u w:val="single"/>
          <w:lang w:val="en-US" w:eastAsia="zh-CN" w:bidi="ar"/>
        </w:rPr>
        <w:t>由承包人免费提供办公用房2间（每间面积不少于20平方米）包括空调、办公设施、桌椅、网络等，且不另行计取费用。</w:t>
      </w:r>
    </w:p>
    <w:p w14:paraId="3B97CC4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双方约定承包人应做的其他工作：承包人应自备发电机，费用已包含在在投标报价中，费用不予另行计取，因电力不足或停电所产生的一切额外费用及损失由承包人承担。</w:t>
      </w:r>
    </w:p>
    <w:p w14:paraId="0A09144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4.2履约保证金</w:t>
      </w:r>
    </w:p>
    <w:p w14:paraId="14B8B54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4.2.1履约保证金的格式和金额</w:t>
      </w:r>
    </w:p>
    <w:p w14:paraId="54EBD50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（1）履约保证金的形式：现金、银行保函</w:t>
      </w:r>
      <w:r>
        <w:rPr>
          <w:rFonts w:hint="eastAsia" w:ascii="宋体" w:hAnsi="宋体" w:eastAsia="宋体" w:cs="宋体"/>
          <w:color w:val="auto"/>
          <w:sz w:val="21"/>
          <w:szCs w:val="21"/>
          <w:highlight w:val="none"/>
          <w:u w:val="single"/>
          <w:lang w:bidi="ar"/>
        </w:rPr>
        <w:t>（由中国银行或中国工商银行或中国建设银行或中国农业银行出具的银行履约保函）</w:t>
      </w:r>
      <w:r>
        <w:rPr>
          <w:rFonts w:hint="eastAsia" w:ascii="宋体" w:hAnsi="宋体" w:eastAsia="宋体" w:cs="宋体"/>
          <w:color w:val="auto"/>
          <w:kern w:val="2"/>
          <w:sz w:val="21"/>
          <w:szCs w:val="21"/>
          <w:highlight w:val="none"/>
          <w:u w:val="single"/>
          <w:lang w:val="en-US" w:eastAsia="zh-CN" w:bidi="ar"/>
        </w:rPr>
        <w:t>或者保险公司保函。若承包人为联合体，则履约保证金由联合体牵头单位单位进行缴纳。</w:t>
      </w:r>
    </w:p>
    <w:p w14:paraId="07A254B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（2）履约保证金的金额：承包人应在中标通知书上要求的合同签订截止时间前向发包人提交签约暂定合同价款的2%，即（    元）。履约保证金（不计利息相关费用由承包人承担）到发包人指定的帐户。履约保证金形式：银行保函、保险保函。如履约保证金采用保函的，保函期限至所有工程竣工验收完成，且不得少于中标项目的合同期限，否则发包人将不予接受</w:t>
      </w:r>
    </w:p>
    <w:p w14:paraId="71200E1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采用保函时，保函到期但仍不具备退还条件的，承包人应在保函到期日后30个日历天内续保或补缴履约保证金，应续保或补缴而未续保或补缴的，发包人不予支付工程款，直至续保或补缴缴清为止。超过续保或补缴期限的，按前述逾期缴纳处理。</w:t>
      </w:r>
    </w:p>
    <w:p w14:paraId="23F39C1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w:t>
      </w:r>
      <w:r>
        <w:rPr>
          <w:rFonts w:hint="eastAsia" w:ascii="宋体" w:hAnsi="宋体" w:eastAsia="宋体" w:cs="宋体"/>
          <w:b/>
          <w:bCs/>
          <w:color w:val="auto"/>
          <w:kern w:val="2"/>
          <w:sz w:val="21"/>
          <w:szCs w:val="21"/>
          <w:highlight w:val="none"/>
          <w:lang w:val="en-US" w:eastAsia="zh-CN" w:bidi="ar"/>
        </w:rPr>
        <w:t>4.3分包和不得转包</w:t>
      </w:r>
    </w:p>
    <w:p w14:paraId="5F03E6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4.3.1承包人不得将其承包的全部工程转包给第三人，也不得将其承包的全部工程肢解后以分包的名义分别转包给第三人。若因承包人违法转包而造成的后果由承包人全部承担，同时承包人向发包人支付签约合同价10%的违约金。</w:t>
      </w:r>
    </w:p>
    <w:p w14:paraId="5C149B8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4.3.2发包人同意承包人分包的工作，除通用合同条款第4.3款的约定外，分包还应遵循以下约定：</w:t>
      </w:r>
    </w:p>
    <w:p w14:paraId="2BB05F6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国家允许分包的工程可以分包，必须按照法律法规规定、监管部门的监管要求和发包人约定的条件、程序进行发包。分包人必须具备相应专业资质、经营资格和专业施工能力，必须事先征得发包人认可和书面确认。若因承包人擅自分包而造成的后果由承包人全部承担，同时承包人向发包人支付相应分包合同价格10%的违约金，造成发包人损失的仍应承担赔偿责任。</w:t>
      </w:r>
    </w:p>
    <w:p w14:paraId="740483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3" w:firstLineChars="196"/>
        <w:jc w:val="both"/>
        <w:textAlignment w:val="auto"/>
        <w:rPr>
          <w:rFonts w:hint="eastAsia" w:ascii="宋体" w:hAnsi="宋体" w:eastAsia="宋体" w:cs="宋体"/>
          <w:b/>
          <w:bCs/>
          <w:color w:val="auto"/>
          <w:kern w:val="2"/>
          <w:sz w:val="21"/>
          <w:szCs w:val="21"/>
          <w:highlight w:val="none"/>
          <w:lang w:val="en-US"/>
        </w:rPr>
      </w:pPr>
      <w:r>
        <w:rPr>
          <w:rFonts w:hint="eastAsia" w:ascii="宋体" w:hAnsi="宋体" w:eastAsia="宋体" w:cs="宋体"/>
          <w:b/>
          <w:bCs/>
          <w:color w:val="auto"/>
          <w:kern w:val="2"/>
          <w:sz w:val="21"/>
          <w:szCs w:val="21"/>
          <w:highlight w:val="none"/>
          <w:lang w:val="en-US" w:eastAsia="zh-CN" w:bidi="ar"/>
        </w:rPr>
        <w:t>4.4承包人工程总承包项目经理：</w:t>
      </w:r>
    </w:p>
    <w:p w14:paraId="78A4D19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工程总承包项目经理职责：</w:t>
      </w:r>
      <w:r>
        <w:rPr>
          <w:rFonts w:hint="eastAsia" w:ascii="宋体" w:hAnsi="宋体" w:eastAsia="宋体" w:cs="宋体"/>
          <w:color w:val="auto"/>
          <w:kern w:val="2"/>
          <w:sz w:val="21"/>
          <w:szCs w:val="21"/>
          <w:highlight w:val="none"/>
          <w:u w:val="single"/>
          <w:lang w:val="en-US" w:eastAsia="zh-CN" w:bidi="ar"/>
        </w:rPr>
        <w:t xml:space="preserve"> 1、建立本项目的项目组织；2、制定项目计划；3、拥有本项目的决策权；4、组织计划实施；5、协调内外部的关系；6、建立项目控制系统、实施项目的控制；7、负责项目合同管理；8、审查和受理各种报告；9、组织验收，考核，结算；10、组织项目售后服务及项目总结工作。</w:t>
      </w:r>
    </w:p>
    <w:p w14:paraId="378A9E3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工程总承包项目经理权限：</w:t>
      </w:r>
      <w:r>
        <w:rPr>
          <w:rFonts w:hint="eastAsia" w:ascii="宋体" w:hAnsi="宋体" w:eastAsia="宋体" w:cs="宋体"/>
          <w:color w:val="auto"/>
          <w:kern w:val="2"/>
          <w:sz w:val="21"/>
          <w:szCs w:val="21"/>
          <w:highlight w:val="none"/>
          <w:u w:val="single"/>
          <w:lang w:val="en-US" w:eastAsia="zh-CN" w:bidi="ar"/>
        </w:rPr>
        <w:t>代表承包人承担本项目工程总承包的各项权利、义务和责任。</w:t>
      </w:r>
    </w:p>
    <w:p w14:paraId="75F0150C">
      <w:pPr>
        <w:keepNext w:val="0"/>
        <w:keepLines w:val="0"/>
        <w:pageBreakBefore w:val="0"/>
        <w:widowControl w:val="0"/>
        <w:kinsoku/>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总承包项目经理必须与投标文件相一致。工程总承包项目经理不得变更，如因本人原因导致工程项目发生重大质量、安全事故的或有违法、违规、违纪行为，被暂停或吊销任职资格的，或未经发包人书面同意擅自更换的，承包人向发包人支付</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万元/次的违约金；发包人认为不能胜任所承担的工程任务或存有失信行为，且要求更换的，承包人向发包人支付10万元/次的违约金；上述情况发生，承包人必须无条件进行更换，且更换后的工程总承包项目经理必须具备相同专业、学历、职称、注册执业资格、本专业工作年限等或更高等级。</w:t>
      </w:r>
    </w:p>
    <w:p w14:paraId="51F64CB4">
      <w:pPr>
        <w:keepNext w:val="0"/>
        <w:keepLines w:val="0"/>
        <w:pageBreakBefore w:val="0"/>
        <w:widowControl w:val="0"/>
        <w:kinsoku/>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承包人的工程总承包项目经理应常驻现场，每月在现场时间不得少于22日，每日不少于8小时，每月在现场时间未达到合同约定天数的，每少一天应向发包人支付违约金</w:t>
      </w:r>
      <w:r>
        <w:rPr>
          <w:rFonts w:hint="eastAsia" w:ascii="宋体" w:hAnsi="宋体" w:eastAsia="宋体" w:cs="宋体"/>
          <w:color w:val="auto"/>
          <w:szCs w:val="21"/>
          <w:highlight w:val="none"/>
          <w:u w:val="single"/>
        </w:rPr>
        <w:t>2000</w:t>
      </w:r>
      <w:r>
        <w:rPr>
          <w:rFonts w:hint="eastAsia" w:ascii="宋体" w:hAnsi="宋体" w:eastAsia="宋体" w:cs="宋体"/>
          <w:color w:val="auto"/>
          <w:szCs w:val="21"/>
          <w:highlight w:val="none"/>
        </w:rPr>
        <w:t>元。</w:t>
      </w:r>
    </w:p>
    <w:p w14:paraId="2D9388BE">
      <w:pPr>
        <w:keepNext w:val="0"/>
        <w:keepLines w:val="0"/>
        <w:pageBreakBefore w:val="0"/>
        <w:widowControl w:val="0"/>
        <w:kinsoku/>
        <w:overflowPunct/>
        <w:topLinePunct w:val="0"/>
        <w:bidi w:val="0"/>
        <w:adjustRightInd w:val="0"/>
        <w:snapToGrid w:val="0"/>
        <w:spacing w:line="360" w:lineRule="auto"/>
        <w:ind w:firstLine="420" w:firstLineChars="200"/>
        <w:textAlignment w:val="auto"/>
        <w:outlineLvl w:val="3"/>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4.5承包人主要施工管理人员到位</w:t>
      </w:r>
    </w:p>
    <w:p w14:paraId="208979E9">
      <w:pPr>
        <w:keepNext w:val="0"/>
        <w:keepLines w:val="0"/>
        <w:pageBreakBefore w:val="0"/>
        <w:widowControl w:val="0"/>
        <w:kinsoku/>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更换设计负责人、施工负责人的违约约定：未经发包人书面同意，不得擅自更换设计负责人、施工负责人，否则应支付违约金10万元/人次。如承包人需更换设计负责人、施工负责人的，在取得发包人的书面同意后，更改的设计负责人、施工负责人资质需满足招标文件的要求且每更换一次设计负责人或施工负责人须向发包人支付5万元/人次的违约金，由发包人在当期进度款中扣除。如未取得发包人的书面同意，则不得进行更换。</w:t>
      </w:r>
    </w:p>
    <w:p w14:paraId="2E42154A">
      <w:pPr>
        <w:keepNext w:val="0"/>
        <w:keepLines w:val="0"/>
        <w:pageBreakBefore w:val="0"/>
        <w:widowControl w:val="0"/>
        <w:kinsoku/>
        <w:overflowPunct/>
        <w:topLinePunct w:val="0"/>
        <w:bidi w:val="0"/>
        <w:adjustRightInd w:val="0"/>
        <w:snapToGrid w:val="0"/>
        <w:spacing w:line="360" w:lineRule="auto"/>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（2）施工负责人每月驻工地时间不得少于22日，每少一天支付违约金1000元。</w:t>
      </w:r>
    </w:p>
    <w:p w14:paraId="5A02065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  设计负责人职责</w:t>
      </w:r>
    </w:p>
    <w:p w14:paraId="35B099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（1）领会设计意图，掌握设计标准，做好所承担项目的施工图设计、专项设计，解决工程设计中的相关技术问题。参与重大工程技术问题的决策。</w:t>
      </w:r>
    </w:p>
    <w:p w14:paraId="147408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（2）代表公司接受发包人的管理和指令，参与与相关单位的协调配合工作。</w:t>
      </w:r>
    </w:p>
    <w:p w14:paraId="5B7F070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（3）主持制定本项目各阶段的设计工作、质量计划、进度计划及总体计划。</w:t>
      </w:r>
    </w:p>
    <w:p w14:paraId="2DE6D43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（4）深入施工现场，处理矛盾，解决问题。加强与发包人、监理单位的协作与沟通。</w:t>
      </w:r>
    </w:p>
    <w:p w14:paraId="6E2AD60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（5）监督各专业设计进度与设计质量，保证设计团队的人员配备到位。</w:t>
      </w:r>
    </w:p>
    <w:p w14:paraId="41C5F7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（6）做好项目的设计管理工作，保证设计成果符合国家规范要求。</w:t>
      </w:r>
    </w:p>
    <w:p w14:paraId="0FA1B2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4.6.1 根据工程需要和发包人要求,本项目须提供驻地设计服务，驻地设计代表1人，在工程施工时，根据发包人需要，设计人必须指派设计工程总承包项目经理或专业设计负责人提供现场指导和配合服务。在工程施工中，对设计文件有疑问，发包人提前2个工作日通知，设计人在接到通知后，应及时派本项目设计负责人解决。属于一般设计问题，若无特殊情况，应及时解决。在工程的图纸会审、打试桩、中间验收、竣工验收、工程质量处理等，属于重大设计问题的须在3天内书面提出解决意见，否则每次扣设计费1万元由发包人从应付设计费中直接扣除。对设计图纸与现场不符之处，应及时提出解决办法。</w:t>
      </w:r>
    </w:p>
    <w:p w14:paraId="1F216A8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4.7安全保证</w:t>
      </w:r>
    </w:p>
    <w:p w14:paraId="4617C8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4.7.1  安全施工</w:t>
      </w:r>
    </w:p>
    <w:p w14:paraId="157C1EE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1、项目安全生产的达标目标及相应事项的约定：施工现场按照《建筑施工安全检查标准》（JGJ59-2011）评定达到“合格”标准。</w:t>
      </w:r>
    </w:p>
    <w:p w14:paraId="2D29830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关于治安保卫安全的特别约定：①承包人应做好包括生活区在内的管辖区的治安保卫工作。②承包人应对进度施工现场的施工人员进行安全文明施工教育，配备必要的劳动保护用具，保证工程的施工安全和人身安全。③承包人应强化安全意识，抓好安全生产，杜绝事故发生，施工中若发生安全及人身事故等均由承包人自行负责处理，并承担全部费用。④承包人必须严格遵守和执行中华人民共和国以及衢州市安全生产和劳动保护有关规定，严格执行JGJ59-2011标准并参照通用条款、国家建设工程安全管理条例现场文明标化及安全管理规定和现场管理处罚实施细则。</w:t>
      </w:r>
    </w:p>
    <w:p w14:paraId="10D92F5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承包人需要做的其他安全管理工作：</w:t>
      </w:r>
    </w:p>
    <w:p w14:paraId="40AB82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1）承包人应对施工安全负责，在施工过程中要实现“五无”、“两控制”目标，确保安全。</w:t>
      </w:r>
    </w:p>
    <w:p w14:paraId="2CAC53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2）承包人应配备专职安全负责人，以确保生产安全。</w:t>
      </w:r>
    </w:p>
    <w:p w14:paraId="1F6E048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3）承包人应服从当地政府有关部门在社会治安、综合治理、计划生育、交通管理、环境保护等的管理规定，承包人应该安排专职人员负责条款的执行，发包人有权对此进行监督、检查。</w:t>
      </w:r>
    </w:p>
    <w:p w14:paraId="6A8B92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4）承包人在工程施工期间，必须配备专职用电管理员，全面负责施工用电的管理。</w:t>
      </w:r>
    </w:p>
    <w:p w14:paraId="5B9885A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关于编制施工场地治安管理计划的约定：发包人和承包人应在工程开工后7天内编制施工场地治安管理计划，并制定应对突发治安事件的紧急预案。</w:t>
      </w:r>
    </w:p>
    <w:p w14:paraId="71B9C06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left"/>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4.8、文明施工</w:t>
      </w:r>
    </w:p>
    <w:p w14:paraId="7A26462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承包人文明施工的要求：</w:t>
      </w:r>
    </w:p>
    <w:p w14:paraId="076CB7D4">
      <w:pPr>
        <w:keepNext w:val="0"/>
        <w:keepLines w:val="0"/>
        <w:pageBreakBefore w:val="0"/>
        <w:widowControl w:val="0"/>
        <w:numPr>
          <w:ilvl w:val="0"/>
          <w:numId w:val="4"/>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遵守地方政府和有关部门对施工场地交通、环卫、安全和施工噪音等管理规定，并办理相关审批手续。</w:t>
      </w:r>
    </w:p>
    <w:p w14:paraId="63423E2B">
      <w:pPr>
        <w:keepNext w:val="0"/>
        <w:keepLines w:val="0"/>
        <w:pageBreakBefore w:val="0"/>
        <w:widowControl w:val="0"/>
        <w:numPr>
          <w:ilvl w:val="0"/>
          <w:numId w:val="4"/>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施工现场布置应按照相关要求。</w:t>
      </w:r>
    </w:p>
    <w:p w14:paraId="77D3DC60">
      <w:pPr>
        <w:keepNext w:val="0"/>
        <w:keepLines w:val="0"/>
        <w:pageBreakBefore w:val="0"/>
        <w:widowControl w:val="0"/>
        <w:numPr>
          <w:ilvl w:val="0"/>
          <w:numId w:val="4"/>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承包人应采取有效措施尽量减小尘土和噪音污染，需要进行夜间作业时应经有关部门批准。</w:t>
      </w:r>
    </w:p>
    <w:p w14:paraId="1997359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（4）满足《衢州市建设安全文明施工标准化工地管理办法》要求并达到创国家级文明城市和卫生城市的要求。</w:t>
      </w:r>
    </w:p>
    <w:p w14:paraId="395E5F7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62" w:firstLineChars="22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（5）严格执行工程现场文明标化及安全管理规定和现场管理处罚实施细则。</w:t>
      </w:r>
    </w:p>
    <w:p w14:paraId="07B0D5F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59" w:firstLineChars="171"/>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9C99C3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承包人文明施工还需做的其他工作：</w:t>
      </w:r>
    </w:p>
    <w:p w14:paraId="61B0F8A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①施工管理人员及班组代班需佩戴上岗牌，现场作业人员必须统一着装，后背印有施工企业名称，夜间施工必须穿着反光背心，涉水施工必须穿戴救生衣。</w:t>
      </w:r>
    </w:p>
    <w:p w14:paraId="61E29A2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②施工中产生的废土等必须随挖随运，堆放时间不得超过8小时，堆放期间必须作覆盖处理，报价中已考虑土方短驳费用。</w:t>
      </w:r>
    </w:p>
    <w:p w14:paraId="483ED3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5" w:firstLineChars="198"/>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③协调好设备及电气安装、消防设施等施工安排，配合做好相关的安全文明施工工作。</w:t>
      </w:r>
    </w:p>
    <w:p w14:paraId="48CD13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4.8.1承包人全面负责其施工场地的安全管理，保障所有进入施工场地的人员的安全。施工场地发生的人身伤害、安全事故等，由承包人负责。</w:t>
      </w:r>
    </w:p>
    <w:p w14:paraId="257A25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bookmarkStart w:id="490" w:name="_Toc17722"/>
      <w:bookmarkEnd w:id="490"/>
      <w:bookmarkStart w:id="491" w:name="_Toc149"/>
      <w:bookmarkEnd w:id="491"/>
      <w:bookmarkStart w:id="492" w:name="_Toc38896039"/>
      <w:bookmarkEnd w:id="492"/>
      <w:bookmarkStart w:id="493" w:name="_Toc526"/>
      <w:bookmarkEnd w:id="493"/>
      <w:bookmarkStart w:id="494" w:name="_Toc14332"/>
      <w:r>
        <w:rPr>
          <w:rFonts w:hint="eastAsia" w:ascii="宋体" w:hAnsi="宋体" w:eastAsia="宋体" w:cs="宋体"/>
          <w:b/>
          <w:bCs/>
          <w:color w:val="auto"/>
          <w:kern w:val="2"/>
          <w:sz w:val="21"/>
          <w:szCs w:val="21"/>
          <w:highlight w:val="none"/>
          <w:lang w:val="en-US" w:eastAsia="zh-CN" w:bidi="ar"/>
        </w:rPr>
        <w:t xml:space="preserve">4.9 </w:t>
      </w:r>
      <w:bookmarkEnd w:id="494"/>
      <w:r>
        <w:rPr>
          <w:rFonts w:hint="eastAsia" w:ascii="宋体" w:hAnsi="宋体" w:eastAsia="宋体" w:cs="宋体"/>
          <w:b/>
          <w:bCs/>
          <w:color w:val="auto"/>
          <w:kern w:val="2"/>
          <w:sz w:val="21"/>
          <w:szCs w:val="21"/>
          <w:highlight w:val="none"/>
          <w:lang w:val="en-US" w:eastAsia="zh-CN" w:bidi="ar"/>
        </w:rPr>
        <w:t>职业健康和环境保护保证</w:t>
      </w:r>
    </w:p>
    <w:p w14:paraId="61A15C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bookmarkStart w:id="495" w:name="_Toc23586"/>
      <w:bookmarkEnd w:id="495"/>
      <w:bookmarkStart w:id="496" w:name="_Toc14842"/>
      <w:bookmarkEnd w:id="496"/>
      <w:bookmarkStart w:id="497" w:name="_Toc30360"/>
      <w:bookmarkEnd w:id="497"/>
      <w:bookmarkStart w:id="498" w:name="_Toc5864"/>
      <w:bookmarkEnd w:id="498"/>
      <w:bookmarkStart w:id="499" w:name="_Toc38896040"/>
      <w:r>
        <w:rPr>
          <w:rFonts w:hint="eastAsia" w:ascii="宋体" w:hAnsi="宋体" w:eastAsia="宋体" w:cs="宋体"/>
          <w:color w:val="auto"/>
          <w:kern w:val="2"/>
          <w:sz w:val="21"/>
          <w:szCs w:val="21"/>
          <w:highlight w:val="none"/>
          <w:lang w:val="en-US" w:eastAsia="zh-CN" w:bidi="ar"/>
        </w:rPr>
        <w:t xml:space="preserve">4.9.1  </w:t>
      </w:r>
      <w:bookmarkEnd w:id="499"/>
      <w:r>
        <w:rPr>
          <w:rFonts w:hint="eastAsia" w:ascii="宋体" w:hAnsi="宋体" w:eastAsia="宋体" w:cs="宋体"/>
          <w:color w:val="auto"/>
          <w:kern w:val="2"/>
          <w:sz w:val="21"/>
          <w:szCs w:val="21"/>
          <w:highlight w:val="none"/>
          <w:lang w:val="en-US" w:eastAsia="zh-CN" w:bidi="ar"/>
        </w:rPr>
        <w:t>现场保安</w:t>
      </w:r>
    </w:p>
    <w:p w14:paraId="4883C61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承担其进入现场、施工开工至发包人接收单项工程或(和)工程之前的现场保安责任(含承包人的预制加工场地、办公及生活营区)，处理与当地政府、治安等的协调工作。并负责编制相关的保安制度、责任制度和报告制度，提交给发包人。</w:t>
      </w:r>
    </w:p>
    <w:p w14:paraId="27DAEB8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5. 进度计划、延误和暂停</w:t>
      </w:r>
    </w:p>
    <w:p w14:paraId="22F3218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5.1  项目进度计划</w:t>
      </w:r>
    </w:p>
    <w:p w14:paraId="6BC9432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5.1.1  项目进度计划中关键路径及关键路径变化的确定原则：</w:t>
      </w:r>
      <w:r>
        <w:rPr>
          <w:rFonts w:hint="eastAsia" w:ascii="宋体" w:hAnsi="宋体" w:eastAsia="宋体" w:cs="宋体"/>
          <w:color w:val="auto"/>
          <w:kern w:val="2"/>
          <w:sz w:val="21"/>
          <w:szCs w:val="21"/>
          <w:highlight w:val="none"/>
          <w:u w:val="single"/>
          <w:lang w:val="en-US" w:eastAsia="zh-CN" w:bidi="ar"/>
        </w:rPr>
        <w:t xml:space="preserve">   /    </w:t>
      </w:r>
    </w:p>
    <w:p w14:paraId="0843DD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承包人提交项目进度计划的份数和时间：</w:t>
      </w:r>
      <w:r>
        <w:rPr>
          <w:rFonts w:hint="eastAsia" w:ascii="宋体" w:hAnsi="宋体" w:eastAsia="宋体" w:cs="宋体"/>
          <w:color w:val="auto"/>
          <w:kern w:val="2"/>
          <w:sz w:val="21"/>
          <w:szCs w:val="21"/>
          <w:highlight w:val="none"/>
          <w:u w:val="single"/>
          <w:lang w:val="en-US" w:eastAsia="zh-CN" w:bidi="ar"/>
        </w:rPr>
        <w:t>由承包人上报，经监理单位审核，发包人审定为准，若由于非发包人及非不可抗力因素而造成项目节点落后，承包人应做出充分说明，并提交书面整改报告。</w:t>
      </w:r>
    </w:p>
    <w:p w14:paraId="193A1E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承包人提交项目进度计划的份数和时间：</w:t>
      </w:r>
      <w:r>
        <w:rPr>
          <w:rFonts w:hint="eastAsia" w:ascii="宋体" w:hAnsi="宋体" w:eastAsia="宋体" w:cs="宋体"/>
          <w:color w:val="auto"/>
          <w:kern w:val="2"/>
          <w:sz w:val="21"/>
          <w:szCs w:val="21"/>
          <w:highlight w:val="none"/>
          <w:u w:val="single"/>
          <w:lang w:val="en-US" w:eastAsia="zh-CN" w:bidi="ar"/>
        </w:rPr>
        <w:t>合同签订后14天内，承包人向发包人提供六份项目总进度计划，每月25日提供六份下月工程进度计划。</w:t>
      </w:r>
    </w:p>
    <w:p w14:paraId="1EE4329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发包人和监理单位在收到修订的项目进度计划后确认或提出修改意见的期限：</w:t>
      </w:r>
      <w:r>
        <w:rPr>
          <w:rFonts w:hint="eastAsia" w:ascii="宋体" w:hAnsi="宋体" w:eastAsia="宋体" w:cs="宋体"/>
          <w:color w:val="auto"/>
          <w:kern w:val="2"/>
          <w:sz w:val="21"/>
          <w:szCs w:val="21"/>
          <w:highlight w:val="none"/>
          <w:u w:val="single"/>
          <w:lang w:val="en-US" w:eastAsia="zh-CN" w:bidi="ar"/>
        </w:rPr>
        <w:t>发包人和监理单位应在收到修订的施工进度计划后7天内完成审核和批准或提出修改意见。</w:t>
      </w:r>
    </w:p>
    <w:p w14:paraId="16E4199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5.1.2  自费赶上项目进度计划</w:t>
      </w:r>
    </w:p>
    <w:p w14:paraId="07A9387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因承包人原因使工程实际进度明显落后于项目进度计划时，承包人应根据工程实际情况对工程进度计划进行调整和纠偏。调整编制被延误工期的赶工措施，否则发包人有权根据分部工程进度进行工期处罚，并责令整改。</w:t>
      </w:r>
    </w:p>
    <w:p w14:paraId="276F5B6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80"/>
        <w:jc w:val="both"/>
        <w:textAlignment w:val="auto"/>
        <w:rPr>
          <w:rFonts w:hint="eastAsia" w:ascii="宋体" w:hAnsi="宋体" w:eastAsia="宋体" w:cs="宋体"/>
          <w:b/>
          <w:bCs/>
          <w:color w:val="auto"/>
          <w:kern w:val="2"/>
          <w:sz w:val="21"/>
          <w:szCs w:val="21"/>
          <w:highlight w:val="none"/>
        </w:rPr>
      </w:pPr>
      <w:bookmarkStart w:id="500" w:name="_Toc13612"/>
      <w:bookmarkEnd w:id="500"/>
      <w:bookmarkStart w:id="501" w:name="_Toc10426"/>
      <w:bookmarkEnd w:id="501"/>
      <w:bookmarkStart w:id="502" w:name="_Toc509009245"/>
      <w:bookmarkEnd w:id="502"/>
      <w:bookmarkStart w:id="503" w:name="_Toc19986"/>
      <w:bookmarkEnd w:id="503"/>
      <w:bookmarkStart w:id="504" w:name="_Toc508786236"/>
      <w:r>
        <w:rPr>
          <w:rFonts w:hint="eastAsia" w:ascii="宋体" w:hAnsi="宋体" w:eastAsia="宋体" w:cs="宋体"/>
          <w:b/>
          <w:bCs/>
          <w:color w:val="auto"/>
          <w:kern w:val="2"/>
          <w:sz w:val="21"/>
          <w:szCs w:val="21"/>
          <w:highlight w:val="none"/>
          <w:lang w:val="en-US" w:eastAsia="zh-CN" w:bidi="ar"/>
        </w:rPr>
        <w:t>5.2</w:t>
      </w:r>
      <w:bookmarkEnd w:id="504"/>
      <w:r>
        <w:rPr>
          <w:rFonts w:hint="eastAsia" w:ascii="宋体" w:hAnsi="宋体" w:eastAsia="宋体" w:cs="宋体"/>
          <w:b/>
          <w:bCs/>
          <w:color w:val="auto"/>
          <w:kern w:val="2"/>
          <w:sz w:val="21"/>
          <w:szCs w:val="21"/>
          <w:highlight w:val="none"/>
          <w:lang w:val="en-US" w:eastAsia="zh-CN" w:bidi="ar"/>
        </w:rPr>
        <w:t>设计进度计划</w:t>
      </w:r>
    </w:p>
    <w:p w14:paraId="221E6F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设计要求：中标通知书发出后</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日内完成施工图设计。施工图审查完成后</w:t>
      </w:r>
      <w:r>
        <w:rPr>
          <w:rFonts w:hint="eastAsia" w:ascii="宋体" w:hAnsi="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日内完成预算编制。</w:t>
      </w:r>
    </w:p>
    <w:p w14:paraId="6A1A00F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b/>
          <w:bCs/>
          <w:color w:val="auto"/>
          <w:kern w:val="2"/>
          <w:sz w:val="21"/>
          <w:szCs w:val="21"/>
          <w:highlight w:val="none"/>
          <w:lang w:val="en-US" w:eastAsia="zh-CN" w:bidi="ar"/>
        </w:rPr>
        <w:t>5.3  采购进度计划</w:t>
      </w:r>
    </w:p>
    <w:p w14:paraId="44EB45F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5.3.1  采购进度计划提交的份数和时间：</w:t>
      </w:r>
      <w:r>
        <w:rPr>
          <w:rFonts w:hint="eastAsia" w:ascii="宋体" w:hAnsi="宋体" w:eastAsia="宋体" w:cs="宋体"/>
          <w:color w:val="auto"/>
          <w:kern w:val="2"/>
          <w:sz w:val="21"/>
          <w:szCs w:val="21"/>
          <w:highlight w:val="none"/>
          <w:u w:val="single"/>
          <w:lang w:val="en-US" w:eastAsia="zh-CN" w:bidi="ar"/>
        </w:rPr>
        <w:t>合同签订一个月内，承包人向发包人提供四份项目采购控制计划，施工图设计完成后提供四份采购详细计划，实施采购10天前，向发包人、监理单位递交采购内容，主要技术指标，具体品牌型号及样品（如有）等。承包人严格按发包人审查明确的品牌、规格、质量等级等要求进行采购，材料必须经发包人和监理单位书面签证予以认可后方可采购，进场主要材料经监理单位验收后方能用于本项目。凡因材料没有达标或不到位而影响施工工期，造成发包人损失，则承包人应负全责，并赔偿相应的损失。发包人对承包人提供的样品不能满足设计要求或式样、颜色不满意或价格不合理（指市场的实际价格和承包人所报价或与承包人投标时所报价相差较大），发包人有权要求承包人调换，直至发包人满意为止，引起的损失由承包人承担且不得以此理由要求顺延工期。</w:t>
      </w:r>
    </w:p>
    <w:p w14:paraId="4B6A69C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5.3.2  采购开始日期：</w:t>
      </w:r>
      <w:r>
        <w:rPr>
          <w:rFonts w:hint="eastAsia" w:ascii="宋体" w:hAnsi="宋体" w:eastAsia="宋体" w:cs="宋体"/>
          <w:color w:val="auto"/>
          <w:kern w:val="2"/>
          <w:sz w:val="21"/>
          <w:szCs w:val="21"/>
          <w:highlight w:val="none"/>
          <w:u w:val="single"/>
          <w:lang w:val="en-US" w:eastAsia="zh-CN" w:bidi="ar"/>
        </w:rPr>
        <w:t>合同签订之日后开始。</w:t>
      </w:r>
    </w:p>
    <w:p w14:paraId="7B3AA24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5.4   施工进度计划</w:t>
      </w:r>
    </w:p>
    <w:p w14:paraId="191755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5.4.1  施工进度计划（以表格或文字表述）</w:t>
      </w:r>
    </w:p>
    <w:p w14:paraId="5FA76B1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提交关键单项工程施工计划的名称、份数和时间：</w:t>
      </w:r>
      <w:r>
        <w:rPr>
          <w:rFonts w:hint="eastAsia" w:ascii="宋体" w:hAnsi="宋体" w:eastAsia="宋体" w:cs="宋体"/>
          <w:color w:val="auto"/>
          <w:kern w:val="2"/>
          <w:sz w:val="21"/>
          <w:szCs w:val="21"/>
          <w:highlight w:val="none"/>
          <w:u w:val="single"/>
          <w:lang w:val="en-US" w:eastAsia="zh-CN" w:bidi="ar"/>
        </w:rPr>
        <w:t>合同签订3天内提供（一式六份）施工总进度计划，开工后每月25日前提供（一式六份）施工进度报表（包括形象进度、质量情况、重大事件和存在问题及拟采取的措施等）及下月的施工进度计划。对于实际的进度与已批准的进度计划不符时，不论何种原因承包人应按工程师批复意见的要求在3天内提交一式六份修订后的进度计划重新报送工程师审批。若承包人未能按批准的进度计划按期完工或完成预定的工作，工程师应通知承包人采取有效措施赶上进度，如不按期提供的，发包人有权拒付工程款。</w:t>
      </w:r>
    </w:p>
    <w:p w14:paraId="6ABAAA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提交关键分部分项工程施工计划的名称、份数和时间：</w:t>
      </w:r>
      <w:r>
        <w:rPr>
          <w:rFonts w:hint="eastAsia" w:ascii="宋体" w:hAnsi="宋体" w:eastAsia="宋体" w:cs="宋体"/>
          <w:color w:val="auto"/>
          <w:kern w:val="2"/>
          <w:sz w:val="21"/>
          <w:szCs w:val="21"/>
          <w:highlight w:val="none"/>
          <w:u w:val="single"/>
          <w:lang w:val="en-US" w:eastAsia="zh-CN" w:bidi="ar"/>
        </w:rPr>
        <w:t xml:space="preserve">     /      </w:t>
      </w:r>
    </w:p>
    <w:p w14:paraId="4B8933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5.5  延误损害赔偿</w:t>
      </w:r>
    </w:p>
    <w:p w14:paraId="20D8155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6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因承包人原因导致工期延误</w:t>
      </w:r>
    </w:p>
    <w:p w14:paraId="690D47E0">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承包人不能按期竣工验收的，监理单位应当按通用合同条款的约定书面通知承包人，说明发包人有权得到按本款约定的下列标准和方法向承包人计取逾期竣工违约金，最终违约金的金额不设上限。</w:t>
      </w:r>
    </w:p>
    <w:p w14:paraId="1FD429D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因承包人原因造成工期延误，逾期竣工违约金的计算方法为：</w:t>
      </w:r>
      <w:r>
        <w:rPr>
          <w:rFonts w:hint="eastAsia" w:ascii="宋体" w:hAnsi="宋体" w:eastAsia="宋体" w:cs="宋体"/>
          <w:b w:val="0"/>
          <w:bCs w:val="0"/>
          <w:strike w:val="0"/>
          <w:color w:val="auto"/>
          <w:sz w:val="21"/>
          <w:szCs w:val="21"/>
          <w:highlight w:val="none"/>
          <w:u w:val="single"/>
          <w:shd w:val="clear" w:color="auto" w:fill="auto"/>
        </w:rPr>
        <w:t>承包人每逾期竣工一日应支付</w:t>
      </w:r>
      <w:r>
        <w:rPr>
          <w:rFonts w:hint="eastAsia" w:ascii="宋体" w:hAnsi="宋体" w:eastAsia="宋体" w:cs="宋体"/>
          <w:b w:val="0"/>
          <w:bCs w:val="0"/>
          <w:strike w:val="0"/>
          <w:color w:val="auto"/>
          <w:sz w:val="21"/>
          <w:szCs w:val="21"/>
          <w:highlight w:val="none"/>
          <w:u w:val="single"/>
          <w:shd w:val="clear" w:color="auto" w:fill="auto"/>
          <w:lang w:val="en-US" w:eastAsia="zh-CN"/>
        </w:rPr>
        <w:t>1</w:t>
      </w:r>
      <w:r>
        <w:rPr>
          <w:rFonts w:hint="eastAsia" w:ascii="宋体" w:hAnsi="宋体" w:eastAsia="宋体" w:cs="宋体"/>
          <w:b w:val="0"/>
          <w:bCs w:val="0"/>
          <w:strike w:val="0"/>
          <w:color w:val="auto"/>
          <w:sz w:val="21"/>
          <w:szCs w:val="21"/>
          <w:highlight w:val="none"/>
          <w:u w:val="single"/>
          <w:shd w:val="clear" w:color="auto" w:fill="auto"/>
        </w:rPr>
        <w:t>000元人民币违约金。若最终竣工工期延误，最终违约金则按最终竣工工期延误天数乘以</w:t>
      </w:r>
      <w:r>
        <w:rPr>
          <w:rFonts w:hint="eastAsia" w:ascii="宋体" w:hAnsi="宋体" w:eastAsia="宋体" w:cs="宋体"/>
          <w:b w:val="0"/>
          <w:bCs w:val="0"/>
          <w:strike w:val="0"/>
          <w:color w:val="auto"/>
          <w:sz w:val="21"/>
          <w:szCs w:val="21"/>
          <w:highlight w:val="none"/>
          <w:u w:val="single"/>
          <w:shd w:val="clear" w:color="auto" w:fill="auto"/>
          <w:lang w:val="en-US" w:eastAsia="zh-CN"/>
        </w:rPr>
        <w:t>1</w:t>
      </w:r>
      <w:r>
        <w:rPr>
          <w:rFonts w:hint="eastAsia" w:ascii="宋体" w:hAnsi="宋体" w:eastAsia="宋体" w:cs="宋体"/>
          <w:b w:val="0"/>
          <w:bCs w:val="0"/>
          <w:strike w:val="0"/>
          <w:color w:val="auto"/>
          <w:sz w:val="21"/>
          <w:szCs w:val="21"/>
          <w:highlight w:val="none"/>
          <w:u w:val="single"/>
          <w:shd w:val="clear" w:color="auto" w:fill="auto"/>
        </w:rPr>
        <w:t>000元/天计算</w:t>
      </w:r>
      <w:r>
        <w:rPr>
          <w:rFonts w:hint="eastAsia" w:ascii="宋体" w:hAnsi="宋体" w:cs="宋体"/>
          <w:b w:val="0"/>
          <w:bCs w:val="0"/>
          <w:strike w:val="0"/>
          <w:color w:val="auto"/>
          <w:sz w:val="21"/>
          <w:szCs w:val="21"/>
          <w:highlight w:val="none"/>
          <w:u w:val="single"/>
          <w:shd w:val="clear" w:color="auto" w:fill="auto"/>
          <w:lang w:eastAsia="zh-CN"/>
        </w:rPr>
        <w:t>。</w:t>
      </w:r>
    </w:p>
    <w:p w14:paraId="16EA346A">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设计节点：自本合同签订之日起20日历天内完成所有施工图设计并完成审核确认。专家评审及有关部门审查的时间经发包人书面确认后可不计入设计周期，但因设计人原因造成设计、审批工作不能如期进行的除外。设计过程中因发包人原因造成设计工作不能如期进行时，各阶段设计图纸的提交时间经发包人确认可顺延。施工图图审合格后15日历天完成预算编制。未按时完成的，每延误一日支付</w:t>
      </w:r>
      <w:r>
        <w:rPr>
          <w:rFonts w:hint="eastAsia" w:ascii="宋体" w:hAnsi="宋体" w:eastAsia="宋体" w:cs="宋体"/>
          <w:color w:val="auto"/>
          <w:sz w:val="21"/>
          <w:szCs w:val="21"/>
          <w:highlight w:val="none"/>
          <w:u w:val="single"/>
        </w:rPr>
        <w:t>本合同约定价款的0.5‰</w:t>
      </w:r>
      <w:r>
        <w:rPr>
          <w:rFonts w:hint="eastAsia" w:ascii="宋体" w:hAnsi="宋体" w:eastAsia="宋体" w:cs="宋体"/>
          <w:color w:val="auto"/>
          <w:kern w:val="2"/>
          <w:sz w:val="21"/>
          <w:szCs w:val="21"/>
          <w:highlight w:val="none"/>
          <w:u w:val="single"/>
          <w:lang w:val="en-US" w:eastAsia="zh-CN" w:bidi="ar"/>
        </w:rPr>
        <w:t>的人民币违约金。</w:t>
      </w:r>
    </w:p>
    <w:p w14:paraId="6E7F3016">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以上违约金在工程进度款支付时向发包人缴纳，如承包人未缴纳，发包人有权在工程进度款中直接扣取。</w:t>
      </w:r>
    </w:p>
    <w:p w14:paraId="06F5D35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6．技术与设计</w:t>
      </w:r>
    </w:p>
    <w:p w14:paraId="2D9012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rPr>
          <w:rFonts w:hint="eastAsia" w:ascii="宋体" w:hAnsi="宋体" w:eastAsia="宋体" w:cs="宋体"/>
          <w:b/>
          <w:bCs/>
          <w:color w:val="auto"/>
          <w:kern w:val="2"/>
          <w:sz w:val="21"/>
          <w:szCs w:val="21"/>
          <w:highlight w:val="none"/>
        </w:rPr>
      </w:pPr>
      <w:bookmarkStart w:id="505" w:name="_Toc38896041"/>
      <w:bookmarkEnd w:id="505"/>
      <w:bookmarkStart w:id="506" w:name="_Toc26128"/>
      <w:bookmarkEnd w:id="506"/>
      <w:bookmarkStart w:id="507" w:name="_Toc27607"/>
      <w:bookmarkEnd w:id="507"/>
      <w:bookmarkStart w:id="508" w:name="_Toc24793"/>
      <w:bookmarkEnd w:id="508"/>
      <w:bookmarkStart w:id="509" w:name="_Toc26223"/>
      <w:r>
        <w:rPr>
          <w:rFonts w:hint="eastAsia" w:ascii="宋体" w:hAnsi="宋体" w:eastAsia="宋体" w:cs="宋体"/>
          <w:b/>
          <w:bCs/>
          <w:color w:val="auto"/>
          <w:kern w:val="2"/>
          <w:sz w:val="21"/>
          <w:szCs w:val="21"/>
          <w:highlight w:val="none"/>
          <w:lang w:val="en-US" w:eastAsia="zh-CN" w:bidi="ar"/>
        </w:rPr>
        <w:t xml:space="preserve">6.1  </w:t>
      </w:r>
      <w:bookmarkEnd w:id="509"/>
      <w:r>
        <w:rPr>
          <w:rFonts w:hint="eastAsia" w:ascii="宋体" w:hAnsi="宋体" w:eastAsia="宋体" w:cs="宋体"/>
          <w:b/>
          <w:bCs/>
          <w:color w:val="auto"/>
          <w:kern w:val="2"/>
          <w:sz w:val="21"/>
          <w:szCs w:val="21"/>
          <w:highlight w:val="none"/>
          <w:lang w:val="en-US" w:eastAsia="zh-CN" w:bidi="ar"/>
        </w:rPr>
        <w:t>生产工艺技术、建筑设计方案</w:t>
      </w:r>
    </w:p>
    <w:p w14:paraId="7EF2FCA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6.1.1</w:t>
      </w:r>
      <w:r>
        <w:rPr>
          <w:rFonts w:hint="eastAsia" w:ascii="宋体" w:hAnsi="宋体" w:eastAsia="宋体" w:cs="宋体"/>
          <w:color w:val="auto"/>
          <w:kern w:val="2"/>
          <w:sz w:val="21"/>
          <w:szCs w:val="21"/>
          <w:highlight w:val="none"/>
          <w:lang w:val="en-US" w:eastAsia="zh-CN" w:bidi="ar"/>
        </w:rPr>
        <w:t>承包人提供的生产工艺技术和(或)建筑设计方案</w:t>
      </w:r>
    </w:p>
    <w:p w14:paraId="7D28186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负责提供生产工艺技术(含专利技术、专有技术、工艺包)和(或)建筑设计方案(含总体布局、功能分区、建筑造型和主体结构等)时，应对所提供的工艺流程、工艺技术数据、工艺条件、软件、分析手册、操作指导书、设备制造指导书和其它资料要求，和(或)总体布局、功能分区、建筑造型及其结构设计等负责。</w:t>
      </w:r>
    </w:p>
    <w:p w14:paraId="62D3392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6.1.2  发包人提供的生产工艺技术和（或）建筑设计方案</w:t>
      </w:r>
    </w:p>
    <w:p w14:paraId="7F9B4C7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其中，发包人应承担的工程和（或）单项工程试运行考核保证值和（或）使用功能说明如下：</w:t>
      </w:r>
      <w:r>
        <w:rPr>
          <w:rFonts w:hint="eastAsia" w:ascii="宋体" w:hAnsi="宋体" w:eastAsia="宋体" w:cs="宋体"/>
          <w:color w:val="auto"/>
          <w:kern w:val="2"/>
          <w:sz w:val="21"/>
          <w:szCs w:val="21"/>
          <w:highlight w:val="none"/>
          <w:u w:val="single"/>
          <w:lang w:val="en-US" w:eastAsia="zh-CN" w:bidi="ar"/>
        </w:rPr>
        <w:t xml:space="preserve"> / 。</w:t>
      </w:r>
    </w:p>
    <w:p w14:paraId="6F1B169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承包人应承担的工程和（或）单项工程试运行考核保证值和（或）使用功能说明如下：</w:t>
      </w:r>
      <w:r>
        <w:rPr>
          <w:rFonts w:hint="eastAsia" w:ascii="宋体" w:hAnsi="宋体" w:eastAsia="宋体" w:cs="宋体"/>
          <w:color w:val="auto"/>
          <w:kern w:val="2"/>
          <w:sz w:val="21"/>
          <w:szCs w:val="21"/>
          <w:highlight w:val="none"/>
          <w:u w:val="single"/>
          <w:lang w:val="en-US" w:eastAsia="zh-CN" w:bidi="ar"/>
        </w:rPr>
        <w:t xml:space="preserve"> / 。</w:t>
      </w:r>
    </w:p>
    <w:p w14:paraId="2A8E3FB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6.2  设计</w:t>
      </w:r>
    </w:p>
    <w:p w14:paraId="26DE6E6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6.2.1发包人的义务</w:t>
      </w:r>
    </w:p>
    <w:p w14:paraId="5BEE2CC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（1）提供项目基础资料。发包人提供的项目基础资料的类别、内容、份数和时间：</w:t>
      </w:r>
      <w:r>
        <w:rPr>
          <w:rFonts w:hint="eastAsia" w:ascii="宋体" w:hAnsi="宋体" w:eastAsia="宋体" w:cs="宋体"/>
          <w:color w:val="auto"/>
          <w:kern w:val="2"/>
          <w:sz w:val="21"/>
          <w:szCs w:val="21"/>
          <w:highlight w:val="none"/>
          <w:u w:val="single"/>
          <w:lang w:val="en-US" w:eastAsia="zh-CN" w:bidi="ar"/>
        </w:rPr>
        <w:t>/  ：</w:t>
      </w:r>
    </w:p>
    <w:p w14:paraId="0A302F8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（2）提供现场障碍资料。发包人提供的现场障碍资料的类别、内容、份数和时间</w:t>
      </w:r>
      <w:r>
        <w:rPr>
          <w:rFonts w:hint="eastAsia" w:ascii="宋体" w:hAnsi="宋体" w:eastAsia="宋体" w:cs="宋体"/>
          <w:color w:val="auto"/>
          <w:kern w:val="2"/>
          <w:sz w:val="21"/>
          <w:szCs w:val="21"/>
          <w:highlight w:val="none"/>
          <w:u w:val="single"/>
          <w:lang w:val="en-US" w:eastAsia="zh-CN" w:bidi="ar"/>
        </w:rPr>
        <w:t xml:space="preserve">：/ </w:t>
      </w:r>
    </w:p>
    <w:p w14:paraId="659EF5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6.2.2承包人的义务</w:t>
      </w:r>
    </w:p>
    <w:p w14:paraId="6912C69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（1）经合同双方商定，发包人提供的项目基础资料、现场障碍资料的如下部分，可按本款中约定的如下时间期限</w:t>
      </w:r>
      <w:r>
        <w:rPr>
          <w:rFonts w:hint="eastAsia" w:ascii="宋体" w:hAnsi="宋体" w:eastAsia="宋体" w:cs="宋体"/>
          <w:color w:val="auto"/>
          <w:kern w:val="2"/>
          <w:sz w:val="21"/>
          <w:szCs w:val="21"/>
          <w:highlight w:val="none"/>
          <w:u w:val="single"/>
          <w:lang w:val="en-US" w:eastAsia="zh-CN" w:bidi="ar"/>
        </w:rPr>
        <w:t xml:space="preserve">   /  </w:t>
      </w:r>
    </w:p>
    <w:p w14:paraId="4A661A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6.2.3操作维修手册</w:t>
      </w:r>
    </w:p>
    <w:p w14:paraId="1D12500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发包人提交的操作指南、分析手册的份数和提交期限：</w:t>
      </w:r>
      <w:r>
        <w:rPr>
          <w:rFonts w:hint="eastAsia" w:ascii="宋体" w:hAnsi="宋体" w:eastAsia="宋体" w:cs="宋体"/>
          <w:color w:val="auto"/>
          <w:kern w:val="2"/>
          <w:sz w:val="21"/>
          <w:szCs w:val="21"/>
          <w:highlight w:val="none"/>
          <w:u w:val="single"/>
          <w:lang w:val="en-US" w:eastAsia="zh-CN" w:bidi="ar"/>
        </w:rPr>
        <w:t xml:space="preserve">       /        </w:t>
      </w:r>
    </w:p>
    <w:p w14:paraId="1B98264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承包人提交的操作维修手册的份数和最终提交期限：</w:t>
      </w:r>
      <w:r>
        <w:rPr>
          <w:rFonts w:hint="eastAsia" w:ascii="宋体" w:hAnsi="宋体" w:eastAsia="宋体" w:cs="宋体"/>
          <w:color w:val="auto"/>
          <w:kern w:val="2"/>
          <w:sz w:val="21"/>
          <w:szCs w:val="21"/>
          <w:highlight w:val="none"/>
          <w:u w:val="single"/>
          <w:lang w:val="en-US" w:eastAsia="zh-CN" w:bidi="ar"/>
        </w:rPr>
        <w:t>项目竣工后三个月内。</w:t>
      </w:r>
    </w:p>
    <w:p w14:paraId="3FAD161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6.2.4设计文件的份数和提交时间</w:t>
      </w:r>
    </w:p>
    <w:p w14:paraId="73B9610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规划设计阶段设计文件、资料和图纸的份数和提交时间：</w:t>
      </w:r>
      <w:r>
        <w:rPr>
          <w:rFonts w:hint="eastAsia" w:ascii="宋体" w:hAnsi="宋体" w:eastAsia="宋体" w:cs="宋体"/>
          <w:color w:val="auto"/>
          <w:kern w:val="2"/>
          <w:sz w:val="21"/>
          <w:szCs w:val="21"/>
          <w:highlight w:val="none"/>
          <w:u w:val="single"/>
          <w:lang w:val="en-US" w:eastAsia="zh-CN" w:bidi="ar"/>
        </w:rPr>
        <w:t xml:space="preserve">      /       </w:t>
      </w:r>
    </w:p>
    <w:p w14:paraId="4520FFB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初步设计阶段设计文件、资料和图纸的份数和提交时间：</w:t>
      </w:r>
      <w:r>
        <w:rPr>
          <w:rFonts w:hint="eastAsia" w:ascii="宋体" w:hAnsi="宋体" w:eastAsia="宋体" w:cs="宋体"/>
          <w:color w:val="auto"/>
          <w:kern w:val="2"/>
          <w:sz w:val="21"/>
          <w:szCs w:val="21"/>
          <w:highlight w:val="none"/>
          <w:u w:val="single"/>
          <w:lang w:val="en-US" w:eastAsia="zh-CN" w:bidi="ar"/>
        </w:rPr>
        <w:t xml:space="preserve">     /         </w:t>
      </w:r>
    </w:p>
    <w:p w14:paraId="70D6DB2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技术设计阶段设计文件、资料和图纸的份数和提交时间：</w:t>
      </w:r>
      <w:r>
        <w:rPr>
          <w:rFonts w:hint="eastAsia" w:ascii="宋体" w:hAnsi="宋体" w:eastAsia="宋体" w:cs="宋体"/>
          <w:color w:val="auto"/>
          <w:kern w:val="2"/>
          <w:sz w:val="21"/>
          <w:szCs w:val="21"/>
          <w:highlight w:val="none"/>
          <w:u w:val="single"/>
          <w:lang w:val="en-US" w:eastAsia="zh-CN" w:bidi="ar"/>
        </w:rPr>
        <w:t xml:space="preserve">     /         </w:t>
      </w:r>
    </w:p>
    <w:p w14:paraId="6F9F375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施工图设计阶段设计文件、资料和图纸的份数和提交时间：</w:t>
      </w:r>
      <w:r>
        <w:rPr>
          <w:rFonts w:hint="eastAsia" w:ascii="宋体" w:hAnsi="宋体" w:eastAsia="宋体" w:cs="宋体"/>
          <w:color w:val="auto"/>
          <w:kern w:val="2"/>
          <w:sz w:val="21"/>
          <w:szCs w:val="21"/>
          <w:highlight w:val="none"/>
          <w:u w:val="single"/>
          <w:lang w:val="en-US" w:eastAsia="zh-CN" w:bidi="ar"/>
        </w:rPr>
        <w:t>提交施工图设计文件8份（CAD文本一份），提交时间由发包人确定。首次提交8份，其余根据发包人要求提交。</w:t>
      </w:r>
    </w:p>
    <w:p w14:paraId="34CC5A8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6.2.5设计缺陷的自费修复，自费赶上</w:t>
      </w:r>
    </w:p>
    <w:p w14:paraId="39F4C86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无论何种原因，造成设计文件在发包人审核后仍存在遗漏、错误、缺陷和不足的，承包人应自费修复、弥补、纠正和完善。造成设计进度延误时，应自费采取措施赶上。并提交可行性赶工报告报甲方审核。</w:t>
      </w:r>
    </w:p>
    <w:p w14:paraId="5C3FEEC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bidi="ar"/>
        </w:rPr>
        <w:t>6.3  设计阶段审查</w:t>
      </w:r>
    </w:p>
    <w:p w14:paraId="4E1A98C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6.3.1本工程的设计阶段、设计阶段审查会议的组织和时间安排：</w:t>
      </w:r>
      <w:r>
        <w:rPr>
          <w:rFonts w:hint="eastAsia" w:ascii="宋体" w:hAnsi="宋体" w:eastAsia="宋体" w:cs="宋体"/>
          <w:color w:val="auto"/>
          <w:kern w:val="2"/>
          <w:sz w:val="21"/>
          <w:szCs w:val="21"/>
          <w:highlight w:val="none"/>
          <w:u w:val="single"/>
          <w:lang w:val="en-US" w:eastAsia="zh-CN" w:bidi="ar"/>
        </w:rPr>
        <w:t>由承包人负责组织设计阶段审查会议，并承担会议相关费用。</w:t>
      </w:r>
    </w:p>
    <w:p w14:paraId="6EA516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设计审查阶段及其审查会议的时间安排：</w:t>
      </w:r>
      <w:r>
        <w:rPr>
          <w:rFonts w:hint="eastAsia" w:ascii="宋体" w:hAnsi="宋体" w:eastAsia="宋体" w:cs="宋体"/>
          <w:color w:val="auto"/>
          <w:kern w:val="2"/>
          <w:sz w:val="21"/>
          <w:szCs w:val="21"/>
          <w:highlight w:val="none"/>
          <w:u w:val="single"/>
          <w:lang w:val="en-US" w:eastAsia="zh-CN" w:bidi="ar"/>
        </w:rPr>
        <w:t>满足工程设计、施工进度要求。</w:t>
      </w:r>
    </w:p>
    <w:p w14:paraId="298DA04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各项施工图完成后，承包人应随同图纸报送预算资料，承包人根据专用条款26.1.1要求编制工程预算。承包人完成详细施工图后，图纸需经甲方认可确认，方可施工。</w:t>
      </w:r>
    </w:p>
    <w:p w14:paraId="4DD3D2E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6.3.2</w:t>
      </w:r>
      <w:r>
        <w:rPr>
          <w:rFonts w:hint="eastAsia" w:ascii="宋体" w:hAnsi="宋体" w:eastAsia="宋体" w:cs="宋体"/>
          <w:color w:val="auto"/>
          <w:kern w:val="2"/>
          <w:sz w:val="21"/>
          <w:szCs w:val="21"/>
          <w:highlight w:val="none"/>
          <w:u w:val="single"/>
          <w:lang w:val="en-US" w:eastAsia="zh-CN" w:bidi="ar"/>
        </w:rPr>
        <w:t>承包人在设计审查阶段之前，承担设计与施工的单位应事先做好施工图纸和工程造价的对接工作，再提供施工图和工程造价供发包人审核，对发包人提出的合理化建议、预审给予响应，按发包人提出的修改意见进行调整，直至发包人满意为止。</w:t>
      </w:r>
    </w:p>
    <w:p w14:paraId="60A9984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  工程物资</w:t>
      </w:r>
    </w:p>
    <w:p w14:paraId="365E10F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  工程物资的提供</w:t>
      </w:r>
    </w:p>
    <w:p w14:paraId="1CC4F85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7.1.1  发包人提供的工程物资</w:t>
      </w:r>
    </w:p>
    <w:p w14:paraId="4FE823E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（1）工程物资的类别、估算数量：</w:t>
      </w:r>
      <w:r>
        <w:rPr>
          <w:rFonts w:hint="eastAsia" w:ascii="宋体" w:hAnsi="宋体" w:eastAsia="宋体" w:cs="宋体"/>
          <w:color w:val="auto"/>
          <w:kern w:val="2"/>
          <w:sz w:val="21"/>
          <w:szCs w:val="21"/>
          <w:highlight w:val="none"/>
          <w:u w:val="single"/>
          <w:lang w:val="en-US" w:eastAsia="zh-CN" w:bidi="ar"/>
        </w:rPr>
        <w:t xml:space="preserve">           /                     </w:t>
      </w:r>
    </w:p>
    <w:p w14:paraId="2B35569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7.1.2  承包人提供的工程物资</w:t>
      </w:r>
    </w:p>
    <w:p w14:paraId="0D32BCE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（1）工程物资的类别、估算数量：</w:t>
      </w:r>
      <w:r>
        <w:rPr>
          <w:rFonts w:hint="eastAsia" w:ascii="宋体" w:hAnsi="宋体" w:eastAsia="宋体" w:cs="宋体"/>
          <w:color w:val="auto"/>
          <w:kern w:val="2"/>
          <w:sz w:val="21"/>
          <w:szCs w:val="21"/>
          <w:highlight w:val="none"/>
          <w:u w:val="single"/>
          <w:lang w:val="en-US" w:eastAsia="zh-CN" w:bidi="ar"/>
        </w:rPr>
        <w:t>满足工程建设需要。</w:t>
      </w:r>
    </w:p>
    <w:p w14:paraId="342E4B2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（2）竣工后使用的生产性材料的类别和（或）清单：</w:t>
      </w:r>
      <w:r>
        <w:rPr>
          <w:rFonts w:hint="eastAsia" w:ascii="宋体" w:hAnsi="宋体" w:eastAsia="宋体" w:cs="宋体"/>
          <w:color w:val="auto"/>
          <w:kern w:val="2"/>
          <w:sz w:val="21"/>
          <w:szCs w:val="21"/>
          <w:highlight w:val="none"/>
          <w:u w:val="single"/>
          <w:lang w:val="en-US" w:eastAsia="zh-CN" w:bidi="ar"/>
        </w:rPr>
        <w:t>满足工程建设需要。</w:t>
      </w:r>
    </w:p>
    <w:p w14:paraId="70AAAB3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72" w:firstLineChars="225"/>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7.1.3承包人采购材料设备的约定：</w:t>
      </w:r>
    </w:p>
    <w:p w14:paraId="3CA9E3C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72" w:firstLineChars="225"/>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（1）承包人必须严格按照招标文件、设计文件中注明的规格（型号）、技术参数等要求采购材料（设备）。</w:t>
      </w:r>
    </w:p>
    <w:p w14:paraId="34D151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72" w:firstLineChars="225"/>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（2）为了保证工程质量，发包人在招标控制价编制计价时参考了部分较好的材料(设备)品牌，承包人在履约时不得降低材料（设备）的品质。</w:t>
      </w:r>
    </w:p>
    <w:p w14:paraId="3FD078B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72" w:firstLineChars="225"/>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（3）承包人原则上应选用发包人推荐的材料（设备），并事先向监理单位及发包人书面报备。否则，发包人有权拒绝接收。</w:t>
      </w:r>
    </w:p>
    <w:p w14:paraId="54F924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（4）所有材料（设备）的进场应符合国家或相关部门的进场检验规范，并按发包人制定的相关办法执行。</w:t>
      </w:r>
    </w:p>
    <w:p w14:paraId="487838A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7.1.4 其他</w:t>
      </w:r>
    </w:p>
    <w:p w14:paraId="592E07F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除行政监督部门规定必须报送与封存的材料设备外，对直接影响工程品质和外观效果的材料、设备，必须经发包人和监理单位认可后才能大面积使用，如发包人认为需要甲定乙供的，承包人须无条件同意并积极配合。</w:t>
      </w:r>
    </w:p>
    <w:p w14:paraId="01803F5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2）必须经发包人和监理单位书面签证予以认可后方可采购，进场主要材料经监理单位验收后方能用于本项目。</w:t>
      </w:r>
      <w:r>
        <w:rPr>
          <w:rFonts w:hint="eastAsia" w:ascii="宋体" w:hAnsi="宋体" w:eastAsia="宋体" w:cs="宋体"/>
          <w:bCs/>
          <w:color w:val="auto"/>
          <w:kern w:val="2"/>
          <w:sz w:val="21"/>
          <w:szCs w:val="21"/>
          <w:highlight w:val="none"/>
          <w:lang w:val="en-US" w:eastAsia="zh-CN" w:bidi="ar"/>
        </w:rPr>
        <w:t>承包人不得以材料品牌、价格（如价格签证等）确定的时间为理由，提出延期。</w:t>
      </w:r>
    </w:p>
    <w:p w14:paraId="6E3C0B8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若承包人使用了劣质材料设备，一经发现，发包人或监理工程师有权勒令承包人无条件返工。无论发包人或监理工程师是否发现和制止，由于使用劣质材料设备所引起的一切责任均由承包人自负。如影响工期交付的还需承担相应违约责任，若造成发包人损失的，承包人应赔偿全部损失。承包人违反合同约定采购和使用不合格的材料和工程设备的，经监理工程师发现立即清退出场，并处以50000元/每批次罚款。</w:t>
      </w:r>
    </w:p>
    <w:p w14:paraId="35FAE45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4）承包人必须按与材料商、分包商签订的合同条款按时支付各种款项。否则，发包人有权暂扣工程款，直至承包人付清欠款后再予支付。</w:t>
      </w:r>
    </w:p>
    <w:p w14:paraId="25BF8E0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5）发包人有权要求承包人对其供应的材料进行质量和材质的检测和复验。不合格的，其费用（包括材料更换）由承包人承担；合格的，其费用由发包人承担。</w:t>
      </w:r>
    </w:p>
    <w:p w14:paraId="00E46B2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  检验</w:t>
      </w:r>
    </w:p>
    <w:p w14:paraId="46FB00A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7.2.1  工厂检验与报告</w:t>
      </w:r>
    </w:p>
    <w:p w14:paraId="5BB7A05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（1）报告提交日期、报告内容和提交份数：</w:t>
      </w:r>
      <w:r>
        <w:rPr>
          <w:rFonts w:hint="eastAsia" w:ascii="宋体" w:hAnsi="宋体" w:eastAsia="宋体" w:cs="宋体"/>
          <w:color w:val="auto"/>
          <w:kern w:val="2"/>
          <w:sz w:val="21"/>
          <w:szCs w:val="21"/>
          <w:highlight w:val="none"/>
          <w:u w:val="single"/>
          <w:lang w:val="en-US" w:eastAsia="zh-CN" w:bidi="ar"/>
        </w:rPr>
        <w:t>承包人负责对工程物资的强制性检查、检验、监测和试验，并向发包人提供相关报告。承包人采购的材料设备在使用前，承包人应按国家有关标准进行检验或试验，并向发包人提交检验或试验报告，承包人对所提供的报告真实性负责。</w:t>
      </w:r>
    </w:p>
    <w:p w14:paraId="0FF81B6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 xml:space="preserve"> (2)</w:t>
      </w:r>
      <w:r>
        <w:rPr>
          <w:rFonts w:hint="eastAsia" w:ascii="宋体" w:hAnsi="宋体" w:eastAsia="宋体" w:cs="宋体"/>
          <w:color w:val="auto"/>
          <w:kern w:val="2"/>
          <w:sz w:val="21"/>
          <w:szCs w:val="21"/>
          <w:highlight w:val="none"/>
          <w:u w:val="single"/>
          <w:lang w:val="en-US" w:eastAsia="zh-CN" w:bidi="ar"/>
        </w:rPr>
        <w:t>发包人有权参与相关加工制造阶段的检查、检验、监测和试验，如有必要，可委托有经验的第三方代表参检。</w:t>
      </w:r>
    </w:p>
    <w:p w14:paraId="6ECFF85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7.2.2现场清点与检查</w:t>
      </w:r>
    </w:p>
    <w:p w14:paraId="7B118D2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应负责提供的工程物资运抵现场前5日通知发包人。发包人、监理单位与承包人(或包括其分包人)按每批货物的提货单据清点箱件数量及进行外观检查，并根据装箱单清点箱内数量、出厂合格证、图纸、文件资料等，并进行外观检查。经检查清点后双方人员签署交接清单。</w:t>
      </w:r>
    </w:p>
    <w:p w14:paraId="557436F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经现场检查清点发现箱件短缺，箱件内的物资数量、图纸、资料短缺，或有外观缺陷的，工程物资在缺陷未能修复之前不得用于工程。因此造成的费用增加、竣工日期延误，由承包人负责。</w:t>
      </w:r>
    </w:p>
    <w:p w14:paraId="1EE21DE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7.2.3质量监督部门及消防、环保等部门的参检</w:t>
      </w:r>
    </w:p>
    <w:p w14:paraId="67EB89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承包人随时接受质量监督部门、消防部门、环保部门、行业等专业检查人员对制造、安装及试验过程的现场检查，其费用由承包人承担。</w:t>
      </w:r>
    </w:p>
    <w:p w14:paraId="0BFCEF0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因上述部门在参检中提出的修改、更换等意见所增加的相关费用，因此造成工程关键路径延误的，责任方为承包人时，竣工日期不予延长。</w:t>
      </w:r>
    </w:p>
    <w:p w14:paraId="5874221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outlineLvl w:val="3"/>
        <w:rPr>
          <w:rFonts w:hint="eastAsia" w:ascii="宋体" w:hAnsi="宋体" w:eastAsia="宋体" w:cs="宋体"/>
          <w:color w:val="auto"/>
          <w:kern w:val="2"/>
          <w:sz w:val="21"/>
          <w:szCs w:val="21"/>
          <w:highlight w:val="none"/>
        </w:rPr>
      </w:pPr>
      <w:bookmarkStart w:id="510" w:name="_Toc17173"/>
      <w:bookmarkEnd w:id="510"/>
      <w:bookmarkStart w:id="511" w:name="_Toc38896042"/>
      <w:bookmarkEnd w:id="511"/>
      <w:bookmarkStart w:id="512" w:name="_Toc27884"/>
      <w:bookmarkEnd w:id="512"/>
      <w:bookmarkStart w:id="513" w:name="_Toc11699"/>
      <w:bookmarkEnd w:id="513"/>
      <w:bookmarkStart w:id="514" w:name="_Toc7215"/>
      <w:r>
        <w:rPr>
          <w:rFonts w:hint="eastAsia" w:ascii="宋体" w:hAnsi="宋体" w:eastAsia="宋体" w:cs="宋体"/>
          <w:color w:val="auto"/>
          <w:kern w:val="2"/>
          <w:sz w:val="21"/>
          <w:szCs w:val="21"/>
          <w:highlight w:val="none"/>
          <w:lang w:val="en-US" w:eastAsia="zh-CN" w:bidi="ar"/>
        </w:rPr>
        <w:t>7.3  进口工程物资的采购、保关和清关</w:t>
      </w:r>
      <w:bookmarkEnd w:id="514"/>
    </w:p>
    <w:p w14:paraId="308EC3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7.3.1  采购责任方及采购方式：</w:t>
      </w:r>
      <w:r>
        <w:rPr>
          <w:rFonts w:hint="eastAsia" w:ascii="宋体" w:hAnsi="宋体" w:eastAsia="宋体" w:cs="宋体"/>
          <w:color w:val="auto"/>
          <w:kern w:val="2"/>
          <w:sz w:val="21"/>
          <w:szCs w:val="21"/>
          <w:highlight w:val="none"/>
          <w:u w:val="single"/>
          <w:lang w:val="en-US" w:eastAsia="zh-CN" w:bidi="ar"/>
        </w:rPr>
        <w:t>承包人负责采购并承担费用。</w:t>
      </w:r>
    </w:p>
    <w:p w14:paraId="5D0A92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7.4工程物资保管与剩余</w:t>
      </w:r>
    </w:p>
    <w:p w14:paraId="7FBFEA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7.4.1  工程物资保管</w:t>
      </w:r>
    </w:p>
    <w:p w14:paraId="0A8A3DF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委托承包人保管的工程物资的类别和估算数量：</w:t>
      </w:r>
      <w:r>
        <w:rPr>
          <w:rFonts w:hint="eastAsia" w:ascii="宋体" w:hAnsi="宋体" w:eastAsia="宋体" w:cs="宋体"/>
          <w:color w:val="auto"/>
          <w:kern w:val="2"/>
          <w:sz w:val="21"/>
          <w:szCs w:val="21"/>
          <w:highlight w:val="none"/>
          <w:u w:val="single"/>
          <w:lang w:val="en-US" w:eastAsia="zh-CN" w:bidi="ar"/>
        </w:rPr>
        <w:t>承包人应按说明书的相关规定对工程物资进行保管、维护、保养，防止变形、变质、污染和对人身造成伤害。保管维护方案应包括：工程物资分类和保管、保养、保安、领用制度，以及库房、特殊保管库房、堆场、道路、照明、消防、设施、器具等规划。保管所需的一切费用，包含在合同价格内。</w:t>
      </w:r>
    </w:p>
    <w:p w14:paraId="1B763AC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承包人提交保管、维护方案的时间：</w:t>
      </w:r>
      <w:r>
        <w:rPr>
          <w:rFonts w:hint="eastAsia" w:ascii="宋体" w:hAnsi="宋体" w:eastAsia="宋体" w:cs="宋体"/>
          <w:color w:val="auto"/>
          <w:kern w:val="2"/>
          <w:sz w:val="21"/>
          <w:szCs w:val="21"/>
          <w:highlight w:val="none"/>
          <w:u w:val="single"/>
          <w:lang w:val="en-US" w:eastAsia="zh-CN" w:bidi="ar"/>
        </w:rPr>
        <w:t>承包人提交的各设备、各分项的维保时间不得低于现行的国家及行业标准，且以最高标准为维保时间。</w:t>
      </w:r>
    </w:p>
    <w:p w14:paraId="4D7AF8F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由发包人提供的库房、堆场、设施及设备：</w:t>
      </w:r>
      <w:r>
        <w:rPr>
          <w:rFonts w:hint="eastAsia" w:ascii="宋体" w:hAnsi="宋体" w:eastAsia="宋体" w:cs="宋体"/>
          <w:color w:val="auto"/>
          <w:kern w:val="2"/>
          <w:sz w:val="21"/>
          <w:szCs w:val="21"/>
          <w:highlight w:val="none"/>
          <w:u w:val="single"/>
          <w:lang w:val="en-US" w:eastAsia="zh-CN" w:bidi="ar"/>
        </w:rPr>
        <w:t xml:space="preserve">     /           </w:t>
      </w:r>
    </w:p>
    <w:p w14:paraId="643CDA9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 施工</w:t>
      </w:r>
    </w:p>
    <w:p w14:paraId="01AA346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  发包人的义务</w:t>
      </w:r>
    </w:p>
    <w:p w14:paraId="04FD77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8.1.2审查总体施工组织设计</w:t>
      </w:r>
    </w:p>
    <w:p w14:paraId="44AF15B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在接到总体施工组织设计后一周内提出建议和要求。发包人的建议和要求，并不能减轻或免除承包人的任何合同责任。发包人未能在一周内提出任何建议和要求的，承包人有权按提交的总体施工组织设计实施。</w:t>
      </w:r>
    </w:p>
    <w:p w14:paraId="6B520A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8.1.3  进场条件和进场日期</w:t>
      </w:r>
    </w:p>
    <w:p w14:paraId="52332D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（1）发包人向承包人提供永久征地红线范围内的施工用地；</w:t>
      </w:r>
    </w:p>
    <w:p w14:paraId="5A08A76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（2）承包人的进场条件：</w:t>
      </w:r>
      <w:r>
        <w:rPr>
          <w:rFonts w:hint="eastAsia" w:ascii="宋体" w:hAnsi="宋体" w:eastAsia="宋体" w:cs="宋体"/>
          <w:color w:val="auto"/>
          <w:kern w:val="2"/>
          <w:sz w:val="21"/>
          <w:szCs w:val="21"/>
          <w:highlight w:val="none"/>
          <w:u w:val="single"/>
          <w:lang w:val="en-US" w:eastAsia="zh-CN" w:bidi="ar"/>
        </w:rPr>
        <w:t>按现有条件提供。</w:t>
      </w:r>
    </w:p>
    <w:p w14:paraId="4FE9339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8.1.4  临时用水电等提供和节点铺设</w:t>
      </w:r>
    </w:p>
    <w:p w14:paraId="294B873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临时用水、用电等类别、取费单价：</w:t>
      </w:r>
      <w:r>
        <w:rPr>
          <w:rFonts w:hint="eastAsia" w:ascii="宋体" w:hAnsi="宋体" w:eastAsia="宋体" w:cs="宋体"/>
          <w:color w:val="auto"/>
          <w:szCs w:val="21"/>
          <w:u w:val="single"/>
        </w:rPr>
        <w:t>本工程临时用电由发包人向相关部门申请办理，其产生费用已包含着在投标报价中，后续承包人在变更用户期间返还发包人实际产生费用；临</w:t>
      </w:r>
      <w:r>
        <w:rPr>
          <w:rFonts w:hint="eastAsia" w:ascii="宋体" w:hAnsi="宋体" w:cs="宋体"/>
          <w:color w:val="auto"/>
          <w:szCs w:val="21"/>
          <w:u w:val="single"/>
          <w:lang w:eastAsia="zh-CN"/>
        </w:rPr>
        <w:t>时用</w:t>
      </w:r>
      <w:r>
        <w:rPr>
          <w:rFonts w:hint="eastAsia" w:ascii="宋体" w:hAnsi="宋体" w:eastAsia="宋体" w:cs="宋体"/>
          <w:color w:val="auto"/>
          <w:szCs w:val="21"/>
          <w:u w:val="single"/>
        </w:rPr>
        <w:t>水由承包人自行向相关部门申请办理，其产生费用已包含着在投标报价中。</w:t>
      </w:r>
    </w:p>
    <w:p w14:paraId="6F3194F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8.1.5  办理开工等批准手续</w:t>
      </w:r>
    </w:p>
    <w:p w14:paraId="00809D6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承包人应在施工开工日期前，协助发包人完成本项目前期的所有报批报建工作，取得开工批准文件或施工许可证等许可、证件或批文，完成工程质量监督、安全监督等手续的办理。</w:t>
      </w:r>
    </w:p>
    <w:p w14:paraId="2DF349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8.1.6由发包人履行的其他义务：</w:t>
      </w:r>
      <w:r>
        <w:rPr>
          <w:rFonts w:hint="eastAsia" w:ascii="宋体" w:hAnsi="宋体" w:eastAsia="宋体" w:cs="宋体"/>
          <w:color w:val="auto"/>
          <w:kern w:val="2"/>
          <w:sz w:val="21"/>
          <w:szCs w:val="21"/>
          <w:highlight w:val="none"/>
          <w:u w:val="single"/>
          <w:lang w:val="en-US" w:eastAsia="zh-CN" w:bidi="ar"/>
        </w:rPr>
        <w:t xml:space="preserve">       /       </w:t>
      </w:r>
    </w:p>
    <w:p w14:paraId="107773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  承包人的义务</w:t>
      </w:r>
    </w:p>
    <w:p w14:paraId="5008D52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8.2.1施工组织设计</w:t>
      </w:r>
    </w:p>
    <w:p w14:paraId="5702AF6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提交工程总体施工组织设计的份数和时间：</w:t>
      </w:r>
      <w:r>
        <w:rPr>
          <w:rFonts w:hint="eastAsia" w:ascii="宋体" w:hAnsi="宋体" w:eastAsia="宋体" w:cs="宋体"/>
          <w:color w:val="auto"/>
          <w:kern w:val="2"/>
          <w:sz w:val="21"/>
          <w:szCs w:val="21"/>
          <w:highlight w:val="none"/>
          <w:u w:val="single"/>
          <w:lang w:val="en-US" w:eastAsia="zh-CN" w:bidi="ar"/>
        </w:rPr>
        <w:t>合同签订后30天内提供（一式六份）总进度计划、施工组织设计（包括外加工计划）。逾期不提交，并因此影响工程施工的，责任由承包人承担。</w:t>
      </w:r>
    </w:p>
    <w:p w14:paraId="7DB4B5C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合</w:t>
      </w:r>
      <w:r>
        <w:rPr>
          <w:rFonts w:hint="eastAsia" w:ascii="宋体" w:hAnsi="宋体" w:eastAsia="宋体" w:cs="宋体"/>
          <w:color w:val="auto"/>
          <w:kern w:val="0"/>
          <w:sz w:val="21"/>
          <w:szCs w:val="21"/>
          <w:highlight w:val="none"/>
          <w:lang w:val="en-US" w:eastAsia="zh-CN" w:bidi="ar"/>
        </w:rPr>
        <w:t>同双方约定的施工组织设计应包括的主要内容：</w:t>
      </w:r>
      <w:r>
        <w:rPr>
          <w:rFonts w:hint="eastAsia" w:ascii="宋体" w:hAnsi="宋体" w:eastAsia="宋体" w:cs="宋体"/>
          <w:color w:val="auto"/>
          <w:kern w:val="2"/>
          <w:sz w:val="21"/>
          <w:szCs w:val="21"/>
          <w:highlight w:val="none"/>
          <w:u w:val="single"/>
          <w:lang w:val="en-US" w:eastAsia="zh-CN" w:bidi="ar"/>
        </w:rPr>
        <w:t>（1）施工现场平面布置图；（2）施工进度计划和保证措施；（3）劳动力及材料供应计划；（4）施工机械设备的选用；（5）质量保证体系及措施；（6）安全生产、文明施工措施；（7）环境保护、成本控制措施；（8）施工管理组织机构；（9）雨天、台风、夏季施工保证措施；（10）合同当事人约定的其他内容。</w:t>
      </w:r>
    </w:p>
    <w:p w14:paraId="5746D6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需要提交的主要单项工程、主要分部分项工程施工组织设计的名称、份数和时间：</w:t>
      </w:r>
      <w:r>
        <w:rPr>
          <w:rFonts w:hint="eastAsia" w:ascii="宋体" w:hAnsi="宋体" w:eastAsia="宋体" w:cs="宋体"/>
          <w:color w:val="auto"/>
          <w:kern w:val="2"/>
          <w:sz w:val="21"/>
          <w:szCs w:val="21"/>
          <w:highlight w:val="none"/>
          <w:u w:val="single"/>
          <w:lang w:val="en-US" w:eastAsia="zh-CN" w:bidi="ar"/>
        </w:rPr>
        <w:t>相应工程开工前7天内向发包人提供主要单项工程、主要分部分项工程施工组织设计八份。</w:t>
      </w:r>
    </w:p>
    <w:p w14:paraId="43E867D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发包人和监理单位在收到详细的施工组织设计后确认或提出修改意见的期限：</w:t>
      </w:r>
      <w:r>
        <w:rPr>
          <w:rFonts w:hint="eastAsia" w:ascii="宋体" w:hAnsi="宋体" w:eastAsia="宋体" w:cs="宋体"/>
          <w:color w:val="auto"/>
          <w:kern w:val="2"/>
          <w:sz w:val="21"/>
          <w:szCs w:val="21"/>
          <w:highlight w:val="none"/>
          <w:u w:val="single"/>
          <w:lang w:val="en-US" w:eastAsia="zh-CN" w:bidi="ar"/>
        </w:rPr>
        <w:t>发包人和监理单位应在收到施工组织设计后7天内确认或提出修改意见。</w:t>
      </w:r>
    </w:p>
    <w:p w14:paraId="52CB77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8.2.2提交临时占地资料</w:t>
      </w:r>
    </w:p>
    <w:p w14:paraId="56A2130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提交临时占地资料的时间：</w:t>
      </w:r>
      <w:r>
        <w:rPr>
          <w:rFonts w:hint="eastAsia" w:ascii="宋体" w:hAnsi="宋体" w:eastAsia="宋体" w:cs="宋体"/>
          <w:color w:val="auto"/>
          <w:kern w:val="2"/>
          <w:sz w:val="21"/>
          <w:szCs w:val="21"/>
          <w:highlight w:val="none"/>
          <w:u w:val="single"/>
          <w:lang w:val="en-US" w:eastAsia="zh-CN" w:bidi="ar"/>
        </w:rPr>
        <w:t>进场前7日。承包人根据本项目特征及施工组织，超出红线范围的临时施工用地由承包人自行解决，费用已在投标报价中考虑。</w:t>
      </w:r>
    </w:p>
    <w:p w14:paraId="63A6DC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8.2.3提供临时用水电等资料</w:t>
      </w:r>
    </w:p>
    <w:p w14:paraId="2228EA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承包人需要水电等品质、正常用量、高峰量和使用时间：</w:t>
      </w:r>
      <w:r>
        <w:rPr>
          <w:rFonts w:hint="eastAsia" w:ascii="宋体" w:hAnsi="宋体" w:eastAsia="宋体" w:cs="宋体"/>
          <w:color w:val="auto"/>
          <w:kern w:val="2"/>
          <w:sz w:val="21"/>
          <w:szCs w:val="21"/>
          <w:highlight w:val="none"/>
          <w:u w:val="single"/>
          <w:lang w:val="en-US" w:eastAsia="zh-CN" w:bidi="ar"/>
        </w:rPr>
        <w:t>满足工程建设需要。</w:t>
      </w:r>
    </w:p>
    <w:p w14:paraId="32494D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发包人能够满足施工临时用水、电等类别和数量：</w:t>
      </w:r>
      <w:r>
        <w:rPr>
          <w:rFonts w:hint="eastAsia" w:ascii="宋体" w:hAnsi="宋体" w:eastAsia="宋体" w:cs="宋体"/>
          <w:color w:val="auto"/>
          <w:kern w:val="2"/>
          <w:sz w:val="21"/>
          <w:szCs w:val="21"/>
          <w:highlight w:val="none"/>
          <w:u w:val="single"/>
          <w:lang w:val="en-US" w:eastAsia="zh-CN" w:bidi="ar"/>
        </w:rPr>
        <w:t>满足工程建设需要。</w:t>
      </w:r>
    </w:p>
    <w:p w14:paraId="2E1DB3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水电等节点位置资料的提交时间：</w:t>
      </w:r>
      <w:r>
        <w:rPr>
          <w:rFonts w:hint="eastAsia" w:ascii="宋体" w:hAnsi="宋体" w:eastAsia="宋体" w:cs="宋体"/>
          <w:color w:val="auto"/>
          <w:kern w:val="2"/>
          <w:sz w:val="21"/>
          <w:szCs w:val="21"/>
          <w:highlight w:val="none"/>
          <w:u w:val="single"/>
          <w:lang w:val="en-US" w:eastAsia="zh-CN" w:bidi="ar"/>
        </w:rPr>
        <w:t>满足工程建设需要。</w:t>
      </w:r>
    </w:p>
    <w:p w14:paraId="256FD1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8.2.4提供施工障碍资料</w:t>
      </w:r>
    </w:p>
    <w:p w14:paraId="0C9A9A9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需采取措施保护已知地下管网线，费用由承包人负责，如工程施工损坏已知地下管线的，由承包人承担责任。发包人向承包人提交工程地质和已知地下管网线资料不全的，施工过程中，承包人如发现施工场地周围可能存在资料中未反映的地下管网线的，应立即停止施工并向发包人及相关单位书面报告，待确认安全后方可施工，所产生的费用由发包人承担，否则，因施工损坏已知地下管网线的，由承包人承担责任，所发生的费用均由承包人承担。</w:t>
      </w:r>
    </w:p>
    <w:p w14:paraId="71489D9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处理施工场地周围已知地下管线和邻近建筑物、构筑物（含文物保护建筑），承包人应采取一切必要措施，妥善地保护支撑公用管线，避免在施工期间造成损坏。一旦公用管线发生损坏事故，承包人必须立即通知监理单位，并上报发包人，并应立即通知有关管线单位，组织力量抢修，公用管线的修复工作应使有关管线单位满意。没有有关部门的书面批准及工程师的签证，承包人不能临时或永久性地封断管线。如果某管线由于本工程原因要永久性地封断，承包人的竣工图上需明确标明。由于承包人操作不当而导致公用管线损坏而发生的所有费用（包括修复），由承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密切注视邻近构筑物的位移和沉降。承包人在施工过程中造成对邻近构筑物损坏，应由承包人负责加以修复和赔偿，直到有关部门满意，即使承包人所采取的对邻近构筑物的保护措施已得到工程师批准，承包人仍负有全部责任。承包人应以自己的费用修复被损坏的邻近构筑物。若承包人对在施工损坏的邻近构筑物不加以修复赔偿，则工程师将指派他人进行修复，由此发生的修复和赔偿费用，发包人从应支付给承包人的款项中扣除。对施工场地周围已知地下管线和邻近建筑物、构筑物（含文物保护建筑）保护费用均由承包人承担。</w:t>
      </w:r>
    </w:p>
    <w:p w14:paraId="4F8427B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8.2.5新发现的施工障碍</w:t>
      </w:r>
    </w:p>
    <w:p w14:paraId="0975BB1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承包人应对在施工过程中新发现的场地周围及临近影响施工的建筑物、构筑物、文物建筑，以及地下管线、线缆、构筑物、文物、化石和坟墓等，暂停施工及时通知发包人，并采取保护措施，工期相应顺延。</w:t>
      </w:r>
    </w:p>
    <w:p w14:paraId="216F811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8.2.6清理现场的费用：</w:t>
      </w:r>
      <w:r>
        <w:rPr>
          <w:rFonts w:hint="eastAsia" w:ascii="宋体" w:hAnsi="宋体" w:eastAsia="宋体" w:cs="宋体"/>
          <w:color w:val="auto"/>
          <w:kern w:val="2"/>
          <w:sz w:val="21"/>
          <w:szCs w:val="21"/>
          <w:highlight w:val="none"/>
          <w:u w:val="single"/>
          <w:lang w:val="en-US" w:eastAsia="zh-CN" w:bidi="ar"/>
        </w:rPr>
        <w:t>承包人自行承担。</w:t>
      </w:r>
    </w:p>
    <w:p w14:paraId="42D6DE5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8.2.7由承包人履行的其他义务：</w:t>
      </w:r>
    </w:p>
    <w:p w14:paraId="0384BA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承包人负责协助办理各类审批手续，包括但不限于项目报建报批、施工许可证等相关技术前期办理、负责征地红线范围内的三通一平工作（包括施工临时电变更用户、施工用水申报安装等）、周边环境综合协调，根据需要为业主提供协助。组织消防验收、组织规划验收、组织防雷验收、组织环保验收等专项验收和协助组织项目完工验收、竣工验收。</w:t>
      </w:r>
    </w:p>
    <w:p w14:paraId="1E953F7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w:t>
      </w:r>
      <w:r>
        <w:rPr>
          <w:rFonts w:hint="eastAsia" w:ascii="宋体" w:hAnsi="宋体" w:eastAsia="宋体" w:cs="宋体"/>
          <w:color w:val="auto"/>
          <w:szCs w:val="21"/>
          <w:u w:val="single"/>
        </w:rPr>
        <w:t>承担施工安全保卫工作及夜间施工照明的责任和要求：承办施工临时居住证手续，施工现场的夜间照明线路必须单独敷设。承包人必须按合同及投标书进行施工组织，项目部管理人员在所辖工程或分项工程施工期间（包括准备和收尾阶段），均须专职在岗，不得兼任其他项目任何职务。承包人应加强安全生产管理，制定安全操作规程，保证工程施工的安全，承包人应教育其职工进行文明施工，配备必要的安全生产设施和劳动保护用具。承包人应对其管辖范围内的人员和设备（包括发包人的人员和设备）以及工程的安全负责，应负责做好其所辖人员的工作场所和居住区的日常治安管理和安全保护工作，设置必要的消防水源和消防设备。承包人必须对施工现场的用电安全负责。施工现场用电必须遵照施工现场用电管理条例执行。在工地现场做好警戒告示牌和围护，提醒进入施工现场人员的注意，所发生的费用由承包人承担。如若违规，承包人应按1000元/次向发包人支付违约金，造成他方损失的，赔偿所有损失，并按有关法规处理</w:t>
      </w:r>
    </w:p>
    <w:p w14:paraId="7F0DF49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（3）需承包人办理的有关施工场地交通、环卫和施工噪音管理等手续：按有关规定办理质安监、排污、夜间施工等手续，费用自理。</w:t>
      </w:r>
    </w:p>
    <w:p w14:paraId="2E253E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4）承包人负责协调处理施工现场周围已探明的地下、地上已有设施和邻近建筑物、构筑物、文物及坟墓等的安全保护工作，维护现场周围的正常秩序，并承担相关费用，未探明的情况根据实际物探成果，另行协商确定，如因施工不慎造成第三方人员或房屋、设备等财产损失的，一切责任由承包人承担。</w:t>
      </w:r>
    </w:p>
    <w:p w14:paraId="11B9558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5）完工工程成品保护的特殊要求及费用承担：工程未正式办理交付手续前，成品保护由承包人完全负责（包括所需费用），如果保护期间发生损坏，承包人须自费予以修复，直至发包人满意为止。交付手续办清后，因承包人原因引起的损坏由承包人完全负责。</w:t>
      </w:r>
    </w:p>
    <w:p w14:paraId="1900458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负责照管工程及工程相关的材料、工程设备的起始时间：自发包人向承包人移交施工现场之日起至工程竣工验收交付前。发包人对已完工程保护有特殊要求的，应按发包人要求采取相应保护措施；施工期间因承包人原因造成现场所有材料、设施设备、已完工程、成品、半成品被盗或损毁的，由承包人负责赔偿（包括直接的和间接的）。</w:t>
      </w:r>
    </w:p>
    <w:p w14:paraId="2A3F3C52">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需要承包人报送样品的材料或工程设备，样品的种类、名称、规格、数量要求：主要建筑、安装材料（设备）须按双方约定的品牌、系列、规格并经监理工程师和发包人书面同意封样后方可订货。否则引起的损失由承包人承担。</w:t>
      </w:r>
    </w:p>
    <w:p w14:paraId="4C35E475">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施工现场清洁卫生的要求：工程交接前应清除掉现场内所有不再需要的临时工程、设施、承包人的设备和多余材料、生活垃圾和废物，并修复因施工损坏的绿化，达到监理工程师和发包人满意的状态。如承包人交工3天后仍不清除、修复，发包人可自行完成，发生的费用由承包人承担。</w:t>
      </w:r>
    </w:p>
    <w:p w14:paraId="176E15FB">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szCs w:val="21"/>
          <w:u w:val="single"/>
        </w:rPr>
        <w:t>合同履约期间承包人应遵守国家及当地政府发布的法令、法规，包括交通、治安、绿化、噪音、渣土管理、污水排放、外来民工登记等规定。因承包人原因引起的行政处罚等费用，由承包人承担。承包人须教育职工和民工遵纪守法，严禁打架、斗殴、赌博等违法行为发生，由此产生的后果由承包人负责。若发生上述情况，发包人每次处以1000元的罚款。</w:t>
      </w:r>
    </w:p>
    <w:p w14:paraId="635E6427">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szCs w:val="21"/>
          <w:u w:val="single"/>
        </w:rPr>
        <w:t>承包人拖延、拒绝发包人及监理单位指令的，每次处以</w:t>
      </w:r>
      <w:r>
        <w:rPr>
          <w:rFonts w:hint="eastAsia" w:ascii="宋体" w:hAnsi="宋体" w:cs="宋体"/>
          <w:color w:val="auto"/>
          <w:szCs w:val="21"/>
          <w:u w:val="single"/>
          <w:lang w:val="en-US" w:eastAsia="zh-CN"/>
        </w:rPr>
        <w:t>5</w:t>
      </w:r>
      <w:r>
        <w:rPr>
          <w:rFonts w:hint="eastAsia" w:ascii="宋体" w:hAnsi="宋体" w:eastAsia="宋体" w:cs="宋体"/>
          <w:color w:val="auto"/>
          <w:szCs w:val="21"/>
          <w:u w:val="single"/>
        </w:rPr>
        <w:t>000元的罚款</w:t>
      </w:r>
      <w:r>
        <w:rPr>
          <w:rFonts w:hint="eastAsia" w:ascii="宋体" w:hAnsi="宋体" w:eastAsia="宋体" w:cs="宋体"/>
          <w:color w:val="auto"/>
          <w:kern w:val="2"/>
          <w:sz w:val="21"/>
          <w:szCs w:val="21"/>
          <w:highlight w:val="none"/>
          <w:u w:val="single"/>
          <w:lang w:val="en-US" w:eastAsia="zh-CN" w:bidi="ar"/>
        </w:rPr>
        <w:t>。</w:t>
      </w:r>
    </w:p>
    <w:p w14:paraId="75EB3E51">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承包人应处理好与周边人员与居民的关系，保证不影响周边居民的日常生活与办公活动：如因承包人原因造成纠纷的，承包人应全权负责赔偿与善后事宜。</w:t>
      </w:r>
    </w:p>
    <w:p w14:paraId="371B57AB">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承包人的项目经理应按时参加发包人组织的工作会议。施工期间应积极配合发包人要求，承包人在投标时必须予以充分考虑，今后不作调整。</w:t>
      </w:r>
    </w:p>
    <w:p w14:paraId="4B8E2A78">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承包人应按期支付工人（农民工）的劳动工资，发包人有权监督承包人对于工人工资支付的发放。并有权按劳动仲裁部门或法院生效文书支付相应工资款项。</w:t>
      </w:r>
    </w:p>
    <w:p w14:paraId="08B5EC22">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0"/>
          <w:sz w:val="21"/>
          <w:szCs w:val="21"/>
          <w:highlight w:val="none"/>
          <w:u w:val="single"/>
          <w:lang w:val="en-US" w:eastAsia="zh-CN" w:bidi="ar"/>
        </w:rPr>
        <w:t>承包人有责任为发包人、监理单位、质监单位等进行工程检查时免费提供安全保护用具和各种设</w:t>
      </w:r>
      <w:r>
        <w:rPr>
          <w:rFonts w:hint="eastAsia" w:ascii="宋体" w:hAnsi="宋体" w:eastAsia="宋体" w:cs="宋体"/>
          <w:color w:val="auto"/>
          <w:kern w:val="2"/>
          <w:sz w:val="21"/>
          <w:szCs w:val="21"/>
          <w:highlight w:val="none"/>
          <w:u w:val="single"/>
          <w:lang w:val="en-US" w:eastAsia="zh-CN" w:bidi="ar"/>
        </w:rPr>
        <w:t>施的方便。</w:t>
      </w:r>
    </w:p>
    <w:p w14:paraId="408F47EF">
      <w:pPr>
        <w:keepNext w:val="0"/>
        <w:keepLines w:val="0"/>
        <w:pageBreakBefore w:val="0"/>
        <w:widowControl w:val="0"/>
        <w:numPr>
          <w:ilvl w:val="0"/>
          <w:numId w:val="5"/>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关于修建临时设施的约定：承包人应按合同进度计划的要求，及时配置施工设备和修建临时设施。进入施工场地的承包人设备需经监理单位核查后才能投入使用。承包人更换合同约定的承包人设备的，应报监理单位批准。</w:t>
      </w:r>
    </w:p>
    <w:p w14:paraId="46F9E8F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w:t>
      </w:r>
      <w:r>
        <w:rPr>
          <w:rFonts w:hint="eastAsia" w:ascii="宋体" w:hAnsi="宋体" w:cs="宋体"/>
          <w:color w:val="auto"/>
          <w:kern w:val="2"/>
          <w:sz w:val="21"/>
          <w:szCs w:val="21"/>
          <w:highlight w:val="none"/>
          <w:u w:val="single"/>
          <w:lang w:val="en-US" w:eastAsia="zh-CN" w:bidi="ar"/>
        </w:rPr>
        <w:t>5</w:t>
      </w:r>
      <w:r>
        <w:rPr>
          <w:rFonts w:hint="eastAsia" w:ascii="宋体" w:hAnsi="宋体" w:eastAsia="宋体" w:cs="宋体"/>
          <w:color w:val="auto"/>
          <w:kern w:val="2"/>
          <w:sz w:val="21"/>
          <w:szCs w:val="21"/>
          <w:highlight w:val="none"/>
          <w:u w:val="single"/>
          <w:lang w:val="en-US" w:eastAsia="zh-CN" w:bidi="ar"/>
        </w:rPr>
        <w:t>）承包人修建临时设施需要临时占地的，承包人负责办理临时施工用地的借地，并与出借人签署借地协议。临时施工用地的借地费（含租金、土地有偿使用费等）等相关费用均由承包人支付。(该费用已包含在在投标报价中。)</w:t>
      </w:r>
    </w:p>
    <w:p w14:paraId="02E7F08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w:t>
      </w:r>
      <w:r>
        <w:rPr>
          <w:rFonts w:hint="eastAsia" w:ascii="宋体" w:hAnsi="宋体" w:cs="宋体"/>
          <w:color w:val="auto"/>
          <w:kern w:val="2"/>
          <w:sz w:val="21"/>
          <w:szCs w:val="21"/>
          <w:highlight w:val="none"/>
          <w:u w:val="single"/>
          <w:lang w:val="en-US" w:eastAsia="zh-CN" w:bidi="ar"/>
        </w:rPr>
        <w:t>6</w:t>
      </w:r>
      <w:r>
        <w:rPr>
          <w:rFonts w:hint="eastAsia" w:ascii="宋体" w:hAnsi="宋体" w:eastAsia="宋体" w:cs="宋体"/>
          <w:color w:val="auto"/>
          <w:kern w:val="2"/>
          <w:sz w:val="21"/>
          <w:szCs w:val="21"/>
          <w:highlight w:val="none"/>
          <w:u w:val="single"/>
          <w:lang w:val="en-US" w:eastAsia="zh-CN" w:bidi="ar"/>
        </w:rPr>
        <w:t>）承包人应事先到工地踏勘以充分了解工地位置、情况、道路、储存空间、装卸限制、三通一平、场地现状、周边环境、临时施工道路、当地的公安、市政、市容、交通、治安、环保、排污排水、环卫、城管、绿化、卫生、当地村民及任何其它足以影响承包价的情况，费用均由承包人承担。</w:t>
      </w:r>
    </w:p>
    <w:p w14:paraId="7A740E6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（1</w:t>
      </w:r>
      <w:r>
        <w:rPr>
          <w:rFonts w:hint="eastAsia" w:ascii="宋体" w:hAnsi="宋体" w:cs="宋体"/>
          <w:color w:val="auto"/>
          <w:kern w:val="2"/>
          <w:sz w:val="21"/>
          <w:szCs w:val="21"/>
          <w:highlight w:val="none"/>
          <w:u w:val="single"/>
          <w:lang w:val="en-US" w:eastAsia="zh-CN" w:bidi="ar"/>
        </w:rPr>
        <w:t>7</w:t>
      </w:r>
      <w:r>
        <w:rPr>
          <w:rFonts w:hint="eastAsia" w:ascii="宋体" w:hAnsi="宋体" w:eastAsia="宋体" w:cs="宋体"/>
          <w:color w:val="auto"/>
          <w:kern w:val="2"/>
          <w:sz w:val="21"/>
          <w:szCs w:val="21"/>
          <w:highlight w:val="none"/>
          <w:u w:val="single"/>
          <w:lang w:val="en-US" w:eastAsia="zh-CN" w:bidi="ar"/>
        </w:rPr>
        <w:t>）承包人需配备资料员及时开展资料收集工作。竣工验收时必须提供完整的竣工资料，包括竣工图、隐检工程记录资料、性能测试报告及材料、设备的合格证、质保单及使用说明等资料等工程资料。竣工资料根据要求提供原件。若房屋建筑工程资料需移交物业的，由承包人另行移交。相关资料分别按规定整理。由承包人提供完整竣工资料一式六份，电子版竣工图一套，并按城建档案馆资料归档要求整理，如资料不符合归档要求，需档案馆重新整理，费用由承包人承担。承包人必须保证竣工图的准确性，发包人将对竣工图进行抽查复测，如发现与实际不符，发包人将重新委托第三方有资质的测绘公司进行测绘制图，所发生的费用由承包人承担。</w:t>
      </w:r>
    </w:p>
    <w:p w14:paraId="4DDA9D6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w:t>
      </w:r>
      <w:r>
        <w:rPr>
          <w:rFonts w:hint="eastAsia" w:ascii="宋体" w:hAnsi="宋体" w:cs="宋体"/>
          <w:color w:val="auto"/>
          <w:kern w:val="2"/>
          <w:sz w:val="21"/>
          <w:szCs w:val="21"/>
          <w:highlight w:val="none"/>
          <w:u w:val="single"/>
          <w:lang w:val="en-US" w:eastAsia="zh-CN" w:bidi="ar"/>
        </w:rPr>
        <w:t>8</w:t>
      </w:r>
      <w:r>
        <w:rPr>
          <w:rFonts w:hint="eastAsia" w:ascii="宋体" w:hAnsi="宋体" w:eastAsia="宋体" w:cs="宋体"/>
          <w:color w:val="auto"/>
          <w:kern w:val="2"/>
          <w:sz w:val="21"/>
          <w:szCs w:val="21"/>
          <w:highlight w:val="none"/>
          <w:u w:val="single"/>
          <w:lang w:val="en-US" w:eastAsia="zh-CN" w:bidi="ar"/>
        </w:rPr>
        <w:t>）承包人进场前，需提交施工现场总平面布置图，经发包人的认可或按照发包人的要求修改后，方可进行施工现场布置。</w:t>
      </w:r>
    </w:p>
    <w:p w14:paraId="0E59281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w:t>
      </w:r>
      <w:r>
        <w:rPr>
          <w:rFonts w:hint="eastAsia" w:ascii="宋体" w:hAnsi="宋体" w:cs="宋体"/>
          <w:color w:val="auto"/>
          <w:kern w:val="2"/>
          <w:sz w:val="21"/>
          <w:szCs w:val="21"/>
          <w:highlight w:val="none"/>
          <w:u w:val="single"/>
          <w:lang w:val="en-US" w:eastAsia="zh-CN" w:bidi="ar"/>
        </w:rPr>
        <w:t>19</w:t>
      </w:r>
      <w:r>
        <w:rPr>
          <w:rFonts w:hint="eastAsia" w:ascii="宋体" w:hAnsi="宋体" w:eastAsia="宋体" w:cs="宋体"/>
          <w:color w:val="auto"/>
          <w:kern w:val="2"/>
          <w:sz w:val="21"/>
          <w:szCs w:val="21"/>
          <w:highlight w:val="none"/>
          <w:u w:val="single"/>
          <w:lang w:val="en-US" w:eastAsia="zh-CN" w:bidi="ar"/>
        </w:rPr>
        <w:t>）承包人应考虑自备发电设备和临时蓄水池，以防止施工过程中电力、供水供应不足及临时停电和停水对工程进度和质量等的影响。</w:t>
      </w:r>
    </w:p>
    <w:p w14:paraId="7C619B6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w:t>
      </w:r>
      <w:r>
        <w:rPr>
          <w:rFonts w:hint="eastAsia" w:ascii="宋体" w:hAnsi="宋体" w:cs="宋体"/>
          <w:color w:val="auto"/>
          <w:kern w:val="2"/>
          <w:sz w:val="21"/>
          <w:szCs w:val="21"/>
          <w:highlight w:val="none"/>
          <w:u w:val="single"/>
          <w:lang w:val="en-US" w:eastAsia="zh-CN" w:bidi="ar"/>
        </w:rPr>
        <w:t>20</w:t>
      </w:r>
      <w:r>
        <w:rPr>
          <w:rFonts w:hint="eastAsia" w:ascii="宋体" w:hAnsi="宋体" w:eastAsia="宋体" w:cs="宋体"/>
          <w:color w:val="auto"/>
          <w:kern w:val="2"/>
          <w:sz w:val="21"/>
          <w:szCs w:val="21"/>
          <w:highlight w:val="none"/>
          <w:u w:val="single"/>
          <w:lang w:val="en-US" w:eastAsia="zh-CN" w:bidi="ar"/>
        </w:rPr>
        <w:t>）渣土外运引起的相关费用（如需以业主名义办理的保证金等）均由承包人负责缴纳并承担。</w:t>
      </w:r>
    </w:p>
    <w:p w14:paraId="0829B11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210" w:firstLineChars="1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8.3人力和机具资源</w:t>
      </w:r>
    </w:p>
    <w:p w14:paraId="12491D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8.3.1  人力资源计划一览表的格式、内容、份数和提交时间：</w:t>
      </w:r>
      <w:r>
        <w:rPr>
          <w:rFonts w:hint="eastAsia" w:ascii="宋体" w:hAnsi="宋体" w:eastAsia="宋体" w:cs="宋体"/>
          <w:color w:val="auto"/>
          <w:kern w:val="2"/>
          <w:sz w:val="21"/>
          <w:szCs w:val="21"/>
          <w:highlight w:val="none"/>
          <w:u w:val="single"/>
          <w:lang w:val="en-US" w:eastAsia="zh-CN" w:bidi="ar"/>
        </w:rPr>
        <w:t>合同签订后7日内提供6份书面材料（同时提供电子材料）。</w:t>
      </w:r>
    </w:p>
    <w:p w14:paraId="4E95846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人力资源实际进场的报表格式、份数和报告期：</w:t>
      </w:r>
      <w:r>
        <w:rPr>
          <w:rFonts w:hint="eastAsia" w:ascii="宋体" w:hAnsi="宋体" w:eastAsia="宋体" w:cs="宋体"/>
          <w:color w:val="auto"/>
          <w:kern w:val="2"/>
          <w:sz w:val="21"/>
          <w:szCs w:val="21"/>
          <w:highlight w:val="none"/>
          <w:u w:val="single"/>
          <w:lang w:val="en-US" w:eastAsia="zh-CN" w:bidi="ar"/>
        </w:rPr>
        <w:t>内容至少包含姓名、年龄、身份证号码、工种、进场时间等。</w:t>
      </w:r>
    </w:p>
    <w:p w14:paraId="018672E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8.3.2  提交主要机具计划一览表的格式、内容、份数和提交时间：</w:t>
      </w:r>
      <w:r>
        <w:rPr>
          <w:rFonts w:hint="eastAsia" w:ascii="宋体" w:hAnsi="宋体" w:eastAsia="宋体" w:cs="宋体"/>
          <w:color w:val="auto"/>
          <w:kern w:val="2"/>
          <w:sz w:val="21"/>
          <w:szCs w:val="21"/>
          <w:highlight w:val="none"/>
          <w:u w:val="single"/>
          <w:lang w:val="en-US" w:eastAsia="zh-CN" w:bidi="ar"/>
        </w:rPr>
        <w:t>合同签订后7日内提供6份书面材料（同时提供电子材料）。</w:t>
      </w:r>
    </w:p>
    <w:p w14:paraId="60FCAFB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51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主要机具实际进场的报表格式、份数和报告期：</w:t>
      </w:r>
      <w:r>
        <w:rPr>
          <w:rFonts w:hint="eastAsia" w:ascii="宋体" w:hAnsi="宋体" w:eastAsia="宋体" w:cs="宋体"/>
          <w:color w:val="auto"/>
          <w:kern w:val="2"/>
          <w:sz w:val="21"/>
          <w:szCs w:val="21"/>
          <w:highlight w:val="none"/>
          <w:u w:val="single"/>
          <w:lang w:val="en-US" w:eastAsia="zh-CN" w:bidi="ar"/>
        </w:rPr>
        <w:t>内容至少包含主要机具名称、规格型号、品牌、计量单位、数量、单价、供应时间、送达地点，并附送产品合格证复印件等。人力和机具资源中人力资源发生出场、调配前等需进行报请。</w:t>
      </w:r>
    </w:p>
    <w:p w14:paraId="35DF1F5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8.4质量与检验</w:t>
      </w:r>
    </w:p>
    <w:p w14:paraId="550293A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8.4.1 质量与检验</w:t>
      </w:r>
    </w:p>
    <w:p w14:paraId="04172C5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(1)承包人及其分包人应随时接受发包人、监理单位所进行的安全、质量的监督和检查。承包人应为此类监督、检查提供方便。</w:t>
      </w:r>
    </w:p>
    <w:p w14:paraId="57ADDE4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(2)承包人委托第三方对施工质量进行检查、检验和试验时，应以书面形式通知发包人。</w:t>
      </w:r>
    </w:p>
    <w:p w14:paraId="6EEF844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(3)承包人应遵守施工质量管理的有关规定，负有对其操作人员进行培训、考核、图纸交底、技术交底、操作规程交底、安全程序交底和质量标准交底，及消除事故隐患的责任。</w:t>
      </w:r>
    </w:p>
    <w:p w14:paraId="5266E7B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(4)承包人应按照设计文件、施工标准和合同约定，负责编写施工试验方案，对工程物资(包括建筑构配件)进行检查、检验和试验，不合格的不得使用。并有义务自费修复和(或)更换不合格的工程物资，因此造成竣工日期延误的，由承包人负责。</w:t>
      </w:r>
    </w:p>
    <w:p w14:paraId="21DAE31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(5)承包人的施工应符合合同约定的质量标准。施工质量评定以合同中约定的质量检验评定标准为依据。对在施工过程中出现的质量问题按照工程现场管理处罚实施细则进行相应处罚。对不符合质量标准的施工部位，承包人应自费修复、返工、更换等。因此造成竣工日期延误的，由承包人负责。</w:t>
      </w:r>
    </w:p>
    <w:p w14:paraId="3018252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8.4.2 质检部位与参检方</w:t>
      </w:r>
    </w:p>
    <w:p w14:paraId="4075FB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三方参检的部位、标准及表格形式：</w:t>
      </w:r>
      <w:r>
        <w:rPr>
          <w:rFonts w:hint="eastAsia" w:ascii="宋体" w:hAnsi="宋体" w:eastAsia="宋体" w:cs="宋体"/>
          <w:color w:val="auto"/>
          <w:kern w:val="2"/>
          <w:sz w:val="21"/>
          <w:szCs w:val="21"/>
          <w:highlight w:val="none"/>
          <w:u w:val="single"/>
          <w:lang w:val="en-US" w:eastAsia="zh-CN" w:bidi="ar"/>
        </w:rPr>
        <w:t>按国家规范要求。</w:t>
      </w:r>
    </w:p>
    <w:p w14:paraId="4614D0D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两方参检的部位、标准及表格形式：</w:t>
      </w:r>
      <w:r>
        <w:rPr>
          <w:rFonts w:hint="eastAsia" w:ascii="宋体" w:hAnsi="宋体" w:eastAsia="宋体" w:cs="宋体"/>
          <w:color w:val="auto"/>
          <w:kern w:val="2"/>
          <w:sz w:val="21"/>
          <w:szCs w:val="21"/>
          <w:highlight w:val="none"/>
          <w:u w:val="single"/>
          <w:lang w:val="en-US" w:eastAsia="zh-CN" w:bidi="ar"/>
        </w:rPr>
        <w:t>按国家规范要求。</w:t>
      </w:r>
    </w:p>
    <w:p w14:paraId="75ABD00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第三方检查的部位、标准及表格形式：</w:t>
      </w:r>
      <w:r>
        <w:rPr>
          <w:rFonts w:hint="eastAsia" w:ascii="宋体" w:hAnsi="宋体" w:eastAsia="宋体" w:cs="宋体"/>
          <w:color w:val="auto"/>
          <w:kern w:val="2"/>
          <w:sz w:val="21"/>
          <w:szCs w:val="21"/>
          <w:highlight w:val="none"/>
          <w:u w:val="single"/>
          <w:lang w:val="en-US" w:eastAsia="zh-CN" w:bidi="ar"/>
        </w:rPr>
        <w:t>按国家规范要求。</w:t>
      </w:r>
    </w:p>
    <w:p w14:paraId="471ED02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承包人自检的部位、标准及表格形式：</w:t>
      </w:r>
      <w:r>
        <w:rPr>
          <w:rFonts w:hint="eastAsia" w:ascii="宋体" w:hAnsi="宋体" w:eastAsia="宋体" w:cs="宋体"/>
          <w:color w:val="auto"/>
          <w:kern w:val="2"/>
          <w:sz w:val="21"/>
          <w:szCs w:val="21"/>
          <w:highlight w:val="none"/>
          <w:u w:val="single"/>
          <w:lang w:val="en-US" w:eastAsia="zh-CN" w:bidi="ar"/>
        </w:rPr>
        <w:t>按国家规范要求。</w:t>
      </w:r>
    </w:p>
    <w:p w14:paraId="4AFA02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施工现场需要配置的试验场所：</w:t>
      </w:r>
      <w:r>
        <w:rPr>
          <w:rFonts w:hint="eastAsia" w:ascii="宋体" w:hAnsi="宋体" w:eastAsia="宋体" w:cs="宋体"/>
          <w:color w:val="auto"/>
          <w:kern w:val="2"/>
          <w:sz w:val="21"/>
          <w:szCs w:val="21"/>
          <w:highlight w:val="none"/>
          <w:u w:val="single"/>
          <w:lang w:val="en-US" w:eastAsia="zh-CN" w:bidi="ar"/>
        </w:rPr>
        <w:t>按有关规定和监理单位要求执行。</w:t>
      </w:r>
    </w:p>
    <w:p w14:paraId="232137A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现场需要配备的试验设备：</w:t>
      </w:r>
      <w:r>
        <w:rPr>
          <w:rFonts w:hint="eastAsia" w:ascii="宋体" w:hAnsi="宋体" w:eastAsia="宋体" w:cs="宋体"/>
          <w:color w:val="auto"/>
          <w:kern w:val="2"/>
          <w:sz w:val="21"/>
          <w:szCs w:val="21"/>
          <w:highlight w:val="none"/>
          <w:u w:val="single"/>
          <w:lang w:val="en-US" w:eastAsia="zh-CN" w:bidi="ar"/>
        </w:rPr>
        <w:t>按有关规定和监理单位要求执行</w:t>
      </w:r>
      <w:r>
        <w:rPr>
          <w:rFonts w:hint="eastAsia" w:ascii="宋体" w:hAnsi="宋体" w:eastAsia="宋体" w:cs="宋体"/>
          <w:color w:val="auto"/>
          <w:kern w:val="2"/>
          <w:sz w:val="21"/>
          <w:szCs w:val="21"/>
          <w:highlight w:val="none"/>
          <w:lang w:val="en-US" w:eastAsia="zh-CN" w:bidi="ar"/>
        </w:rPr>
        <w:t>。</w:t>
      </w:r>
    </w:p>
    <w:p w14:paraId="584EA13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施工现场需要具备的其他试验条件：</w:t>
      </w:r>
      <w:r>
        <w:rPr>
          <w:rFonts w:hint="eastAsia" w:ascii="宋体" w:hAnsi="宋体" w:eastAsia="宋体" w:cs="宋体"/>
          <w:color w:val="auto"/>
          <w:kern w:val="2"/>
          <w:sz w:val="21"/>
          <w:szCs w:val="21"/>
          <w:highlight w:val="none"/>
          <w:u w:val="single"/>
          <w:lang w:val="en-US" w:eastAsia="zh-CN" w:bidi="ar"/>
        </w:rPr>
        <w:t>按有关规定和监理单位要求执行</w:t>
      </w:r>
      <w:r>
        <w:rPr>
          <w:rFonts w:hint="eastAsia" w:ascii="宋体" w:hAnsi="宋体" w:eastAsia="宋体" w:cs="宋体"/>
          <w:color w:val="auto"/>
          <w:kern w:val="2"/>
          <w:sz w:val="21"/>
          <w:szCs w:val="21"/>
          <w:highlight w:val="none"/>
          <w:lang w:val="en-US" w:eastAsia="zh-CN" w:bidi="ar"/>
        </w:rPr>
        <w:t>。</w:t>
      </w:r>
    </w:p>
    <w:p w14:paraId="43C11A5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0"/>
          <w:sz w:val="21"/>
          <w:szCs w:val="21"/>
          <w:highlight w:val="none"/>
          <w:lang w:val="en-US" w:eastAsia="zh-CN" w:bidi="ar"/>
        </w:rPr>
        <w:t>试验、检测单位资质条件约定：</w:t>
      </w:r>
      <w:r>
        <w:rPr>
          <w:rFonts w:hint="eastAsia" w:ascii="宋体" w:hAnsi="宋体" w:eastAsia="宋体" w:cs="宋体"/>
          <w:color w:val="auto"/>
          <w:kern w:val="2"/>
          <w:sz w:val="21"/>
          <w:szCs w:val="21"/>
          <w:highlight w:val="none"/>
          <w:u w:val="single"/>
          <w:lang w:val="en-US" w:eastAsia="zh-CN" w:bidi="ar"/>
        </w:rPr>
        <w:t>按有关规定和监理单位要求执行。</w:t>
      </w:r>
    </w:p>
    <w:p w14:paraId="3B0F103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0"/>
          <w:sz w:val="21"/>
          <w:szCs w:val="21"/>
          <w:highlight w:val="none"/>
          <w:lang w:val="en-US" w:eastAsia="zh-CN" w:bidi="ar"/>
        </w:rPr>
        <w:t>试验、检测单位选择约定：</w:t>
      </w:r>
      <w:r>
        <w:rPr>
          <w:rFonts w:hint="eastAsia" w:ascii="宋体" w:hAnsi="宋体" w:eastAsia="宋体" w:cs="宋体"/>
          <w:color w:val="auto"/>
          <w:kern w:val="0"/>
          <w:sz w:val="21"/>
          <w:szCs w:val="21"/>
          <w:highlight w:val="none"/>
          <w:u w:val="single"/>
          <w:lang w:val="en-US" w:eastAsia="zh-CN" w:bidi="ar"/>
        </w:rPr>
        <w:t xml:space="preserve">   /    </w:t>
      </w:r>
    </w:p>
    <w:p w14:paraId="279DEE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试验、检测费用约定：</w:t>
      </w:r>
      <w:r>
        <w:rPr>
          <w:rFonts w:hint="eastAsia" w:ascii="宋体" w:hAnsi="宋体" w:eastAsia="宋体" w:cs="宋体"/>
          <w:bCs/>
          <w:color w:val="auto"/>
          <w:kern w:val="2"/>
          <w:sz w:val="21"/>
          <w:szCs w:val="21"/>
          <w:highlight w:val="none"/>
          <w:u w:val="single"/>
          <w:lang w:val="en-US" w:eastAsia="zh-CN" w:bidi="ar"/>
        </w:rPr>
        <w:t>费用由承包人承担，并已在投标报价中考虑，不再另行计算。</w:t>
      </w:r>
    </w:p>
    <w:p w14:paraId="0566968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8.5隐蔽工程和中间验收部位</w:t>
      </w:r>
    </w:p>
    <w:p w14:paraId="18FF328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8.5.1  隐蔽工程和中间验收。</w:t>
      </w:r>
    </w:p>
    <w:p w14:paraId="148158A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需要质检的隐蔽工程和中间验收部位的分类、部位、质检内容、标准、表格和参检方的约定：</w:t>
      </w:r>
      <w:r>
        <w:rPr>
          <w:rFonts w:hint="eastAsia" w:ascii="宋体" w:hAnsi="宋体" w:eastAsia="宋体" w:cs="宋体"/>
          <w:color w:val="auto"/>
          <w:kern w:val="2"/>
          <w:sz w:val="21"/>
          <w:szCs w:val="21"/>
          <w:highlight w:val="none"/>
          <w:u w:val="single"/>
          <w:lang w:val="en-US" w:eastAsia="zh-CN" w:bidi="ar"/>
        </w:rPr>
        <w:t>工程具备覆盖、掩盖条件或达到协议条款约定的中间验收部位，承包人自检合格后在隐蔽和中间验收48小时前通知发包人代表参加。通知包括承包人自检记录、隐蔽和中间验收的内容、验收时间和地点。承包人准备验收记录。验收合格，发包人代表在验收记录上签字后，方可进行隐蔽和继续施工。验收不合格，承包人在发包人限定时间内修改后重新验收，增加的费用及延误的工期由承包人承担。</w:t>
      </w:r>
    </w:p>
    <w:p w14:paraId="7DFC66B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8.6职业健康、安全、环境保护</w:t>
      </w:r>
    </w:p>
    <w:p w14:paraId="3DE50C5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8.6.1  职业健康、安全、环境保护管理</w:t>
      </w:r>
    </w:p>
    <w:p w14:paraId="090520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（2）提交职业健康、安全、环境保护管理实施计划的份数和时间：</w:t>
      </w:r>
      <w:r>
        <w:rPr>
          <w:rFonts w:hint="eastAsia" w:ascii="宋体" w:hAnsi="宋体" w:eastAsia="宋体" w:cs="宋体"/>
          <w:color w:val="auto"/>
          <w:kern w:val="2"/>
          <w:sz w:val="21"/>
          <w:szCs w:val="21"/>
          <w:highlight w:val="none"/>
          <w:u w:val="single"/>
          <w:lang w:val="en-US" w:eastAsia="zh-CN" w:bidi="ar"/>
        </w:rPr>
        <w:t>合同签订后7日内提供4份书面材料（同时提供电子材料）。</w:t>
      </w:r>
    </w:p>
    <w:p w14:paraId="4ED86F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8.6.6其他约定</w:t>
      </w:r>
    </w:p>
    <w:p w14:paraId="76BF242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8.6.6.1安全文明施工</w:t>
      </w:r>
    </w:p>
    <w:p w14:paraId="0ED3756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（1）项目安全生产的达标目标及相应事项的约定：施工现场按照《建筑施工安全检查标准》（JGJ59-2011）评定达到“合格”标准。</w:t>
      </w:r>
    </w:p>
    <w:p w14:paraId="26336F7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关于编制施工场地治安管理计划的约定：承包人应在工程开工后7天内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4E2BB26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8.6.6.2文明施工</w:t>
      </w:r>
    </w:p>
    <w:p w14:paraId="5FEA3DA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合同当事人对文明施工的要求：</w:t>
      </w:r>
    </w:p>
    <w:p w14:paraId="362446B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（1）遵守地方政府和有关部门对施工场地交通、环卫、安全和施工噪音等管理规定，并办理相关审批手续。</w:t>
      </w:r>
    </w:p>
    <w:p w14:paraId="5BFE51D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（2）承包人应采取有效措施尽量减少尘土和噪音污染，需要进行夜间作业时应经有关部门批准。</w:t>
      </w:r>
    </w:p>
    <w:p w14:paraId="3E8368D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（3）其他按《通用条款》及投标承诺执行。</w:t>
      </w:r>
    </w:p>
    <w:p w14:paraId="0F33ACF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（4）上述手续办理费用约定如下：由承包人承担。</w:t>
      </w:r>
    </w:p>
    <w:p w14:paraId="1D2561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9.竣工试验</w:t>
      </w:r>
    </w:p>
    <w:p w14:paraId="7E8899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本合同工程，包含竣工试验阶段。</w:t>
      </w:r>
    </w:p>
    <w:p w14:paraId="455E3F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9.1  竣工试验的义务</w:t>
      </w:r>
    </w:p>
    <w:p w14:paraId="3C133D4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9.1.1  承包人的一般义务</w:t>
      </w:r>
    </w:p>
    <w:p w14:paraId="754AE66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（4）竣工试验方案</w:t>
      </w:r>
    </w:p>
    <w:p w14:paraId="19F18B4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提交竣工试验方案的份数和时间：</w:t>
      </w:r>
      <w:r>
        <w:rPr>
          <w:rFonts w:hint="eastAsia" w:ascii="宋体" w:hAnsi="宋体" w:eastAsia="宋体" w:cs="宋体"/>
          <w:color w:val="auto"/>
          <w:kern w:val="2"/>
          <w:sz w:val="21"/>
          <w:szCs w:val="21"/>
          <w:highlight w:val="none"/>
          <w:u w:val="single"/>
          <w:lang w:val="en-US" w:eastAsia="zh-CN" w:bidi="ar"/>
        </w:rPr>
        <w:t>按建筑法及《建筑工程施工质量验收统一标准》（GB-50300-2013）规定由承包人完成。</w:t>
      </w:r>
    </w:p>
    <w:p w14:paraId="2BA2891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10.工程接收</w:t>
      </w:r>
    </w:p>
    <w:p w14:paraId="568C30A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10.1  工程接收</w:t>
      </w:r>
    </w:p>
    <w:p w14:paraId="175A096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10.1.1  按单项工程和（或）按工程接收</w:t>
      </w:r>
    </w:p>
    <w:p w14:paraId="1F61A10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按以下两种情况中选择</w:t>
      </w:r>
      <w:r>
        <w:rPr>
          <w:rFonts w:hint="eastAsia" w:ascii="宋体" w:hAnsi="宋体" w:eastAsia="宋体" w:cs="宋体"/>
          <w:color w:val="auto"/>
          <w:kern w:val="2"/>
          <w:sz w:val="21"/>
          <w:szCs w:val="21"/>
          <w:highlight w:val="none"/>
          <w:u w:val="single"/>
          <w:lang w:val="en-US" w:eastAsia="zh-CN" w:bidi="ar"/>
        </w:rPr>
        <w:t>（1）</w:t>
      </w:r>
      <w:r>
        <w:rPr>
          <w:rFonts w:hint="eastAsia" w:ascii="宋体" w:hAnsi="宋体" w:eastAsia="宋体" w:cs="宋体"/>
          <w:color w:val="auto"/>
          <w:kern w:val="2"/>
          <w:sz w:val="21"/>
          <w:szCs w:val="21"/>
          <w:highlight w:val="none"/>
          <w:lang w:val="en-US" w:eastAsia="zh-CN" w:bidi="ar"/>
        </w:rPr>
        <w:t>，作为双方对工程接收的约定。</w:t>
      </w:r>
    </w:p>
    <w:p w14:paraId="29D566C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（1）由承包人负责指导发包人进行单项工程和（或）工程竣工后试验，并承担试运行考核责任的，接收单项工程的先后顺序及时间安排，或接收工程的时间安排如下：</w:t>
      </w:r>
      <w:r>
        <w:rPr>
          <w:rFonts w:hint="eastAsia" w:ascii="宋体" w:hAnsi="宋体" w:eastAsia="宋体" w:cs="宋体"/>
          <w:color w:val="auto"/>
          <w:kern w:val="2"/>
          <w:sz w:val="21"/>
          <w:szCs w:val="21"/>
          <w:highlight w:val="none"/>
          <w:u w:val="single"/>
          <w:lang w:val="en-US" w:eastAsia="zh-CN" w:bidi="ar"/>
        </w:rPr>
        <w:t>符合国家规范及档案馆存档要求的竣工资料，包括竣工图、竣工技术资料，编制产品说明书、质量保证书等</w:t>
      </w:r>
      <w:r>
        <w:rPr>
          <w:rFonts w:hint="eastAsia" w:ascii="宋体" w:hAnsi="宋体" w:eastAsia="宋体" w:cs="宋体"/>
          <w:color w:val="auto"/>
          <w:kern w:val="2"/>
          <w:sz w:val="21"/>
          <w:szCs w:val="21"/>
          <w:highlight w:val="none"/>
          <w:lang w:val="en-US" w:eastAsia="zh-CN" w:bidi="ar"/>
        </w:rPr>
        <w:t>。</w:t>
      </w:r>
    </w:p>
    <w:p w14:paraId="227C432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承包人需要提交的竣工资料数：</w:t>
      </w:r>
      <w:r>
        <w:rPr>
          <w:rFonts w:hint="eastAsia" w:ascii="宋体" w:hAnsi="宋体" w:eastAsia="宋体" w:cs="宋体"/>
          <w:color w:val="auto"/>
          <w:kern w:val="2"/>
          <w:sz w:val="21"/>
          <w:szCs w:val="21"/>
          <w:highlight w:val="none"/>
          <w:u w:val="single"/>
          <w:lang w:val="en-US" w:eastAsia="zh-CN" w:bidi="ar"/>
        </w:rPr>
        <w:t>六套</w:t>
      </w:r>
      <w:r>
        <w:rPr>
          <w:rFonts w:hint="eastAsia" w:ascii="宋体" w:hAnsi="宋体" w:eastAsia="宋体" w:cs="宋体"/>
          <w:color w:val="auto"/>
          <w:kern w:val="2"/>
          <w:sz w:val="21"/>
          <w:szCs w:val="21"/>
          <w:highlight w:val="none"/>
          <w:lang w:val="en-US" w:eastAsia="zh-CN" w:bidi="ar"/>
        </w:rPr>
        <w:t>。</w:t>
      </w:r>
    </w:p>
    <w:p w14:paraId="498B81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承包人提交的竣工资料的费用承担：</w:t>
      </w:r>
      <w:r>
        <w:rPr>
          <w:rFonts w:hint="eastAsia" w:ascii="宋体" w:hAnsi="宋体" w:eastAsia="宋体" w:cs="宋体"/>
          <w:color w:val="auto"/>
          <w:kern w:val="2"/>
          <w:sz w:val="21"/>
          <w:szCs w:val="21"/>
          <w:highlight w:val="none"/>
          <w:u w:val="single"/>
          <w:lang w:val="en-US" w:eastAsia="zh-CN" w:bidi="ar"/>
        </w:rPr>
        <w:t>由承包人负责</w:t>
      </w:r>
      <w:r>
        <w:rPr>
          <w:rFonts w:hint="eastAsia" w:ascii="宋体" w:hAnsi="宋体" w:eastAsia="宋体" w:cs="宋体"/>
          <w:color w:val="auto"/>
          <w:kern w:val="2"/>
          <w:sz w:val="21"/>
          <w:szCs w:val="21"/>
          <w:highlight w:val="none"/>
          <w:lang w:val="en-US" w:eastAsia="zh-CN" w:bidi="ar"/>
        </w:rPr>
        <w:t>。</w:t>
      </w:r>
    </w:p>
    <w:p w14:paraId="4C83ECC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承包人提交的竣工资料移交时间：</w:t>
      </w:r>
      <w:r>
        <w:rPr>
          <w:rFonts w:hint="eastAsia" w:ascii="宋体" w:hAnsi="宋体" w:eastAsia="宋体" w:cs="宋体"/>
          <w:color w:val="auto"/>
          <w:kern w:val="2"/>
          <w:sz w:val="21"/>
          <w:szCs w:val="21"/>
          <w:highlight w:val="none"/>
          <w:u w:val="single"/>
          <w:lang w:val="en-US" w:eastAsia="zh-CN" w:bidi="ar"/>
        </w:rPr>
        <w:t>竣工验收合格后三个月内</w:t>
      </w:r>
      <w:r>
        <w:rPr>
          <w:rFonts w:hint="eastAsia" w:ascii="宋体" w:hAnsi="宋体" w:eastAsia="宋体" w:cs="宋体"/>
          <w:color w:val="auto"/>
          <w:kern w:val="2"/>
          <w:sz w:val="21"/>
          <w:szCs w:val="21"/>
          <w:highlight w:val="none"/>
          <w:lang w:val="en-US" w:eastAsia="zh-CN" w:bidi="ar"/>
        </w:rPr>
        <w:t>。</w:t>
      </w:r>
    </w:p>
    <w:p w14:paraId="6B126E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承包人提交的竣工资料形式要求：</w:t>
      </w:r>
      <w:r>
        <w:rPr>
          <w:rFonts w:hint="eastAsia" w:ascii="宋体" w:hAnsi="宋体" w:eastAsia="宋体" w:cs="宋体"/>
          <w:color w:val="auto"/>
          <w:kern w:val="2"/>
          <w:sz w:val="21"/>
          <w:szCs w:val="21"/>
          <w:highlight w:val="none"/>
          <w:u w:val="single"/>
          <w:lang w:val="en-US" w:eastAsia="zh-CN" w:bidi="ar"/>
        </w:rPr>
        <w:t>书面，达到城建档案馆存档要求</w:t>
      </w:r>
      <w:r>
        <w:rPr>
          <w:rFonts w:hint="eastAsia" w:ascii="宋体" w:hAnsi="宋体" w:eastAsia="宋体" w:cs="宋体"/>
          <w:color w:val="auto"/>
          <w:kern w:val="2"/>
          <w:sz w:val="21"/>
          <w:szCs w:val="21"/>
          <w:highlight w:val="none"/>
          <w:lang w:val="en-US" w:eastAsia="zh-CN" w:bidi="ar"/>
        </w:rPr>
        <w:t>。</w:t>
      </w:r>
    </w:p>
    <w:p w14:paraId="36C7A40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（2）由发包人负责单项工程和（或）工程竣工后试验及试运行考核责任的，接收单项工程的先后顺序及时间安排，或接收工程的时间安排如下：</w:t>
      </w:r>
    </w:p>
    <w:p w14:paraId="5767EEA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10.1.2  接收工程提交的资料</w:t>
      </w:r>
    </w:p>
    <w:p w14:paraId="14D96B8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提交竣工试验资料的类别、内容、份数和时间：</w:t>
      </w:r>
      <w:r>
        <w:rPr>
          <w:rFonts w:hint="eastAsia" w:ascii="宋体" w:hAnsi="宋体" w:eastAsia="宋体" w:cs="宋体"/>
          <w:color w:val="auto"/>
          <w:kern w:val="2"/>
          <w:sz w:val="21"/>
          <w:szCs w:val="21"/>
          <w:highlight w:val="none"/>
          <w:u w:val="single"/>
          <w:lang w:val="en-US" w:eastAsia="zh-CN" w:bidi="ar"/>
        </w:rPr>
        <w:t>所有竣工检测、检验、试验委托合同和报告，数量按照发包人及现场管理要求。</w:t>
      </w:r>
    </w:p>
    <w:p w14:paraId="760E96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 竣工后试验</w:t>
      </w:r>
    </w:p>
    <w:p w14:paraId="3F60DCA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本合同不包含承包人指导竣工后试验。</w:t>
      </w:r>
    </w:p>
    <w:p w14:paraId="018197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11.1  权利和义务</w:t>
      </w:r>
    </w:p>
    <w:p w14:paraId="3EF742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11.1.1发包人的权利和义务</w:t>
      </w:r>
    </w:p>
    <w:p w14:paraId="2643664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（6）其他义务和工作：</w:t>
      </w:r>
      <w:r>
        <w:rPr>
          <w:rFonts w:hint="eastAsia" w:ascii="宋体" w:hAnsi="宋体" w:eastAsia="宋体" w:cs="宋体"/>
          <w:color w:val="auto"/>
          <w:kern w:val="2"/>
          <w:sz w:val="21"/>
          <w:szCs w:val="21"/>
          <w:highlight w:val="none"/>
          <w:u w:val="single"/>
          <w:lang w:val="en-US" w:eastAsia="zh-CN" w:bidi="ar"/>
        </w:rPr>
        <w:t xml:space="preserve">           /          </w:t>
      </w:r>
    </w:p>
    <w:p w14:paraId="53B8C9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11.1.2  承包人的权利和义务</w:t>
      </w:r>
    </w:p>
    <w:p w14:paraId="29F41FD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（2）竣工后试验方案的份数和完成时间：</w:t>
      </w:r>
      <w:r>
        <w:rPr>
          <w:rFonts w:hint="eastAsia" w:ascii="宋体" w:hAnsi="宋体" w:eastAsia="宋体" w:cs="宋体"/>
          <w:color w:val="auto"/>
          <w:kern w:val="2"/>
          <w:sz w:val="21"/>
          <w:szCs w:val="21"/>
          <w:highlight w:val="none"/>
          <w:u w:val="single"/>
          <w:lang w:val="en-US" w:eastAsia="zh-CN" w:bidi="ar"/>
        </w:rPr>
        <w:t xml:space="preserve">          /          </w:t>
      </w:r>
    </w:p>
    <w:p w14:paraId="0709FA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（7）其他义务和工作：</w:t>
      </w:r>
      <w:r>
        <w:rPr>
          <w:rFonts w:hint="eastAsia" w:ascii="宋体" w:hAnsi="宋体" w:eastAsia="宋体" w:cs="宋体"/>
          <w:color w:val="auto"/>
          <w:kern w:val="2"/>
          <w:sz w:val="21"/>
          <w:szCs w:val="21"/>
          <w:highlight w:val="none"/>
          <w:u w:val="single"/>
          <w:lang w:val="en-US" w:eastAsia="zh-CN" w:bidi="ar"/>
        </w:rPr>
        <w:t xml:space="preserve">          /          </w:t>
      </w:r>
    </w:p>
    <w:p w14:paraId="26C1019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11.2  竣工后试验程序</w:t>
      </w:r>
    </w:p>
    <w:p w14:paraId="4916FCB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11.2.1竣工后试验日期的通知</w:t>
      </w:r>
    </w:p>
    <w:p w14:paraId="5F607AC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单项工程和（或）工程竣工后试验开始日期的约定：</w:t>
      </w:r>
      <w:r>
        <w:rPr>
          <w:rFonts w:hint="eastAsia" w:ascii="宋体" w:hAnsi="宋体" w:eastAsia="宋体" w:cs="宋体"/>
          <w:color w:val="auto"/>
          <w:kern w:val="2"/>
          <w:sz w:val="21"/>
          <w:szCs w:val="21"/>
          <w:highlight w:val="none"/>
          <w:u w:val="single"/>
          <w:lang w:val="en-US" w:eastAsia="zh-CN" w:bidi="ar"/>
        </w:rPr>
        <w:t xml:space="preserve">     /      </w:t>
      </w:r>
    </w:p>
    <w:p w14:paraId="2CDCA4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  竣工后试验及试运行考核</w:t>
      </w:r>
    </w:p>
    <w:p w14:paraId="4A5EDF2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11.3.1试运行考核</w:t>
      </w:r>
    </w:p>
    <w:p w14:paraId="266BD2A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（3）试运行考核周期：</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小时（或天、周、月、年）</w:t>
      </w:r>
    </w:p>
    <w:p w14:paraId="0596BDC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11.4未能通过考核</w:t>
      </w:r>
    </w:p>
    <w:p w14:paraId="3A88992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（1）未能通过试运行考核的赔偿</w:t>
      </w:r>
    </w:p>
    <w:p w14:paraId="52183D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1）承包人提供生产工艺技术或建筑设计方案未能通过试运行考核的赔偿</w:t>
      </w:r>
    </w:p>
    <w:p w14:paraId="455EC5B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根据工程情况，在以下方式中选择第</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项，作为双方的考核赔偿约定，</w:t>
      </w:r>
    </w:p>
    <w:p w14:paraId="64DEA30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（a）各单项工程的赔偿金额（或赔偿公式）分别为：</w:t>
      </w:r>
    </w:p>
    <w:p w14:paraId="2CA7214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（b）工程的赔偿金额（或赔偿公式）：</w:t>
      </w:r>
    </w:p>
    <w:p w14:paraId="18B8786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2）发包人提供生产工艺技术或建筑设计方案未能通过试运行考核的赔偿</w:t>
      </w:r>
    </w:p>
    <w:p w14:paraId="3D422E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其中承包人应承担相关责任的赔偿金额（或赔偿公式）分别为</w:t>
      </w:r>
      <w:r>
        <w:rPr>
          <w:rFonts w:hint="eastAsia" w:ascii="宋体" w:hAnsi="宋体" w:eastAsia="宋体" w:cs="宋体"/>
          <w:color w:val="auto"/>
          <w:kern w:val="2"/>
          <w:sz w:val="21"/>
          <w:szCs w:val="21"/>
          <w:highlight w:val="none"/>
          <w:u w:val="single"/>
          <w:lang w:val="en-US" w:eastAsia="zh-CN" w:bidi="ar"/>
        </w:rPr>
        <w:t xml:space="preserve">      /     </w:t>
      </w:r>
    </w:p>
    <w:p w14:paraId="0FDCC38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11.5考核验收证书</w:t>
      </w:r>
    </w:p>
    <w:p w14:paraId="100D07A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11.7.1在以下方式中选择</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，作为颁发竣工后试验及考核验收证书的约定。</w:t>
      </w:r>
    </w:p>
    <w:p w14:paraId="78F8A8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（1）按工程颁发竣工后试验及考核验收证书。</w:t>
      </w:r>
    </w:p>
    <w:p w14:paraId="51276C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（2）按单项工程和工程颁发竣工后试验及考核验收证书。</w:t>
      </w:r>
    </w:p>
    <w:p w14:paraId="3BDE298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 质量保修责任</w:t>
      </w:r>
    </w:p>
    <w:p w14:paraId="62F9634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12.1缺陷责任保修金</w:t>
      </w:r>
    </w:p>
    <w:p w14:paraId="035BA7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12.1.1  缺陷责任保修金金额</w:t>
      </w:r>
    </w:p>
    <w:p w14:paraId="6291B14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缺陷责任保修金金额为合同协议书约定的结算审定价的：</w:t>
      </w:r>
      <w:r>
        <w:rPr>
          <w:rFonts w:hint="eastAsia" w:ascii="宋体" w:hAnsi="宋体" w:eastAsia="宋体" w:cs="宋体"/>
          <w:color w:val="auto"/>
          <w:kern w:val="2"/>
          <w:sz w:val="21"/>
          <w:szCs w:val="21"/>
          <w:highlight w:val="none"/>
          <w:u w:val="single"/>
          <w:lang w:val="en-US" w:eastAsia="zh-CN" w:bidi="ar"/>
        </w:rPr>
        <w:t xml:space="preserve">  1.5 </w:t>
      </w:r>
      <w:r>
        <w:rPr>
          <w:rFonts w:hint="eastAsia" w:ascii="宋体" w:hAnsi="宋体" w:eastAsia="宋体" w:cs="宋体"/>
          <w:color w:val="auto"/>
          <w:kern w:val="2"/>
          <w:sz w:val="21"/>
          <w:szCs w:val="21"/>
          <w:highlight w:val="none"/>
          <w:lang w:val="en-US" w:eastAsia="zh-CN" w:bidi="ar"/>
        </w:rPr>
        <w:t xml:space="preserve"> %。</w:t>
      </w:r>
    </w:p>
    <w:p w14:paraId="364E777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12.1.2  缺陷责任保修金金额的暂扣</w:t>
      </w:r>
    </w:p>
    <w:p w14:paraId="345A3D1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bCs/>
          <w:color w:val="auto"/>
          <w:kern w:val="2"/>
          <w:sz w:val="21"/>
          <w:szCs w:val="21"/>
          <w:highlight w:val="none"/>
          <w:lang w:val="en-US" w:eastAsia="zh-CN" w:bidi="ar"/>
        </w:rPr>
        <w:t>缺陷责任保修金金额的暂扣方式：</w:t>
      </w:r>
    </w:p>
    <w:p w14:paraId="48F9746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在工程竣工结算时一次性扣留，在工程交付使用责任缺陷期到期返还。同时期保修金返还需经项目工程部复验合格后，扣除相应扣款后(包括但不限于由于承包人维修不及时而发包人自行维修的费用)，由财务部清算支付。</w:t>
      </w:r>
    </w:p>
    <w:p w14:paraId="6DE9C27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 工程竣工验收</w:t>
      </w:r>
    </w:p>
    <w:p w14:paraId="4A001D8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13.1  竣工验收报告及完整的竣工资料</w:t>
      </w:r>
    </w:p>
    <w:p w14:paraId="6BE032A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13.1.1竣工资料和竣工验收报告</w:t>
      </w:r>
    </w:p>
    <w:p w14:paraId="4CDF48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竣工验收报告的格式、份数和提交时间：</w:t>
      </w:r>
      <w:r>
        <w:rPr>
          <w:rFonts w:hint="eastAsia" w:ascii="宋体" w:hAnsi="宋体" w:eastAsia="宋体" w:cs="宋体"/>
          <w:color w:val="auto"/>
          <w:kern w:val="2"/>
          <w:sz w:val="21"/>
          <w:szCs w:val="21"/>
          <w:highlight w:val="none"/>
          <w:u w:val="single"/>
          <w:lang w:val="en-US" w:eastAsia="zh-CN" w:bidi="ar"/>
        </w:rPr>
        <w:t>当工程具备竣工验收条件时，承包人即可向监理单位报送竣工验收申请报告。格式、份数满足竣工验收要求。</w:t>
      </w:r>
    </w:p>
    <w:p w14:paraId="0B51B94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完整的竣工资料的格式、份数和提交时间：</w:t>
      </w:r>
      <w:r>
        <w:rPr>
          <w:rFonts w:hint="eastAsia" w:ascii="宋体" w:hAnsi="宋体" w:eastAsia="宋体" w:cs="宋体"/>
          <w:color w:val="auto"/>
          <w:kern w:val="2"/>
          <w:sz w:val="21"/>
          <w:szCs w:val="21"/>
          <w:highlight w:val="none"/>
          <w:u w:val="single"/>
          <w:lang w:val="en-US" w:eastAsia="zh-CN" w:bidi="ar"/>
        </w:rPr>
        <w:t>满足工程建设需要和发包人要求。</w:t>
      </w:r>
    </w:p>
    <w:p w14:paraId="6A9E8FA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 变更和合同价格调整</w:t>
      </w:r>
    </w:p>
    <w:p w14:paraId="1CF8ED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14.1工程变更包括：</w:t>
      </w:r>
      <w:r>
        <w:rPr>
          <w:rFonts w:hint="eastAsia" w:ascii="宋体" w:hAnsi="宋体" w:eastAsia="宋体" w:cs="宋体"/>
          <w:color w:val="auto"/>
          <w:kern w:val="2"/>
          <w:sz w:val="21"/>
          <w:szCs w:val="21"/>
          <w:highlight w:val="none"/>
          <w:u w:val="single"/>
          <w:lang w:val="en-US" w:eastAsia="zh-CN" w:bidi="ar"/>
        </w:rPr>
        <w:t>发包人要求发生变化，提出规模、功能和标准的变动；</w:t>
      </w:r>
    </w:p>
    <w:p w14:paraId="15EBF01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jc w:val="both"/>
        <w:textAlignment w:val="auto"/>
        <w:outlineLvl w:val="3"/>
        <w:rPr>
          <w:rFonts w:hint="eastAsia" w:ascii="宋体" w:hAnsi="宋体" w:eastAsia="宋体" w:cs="宋体"/>
          <w:color w:val="auto"/>
          <w:kern w:val="2"/>
          <w:sz w:val="21"/>
          <w:szCs w:val="21"/>
          <w:highlight w:val="none"/>
        </w:rPr>
      </w:pPr>
      <w:bookmarkStart w:id="515" w:name="_Toc12881754"/>
      <w:bookmarkEnd w:id="515"/>
      <w:r>
        <w:rPr>
          <w:rFonts w:hint="eastAsia" w:ascii="宋体" w:hAnsi="宋体" w:eastAsia="宋体" w:cs="宋体"/>
          <w:color w:val="auto"/>
          <w:kern w:val="2"/>
          <w:sz w:val="21"/>
          <w:szCs w:val="21"/>
          <w:highlight w:val="none"/>
          <w:lang w:val="en-US" w:eastAsia="zh-CN" w:bidi="ar"/>
        </w:rPr>
        <w:t>14.2变更程序</w:t>
      </w:r>
    </w:p>
    <w:p w14:paraId="6F972D0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14.2.1变更的提出</w:t>
      </w:r>
    </w:p>
    <w:p w14:paraId="21CCB11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通用条款并增加以下内容：</w:t>
      </w:r>
    </w:p>
    <w:p w14:paraId="6FFA2343">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bookmarkStart w:id="516" w:name="_Toc12881755"/>
      <w:bookmarkEnd w:id="516"/>
      <w:r>
        <w:rPr>
          <w:rFonts w:hint="eastAsia" w:ascii="宋体" w:hAnsi="宋体" w:eastAsia="宋体" w:cs="宋体"/>
          <w:bCs/>
          <w:color w:val="auto"/>
          <w:kern w:val="0"/>
          <w:sz w:val="21"/>
          <w:szCs w:val="21"/>
          <w:highlight w:val="none"/>
          <w:u w:val="single"/>
          <w:lang w:val="en-US" w:eastAsia="zh-CN" w:bidi="ar"/>
        </w:rPr>
        <w:t>工程变更的具体操作办法按发包人制定的工程变更管理办法执行。</w:t>
      </w:r>
    </w:p>
    <w:p w14:paraId="75AFA69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bookmarkStart w:id="517" w:name="_Toc12881756"/>
      <w:bookmarkEnd w:id="517"/>
      <w:r>
        <w:rPr>
          <w:rFonts w:hint="eastAsia" w:ascii="宋体" w:hAnsi="宋体" w:eastAsia="宋体" w:cs="宋体"/>
          <w:color w:val="auto"/>
          <w:kern w:val="2"/>
          <w:sz w:val="21"/>
          <w:szCs w:val="21"/>
          <w:highlight w:val="none"/>
          <w:lang w:val="en-US" w:eastAsia="zh-CN" w:bidi="ar"/>
        </w:rPr>
        <w:t>14.4变更的范围</w:t>
      </w:r>
    </w:p>
    <w:p w14:paraId="0A3077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8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施工图审定（或备案）后，由发包人发出的关于建设标准、使用功能调整或者工程规模的调整，属于变更范围，工程量按实结算（最终工程费结算价不得超过设计限额，即初步设计概算建安费用，超过部分由承包人承担）。</w:t>
      </w:r>
    </w:p>
    <w:p w14:paraId="0CB8143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8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施工图审定（或备案）后，承包人对自身设计、采购、施工、竣工试验、竣工后试验存在的缺陷，应自费修正、调整和完善，不属于变更。如工程量增加的，增加的工程费用由承包人承担；如工程量减少的，工程费按实结算。</w:t>
      </w:r>
    </w:p>
    <w:p w14:paraId="55914AE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所有变更指令均需通过监理下达承包人，工程变更的具体操作办法按发包人制定的工程变更管理办法执行</w:t>
      </w:r>
      <w:r>
        <w:rPr>
          <w:rFonts w:hint="eastAsia" w:ascii="宋体" w:hAnsi="宋体" w:eastAsia="宋体" w:cs="宋体"/>
          <w:color w:val="auto"/>
          <w:kern w:val="2"/>
          <w:sz w:val="21"/>
          <w:szCs w:val="21"/>
          <w:highlight w:val="none"/>
          <w:lang w:val="en-US" w:eastAsia="zh-CN" w:bidi="ar"/>
        </w:rPr>
        <w:t>。</w:t>
      </w:r>
    </w:p>
    <w:p w14:paraId="141DEB1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bookmarkStart w:id="518" w:name="_Toc12881757"/>
      <w:bookmarkEnd w:id="518"/>
      <w:r>
        <w:rPr>
          <w:rFonts w:hint="eastAsia" w:ascii="宋体" w:hAnsi="宋体" w:eastAsia="宋体" w:cs="宋体"/>
          <w:color w:val="auto"/>
          <w:kern w:val="2"/>
          <w:sz w:val="21"/>
          <w:szCs w:val="21"/>
          <w:highlight w:val="none"/>
          <w:lang w:val="en-US" w:eastAsia="zh-CN" w:bidi="ar"/>
        </w:rPr>
        <w:t>14.5变更价款确定</w:t>
      </w:r>
    </w:p>
    <w:p w14:paraId="2058AE0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46" w:firstLineChars="165"/>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（1）已标价工程量清单中有适用于变更工程项目的，应采用该项目的单价；已标价工程量清单中没有适用但有类似于变更工程项目的，可在合理范围内参照类似项目的单价。</w:t>
      </w:r>
    </w:p>
    <w:p w14:paraId="3220D3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315" w:firstLineChars="15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2）已标价工程量清单项目中没有适用也没有类似与变更工程相同的，由承包人按26.1.1施工图预算审定价编制依据（浙江省2018版计价依据）、编制方法、口径[中人工、材料、机械及费用计取标准均按26.1.1施工图预算审定价中计算标准]计算综合单价，乘以中标费率，编制变更项目的结算综合单价[即结算综合单价=按26.1.1施工图预算审定价口径计算的综合单价×中标费率]，报发包人审核后确定。如无类似工程项目且无定额（或信息价）可套用的，按柯城区询价办法确定。</w:t>
      </w:r>
    </w:p>
    <w:p w14:paraId="3A54F92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210" w:firstLineChars="1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（3）合同约定的施工期内颁发新的法律、法规、部门规章和政策性文件的，按新的法律、法规、部门规章和政策性文件之规定执行。</w:t>
      </w:r>
    </w:p>
    <w:p w14:paraId="0755B8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210" w:firstLineChars="1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（4）发包人原因造成的工程变更（规模性、功能性或标准的）及设计变更导致增加或减少的工程费用按实结算，但工程结算价不得超过初步设计概算批复的建安费用。</w:t>
      </w:r>
    </w:p>
    <w:p w14:paraId="3684046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210" w:firstLineChars="1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（5）因承包人原因造成的变更（设计变更、工程变更等一切变更）导致的工程费用增加不予计取。承包人原因造成的变更（设计变更、工程变更等一切变更）导致工程费用减少的按实扣减。</w:t>
      </w:r>
    </w:p>
    <w:p w14:paraId="5E384F5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bookmarkStart w:id="519" w:name="_Toc12881758"/>
      <w:bookmarkEnd w:id="519"/>
      <w:r>
        <w:rPr>
          <w:rFonts w:hint="eastAsia" w:ascii="宋体" w:hAnsi="宋体" w:eastAsia="宋体" w:cs="宋体"/>
          <w:color w:val="auto"/>
          <w:kern w:val="2"/>
          <w:sz w:val="21"/>
          <w:szCs w:val="21"/>
          <w:highlight w:val="none"/>
          <w:lang w:val="en-US" w:eastAsia="zh-CN" w:bidi="ar"/>
        </w:rPr>
        <w:t>14.6价格调整</w:t>
      </w:r>
    </w:p>
    <w:p w14:paraId="503CD95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14.7物价波动引起的调整：按衢住建办[2020]37号文件执行。</w:t>
      </w:r>
    </w:p>
    <w:p w14:paraId="1C0E569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14.8工程进度款：</w:t>
      </w:r>
    </w:p>
    <w:p w14:paraId="138B2D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yellow"/>
        </w:rPr>
      </w:pPr>
      <w:r>
        <w:rPr>
          <w:rFonts w:hint="eastAsia" w:ascii="宋体" w:hAnsi="宋体" w:eastAsia="宋体" w:cs="宋体"/>
          <w:color w:val="auto"/>
          <w:kern w:val="2"/>
          <w:sz w:val="21"/>
          <w:szCs w:val="21"/>
          <w:highlight w:val="none"/>
          <w:lang w:val="en-US" w:eastAsia="zh-CN" w:bidi="ar"/>
        </w:rPr>
        <w:t>为了促进项目的顺利实施，管好用好建设资金，确保工程资金专款专用，规定本项目必须由发包人、承包人、银行三方签订《工程资金监管协议》，涉及本工程的所有支付款项都遵守该协议执行。（协议格</w:t>
      </w:r>
      <w:r>
        <w:rPr>
          <w:rFonts w:hint="eastAsia" w:ascii="宋体" w:hAnsi="宋体" w:eastAsia="宋体" w:cs="宋体"/>
          <w:color w:val="auto"/>
          <w:kern w:val="2"/>
          <w:sz w:val="21"/>
          <w:szCs w:val="21"/>
          <w:highlight w:val="yellow"/>
          <w:lang w:val="en-US" w:eastAsia="zh-CN" w:bidi="ar"/>
        </w:rPr>
        <w:t>式内容详见附件七）</w:t>
      </w:r>
    </w:p>
    <w:p w14:paraId="47009A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yellow"/>
        </w:rPr>
      </w:pPr>
      <w:r>
        <w:rPr>
          <w:rFonts w:hint="eastAsia" w:ascii="宋体" w:hAnsi="宋体" w:eastAsia="宋体" w:cs="宋体"/>
          <w:color w:val="auto"/>
          <w:kern w:val="2"/>
          <w:sz w:val="21"/>
          <w:szCs w:val="21"/>
          <w:highlight w:val="yellow"/>
          <w:lang w:val="en-US" w:eastAsia="zh-CN" w:bidi="ar"/>
        </w:rPr>
        <w:t>14.8.2预付款：按支付分解表14.8.3支付</w:t>
      </w:r>
    </w:p>
    <w:p w14:paraId="660B057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yellow"/>
        </w:rPr>
      </w:pPr>
      <w:r>
        <w:rPr>
          <w:rFonts w:hint="eastAsia" w:ascii="宋体" w:hAnsi="宋体" w:eastAsia="宋体" w:cs="宋体"/>
          <w:color w:val="auto"/>
          <w:kern w:val="2"/>
          <w:sz w:val="21"/>
          <w:szCs w:val="21"/>
          <w:highlight w:val="yellow"/>
          <w:lang w:val="en-US" w:eastAsia="zh-CN" w:bidi="ar"/>
        </w:rPr>
        <w:t>14.8.3工程进度付款</w:t>
      </w:r>
    </w:p>
    <w:p w14:paraId="5989556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yellow"/>
        </w:rPr>
      </w:pPr>
      <w:r>
        <w:rPr>
          <w:rFonts w:hint="eastAsia" w:ascii="宋体" w:hAnsi="宋体" w:eastAsia="宋体" w:cs="宋体"/>
          <w:color w:val="auto"/>
          <w:kern w:val="2"/>
          <w:sz w:val="21"/>
          <w:szCs w:val="21"/>
          <w:highlight w:val="yellow"/>
          <w:lang w:val="en-US" w:eastAsia="zh-CN" w:bidi="ar"/>
        </w:rPr>
        <w:t>14.8.3.1支付分解表</w:t>
      </w:r>
    </w:p>
    <w:p w14:paraId="6F3FA07F">
      <w:pPr>
        <w:pStyle w:val="9"/>
        <w:keepNext w:val="0"/>
        <w:keepLines w:val="0"/>
        <w:pageBreakBefore w:val="0"/>
        <w:widowControl w:val="0"/>
        <w:numPr>
          <w:ilvl w:val="0"/>
          <w:numId w:val="0"/>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yellow"/>
          <w:lang w:bidi="ar"/>
        </w:rPr>
      </w:pPr>
      <w:r>
        <w:rPr>
          <w:rFonts w:hint="default" w:ascii="Times New Roman" w:hAnsi="Times New Roman" w:eastAsia="宋体" w:cs="Times New Roman"/>
          <w:color w:val="auto"/>
          <w:kern w:val="0"/>
          <w:sz w:val="21"/>
          <w:szCs w:val="21"/>
          <w:highlight w:val="yellow"/>
          <w:lang w:val="en-US" w:eastAsia="zh-CN" w:bidi="ar"/>
        </w:rPr>
        <w:t>1、</w:t>
      </w:r>
      <w:r>
        <w:rPr>
          <w:rFonts w:hint="eastAsia" w:ascii="宋体" w:hAnsi="宋体" w:eastAsia="宋体" w:cs="宋体"/>
          <w:color w:val="auto"/>
          <w:kern w:val="0"/>
          <w:sz w:val="21"/>
          <w:szCs w:val="21"/>
          <w:highlight w:val="yellow"/>
          <w:lang w:val="en-US" w:eastAsia="zh-CN" w:bidi="ar"/>
        </w:rPr>
        <w:t>工程设计费用：①完成所有图纸（经发包方确认后）支付设计合同价的70%；（有违约金或扣除款项的，发包人审核后予以扣除）；②竣工验收合格后付清余款（有违约金或扣除款项的，发包人审核后予以扣除）。</w:t>
      </w:r>
    </w:p>
    <w:p w14:paraId="0BC60058">
      <w:pPr>
        <w:pStyle w:val="9"/>
        <w:keepNext w:val="0"/>
        <w:keepLines w:val="0"/>
        <w:pageBreakBefore w:val="0"/>
        <w:widowControl w:val="0"/>
        <w:numPr>
          <w:ilvl w:val="0"/>
          <w:numId w:val="0"/>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yellow"/>
          <w:u w:val="single"/>
          <w:lang w:val="en-US" w:eastAsia="zh-CN" w:bidi="ar"/>
        </w:rPr>
      </w:pPr>
      <w:r>
        <w:rPr>
          <w:rFonts w:hint="default" w:ascii="Times New Roman" w:hAnsi="Times New Roman" w:eastAsia="宋体" w:cs="Times New Roman"/>
          <w:color w:val="auto"/>
          <w:kern w:val="0"/>
          <w:sz w:val="21"/>
          <w:szCs w:val="21"/>
          <w:highlight w:val="yellow"/>
          <w:lang w:val="en-US" w:eastAsia="zh-CN" w:bidi="ar"/>
        </w:rPr>
        <w:t>2、</w:t>
      </w:r>
      <w:r>
        <w:rPr>
          <w:rFonts w:hint="eastAsia" w:ascii="宋体" w:hAnsi="宋体" w:eastAsia="宋体" w:cs="宋体"/>
          <w:color w:val="auto"/>
          <w:kern w:val="0"/>
          <w:sz w:val="21"/>
          <w:szCs w:val="21"/>
          <w:highlight w:val="yellow"/>
          <w:u w:val="single"/>
          <w:lang w:val="en-US" w:eastAsia="zh-CN" w:bidi="ar"/>
        </w:rPr>
        <w:t>本次设计费只含施工图设计费。施工图设计费       万元。</w:t>
      </w:r>
    </w:p>
    <w:p w14:paraId="0BF3055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yellow"/>
          <w:u w:val="single"/>
        </w:rPr>
      </w:pPr>
      <w:r>
        <w:rPr>
          <w:rFonts w:hint="eastAsia" w:ascii="宋体" w:hAnsi="宋体" w:eastAsia="宋体" w:cs="宋体"/>
          <w:color w:val="auto"/>
          <w:kern w:val="2"/>
          <w:sz w:val="21"/>
          <w:szCs w:val="21"/>
          <w:highlight w:val="yellow"/>
          <w:lang w:val="en-US" w:eastAsia="zh-CN" w:bidi="ar"/>
        </w:rPr>
        <w:t>工程费用：</w:t>
      </w:r>
      <w:r>
        <w:rPr>
          <w:rFonts w:hint="eastAsia" w:ascii="宋体" w:hAnsi="宋体" w:eastAsia="宋体" w:cs="宋体"/>
          <w:b/>
          <w:bCs/>
          <w:color w:val="auto"/>
          <w:sz w:val="21"/>
          <w:szCs w:val="21"/>
          <w:highlight w:val="yellow"/>
          <w:u w:val="single"/>
        </w:rPr>
        <w:t>本协议签订之日起</w:t>
      </w:r>
      <w:r>
        <w:rPr>
          <w:rFonts w:hint="eastAsia" w:ascii="宋体" w:hAnsi="宋体" w:cs="宋体"/>
          <w:b/>
          <w:bCs/>
          <w:color w:val="auto"/>
          <w:sz w:val="21"/>
          <w:szCs w:val="21"/>
          <w:highlight w:val="yellow"/>
          <w:u w:val="single"/>
          <w:lang w:val="en-US" w:eastAsia="zh-CN"/>
        </w:rPr>
        <w:t>14</w:t>
      </w:r>
      <w:r>
        <w:rPr>
          <w:rFonts w:hint="eastAsia" w:ascii="宋体" w:hAnsi="宋体" w:eastAsia="宋体" w:cs="宋体"/>
          <w:b/>
          <w:bCs/>
          <w:color w:val="auto"/>
          <w:sz w:val="21"/>
          <w:szCs w:val="21"/>
          <w:highlight w:val="yellow"/>
          <w:u w:val="single"/>
        </w:rPr>
        <w:t>日内预付工程费</w:t>
      </w:r>
      <w:r>
        <w:rPr>
          <w:rFonts w:hint="eastAsia" w:ascii="宋体" w:hAnsi="宋体" w:cs="宋体"/>
          <w:b/>
          <w:bCs/>
          <w:color w:val="auto"/>
          <w:sz w:val="21"/>
          <w:szCs w:val="21"/>
          <w:highlight w:val="yellow"/>
          <w:u w:val="single"/>
          <w:lang w:val="en-US" w:eastAsia="zh-CN"/>
        </w:rPr>
        <w:t>为</w:t>
      </w:r>
      <w:r>
        <w:rPr>
          <w:rFonts w:hint="eastAsia" w:ascii="宋体" w:hAnsi="宋体" w:eastAsia="宋体" w:cs="宋体"/>
          <w:b/>
          <w:bCs/>
          <w:color w:val="auto"/>
          <w:sz w:val="21"/>
          <w:szCs w:val="21"/>
          <w:highlight w:val="yellow"/>
          <w:u w:val="single"/>
        </w:rPr>
        <w:t>签约合同暂定价的</w:t>
      </w:r>
      <w:r>
        <w:rPr>
          <w:rFonts w:hint="eastAsia" w:ascii="宋体" w:hAnsi="宋体" w:eastAsia="宋体" w:cs="宋体"/>
          <w:b/>
          <w:bCs/>
          <w:color w:val="auto"/>
          <w:sz w:val="21"/>
          <w:szCs w:val="21"/>
          <w:highlight w:val="yellow"/>
          <w:u w:val="single"/>
          <w:lang w:val="en-US" w:eastAsia="zh-CN"/>
        </w:rPr>
        <w:t>30</w:t>
      </w:r>
      <w:r>
        <w:rPr>
          <w:rFonts w:hint="eastAsia" w:ascii="宋体" w:hAnsi="宋体" w:eastAsia="宋体" w:cs="宋体"/>
          <w:b/>
          <w:bCs/>
          <w:color w:val="auto"/>
          <w:sz w:val="21"/>
          <w:szCs w:val="21"/>
          <w:highlight w:val="yellow"/>
          <w:u w:val="single"/>
        </w:rPr>
        <w:t>%（其中</w:t>
      </w:r>
      <w:r>
        <w:rPr>
          <w:rFonts w:hint="eastAsia" w:ascii="宋体" w:hAnsi="宋体" w:cs="宋体"/>
          <w:b/>
          <w:bCs/>
          <w:color w:val="auto"/>
          <w:sz w:val="21"/>
          <w:szCs w:val="21"/>
          <w:highlight w:val="yellow"/>
          <w:u w:val="single"/>
          <w:lang w:val="en-US" w:eastAsia="zh-CN"/>
        </w:rPr>
        <w:t>5</w:t>
      </w:r>
      <w:r>
        <w:rPr>
          <w:rFonts w:hint="eastAsia" w:ascii="宋体" w:hAnsi="宋体" w:eastAsia="宋体" w:cs="宋体"/>
          <w:b/>
          <w:bCs/>
          <w:color w:val="auto"/>
          <w:sz w:val="21"/>
          <w:szCs w:val="21"/>
          <w:highlight w:val="yellow"/>
          <w:u w:val="single"/>
        </w:rPr>
        <w:t>%用于民工工资支付并由发包人汇入民工工资专用账户,此外</w:t>
      </w:r>
      <w:r>
        <w:rPr>
          <w:rFonts w:hint="eastAsia" w:ascii="宋体" w:hAnsi="宋体" w:eastAsia="宋体" w:cs="宋体"/>
          <w:b/>
          <w:bCs/>
          <w:color w:val="auto"/>
          <w:sz w:val="21"/>
          <w:szCs w:val="21"/>
          <w:highlight w:val="yellow"/>
          <w:u w:val="single"/>
          <w:lang w:val="en-US" w:eastAsia="zh-CN"/>
        </w:rPr>
        <w:t>5</w:t>
      </w:r>
      <w:r>
        <w:rPr>
          <w:rFonts w:hint="eastAsia" w:ascii="宋体" w:hAnsi="宋体" w:eastAsia="宋体" w:cs="宋体"/>
          <w:b/>
          <w:bCs/>
          <w:color w:val="auto"/>
          <w:sz w:val="21"/>
          <w:szCs w:val="21"/>
          <w:highlight w:val="yellow"/>
          <w:u w:val="single"/>
        </w:rPr>
        <w:t>0%的安全文明施工费（即     元）也包含在该预付款项中），承包单位（或联合体牵头单位）需提前提交等额预付款保函（银行保函或保险保函）至发包单位</w:t>
      </w:r>
      <w:r>
        <w:rPr>
          <w:rFonts w:hint="eastAsia" w:ascii="宋体" w:hAnsi="宋体" w:eastAsia="宋体" w:cs="宋体"/>
          <w:b/>
          <w:bCs/>
          <w:color w:val="auto"/>
          <w:sz w:val="21"/>
          <w:szCs w:val="21"/>
          <w:highlight w:val="yellow"/>
          <w:u w:val="single"/>
          <w:lang w:eastAsia="zh-CN"/>
        </w:rPr>
        <w:t>；</w:t>
      </w:r>
      <w:r>
        <w:rPr>
          <w:rFonts w:hint="eastAsia" w:ascii="宋体" w:hAnsi="宋体" w:eastAsia="宋体" w:cs="宋体"/>
          <w:b/>
          <w:bCs/>
          <w:color w:val="auto"/>
          <w:kern w:val="2"/>
          <w:sz w:val="21"/>
          <w:szCs w:val="21"/>
          <w:highlight w:val="yellow"/>
          <w:u w:val="single"/>
          <w:lang w:val="en-US" w:eastAsia="zh-CN" w:bidi="ar"/>
        </w:rPr>
        <w:t>项目按每月完成工程量的85%支付工程款（经发包人委托的第三方造价咨询单位及监理单位、发包人业主代表确认），其中每月应付款项的20%用于支付民工工资并由发包人汇入民工工资专用账户，不足部分由承包人补齐；项目竣工验收合格、完成竣工资料备案并提交结算资料后支付至总承包单位实际完成工程量的90%（经发包人委托的第三方单位及监理单位、发包人业主代表确认）；结算通过审计后支付至工程结算审定价的98.5%，余款1.5%留作质量保证金（质量保证金如采用保函的，完成工程竣工结算审核后支付至审定结算价款的100%））。如结算审定价低于预算审定价的，以结算审定价为准。余款作为工程质量保证金(或在申请支付余款前提供相同金额的符合发包人要求的工程保函，可按审定结算价全部付清），验收合格期满两年，经承包人申请且发包人检查合格后30日内，退还质量保证金（无息）或保函。</w:t>
      </w:r>
    </w:p>
    <w:p w14:paraId="027B74C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资性工程进度款支付按照主管部门要求拨付至农民工工资支付专用账户。严格执行发包人、承包人、银行、建设行政主管部门、人力社保部门五方签订的《建设工程农民工工资专用账户资金监管协议》。（协议内容详见附件四）。</w:t>
      </w:r>
    </w:p>
    <w:p w14:paraId="33BC23B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每次付款前，承包人均应向发包人开具相应金额的正式增值税专用发票；工程经结算审计确定最终结算价后，承包人应向发包人开具剩余金额的全额发票。未提交发票，发包人有权拒绝付款。</w:t>
      </w:r>
    </w:p>
    <w:p w14:paraId="37D2916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已完工程量报告经监理单位、发包人审定，发包人接到承包人报告之日起 20 天内审查确认，在双方确认计量结果无异议后的 15 日内，发包人应向承包人支付工程款进度款（若对计量结果有异议，审核时间相应顺延）。</w:t>
      </w:r>
    </w:p>
    <w:p w14:paraId="33C6A26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施工中发现不合格项目时，承包人应及时进行整改，同时把整改措施以书面形式报发包人存档备查。不合格项目整改工作应在当月申请进度款之前完成，并请发包人复查通过，否则相应工程款顺延至下月拨付。不合格项目不计入当月完成工作总量内，即不能申报支付进度款。</w:t>
      </w:r>
    </w:p>
    <w:p w14:paraId="185F82F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如承包人有下列情形时暂停承包人签证或付款，直至停止付款原因消除为止。</w:t>
      </w:r>
    </w:p>
    <w:p w14:paraId="770AB5A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①工程施工有重大缺失或明显违约行为时；经通知改善而未改善或迟延改善时；或承包人未按照发包人要求完成有关事项的。</w:t>
      </w:r>
    </w:p>
    <w:p w14:paraId="7A55235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②工程各分项进度、总进度较分项计划、总进度计划落后 10%以上，或明显有不能如期完工的现象时。</w:t>
      </w:r>
    </w:p>
    <w:p w14:paraId="34DCD1E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③承包人对其劳务人员及分包人或材料商未付款或其它原因致本工程有纠纷时。</w:t>
      </w:r>
    </w:p>
    <w:p w14:paraId="77A0CA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④工程进行中，有应负责赔偿之事由发生，经发包人提出而未获解决前。</w:t>
      </w:r>
    </w:p>
    <w:p w14:paraId="3A6980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⑤因不可归责于发包人的事由，造成与本工程有关的（包括承包人与第三人间）任何诉讼或仲裁发生时。</w:t>
      </w:r>
    </w:p>
    <w:p w14:paraId="67F0E59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⑥工程进度、结算款支付前，出现的工程质量安全问题，还未整改完成的。</w:t>
      </w:r>
    </w:p>
    <w:p w14:paraId="320226D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⑦以上款项支付允许发包人有 30 天的后延。发包人支付工程款前，承包人必须开具同等数额的正规增值税专用发票。因承包人不及时提供发票或提供的发票不符合规定而造成发包人无法及时认证、抵扣的，或因承包人开具的发票不规范、不合法或涉嫌虚开发票引起税务问题的，承包人需依法向发包人重新开具发票，并承担赔偿责任。待付款至98.5%时，承包人必须全额开足工程款发票；否则，发包人有权拒绝支付工程款。</w:t>
      </w:r>
    </w:p>
    <w:p w14:paraId="200A4BDC">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4、工程进度款支付过程中，</w:t>
      </w:r>
      <w:r>
        <w:rPr>
          <w:rFonts w:hint="eastAsia" w:ascii="宋体" w:hAnsi="宋体" w:eastAsia="宋体" w:cs="宋体"/>
          <w:color w:val="auto"/>
          <w:kern w:val="2"/>
          <w:sz w:val="21"/>
          <w:szCs w:val="21"/>
          <w:highlight w:val="none"/>
          <w:lang w:val="en-US" w:eastAsia="zh-CN" w:bidi="ar"/>
        </w:rPr>
        <w:t>工程设计费</w:t>
      </w:r>
      <w:r>
        <w:rPr>
          <w:rFonts w:hint="eastAsia" w:ascii="宋体" w:hAnsi="宋体" w:eastAsia="宋体" w:cs="宋体"/>
          <w:bCs/>
          <w:color w:val="auto"/>
          <w:kern w:val="2"/>
          <w:sz w:val="21"/>
          <w:szCs w:val="21"/>
          <w:highlight w:val="none"/>
          <w:lang w:val="en-US" w:eastAsia="zh-CN" w:bidi="ar"/>
        </w:rPr>
        <w:t>与</w:t>
      </w:r>
      <w:r>
        <w:rPr>
          <w:rFonts w:hint="eastAsia" w:ascii="宋体" w:hAnsi="宋体" w:eastAsia="宋体" w:cs="宋体"/>
          <w:color w:val="auto"/>
          <w:kern w:val="2"/>
          <w:sz w:val="21"/>
          <w:szCs w:val="21"/>
          <w:highlight w:val="none"/>
          <w:lang w:val="en-US" w:eastAsia="zh-CN" w:bidi="ar"/>
        </w:rPr>
        <w:t>工程费用</w:t>
      </w:r>
      <w:r>
        <w:rPr>
          <w:rFonts w:hint="eastAsia" w:ascii="宋体" w:hAnsi="宋体" w:eastAsia="宋体" w:cs="宋体"/>
          <w:bCs/>
          <w:color w:val="auto"/>
          <w:kern w:val="2"/>
          <w:sz w:val="21"/>
          <w:szCs w:val="21"/>
          <w:highlight w:val="none"/>
          <w:lang w:val="en-US" w:eastAsia="zh-CN" w:bidi="ar"/>
        </w:rPr>
        <w:t>统一支付给牵头单位。</w:t>
      </w:r>
    </w:p>
    <w:p w14:paraId="3C695E3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14.9竣工结算</w:t>
      </w:r>
    </w:p>
    <w:p w14:paraId="469D445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14.9.1 提交竣工结算资料</w:t>
      </w:r>
    </w:p>
    <w:p w14:paraId="1F6DB8E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（1）竣工付款申请单</w:t>
      </w:r>
    </w:p>
    <w:p w14:paraId="43B99A1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承包人向发包人提交竣工付款申请单的份数和期限：</w:t>
      </w:r>
      <w:r>
        <w:rPr>
          <w:rFonts w:hint="eastAsia" w:ascii="宋体" w:hAnsi="宋体" w:eastAsia="宋体" w:cs="宋体"/>
          <w:color w:val="auto"/>
          <w:kern w:val="2"/>
          <w:sz w:val="21"/>
          <w:szCs w:val="21"/>
          <w:highlight w:val="none"/>
          <w:u w:val="single"/>
          <w:lang w:val="en-US" w:eastAsia="zh-CN" w:bidi="ar"/>
        </w:rPr>
        <w:t>竣工验收完成后三个月内将完整的竣工验收资料和结算资料一式六份（包括电子文档）送至发包人，延期视同工期违约。</w:t>
      </w:r>
    </w:p>
    <w:p w14:paraId="0530CDE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（2）工程竣工价款结算</w:t>
      </w:r>
    </w:p>
    <w:p w14:paraId="3037BE4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竣工结算资料包括：</w:t>
      </w:r>
      <w:r>
        <w:rPr>
          <w:rFonts w:hint="eastAsia" w:ascii="宋体" w:hAnsi="宋体" w:eastAsia="宋体" w:cs="宋体"/>
          <w:color w:val="auto"/>
          <w:kern w:val="2"/>
          <w:sz w:val="21"/>
          <w:szCs w:val="21"/>
          <w:highlight w:val="none"/>
          <w:u w:val="single"/>
          <w:lang w:val="en-US" w:eastAsia="zh-CN" w:bidi="ar"/>
        </w:rPr>
        <w:t>招标文件、投标文件、设计变更、变更签证和现场签证、竣工图纸、工程结算书（含电子文档）、工程量计算底稿等以及经发承包双方认可的其他与工程价款有关的有效文件</w:t>
      </w:r>
      <w:r>
        <w:rPr>
          <w:rFonts w:hint="eastAsia" w:ascii="宋体" w:hAnsi="宋体" w:eastAsia="宋体" w:cs="宋体"/>
          <w:color w:val="auto"/>
          <w:kern w:val="2"/>
          <w:sz w:val="21"/>
          <w:szCs w:val="21"/>
          <w:highlight w:val="none"/>
          <w:lang w:val="en-US" w:eastAsia="zh-CN" w:bidi="ar"/>
        </w:rPr>
        <w:t>。</w:t>
      </w:r>
    </w:p>
    <w:p w14:paraId="06CE53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若承包人编制的工程结算造价核减额超过送审工程结算的5%的，工程结算（不包括包干部分和预算部分）审核追加费用（以核增额和超过5%以外的核减额为基数，按5%计算）由承包人支付，如未直接支付，则由发包人从应付承包人的工程款中扣缴。</w:t>
      </w:r>
    </w:p>
    <w:p w14:paraId="403C1DB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36" w:firstLineChars="208"/>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15.保险</w:t>
      </w:r>
    </w:p>
    <w:p w14:paraId="1F1697E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15.1  承包人的投保</w:t>
      </w:r>
    </w:p>
    <w:p w14:paraId="2111300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15.1.1 合同双方商定，由承包人负责投保的保险种类、保险范围、投保金额、保险期限和持续有效的时间</w:t>
      </w:r>
      <w:r>
        <w:rPr>
          <w:rFonts w:hint="eastAsia" w:ascii="宋体" w:hAnsi="宋体" w:eastAsia="宋体" w:cs="宋体"/>
          <w:color w:val="auto"/>
          <w:kern w:val="2"/>
          <w:sz w:val="21"/>
          <w:szCs w:val="21"/>
          <w:highlight w:val="none"/>
          <w:u w:val="single"/>
          <w:lang w:val="en-US" w:eastAsia="zh-CN" w:bidi="ar"/>
        </w:rPr>
        <w:t>：建筑工程一切险、安装工程一切险和第三者责任险。保险金额、保险费率和保险期限：按相关规定执行。</w:t>
      </w:r>
    </w:p>
    <w:p w14:paraId="166C90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（1）保险凭证</w:t>
      </w:r>
    </w:p>
    <w:p w14:paraId="626CD3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保险条件：</w:t>
      </w:r>
      <w:r>
        <w:rPr>
          <w:rFonts w:hint="eastAsia" w:ascii="宋体" w:hAnsi="宋体" w:eastAsia="宋体" w:cs="宋体"/>
          <w:color w:val="auto"/>
          <w:kern w:val="2"/>
          <w:sz w:val="21"/>
          <w:szCs w:val="21"/>
          <w:highlight w:val="none"/>
          <w:u w:val="single"/>
          <w:lang w:val="en-US" w:eastAsia="zh-CN" w:bidi="ar"/>
        </w:rPr>
        <w:t>无</w:t>
      </w:r>
    </w:p>
    <w:p w14:paraId="7550C2D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承包人提交保险凭证的期限：</w:t>
      </w:r>
      <w:r>
        <w:rPr>
          <w:rFonts w:hint="eastAsia" w:ascii="宋体" w:hAnsi="宋体" w:eastAsia="宋体" w:cs="宋体"/>
          <w:color w:val="auto"/>
          <w:kern w:val="2"/>
          <w:sz w:val="21"/>
          <w:szCs w:val="21"/>
          <w:highlight w:val="none"/>
          <w:u w:val="single"/>
          <w:lang w:val="en-US" w:eastAsia="zh-CN" w:bidi="ar"/>
        </w:rPr>
        <w:t>如有，应在完成投保后14天内提交。</w:t>
      </w:r>
    </w:p>
    <w:p w14:paraId="5080B0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（2）对各项保险的一般要求</w:t>
      </w:r>
    </w:p>
    <w:p w14:paraId="34DF821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承包人负责补偿的范围与金额：</w:t>
      </w:r>
      <w:r>
        <w:rPr>
          <w:rFonts w:hint="eastAsia" w:ascii="宋体" w:hAnsi="宋体" w:eastAsia="宋体" w:cs="宋体"/>
          <w:color w:val="auto"/>
          <w:kern w:val="0"/>
          <w:sz w:val="21"/>
          <w:szCs w:val="21"/>
          <w:highlight w:val="none"/>
          <w:u w:val="single"/>
          <w:lang w:val="en-US" w:eastAsia="zh-CN" w:bidi="ar"/>
        </w:rPr>
        <w:t>保险金不足的补偿均由承包人负责</w:t>
      </w:r>
      <w:r>
        <w:rPr>
          <w:rFonts w:hint="eastAsia" w:ascii="宋体" w:hAnsi="宋体" w:eastAsia="宋体" w:cs="宋体"/>
          <w:color w:val="auto"/>
          <w:kern w:val="0"/>
          <w:sz w:val="21"/>
          <w:szCs w:val="21"/>
          <w:highlight w:val="none"/>
          <w:lang w:val="en-US" w:eastAsia="zh-CN" w:bidi="ar"/>
        </w:rPr>
        <w:t>。</w:t>
      </w:r>
    </w:p>
    <w:p w14:paraId="3184059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发包人负责补偿的范围与金额：</w:t>
      </w:r>
      <w:r>
        <w:rPr>
          <w:rFonts w:hint="eastAsia" w:ascii="宋体" w:hAnsi="宋体" w:eastAsia="宋体" w:cs="宋体"/>
          <w:color w:val="auto"/>
          <w:kern w:val="2"/>
          <w:sz w:val="21"/>
          <w:szCs w:val="21"/>
          <w:highlight w:val="none"/>
          <w:u w:val="single"/>
          <w:lang w:val="en-US" w:eastAsia="zh-CN" w:bidi="ar"/>
        </w:rPr>
        <w:t>由于本工程一切保险均由承包人负责投保，其费用均列入报价，故发包人不承担保险金不足的补偿。</w:t>
      </w:r>
    </w:p>
    <w:p w14:paraId="6C00F4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15.2  一切险和第三方责任</w:t>
      </w:r>
    </w:p>
    <w:p w14:paraId="7D41E33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土建工程一切险的投保方及对投保的相关要求：</w:t>
      </w:r>
      <w:r>
        <w:rPr>
          <w:rFonts w:hint="eastAsia" w:ascii="宋体" w:hAnsi="宋体" w:eastAsia="宋体" w:cs="宋体"/>
          <w:color w:val="auto"/>
          <w:kern w:val="2"/>
          <w:sz w:val="21"/>
          <w:szCs w:val="21"/>
          <w:highlight w:val="none"/>
          <w:u w:val="single"/>
          <w:lang w:val="en-US" w:eastAsia="zh-CN" w:bidi="ar"/>
        </w:rPr>
        <w:t>承包人按国家地方有关规定和工程建设需要投保。</w:t>
      </w:r>
    </w:p>
    <w:p w14:paraId="70CC95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安装工程及竣工试验一切险的投保方及对投保的相关要求：</w:t>
      </w:r>
      <w:r>
        <w:rPr>
          <w:rFonts w:hint="eastAsia" w:ascii="宋体" w:hAnsi="宋体" w:eastAsia="宋体" w:cs="宋体"/>
          <w:color w:val="auto"/>
          <w:kern w:val="2"/>
          <w:sz w:val="21"/>
          <w:szCs w:val="21"/>
          <w:highlight w:val="none"/>
          <w:u w:val="single"/>
          <w:lang w:val="en-US" w:eastAsia="zh-CN" w:bidi="ar"/>
        </w:rPr>
        <w:t>承包人按国家地方有关规定和工程建设需要投保。</w:t>
      </w:r>
    </w:p>
    <w:p w14:paraId="727FB24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第三者责任险的应投保方及对投保的相关要求：</w:t>
      </w:r>
      <w:r>
        <w:rPr>
          <w:rFonts w:hint="eastAsia" w:ascii="宋体" w:hAnsi="宋体" w:eastAsia="宋体" w:cs="宋体"/>
          <w:color w:val="auto"/>
          <w:kern w:val="2"/>
          <w:sz w:val="21"/>
          <w:szCs w:val="21"/>
          <w:highlight w:val="none"/>
          <w:u w:val="single"/>
          <w:lang w:val="en-US" w:eastAsia="zh-CN" w:bidi="ar"/>
        </w:rPr>
        <w:t>承包人按国家地方有关规定和工程建设需要投保。</w:t>
      </w:r>
    </w:p>
    <w:p w14:paraId="51F553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16.违约、索赔和争议</w:t>
      </w:r>
    </w:p>
    <w:p w14:paraId="0A6A13E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16.1.1 发包人的违约责任</w:t>
      </w:r>
    </w:p>
    <w:p w14:paraId="55EBB7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当发生下列情况时：</w:t>
      </w:r>
    </w:p>
    <w:p w14:paraId="3008BB5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发包人未能按14条的约定调整合同价格、有关预付款、工程进度款、竣工结算约定的款项类别、金额、承包人指定的账户和时间支付相应款项；</w:t>
      </w:r>
    </w:p>
    <w:p w14:paraId="6A20228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发包人应采取补救措施，因其违约行为造成工程关键路径延误时，竣工日期顺延；给承包人造成经济损失的，应予以赔偿。</w:t>
      </w:r>
    </w:p>
    <w:p w14:paraId="354D778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16.1.2  承包人的违约责任</w:t>
      </w:r>
    </w:p>
    <w:p w14:paraId="5D2E08F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必须严格按照施工图及工程施工验收规范等精心组织设计、施工，严格把好每道工序的质量关，确保工程竣工验收达到合格等级。经验收，如有不合格工程，承包人应无条件返工、整改、采取相应的补救、修复措施，直至工程竣工验收合格。发包人对此将不予延长工期。</w:t>
      </w:r>
    </w:p>
    <w:p w14:paraId="3EB39FB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2）因承包人原因工程质量达不到约定的质量标准：1）没收相应的履约保证金；2）工程质量如达不到约定条件的部分，发包人现场代表或监理单位代表一经发现，可要求承包人返工，直至达到合同约定条件，并由承包人承担返工费用；3）工程质量若返工后仍达不到约定条件，承包人承担违约责任并赔偿发包人的一切损失。4）除发包人认可外任何情况下，承包人均不得擅自停工。 </w:t>
      </w:r>
    </w:p>
    <w:p w14:paraId="7BC50F7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（3）安全施工、文明施工不能达到目标管理要求的，承担违约责任，具体违约条款详见工程项目现场管理处罚实施细则。</w:t>
      </w:r>
    </w:p>
    <w:p w14:paraId="0068C10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（4）竣工时必须做到工完场清、料清、障清，如未在竣工后一个月内做到工完场清，发包方有权指定其他单位清理，其费用在工程款中扣除。</w:t>
      </w:r>
    </w:p>
    <w:p w14:paraId="43A3A9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（5）承包人未按投标承诺投入施工所需的机械设备、材料和人员，影响工程正常进度和工程施工质量的违约责任，发包人有权扣除相应履约保证金。</w:t>
      </w:r>
    </w:p>
    <w:p w14:paraId="2F3FEC6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承包人出现①严重质量不合格、②发生重大安全事故、③严重拖延工期等造成发包人严重损失的情况，则可视作承包人无法履行施工合同，发包人有权终止合同，承包人应当承担合同签约价20%的违约金，同时赔偿发包人的相应损失。</w:t>
      </w:r>
    </w:p>
    <w:p w14:paraId="23ACD0B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16.1.3 因承包人违约解除合同</w:t>
      </w:r>
    </w:p>
    <w:p w14:paraId="3F02E65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关于承包人违约解除合同的特别约定：</w:t>
      </w:r>
    </w:p>
    <w:p w14:paraId="1029D7D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承包人有下列行为的，发包人有权调整承包人的工作内容直至解除本合同，发包人因此遭受的一切损失，由承包人承担并赔偿：</w:t>
      </w:r>
    </w:p>
    <w:p w14:paraId="30DBC0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项目管理人员如果未经发包人及监理单位许可，擅自离岗的，作违约论处。承包人不能按承诺要求到位的，承担违约责任，同时发包人有权扣除相应保证金。上述人员到位率每周例会通报一次，且在监理月报中反映，承包人的上述人员在发包人发送到岗书面催告单三次以上不及时到岗的，发包人有权解除合同，承包人承担违约责任；</w:t>
      </w:r>
    </w:p>
    <w:p w14:paraId="4F1738D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B.本工程未经发包人同意（或报备），承包人不得另行分包。禁止承包人任何转包或挂靠行为，一经发现立即将承包人清退出场，终止合同，承包人承担由此造成的一切损失及经济、法律责任；</w:t>
      </w:r>
    </w:p>
    <w:p w14:paraId="574B58C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bookmarkStart w:id="520" w:name="_Toc234230549"/>
      <w:bookmarkEnd w:id="520"/>
      <w:bookmarkStart w:id="521" w:name="_Toc230930623"/>
      <w:bookmarkEnd w:id="521"/>
      <w:bookmarkStart w:id="522" w:name="_Toc230247200"/>
      <w:r>
        <w:rPr>
          <w:rFonts w:hint="eastAsia" w:ascii="宋体" w:hAnsi="宋体" w:eastAsia="宋体" w:cs="宋体"/>
          <w:color w:val="auto"/>
          <w:kern w:val="2"/>
          <w:sz w:val="21"/>
          <w:szCs w:val="21"/>
          <w:highlight w:val="none"/>
          <w:lang w:val="en-US" w:eastAsia="zh-CN" w:bidi="ar"/>
        </w:rPr>
        <w:t>C.承包人延期开工达7日；</w:t>
      </w:r>
      <w:bookmarkEnd w:id="522"/>
    </w:p>
    <w:p w14:paraId="097E9CC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bookmarkStart w:id="523" w:name="_Toc230247201"/>
      <w:bookmarkEnd w:id="523"/>
      <w:bookmarkStart w:id="524" w:name="_Toc234230550"/>
      <w:bookmarkEnd w:id="524"/>
      <w:bookmarkStart w:id="525" w:name="_Toc230930624"/>
      <w:r>
        <w:rPr>
          <w:rFonts w:hint="eastAsia" w:ascii="宋体" w:hAnsi="宋体" w:eastAsia="宋体" w:cs="宋体"/>
          <w:color w:val="auto"/>
          <w:kern w:val="2"/>
          <w:sz w:val="21"/>
          <w:szCs w:val="21"/>
          <w:highlight w:val="none"/>
          <w:lang w:val="en-US" w:eastAsia="zh-CN" w:bidi="ar"/>
        </w:rPr>
        <w:t>D.承包人无正当理由全部停工达3日或部分停工达15天；</w:t>
      </w:r>
      <w:bookmarkEnd w:id="525"/>
    </w:p>
    <w:p w14:paraId="14E2434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bookmarkStart w:id="526" w:name="_Toc230930625"/>
      <w:bookmarkEnd w:id="526"/>
      <w:bookmarkStart w:id="527" w:name="_Toc230247202"/>
      <w:bookmarkEnd w:id="527"/>
      <w:bookmarkStart w:id="528" w:name="_Toc234230551"/>
      <w:r>
        <w:rPr>
          <w:rFonts w:hint="eastAsia" w:ascii="宋体" w:hAnsi="宋体" w:eastAsia="宋体" w:cs="宋体"/>
          <w:color w:val="auto"/>
          <w:kern w:val="2"/>
          <w:sz w:val="21"/>
          <w:szCs w:val="21"/>
          <w:highlight w:val="none"/>
          <w:lang w:val="en-US" w:eastAsia="zh-CN" w:bidi="ar"/>
        </w:rPr>
        <w:t>E.承包人发生重大安全质量事故的；</w:t>
      </w:r>
      <w:bookmarkEnd w:id="528"/>
    </w:p>
    <w:p w14:paraId="5D31DE8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bookmarkStart w:id="529" w:name="_Toc230930626"/>
      <w:bookmarkEnd w:id="529"/>
      <w:bookmarkStart w:id="530" w:name="_Toc230247203"/>
      <w:bookmarkEnd w:id="530"/>
      <w:bookmarkStart w:id="531" w:name="_Toc234230552"/>
      <w:r>
        <w:rPr>
          <w:rFonts w:hint="eastAsia" w:ascii="宋体" w:hAnsi="宋体" w:eastAsia="宋体" w:cs="宋体"/>
          <w:color w:val="auto"/>
          <w:kern w:val="2"/>
          <w:sz w:val="21"/>
          <w:szCs w:val="21"/>
          <w:highlight w:val="none"/>
          <w:lang w:val="en-US" w:eastAsia="zh-CN" w:bidi="ar"/>
        </w:rPr>
        <w:t>F.承包人施工进度比预定计划严重滞后，显然不能按照合同约定的工期如期完成；</w:t>
      </w:r>
      <w:bookmarkEnd w:id="531"/>
    </w:p>
    <w:p w14:paraId="6D69852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bookmarkStart w:id="532" w:name="_Toc234230553"/>
      <w:bookmarkEnd w:id="532"/>
      <w:bookmarkStart w:id="533" w:name="_Toc230930627"/>
      <w:bookmarkEnd w:id="533"/>
      <w:bookmarkStart w:id="534" w:name="_Toc230247204"/>
      <w:r>
        <w:rPr>
          <w:rFonts w:hint="eastAsia" w:ascii="宋体" w:hAnsi="宋体" w:eastAsia="宋体" w:cs="宋体"/>
          <w:color w:val="auto"/>
          <w:kern w:val="2"/>
          <w:sz w:val="21"/>
          <w:szCs w:val="21"/>
          <w:highlight w:val="none"/>
          <w:lang w:val="en-US" w:eastAsia="zh-CN" w:bidi="ar"/>
        </w:rPr>
        <w:t>G.有其它违约行为造成无法履约的。</w:t>
      </w:r>
      <w:bookmarkEnd w:id="534"/>
    </w:p>
    <w:p w14:paraId="73EC583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如因上述情况之一而遭发包人解除合同时，应立即停工，妥善做好已完工程和已购材料、设备的保护和移交工作。按发包人的要求，将自有机械设备和人员撤出施工场地，承包人承担由此所发生的费用。已经订货的材料、设备由承包人负责退货或解除订货合同，承包人承担由此所发生的费用。不能退还的货款由承包人承担，并应赔偿因合同解除给发包人造成的损失。承包人继续配合做好已完工程结算工作。</w:t>
      </w:r>
    </w:p>
    <w:p w14:paraId="5DFD5A8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发包人继续使用承包人在施工现场的材料、设备、临时工程、承包人文件和由承包人或以其名义编制的其他文件的费用承担方式：</w:t>
      </w:r>
      <w:r>
        <w:rPr>
          <w:rFonts w:hint="eastAsia" w:ascii="宋体" w:hAnsi="宋体" w:eastAsia="宋体" w:cs="宋体"/>
          <w:bCs/>
          <w:color w:val="auto"/>
          <w:kern w:val="2"/>
          <w:sz w:val="21"/>
          <w:szCs w:val="21"/>
          <w:highlight w:val="none"/>
          <w:u w:val="single"/>
          <w:lang w:val="en-US" w:eastAsia="zh-CN" w:bidi="ar"/>
        </w:rPr>
        <w:t>由承包人承担，发包人不予补偿</w:t>
      </w:r>
      <w:r>
        <w:rPr>
          <w:rFonts w:hint="eastAsia" w:ascii="宋体" w:hAnsi="宋体" w:eastAsia="宋体" w:cs="宋体"/>
          <w:color w:val="auto"/>
          <w:kern w:val="2"/>
          <w:sz w:val="21"/>
          <w:szCs w:val="21"/>
          <w:highlight w:val="none"/>
          <w:lang w:val="en-US" w:eastAsia="zh-CN" w:bidi="ar"/>
        </w:rPr>
        <w:t>。</w:t>
      </w:r>
    </w:p>
    <w:p w14:paraId="7619A20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16.3  争议和裁决</w:t>
      </w:r>
    </w:p>
    <w:p w14:paraId="3C85174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16.3.1  争议的解决程序</w:t>
      </w:r>
    </w:p>
    <w:p w14:paraId="7EED08B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发包人和承包人在履行合同中发生争议的，可以友好协商解决。协商不成，向项目所在地人民法院提起诉讼。</w:t>
      </w:r>
    </w:p>
    <w:p w14:paraId="396DBC4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16.3.2争议不应影响履约</w:t>
      </w:r>
    </w:p>
    <w:p w14:paraId="333C106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发生争议后，须继续履行其合同约定的责任和义务，保持工程继续实施。除非出现下列情况，任何一方不得停止工程或部分工程的实施：</w:t>
      </w:r>
    </w:p>
    <w:p w14:paraId="7B82D92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(1)当事人一方违约导致合同确已无法履行，经合同双方协议停止实施；</w:t>
      </w:r>
    </w:p>
    <w:p w14:paraId="11C9920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(2)法院责令停止实施。</w:t>
      </w:r>
    </w:p>
    <w:p w14:paraId="10F701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第17条不可抗力</w:t>
      </w:r>
    </w:p>
    <w:p w14:paraId="2D4CD50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17.1  不可抗力发生时的义务</w:t>
      </w:r>
    </w:p>
    <w:p w14:paraId="2AAD440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在本条中，“不可抗力”系指发包方和承包人在合同签订当日对其发生不能预见“不能避免且对其后果不能克服，且影响合同一方正常履行本合同项下义务的客观事件。</w:t>
      </w:r>
    </w:p>
    <w:p w14:paraId="0FD0B0A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17.1.1通知义务</w:t>
      </w:r>
    </w:p>
    <w:p w14:paraId="0866376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觉察或发现不可抗力事件发生的一方，有义务立即通知另一方。根据本合同约定，承包人在不可抗力事件发生时，应在力所能及的条件下迅速采取措施，尽力减少损失；发包人全力协助并采取措施。因不可抗力需暂停实施的施工或工作，立即停止。</w:t>
      </w:r>
    </w:p>
    <w:p w14:paraId="092C351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17.1.2 通报义务</w:t>
      </w:r>
    </w:p>
    <w:p w14:paraId="0A0EEEE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现场发生不可抗力时，在不可抗力事件结束后的48小时内，承包人须向发包人通报受害和损失情况。当不可抗力事件持续发生时，承包人每周应向发包人和工程总监报告受害情况。对报告周期另有约定时除外。</w:t>
      </w:r>
    </w:p>
    <w:p w14:paraId="2F58C40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17.2  不可抗力的后果</w:t>
      </w:r>
    </w:p>
    <w:p w14:paraId="059BCF2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不可抗力包括下列情况：</w:t>
      </w:r>
    </w:p>
    <w:p w14:paraId="781688C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(a) 战争、敌对行动(不论宣战与否)、入侵、外国敌人的行动、战时动员、征用或禁运；</w:t>
      </w:r>
    </w:p>
    <w:p w14:paraId="3A82D4E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(b) 叛乱、暴乱、军事政变、篡夺政权，或内战；</w:t>
      </w:r>
    </w:p>
    <w:p w14:paraId="742A05E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(c) 承包人及其分包商雇员以外的人员骚乱、喧闹、罢工或停工；</w:t>
      </w:r>
    </w:p>
    <w:p w14:paraId="0E4C54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(d) 由于任何爆炸性核装置或其核部件的任何核燃料或核燃料燃烧后的核废物、放射性有毒炸药，或其他有害物质所引起的放射性污染；</w:t>
      </w:r>
    </w:p>
    <w:p w14:paraId="1F6F004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(e) 征地范围内的考古发掘、矿产开发；</w:t>
      </w:r>
    </w:p>
    <w:p w14:paraId="50289D2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(f) 自然灾害【地震（六级以上）、台风（十级以上）、</w:t>
      </w:r>
      <w:r>
        <w:rPr>
          <w:rFonts w:hint="eastAsia" w:ascii="宋体" w:hAnsi="宋体" w:eastAsia="宋体" w:cs="宋体"/>
          <w:color w:val="auto"/>
          <w:kern w:val="0"/>
          <w:sz w:val="21"/>
          <w:szCs w:val="21"/>
          <w:highlight w:val="none"/>
          <w:lang w:val="en-US" w:eastAsia="zh-CN" w:bidi="ar"/>
        </w:rPr>
        <w:t>持续降水24小时且降雨量为</w:t>
      </w:r>
      <w:r>
        <w:rPr>
          <w:rFonts w:hint="eastAsia" w:ascii="宋体" w:hAnsi="宋体" w:eastAsia="宋体" w:cs="宋体"/>
          <w:color w:val="auto"/>
          <w:kern w:val="2"/>
          <w:sz w:val="21"/>
          <w:szCs w:val="21"/>
          <w:highlight w:val="none"/>
          <w:lang w:val="en-US" w:eastAsia="zh-CN" w:bidi="ar"/>
        </w:rPr>
        <w:t>100mm</w:t>
      </w:r>
      <w:r>
        <w:rPr>
          <w:rFonts w:hint="eastAsia" w:ascii="宋体" w:hAnsi="宋体" w:eastAsia="宋体" w:cs="宋体"/>
          <w:color w:val="auto"/>
          <w:kern w:val="0"/>
          <w:sz w:val="21"/>
          <w:szCs w:val="21"/>
          <w:highlight w:val="none"/>
          <w:lang w:val="en-US" w:eastAsia="zh-CN" w:bidi="ar"/>
        </w:rPr>
        <w:t>以上】；</w:t>
      </w:r>
    </w:p>
    <w:p w14:paraId="0FD101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(g) 传染病爆发、火灾等其他非发包人承包人责任的事件引发的后果；</w:t>
      </w:r>
    </w:p>
    <w:p w14:paraId="300917F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(h) 政府行为；</w:t>
      </w:r>
    </w:p>
    <w:p w14:paraId="2F8C3AE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(i) 社会异常事件；</w:t>
      </w:r>
    </w:p>
    <w:p w14:paraId="6AA55EA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lang w:val="en-US" w:eastAsia="zh-CN" w:bidi="ar"/>
        </w:rPr>
        <w:t>(j) 禁运、禁止令或其他政府的限制行动；</w:t>
      </w:r>
    </w:p>
    <w:p w14:paraId="4C77C9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因不可抗力事件导致的损失、损害、伤害所发生的费用及延误的竣工日期，按如下约定处理：</w:t>
      </w:r>
    </w:p>
    <w:p w14:paraId="4EC461D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(1)永久性工程和工程物资等的损失、损害，由发包人承担；</w:t>
      </w:r>
    </w:p>
    <w:p w14:paraId="5AC8C4C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(2)受雇人员的伤害，分别按照各自的雇佣合同关系负责处理；</w:t>
      </w:r>
    </w:p>
    <w:p w14:paraId="7C4AB5B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(3)承包人的机具、设备、财产和临时工程的损失、损害，由承包人承担；</w:t>
      </w:r>
    </w:p>
    <w:p w14:paraId="746410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(4)承包人的停工损失，由承包人承担；</w:t>
      </w:r>
    </w:p>
    <w:p w14:paraId="2A669D8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(5)不可抗力事件发生后，因一方迟延履行合同约定的保护义务导致的延续损失、损害，由迟延履行义务的一方承担相应责任及其损失；</w:t>
      </w:r>
    </w:p>
    <w:p w14:paraId="1D1A23C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 xml:space="preserve"> (6)发包人通知恢复建设时，承包人应在接到通知后的20日内或双方根据具体情况约定的时间内，提交清理、修复的方案及其估算，以及进度计划安排的资料和报告，经发包人确认后，所需的清理、修复费用由发包人承担。恢复建设的，竣工日期合理顺延。</w:t>
      </w:r>
    </w:p>
    <w:p w14:paraId="2B60052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17.3承包人采购材料设备的约定：</w:t>
      </w:r>
    </w:p>
    <w:p w14:paraId="2D07F3B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u w:val="single"/>
          <w:lang w:val="en-US" w:eastAsia="zh-CN" w:bidi="ar"/>
        </w:rPr>
        <w:t>本工程发包范围内的所有材料设备均由承包人采购，所有材料设备均应符合国家规定的技术标准，有合格证和质保书且必须是全新的，并按规定需要进场复试的材料设备须具有相应资质的检测机构检测合格后才能使用。当承包人选定的材料设备质量达不到质量目标要求时，承包人不得采购。若承包人所购材料设备不符合设计或标准要求时，承包人不得使用，发包人、监理单位有权要求承包人停工、返工直至终止合同，由此产生的一切费用由承包人承担，延误的工期不予顺延。无论发包人或监理单位是否发现和制止，由于使用不符合设计或标准要求的材料设备施工所引起的一切责任均由承包人承担。</w:t>
      </w:r>
    </w:p>
    <w:p w14:paraId="273A44C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u w:val="single"/>
          <w:lang w:val="en-US" w:eastAsia="zh-CN" w:bidi="ar"/>
        </w:rPr>
        <w:t>若发包人在招标文件中未推荐品牌且《衢州造价信息》正刊、《浙江造价信息》正刊有价格的材料，承包人采购该部分材料须选取优等品并征得发包人对品牌、质量认可，价格按投标价进行结算。《衢州造价信息》正刊、《浙江造价信息》正刊无价格的材料，需发包人签证品牌、价格的材料，承包人在采购前应首先征得发包人和监理单位对品牌、质量、价格签证认可并留存样品，发包人和监理单位认可后方可用于施工，无价格材料按无价材料（设备）签证管理流程。</w:t>
      </w:r>
    </w:p>
    <w:p w14:paraId="58C184C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u w:val="single"/>
          <w:lang w:val="en-US" w:eastAsia="zh-CN" w:bidi="ar"/>
        </w:rPr>
        <w:t>直接影响工程品质和外观效果的材料、设备，必须经发包人及监理单位认可后才能使用，如发包人要求承包人采购的，承包人须积极配合。</w:t>
      </w:r>
    </w:p>
    <w:p w14:paraId="209EBDF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u w:val="single"/>
          <w:lang w:val="en-US" w:eastAsia="zh-CN" w:bidi="ar"/>
        </w:rPr>
        <w:t>本工程所采用的所有建筑材料、设备到货时，就材料设备规定的种类、产地、品牌、型号、系列、数量、规格、技术参数、质量等级等，发包人代表、承包人双方及监理工程师按发包人招标时的约定和国家制定的有关质量标准规范要求进行验收或抽查试验，承包人并应向验收人员提供有关产品合格证、许可证、准用证等以供核对。若承包人在施工过程中采用不合格或不符合招标文件要求的材料、设备，一经发现必须无条件更换，承包人不得以各种理由加以拒绝。如有实际使用材料设备与原报验材料设备不一致时，发包人有权处以</w:t>
      </w:r>
      <w:r>
        <w:rPr>
          <w:rFonts w:hint="eastAsia" w:ascii="宋体" w:hAnsi="宋体" w:eastAsia="宋体" w:cs="宋体"/>
          <w:color w:val="auto"/>
          <w:sz w:val="21"/>
          <w:szCs w:val="21"/>
          <w:highlight w:val="none"/>
          <w:u w:val="single"/>
        </w:rPr>
        <w:t>本合同约定价款的</w:t>
      </w:r>
      <w:r>
        <w:rPr>
          <w:rFonts w:hint="eastAsia" w:ascii="宋体" w:hAnsi="宋体" w:cs="宋体"/>
          <w:color w:val="auto"/>
          <w:sz w:val="21"/>
          <w:szCs w:val="21"/>
          <w:highlight w:val="none"/>
          <w:u w:val="single"/>
          <w:lang w:val="en-US" w:eastAsia="zh-CN"/>
        </w:rPr>
        <w:t>5000元</w:t>
      </w:r>
      <w:r>
        <w:rPr>
          <w:rFonts w:hint="eastAsia" w:ascii="宋体" w:hAnsi="宋体" w:eastAsia="宋体" w:cs="宋体"/>
          <w:color w:val="auto"/>
          <w:kern w:val="2"/>
          <w:sz w:val="21"/>
          <w:szCs w:val="21"/>
          <w:highlight w:val="none"/>
          <w:u w:val="single"/>
          <w:lang w:val="en-US" w:eastAsia="zh-CN" w:bidi="ar"/>
        </w:rPr>
        <w:t>/次罚款。如因选用材料不符合要求而返工引起的工期延误和造成的损失均由承包人承担。</w:t>
      </w:r>
    </w:p>
    <w:p w14:paraId="6E556F3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本工程使用的主要材料设备（包括但不限于商品砼、钢材、沥青碎石、防水材料等）及其他发包人认为重要的材料须经发包人、监理单位确认厂家、规格、品牌、型号、系列等后承包人按确认的产品进行采购。</w:t>
      </w:r>
    </w:p>
    <w:p w14:paraId="124AC37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u w:val="single"/>
          <w:lang w:val="en-US" w:eastAsia="zh-CN" w:bidi="ar"/>
        </w:rPr>
        <w:t>承包人应于每月20日向发包人提交已采购《供应材料设备一览表》，详细填报如下数据：材料设备名称、品牌、规格、型号、系列、计量单位、数量、供应时间、送达地点，附送产品合格证（复印件）等。</w:t>
      </w:r>
    </w:p>
    <w:p w14:paraId="4CB975E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u w:val="single"/>
          <w:lang w:val="en-US" w:eastAsia="zh-CN" w:bidi="ar"/>
        </w:rPr>
        <w:t>发包人和监理单位有权对承包人的进场材料设备进行随机抽检，抽检不合格的，抽检费用由承包人承担。</w:t>
      </w:r>
    </w:p>
    <w:p w14:paraId="78757BA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（8）</w:t>
      </w:r>
      <w:r>
        <w:rPr>
          <w:rFonts w:hint="eastAsia" w:ascii="宋体" w:hAnsi="宋体" w:eastAsia="宋体" w:cs="宋体"/>
          <w:color w:val="auto"/>
          <w:kern w:val="2"/>
          <w:sz w:val="21"/>
          <w:szCs w:val="21"/>
          <w:highlight w:val="none"/>
          <w:u w:val="single"/>
          <w:lang w:val="en-US" w:eastAsia="zh-CN" w:bidi="ar"/>
        </w:rPr>
        <w:t>承包人采购所有材料、设备在采购前向发包人提供样品、有关资料和采购计划，经监理单位、发包人书面确认后，方可采购进场用于施工。</w:t>
      </w:r>
    </w:p>
    <w:p w14:paraId="131FCAA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35" w:name="_Toc6428"/>
      <w:bookmarkEnd w:id="535"/>
      <w:bookmarkStart w:id="536" w:name="_Toc25932314"/>
      <w:bookmarkEnd w:id="536"/>
      <w:bookmarkStart w:id="537" w:name="_Toc24888"/>
      <w:bookmarkEnd w:id="537"/>
      <w:bookmarkStart w:id="538" w:name="_Toc24025"/>
      <w:bookmarkEnd w:id="538"/>
      <w:bookmarkStart w:id="539" w:name="_Toc18009"/>
      <w:bookmarkEnd w:id="539"/>
      <w:bookmarkStart w:id="540" w:name="_Toc38896043"/>
      <w:r>
        <w:rPr>
          <w:rFonts w:hint="eastAsia" w:ascii="宋体" w:hAnsi="宋体" w:eastAsia="宋体" w:cs="宋体"/>
          <w:color w:val="auto"/>
          <w:kern w:val="2"/>
          <w:sz w:val="21"/>
          <w:szCs w:val="21"/>
          <w:highlight w:val="none"/>
          <w:lang w:val="en-US" w:eastAsia="zh-CN" w:bidi="ar"/>
        </w:rPr>
        <w:t>18施工设备和临时设施</w:t>
      </w:r>
      <w:bookmarkEnd w:id="540"/>
    </w:p>
    <w:p w14:paraId="040F38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18.1承包人提供的施工设备和临时设施</w:t>
      </w:r>
    </w:p>
    <w:p w14:paraId="74A16DD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18.1.2发包人承担修建临时设施的费用的范围：</w:t>
      </w:r>
      <w:r>
        <w:rPr>
          <w:rFonts w:hint="eastAsia" w:ascii="宋体" w:hAnsi="宋体" w:eastAsia="宋体" w:cs="宋体"/>
          <w:color w:val="auto"/>
          <w:kern w:val="2"/>
          <w:sz w:val="21"/>
          <w:szCs w:val="21"/>
          <w:highlight w:val="none"/>
          <w:u w:val="single"/>
          <w:lang w:val="en-US" w:eastAsia="zh-CN" w:bidi="ar"/>
        </w:rPr>
        <w:t>不提供</w:t>
      </w:r>
      <w:r>
        <w:rPr>
          <w:rFonts w:hint="eastAsia" w:ascii="宋体" w:hAnsi="宋体" w:eastAsia="宋体" w:cs="宋体"/>
          <w:color w:val="auto"/>
          <w:kern w:val="2"/>
          <w:sz w:val="21"/>
          <w:szCs w:val="21"/>
          <w:highlight w:val="none"/>
          <w:lang w:val="en-US" w:eastAsia="zh-CN" w:bidi="ar"/>
        </w:rPr>
        <w:t>。</w:t>
      </w:r>
    </w:p>
    <w:p w14:paraId="3A3659E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41" w:name="_Toc9682"/>
      <w:bookmarkEnd w:id="541"/>
      <w:bookmarkStart w:id="542" w:name="_Toc20607"/>
      <w:bookmarkEnd w:id="542"/>
      <w:bookmarkStart w:id="543" w:name="_Toc9921"/>
      <w:bookmarkEnd w:id="543"/>
      <w:bookmarkStart w:id="544" w:name="_Toc25932315"/>
      <w:bookmarkEnd w:id="544"/>
      <w:bookmarkStart w:id="545" w:name="_Toc38896044"/>
      <w:bookmarkEnd w:id="545"/>
      <w:bookmarkStart w:id="546" w:name="_Toc26249"/>
      <w:r>
        <w:rPr>
          <w:rFonts w:hint="eastAsia" w:ascii="宋体" w:hAnsi="宋体" w:eastAsia="宋体" w:cs="宋体"/>
          <w:color w:val="auto"/>
          <w:kern w:val="2"/>
          <w:sz w:val="21"/>
          <w:szCs w:val="21"/>
          <w:highlight w:val="none"/>
          <w:lang w:val="en-US" w:eastAsia="zh-CN" w:bidi="ar"/>
        </w:rPr>
        <w:t>19.测量放线</w:t>
      </w:r>
      <w:bookmarkEnd w:id="546"/>
    </w:p>
    <w:p w14:paraId="4E7DE0F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19.1施工控制网</w:t>
      </w:r>
    </w:p>
    <w:p w14:paraId="1D72496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19.1.1发包人通过监理单位提供测量基准点、基准线和水准点及其书面资料的期限：</w:t>
      </w:r>
      <w:r>
        <w:rPr>
          <w:rFonts w:hint="eastAsia" w:ascii="宋体" w:hAnsi="宋体" w:eastAsia="宋体" w:cs="宋体"/>
          <w:color w:val="auto"/>
          <w:kern w:val="2"/>
          <w:sz w:val="21"/>
          <w:szCs w:val="21"/>
          <w:highlight w:val="none"/>
          <w:u w:val="single"/>
          <w:lang w:val="en-US" w:eastAsia="zh-CN" w:bidi="ar"/>
        </w:rPr>
        <w:t>开工前7天内双方现场交验，并做交验记录。</w:t>
      </w:r>
    </w:p>
    <w:p w14:paraId="61EE80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承包人将施工控制网资料报送监理单位审批的期限：</w:t>
      </w:r>
      <w:r>
        <w:rPr>
          <w:rFonts w:hint="eastAsia" w:ascii="宋体" w:hAnsi="宋体" w:eastAsia="宋体" w:cs="宋体"/>
          <w:color w:val="auto"/>
          <w:kern w:val="2"/>
          <w:sz w:val="21"/>
          <w:szCs w:val="21"/>
          <w:highlight w:val="none"/>
          <w:u w:val="single"/>
          <w:lang w:val="en-US" w:eastAsia="zh-CN" w:bidi="ar"/>
        </w:rPr>
        <w:t xml:space="preserve">  7天</w:t>
      </w:r>
      <w:r>
        <w:rPr>
          <w:rFonts w:hint="eastAsia" w:ascii="宋体" w:hAnsi="宋体" w:eastAsia="宋体" w:cs="宋体"/>
          <w:color w:val="auto"/>
          <w:kern w:val="2"/>
          <w:sz w:val="21"/>
          <w:szCs w:val="21"/>
          <w:highlight w:val="none"/>
          <w:lang w:val="en-US" w:eastAsia="zh-CN" w:bidi="ar"/>
        </w:rPr>
        <w:t>。</w:t>
      </w:r>
    </w:p>
    <w:p w14:paraId="707901E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47" w:name="_Toc38896045"/>
      <w:bookmarkEnd w:id="547"/>
      <w:bookmarkStart w:id="548" w:name="_Toc26400"/>
      <w:bookmarkEnd w:id="548"/>
      <w:bookmarkStart w:id="549" w:name="_Toc25932316"/>
      <w:bookmarkEnd w:id="549"/>
      <w:bookmarkStart w:id="550" w:name="_Toc20576"/>
      <w:bookmarkEnd w:id="550"/>
      <w:bookmarkStart w:id="551" w:name="_Toc12013"/>
      <w:bookmarkEnd w:id="551"/>
      <w:bookmarkStart w:id="552" w:name="_Toc32567"/>
      <w:r>
        <w:rPr>
          <w:rFonts w:hint="eastAsia" w:ascii="宋体" w:hAnsi="宋体" w:eastAsia="宋体" w:cs="宋体"/>
          <w:color w:val="auto"/>
          <w:kern w:val="2"/>
          <w:sz w:val="21"/>
          <w:szCs w:val="21"/>
          <w:highlight w:val="none"/>
          <w:lang w:val="en-US" w:eastAsia="zh-CN" w:bidi="ar"/>
        </w:rPr>
        <w:t>20.安全、治安保卫和环境保护</w:t>
      </w:r>
      <w:bookmarkEnd w:id="552"/>
    </w:p>
    <w:p w14:paraId="1E9ABFA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20.2承包人的施工安全责任</w:t>
      </w:r>
    </w:p>
    <w:p w14:paraId="0C32DF0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20.2.1承包人向监理单位报送施工安全措施计划的期限：</w:t>
      </w:r>
      <w:r>
        <w:rPr>
          <w:rFonts w:hint="eastAsia" w:ascii="宋体" w:hAnsi="宋体" w:eastAsia="宋体" w:cs="宋体"/>
          <w:color w:val="auto"/>
          <w:kern w:val="2"/>
          <w:sz w:val="21"/>
          <w:szCs w:val="21"/>
          <w:highlight w:val="none"/>
          <w:u w:val="single"/>
          <w:lang w:val="en-US" w:eastAsia="zh-CN" w:bidi="ar"/>
        </w:rPr>
        <w:t>施工开工前7天</w:t>
      </w:r>
      <w:r>
        <w:rPr>
          <w:rFonts w:hint="eastAsia" w:ascii="宋体" w:hAnsi="宋体" w:eastAsia="宋体" w:cs="宋体"/>
          <w:color w:val="auto"/>
          <w:kern w:val="2"/>
          <w:sz w:val="21"/>
          <w:szCs w:val="21"/>
          <w:highlight w:val="none"/>
          <w:lang w:val="en-US" w:eastAsia="zh-CN" w:bidi="ar"/>
        </w:rPr>
        <w:t>。</w:t>
      </w:r>
    </w:p>
    <w:p w14:paraId="10FE8FD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监理单位收到承包人报送的施工安全措施计划后应当在</w:t>
      </w:r>
      <w:r>
        <w:rPr>
          <w:rFonts w:hint="eastAsia" w:ascii="宋体" w:hAnsi="宋体" w:eastAsia="宋体" w:cs="宋体"/>
          <w:color w:val="auto"/>
          <w:kern w:val="2"/>
          <w:sz w:val="21"/>
          <w:szCs w:val="21"/>
          <w:highlight w:val="none"/>
          <w:u w:val="single"/>
          <w:lang w:val="en-US" w:eastAsia="zh-CN" w:bidi="ar"/>
        </w:rPr>
        <w:t xml:space="preserve"> 7天内给予批复</w:t>
      </w:r>
      <w:r>
        <w:rPr>
          <w:rFonts w:hint="eastAsia" w:ascii="宋体" w:hAnsi="宋体" w:eastAsia="宋体" w:cs="宋体"/>
          <w:color w:val="auto"/>
          <w:kern w:val="2"/>
          <w:sz w:val="21"/>
          <w:szCs w:val="21"/>
          <w:highlight w:val="none"/>
          <w:lang w:val="en-US" w:eastAsia="zh-CN" w:bidi="ar"/>
        </w:rPr>
        <w:t>。</w:t>
      </w:r>
    </w:p>
    <w:p w14:paraId="4D34523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20.3治安保卫</w:t>
      </w:r>
    </w:p>
    <w:p w14:paraId="6F2FC33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20.3.1承包人应当负责统一管理施工场地的治安保卫事项，履行合同工程的治安保卫职责。</w:t>
      </w:r>
    </w:p>
    <w:p w14:paraId="3476B97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20.3.3施工场地治安管理计划和突发治安事件紧急预案的编制责任人：</w:t>
      </w:r>
      <w:r>
        <w:rPr>
          <w:rFonts w:hint="eastAsia" w:ascii="宋体" w:hAnsi="宋体" w:eastAsia="宋体" w:cs="宋体"/>
          <w:color w:val="auto"/>
          <w:kern w:val="2"/>
          <w:sz w:val="21"/>
          <w:szCs w:val="21"/>
          <w:highlight w:val="none"/>
          <w:u w:val="single"/>
          <w:lang w:val="en-US" w:eastAsia="zh-CN" w:bidi="ar"/>
        </w:rPr>
        <w:t>工程总承包项目经理</w:t>
      </w:r>
      <w:r>
        <w:rPr>
          <w:rFonts w:hint="eastAsia" w:ascii="宋体" w:hAnsi="宋体" w:eastAsia="宋体" w:cs="宋体"/>
          <w:color w:val="auto"/>
          <w:kern w:val="2"/>
          <w:sz w:val="21"/>
          <w:szCs w:val="21"/>
          <w:highlight w:val="none"/>
          <w:lang w:val="en-US" w:eastAsia="zh-CN" w:bidi="ar"/>
        </w:rPr>
        <w:t>。</w:t>
      </w:r>
    </w:p>
    <w:p w14:paraId="29306CC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20.4环境保护</w:t>
      </w:r>
    </w:p>
    <w:p w14:paraId="4286BC7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20.4.1施工环保措施计划报送监理单位审批的时间：</w:t>
      </w:r>
      <w:r>
        <w:rPr>
          <w:rFonts w:hint="eastAsia" w:ascii="宋体" w:hAnsi="宋体" w:eastAsia="宋体" w:cs="宋体"/>
          <w:color w:val="auto"/>
          <w:kern w:val="2"/>
          <w:sz w:val="21"/>
          <w:szCs w:val="21"/>
          <w:highlight w:val="none"/>
          <w:u w:val="single"/>
          <w:lang w:val="en-US" w:eastAsia="zh-CN" w:bidi="ar"/>
        </w:rPr>
        <w:t>施工开工前7天</w:t>
      </w:r>
      <w:r>
        <w:rPr>
          <w:rFonts w:hint="eastAsia" w:ascii="宋体" w:hAnsi="宋体" w:eastAsia="宋体" w:cs="宋体"/>
          <w:color w:val="auto"/>
          <w:kern w:val="2"/>
          <w:sz w:val="21"/>
          <w:szCs w:val="21"/>
          <w:highlight w:val="none"/>
          <w:lang w:val="en-US" w:eastAsia="zh-CN" w:bidi="ar"/>
        </w:rPr>
        <w:t>。</w:t>
      </w:r>
    </w:p>
    <w:p w14:paraId="651BA8F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监理单位收到承包人报送的施工环保措施计划后应当在</w:t>
      </w:r>
      <w:r>
        <w:rPr>
          <w:rFonts w:hint="eastAsia" w:ascii="宋体" w:hAnsi="宋体" w:eastAsia="宋体" w:cs="宋体"/>
          <w:color w:val="auto"/>
          <w:kern w:val="2"/>
          <w:sz w:val="21"/>
          <w:szCs w:val="21"/>
          <w:highlight w:val="none"/>
          <w:u w:val="single"/>
          <w:lang w:val="en-US" w:eastAsia="zh-CN" w:bidi="ar"/>
        </w:rPr>
        <w:t xml:space="preserve">    7    </w:t>
      </w:r>
      <w:r>
        <w:rPr>
          <w:rFonts w:hint="eastAsia" w:ascii="宋体" w:hAnsi="宋体" w:eastAsia="宋体" w:cs="宋体"/>
          <w:color w:val="auto"/>
          <w:kern w:val="2"/>
          <w:sz w:val="21"/>
          <w:szCs w:val="21"/>
          <w:highlight w:val="none"/>
          <w:lang w:val="en-US" w:eastAsia="zh-CN" w:bidi="ar"/>
        </w:rPr>
        <w:t>天内给予批复。</w:t>
      </w:r>
    </w:p>
    <w:p w14:paraId="727899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53" w:name="_Toc5807"/>
      <w:bookmarkEnd w:id="553"/>
      <w:bookmarkStart w:id="554" w:name="_Toc38896046"/>
      <w:bookmarkEnd w:id="554"/>
      <w:bookmarkStart w:id="555" w:name="_Toc19028"/>
      <w:bookmarkEnd w:id="555"/>
      <w:bookmarkStart w:id="556" w:name="_Toc28510"/>
      <w:bookmarkEnd w:id="556"/>
      <w:bookmarkStart w:id="557" w:name="_Toc25932317"/>
      <w:bookmarkEnd w:id="557"/>
      <w:bookmarkStart w:id="558" w:name="_Toc7312"/>
      <w:r>
        <w:rPr>
          <w:rFonts w:hint="eastAsia" w:ascii="宋体" w:hAnsi="宋体" w:eastAsia="宋体" w:cs="宋体"/>
          <w:color w:val="auto"/>
          <w:kern w:val="2"/>
          <w:sz w:val="21"/>
          <w:szCs w:val="21"/>
          <w:highlight w:val="none"/>
          <w:lang w:val="en-US" w:eastAsia="zh-CN" w:bidi="ar"/>
        </w:rPr>
        <w:t>21.开始工作和竣工</w:t>
      </w:r>
      <w:bookmarkEnd w:id="558"/>
    </w:p>
    <w:p w14:paraId="710AF16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21.1工期延误</w:t>
      </w:r>
    </w:p>
    <w:p w14:paraId="40715CC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按衢州市人民政府相关规定创国家级文明城市国测迎检需要造成工期延误，由发包人予以合理延长。</w:t>
      </w:r>
    </w:p>
    <w:p w14:paraId="3739A1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21.2工期提前</w:t>
      </w:r>
    </w:p>
    <w:p w14:paraId="7B77727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提前竣工的奖励办法：</w:t>
      </w:r>
      <w:r>
        <w:rPr>
          <w:rFonts w:hint="eastAsia" w:ascii="宋体" w:hAnsi="宋体" w:eastAsia="宋体" w:cs="宋体"/>
          <w:color w:val="auto"/>
          <w:kern w:val="2"/>
          <w:sz w:val="21"/>
          <w:szCs w:val="21"/>
          <w:highlight w:val="none"/>
          <w:u w:val="single"/>
          <w:lang w:val="en-US" w:eastAsia="zh-CN" w:bidi="ar"/>
        </w:rPr>
        <w:t>/</w:t>
      </w:r>
      <w:r>
        <w:rPr>
          <w:rFonts w:hint="eastAsia" w:ascii="宋体" w:hAnsi="宋体" w:eastAsia="宋体" w:cs="宋体"/>
          <w:color w:val="auto"/>
          <w:kern w:val="2"/>
          <w:sz w:val="21"/>
          <w:szCs w:val="21"/>
          <w:highlight w:val="none"/>
          <w:lang w:val="en-US" w:eastAsia="zh-CN" w:bidi="ar"/>
        </w:rPr>
        <w:t>。</w:t>
      </w:r>
    </w:p>
    <w:p w14:paraId="4331D9B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59" w:name="_Toc25932318"/>
      <w:bookmarkEnd w:id="559"/>
      <w:bookmarkStart w:id="560" w:name="_Toc18858"/>
      <w:bookmarkEnd w:id="560"/>
      <w:bookmarkStart w:id="561" w:name="_Toc13518"/>
      <w:bookmarkEnd w:id="561"/>
      <w:bookmarkStart w:id="562" w:name="_Toc6266"/>
      <w:bookmarkEnd w:id="562"/>
      <w:bookmarkStart w:id="563" w:name="_Toc38896047"/>
      <w:bookmarkEnd w:id="563"/>
      <w:bookmarkStart w:id="564" w:name="_Toc5146"/>
      <w:r>
        <w:rPr>
          <w:rFonts w:hint="eastAsia" w:ascii="宋体" w:hAnsi="宋体" w:eastAsia="宋体" w:cs="宋体"/>
          <w:color w:val="auto"/>
          <w:kern w:val="2"/>
          <w:sz w:val="21"/>
          <w:szCs w:val="21"/>
          <w:highlight w:val="none"/>
          <w:lang w:val="en-US" w:eastAsia="zh-CN" w:bidi="ar"/>
        </w:rPr>
        <w:t>22.工程质量</w:t>
      </w:r>
      <w:bookmarkEnd w:id="564"/>
    </w:p>
    <w:p w14:paraId="5BDBC0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22.1承包人的质量检查</w:t>
      </w:r>
    </w:p>
    <w:p w14:paraId="78B579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承包人向监理单位报送工程质量报表的期限：</w:t>
      </w:r>
      <w:r>
        <w:rPr>
          <w:rFonts w:hint="eastAsia" w:ascii="宋体" w:hAnsi="宋体" w:eastAsia="宋体" w:cs="宋体"/>
          <w:color w:val="auto"/>
          <w:kern w:val="2"/>
          <w:sz w:val="21"/>
          <w:szCs w:val="21"/>
          <w:highlight w:val="none"/>
          <w:u w:val="single"/>
          <w:lang w:val="en-US" w:eastAsia="zh-CN" w:bidi="ar"/>
        </w:rPr>
        <w:t>承包人按合同约定对材料、工程设备以及工程的所有部位及其施工工艺进行全过程的质量检查和检验后3天内，编制工程质量报表报送监理单位审查。</w:t>
      </w:r>
    </w:p>
    <w:p w14:paraId="7CDCA5E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承包人向监理单位报送工程质量报表的要求：</w:t>
      </w:r>
      <w:r>
        <w:rPr>
          <w:rFonts w:hint="eastAsia" w:ascii="宋体" w:hAnsi="宋体" w:eastAsia="宋体" w:cs="宋体"/>
          <w:color w:val="auto"/>
          <w:kern w:val="2"/>
          <w:sz w:val="21"/>
          <w:szCs w:val="21"/>
          <w:highlight w:val="none"/>
          <w:u w:val="single"/>
          <w:lang w:val="en-US" w:eastAsia="zh-CN" w:bidi="ar"/>
        </w:rPr>
        <w:t>工程质量报表应尽可能详尽记录质量检查和检验的过程和结果，特别是隐蔽工程和隐蔽部位的质量检查和检验。</w:t>
      </w:r>
    </w:p>
    <w:p w14:paraId="41DB1BD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监理单位审查工程质量报表的期限：</w:t>
      </w:r>
      <w:r>
        <w:rPr>
          <w:rFonts w:hint="eastAsia" w:ascii="宋体" w:hAnsi="宋体" w:eastAsia="宋体" w:cs="宋体"/>
          <w:color w:val="auto"/>
          <w:kern w:val="2"/>
          <w:sz w:val="21"/>
          <w:szCs w:val="21"/>
          <w:highlight w:val="none"/>
          <w:u w:val="single"/>
          <w:lang w:val="en-US" w:eastAsia="zh-CN" w:bidi="ar"/>
        </w:rPr>
        <w:t>收到承包人报送的工程质量报表之日起3 天内给予批复。</w:t>
      </w:r>
    </w:p>
    <w:p w14:paraId="744258B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22.2工程隐蔽部位覆盖前的检查</w:t>
      </w:r>
    </w:p>
    <w:p w14:paraId="5DE6EB6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22.2.1监理单位对工程隐蔽部位进行检查的期限：</w:t>
      </w:r>
      <w:r>
        <w:rPr>
          <w:rFonts w:hint="eastAsia" w:ascii="宋体" w:hAnsi="宋体" w:eastAsia="宋体" w:cs="宋体"/>
          <w:color w:val="auto"/>
          <w:kern w:val="2"/>
          <w:sz w:val="21"/>
          <w:szCs w:val="21"/>
          <w:highlight w:val="none"/>
          <w:u w:val="single"/>
          <w:lang w:val="en-US" w:eastAsia="zh-CN" w:bidi="ar"/>
        </w:rPr>
        <w:t>收到承包人通知之日起1天内。</w:t>
      </w:r>
    </w:p>
    <w:p w14:paraId="1DA56D3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22.3质量争议</w:t>
      </w:r>
    </w:p>
    <w:p w14:paraId="0D00244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和承包人对工程质量有争议的，除可按合同通用条款第24条办理外，监理单位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D65B18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65" w:name="_Toc4786"/>
      <w:bookmarkEnd w:id="565"/>
      <w:bookmarkStart w:id="566" w:name="_Toc38896048"/>
      <w:bookmarkEnd w:id="566"/>
      <w:bookmarkStart w:id="567" w:name="_Toc18368"/>
      <w:bookmarkEnd w:id="567"/>
      <w:bookmarkStart w:id="568" w:name="_Toc28847"/>
      <w:bookmarkEnd w:id="568"/>
      <w:bookmarkStart w:id="569" w:name="_Toc25932319"/>
      <w:bookmarkEnd w:id="569"/>
      <w:bookmarkStart w:id="570" w:name="_Toc5333"/>
      <w:r>
        <w:rPr>
          <w:rFonts w:hint="eastAsia" w:ascii="宋体" w:hAnsi="宋体" w:eastAsia="宋体" w:cs="宋体"/>
          <w:color w:val="auto"/>
          <w:kern w:val="2"/>
          <w:sz w:val="21"/>
          <w:szCs w:val="21"/>
          <w:highlight w:val="none"/>
          <w:lang w:val="en-US" w:eastAsia="zh-CN" w:bidi="ar"/>
        </w:rPr>
        <w:t>23.样品</w:t>
      </w:r>
      <w:bookmarkEnd w:id="570"/>
    </w:p>
    <w:p w14:paraId="7B353F3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23.1样品的报送与封存</w:t>
      </w:r>
    </w:p>
    <w:p w14:paraId="2B8AFB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需要承包人报送样品的材料或工程设备，样品的种类、名称、规格、数量要求：</w:t>
      </w:r>
      <w:r>
        <w:rPr>
          <w:rFonts w:hint="eastAsia" w:ascii="宋体" w:hAnsi="宋体" w:eastAsia="宋体" w:cs="宋体"/>
          <w:color w:val="auto"/>
          <w:kern w:val="2"/>
          <w:sz w:val="21"/>
          <w:szCs w:val="21"/>
          <w:highlight w:val="none"/>
          <w:u w:val="single"/>
          <w:lang w:val="en-US" w:eastAsia="zh-CN" w:bidi="ar"/>
        </w:rPr>
        <w:t>按发包人要求执行，为了保证操作工艺的质量，实施实物质量样板引路的办法：</w:t>
      </w:r>
    </w:p>
    <w:p w14:paraId="5548722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a)质量样板引路方案的制定：开工前，承包人要根据工程的特点、施工难点、工序的重点、防治工程质量通病措施等方面的要求，组织参与编制和实施工程施工组织设计和专项施工方案的相关技术管理人员，研究制订工程质量样板引路的工作方案。工作方案内容应包括：工程概况与特点、需制作实物质量样板的工序和部位（含样板间）、制作实物质量样板的技术要点与具体要求、将质量样板用于指导施工和质量验收的具体安排、相关人员的工作职责以及根据工程项目特点所制订的其他内容。工作方案经承包人有关部门批准和送项目总监理工程师批准后实施，并报送发包人。实行专业分包的，分包企业应在施工总承包企业的指导下，制定相关的工程质量样板引路工作方案，经施工总承包企业同意后送项目总监理工程师审批后实施，并报送发包人。</w:t>
      </w:r>
    </w:p>
    <w:p w14:paraId="4D567E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(b)制作的实物质量样板应符合有关技术规范和施工图设计的要求，质量样板需经承包人相关部门（或委托该工程项目技术负责人）复核确认，发包人和监理工程师同意后方可用于技术交底、岗前培训和质量验收。</w:t>
      </w:r>
    </w:p>
    <w:p w14:paraId="2155B6D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(c)制作房屋建筑工程实物质量样板的工序、部位。</w:t>
      </w:r>
    </w:p>
    <w:p w14:paraId="62C02E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23.2施工设备和临时设施</w:t>
      </w:r>
    </w:p>
    <w:p w14:paraId="63325F5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23.3 承包人提供的施工设备和临时设施</w:t>
      </w:r>
    </w:p>
    <w:p w14:paraId="2B14234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关于修建临时设施费用承担的约定：由承包人承担。</w:t>
      </w:r>
    </w:p>
    <w:p w14:paraId="01D98DF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71" w:name="_Toc21053"/>
      <w:bookmarkEnd w:id="571"/>
      <w:bookmarkStart w:id="572" w:name="_Toc749"/>
      <w:bookmarkEnd w:id="572"/>
      <w:bookmarkStart w:id="573" w:name="_Toc21999"/>
      <w:bookmarkEnd w:id="573"/>
      <w:bookmarkStart w:id="574" w:name="_Toc1712"/>
      <w:bookmarkEnd w:id="574"/>
      <w:bookmarkStart w:id="575" w:name="_Toc25932320"/>
      <w:bookmarkEnd w:id="575"/>
      <w:bookmarkStart w:id="576" w:name="_Toc38896049"/>
      <w:r>
        <w:rPr>
          <w:rFonts w:hint="eastAsia" w:ascii="宋体" w:hAnsi="宋体" w:eastAsia="宋体" w:cs="宋体"/>
          <w:color w:val="auto"/>
          <w:kern w:val="2"/>
          <w:sz w:val="21"/>
          <w:szCs w:val="21"/>
          <w:highlight w:val="none"/>
          <w:lang w:val="en-US" w:eastAsia="zh-CN" w:bidi="ar"/>
        </w:rPr>
        <w:t>24.变更</w:t>
      </w:r>
      <w:bookmarkEnd w:id="576"/>
    </w:p>
    <w:p w14:paraId="176B0F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24.1本工程为EPC 总承包工程，因承包人原因产生的所有变更联系单均不增加造价、总工期。</w:t>
      </w:r>
    </w:p>
    <w:p w14:paraId="1C10F19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24.2施工图经发包人确认后，如发包人指示的工程变更（以发包人通过监理工程师发出的规模性、功能性或标准性变更的书面指令为标志，以按本合同发包方确认的变更图纸为参照）导致本项目发生变化的，费用按实际变更工程量及合同结算口径调整。</w:t>
      </w:r>
    </w:p>
    <w:p w14:paraId="581984B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24.3变更必须按发包人要求的审批流程经发包人审核并书面确认后方可实施。否则，造成的后果全部由承包人承担，同时承包人按合同约定承担违约责任。</w:t>
      </w:r>
    </w:p>
    <w:p w14:paraId="2689815E">
      <w:pPr>
        <w:keepNext w:val="0"/>
        <w:keepLines w:val="0"/>
        <w:pageBreakBefore w:val="0"/>
        <w:widowControl w:val="0"/>
        <w:numPr>
          <w:ilvl w:val="0"/>
          <w:numId w:val="6"/>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77" w:name="_Toc691"/>
      <w:bookmarkEnd w:id="577"/>
      <w:bookmarkStart w:id="578" w:name="_Toc7362"/>
      <w:bookmarkEnd w:id="578"/>
      <w:bookmarkStart w:id="579" w:name="_Toc23545"/>
      <w:bookmarkEnd w:id="579"/>
      <w:bookmarkStart w:id="580" w:name="_Toc25932321"/>
      <w:bookmarkEnd w:id="580"/>
      <w:bookmarkStart w:id="581" w:name="_Toc38896050"/>
      <w:bookmarkEnd w:id="581"/>
      <w:bookmarkStart w:id="582" w:name="_Toc13424"/>
      <w:r>
        <w:rPr>
          <w:rFonts w:hint="eastAsia" w:ascii="宋体" w:hAnsi="宋体" w:eastAsia="宋体" w:cs="宋体"/>
          <w:color w:val="auto"/>
          <w:kern w:val="2"/>
          <w:sz w:val="21"/>
          <w:szCs w:val="21"/>
          <w:highlight w:val="none"/>
          <w:lang w:val="en-US" w:eastAsia="zh-CN" w:bidi="ar"/>
        </w:rPr>
        <w:t>价格调整</w:t>
      </w:r>
      <w:bookmarkEnd w:id="582"/>
    </w:p>
    <w:p w14:paraId="249E0A5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25.1 市场价格波动引起的调整</w:t>
      </w:r>
    </w:p>
    <w:p w14:paraId="452938C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 xml:space="preserve">市场价格波动是否调整合同价格的约定： </w:t>
      </w:r>
      <w:r>
        <w:rPr>
          <w:rFonts w:hint="eastAsia" w:ascii="宋体" w:hAnsi="宋体" w:eastAsia="宋体" w:cs="宋体"/>
          <w:color w:val="auto"/>
          <w:kern w:val="2"/>
          <w:sz w:val="21"/>
          <w:szCs w:val="21"/>
          <w:highlight w:val="none"/>
          <w:u w:val="single"/>
          <w:lang w:val="en-US" w:eastAsia="zh-CN" w:bidi="ar"/>
        </w:rPr>
        <w:t>按衢住建办[2020]37号文件执行。</w:t>
      </w:r>
    </w:p>
    <w:p w14:paraId="03EAA77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25.2询价材料及设备的价格调整</w:t>
      </w:r>
    </w:p>
    <w:p w14:paraId="7CA4500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无价材料及设备市场询价流程根据柯城区询价办法确定，无价材料不参与下浮。</w:t>
      </w:r>
    </w:p>
    <w:p w14:paraId="660DB9A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bCs/>
          <w:color w:val="auto"/>
          <w:kern w:val="2"/>
          <w:sz w:val="21"/>
          <w:szCs w:val="21"/>
          <w:highlight w:val="none"/>
        </w:rPr>
      </w:pPr>
      <w:bookmarkStart w:id="583" w:name="_Toc24788"/>
      <w:bookmarkEnd w:id="583"/>
      <w:bookmarkStart w:id="584" w:name="_Toc26893"/>
      <w:bookmarkEnd w:id="584"/>
      <w:bookmarkStart w:id="585" w:name="_Toc38896051"/>
      <w:bookmarkEnd w:id="585"/>
      <w:bookmarkStart w:id="586" w:name="_Toc25932322"/>
      <w:bookmarkEnd w:id="586"/>
      <w:bookmarkStart w:id="587" w:name="_Toc19017"/>
      <w:bookmarkEnd w:id="587"/>
      <w:bookmarkStart w:id="588" w:name="_Toc30470"/>
      <w:r>
        <w:rPr>
          <w:rFonts w:hint="eastAsia" w:ascii="宋体" w:hAnsi="宋体" w:eastAsia="宋体" w:cs="宋体"/>
          <w:bCs/>
          <w:color w:val="auto"/>
          <w:kern w:val="2"/>
          <w:sz w:val="21"/>
          <w:szCs w:val="21"/>
          <w:highlight w:val="none"/>
          <w:lang w:val="en-US" w:eastAsia="zh-CN" w:bidi="ar"/>
        </w:rPr>
        <w:t>26.合同价格与支付</w:t>
      </w:r>
      <w:bookmarkEnd w:id="588"/>
    </w:p>
    <w:p w14:paraId="0294139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26.1.合同价格</w:t>
      </w:r>
    </w:p>
    <w:p w14:paraId="5718243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201" w:firstLineChars="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26.1.1施工图预算审定价：按确认后的施工图编制，按合同签订日所在月衢州市建设工程造价管理站发布的《衢州造价信息》正刊编制，如《衢州造价信息》上主要建筑材料无的，按照同期的《浙江造价信息》正刊编制。最终施工图预算经发包人委托的第三方造价审核单位确定后，按中标费率确定合同结算金额。审定的施工图预算（下浮前）不得超过设计限额。最终工程费结算价（下浮后）不得超出初步设计概算批复的工程费用。</w:t>
      </w:r>
    </w:p>
    <w:p w14:paraId="3E58024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（1）施工图预算按照工程量清单综合单价法计价。</w:t>
      </w:r>
    </w:p>
    <w:p w14:paraId="7FB3AB2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（2）施工图工程量清单及预算编制依据：①《建设工程工程量清单计价规范》(GB50500-2013) 、《浙江省建设工程计价规则》（2018版）、《浙江省房屋建筑与装饰工程预算定额》（2018版）、《浙江省通用安装工程预算定额》（2018版）、《浙江省市政工程预算定额》（2018版）、《浙江省建设工程施工机械台班费用定额》（2018版）及有关补充文件规定；②承包人提供项目审定后的施工图；③浙江省与衢州市有关补充规定编制、与本项目相关的标准、规范、技术资料、施工方案、图纸会审等有关资料。</w:t>
      </w:r>
    </w:p>
    <w:p w14:paraId="3934505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施工图预算各类取费按《浙江省建设工程计价规则》（2018版）、浙建建发〔2019〕92号等有关规定的市政工程、安装工程等专业工程分别编制，管理费、利润均按其所属类工程的中值计取；施工组织措施费只计取安全文明施工基本费。</w:t>
      </w:r>
    </w:p>
    <w:p w14:paraId="2F0024C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主要材料及设备价格采用基期信息价（按合同签订日所在月衢州市建设工程造价管理站发布的《衢州造价信息》正刊），衢州市建设工程造价管理站发布的正刊信息价上主要建筑材料无的，按照同期的《浙江造价信息》正刊编制；对于无信息价材料及设备，由承包人进行上报，发包人按衢州市柯城区相关询价办法组织市场询价，以市场价形式进行签证计入结算并不参与下浮，以上材料及设备价格均为除税价；人工价格采用基期信息价（按合同签订日所在月衢州市建设工程造价管理站发布的《衢州造价信息》正刊）；人工费、材料费调差按衢住建办[2020]37号文件执行。</w:t>
      </w:r>
    </w:p>
    <w:p w14:paraId="1D69F06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（5）施工图预算最终由发包人委托造价审核单位审定。</w:t>
      </w:r>
    </w:p>
    <w:p w14:paraId="7E23803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26.1.2工程结算价</w:t>
      </w:r>
    </w:p>
    <w:p w14:paraId="13E897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本项目工程结算价由施工图设计费、工程费两部分组成。税金按国家现行规定缴纳，开具增值税专用发票。因政策性原因导致增值税税率变动，变动部分按实调整。</w:t>
      </w:r>
    </w:p>
    <w:p w14:paraId="2F84C3F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26.2.1进度付款申请单</w:t>
      </w:r>
    </w:p>
    <w:p w14:paraId="37CD0D5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进度付款申请单的份数：</w:t>
      </w:r>
      <w:r>
        <w:rPr>
          <w:rFonts w:hint="eastAsia" w:ascii="宋体" w:hAnsi="宋体" w:eastAsia="宋体" w:cs="宋体"/>
          <w:color w:val="auto"/>
          <w:kern w:val="2"/>
          <w:sz w:val="21"/>
          <w:szCs w:val="21"/>
          <w:highlight w:val="none"/>
          <w:u w:val="single"/>
          <w:lang w:val="en-US" w:eastAsia="zh-CN" w:bidi="ar"/>
        </w:rPr>
        <w:t>按发包人要求</w:t>
      </w:r>
      <w:r>
        <w:rPr>
          <w:rFonts w:hint="eastAsia" w:ascii="宋体" w:hAnsi="宋体" w:eastAsia="宋体" w:cs="宋体"/>
          <w:color w:val="auto"/>
          <w:kern w:val="2"/>
          <w:sz w:val="21"/>
          <w:szCs w:val="21"/>
          <w:highlight w:val="none"/>
          <w:lang w:val="en-US" w:eastAsia="zh-CN" w:bidi="ar"/>
        </w:rPr>
        <w:t>。</w:t>
      </w:r>
    </w:p>
    <w:p w14:paraId="3CAF1FC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进度付款申请单的内容：</w:t>
      </w:r>
      <w:r>
        <w:rPr>
          <w:rFonts w:hint="eastAsia" w:ascii="宋体" w:hAnsi="宋体" w:eastAsia="宋体" w:cs="宋体"/>
          <w:color w:val="auto"/>
          <w:kern w:val="2"/>
          <w:sz w:val="21"/>
          <w:szCs w:val="21"/>
          <w:highlight w:val="none"/>
          <w:u w:val="single"/>
          <w:lang w:val="en-US" w:eastAsia="zh-CN" w:bidi="ar"/>
        </w:rPr>
        <w:t>包括但不限于</w:t>
      </w:r>
      <w:r>
        <w:rPr>
          <w:rFonts w:hint="eastAsia" w:ascii="宋体" w:hAnsi="宋体" w:eastAsia="宋体" w:cs="宋体"/>
          <w:color w:val="auto"/>
          <w:kern w:val="2"/>
          <w:sz w:val="21"/>
          <w:szCs w:val="21"/>
          <w:highlight w:val="none"/>
          <w:lang w:val="en-US" w:eastAsia="zh-CN" w:bidi="ar"/>
        </w:rPr>
        <w:t>。</w:t>
      </w:r>
    </w:p>
    <w:p w14:paraId="3AC1FF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①本周期已完成工程的价款；</w:t>
      </w:r>
    </w:p>
    <w:p w14:paraId="3C1FA31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②累计已完成工程的价款；</w:t>
      </w:r>
    </w:p>
    <w:p w14:paraId="11F40F1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③累计已支付的工程价款；</w:t>
      </w:r>
    </w:p>
    <w:p w14:paraId="689EE39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④本周期已完成计日工金额；</w:t>
      </w:r>
    </w:p>
    <w:p w14:paraId="4702894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⑤应增加和扣减的变更金额；</w:t>
      </w:r>
    </w:p>
    <w:p w14:paraId="4B7BC5A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⑥应增加和扣减的索赔金额；</w:t>
      </w:r>
    </w:p>
    <w:p w14:paraId="78FD48A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⑦应扣减的质量保证金；</w:t>
      </w:r>
    </w:p>
    <w:p w14:paraId="02AE0A2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⑧根据合同应增加和扣减的其他金额；</w:t>
      </w:r>
    </w:p>
    <w:p w14:paraId="462CB28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⑨本付款周期实际应支付的工程价款；</w:t>
      </w:r>
    </w:p>
    <w:p w14:paraId="65A2803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3"/>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26.3质量保证金</w:t>
      </w:r>
    </w:p>
    <w:p w14:paraId="5CD0C0E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26.3.1质量保证金的金额或比例：</w:t>
      </w:r>
      <w:r>
        <w:rPr>
          <w:rFonts w:hint="eastAsia" w:ascii="宋体" w:hAnsi="宋体" w:eastAsia="宋体" w:cs="宋体"/>
          <w:color w:val="auto"/>
          <w:kern w:val="2"/>
          <w:sz w:val="21"/>
          <w:szCs w:val="21"/>
          <w:highlight w:val="none"/>
          <w:u w:val="single"/>
          <w:lang w:val="en-US" w:eastAsia="zh-CN" w:bidi="ar"/>
        </w:rPr>
        <w:t xml:space="preserve">工程费结算审定价的1.5% </w:t>
      </w:r>
      <w:r>
        <w:rPr>
          <w:rFonts w:hint="eastAsia" w:ascii="宋体" w:hAnsi="宋体" w:eastAsia="宋体" w:cs="宋体"/>
          <w:color w:val="auto"/>
          <w:kern w:val="2"/>
          <w:sz w:val="21"/>
          <w:szCs w:val="21"/>
          <w:highlight w:val="none"/>
          <w:lang w:val="en-US" w:eastAsia="zh-CN" w:bidi="ar"/>
        </w:rPr>
        <w:t>。</w:t>
      </w:r>
    </w:p>
    <w:p w14:paraId="33887A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bookmarkStart w:id="589" w:name="_Toc25694772"/>
      <w:bookmarkEnd w:id="589"/>
      <w:r>
        <w:rPr>
          <w:rFonts w:hint="eastAsia" w:ascii="宋体" w:hAnsi="宋体" w:eastAsia="宋体" w:cs="宋体"/>
          <w:color w:val="auto"/>
          <w:kern w:val="2"/>
          <w:sz w:val="21"/>
          <w:szCs w:val="21"/>
          <w:highlight w:val="none"/>
          <w:lang w:val="en-US" w:eastAsia="zh-CN" w:bidi="ar"/>
        </w:rPr>
        <w:t>26.4竣工结算</w:t>
      </w:r>
    </w:p>
    <w:p w14:paraId="0631ACD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26.4.1竣工付款申请单</w:t>
      </w:r>
    </w:p>
    <w:p w14:paraId="58821DB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承包人提交竣工付款申请单的份数：</w:t>
      </w:r>
      <w:r>
        <w:rPr>
          <w:rFonts w:hint="eastAsia" w:ascii="宋体" w:hAnsi="宋体" w:eastAsia="宋体" w:cs="宋体"/>
          <w:color w:val="auto"/>
          <w:kern w:val="2"/>
          <w:sz w:val="21"/>
          <w:szCs w:val="21"/>
          <w:highlight w:val="none"/>
          <w:u w:val="single"/>
          <w:lang w:val="en-US" w:eastAsia="zh-CN" w:bidi="ar"/>
        </w:rPr>
        <w:t>一式五份</w:t>
      </w:r>
      <w:r>
        <w:rPr>
          <w:rFonts w:hint="eastAsia" w:ascii="宋体" w:hAnsi="宋体" w:eastAsia="宋体" w:cs="宋体"/>
          <w:color w:val="auto"/>
          <w:kern w:val="2"/>
          <w:sz w:val="21"/>
          <w:szCs w:val="21"/>
          <w:highlight w:val="none"/>
          <w:lang w:val="en-US" w:eastAsia="zh-CN" w:bidi="ar"/>
        </w:rPr>
        <w:t>。</w:t>
      </w:r>
    </w:p>
    <w:p w14:paraId="3E9AED7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承包人提交竣工付款申请单的期限：</w:t>
      </w:r>
      <w:r>
        <w:rPr>
          <w:rFonts w:hint="eastAsia" w:ascii="宋体" w:hAnsi="宋体" w:eastAsia="宋体" w:cs="宋体"/>
          <w:color w:val="auto"/>
          <w:kern w:val="2"/>
          <w:sz w:val="21"/>
          <w:szCs w:val="21"/>
          <w:highlight w:val="none"/>
          <w:u w:val="single"/>
          <w:lang w:val="en-US" w:eastAsia="zh-CN" w:bidi="ar"/>
        </w:rPr>
        <w:t>工程竣工验收合格后</w:t>
      </w:r>
      <w:r>
        <w:rPr>
          <w:rFonts w:hint="eastAsia" w:ascii="宋体" w:hAnsi="宋体" w:eastAsia="宋体" w:cs="宋体"/>
          <w:color w:val="auto"/>
          <w:kern w:val="2"/>
          <w:sz w:val="21"/>
          <w:szCs w:val="21"/>
          <w:highlight w:val="none"/>
          <w:lang w:val="en-US" w:eastAsia="zh-CN" w:bidi="ar"/>
        </w:rPr>
        <w:t>。</w:t>
      </w:r>
    </w:p>
    <w:p w14:paraId="38B3524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竣工付款申请单的内容：</w:t>
      </w:r>
      <w:r>
        <w:rPr>
          <w:rFonts w:hint="eastAsia" w:ascii="宋体" w:hAnsi="宋体" w:eastAsia="宋体" w:cs="宋体"/>
          <w:color w:val="auto"/>
          <w:kern w:val="2"/>
          <w:sz w:val="21"/>
          <w:szCs w:val="21"/>
          <w:highlight w:val="none"/>
          <w:u w:val="single"/>
          <w:lang w:val="en-US" w:eastAsia="zh-CN" w:bidi="ar"/>
        </w:rPr>
        <w:t>按相关规定执行</w:t>
      </w:r>
      <w:r>
        <w:rPr>
          <w:rFonts w:hint="eastAsia" w:ascii="宋体" w:hAnsi="宋体" w:eastAsia="宋体" w:cs="宋体"/>
          <w:color w:val="auto"/>
          <w:kern w:val="2"/>
          <w:sz w:val="21"/>
          <w:szCs w:val="21"/>
          <w:highlight w:val="none"/>
          <w:lang w:val="en-US" w:eastAsia="zh-CN" w:bidi="ar"/>
        </w:rPr>
        <w:t>。</w:t>
      </w:r>
    </w:p>
    <w:p w14:paraId="0E45F04B">
      <w:pPr>
        <w:pStyle w:val="10"/>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在完成合同范围内及联系单的全部施工内容，且通过各方责任主体竣工验收合格后3个月内，向发包人和监理人提交竣工结算申请单，并提交完整的工程结算资料三套（至少一套原件）及电子版,3个月内完成结算审计。超过3个月未提交竣工结算资料，经发包人催告后（28）天，承包人还不提交竣工结算资料的，发包人可按5000元/天向承包人计取违约金，承包人在进度款支付时向发包人缴纳，如承包人未缴纳，发包人有权暂停拨付工程款项。超过（180）日未提交竣工结算资料，发包人可根据自有资料办理竣工结算手续，可视为承包人认可竣工结算结果。</w:t>
      </w:r>
    </w:p>
    <w:p w14:paraId="7A87B86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outlineLvl w:val="3"/>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26.4竣工结算审核</w:t>
      </w:r>
    </w:p>
    <w:p w14:paraId="3A5E4CE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发包人审批竣工付款申请单的期限：</w:t>
      </w:r>
    </w:p>
    <w:p w14:paraId="18C614A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u w:val="single"/>
          <w:lang w:val="en-US" w:eastAsia="zh-CN" w:bidi="ar"/>
        </w:rPr>
        <w:t>发包人根据国家造价管理的有关规定以及审计部门审定的价款进行结算，与承包人办理最终价款结算手续。发包人、审计部门应在竣工验收合格、承包人提供完整结算资料以及具备其它结算条件后及时按有关规定核实承包人递交的结算报告及结算资料，但并不受通用条款所述的时间约束</w:t>
      </w:r>
      <w:r>
        <w:rPr>
          <w:rFonts w:hint="eastAsia" w:ascii="宋体" w:hAnsi="宋体" w:eastAsia="宋体" w:cs="宋体"/>
          <w:color w:val="auto"/>
          <w:kern w:val="2"/>
          <w:sz w:val="21"/>
          <w:szCs w:val="21"/>
          <w:highlight w:val="none"/>
          <w:lang w:val="en-US" w:eastAsia="zh-CN" w:bidi="ar"/>
        </w:rPr>
        <w:t>。</w:t>
      </w:r>
    </w:p>
    <w:p w14:paraId="139600C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u w:val="single"/>
          <w:lang w:val="en-US" w:eastAsia="zh-CN" w:bidi="ar"/>
        </w:rPr>
        <w:t>承包人应在工程竣工验收合格之日起三个月内报送结算，工程价款审计后核减额超过送审造价5%幅度以外的审计费用由承包人支付，发包人有权从应付工程价款中扣除后支付给审计单位</w:t>
      </w:r>
      <w:r>
        <w:rPr>
          <w:rFonts w:hint="eastAsia" w:ascii="宋体" w:hAnsi="宋体" w:eastAsia="宋体" w:cs="宋体"/>
          <w:color w:val="auto"/>
          <w:kern w:val="2"/>
          <w:sz w:val="21"/>
          <w:szCs w:val="21"/>
          <w:highlight w:val="none"/>
          <w:lang w:val="en-US" w:eastAsia="zh-CN" w:bidi="ar"/>
        </w:rPr>
        <w:t>。</w:t>
      </w:r>
    </w:p>
    <w:p w14:paraId="2643FB4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发包人完成竣工付款的期限：按照17.3工程进度付款相关条款执行</w:t>
      </w:r>
    </w:p>
    <w:p w14:paraId="2B1F91F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关于竣工付款证书异议部分复核的方式和程序：</w:t>
      </w:r>
      <w:r>
        <w:rPr>
          <w:rFonts w:hint="eastAsia" w:ascii="宋体" w:hAnsi="宋体" w:eastAsia="宋体" w:cs="宋体"/>
          <w:color w:val="auto"/>
          <w:kern w:val="2"/>
          <w:sz w:val="21"/>
          <w:szCs w:val="21"/>
          <w:highlight w:val="none"/>
          <w:u w:val="single"/>
          <w:lang w:val="en-US" w:eastAsia="zh-CN" w:bidi="ar"/>
        </w:rPr>
        <w:t>承包人对发包人签认的竣工付款证书有异议的，对于有异议部分应在收到发包人签认的竣工付款证书后7天内提出异议，并由合同当事人、监理单位、审计等部门重新进行复核，或按照第24条〔争议解决〕约定处理；承包人逾期未提出异议的，视为认可发包人的审批结果</w:t>
      </w:r>
      <w:r>
        <w:rPr>
          <w:rFonts w:hint="eastAsia" w:ascii="宋体" w:hAnsi="宋体" w:eastAsia="宋体" w:cs="宋体"/>
          <w:color w:val="auto"/>
          <w:kern w:val="2"/>
          <w:sz w:val="21"/>
          <w:szCs w:val="21"/>
          <w:highlight w:val="none"/>
          <w:lang w:val="en-US" w:eastAsia="zh-CN" w:bidi="ar"/>
        </w:rPr>
        <w:t>。</w:t>
      </w:r>
    </w:p>
    <w:p w14:paraId="1F4C5A1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bookmarkStart w:id="590" w:name="_Toc25694773"/>
      <w:bookmarkEnd w:id="590"/>
      <w:r>
        <w:rPr>
          <w:rFonts w:hint="eastAsia" w:ascii="宋体" w:hAnsi="宋体" w:eastAsia="宋体" w:cs="宋体"/>
          <w:color w:val="auto"/>
          <w:kern w:val="2"/>
          <w:sz w:val="21"/>
          <w:szCs w:val="21"/>
          <w:highlight w:val="none"/>
          <w:lang w:val="en-US" w:eastAsia="zh-CN" w:bidi="ar"/>
        </w:rPr>
        <w:t>26.5最终结清</w:t>
      </w:r>
    </w:p>
    <w:p w14:paraId="08018BA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26.5.1最终结清申请单</w:t>
      </w:r>
    </w:p>
    <w:p w14:paraId="341FB8B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承包人提交最终结清申请单的份数：</w:t>
      </w:r>
      <w:r>
        <w:rPr>
          <w:rFonts w:hint="eastAsia" w:ascii="宋体" w:hAnsi="宋体" w:eastAsia="宋体" w:cs="宋体"/>
          <w:color w:val="auto"/>
          <w:kern w:val="2"/>
          <w:sz w:val="21"/>
          <w:szCs w:val="21"/>
          <w:highlight w:val="none"/>
          <w:u w:val="single"/>
          <w:lang w:val="en-US" w:eastAsia="zh-CN" w:bidi="ar"/>
        </w:rPr>
        <w:t>按发包人要求的份数</w:t>
      </w:r>
      <w:r>
        <w:rPr>
          <w:rFonts w:hint="eastAsia" w:ascii="宋体" w:hAnsi="宋体" w:eastAsia="宋体" w:cs="宋体"/>
          <w:color w:val="auto"/>
          <w:kern w:val="2"/>
          <w:sz w:val="21"/>
          <w:szCs w:val="21"/>
          <w:highlight w:val="none"/>
          <w:lang w:val="en-US" w:eastAsia="zh-CN" w:bidi="ar"/>
        </w:rPr>
        <w:t>。</w:t>
      </w:r>
    </w:p>
    <w:p w14:paraId="0725157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承包人提交最终结清申请单的期限：</w:t>
      </w:r>
      <w:r>
        <w:rPr>
          <w:rFonts w:hint="eastAsia" w:ascii="宋体" w:hAnsi="宋体" w:eastAsia="宋体" w:cs="宋体"/>
          <w:color w:val="auto"/>
          <w:kern w:val="2"/>
          <w:sz w:val="21"/>
          <w:szCs w:val="21"/>
          <w:highlight w:val="none"/>
          <w:u w:val="single"/>
          <w:lang w:val="en-US" w:eastAsia="zh-CN" w:bidi="ar"/>
        </w:rPr>
        <w:t>缺陷责任期终止，质量缺陷责任期满且双方无异议后14天内</w:t>
      </w:r>
      <w:r>
        <w:rPr>
          <w:rFonts w:hint="eastAsia" w:ascii="宋体" w:hAnsi="宋体" w:eastAsia="宋体" w:cs="宋体"/>
          <w:color w:val="auto"/>
          <w:kern w:val="2"/>
          <w:sz w:val="21"/>
          <w:szCs w:val="21"/>
          <w:highlight w:val="none"/>
          <w:lang w:val="en-US" w:eastAsia="zh-CN" w:bidi="ar"/>
        </w:rPr>
        <w:t>。</w:t>
      </w:r>
    </w:p>
    <w:p w14:paraId="02B1EC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91" w:name="_Toc16521"/>
      <w:bookmarkEnd w:id="591"/>
      <w:bookmarkStart w:id="592" w:name="_Toc1907"/>
      <w:bookmarkEnd w:id="592"/>
      <w:bookmarkStart w:id="593" w:name="_Toc26152"/>
      <w:bookmarkEnd w:id="593"/>
      <w:bookmarkStart w:id="594" w:name="_Toc38896052"/>
      <w:bookmarkEnd w:id="594"/>
      <w:bookmarkStart w:id="595" w:name="_Toc14754"/>
      <w:bookmarkEnd w:id="595"/>
      <w:bookmarkStart w:id="596" w:name="_Toc25932323"/>
      <w:r>
        <w:rPr>
          <w:rFonts w:hint="eastAsia" w:ascii="宋体" w:hAnsi="宋体" w:eastAsia="宋体" w:cs="宋体"/>
          <w:color w:val="auto"/>
          <w:kern w:val="2"/>
          <w:sz w:val="21"/>
          <w:szCs w:val="21"/>
          <w:highlight w:val="none"/>
          <w:lang w:val="en-US" w:eastAsia="zh-CN" w:bidi="ar"/>
        </w:rPr>
        <w:t>27竣工试验和竣工验收</w:t>
      </w:r>
      <w:bookmarkEnd w:id="596"/>
    </w:p>
    <w:p w14:paraId="0E11F5E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27.1竣工试验</w:t>
      </w:r>
    </w:p>
    <w:p w14:paraId="0DC82FB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27.2</w:t>
      </w:r>
      <w:r>
        <w:rPr>
          <w:rFonts w:hint="eastAsia" w:ascii="宋体" w:hAnsi="宋体" w:eastAsia="宋体" w:cs="宋体"/>
          <w:color w:val="auto"/>
          <w:kern w:val="2"/>
          <w:sz w:val="21"/>
          <w:szCs w:val="21"/>
          <w:highlight w:val="none"/>
          <w:u w:val="single"/>
          <w:lang w:val="en-US" w:eastAsia="zh-CN" w:bidi="ar"/>
        </w:rPr>
        <w:t>承包人负责提供试运行所需的人员、设备、材料、燃料、电力、消耗品、工具等必要的条件，并承担试运行费用。</w:t>
      </w:r>
    </w:p>
    <w:p w14:paraId="6F95DE5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27.3竣工验收申请报告</w:t>
      </w:r>
    </w:p>
    <w:p w14:paraId="3DA6E8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auto"/>
          <w:kern w:val="2"/>
          <w:sz w:val="21"/>
          <w:szCs w:val="21"/>
          <w:highlight w:val="none"/>
          <w:u w:val="single"/>
          <w:lang w:val="en-US" w:eastAsia="zh-CN" w:bidi="ar"/>
        </w:rPr>
        <w:t>按通用条款第18.2条执行，并满足发包人的要求。</w:t>
      </w:r>
    </w:p>
    <w:p w14:paraId="6A6905E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竣工验收资料的份数：</w:t>
      </w:r>
      <w:r>
        <w:rPr>
          <w:rFonts w:hint="eastAsia" w:ascii="宋体" w:hAnsi="宋体" w:eastAsia="宋体" w:cs="宋体"/>
          <w:color w:val="auto"/>
          <w:kern w:val="2"/>
          <w:sz w:val="21"/>
          <w:szCs w:val="21"/>
          <w:highlight w:val="none"/>
          <w:u w:val="single"/>
          <w:lang w:val="en-US" w:eastAsia="zh-CN" w:bidi="ar"/>
        </w:rPr>
        <w:t>按承包人要求执行。</w:t>
      </w:r>
    </w:p>
    <w:p w14:paraId="62F688C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竣工验收资料的费用支付方式：</w:t>
      </w:r>
      <w:r>
        <w:rPr>
          <w:rFonts w:hint="eastAsia" w:ascii="宋体" w:hAnsi="宋体" w:eastAsia="宋体" w:cs="宋体"/>
          <w:color w:val="auto"/>
          <w:kern w:val="2"/>
          <w:sz w:val="21"/>
          <w:szCs w:val="21"/>
          <w:highlight w:val="none"/>
          <w:u w:val="single"/>
          <w:lang w:val="en-US" w:eastAsia="zh-CN" w:bidi="ar"/>
        </w:rPr>
        <w:t>承包人承担</w:t>
      </w:r>
      <w:r>
        <w:rPr>
          <w:rFonts w:hint="eastAsia" w:ascii="宋体" w:hAnsi="宋体" w:eastAsia="宋体" w:cs="宋体"/>
          <w:color w:val="auto"/>
          <w:kern w:val="2"/>
          <w:sz w:val="21"/>
          <w:szCs w:val="21"/>
          <w:highlight w:val="none"/>
          <w:lang w:val="en-US" w:eastAsia="zh-CN" w:bidi="ar"/>
        </w:rPr>
        <w:t>。</w:t>
      </w:r>
    </w:p>
    <w:p w14:paraId="1D6C892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27.4验收</w:t>
      </w:r>
    </w:p>
    <w:p w14:paraId="7C0C530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27.5经验收合格的工程，实际竣工日期为承包人按照第18.2款提交竣工验收申请报告或按照本款重新提交竣工验收申请报告的日期(以两者中时间在后者为准)。</w:t>
      </w:r>
    </w:p>
    <w:p w14:paraId="573C39F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27.6施工期运行</w:t>
      </w:r>
    </w:p>
    <w:p w14:paraId="5BBB9E8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27.7需要施工期运行的单位工程或设备安装工程：</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w:t>
      </w:r>
    </w:p>
    <w:p w14:paraId="18FE443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27.8竣工清场</w:t>
      </w:r>
    </w:p>
    <w:p w14:paraId="5906E9B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27.9监理单位颁发(出具)工程接收证书后，承包人负责按照通用合同条款本项约定的要求对施工场地进行清理并承担相关费用，直至监理单位检验合格为止。</w:t>
      </w:r>
    </w:p>
    <w:p w14:paraId="1623912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27.10施工队伍的撤离</w:t>
      </w:r>
    </w:p>
    <w:p w14:paraId="46D27E1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承包人按照通用合同条款第18.8款约定撤离施工场地(现场)时，监理单位和承包人应当办理永久工程和施工场地移交手续，移交手续以书面方式出具，并分别经过发包人、监理单位和承包人的签认。</w:t>
      </w:r>
    </w:p>
    <w:p w14:paraId="7E234F7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缺陷责任期满时，承包人可以继续在施工场地保留的人员和施工设备以及最终撤离的期限：</w:t>
      </w:r>
      <w:r>
        <w:rPr>
          <w:rFonts w:hint="eastAsia" w:ascii="宋体" w:hAnsi="宋体" w:eastAsia="宋体" w:cs="宋体"/>
          <w:color w:val="auto"/>
          <w:kern w:val="2"/>
          <w:sz w:val="21"/>
          <w:szCs w:val="21"/>
          <w:highlight w:val="none"/>
          <w:u w:val="single"/>
          <w:lang w:val="en-US" w:eastAsia="zh-CN" w:bidi="ar"/>
        </w:rPr>
        <w:t>按照通用条款执行</w:t>
      </w:r>
      <w:r>
        <w:rPr>
          <w:rFonts w:hint="eastAsia" w:ascii="宋体" w:hAnsi="宋体" w:eastAsia="宋体" w:cs="宋体"/>
          <w:color w:val="auto"/>
          <w:kern w:val="2"/>
          <w:sz w:val="21"/>
          <w:szCs w:val="21"/>
          <w:highlight w:val="none"/>
          <w:lang w:val="en-US" w:eastAsia="zh-CN" w:bidi="ar"/>
        </w:rPr>
        <w:t>。</w:t>
      </w:r>
    </w:p>
    <w:p w14:paraId="22A1E3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27.11竣工后试验</w:t>
      </w:r>
    </w:p>
    <w:p w14:paraId="358945C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（1）发包人为竣工后试验提供必要的电力、材料、燃料、发包人人员和工程设备，并承担相应费用；</w:t>
      </w:r>
    </w:p>
    <w:p w14:paraId="08C3C1B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（2）承包人应提供竣工后试验所需要的所有其他设备、仪器、以及有资格和经验的工作人员，并承担相应费用；</w:t>
      </w:r>
    </w:p>
    <w:p w14:paraId="21C2982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承包人应在发包人在场的情况下，进行竣工后试验。发包人应提前21天将竣工后试验的日期通知承包人。因承包人原因造成某项竣工后试验未能通过的，承包人应按照合同的约定进行赔偿，或者承包人提出修复建议，按照发包人指示的合理期限内改正，并承担合同约定的相应责任。</w:t>
      </w:r>
    </w:p>
    <w:p w14:paraId="0142C93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597" w:name="_Toc1360"/>
      <w:bookmarkEnd w:id="597"/>
      <w:bookmarkStart w:id="598" w:name="_Toc38896053"/>
      <w:bookmarkEnd w:id="598"/>
      <w:bookmarkStart w:id="599" w:name="_Toc18689"/>
      <w:bookmarkEnd w:id="599"/>
      <w:bookmarkStart w:id="600" w:name="_Toc25932324"/>
      <w:bookmarkEnd w:id="600"/>
      <w:bookmarkStart w:id="601" w:name="_Toc20482"/>
      <w:bookmarkEnd w:id="601"/>
      <w:bookmarkStart w:id="602" w:name="_Toc6745"/>
      <w:r>
        <w:rPr>
          <w:rFonts w:hint="eastAsia" w:ascii="宋体" w:hAnsi="宋体" w:eastAsia="宋体" w:cs="宋体"/>
          <w:color w:val="auto"/>
          <w:kern w:val="2"/>
          <w:sz w:val="21"/>
          <w:szCs w:val="21"/>
          <w:highlight w:val="none"/>
          <w:lang w:val="en-US" w:eastAsia="zh-CN" w:bidi="ar"/>
        </w:rPr>
        <w:t>28缺陷责任与保修责任</w:t>
      </w:r>
      <w:bookmarkEnd w:id="602"/>
    </w:p>
    <w:p w14:paraId="61A79C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28.1质量保证金</w:t>
      </w:r>
    </w:p>
    <w:p w14:paraId="6BA62E9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关于是否扣留质量保证金的约定：</w:t>
      </w:r>
      <w:r>
        <w:rPr>
          <w:rFonts w:hint="eastAsia" w:ascii="宋体" w:hAnsi="宋体" w:eastAsia="宋体" w:cs="宋体"/>
          <w:color w:val="auto"/>
          <w:kern w:val="2"/>
          <w:sz w:val="21"/>
          <w:szCs w:val="21"/>
          <w:highlight w:val="none"/>
          <w:u w:val="single"/>
          <w:lang w:val="en-US" w:eastAsia="zh-CN" w:bidi="ar"/>
        </w:rPr>
        <w:t xml:space="preserve">  是  </w:t>
      </w:r>
      <w:r>
        <w:rPr>
          <w:rFonts w:hint="eastAsia" w:ascii="宋体" w:hAnsi="宋体" w:eastAsia="宋体" w:cs="宋体"/>
          <w:color w:val="auto"/>
          <w:kern w:val="2"/>
          <w:sz w:val="21"/>
          <w:szCs w:val="21"/>
          <w:highlight w:val="none"/>
          <w:lang w:val="en-US" w:eastAsia="zh-CN" w:bidi="ar"/>
        </w:rPr>
        <w:t>。</w:t>
      </w:r>
    </w:p>
    <w:p w14:paraId="46F71E6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28.2承包人提供质量保证金的方式</w:t>
      </w:r>
    </w:p>
    <w:p w14:paraId="7E7A851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质量保证金采用以下方式之一（与14.8.3相对应）：</w:t>
      </w:r>
    </w:p>
    <w:p w14:paraId="313F406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（1）质量保证金保函，保证金额为：</w:t>
      </w:r>
      <w:r>
        <w:rPr>
          <w:rFonts w:hint="eastAsia" w:ascii="宋体" w:hAnsi="宋体" w:eastAsia="宋体" w:cs="宋体"/>
          <w:color w:val="auto"/>
          <w:kern w:val="2"/>
          <w:sz w:val="21"/>
          <w:szCs w:val="21"/>
          <w:highlight w:val="none"/>
          <w:u w:val="single"/>
          <w:lang w:val="en-US" w:eastAsia="zh-CN" w:bidi="ar"/>
        </w:rPr>
        <w:t xml:space="preserve">  1.5%  </w:t>
      </w:r>
      <w:r>
        <w:rPr>
          <w:rFonts w:hint="eastAsia" w:ascii="宋体" w:hAnsi="宋体" w:eastAsia="宋体" w:cs="宋体"/>
          <w:color w:val="auto"/>
          <w:kern w:val="2"/>
          <w:sz w:val="21"/>
          <w:szCs w:val="21"/>
          <w:highlight w:val="none"/>
          <w:lang w:val="en-US" w:eastAsia="zh-CN" w:bidi="ar"/>
        </w:rPr>
        <w:t>；</w:t>
      </w:r>
    </w:p>
    <w:p w14:paraId="280DC0D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（2）结算审定价</w:t>
      </w:r>
      <w:r>
        <w:rPr>
          <w:rFonts w:hint="eastAsia" w:ascii="宋体" w:hAnsi="宋体" w:eastAsia="宋体" w:cs="宋体"/>
          <w:color w:val="auto"/>
          <w:kern w:val="2"/>
          <w:sz w:val="21"/>
          <w:szCs w:val="21"/>
          <w:highlight w:val="none"/>
          <w:u w:val="single"/>
          <w:lang w:val="en-US" w:eastAsia="zh-CN" w:bidi="ar"/>
        </w:rPr>
        <w:t>1.5</w:t>
      </w:r>
      <w:r>
        <w:rPr>
          <w:rFonts w:hint="eastAsia" w:ascii="宋体" w:hAnsi="宋体" w:eastAsia="宋体" w:cs="宋体"/>
          <w:color w:val="auto"/>
          <w:kern w:val="2"/>
          <w:sz w:val="21"/>
          <w:szCs w:val="21"/>
          <w:highlight w:val="none"/>
          <w:lang w:val="en-US" w:eastAsia="zh-CN" w:bidi="ar"/>
        </w:rPr>
        <w:t>%的工程费；</w:t>
      </w:r>
    </w:p>
    <w:p w14:paraId="1CD046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（3）其他方式：</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w:t>
      </w:r>
    </w:p>
    <w:p w14:paraId="225E781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28.3质量保证金的扣留</w:t>
      </w:r>
    </w:p>
    <w:p w14:paraId="5E21EDC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质量保证金的扣留采取以下第（2）种方式：</w:t>
      </w:r>
    </w:p>
    <w:p w14:paraId="12B9073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（1）在支付工程进度款时逐次扣留，在此情形下，质量保证金的计算基数不包括预付款的支付、扣回以及价格调整的金额；</w:t>
      </w:r>
    </w:p>
    <w:p w14:paraId="7DFD5F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（2）工程竣工结算时一次性扣留质量保证金；</w:t>
      </w:r>
    </w:p>
    <w:p w14:paraId="3E492D2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（3）其他扣留方式：</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w:t>
      </w:r>
    </w:p>
    <w:p w14:paraId="21CE3DA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关于质量保证金的补充约定：不计利息。</w:t>
      </w:r>
    </w:p>
    <w:p w14:paraId="531C63F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29保修责任</w:t>
      </w:r>
    </w:p>
    <w:p w14:paraId="0D5E3BC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(1)工程质量保修范围：</w:t>
      </w:r>
      <w:r>
        <w:rPr>
          <w:rFonts w:hint="eastAsia" w:ascii="宋体" w:hAnsi="宋体" w:eastAsia="宋体" w:cs="宋体"/>
          <w:color w:val="auto"/>
          <w:kern w:val="2"/>
          <w:sz w:val="21"/>
          <w:szCs w:val="21"/>
          <w:highlight w:val="none"/>
          <w:u w:val="single"/>
          <w:lang w:val="en-US" w:eastAsia="zh-CN" w:bidi="ar"/>
        </w:rPr>
        <w:t>合同约定的工程承包范围。</w:t>
      </w:r>
    </w:p>
    <w:p w14:paraId="74C9076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(2)工程质量保修期限：</w:t>
      </w:r>
    </w:p>
    <w:p w14:paraId="72372E8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u w:val="single"/>
          <w:lang w:val="en-US" w:eastAsia="zh-CN" w:bidi="ar"/>
        </w:rPr>
        <w:t>地基基础工程和主体结构工程为设计文件规定的该工程合理使用年限；</w:t>
      </w:r>
    </w:p>
    <w:p w14:paraId="3C8E584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u w:val="single"/>
          <w:lang w:val="en-US" w:eastAsia="zh-CN" w:bidi="ar"/>
        </w:rPr>
        <w:t>屋面防水工程、有防水要求的卫生间、房间和外墙面的防渗漏为5年；</w:t>
      </w:r>
    </w:p>
    <w:p w14:paraId="19F046B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u w:val="single"/>
          <w:lang w:val="en-US" w:eastAsia="zh-CN" w:bidi="ar"/>
        </w:rPr>
        <w:t>装修工程为2年；</w:t>
      </w:r>
    </w:p>
    <w:p w14:paraId="40F39CE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u w:val="single"/>
          <w:lang w:val="en-US" w:eastAsia="zh-CN" w:bidi="ar"/>
        </w:rPr>
        <w:t>电气管线、给排水管道、设备安装工程为2年；</w:t>
      </w:r>
    </w:p>
    <w:p w14:paraId="4751E90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供热与供冷系统为2个采暖期、供冷期；</w:t>
      </w:r>
    </w:p>
    <w:p w14:paraId="0BA2121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u w:val="single"/>
          <w:lang w:val="en-US" w:eastAsia="zh-CN" w:bidi="ar"/>
        </w:rPr>
        <w:t>给排水设施、道路等配套工程为2年；</w:t>
      </w:r>
    </w:p>
    <w:p w14:paraId="270FBF3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w:t>
      </w:r>
      <w:r>
        <w:rPr>
          <w:rFonts w:hint="eastAsia" w:ascii="宋体" w:hAnsi="宋体" w:eastAsia="宋体" w:cs="宋体"/>
          <w:color w:val="auto"/>
          <w:kern w:val="2"/>
          <w:sz w:val="21"/>
          <w:szCs w:val="21"/>
          <w:highlight w:val="none"/>
          <w:u w:val="single"/>
          <w:lang w:val="en-US" w:eastAsia="zh-CN" w:bidi="ar"/>
        </w:rPr>
        <w:t>其他项目保修期限约定如下：2年；</w:t>
      </w:r>
    </w:p>
    <w:p w14:paraId="61F8939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(3)工程质量保修责任：</w:t>
      </w:r>
    </w:p>
    <w:p w14:paraId="22FA712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1）属于保修范围、内容的项目，承包人应当在接到保修通知之日起24小时内派人赶到现场并采取切实可行的措施进行维修，并承诺在发包人规定的时间内完成维修。承包人无法在约定期限内到达维修现场的，发包人有权采取一切措施自行完成，相关费用由承包人承担。若影响恶劣的，发包人有权向承包人索赔，且由此所造成的一切损失由承包人负责。若承包人进行二次修复后仍不能达到发包人要求，发包人有权委托其他单位进行维修，相关费用由承包人承担。</w:t>
      </w:r>
    </w:p>
    <w:p w14:paraId="4FE5D5B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u w:val="single"/>
          <w:lang w:val="en-US" w:eastAsia="zh-CN" w:bidi="ar"/>
        </w:rPr>
        <w:t>发生需紧急抢修情况的，承包人在接到事故通知后，应当6小时内到达现场抢修。</w:t>
      </w:r>
    </w:p>
    <w:p w14:paraId="7EE4F74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u w:val="single"/>
          <w:lang w:val="en-US" w:eastAsia="zh-CN" w:bidi="ar"/>
        </w:rPr>
        <w:t>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6E7AB4D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u w:val="single"/>
          <w:lang w:val="en-US" w:eastAsia="zh-CN" w:bidi="ar"/>
        </w:rPr>
        <w:t>质量保修完成后，由发包人组织验收。</w:t>
      </w:r>
    </w:p>
    <w:p w14:paraId="737EEC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(4)修复通知</w:t>
      </w:r>
    </w:p>
    <w:p w14:paraId="740B280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承包人收到保修通知并到达工程现场的合理时间：</w:t>
      </w:r>
      <w:r>
        <w:rPr>
          <w:rFonts w:hint="eastAsia" w:ascii="宋体" w:hAnsi="宋体" w:eastAsia="宋体" w:cs="宋体"/>
          <w:color w:val="auto"/>
          <w:kern w:val="2"/>
          <w:sz w:val="21"/>
          <w:szCs w:val="21"/>
          <w:highlight w:val="none"/>
          <w:u w:val="single"/>
          <w:lang w:val="en-US" w:eastAsia="zh-CN" w:bidi="ar"/>
        </w:rPr>
        <w:t>1）发生需紧急抢修情况的，承包人在接到抢修通知后，应当立即到达事故现场抢修。发包人在承包人未到达之前组织的抢修产生的相关费用，由承包人承担；2）对于涉及结构安全的质量问题，应当按照《房屋建筑工程质量保修办法》的规定，立即向当地建设行政主管部门报告，采取安全防范措施；由原设计人或者具有相应资质等级的设计人提出保修方案，承包人实施保修；3）质量保修完成后，由发包人组织验收。</w:t>
      </w:r>
    </w:p>
    <w:p w14:paraId="06E51BF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单位。</w:t>
      </w:r>
    </w:p>
    <w:p w14:paraId="33A308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603" w:name="_Toc25932325"/>
      <w:bookmarkEnd w:id="603"/>
      <w:bookmarkStart w:id="604" w:name="_Toc6563"/>
      <w:bookmarkEnd w:id="604"/>
      <w:bookmarkStart w:id="605" w:name="_Toc6760"/>
      <w:bookmarkEnd w:id="605"/>
      <w:bookmarkStart w:id="606" w:name="_Toc13183"/>
      <w:bookmarkEnd w:id="606"/>
      <w:bookmarkStart w:id="607" w:name="_Toc38896054"/>
      <w:bookmarkEnd w:id="607"/>
      <w:bookmarkStart w:id="608" w:name="_Toc5044"/>
      <w:r>
        <w:rPr>
          <w:rFonts w:hint="eastAsia" w:ascii="宋体" w:hAnsi="宋体" w:eastAsia="宋体" w:cs="宋体"/>
          <w:color w:val="auto"/>
          <w:kern w:val="2"/>
          <w:sz w:val="21"/>
          <w:szCs w:val="21"/>
          <w:highlight w:val="none"/>
          <w:lang w:val="en-US" w:eastAsia="zh-CN" w:bidi="ar"/>
        </w:rPr>
        <w:t>30设计和工程保险</w:t>
      </w:r>
      <w:bookmarkEnd w:id="608"/>
    </w:p>
    <w:p w14:paraId="309A35D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30.1设计和工程保险</w:t>
      </w:r>
    </w:p>
    <w:p w14:paraId="6145DF9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投保人：</w:t>
      </w:r>
      <w:r>
        <w:rPr>
          <w:rFonts w:hint="eastAsia" w:ascii="宋体" w:hAnsi="宋体" w:eastAsia="宋体" w:cs="宋体"/>
          <w:color w:val="auto"/>
          <w:kern w:val="2"/>
          <w:sz w:val="21"/>
          <w:szCs w:val="21"/>
          <w:highlight w:val="none"/>
          <w:u w:val="single"/>
          <w:lang w:val="en-US" w:eastAsia="zh-CN" w:bidi="ar"/>
        </w:rPr>
        <w:t>承包人</w:t>
      </w:r>
      <w:r>
        <w:rPr>
          <w:rFonts w:hint="eastAsia" w:ascii="宋体" w:hAnsi="宋体" w:eastAsia="宋体" w:cs="宋体"/>
          <w:color w:val="auto"/>
          <w:kern w:val="2"/>
          <w:sz w:val="21"/>
          <w:szCs w:val="21"/>
          <w:highlight w:val="none"/>
          <w:lang w:val="en-US" w:eastAsia="zh-CN" w:bidi="ar"/>
        </w:rPr>
        <w:t>。</w:t>
      </w:r>
    </w:p>
    <w:p w14:paraId="5B87E70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投保内容：</w:t>
      </w:r>
      <w:r>
        <w:rPr>
          <w:rFonts w:hint="eastAsia" w:ascii="宋体" w:hAnsi="宋体" w:eastAsia="宋体" w:cs="宋体"/>
          <w:color w:val="auto"/>
          <w:kern w:val="2"/>
          <w:sz w:val="21"/>
          <w:szCs w:val="21"/>
          <w:highlight w:val="none"/>
          <w:u w:val="single"/>
          <w:lang w:val="en-US" w:eastAsia="zh-CN" w:bidi="ar"/>
        </w:rPr>
        <w:t>建筑工程一切险、安装工程一切险和第三者责</w:t>
      </w:r>
      <w:r>
        <w:rPr>
          <w:rFonts w:hint="eastAsia" w:ascii="宋体" w:hAnsi="宋体" w:eastAsia="宋体" w:cs="宋体"/>
          <w:color w:val="auto"/>
          <w:kern w:val="2"/>
          <w:sz w:val="21"/>
          <w:szCs w:val="21"/>
          <w:highlight w:val="none"/>
          <w:lang w:val="en-US" w:eastAsia="zh-CN" w:bidi="ar"/>
        </w:rPr>
        <w:t>任险。</w:t>
      </w:r>
    </w:p>
    <w:p w14:paraId="4396EAA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保险金额、保险费率和保险期限：</w:t>
      </w:r>
      <w:r>
        <w:rPr>
          <w:rFonts w:hint="eastAsia" w:ascii="宋体" w:hAnsi="宋体" w:eastAsia="宋体" w:cs="宋体"/>
          <w:color w:val="auto"/>
          <w:kern w:val="2"/>
          <w:sz w:val="21"/>
          <w:szCs w:val="21"/>
          <w:highlight w:val="none"/>
          <w:u w:val="single"/>
          <w:lang w:val="en-US" w:eastAsia="zh-CN" w:bidi="ar"/>
        </w:rPr>
        <w:t>按相关规定执行。</w:t>
      </w:r>
    </w:p>
    <w:p w14:paraId="7667B66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农民工工伤保险由承包人负责投保。</w:t>
      </w:r>
    </w:p>
    <w:p w14:paraId="37734F0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30.2对各项保险的一般要求</w:t>
      </w:r>
    </w:p>
    <w:p w14:paraId="1870FCC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30.2.1保险凭证</w:t>
      </w:r>
    </w:p>
    <w:p w14:paraId="25703CA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承包人向发包人提交各项保险生效的证据和保险单副本的期限：</w:t>
      </w:r>
      <w:r>
        <w:rPr>
          <w:rFonts w:hint="eastAsia" w:ascii="宋体" w:hAnsi="宋体" w:eastAsia="宋体" w:cs="宋体"/>
          <w:color w:val="auto"/>
          <w:kern w:val="2"/>
          <w:sz w:val="21"/>
          <w:szCs w:val="21"/>
          <w:highlight w:val="none"/>
          <w:u w:val="single"/>
          <w:lang w:val="en-US" w:eastAsia="zh-CN" w:bidi="ar"/>
        </w:rPr>
        <w:t>保险手续办理完毕后7天内提交。</w:t>
      </w:r>
    </w:p>
    <w:p w14:paraId="6F24948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30.2.2保险金不足的补偿</w:t>
      </w:r>
    </w:p>
    <w:p w14:paraId="34A7297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保险金不足以补偿损失时，承包人和发包人负责补偿的责任分摊：</w:t>
      </w:r>
      <w:r>
        <w:rPr>
          <w:rFonts w:hint="eastAsia" w:ascii="宋体" w:hAnsi="宋体" w:eastAsia="宋体" w:cs="宋体"/>
          <w:color w:val="auto"/>
          <w:kern w:val="2"/>
          <w:sz w:val="21"/>
          <w:szCs w:val="21"/>
          <w:highlight w:val="none"/>
          <w:u w:val="single"/>
          <w:lang w:val="en-US" w:eastAsia="zh-CN" w:bidi="ar"/>
        </w:rPr>
        <w:t>由于本工程所有保险均由承包人负责投保，其费用已包含在投标报价中，故发包人不承担保险金不足的补偿。</w:t>
      </w:r>
    </w:p>
    <w:p w14:paraId="55A9BDB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609" w:name="_Toc26666"/>
      <w:bookmarkEnd w:id="609"/>
      <w:bookmarkStart w:id="610" w:name="_Toc22284"/>
      <w:bookmarkEnd w:id="610"/>
      <w:bookmarkStart w:id="611" w:name="_Toc4005"/>
      <w:bookmarkEnd w:id="611"/>
      <w:bookmarkStart w:id="612" w:name="_Toc25932326"/>
      <w:bookmarkEnd w:id="612"/>
      <w:bookmarkStart w:id="613" w:name="_Toc2337"/>
      <w:bookmarkEnd w:id="613"/>
      <w:bookmarkStart w:id="614" w:name="_Toc38896055"/>
      <w:r>
        <w:rPr>
          <w:rFonts w:hint="eastAsia" w:ascii="宋体" w:hAnsi="宋体" w:eastAsia="宋体" w:cs="宋体"/>
          <w:color w:val="auto"/>
          <w:kern w:val="2"/>
          <w:sz w:val="21"/>
          <w:szCs w:val="21"/>
          <w:highlight w:val="none"/>
          <w:lang w:val="en-US" w:eastAsia="zh-CN" w:bidi="ar"/>
        </w:rPr>
        <w:t>31.不可抗力</w:t>
      </w:r>
      <w:bookmarkEnd w:id="614"/>
    </w:p>
    <w:p w14:paraId="030BDB4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31.1不可抗力的确认</w:t>
      </w:r>
    </w:p>
    <w:p w14:paraId="78E32E5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31.1.1通用合同条款第21.1.1项约定的不可抗力以外的其他情形：</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w:t>
      </w:r>
    </w:p>
    <w:p w14:paraId="6CB11FB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31.2不可抗力后果及其处理</w:t>
      </w:r>
    </w:p>
    <w:p w14:paraId="2709787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31.2.1不可抗力造成损害的责任</w:t>
      </w:r>
    </w:p>
    <w:p w14:paraId="027A95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不可抗力导致的人员伤亡、财产损失、费用增加和(或)工期延误等后果，由合同双方按通用合同条款第31.3.1项约定的原则承担。</w:t>
      </w:r>
    </w:p>
    <w:p w14:paraId="0FF51C8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615" w:name="_Toc14339"/>
      <w:bookmarkEnd w:id="615"/>
      <w:bookmarkStart w:id="616" w:name="_Toc25932327"/>
      <w:bookmarkEnd w:id="616"/>
      <w:bookmarkStart w:id="617" w:name="_Toc38896056"/>
      <w:bookmarkEnd w:id="617"/>
      <w:bookmarkStart w:id="618" w:name="_Toc27783"/>
      <w:bookmarkEnd w:id="618"/>
      <w:bookmarkStart w:id="619" w:name="_Toc28598"/>
      <w:bookmarkEnd w:id="619"/>
      <w:bookmarkStart w:id="620" w:name="_Toc29545"/>
      <w:r>
        <w:rPr>
          <w:rFonts w:hint="eastAsia" w:ascii="宋体" w:hAnsi="宋体" w:eastAsia="宋体" w:cs="宋体"/>
          <w:color w:val="auto"/>
          <w:kern w:val="2"/>
          <w:sz w:val="21"/>
          <w:szCs w:val="21"/>
          <w:highlight w:val="none"/>
          <w:lang w:val="en-US" w:eastAsia="zh-CN" w:bidi="ar"/>
        </w:rPr>
        <w:t>32. 违约</w:t>
      </w:r>
      <w:bookmarkEnd w:id="620"/>
    </w:p>
    <w:p w14:paraId="347D407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32.1 发包人违约</w:t>
      </w:r>
    </w:p>
    <w:p w14:paraId="2DAF700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32.1.1发包人违约的情形</w:t>
      </w:r>
    </w:p>
    <w:p w14:paraId="6FCAAF2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发包人违约的其他情形：无。</w:t>
      </w:r>
    </w:p>
    <w:p w14:paraId="3210E1E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32.1.2 发包人违约的责任</w:t>
      </w:r>
    </w:p>
    <w:p w14:paraId="39BB981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（1）因发包人违反合同约定造成暂停施工的违约责任：因发包人延误的工期予以签证（因延误工期按衢住建[2020]37号文产生的调差费用由发包人承担，其余费用由承包人承担）。</w:t>
      </w:r>
    </w:p>
    <w:p w14:paraId="5B526CD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（2）承包人不得以发包人为由擅自暂停施工。</w:t>
      </w:r>
    </w:p>
    <w:p w14:paraId="49AD63D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32.1.3 因发包人违约解除合同</w:t>
      </w:r>
    </w:p>
    <w:p w14:paraId="3540F9AA">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承包人按22.2.1项(发包人违约的情形）约定暂停施工满</w:t>
      </w:r>
      <w:r>
        <w:rPr>
          <w:rFonts w:hint="eastAsia" w:ascii="宋体" w:hAnsi="宋体" w:eastAsia="宋体" w:cs="宋体"/>
          <w:color w:val="auto"/>
          <w:kern w:val="2"/>
          <w:sz w:val="21"/>
          <w:szCs w:val="21"/>
          <w:highlight w:val="none"/>
          <w:u w:val="single"/>
          <w:lang w:val="en-US" w:eastAsia="zh-CN" w:bidi="ar"/>
        </w:rPr>
        <w:t xml:space="preserve">   /   </w:t>
      </w:r>
      <w:r>
        <w:rPr>
          <w:rFonts w:hint="eastAsia" w:ascii="宋体" w:hAnsi="宋体" w:eastAsia="宋体" w:cs="宋体"/>
          <w:color w:val="auto"/>
          <w:kern w:val="2"/>
          <w:sz w:val="21"/>
          <w:szCs w:val="21"/>
          <w:highlight w:val="none"/>
          <w:lang w:val="en-US" w:eastAsia="zh-CN" w:bidi="ar"/>
        </w:rPr>
        <w:t>天后发包人仍不纠正其违约行为并致使合同目的不能实现的，承包人有权解除合同。</w:t>
      </w:r>
    </w:p>
    <w:p w14:paraId="4F66F4D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 承包人违约</w:t>
      </w:r>
    </w:p>
    <w:p w14:paraId="0CF0459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32.2．1承包人违约的情形和责任</w:t>
      </w:r>
    </w:p>
    <w:p w14:paraId="20971E46">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5"/>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32.2.1.1承包人违约责任的承担方式和计算方法：</w:t>
      </w:r>
    </w:p>
    <w:p w14:paraId="0E619B79">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现场安全文明施工不符合投标书承诺，发包人有权扣减相应安全文明施工费用；承包人原因造成现场管理混乱、工程质量和进度达不到投标承诺的要求，发包人有权要求承包人调整充实施工力量、更换项目班子，如发包人书面通知三次以上未整改的，发包人有权解除施工合同，所有履约保证金归发包人，并赔偿发包人损失。承包人应在1个月内完成退场，如未在约定时间内退场的，发包人有权强行清场，由此所造成的所有责任和损失均由承包人自行承担。</w:t>
      </w:r>
    </w:p>
    <w:p w14:paraId="46D7D789">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发现承包人允许其他人挂靠经营、转包、违法分包，发包人有权终止本合同，所有履约保证金归发包人，同时赔偿发包人损失，并责令退出工地，承包人应在1个月内完成退场，如未在约定时间内退场的，发包人有权强行清场，由此所造成的所有责任和损失均由承包人自行承担。</w:t>
      </w:r>
    </w:p>
    <w:p w14:paraId="5BD08D2D">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未达到投标所承诺的诚信与技术标准，按每一项扣减履约保证金的1%。</w:t>
      </w:r>
    </w:p>
    <w:p w14:paraId="3F5FE749">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工程延误超过了合同工期，延误责任由承包人承担，每延误一天，承包人应按本合同约定价款的0.5‰/天向发包人支付违约金，并且工期不予顺延。由工期延误引起人工、材料价格上涨由承包人承担，按原合同约定价格结算；价格下降归发包人受益，按下降后价格结算。当施工工期超过合同工期20%以上时，发包人除有权要求承包人继续按本合同约定价款的0.5‰/天向发包人支付违约金外，还有权单方解除本合同，扣除承包人所有履约保证金，因此产生的所有损失由承包人承担。如发包人单方解除合同的，承包人应在1个月内完成退场，如未在约定时间内退场的，发包人有权强行清场，由此所造成的所有责任和损失均由承包人自行承担。</w:t>
      </w:r>
    </w:p>
    <w:p w14:paraId="39585E56">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无法继续履行、明确表示不履行或实质上已停止履行合同，发包人有权通知承包人全部解除合同，没收全部履约保证金，并有权要求承包人按本合同约定合同价款的20 %向发包人支付违约金。如发包人单方解除合同的，承包人应在1个月内完成退场，如未在约定时间内退场的，发包人有权强行清场，由此所造成的所有责任和损失均由承包人自行承担。</w:t>
      </w:r>
    </w:p>
    <w:p w14:paraId="081E184C">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（6）承包人未按相关规范、规定履约或承包人不服从发包人（或监理人）合理指令的，发包人每次有权向承包人计取5000元的违约金，即罚即交，如承包人未缴纳，发包人有权在当期进度款中直接扣取。</w:t>
      </w:r>
    </w:p>
    <w:p w14:paraId="57D00794">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施工质量不能满足本合同约定的质量标准或无法通过竣工验收合格的，承包人应无条件返工，由于以上原因造成工程延期交付的视同延误工期，承包人应按照本条第（4）项的约定承担违约责任。若承包人逾期整改，或整改后不符合发包人要求的，发包人有权解除合同，并没收全部履约保证金，有权要求承包人按本合同约定合同价款的20%向发包人支付违约金，同时，由此所产生的所有费用以及发包人的所有损失均由承包人全额承担。如发包人单方解除合同的，承包人应在1个月内完成退场，如未在约定时间内退场的，发包人有权强行清场，由此所造成的所有责任和损失均由承包人自行承担。</w:t>
      </w:r>
    </w:p>
    <w:p w14:paraId="72E858E7">
      <w:pPr>
        <w:pStyle w:val="24"/>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承包人未按照推荐品牌、参考品牌标准采购的，或使用假冒伪劣、以次充好的材料（设备）的，应返工处理，相关费用由承包人承担。承包人拒不返工的，发包人可另行组织招标或采购，相关费用从承包人工程款或结算款中扣除（扣除金额为【审定预算价中的综合单价×投标费率】×数量，以及以此为基础计价的各种规费税金等），同时按上述扣除金额占合同价比例收缴质量履约违约金，情节严重的，发包人还有权单方解除合同，向承包人追偿相关损失，并通报有关主管部门。</w:t>
      </w:r>
    </w:p>
    <w:p w14:paraId="55B7F7FB">
      <w:pPr>
        <w:pStyle w:val="27"/>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Style w:val="33"/>
          <w:rFonts w:hint="eastAsia" w:ascii="宋体" w:hAnsi="宋体" w:eastAsia="宋体" w:cs="宋体"/>
          <w:color w:val="auto"/>
          <w:sz w:val="21"/>
          <w:szCs w:val="21"/>
          <w:highlight w:val="none"/>
          <w:u w:val="single"/>
        </w:rPr>
      </w:pPr>
      <w:r>
        <w:rPr>
          <w:rStyle w:val="33"/>
          <w:rFonts w:hint="eastAsia" w:ascii="宋体" w:hAnsi="宋体" w:eastAsia="宋体" w:cs="宋体"/>
          <w:color w:val="auto"/>
          <w:sz w:val="21"/>
          <w:szCs w:val="21"/>
          <w:highlight w:val="none"/>
          <w:u w:val="single"/>
        </w:rPr>
        <w:t>（9）安全生产及文明施工违约责任：①发包人在项目工地巡查时发现承包人在环境保护、文明施工、安全施工等方面达不到要求的，发包人应立即要求承包人限期整改，每发生一次，承包人向发包人支付10000元违约金（发包人从当期工程款中扣除）,具体数额由发包人根据情节轻重确定；承包人未按期整改的，每发生一次，承包人向发包人支付20000元违约金（发包人从当期工程款中扣除）。②在施工全过程中，由于承包人有违规操作导致对发包人的名誉造成负面影响的，发包人有权向承包人索赔。</w:t>
      </w:r>
    </w:p>
    <w:p w14:paraId="6E8E94C8">
      <w:pPr>
        <w:pStyle w:val="27"/>
        <w:keepNext w:val="0"/>
        <w:keepLines w:val="0"/>
        <w:pageBreakBefore w:val="0"/>
        <w:widowControl w:val="0"/>
        <w:kinsoku/>
        <w:wordWrap w:val="0"/>
        <w:overflowPunct/>
        <w:topLinePunct/>
        <w:autoSpaceDE/>
        <w:autoSpaceDN/>
        <w:bidi w:val="0"/>
        <w:adjustRightInd w:val="0"/>
        <w:snapToGrid w:val="0"/>
        <w:spacing w:line="360" w:lineRule="auto"/>
        <w:ind w:left="0" w:leftChars="0" w:right="0" w:rightChars="0" w:firstLine="420" w:firstLineChars="200"/>
        <w:textAlignment w:val="auto"/>
        <w:rPr>
          <w:rStyle w:val="33"/>
          <w:rFonts w:hint="eastAsia" w:ascii="宋体" w:hAnsi="宋体" w:eastAsia="宋体" w:cs="宋体"/>
          <w:color w:val="auto"/>
          <w:sz w:val="21"/>
          <w:szCs w:val="21"/>
          <w:highlight w:val="none"/>
          <w:u w:val="single"/>
        </w:rPr>
      </w:pPr>
      <w:r>
        <w:rPr>
          <w:rStyle w:val="33"/>
          <w:rFonts w:hint="eastAsia" w:ascii="宋体" w:hAnsi="宋体" w:eastAsia="宋体" w:cs="宋体"/>
          <w:color w:val="auto"/>
          <w:sz w:val="21"/>
          <w:szCs w:val="21"/>
          <w:highlight w:val="none"/>
          <w:u w:val="single"/>
        </w:rPr>
        <w:t>承包人应按规定做好现场文明施工、安全生产的各项管理工作，如发生人身伤亡或财产损失等事故的，由承包人承担一切责任及费用，发生一般事故的，发包人有权在工程款中扣除合同总额的1%作为违约金。发生重大安全事故及以上的，发包人有权在工程款中扣除合同总额的2%作为违约金。</w:t>
      </w:r>
    </w:p>
    <w:p w14:paraId="70127003">
      <w:pPr>
        <w:pStyle w:val="9"/>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承包人未按时支付民工工资的，发包人有权解除本合同，没收全部履约保证金，并有权直接扣取应支付给承包人的合同价款，代发民工工资，承包人不得提出异议，扣取的价款不足以支付民工工资及赔偿发包人损失的，承包人还应承担赔偿责任。如发包人单方解除合同的，承包人应在1个月内完成退场，如未在约定时间内退场的，发包人有权强行清场，由此所造成的所有责任和损失均由承包人自行承担。</w:t>
      </w:r>
    </w:p>
    <w:p w14:paraId="1B60D1C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32.2.1.2安全文明施工：</w:t>
      </w:r>
    </w:p>
    <w:p w14:paraId="57C6358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发包人或监理单位在进行巡查时发现工程质量或环境保护、文明施工、安全施工达不到要求，承包人应立即整改并根据严重程度向发包人支付不少于5000元/次的违约金，具体数额由发包人、监理单位确定。在施工全过程中，若由于承包人在施工期间有违规操作导致对发包人的名誉造成损害的，发包人有权向承包人索赔，且不少于2万，情节严重的可以加倍索赔。</w:t>
      </w:r>
    </w:p>
    <w:p w14:paraId="5E8328F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施工现场清洁卫生的要求：承包人按衢州市人民政府相关规定执行，若有关部门检查不合格的，承包人应按监理工程师的通知整改，视为承包人违约，拒绝或故意拖延整改的发包人有权按现行预算定额价3倍委托第三方完成，费用由承包人承担，并且发包人有权对承包人按2000元/次扣罚。承包人有义务做好创文期间的卫生及相关车辆、设备停放工作，若被查到未按规定清洁及停放等问题，发包人有权对承包人按5000元/次扣罚。</w:t>
      </w:r>
    </w:p>
    <w:p w14:paraId="2008898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（3）施工过程中发生一切安全事故的责任均由承包人自行承担。</w:t>
      </w:r>
    </w:p>
    <w:p w14:paraId="374059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若发生一般及以上等级安全、质量事故，承包人向发包人支付不低于2万元的违约金，具体数额由发包人根据情节轻重确定，同时承包人必须及时进行整改，并承担由此给发包人、监理单位造成的一切损失（包括但不限于有关部门的处罚、当事人索赔、经济损失等）；</w:t>
      </w:r>
    </w:p>
    <w:p w14:paraId="5E4CC4A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（5）安全文明施工费用必须在发包人和监理单位的监督下使用。</w:t>
      </w:r>
    </w:p>
    <w:p w14:paraId="4253288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u w:val="single"/>
          <w:lang w:val="en-US" w:eastAsia="zh-CN" w:bidi="ar"/>
        </w:rPr>
        <w:t>承包人应严格要求按照住建部、省、市、区有关标准并结合该工程及发包人具体要求组织施工，必须遵守工程建设安全文明施工的有关规定。承包人必须认真落实各项安全保护措施，并随时接受发包人、监理单位及有关部门的监督检查。</w:t>
      </w:r>
    </w:p>
    <w:p w14:paraId="3637F0B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32.2.1.3质量：</w:t>
      </w:r>
    </w:p>
    <w:p w14:paraId="5DA84EF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（1）承包人应保证满足发包人设计需求，并与方案初步设计单位做好衔接，且不得违反国家规定及发包人要求而擅自变更，否则扣除部分或全部质量履约保证金，同时承担给发包人造成的一切损失。</w:t>
      </w:r>
    </w:p>
    <w:p w14:paraId="659C6A6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（2）工程验收达不到合同规定的质量等级，无条件返工并由承包人承担返工、修复、延期等全部费用。</w:t>
      </w:r>
    </w:p>
    <w:p w14:paraId="7EBB43B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承包人未按经监理单位及发包人批准确认的设计方案、初步设计、施工图、施工方案及相关标准规范要求进行施工的，应向发包人支付5000元/次的违约金，并无条件按发包人的要求限期整改，承担由此产生的所有费用。如承包人拒不整改，应加倍承担违约金，且发包人有权单方面解除合同，履约保证金不予退还，由此造成的全部损失均由承包人承担；</w:t>
      </w:r>
    </w:p>
    <w:p w14:paraId="4DFD37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（4）在各分项工程验收时，原则上要求一次性合格，经监理单位要求整改的分项工程，如未按规定时间完成的，支付违约金1 万元/次；拒不整改并擅自进入下一道工序的，要求限期内无条件返工，材料退场，支付违约金不少于1万元/次（由发包人视具体情况而定）；钢筋、模板、安装等工程必须经监理单位等相关管理人员验收合格书面签证后，才可允许混凝土预定或进场，如未经以上单位验收合格擅自允许混凝土进场的，支付违约金不少于1万元/次（由发包人视具体情况而定），混凝土须无条件退场。</w:t>
      </w:r>
    </w:p>
    <w:p w14:paraId="16DCF98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若承包人所购材料不符合设计或标准要求时，承包人承担所发生的费用，由此延误的工期不予顺延。无论发包人及监理单位是否发现和制止，由于使用不符合设计或标准要求的材料施工所引起的一切责任均由承包人自负；</w:t>
      </w:r>
    </w:p>
    <w:p w14:paraId="1A4EEAD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（6）承包人实际使用材料与原报验材料不一致时，发包人视情况有权处以不少于</w:t>
      </w:r>
      <w:r>
        <w:rPr>
          <w:rFonts w:hint="eastAsia" w:ascii="宋体" w:hAnsi="宋体" w:eastAsia="宋体" w:cs="宋体"/>
          <w:color w:val="auto"/>
          <w:kern w:val="2"/>
          <w:sz w:val="21"/>
          <w:szCs w:val="21"/>
          <w:highlight w:val="none"/>
          <w:u w:val="single"/>
          <w:lang w:val="en-US" w:eastAsia="zh-CN" w:bidi="ar"/>
        </w:rPr>
        <w:t>1</w:t>
      </w:r>
      <w:r>
        <w:rPr>
          <w:rFonts w:hint="eastAsia" w:ascii="宋体" w:hAnsi="宋体" w:eastAsia="宋体" w:cs="宋体"/>
          <w:color w:val="auto"/>
          <w:kern w:val="2"/>
          <w:sz w:val="21"/>
          <w:szCs w:val="21"/>
          <w:highlight w:val="none"/>
          <w:lang w:val="en-US" w:eastAsia="zh-CN" w:bidi="ar"/>
        </w:rPr>
        <w:t>万元/次罚款。由此发生的费用由承包人承担，由此延误的工期不予顺延。</w:t>
      </w:r>
    </w:p>
    <w:p w14:paraId="24DE0AE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（7）偷工减料、原材料或半成品未经监理工程师验收合格投入使用的，经发包人确认，发包人有权对承包人处于1万元/次罚款，同时承包人负责整改和返工并承担相应费用。</w:t>
      </w:r>
    </w:p>
    <w:p w14:paraId="6ACAAB2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32.2.1.4工期：</w:t>
      </w:r>
    </w:p>
    <w:p w14:paraId="5D9D7A7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（1）承包人工期每延误一天（包括但不限于施工图设计），承包人每延误一天向发包人支付</w:t>
      </w: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en-US" w:eastAsia="zh-CN" w:bidi="ar"/>
        </w:rPr>
        <w:t>000元/天的违约金。</w:t>
      </w:r>
      <w:r>
        <w:rPr>
          <w:rFonts w:hint="eastAsia" w:ascii="宋体" w:hAnsi="宋体" w:eastAsia="宋体" w:cs="宋体"/>
          <w:color w:val="auto"/>
          <w:szCs w:val="21"/>
          <w:highlight w:val="none"/>
        </w:rPr>
        <w:t>违约金累计不超过工程结算价的1.5%。</w:t>
      </w:r>
      <w:r>
        <w:rPr>
          <w:rFonts w:hint="eastAsia" w:ascii="宋体" w:hAnsi="宋体" w:cs="宋体"/>
          <w:color w:val="auto"/>
          <w:szCs w:val="21"/>
          <w:highlight w:val="none"/>
          <w:lang w:val="en-US" w:eastAsia="zh-CN"/>
        </w:rPr>
        <w:t>承包人</w:t>
      </w:r>
      <w:r>
        <w:rPr>
          <w:rFonts w:hint="eastAsia" w:ascii="宋体" w:hAnsi="宋体" w:eastAsia="宋体" w:cs="宋体"/>
          <w:color w:val="auto"/>
          <w:szCs w:val="21"/>
          <w:highlight w:val="none"/>
        </w:rPr>
        <w:t>应在</w:t>
      </w:r>
      <w:r>
        <w:rPr>
          <w:rFonts w:hint="eastAsia" w:ascii="宋体" w:hAnsi="宋体" w:cs="宋体"/>
          <w:color w:val="auto"/>
          <w:szCs w:val="21"/>
          <w:highlight w:val="none"/>
          <w:lang w:val="en-US" w:eastAsia="zh-CN"/>
        </w:rPr>
        <w:t>合同约定期限</w:t>
      </w:r>
      <w:r>
        <w:rPr>
          <w:rFonts w:hint="eastAsia" w:ascii="宋体" w:hAnsi="宋体" w:eastAsia="宋体" w:cs="宋体"/>
          <w:color w:val="auto"/>
          <w:szCs w:val="21"/>
          <w:highlight w:val="none"/>
        </w:rPr>
        <w:t>内向发包人提供符合存档备案要求的</w:t>
      </w:r>
      <w:r>
        <w:rPr>
          <w:rFonts w:hint="eastAsia" w:ascii="宋体" w:hAnsi="宋体" w:cs="宋体"/>
          <w:color w:val="auto"/>
          <w:szCs w:val="21"/>
          <w:highlight w:val="none"/>
          <w:lang w:val="en-US" w:eastAsia="zh-CN"/>
        </w:rPr>
        <w:t>竣工资料和结算资料</w:t>
      </w:r>
      <w:r>
        <w:rPr>
          <w:rFonts w:hint="eastAsia" w:ascii="宋体" w:hAnsi="宋体" w:eastAsia="宋体" w:cs="宋体"/>
          <w:color w:val="auto"/>
          <w:szCs w:val="21"/>
          <w:highlight w:val="none"/>
        </w:rPr>
        <w:t>，否则</w:t>
      </w:r>
      <w:r>
        <w:rPr>
          <w:rFonts w:hint="eastAsia" w:ascii="宋体" w:hAnsi="宋体" w:cs="宋体"/>
          <w:color w:val="auto"/>
          <w:szCs w:val="21"/>
          <w:highlight w:val="none"/>
          <w:lang w:val="en-US" w:eastAsia="zh-CN"/>
        </w:rPr>
        <w:t>视同工期违约</w:t>
      </w:r>
      <w:r>
        <w:rPr>
          <w:rFonts w:hint="eastAsia" w:ascii="宋体" w:hAnsi="宋体" w:eastAsia="宋体" w:cs="宋体"/>
          <w:color w:val="auto"/>
          <w:szCs w:val="21"/>
          <w:highlight w:val="none"/>
        </w:rPr>
        <w:t>。</w:t>
      </w:r>
    </w:p>
    <w:p w14:paraId="65A2F16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szCs w:val="21"/>
          <w:highlight w:val="none"/>
        </w:rPr>
        <w:t>本工程竣工验收合格后，承包人未按时移交工程的，视同工期延误，承包人每延误一天向发包人支付</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000元/天的违约金，违约金累计不超过工程结算价的1.5%。</w:t>
      </w:r>
    </w:p>
    <w:p w14:paraId="717EF7C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32.2.1.5民工工资：</w:t>
      </w:r>
    </w:p>
    <w:p w14:paraId="3625E41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lang w:val="en-US" w:eastAsia="zh-CN" w:bidi="ar"/>
        </w:rPr>
        <w:t>严格执行发包人、承包人、银行、建设行政主管部门、人力社保部门五方签订的《建设工程农民工工资专用账户资金监管协议》。（协议内容详见附件四）</w:t>
      </w:r>
    </w:p>
    <w:p w14:paraId="362DF28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应设立本项目农民工工资专款银行账户，专款银行账户由发包人承包人及托管银行共同管理，确保专款专用。承包人应按照《浙江省工程建设领域农民工工资支付分账管理实施办法》、《衢州市建设领域农民工工资保障管理办法》、《建设工程农民工工资专用账户资金监管协议》要求开设农民工工资、（劳务费）</w:t>
      </w:r>
      <w:r>
        <w:rPr>
          <w:rFonts w:hint="eastAsia" w:ascii="宋体" w:hAnsi="宋体" w:eastAsia="宋体" w:cs="宋体"/>
          <w:color w:val="auto"/>
          <w:kern w:val="2"/>
          <w:sz w:val="21"/>
          <w:szCs w:val="21"/>
          <w:highlight w:val="none"/>
          <w:u w:val="single"/>
          <w:lang w:val="en-US" w:eastAsia="zh-CN" w:bidi="ar"/>
        </w:rPr>
        <w:t>专用账户：                 开户行：                账号：                       ；</w:t>
      </w:r>
      <w:r>
        <w:rPr>
          <w:rFonts w:hint="eastAsia" w:ascii="宋体" w:hAnsi="宋体" w:eastAsia="宋体" w:cs="宋体"/>
          <w:color w:val="auto"/>
          <w:kern w:val="2"/>
          <w:sz w:val="21"/>
          <w:szCs w:val="21"/>
          <w:highlight w:val="none"/>
          <w:lang w:val="en-US" w:eastAsia="zh-CN" w:bidi="ar"/>
        </w:rPr>
        <w:t>并按办法要求进行农民工工资管理，及时支付材料、设备、货款和民工工资等费用，不得拖欠，若出现拖欠民工工资现象，视为违约，扣除相应履约保证金，不足部分在进度款中扣除。</w:t>
      </w:r>
    </w:p>
    <w:p w14:paraId="4B94FA4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要建立全体民工花名册和工资支付表并报监理单位备查。因承包人的原因或过错拖欠分包人工程款、人工工资、劳务费、材料费或其他赔偿款等发生纠纷，债权人在起诉时把发包人也列为共同被告，由此造成发包人诉讼费、律师费等支出或依法先行垫付相关费用的，发包人有权向承包人索赔，并有权在承包人可得的工程款中先行扣除。承包人未及时支付民工工资造成讨薪、上访曝光等事件的，由承包人承担全部责任。</w:t>
      </w:r>
    </w:p>
    <w:p w14:paraId="760236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32.2.1.6廉政：</w:t>
      </w:r>
    </w:p>
    <w:p w14:paraId="1BBC39A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在合同执行过程中，承包人如果用行贿、送礼或其他不正当手段企图影响或已经影响了发包人或监理单位行为的扣除全部廉政履约保证金，情节严重的，发包人有权单方面终止合同。</w:t>
      </w:r>
    </w:p>
    <w:p w14:paraId="7281F86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32.2.1.7其它：</w:t>
      </w:r>
    </w:p>
    <w:p w14:paraId="4D56222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未按投标文件中承诺的EPC工程总承包管理、项目设计管理、施工组织管理的方案进行项目EPC总承包管理的，承包人向发包人支付不低于5万元的违约金，具体数额由发包人根据情节轻重确定，同时承包人必须及时进行整改。</w:t>
      </w:r>
    </w:p>
    <w:p w14:paraId="2D42AFF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（2）承包人应严格遵守发包人制定的各项有关施工管理制度，同意发包人在各项管理制度中设置的罚款规定，若有违反，承包人应承担二倍的违约金及相应的违约责任；</w:t>
      </w:r>
    </w:p>
    <w:p w14:paraId="6BB5FBD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（3）承包人必须服从发包人、监理单位的管理。对发包人、监理单位下发的整改通知单，不及时进行整改的，按</w:t>
      </w:r>
      <w:r>
        <w:rPr>
          <w:rFonts w:hint="eastAsia" w:ascii="宋体" w:hAnsi="宋体" w:eastAsia="宋体" w:cs="宋体"/>
          <w:color w:val="auto"/>
          <w:kern w:val="2"/>
          <w:sz w:val="21"/>
          <w:szCs w:val="21"/>
          <w:highlight w:val="none"/>
          <w:u w:val="single"/>
          <w:lang w:val="en-US" w:eastAsia="zh-CN" w:bidi="ar"/>
        </w:rPr>
        <w:t xml:space="preserve"> 1 </w:t>
      </w:r>
      <w:r>
        <w:rPr>
          <w:rFonts w:hint="eastAsia" w:ascii="宋体" w:hAnsi="宋体" w:eastAsia="宋体" w:cs="宋体"/>
          <w:color w:val="auto"/>
          <w:kern w:val="2"/>
          <w:sz w:val="21"/>
          <w:szCs w:val="21"/>
          <w:highlight w:val="none"/>
          <w:lang w:val="en-US" w:eastAsia="zh-CN" w:bidi="ar"/>
        </w:rPr>
        <w:t>万元/次支付违约金；对拒不执行整改指令的，按</w:t>
      </w:r>
      <w:r>
        <w:rPr>
          <w:rFonts w:hint="eastAsia" w:ascii="宋体" w:hAnsi="宋体" w:eastAsia="宋体" w:cs="宋体"/>
          <w:color w:val="auto"/>
          <w:kern w:val="2"/>
          <w:sz w:val="21"/>
          <w:szCs w:val="21"/>
          <w:highlight w:val="none"/>
          <w:u w:val="single"/>
          <w:lang w:val="en-US" w:eastAsia="zh-CN" w:bidi="ar"/>
        </w:rPr>
        <w:t>不少于1</w:t>
      </w:r>
      <w:r>
        <w:rPr>
          <w:rFonts w:hint="eastAsia" w:ascii="宋体" w:hAnsi="宋体" w:eastAsia="宋体" w:cs="宋体"/>
          <w:color w:val="auto"/>
          <w:kern w:val="2"/>
          <w:sz w:val="21"/>
          <w:szCs w:val="21"/>
          <w:highlight w:val="none"/>
          <w:lang w:val="en-US" w:eastAsia="zh-CN" w:bidi="ar"/>
        </w:rPr>
        <w:t>万元/次支付违约金。违约金的具体金额由发包人、监理单位视实际情况而定；</w:t>
      </w:r>
    </w:p>
    <w:p w14:paraId="4705B41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（4）承包人未履行或未完全履行承包人配合管理的职责，发包人有权进行罚款，并由承包人承担相应责任和损失。</w:t>
      </w:r>
    </w:p>
    <w:p w14:paraId="2F10EB3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（5）承包人施工及管理人员现场不服从发包人、监理单位管理人员的管理，按</w:t>
      </w:r>
      <w:r>
        <w:rPr>
          <w:rFonts w:hint="eastAsia" w:ascii="宋体" w:hAnsi="宋体" w:eastAsia="宋体" w:cs="宋体"/>
          <w:color w:val="auto"/>
          <w:kern w:val="2"/>
          <w:sz w:val="21"/>
          <w:szCs w:val="21"/>
          <w:highlight w:val="none"/>
          <w:u w:val="single"/>
          <w:lang w:val="en-US" w:eastAsia="zh-CN" w:bidi="ar"/>
        </w:rPr>
        <w:t>5000</w:t>
      </w:r>
      <w:r>
        <w:rPr>
          <w:rFonts w:hint="eastAsia" w:ascii="宋体" w:hAnsi="宋体" w:eastAsia="宋体" w:cs="宋体"/>
          <w:color w:val="auto"/>
          <w:kern w:val="2"/>
          <w:sz w:val="21"/>
          <w:szCs w:val="21"/>
          <w:highlight w:val="none"/>
          <w:lang w:val="en-US" w:eastAsia="zh-CN" w:bidi="ar"/>
        </w:rPr>
        <w:t>元/次处以罚款。</w:t>
      </w:r>
    </w:p>
    <w:p w14:paraId="5C04EE9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(6）承包人的特殊工种必须持证上岗，如发现无证上岗操作一次，发包人有权按</w:t>
      </w:r>
      <w:r>
        <w:rPr>
          <w:rFonts w:hint="eastAsia" w:ascii="宋体" w:hAnsi="宋体" w:eastAsia="宋体" w:cs="宋体"/>
          <w:color w:val="auto"/>
          <w:kern w:val="2"/>
          <w:sz w:val="21"/>
          <w:szCs w:val="21"/>
          <w:highlight w:val="none"/>
          <w:u w:val="single"/>
          <w:lang w:val="en-US" w:eastAsia="zh-CN" w:bidi="ar"/>
        </w:rPr>
        <w:t>1000</w:t>
      </w:r>
      <w:r>
        <w:rPr>
          <w:rFonts w:hint="eastAsia" w:ascii="宋体" w:hAnsi="宋体" w:eastAsia="宋体" w:cs="宋体"/>
          <w:color w:val="auto"/>
          <w:kern w:val="2"/>
          <w:sz w:val="21"/>
          <w:szCs w:val="21"/>
          <w:highlight w:val="none"/>
          <w:lang w:val="en-US" w:eastAsia="zh-CN" w:bidi="ar"/>
        </w:rPr>
        <w:t>元/人/次进行扣除，并提请相关部门。</w:t>
      </w:r>
    </w:p>
    <w:p w14:paraId="3718600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(7）发包人和监理单位要求上报的文件、资料，承包人应在规定时间内上报，逾期未上报的，按</w:t>
      </w:r>
      <w:r>
        <w:rPr>
          <w:rFonts w:hint="eastAsia" w:ascii="宋体" w:hAnsi="宋体" w:eastAsia="宋体" w:cs="宋体"/>
          <w:color w:val="auto"/>
          <w:kern w:val="2"/>
          <w:sz w:val="21"/>
          <w:szCs w:val="21"/>
          <w:highlight w:val="none"/>
          <w:u w:val="single"/>
          <w:lang w:val="en-US" w:eastAsia="zh-CN" w:bidi="ar"/>
        </w:rPr>
        <w:t>1000</w:t>
      </w:r>
      <w:r>
        <w:rPr>
          <w:rFonts w:hint="eastAsia" w:ascii="宋体" w:hAnsi="宋体" w:eastAsia="宋体" w:cs="宋体"/>
          <w:color w:val="auto"/>
          <w:kern w:val="2"/>
          <w:sz w:val="21"/>
          <w:szCs w:val="21"/>
          <w:highlight w:val="none"/>
          <w:lang w:val="en-US" w:eastAsia="zh-CN" w:bidi="ar"/>
        </w:rPr>
        <w:t>元/天进行扣除。</w:t>
      </w:r>
    </w:p>
    <w:p w14:paraId="64C7732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工程施工中所有材料、设备等的内外运输，必须遵守有关交通、环卫、安全、防噪声等行业管理法规的规定，行业管理部门要求办理的所有手续均应办理，并由承包人自行办理解决。承包人因违反省市有关规定，引起政府职能部门罚款或停工整改，其发生的工期延误、费用与损失均由承包人自行承担。</w:t>
      </w:r>
    </w:p>
    <w:p w14:paraId="103CD9E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（9）合同签订后，如承包人无故停工或中途退场，承包人向发包人支付合同价20%的违约金，并承担给发包人带来的一切损失。</w:t>
      </w:r>
    </w:p>
    <w:p w14:paraId="022EF26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4"/>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32.2.2 因承包人违约解除合同</w:t>
      </w:r>
    </w:p>
    <w:p w14:paraId="5279E6C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关于承包人违约解除合同的特别约定：承包人有下列行为的，发包人有权要求承包人整改其工作内容，承包人在约定期限内拒不整改的，发包人有权追究其违约责任直至解除合同。发包人因此遭受的一切损失，由承包人负责赔偿，同时不得再参加本工程的投标：</w:t>
      </w:r>
    </w:p>
    <w:p w14:paraId="726892D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（1）承包人的项目管理人员在发包人发送到岗书面催告单三次以上不及时到岗的；</w:t>
      </w:r>
    </w:p>
    <w:p w14:paraId="47500C8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（2）建设工程竣工前，承包人非法转包、违法分包建设项目的；</w:t>
      </w:r>
    </w:p>
    <w:p w14:paraId="6D0105F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（3）因承包人无故停工超过20日历天（含20天）的；</w:t>
      </w:r>
    </w:p>
    <w:p w14:paraId="0E5AC3A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（4）因承包人的原因致使工程质量、工程验收不合格，在发包人提出的合理期限内，承包人拒绝或无法修复的；</w:t>
      </w:r>
    </w:p>
    <w:p w14:paraId="2BC1D74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（5）承包人在合同约定的工期内未完工，在发包人催告的合理期限内仍未完工的；或承包人施工进度比预定计划严重滞后，显然不能按照合同约定的工期如期完成；</w:t>
      </w:r>
    </w:p>
    <w:p w14:paraId="64DA427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（6）承包人以自己的行为表示不再继续施工的；</w:t>
      </w:r>
    </w:p>
    <w:p w14:paraId="49357AD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（7）在施工过程中发生重大质量事故或者重大安全事故的；</w:t>
      </w:r>
    </w:p>
    <w:p w14:paraId="462F2DB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（8）承包人因违规施工造成严重损害发包人信誉的；</w:t>
      </w:r>
    </w:p>
    <w:p w14:paraId="76AFE31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（9）有其它违约行为造成无法履约的。</w:t>
      </w:r>
    </w:p>
    <w:p w14:paraId="3A3E4CC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如出现上述情况，承包人在收到发包人发出解除合同的通知后，应立即停工，妥善做好已完工程和已购材料、设备的保护和移交工作。按发包人的要求，将自有机械设备和人员撤出施工场地，承包人承担由此所发生的费用。已经订货的材料、设备由承包人负责退货或解除订货合同，承包人承担由此所发生的费用。承包人须配合做好已完工程结算工作，承包人还应赔偿因合同解除给发包人造成的全部损失。</w:t>
      </w:r>
    </w:p>
    <w:p w14:paraId="5184A53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发包人继续使用承包人在施工现场的材料、设备、临时工程、承包人文件和由承包人或以其名义编制的其他文件的费用承担方式：承包人未清场的材料、设备、设施等，发包人有权使用，费用承包人承担。</w:t>
      </w:r>
    </w:p>
    <w:p w14:paraId="446352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bookmarkStart w:id="621" w:name="_Toc38896057"/>
      <w:bookmarkEnd w:id="621"/>
      <w:bookmarkStart w:id="622" w:name="_Toc6505"/>
      <w:bookmarkEnd w:id="622"/>
      <w:bookmarkStart w:id="623" w:name="_Toc3644"/>
      <w:bookmarkEnd w:id="623"/>
      <w:bookmarkStart w:id="624" w:name="_Toc5459"/>
      <w:bookmarkEnd w:id="624"/>
      <w:bookmarkStart w:id="625" w:name="_Toc20535"/>
      <w:bookmarkEnd w:id="625"/>
      <w:bookmarkStart w:id="626" w:name="_Toc25932328"/>
      <w:r>
        <w:rPr>
          <w:rFonts w:hint="eastAsia" w:ascii="宋体" w:hAnsi="宋体" w:eastAsia="宋体" w:cs="宋体"/>
          <w:color w:val="auto"/>
          <w:kern w:val="2"/>
          <w:sz w:val="21"/>
          <w:szCs w:val="21"/>
          <w:highlight w:val="none"/>
          <w:lang w:val="en-US" w:eastAsia="zh-CN" w:bidi="ar"/>
        </w:rPr>
        <w:t>33.</w:t>
      </w:r>
      <w:bookmarkEnd w:id="626"/>
      <w:bookmarkStart w:id="627" w:name="_Toc10117"/>
      <w:bookmarkEnd w:id="627"/>
      <w:bookmarkStart w:id="628" w:name="_Toc26046"/>
      <w:bookmarkEnd w:id="628"/>
      <w:bookmarkStart w:id="629" w:name="_Toc38896058"/>
      <w:bookmarkEnd w:id="629"/>
      <w:bookmarkStart w:id="630" w:name="_Toc3073"/>
      <w:bookmarkEnd w:id="630"/>
      <w:bookmarkStart w:id="631" w:name="_Toc25932329"/>
      <w:bookmarkEnd w:id="631"/>
      <w:bookmarkStart w:id="632" w:name="_Toc29412"/>
      <w:bookmarkEnd w:id="632"/>
      <w:r>
        <w:rPr>
          <w:rFonts w:hint="eastAsia" w:ascii="宋体" w:hAnsi="宋体" w:eastAsia="宋体" w:cs="宋体"/>
          <w:color w:val="auto"/>
          <w:kern w:val="2"/>
          <w:sz w:val="21"/>
          <w:szCs w:val="21"/>
          <w:highlight w:val="none"/>
          <w:lang w:val="en-US" w:eastAsia="zh-CN" w:bidi="ar"/>
        </w:rPr>
        <w:t>其它</w:t>
      </w:r>
    </w:p>
    <w:p w14:paraId="698D895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33.1工程造价控制</w:t>
      </w:r>
    </w:p>
    <w:p w14:paraId="75F7E08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33.1.1</w:t>
      </w:r>
      <w:r>
        <w:rPr>
          <w:rFonts w:hint="eastAsia" w:ascii="宋体" w:hAnsi="宋体" w:eastAsia="宋体" w:cs="宋体"/>
          <w:color w:val="auto"/>
          <w:kern w:val="2"/>
          <w:sz w:val="21"/>
          <w:szCs w:val="21"/>
          <w:highlight w:val="none"/>
          <w:u w:val="single"/>
          <w:lang w:val="en-US" w:eastAsia="zh-CN" w:bidi="ar"/>
        </w:rPr>
        <w:t>经批准的初步设计概算及施工图预算作为承包人控制投资和对其考核管理的依据。</w:t>
      </w:r>
    </w:p>
    <w:p w14:paraId="0F7043F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33.1.2</w:t>
      </w:r>
      <w:r>
        <w:rPr>
          <w:rFonts w:hint="eastAsia" w:ascii="宋体" w:hAnsi="宋体" w:eastAsia="宋体" w:cs="宋体"/>
          <w:color w:val="auto"/>
          <w:kern w:val="2"/>
          <w:sz w:val="21"/>
          <w:szCs w:val="21"/>
          <w:highlight w:val="none"/>
          <w:u w:val="single"/>
          <w:lang w:val="en-US" w:eastAsia="zh-CN" w:bidi="ar"/>
        </w:rPr>
        <w:t>承包人提供施工图纸时，应提供施工图预算，施工图预算也由发包人组织进行评审并按投标下浮作为进度款支付依据。</w:t>
      </w:r>
    </w:p>
    <w:p w14:paraId="19F6390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33.1.3</w:t>
      </w:r>
      <w:r>
        <w:rPr>
          <w:rFonts w:hint="eastAsia" w:ascii="宋体" w:hAnsi="宋体" w:eastAsia="宋体" w:cs="宋体"/>
          <w:color w:val="auto"/>
          <w:kern w:val="2"/>
          <w:sz w:val="21"/>
          <w:szCs w:val="21"/>
          <w:highlight w:val="none"/>
          <w:u w:val="single"/>
          <w:lang w:val="en-US" w:eastAsia="zh-CN" w:bidi="ar"/>
        </w:rPr>
        <w:t>项目竣工验收后承包人所提交的结算价款见通用条款17.1。</w:t>
      </w:r>
    </w:p>
    <w:p w14:paraId="7FD45BA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33.1.4</w:t>
      </w:r>
      <w:r>
        <w:rPr>
          <w:rFonts w:hint="eastAsia" w:ascii="宋体" w:hAnsi="宋体" w:eastAsia="宋体" w:cs="宋体"/>
          <w:color w:val="auto"/>
          <w:kern w:val="2"/>
          <w:sz w:val="21"/>
          <w:szCs w:val="21"/>
          <w:highlight w:val="none"/>
          <w:u w:val="single"/>
          <w:lang w:val="en-US" w:eastAsia="zh-CN" w:bidi="ar"/>
        </w:rPr>
        <w:t>有下列情形之一的，由承包人提出，经发包人同意，并由原审批部门会同有关部门批准后，审定预算价可做调整（仅限相关情形涉及部分）：</w:t>
      </w:r>
    </w:p>
    <w:p w14:paraId="2D49B92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（1）国家法律认可的不可抗力；</w:t>
      </w:r>
    </w:p>
    <w:p w14:paraId="4B9EF6D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none"/>
          <w:lang w:val="en-US" w:eastAsia="zh-CN" w:bidi="ar"/>
        </w:rPr>
        <w:t>（2）</w:t>
      </w:r>
      <w:r>
        <w:rPr>
          <w:rFonts w:hint="eastAsia" w:ascii="宋体" w:hAnsi="宋体" w:eastAsia="宋体" w:cs="宋体"/>
          <w:color w:val="auto"/>
          <w:kern w:val="2"/>
          <w:sz w:val="21"/>
          <w:szCs w:val="21"/>
          <w:highlight w:val="none"/>
          <w:u w:val="single"/>
          <w:lang w:val="en-US" w:eastAsia="zh-CN" w:bidi="ar"/>
        </w:rPr>
        <w:t>合同履行期内项目相关国家标准、规范重大调整；</w:t>
      </w:r>
    </w:p>
    <w:p w14:paraId="2B930B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11" w:firstLineChars="196"/>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u w:val="single"/>
          <w:lang w:val="en-US" w:eastAsia="zh-CN" w:bidi="ar"/>
        </w:rPr>
        <w:t>从项目实际出发，发包人对项目内容、标准等设计方案有重大变更，按本合同约定执行衢州市相关文件执行；</w:t>
      </w:r>
    </w:p>
    <w:p w14:paraId="2D8A23D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2" w:firstLineChars="200"/>
        <w:jc w:val="both"/>
        <w:textAlignment w:val="auto"/>
        <w:outlineLvl w:val="2"/>
        <w:rPr>
          <w:rFonts w:hint="eastAsia" w:ascii="宋体" w:hAnsi="宋体" w:eastAsia="宋体" w:cs="宋体"/>
          <w:b/>
          <w:bCs/>
          <w:color w:val="auto"/>
          <w:kern w:val="2"/>
          <w:sz w:val="21"/>
          <w:szCs w:val="21"/>
          <w:highlight w:val="none"/>
        </w:rPr>
      </w:pPr>
      <w:bookmarkStart w:id="633" w:name="_Toc38896059"/>
      <w:bookmarkEnd w:id="633"/>
      <w:bookmarkStart w:id="634" w:name="_Toc1504"/>
      <w:bookmarkEnd w:id="634"/>
      <w:bookmarkStart w:id="635" w:name="_Toc27281"/>
      <w:bookmarkEnd w:id="635"/>
      <w:bookmarkStart w:id="636" w:name="_Toc31245"/>
      <w:bookmarkEnd w:id="636"/>
      <w:bookmarkStart w:id="637" w:name="_Toc3687"/>
      <w:bookmarkEnd w:id="637"/>
      <w:bookmarkStart w:id="638" w:name="_Toc25932330"/>
      <w:r>
        <w:rPr>
          <w:rFonts w:hint="eastAsia" w:ascii="宋体" w:hAnsi="宋体" w:eastAsia="宋体" w:cs="宋体"/>
          <w:b/>
          <w:bCs/>
          <w:color w:val="auto"/>
          <w:kern w:val="2"/>
          <w:sz w:val="21"/>
          <w:szCs w:val="21"/>
          <w:highlight w:val="none"/>
          <w:lang w:val="en-US" w:eastAsia="zh-CN" w:bidi="ar"/>
        </w:rPr>
        <w:t>3</w:t>
      </w:r>
      <w:bookmarkEnd w:id="638"/>
      <w:r>
        <w:rPr>
          <w:rFonts w:hint="eastAsia" w:ascii="宋体" w:hAnsi="宋体" w:eastAsia="宋体" w:cs="宋体"/>
          <w:b/>
          <w:bCs/>
          <w:color w:val="auto"/>
          <w:kern w:val="2"/>
          <w:sz w:val="21"/>
          <w:szCs w:val="21"/>
          <w:highlight w:val="none"/>
          <w:lang w:val="en-US" w:eastAsia="zh-CN" w:bidi="ar"/>
        </w:rPr>
        <w:t>4．其他补充事项的约定：</w:t>
      </w:r>
    </w:p>
    <w:p w14:paraId="0233FE1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rPr>
          <w:rFonts w:hint="eastAsia" w:ascii="宋体" w:hAnsi="宋体" w:eastAsia="宋体" w:cs="宋体"/>
          <w:bCs/>
          <w:color w:val="auto"/>
          <w:kern w:val="2"/>
          <w:sz w:val="21"/>
          <w:szCs w:val="21"/>
          <w:highlight w:val="none"/>
          <w:lang w:val="en-US" w:eastAsia="zh-CN" w:bidi="ar"/>
        </w:rPr>
      </w:pPr>
      <w:bookmarkStart w:id="639" w:name="_Toc28803"/>
      <w:r>
        <w:rPr>
          <w:rFonts w:hint="eastAsia" w:ascii="宋体" w:hAnsi="宋体" w:eastAsia="宋体" w:cs="宋体"/>
          <w:b/>
          <w:bCs/>
          <w:color w:val="auto"/>
          <w:sz w:val="21"/>
          <w:szCs w:val="21"/>
          <w:highlight w:val="none"/>
        </w:rPr>
        <w:t>1、</w:t>
      </w:r>
      <w:r>
        <w:rPr>
          <w:rFonts w:hint="eastAsia" w:ascii="宋体" w:hAnsi="宋体" w:eastAsia="宋体" w:cs="Times New Roman"/>
          <w:b/>
          <w:bCs/>
          <w:color w:val="auto"/>
          <w:sz w:val="21"/>
          <w:szCs w:val="21"/>
          <w:highlight w:val="none"/>
          <w:lang w:val="en-US" w:eastAsia="zh-CN"/>
        </w:rPr>
        <w:t>中标企业应按柯城区相关规定缴纳税费。</w:t>
      </w:r>
    </w:p>
    <w:p w14:paraId="6CA55DA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val="en-US" w:eastAsia="zh-CN" w:bidi="ar"/>
        </w:rPr>
        <w:t>附件</w:t>
      </w:r>
      <w:bookmarkEnd w:id="639"/>
      <w:r>
        <w:rPr>
          <w:rFonts w:hint="eastAsia" w:ascii="宋体" w:hAnsi="宋体" w:eastAsia="宋体" w:cs="宋体"/>
          <w:bCs/>
          <w:color w:val="auto"/>
          <w:kern w:val="2"/>
          <w:sz w:val="21"/>
          <w:szCs w:val="21"/>
          <w:highlight w:val="none"/>
          <w:lang w:val="en-US" w:eastAsia="zh-CN" w:bidi="ar"/>
        </w:rPr>
        <w:t>一</w:t>
      </w:r>
    </w:p>
    <w:p w14:paraId="3F703B3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jc w:val="center"/>
        <w:textAlignment w:val="auto"/>
        <w:outlineLvl w:val="3"/>
        <w:rPr>
          <w:rFonts w:hint="eastAsia" w:ascii="宋体" w:hAnsi="宋体" w:eastAsia="宋体" w:cs="宋体"/>
          <w:bCs/>
          <w:color w:val="auto"/>
          <w:kern w:val="2"/>
          <w:sz w:val="21"/>
          <w:szCs w:val="21"/>
          <w:highlight w:val="none"/>
        </w:rPr>
      </w:pPr>
      <w:bookmarkStart w:id="640" w:name="_Toc25932333"/>
      <w:bookmarkEnd w:id="640"/>
      <w:bookmarkStart w:id="641" w:name="_Toc25525014"/>
      <w:r>
        <w:rPr>
          <w:rFonts w:hint="eastAsia" w:ascii="宋体" w:hAnsi="宋体" w:eastAsia="宋体" w:cs="宋体"/>
          <w:bCs/>
          <w:color w:val="auto"/>
          <w:kern w:val="2"/>
          <w:sz w:val="21"/>
          <w:szCs w:val="21"/>
          <w:highlight w:val="none"/>
          <w:lang w:val="en-US" w:eastAsia="zh-CN" w:bidi="ar"/>
        </w:rPr>
        <w:t>工程质量保修协议</w:t>
      </w:r>
      <w:bookmarkEnd w:id="641"/>
    </w:p>
    <w:p w14:paraId="35B8A70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甲方：（简称发包人）</w:t>
      </w:r>
    </w:p>
    <w:p w14:paraId="38B6A85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乙方：（简称承包人）</w:t>
      </w:r>
    </w:p>
    <w:p w14:paraId="4543500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发包人和承包人根据《中华人民共和国建筑法》和《建设工程质量管理条例》，经协商一致就</w:t>
      </w:r>
      <w:r>
        <w:rPr>
          <w:rFonts w:hint="eastAsia" w:ascii="宋体" w:hAnsi="宋体" w:cs="宋体"/>
          <w:color w:val="auto"/>
          <w:kern w:val="2"/>
          <w:sz w:val="21"/>
          <w:szCs w:val="21"/>
          <w:highlight w:val="none"/>
          <w:u w:val="single"/>
          <w:lang w:val="en-US" w:eastAsia="zh-CN" w:bidi="ar"/>
        </w:rPr>
        <w:t>220kV芳赤24M1线-芳柯24M2线、110kV赤黄1879线-赤州1881线迁改移位工程工程总承包(EPC)</w:t>
      </w:r>
      <w:r>
        <w:rPr>
          <w:rFonts w:hint="eastAsia" w:ascii="宋体" w:hAnsi="宋体" w:eastAsia="宋体" w:cs="宋体"/>
          <w:color w:val="auto"/>
          <w:kern w:val="2"/>
          <w:sz w:val="21"/>
          <w:szCs w:val="21"/>
          <w:highlight w:val="none"/>
          <w:lang w:val="en-US" w:eastAsia="zh-CN" w:bidi="ar"/>
        </w:rPr>
        <w:t>（工程全称）签订工程质量保修书。</w:t>
      </w:r>
    </w:p>
    <w:p w14:paraId="01C191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一、工程质量保修范围和内容</w:t>
      </w:r>
    </w:p>
    <w:p w14:paraId="028D3D9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承包人完成的所有工程。</w:t>
      </w:r>
    </w:p>
    <w:p w14:paraId="499E57D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二、质量保修期</w:t>
      </w:r>
    </w:p>
    <w:p w14:paraId="18B466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根据《建设工程质量管理条例》及有关规定，工程的质量保修期如下：</w:t>
      </w:r>
    </w:p>
    <w:p w14:paraId="2A6BAA1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1．地基基础工程和主体结构工程为设计文件规定的工程合理使用年限；</w:t>
      </w:r>
    </w:p>
    <w:p w14:paraId="3374562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2．屋面防水工程、有防水要求的卫生间、房间和外墙面的防渗为 5 年；</w:t>
      </w:r>
    </w:p>
    <w:p w14:paraId="46F5EE5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3．装修工程为 2 年；</w:t>
      </w:r>
    </w:p>
    <w:p w14:paraId="7EA32BF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4．电气管线、给排水管道、设备安装工程为 2 年；</w:t>
      </w:r>
    </w:p>
    <w:p w14:paraId="62CD7C7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5．供热与供冷系统为 2 个采暖期、供冷期；</w:t>
      </w:r>
    </w:p>
    <w:p w14:paraId="6E9F397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6．住宅小区内的给排水设施、道路等配套工程为 2 年；</w:t>
      </w:r>
    </w:p>
    <w:p w14:paraId="04575567">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7．其他项目保修期限约定如下：</w:t>
      </w:r>
      <w:r>
        <w:rPr>
          <w:rFonts w:hint="eastAsia" w:ascii="宋体" w:hAnsi="宋体"/>
          <w:color w:val="auto"/>
          <w:u w:val="single"/>
        </w:rPr>
        <w:t>按照国家相关规定执行</w:t>
      </w:r>
      <w:r>
        <w:rPr>
          <w:rFonts w:hint="eastAsia" w:ascii="宋体" w:hAnsi="宋体" w:eastAsia="宋体" w:cs="宋体"/>
          <w:color w:val="auto"/>
          <w:kern w:val="2"/>
          <w:sz w:val="21"/>
          <w:szCs w:val="21"/>
          <w:highlight w:val="none"/>
          <w:u w:val="single"/>
          <w:lang w:val="en-US" w:eastAsia="zh-CN" w:bidi="ar"/>
        </w:rPr>
        <w:t>。</w:t>
      </w:r>
    </w:p>
    <w:p w14:paraId="1E0B018D">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质量保修期自工程竣工验收合格之日起计算。</w:t>
      </w:r>
    </w:p>
    <w:p w14:paraId="6F6F61F3">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三、缺陷责任期</w:t>
      </w:r>
    </w:p>
    <w:p w14:paraId="060BE3F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工程缺陷责任期为 24 个月，缺陷责任期自工程竣工验收合格之日起计算。单位工程先于全部工程进行验收，单位工程缺陷责任期自单位工程验收合格之日起算。</w:t>
      </w:r>
    </w:p>
    <w:p w14:paraId="28310886">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四、质量保修责任</w:t>
      </w:r>
    </w:p>
    <w:p w14:paraId="443960DF">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1．属于保修范围、内容的项目，承包人应当在接到保修通知之日起 7 天内派人保修。承包人不在约定期限内派人保修的，发包人可以委托他人修理。</w:t>
      </w:r>
    </w:p>
    <w:p w14:paraId="732EB5B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2．发生紧急事故需抢修的，承包人在接到事故通知后，应当立即到达事故现场抢修。</w:t>
      </w:r>
    </w:p>
    <w:p w14:paraId="268E462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6AFDA1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4．质量保修完成后，由发包人组织验收。</w:t>
      </w:r>
    </w:p>
    <w:p w14:paraId="4D974D2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五、保修费用</w:t>
      </w:r>
    </w:p>
    <w:p w14:paraId="631322F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保修费用由造成质量缺陷的责任方承担。</w:t>
      </w:r>
    </w:p>
    <w:p w14:paraId="61A4D4C0">
      <w:pPr>
        <w:keepNext w:val="0"/>
        <w:keepLines w:val="0"/>
        <w:pageBreakBefore w:val="0"/>
        <w:widowControl w:val="0"/>
        <w:numPr>
          <w:ilvl w:val="0"/>
          <w:numId w:val="7"/>
        </w:numPr>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outlineLvl w:val="3"/>
        <w:rPr>
          <w:rFonts w:hint="eastAsia"/>
          <w:color w:val="auto"/>
          <w:highlight w:val="none"/>
        </w:rPr>
      </w:pPr>
      <w:r>
        <w:rPr>
          <w:rFonts w:hint="eastAsia" w:ascii="宋体" w:hAnsi="宋体" w:eastAsia="宋体" w:cs="宋体"/>
          <w:color w:val="auto"/>
          <w:kern w:val="2"/>
          <w:sz w:val="21"/>
          <w:szCs w:val="21"/>
          <w:highlight w:val="none"/>
          <w:lang w:val="en-US" w:eastAsia="zh-CN" w:bidi="ar"/>
        </w:rPr>
        <w:t>双方约定的其他工程质量保修事项</w:t>
      </w:r>
    </w:p>
    <w:p w14:paraId="6BD0C5B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工程质量保修书由发包人、承包人在工程竣工验收前共同签署，作为施工合同附件，其有效期限至保修期满。</w:t>
      </w:r>
    </w:p>
    <w:p w14:paraId="708E3718">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 xml:space="preserve"> </w:t>
      </w:r>
    </w:p>
    <w:p w14:paraId="7EB46C0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发包人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公章</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承包人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公章</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p>
    <w:p w14:paraId="410A18C4">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地址：</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地址：</w:t>
      </w:r>
    </w:p>
    <w:p w14:paraId="5AEEC975">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法定代表人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签字</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法定代表人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签字</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p>
    <w:p w14:paraId="22D989E7">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委托代理人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签字</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委托代理人</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签字</w:t>
      </w:r>
      <w:r>
        <w:rPr>
          <w:rFonts w:hint="eastAsia" w:ascii="宋体" w:hAnsi="宋体" w:eastAsia="宋体" w:cs="Times New Roman"/>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w:t>
      </w:r>
    </w:p>
    <w:p w14:paraId="29D2ABBE">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电话：</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电话：</w:t>
      </w:r>
    </w:p>
    <w:p w14:paraId="06C141F4">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传真：</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传真：</w:t>
      </w:r>
    </w:p>
    <w:p w14:paraId="4D3F5A34">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开户银行：</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开户银行：</w:t>
      </w:r>
    </w:p>
    <w:p w14:paraId="4BA8F282">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账号：</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账号：</w:t>
      </w:r>
    </w:p>
    <w:p w14:paraId="25050F0B">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邮政编码：</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邮政编码：</w:t>
      </w:r>
    </w:p>
    <w:p w14:paraId="637C5C1C">
      <w:pPr>
        <w:keepNext w:val="0"/>
        <w:keepLines w:val="0"/>
        <w:widowControl w:val="0"/>
        <w:suppressLineNumbers w:val="0"/>
        <w:adjustRightInd w:val="0"/>
        <w:snapToGrid w:val="0"/>
        <w:spacing w:before="0" w:beforeAutospacing="0" w:after="0" w:afterAutospacing="0" w:line="360" w:lineRule="auto"/>
        <w:ind w:left="0" w:right="0" w:firstLine="1050" w:firstLineChars="5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日</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年</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月</w:t>
      </w:r>
      <w:r>
        <w:rPr>
          <w:rFonts w:hint="eastAsia" w:ascii="宋体" w:hAnsi="宋体" w:eastAsia="宋体" w:cs="Times New Roman"/>
          <w:color w:val="auto"/>
          <w:kern w:val="2"/>
          <w:sz w:val="21"/>
          <w:szCs w:val="21"/>
          <w:highlight w:val="none"/>
          <w:lang w:val="en-US" w:eastAsia="zh-CN" w:bidi="ar"/>
        </w:rPr>
        <w:t xml:space="preserve">   </w:t>
      </w:r>
      <w:r>
        <w:rPr>
          <w:rFonts w:hint="eastAsia" w:ascii="宋体" w:hAnsi="宋体" w:eastAsia="宋体" w:cs="宋体"/>
          <w:color w:val="auto"/>
          <w:kern w:val="2"/>
          <w:sz w:val="21"/>
          <w:szCs w:val="21"/>
          <w:highlight w:val="none"/>
          <w:lang w:val="en-US" w:eastAsia="zh-CN" w:bidi="ar"/>
        </w:rPr>
        <w:t>日</w:t>
      </w:r>
    </w:p>
    <w:p w14:paraId="42D34BDA">
      <w:pPr>
        <w:keepNext/>
        <w:keepLines/>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2"/>
          <w:sz w:val="28"/>
          <w:szCs w:val="28"/>
          <w:highlight w:val="none"/>
        </w:rPr>
      </w:pPr>
      <w:r>
        <w:rPr>
          <w:rFonts w:hint="eastAsia" w:ascii="宋体" w:hAnsi="宋体" w:eastAsia="宋体" w:cs="Times New Roman"/>
          <w:color w:val="auto"/>
          <w:kern w:val="2"/>
          <w:sz w:val="28"/>
          <w:szCs w:val="28"/>
          <w:highlight w:val="none"/>
          <w:lang w:val="en-US" w:eastAsia="zh-CN" w:bidi="ar"/>
        </w:rPr>
        <w:br w:type="page"/>
      </w:r>
      <w:bookmarkStart w:id="642" w:name="_Toc10085"/>
      <w:bookmarkEnd w:id="642"/>
      <w:bookmarkStart w:id="643" w:name="_Toc25932334"/>
      <w:bookmarkEnd w:id="643"/>
      <w:bookmarkStart w:id="644" w:name="_Toc166"/>
      <w:bookmarkEnd w:id="644"/>
      <w:bookmarkStart w:id="645" w:name="_Toc28796"/>
      <w:bookmarkEnd w:id="645"/>
      <w:bookmarkStart w:id="646" w:name="_Toc25525015"/>
      <w:bookmarkEnd w:id="646"/>
      <w:bookmarkStart w:id="647" w:name="_Toc38896061"/>
      <w:r>
        <w:rPr>
          <w:rFonts w:hint="eastAsia" w:ascii="宋体" w:hAnsi="宋体" w:eastAsia="宋体" w:cs="宋体"/>
          <w:color w:val="auto"/>
          <w:kern w:val="2"/>
          <w:sz w:val="28"/>
          <w:szCs w:val="28"/>
          <w:highlight w:val="none"/>
          <w:lang w:val="en-US" w:eastAsia="zh-CN" w:bidi="ar"/>
        </w:rPr>
        <w:t>附件</w:t>
      </w:r>
      <w:bookmarkEnd w:id="647"/>
      <w:r>
        <w:rPr>
          <w:rFonts w:hint="eastAsia" w:ascii="宋体" w:hAnsi="宋体" w:eastAsia="宋体" w:cs="宋体"/>
          <w:color w:val="auto"/>
          <w:kern w:val="2"/>
          <w:sz w:val="28"/>
          <w:szCs w:val="28"/>
          <w:highlight w:val="none"/>
          <w:lang w:val="en-US" w:eastAsia="zh-CN" w:bidi="ar"/>
        </w:rPr>
        <w:t>二</w:t>
      </w:r>
    </w:p>
    <w:p w14:paraId="2911EC7F">
      <w:pPr>
        <w:keepNext/>
        <w:keepLines/>
        <w:widowControl w:val="0"/>
        <w:suppressLineNumbers w:val="0"/>
        <w:adjustRightInd w:val="0"/>
        <w:snapToGrid w:val="0"/>
        <w:spacing w:before="0" w:beforeAutospacing="0" w:after="0" w:afterAutospacing="0"/>
        <w:ind w:left="0" w:right="0"/>
        <w:jc w:val="center"/>
        <w:outlineLvl w:val="4"/>
        <w:rPr>
          <w:rFonts w:hint="eastAsia" w:ascii="宋体" w:hAnsi="宋体" w:eastAsia="宋体" w:cs="Times New Roman"/>
          <w:color w:val="auto"/>
          <w:kern w:val="2"/>
          <w:sz w:val="32"/>
          <w:szCs w:val="32"/>
          <w:highlight w:val="none"/>
        </w:rPr>
      </w:pPr>
      <w:r>
        <w:rPr>
          <w:rFonts w:hint="eastAsia" w:ascii="宋体" w:hAnsi="宋体" w:eastAsia="宋体" w:cs="宋体"/>
          <w:color w:val="auto"/>
          <w:kern w:val="2"/>
          <w:sz w:val="32"/>
          <w:szCs w:val="32"/>
          <w:highlight w:val="none"/>
          <w:lang w:val="en-US" w:eastAsia="zh-CN" w:bidi="ar"/>
        </w:rPr>
        <w:t>廉政责任书格式</w:t>
      </w:r>
    </w:p>
    <w:p w14:paraId="4FEB9F8E">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工程项目名称：</w:t>
      </w:r>
    </w:p>
    <w:p w14:paraId="0F7AB57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工程项目地址：</w:t>
      </w:r>
    </w:p>
    <w:p w14:paraId="40A53A45">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建设单位（甲方）：</w:t>
      </w:r>
    </w:p>
    <w:p w14:paraId="0BC386C5">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施工单位（乙方）：</w:t>
      </w:r>
    </w:p>
    <w:p w14:paraId="707F92D9">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33781EBB">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outlineLvl w:val="4"/>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第一条甲乙双方的责任</w:t>
      </w:r>
    </w:p>
    <w:p w14:paraId="17EFCD7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（一）应严格遵守国家关于市场准入、项目招标投标、工程建设、施工安装和市场活动等有关法律、法规，相关政策，以及廉政建设的各项规定。</w:t>
      </w:r>
    </w:p>
    <w:p w14:paraId="5AD2DE41">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（二）严格执行建设工程项目承发包合同文件，自觉按合同办事。</w:t>
      </w:r>
    </w:p>
    <w:p w14:paraId="6353AA7A">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（三）业务活动必须坚持公开、公平、公正、诚信、透明的原则（除法律法规另有规定者外），不得为获取不正当的利益，损害国家、集体和对方利益，不得违反工程建设管理、施工安装的规章制度。</w:t>
      </w:r>
    </w:p>
    <w:p w14:paraId="4E3D8B10">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（四）发现对方在业务活动中有违规、违纪、违法行为的，应及时提醒对方，情节严重的，应向其上级主管部门或纪检监察、司法等有关机关举报。</w:t>
      </w:r>
    </w:p>
    <w:p w14:paraId="16D218DF">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outlineLvl w:val="4"/>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第二条甲方的责任</w:t>
      </w:r>
    </w:p>
    <w:p w14:paraId="6DDA2A8D">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甲方的领导和从事该建设工程项目的工作人员，在工程建设的事前、事中、事后应遵守以下规定：</w:t>
      </w:r>
    </w:p>
    <w:p w14:paraId="028D5D26">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（一）不准向乙方和相关单位索要或接受回扣、礼金、有价证券、贵重物品和好处费、感谢费等。</w:t>
      </w:r>
    </w:p>
    <w:p w14:paraId="4337B42D">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（二）不准在乙方和相关单位报销任何应由甲方或个人支付的费用。</w:t>
      </w:r>
    </w:p>
    <w:p w14:paraId="0C860D7B">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（三）不准要求、暗示和接受乙方和相关单位为个人装修住房、婚丧嫁娶、配偶子女的工作安排以及出国（境）、旅游等提供方便。</w:t>
      </w:r>
    </w:p>
    <w:p w14:paraId="0DFABA99">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（四）不准参加有可能影响公正执行公务的乙方和相关单位的宴请和健身、娱乐等活动。</w:t>
      </w:r>
    </w:p>
    <w:p w14:paraId="6A0E5B7A">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4B0AB513">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outlineLvl w:val="4"/>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第三条乙方的责任</w:t>
      </w:r>
    </w:p>
    <w:p w14:paraId="1AF9A93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应与甲方保持正常的业务交往，按照有关法律法规和程序开展业务工作，严格执行工程建设的有关方针、政策，尤其是有关建筑施工安装的强制性标准和规范，并遵守以下规定：</w:t>
      </w:r>
    </w:p>
    <w:p w14:paraId="6200C89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（一）不准以任何理由向甲方、相关单位及其工作人员索要、接受或赠送礼金、有价证券、贵重物品和回扣、好处费、感谢费等。</w:t>
      </w:r>
    </w:p>
    <w:p w14:paraId="03AC98B0">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（二）不准以任何理由为甲方和相关单位报销应由对方或个人支付的费用。</w:t>
      </w:r>
    </w:p>
    <w:p w14:paraId="1165D7C9">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（三）不准接受或暗示为甲方、相关单位或个人装修住房、婚丧嫁娶、配偶子女的工作安排以及出国（境）、旅游等提供方便。</w:t>
      </w:r>
    </w:p>
    <w:p w14:paraId="38A902AC">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（四）不准以任何理由为甲方、相关单位或个人组织有可能影响公正执行公务的宴请、</w:t>
      </w:r>
    </w:p>
    <w:p w14:paraId="12927D42">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健身、娱乐等活动。</w:t>
      </w:r>
    </w:p>
    <w:p w14:paraId="3943FDB3">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outlineLvl w:val="4"/>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第四条违约责任</w:t>
      </w:r>
    </w:p>
    <w:p w14:paraId="20E1BF90">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DC9BB06">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F2DC24D">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outlineLvl w:val="4"/>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第五条本责任书作为工程施工合同的附件，与工程施工合同具有同等法律效力。经双方签署后立即生效。</w:t>
      </w:r>
    </w:p>
    <w:p w14:paraId="049184A7">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第六条本责任书的有效期为双方签署之日起至该工程项目竣工验收合格时止。</w:t>
      </w:r>
    </w:p>
    <w:p w14:paraId="6F0FAA58">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 xml:space="preserve"> </w:t>
      </w:r>
    </w:p>
    <w:p w14:paraId="2FCE212E">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发包人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公章</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承包人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公章</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p>
    <w:p w14:paraId="2BB7CB00">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地址：</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地址：</w:t>
      </w:r>
    </w:p>
    <w:p w14:paraId="54D38817">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法定代表人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签字</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法定代表人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签字</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p>
    <w:p w14:paraId="6A324A0C">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委托代理人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签字</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委托代理人</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签字</w:t>
      </w:r>
      <w:r>
        <w:rPr>
          <w:rFonts w:hint="eastAsia" w:ascii="宋体" w:hAnsi="宋体" w:eastAsia="宋体" w:cs="Times New Roman"/>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w:t>
      </w:r>
    </w:p>
    <w:p w14:paraId="66DBA642">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电话：</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电话：</w:t>
      </w:r>
    </w:p>
    <w:p w14:paraId="5EC17F8C">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传真：</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传真：</w:t>
      </w:r>
    </w:p>
    <w:p w14:paraId="70A25B6B">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开户银行：</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开户银行：</w:t>
      </w:r>
    </w:p>
    <w:p w14:paraId="6DA44CE2">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账号：</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账号：</w:t>
      </w:r>
    </w:p>
    <w:p w14:paraId="0E87A6F1">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邮政编码：</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邮政编码</w:t>
      </w:r>
    </w:p>
    <w:p w14:paraId="2E993A68">
      <w:pPr>
        <w:keepNext w:val="0"/>
        <w:keepLines w:val="0"/>
        <w:widowControl w:val="0"/>
        <w:suppressLineNumbers w:val="0"/>
        <w:adjustRightInd w:val="0"/>
        <w:snapToGrid w:val="0"/>
        <w:spacing w:before="0" w:beforeAutospacing="0" w:after="0" w:afterAutospacing="0"/>
        <w:ind w:left="0" w:right="0" w:firstLine="840" w:firstLineChars="400"/>
        <w:jc w:val="both"/>
        <w:rPr>
          <w:rFonts w:hint="eastAsia" w:ascii="宋体" w:hAnsi="宋体" w:eastAsia="宋体" w:cs="Times New Roman"/>
          <w:color w:val="auto"/>
          <w:kern w:val="2"/>
          <w:sz w:val="21"/>
          <w:szCs w:val="21"/>
          <w:highlight w:val="none"/>
          <w:u w:val="none"/>
        </w:rPr>
      </w:pPr>
      <w:r>
        <w:rPr>
          <w:rFonts w:hint="eastAsia" w:ascii="宋体" w:hAnsi="宋体" w:eastAsia="宋体" w:cs="宋体"/>
          <w:color w:val="auto"/>
          <w:kern w:val="2"/>
          <w:sz w:val="21"/>
          <w:szCs w:val="21"/>
          <w:highlight w:val="none"/>
          <w:u w:val="none"/>
          <w:lang w:val="en-US" w:eastAsia="zh-CN" w:bidi="ar"/>
        </w:rPr>
        <w:t>年</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月</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日</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年</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月</w:t>
      </w:r>
      <w:r>
        <w:rPr>
          <w:rFonts w:hint="eastAsia" w:ascii="宋体" w:hAnsi="宋体" w:eastAsia="宋体" w:cs="Times New Roman"/>
          <w:color w:val="auto"/>
          <w:kern w:val="2"/>
          <w:sz w:val="21"/>
          <w:szCs w:val="21"/>
          <w:highlight w:val="none"/>
          <w:u w:val="none"/>
          <w:lang w:val="en-US" w:eastAsia="zh-CN" w:bidi="ar"/>
        </w:rPr>
        <w:t xml:space="preserve">    </w:t>
      </w:r>
      <w:r>
        <w:rPr>
          <w:rFonts w:hint="eastAsia" w:ascii="宋体" w:hAnsi="宋体" w:eastAsia="宋体" w:cs="宋体"/>
          <w:color w:val="auto"/>
          <w:kern w:val="2"/>
          <w:sz w:val="21"/>
          <w:szCs w:val="21"/>
          <w:highlight w:val="none"/>
          <w:u w:val="none"/>
          <w:lang w:val="en-US" w:eastAsia="zh-CN" w:bidi="ar"/>
        </w:rPr>
        <w:t>日</w:t>
      </w:r>
    </w:p>
    <w:p w14:paraId="50B85748">
      <w:pPr>
        <w:keepNext w:val="0"/>
        <w:keepLines w:val="0"/>
        <w:widowControl w:val="0"/>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 xml:space="preserve"> </w:t>
      </w:r>
    </w:p>
    <w:p w14:paraId="340F9432">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 xml:space="preserve"> </w:t>
      </w:r>
    </w:p>
    <w:p w14:paraId="0DAF18F9">
      <w:pPr>
        <w:keepNext/>
        <w:keepLines/>
        <w:widowControl w:val="0"/>
        <w:suppressLineNumbers w:val="0"/>
        <w:adjustRightInd w:val="0"/>
        <w:snapToGrid w:val="0"/>
        <w:spacing w:before="0" w:beforeAutospacing="0" w:after="0" w:afterAutospacing="0"/>
        <w:ind w:left="0" w:right="0"/>
        <w:jc w:val="both"/>
        <w:rPr>
          <w:rFonts w:hint="eastAsia" w:ascii="宋体" w:hAnsi="宋体" w:eastAsia="宋体" w:cs="Times New Roman"/>
          <w:color w:val="auto"/>
          <w:kern w:val="2"/>
          <w:sz w:val="28"/>
          <w:szCs w:val="28"/>
          <w:highlight w:val="none"/>
        </w:rPr>
      </w:pPr>
      <w:r>
        <w:rPr>
          <w:rFonts w:hint="eastAsia" w:ascii="宋体" w:hAnsi="宋体" w:eastAsia="宋体" w:cs="Times New Roman"/>
          <w:color w:val="auto"/>
          <w:kern w:val="2"/>
          <w:sz w:val="32"/>
          <w:szCs w:val="32"/>
          <w:highlight w:val="none"/>
          <w:lang w:val="en-US" w:eastAsia="zh-CN" w:bidi="ar"/>
        </w:rPr>
        <w:br w:type="page"/>
      </w:r>
      <w:bookmarkStart w:id="648" w:name="_Toc25932336"/>
      <w:bookmarkEnd w:id="648"/>
      <w:bookmarkStart w:id="649" w:name="_Toc38896062"/>
      <w:bookmarkEnd w:id="649"/>
      <w:bookmarkStart w:id="650" w:name="_Toc3003"/>
      <w:bookmarkEnd w:id="650"/>
      <w:bookmarkStart w:id="651" w:name="_Toc25525017"/>
      <w:bookmarkEnd w:id="651"/>
      <w:bookmarkStart w:id="652" w:name="_Toc18079"/>
      <w:bookmarkEnd w:id="652"/>
      <w:bookmarkStart w:id="653" w:name="_Toc7313"/>
      <w:r>
        <w:rPr>
          <w:rFonts w:hint="eastAsia" w:ascii="宋体" w:hAnsi="宋体" w:eastAsia="宋体" w:cs="宋体"/>
          <w:color w:val="auto"/>
          <w:kern w:val="2"/>
          <w:sz w:val="28"/>
          <w:szCs w:val="28"/>
          <w:highlight w:val="none"/>
          <w:lang w:val="en-US" w:eastAsia="zh-CN" w:bidi="ar"/>
        </w:rPr>
        <w:t>附件三：</w:t>
      </w:r>
      <w:bookmarkEnd w:id="653"/>
    </w:p>
    <w:p w14:paraId="70990FD2">
      <w:pPr>
        <w:keepNext/>
        <w:keepLines/>
        <w:widowControl w:val="0"/>
        <w:suppressLineNumbers w:val="0"/>
        <w:adjustRightInd w:val="0"/>
        <w:snapToGrid w:val="0"/>
        <w:spacing w:before="0" w:beforeAutospacing="0" w:after="0" w:afterAutospacing="0"/>
        <w:ind w:left="0" w:right="0"/>
        <w:jc w:val="center"/>
        <w:rPr>
          <w:rFonts w:hint="eastAsia" w:ascii="宋体" w:hAnsi="宋体" w:eastAsia="宋体" w:cs="Times New Roman"/>
          <w:color w:val="auto"/>
          <w:kern w:val="2"/>
          <w:sz w:val="28"/>
          <w:szCs w:val="28"/>
          <w:highlight w:val="none"/>
        </w:rPr>
      </w:pPr>
      <w:r>
        <w:rPr>
          <w:rFonts w:hint="eastAsia" w:ascii="宋体" w:hAnsi="宋体" w:eastAsia="宋体" w:cs="宋体"/>
          <w:color w:val="auto"/>
          <w:kern w:val="2"/>
          <w:sz w:val="28"/>
          <w:szCs w:val="28"/>
          <w:highlight w:val="none"/>
          <w:lang w:val="en-US" w:eastAsia="zh-CN" w:bidi="ar"/>
        </w:rPr>
        <w:t>施工安全管理责任书</w:t>
      </w:r>
    </w:p>
    <w:p w14:paraId="5023E25C">
      <w:pPr>
        <w:keepNext w:val="0"/>
        <w:keepLines w:val="0"/>
        <w:widowControl/>
        <w:suppressLineNumbers w:val="0"/>
        <w:adjustRightInd w:val="0"/>
        <w:snapToGrid w:val="0"/>
        <w:spacing w:before="0" w:beforeAutospacing="0" w:after="0" w:afterAutospacing="0"/>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34FCB3B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为贯彻落实上级部门关于安全生产的指示精神，根据工程施工合同有关条款，为进一步明确和规范项目安全管理的职责，力争不发生重大责任事故，减少一般性事故，维护国家、集体财产和职工人身安全，确保</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宋体"/>
          <w:i w:val="0"/>
          <w:iCs w:val="0"/>
          <w:color w:val="auto"/>
          <w:kern w:val="0"/>
          <w:sz w:val="21"/>
          <w:szCs w:val="21"/>
          <w:highlight w:val="none"/>
          <w:u w:val="single"/>
          <w:lang w:val="en-US" w:eastAsia="zh-CN" w:bidi="ar"/>
        </w:rPr>
        <w:t xml:space="preserve">220kV芳赤24M1线-芳柯24M2线、110kV赤黄1879线-赤州1881线迁改移位工程工程总承包(EPC) </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的顺利进行，经</w:t>
      </w:r>
      <w:r>
        <w:rPr>
          <w:rFonts w:hint="eastAsia" w:ascii="宋体" w:hAnsi="宋体" w:eastAsia="宋体" w:cs="Times New Roman"/>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（以下简称发包人</w:t>
      </w:r>
      <w:r>
        <w:rPr>
          <w:rFonts w:hint="eastAsia" w:ascii="宋体" w:hAnsi="宋体" w:eastAsia="宋体" w:cs="Times New Roman"/>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和</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Times New Roman"/>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以下简称承包人</w:t>
      </w:r>
      <w:r>
        <w:rPr>
          <w:rFonts w:hint="eastAsia" w:ascii="宋体" w:hAnsi="宋体" w:eastAsia="宋体" w:cs="Times New Roman"/>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商定，特签订施工安全管理责任书。工程实施过程中国家、浙江省及当地政府部门对安全生产有具体规定的从其规定。</w:t>
      </w:r>
    </w:p>
    <w:p w14:paraId="12FB7F21">
      <w:pPr>
        <w:keepNext w:val="0"/>
        <w:keepLines w:val="0"/>
        <w:widowControl/>
        <w:suppressLineNumbers w:val="0"/>
        <w:adjustRightInd w:val="0"/>
        <w:snapToGrid w:val="0"/>
        <w:spacing w:before="0" w:beforeAutospacing="0" w:after="0" w:afterAutospacing="0" w:line="360" w:lineRule="auto"/>
        <w:ind w:left="0" w:right="0"/>
        <w:jc w:val="both"/>
        <w:outlineLvl w:val="3"/>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一、发包人主要职责：</w:t>
      </w:r>
    </w:p>
    <w:p w14:paraId="0CF2FACF">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、及</w:t>
      </w:r>
      <w:r>
        <w:rPr>
          <w:rFonts w:hint="eastAsia" w:ascii="宋体" w:hAnsi="宋体" w:eastAsia="宋体" w:cs="宋体"/>
          <w:color w:val="auto"/>
          <w:spacing w:val="-4"/>
          <w:kern w:val="0"/>
          <w:sz w:val="21"/>
          <w:szCs w:val="21"/>
          <w:highlight w:val="none"/>
          <w:lang w:val="en-US" w:eastAsia="zh-CN" w:bidi="ar"/>
        </w:rPr>
        <w:t>时</w:t>
      </w:r>
      <w:r>
        <w:rPr>
          <w:rFonts w:hint="eastAsia" w:ascii="宋体" w:hAnsi="宋体" w:eastAsia="宋体" w:cs="宋体"/>
          <w:color w:val="auto"/>
          <w:kern w:val="0"/>
          <w:sz w:val="21"/>
          <w:szCs w:val="21"/>
          <w:highlight w:val="none"/>
          <w:lang w:val="en-US" w:eastAsia="zh-CN" w:bidi="ar"/>
        </w:rPr>
        <w:t>传达贯彻国</w:t>
      </w:r>
      <w:r>
        <w:rPr>
          <w:rFonts w:hint="eastAsia" w:ascii="宋体" w:hAnsi="宋体" w:eastAsia="宋体" w:cs="宋体"/>
          <w:color w:val="auto"/>
          <w:spacing w:val="-4"/>
          <w:kern w:val="0"/>
          <w:sz w:val="21"/>
          <w:szCs w:val="21"/>
          <w:highlight w:val="none"/>
          <w:lang w:val="en-US" w:eastAsia="zh-CN" w:bidi="ar"/>
        </w:rPr>
        <w:t>家和省、市安全生产管理工作的指示，适时部署安全生产任务。</w:t>
      </w:r>
    </w:p>
    <w:p w14:paraId="18F6FF14">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、将施工安全管理工作纳入年度考核目标，实行安全生产一票否决制度，并同其他工作同检查、同考核、同奖惩。</w:t>
      </w:r>
    </w:p>
    <w:p w14:paraId="68AFB563">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、积极支持承包人开展各项安全管理工作，及时提供有关信息，通报安全管理工作情况，加强业务督促和指导，并尽力帮助承包人解决工作中遇到的实际问题。</w:t>
      </w:r>
    </w:p>
    <w:p w14:paraId="25F23066">
      <w:pPr>
        <w:keepNext w:val="0"/>
        <w:keepLines w:val="0"/>
        <w:widowControl/>
        <w:suppressLineNumbers w:val="0"/>
        <w:adjustRightInd w:val="0"/>
        <w:snapToGrid w:val="0"/>
        <w:spacing w:before="0" w:beforeAutospacing="0" w:after="0" w:afterAutospacing="0" w:line="360" w:lineRule="auto"/>
        <w:ind w:left="0" w:right="0"/>
        <w:jc w:val="both"/>
        <w:outlineLvl w:val="3"/>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二、承包人主要职责：</w:t>
      </w:r>
    </w:p>
    <w:p w14:paraId="47876980">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、落实发包人、监理单位的要求，建立安全工作机构，项目部要设立安全领导小组，并每月组织安全检查一次，对检查的事故苗头分析原因，采取预防措施。</w:t>
      </w:r>
    </w:p>
    <w:p w14:paraId="6F91FED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、做好施工队伍的安全教育，通过教育使全员树立“安全第一，预防为主”的思想，不断增强安全生产意识，自觉遵守安全生产的规章制度。</w:t>
      </w:r>
    </w:p>
    <w:p w14:paraId="7D152E3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、要设立专职安全员，对日常的安全生产进行检查，并作好检查情况记录，定期向分管领导汇报，对事故及事故苗子及时处理。</w:t>
      </w:r>
    </w:p>
    <w:p w14:paraId="6F0F2A26">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、施工单位在编制施工组织计划或季、月作业计划时，应将安全生产作为重要内容列入。</w:t>
      </w:r>
    </w:p>
    <w:p w14:paraId="6172FDD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、各施工班组要坚持每月召开安全会议，检查安全生产情况，研究防范措施，作好会议记录。</w:t>
      </w:r>
    </w:p>
    <w:p w14:paraId="6750A284">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、所有参加施工人员，都要按规定戴安全帽、穿工作服，闲杂人员禁止进入工地。</w:t>
      </w:r>
    </w:p>
    <w:p w14:paraId="527AFD2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、严格防范措施，要害、重点部位管理制度健全，相应建立昼夜值班、巡逻或守护制度，有防盗、防火、防爆等技术警报设备，不发生火灾、爆炸和中毒等事故。</w:t>
      </w:r>
    </w:p>
    <w:p w14:paraId="2B7E5EE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、特种作业要持证上岗，施工中，起重工、建筑机操作工、电工、电焊工、爆破工等</w:t>
      </w:r>
      <w:r>
        <w:rPr>
          <w:rFonts w:hint="eastAsia" w:ascii="宋体" w:hAnsi="宋体" w:eastAsia="宋体" w:cs="宋体"/>
          <w:color w:val="auto"/>
          <w:spacing w:val="-4"/>
          <w:kern w:val="0"/>
          <w:sz w:val="21"/>
          <w:szCs w:val="21"/>
          <w:highlight w:val="none"/>
          <w:lang w:val="en-US" w:eastAsia="zh-CN" w:bidi="ar"/>
        </w:rPr>
        <w:t>工种作业人员必须经国家法定部门培训考核合格后持证上岗。禁止未经培训无证上岗</w:t>
      </w:r>
      <w:r>
        <w:rPr>
          <w:rFonts w:hint="eastAsia" w:ascii="宋体" w:hAnsi="宋体" w:eastAsia="宋体" w:cs="宋体"/>
          <w:color w:val="auto"/>
          <w:kern w:val="0"/>
          <w:sz w:val="21"/>
          <w:szCs w:val="21"/>
          <w:highlight w:val="none"/>
          <w:lang w:val="en-US" w:eastAsia="zh-CN" w:bidi="ar"/>
        </w:rPr>
        <w:t>。</w:t>
      </w:r>
    </w:p>
    <w:p w14:paraId="7945300B">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9</w:t>
      </w:r>
      <w:r>
        <w:rPr>
          <w:rFonts w:hint="eastAsia" w:ascii="宋体" w:hAnsi="宋体" w:eastAsia="宋体" w:cs="宋体"/>
          <w:color w:val="auto"/>
          <w:kern w:val="0"/>
          <w:sz w:val="21"/>
          <w:szCs w:val="21"/>
          <w:highlight w:val="none"/>
          <w:lang w:val="en-US" w:eastAsia="zh-CN" w:bidi="ar"/>
        </w:rPr>
        <w:t>、各级管理人员应做到不违章指挥，生产工人做到不违章操作，严格遵守劳动纪律，严格遵守操作规程。</w:t>
      </w:r>
    </w:p>
    <w:p w14:paraId="0A4C5A0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val="en-US" w:eastAsia="zh-CN" w:bidi="ar"/>
        </w:rPr>
        <w:t>、施工单位要根据不同区域和部位特点，加强施工现场管理。设置安全生产警告牌，确保附近民房及过往行人的安全。</w:t>
      </w:r>
    </w:p>
    <w:p w14:paraId="7BA573CA">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11</w:t>
      </w:r>
      <w:r>
        <w:rPr>
          <w:rFonts w:hint="eastAsia" w:ascii="宋体" w:hAnsi="宋体" w:eastAsia="宋体" w:cs="宋体"/>
          <w:color w:val="auto"/>
          <w:kern w:val="0"/>
          <w:sz w:val="21"/>
          <w:szCs w:val="21"/>
          <w:highlight w:val="none"/>
          <w:lang w:val="en-US" w:eastAsia="zh-CN" w:bidi="ar"/>
        </w:rPr>
        <w:t>、老路附近施工路段施工时，应采取相应措施，确保老路车辆、行人的安全，并保持老路的畅通与整洁。</w:t>
      </w:r>
    </w:p>
    <w:p w14:paraId="539B726B">
      <w:pPr>
        <w:keepNext w:val="0"/>
        <w:keepLines w:val="0"/>
        <w:widowControl/>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三、如发生安全事故由承包人自行承担一切责任及费用。</w:t>
      </w:r>
    </w:p>
    <w:p w14:paraId="4EA0B1C2">
      <w:pPr>
        <w:keepNext w:val="0"/>
        <w:keepLines w:val="0"/>
        <w:widowControl/>
        <w:suppressLineNumbers w:val="0"/>
        <w:adjustRightInd w:val="0"/>
        <w:snapToGrid w:val="0"/>
        <w:spacing w:before="0" w:beforeAutospacing="0" w:after="0" w:afterAutospacing="0" w:line="360" w:lineRule="auto"/>
        <w:ind w:left="0" w:right="0"/>
        <w:jc w:val="both"/>
        <w:rPr>
          <w:rFonts w:hint="eastAsia" w:ascii="宋体" w:hAnsi="宋体" w:eastAsia="宋体" w:cs="Times New Roman"/>
          <w:bCs/>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四、本责任书</w:t>
      </w:r>
      <w:r>
        <w:rPr>
          <w:rFonts w:hint="eastAsia" w:ascii="宋体" w:hAnsi="宋体" w:eastAsia="宋体" w:cs="宋体"/>
          <w:bCs/>
          <w:color w:val="auto"/>
          <w:kern w:val="0"/>
          <w:sz w:val="21"/>
          <w:szCs w:val="21"/>
          <w:highlight w:val="none"/>
          <w:lang w:val="en-US" w:eastAsia="zh-CN" w:bidi="ar"/>
        </w:rPr>
        <w:t>一式</w:t>
      </w:r>
      <w:r>
        <w:rPr>
          <w:rFonts w:hint="eastAsia" w:ascii="宋体" w:hAnsi="宋体" w:eastAsia="宋体" w:cs="宋体"/>
          <w:bCs/>
          <w:color w:val="auto"/>
          <w:kern w:val="0"/>
          <w:sz w:val="21"/>
          <w:szCs w:val="21"/>
          <w:highlight w:val="none"/>
          <w:u w:val="single"/>
          <w:lang w:val="en-US" w:eastAsia="zh-CN" w:bidi="ar"/>
        </w:rPr>
        <w:t>陆</w:t>
      </w:r>
      <w:r>
        <w:rPr>
          <w:rFonts w:hint="eastAsia" w:ascii="宋体" w:hAnsi="宋体" w:eastAsia="宋体" w:cs="宋体"/>
          <w:bCs/>
          <w:color w:val="auto"/>
          <w:kern w:val="0"/>
          <w:sz w:val="21"/>
          <w:szCs w:val="21"/>
          <w:highlight w:val="none"/>
          <w:lang w:val="en-US" w:eastAsia="zh-CN" w:bidi="ar"/>
        </w:rPr>
        <w:t>份，发包人执</w:t>
      </w:r>
      <w:r>
        <w:rPr>
          <w:rFonts w:hint="eastAsia" w:ascii="宋体" w:hAnsi="宋体" w:eastAsia="宋体" w:cs="宋体"/>
          <w:bCs/>
          <w:color w:val="auto"/>
          <w:kern w:val="0"/>
          <w:sz w:val="21"/>
          <w:szCs w:val="21"/>
          <w:highlight w:val="none"/>
          <w:u w:val="single"/>
          <w:lang w:val="en-US" w:eastAsia="zh-CN" w:bidi="ar"/>
        </w:rPr>
        <w:t>叁</w:t>
      </w:r>
      <w:r>
        <w:rPr>
          <w:rFonts w:hint="eastAsia" w:ascii="宋体" w:hAnsi="宋体" w:eastAsia="宋体" w:cs="宋体"/>
          <w:bCs/>
          <w:color w:val="auto"/>
          <w:kern w:val="0"/>
          <w:sz w:val="21"/>
          <w:szCs w:val="21"/>
          <w:highlight w:val="none"/>
          <w:lang w:val="en-US" w:eastAsia="zh-CN" w:bidi="ar"/>
        </w:rPr>
        <w:t>份，承包人执</w:t>
      </w:r>
      <w:r>
        <w:rPr>
          <w:rFonts w:hint="eastAsia" w:ascii="宋体" w:hAnsi="宋体" w:eastAsia="宋体" w:cs="宋体"/>
          <w:bCs/>
          <w:color w:val="auto"/>
          <w:kern w:val="0"/>
          <w:sz w:val="21"/>
          <w:szCs w:val="21"/>
          <w:highlight w:val="none"/>
          <w:u w:val="single"/>
          <w:lang w:val="en-US" w:eastAsia="zh-CN" w:bidi="ar"/>
        </w:rPr>
        <w:t>叁</w:t>
      </w:r>
      <w:r>
        <w:rPr>
          <w:rFonts w:hint="eastAsia" w:ascii="宋体" w:hAnsi="宋体" w:eastAsia="宋体" w:cs="宋体"/>
          <w:bCs/>
          <w:color w:val="auto"/>
          <w:kern w:val="0"/>
          <w:sz w:val="21"/>
          <w:szCs w:val="21"/>
          <w:highlight w:val="none"/>
          <w:lang w:val="en-US" w:eastAsia="zh-CN" w:bidi="ar"/>
        </w:rPr>
        <w:t>份。</w:t>
      </w:r>
    </w:p>
    <w:p w14:paraId="2EFBDB7E">
      <w:pPr>
        <w:keepNext w:val="0"/>
        <w:keepLines w:val="0"/>
        <w:widowControl/>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五、本责任书经双方签字盖公章后生效。</w:t>
      </w:r>
    </w:p>
    <w:p w14:paraId="3C480171">
      <w:pPr>
        <w:keepNext w:val="0"/>
        <w:keepLines w:val="0"/>
        <w:widowControl/>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50B4AE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发包人：（盖章）         </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承包人：（盖章）</w:t>
      </w:r>
    </w:p>
    <w:p w14:paraId="7C46AC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14B8901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法定代表人：           </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法定代表人：</w:t>
      </w:r>
    </w:p>
    <w:p w14:paraId="49E17C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22C57D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或委托代理人：          </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或委托代理人：</w:t>
      </w:r>
    </w:p>
    <w:p w14:paraId="08B81F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3C178D1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经办人：</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经办人：</w:t>
      </w:r>
    </w:p>
    <w:p w14:paraId="0B375C90">
      <w:pPr>
        <w:keepNext w:val="0"/>
        <w:keepLines w:val="0"/>
        <w:widowControl/>
        <w:suppressLineNumbers w:val="0"/>
        <w:adjustRightInd w:val="0"/>
        <w:snapToGrid w:val="0"/>
        <w:spacing w:before="0" w:beforeAutospacing="0" w:after="0" w:afterAutospacing="0" w:line="360" w:lineRule="auto"/>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7C8F046D">
      <w:pPr>
        <w:pStyle w:val="9"/>
        <w:keepNext w:val="0"/>
        <w:keepLines w:val="0"/>
        <w:widowControl w:val="0"/>
        <w:suppressLineNumbers w:val="0"/>
        <w:spacing w:before="0" w:beforeAutospacing="0" w:after="0" w:afterAutospacing="0" w:line="312" w:lineRule="auto"/>
        <w:ind w:left="0" w:right="0" w:firstLine="42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val="en-US" w:eastAsia="zh-CN" w:bidi="ar"/>
        </w:rPr>
        <w:t xml:space="preserve"> </w:t>
      </w:r>
    </w:p>
    <w:p w14:paraId="6DB9FEFC">
      <w:pPr>
        <w:pStyle w:val="9"/>
        <w:keepNext w:val="0"/>
        <w:keepLines w:val="0"/>
        <w:widowControl w:val="0"/>
        <w:suppressLineNumbers w:val="0"/>
        <w:spacing w:before="0" w:beforeAutospacing="0" w:after="0" w:afterAutospacing="0" w:line="312" w:lineRule="auto"/>
        <w:ind w:left="0" w:right="0" w:firstLine="42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val="en-US" w:eastAsia="zh-CN" w:bidi="ar"/>
        </w:rPr>
        <w:t xml:space="preserve"> </w:t>
      </w:r>
    </w:p>
    <w:p w14:paraId="285E8C05">
      <w:pPr>
        <w:pStyle w:val="9"/>
        <w:keepNext w:val="0"/>
        <w:keepLines w:val="0"/>
        <w:widowControl w:val="0"/>
        <w:suppressLineNumbers w:val="0"/>
        <w:spacing w:before="0" w:beforeAutospacing="0" w:after="0" w:afterAutospacing="0" w:line="312" w:lineRule="auto"/>
        <w:ind w:left="0" w:right="0" w:firstLine="42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年  月  日</w:t>
      </w:r>
    </w:p>
    <w:p w14:paraId="2188454B">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kern w:val="2"/>
          <w:sz w:val="36"/>
          <w:szCs w:val="36"/>
          <w:highlight w:val="none"/>
        </w:rPr>
      </w:pPr>
      <w:r>
        <w:rPr>
          <w:rFonts w:hint="eastAsia" w:ascii="宋体" w:hAnsi="宋体" w:eastAsia="宋体" w:cs="Times New Roman"/>
          <w:color w:val="auto"/>
          <w:kern w:val="2"/>
          <w:sz w:val="36"/>
          <w:szCs w:val="36"/>
          <w:highlight w:val="none"/>
          <w:lang w:val="en-US" w:eastAsia="zh-CN" w:bidi="ar"/>
        </w:rPr>
        <w:t xml:space="preserve"> </w:t>
      </w:r>
    </w:p>
    <w:p w14:paraId="6ABC65C1">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Times New Roman"/>
          <w:color w:val="auto"/>
          <w:kern w:val="2"/>
          <w:sz w:val="36"/>
          <w:szCs w:val="36"/>
          <w:highlight w:val="none"/>
        </w:rPr>
      </w:pPr>
      <w:r>
        <w:rPr>
          <w:rFonts w:hint="eastAsia" w:ascii="宋体" w:hAnsi="宋体" w:eastAsia="宋体" w:cs="Times New Roman"/>
          <w:color w:val="auto"/>
          <w:kern w:val="2"/>
          <w:sz w:val="36"/>
          <w:szCs w:val="36"/>
          <w:highlight w:val="none"/>
          <w:lang w:val="en-US" w:eastAsia="zh-CN" w:bidi="ar"/>
        </w:rPr>
        <w:t xml:space="preserve"> </w:t>
      </w:r>
    </w:p>
    <w:p w14:paraId="58085D6F">
      <w:pPr>
        <w:rPr>
          <w:rFonts w:hint="eastAsia" w:ascii="宋体" w:hAnsi="宋体" w:eastAsia="宋体" w:cs="Times New Roman"/>
          <w:color w:val="auto"/>
          <w:kern w:val="2"/>
          <w:sz w:val="24"/>
          <w:szCs w:val="24"/>
          <w:highlight w:val="none"/>
        </w:rPr>
        <w:sectPr>
          <w:pgSz w:w="11906" w:h="16838"/>
          <w:pgMar w:top="1440" w:right="1134" w:bottom="1440" w:left="1134" w:header="851" w:footer="992" w:gutter="0"/>
          <w:cols w:space="720" w:num="1"/>
          <w:docGrid w:type="lines" w:linePitch="312" w:charSpace="0"/>
        </w:sectPr>
      </w:pPr>
    </w:p>
    <w:p w14:paraId="2C0B9BB2">
      <w:pPr>
        <w:keepNext/>
        <w:keepLines/>
        <w:widowControl w:val="0"/>
        <w:suppressLineNumbers w:val="0"/>
        <w:adjustRightInd w:val="0"/>
        <w:snapToGrid w:val="0"/>
        <w:spacing w:before="0" w:beforeAutospacing="0" w:after="0" w:afterAutospacing="0"/>
        <w:ind w:left="0" w:right="0"/>
        <w:jc w:val="left"/>
        <w:outlineLvl w:val="0"/>
        <w:rPr>
          <w:rFonts w:hint="eastAsia" w:ascii="宋体" w:hAnsi="宋体" w:eastAsia="宋体" w:cs="Times New Roman"/>
          <w:color w:val="auto"/>
          <w:kern w:val="2"/>
          <w:sz w:val="28"/>
          <w:szCs w:val="28"/>
          <w:highlight w:val="none"/>
          <w:lang w:val="en-US" w:eastAsia="zh-CN" w:bidi="ar"/>
        </w:rPr>
      </w:pPr>
      <w:bookmarkStart w:id="654" w:name="_Toc1793"/>
      <w:bookmarkEnd w:id="654"/>
      <w:bookmarkStart w:id="655" w:name="_Toc3016"/>
      <w:bookmarkEnd w:id="655"/>
      <w:bookmarkStart w:id="656" w:name="_Toc28389"/>
      <w:r>
        <w:rPr>
          <w:rFonts w:hint="eastAsia" w:ascii="宋体" w:hAnsi="宋体" w:eastAsia="宋体" w:cs="宋体"/>
          <w:color w:val="auto"/>
          <w:kern w:val="2"/>
          <w:sz w:val="28"/>
          <w:szCs w:val="28"/>
          <w:highlight w:val="none"/>
          <w:lang w:val="en-US" w:eastAsia="zh-CN" w:bidi="ar"/>
        </w:rPr>
        <w:t>附件四：</w:t>
      </w:r>
      <w:r>
        <w:rPr>
          <w:rFonts w:hint="eastAsia" w:ascii="宋体" w:hAnsi="宋体" w:eastAsia="宋体" w:cs="Times New Roman"/>
          <w:color w:val="auto"/>
          <w:kern w:val="2"/>
          <w:sz w:val="28"/>
          <w:szCs w:val="28"/>
          <w:highlight w:val="none"/>
          <w:lang w:val="en-US" w:eastAsia="zh-CN" w:bidi="ar"/>
        </w:rPr>
        <w:t xml:space="preserve">         </w:t>
      </w:r>
    </w:p>
    <w:p w14:paraId="7F0BBC0B">
      <w:pPr>
        <w:keepNext/>
        <w:keepLines/>
        <w:widowControl w:val="0"/>
        <w:suppressLineNumbers w:val="0"/>
        <w:adjustRightInd w:val="0"/>
        <w:snapToGrid w:val="0"/>
        <w:spacing w:before="0" w:beforeAutospacing="0" w:after="0" w:afterAutospacing="0"/>
        <w:ind w:left="0" w:right="0"/>
        <w:jc w:val="left"/>
        <w:outlineLvl w:val="0"/>
        <w:rPr>
          <w:rFonts w:hint="eastAsia" w:ascii="宋体" w:hAnsi="宋体" w:eastAsia="宋体" w:cs="Times New Roman"/>
          <w:color w:val="auto"/>
          <w:kern w:val="2"/>
          <w:sz w:val="28"/>
          <w:szCs w:val="28"/>
          <w:highlight w:val="none"/>
          <w:lang w:val="en-US" w:eastAsia="zh-CN" w:bidi="ar"/>
        </w:rPr>
      </w:pPr>
    </w:p>
    <w:p w14:paraId="6C9E4C9D">
      <w:pPr>
        <w:keepNext/>
        <w:keepLines/>
        <w:widowControl w:val="0"/>
        <w:suppressLineNumbers w:val="0"/>
        <w:adjustRightInd w:val="0"/>
        <w:snapToGrid w:val="0"/>
        <w:spacing w:before="0" w:beforeAutospacing="0" w:after="0" w:afterAutospacing="0"/>
        <w:ind w:left="0" w:right="0"/>
        <w:jc w:val="center"/>
        <w:outlineLvl w:val="0"/>
        <w:rPr>
          <w:rFonts w:hint="eastAsia" w:ascii="宋体" w:hAnsi="宋体" w:eastAsia="宋体" w:cs="Times New Roman"/>
          <w:color w:val="auto"/>
          <w:kern w:val="2"/>
          <w:sz w:val="28"/>
          <w:szCs w:val="28"/>
          <w:highlight w:val="none"/>
        </w:rPr>
      </w:pPr>
      <w:r>
        <w:rPr>
          <w:rFonts w:hint="eastAsia" w:ascii="宋体" w:hAnsi="宋体" w:eastAsia="宋体" w:cs="宋体"/>
          <w:color w:val="auto"/>
          <w:kern w:val="2"/>
          <w:sz w:val="28"/>
          <w:szCs w:val="28"/>
          <w:highlight w:val="none"/>
          <w:lang w:val="en-US" w:eastAsia="zh-CN" w:bidi="ar"/>
        </w:rPr>
        <w:t>建设工程农民工工资专用账户资金</w:t>
      </w:r>
      <w:bookmarkEnd w:id="656"/>
      <w:r>
        <w:rPr>
          <w:rFonts w:hint="eastAsia" w:ascii="宋体" w:hAnsi="宋体" w:eastAsia="宋体" w:cs="宋体"/>
          <w:color w:val="auto"/>
          <w:kern w:val="2"/>
          <w:sz w:val="28"/>
          <w:szCs w:val="28"/>
          <w:highlight w:val="none"/>
          <w:lang w:val="en-US" w:eastAsia="zh-CN" w:bidi="ar"/>
        </w:rPr>
        <w:t>托管协议</w:t>
      </w:r>
    </w:p>
    <w:p w14:paraId="1A19CA43">
      <w:pPr>
        <w:keepNext w:val="0"/>
        <w:keepLines w:val="0"/>
        <w:widowControl w:val="0"/>
        <w:suppressLineNumbers w:val="0"/>
        <w:spacing w:before="0" w:beforeAutospacing="0" w:after="0" w:afterAutospacing="0" w:line="560" w:lineRule="exact"/>
        <w:ind w:left="2196" w:leftChars="836" w:right="0" w:hanging="440" w:hangingChars="100"/>
        <w:jc w:val="left"/>
        <w:rPr>
          <w:rFonts w:hint="eastAsia" w:ascii="仿宋" w:hAnsi="仿宋" w:eastAsia="仿宋" w:cs="仿宋"/>
          <w:color w:val="auto"/>
          <w:kern w:val="2"/>
          <w:sz w:val="44"/>
          <w:szCs w:val="44"/>
          <w:highlight w:val="none"/>
        </w:rPr>
      </w:pPr>
      <w:r>
        <w:rPr>
          <w:rFonts w:hint="eastAsia" w:ascii="仿宋" w:hAnsi="仿宋" w:eastAsia="仿宋" w:cs="仿宋"/>
          <w:color w:val="auto"/>
          <w:kern w:val="2"/>
          <w:sz w:val="44"/>
          <w:szCs w:val="44"/>
          <w:highlight w:val="none"/>
          <w:lang w:val="en-US" w:eastAsia="zh-CN" w:bidi="ar"/>
        </w:rPr>
        <w:t xml:space="preserve"> </w:t>
      </w:r>
    </w:p>
    <w:p w14:paraId="5D3C84E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甲方（建设单位）：</w:t>
      </w:r>
      <w:r>
        <w:rPr>
          <w:rFonts w:hint="eastAsia" w:ascii="宋体" w:hAnsi="宋体" w:eastAsia="宋体" w:cs="Times New Roman"/>
          <w:color w:val="auto"/>
          <w:kern w:val="0"/>
          <w:sz w:val="21"/>
          <w:szCs w:val="21"/>
          <w:highlight w:val="none"/>
          <w:lang w:val="en-US" w:eastAsia="zh-CN" w:bidi="ar"/>
        </w:rPr>
        <w:t xml:space="preserve">        </w:t>
      </w:r>
    </w:p>
    <w:p w14:paraId="0A3413BD">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乙方（总承包施工单位）：</w:t>
      </w:r>
    </w:p>
    <w:p w14:paraId="6E4513E4">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丙方（银</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行）：</w:t>
      </w:r>
    </w:p>
    <w:p w14:paraId="6EA6BD4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丁方（行业主管部门）：</w:t>
      </w:r>
    </w:p>
    <w:p w14:paraId="7C2BBEE5">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戊方（人力社保部门）：</w:t>
      </w:r>
    </w:p>
    <w:p w14:paraId="4D0002C3">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为根治工程建设领域拖欠农民工工资问题，保证农民工工资专用账户资金专款专用及农民工工资按月足额支付，甲、乙、丙三方经协商一致，达成本协议并共同遵守。</w:t>
      </w:r>
    </w:p>
    <w:p w14:paraId="29D2AD29">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甲、乙双方委托丙方为本项目工资专用项目资金监管人，为项目工资专用账户资金提供管理，并按照本协议约定履行相关信息披露等服务。</w:t>
      </w:r>
    </w:p>
    <w:p w14:paraId="6EF2660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丁、戊方作为本协议相关内容的监管部门，依法履行监督监察、信用管理等职责，督促和协调甲、乙、丙三方履行本协议。</w:t>
      </w:r>
    </w:p>
    <w:p w14:paraId="080702EE">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57" w:name="_Toc9673"/>
      <w:bookmarkEnd w:id="657"/>
      <w:bookmarkStart w:id="658" w:name="_Toc15658"/>
      <w:bookmarkEnd w:id="658"/>
      <w:bookmarkStart w:id="659" w:name="_Toc18607"/>
      <w:r>
        <w:rPr>
          <w:rFonts w:hint="eastAsia" w:ascii="宋体" w:hAnsi="宋体" w:eastAsia="宋体" w:cs="宋体"/>
          <w:color w:val="auto"/>
          <w:kern w:val="0"/>
          <w:sz w:val="21"/>
          <w:szCs w:val="21"/>
          <w:highlight w:val="none"/>
          <w:lang w:val="en-US" w:eastAsia="zh-CN" w:bidi="ar"/>
        </w:rPr>
        <w:t>第一章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专户设立及管理</w:t>
      </w:r>
      <w:bookmarkEnd w:id="659"/>
    </w:p>
    <w:p w14:paraId="1197686B">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第一条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专户的设立</w:t>
      </w:r>
    </w:p>
    <w:p w14:paraId="03B2A51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总承包单位须在丙方处设立</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Times New Roman"/>
          <w:color w:val="auto"/>
          <w:kern w:val="0"/>
          <w:sz w:val="21"/>
          <w:szCs w:val="21"/>
          <w:highlight w:val="none"/>
          <w:u w:val="single"/>
          <w:lang w:val="en-US" w:eastAsia="zh-CN" w:bidi="ar"/>
        </w:rPr>
        <w:t>220kV芳赤24M1线-芳柯24M2线、110kV赤黄1879线-赤州1881线迁改移位工程工程总承包(EPC)</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农民工工资专用专户，用于</w:t>
      </w:r>
      <w:r>
        <w:rPr>
          <w:rFonts w:hint="eastAsia" w:ascii="宋体" w:hAnsi="宋体" w:cs="宋体"/>
          <w:color w:val="auto"/>
          <w:kern w:val="0"/>
          <w:sz w:val="21"/>
          <w:szCs w:val="21"/>
          <w:highlight w:val="none"/>
          <w:u w:val="single"/>
          <w:lang w:val="en-US" w:eastAsia="zh-CN" w:bidi="ar"/>
        </w:rPr>
        <w:t xml:space="preserve"> 220kV芳赤24M1线-芳柯24M2线、110kV赤黄1879线-赤州1881线迁改移位工程工程总承包(EPC) </w:t>
      </w:r>
      <w:r>
        <w:rPr>
          <w:rFonts w:hint="eastAsia" w:ascii="宋体" w:hAnsi="宋体" w:eastAsia="宋体" w:cs="宋体"/>
          <w:color w:val="auto"/>
          <w:kern w:val="0"/>
          <w:sz w:val="21"/>
          <w:szCs w:val="21"/>
          <w:highlight w:val="none"/>
          <w:lang w:val="en-US" w:eastAsia="zh-CN" w:bidi="ar"/>
        </w:rPr>
        <w:t>农民工工资的发放。</w:t>
      </w:r>
    </w:p>
    <w:p w14:paraId="0E6F31BC">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第二条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专户的管理</w:t>
      </w:r>
    </w:p>
    <w:p w14:paraId="21F77AC6">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工程建设期间，丙方负责对专户进行管理。丙方需根据本协议约定的条件办理资金支付。</w:t>
      </w:r>
    </w:p>
    <w:p w14:paraId="6E00BAC9">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60" w:name="_Toc29778"/>
      <w:bookmarkEnd w:id="660"/>
      <w:bookmarkStart w:id="661" w:name="_Toc17656"/>
      <w:bookmarkEnd w:id="661"/>
      <w:bookmarkStart w:id="662" w:name="_Toc9137"/>
      <w:r>
        <w:rPr>
          <w:rFonts w:hint="eastAsia" w:ascii="宋体" w:hAnsi="宋体" w:eastAsia="宋体" w:cs="宋体"/>
          <w:color w:val="auto"/>
          <w:kern w:val="0"/>
          <w:sz w:val="21"/>
          <w:szCs w:val="21"/>
          <w:highlight w:val="none"/>
          <w:lang w:val="en-US" w:eastAsia="zh-CN" w:bidi="ar"/>
        </w:rPr>
        <w:t>第二章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资金托管职责、期限</w:t>
      </w:r>
      <w:bookmarkEnd w:id="662"/>
    </w:p>
    <w:p w14:paraId="54984408">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第三条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丙方作为受托银行，应履行以下职责：</w:t>
      </w:r>
    </w:p>
    <w:p w14:paraId="25F3AC3F">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2"/>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（一）设立专户，保管托管资金，确保资金安全；</w:t>
      </w:r>
    </w:p>
    <w:p w14:paraId="369645CA">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（二）在工资专用账户资金到位且乙方提供审核确认的工资审核表后，应及时从工资专用账户直接划转至农民工个人社保（工资）卡。</w:t>
      </w:r>
    </w:p>
    <w:p w14:paraId="51609C1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（三）及时向甲方、乙方披露工资专用账户资金的相关信息，每月将工资专用账户对账单报甲方、乙方备查。</w:t>
      </w:r>
    </w:p>
    <w:p w14:paraId="16899B6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（四）甲方、乙方授权丙方将工资专用账户资金拨付、划转等相关信息披露给丁方、戊方。</w:t>
      </w:r>
    </w:p>
    <w:p w14:paraId="188F83ED">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第四条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协议期限</w:t>
      </w:r>
    </w:p>
    <w:p w14:paraId="64F64EE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丙方对专户内资金履行监督职责的期限自工资专用账户开立之日起至该工资专用账户撤销止。</w:t>
      </w:r>
    </w:p>
    <w:p w14:paraId="12371B3F">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63" w:name="_Toc20755"/>
      <w:bookmarkEnd w:id="663"/>
      <w:bookmarkStart w:id="664" w:name="_Toc24289"/>
      <w:bookmarkEnd w:id="664"/>
      <w:bookmarkStart w:id="665" w:name="_Toc14002"/>
      <w:r>
        <w:rPr>
          <w:rFonts w:hint="eastAsia" w:ascii="宋体" w:hAnsi="宋体" w:eastAsia="宋体" w:cs="宋体"/>
          <w:color w:val="auto"/>
          <w:kern w:val="0"/>
          <w:sz w:val="21"/>
          <w:szCs w:val="21"/>
          <w:highlight w:val="none"/>
          <w:lang w:val="en-US" w:eastAsia="zh-CN" w:bidi="ar"/>
        </w:rPr>
        <w:t>第三章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资金托管应提供的资料</w:t>
      </w:r>
      <w:bookmarkEnd w:id="665"/>
    </w:p>
    <w:p w14:paraId="19A020C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第五条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乙方须向丙方提供包括《建设工程施工合同》、经劳务分包或专业分包及监理单位审核的每月农民工工资审核表，并根据丙方有关业务管理规定提交其他材料。乙方向丙方提供的工资审核表需向甲方报备。</w:t>
      </w:r>
    </w:p>
    <w:p w14:paraId="686AAE16">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66" w:name="_Toc22602"/>
      <w:bookmarkEnd w:id="666"/>
      <w:bookmarkStart w:id="667" w:name="_Toc7182"/>
      <w:bookmarkEnd w:id="667"/>
      <w:bookmarkStart w:id="668" w:name="_Toc14901"/>
      <w:r>
        <w:rPr>
          <w:rFonts w:hint="eastAsia" w:ascii="宋体" w:hAnsi="宋体" w:eastAsia="宋体" w:cs="宋体"/>
          <w:color w:val="auto"/>
          <w:kern w:val="0"/>
          <w:sz w:val="21"/>
          <w:szCs w:val="21"/>
          <w:highlight w:val="none"/>
          <w:lang w:val="en-US" w:eastAsia="zh-CN" w:bidi="ar"/>
        </w:rPr>
        <w:t>第四章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工资专用账户资金收付</w:t>
      </w:r>
      <w:bookmarkEnd w:id="668"/>
    </w:p>
    <w:p w14:paraId="3DD4DCB2">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第六条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工资专用账户资金存入</w:t>
      </w:r>
    </w:p>
    <w:p w14:paraId="1C25460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工程开工建设前，甲方应将工资性工程预付款足额拨付到工资专用账户；开工建设后，甲方应于每月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日前将当月工资性工程款足额拨付到工资专用账户，丙方确认资金到账后对账户资金履行管理职责。</w:t>
      </w:r>
    </w:p>
    <w:p w14:paraId="2E159EF9">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工资性工程预付款为合同价(不含安全文明施工费、暂列金及其税金)的</w:t>
      </w:r>
      <w:r>
        <w:rPr>
          <w:rFonts w:hint="eastAsia" w:ascii="宋体" w:hAnsi="宋体" w:eastAsia="宋体" w:cs="Times New Roman"/>
          <w:color w:val="auto"/>
          <w:kern w:val="0"/>
          <w:sz w:val="21"/>
          <w:szCs w:val="21"/>
          <w:highlight w:val="none"/>
          <w:u w:val="single"/>
          <w:lang w:val="en-US" w:eastAsia="zh-CN" w:bidi="ar"/>
        </w:rPr>
        <w:t xml:space="preserve">        </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元</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（如2%等）。</w:t>
      </w:r>
    </w:p>
    <w:p w14:paraId="5DDA250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月工资性工程款=月实际核定的工程款×</w:t>
      </w:r>
      <w:r>
        <w:rPr>
          <w:rFonts w:hint="eastAsia" w:ascii="宋体" w:hAnsi="宋体" w:eastAsia="宋体" w:cs="Times New Roman"/>
          <w:color w:val="auto"/>
          <w:kern w:val="0"/>
          <w:sz w:val="21"/>
          <w:szCs w:val="21"/>
          <w:highlight w:val="none"/>
          <w:u w:val="single"/>
          <w:lang w:val="en-US" w:eastAsia="zh-CN" w:bidi="ar"/>
        </w:rPr>
        <w:t xml:space="preserve">      </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 xml:space="preserve">% </w:t>
      </w:r>
    </w:p>
    <w:p w14:paraId="274E41E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（注：工资性工程款比例不得低于我省建设行业主管部门有关最低规定标准）。</w:t>
      </w:r>
    </w:p>
    <w:p w14:paraId="241C3592">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第七条工资专用账户资金拨付</w:t>
      </w:r>
    </w:p>
    <w:p w14:paraId="0B1BE1A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乙方委托丙方代发农民工工资，代发的农民工个人工资账户信息由乙方提供，其真实性由乙方负责。每月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30 日前，乙方负责将农民工工资审核表及其他代发工资所需材料报丙方，丙方应在收到材料3日内从工资专用账户直接划拨至农民工个人工资账户。工资清单的真实性及准确性由乙方负责。</w:t>
      </w:r>
    </w:p>
    <w:p w14:paraId="488C9183">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第八条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农民工工资监管</w:t>
      </w:r>
    </w:p>
    <w:p w14:paraId="40A4A17B">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专户资金不得挪作他用，一旦发生乙方拖欠农民工工资的情况，经管辖该工程的丁方或戊方核实后，丙方可直接从“农民工工资专用账户”余额（工资性工程预付款）中划拨款项，用于支付所欠农民工工资。同时乙方应于不超过10个工作日内补足该部分工资款。若一方未在规定期限内补足或工资专用账户资金不足，丙方应及时函告丁方，丁方可依据相关规定行使监管职责。</w:t>
      </w:r>
    </w:p>
    <w:p w14:paraId="241187C0">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69" w:name="_Toc4619"/>
      <w:bookmarkEnd w:id="669"/>
      <w:bookmarkStart w:id="670" w:name="_Toc17725"/>
      <w:bookmarkEnd w:id="670"/>
      <w:bookmarkStart w:id="671" w:name="_Toc22185"/>
      <w:r>
        <w:rPr>
          <w:rFonts w:hint="eastAsia" w:ascii="宋体" w:hAnsi="宋体" w:eastAsia="宋体" w:cs="宋体"/>
          <w:color w:val="auto"/>
          <w:kern w:val="0"/>
          <w:sz w:val="21"/>
          <w:szCs w:val="21"/>
          <w:highlight w:val="none"/>
          <w:lang w:val="en-US" w:eastAsia="zh-CN" w:bidi="ar"/>
        </w:rPr>
        <w:t>第五章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协议生效与终止</w:t>
      </w:r>
      <w:bookmarkEnd w:id="671"/>
    </w:p>
    <w:p w14:paraId="672D3DD2">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第九条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本协议经甲、乙、丙、丁、戊五方法定代表人或其委托人签字并加盖公章之日</w:t>
      </w:r>
    </w:p>
    <w:p w14:paraId="4E407F3D">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起生效。工资专用账户撤销，丙方全额解付该托管资金后，该协议终止。</w:t>
      </w:r>
    </w:p>
    <w:p w14:paraId="49F526D0">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72" w:name="_Toc22496"/>
      <w:bookmarkEnd w:id="672"/>
      <w:bookmarkStart w:id="673" w:name="_Toc23450"/>
      <w:bookmarkEnd w:id="673"/>
      <w:bookmarkStart w:id="674" w:name="_Toc9614"/>
      <w:r>
        <w:rPr>
          <w:rFonts w:hint="eastAsia" w:ascii="宋体" w:hAnsi="宋体" w:eastAsia="宋体" w:cs="宋体"/>
          <w:color w:val="auto"/>
          <w:kern w:val="0"/>
          <w:sz w:val="21"/>
          <w:szCs w:val="21"/>
          <w:highlight w:val="none"/>
          <w:lang w:val="en-US" w:eastAsia="zh-CN" w:bidi="ar"/>
        </w:rPr>
        <w:t>第六章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违约责任和免责条件</w:t>
      </w:r>
      <w:bookmarkEnd w:id="674"/>
    </w:p>
    <w:p w14:paraId="0F168112">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在工程建设过程中，甲方未及时拨付工资性工程款，乙方提供虚假资料挪用、套用资金的，按相关规定追究责任。</w:t>
      </w:r>
    </w:p>
    <w:p w14:paraId="3E67407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第十一条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丙方未按照合同约定的支付条件办理资金支付而形成的直接损失，丙方应承担赔偿责任。</w:t>
      </w:r>
    </w:p>
    <w:p w14:paraId="70D51E0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第十二条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如果本协议任何一方因不可抗力不能履行本协议的，可根据不可抗力的影响，部分或全部免除该方的责任。任何一方遭到不可抗力时，应及时通知其他方，并在合理期限内提供不可抗力影响的证明，采取适当措施防止其他方损失的扩大和保护资金的安全。</w:t>
      </w:r>
    </w:p>
    <w:p w14:paraId="1DCB5C26">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0"/>
        <w:rPr>
          <w:rFonts w:hint="eastAsia" w:ascii="宋体" w:hAnsi="宋体" w:eastAsia="宋体" w:cs="Times New Roman"/>
          <w:color w:val="auto"/>
          <w:kern w:val="0"/>
          <w:sz w:val="21"/>
          <w:szCs w:val="21"/>
          <w:highlight w:val="none"/>
        </w:rPr>
      </w:pPr>
      <w:bookmarkStart w:id="675" w:name="_Toc25391"/>
      <w:bookmarkEnd w:id="675"/>
      <w:bookmarkStart w:id="676" w:name="_Toc30227"/>
      <w:bookmarkEnd w:id="676"/>
      <w:bookmarkStart w:id="677" w:name="_Toc14096"/>
      <w:r>
        <w:rPr>
          <w:rFonts w:hint="eastAsia" w:ascii="宋体" w:hAnsi="宋体" w:eastAsia="宋体" w:cs="宋体"/>
          <w:color w:val="auto"/>
          <w:kern w:val="0"/>
          <w:sz w:val="21"/>
          <w:szCs w:val="21"/>
          <w:highlight w:val="none"/>
          <w:lang w:val="en-US" w:eastAsia="zh-CN" w:bidi="ar"/>
        </w:rPr>
        <w:t>第七章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其</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他</w:t>
      </w:r>
      <w:bookmarkEnd w:id="677"/>
    </w:p>
    <w:p w14:paraId="1E5FABF5">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第十三条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除法律、法规规定，以及因本工程专户资金托管业务的需要和甲、乙、丙三方特别约定外，未经三方同意，协议三方不得向外提供涉及甲、乙、丙方商业秘密的资料。</w:t>
      </w:r>
    </w:p>
    <w:p w14:paraId="6BE2E89D">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第十四条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协议的变更。本协议生效后，甲、乙、丙三方中任何一方需要变更协议条款时，应经五方协商一致，并签订补充协议，补充协议与本协议具有同等法律效力。</w:t>
      </w:r>
    </w:p>
    <w:p w14:paraId="333AA514">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第十五条</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本协议一式五份，甲方、乙方、丙方各执壹份，报项目建设行政主管部门、人力社保部门各壹份，每份具有同等法律效力。</w:t>
      </w:r>
    </w:p>
    <w:p w14:paraId="2FE2B346">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029B2D03">
      <w:pPr>
        <w:keepNext w:val="0"/>
        <w:keepLines w:val="0"/>
        <w:widowControl/>
        <w:suppressLineNumbers w:val="0"/>
        <w:adjustRightInd w:val="0"/>
        <w:snapToGrid w:val="0"/>
        <w:spacing w:before="0" w:beforeAutospacing="0" w:after="0" w:afterAutospacing="0" w:line="360" w:lineRule="auto"/>
        <w:ind w:left="0" w:right="0" w:firstLine="420" w:firstLineChars="200"/>
        <w:jc w:val="both"/>
        <w:outlineLvl w:val="1"/>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甲</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方（签章）：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法定代表人：（签字）</w:t>
      </w:r>
    </w:p>
    <w:p w14:paraId="5C79F8D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3A0FA032">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签订日期：</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631D2A7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5A1AA4DC">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7DFC8C11">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乙</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方（签章）：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法定代表人：（签字）</w:t>
      </w:r>
    </w:p>
    <w:p w14:paraId="68DAD3F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签订日期：</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78BF6809">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7494F465">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43913AB2">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丙方（签章）：</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法定代表人：（签字）</w:t>
      </w:r>
    </w:p>
    <w:p w14:paraId="0118C6EA">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402330D2">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签订日期：</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579AD7AD">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18F2AE13">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丁方（盖章）：</w:t>
      </w:r>
      <w:r>
        <w:rPr>
          <w:rFonts w:hint="eastAsia" w:ascii="宋体" w:hAnsi="宋体" w:eastAsia="宋体" w:cs="Times New Roman"/>
          <w:color w:val="auto"/>
          <w:kern w:val="0"/>
          <w:sz w:val="21"/>
          <w:szCs w:val="21"/>
          <w:highlight w:val="none"/>
          <w:lang w:val="en-US" w:eastAsia="zh-CN" w:bidi="ar"/>
        </w:rPr>
        <w:t xml:space="preserve">    </w:t>
      </w:r>
    </w:p>
    <w:p w14:paraId="495754E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26D600AE">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6D652B3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签订日期：</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2C8C6308">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戊方（盖章）：</w:t>
      </w:r>
      <w:r>
        <w:rPr>
          <w:rFonts w:hint="eastAsia" w:ascii="宋体" w:hAnsi="宋体" w:eastAsia="宋体" w:cs="Times New Roman"/>
          <w:color w:val="auto"/>
          <w:kern w:val="0"/>
          <w:sz w:val="21"/>
          <w:szCs w:val="21"/>
          <w:highlight w:val="none"/>
          <w:lang w:val="en-US" w:eastAsia="zh-CN" w:bidi="ar"/>
        </w:rPr>
        <w:t xml:space="preserve">      </w:t>
      </w:r>
    </w:p>
    <w:p w14:paraId="2EF9FBB2">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153E1C9D">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7FAC8C9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签订日期：</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年</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月</w:t>
      </w:r>
      <w:r>
        <w:rPr>
          <w:rFonts w:hint="eastAsia" w:ascii="宋体" w:hAnsi="宋体" w:eastAsia="宋体" w:cs="Times New Roman"/>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日</w:t>
      </w:r>
    </w:p>
    <w:p w14:paraId="79622D9F">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517F72D4">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bidi="ar"/>
        </w:rPr>
        <w:t xml:space="preserve"> </w:t>
      </w:r>
    </w:p>
    <w:p w14:paraId="14CC61F7">
      <w:pPr>
        <w:keepNext w:val="0"/>
        <w:keepLines w:val="0"/>
        <w:widowControl/>
        <w:suppressLineNumbers w:val="0"/>
        <w:adjustRightInd w:val="0"/>
        <w:snapToGrid w:val="0"/>
        <w:spacing w:before="0" w:beforeAutospacing="0" w:after="0" w:afterAutospacing="0" w:line="360" w:lineRule="auto"/>
        <w:ind w:left="0" w:right="0" w:firstLine="420" w:firstLineChars="200"/>
        <w:jc w:val="both"/>
        <w:rPr>
          <w:rFonts w:hint="default" w:ascii="Calibri" w:hAnsi="Calibri" w:eastAsia="宋体" w:cs="Times New Roman"/>
          <w:color w:val="auto"/>
          <w:kern w:val="2"/>
          <w:sz w:val="28"/>
          <w:szCs w:val="28"/>
          <w:highlight w:val="none"/>
        </w:rPr>
      </w:pPr>
      <w:r>
        <w:rPr>
          <w:rFonts w:hint="eastAsia" w:ascii="宋体" w:hAnsi="宋体" w:eastAsia="宋体" w:cs="宋体"/>
          <w:color w:val="auto"/>
          <w:kern w:val="0"/>
          <w:sz w:val="21"/>
          <w:szCs w:val="21"/>
          <w:highlight w:val="none"/>
          <w:lang w:val="en-US" w:eastAsia="zh-CN" w:bidi="ar"/>
        </w:rPr>
        <w:t>（注：本协议为参考文本，在此基础上，协议五方可根据实际情况进行补充。）</w:t>
      </w:r>
    </w:p>
    <w:p w14:paraId="546550F3"/>
    <w:p w14:paraId="6AC639C4">
      <w:pPr>
        <w:keepNext w:val="0"/>
        <w:keepLines w:val="0"/>
        <w:widowControl w:val="0"/>
        <w:suppressLineNumbers w:val="0"/>
        <w:spacing w:before="240" w:beforeLines="100" w:beforeAutospacing="0" w:after="120" w:afterLines="50" w:afterAutospacing="0" w:line="440" w:lineRule="exact"/>
        <w:ind w:left="0" w:right="0"/>
        <w:jc w:val="both"/>
        <w:outlineLvl w:val="0"/>
        <w:rPr>
          <w:rFonts w:hint="eastAsia" w:ascii="宋体" w:hAnsi="宋体" w:eastAsia="宋体" w:cs="宋体"/>
          <w:b/>
          <w:bCs w:val="0"/>
          <w:color w:val="auto"/>
          <w:kern w:val="2"/>
          <w:sz w:val="32"/>
          <w:szCs w:val="32"/>
          <w:highlight w:val="none"/>
        </w:rPr>
      </w:pPr>
      <w:r>
        <w:rPr>
          <w:rFonts w:hint="eastAsia" w:ascii="宋体" w:hAnsi="宋体" w:eastAsia="宋体" w:cs="宋体"/>
          <w:b/>
          <w:bCs w:val="0"/>
          <w:color w:val="auto"/>
          <w:kern w:val="2"/>
          <w:sz w:val="32"/>
          <w:szCs w:val="32"/>
          <w:highlight w:val="none"/>
          <w:lang w:val="en-US" w:eastAsia="zh-CN" w:bidi="ar"/>
        </w:rPr>
        <w:t xml:space="preserve"> </w:t>
      </w:r>
    </w:p>
    <w:p w14:paraId="640640AA">
      <w:pPr>
        <w:keepNext/>
        <w:keepLines/>
        <w:shd w:val="clear" w:color="auto" w:fill="auto"/>
        <w:spacing w:before="340" w:after="330" w:line="360" w:lineRule="auto"/>
        <w:jc w:val="center"/>
        <w:outlineLvl w:val="0"/>
        <w:rPr>
          <w:rFonts w:ascii="宋体" w:hAnsi="宋体"/>
          <w:b/>
          <w:color w:val="auto"/>
          <w:kern w:val="44"/>
          <w:sz w:val="32"/>
          <w:szCs w:val="32"/>
          <w:highlight w:val="none"/>
        </w:rPr>
      </w:pPr>
      <w:bookmarkStart w:id="678" w:name="_Toc15104"/>
      <w:bookmarkStart w:id="679" w:name="_Toc13148"/>
      <w:bookmarkStart w:id="680" w:name="_Toc22870"/>
      <w:bookmarkStart w:id="681" w:name="_Toc22311"/>
      <w:r>
        <w:rPr>
          <w:rFonts w:hint="eastAsia" w:ascii="宋体" w:hAnsi="宋体"/>
          <w:b/>
          <w:color w:val="auto"/>
          <w:kern w:val="44"/>
          <w:sz w:val="32"/>
          <w:szCs w:val="32"/>
          <w:highlight w:val="none"/>
        </w:rPr>
        <w:br w:type="page"/>
      </w:r>
      <w:r>
        <w:rPr>
          <w:rFonts w:hint="eastAsia" w:ascii="宋体" w:hAnsi="宋体"/>
          <w:b/>
          <w:color w:val="auto"/>
          <w:kern w:val="44"/>
          <w:sz w:val="32"/>
          <w:szCs w:val="32"/>
          <w:highlight w:val="none"/>
        </w:rPr>
        <w:t>第五章</w:t>
      </w:r>
      <w:bookmarkEnd w:id="678"/>
      <w:r>
        <w:rPr>
          <w:rFonts w:hint="eastAsia" w:ascii="宋体" w:hAnsi="宋体"/>
          <w:b/>
          <w:color w:val="auto"/>
          <w:kern w:val="44"/>
          <w:sz w:val="32"/>
          <w:szCs w:val="32"/>
          <w:highlight w:val="none"/>
        </w:rPr>
        <w:t xml:space="preserve">  </w:t>
      </w:r>
      <w:r>
        <w:rPr>
          <w:rFonts w:hint="eastAsia" w:ascii="宋体" w:hAnsi="宋体"/>
          <w:b/>
          <w:color w:val="auto"/>
          <w:kern w:val="44"/>
          <w:sz w:val="32"/>
          <w:szCs w:val="32"/>
          <w:highlight w:val="none"/>
          <w:lang w:val="en-US" w:eastAsia="zh-CN"/>
        </w:rPr>
        <w:t>发包人</w:t>
      </w:r>
      <w:r>
        <w:rPr>
          <w:rFonts w:hint="eastAsia" w:ascii="宋体" w:hAnsi="宋体"/>
          <w:b/>
          <w:color w:val="auto"/>
          <w:kern w:val="44"/>
          <w:sz w:val="32"/>
          <w:szCs w:val="32"/>
          <w:highlight w:val="none"/>
        </w:rPr>
        <w:t>要求</w:t>
      </w:r>
      <w:bookmarkEnd w:id="679"/>
      <w:bookmarkEnd w:id="680"/>
      <w:bookmarkEnd w:id="681"/>
    </w:p>
    <w:p w14:paraId="2592527C">
      <w:pPr>
        <w:keepNext w:val="0"/>
        <w:keepLines w:val="0"/>
        <w:pageBreakBefore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一、工程范围</w:t>
      </w:r>
    </w:p>
    <w:p w14:paraId="0267F3D5">
      <w:pPr>
        <w:autoSpaceDE w:val="0"/>
        <w:autoSpaceDN w:val="0"/>
        <w:adjustRightInd w:val="0"/>
        <w:spacing w:line="360" w:lineRule="auto"/>
        <w:ind w:firstLine="422" w:firstLineChars="200"/>
        <w:jc w:val="left"/>
        <w:rPr>
          <w:rFonts w:ascii="宋体" w:hAnsi="Times New Roman" w:eastAsia="宋体" w:cs="宋体"/>
          <w:color w:val="auto"/>
          <w:kern w:val="0"/>
          <w:szCs w:val="21"/>
          <w:highlight w:val="none"/>
          <w:lang w:val="zh-CN"/>
        </w:rPr>
      </w:pPr>
      <w:r>
        <w:rPr>
          <w:rFonts w:hint="eastAsia" w:ascii="宋体" w:hAnsi="Times New Roman" w:eastAsia="宋体" w:cs="宋体"/>
          <w:b/>
          <w:color w:val="auto"/>
          <w:kern w:val="0"/>
          <w:szCs w:val="21"/>
          <w:highlight w:val="none"/>
          <w:lang w:val="zh-CN"/>
        </w:rPr>
        <w:t>①设计：</w:t>
      </w:r>
      <w:r>
        <w:rPr>
          <w:rFonts w:hint="eastAsia" w:ascii="宋体" w:hAnsi="Times New Roman" w:eastAsia="宋体" w:cs="宋体"/>
          <w:color w:val="auto"/>
          <w:kern w:val="0"/>
          <w:szCs w:val="21"/>
          <w:highlight w:val="none"/>
        </w:rPr>
        <w:t>包括但不限于</w:t>
      </w:r>
      <w:r>
        <w:rPr>
          <w:rFonts w:hint="eastAsia" w:ascii="宋体" w:hAnsi="Times New Roman" w:eastAsia="宋体" w:cs="宋体"/>
          <w:color w:val="auto"/>
          <w:kern w:val="0"/>
          <w:szCs w:val="21"/>
          <w:highlight w:val="none"/>
          <w:lang w:val="zh-CN"/>
        </w:rPr>
        <w:t>根据招标人要求，完成本项目所有专业施工图设计、施工图预算编制、配合施工图图审、设计文件报审报批及施工阶段服务等内容，以及各阶段、各部门审批提出的设计文件的修改和施工过程中招标人提出的变更设计等内容。</w:t>
      </w:r>
    </w:p>
    <w:p w14:paraId="587C4239">
      <w:pPr>
        <w:autoSpaceDE w:val="0"/>
        <w:autoSpaceDN w:val="0"/>
        <w:adjustRightInd w:val="0"/>
        <w:spacing w:line="360" w:lineRule="auto"/>
        <w:ind w:firstLine="422" w:firstLineChars="200"/>
        <w:jc w:val="left"/>
        <w:rPr>
          <w:rFonts w:ascii="Times New Roman" w:hAnsi="Times New Roman" w:eastAsia="宋体" w:cs="Times New Roman"/>
          <w:color w:val="auto"/>
          <w:szCs w:val="28"/>
          <w:highlight w:val="none"/>
        </w:rPr>
      </w:pPr>
      <w:r>
        <w:rPr>
          <w:rFonts w:hint="eastAsia" w:ascii="宋体" w:hAnsi="宋体" w:eastAsia="宋体" w:cs="宋体"/>
          <w:b/>
          <w:bCs/>
          <w:color w:val="auto"/>
          <w:szCs w:val="21"/>
          <w:highlight w:val="none"/>
        </w:rPr>
        <w:t>②</w:t>
      </w:r>
      <w:r>
        <w:rPr>
          <w:rFonts w:hint="eastAsia" w:ascii="宋体" w:hAnsi="Times New Roman" w:eastAsia="宋体" w:cs="宋体"/>
          <w:b/>
          <w:bCs/>
          <w:color w:val="auto"/>
          <w:kern w:val="0"/>
          <w:szCs w:val="21"/>
          <w:highlight w:val="none"/>
          <w:lang w:val="zh-CN"/>
        </w:rPr>
        <w:t>施工：</w:t>
      </w:r>
      <w:r>
        <w:rPr>
          <w:rFonts w:hint="eastAsia" w:ascii="Times New Roman" w:hAnsi="Times New Roman" w:eastAsia="宋体" w:cs="Times New Roman"/>
          <w:color w:val="auto"/>
          <w:szCs w:val="28"/>
          <w:highlight w:val="none"/>
        </w:rPr>
        <w:t>包括但不限于</w:t>
      </w:r>
      <w:r>
        <w:rPr>
          <w:rFonts w:hint="eastAsia" w:ascii="Times New Roman" w:hAnsi="Times New Roman" w:eastAsia="宋体" w:cs="Times New Roman"/>
          <w:color w:val="auto"/>
          <w:szCs w:val="28"/>
          <w:highlight w:val="none"/>
          <w:lang w:val="en-US" w:eastAsia="zh-CN"/>
        </w:rPr>
        <w:t>对220kV 芳赤24M1线、芳柯24M2线、110千伏赤黄1879 线、赤州1881线路改迁</w:t>
      </w:r>
      <w:r>
        <w:rPr>
          <w:rFonts w:hint="eastAsia" w:ascii="Times New Roman" w:hAnsi="Times New Roman" w:eastAsia="宋体" w:cs="Times New Roman"/>
          <w:color w:val="auto"/>
          <w:szCs w:val="28"/>
          <w:highlight w:val="none"/>
        </w:rPr>
        <w:t>电力线路、杆塔施工和拆旧等</w:t>
      </w:r>
      <w:r>
        <w:rPr>
          <w:rFonts w:hint="eastAsia" w:ascii="宋体" w:hAnsi="Times New Roman" w:eastAsia="宋体" w:cs="宋体"/>
          <w:color w:val="auto"/>
          <w:kern w:val="0"/>
          <w:szCs w:val="21"/>
          <w:highlight w:val="none"/>
        </w:rPr>
        <w:t>以及为完成本工程所需的所有措施项目、竣工验收及保修服务。</w:t>
      </w:r>
    </w:p>
    <w:p w14:paraId="12AC910B">
      <w:pPr>
        <w:spacing w:line="360" w:lineRule="auto"/>
        <w:ind w:firstLine="422" w:firstLineChars="200"/>
        <w:jc w:val="left"/>
        <w:rPr>
          <w:rFonts w:ascii="宋体" w:hAnsi="宋体" w:eastAsia="宋体" w:cs="宋体"/>
          <w:color w:val="auto"/>
          <w:szCs w:val="24"/>
          <w:highlight w:val="none"/>
        </w:rPr>
      </w:pPr>
      <w:r>
        <w:rPr>
          <w:rFonts w:hint="eastAsia" w:ascii="宋体" w:hAnsi="宋体" w:eastAsia="宋体" w:cs="宋体"/>
          <w:b/>
          <w:bCs/>
          <w:color w:val="auto"/>
          <w:szCs w:val="21"/>
          <w:highlight w:val="none"/>
        </w:rPr>
        <w:t>③</w:t>
      </w:r>
      <w:r>
        <w:rPr>
          <w:rFonts w:hint="eastAsia" w:ascii="宋体" w:hAnsi="Times New Roman" w:eastAsia="宋体" w:cs="宋体"/>
          <w:b/>
          <w:bCs/>
          <w:color w:val="auto"/>
          <w:kern w:val="0"/>
          <w:szCs w:val="21"/>
          <w:highlight w:val="none"/>
          <w:lang w:val="zh-CN"/>
        </w:rPr>
        <w:t>采购：</w:t>
      </w:r>
      <w:r>
        <w:rPr>
          <w:rFonts w:hint="eastAsia" w:ascii="宋体" w:hAnsi="Times New Roman" w:eastAsia="宋体" w:cs="宋体"/>
          <w:color w:val="auto"/>
          <w:kern w:val="0"/>
          <w:szCs w:val="21"/>
          <w:highlight w:val="none"/>
        </w:rPr>
        <w:t>包括但不限于</w:t>
      </w:r>
      <w:r>
        <w:rPr>
          <w:rFonts w:hint="eastAsia" w:ascii="宋体" w:hAnsi="Times New Roman" w:eastAsia="宋体" w:cs="宋体"/>
          <w:color w:val="auto"/>
          <w:kern w:val="0"/>
          <w:szCs w:val="21"/>
          <w:highlight w:val="none"/>
          <w:lang w:val="zh-CN"/>
        </w:rPr>
        <w:t>本项目所涉及的</w:t>
      </w:r>
      <w:r>
        <w:rPr>
          <w:rFonts w:hint="eastAsia" w:ascii="宋体" w:hAnsi="宋体" w:eastAsia="宋体" w:cs="宋体"/>
          <w:color w:val="auto"/>
          <w:szCs w:val="24"/>
          <w:highlight w:val="none"/>
        </w:rPr>
        <w:t>设施设备材料采购、运输、保管、安装及调试（试运行）、移交以及质保期内的保修服务等。</w:t>
      </w:r>
    </w:p>
    <w:p w14:paraId="59EF4A87">
      <w:pPr>
        <w:spacing w:line="360" w:lineRule="auto"/>
        <w:ind w:firstLine="422" w:firstLineChars="200"/>
        <w:jc w:val="left"/>
        <w:rPr>
          <w:rFonts w:ascii="宋体" w:hAnsi="Times New Roman" w:eastAsia="宋体" w:cs="宋体"/>
          <w:color w:val="auto"/>
          <w:kern w:val="0"/>
          <w:szCs w:val="21"/>
          <w:highlight w:val="none"/>
          <w:lang w:val="zh-CN"/>
        </w:rPr>
      </w:pPr>
      <w:r>
        <w:rPr>
          <w:rFonts w:hint="eastAsia" w:ascii="宋体" w:hAnsi="宋体" w:eastAsia="宋体" w:cs="宋体"/>
          <w:b/>
          <w:bCs/>
          <w:color w:val="auto"/>
          <w:szCs w:val="21"/>
          <w:highlight w:val="none"/>
        </w:rPr>
        <w:t>④</w:t>
      </w:r>
      <w:r>
        <w:rPr>
          <w:rFonts w:hint="eastAsia" w:ascii="宋体" w:hAnsi="Times New Roman" w:eastAsia="宋体" w:cs="宋体"/>
          <w:b/>
          <w:bCs/>
          <w:color w:val="auto"/>
          <w:kern w:val="0"/>
          <w:szCs w:val="21"/>
          <w:highlight w:val="none"/>
          <w:lang w:val="zh-CN"/>
        </w:rPr>
        <w:t>总承包管理和服务内容：</w:t>
      </w:r>
      <w:r>
        <w:rPr>
          <w:rFonts w:hint="eastAsia" w:ascii="宋体" w:hAnsi="Times New Roman" w:eastAsia="宋体" w:cs="宋体"/>
          <w:color w:val="auto"/>
          <w:kern w:val="0"/>
          <w:szCs w:val="21"/>
          <w:highlight w:val="none"/>
          <w:lang w:val="zh-CN"/>
        </w:rPr>
        <w:t>包括但不限于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如有)、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p>
    <w:p w14:paraId="325C47F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⑤从初步设计论证完成至竣工验收、项目移交完成所产生的所有工作及费用均由投标人承担（除招标文件约定的由招标人承担的工作和费用外）。</w:t>
      </w:r>
    </w:p>
    <w:p w14:paraId="712755FE">
      <w:pPr>
        <w:keepNext w:val="0"/>
        <w:keepLines w:val="0"/>
        <w:pageBreakBefore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二、工期要求</w:t>
      </w:r>
    </w:p>
    <w:p w14:paraId="5AF94B41">
      <w:pPr>
        <w:pStyle w:val="10"/>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val="en-US" w:eastAsia="zh-CN"/>
        </w:rPr>
        <w:t>90</w:t>
      </w:r>
      <w:r>
        <w:rPr>
          <w:rFonts w:hint="eastAsia" w:ascii="宋体" w:hAnsi="宋体" w:eastAsia="宋体" w:cs="宋体"/>
          <w:color w:val="auto"/>
          <w:sz w:val="21"/>
          <w:szCs w:val="21"/>
          <w:highlight w:val="none"/>
          <w:u w:val="single"/>
        </w:rPr>
        <w:t>个日历天（</w:t>
      </w:r>
      <w:r>
        <w:rPr>
          <w:rFonts w:hint="eastAsia" w:ascii="宋体" w:hAnsi="宋体" w:eastAsia="宋体" w:cs="宋体"/>
          <w:color w:val="auto"/>
          <w:sz w:val="21"/>
          <w:szCs w:val="21"/>
          <w:highlight w:val="none"/>
          <w:u w:val="single"/>
          <w:lang w:eastAsia="zh-CN"/>
        </w:rPr>
        <w:t>含</w:t>
      </w:r>
      <w:r>
        <w:rPr>
          <w:rFonts w:hint="eastAsia" w:ascii="宋体" w:hAnsi="宋体" w:eastAsia="宋体" w:cs="宋体"/>
          <w:color w:val="auto"/>
          <w:sz w:val="21"/>
          <w:szCs w:val="21"/>
          <w:highlight w:val="none"/>
          <w:u w:val="single"/>
        </w:rPr>
        <w:t>施工图设计）</w:t>
      </w:r>
      <w:r>
        <w:rPr>
          <w:rFonts w:hint="eastAsia" w:ascii="宋体" w:hAnsi="宋体"/>
          <w:color w:val="auto"/>
          <w:sz w:val="21"/>
          <w:szCs w:val="21"/>
          <w:u w:val="single"/>
        </w:rPr>
        <w:t>中标通知书发出后</w:t>
      </w:r>
      <w:r>
        <w:rPr>
          <w:rFonts w:hint="eastAsia" w:ascii="宋体" w:hAnsi="宋体"/>
          <w:color w:val="auto"/>
          <w:sz w:val="21"/>
          <w:szCs w:val="21"/>
          <w:u w:val="single"/>
          <w:lang w:val="en-US" w:eastAsia="zh-CN"/>
        </w:rPr>
        <w:t>15</w:t>
      </w:r>
      <w:r>
        <w:rPr>
          <w:rFonts w:hint="eastAsia" w:ascii="宋体" w:hAnsi="宋体"/>
          <w:color w:val="auto"/>
          <w:sz w:val="21"/>
          <w:szCs w:val="21"/>
          <w:u w:val="single"/>
        </w:rPr>
        <w:t>日内完成施工图设计，</w:t>
      </w:r>
      <w:r>
        <w:rPr>
          <w:rFonts w:hint="eastAsia" w:ascii="宋体" w:hAnsi="宋体"/>
          <w:color w:val="auto"/>
          <w:sz w:val="21"/>
          <w:szCs w:val="21"/>
          <w:u w:val="single"/>
          <w:lang w:val="en-US" w:eastAsia="zh-CN"/>
        </w:rPr>
        <w:t>施工图审查通过后15日内完成施工图预算及评审。</w:t>
      </w:r>
    </w:p>
    <w:p w14:paraId="4BD7D4F9">
      <w:pPr>
        <w:keepNext w:val="0"/>
        <w:keepLines w:val="0"/>
        <w:pageBreakBefore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三、质量要求</w:t>
      </w:r>
    </w:p>
    <w:p w14:paraId="6C54AC45">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设计质量标准：满足国家、行业及地方现行技术标准、设计规范及初步设计图纸的要求；</w:t>
      </w:r>
    </w:p>
    <w:p w14:paraId="14B78B74">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工程所有物资（设备）采购质量标准：符合招标文件、设计图纸及有关标准、规范的要求、进场前组织样品确认后，方可使用；</w:t>
      </w:r>
    </w:p>
    <w:p w14:paraId="09C5C0E1">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施工质量标准：符合国家、行业及地方现行建设工程施工质量验收规范和标准及施工图纸要求，一次性验收合格。</w:t>
      </w:r>
    </w:p>
    <w:p w14:paraId="44B48E5D">
      <w:pPr>
        <w:keepNext w:val="0"/>
        <w:keepLines w:val="0"/>
        <w:pageBreakBefore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四、设计现场服务要求</w:t>
      </w:r>
    </w:p>
    <w:p w14:paraId="59A91ABB">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1、驻地设计代表1人，在工程的图纸会审、中间验收、竣工验收、工程质量处理等，属于重大设计问题的须在3天内书面提出解决意见。对设计图纸与现场不符之处，应及时提出解决办法。</w:t>
      </w:r>
    </w:p>
    <w:p w14:paraId="7D484EBB">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2、要与其它专业设计单位，作好对接，保证施工图纸的衔接。</w:t>
      </w:r>
    </w:p>
    <w:p w14:paraId="616FD2A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五、竣工验收</w:t>
      </w:r>
    </w:p>
    <w:p w14:paraId="1C977D9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按现行规范要求。</w:t>
      </w:r>
    </w:p>
    <w:p w14:paraId="353B829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六、文件要求</w:t>
      </w:r>
    </w:p>
    <w:p w14:paraId="4F07489E">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（一）设计文件，及其相关审批、核准、备案要求：</w:t>
      </w:r>
    </w:p>
    <w:p w14:paraId="21AEBB3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施工图设计文件需经发包人及相关职能部门批准及审图公司审核后实施。</w:t>
      </w:r>
    </w:p>
    <w:p w14:paraId="04C2F9D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弱电方案及景观照明方案需经发包人批准。</w:t>
      </w:r>
    </w:p>
    <w:p w14:paraId="4B32761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（二）竣工文件和工程的其他记录：</w:t>
      </w:r>
    </w:p>
    <w:p w14:paraId="0C02963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由承包人按现行规范要求提交发包人。</w:t>
      </w:r>
    </w:p>
    <w:p w14:paraId="5D425061">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（三）操作和维修手册：</w:t>
      </w:r>
    </w:p>
    <w:p w14:paraId="6F0EC3E6">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承包人应提供相关主要设备的操作和维修手册。</w:t>
      </w:r>
    </w:p>
    <w:p w14:paraId="38E6756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七、工程项目管理规定</w:t>
      </w:r>
    </w:p>
    <w:p w14:paraId="122BB940">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（一）质量：符合现行建设工程施工质量验收规范和标准及施工图纸要求，一次性通过验收。</w:t>
      </w:r>
    </w:p>
    <w:p w14:paraId="6B1DDA32">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（二）进度，包括里程碑进度计划（如果有）：按现行规范要求。</w:t>
      </w:r>
    </w:p>
    <w:p w14:paraId="4538F36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（三）支付：见合同专用条款。</w:t>
      </w:r>
    </w:p>
    <w:p w14:paraId="72C9CF78">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（四）HSE（健康、安全与环境管理体系）：见合同通用条款。</w:t>
      </w:r>
    </w:p>
    <w:p w14:paraId="2684B8DF">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（五）变更：见合同专用条款。</w:t>
      </w:r>
    </w:p>
    <w:p w14:paraId="5C5133F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八、其他要求</w:t>
      </w:r>
    </w:p>
    <w:p w14:paraId="7EA385D9">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（一）相关审批、核准和备案手续的办理：承包人应办理在衢州的相关备案手续。</w:t>
      </w:r>
    </w:p>
    <w:p w14:paraId="1A65728C">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（二）分包：见合同专用条款。</w:t>
      </w:r>
    </w:p>
    <w:p w14:paraId="0FC2617A">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（三）设备供应商：见合同通用条款。</w:t>
      </w:r>
    </w:p>
    <w:p w14:paraId="569BD46C">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color w:val="auto"/>
          <w:kern w:val="2"/>
          <w:sz w:val="21"/>
          <w:szCs w:val="21"/>
          <w:highlight w:val="none"/>
        </w:rPr>
      </w:pPr>
      <w:r>
        <w:rPr>
          <w:rFonts w:hint="eastAsia" w:ascii="宋体" w:hAnsi="宋体" w:eastAsia="宋体" w:cs="宋体"/>
          <w:color w:val="auto"/>
          <w:sz w:val="21"/>
          <w:szCs w:val="21"/>
          <w:highlight w:val="none"/>
        </w:rPr>
        <w:t>（四）缺陷责任期的服务要求：见合同通用条款。</w:t>
      </w:r>
    </w:p>
    <w:p w14:paraId="48699A03">
      <w:pPr>
        <w:pStyle w:val="34"/>
        <w:keepNext w:val="0"/>
        <w:keepLines w:val="0"/>
        <w:pageBreakBefore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九、承包人文件要求</w:t>
      </w:r>
    </w:p>
    <w:p w14:paraId="3D84517B">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指由承包人应提交的所有图纸、手册、计算书和其他文件。本项目指承包人应提供设计范围：</w:t>
      </w:r>
      <w:r>
        <w:rPr>
          <w:rFonts w:hint="eastAsia" w:ascii="宋体" w:hAnsi="宋体" w:cs="宋体"/>
          <w:color w:val="auto"/>
          <w:sz w:val="21"/>
          <w:szCs w:val="21"/>
          <w:highlight w:val="none"/>
          <w:u w:val="single"/>
          <w:lang w:eastAsia="zh-CN"/>
        </w:rPr>
        <w:t>220kV芳赤24M1线-芳柯24M2线、110kV赤黄1879线-赤州1881线迁改移位工程工程总承包(EPC)</w:t>
      </w:r>
      <w:r>
        <w:rPr>
          <w:rFonts w:hint="eastAsia" w:ascii="宋体" w:hAnsi="宋体" w:eastAsia="宋体" w:cs="宋体"/>
          <w:color w:val="auto"/>
          <w:sz w:val="21"/>
          <w:szCs w:val="21"/>
          <w:highlight w:val="none"/>
          <w:u w:val="single"/>
        </w:rPr>
        <w:t>的所有设计工作内容含初步设计深化及施工图设计</w:t>
      </w:r>
      <w:r>
        <w:rPr>
          <w:rFonts w:hint="eastAsia" w:ascii="宋体" w:hAnsi="宋体" w:eastAsia="宋体" w:cs="宋体"/>
          <w:color w:val="auto"/>
          <w:sz w:val="21"/>
          <w:szCs w:val="21"/>
          <w:highlight w:val="none"/>
        </w:rPr>
        <w:t>。</w:t>
      </w:r>
    </w:p>
    <w:p w14:paraId="6D426C6B">
      <w:pPr>
        <w:keepNext w:val="0"/>
        <w:keepLines w:val="0"/>
        <w:pageBreakBefore w:val="0"/>
        <w:shd w:val="clear" w:color="auto" w:fill="auto"/>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设计要求：满足国家、行业颁布现行的标准、规范和规定。</w:t>
      </w:r>
    </w:p>
    <w:p w14:paraId="6EFC0BE8">
      <w:pPr>
        <w:pStyle w:val="8"/>
        <w:rPr>
          <w:rFonts w:ascii="宋体" w:hAnsi="宋体"/>
          <w:color w:val="auto"/>
          <w:sz w:val="44"/>
          <w:szCs w:val="44"/>
          <w:highlight w:val="none"/>
        </w:rPr>
      </w:pPr>
    </w:p>
    <w:p w14:paraId="36EC9A35">
      <w:pPr>
        <w:rPr>
          <w:color w:val="auto"/>
          <w:highlight w:val="none"/>
        </w:rPr>
      </w:pPr>
    </w:p>
    <w:p w14:paraId="47B38E32">
      <w:pPr>
        <w:shd w:val="clear" w:color="auto" w:fill="auto"/>
        <w:adjustRightInd w:val="0"/>
        <w:spacing w:before="240" w:after="60" w:line="420" w:lineRule="atLeast"/>
        <w:jc w:val="center"/>
        <w:textAlignment w:val="baseline"/>
        <w:rPr>
          <w:rFonts w:hint="eastAsia" w:ascii="宋体" w:hAnsi="宋体"/>
          <w:color w:val="auto"/>
          <w:sz w:val="44"/>
          <w:szCs w:val="44"/>
          <w:highlight w:val="none"/>
          <w:lang w:eastAsia="zh-CN"/>
        </w:rPr>
      </w:pPr>
    </w:p>
    <w:p w14:paraId="0D141EB7">
      <w:pPr>
        <w:shd w:val="clear" w:color="auto" w:fill="auto"/>
        <w:adjustRightInd w:val="0"/>
        <w:spacing w:before="240" w:after="60" w:line="420" w:lineRule="atLeast"/>
        <w:jc w:val="center"/>
        <w:textAlignment w:val="baseline"/>
        <w:rPr>
          <w:rFonts w:hint="eastAsia" w:ascii="宋体" w:hAnsi="宋体"/>
          <w:color w:val="auto"/>
          <w:sz w:val="44"/>
          <w:szCs w:val="44"/>
          <w:highlight w:val="none"/>
          <w:lang w:eastAsia="zh-CN"/>
        </w:rPr>
      </w:pPr>
    </w:p>
    <w:p w14:paraId="0B5DA02B">
      <w:pPr>
        <w:shd w:val="clear" w:color="auto" w:fill="auto"/>
        <w:adjustRightInd w:val="0"/>
        <w:spacing w:before="240" w:after="60" w:line="420" w:lineRule="atLeast"/>
        <w:jc w:val="center"/>
        <w:textAlignment w:val="baseline"/>
        <w:rPr>
          <w:rFonts w:hint="eastAsia" w:ascii="宋体" w:hAnsi="宋体"/>
          <w:color w:val="auto"/>
          <w:sz w:val="44"/>
          <w:szCs w:val="44"/>
          <w:highlight w:val="none"/>
          <w:lang w:eastAsia="zh-CN"/>
        </w:rPr>
      </w:pPr>
    </w:p>
    <w:p w14:paraId="61141F12">
      <w:pPr>
        <w:shd w:val="clear" w:color="auto" w:fill="auto"/>
        <w:adjustRightInd w:val="0"/>
        <w:spacing w:before="240" w:after="60" w:line="420" w:lineRule="atLeast"/>
        <w:jc w:val="center"/>
        <w:textAlignment w:val="baseline"/>
        <w:rPr>
          <w:rFonts w:hint="eastAsia" w:ascii="宋体" w:hAnsi="宋体"/>
          <w:color w:val="auto"/>
          <w:sz w:val="44"/>
          <w:szCs w:val="44"/>
          <w:highlight w:val="none"/>
          <w:lang w:eastAsia="zh-CN"/>
        </w:rPr>
      </w:pPr>
      <w:r>
        <w:rPr>
          <w:rFonts w:hint="eastAsia" w:ascii="宋体" w:hAnsi="宋体"/>
          <w:color w:val="auto"/>
          <w:sz w:val="44"/>
          <w:szCs w:val="44"/>
          <w:highlight w:val="none"/>
          <w:lang w:eastAsia="zh-CN"/>
        </w:rPr>
        <w:t>设计任务书</w:t>
      </w:r>
    </w:p>
    <w:p w14:paraId="62E4A97B">
      <w:pPr>
        <w:pStyle w:val="10"/>
        <w:rPr>
          <w:rFonts w:hint="eastAsia" w:ascii="宋体" w:hAnsi="宋体"/>
          <w:color w:val="auto"/>
          <w:szCs w:val="21"/>
          <w:highlight w:val="none"/>
          <w:lang w:val="en-US" w:eastAsia="zh-CN"/>
        </w:rPr>
      </w:pPr>
    </w:p>
    <w:p w14:paraId="22F85E7A">
      <w:pPr>
        <w:pStyle w:val="1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具体详见初步设计图纸。</w:t>
      </w:r>
    </w:p>
    <w:p w14:paraId="6FD32ECB">
      <w:pPr>
        <w:shd w:val="clear" w:color="auto" w:fill="auto"/>
        <w:adjustRightInd w:val="0"/>
        <w:spacing w:before="240" w:after="60" w:line="420" w:lineRule="atLeast"/>
        <w:jc w:val="center"/>
        <w:textAlignment w:val="baseline"/>
        <w:rPr>
          <w:rFonts w:hint="eastAsia" w:ascii="宋体" w:hAnsi="宋体"/>
          <w:color w:val="auto"/>
          <w:sz w:val="44"/>
          <w:szCs w:val="44"/>
          <w:highlight w:val="none"/>
          <w:lang w:eastAsia="zh-CN"/>
        </w:rPr>
      </w:pPr>
    </w:p>
    <w:p w14:paraId="6E0590E7">
      <w:pPr>
        <w:shd w:val="clear" w:color="auto" w:fill="auto"/>
        <w:adjustRightInd w:val="0"/>
        <w:spacing w:before="240" w:after="60" w:line="420" w:lineRule="atLeast"/>
        <w:jc w:val="center"/>
        <w:textAlignment w:val="baseline"/>
        <w:rPr>
          <w:rFonts w:ascii="宋体" w:hAnsi="宋体"/>
          <w:color w:val="auto"/>
          <w:sz w:val="44"/>
          <w:szCs w:val="44"/>
          <w:highlight w:val="none"/>
        </w:rPr>
      </w:pPr>
    </w:p>
    <w:p w14:paraId="0FA49571">
      <w:pPr>
        <w:shd w:val="clear" w:color="auto" w:fill="auto"/>
        <w:adjustRightInd w:val="0"/>
        <w:spacing w:before="240" w:after="60" w:line="420" w:lineRule="atLeast"/>
        <w:jc w:val="center"/>
        <w:textAlignment w:val="baseline"/>
        <w:rPr>
          <w:rFonts w:ascii="宋体" w:hAnsi="宋体"/>
          <w:color w:val="auto"/>
          <w:sz w:val="44"/>
          <w:szCs w:val="44"/>
          <w:highlight w:val="none"/>
        </w:rPr>
      </w:pPr>
    </w:p>
    <w:p w14:paraId="72EF69DB">
      <w:pPr>
        <w:shd w:val="clear" w:color="auto" w:fill="auto"/>
        <w:adjustRightInd w:val="0"/>
        <w:spacing w:before="240" w:after="60" w:line="420" w:lineRule="atLeast"/>
        <w:jc w:val="center"/>
        <w:textAlignment w:val="baseline"/>
        <w:rPr>
          <w:rFonts w:ascii="宋体" w:hAnsi="宋体"/>
          <w:color w:val="auto"/>
          <w:sz w:val="44"/>
          <w:szCs w:val="44"/>
          <w:highlight w:val="none"/>
        </w:rPr>
      </w:pPr>
    </w:p>
    <w:p w14:paraId="69E9E8E6">
      <w:pPr>
        <w:shd w:val="clear" w:color="auto" w:fill="auto"/>
        <w:adjustRightInd w:val="0"/>
        <w:spacing w:before="240" w:after="60" w:line="420" w:lineRule="atLeast"/>
        <w:jc w:val="center"/>
        <w:textAlignment w:val="baseline"/>
        <w:rPr>
          <w:rFonts w:ascii="宋体" w:hAnsi="宋体"/>
          <w:color w:val="auto"/>
          <w:sz w:val="44"/>
          <w:szCs w:val="44"/>
          <w:highlight w:val="none"/>
        </w:rPr>
      </w:pPr>
    </w:p>
    <w:p w14:paraId="280666E4">
      <w:pPr>
        <w:pStyle w:val="10"/>
        <w:shd w:val="clear" w:color="auto" w:fill="auto"/>
        <w:spacing w:line="300" w:lineRule="auto"/>
        <w:ind w:firstLine="0"/>
        <w:rPr>
          <w:rFonts w:ascii="宋体" w:hAnsi="宋体" w:cs="宋体"/>
          <w:color w:val="auto"/>
          <w:sz w:val="10"/>
          <w:szCs w:val="10"/>
          <w:highlight w:val="none"/>
        </w:rPr>
      </w:pPr>
      <w:r>
        <w:rPr>
          <w:rFonts w:hint="eastAsia" w:ascii="宋体" w:hAnsi="宋体"/>
          <w:b/>
          <w:bCs/>
          <w:color w:val="auto"/>
          <w:sz w:val="44"/>
          <w:szCs w:val="44"/>
          <w:highlight w:val="none"/>
        </w:rPr>
        <w:br w:type="page"/>
      </w:r>
    </w:p>
    <w:p w14:paraId="5E65CCD0">
      <w:pPr>
        <w:shd w:val="clear" w:color="auto" w:fill="auto"/>
        <w:spacing w:line="300" w:lineRule="auto"/>
        <w:rPr>
          <w:rFonts w:ascii="宋体" w:hAnsi="宋体" w:cs="宋体"/>
          <w:color w:val="auto"/>
          <w:highlight w:val="none"/>
        </w:rPr>
      </w:pPr>
    </w:p>
    <w:p w14:paraId="09AD2E30">
      <w:pPr>
        <w:keepNext/>
        <w:keepLines/>
        <w:shd w:val="clear" w:color="auto" w:fill="auto"/>
        <w:spacing w:line="300" w:lineRule="auto"/>
        <w:jc w:val="center"/>
        <w:outlineLvl w:val="0"/>
        <w:rPr>
          <w:rFonts w:ascii="宋体" w:hAnsi="宋体" w:cs="宋体"/>
          <w:b/>
          <w:color w:val="auto"/>
          <w:kern w:val="44"/>
          <w:sz w:val="32"/>
          <w:szCs w:val="32"/>
          <w:highlight w:val="none"/>
        </w:rPr>
      </w:pPr>
      <w:bookmarkStart w:id="682" w:name="_Toc25370"/>
      <w:bookmarkStart w:id="683" w:name="_Toc23894"/>
      <w:bookmarkStart w:id="684" w:name="_Toc1207"/>
      <w:bookmarkStart w:id="685" w:name="_Toc4976"/>
      <w:r>
        <w:rPr>
          <w:rFonts w:hint="eastAsia" w:ascii="宋体" w:hAnsi="宋体" w:cs="宋体"/>
          <w:b/>
          <w:color w:val="auto"/>
          <w:kern w:val="44"/>
          <w:sz w:val="32"/>
          <w:szCs w:val="32"/>
          <w:highlight w:val="none"/>
        </w:rPr>
        <w:t>第六章 发包人提供的资料</w:t>
      </w:r>
      <w:bookmarkEnd w:id="682"/>
      <w:bookmarkEnd w:id="683"/>
      <w:bookmarkEnd w:id="684"/>
      <w:bookmarkEnd w:id="685"/>
    </w:p>
    <w:p w14:paraId="33A565E3">
      <w:pPr>
        <w:shd w:val="clear" w:color="auto" w:fill="auto"/>
        <w:spacing w:line="300" w:lineRule="auto"/>
        <w:jc w:val="center"/>
        <w:rPr>
          <w:rFonts w:ascii="宋体" w:hAnsi="宋体" w:cs="宋体"/>
          <w:color w:val="auto"/>
          <w:sz w:val="32"/>
          <w:szCs w:val="32"/>
          <w:highlight w:val="none"/>
        </w:rPr>
      </w:pPr>
    </w:p>
    <w:p w14:paraId="608823CB">
      <w:pPr>
        <w:shd w:val="clear" w:color="auto" w:fill="auto"/>
        <w:spacing w:line="30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一、项目概况（略）</w:t>
      </w:r>
    </w:p>
    <w:p w14:paraId="3404A663">
      <w:pPr>
        <w:shd w:val="clear" w:color="auto" w:fill="auto"/>
        <w:spacing w:line="30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二、发包人提供的资料</w:t>
      </w:r>
    </w:p>
    <w:p w14:paraId="2AA45409">
      <w:pPr>
        <w:shd w:val="clear" w:color="auto" w:fill="auto"/>
        <w:spacing w:line="30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 原有平面图。</w:t>
      </w:r>
    </w:p>
    <w:p w14:paraId="1960232D">
      <w:pPr>
        <w:shd w:val="clear" w:color="auto" w:fill="auto"/>
        <w:spacing w:line="30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 发包人取得的有关审批、核准和备案材料。</w:t>
      </w:r>
    </w:p>
    <w:p w14:paraId="56F5732B">
      <w:pPr>
        <w:shd w:val="clear" w:color="auto" w:fill="auto"/>
        <w:spacing w:line="30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 其他资料。</w:t>
      </w:r>
    </w:p>
    <w:p w14:paraId="2CAA0E43">
      <w:pPr>
        <w:shd w:val="clear" w:color="auto" w:fill="auto"/>
        <w:spacing w:line="300" w:lineRule="auto"/>
        <w:ind w:firstLine="420" w:firstLineChars="200"/>
        <w:rPr>
          <w:rFonts w:ascii="宋体" w:hAnsi="宋体" w:cs="宋体"/>
          <w:color w:val="auto"/>
          <w:szCs w:val="21"/>
          <w:highlight w:val="none"/>
        </w:rPr>
        <w:sectPr>
          <w:footerReference r:id="rId11" w:type="default"/>
          <w:pgSz w:w="11850" w:h="16783"/>
          <w:pgMar w:top="1440" w:right="1080" w:bottom="1440" w:left="1080" w:header="0" w:footer="992" w:gutter="0"/>
          <w:cols w:space="720" w:num="1"/>
        </w:sectPr>
      </w:pPr>
    </w:p>
    <w:p w14:paraId="7DB6DC61">
      <w:pPr>
        <w:shd w:val="clear" w:color="auto" w:fill="auto"/>
        <w:adjustRightInd w:val="0"/>
        <w:spacing w:before="240" w:after="60" w:line="300" w:lineRule="auto"/>
        <w:jc w:val="center"/>
        <w:textAlignment w:val="baseline"/>
        <w:outlineLvl w:val="0"/>
        <w:rPr>
          <w:rFonts w:ascii="宋体" w:hAnsi="宋体" w:cs="宋体"/>
          <w:color w:val="auto"/>
          <w:sz w:val="32"/>
          <w:szCs w:val="32"/>
          <w:highlight w:val="none"/>
        </w:rPr>
      </w:pPr>
      <w:bookmarkStart w:id="686" w:name="_Toc27700"/>
      <w:bookmarkStart w:id="687" w:name="_Toc20228"/>
      <w:bookmarkStart w:id="688" w:name="_Toc31030"/>
      <w:bookmarkStart w:id="689" w:name="_Toc38896083"/>
      <w:bookmarkStart w:id="690" w:name="_Toc25932339"/>
      <w:bookmarkStart w:id="691" w:name="_Toc18353"/>
      <w:bookmarkStart w:id="692" w:name="_Toc32256"/>
      <w:bookmarkStart w:id="693" w:name="_Toc2134"/>
      <w:bookmarkStart w:id="694" w:name="_Toc3217"/>
      <w:r>
        <w:rPr>
          <w:rFonts w:hint="eastAsia" w:ascii="宋体" w:hAnsi="宋体" w:cs="宋体"/>
          <w:b/>
          <w:color w:val="auto"/>
          <w:kern w:val="44"/>
          <w:sz w:val="32"/>
          <w:szCs w:val="32"/>
          <w:highlight w:val="none"/>
        </w:rPr>
        <w:t>第七章 投标文件格式</w:t>
      </w:r>
      <w:bookmarkEnd w:id="686"/>
      <w:bookmarkEnd w:id="687"/>
      <w:bookmarkEnd w:id="688"/>
      <w:bookmarkEnd w:id="689"/>
      <w:bookmarkEnd w:id="690"/>
      <w:bookmarkEnd w:id="691"/>
      <w:bookmarkEnd w:id="692"/>
      <w:bookmarkEnd w:id="693"/>
      <w:bookmarkEnd w:id="694"/>
    </w:p>
    <w:p w14:paraId="321CB1A2">
      <w:pPr>
        <w:shd w:val="clear" w:color="auto" w:fill="auto"/>
        <w:spacing w:line="300" w:lineRule="auto"/>
        <w:rPr>
          <w:rFonts w:ascii="宋体" w:hAnsi="宋体" w:cs="宋体"/>
          <w:color w:val="auto"/>
          <w:highlight w:val="none"/>
        </w:rPr>
      </w:pPr>
    </w:p>
    <w:p w14:paraId="51253363">
      <w:pPr>
        <w:shd w:val="clear" w:color="auto" w:fill="auto"/>
        <w:spacing w:line="300" w:lineRule="auto"/>
        <w:jc w:val="center"/>
        <w:rPr>
          <w:rFonts w:ascii="宋体" w:hAnsi="宋体" w:cs="宋体"/>
          <w:color w:val="auto"/>
          <w:sz w:val="52"/>
          <w:szCs w:val="52"/>
          <w:highlight w:val="none"/>
        </w:rPr>
      </w:pPr>
    </w:p>
    <w:p w14:paraId="5708477E">
      <w:pPr>
        <w:shd w:val="clear" w:color="auto" w:fill="auto"/>
        <w:autoSpaceDE w:val="0"/>
        <w:autoSpaceDN w:val="0"/>
        <w:adjustRightInd w:val="0"/>
        <w:spacing w:line="300" w:lineRule="auto"/>
        <w:jc w:val="center"/>
        <w:rPr>
          <w:rFonts w:hint="eastAsia" w:ascii="宋体" w:hAnsi="宋体" w:cs="宋体"/>
          <w:b/>
          <w:bCs/>
          <w:color w:val="auto"/>
          <w:sz w:val="72"/>
          <w:szCs w:val="72"/>
          <w:highlight w:val="none"/>
        </w:rPr>
      </w:pPr>
      <w:r>
        <w:rPr>
          <w:rFonts w:hint="eastAsia"/>
          <w:b/>
          <w:bCs/>
          <w:color w:val="auto"/>
          <w:sz w:val="44"/>
          <w:szCs w:val="44"/>
          <w:highlight w:val="none"/>
          <w:lang w:eastAsia="zh-CN"/>
        </w:rPr>
        <w:t>220kV芳赤24M1线-芳柯24M2线、110kV赤黄1879线-赤州1881线迁改移位工程工程总承包(EPC)</w:t>
      </w:r>
    </w:p>
    <w:p w14:paraId="37AFBF91">
      <w:pPr>
        <w:shd w:val="clear" w:color="auto" w:fill="auto"/>
        <w:autoSpaceDE w:val="0"/>
        <w:autoSpaceDN w:val="0"/>
        <w:adjustRightInd w:val="0"/>
        <w:spacing w:line="300" w:lineRule="auto"/>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投标文件</w:t>
      </w:r>
    </w:p>
    <w:p w14:paraId="423400CE">
      <w:pPr>
        <w:shd w:val="clear" w:color="auto" w:fill="auto"/>
        <w:autoSpaceDE w:val="0"/>
        <w:autoSpaceDN w:val="0"/>
        <w:adjustRightInd w:val="0"/>
        <w:spacing w:line="300" w:lineRule="auto"/>
        <w:rPr>
          <w:rFonts w:ascii="宋体" w:hAnsi="宋体" w:cs="宋体"/>
          <w:b/>
          <w:bCs/>
          <w:color w:val="auto"/>
          <w:sz w:val="48"/>
          <w:szCs w:val="48"/>
          <w:highlight w:val="none"/>
        </w:rPr>
      </w:pPr>
    </w:p>
    <w:p w14:paraId="03A3E1FB">
      <w:pPr>
        <w:shd w:val="clear" w:color="auto" w:fill="auto"/>
        <w:autoSpaceDE w:val="0"/>
        <w:autoSpaceDN w:val="0"/>
        <w:adjustRightInd w:val="0"/>
        <w:spacing w:line="300" w:lineRule="auto"/>
        <w:rPr>
          <w:rFonts w:ascii="宋体" w:hAnsi="宋体" w:cs="宋体"/>
          <w:b/>
          <w:bCs/>
          <w:color w:val="auto"/>
          <w:sz w:val="48"/>
          <w:szCs w:val="48"/>
          <w:highlight w:val="none"/>
        </w:rPr>
      </w:pPr>
    </w:p>
    <w:p w14:paraId="4558C413">
      <w:pPr>
        <w:shd w:val="clear" w:color="auto" w:fill="auto"/>
        <w:autoSpaceDE w:val="0"/>
        <w:autoSpaceDN w:val="0"/>
        <w:adjustRightInd w:val="0"/>
        <w:spacing w:line="300" w:lineRule="auto"/>
        <w:rPr>
          <w:rFonts w:ascii="宋体" w:hAnsi="宋体" w:cs="宋体"/>
          <w:b/>
          <w:bCs/>
          <w:color w:val="auto"/>
          <w:sz w:val="48"/>
          <w:szCs w:val="48"/>
          <w:highlight w:val="none"/>
        </w:rPr>
      </w:pPr>
    </w:p>
    <w:p w14:paraId="55C8EC90">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投标文件内容：</w:t>
      </w:r>
      <w:r>
        <w:rPr>
          <w:rFonts w:hint="eastAsia" w:ascii="宋体" w:hAnsi="宋体" w:cs="宋体"/>
          <w:bCs/>
          <w:color w:val="auto"/>
          <w:sz w:val="30"/>
          <w:szCs w:val="30"/>
          <w:highlight w:val="none"/>
          <w:u w:val="single"/>
          <w:lang w:val="zh-CN"/>
        </w:rPr>
        <w:tab/>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投标文件</w:t>
      </w:r>
      <w:r>
        <w:rPr>
          <w:rFonts w:hint="eastAsia" w:ascii="宋体" w:hAnsi="宋体" w:cs="宋体"/>
          <w:bCs/>
          <w:color w:val="auto"/>
          <w:sz w:val="30"/>
          <w:szCs w:val="30"/>
          <w:highlight w:val="none"/>
          <w:u w:val="single"/>
          <w:lang w:val="zh-CN"/>
        </w:rPr>
        <w:t>资格审查</w:t>
      </w:r>
      <w:r>
        <w:rPr>
          <w:rFonts w:hint="eastAsia" w:ascii="宋体" w:hAnsi="宋体" w:cs="宋体"/>
          <w:bCs/>
          <w:color w:val="auto"/>
          <w:sz w:val="30"/>
          <w:szCs w:val="30"/>
          <w:highlight w:val="none"/>
          <w:u w:val="single"/>
          <w:lang w:val="en-US" w:eastAsia="zh-CN"/>
        </w:rPr>
        <w:t>标</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　　</w:t>
      </w:r>
    </w:p>
    <w:p w14:paraId="54E2CA5E">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投标人：</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en-US" w:eastAsia="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w:t>
      </w:r>
      <w:r>
        <w:rPr>
          <w:rFonts w:hint="eastAsia" w:ascii="宋体" w:hAnsi="宋体" w:cs="宋体"/>
          <w:bCs/>
          <w:color w:val="auto"/>
          <w:sz w:val="30"/>
          <w:szCs w:val="30"/>
          <w:highlight w:val="none"/>
          <w:u w:val="single"/>
        </w:rPr>
        <w:t>单位</w:t>
      </w:r>
      <w:r>
        <w:rPr>
          <w:rFonts w:hint="eastAsia" w:ascii="宋体" w:hAnsi="宋体" w:cs="宋体"/>
          <w:bCs/>
          <w:color w:val="auto"/>
          <w:sz w:val="30"/>
          <w:szCs w:val="30"/>
          <w:highlight w:val="none"/>
          <w:u w:val="single"/>
          <w:lang w:val="zh-CN"/>
        </w:rPr>
        <w:t>盖章）　</w:t>
      </w:r>
    </w:p>
    <w:p w14:paraId="65F30E5F">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法定代表人</w:t>
      </w:r>
      <w:r>
        <w:rPr>
          <w:rFonts w:hint="eastAsia" w:ascii="宋体" w:hAnsi="宋体" w:cs="宋体"/>
          <w:bCs/>
          <w:color w:val="auto"/>
          <w:sz w:val="30"/>
          <w:szCs w:val="30"/>
          <w:highlight w:val="none"/>
        </w:rPr>
        <w:t>或委托代理人</w:t>
      </w:r>
      <w:r>
        <w:rPr>
          <w:rFonts w:hint="eastAsia" w:ascii="宋体" w:hAnsi="宋体" w:cs="宋体"/>
          <w:bCs/>
          <w:color w:val="auto"/>
          <w:sz w:val="30"/>
          <w:szCs w:val="30"/>
          <w:highlight w:val="none"/>
          <w:lang w:val="zh-CN"/>
        </w:rPr>
        <w:t>：</w:t>
      </w:r>
      <w:r>
        <w:rPr>
          <w:rFonts w:hint="eastAsia" w:ascii="宋体" w:hAnsi="宋体" w:cs="宋体"/>
          <w:bCs/>
          <w:color w:val="auto"/>
          <w:sz w:val="30"/>
          <w:szCs w:val="30"/>
          <w:highlight w:val="none"/>
          <w:u w:val="single"/>
          <w:lang w:val="zh-CN"/>
        </w:rPr>
        <w:t>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（盖章）</w:t>
      </w:r>
      <w:r>
        <w:rPr>
          <w:rFonts w:hint="eastAsia" w:ascii="宋体" w:hAnsi="宋体" w:cs="宋体"/>
          <w:bCs/>
          <w:color w:val="auto"/>
          <w:sz w:val="30"/>
          <w:szCs w:val="30"/>
          <w:highlight w:val="none"/>
          <w:u w:val="single"/>
        </w:rPr>
        <w:t xml:space="preserve">  </w:t>
      </w:r>
    </w:p>
    <w:p w14:paraId="6AF0211C">
      <w:pPr>
        <w:shd w:val="clear" w:color="auto" w:fill="auto"/>
        <w:autoSpaceDE w:val="0"/>
        <w:autoSpaceDN w:val="0"/>
        <w:adjustRightInd w:val="0"/>
        <w:spacing w:line="300" w:lineRule="auto"/>
        <w:ind w:firstLine="600" w:firstLineChars="200"/>
        <w:rPr>
          <w:rFonts w:ascii="宋体" w:hAnsi="宋体" w:cs="宋体"/>
          <w:bCs/>
          <w:color w:val="auto"/>
          <w:sz w:val="30"/>
          <w:szCs w:val="30"/>
          <w:highlight w:val="none"/>
          <w:lang w:val="zh-CN"/>
        </w:rPr>
      </w:pPr>
    </w:p>
    <w:p w14:paraId="138A44EB">
      <w:pPr>
        <w:pStyle w:val="10"/>
        <w:shd w:val="clear" w:color="auto" w:fill="auto"/>
        <w:spacing w:line="300" w:lineRule="auto"/>
        <w:rPr>
          <w:rFonts w:ascii="宋体" w:hAnsi="宋体" w:cs="宋体"/>
          <w:bCs/>
          <w:color w:val="auto"/>
          <w:sz w:val="30"/>
          <w:szCs w:val="30"/>
          <w:highlight w:val="none"/>
          <w:lang w:val="zh-CN"/>
        </w:rPr>
      </w:pPr>
    </w:p>
    <w:p w14:paraId="314C979F">
      <w:pPr>
        <w:shd w:val="clear" w:color="auto" w:fill="auto"/>
        <w:spacing w:line="300" w:lineRule="auto"/>
        <w:rPr>
          <w:rFonts w:ascii="宋体" w:hAnsi="宋体" w:cs="宋体"/>
          <w:color w:val="auto"/>
          <w:highlight w:val="none"/>
          <w:lang w:val="zh-CN"/>
        </w:rPr>
      </w:pPr>
    </w:p>
    <w:p w14:paraId="03C7B316">
      <w:pPr>
        <w:shd w:val="clear" w:color="auto" w:fill="auto"/>
        <w:spacing w:line="300" w:lineRule="auto"/>
        <w:ind w:firstLine="450" w:firstLineChars="150"/>
        <w:rPr>
          <w:rFonts w:ascii="宋体" w:hAnsi="宋体" w:cs="宋体"/>
          <w:bCs/>
          <w:color w:val="auto"/>
          <w:sz w:val="30"/>
          <w:szCs w:val="30"/>
          <w:highlight w:val="none"/>
          <w:lang w:val="zh-CN"/>
        </w:rPr>
      </w:pPr>
    </w:p>
    <w:p w14:paraId="13A5C1C7">
      <w:pPr>
        <w:shd w:val="clear" w:color="auto" w:fill="auto"/>
        <w:spacing w:line="300" w:lineRule="auto"/>
        <w:jc w:val="center"/>
        <w:rPr>
          <w:rFonts w:ascii="宋体" w:hAnsi="宋体" w:cs="宋体"/>
          <w:color w:val="auto"/>
          <w:highlight w:val="none"/>
          <w:lang w:val="zh-CN"/>
        </w:rPr>
      </w:pPr>
      <w:r>
        <w:rPr>
          <w:rFonts w:hint="eastAsia" w:ascii="宋体" w:hAnsi="宋体" w:cs="宋体"/>
          <w:bCs/>
          <w:color w:val="auto"/>
          <w:sz w:val="30"/>
          <w:szCs w:val="30"/>
          <w:highlight w:val="none"/>
          <w:lang w:val="zh-CN"/>
        </w:rPr>
        <w:t>日期：   年    月   日</w:t>
      </w:r>
    </w:p>
    <w:p w14:paraId="30F2500B">
      <w:pPr>
        <w:shd w:val="clear" w:color="auto" w:fill="auto"/>
        <w:spacing w:before="88" w:line="227" w:lineRule="auto"/>
        <w:ind w:left="3571"/>
        <w:rPr>
          <w:rFonts w:ascii="宋体" w:hAnsi="宋体" w:cs="宋体"/>
          <w:color w:val="auto"/>
          <w:spacing w:val="-37"/>
          <w:sz w:val="35"/>
          <w:szCs w:val="35"/>
          <w:highlight w:val="none"/>
        </w:rPr>
      </w:pPr>
      <w:bookmarkStart w:id="695" w:name="_Toc25932341"/>
    </w:p>
    <w:p w14:paraId="291C3B97">
      <w:pPr>
        <w:shd w:val="clear" w:color="auto" w:fill="auto"/>
        <w:spacing w:before="88" w:line="227" w:lineRule="auto"/>
        <w:ind w:left="3571"/>
        <w:rPr>
          <w:rFonts w:ascii="宋体" w:hAnsi="宋体" w:cs="宋体"/>
          <w:color w:val="auto"/>
          <w:spacing w:val="-37"/>
          <w:sz w:val="35"/>
          <w:szCs w:val="35"/>
          <w:highlight w:val="none"/>
        </w:rPr>
      </w:pPr>
    </w:p>
    <w:p w14:paraId="1DE5D05D">
      <w:pPr>
        <w:shd w:val="clear" w:color="auto" w:fill="auto"/>
        <w:spacing w:before="88" w:line="227" w:lineRule="auto"/>
        <w:ind w:left="3571"/>
        <w:rPr>
          <w:rFonts w:ascii="宋体" w:hAnsi="宋体" w:cs="宋体"/>
          <w:color w:val="auto"/>
          <w:sz w:val="35"/>
          <w:szCs w:val="35"/>
          <w:highlight w:val="none"/>
        </w:rPr>
      </w:pPr>
      <w:r>
        <w:rPr>
          <w:rFonts w:ascii="宋体" w:hAnsi="宋体" w:cs="宋体"/>
          <w:color w:val="auto"/>
          <w:spacing w:val="-37"/>
          <w:sz w:val="35"/>
          <w:szCs w:val="35"/>
          <w:highlight w:val="none"/>
        </w:rPr>
        <w:t>目</w:t>
      </w:r>
      <w:r>
        <w:rPr>
          <w:rFonts w:ascii="宋体" w:hAnsi="宋体" w:cs="宋体"/>
          <w:color w:val="auto"/>
          <w:spacing w:val="10"/>
          <w:sz w:val="35"/>
          <w:szCs w:val="35"/>
          <w:highlight w:val="none"/>
        </w:rPr>
        <w:t xml:space="preserve">    </w:t>
      </w:r>
      <w:r>
        <w:rPr>
          <w:rFonts w:ascii="宋体" w:hAnsi="宋体" w:cs="宋体"/>
          <w:color w:val="auto"/>
          <w:spacing w:val="-37"/>
          <w:sz w:val="35"/>
          <w:szCs w:val="35"/>
          <w:highlight w:val="none"/>
        </w:rPr>
        <w:t>录</w:t>
      </w:r>
    </w:p>
    <w:p w14:paraId="2C0C3AF8">
      <w:pPr>
        <w:pStyle w:val="5"/>
        <w:shd w:val="clear" w:color="auto" w:fill="auto"/>
        <w:spacing w:line="338" w:lineRule="auto"/>
        <w:rPr>
          <w:color w:val="auto"/>
          <w:highlight w:val="none"/>
        </w:rPr>
      </w:pPr>
    </w:p>
    <w:p w14:paraId="5BB88B0F">
      <w:pPr>
        <w:pStyle w:val="5"/>
        <w:shd w:val="clear" w:color="auto" w:fill="auto"/>
        <w:spacing w:line="339" w:lineRule="auto"/>
        <w:rPr>
          <w:color w:val="auto"/>
          <w:highlight w:val="none"/>
        </w:rPr>
      </w:pPr>
    </w:p>
    <w:p w14:paraId="17CB9BE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封面；</w:t>
      </w:r>
    </w:p>
    <w:p w14:paraId="1EDC4123">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资质资格</w:t>
      </w:r>
      <w:r>
        <w:rPr>
          <w:rFonts w:hint="eastAsia" w:ascii="宋体" w:hAnsi="宋体" w:cs="宋体"/>
          <w:color w:val="auto"/>
          <w:kern w:val="0"/>
          <w:sz w:val="21"/>
          <w:szCs w:val="21"/>
          <w:highlight w:val="none"/>
          <w:lang w:val="en-US" w:eastAsia="zh-CN"/>
        </w:rPr>
        <w:t>表</w:t>
      </w:r>
      <w:r>
        <w:rPr>
          <w:rFonts w:hint="eastAsia" w:ascii="宋体" w:hAnsi="宋体" w:eastAsia="宋体" w:cs="宋体"/>
          <w:color w:val="auto"/>
          <w:kern w:val="0"/>
          <w:sz w:val="21"/>
          <w:szCs w:val="21"/>
          <w:highlight w:val="none"/>
        </w:rPr>
        <w:t>；</w:t>
      </w:r>
    </w:p>
    <w:p w14:paraId="470FBE6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项目管理班子配备；</w:t>
      </w:r>
    </w:p>
    <w:p w14:paraId="63A45036">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项目管理班子配备情况表；</w:t>
      </w:r>
    </w:p>
    <w:p w14:paraId="144BC84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项目负责人简历表；</w:t>
      </w:r>
    </w:p>
    <w:p w14:paraId="2C5F3331">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施工负责人简历表；</w:t>
      </w:r>
    </w:p>
    <w:p w14:paraId="20543F2D">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设计负责人简历表</w:t>
      </w:r>
      <w:r>
        <w:rPr>
          <w:rFonts w:hint="eastAsia" w:ascii="宋体" w:hAnsi="宋体" w:cs="宋体"/>
          <w:color w:val="auto"/>
          <w:kern w:val="0"/>
          <w:sz w:val="21"/>
          <w:szCs w:val="21"/>
          <w:highlight w:val="none"/>
          <w:lang w:eastAsia="zh-CN"/>
        </w:rPr>
        <w:t>；</w:t>
      </w:r>
    </w:p>
    <w:p w14:paraId="6CACEEC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投标保证金；</w:t>
      </w:r>
    </w:p>
    <w:p w14:paraId="7F65CB9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联合体协议书（如有）；</w:t>
      </w:r>
    </w:p>
    <w:p w14:paraId="21CED375">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省外企业在“浙江省建筑市场监管公共服务系统”备案信息截图复制件；</w:t>
      </w:r>
    </w:p>
    <w:p w14:paraId="52C7E718">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促进农民就业承诺书；</w:t>
      </w:r>
    </w:p>
    <w:p w14:paraId="0CC382BB">
      <w:pPr>
        <w:keepNext w:val="0"/>
        <w:keepLines w:val="0"/>
        <w:suppressLineNumbers w:val="0"/>
        <w:shd w:val="clear" w:color="auto" w:fill="auto"/>
        <w:topLinePunct/>
        <w:adjustRightInd w:val="0"/>
        <w:snapToGrid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招标人要求提交的其他资料(详见投标须知前附表)</w:t>
      </w:r>
    </w:p>
    <w:p w14:paraId="69A0BC95">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34E04DB6">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55DF242C">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2DA09203">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6A478CD8">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61AAB3C1">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4E5D866C">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62FABAC6">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5B55AA7C">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13A4AD34">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7C49208C">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51CC80C5">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47777205">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742728D7">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075A7D31">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688484AE">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12DC8C87">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2731EEA0">
      <w:pPr>
        <w:keepNext w:val="0"/>
        <w:keepLines w:val="0"/>
        <w:widowControl w:val="0"/>
        <w:suppressLineNumbers w:val="0"/>
        <w:spacing w:before="0" w:beforeAutospacing="0" w:after="0" w:afterAutospacing="0" w:line="380" w:lineRule="exact"/>
        <w:ind w:left="0" w:right="0" w:firstLine="643" w:firstLineChars="20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5E41D452">
      <w:pPr>
        <w:pStyle w:val="10"/>
        <w:rPr>
          <w:rFonts w:hint="eastAsia" w:ascii="宋体" w:hAnsi="宋体" w:eastAsia="宋体" w:cs="宋体"/>
          <w:b/>
          <w:bCs w:val="0"/>
          <w:i w:val="0"/>
          <w:iCs w:val="0"/>
          <w:color w:val="auto"/>
          <w:kern w:val="2"/>
          <w:sz w:val="32"/>
          <w:szCs w:val="32"/>
          <w:highlight w:val="none"/>
          <w:lang w:val="en-US" w:eastAsia="zh-CN" w:bidi="ar"/>
        </w:rPr>
      </w:pPr>
    </w:p>
    <w:p w14:paraId="19B5F1D5">
      <w:pPr>
        <w:rPr>
          <w:rFonts w:hint="eastAsia"/>
          <w:color w:val="auto"/>
          <w:highlight w:val="none"/>
          <w:lang w:val="en-US" w:eastAsia="zh-CN"/>
        </w:rPr>
      </w:pPr>
    </w:p>
    <w:p w14:paraId="31D36EAC">
      <w:pPr>
        <w:keepNext w:val="0"/>
        <w:keepLines w:val="0"/>
        <w:widowControl w:val="0"/>
        <w:suppressLineNumbers w:val="0"/>
        <w:spacing w:before="0" w:beforeAutospacing="0" w:after="0" w:afterAutospacing="0" w:line="380" w:lineRule="exact"/>
        <w:ind w:right="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3C767021">
      <w:pPr>
        <w:keepNext w:val="0"/>
        <w:keepLines w:val="0"/>
        <w:widowControl w:val="0"/>
        <w:suppressLineNumbers w:val="0"/>
        <w:spacing w:before="0" w:beforeAutospacing="0" w:after="0" w:afterAutospacing="0" w:line="380" w:lineRule="exact"/>
        <w:ind w:right="0"/>
        <w:jc w:val="center"/>
        <w:outlineLvl w:val="0"/>
        <w:rPr>
          <w:rFonts w:hint="eastAsia" w:ascii="宋体" w:hAnsi="宋体" w:eastAsia="宋体" w:cs="宋体"/>
          <w:b/>
          <w:bCs w:val="0"/>
          <w:i w:val="0"/>
          <w:iCs w:val="0"/>
          <w:color w:val="auto"/>
          <w:kern w:val="2"/>
          <w:sz w:val="32"/>
          <w:szCs w:val="32"/>
          <w:highlight w:val="none"/>
          <w:lang w:val="en-US" w:eastAsia="zh-CN" w:bidi="ar"/>
        </w:rPr>
      </w:pPr>
    </w:p>
    <w:p w14:paraId="4335D13E">
      <w:pPr>
        <w:keepNext w:val="0"/>
        <w:keepLines w:val="0"/>
        <w:widowControl w:val="0"/>
        <w:suppressLineNumbers w:val="0"/>
        <w:spacing w:before="0" w:beforeAutospacing="0" w:after="0" w:afterAutospacing="0" w:line="380" w:lineRule="exact"/>
        <w:ind w:right="0"/>
        <w:jc w:val="center"/>
        <w:outlineLvl w:val="0"/>
        <w:rPr>
          <w:rFonts w:hint="eastAsia" w:ascii="宋体" w:hAnsi="宋体" w:eastAsia="宋体" w:cs="宋体"/>
          <w:b/>
          <w:bCs w:val="0"/>
          <w:i w:val="0"/>
          <w:iCs w:val="0"/>
          <w:color w:val="auto"/>
          <w:kern w:val="2"/>
          <w:sz w:val="32"/>
          <w:szCs w:val="32"/>
          <w:highlight w:val="none"/>
        </w:rPr>
      </w:pPr>
      <w:r>
        <w:rPr>
          <w:rFonts w:hint="eastAsia" w:ascii="宋体" w:hAnsi="宋体" w:eastAsia="宋体" w:cs="宋体"/>
          <w:b/>
          <w:bCs w:val="0"/>
          <w:i w:val="0"/>
          <w:iCs w:val="0"/>
          <w:color w:val="auto"/>
          <w:kern w:val="2"/>
          <w:sz w:val="32"/>
          <w:szCs w:val="32"/>
          <w:highlight w:val="none"/>
          <w:lang w:val="en-US" w:eastAsia="zh-CN" w:bidi="ar"/>
        </w:rPr>
        <w:t>资格审查表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0"/>
        <w:gridCol w:w="40"/>
        <w:gridCol w:w="5996"/>
      </w:tblGrid>
      <w:tr w14:paraId="2E32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0A2381C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 xml:space="preserve">   企业 （如为联合体投标）</w:t>
            </w:r>
            <w:r>
              <w:rPr>
                <w:rFonts w:hint="eastAsia" w:ascii="宋体" w:hAnsi="宋体" w:eastAsia="宋体" w:cs="宋体"/>
                <w:i w:val="0"/>
                <w:iCs w:val="0"/>
                <w:color w:val="auto"/>
                <w:kern w:val="2"/>
                <w:sz w:val="21"/>
                <w:szCs w:val="21"/>
                <w:highlight w:val="none"/>
                <w:lang w:val="en-US" w:eastAsia="zh-CN" w:bidi="ar"/>
              </w:rPr>
              <w:t>是否牵头人□（勾选）</w:t>
            </w:r>
          </w:p>
        </w:tc>
      </w:tr>
      <w:tr w14:paraId="7106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CCB014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名称</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5C88E84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auto"/>
                <w:kern w:val="2"/>
                <w:sz w:val="21"/>
                <w:szCs w:val="21"/>
                <w:highlight w:val="none"/>
              </w:rPr>
            </w:pPr>
          </w:p>
        </w:tc>
      </w:tr>
      <w:tr w14:paraId="1423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1F67CA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r>
              <w:rPr>
                <w:rFonts w:hint="eastAsia" w:ascii="宋体" w:hAnsi="宋体" w:eastAsia="宋体" w:cs="宋体"/>
                <w:b/>
                <w:bCs w:val="0"/>
                <w:i w:val="0"/>
                <w:iCs w:val="0"/>
                <w:color w:val="auto"/>
                <w:kern w:val="2"/>
                <w:sz w:val="21"/>
                <w:szCs w:val="21"/>
                <w:highlight w:val="none"/>
                <w:lang w:val="en-US" w:eastAsia="zh-CN" w:bidi="ar"/>
              </w:rPr>
              <w:t>资质等级</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112F628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p>
        </w:tc>
      </w:tr>
      <w:tr w14:paraId="6278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125C1F6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安全生产许可证证号</w:t>
            </w:r>
          </w:p>
          <w:p w14:paraId="0E7A3F5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及有效期（施工）</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20192AC8">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证号：                 有效期：在有效期内□（勾选）</w:t>
            </w:r>
          </w:p>
        </w:tc>
      </w:tr>
      <w:tr w14:paraId="3EBE8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02C01D0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营业执照</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78B22386">
            <w:pPr>
              <w:keepNext w:val="0"/>
              <w:keepLines w:val="0"/>
              <w:widowControl w:val="0"/>
              <w:suppressLineNumbers w:val="0"/>
              <w:spacing w:before="0" w:beforeAutospacing="0" w:after="0" w:afterAutospacing="0"/>
              <w:ind w:left="0" w:right="0"/>
              <w:jc w:val="left"/>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证号：                            已入库□（勾选）</w:t>
            </w:r>
          </w:p>
        </w:tc>
      </w:tr>
      <w:tr w14:paraId="303A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234A4367">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auto"/>
                <w:kern w:val="2"/>
                <w:sz w:val="21"/>
                <w:szCs w:val="21"/>
                <w:highlight w:val="none"/>
                <w:lang w:val="en-US" w:eastAsia="zh-CN" w:bidi="ar"/>
              </w:rPr>
            </w:pPr>
            <w:r>
              <w:rPr>
                <w:rFonts w:hint="eastAsia" w:ascii="宋体" w:hAnsi="宋体" w:eastAsia="宋体" w:cs="宋体"/>
                <w:b/>
                <w:bCs/>
                <w:i w:val="0"/>
                <w:iCs w:val="0"/>
                <w:color w:val="auto"/>
                <w:kern w:val="2"/>
                <w:sz w:val="21"/>
                <w:szCs w:val="21"/>
                <w:highlight w:val="none"/>
                <w:lang w:val="en-US" w:eastAsia="zh-CN" w:bidi="ar"/>
              </w:rPr>
              <w:t>联合体成员（如有，没有联合体不填写）</w:t>
            </w:r>
            <w:r>
              <w:rPr>
                <w:rFonts w:hint="eastAsia" w:ascii="宋体" w:hAnsi="宋体" w:eastAsia="宋体" w:cs="宋体"/>
                <w:i w:val="0"/>
                <w:iCs w:val="0"/>
                <w:color w:val="auto"/>
                <w:kern w:val="2"/>
                <w:sz w:val="21"/>
                <w:szCs w:val="21"/>
                <w:highlight w:val="none"/>
                <w:lang w:val="en-US" w:eastAsia="zh-CN" w:bidi="ar"/>
              </w:rPr>
              <w:t>是否牵头人□（勾选）</w:t>
            </w:r>
          </w:p>
        </w:tc>
      </w:tr>
      <w:tr w14:paraId="1428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2660" w:type="dxa"/>
            <w:gridSpan w:val="2"/>
            <w:tcBorders>
              <w:top w:val="single" w:color="auto" w:sz="4" w:space="0"/>
              <w:left w:val="single" w:color="auto" w:sz="4" w:space="0"/>
              <w:bottom w:val="single" w:color="auto" w:sz="4" w:space="0"/>
              <w:right w:val="single" w:color="auto" w:sz="4" w:space="0"/>
            </w:tcBorders>
            <w:noWrap w:val="0"/>
            <w:vAlign w:val="center"/>
          </w:tcPr>
          <w:p w14:paraId="543F3DD6">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i w:val="0"/>
                <w:iCs w:val="0"/>
                <w:color w:val="auto"/>
                <w:kern w:val="2"/>
                <w:sz w:val="21"/>
                <w:szCs w:val="21"/>
                <w:highlight w:val="none"/>
                <w:lang w:val="en-US" w:eastAsia="zh-CN" w:bidi="ar"/>
              </w:rPr>
            </w:pPr>
            <w:r>
              <w:rPr>
                <w:rFonts w:hint="eastAsia" w:ascii="宋体" w:hAnsi="宋体" w:eastAsia="宋体" w:cs="宋体"/>
                <w:b/>
                <w:bCs w:val="0"/>
                <w:i w:val="0"/>
                <w:iCs w:val="0"/>
                <w:color w:val="auto"/>
                <w:kern w:val="2"/>
                <w:sz w:val="21"/>
                <w:szCs w:val="21"/>
                <w:highlight w:val="none"/>
                <w:lang w:val="en-US" w:eastAsia="zh-CN" w:bidi="ar"/>
              </w:rPr>
              <w:t>名称</w:t>
            </w:r>
          </w:p>
        </w:tc>
        <w:tc>
          <w:tcPr>
            <w:tcW w:w="5996" w:type="dxa"/>
            <w:tcBorders>
              <w:top w:val="single" w:color="auto" w:sz="4" w:space="0"/>
              <w:left w:val="single" w:color="auto" w:sz="4" w:space="0"/>
              <w:bottom w:val="single" w:color="auto" w:sz="4" w:space="0"/>
              <w:right w:val="single" w:color="auto" w:sz="4" w:space="0"/>
            </w:tcBorders>
            <w:noWrap w:val="0"/>
            <w:vAlign w:val="center"/>
          </w:tcPr>
          <w:p w14:paraId="742684B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i w:val="0"/>
                <w:iCs w:val="0"/>
                <w:color w:val="auto"/>
                <w:kern w:val="2"/>
                <w:sz w:val="21"/>
                <w:szCs w:val="21"/>
                <w:highlight w:val="none"/>
                <w:lang w:val="en-US" w:eastAsia="zh-CN" w:bidi="ar"/>
              </w:rPr>
            </w:pPr>
          </w:p>
        </w:tc>
      </w:tr>
      <w:tr w14:paraId="4DE9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2660" w:type="dxa"/>
            <w:gridSpan w:val="2"/>
            <w:tcBorders>
              <w:top w:val="single" w:color="auto" w:sz="4" w:space="0"/>
              <w:left w:val="single" w:color="auto" w:sz="4" w:space="0"/>
              <w:bottom w:val="single" w:color="auto" w:sz="4" w:space="0"/>
              <w:right w:val="single" w:color="auto" w:sz="4" w:space="0"/>
            </w:tcBorders>
            <w:noWrap w:val="0"/>
            <w:vAlign w:val="center"/>
          </w:tcPr>
          <w:p w14:paraId="1F9CB45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r>
              <w:rPr>
                <w:rFonts w:hint="eastAsia" w:ascii="宋体" w:hAnsi="宋体" w:eastAsia="宋体" w:cs="宋体"/>
                <w:b/>
                <w:bCs w:val="0"/>
                <w:i w:val="0"/>
                <w:iCs w:val="0"/>
                <w:color w:val="auto"/>
                <w:kern w:val="2"/>
                <w:sz w:val="21"/>
                <w:szCs w:val="21"/>
                <w:highlight w:val="none"/>
                <w:lang w:val="en-US" w:eastAsia="zh-CN" w:bidi="ar"/>
              </w:rPr>
              <w:t>资质等级</w:t>
            </w:r>
          </w:p>
        </w:tc>
        <w:tc>
          <w:tcPr>
            <w:tcW w:w="5996" w:type="dxa"/>
            <w:tcBorders>
              <w:top w:val="single" w:color="auto" w:sz="4" w:space="0"/>
              <w:left w:val="single" w:color="auto" w:sz="4" w:space="0"/>
              <w:bottom w:val="single" w:color="auto" w:sz="4" w:space="0"/>
              <w:right w:val="single" w:color="auto" w:sz="4" w:space="0"/>
            </w:tcBorders>
            <w:noWrap w:val="0"/>
            <w:vAlign w:val="center"/>
          </w:tcPr>
          <w:p w14:paraId="61E91F0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p>
        </w:tc>
      </w:tr>
      <w:tr w14:paraId="2E58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60" w:type="dxa"/>
            <w:gridSpan w:val="2"/>
            <w:tcBorders>
              <w:top w:val="single" w:color="auto" w:sz="4" w:space="0"/>
              <w:left w:val="single" w:color="auto" w:sz="4" w:space="0"/>
              <w:bottom w:val="single" w:color="auto" w:sz="4" w:space="0"/>
              <w:right w:val="single" w:color="auto" w:sz="4" w:space="0"/>
            </w:tcBorders>
            <w:noWrap w:val="0"/>
            <w:vAlign w:val="center"/>
          </w:tcPr>
          <w:p w14:paraId="6E101FB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安全生产许可证证号</w:t>
            </w:r>
          </w:p>
          <w:p w14:paraId="0249AC3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i w:val="0"/>
                <w:iCs w:val="0"/>
                <w:color w:val="auto"/>
                <w:kern w:val="2"/>
                <w:sz w:val="21"/>
                <w:szCs w:val="21"/>
                <w:highlight w:val="none"/>
                <w:lang w:val="en-US" w:eastAsia="zh-CN" w:bidi="ar"/>
              </w:rPr>
            </w:pPr>
            <w:r>
              <w:rPr>
                <w:rFonts w:hint="eastAsia" w:ascii="宋体" w:hAnsi="宋体" w:eastAsia="宋体" w:cs="宋体"/>
                <w:b/>
                <w:bCs w:val="0"/>
                <w:i w:val="0"/>
                <w:iCs w:val="0"/>
                <w:color w:val="auto"/>
                <w:kern w:val="2"/>
                <w:sz w:val="21"/>
                <w:szCs w:val="21"/>
                <w:highlight w:val="none"/>
                <w:lang w:val="en-US" w:eastAsia="zh-CN" w:bidi="ar"/>
              </w:rPr>
              <w:t>及有效期（施工）</w:t>
            </w:r>
          </w:p>
        </w:tc>
        <w:tc>
          <w:tcPr>
            <w:tcW w:w="5996" w:type="dxa"/>
            <w:tcBorders>
              <w:top w:val="single" w:color="auto" w:sz="4" w:space="0"/>
              <w:left w:val="single" w:color="auto" w:sz="4" w:space="0"/>
              <w:bottom w:val="single" w:color="auto" w:sz="4" w:space="0"/>
              <w:right w:val="single" w:color="auto" w:sz="4" w:space="0"/>
            </w:tcBorders>
            <w:noWrap w:val="0"/>
            <w:vAlign w:val="center"/>
          </w:tcPr>
          <w:p w14:paraId="0F5D7494">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bCs/>
                <w:i w:val="0"/>
                <w:iCs w:val="0"/>
                <w:color w:val="auto"/>
                <w:kern w:val="2"/>
                <w:sz w:val="21"/>
                <w:szCs w:val="21"/>
                <w:highlight w:val="none"/>
                <w:lang w:val="en-US" w:eastAsia="zh-CN" w:bidi="ar"/>
              </w:rPr>
            </w:pPr>
            <w:r>
              <w:rPr>
                <w:rFonts w:hint="eastAsia" w:ascii="宋体" w:hAnsi="宋体" w:eastAsia="宋体" w:cs="宋体"/>
                <w:i w:val="0"/>
                <w:iCs w:val="0"/>
                <w:color w:val="auto"/>
                <w:kern w:val="2"/>
                <w:sz w:val="21"/>
                <w:szCs w:val="21"/>
                <w:highlight w:val="none"/>
                <w:lang w:val="en-US" w:eastAsia="zh-CN" w:bidi="ar"/>
              </w:rPr>
              <w:t>证号：                      有效期：在有效期内□（勾选）</w:t>
            </w:r>
          </w:p>
        </w:tc>
      </w:tr>
      <w:tr w14:paraId="5175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6CE58D99">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lang w:val="en-US" w:eastAsia="zh-CN" w:bidi="ar"/>
              </w:rPr>
              <w:t>联合体成员（如有，没有联合体不填写）</w:t>
            </w:r>
            <w:r>
              <w:rPr>
                <w:rFonts w:hint="eastAsia" w:ascii="宋体" w:hAnsi="宋体" w:eastAsia="宋体" w:cs="宋体"/>
                <w:i w:val="0"/>
                <w:iCs w:val="0"/>
                <w:color w:val="auto"/>
                <w:kern w:val="2"/>
                <w:sz w:val="21"/>
                <w:szCs w:val="21"/>
                <w:highlight w:val="none"/>
                <w:lang w:val="en-US" w:eastAsia="zh-CN" w:bidi="ar"/>
              </w:rPr>
              <w:t>是否牵头人□（勾选）</w:t>
            </w:r>
          </w:p>
        </w:tc>
      </w:tr>
      <w:tr w14:paraId="1374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2F26880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名称</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73A5EB8A">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auto"/>
                <w:kern w:val="2"/>
                <w:sz w:val="21"/>
                <w:szCs w:val="21"/>
                <w:highlight w:val="none"/>
              </w:rPr>
            </w:pPr>
          </w:p>
        </w:tc>
      </w:tr>
      <w:tr w14:paraId="1E72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4F07C12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r>
              <w:rPr>
                <w:rFonts w:hint="eastAsia" w:ascii="宋体" w:hAnsi="宋体" w:eastAsia="宋体" w:cs="宋体"/>
                <w:b/>
                <w:bCs w:val="0"/>
                <w:i w:val="0"/>
                <w:iCs w:val="0"/>
                <w:color w:val="auto"/>
                <w:kern w:val="2"/>
                <w:sz w:val="21"/>
                <w:szCs w:val="21"/>
                <w:highlight w:val="none"/>
                <w:lang w:val="en-US" w:eastAsia="zh-CN" w:bidi="ar"/>
              </w:rPr>
              <w:t>资质等级</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218ADC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lang w:val="en-US" w:eastAsia="zh-CN" w:bidi="ar"/>
              </w:rPr>
            </w:pPr>
          </w:p>
        </w:tc>
      </w:tr>
      <w:tr w14:paraId="7DEF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537B04E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安全生产许可证证号</w:t>
            </w:r>
          </w:p>
          <w:p w14:paraId="4A8FBF6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及有效期（施工）</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5A6B123C">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证号：                      有效期：在有效期内□（勾选）</w:t>
            </w:r>
          </w:p>
        </w:tc>
      </w:tr>
      <w:tr w14:paraId="395B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508F006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营业执照</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863D66B">
            <w:pPr>
              <w:keepNext w:val="0"/>
              <w:keepLines w:val="0"/>
              <w:widowControl w:val="0"/>
              <w:suppressLineNumbers w:val="0"/>
              <w:spacing w:before="0" w:beforeAutospacing="0" w:after="0" w:afterAutospacing="0"/>
              <w:ind w:left="0" w:right="0"/>
              <w:jc w:val="left"/>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证号：                        已入库□（勾选）</w:t>
            </w:r>
          </w:p>
        </w:tc>
      </w:tr>
      <w:tr w14:paraId="7AB9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6DF36FE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项目负责人</w:t>
            </w:r>
          </w:p>
        </w:tc>
      </w:tr>
      <w:tr w14:paraId="0E0E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FD7ACF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姓名</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5FAE16E">
            <w:pPr>
              <w:keepNext w:val="0"/>
              <w:keepLines w:val="0"/>
              <w:widowControl/>
              <w:suppressLineNumbers w:val="0"/>
              <w:spacing w:before="0" w:beforeAutospacing="0" w:after="0" w:afterAutospacing="0" w:line="360" w:lineRule="exact"/>
              <w:ind w:left="0" w:right="0" w:firstLine="422" w:firstLineChars="200"/>
              <w:jc w:val="center"/>
              <w:rPr>
                <w:rFonts w:hint="eastAsia" w:ascii="宋体" w:hAnsi="宋体" w:eastAsia="宋体" w:cs="宋体"/>
                <w:b/>
                <w:bCs w:val="0"/>
                <w:i w:val="0"/>
                <w:iCs w:val="0"/>
                <w:color w:val="auto"/>
                <w:kern w:val="2"/>
                <w:sz w:val="21"/>
                <w:szCs w:val="21"/>
                <w:highlight w:val="none"/>
              </w:rPr>
            </w:pPr>
          </w:p>
        </w:tc>
      </w:tr>
      <w:tr w14:paraId="6540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676473D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身份证号</w:t>
            </w:r>
          </w:p>
        </w:tc>
        <w:tc>
          <w:tcPr>
            <w:tcW w:w="6036" w:type="dxa"/>
            <w:gridSpan w:val="2"/>
            <w:tcBorders>
              <w:top w:val="single" w:color="auto" w:sz="4" w:space="0"/>
              <w:left w:val="single" w:color="auto" w:sz="4" w:space="0"/>
              <w:bottom w:val="single" w:color="auto" w:sz="4" w:space="0"/>
              <w:right w:val="single" w:color="auto" w:sz="4" w:space="0"/>
            </w:tcBorders>
            <w:noWrap w:val="0"/>
            <w:vAlign w:val="top"/>
          </w:tcPr>
          <w:p w14:paraId="5AE6F4CB">
            <w:pPr>
              <w:keepNext w:val="0"/>
              <w:keepLines w:val="0"/>
              <w:widowControl/>
              <w:suppressLineNumbers w:val="0"/>
              <w:spacing w:before="0" w:beforeAutospacing="0" w:after="0" w:afterAutospacing="0" w:line="360" w:lineRule="exact"/>
              <w:ind w:left="0" w:right="0" w:firstLine="420" w:firstLineChars="200"/>
              <w:jc w:val="both"/>
              <w:rPr>
                <w:rFonts w:hint="eastAsia" w:ascii="宋体" w:hAnsi="宋体" w:eastAsia="宋体" w:cs="宋体"/>
                <w:i w:val="0"/>
                <w:iCs w:val="0"/>
                <w:color w:val="auto"/>
                <w:kern w:val="2"/>
                <w:sz w:val="21"/>
                <w:szCs w:val="21"/>
                <w:highlight w:val="none"/>
              </w:rPr>
            </w:pPr>
          </w:p>
        </w:tc>
      </w:tr>
      <w:tr w14:paraId="2275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2D64531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cs="宋体"/>
                <w:b/>
                <w:bCs w:val="0"/>
                <w:i w:val="0"/>
                <w:iCs w:val="0"/>
                <w:color w:val="auto"/>
                <w:kern w:val="2"/>
                <w:sz w:val="21"/>
                <w:szCs w:val="21"/>
                <w:highlight w:val="none"/>
                <w:lang w:val="en-US" w:eastAsia="zh-CN" w:bidi="ar"/>
              </w:rPr>
              <w:t>执业</w:t>
            </w:r>
            <w:r>
              <w:rPr>
                <w:rFonts w:hint="eastAsia" w:ascii="宋体" w:hAnsi="宋体" w:eastAsia="宋体" w:cs="宋体"/>
                <w:b/>
                <w:bCs w:val="0"/>
                <w:i w:val="0"/>
                <w:iCs w:val="0"/>
                <w:color w:val="auto"/>
                <w:kern w:val="2"/>
                <w:sz w:val="21"/>
                <w:szCs w:val="21"/>
                <w:highlight w:val="none"/>
                <w:lang w:val="en-US" w:eastAsia="zh-CN" w:bidi="ar"/>
              </w:rPr>
              <w:t>资格</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BA0B601">
            <w:pPr>
              <w:keepNext w:val="0"/>
              <w:keepLines w:val="0"/>
              <w:widowControl/>
              <w:suppressLineNumbers w:val="0"/>
              <w:spacing w:before="0" w:beforeAutospacing="0" w:after="0" w:afterAutospacing="0" w:line="360" w:lineRule="exact"/>
              <w:ind w:left="0" w:right="0" w:firstLine="1680" w:firstLineChars="800"/>
              <w:jc w:val="left"/>
              <w:rPr>
                <w:rFonts w:hint="eastAsia" w:ascii="宋体" w:hAnsi="宋体" w:eastAsia="宋体" w:cs="宋体"/>
                <w:i w:val="0"/>
                <w:iCs w:val="0"/>
                <w:color w:val="auto"/>
                <w:kern w:val="2"/>
                <w:sz w:val="21"/>
                <w:szCs w:val="21"/>
                <w:highlight w:val="none"/>
              </w:rPr>
            </w:pPr>
          </w:p>
        </w:tc>
      </w:tr>
      <w:tr w14:paraId="2929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AD3BF47">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安全生产考核合格证证号</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48CB16A0">
            <w:pPr>
              <w:keepNext w:val="0"/>
              <w:keepLines w:val="0"/>
              <w:widowControl w:val="0"/>
              <w:suppressLineNumbers w:val="0"/>
              <w:snapToGrid w:val="0"/>
              <w:spacing w:before="0" w:beforeAutospacing="0" w:after="0" w:afterAutospacing="0" w:line="36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 xml:space="preserve">证号：                          </w:t>
            </w:r>
          </w:p>
        </w:tc>
      </w:tr>
      <w:tr w14:paraId="07D6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03F0D15B">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施工负责人</w:t>
            </w:r>
          </w:p>
        </w:tc>
      </w:tr>
      <w:tr w14:paraId="3503B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65F0343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姓名</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70A26B7B">
            <w:pPr>
              <w:keepNext w:val="0"/>
              <w:keepLines w:val="0"/>
              <w:widowControl/>
              <w:suppressLineNumbers w:val="0"/>
              <w:spacing w:before="0" w:beforeAutospacing="0" w:after="0" w:afterAutospacing="0" w:line="360" w:lineRule="exact"/>
              <w:ind w:left="0" w:right="0" w:firstLine="422" w:firstLineChars="200"/>
              <w:jc w:val="center"/>
              <w:rPr>
                <w:rFonts w:hint="eastAsia" w:ascii="宋体" w:hAnsi="宋体" w:eastAsia="宋体" w:cs="宋体"/>
                <w:b/>
                <w:bCs w:val="0"/>
                <w:i w:val="0"/>
                <w:iCs w:val="0"/>
                <w:color w:val="auto"/>
                <w:kern w:val="2"/>
                <w:sz w:val="21"/>
                <w:szCs w:val="21"/>
                <w:highlight w:val="none"/>
              </w:rPr>
            </w:pPr>
          </w:p>
        </w:tc>
      </w:tr>
      <w:tr w14:paraId="6605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3F4D191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身份证号</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2653319D">
            <w:pPr>
              <w:keepNext w:val="0"/>
              <w:keepLines w:val="0"/>
              <w:widowControl/>
              <w:suppressLineNumbers w:val="0"/>
              <w:spacing w:before="0" w:beforeAutospacing="0" w:after="0" w:afterAutospacing="0" w:line="360" w:lineRule="exact"/>
              <w:ind w:left="0" w:right="0" w:firstLine="422" w:firstLineChars="200"/>
              <w:jc w:val="center"/>
              <w:rPr>
                <w:rFonts w:hint="eastAsia" w:ascii="宋体" w:hAnsi="宋体" w:eastAsia="宋体" w:cs="宋体"/>
                <w:b/>
                <w:bCs w:val="0"/>
                <w:i w:val="0"/>
                <w:iCs w:val="0"/>
                <w:color w:val="auto"/>
                <w:kern w:val="2"/>
                <w:sz w:val="21"/>
                <w:szCs w:val="21"/>
                <w:highlight w:val="none"/>
              </w:rPr>
            </w:pPr>
          </w:p>
        </w:tc>
      </w:tr>
      <w:tr w14:paraId="7D3DC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4A8267A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cs="宋体"/>
                <w:b/>
                <w:bCs w:val="0"/>
                <w:i w:val="0"/>
                <w:iCs w:val="0"/>
                <w:color w:val="auto"/>
                <w:kern w:val="2"/>
                <w:sz w:val="21"/>
                <w:szCs w:val="21"/>
                <w:highlight w:val="none"/>
                <w:lang w:val="en-US" w:eastAsia="zh-CN" w:bidi="ar"/>
              </w:rPr>
              <w:t>执业</w:t>
            </w:r>
            <w:r>
              <w:rPr>
                <w:rFonts w:hint="eastAsia" w:ascii="宋体" w:hAnsi="宋体" w:eastAsia="宋体" w:cs="宋体"/>
                <w:b/>
                <w:bCs w:val="0"/>
                <w:i w:val="0"/>
                <w:iCs w:val="0"/>
                <w:color w:val="auto"/>
                <w:kern w:val="2"/>
                <w:sz w:val="21"/>
                <w:szCs w:val="21"/>
                <w:highlight w:val="none"/>
                <w:lang w:val="en-US" w:eastAsia="zh-CN" w:bidi="ar"/>
              </w:rPr>
              <w:t>资格</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1100A952">
            <w:pPr>
              <w:keepNext w:val="0"/>
              <w:keepLines w:val="0"/>
              <w:widowControl w:val="0"/>
              <w:suppressLineNumbers w:val="0"/>
              <w:snapToGrid w:val="0"/>
              <w:spacing w:before="0" w:beforeAutospacing="0" w:after="0" w:afterAutospacing="0" w:line="360" w:lineRule="exact"/>
              <w:ind w:left="0" w:right="0"/>
              <w:jc w:val="both"/>
              <w:rPr>
                <w:rFonts w:hint="eastAsia" w:ascii="宋体" w:hAnsi="宋体" w:eastAsia="宋体" w:cs="宋体"/>
                <w:i w:val="0"/>
                <w:iCs w:val="0"/>
                <w:color w:val="auto"/>
                <w:kern w:val="2"/>
                <w:sz w:val="21"/>
                <w:szCs w:val="21"/>
                <w:highlight w:val="none"/>
              </w:rPr>
            </w:pPr>
          </w:p>
        </w:tc>
      </w:tr>
      <w:tr w14:paraId="4C81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B31DAF9">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安全生产考核合格证证号</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3DC0D37F">
            <w:pPr>
              <w:keepNext w:val="0"/>
              <w:keepLines w:val="0"/>
              <w:widowControl w:val="0"/>
              <w:suppressLineNumbers w:val="0"/>
              <w:snapToGrid w:val="0"/>
              <w:spacing w:before="0" w:beforeAutospacing="0" w:after="0" w:afterAutospacing="0" w:line="360" w:lineRule="exact"/>
              <w:ind w:left="0" w:right="0"/>
              <w:jc w:val="both"/>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证号：</w:t>
            </w:r>
          </w:p>
        </w:tc>
      </w:tr>
      <w:tr w14:paraId="680D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56" w:type="dxa"/>
            <w:gridSpan w:val="3"/>
            <w:tcBorders>
              <w:top w:val="single" w:color="auto" w:sz="4" w:space="0"/>
              <w:left w:val="single" w:color="auto" w:sz="4" w:space="0"/>
              <w:bottom w:val="single" w:color="auto" w:sz="4" w:space="0"/>
              <w:right w:val="single" w:color="auto" w:sz="4" w:space="0"/>
            </w:tcBorders>
            <w:noWrap w:val="0"/>
            <w:vAlign w:val="center"/>
          </w:tcPr>
          <w:p w14:paraId="32392F79">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设计负责人</w:t>
            </w:r>
          </w:p>
        </w:tc>
      </w:tr>
      <w:tr w14:paraId="15C7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14830BA0">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姓名</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0B5C032">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val="0"/>
                <w:i w:val="0"/>
                <w:iCs w:val="0"/>
                <w:color w:val="auto"/>
                <w:kern w:val="2"/>
                <w:sz w:val="21"/>
                <w:szCs w:val="21"/>
                <w:highlight w:val="none"/>
              </w:rPr>
            </w:pPr>
          </w:p>
        </w:tc>
      </w:tr>
      <w:tr w14:paraId="7101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515440A3">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b/>
                <w:bCs w:val="0"/>
                <w:i w:val="0"/>
                <w:iCs w:val="0"/>
                <w:color w:val="auto"/>
                <w:kern w:val="2"/>
                <w:sz w:val="21"/>
                <w:szCs w:val="21"/>
                <w:highlight w:val="none"/>
                <w:lang w:val="en-US" w:eastAsia="zh-CN" w:bidi="ar"/>
              </w:rPr>
              <w:t>身份证号</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1BBE3C4A">
            <w:pPr>
              <w:keepNext w:val="0"/>
              <w:keepLines w:val="0"/>
              <w:widowControl w:val="0"/>
              <w:suppressLineNumbers w:val="0"/>
              <w:snapToGrid w:val="0"/>
              <w:spacing w:before="0" w:beforeAutospacing="0" w:after="0" w:afterAutospacing="0" w:line="360" w:lineRule="exact"/>
              <w:ind w:left="0" w:right="0"/>
              <w:jc w:val="both"/>
              <w:rPr>
                <w:rFonts w:hint="eastAsia" w:ascii="宋体" w:hAnsi="宋体" w:eastAsia="宋体" w:cs="宋体"/>
                <w:i w:val="0"/>
                <w:iCs w:val="0"/>
                <w:color w:val="auto"/>
                <w:kern w:val="2"/>
                <w:sz w:val="21"/>
                <w:szCs w:val="21"/>
                <w:highlight w:val="none"/>
              </w:rPr>
            </w:pPr>
          </w:p>
        </w:tc>
      </w:tr>
      <w:tr w14:paraId="5B0D7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20" w:type="dxa"/>
            <w:tcBorders>
              <w:top w:val="single" w:color="auto" w:sz="4" w:space="0"/>
              <w:left w:val="single" w:color="auto" w:sz="4" w:space="0"/>
              <w:bottom w:val="single" w:color="auto" w:sz="4" w:space="0"/>
              <w:right w:val="single" w:color="auto" w:sz="4" w:space="0"/>
            </w:tcBorders>
            <w:noWrap w:val="0"/>
            <w:vAlign w:val="center"/>
          </w:tcPr>
          <w:p w14:paraId="7C9CF768">
            <w:pPr>
              <w:keepNext w:val="0"/>
              <w:keepLines w:val="0"/>
              <w:widowControl w:val="0"/>
              <w:suppressLineNumbers w:val="0"/>
              <w:snapToGrid w:val="0"/>
              <w:spacing w:before="0" w:beforeAutospacing="0" w:after="0" w:afterAutospacing="0" w:line="360" w:lineRule="exact"/>
              <w:ind w:left="0" w:right="0"/>
              <w:jc w:val="center"/>
              <w:rPr>
                <w:rFonts w:hint="eastAsia" w:ascii="宋体" w:hAnsi="宋体" w:eastAsia="宋体" w:cs="宋体"/>
                <w:b/>
                <w:bCs/>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lang w:val="en-US" w:eastAsia="zh-CN" w:bidi="ar"/>
              </w:rPr>
              <w:t>职称</w:t>
            </w:r>
          </w:p>
        </w:tc>
        <w:tc>
          <w:tcPr>
            <w:tcW w:w="6036" w:type="dxa"/>
            <w:gridSpan w:val="2"/>
            <w:tcBorders>
              <w:top w:val="single" w:color="auto" w:sz="4" w:space="0"/>
              <w:left w:val="single" w:color="auto" w:sz="4" w:space="0"/>
              <w:bottom w:val="single" w:color="auto" w:sz="4" w:space="0"/>
              <w:right w:val="single" w:color="auto" w:sz="4" w:space="0"/>
            </w:tcBorders>
            <w:noWrap w:val="0"/>
            <w:vAlign w:val="center"/>
          </w:tcPr>
          <w:p w14:paraId="6F7F4D08">
            <w:pPr>
              <w:keepNext w:val="0"/>
              <w:keepLines w:val="0"/>
              <w:widowControl w:val="0"/>
              <w:suppressLineNumbers w:val="0"/>
              <w:snapToGrid w:val="0"/>
              <w:spacing w:before="0" w:beforeAutospacing="0" w:after="0" w:afterAutospacing="0" w:line="360" w:lineRule="exact"/>
              <w:ind w:left="0" w:right="0"/>
              <w:jc w:val="both"/>
              <w:rPr>
                <w:rFonts w:hint="eastAsia" w:ascii="宋体" w:hAnsi="宋体" w:eastAsia="宋体" w:cs="宋体"/>
                <w:i w:val="0"/>
                <w:iCs w:val="0"/>
                <w:color w:val="auto"/>
                <w:kern w:val="2"/>
                <w:sz w:val="21"/>
                <w:szCs w:val="21"/>
                <w:highlight w:val="none"/>
              </w:rPr>
            </w:pPr>
          </w:p>
        </w:tc>
      </w:tr>
    </w:tbl>
    <w:p w14:paraId="3F16C805">
      <w:pPr>
        <w:keepNext w:val="0"/>
        <w:keepLines w:val="0"/>
        <w:widowControl w:val="0"/>
        <w:suppressLineNumbers w:val="0"/>
        <w:spacing w:before="0" w:beforeAutospacing="0" w:after="0" w:afterAutospacing="0" w:line="320" w:lineRule="exact"/>
        <w:ind w:left="0" w:right="0" w:firstLine="5460" w:firstLineChars="2600"/>
        <w:jc w:val="left"/>
        <w:rPr>
          <w:rFonts w:hint="eastAsia" w:ascii="宋体" w:hAnsi="宋体" w:eastAsia="宋体" w:cs="宋体"/>
          <w:bCs/>
          <w:i w:val="0"/>
          <w:iCs w:val="0"/>
          <w:color w:val="auto"/>
          <w:kern w:val="2"/>
          <w:sz w:val="21"/>
          <w:szCs w:val="21"/>
          <w:highlight w:val="none"/>
        </w:rPr>
      </w:pPr>
      <w:r>
        <w:rPr>
          <w:rFonts w:hint="eastAsia" w:ascii="宋体" w:hAnsi="宋体" w:eastAsia="宋体" w:cs="宋体"/>
          <w:bCs/>
          <w:i w:val="0"/>
          <w:iCs w:val="0"/>
          <w:color w:val="auto"/>
          <w:kern w:val="2"/>
          <w:sz w:val="21"/>
          <w:szCs w:val="21"/>
          <w:highlight w:val="none"/>
          <w:lang w:val="en-US" w:eastAsia="zh-CN" w:bidi="ar"/>
        </w:rPr>
        <w:t xml:space="preserve"> </w:t>
      </w:r>
    </w:p>
    <w:p w14:paraId="31FBFFE1">
      <w:pPr>
        <w:keepNext w:val="0"/>
        <w:keepLines w:val="0"/>
        <w:widowControl w:val="0"/>
        <w:suppressLineNumbers w:val="0"/>
        <w:spacing w:before="0" w:beforeAutospacing="0" w:after="0" w:afterAutospacing="0" w:line="360" w:lineRule="auto"/>
        <w:ind w:left="0" w:right="0" w:firstLine="5460" w:firstLineChars="2600"/>
        <w:jc w:val="left"/>
        <w:rPr>
          <w:rFonts w:hint="eastAsia" w:ascii="宋体" w:hAnsi="宋体" w:eastAsia="宋体" w:cs="宋体"/>
          <w:bCs/>
          <w:i w:val="0"/>
          <w:iCs w:val="0"/>
          <w:color w:val="auto"/>
          <w:kern w:val="2"/>
          <w:sz w:val="21"/>
          <w:szCs w:val="21"/>
          <w:highlight w:val="none"/>
        </w:rPr>
      </w:pPr>
      <w:r>
        <w:rPr>
          <w:rFonts w:hint="eastAsia" w:ascii="宋体" w:hAnsi="宋体" w:eastAsia="宋体" w:cs="宋体"/>
          <w:bCs/>
          <w:i w:val="0"/>
          <w:iCs w:val="0"/>
          <w:color w:val="auto"/>
          <w:kern w:val="2"/>
          <w:sz w:val="21"/>
          <w:szCs w:val="21"/>
          <w:highlight w:val="none"/>
          <w:lang w:val="en-US" w:eastAsia="zh-CN" w:bidi="ar"/>
        </w:rPr>
        <w:t>投标人（盖章）：</w:t>
      </w:r>
    </w:p>
    <w:p w14:paraId="60E6EE97">
      <w:pPr>
        <w:keepNext w:val="0"/>
        <w:keepLines w:val="0"/>
        <w:widowControl w:val="0"/>
        <w:suppressLineNumbers w:val="0"/>
        <w:spacing w:before="0" w:beforeAutospacing="0" w:after="0" w:afterAutospacing="0" w:line="360" w:lineRule="auto"/>
        <w:ind w:left="0" w:right="0" w:firstLine="5460" w:firstLineChars="2600"/>
        <w:jc w:val="left"/>
        <w:rPr>
          <w:rFonts w:hint="eastAsia" w:ascii="宋体" w:hAnsi="宋体" w:eastAsia="宋体" w:cs="宋体"/>
          <w:bCs/>
          <w:i w:val="0"/>
          <w:iCs w:val="0"/>
          <w:color w:val="auto"/>
          <w:kern w:val="2"/>
          <w:sz w:val="21"/>
          <w:szCs w:val="21"/>
          <w:highlight w:val="none"/>
        </w:rPr>
      </w:pPr>
      <w:r>
        <w:rPr>
          <w:rFonts w:hint="eastAsia" w:ascii="宋体" w:hAnsi="宋体" w:eastAsia="宋体" w:cs="宋体"/>
          <w:bCs/>
          <w:i w:val="0"/>
          <w:iCs w:val="0"/>
          <w:color w:val="auto"/>
          <w:kern w:val="2"/>
          <w:sz w:val="21"/>
          <w:szCs w:val="21"/>
          <w:highlight w:val="none"/>
          <w:lang w:val="en-US" w:eastAsia="zh-CN" w:bidi="ar"/>
        </w:rPr>
        <w:t>法定代表人（盖章）：</w:t>
      </w:r>
    </w:p>
    <w:p w14:paraId="0DB105DB">
      <w:pPr>
        <w:keepNext w:val="0"/>
        <w:keepLines w:val="0"/>
        <w:widowControl w:val="0"/>
        <w:suppressLineNumbers w:val="0"/>
        <w:spacing w:before="0" w:beforeAutospacing="0" w:after="0" w:afterAutospacing="0" w:line="360" w:lineRule="auto"/>
        <w:ind w:left="0" w:right="0" w:firstLine="5460" w:firstLineChars="2600"/>
        <w:jc w:val="left"/>
        <w:rPr>
          <w:rFonts w:hint="eastAsia" w:ascii="宋体" w:hAnsi="宋体" w:eastAsia="宋体" w:cs="宋体"/>
          <w:bCs/>
          <w:i w:val="0"/>
          <w:iCs w:val="0"/>
          <w:color w:val="auto"/>
          <w:kern w:val="2"/>
          <w:sz w:val="21"/>
          <w:szCs w:val="21"/>
          <w:highlight w:val="none"/>
          <w:lang w:val="en-US" w:eastAsia="zh-CN" w:bidi="ar"/>
        </w:rPr>
      </w:pPr>
      <w:r>
        <w:rPr>
          <w:rFonts w:hint="eastAsia" w:ascii="宋体" w:hAnsi="宋体" w:eastAsia="宋体" w:cs="宋体"/>
          <w:bCs/>
          <w:i w:val="0"/>
          <w:iCs w:val="0"/>
          <w:color w:val="auto"/>
          <w:kern w:val="2"/>
          <w:sz w:val="21"/>
          <w:szCs w:val="21"/>
          <w:highlight w:val="none"/>
          <w:lang w:val="en-US" w:eastAsia="zh-CN" w:bidi="ar"/>
        </w:rPr>
        <w:t>日期：  年  月  日</w:t>
      </w:r>
    </w:p>
    <w:p w14:paraId="2D943E7F">
      <w:pPr>
        <w:keepNext w:val="0"/>
        <w:keepLines w:val="0"/>
        <w:widowControl w:val="0"/>
        <w:suppressLineNumbers w:val="0"/>
        <w:spacing w:before="0" w:beforeAutospacing="0" w:after="0" w:afterAutospacing="0" w:line="320" w:lineRule="exact"/>
        <w:ind w:right="0"/>
        <w:jc w:val="left"/>
        <w:rPr>
          <w:rFonts w:hint="eastAsia" w:ascii="宋体" w:hAnsi="宋体" w:eastAsia="宋体" w:cs="宋体"/>
          <w:b/>
          <w:bCs w:val="0"/>
          <w:i w:val="0"/>
          <w:iCs w:val="0"/>
          <w:color w:val="auto"/>
          <w:kern w:val="2"/>
          <w:sz w:val="24"/>
          <w:szCs w:val="24"/>
          <w:highlight w:val="none"/>
          <w:lang w:val="en-US" w:eastAsia="zh-CN" w:bidi="ar"/>
        </w:rPr>
      </w:pPr>
    </w:p>
    <w:p w14:paraId="57DEE946">
      <w:pPr>
        <w:keepNext w:val="0"/>
        <w:keepLines w:val="0"/>
        <w:widowControl w:val="0"/>
        <w:suppressLineNumbers w:val="0"/>
        <w:spacing w:before="0" w:beforeAutospacing="0" w:after="0" w:afterAutospacing="0" w:line="320" w:lineRule="exact"/>
        <w:ind w:right="0"/>
        <w:jc w:val="left"/>
        <w:rPr>
          <w:rFonts w:hint="eastAsia" w:ascii="宋体" w:hAnsi="宋体" w:eastAsia="宋体" w:cs="宋体"/>
          <w:b/>
          <w:bCs w:val="0"/>
          <w:i w:val="0"/>
          <w:iCs w:val="0"/>
          <w:color w:val="auto"/>
          <w:kern w:val="2"/>
          <w:sz w:val="24"/>
          <w:szCs w:val="24"/>
          <w:highlight w:val="none"/>
          <w:lang w:val="en-US" w:eastAsia="zh-CN" w:bidi="ar"/>
        </w:rPr>
      </w:pPr>
      <w:r>
        <w:rPr>
          <w:rFonts w:hint="eastAsia" w:ascii="宋体" w:hAnsi="宋体" w:eastAsia="宋体" w:cs="宋体"/>
          <w:b/>
          <w:bCs w:val="0"/>
          <w:i w:val="0"/>
          <w:iCs w:val="0"/>
          <w:color w:val="auto"/>
          <w:kern w:val="2"/>
          <w:sz w:val="24"/>
          <w:szCs w:val="24"/>
          <w:highlight w:val="none"/>
          <w:lang w:val="en-US" w:eastAsia="zh-CN" w:bidi="ar"/>
        </w:rPr>
        <w:t>备注：以上所涉及的证书证书原件扫描件（截图）附后。</w:t>
      </w:r>
    </w:p>
    <w:p w14:paraId="7AF7C0ED">
      <w:pPr>
        <w:keepNext w:val="0"/>
        <w:keepLines w:val="0"/>
        <w:widowControl w:val="0"/>
        <w:suppressLineNumbers w:val="0"/>
        <w:spacing w:before="0" w:beforeAutospacing="0" w:after="0" w:afterAutospacing="0" w:line="320" w:lineRule="exact"/>
        <w:ind w:right="0"/>
        <w:jc w:val="left"/>
        <w:rPr>
          <w:rFonts w:hint="eastAsia" w:ascii="宋体" w:hAnsi="宋体" w:eastAsia="宋体" w:cs="宋体"/>
          <w:b/>
          <w:bCs w:val="0"/>
          <w:i w:val="0"/>
          <w:iCs w:val="0"/>
          <w:color w:val="auto"/>
          <w:kern w:val="2"/>
          <w:sz w:val="24"/>
          <w:szCs w:val="24"/>
          <w:highlight w:val="none"/>
          <w:lang w:val="en-US" w:eastAsia="zh-CN" w:bidi="ar"/>
        </w:rPr>
      </w:pPr>
    </w:p>
    <w:p w14:paraId="38DFE0AE">
      <w:pPr>
        <w:pStyle w:val="10"/>
        <w:ind w:firstLine="21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项目管理</w:t>
      </w:r>
      <w:r>
        <w:rPr>
          <w:rFonts w:hint="eastAsia" w:ascii="宋体" w:hAnsi="宋体" w:cs="宋体"/>
          <w:b/>
          <w:color w:val="auto"/>
          <w:sz w:val="32"/>
          <w:szCs w:val="32"/>
          <w:highlight w:val="none"/>
          <w:lang w:eastAsia="zh-CN"/>
        </w:rPr>
        <w:t>班子</w:t>
      </w:r>
      <w:r>
        <w:rPr>
          <w:rFonts w:hint="eastAsia" w:ascii="宋体" w:hAnsi="宋体" w:cs="宋体"/>
          <w:b/>
          <w:color w:val="auto"/>
          <w:sz w:val="32"/>
          <w:szCs w:val="32"/>
          <w:highlight w:val="none"/>
        </w:rPr>
        <w:t>配备表</w:t>
      </w:r>
    </w:p>
    <w:tbl>
      <w:tblPr>
        <w:tblStyle w:val="11"/>
        <w:tblW w:w="869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282"/>
        <w:gridCol w:w="1082"/>
        <w:gridCol w:w="1366"/>
        <w:gridCol w:w="1606"/>
        <w:gridCol w:w="1608"/>
      </w:tblGrid>
      <w:tr w14:paraId="55AC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754" w:type="dxa"/>
            <w:noWrap/>
            <w:vAlign w:val="center"/>
          </w:tcPr>
          <w:p w14:paraId="7EE93092">
            <w:pPr>
              <w:keepNext w:val="0"/>
              <w:keepLines w:val="0"/>
              <w:suppressLineNumbers w:val="0"/>
              <w:tabs>
                <w:tab w:val="left" w:pos="616"/>
              </w:tabs>
              <w:spacing w:before="0" w:beforeAutospacing="0" w:after="0" w:afterAutospacing="0" w:line="280" w:lineRule="exact"/>
              <w:ind w:left="0" w:right="0"/>
              <w:jc w:val="center"/>
              <w:rPr>
                <w:rFonts w:hint="default" w:ascii="宋体" w:hAnsi="宋体" w:cs="宋体"/>
                <w:color w:val="auto"/>
                <w:highlight w:val="none"/>
              </w:rPr>
            </w:pPr>
            <w:r>
              <w:rPr>
                <w:rFonts w:hint="eastAsia" w:ascii="宋体" w:cs="宋体"/>
                <w:color w:val="auto"/>
                <w:szCs w:val="21"/>
                <w:highlight w:val="none"/>
                <w:lang w:val="zh-CN"/>
              </w:rPr>
              <w:t>序号</w:t>
            </w:r>
          </w:p>
        </w:tc>
        <w:tc>
          <w:tcPr>
            <w:tcW w:w="2282" w:type="dxa"/>
            <w:noWrap/>
            <w:vAlign w:val="center"/>
          </w:tcPr>
          <w:p w14:paraId="2EFE24F3">
            <w:pPr>
              <w:keepNext w:val="0"/>
              <w:keepLines w:val="0"/>
              <w:suppressLineNumbers w:val="0"/>
              <w:tabs>
                <w:tab w:val="left" w:pos="616"/>
              </w:tabs>
              <w:spacing w:before="0" w:beforeAutospacing="0" w:after="0" w:afterAutospacing="0" w:line="280" w:lineRule="exact"/>
              <w:ind w:left="0" w:right="0"/>
              <w:jc w:val="center"/>
              <w:rPr>
                <w:rFonts w:hint="default" w:ascii="宋体" w:hAnsi="宋体"/>
                <w:color w:val="auto"/>
                <w:highlight w:val="none"/>
              </w:rPr>
            </w:pPr>
            <w:r>
              <w:rPr>
                <w:rFonts w:hint="eastAsia" w:ascii="宋体" w:cs="宋体"/>
                <w:color w:val="auto"/>
                <w:szCs w:val="21"/>
                <w:highlight w:val="none"/>
                <w:lang w:val="zh-CN"/>
              </w:rPr>
              <w:t>名称</w:t>
            </w:r>
          </w:p>
        </w:tc>
        <w:tc>
          <w:tcPr>
            <w:tcW w:w="1082" w:type="dxa"/>
            <w:noWrap/>
            <w:vAlign w:val="center"/>
          </w:tcPr>
          <w:p w14:paraId="21B178BA">
            <w:pPr>
              <w:keepNext w:val="0"/>
              <w:keepLines w:val="0"/>
              <w:suppressLineNumbers w:val="0"/>
              <w:tabs>
                <w:tab w:val="left" w:pos="616"/>
              </w:tabs>
              <w:spacing w:before="0" w:beforeAutospacing="0" w:after="0" w:afterAutospacing="0" w:line="280" w:lineRule="exact"/>
              <w:ind w:left="0" w:right="0"/>
              <w:jc w:val="center"/>
              <w:rPr>
                <w:rFonts w:hint="default" w:ascii="宋体" w:hAnsi="宋体"/>
                <w:color w:val="auto"/>
                <w:highlight w:val="none"/>
              </w:rPr>
            </w:pPr>
            <w:r>
              <w:rPr>
                <w:rFonts w:hint="eastAsia" w:ascii="宋体" w:cs="宋体"/>
                <w:color w:val="auto"/>
                <w:szCs w:val="21"/>
                <w:highlight w:val="none"/>
              </w:rPr>
              <w:t>姓名</w:t>
            </w:r>
          </w:p>
        </w:tc>
        <w:tc>
          <w:tcPr>
            <w:tcW w:w="1366" w:type="dxa"/>
            <w:noWrap w:val="0"/>
            <w:vAlign w:val="center"/>
          </w:tcPr>
          <w:p w14:paraId="261FF135">
            <w:pPr>
              <w:keepNext w:val="0"/>
              <w:keepLines w:val="0"/>
              <w:suppressLineNumbers w:val="0"/>
              <w:tabs>
                <w:tab w:val="left" w:pos="616"/>
              </w:tabs>
              <w:spacing w:before="0" w:beforeAutospacing="0" w:after="0" w:afterAutospacing="0" w:line="280" w:lineRule="exact"/>
              <w:ind w:left="0" w:right="0" w:firstLine="4"/>
              <w:jc w:val="center"/>
              <w:rPr>
                <w:rFonts w:hint="eastAsia" w:ascii="宋体" w:cs="宋体"/>
                <w:color w:val="auto"/>
                <w:szCs w:val="21"/>
                <w:highlight w:val="none"/>
                <w:lang w:val="zh-CN"/>
              </w:rPr>
            </w:pPr>
            <w:r>
              <w:rPr>
                <w:rFonts w:hint="eastAsia" w:ascii="宋体" w:cs="宋体"/>
                <w:color w:val="auto"/>
                <w:szCs w:val="21"/>
                <w:highlight w:val="none"/>
                <w:lang w:val="zh-CN"/>
              </w:rPr>
              <w:t>身份证号</w:t>
            </w:r>
          </w:p>
        </w:tc>
        <w:tc>
          <w:tcPr>
            <w:tcW w:w="1606" w:type="dxa"/>
            <w:noWrap/>
            <w:vAlign w:val="center"/>
          </w:tcPr>
          <w:p w14:paraId="46853BD5">
            <w:pPr>
              <w:keepNext w:val="0"/>
              <w:keepLines w:val="0"/>
              <w:suppressLineNumbers w:val="0"/>
              <w:tabs>
                <w:tab w:val="left" w:pos="616"/>
              </w:tabs>
              <w:spacing w:before="0" w:beforeAutospacing="0" w:after="0" w:afterAutospacing="0" w:line="280" w:lineRule="exact"/>
              <w:ind w:left="0" w:right="0" w:firstLine="4"/>
              <w:jc w:val="center"/>
              <w:rPr>
                <w:rFonts w:hint="default" w:ascii="宋体" w:hAnsi="宋体"/>
                <w:color w:val="auto"/>
                <w:highlight w:val="none"/>
              </w:rPr>
            </w:pPr>
            <w:r>
              <w:rPr>
                <w:rFonts w:hint="eastAsia" w:ascii="宋体" w:cs="宋体"/>
                <w:color w:val="auto"/>
                <w:szCs w:val="21"/>
                <w:highlight w:val="none"/>
                <w:lang w:val="zh-CN"/>
              </w:rPr>
              <w:t>资格等级及证号</w:t>
            </w:r>
          </w:p>
        </w:tc>
        <w:tc>
          <w:tcPr>
            <w:tcW w:w="1608" w:type="dxa"/>
            <w:noWrap w:val="0"/>
            <w:vAlign w:val="center"/>
          </w:tcPr>
          <w:p w14:paraId="5C56711D">
            <w:pPr>
              <w:keepNext w:val="0"/>
              <w:keepLines w:val="0"/>
              <w:suppressLineNumbers w:val="0"/>
              <w:snapToGrid w:val="0"/>
              <w:spacing w:before="0" w:beforeAutospacing="0" w:after="0" w:afterAutospacing="0" w:line="280" w:lineRule="exact"/>
              <w:ind w:left="0" w:right="0"/>
              <w:jc w:val="center"/>
              <w:rPr>
                <w:rFonts w:hint="default" w:ascii="宋体"/>
                <w:color w:val="auto"/>
                <w:szCs w:val="21"/>
                <w:highlight w:val="none"/>
                <w:lang w:val="zh-CN"/>
              </w:rPr>
            </w:pPr>
            <w:r>
              <w:rPr>
                <w:rFonts w:hint="eastAsia" w:ascii="宋体"/>
                <w:color w:val="auto"/>
                <w:szCs w:val="21"/>
                <w:highlight w:val="none"/>
                <w:lang w:val="zh-CN"/>
              </w:rPr>
              <w:t>安全生产考核合格证证号</w:t>
            </w:r>
          </w:p>
        </w:tc>
      </w:tr>
      <w:tr w14:paraId="46339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54" w:type="dxa"/>
            <w:noWrap/>
            <w:vAlign w:val="center"/>
          </w:tcPr>
          <w:p w14:paraId="425E7700">
            <w:pPr>
              <w:keepNext w:val="0"/>
              <w:keepLines w:val="0"/>
              <w:suppressLineNumbers w:val="0"/>
              <w:tabs>
                <w:tab w:val="left" w:pos="616"/>
              </w:tabs>
              <w:spacing w:before="0" w:beforeAutospacing="0" w:after="0" w:afterAutospacing="0" w:line="400" w:lineRule="exact"/>
              <w:ind w:left="0" w:right="-107" w:rightChars="-51"/>
              <w:jc w:val="center"/>
              <w:rPr>
                <w:rFonts w:hint="eastAsia" w:ascii="宋体" w:cs="宋体"/>
                <w:color w:val="auto"/>
                <w:highlight w:val="none"/>
              </w:rPr>
            </w:pPr>
            <w:r>
              <w:rPr>
                <w:rFonts w:hint="eastAsia" w:ascii="宋体" w:cs="宋体"/>
                <w:color w:val="auto"/>
                <w:highlight w:val="none"/>
                <w:lang w:val="zh-CN"/>
              </w:rPr>
              <w:t>1</w:t>
            </w:r>
          </w:p>
        </w:tc>
        <w:tc>
          <w:tcPr>
            <w:tcW w:w="2282" w:type="dxa"/>
            <w:noWrap/>
            <w:vAlign w:val="center"/>
          </w:tcPr>
          <w:p w14:paraId="2991F792">
            <w:pPr>
              <w:keepNext w:val="0"/>
              <w:keepLines w:val="0"/>
              <w:suppressLineNumbers w:val="0"/>
              <w:tabs>
                <w:tab w:val="left" w:pos="616"/>
              </w:tabs>
              <w:spacing w:before="0" w:beforeAutospacing="0" w:after="0" w:afterAutospacing="0" w:line="400" w:lineRule="exact"/>
              <w:ind w:left="0" w:right="-107" w:rightChars="-51"/>
              <w:jc w:val="center"/>
              <w:rPr>
                <w:rFonts w:hint="eastAsia" w:ascii="宋体" w:cs="宋体"/>
                <w:color w:val="auto"/>
                <w:szCs w:val="21"/>
                <w:highlight w:val="none"/>
                <w:lang w:val="zh-CN"/>
              </w:rPr>
            </w:pPr>
            <w:r>
              <w:rPr>
                <w:rFonts w:hint="eastAsia" w:ascii="宋体" w:cs="宋体"/>
                <w:color w:val="auto"/>
                <w:szCs w:val="21"/>
                <w:highlight w:val="none"/>
                <w:lang w:val="zh-CN"/>
              </w:rPr>
              <w:t>项目</w:t>
            </w:r>
            <w:r>
              <w:rPr>
                <w:rFonts w:hint="eastAsia" w:ascii="宋体" w:cs="宋体"/>
                <w:color w:val="auto"/>
                <w:szCs w:val="21"/>
                <w:highlight w:val="none"/>
              </w:rPr>
              <w:t>负责人</w:t>
            </w:r>
          </w:p>
        </w:tc>
        <w:tc>
          <w:tcPr>
            <w:tcW w:w="1082" w:type="dxa"/>
            <w:noWrap/>
            <w:vAlign w:val="center"/>
          </w:tcPr>
          <w:p w14:paraId="67EBC445">
            <w:pPr>
              <w:keepNext w:val="0"/>
              <w:keepLines w:val="0"/>
              <w:suppressLineNumbers w:val="0"/>
              <w:tabs>
                <w:tab w:val="left" w:pos="616"/>
              </w:tabs>
              <w:spacing w:before="0" w:beforeAutospacing="0" w:after="0" w:afterAutospacing="0" w:line="400" w:lineRule="exact"/>
              <w:ind w:left="0" w:right="0"/>
              <w:jc w:val="center"/>
              <w:rPr>
                <w:rFonts w:hint="default" w:ascii="宋体" w:hAnsi="宋体"/>
                <w:color w:val="auto"/>
                <w:highlight w:val="none"/>
              </w:rPr>
            </w:pPr>
          </w:p>
        </w:tc>
        <w:tc>
          <w:tcPr>
            <w:tcW w:w="1366" w:type="dxa"/>
            <w:noWrap w:val="0"/>
            <w:vAlign w:val="center"/>
          </w:tcPr>
          <w:p w14:paraId="039742D3">
            <w:pPr>
              <w:keepNext w:val="0"/>
              <w:keepLines w:val="0"/>
              <w:suppressLineNumbers w:val="0"/>
              <w:tabs>
                <w:tab w:val="left" w:pos="616"/>
              </w:tabs>
              <w:spacing w:before="0" w:beforeAutospacing="0" w:after="0" w:afterAutospacing="0" w:line="320" w:lineRule="exact"/>
              <w:ind w:left="0" w:right="0" w:firstLine="4" w:firstLineChars="2"/>
              <w:jc w:val="center"/>
              <w:rPr>
                <w:rFonts w:hint="eastAsia" w:ascii="宋体" w:hAnsi="宋体" w:cs="仿宋"/>
                <w:color w:val="auto"/>
                <w:szCs w:val="21"/>
                <w:highlight w:val="none"/>
              </w:rPr>
            </w:pPr>
          </w:p>
        </w:tc>
        <w:tc>
          <w:tcPr>
            <w:tcW w:w="1606" w:type="dxa"/>
            <w:noWrap/>
            <w:vAlign w:val="center"/>
          </w:tcPr>
          <w:p w14:paraId="6E4CEAFF">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p>
        </w:tc>
        <w:tc>
          <w:tcPr>
            <w:tcW w:w="1608" w:type="dxa"/>
            <w:noWrap w:val="0"/>
            <w:vAlign w:val="center"/>
          </w:tcPr>
          <w:p w14:paraId="0DB7F548">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p>
        </w:tc>
      </w:tr>
      <w:tr w14:paraId="464D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54" w:type="dxa"/>
            <w:noWrap/>
            <w:vAlign w:val="center"/>
          </w:tcPr>
          <w:p w14:paraId="3E012921">
            <w:pPr>
              <w:keepNext w:val="0"/>
              <w:keepLines w:val="0"/>
              <w:suppressLineNumbers w:val="0"/>
              <w:tabs>
                <w:tab w:val="left" w:pos="616"/>
              </w:tabs>
              <w:spacing w:before="0" w:beforeAutospacing="0" w:after="0" w:afterAutospacing="0" w:line="400" w:lineRule="exact"/>
              <w:ind w:left="0" w:right="0"/>
              <w:jc w:val="center"/>
              <w:rPr>
                <w:rFonts w:hint="eastAsia" w:ascii="宋体" w:eastAsia="宋体" w:cs="宋体"/>
                <w:color w:val="auto"/>
                <w:highlight w:val="none"/>
                <w:lang w:val="en-US" w:eastAsia="zh-CN"/>
              </w:rPr>
            </w:pPr>
            <w:r>
              <w:rPr>
                <w:rFonts w:hint="eastAsia" w:ascii="宋体" w:cs="宋体"/>
                <w:color w:val="auto"/>
                <w:highlight w:val="none"/>
                <w:lang w:val="en-US" w:eastAsia="zh-CN"/>
              </w:rPr>
              <w:t>2</w:t>
            </w:r>
          </w:p>
        </w:tc>
        <w:tc>
          <w:tcPr>
            <w:tcW w:w="2282" w:type="dxa"/>
            <w:noWrap/>
            <w:vAlign w:val="center"/>
          </w:tcPr>
          <w:p w14:paraId="533FF5E1">
            <w:pPr>
              <w:keepNext w:val="0"/>
              <w:keepLines w:val="0"/>
              <w:suppressLineNumbers w:val="0"/>
              <w:tabs>
                <w:tab w:val="left" w:pos="616"/>
              </w:tabs>
              <w:spacing w:before="0" w:beforeAutospacing="0" w:after="0" w:afterAutospacing="0" w:line="400" w:lineRule="exact"/>
              <w:ind w:left="0" w:right="0"/>
              <w:jc w:val="center"/>
              <w:rPr>
                <w:rFonts w:hint="eastAsia" w:ascii="宋体" w:cs="宋体"/>
                <w:color w:val="auto"/>
                <w:szCs w:val="21"/>
                <w:highlight w:val="none"/>
                <w:lang w:val="zh-CN"/>
              </w:rPr>
            </w:pPr>
            <w:r>
              <w:rPr>
                <w:rFonts w:hint="eastAsia" w:ascii="宋体" w:cs="宋体"/>
                <w:color w:val="auto"/>
                <w:szCs w:val="21"/>
                <w:highlight w:val="none"/>
                <w:lang w:val="zh-CN"/>
              </w:rPr>
              <w:t>设计负责人</w:t>
            </w:r>
          </w:p>
        </w:tc>
        <w:tc>
          <w:tcPr>
            <w:tcW w:w="1082" w:type="dxa"/>
            <w:noWrap/>
            <w:vAlign w:val="center"/>
          </w:tcPr>
          <w:p w14:paraId="3030C19A">
            <w:pPr>
              <w:keepNext w:val="0"/>
              <w:keepLines w:val="0"/>
              <w:suppressLineNumbers w:val="0"/>
              <w:tabs>
                <w:tab w:val="left" w:pos="616"/>
              </w:tabs>
              <w:spacing w:before="0" w:beforeAutospacing="0" w:after="0" w:afterAutospacing="0" w:line="400" w:lineRule="exact"/>
              <w:ind w:left="0" w:right="0"/>
              <w:jc w:val="center"/>
              <w:rPr>
                <w:rFonts w:hint="default" w:ascii="宋体" w:hAnsi="宋体"/>
                <w:color w:val="auto"/>
                <w:highlight w:val="none"/>
              </w:rPr>
            </w:pPr>
          </w:p>
        </w:tc>
        <w:tc>
          <w:tcPr>
            <w:tcW w:w="1366" w:type="dxa"/>
            <w:noWrap w:val="0"/>
            <w:vAlign w:val="center"/>
          </w:tcPr>
          <w:p w14:paraId="4379BA1D">
            <w:pPr>
              <w:keepNext w:val="0"/>
              <w:keepLines w:val="0"/>
              <w:suppressLineNumbers w:val="0"/>
              <w:tabs>
                <w:tab w:val="left" w:pos="616"/>
              </w:tabs>
              <w:spacing w:before="0" w:beforeAutospacing="0" w:after="0" w:afterAutospacing="0" w:line="320" w:lineRule="exact"/>
              <w:ind w:left="0" w:right="0" w:firstLine="4" w:firstLineChars="2"/>
              <w:jc w:val="center"/>
              <w:rPr>
                <w:rFonts w:hint="eastAsia" w:ascii="宋体" w:hAnsi="宋体" w:cs="仿宋"/>
                <w:color w:val="auto"/>
                <w:szCs w:val="21"/>
                <w:highlight w:val="none"/>
              </w:rPr>
            </w:pPr>
          </w:p>
        </w:tc>
        <w:tc>
          <w:tcPr>
            <w:tcW w:w="1606" w:type="dxa"/>
            <w:noWrap/>
            <w:vAlign w:val="center"/>
          </w:tcPr>
          <w:p w14:paraId="347C0280">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p>
        </w:tc>
        <w:tc>
          <w:tcPr>
            <w:tcW w:w="1608" w:type="dxa"/>
            <w:noWrap w:val="0"/>
            <w:vAlign w:val="center"/>
          </w:tcPr>
          <w:p w14:paraId="55E8AA2F">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bookmarkStart w:id="696" w:name="OLE_LINK27"/>
            <w:r>
              <w:rPr>
                <w:rFonts w:hint="eastAsia" w:ascii="宋体" w:hAnsi="宋体" w:cs="仿宋"/>
                <w:color w:val="auto"/>
                <w:szCs w:val="21"/>
                <w:highlight w:val="none"/>
              </w:rPr>
              <w:t>/</w:t>
            </w:r>
            <w:bookmarkEnd w:id="696"/>
          </w:p>
        </w:tc>
      </w:tr>
      <w:tr w14:paraId="55FFB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54" w:type="dxa"/>
            <w:noWrap/>
            <w:vAlign w:val="center"/>
          </w:tcPr>
          <w:p w14:paraId="50DE78BE">
            <w:pPr>
              <w:keepNext w:val="0"/>
              <w:keepLines w:val="0"/>
              <w:suppressLineNumbers w:val="0"/>
              <w:tabs>
                <w:tab w:val="left" w:pos="616"/>
              </w:tabs>
              <w:spacing w:before="0" w:beforeAutospacing="0" w:after="0" w:afterAutospacing="0" w:line="400" w:lineRule="exact"/>
              <w:ind w:left="0" w:right="0"/>
              <w:jc w:val="center"/>
              <w:rPr>
                <w:rFonts w:hint="eastAsia" w:ascii="宋体" w:eastAsia="宋体" w:cs="宋体"/>
                <w:color w:val="auto"/>
                <w:highlight w:val="none"/>
                <w:lang w:val="en-US" w:eastAsia="zh-CN"/>
              </w:rPr>
            </w:pPr>
            <w:r>
              <w:rPr>
                <w:rFonts w:hint="eastAsia" w:ascii="宋体" w:cs="宋体"/>
                <w:color w:val="auto"/>
                <w:highlight w:val="none"/>
                <w:lang w:val="en-US" w:eastAsia="zh-CN"/>
              </w:rPr>
              <w:t>3</w:t>
            </w:r>
          </w:p>
        </w:tc>
        <w:tc>
          <w:tcPr>
            <w:tcW w:w="2282" w:type="dxa"/>
            <w:noWrap/>
            <w:vAlign w:val="center"/>
          </w:tcPr>
          <w:p w14:paraId="22DE9A4A">
            <w:pPr>
              <w:keepNext w:val="0"/>
              <w:keepLines w:val="0"/>
              <w:suppressLineNumbers w:val="0"/>
              <w:tabs>
                <w:tab w:val="left" w:pos="616"/>
              </w:tabs>
              <w:spacing w:before="0" w:beforeAutospacing="0" w:after="0" w:afterAutospacing="0" w:line="400" w:lineRule="exact"/>
              <w:ind w:left="0" w:right="0"/>
              <w:jc w:val="center"/>
              <w:rPr>
                <w:rFonts w:hint="eastAsia" w:ascii="宋体" w:hAnsi="宋体" w:eastAsia="宋体" w:cs="Times New Roman"/>
                <w:color w:val="auto"/>
                <w:kern w:val="2"/>
                <w:sz w:val="21"/>
                <w:szCs w:val="24"/>
                <w:highlight w:val="none"/>
                <w:lang w:val="zh-CN" w:eastAsia="zh-CN" w:bidi="ar-SA"/>
              </w:rPr>
            </w:pPr>
            <w:r>
              <w:rPr>
                <w:rFonts w:hint="eastAsia" w:ascii="宋体" w:cs="宋体"/>
                <w:color w:val="auto"/>
                <w:szCs w:val="21"/>
                <w:highlight w:val="none"/>
                <w:lang w:val="zh-CN"/>
              </w:rPr>
              <w:t>施工负责人</w:t>
            </w:r>
          </w:p>
        </w:tc>
        <w:tc>
          <w:tcPr>
            <w:tcW w:w="1082" w:type="dxa"/>
            <w:noWrap/>
            <w:vAlign w:val="center"/>
          </w:tcPr>
          <w:p w14:paraId="1380CE85">
            <w:pPr>
              <w:keepNext w:val="0"/>
              <w:keepLines w:val="0"/>
              <w:suppressLineNumbers w:val="0"/>
              <w:tabs>
                <w:tab w:val="left" w:pos="616"/>
              </w:tabs>
              <w:spacing w:before="0" w:beforeAutospacing="0" w:after="0" w:afterAutospacing="0" w:line="400" w:lineRule="exact"/>
              <w:ind w:left="0" w:right="0"/>
              <w:jc w:val="center"/>
              <w:rPr>
                <w:rFonts w:hint="default" w:ascii="宋体" w:hAnsi="宋体"/>
                <w:color w:val="auto"/>
                <w:highlight w:val="none"/>
              </w:rPr>
            </w:pPr>
          </w:p>
        </w:tc>
        <w:tc>
          <w:tcPr>
            <w:tcW w:w="1366" w:type="dxa"/>
            <w:noWrap w:val="0"/>
            <w:vAlign w:val="center"/>
          </w:tcPr>
          <w:p w14:paraId="3D155241">
            <w:pPr>
              <w:keepNext w:val="0"/>
              <w:keepLines w:val="0"/>
              <w:suppressLineNumbers w:val="0"/>
              <w:tabs>
                <w:tab w:val="left" w:pos="616"/>
              </w:tabs>
              <w:spacing w:before="0" w:beforeAutospacing="0" w:after="0" w:afterAutospacing="0" w:line="320" w:lineRule="exact"/>
              <w:ind w:left="0" w:right="0" w:firstLine="4" w:firstLineChars="2"/>
              <w:jc w:val="center"/>
              <w:rPr>
                <w:rFonts w:hint="eastAsia" w:ascii="宋体" w:hAnsi="宋体" w:cs="仿宋"/>
                <w:color w:val="auto"/>
                <w:szCs w:val="21"/>
                <w:highlight w:val="none"/>
              </w:rPr>
            </w:pPr>
          </w:p>
        </w:tc>
        <w:tc>
          <w:tcPr>
            <w:tcW w:w="1606" w:type="dxa"/>
            <w:noWrap/>
            <w:vAlign w:val="center"/>
          </w:tcPr>
          <w:p w14:paraId="2161183A">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p>
        </w:tc>
        <w:tc>
          <w:tcPr>
            <w:tcW w:w="1608" w:type="dxa"/>
            <w:noWrap w:val="0"/>
            <w:vAlign w:val="center"/>
          </w:tcPr>
          <w:p w14:paraId="4B8752BE">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宋体"/>
                <w:color w:val="auto"/>
                <w:szCs w:val="21"/>
                <w:highlight w:val="none"/>
              </w:rPr>
            </w:pPr>
          </w:p>
        </w:tc>
      </w:tr>
      <w:tr w14:paraId="674E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54" w:type="dxa"/>
            <w:noWrap/>
            <w:vAlign w:val="center"/>
          </w:tcPr>
          <w:p w14:paraId="16B7E74E">
            <w:pPr>
              <w:keepNext w:val="0"/>
              <w:keepLines w:val="0"/>
              <w:suppressLineNumbers w:val="0"/>
              <w:tabs>
                <w:tab w:val="left" w:pos="616"/>
              </w:tabs>
              <w:spacing w:before="0" w:beforeAutospacing="0" w:after="0" w:afterAutospacing="0" w:line="400" w:lineRule="exact"/>
              <w:ind w:left="0" w:right="0"/>
              <w:jc w:val="center"/>
              <w:rPr>
                <w:rFonts w:hint="eastAsia" w:ascii="宋体" w:hAnsi="Times New Roman" w:eastAsia="宋体" w:cs="宋体"/>
                <w:color w:val="auto"/>
                <w:highlight w:val="none"/>
                <w:lang w:eastAsia="zh-CN"/>
              </w:rPr>
            </w:pPr>
            <w:r>
              <w:rPr>
                <w:rFonts w:hint="eastAsia" w:ascii="宋体" w:cs="宋体"/>
                <w:color w:val="auto"/>
                <w:highlight w:val="none"/>
                <w:lang w:val="en-US" w:eastAsia="zh-CN"/>
              </w:rPr>
              <w:t>4</w:t>
            </w:r>
          </w:p>
        </w:tc>
        <w:tc>
          <w:tcPr>
            <w:tcW w:w="2282" w:type="dxa"/>
            <w:noWrap/>
            <w:vAlign w:val="center"/>
          </w:tcPr>
          <w:p w14:paraId="43F7D9E7">
            <w:pPr>
              <w:keepNext w:val="0"/>
              <w:keepLines w:val="0"/>
              <w:suppressLineNumbers w:val="0"/>
              <w:tabs>
                <w:tab w:val="left" w:pos="616"/>
              </w:tabs>
              <w:spacing w:before="0" w:beforeAutospacing="0" w:after="0" w:afterAutospacing="0" w:line="400" w:lineRule="exact"/>
              <w:ind w:left="0" w:right="0"/>
              <w:jc w:val="center"/>
              <w:rPr>
                <w:rFonts w:hint="eastAsia" w:ascii="宋体" w:eastAsia="宋体" w:cs="宋体"/>
                <w:color w:val="auto"/>
                <w:szCs w:val="21"/>
                <w:highlight w:val="none"/>
                <w:lang w:val="zh-CN" w:eastAsia="zh-CN"/>
              </w:rPr>
            </w:pPr>
            <w:r>
              <w:rPr>
                <w:rFonts w:hint="eastAsia" w:ascii="宋体" w:hAnsi="宋体" w:cs="宋体"/>
                <w:color w:val="auto"/>
                <w:szCs w:val="21"/>
                <w:highlight w:val="none"/>
              </w:rPr>
              <w:t>安全员</w:t>
            </w:r>
          </w:p>
        </w:tc>
        <w:tc>
          <w:tcPr>
            <w:tcW w:w="1082" w:type="dxa"/>
            <w:noWrap/>
            <w:vAlign w:val="center"/>
          </w:tcPr>
          <w:p w14:paraId="55727D06">
            <w:pPr>
              <w:keepNext w:val="0"/>
              <w:keepLines w:val="0"/>
              <w:suppressLineNumbers w:val="0"/>
              <w:tabs>
                <w:tab w:val="left" w:pos="616"/>
              </w:tabs>
              <w:spacing w:before="0" w:beforeAutospacing="0" w:after="0" w:afterAutospacing="0" w:line="400" w:lineRule="exact"/>
              <w:ind w:left="0" w:right="0"/>
              <w:jc w:val="center"/>
              <w:rPr>
                <w:rFonts w:hint="default" w:ascii="宋体" w:hAnsi="宋体"/>
                <w:color w:val="auto"/>
                <w:highlight w:val="none"/>
              </w:rPr>
            </w:pPr>
          </w:p>
        </w:tc>
        <w:tc>
          <w:tcPr>
            <w:tcW w:w="1366" w:type="dxa"/>
            <w:noWrap w:val="0"/>
            <w:vAlign w:val="center"/>
          </w:tcPr>
          <w:p w14:paraId="777B41E5">
            <w:pPr>
              <w:keepNext w:val="0"/>
              <w:keepLines w:val="0"/>
              <w:suppressLineNumbers w:val="0"/>
              <w:tabs>
                <w:tab w:val="left" w:pos="616"/>
              </w:tabs>
              <w:spacing w:before="0" w:beforeAutospacing="0" w:after="0" w:afterAutospacing="0" w:line="320" w:lineRule="exact"/>
              <w:ind w:left="0" w:right="0" w:firstLine="4" w:firstLineChars="2"/>
              <w:jc w:val="center"/>
              <w:rPr>
                <w:rFonts w:hint="eastAsia" w:ascii="宋体" w:hAnsi="宋体" w:cs="宋体"/>
                <w:color w:val="auto"/>
                <w:szCs w:val="21"/>
                <w:highlight w:val="none"/>
              </w:rPr>
            </w:pPr>
          </w:p>
        </w:tc>
        <w:tc>
          <w:tcPr>
            <w:tcW w:w="1606" w:type="dxa"/>
            <w:noWrap/>
            <w:vAlign w:val="center"/>
          </w:tcPr>
          <w:p w14:paraId="704A9C9A">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仿宋"/>
                <w:color w:val="auto"/>
                <w:szCs w:val="21"/>
                <w:highlight w:val="none"/>
              </w:rPr>
            </w:pPr>
          </w:p>
        </w:tc>
        <w:tc>
          <w:tcPr>
            <w:tcW w:w="1608" w:type="dxa"/>
            <w:noWrap w:val="0"/>
            <w:vAlign w:val="center"/>
          </w:tcPr>
          <w:p w14:paraId="62F49232">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仿宋"/>
                <w:color w:val="auto"/>
                <w:szCs w:val="21"/>
                <w:highlight w:val="none"/>
              </w:rPr>
            </w:pPr>
          </w:p>
        </w:tc>
      </w:tr>
      <w:tr w14:paraId="42EA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54" w:type="dxa"/>
            <w:noWrap/>
            <w:vAlign w:val="center"/>
          </w:tcPr>
          <w:p w14:paraId="604EC44D">
            <w:pPr>
              <w:keepNext w:val="0"/>
              <w:keepLines w:val="0"/>
              <w:suppressLineNumbers w:val="0"/>
              <w:tabs>
                <w:tab w:val="left" w:pos="616"/>
              </w:tabs>
              <w:spacing w:before="0" w:beforeAutospacing="0" w:after="0" w:afterAutospacing="0" w:line="400" w:lineRule="exact"/>
              <w:ind w:left="0" w:right="0"/>
              <w:jc w:val="center"/>
              <w:rPr>
                <w:rFonts w:hint="default" w:ascii="宋体" w:cs="宋体"/>
                <w:color w:val="auto"/>
                <w:highlight w:val="none"/>
                <w:lang w:val="en-US" w:eastAsia="zh-CN"/>
              </w:rPr>
            </w:pPr>
          </w:p>
        </w:tc>
        <w:tc>
          <w:tcPr>
            <w:tcW w:w="2282" w:type="dxa"/>
            <w:noWrap/>
            <w:vAlign w:val="center"/>
          </w:tcPr>
          <w:p w14:paraId="7D51BE2A">
            <w:pPr>
              <w:keepNext w:val="0"/>
              <w:keepLines w:val="0"/>
              <w:suppressLineNumbers w:val="0"/>
              <w:tabs>
                <w:tab w:val="left" w:pos="616"/>
              </w:tabs>
              <w:spacing w:before="0" w:beforeAutospacing="0" w:after="0" w:afterAutospacing="0" w:line="400" w:lineRule="exact"/>
              <w:ind w:left="0" w:right="0"/>
              <w:jc w:val="center"/>
              <w:rPr>
                <w:rFonts w:hint="eastAsia" w:ascii="宋体" w:hAnsi="宋体" w:cs="宋体"/>
                <w:color w:val="auto"/>
                <w:szCs w:val="21"/>
                <w:highlight w:val="none"/>
              </w:rPr>
            </w:pPr>
          </w:p>
        </w:tc>
        <w:tc>
          <w:tcPr>
            <w:tcW w:w="1082" w:type="dxa"/>
            <w:noWrap/>
            <w:vAlign w:val="center"/>
          </w:tcPr>
          <w:p w14:paraId="12B26196">
            <w:pPr>
              <w:keepNext w:val="0"/>
              <w:keepLines w:val="0"/>
              <w:suppressLineNumbers w:val="0"/>
              <w:tabs>
                <w:tab w:val="left" w:pos="616"/>
              </w:tabs>
              <w:spacing w:before="0" w:beforeAutospacing="0" w:after="0" w:afterAutospacing="0" w:line="400" w:lineRule="exact"/>
              <w:ind w:left="0" w:right="0"/>
              <w:jc w:val="center"/>
              <w:rPr>
                <w:rFonts w:hint="default" w:ascii="宋体" w:hAnsi="宋体"/>
                <w:color w:val="auto"/>
                <w:highlight w:val="none"/>
              </w:rPr>
            </w:pPr>
          </w:p>
        </w:tc>
        <w:tc>
          <w:tcPr>
            <w:tcW w:w="1366" w:type="dxa"/>
            <w:noWrap w:val="0"/>
            <w:vAlign w:val="center"/>
          </w:tcPr>
          <w:p w14:paraId="162A0105">
            <w:pPr>
              <w:keepNext w:val="0"/>
              <w:keepLines w:val="0"/>
              <w:suppressLineNumbers w:val="0"/>
              <w:tabs>
                <w:tab w:val="left" w:pos="616"/>
              </w:tabs>
              <w:spacing w:before="0" w:beforeAutospacing="0" w:after="0" w:afterAutospacing="0" w:line="320" w:lineRule="exact"/>
              <w:ind w:left="0" w:right="0" w:firstLine="4" w:firstLineChars="2"/>
              <w:jc w:val="center"/>
              <w:rPr>
                <w:rFonts w:hint="eastAsia" w:ascii="宋体" w:hAnsi="宋体" w:cs="宋体"/>
                <w:color w:val="auto"/>
                <w:szCs w:val="21"/>
                <w:highlight w:val="none"/>
              </w:rPr>
            </w:pPr>
          </w:p>
        </w:tc>
        <w:tc>
          <w:tcPr>
            <w:tcW w:w="1606" w:type="dxa"/>
            <w:noWrap/>
            <w:vAlign w:val="center"/>
          </w:tcPr>
          <w:p w14:paraId="25562116">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仿宋"/>
                <w:color w:val="auto"/>
                <w:szCs w:val="21"/>
                <w:highlight w:val="none"/>
              </w:rPr>
            </w:pPr>
          </w:p>
        </w:tc>
        <w:tc>
          <w:tcPr>
            <w:tcW w:w="1608" w:type="dxa"/>
            <w:noWrap w:val="0"/>
            <w:vAlign w:val="center"/>
          </w:tcPr>
          <w:p w14:paraId="43E21C79">
            <w:pPr>
              <w:keepNext w:val="0"/>
              <w:keepLines w:val="0"/>
              <w:suppressLineNumbers w:val="0"/>
              <w:tabs>
                <w:tab w:val="left" w:pos="616"/>
              </w:tabs>
              <w:spacing w:before="0" w:beforeAutospacing="0" w:after="0" w:afterAutospacing="0" w:line="320" w:lineRule="exact"/>
              <w:ind w:left="0" w:right="0" w:firstLine="4" w:firstLineChars="2"/>
              <w:jc w:val="center"/>
              <w:rPr>
                <w:rFonts w:hint="default" w:ascii="宋体" w:hAnsi="宋体" w:cs="仿宋"/>
                <w:color w:val="auto"/>
                <w:szCs w:val="21"/>
                <w:highlight w:val="none"/>
              </w:rPr>
            </w:pPr>
          </w:p>
        </w:tc>
      </w:tr>
    </w:tbl>
    <w:p w14:paraId="578E720F">
      <w:pPr>
        <w:shd w:val="clear" w:color="auto" w:fill="auto"/>
        <w:spacing w:before="128" w:line="219" w:lineRule="auto"/>
        <w:ind w:left="1673"/>
        <w:rPr>
          <w:rFonts w:ascii="宋体" w:hAnsi="宋体" w:cs="宋体"/>
          <w:color w:val="auto"/>
          <w:sz w:val="28"/>
          <w:szCs w:val="28"/>
          <w:highlight w:val="none"/>
        </w:rPr>
      </w:pPr>
    </w:p>
    <w:p w14:paraId="00AD1CB0">
      <w:pPr>
        <w:spacing w:line="360" w:lineRule="exact"/>
        <w:ind w:firstLine="422" w:firstLineChars="200"/>
        <w:jc w:val="both"/>
        <w:outlineLvl w:val="1"/>
        <w:rPr>
          <w:rFonts w:hint="eastAsia" w:ascii="宋体" w:hAnsi="宋体" w:cs="宋体"/>
          <w:color w:val="auto"/>
          <w:highlight w:val="none"/>
        </w:rPr>
      </w:pPr>
      <w:r>
        <w:rPr>
          <w:rFonts w:hint="eastAsia" w:ascii="宋体" w:hAnsi="宋体" w:cs="宋体"/>
          <w:b/>
          <w:color w:val="auto"/>
          <w:highlight w:val="none"/>
        </w:rPr>
        <w:t>注：</w:t>
      </w:r>
      <w:r>
        <w:rPr>
          <w:rFonts w:hint="eastAsia" w:ascii="宋体" w:hAnsi="宋体" w:cs="宋体"/>
          <w:color w:val="auto"/>
          <w:highlight w:val="none"/>
        </w:rPr>
        <w:t>1、为满足本工程需要，投标人应根据项目工程内容、规模、工期等特点配置上述岗位、资格不得低于招标公告的各项要求，否则资格审查不予通过。</w:t>
      </w:r>
    </w:p>
    <w:p w14:paraId="5F14B9B4">
      <w:pPr>
        <w:numPr>
          <w:ilvl w:val="0"/>
          <w:numId w:val="8"/>
        </w:numPr>
        <w:spacing w:line="360" w:lineRule="exact"/>
        <w:ind w:firstLine="420"/>
        <w:jc w:val="both"/>
        <w:rPr>
          <w:rFonts w:hint="eastAsia" w:ascii="宋体" w:hAnsi="宋体" w:cs="宋体"/>
          <w:color w:val="auto"/>
          <w:highlight w:val="none"/>
        </w:rPr>
      </w:pPr>
      <w:r>
        <w:rPr>
          <w:rFonts w:hint="eastAsia" w:ascii="宋体" w:hAnsi="宋体" w:cs="宋体"/>
          <w:color w:val="auto"/>
          <w:highlight w:val="none"/>
        </w:rPr>
        <w:t>以上人员对应的资格（或注册或执业或职称或上岗）证、安全生产考核合格证</w:t>
      </w:r>
      <w:r>
        <w:rPr>
          <w:rFonts w:hint="eastAsia" w:ascii="宋体" w:hAnsi="宋体" w:cs="宋体"/>
          <w:color w:val="auto"/>
          <w:highlight w:val="none"/>
          <w:lang w:eastAsia="zh-CN"/>
        </w:rPr>
        <w:t>及社保证明</w:t>
      </w:r>
      <w:r>
        <w:rPr>
          <w:rFonts w:hint="eastAsia" w:ascii="宋体" w:hAnsi="宋体" w:cs="宋体"/>
          <w:color w:val="auto"/>
          <w:highlight w:val="none"/>
        </w:rPr>
        <w:t>扫描件编入投标文件；资料不全或自相矛盾的，资格审查不予通过。</w:t>
      </w:r>
    </w:p>
    <w:p w14:paraId="4E82F46F">
      <w:pPr>
        <w:numPr>
          <w:ilvl w:val="0"/>
          <w:numId w:val="8"/>
        </w:numPr>
        <w:spacing w:line="360" w:lineRule="exact"/>
        <w:ind w:firstLine="420"/>
        <w:jc w:val="both"/>
        <w:rPr>
          <w:rFonts w:hint="eastAsia" w:ascii="宋体" w:hAnsi="宋体" w:cs="宋体"/>
          <w:color w:val="auto"/>
          <w:highlight w:val="none"/>
        </w:rPr>
      </w:pPr>
      <w:r>
        <w:rPr>
          <w:rFonts w:hint="eastAsia" w:ascii="宋体" w:hAnsi="宋体" w:cs="宋体"/>
          <w:color w:val="auto"/>
          <w:highlight w:val="none"/>
        </w:rPr>
        <w:t>上述人员项目负责人和施工负责人可兼任外，其余人员均不得互相兼任。</w:t>
      </w:r>
    </w:p>
    <w:p w14:paraId="5449B3FE">
      <w:pPr>
        <w:numPr>
          <w:ilvl w:val="0"/>
          <w:numId w:val="0"/>
        </w:numPr>
        <w:spacing w:line="360" w:lineRule="exact"/>
        <w:ind w:firstLine="420" w:firstLineChars="200"/>
        <w:jc w:val="both"/>
        <w:rPr>
          <w:rFonts w:hint="eastAsia" w:ascii="宋体" w:hAnsi="宋体" w:cs="宋体"/>
          <w:color w:val="auto"/>
          <w:szCs w:val="21"/>
          <w:highlight w:val="none"/>
          <w:lang w:val="zh-CN"/>
        </w:rPr>
      </w:pPr>
      <w:r>
        <w:rPr>
          <w:rFonts w:hint="eastAsia" w:ascii="宋体" w:hAnsi="宋体" w:cs="宋体"/>
          <w:color w:val="auto"/>
          <w:kern w:val="2"/>
          <w:sz w:val="21"/>
          <w:szCs w:val="21"/>
          <w:lang w:val="en-US" w:eastAsia="zh-CN" w:bidi="ar-SA"/>
        </w:rPr>
        <w:t>4</w:t>
      </w:r>
      <w:r>
        <w:rPr>
          <w:rFonts w:hint="eastAsia" w:ascii="宋体" w:hAnsi="宋体" w:eastAsia="宋体" w:cs="宋体"/>
          <w:color w:val="auto"/>
          <w:kern w:val="2"/>
          <w:sz w:val="21"/>
          <w:szCs w:val="21"/>
          <w:lang w:val="zh-CN" w:eastAsia="zh-CN" w:bidi="ar-SA"/>
        </w:rPr>
        <w:t>、</w:t>
      </w:r>
      <w:r>
        <w:rPr>
          <w:rFonts w:hint="eastAsia" w:ascii="宋体" w:hAnsi="宋体" w:cs="宋体"/>
          <w:color w:val="auto"/>
          <w:szCs w:val="21"/>
          <w:highlight w:val="none"/>
          <w:lang w:val="zh-CN"/>
        </w:rPr>
        <w:t>如采用联合体投标的，总承包管理组人员的社保必须在联合体牵头人单位交纳,设计组人员的社保必须在承担设计工作的联合体成员单位交纳，施工组人员的社保必须在承担施工工作的单位交纳，不得出现退休返聘人员。</w:t>
      </w:r>
    </w:p>
    <w:p w14:paraId="099CE622">
      <w:pPr>
        <w:numPr>
          <w:ilvl w:val="0"/>
          <w:numId w:val="0"/>
        </w:numPr>
        <w:spacing w:line="360" w:lineRule="exact"/>
        <w:ind w:firstLine="420" w:firstLineChars="200"/>
        <w:jc w:val="both"/>
        <w:rPr>
          <w:rFonts w:ascii="宋体" w:hAnsi="宋体" w:cs="宋体"/>
          <w:color w:val="auto"/>
          <w:highlight w:val="none"/>
        </w:rPr>
      </w:pPr>
      <w:r>
        <w:rPr>
          <w:rFonts w:hint="eastAsia" w:ascii="宋体" w:hAnsi="宋体" w:cs="宋体"/>
          <w:color w:val="auto"/>
          <w:highlight w:val="none"/>
        </w:rPr>
        <w:t>5、表格可根据实际情况自行添加行数。</w:t>
      </w:r>
    </w:p>
    <w:p w14:paraId="69D089E1">
      <w:pPr>
        <w:spacing w:line="360" w:lineRule="exact"/>
        <w:ind w:firstLine="5670" w:firstLineChars="2700"/>
        <w:rPr>
          <w:rFonts w:hint="eastAsia" w:ascii="宋体" w:hAnsi="宋体" w:cs="宋体"/>
          <w:bCs/>
          <w:color w:val="auto"/>
          <w:szCs w:val="21"/>
          <w:highlight w:val="none"/>
        </w:rPr>
      </w:pPr>
    </w:p>
    <w:p w14:paraId="3483443F">
      <w:pPr>
        <w:spacing w:line="360" w:lineRule="exact"/>
        <w:ind w:firstLine="4410" w:firstLineChars="2100"/>
        <w:rPr>
          <w:rFonts w:hint="eastAsia" w:ascii="宋体" w:hAnsi="宋体" w:cs="宋体"/>
          <w:bCs/>
          <w:color w:val="auto"/>
          <w:szCs w:val="21"/>
          <w:highlight w:val="none"/>
        </w:rPr>
      </w:pPr>
      <w:r>
        <w:rPr>
          <w:rFonts w:hint="eastAsia" w:ascii="宋体" w:hAnsi="宋体" w:cs="宋体"/>
          <w:bCs/>
          <w:color w:val="auto"/>
          <w:szCs w:val="21"/>
          <w:highlight w:val="none"/>
        </w:rPr>
        <w:t>投标人（盖章）：</w:t>
      </w:r>
    </w:p>
    <w:p w14:paraId="61F9CAEC">
      <w:pPr>
        <w:spacing w:line="360" w:lineRule="exact"/>
        <w:ind w:firstLine="4410" w:firstLineChars="2100"/>
        <w:rPr>
          <w:rFonts w:hint="eastAsia" w:ascii="宋体" w:hAnsi="宋体" w:cs="宋体"/>
          <w:bCs/>
          <w:color w:val="auto"/>
          <w:szCs w:val="21"/>
          <w:highlight w:val="none"/>
        </w:rPr>
      </w:pPr>
      <w:r>
        <w:rPr>
          <w:rFonts w:hint="eastAsia" w:ascii="宋体" w:hAnsi="宋体" w:cs="宋体"/>
          <w:bCs/>
          <w:color w:val="auto"/>
          <w:szCs w:val="21"/>
          <w:highlight w:val="none"/>
        </w:rPr>
        <w:t>法定代表人（盖章）：</w:t>
      </w:r>
    </w:p>
    <w:p w14:paraId="2CACE35E">
      <w:pPr>
        <w:spacing w:line="360" w:lineRule="exact"/>
        <w:jc w:val="right"/>
        <w:rPr>
          <w:rFonts w:hint="eastAsia" w:ascii="宋体" w:hAnsi="宋体" w:cs="宋体"/>
          <w:bCs/>
          <w:color w:val="auto"/>
          <w:szCs w:val="21"/>
          <w:highlight w:val="none"/>
        </w:rPr>
      </w:pPr>
      <w:r>
        <w:rPr>
          <w:rFonts w:hint="eastAsia" w:ascii="宋体" w:hAnsi="宋体" w:cs="宋体"/>
          <w:bCs/>
          <w:color w:val="auto"/>
          <w:szCs w:val="21"/>
          <w:highlight w:val="none"/>
        </w:rPr>
        <w:t>日期：   年   月   日</w:t>
      </w:r>
    </w:p>
    <w:p w14:paraId="62CD1DB1">
      <w:pPr>
        <w:shd w:val="clear" w:color="auto" w:fill="auto"/>
        <w:spacing w:before="128" w:line="219" w:lineRule="auto"/>
        <w:ind w:left="1673"/>
        <w:rPr>
          <w:rFonts w:ascii="宋体" w:hAnsi="宋体" w:cs="宋体"/>
          <w:color w:val="auto"/>
          <w:sz w:val="28"/>
          <w:szCs w:val="28"/>
          <w:highlight w:val="none"/>
        </w:rPr>
      </w:pPr>
    </w:p>
    <w:p w14:paraId="73E10CCF">
      <w:pPr>
        <w:shd w:val="clear" w:color="auto" w:fill="auto"/>
        <w:spacing w:before="128" w:line="219" w:lineRule="auto"/>
        <w:ind w:left="1673"/>
        <w:rPr>
          <w:rFonts w:ascii="宋体" w:hAnsi="宋体" w:cs="宋体"/>
          <w:color w:val="auto"/>
          <w:sz w:val="28"/>
          <w:szCs w:val="28"/>
          <w:highlight w:val="none"/>
        </w:rPr>
      </w:pPr>
    </w:p>
    <w:p w14:paraId="42E6052F">
      <w:pPr>
        <w:shd w:val="clear" w:color="auto" w:fill="auto"/>
        <w:spacing w:before="128" w:line="219" w:lineRule="auto"/>
        <w:ind w:left="1673"/>
        <w:rPr>
          <w:rFonts w:ascii="宋体" w:hAnsi="宋体" w:cs="宋体"/>
          <w:color w:val="auto"/>
          <w:sz w:val="28"/>
          <w:szCs w:val="28"/>
          <w:highlight w:val="none"/>
        </w:rPr>
      </w:pPr>
    </w:p>
    <w:p w14:paraId="0448418B">
      <w:pPr>
        <w:shd w:val="clear" w:color="auto" w:fill="auto"/>
        <w:spacing w:before="128" w:line="219" w:lineRule="auto"/>
        <w:ind w:left="1673"/>
        <w:rPr>
          <w:rFonts w:ascii="宋体" w:hAnsi="宋体" w:cs="宋体"/>
          <w:color w:val="auto"/>
          <w:sz w:val="28"/>
          <w:szCs w:val="28"/>
          <w:highlight w:val="none"/>
        </w:rPr>
      </w:pPr>
    </w:p>
    <w:p w14:paraId="5F3B5598">
      <w:pPr>
        <w:shd w:val="clear" w:color="auto" w:fill="auto"/>
        <w:spacing w:before="128" w:line="219" w:lineRule="auto"/>
        <w:ind w:left="1673"/>
        <w:rPr>
          <w:rFonts w:ascii="宋体" w:hAnsi="宋体" w:cs="宋体"/>
          <w:color w:val="auto"/>
          <w:sz w:val="28"/>
          <w:szCs w:val="28"/>
          <w:highlight w:val="none"/>
        </w:rPr>
      </w:pPr>
    </w:p>
    <w:p w14:paraId="7F501514">
      <w:pPr>
        <w:shd w:val="clear" w:color="auto" w:fill="auto"/>
        <w:spacing w:before="128" w:line="219" w:lineRule="auto"/>
        <w:ind w:left="1673"/>
        <w:rPr>
          <w:rFonts w:ascii="宋体" w:hAnsi="宋体" w:cs="宋体"/>
          <w:color w:val="auto"/>
          <w:sz w:val="28"/>
          <w:szCs w:val="28"/>
          <w:highlight w:val="none"/>
        </w:rPr>
      </w:pPr>
    </w:p>
    <w:p w14:paraId="16206B04">
      <w:pPr>
        <w:shd w:val="clear" w:color="auto" w:fill="auto"/>
        <w:spacing w:before="128" w:line="219" w:lineRule="auto"/>
        <w:ind w:left="1673"/>
        <w:rPr>
          <w:rFonts w:ascii="宋体" w:hAnsi="宋体" w:cs="宋体"/>
          <w:color w:val="auto"/>
          <w:sz w:val="28"/>
          <w:szCs w:val="28"/>
          <w:highlight w:val="none"/>
        </w:rPr>
      </w:pPr>
    </w:p>
    <w:p w14:paraId="451FB0DA">
      <w:pPr>
        <w:shd w:val="clear" w:color="auto" w:fill="auto"/>
        <w:spacing w:before="128" w:line="219" w:lineRule="auto"/>
        <w:jc w:val="center"/>
        <w:rPr>
          <w:rFonts w:hint="eastAsia" w:ascii="宋体" w:hAnsi="宋体" w:eastAsia="宋体" w:cs="宋体"/>
          <w:color w:val="auto"/>
          <w:sz w:val="28"/>
          <w:szCs w:val="28"/>
          <w:highlight w:val="none"/>
          <w:lang w:val="en-US" w:eastAsia="zh-CN"/>
        </w:rPr>
      </w:pPr>
      <w:r>
        <w:rPr>
          <w:rFonts w:ascii="宋体" w:hAnsi="宋体" w:cs="宋体"/>
          <w:color w:val="auto"/>
          <w:sz w:val="28"/>
          <w:szCs w:val="28"/>
          <w:highlight w:val="none"/>
        </w:rPr>
        <w:t>项目负责人/施工负责人/设计负责人</w:t>
      </w:r>
      <w:r>
        <w:rPr>
          <w:rFonts w:hint="eastAsia" w:ascii="宋体" w:hAnsi="宋体" w:cs="宋体"/>
          <w:color w:val="auto"/>
          <w:sz w:val="28"/>
          <w:szCs w:val="28"/>
          <w:highlight w:val="none"/>
          <w:lang w:val="en-US" w:eastAsia="zh-CN"/>
        </w:rPr>
        <w:t>简历表</w:t>
      </w:r>
    </w:p>
    <w:p w14:paraId="1301E82C">
      <w:pPr>
        <w:shd w:val="clear" w:color="auto" w:fill="auto"/>
        <w:spacing w:line="136" w:lineRule="exact"/>
        <w:rPr>
          <w:color w:val="auto"/>
          <w:highlight w:val="none"/>
        </w:rPr>
      </w:pPr>
    </w:p>
    <w:tbl>
      <w:tblPr>
        <w:tblStyle w:val="2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4"/>
        <w:gridCol w:w="1479"/>
        <w:gridCol w:w="1312"/>
        <w:gridCol w:w="1629"/>
        <w:gridCol w:w="1479"/>
        <w:gridCol w:w="1196"/>
      </w:tblGrid>
      <w:tr w14:paraId="5ABDF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1484" w:type="dxa"/>
            <w:noWrap w:val="0"/>
            <w:vAlign w:val="top"/>
          </w:tcPr>
          <w:p w14:paraId="5EB67759">
            <w:pPr>
              <w:pStyle w:val="16"/>
              <w:shd w:val="clear" w:color="auto" w:fill="auto"/>
              <w:spacing w:before="130" w:line="219" w:lineRule="auto"/>
              <w:ind w:left="508"/>
              <w:rPr>
                <w:color w:val="auto"/>
                <w:sz w:val="24"/>
                <w:szCs w:val="24"/>
                <w:highlight w:val="none"/>
              </w:rPr>
            </w:pPr>
            <w:r>
              <w:rPr>
                <w:color w:val="auto"/>
                <w:spacing w:val="-5"/>
                <w:sz w:val="24"/>
                <w:szCs w:val="24"/>
                <w:highlight w:val="none"/>
              </w:rPr>
              <w:t>姓名</w:t>
            </w:r>
          </w:p>
        </w:tc>
        <w:tc>
          <w:tcPr>
            <w:tcW w:w="1479" w:type="dxa"/>
            <w:noWrap w:val="0"/>
            <w:vAlign w:val="top"/>
          </w:tcPr>
          <w:p w14:paraId="0A9D680B">
            <w:pPr>
              <w:shd w:val="clear" w:color="auto" w:fill="auto"/>
              <w:rPr>
                <w:rFonts w:ascii="Arial"/>
                <w:color w:val="auto"/>
                <w:highlight w:val="none"/>
              </w:rPr>
            </w:pPr>
          </w:p>
        </w:tc>
        <w:tc>
          <w:tcPr>
            <w:tcW w:w="1312" w:type="dxa"/>
            <w:noWrap w:val="0"/>
            <w:vAlign w:val="top"/>
          </w:tcPr>
          <w:p w14:paraId="23EB4F87">
            <w:pPr>
              <w:pStyle w:val="16"/>
              <w:shd w:val="clear" w:color="auto" w:fill="auto"/>
              <w:spacing w:before="129" w:line="220" w:lineRule="auto"/>
              <w:ind w:left="424"/>
              <w:rPr>
                <w:color w:val="auto"/>
                <w:sz w:val="24"/>
                <w:szCs w:val="24"/>
                <w:highlight w:val="none"/>
              </w:rPr>
            </w:pPr>
            <w:r>
              <w:rPr>
                <w:color w:val="auto"/>
                <w:spacing w:val="-7"/>
                <w:sz w:val="24"/>
                <w:szCs w:val="24"/>
                <w:highlight w:val="none"/>
              </w:rPr>
              <w:t>性别</w:t>
            </w:r>
          </w:p>
        </w:tc>
        <w:tc>
          <w:tcPr>
            <w:tcW w:w="1629" w:type="dxa"/>
            <w:noWrap w:val="0"/>
            <w:vAlign w:val="top"/>
          </w:tcPr>
          <w:p w14:paraId="1E36E23F">
            <w:pPr>
              <w:shd w:val="clear" w:color="auto" w:fill="auto"/>
              <w:rPr>
                <w:rFonts w:ascii="Arial"/>
                <w:color w:val="auto"/>
                <w:highlight w:val="none"/>
              </w:rPr>
            </w:pPr>
          </w:p>
        </w:tc>
        <w:tc>
          <w:tcPr>
            <w:tcW w:w="1479" w:type="dxa"/>
            <w:noWrap w:val="0"/>
            <w:vAlign w:val="top"/>
          </w:tcPr>
          <w:p w14:paraId="49F9E8D2">
            <w:pPr>
              <w:pStyle w:val="16"/>
              <w:shd w:val="clear" w:color="auto" w:fill="auto"/>
              <w:spacing w:before="130" w:line="219" w:lineRule="auto"/>
              <w:ind w:left="509"/>
              <w:rPr>
                <w:color w:val="auto"/>
                <w:sz w:val="24"/>
                <w:szCs w:val="24"/>
                <w:highlight w:val="none"/>
              </w:rPr>
            </w:pPr>
            <w:r>
              <w:rPr>
                <w:color w:val="auto"/>
                <w:spacing w:val="-6"/>
                <w:sz w:val="24"/>
                <w:szCs w:val="24"/>
                <w:highlight w:val="none"/>
              </w:rPr>
              <w:t>年龄</w:t>
            </w:r>
          </w:p>
        </w:tc>
        <w:tc>
          <w:tcPr>
            <w:tcW w:w="1196" w:type="dxa"/>
            <w:noWrap w:val="0"/>
            <w:vAlign w:val="top"/>
          </w:tcPr>
          <w:p w14:paraId="09D39A0A">
            <w:pPr>
              <w:shd w:val="clear" w:color="auto" w:fill="auto"/>
              <w:rPr>
                <w:rFonts w:ascii="Arial"/>
                <w:color w:val="auto"/>
                <w:highlight w:val="none"/>
              </w:rPr>
            </w:pPr>
          </w:p>
        </w:tc>
      </w:tr>
      <w:tr w14:paraId="5E7C5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484" w:type="dxa"/>
            <w:noWrap w:val="0"/>
            <w:vAlign w:val="top"/>
          </w:tcPr>
          <w:p w14:paraId="33FC9E79">
            <w:pPr>
              <w:pStyle w:val="16"/>
              <w:shd w:val="clear" w:color="auto" w:fill="auto"/>
              <w:spacing w:before="127" w:line="219" w:lineRule="auto"/>
              <w:ind w:left="509"/>
              <w:rPr>
                <w:color w:val="auto"/>
                <w:sz w:val="24"/>
                <w:szCs w:val="24"/>
                <w:highlight w:val="none"/>
              </w:rPr>
            </w:pPr>
            <w:r>
              <w:rPr>
                <w:color w:val="auto"/>
                <w:spacing w:val="-6"/>
                <w:sz w:val="24"/>
                <w:szCs w:val="24"/>
                <w:highlight w:val="none"/>
              </w:rPr>
              <w:t>职务</w:t>
            </w:r>
          </w:p>
        </w:tc>
        <w:tc>
          <w:tcPr>
            <w:tcW w:w="1479" w:type="dxa"/>
            <w:noWrap w:val="0"/>
            <w:vAlign w:val="top"/>
          </w:tcPr>
          <w:p w14:paraId="1B0C88E0">
            <w:pPr>
              <w:shd w:val="clear" w:color="auto" w:fill="auto"/>
              <w:rPr>
                <w:rFonts w:ascii="Arial"/>
                <w:color w:val="auto"/>
                <w:highlight w:val="none"/>
              </w:rPr>
            </w:pPr>
          </w:p>
        </w:tc>
        <w:tc>
          <w:tcPr>
            <w:tcW w:w="1312" w:type="dxa"/>
            <w:noWrap w:val="0"/>
            <w:vAlign w:val="top"/>
          </w:tcPr>
          <w:p w14:paraId="1A5FAB63">
            <w:pPr>
              <w:pStyle w:val="16"/>
              <w:shd w:val="clear" w:color="auto" w:fill="auto"/>
              <w:spacing w:before="128" w:line="221" w:lineRule="auto"/>
              <w:ind w:left="422"/>
              <w:rPr>
                <w:color w:val="auto"/>
                <w:sz w:val="24"/>
                <w:szCs w:val="24"/>
                <w:highlight w:val="none"/>
              </w:rPr>
            </w:pPr>
            <w:r>
              <w:rPr>
                <w:color w:val="auto"/>
                <w:spacing w:val="-6"/>
                <w:sz w:val="24"/>
                <w:szCs w:val="24"/>
                <w:highlight w:val="none"/>
              </w:rPr>
              <w:t>职称</w:t>
            </w:r>
          </w:p>
        </w:tc>
        <w:tc>
          <w:tcPr>
            <w:tcW w:w="1629" w:type="dxa"/>
            <w:noWrap w:val="0"/>
            <w:vAlign w:val="top"/>
          </w:tcPr>
          <w:p w14:paraId="19298137">
            <w:pPr>
              <w:shd w:val="clear" w:color="auto" w:fill="auto"/>
              <w:rPr>
                <w:rFonts w:ascii="Arial"/>
                <w:color w:val="auto"/>
                <w:highlight w:val="none"/>
              </w:rPr>
            </w:pPr>
          </w:p>
        </w:tc>
        <w:tc>
          <w:tcPr>
            <w:tcW w:w="1479" w:type="dxa"/>
            <w:noWrap w:val="0"/>
            <w:vAlign w:val="top"/>
          </w:tcPr>
          <w:p w14:paraId="00CE0423">
            <w:pPr>
              <w:pStyle w:val="16"/>
              <w:shd w:val="clear" w:color="auto" w:fill="auto"/>
              <w:spacing w:before="127" w:line="221" w:lineRule="auto"/>
              <w:ind w:left="513"/>
              <w:rPr>
                <w:color w:val="auto"/>
                <w:sz w:val="24"/>
                <w:szCs w:val="24"/>
                <w:highlight w:val="none"/>
              </w:rPr>
            </w:pPr>
            <w:r>
              <w:rPr>
                <w:color w:val="auto"/>
                <w:spacing w:val="-8"/>
                <w:sz w:val="24"/>
                <w:szCs w:val="24"/>
                <w:highlight w:val="none"/>
              </w:rPr>
              <w:t>学历</w:t>
            </w:r>
          </w:p>
        </w:tc>
        <w:tc>
          <w:tcPr>
            <w:tcW w:w="1196" w:type="dxa"/>
            <w:noWrap w:val="0"/>
            <w:vAlign w:val="top"/>
          </w:tcPr>
          <w:p w14:paraId="2EFEC7CA">
            <w:pPr>
              <w:shd w:val="clear" w:color="auto" w:fill="auto"/>
              <w:rPr>
                <w:rFonts w:ascii="Arial"/>
                <w:color w:val="auto"/>
                <w:highlight w:val="none"/>
              </w:rPr>
            </w:pPr>
          </w:p>
        </w:tc>
      </w:tr>
      <w:tr w14:paraId="4AC6F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2963" w:type="dxa"/>
            <w:gridSpan w:val="2"/>
            <w:noWrap w:val="0"/>
            <w:vAlign w:val="top"/>
          </w:tcPr>
          <w:p w14:paraId="1D9D0435">
            <w:pPr>
              <w:shd w:val="clear" w:color="auto" w:fill="auto"/>
              <w:spacing w:line="290" w:lineRule="auto"/>
              <w:rPr>
                <w:rFonts w:ascii="Arial"/>
                <w:color w:val="auto"/>
                <w:highlight w:val="none"/>
              </w:rPr>
            </w:pPr>
          </w:p>
          <w:p w14:paraId="340DA1CF">
            <w:pPr>
              <w:pStyle w:val="16"/>
              <w:shd w:val="clear" w:color="auto" w:fill="auto"/>
              <w:spacing w:before="78" w:line="220" w:lineRule="auto"/>
              <w:ind w:left="770"/>
              <w:rPr>
                <w:color w:val="auto"/>
                <w:sz w:val="24"/>
                <w:szCs w:val="24"/>
                <w:highlight w:val="none"/>
              </w:rPr>
            </w:pPr>
            <w:r>
              <w:rPr>
                <w:color w:val="auto"/>
                <w:spacing w:val="-2"/>
                <w:sz w:val="24"/>
                <w:szCs w:val="24"/>
                <w:highlight w:val="none"/>
              </w:rPr>
              <w:t>参加工作时间</w:t>
            </w:r>
          </w:p>
        </w:tc>
        <w:tc>
          <w:tcPr>
            <w:tcW w:w="1312" w:type="dxa"/>
            <w:noWrap w:val="0"/>
            <w:vAlign w:val="top"/>
          </w:tcPr>
          <w:p w14:paraId="7722EABF">
            <w:pPr>
              <w:shd w:val="clear" w:color="auto" w:fill="auto"/>
              <w:rPr>
                <w:rFonts w:ascii="Arial"/>
                <w:color w:val="auto"/>
                <w:highlight w:val="none"/>
              </w:rPr>
            </w:pPr>
          </w:p>
        </w:tc>
        <w:tc>
          <w:tcPr>
            <w:tcW w:w="3108" w:type="dxa"/>
            <w:gridSpan w:val="2"/>
            <w:noWrap w:val="0"/>
            <w:vAlign w:val="top"/>
          </w:tcPr>
          <w:p w14:paraId="753FEC9A">
            <w:pPr>
              <w:bidi w:val="0"/>
              <w:jc w:val="center"/>
              <w:rPr>
                <w:color w:val="auto"/>
                <w:szCs w:val="24"/>
                <w:highlight w:val="none"/>
              </w:rPr>
            </w:pPr>
            <w:r>
              <w:rPr>
                <w:rFonts w:ascii="宋体" w:hAnsi="宋体" w:eastAsia="宋体" w:cs="宋体"/>
                <w:color w:val="auto"/>
                <w:spacing w:val="-2"/>
                <w:kern w:val="2"/>
                <w:sz w:val="24"/>
                <w:szCs w:val="24"/>
                <w:highlight w:val="none"/>
                <w:lang w:val="en-US" w:eastAsia="en-US" w:bidi="ar-SA"/>
              </w:rPr>
              <w:t>从事项目负责人/施工负责人/设计负责人年限</w:t>
            </w:r>
          </w:p>
        </w:tc>
        <w:tc>
          <w:tcPr>
            <w:tcW w:w="1196" w:type="dxa"/>
            <w:noWrap w:val="0"/>
            <w:vAlign w:val="top"/>
          </w:tcPr>
          <w:p w14:paraId="11ED4939">
            <w:pPr>
              <w:shd w:val="clear" w:color="auto" w:fill="auto"/>
              <w:rPr>
                <w:rFonts w:ascii="Arial"/>
                <w:color w:val="auto"/>
                <w:highlight w:val="none"/>
              </w:rPr>
            </w:pPr>
          </w:p>
        </w:tc>
      </w:tr>
      <w:tr w14:paraId="01CE5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2963" w:type="dxa"/>
            <w:gridSpan w:val="2"/>
            <w:noWrap w:val="0"/>
            <w:vAlign w:val="top"/>
          </w:tcPr>
          <w:p w14:paraId="2F9A966F">
            <w:pPr>
              <w:pStyle w:val="16"/>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jc w:val="both"/>
              <w:textAlignment w:val="auto"/>
              <w:rPr>
                <w:rFonts w:ascii="Calibri" w:hAnsi="Calibri" w:eastAsia="Calibri" w:cs="Calibri"/>
                <w:color w:val="auto"/>
                <w:sz w:val="24"/>
                <w:szCs w:val="24"/>
                <w:highlight w:val="none"/>
              </w:rPr>
            </w:pPr>
            <w:r>
              <w:rPr>
                <w:color w:val="auto"/>
                <w:spacing w:val="-2"/>
                <w:position w:val="18"/>
                <w:sz w:val="24"/>
                <w:szCs w:val="24"/>
                <w:highlight w:val="none"/>
              </w:rPr>
              <w:t>项目负责人</w:t>
            </w:r>
            <w:r>
              <w:rPr>
                <w:rFonts w:ascii="Calibri" w:hAnsi="Calibri" w:eastAsia="Calibri" w:cs="Calibri"/>
                <w:color w:val="auto"/>
                <w:spacing w:val="-2"/>
                <w:position w:val="18"/>
                <w:sz w:val="24"/>
                <w:szCs w:val="24"/>
                <w:highlight w:val="none"/>
              </w:rPr>
              <w:t>/</w:t>
            </w:r>
            <w:r>
              <w:rPr>
                <w:color w:val="auto"/>
                <w:spacing w:val="-2"/>
                <w:position w:val="18"/>
                <w:sz w:val="24"/>
                <w:szCs w:val="24"/>
                <w:highlight w:val="none"/>
              </w:rPr>
              <w:t>施工负责人</w:t>
            </w:r>
            <w:r>
              <w:rPr>
                <w:rFonts w:ascii="Calibri" w:hAnsi="Calibri" w:eastAsia="Calibri" w:cs="Calibri"/>
                <w:color w:val="auto"/>
                <w:spacing w:val="-2"/>
                <w:position w:val="18"/>
                <w:sz w:val="24"/>
                <w:szCs w:val="24"/>
                <w:highlight w:val="none"/>
              </w:rPr>
              <w:t>/</w:t>
            </w:r>
          </w:p>
          <w:p w14:paraId="6ABC4143">
            <w:pPr>
              <w:pStyle w:val="16"/>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0"/>
              <w:jc w:val="center"/>
              <w:textAlignment w:val="auto"/>
              <w:rPr>
                <w:color w:val="auto"/>
                <w:sz w:val="24"/>
                <w:szCs w:val="24"/>
                <w:highlight w:val="none"/>
              </w:rPr>
            </w:pPr>
            <w:r>
              <w:rPr>
                <w:color w:val="auto"/>
                <w:spacing w:val="-2"/>
                <w:sz w:val="24"/>
                <w:szCs w:val="24"/>
                <w:highlight w:val="none"/>
              </w:rPr>
              <w:t>设计负责人</w:t>
            </w:r>
            <w:r>
              <w:rPr>
                <w:rFonts w:hint="eastAsia"/>
                <w:color w:val="auto"/>
                <w:spacing w:val="-2"/>
                <w:sz w:val="24"/>
                <w:szCs w:val="24"/>
                <w:highlight w:val="none"/>
                <w:lang w:eastAsia="zh-CN"/>
              </w:rPr>
              <w:t>（</w:t>
            </w:r>
            <w:r>
              <w:rPr>
                <w:rFonts w:hint="eastAsia"/>
                <w:color w:val="auto"/>
                <w:spacing w:val="-2"/>
                <w:sz w:val="24"/>
                <w:szCs w:val="24"/>
                <w:highlight w:val="none"/>
                <w:lang w:val="en-US" w:eastAsia="zh-CN"/>
              </w:rPr>
              <w:t>职称</w:t>
            </w:r>
            <w:r>
              <w:rPr>
                <w:rFonts w:hint="eastAsia"/>
                <w:color w:val="auto"/>
                <w:spacing w:val="-2"/>
                <w:sz w:val="24"/>
                <w:szCs w:val="24"/>
                <w:highlight w:val="none"/>
                <w:lang w:eastAsia="zh-CN"/>
              </w:rPr>
              <w:t>）</w:t>
            </w:r>
            <w:r>
              <w:rPr>
                <w:color w:val="auto"/>
                <w:spacing w:val="-2"/>
                <w:sz w:val="24"/>
                <w:szCs w:val="24"/>
                <w:highlight w:val="none"/>
              </w:rPr>
              <w:t>证书编号</w:t>
            </w:r>
          </w:p>
        </w:tc>
        <w:tc>
          <w:tcPr>
            <w:tcW w:w="5616" w:type="dxa"/>
            <w:gridSpan w:val="4"/>
            <w:noWrap w:val="0"/>
            <w:vAlign w:val="top"/>
          </w:tcPr>
          <w:p w14:paraId="5658EF2A">
            <w:pPr>
              <w:shd w:val="clear" w:color="auto" w:fill="auto"/>
              <w:rPr>
                <w:rFonts w:ascii="Arial"/>
                <w:color w:val="auto"/>
                <w:highlight w:val="none"/>
              </w:rPr>
            </w:pPr>
          </w:p>
        </w:tc>
      </w:tr>
      <w:tr w14:paraId="7DD92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8579" w:type="dxa"/>
            <w:gridSpan w:val="6"/>
            <w:noWrap w:val="0"/>
            <w:vAlign w:val="top"/>
          </w:tcPr>
          <w:p w14:paraId="3C32956B">
            <w:pPr>
              <w:pStyle w:val="16"/>
              <w:shd w:val="clear" w:color="auto" w:fill="auto"/>
              <w:spacing w:before="128" w:line="219" w:lineRule="auto"/>
              <w:ind w:left="2975"/>
              <w:rPr>
                <w:color w:val="auto"/>
                <w:sz w:val="24"/>
                <w:szCs w:val="24"/>
                <w:highlight w:val="none"/>
              </w:rPr>
            </w:pPr>
            <w:r>
              <w:rPr>
                <w:color w:val="auto"/>
                <w:spacing w:val="-1"/>
                <w:sz w:val="24"/>
                <w:szCs w:val="24"/>
                <w:highlight w:val="none"/>
              </w:rPr>
              <w:t>在建和已完工程项目情况</w:t>
            </w:r>
          </w:p>
        </w:tc>
      </w:tr>
      <w:tr w14:paraId="0C93E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484" w:type="dxa"/>
            <w:noWrap w:val="0"/>
            <w:vAlign w:val="top"/>
          </w:tcPr>
          <w:p w14:paraId="70443F00">
            <w:pPr>
              <w:pStyle w:val="16"/>
              <w:shd w:val="clear" w:color="auto" w:fill="auto"/>
              <w:spacing w:before="129" w:line="220" w:lineRule="auto"/>
              <w:ind w:left="271"/>
              <w:rPr>
                <w:color w:val="auto"/>
                <w:sz w:val="24"/>
                <w:szCs w:val="24"/>
                <w:highlight w:val="none"/>
              </w:rPr>
            </w:pPr>
            <w:r>
              <w:rPr>
                <w:color w:val="auto"/>
                <w:spacing w:val="-4"/>
                <w:sz w:val="24"/>
                <w:szCs w:val="24"/>
                <w:highlight w:val="none"/>
              </w:rPr>
              <w:t>建设单位</w:t>
            </w:r>
          </w:p>
        </w:tc>
        <w:tc>
          <w:tcPr>
            <w:tcW w:w="1479" w:type="dxa"/>
            <w:noWrap w:val="0"/>
            <w:vAlign w:val="top"/>
          </w:tcPr>
          <w:p w14:paraId="4EFB777F">
            <w:pPr>
              <w:pStyle w:val="16"/>
              <w:shd w:val="clear" w:color="auto" w:fill="auto"/>
              <w:spacing w:before="129" w:line="220" w:lineRule="auto"/>
              <w:ind w:left="269"/>
              <w:rPr>
                <w:color w:val="auto"/>
                <w:sz w:val="24"/>
                <w:szCs w:val="24"/>
                <w:highlight w:val="none"/>
              </w:rPr>
            </w:pPr>
            <w:r>
              <w:rPr>
                <w:color w:val="auto"/>
                <w:spacing w:val="-4"/>
                <w:sz w:val="24"/>
                <w:szCs w:val="24"/>
                <w:highlight w:val="none"/>
              </w:rPr>
              <w:t>项目名称</w:t>
            </w:r>
          </w:p>
        </w:tc>
        <w:tc>
          <w:tcPr>
            <w:tcW w:w="1312" w:type="dxa"/>
            <w:noWrap w:val="0"/>
            <w:vAlign w:val="top"/>
          </w:tcPr>
          <w:p w14:paraId="2E9A166A">
            <w:pPr>
              <w:pStyle w:val="16"/>
              <w:shd w:val="clear" w:color="auto" w:fill="auto"/>
              <w:spacing w:before="130" w:line="219" w:lineRule="auto"/>
              <w:ind w:left="184"/>
              <w:rPr>
                <w:color w:val="auto"/>
                <w:sz w:val="24"/>
                <w:szCs w:val="24"/>
                <w:highlight w:val="none"/>
              </w:rPr>
            </w:pPr>
            <w:r>
              <w:rPr>
                <w:color w:val="auto"/>
                <w:spacing w:val="-4"/>
                <w:sz w:val="24"/>
                <w:szCs w:val="24"/>
                <w:highlight w:val="none"/>
              </w:rPr>
              <w:t>建设规模</w:t>
            </w:r>
          </w:p>
        </w:tc>
        <w:tc>
          <w:tcPr>
            <w:tcW w:w="1629" w:type="dxa"/>
            <w:noWrap w:val="0"/>
            <w:vAlign w:val="top"/>
          </w:tcPr>
          <w:p w14:paraId="31EDD073">
            <w:pPr>
              <w:pStyle w:val="16"/>
              <w:shd w:val="clear" w:color="auto" w:fill="auto"/>
              <w:spacing w:before="130" w:line="219" w:lineRule="auto"/>
              <w:ind w:left="115"/>
              <w:rPr>
                <w:color w:val="auto"/>
                <w:sz w:val="24"/>
                <w:szCs w:val="24"/>
                <w:highlight w:val="none"/>
              </w:rPr>
            </w:pPr>
            <w:r>
              <w:rPr>
                <w:color w:val="auto"/>
                <w:spacing w:val="-7"/>
                <w:sz w:val="24"/>
                <w:szCs w:val="24"/>
                <w:highlight w:val="none"/>
              </w:rPr>
              <w:t>开、竣工日期</w:t>
            </w:r>
          </w:p>
        </w:tc>
        <w:tc>
          <w:tcPr>
            <w:tcW w:w="1479" w:type="dxa"/>
            <w:noWrap w:val="0"/>
            <w:vAlign w:val="top"/>
          </w:tcPr>
          <w:p w14:paraId="26C005EB">
            <w:pPr>
              <w:pStyle w:val="16"/>
              <w:shd w:val="clear" w:color="auto" w:fill="auto"/>
              <w:spacing w:before="130" w:line="219" w:lineRule="auto"/>
              <w:ind w:left="148"/>
              <w:rPr>
                <w:color w:val="auto"/>
                <w:sz w:val="24"/>
                <w:szCs w:val="24"/>
                <w:highlight w:val="none"/>
              </w:rPr>
            </w:pPr>
            <w:r>
              <w:rPr>
                <w:color w:val="auto"/>
                <w:spacing w:val="-2"/>
                <w:sz w:val="24"/>
                <w:szCs w:val="24"/>
                <w:highlight w:val="none"/>
              </w:rPr>
              <w:t>在建或已完</w:t>
            </w:r>
          </w:p>
        </w:tc>
        <w:tc>
          <w:tcPr>
            <w:tcW w:w="1196" w:type="dxa"/>
            <w:noWrap w:val="0"/>
            <w:vAlign w:val="top"/>
          </w:tcPr>
          <w:p w14:paraId="35338306">
            <w:pPr>
              <w:pStyle w:val="16"/>
              <w:shd w:val="clear" w:color="auto" w:fill="auto"/>
              <w:spacing w:before="129" w:line="220" w:lineRule="auto"/>
              <w:ind w:left="127"/>
              <w:rPr>
                <w:color w:val="auto"/>
                <w:sz w:val="24"/>
                <w:szCs w:val="24"/>
                <w:highlight w:val="none"/>
              </w:rPr>
            </w:pPr>
            <w:r>
              <w:rPr>
                <w:color w:val="auto"/>
                <w:spacing w:val="-4"/>
                <w:sz w:val="24"/>
                <w:szCs w:val="24"/>
                <w:highlight w:val="none"/>
              </w:rPr>
              <w:t>工程质量</w:t>
            </w:r>
          </w:p>
        </w:tc>
      </w:tr>
      <w:tr w14:paraId="7DADF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484" w:type="dxa"/>
            <w:noWrap w:val="0"/>
            <w:vAlign w:val="top"/>
          </w:tcPr>
          <w:p w14:paraId="7B093429">
            <w:pPr>
              <w:shd w:val="clear" w:color="auto" w:fill="auto"/>
              <w:rPr>
                <w:rFonts w:ascii="Arial"/>
                <w:color w:val="auto"/>
                <w:highlight w:val="none"/>
              </w:rPr>
            </w:pPr>
          </w:p>
        </w:tc>
        <w:tc>
          <w:tcPr>
            <w:tcW w:w="1479" w:type="dxa"/>
            <w:noWrap w:val="0"/>
            <w:vAlign w:val="top"/>
          </w:tcPr>
          <w:p w14:paraId="12B03A38">
            <w:pPr>
              <w:shd w:val="clear" w:color="auto" w:fill="auto"/>
              <w:rPr>
                <w:rFonts w:ascii="Arial"/>
                <w:color w:val="auto"/>
                <w:highlight w:val="none"/>
              </w:rPr>
            </w:pPr>
          </w:p>
        </w:tc>
        <w:tc>
          <w:tcPr>
            <w:tcW w:w="1312" w:type="dxa"/>
            <w:noWrap w:val="0"/>
            <w:vAlign w:val="top"/>
          </w:tcPr>
          <w:p w14:paraId="1B95870D">
            <w:pPr>
              <w:shd w:val="clear" w:color="auto" w:fill="auto"/>
              <w:rPr>
                <w:rFonts w:ascii="Arial"/>
                <w:color w:val="auto"/>
                <w:highlight w:val="none"/>
              </w:rPr>
            </w:pPr>
          </w:p>
        </w:tc>
        <w:tc>
          <w:tcPr>
            <w:tcW w:w="1629" w:type="dxa"/>
            <w:noWrap w:val="0"/>
            <w:vAlign w:val="top"/>
          </w:tcPr>
          <w:p w14:paraId="2B85B133">
            <w:pPr>
              <w:shd w:val="clear" w:color="auto" w:fill="auto"/>
              <w:rPr>
                <w:rFonts w:ascii="Arial"/>
                <w:color w:val="auto"/>
                <w:highlight w:val="none"/>
              </w:rPr>
            </w:pPr>
          </w:p>
        </w:tc>
        <w:tc>
          <w:tcPr>
            <w:tcW w:w="1479" w:type="dxa"/>
            <w:noWrap w:val="0"/>
            <w:vAlign w:val="top"/>
          </w:tcPr>
          <w:p w14:paraId="73452406">
            <w:pPr>
              <w:shd w:val="clear" w:color="auto" w:fill="auto"/>
              <w:rPr>
                <w:rFonts w:ascii="Arial"/>
                <w:color w:val="auto"/>
                <w:highlight w:val="none"/>
              </w:rPr>
            </w:pPr>
          </w:p>
        </w:tc>
        <w:tc>
          <w:tcPr>
            <w:tcW w:w="1196" w:type="dxa"/>
            <w:noWrap w:val="0"/>
            <w:vAlign w:val="top"/>
          </w:tcPr>
          <w:p w14:paraId="6FA50E8E">
            <w:pPr>
              <w:shd w:val="clear" w:color="auto" w:fill="auto"/>
              <w:rPr>
                <w:rFonts w:ascii="Arial"/>
                <w:color w:val="auto"/>
                <w:highlight w:val="none"/>
              </w:rPr>
            </w:pPr>
          </w:p>
        </w:tc>
      </w:tr>
      <w:tr w14:paraId="284A8E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484" w:type="dxa"/>
            <w:noWrap w:val="0"/>
            <w:vAlign w:val="top"/>
          </w:tcPr>
          <w:p w14:paraId="642909BC">
            <w:pPr>
              <w:shd w:val="clear" w:color="auto" w:fill="auto"/>
              <w:rPr>
                <w:rFonts w:ascii="Arial"/>
                <w:color w:val="auto"/>
                <w:highlight w:val="none"/>
              </w:rPr>
            </w:pPr>
          </w:p>
        </w:tc>
        <w:tc>
          <w:tcPr>
            <w:tcW w:w="1479" w:type="dxa"/>
            <w:noWrap w:val="0"/>
            <w:vAlign w:val="top"/>
          </w:tcPr>
          <w:p w14:paraId="53FA998A">
            <w:pPr>
              <w:shd w:val="clear" w:color="auto" w:fill="auto"/>
              <w:rPr>
                <w:rFonts w:ascii="Arial"/>
                <w:color w:val="auto"/>
                <w:highlight w:val="none"/>
              </w:rPr>
            </w:pPr>
          </w:p>
        </w:tc>
        <w:tc>
          <w:tcPr>
            <w:tcW w:w="1312" w:type="dxa"/>
            <w:noWrap w:val="0"/>
            <w:vAlign w:val="top"/>
          </w:tcPr>
          <w:p w14:paraId="721437CE">
            <w:pPr>
              <w:shd w:val="clear" w:color="auto" w:fill="auto"/>
              <w:rPr>
                <w:rFonts w:ascii="Arial"/>
                <w:color w:val="auto"/>
                <w:highlight w:val="none"/>
              </w:rPr>
            </w:pPr>
          </w:p>
        </w:tc>
        <w:tc>
          <w:tcPr>
            <w:tcW w:w="1629" w:type="dxa"/>
            <w:noWrap w:val="0"/>
            <w:vAlign w:val="top"/>
          </w:tcPr>
          <w:p w14:paraId="6DF8F913">
            <w:pPr>
              <w:shd w:val="clear" w:color="auto" w:fill="auto"/>
              <w:rPr>
                <w:rFonts w:ascii="Arial"/>
                <w:color w:val="auto"/>
                <w:highlight w:val="none"/>
              </w:rPr>
            </w:pPr>
          </w:p>
        </w:tc>
        <w:tc>
          <w:tcPr>
            <w:tcW w:w="1479" w:type="dxa"/>
            <w:noWrap w:val="0"/>
            <w:vAlign w:val="top"/>
          </w:tcPr>
          <w:p w14:paraId="46202B6A">
            <w:pPr>
              <w:shd w:val="clear" w:color="auto" w:fill="auto"/>
              <w:rPr>
                <w:rFonts w:ascii="Arial"/>
                <w:color w:val="auto"/>
                <w:highlight w:val="none"/>
              </w:rPr>
            </w:pPr>
          </w:p>
        </w:tc>
        <w:tc>
          <w:tcPr>
            <w:tcW w:w="1196" w:type="dxa"/>
            <w:noWrap w:val="0"/>
            <w:vAlign w:val="top"/>
          </w:tcPr>
          <w:p w14:paraId="6C2AAC88">
            <w:pPr>
              <w:shd w:val="clear" w:color="auto" w:fill="auto"/>
              <w:rPr>
                <w:rFonts w:ascii="Arial"/>
                <w:color w:val="auto"/>
                <w:highlight w:val="none"/>
              </w:rPr>
            </w:pPr>
          </w:p>
        </w:tc>
      </w:tr>
      <w:tr w14:paraId="7E94C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1484" w:type="dxa"/>
            <w:noWrap w:val="0"/>
            <w:vAlign w:val="top"/>
          </w:tcPr>
          <w:p w14:paraId="13DB82CF">
            <w:pPr>
              <w:shd w:val="clear" w:color="auto" w:fill="auto"/>
              <w:rPr>
                <w:rFonts w:ascii="Arial"/>
                <w:color w:val="auto"/>
                <w:highlight w:val="none"/>
              </w:rPr>
            </w:pPr>
          </w:p>
        </w:tc>
        <w:tc>
          <w:tcPr>
            <w:tcW w:w="1479" w:type="dxa"/>
            <w:noWrap w:val="0"/>
            <w:vAlign w:val="top"/>
          </w:tcPr>
          <w:p w14:paraId="776CD78B">
            <w:pPr>
              <w:shd w:val="clear" w:color="auto" w:fill="auto"/>
              <w:rPr>
                <w:rFonts w:ascii="Arial"/>
                <w:color w:val="auto"/>
                <w:highlight w:val="none"/>
              </w:rPr>
            </w:pPr>
          </w:p>
        </w:tc>
        <w:tc>
          <w:tcPr>
            <w:tcW w:w="1312" w:type="dxa"/>
            <w:noWrap w:val="0"/>
            <w:vAlign w:val="top"/>
          </w:tcPr>
          <w:p w14:paraId="63A1A61D">
            <w:pPr>
              <w:shd w:val="clear" w:color="auto" w:fill="auto"/>
              <w:rPr>
                <w:rFonts w:ascii="Arial"/>
                <w:color w:val="auto"/>
                <w:highlight w:val="none"/>
              </w:rPr>
            </w:pPr>
          </w:p>
        </w:tc>
        <w:tc>
          <w:tcPr>
            <w:tcW w:w="1629" w:type="dxa"/>
            <w:noWrap w:val="0"/>
            <w:vAlign w:val="top"/>
          </w:tcPr>
          <w:p w14:paraId="012B0F21">
            <w:pPr>
              <w:shd w:val="clear" w:color="auto" w:fill="auto"/>
              <w:rPr>
                <w:rFonts w:ascii="Arial"/>
                <w:color w:val="auto"/>
                <w:highlight w:val="none"/>
              </w:rPr>
            </w:pPr>
          </w:p>
        </w:tc>
        <w:tc>
          <w:tcPr>
            <w:tcW w:w="1479" w:type="dxa"/>
            <w:noWrap w:val="0"/>
            <w:vAlign w:val="top"/>
          </w:tcPr>
          <w:p w14:paraId="358385D6">
            <w:pPr>
              <w:shd w:val="clear" w:color="auto" w:fill="auto"/>
              <w:rPr>
                <w:rFonts w:ascii="Arial"/>
                <w:color w:val="auto"/>
                <w:highlight w:val="none"/>
              </w:rPr>
            </w:pPr>
          </w:p>
        </w:tc>
        <w:tc>
          <w:tcPr>
            <w:tcW w:w="1196" w:type="dxa"/>
            <w:noWrap w:val="0"/>
            <w:vAlign w:val="top"/>
          </w:tcPr>
          <w:p w14:paraId="4AF1AACE">
            <w:pPr>
              <w:shd w:val="clear" w:color="auto" w:fill="auto"/>
              <w:rPr>
                <w:rFonts w:ascii="Arial"/>
                <w:color w:val="auto"/>
                <w:highlight w:val="none"/>
              </w:rPr>
            </w:pPr>
          </w:p>
        </w:tc>
      </w:tr>
      <w:tr w14:paraId="44EEE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484" w:type="dxa"/>
            <w:noWrap w:val="0"/>
            <w:vAlign w:val="top"/>
          </w:tcPr>
          <w:p w14:paraId="70A28359">
            <w:pPr>
              <w:shd w:val="clear" w:color="auto" w:fill="auto"/>
              <w:rPr>
                <w:rFonts w:ascii="Arial"/>
                <w:color w:val="auto"/>
                <w:highlight w:val="none"/>
              </w:rPr>
            </w:pPr>
          </w:p>
        </w:tc>
        <w:tc>
          <w:tcPr>
            <w:tcW w:w="1479" w:type="dxa"/>
            <w:noWrap w:val="0"/>
            <w:vAlign w:val="top"/>
          </w:tcPr>
          <w:p w14:paraId="783FEFBF">
            <w:pPr>
              <w:shd w:val="clear" w:color="auto" w:fill="auto"/>
              <w:rPr>
                <w:rFonts w:ascii="Arial"/>
                <w:color w:val="auto"/>
                <w:highlight w:val="none"/>
              </w:rPr>
            </w:pPr>
          </w:p>
        </w:tc>
        <w:tc>
          <w:tcPr>
            <w:tcW w:w="1312" w:type="dxa"/>
            <w:noWrap w:val="0"/>
            <w:vAlign w:val="top"/>
          </w:tcPr>
          <w:p w14:paraId="162FB50E">
            <w:pPr>
              <w:shd w:val="clear" w:color="auto" w:fill="auto"/>
              <w:rPr>
                <w:rFonts w:ascii="Arial"/>
                <w:color w:val="auto"/>
                <w:highlight w:val="none"/>
              </w:rPr>
            </w:pPr>
          </w:p>
        </w:tc>
        <w:tc>
          <w:tcPr>
            <w:tcW w:w="1629" w:type="dxa"/>
            <w:noWrap w:val="0"/>
            <w:vAlign w:val="top"/>
          </w:tcPr>
          <w:p w14:paraId="2755A413">
            <w:pPr>
              <w:shd w:val="clear" w:color="auto" w:fill="auto"/>
              <w:rPr>
                <w:rFonts w:ascii="Arial"/>
                <w:color w:val="auto"/>
                <w:highlight w:val="none"/>
              </w:rPr>
            </w:pPr>
          </w:p>
        </w:tc>
        <w:tc>
          <w:tcPr>
            <w:tcW w:w="1479" w:type="dxa"/>
            <w:noWrap w:val="0"/>
            <w:vAlign w:val="top"/>
          </w:tcPr>
          <w:p w14:paraId="32DC2AB2">
            <w:pPr>
              <w:shd w:val="clear" w:color="auto" w:fill="auto"/>
              <w:rPr>
                <w:rFonts w:ascii="Arial"/>
                <w:color w:val="auto"/>
                <w:highlight w:val="none"/>
              </w:rPr>
            </w:pPr>
          </w:p>
        </w:tc>
        <w:tc>
          <w:tcPr>
            <w:tcW w:w="1196" w:type="dxa"/>
            <w:noWrap w:val="0"/>
            <w:vAlign w:val="top"/>
          </w:tcPr>
          <w:p w14:paraId="414DD336">
            <w:pPr>
              <w:shd w:val="clear" w:color="auto" w:fill="auto"/>
              <w:rPr>
                <w:rFonts w:ascii="Arial"/>
                <w:color w:val="auto"/>
                <w:highlight w:val="none"/>
              </w:rPr>
            </w:pPr>
          </w:p>
        </w:tc>
      </w:tr>
      <w:tr w14:paraId="789A6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484" w:type="dxa"/>
            <w:noWrap w:val="0"/>
            <w:vAlign w:val="top"/>
          </w:tcPr>
          <w:p w14:paraId="185F1CB2">
            <w:pPr>
              <w:shd w:val="clear" w:color="auto" w:fill="auto"/>
              <w:rPr>
                <w:rFonts w:ascii="Arial"/>
                <w:color w:val="auto"/>
                <w:highlight w:val="none"/>
              </w:rPr>
            </w:pPr>
          </w:p>
        </w:tc>
        <w:tc>
          <w:tcPr>
            <w:tcW w:w="1479" w:type="dxa"/>
            <w:noWrap w:val="0"/>
            <w:vAlign w:val="top"/>
          </w:tcPr>
          <w:p w14:paraId="454599B5">
            <w:pPr>
              <w:shd w:val="clear" w:color="auto" w:fill="auto"/>
              <w:rPr>
                <w:rFonts w:ascii="Arial"/>
                <w:color w:val="auto"/>
                <w:highlight w:val="none"/>
              </w:rPr>
            </w:pPr>
          </w:p>
        </w:tc>
        <w:tc>
          <w:tcPr>
            <w:tcW w:w="1312" w:type="dxa"/>
            <w:noWrap w:val="0"/>
            <w:vAlign w:val="top"/>
          </w:tcPr>
          <w:p w14:paraId="73DC273D">
            <w:pPr>
              <w:shd w:val="clear" w:color="auto" w:fill="auto"/>
              <w:rPr>
                <w:rFonts w:ascii="Arial"/>
                <w:color w:val="auto"/>
                <w:highlight w:val="none"/>
              </w:rPr>
            </w:pPr>
          </w:p>
        </w:tc>
        <w:tc>
          <w:tcPr>
            <w:tcW w:w="1629" w:type="dxa"/>
            <w:noWrap w:val="0"/>
            <w:vAlign w:val="top"/>
          </w:tcPr>
          <w:p w14:paraId="5C27F2ED">
            <w:pPr>
              <w:shd w:val="clear" w:color="auto" w:fill="auto"/>
              <w:rPr>
                <w:rFonts w:ascii="Arial"/>
                <w:color w:val="auto"/>
                <w:highlight w:val="none"/>
              </w:rPr>
            </w:pPr>
          </w:p>
        </w:tc>
        <w:tc>
          <w:tcPr>
            <w:tcW w:w="1479" w:type="dxa"/>
            <w:noWrap w:val="0"/>
            <w:vAlign w:val="top"/>
          </w:tcPr>
          <w:p w14:paraId="54AD2998">
            <w:pPr>
              <w:shd w:val="clear" w:color="auto" w:fill="auto"/>
              <w:rPr>
                <w:rFonts w:ascii="Arial"/>
                <w:color w:val="auto"/>
                <w:highlight w:val="none"/>
              </w:rPr>
            </w:pPr>
          </w:p>
        </w:tc>
        <w:tc>
          <w:tcPr>
            <w:tcW w:w="1196" w:type="dxa"/>
            <w:noWrap w:val="0"/>
            <w:vAlign w:val="top"/>
          </w:tcPr>
          <w:p w14:paraId="429872E1">
            <w:pPr>
              <w:shd w:val="clear" w:color="auto" w:fill="auto"/>
              <w:rPr>
                <w:rFonts w:ascii="Arial"/>
                <w:color w:val="auto"/>
                <w:highlight w:val="none"/>
              </w:rPr>
            </w:pPr>
          </w:p>
        </w:tc>
      </w:tr>
      <w:tr w14:paraId="0455F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484" w:type="dxa"/>
            <w:noWrap w:val="0"/>
            <w:vAlign w:val="top"/>
          </w:tcPr>
          <w:p w14:paraId="4D67DE84">
            <w:pPr>
              <w:shd w:val="clear" w:color="auto" w:fill="auto"/>
              <w:rPr>
                <w:rFonts w:ascii="Arial"/>
                <w:color w:val="auto"/>
                <w:highlight w:val="none"/>
              </w:rPr>
            </w:pPr>
          </w:p>
        </w:tc>
        <w:tc>
          <w:tcPr>
            <w:tcW w:w="1479" w:type="dxa"/>
            <w:noWrap w:val="0"/>
            <w:vAlign w:val="top"/>
          </w:tcPr>
          <w:p w14:paraId="64D42C7A">
            <w:pPr>
              <w:shd w:val="clear" w:color="auto" w:fill="auto"/>
              <w:rPr>
                <w:rFonts w:ascii="Arial"/>
                <w:color w:val="auto"/>
                <w:highlight w:val="none"/>
              </w:rPr>
            </w:pPr>
          </w:p>
        </w:tc>
        <w:tc>
          <w:tcPr>
            <w:tcW w:w="1312" w:type="dxa"/>
            <w:noWrap w:val="0"/>
            <w:vAlign w:val="top"/>
          </w:tcPr>
          <w:p w14:paraId="7314BB24">
            <w:pPr>
              <w:shd w:val="clear" w:color="auto" w:fill="auto"/>
              <w:rPr>
                <w:rFonts w:ascii="Arial"/>
                <w:color w:val="auto"/>
                <w:highlight w:val="none"/>
              </w:rPr>
            </w:pPr>
          </w:p>
        </w:tc>
        <w:tc>
          <w:tcPr>
            <w:tcW w:w="1629" w:type="dxa"/>
            <w:noWrap w:val="0"/>
            <w:vAlign w:val="top"/>
          </w:tcPr>
          <w:p w14:paraId="3D292071">
            <w:pPr>
              <w:shd w:val="clear" w:color="auto" w:fill="auto"/>
              <w:rPr>
                <w:rFonts w:ascii="Arial"/>
                <w:color w:val="auto"/>
                <w:highlight w:val="none"/>
              </w:rPr>
            </w:pPr>
          </w:p>
        </w:tc>
        <w:tc>
          <w:tcPr>
            <w:tcW w:w="1479" w:type="dxa"/>
            <w:noWrap w:val="0"/>
            <w:vAlign w:val="top"/>
          </w:tcPr>
          <w:p w14:paraId="466EE23D">
            <w:pPr>
              <w:shd w:val="clear" w:color="auto" w:fill="auto"/>
              <w:rPr>
                <w:rFonts w:ascii="Arial"/>
                <w:color w:val="auto"/>
                <w:highlight w:val="none"/>
              </w:rPr>
            </w:pPr>
          </w:p>
        </w:tc>
        <w:tc>
          <w:tcPr>
            <w:tcW w:w="1196" w:type="dxa"/>
            <w:noWrap w:val="0"/>
            <w:vAlign w:val="top"/>
          </w:tcPr>
          <w:p w14:paraId="737336C5">
            <w:pPr>
              <w:shd w:val="clear" w:color="auto" w:fill="auto"/>
              <w:rPr>
                <w:rFonts w:ascii="Arial"/>
                <w:color w:val="auto"/>
                <w:highlight w:val="none"/>
              </w:rPr>
            </w:pPr>
          </w:p>
        </w:tc>
      </w:tr>
      <w:tr w14:paraId="3A185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484" w:type="dxa"/>
            <w:noWrap w:val="0"/>
            <w:vAlign w:val="top"/>
          </w:tcPr>
          <w:p w14:paraId="6DCC9801">
            <w:pPr>
              <w:shd w:val="clear" w:color="auto" w:fill="auto"/>
              <w:rPr>
                <w:rFonts w:ascii="Arial"/>
                <w:color w:val="auto"/>
                <w:highlight w:val="none"/>
              </w:rPr>
            </w:pPr>
          </w:p>
        </w:tc>
        <w:tc>
          <w:tcPr>
            <w:tcW w:w="1479" w:type="dxa"/>
            <w:noWrap w:val="0"/>
            <w:vAlign w:val="top"/>
          </w:tcPr>
          <w:p w14:paraId="57CD44F0">
            <w:pPr>
              <w:shd w:val="clear" w:color="auto" w:fill="auto"/>
              <w:rPr>
                <w:rFonts w:ascii="Arial"/>
                <w:color w:val="auto"/>
                <w:highlight w:val="none"/>
              </w:rPr>
            </w:pPr>
          </w:p>
        </w:tc>
        <w:tc>
          <w:tcPr>
            <w:tcW w:w="1312" w:type="dxa"/>
            <w:noWrap w:val="0"/>
            <w:vAlign w:val="top"/>
          </w:tcPr>
          <w:p w14:paraId="70100F51">
            <w:pPr>
              <w:shd w:val="clear" w:color="auto" w:fill="auto"/>
              <w:rPr>
                <w:rFonts w:ascii="Arial"/>
                <w:color w:val="auto"/>
                <w:highlight w:val="none"/>
              </w:rPr>
            </w:pPr>
          </w:p>
        </w:tc>
        <w:tc>
          <w:tcPr>
            <w:tcW w:w="1629" w:type="dxa"/>
            <w:noWrap w:val="0"/>
            <w:vAlign w:val="top"/>
          </w:tcPr>
          <w:p w14:paraId="7085BBBE">
            <w:pPr>
              <w:shd w:val="clear" w:color="auto" w:fill="auto"/>
              <w:rPr>
                <w:rFonts w:ascii="Arial"/>
                <w:color w:val="auto"/>
                <w:highlight w:val="none"/>
              </w:rPr>
            </w:pPr>
          </w:p>
        </w:tc>
        <w:tc>
          <w:tcPr>
            <w:tcW w:w="1479" w:type="dxa"/>
            <w:noWrap w:val="0"/>
            <w:vAlign w:val="top"/>
          </w:tcPr>
          <w:p w14:paraId="753E1E0C">
            <w:pPr>
              <w:shd w:val="clear" w:color="auto" w:fill="auto"/>
              <w:rPr>
                <w:rFonts w:ascii="Arial"/>
                <w:color w:val="auto"/>
                <w:highlight w:val="none"/>
              </w:rPr>
            </w:pPr>
          </w:p>
        </w:tc>
        <w:tc>
          <w:tcPr>
            <w:tcW w:w="1196" w:type="dxa"/>
            <w:noWrap w:val="0"/>
            <w:vAlign w:val="top"/>
          </w:tcPr>
          <w:p w14:paraId="434AE4EF">
            <w:pPr>
              <w:shd w:val="clear" w:color="auto" w:fill="auto"/>
              <w:rPr>
                <w:rFonts w:ascii="Arial"/>
                <w:color w:val="auto"/>
                <w:highlight w:val="none"/>
              </w:rPr>
            </w:pPr>
          </w:p>
        </w:tc>
      </w:tr>
    </w:tbl>
    <w:p w14:paraId="4EA5E98E">
      <w:pPr>
        <w:shd w:val="clear" w:color="auto" w:fill="auto"/>
        <w:spacing w:before="104" w:line="280" w:lineRule="exact"/>
        <w:ind w:left="121"/>
        <w:rPr>
          <w:rFonts w:ascii="宋体" w:hAnsi="宋体" w:cs="宋体"/>
          <w:color w:val="auto"/>
          <w:sz w:val="20"/>
          <w:szCs w:val="20"/>
          <w:highlight w:val="none"/>
        </w:rPr>
      </w:pPr>
      <w:r>
        <w:rPr>
          <w:rFonts w:ascii="宋体" w:hAnsi="宋体" w:cs="宋体"/>
          <w:color w:val="auto"/>
          <w:spacing w:val="9"/>
          <w:position w:val="2"/>
          <w:sz w:val="20"/>
          <w:szCs w:val="20"/>
          <w:highlight w:val="none"/>
        </w:rPr>
        <w:t>注：</w:t>
      </w:r>
      <w:r>
        <w:rPr>
          <w:rFonts w:eastAsia="Calibri" w:cs="Calibri"/>
          <w:color w:val="auto"/>
          <w:spacing w:val="9"/>
          <w:position w:val="2"/>
          <w:sz w:val="20"/>
          <w:szCs w:val="20"/>
          <w:highlight w:val="none"/>
        </w:rPr>
        <w:t>1.</w:t>
      </w:r>
      <w:r>
        <w:rPr>
          <w:rFonts w:ascii="宋体" w:hAnsi="宋体" w:cs="宋体"/>
          <w:color w:val="auto"/>
          <w:spacing w:val="9"/>
          <w:position w:val="2"/>
          <w:sz w:val="20"/>
          <w:szCs w:val="20"/>
          <w:highlight w:val="none"/>
        </w:rPr>
        <w:t>投标时项目负责人</w:t>
      </w:r>
      <w:r>
        <w:rPr>
          <w:rFonts w:eastAsia="Calibri" w:cs="Calibri"/>
          <w:color w:val="auto"/>
          <w:spacing w:val="9"/>
          <w:position w:val="2"/>
          <w:sz w:val="20"/>
          <w:szCs w:val="20"/>
          <w:highlight w:val="none"/>
        </w:rPr>
        <w:t>/</w:t>
      </w:r>
      <w:r>
        <w:rPr>
          <w:rFonts w:ascii="宋体" w:hAnsi="宋体" w:cs="宋体"/>
          <w:color w:val="auto"/>
          <w:spacing w:val="9"/>
          <w:position w:val="2"/>
          <w:sz w:val="20"/>
          <w:szCs w:val="20"/>
          <w:highlight w:val="none"/>
        </w:rPr>
        <w:t>施工负责人</w:t>
      </w:r>
      <w:r>
        <w:rPr>
          <w:rFonts w:eastAsia="Calibri" w:cs="Calibri"/>
          <w:color w:val="auto"/>
          <w:spacing w:val="9"/>
          <w:position w:val="2"/>
          <w:sz w:val="20"/>
          <w:szCs w:val="20"/>
          <w:highlight w:val="none"/>
        </w:rPr>
        <w:t>/</w:t>
      </w:r>
      <w:r>
        <w:rPr>
          <w:rFonts w:ascii="宋体" w:hAnsi="宋体" w:cs="宋体"/>
          <w:color w:val="auto"/>
          <w:spacing w:val="9"/>
          <w:position w:val="2"/>
          <w:sz w:val="20"/>
          <w:szCs w:val="20"/>
          <w:highlight w:val="none"/>
        </w:rPr>
        <w:t>设计负责人简历表</w:t>
      </w:r>
      <w:r>
        <w:rPr>
          <w:rFonts w:ascii="宋体" w:hAnsi="宋体" w:cs="宋体"/>
          <w:color w:val="auto"/>
          <w:spacing w:val="8"/>
          <w:position w:val="2"/>
          <w:sz w:val="20"/>
          <w:szCs w:val="20"/>
          <w:highlight w:val="none"/>
        </w:rPr>
        <w:t>须分别（分页）填写。</w:t>
      </w:r>
    </w:p>
    <w:p w14:paraId="78A62E6D">
      <w:pPr>
        <w:shd w:val="clear" w:color="auto" w:fill="auto"/>
        <w:spacing w:line="280" w:lineRule="exact"/>
        <w:rPr>
          <w:rFonts w:ascii="宋体" w:hAnsi="宋体" w:cs="宋体"/>
          <w:color w:val="auto"/>
          <w:sz w:val="20"/>
          <w:szCs w:val="20"/>
          <w:highlight w:val="none"/>
        </w:rPr>
        <w:sectPr>
          <w:footerReference r:id="rId12" w:type="default"/>
          <w:pgSz w:w="11850" w:h="16783"/>
          <w:pgMar w:top="1426" w:right="1677" w:bottom="1157" w:left="1588" w:header="0" w:footer="992" w:gutter="0"/>
          <w:pgNumType w:fmt="decimal" w:start="108"/>
          <w:cols w:space="720" w:num="1"/>
        </w:sectPr>
      </w:pPr>
    </w:p>
    <w:p w14:paraId="0616980B"/>
    <w:p w14:paraId="74A660E4">
      <w:pPr>
        <w:shd w:val="clear" w:color="auto" w:fill="auto"/>
        <w:spacing w:before="71" w:line="224" w:lineRule="auto"/>
        <w:ind w:left="3146"/>
        <w:rPr>
          <w:rFonts w:ascii="宋体" w:hAnsi="宋体" w:cs="宋体"/>
          <w:color w:val="auto"/>
          <w:sz w:val="35"/>
          <w:szCs w:val="35"/>
          <w:highlight w:val="none"/>
        </w:rPr>
      </w:pPr>
      <w:r>
        <w:rPr>
          <w:rFonts w:ascii="宋体" w:hAnsi="宋体" w:cs="宋体"/>
          <w:color w:val="auto"/>
          <w:spacing w:val="8"/>
          <w:sz w:val="35"/>
          <w:szCs w:val="35"/>
          <w:highlight w:val="none"/>
        </w:rPr>
        <w:t>联合体协议书</w:t>
      </w:r>
    </w:p>
    <w:p w14:paraId="69688FCF">
      <w:pPr>
        <w:shd w:val="clear" w:color="auto" w:fill="auto"/>
        <w:spacing w:before="256" w:line="219" w:lineRule="auto"/>
        <w:ind w:left="3396"/>
        <w:rPr>
          <w:rFonts w:ascii="宋体" w:hAnsi="宋体" w:cs="宋体"/>
          <w:color w:val="auto"/>
          <w:sz w:val="24"/>
          <w:highlight w:val="none"/>
        </w:rPr>
      </w:pPr>
      <w:r>
        <w:rPr>
          <w:rFonts w:ascii="宋体" w:hAnsi="宋体" w:cs="宋体"/>
          <w:color w:val="auto"/>
          <w:spacing w:val="-3"/>
          <w:sz w:val="24"/>
          <w:highlight w:val="none"/>
        </w:rPr>
        <w:t>（格式供参考）</w:t>
      </w:r>
    </w:p>
    <w:p w14:paraId="4C19D0B8">
      <w:pPr>
        <w:pStyle w:val="5"/>
        <w:shd w:val="clear" w:color="auto" w:fill="auto"/>
        <w:spacing w:line="283" w:lineRule="auto"/>
        <w:rPr>
          <w:color w:val="auto"/>
          <w:highlight w:val="none"/>
        </w:rPr>
      </w:pPr>
    </w:p>
    <w:p w14:paraId="4ECE4982">
      <w:pPr>
        <w:pStyle w:val="5"/>
        <w:shd w:val="clear" w:color="auto" w:fill="auto"/>
        <w:spacing w:line="284" w:lineRule="auto"/>
        <w:rPr>
          <w:color w:val="auto"/>
          <w:highlight w:val="none"/>
        </w:rPr>
      </w:pPr>
    </w:p>
    <w:p w14:paraId="4934482F">
      <w:pPr>
        <w:shd w:val="clear" w:color="auto" w:fill="auto"/>
        <w:spacing w:before="78" w:line="360" w:lineRule="auto"/>
        <w:ind w:left="12"/>
        <w:jc w:val="left"/>
        <w:rPr>
          <w:rFonts w:ascii="宋体" w:hAnsi="宋体" w:cs="宋体"/>
          <w:color w:val="auto"/>
          <w:szCs w:val="21"/>
          <w:highlight w:val="none"/>
        </w:rPr>
      </w:pPr>
      <w:r>
        <w:rPr>
          <w:rFonts w:ascii="宋体" w:hAnsi="宋体" w:eastAsia="宋体" w:cs="宋体"/>
          <w:color w:val="auto"/>
          <w:spacing w:val="-2"/>
          <w:position w:val="17"/>
          <w:szCs w:val="21"/>
          <w:highlight w:val="none"/>
        </w:rPr>
        <w:t>（所有成员单位名称） 自愿组成（联合体名称）联合体，共同参加（项目名称）投标。现就联合体投标事宜订立如下协议。</w:t>
      </w:r>
    </w:p>
    <w:p w14:paraId="0019430D">
      <w:pPr>
        <w:shd w:val="clear" w:color="auto" w:fill="auto"/>
        <w:spacing w:before="78" w:line="360" w:lineRule="auto"/>
        <w:ind w:left="12"/>
        <w:jc w:val="left"/>
        <w:rPr>
          <w:rFonts w:ascii="宋体" w:hAnsi="宋体" w:eastAsia="宋体" w:cs="宋体"/>
          <w:color w:val="auto"/>
          <w:spacing w:val="-2"/>
          <w:position w:val="17"/>
          <w:szCs w:val="21"/>
          <w:highlight w:val="none"/>
        </w:rPr>
      </w:pPr>
      <w:r>
        <w:rPr>
          <w:rFonts w:hint="eastAsia" w:ascii="宋体" w:hAnsi="宋体" w:eastAsia="宋体" w:cs="宋体"/>
          <w:color w:val="auto"/>
          <w:spacing w:val="-2"/>
          <w:position w:val="17"/>
          <w:szCs w:val="21"/>
          <w:highlight w:val="none"/>
          <w:lang w:val="en-US" w:eastAsia="zh-CN"/>
        </w:rPr>
        <w:t>1、</w:t>
      </w:r>
      <w:r>
        <w:rPr>
          <w:rFonts w:ascii="宋体" w:hAnsi="宋体" w:eastAsia="宋体" w:cs="宋体"/>
          <w:color w:val="auto"/>
          <w:spacing w:val="-2"/>
          <w:position w:val="17"/>
          <w:szCs w:val="21"/>
          <w:highlight w:val="none"/>
        </w:rPr>
        <w:t>（某成员单位名称）为（联合体名称）牵头人。</w:t>
      </w:r>
    </w:p>
    <w:p w14:paraId="79620349">
      <w:pPr>
        <w:shd w:val="clear" w:color="auto" w:fill="auto"/>
        <w:spacing w:before="78" w:line="360" w:lineRule="auto"/>
        <w:ind w:left="12"/>
        <w:jc w:val="left"/>
        <w:rPr>
          <w:rFonts w:ascii="宋体" w:hAnsi="宋体" w:eastAsia="宋体" w:cs="宋体"/>
          <w:color w:val="auto"/>
          <w:spacing w:val="-2"/>
          <w:position w:val="17"/>
          <w:szCs w:val="21"/>
          <w:highlight w:val="none"/>
        </w:rPr>
      </w:pPr>
      <w:r>
        <w:rPr>
          <w:rFonts w:ascii="宋体" w:hAnsi="宋体" w:eastAsia="宋体" w:cs="宋体"/>
          <w:color w:val="auto"/>
          <w:spacing w:val="-2"/>
          <w:position w:val="17"/>
          <w:szCs w:val="21"/>
          <w:highlight w:val="none"/>
        </w:rPr>
        <w:t>2、联合体牵头人合法代表联合体各成员负责本招标项目投标文件编制和合同谈判 活动，并代表联合体提交和接收相关的资料、信息及指示，并处理与之有关的一切事务，负责合同实施阶段的主办、组织和协调工作。</w:t>
      </w:r>
    </w:p>
    <w:p w14:paraId="37661EE3">
      <w:pPr>
        <w:shd w:val="clear" w:color="auto" w:fill="auto"/>
        <w:spacing w:before="78" w:line="360" w:lineRule="auto"/>
        <w:ind w:left="12"/>
        <w:jc w:val="left"/>
        <w:rPr>
          <w:rFonts w:ascii="宋体" w:hAnsi="宋体" w:eastAsia="宋体" w:cs="宋体"/>
          <w:color w:val="auto"/>
          <w:spacing w:val="-2"/>
          <w:position w:val="17"/>
          <w:szCs w:val="21"/>
          <w:highlight w:val="none"/>
        </w:rPr>
      </w:pPr>
      <w:r>
        <w:rPr>
          <w:rFonts w:ascii="宋体" w:hAnsi="宋体" w:eastAsia="宋体" w:cs="宋体"/>
          <w:color w:val="auto"/>
          <w:spacing w:val="-2"/>
          <w:position w:val="17"/>
          <w:szCs w:val="21"/>
          <w:highlight w:val="none"/>
        </w:rPr>
        <w:t>3、联合体将按照招标文件的各项要求，递交投标文件，履行合同，并对外承担连带责任。</w:t>
      </w:r>
    </w:p>
    <w:p w14:paraId="5789D00D">
      <w:pPr>
        <w:shd w:val="clear" w:color="auto" w:fill="auto"/>
        <w:spacing w:line="360" w:lineRule="auto"/>
        <w:jc w:val="left"/>
        <w:rPr>
          <w:rFonts w:ascii="宋体" w:hAnsi="宋体" w:cs="宋体"/>
          <w:color w:val="auto"/>
          <w:spacing w:val="-1"/>
          <w:szCs w:val="21"/>
          <w:highlight w:val="none"/>
        </w:rPr>
      </w:pPr>
      <w:r>
        <w:rPr>
          <w:rFonts w:ascii="宋体" w:hAnsi="宋体" w:cs="宋体"/>
          <w:color w:val="auto"/>
          <w:spacing w:val="-1"/>
          <w:szCs w:val="21"/>
          <w:highlight w:val="none"/>
        </w:rPr>
        <w:t>4、联合体各成员单位内部的职责分工如下</w:t>
      </w:r>
      <w:r>
        <w:rPr>
          <w:rFonts w:ascii="宋体" w:hAnsi="宋体" w:cs="宋体"/>
          <w:color w:val="auto"/>
          <w:spacing w:val="-1"/>
          <w:szCs w:val="21"/>
          <w:highlight w:val="none"/>
          <w:u w:val="single"/>
        </w:rPr>
        <w:t xml:space="preserve">：                            </w:t>
      </w:r>
      <w:r>
        <w:rPr>
          <w:rFonts w:ascii="宋体" w:hAnsi="宋体" w:cs="宋体"/>
          <w:color w:val="auto"/>
          <w:spacing w:val="-1"/>
          <w:szCs w:val="21"/>
          <w:highlight w:val="none"/>
        </w:rPr>
        <w:t>。</w:t>
      </w:r>
    </w:p>
    <w:p w14:paraId="1432DCBF">
      <w:pPr>
        <w:shd w:val="clear" w:color="auto" w:fill="auto"/>
        <w:spacing w:line="360" w:lineRule="auto"/>
        <w:jc w:val="left"/>
        <w:rPr>
          <w:rFonts w:ascii="宋体" w:hAnsi="宋体" w:cs="宋体"/>
          <w:color w:val="auto"/>
          <w:szCs w:val="21"/>
          <w:highlight w:val="none"/>
        </w:rPr>
      </w:pPr>
      <w:r>
        <w:rPr>
          <w:rFonts w:ascii="宋体" w:hAnsi="宋体" w:cs="宋体"/>
          <w:color w:val="auto"/>
          <w:spacing w:val="-1"/>
          <w:szCs w:val="21"/>
          <w:highlight w:val="none"/>
        </w:rPr>
        <w:t>5、联合体各成员单位关于收取招标人支付项目</w:t>
      </w:r>
      <w:r>
        <w:rPr>
          <w:rFonts w:ascii="宋体" w:hAnsi="宋体" w:cs="宋体"/>
          <w:color w:val="auto"/>
          <w:spacing w:val="-2"/>
          <w:szCs w:val="21"/>
          <w:highlight w:val="none"/>
        </w:rPr>
        <w:t>各项费用的约定如下：</w:t>
      </w:r>
      <w:r>
        <w:rPr>
          <w:rFonts w:ascii="宋体" w:hAnsi="宋体" w:cs="宋体"/>
          <w:color w:val="auto"/>
          <w:spacing w:val="-2"/>
          <w:szCs w:val="21"/>
          <w:highlight w:val="none"/>
          <w:u w:val="single"/>
        </w:rPr>
        <w:t xml:space="preserve">      </w:t>
      </w:r>
      <w:r>
        <w:rPr>
          <w:rFonts w:ascii="宋体" w:hAnsi="宋体" w:cs="宋体"/>
          <w:color w:val="auto"/>
          <w:spacing w:val="-2"/>
          <w:szCs w:val="21"/>
          <w:highlight w:val="none"/>
        </w:rPr>
        <w:t>。</w:t>
      </w:r>
    </w:p>
    <w:p w14:paraId="67E6480F">
      <w:pPr>
        <w:shd w:val="clear" w:color="auto" w:fill="auto"/>
        <w:spacing w:before="1" w:line="360" w:lineRule="auto"/>
        <w:ind w:left="2"/>
        <w:jc w:val="left"/>
        <w:rPr>
          <w:rFonts w:ascii="宋体" w:hAnsi="宋体" w:cs="宋体"/>
          <w:color w:val="auto"/>
          <w:szCs w:val="21"/>
          <w:highlight w:val="none"/>
        </w:rPr>
      </w:pPr>
      <w:r>
        <w:rPr>
          <w:rFonts w:ascii="宋体" w:hAnsi="宋体" w:cs="宋体"/>
          <w:color w:val="auto"/>
          <w:spacing w:val="-1"/>
          <w:szCs w:val="21"/>
          <w:highlight w:val="none"/>
        </w:rPr>
        <w:t>6、本协议书自签署之日起生效。</w:t>
      </w:r>
    </w:p>
    <w:p w14:paraId="2746F872">
      <w:pPr>
        <w:shd w:val="clear" w:color="auto" w:fill="auto"/>
        <w:spacing w:before="183" w:line="360" w:lineRule="auto"/>
        <w:ind w:left="6"/>
        <w:jc w:val="left"/>
        <w:rPr>
          <w:rFonts w:ascii="宋体" w:hAnsi="宋体" w:cs="宋体"/>
          <w:color w:val="auto"/>
          <w:szCs w:val="21"/>
          <w:highlight w:val="none"/>
        </w:rPr>
      </w:pPr>
      <w:r>
        <w:rPr>
          <w:rFonts w:ascii="宋体" w:hAnsi="宋体" w:cs="宋体"/>
          <w:color w:val="auto"/>
          <w:spacing w:val="-1"/>
          <w:szCs w:val="21"/>
          <w:highlight w:val="none"/>
        </w:rPr>
        <w:t>7、本协议书一式</w:t>
      </w:r>
      <w:r>
        <w:rPr>
          <w:rFonts w:ascii="宋体" w:hAnsi="宋体" w:cs="宋体"/>
          <w:color w:val="auto"/>
          <w:spacing w:val="-1"/>
          <w:szCs w:val="21"/>
          <w:highlight w:val="none"/>
          <w:u w:val="single"/>
        </w:rPr>
        <w:t xml:space="preserve">  </w:t>
      </w:r>
      <w:r>
        <w:rPr>
          <w:rFonts w:ascii="宋体" w:hAnsi="宋体" w:cs="宋体"/>
          <w:color w:val="auto"/>
          <w:spacing w:val="-111"/>
          <w:szCs w:val="21"/>
          <w:highlight w:val="none"/>
        </w:rPr>
        <w:t xml:space="preserve"> </w:t>
      </w:r>
      <w:r>
        <w:rPr>
          <w:rFonts w:ascii="宋体" w:hAnsi="宋体" w:cs="宋体"/>
          <w:color w:val="auto"/>
          <w:spacing w:val="-1"/>
          <w:szCs w:val="21"/>
          <w:highlight w:val="none"/>
        </w:rPr>
        <w:t>份，联合体成员和招标人各执一份。</w:t>
      </w:r>
    </w:p>
    <w:p w14:paraId="25683031">
      <w:pPr>
        <w:shd w:val="clear" w:color="auto" w:fill="auto"/>
        <w:spacing w:before="184" w:line="360" w:lineRule="auto"/>
        <w:jc w:val="left"/>
        <w:rPr>
          <w:rFonts w:ascii="宋体" w:hAnsi="宋体" w:cs="宋体"/>
          <w:color w:val="auto"/>
          <w:szCs w:val="21"/>
          <w:highlight w:val="none"/>
        </w:rPr>
      </w:pPr>
      <w:r>
        <w:rPr>
          <w:rFonts w:ascii="宋体" w:hAnsi="宋体" w:cs="宋体"/>
          <w:color w:val="auto"/>
          <w:szCs w:val="21"/>
          <w:highlight w:val="none"/>
        </w:rPr>
        <w:t>注：本协议书由委托代理人签字的，应附法定代表人签</w:t>
      </w:r>
      <w:r>
        <w:rPr>
          <w:rFonts w:ascii="宋体" w:hAnsi="宋体" w:cs="宋体"/>
          <w:color w:val="auto"/>
          <w:spacing w:val="-1"/>
          <w:szCs w:val="21"/>
          <w:highlight w:val="none"/>
        </w:rPr>
        <w:t>字或盖章的授权委托书。</w:t>
      </w:r>
    </w:p>
    <w:p w14:paraId="2D6B1844">
      <w:pPr>
        <w:pStyle w:val="5"/>
        <w:shd w:val="clear" w:color="auto" w:fill="auto"/>
        <w:spacing w:line="283" w:lineRule="auto"/>
        <w:rPr>
          <w:color w:val="auto"/>
          <w:sz w:val="21"/>
          <w:szCs w:val="21"/>
          <w:highlight w:val="none"/>
        </w:rPr>
      </w:pPr>
    </w:p>
    <w:p w14:paraId="0E1E3B44">
      <w:pPr>
        <w:pStyle w:val="5"/>
        <w:shd w:val="clear" w:color="auto" w:fill="auto"/>
        <w:spacing w:line="284" w:lineRule="auto"/>
        <w:rPr>
          <w:color w:val="auto"/>
          <w:sz w:val="21"/>
          <w:szCs w:val="21"/>
          <w:highlight w:val="none"/>
        </w:rPr>
      </w:pPr>
    </w:p>
    <w:p w14:paraId="4B59F37C">
      <w:pPr>
        <w:shd w:val="clear" w:color="auto" w:fill="auto"/>
        <w:spacing w:before="78" w:line="219" w:lineRule="auto"/>
        <w:ind w:left="2"/>
        <w:rPr>
          <w:rFonts w:ascii="宋体" w:hAnsi="宋体" w:cs="宋体"/>
          <w:color w:val="auto"/>
          <w:szCs w:val="21"/>
          <w:highlight w:val="none"/>
        </w:rPr>
      </w:pPr>
      <w:r>
        <w:rPr>
          <w:rFonts w:ascii="宋体" w:hAnsi="宋体" w:cs="宋体"/>
          <w:color w:val="auto"/>
          <w:spacing w:val="2"/>
          <w:szCs w:val="21"/>
          <w:highlight w:val="none"/>
        </w:rPr>
        <w:t>牵头人名称</w:t>
      </w:r>
      <w:r>
        <w:rPr>
          <w:rFonts w:ascii="宋体" w:hAnsi="宋体" w:cs="宋体"/>
          <w:color w:val="auto"/>
          <w:spacing w:val="-17"/>
          <w:szCs w:val="21"/>
          <w:highlight w:val="none"/>
        </w:rPr>
        <w:t>：</w:t>
      </w:r>
      <w:r>
        <w:rPr>
          <w:rFonts w:ascii="宋体" w:hAnsi="宋体" w:cs="宋体"/>
          <w:color w:val="auto"/>
          <w:szCs w:val="21"/>
          <w:highlight w:val="none"/>
          <w:u w:val="single"/>
        </w:rPr>
        <w:t xml:space="preserve">      </w:t>
      </w:r>
      <w:r>
        <w:rPr>
          <w:rFonts w:ascii="宋体" w:hAnsi="宋体" w:cs="宋体"/>
          <w:color w:val="auto"/>
          <w:spacing w:val="-17"/>
          <w:szCs w:val="21"/>
          <w:highlight w:val="none"/>
          <w:u w:val="single"/>
        </w:rPr>
        <w:t>（</w:t>
      </w:r>
      <w:r>
        <w:rPr>
          <w:rFonts w:ascii="宋体" w:hAnsi="宋体" w:cs="宋体"/>
          <w:color w:val="auto"/>
          <w:spacing w:val="2"/>
          <w:szCs w:val="21"/>
          <w:highlight w:val="none"/>
          <w:u w:val="single"/>
        </w:rPr>
        <w:t>单位盖章）</w:t>
      </w:r>
    </w:p>
    <w:p w14:paraId="78A2E6A4">
      <w:pPr>
        <w:shd w:val="clear" w:color="auto" w:fill="auto"/>
        <w:spacing w:before="181" w:line="219" w:lineRule="auto"/>
        <w:ind w:left="1"/>
        <w:rPr>
          <w:rFonts w:ascii="宋体" w:hAnsi="宋体" w:cs="宋体"/>
          <w:color w:val="auto"/>
          <w:szCs w:val="21"/>
          <w:highlight w:val="none"/>
        </w:rPr>
      </w:pPr>
      <w:r>
        <w:rPr>
          <w:rFonts w:ascii="宋体" w:hAnsi="宋体" w:cs="宋体"/>
          <w:color w:val="auto"/>
          <w:spacing w:val="-1"/>
          <w:szCs w:val="21"/>
          <w:highlight w:val="none"/>
        </w:rPr>
        <w:t>法定代表人或其委托代理人</w:t>
      </w:r>
      <w:r>
        <w:rPr>
          <w:rFonts w:ascii="宋体" w:hAnsi="宋体" w:cs="宋体"/>
          <w:color w:val="auto"/>
          <w:spacing w:val="-1"/>
          <w:szCs w:val="21"/>
          <w:highlight w:val="none"/>
          <w:u w:val="single"/>
        </w:rPr>
        <w:t>（签字或盖章</w:t>
      </w:r>
      <w:r>
        <w:rPr>
          <w:rFonts w:ascii="宋体" w:hAnsi="宋体" w:cs="宋体"/>
          <w:color w:val="auto"/>
          <w:spacing w:val="18"/>
          <w:szCs w:val="21"/>
          <w:highlight w:val="none"/>
          <w:u w:val="single"/>
        </w:rPr>
        <w:t>）：</w:t>
      </w:r>
    </w:p>
    <w:p w14:paraId="37CB75A9">
      <w:pPr>
        <w:pStyle w:val="5"/>
        <w:shd w:val="clear" w:color="auto" w:fill="auto"/>
        <w:spacing w:line="284" w:lineRule="auto"/>
        <w:rPr>
          <w:color w:val="auto"/>
          <w:sz w:val="21"/>
          <w:szCs w:val="21"/>
          <w:highlight w:val="none"/>
        </w:rPr>
      </w:pPr>
    </w:p>
    <w:p w14:paraId="4D12A763">
      <w:pPr>
        <w:shd w:val="clear" w:color="auto" w:fill="auto"/>
        <w:spacing w:before="78" w:line="219" w:lineRule="auto"/>
        <w:ind w:left="2"/>
        <w:rPr>
          <w:rFonts w:ascii="宋体" w:hAnsi="宋体" w:cs="宋体"/>
          <w:color w:val="auto"/>
          <w:szCs w:val="21"/>
          <w:highlight w:val="none"/>
        </w:rPr>
      </w:pPr>
      <w:r>
        <w:rPr>
          <w:rFonts w:ascii="宋体" w:hAnsi="宋体" w:cs="宋体"/>
          <w:color w:val="auto"/>
          <w:spacing w:val="2"/>
          <w:szCs w:val="21"/>
          <w:highlight w:val="none"/>
        </w:rPr>
        <w:t>成员名称</w:t>
      </w:r>
      <w:r>
        <w:rPr>
          <w:rFonts w:ascii="宋体" w:hAnsi="宋体" w:cs="宋体"/>
          <w:color w:val="auto"/>
          <w:spacing w:val="-16"/>
          <w:szCs w:val="21"/>
          <w:highlight w:val="none"/>
        </w:rPr>
        <w:t>：</w:t>
      </w:r>
      <w:r>
        <w:rPr>
          <w:rFonts w:ascii="宋体" w:hAnsi="宋体" w:cs="宋体"/>
          <w:color w:val="auto"/>
          <w:spacing w:val="-16"/>
          <w:szCs w:val="21"/>
          <w:highlight w:val="none"/>
          <w:u w:val="single"/>
        </w:rPr>
        <w:t>（</w:t>
      </w:r>
      <w:r>
        <w:rPr>
          <w:rFonts w:ascii="宋体" w:hAnsi="宋体" w:cs="宋体"/>
          <w:color w:val="auto"/>
          <w:spacing w:val="2"/>
          <w:szCs w:val="21"/>
          <w:highlight w:val="none"/>
          <w:u w:val="single"/>
        </w:rPr>
        <w:t>单位盖章）</w:t>
      </w:r>
    </w:p>
    <w:p w14:paraId="79EDE5D9">
      <w:pPr>
        <w:shd w:val="clear" w:color="auto" w:fill="auto"/>
        <w:spacing w:before="184" w:line="219" w:lineRule="auto"/>
        <w:ind w:left="1"/>
        <w:rPr>
          <w:rFonts w:ascii="宋体" w:hAnsi="宋体" w:cs="宋体"/>
          <w:color w:val="auto"/>
          <w:szCs w:val="21"/>
          <w:highlight w:val="none"/>
        </w:rPr>
      </w:pPr>
      <w:r>
        <w:rPr>
          <w:rFonts w:ascii="宋体" w:hAnsi="宋体" w:cs="宋体"/>
          <w:color w:val="auto"/>
          <w:spacing w:val="-1"/>
          <w:szCs w:val="21"/>
          <w:highlight w:val="none"/>
        </w:rPr>
        <w:t>法定代表人或其委托代理人</w:t>
      </w:r>
      <w:r>
        <w:rPr>
          <w:rFonts w:ascii="宋体" w:hAnsi="宋体" w:cs="宋体"/>
          <w:color w:val="auto"/>
          <w:spacing w:val="-1"/>
          <w:szCs w:val="21"/>
          <w:highlight w:val="none"/>
          <w:u w:val="single"/>
        </w:rPr>
        <w:t>（签字或盖章</w:t>
      </w:r>
      <w:r>
        <w:rPr>
          <w:rFonts w:ascii="宋体" w:hAnsi="宋体" w:cs="宋体"/>
          <w:color w:val="auto"/>
          <w:spacing w:val="18"/>
          <w:szCs w:val="21"/>
          <w:highlight w:val="none"/>
          <w:u w:val="single"/>
        </w:rPr>
        <w:t>）：</w:t>
      </w:r>
    </w:p>
    <w:p w14:paraId="3A89B34A">
      <w:pPr>
        <w:shd w:val="clear" w:color="auto" w:fill="auto"/>
        <w:spacing w:before="78" w:line="219" w:lineRule="auto"/>
        <w:ind w:left="2"/>
        <w:rPr>
          <w:rFonts w:ascii="宋体" w:hAnsi="宋体" w:cs="宋体"/>
          <w:color w:val="auto"/>
          <w:spacing w:val="2"/>
          <w:szCs w:val="21"/>
          <w:highlight w:val="none"/>
        </w:rPr>
      </w:pPr>
    </w:p>
    <w:p w14:paraId="292CF727">
      <w:pPr>
        <w:shd w:val="clear" w:color="auto" w:fill="auto"/>
        <w:spacing w:before="78" w:line="360" w:lineRule="auto"/>
        <w:ind w:left="2"/>
        <w:rPr>
          <w:rFonts w:ascii="宋体" w:hAnsi="宋体" w:cs="宋体"/>
          <w:color w:val="auto"/>
          <w:szCs w:val="21"/>
          <w:highlight w:val="none"/>
        </w:rPr>
      </w:pPr>
      <w:r>
        <w:rPr>
          <w:rFonts w:ascii="宋体" w:hAnsi="宋体" w:cs="宋体"/>
          <w:color w:val="auto"/>
          <w:spacing w:val="2"/>
          <w:szCs w:val="21"/>
          <w:highlight w:val="none"/>
        </w:rPr>
        <w:t>成员名称</w:t>
      </w:r>
      <w:r>
        <w:rPr>
          <w:rFonts w:ascii="宋体" w:hAnsi="宋体" w:cs="宋体"/>
          <w:color w:val="auto"/>
          <w:spacing w:val="-16"/>
          <w:szCs w:val="21"/>
          <w:highlight w:val="none"/>
        </w:rPr>
        <w:t>：</w:t>
      </w:r>
      <w:r>
        <w:rPr>
          <w:rFonts w:ascii="宋体" w:hAnsi="宋体" w:cs="宋体"/>
          <w:color w:val="auto"/>
          <w:spacing w:val="-16"/>
          <w:szCs w:val="21"/>
          <w:highlight w:val="none"/>
          <w:u w:val="single"/>
        </w:rPr>
        <w:t>（</w:t>
      </w:r>
      <w:r>
        <w:rPr>
          <w:rFonts w:ascii="宋体" w:hAnsi="宋体" w:cs="宋体"/>
          <w:color w:val="auto"/>
          <w:spacing w:val="2"/>
          <w:szCs w:val="21"/>
          <w:highlight w:val="none"/>
          <w:u w:val="single"/>
        </w:rPr>
        <w:t>单位盖章）</w:t>
      </w:r>
    </w:p>
    <w:p w14:paraId="66CF1926">
      <w:pPr>
        <w:pStyle w:val="5"/>
        <w:shd w:val="clear" w:color="auto" w:fill="auto"/>
        <w:spacing w:line="360" w:lineRule="auto"/>
        <w:rPr>
          <w:color w:val="auto"/>
          <w:sz w:val="21"/>
          <w:szCs w:val="21"/>
          <w:highlight w:val="none"/>
        </w:rPr>
      </w:pPr>
      <w:r>
        <w:rPr>
          <w:rFonts w:ascii="宋体" w:hAnsi="宋体" w:cs="宋体"/>
          <w:color w:val="auto"/>
          <w:spacing w:val="-1"/>
          <w:szCs w:val="21"/>
          <w:highlight w:val="none"/>
        </w:rPr>
        <w:t>法定代表人或其委托代理人</w:t>
      </w:r>
      <w:r>
        <w:rPr>
          <w:rFonts w:ascii="宋体" w:hAnsi="宋体" w:cs="宋体"/>
          <w:color w:val="auto"/>
          <w:spacing w:val="-1"/>
          <w:szCs w:val="21"/>
          <w:highlight w:val="none"/>
          <w:u w:val="single"/>
        </w:rPr>
        <w:t>（签字或盖章</w:t>
      </w:r>
      <w:r>
        <w:rPr>
          <w:rFonts w:ascii="宋体" w:hAnsi="宋体" w:cs="宋体"/>
          <w:color w:val="auto"/>
          <w:spacing w:val="18"/>
          <w:szCs w:val="21"/>
          <w:highlight w:val="none"/>
          <w:u w:val="single"/>
        </w:rPr>
        <w:t>）：</w:t>
      </w:r>
    </w:p>
    <w:p w14:paraId="749A2C92">
      <w:pPr>
        <w:pStyle w:val="5"/>
        <w:shd w:val="clear" w:color="auto" w:fill="auto"/>
        <w:spacing w:line="293" w:lineRule="auto"/>
        <w:rPr>
          <w:color w:val="auto"/>
          <w:sz w:val="21"/>
          <w:szCs w:val="21"/>
          <w:highlight w:val="none"/>
        </w:rPr>
      </w:pPr>
    </w:p>
    <w:p w14:paraId="6ED214DF">
      <w:pPr>
        <w:shd w:val="clear" w:color="auto" w:fill="auto"/>
        <w:spacing w:before="78" w:line="219" w:lineRule="auto"/>
        <w:ind w:left="3145" w:firstLine="3264" w:firstLineChars="1700"/>
        <w:rPr>
          <w:rFonts w:ascii="宋体" w:hAnsi="宋体" w:cs="宋体"/>
          <w:color w:val="auto"/>
          <w:szCs w:val="21"/>
          <w:highlight w:val="none"/>
        </w:rPr>
        <w:sectPr>
          <w:footerReference r:id="rId13" w:type="default"/>
          <w:pgSz w:w="11850" w:h="16783"/>
          <w:pgMar w:top="1429" w:right="1700" w:bottom="1157" w:left="1710" w:header="0" w:footer="992" w:gutter="0"/>
          <w:pgNumType w:fmt="decimal"/>
          <w:cols w:space="720" w:num="1"/>
        </w:sectPr>
      </w:pPr>
      <w:r>
        <w:rPr>
          <w:rFonts w:ascii="宋体" w:hAnsi="宋体" w:cs="宋体"/>
          <w:color w:val="auto"/>
          <w:spacing w:val="-9"/>
          <w:szCs w:val="21"/>
          <w:highlight w:val="none"/>
        </w:rPr>
        <w:t>年</w:t>
      </w:r>
      <w:r>
        <w:rPr>
          <w:rFonts w:ascii="宋体" w:hAnsi="宋体" w:cs="宋体"/>
          <w:color w:val="auto"/>
          <w:spacing w:val="2"/>
          <w:szCs w:val="21"/>
          <w:highlight w:val="none"/>
        </w:rPr>
        <w:t xml:space="preserve">      </w:t>
      </w:r>
      <w:r>
        <w:rPr>
          <w:rFonts w:ascii="宋体" w:hAnsi="宋体" w:cs="宋体"/>
          <w:color w:val="auto"/>
          <w:spacing w:val="-9"/>
          <w:szCs w:val="21"/>
          <w:highlight w:val="none"/>
        </w:rPr>
        <w:t>月</w:t>
      </w:r>
      <w:r>
        <w:rPr>
          <w:rFonts w:ascii="宋体" w:hAnsi="宋体" w:cs="宋体"/>
          <w:color w:val="auto"/>
          <w:spacing w:val="9"/>
          <w:szCs w:val="21"/>
          <w:highlight w:val="none"/>
        </w:rPr>
        <w:t xml:space="preserve">      </w:t>
      </w:r>
      <w:r>
        <w:rPr>
          <w:rFonts w:ascii="宋体" w:hAnsi="宋体" w:cs="宋体"/>
          <w:color w:val="auto"/>
          <w:spacing w:val="-9"/>
          <w:szCs w:val="21"/>
          <w:highlight w:val="none"/>
        </w:rPr>
        <w:t>日</w:t>
      </w:r>
    </w:p>
    <w:p w14:paraId="55ABA45B">
      <w:pPr>
        <w:shd w:val="clear" w:color="auto" w:fill="auto"/>
        <w:spacing w:before="114" w:line="225" w:lineRule="auto"/>
        <w:ind w:left="3261"/>
        <w:outlineLvl w:val="2"/>
        <w:rPr>
          <w:rFonts w:ascii="宋体" w:hAnsi="宋体" w:cs="宋体"/>
          <w:color w:val="auto"/>
          <w:spacing w:val="7"/>
          <w:sz w:val="35"/>
          <w:szCs w:val="35"/>
          <w:highlight w:val="none"/>
        </w:rPr>
      </w:pPr>
      <w:r>
        <w:rPr>
          <w:rFonts w:ascii="宋体" w:hAnsi="宋体" w:cs="宋体"/>
          <w:color w:val="auto"/>
          <w:spacing w:val="7"/>
          <w:sz w:val="35"/>
          <w:szCs w:val="35"/>
          <w:highlight w:val="none"/>
        </w:rPr>
        <w:t>投标保证金</w:t>
      </w:r>
    </w:p>
    <w:p w14:paraId="72E89A9C">
      <w:pPr>
        <w:pStyle w:val="10"/>
      </w:pPr>
    </w:p>
    <w:p w14:paraId="3B84B8AD">
      <w:pPr>
        <w:shd w:val="clear" w:color="auto" w:fill="auto"/>
        <w:spacing w:before="184" w:line="360" w:lineRule="auto"/>
        <w:jc w:val="left"/>
        <w:rPr>
          <w:rFonts w:ascii="宋体" w:hAnsi="宋体" w:cs="宋体"/>
          <w:color w:val="auto"/>
          <w:szCs w:val="21"/>
          <w:highlight w:val="none"/>
        </w:rPr>
        <w:sectPr>
          <w:footerReference r:id="rId14" w:type="default"/>
          <w:pgSz w:w="11850" w:h="16783"/>
          <w:pgMar w:top="1426" w:right="1755" w:bottom="1157" w:left="1777" w:header="0" w:footer="992" w:gutter="0"/>
          <w:pgNumType w:fmt="decimal"/>
          <w:cols w:space="720" w:num="1"/>
        </w:sectPr>
      </w:pPr>
      <w:r>
        <w:rPr>
          <w:rFonts w:ascii="宋体" w:hAnsi="宋体" w:cs="宋体"/>
          <w:color w:val="auto"/>
          <w:szCs w:val="21"/>
          <w:highlight w:val="none"/>
        </w:rPr>
        <w:t>1.提供购买保险或办理保函、担保等保证金相关费用，从投标人基本账户转出凭证。</w:t>
      </w:r>
    </w:p>
    <w:bookmarkEnd w:id="695"/>
    <w:p w14:paraId="7D69EC30">
      <w:pPr>
        <w:shd w:val="clear" w:color="auto" w:fill="auto"/>
        <w:tabs>
          <w:tab w:val="right" w:leader="dot" w:pos="8295"/>
        </w:tabs>
        <w:spacing w:line="300" w:lineRule="auto"/>
        <w:jc w:val="center"/>
        <w:outlineLvl w:val="2"/>
        <w:rPr>
          <w:rFonts w:ascii="宋体" w:hAnsi="宋体" w:cs="宋体"/>
          <w:b/>
          <w:color w:val="auto"/>
          <w:sz w:val="32"/>
          <w:szCs w:val="32"/>
          <w:highlight w:val="none"/>
        </w:rPr>
      </w:pPr>
      <w:bookmarkStart w:id="697" w:name="_Toc31249"/>
      <w:bookmarkStart w:id="698" w:name="_Toc31610"/>
      <w:bookmarkStart w:id="699" w:name="_Toc23098"/>
      <w:bookmarkStart w:id="700" w:name="_Toc465327735"/>
      <w:bookmarkStart w:id="701" w:name="_Toc465327729"/>
      <w:r>
        <w:rPr>
          <w:rFonts w:hint="eastAsia" w:ascii="宋体" w:hAnsi="宋体" w:cs="宋体"/>
          <w:b/>
          <w:color w:val="auto"/>
          <w:sz w:val="32"/>
          <w:szCs w:val="32"/>
          <w:highlight w:val="none"/>
        </w:rPr>
        <w:t>促进农民就业承诺书</w:t>
      </w:r>
      <w:bookmarkEnd w:id="697"/>
      <w:bookmarkEnd w:id="698"/>
      <w:bookmarkEnd w:id="699"/>
    </w:p>
    <w:p w14:paraId="1D355B60">
      <w:pPr>
        <w:shd w:val="clear" w:color="auto" w:fill="auto"/>
        <w:tabs>
          <w:tab w:val="right" w:leader="dot" w:pos="8295"/>
        </w:tabs>
        <w:spacing w:line="300" w:lineRule="auto"/>
        <w:jc w:val="center"/>
        <w:outlineLvl w:val="0"/>
        <w:rPr>
          <w:rFonts w:ascii="宋体" w:hAnsi="宋体" w:cs="宋体"/>
          <w:color w:val="auto"/>
          <w:sz w:val="28"/>
          <w:szCs w:val="28"/>
          <w:highlight w:val="none"/>
        </w:rPr>
      </w:pPr>
      <w:bookmarkStart w:id="702" w:name="_Toc6518"/>
      <w:bookmarkStart w:id="703" w:name="_Toc29420"/>
      <w:bookmarkStart w:id="704" w:name="_Toc16603"/>
      <w:bookmarkStart w:id="705" w:name="_Toc13184"/>
      <w:r>
        <w:rPr>
          <w:rFonts w:hint="eastAsia" w:ascii="宋体" w:hAnsi="宋体" w:cs="宋体"/>
          <w:b/>
          <w:color w:val="auto"/>
          <w:sz w:val="24"/>
          <w:highlight w:val="none"/>
        </w:rPr>
        <w:t>（</w:t>
      </w:r>
      <w:r>
        <w:rPr>
          <w:rFonts w:hint="eastAsia" w:ascii="宋体" w:hAnsi="宋体" w:cs="宋体"/>
          <w:color w:val="auto"/>
          <w:sz w:val="24"/>
          <w:highlight w:val="none"/>
        </w:rPr>
        <w:t>如有联合体投标的由牵头人提供</w:t>
      </w:r>
      <w:r>
        <w:rPr>
          <w:rFonts w:hint="eastAsia" w:ascii="宋体" w:hAnsi="宋体" w:cs="宋体"/>
          <w:b/>
          <w:color w:val="auto"/>
          <w:sz w:val="24"/>
          <w:highlight w:val="none"/>
        </w:rPr>
        <w:t>）</w:t>
      </w:r>
      <w:bookmarkEnd w:id="702"/>
      <w:bookmarkEnd w:id="703"/>
      <w:bookmarkEnd w:id="704"/>
      <w:bookmarkEnd w:id="705"/>
    </w:p>
    <w:p w14:paraId="60BA893C">
      <w:pPr>
        <w:pStyle w:val="35"/>
        <w:shd w:val="clear" w:color="auto" w:fill="auto"/>
        <w:spacing w:before="233" w:line="300" w:lineRule="auto"/>
        <w:jc w:val="center"/>
        <w:rPr>
          <w:rFonts w:ascii="宋体" w:hAnsi="宋体" w:eastAsia="宋体" w:cs="宋体"/>
          <w:b/>
          <w:color w:val="auto"/>
          <w:sz w:val="32"/>
          <w:szCs w:val="32"/>
          <w:highlight w:val="none"/>
        </w:rPr>
      </w:pPr>
    </w:p>
    <w:p w14:paraId="788890A6">
      <w:pPr>
        <w:pStyle w:val="35"/>
        <w:shd w:val="clear" w:color="auto" w:fill="auto"/>
        <w:spacing w:line="30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为促进农民就业，实现“农民增收、共同富裕”目标，根据衢州市人民政府办公室《关于聚焦农民收入持续快速增长推动共同富裕的若干意见》(衢政办发〔2022〕1号 )</w:t>
      </w:r>
    </w:p>
    <w:p w14:paraId="572765EE">
      <w:pPr>
        <w:pStyle w:val="35"/>
        <w:shd w:val="clear" w:color="auto" w:fill="auto"/>
        <w:spacing w:line="300" w:lineRule="auto"/>
        <w:rPr>
          <w:rFonts w:ascii="宋体" w:hAnsi="宋体" w:eastAsia="宋体" w:cs="宋体"/>
          <w:color w:val="auto"/>
          <w:highlight w:val="none"/>
        </w:rPr>
      </w:pPr>
      <w:r>
        <w:rPr>
          <w:rFonts w:hint="eastAsia" w:ascii="宋体" w:hAnsi="宋体" w:eastAsia="宋体" w:cs="宋体"/>
          <w:color w:val="auto"/>
          <w:highlight w:val="none"/>
        </w:rPr>
        <w:t>要求，本公司承诺：</w:t>
      </w:r>
    </w:p>
    <w:p w14:paraId="193F0194">
      <w:pPr>
        <w:pStyle w:val="35"/>
        <w:shd w:val="clear" w:color="auto" w:fill="auto"/>
        <w:spacing w:line="30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如果我司中标，我公司将制订并落实施工现场用工实名管理制度，编制施工现场务工人员花名册，登记农民工姓名、身份证号码信息，保证本地农民用工数量不低于计划用工数的70%以上。如有违反，本公司愿意承担违约责任，以及由此可能追究的行政责任。</w:t>
      </w:r>
    </w:p>
    <w:p w14:paraId="53D0B0C1">
      <w:pPr>
        <w:pStyle w:val="35"/>
        <w:shd w:val="clear" w:color="auto" w:fill="auto"/>
        <w:spacing w:line="300" w:lineRule="auto"/>
        <w:rPr>
          <w:rFonts w:ascii="宋体" w:hAnsi="宋体" w:eastAsia="宋体" w:cs="宋体"/>
          <w:color w:val="auto"/>
          <w:highlight w:val="none"/>
        </w:rPr>
      </w:pPr>
    </w:p>
    <w:p w14:paraId="0112772F">
      <w:pPr>
        <w:pStyle w:val="35"/>
        <w:shd w:val="clear" w:color="auto" w:fill="auto"/>
        <w:spacing w:line="300" w:lineRule="auto"/>
        <w:rPr>
          <w:rFonts w:ascii="宋体" w:hAnsi="宋体" w:eastAsia="宋体" w:cs="宋体"/>
          <w:color w:val="auto"/>
          <w:highlight w:val="none"/>
        </w:rPr>
      </w:pPr>
    </w:p>
    <w:p w14:paraId="5D066DF3">
      <w:pPr>
        <w:pStyle w:val="35"/>
        <w:shd w:val="clear" w:color="auto" w:fill="auto"/>
        <w:spacing w:line="300" w:lineRule="auto"/>
        <w:rPr>
          <w:rFonts w:ascii="宋体" w:hAnsi="宋体" w:eastAsia="宋体" w:cs="宋体"/>
          <w:color w:val="auto"/>
          <w:highlight w:val="none"/>
        </w:rPr>
      </w:pPr>
    </w:p>
    <w:p w14:paraId="15BD7990">
      <w:pPr>
        <w:pStyle w:val="35"/>
        <w:shd w:val="clear" w:color="auto" w:fill="auto"/>
        <w:spacing w:line="300" w:lineRule="auto"/>
        <w:rPr>
          <w:rFonts w:ascii="宋体" w:hAnsi="宋体" w:eastAsia="宋体" w:cs="宋体"/>
          <w:color w:val="auto"/>
          <w:highlight w:val="none"/>
        </w:rPr>
      </w:pPr>
    </w:p>
    <w:p w14:paraId="6E954B49">
      <w:pPr>
        <w:pStyle w:val="35"/>
        <w:shd w:val="clear" w:color="auto" w:fill="auto"/>
        <w:spacing w:line="300" w:lineRule="auto"/>
        <w:rPr>
          <w:rFonts w:ascii="宋体" w:hAnsi="宋体" w:eastAsia="宋体" w:cs="宋体"/>
          <w:color w:val="auto"/>
          <w:highlight w:val="none"/>
        </w:rPr>
      </w:pPr>
    </w:p>
    <w:p w14:paraId="13DEBFC3">
      <w:pPr>
        <w:pStyle w:val="35"/>
        <w:shd w:val="clear" w:color="auto" w:fill="auto"/>
        <w:spacing w:line="300" w:lineRule="auto"/>
        <w:rPr>
          <w:rFonts w:ascii="宋体" w:hAnsi="宋体" w:eastAsia="宋体" w:cs="宋体"/>
          <w:color w:val="auto"/>
          <w:highlight w:val="none"/>
        </w:rPr>
      </w:pPr>
    </w:p>
    <w:p w14:paraId="20E02228">
      <w:pPr>
        <w:pStyle w:val="35"/>
        <w:shd w:val="clear" w:color="auto" w:fill="auto"/>
        <w:tabs>
          <w:tab w:val="right" w:leader="dot" w:pos="8295"/>
        </w:tabs>
        <w:spacing w:line="300" w:lineRule="auto"/>
        <w:ind w:firstLine="4320" w:firstLineChars="1800"/>
        <w:rPr>
          <w:rFonts w:ascii="宋体" w:hAnsi="宋体" w:eastAsia="宋体" w:cs="宋体"/>
          <w:color w:val="auto"/>
          <w:highlight w:val="none"/>
        </w:rPr>
      </w:pPr>
      <w:r>
        <w:rPr>
          <w:rFonts w:hint="eastAsia" w:ascii="宋体" w:hAnsi="宋体" w:eastAsia="宋体" w:cs="宋体"/>
          <w:color w:val="auto"/>
          <w:highlight w:val="none"/>
        </w:rPr>
        <w:t>投标人(法人公章):</w:t>
      </w:r>
    </w:p>
    <w:p w14:paraId="72287CE8">
      <w:pPr>
        <w:pStyle w:val="35"/>
        <w:shd w:val="clear" w:color="auto" w:fill="auto"/>
        <w:tabs>
          <w:tab w:val="right" w:leader="dot" w:pos="8295"/>
        </w:tabs>
        <w:spacing w:line="300" w:lineRule="auto"/>
        <w:ind w:firstLine="4320" w:firstLineChars="1800"/>
        <w:rPr>
          <w:rFonts w:ascii="宋体" w:hAnsi="宋体" w:eastAsia="宋体" w:cs="宋体"/>
          <w:color w:val="auto"/>
          <w:highlight w:val="none"/>
        </w:rPr>
      </w:pPr>
      <w:r>
        <w:rPr>
          <w:rFonts w:hint="eastAsia" w:ascii="宋体" w:hAnsi="宋体" w:eastAsia="宋体" w:cs="宋体"/>
          <w:color w:val="auto"/>
          <w:highlight w:val="none"/>
        </w:rPr>
        <w:t>法定代表人(盖章):</w:t>
      </w:r>
    </w:p>
    <w:p w14:paraId="03112BD2">
      <w:pPr>
        <w:pStyle w:val="35"/>
        <w:shd w:val="clear" w:color="auto" w:fill="auto"/>
        <w:spacing w:before="111" w:line="300" w:lineRule="auto"/>
        <w:ind w:left="6074"/>
        <w:rPr>
          <w:rFonts w:ascii="宋体" w:hAnsi="宋体" w:eastAsia="宋体" w:cs="宋体"/>
          <w:color w:val="auto"/>
          <w:highlight w:val="none"/>
        </w:rPr>
      </w:pPr>
      <w:r>
        <w:rPr>
          <w:rFonts w:hint="eastAsia" w:ascii="宋体" w:hAnsi="宋体" w:eastAsia="宋体" w:cs="宋体"/>
          <w:color w:val="auto"/>
          <w:spacing w:val="2"/>
          <w:highlight w:val="none"/>
        </w:rPr>
        <w:t xml:space="preserve">年  </w:t>
      </w:r>
      <w:r>
        <w:rPr>
          <w:rFonts w:hint="eastAsia" w:ascii="宋体" w:hAnsi="宋体" w:eastAsia="宋体" w:cs="宋体"/>
          <w:color w:val="auto"/>
          <w:spacing w:val="1"/>
          <w:highlight w:val="none"/>
        </w:rPr>
        <w:t>月  日</w:t>
      </w:r>
    </w:p>
    <w:p w14:paraId="11E30F3C">
      <w:pPr>
        <w:shd w:val="clear" w:color="auto" w:fill="auto"/>
        <w:spacing w:line="300" w:lineRule="auto"/>
        <w:rPr>
          <w:rFonts w:ascii="宋体" w:hAnsi="宋体" w:cs="宋体"/>
          <w:color w:val="auto"/>
          <w:highlight w:val="none"/>
        </w:rPr>
      </w:pPr>
    </w:p>
    <w:p w14:paraId="475ED7A1">
      <w:pPr>
        <w:shd w:val="clear" w:color="auto" w:fill="auto"/>
        <w:spacing w:beforeLines="100" w:afterLines="50" w:line="300" w:lineRule="auto"/>
        <w:jc w:val="center"/>
        <w:rPr>
          <w:rFonts w:ascii="宋体" w:hAnsi="宋体" w:cs="宋体"/>
          <w:color w:val="auto"/>
          <w:sz w:val="30"/>
          <w:szCs w:val="30"/>
          <w:highlight w:val="none"/>
        </w:rPr>
      </w:pPr>
    </w:p>
    <w:p w14:paraId="04574EDF">
      <w:pPr>
        <w:shd w:val="clear" w:color="auto" w:fill="auto"/>
        <w:spacing w:beforeLines="100" w:afterLines="50" w:line="300" w:lineRule="auto"/>
        <w:jc w:val="center"/>
        <w:rPr>
          <w:rFonts w:ascii="宋体" w:hAnsi="宋体" w:cs="宋体"/>
          <w:color w:val="auto"/>
          <w:sz w:val="30"/>
          <w:szCs w:val="30"/>
          <w:highlight w:val="none"/>
        </w:rPr>
      </w:pPr>
    </w:p>
    <w:p w14:paraId="7F60123B">
      <w:pPr>
        <w:shd w:val="clear" w:color="auto" w:fill="auto"/>
        <w:spacing w:beforeLines="100" w:afterLines="50" w:line="300" w:lineRule="auto"/>
        <w:jc w:val="center"/>
        <w:rPr>
          <w:rFonts w:ascii="宋体" w:hAnsi="宋体" w:cs="宋体"/>
          <w:color w:val="auto"/>
          <w:sz w:val="30"/>
          <w:szCs w:val="30"/>
          <w:highlight w:val="none"/>
        </w:rPr>
      </w:pPr>
    </w:p>
    <w:p w14:paraId="7A438366">
      <w:pPr>
        <w:shd w:val="clear" w:color="auto" w:fill="auto"/>
        <w:spacing w:beforeLines="100" w:afterLines="50" w:line="300" w:lineRule="auto"/>
        <w:jc w:val="center"/>
        <w:rPr>
          <w:rFonts w:ascii="宋体" w:hAnsi="宋体" w:cs="宋体"/>
          <w:color w:val="auto"/>
          <w:sz w:val="30"/>
          <w:szCs w:val="30"/>
          <w:highlight w:val="none"/>
        </w:rPr>
      </w:pPr>
    </w:p>
    <w:p w14:paraId="3DFC4B97">
      <w:pPr>
        <w:shd w:val="clear" w:color="auto" w:fill="auto"/>
        <w:spacing w:beforeLines="100" w:afterLines="50" w:line="300" w:lineRule="auto"/>
        <w:jc w:val="center"/>
        <w:rPr>
          <w:rFonts w:ascii="宋体" w:hAnsi="宋体" w:cs="宋体"/>
          <w:color w:val="auto"/>
          <w:sz w:val="30"/>
          <w:szCs w:val="30"/>
          <w:highlight w:val="none"/>
        </w:rPr>
      </w:pPr>
    </w:p>
    <w:p w14:paraId="2EEA46C5">
      <w:pPr>
        <w:shd w:val="clear" w:color="auto" w:fill="auto"/>
        <w:spacing w:beforeLines="100" w:afterLines="50" w:line="300" w:lineRule="auto"/>
        <w:jc w:val="center"/>
        <w:rPr>
          <w:rFonts w:ascii="宋体" w:hAnsi="宋体" w:cs="宋体"/>
          <w:color w:val="auto"/>
          <w:sz w:val="30"/>
          <w:szCs w:val="30"/>
          <w:highlight w:val="none"/>
        </w:rPr>
      </w:pPr>
    </w:p>
    <w:p w14:paraId="766925DB">
      <w:pPr>
        <w:shd w:val="clear" w:color="auto" w:fill="auto"/>
        <w:spacing w:beforeLines="100" w:afterLines="50" w:line="300" w:lineRule="auto"/>
        <w:jc w:val="both"/>
        <w:rPr>
          <w:rFonts w:ascii="宋体" w:hAnsi="宋体" w:cs="宋体"/>
          <w:color w:val="auto"/>
          <w:sz w:val="30"/>
          <w:szCs w:val="30"/>
          <w:highlight w:val="none"/>
        </w:rPr>
      </w:pPr>
    </w:p>
    <w:p w14:paraId="6A62E1D4">
      <w:pPr>
        <w:shd w:val="clear" w:color="auto" w:fill="auto"/>
        <w:autoSpaceDE w:val="0"/>
        <w:autoSpaceDN w:val="0"/>
        <w:adjustRightInd w:val="0"/>
        <w:spacing w:line="300" w:lineRule="auto"/>
        <w:jc w:val="center"/>
        <w:rPr>
          <w:rFonts w:hint="eastAsia" w:ascii="宋体" w:hAnsi="宋体" w:cs="宋体"/>
          <w:b/>
          <w:bCs/>
          <w:color w:val="auto"/>
          <w:sz w:val="72"/>
          <w:szCs w:val="72"/>
          <w:highlight w:val="none"/>
        </w:rPr>
      </w:pPr>
      <w:r>
        <w:rPr>
          <w:rFonts w:hint="eastAsia"/>
          <w:b/>
          <w:bCs/>
          <w:color w:val="auto"/>
          <w:sz w:val="44"/>
          <w:szCs w:val="44"/>
          <w:highlight w:val="none"/>
          <w:lang w:eastAsia="zh-CN"/>
        </w:rPr>
        <w:t>220kV芳赤24M1线-芳柯24M2线、110kV赤黄1879线-赤州1881线迁改移位工程工程总承包(EPC)</w:t>
      </w:r>
    </w:p>
    <w:p w14:paraId="757F02F4">
      <w:pPr>
        <w:shd w:val="clear" w:color="auto" w:fill="auto"/>
        <w:autoSpaceDE w:val="0"/>
        <w:autoSpaceDN w:val="0"/>
        <w:adjustRightInd w:val="0"/>
        <w:spacing w:line="300" w:lineRule="auto"/>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投标文件</w:t>
      </w:r>
    </w:p>
    <w:p w14:paraId="30EB8192">
      <w:pPr>
        <w:shd w:val="clear" w:color="auto" w:fill="auto"/>
        <w:autoSpaceDE w:val="0"/>
        <w:autoSpaceDN w:val="0"/>
        <w:adjustRightInd w:val="0"/>
        <w:spacing w:line="300" w:lineRule="auto"/>
        <w:rPr>
          <w:rFonts w:ascii="宋体" w:hAnsi="宋体" w:cs="宋体"/>
          <w:b/>
          <w:bCs/>
          <w:color w:val="auto"/>
          <w:sz w:val="48"/>
          <w:szCs w:val="48"/>
          <w:highlight w:val="none"/>
        </w:rPr>
      </w:pPr>
    </w:p>
    <w:p w14:paraId="11001B28">
      <w:pPr>
        <w:shd w:val="clear" w:color="auto" w:fill="auto"/>
        <w:autoSpaceDE w:val="0"/>
        <w:autoSpaceDN w:val="0"/>
        <w:adjustRightInd w:val="0"/>
        <w:spacing w:line="300" w:lineRule="auto"/>
        <w:rPr>
          <w:rFonts w:ascii="宋体" w:hAnsi="宋体" w:cs="宋体"/>
          <w:b/>
          <w:bCs/>
          <w:color w:val="auto"/>
          <w:sz w:val="48"/>
          <w:szCs w:val="48"/>
          <w:highlight w:val="none"/>
        </w:rPr>
      </w:pPr>
    </w:p>
    <w:p w14:paraId="27ACFC13">
      <w:pPr>
        <w:shd w:val="clear" w:color="auto" w:fill="auto"/>
        <w:autoSpaceDE w:val="0"/>
        <w:autoSpaceDN w:val="0"/>
        <w:adjustRightInd w:val="0"/>
        <w:spacing w:line="300" w:lineRule="auto"/>
        <w:rPr>
          <w:rFonts w:ascii="宋体" w:hAnsi="宋体" w:cs="宋体"/>
          <w:b/>
          <w:bCs/>
          <w:color w:val="auto"/>
          <w:sz w:val="48"/>
          <w:szCs w:val="48"/>
          <w:highlight w:val="none"/>
        </w:rPr>
      </w:pPr>
    </w:p>
    <w:p w14:paraId="36F92D49">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投标文件内容：</w:t>
      </w:r>
      <w:r>
        <w:rPr>
          <w:rFonts w:hint="eastAsia" w:ascii="宋体" w:hAnsi="宋体" w:cs="宋体"/>
          <w:bCs/>
          <w:color w:val="auto"/>
          <w:sz w:val="30"/>
          <w:szCs w:val="30"/>
          <w:highlight w:val="none"/>
          <w:u w:val="single"/>
          <w:lang w:val="zh-CN"/>
        </w:rPr>
        <w:tab/>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投标文件</w:t>
      </w:r>
      <w:r>
        <w:rPr>
          <w:rFonts w:hint="eastAsia" w:ascii="宋体" w:hAnsi="宋体" w:cs="宋体"/>
          <w:bCs/>
          <w:color w:val="auto"/>
          <w:sz w:val="30"/>
          <w:szCs w:val="30"/>
          <w:highlight w:val="none"/>
          <w:u w:val="single"/>
          <w:lang w:val="en-US" w:eastAsia="zh-CN"/>
        </w:rPr>
        <w:t>技术标</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　　</w:t>
      </w:r>
    </w:p>
    <w:p w14:paraId="4B230345">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投标人：</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en-US" w:eastAsia="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w:t>
      </w:r>
      <w:r>
        <w:rPr>
          <w:rFonts w:hint="eastAsia" w:ascii="宋体" w:hAnsi="宋体" w:cs="宋体"/>
          <w:bCs/>
          <w:color w:val="auto"/>
          <w:sz w:val="30"/>
          <w:szCs w:val="30"/>
          <w:highlight w:val="none"/>
          <w:u w:val="single"/>
        </w:rPr>
        <w:t>单位</w:t>
      </w:r>
      <w:r>
        <w:rPr>
          <w:rFonts w:hint="eastAsia" w:ascii="宋体" w:hAnsi="宋体" w:cs="宋体"/>
          <w:bCs/>
          <w:color w:val="auto"/>
          <w:sz w:val="30"/>
          <w:szCs w:val="30"/>
          <w:highlight w:val="none"/>
          <w:u w:val="single"/>
          <w:lang w:val="zh-CN"/>
        </w:rPr>
        <w:t>盖章）　</w:t>
      </w:r>
    </w:p>
    <w:p w14:paraId="3597F4B0">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法定代表人</w:t>
      </w:r>
      <w:r>
        <w:rPr>
          <w:rFonts w:hint="eastAsia" w:ascii="宋体" w:hAnsi="宋体" w:cs="宋体"/>
          <w:bCs/>
          <w:color w:val="auto"/>
          <w:sz w:val="30"/>
          <w:szCs w:val="30"/>
          <w:highlight w:val="none"/>
        </w:rPr>
        <w:t>或委托代理人</w:t>
      </w:r>
      <w:r>
        <w:rPr>
          <w:rFonts w:hint="eastAsia" w:ascii="宋体" w:hAnsi="宋体" w:cs="宋体"/>
          <w:bCs/>
          <w:color w:val="auto"/>
          <w:sz w:val="30"/>
          <w:szCs w:val="30"/>
          <w:highlight w:val="none"/>
          <w:lang w:val="zh-CN"/>
        </w:rPr>
        <w:t>：</w:t>
      </w:r>
      <w:r>
        <w:rPr>
          <w:rFonts w:hint="eastAsia" w:ascii="宋体" w:hAnsi="宋体" w:cs="宋体"/>
          <w:bCs/>
          <w:color w:val="auto"/>
          <w:sz w:val="30"/>
          <w:szCs w:val="30"/>
          <w:highlight w:val="none"/>
          <w:u w:val="single"/>
          <w:lang w:val="zh-CN"/>
        </w:rPr>
        <w:t>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（盖章）</w:t>
      </w:r>
      <w:r>
        <w:rPr>
          <w:rFonts w:hint="eastAsia" w:ascii="宋体" w:hAnsi="宋体" w:cs="宋体"/>
          <w:bCs/>
          <w:color w:val="auto"/>
          <w:sz w:val="30"/>
          <w:szCs w:val="30"/>
          <w:highlight w:val="none"/>
          <w:u w:val="single"/>
        </w:rPr>
        <w:t xml:space="preserve">  </w:t>
      </w:r>
    </w:p>
    <w:p w14:paraId="0F6B036E">
      <w:pPr>
        <w:shd w:val="clear" w:color="auto" w:fill="auto"/>
        <w:autoSpaceDE w:val="0"/>
        <w:autoSpaceDN w:val="0"/>
        <w:adjustRightInd w:val="0"/>
        <w:spacing w:line="300" w:lineRule="auto"/>
        <w:ind w:firstLine="600" w:firstLineChars="200"/>
        <w:rPr>
          <w:rFonts w:ascii="宋体" w:hAnsi="宋体" w:cs="宋体"/>
          <w:bCs/>
          <w:color w:val="auto"/>
          <w:sz w:val="30"/>
          <w:szCs w:val="30"/>
          <w:highlight w:val="none"/>
          <w:lang w:val="zh-CN"/>
        </w:rPr>
      </w:pPr>
    </w:p>
    <w:p w14:paraId="4FA61B4E">
      <w:pPr>
        <w:pStyle w:val="10"/>
        <w:shd w:val="clear" w:color="auto" w:fill="auto"/>
        <w:spacing w:line="300" w:lineRule="auto"/>
        <w:rPr>
          <w:rFonts w:ascii="宋体" w:hAnsi="宋体" w:cs="宋体"/>
          <w:bCs/>
          <w:color w:val="auto"/>
          <w:sz w:val="30"/>
          <w:szCs w:val="30"/>
          <w:highlight w:val="none"/>
          <w:lang w:val="zh-CN"/>
        </w:rPr>
      </w:pPr>
    </w:p>
    <w:p w14:paraId="210114EB">
      <w:pPr>
        <w:shd w:val="clear" w:color="auto" w:fill="auto"/>
        <w:spacing w:line="300" w:lineRule="auto"/>
        <w:rPr>
          <w:rFonts w:ascii="宋体" w:hAnsi="宋体" w:cs="宋体"/>
          <w:color w:val="auto"/>
          <w:highlight w:val="none"/>
          <w:lang w:val="zh-CN"/>
        </w:rPr>
      </w:pPr>
    </w:p>
    <w:p w14:paraId="5712FA50">
      <w:pPr>
        <w:shd w:val="clear" w:color="auto" w:fill="auto"/>
        <w:spacing w:line="300" w:lineRule="auto"/>
        <w:ind w:firstLine="450" w:firstLineChars="150"/>
        <w:rPr>
          <w:rFonts w:ascii="宋体" w:hAnsi="宋体" w:cs="宋体"/>
          <w:bCs/>
          <w:color w:val="auto"/>
          <w:sz w:val="30"/>
          <w:szCs w:val="30"/>
          <w:highlight w:val="none"/>
          <w:lang w:val="zh-CN"/>
        </w:rPr>
      </w:pPr>
    </w:p>
    <w:p w14:paraId="5AA7370A">
      <w:pPr>
        <w:shd w:val="clear" w:color="auto" w:fill="auto"/>
        <w:spacing w:line="300" w:lineRule="auto"/>
        <w:jc w:val="center"/>
        <w:rPr>
          <w:rFonts w:ascii="宋体" w:hAnsi="宋体" w:cs="宋体"/>
          <w:color w:val="auto"/>
          <w:highlight w:val="none"/>
          <w:lang w:val="zh-CN"/>
        </w:rPr>
      </w:pPr>
      <w:r>
        <w:rPr>
          <w:rFonts w:hint="eastAsia" w:ascii="宋体" w:hAnsi="宋体" w:cs="宋体"/>
          <w:bCs/>
          <w:color w:val="auto"/>
          <w:sz w:val="30"/>
          <w:szCs w:val="30"/>
          <w:highlight w:val="none"/>
          <w:lang w:val="zh-CN"/>
        </w:rPr>
        <w:t>日期：   年    月   日</w:t>
      </w:r>
    </w:p>
    <w:p w14:paraId="7F698950">
      <w:pPr>
        <w:pStyle w:val="5"/>
        <w:shd w:val="clear" w:color="auto" w:fill="auto"/>
        <w:spacing w:line="262" w:lineRule="auto"/>
        <w:rPr>
          <w:color w:val="auto"/>
          <w:highlight w:val="none"/>
        </w:rPr>
      </w:pPr>
    </w:p>
    <w:p w14:paraId="5ED2361C">
      <w:pPr>
        <w:shd w:val="clear" w:color="auto" w:fill="auto"/>
        <w:spacing w:beforeLines="100" w:afterLines="50" w:line="300" w:lineRule="auto"/>
        <w:rPr>
          <w:rFonts w:ascii="宋体" w:hAnsi="宋体" w:cs="宋体"/>
          <w:color w:val="auto"/>
          <w:kern w:val="0"/>
          <w:szCs w:val="21"/>
          <w:highlight w:val="none"/>
        </w:rPr>
      </w:pPr>
    </w:p>
    <w:p w14:paraId="0B7D7E30">
      <w:pPr>
        <w:shd w:val="clear" w:color="auto" w:fill="auto"/>
        <w:spacing w:beforeLines="100" w:afterLines="50" w:line="300" w:lineRule="auto"/>
        <w:rPr>
          <w:rFonts w:ascii="宋体" w:hAnsi="宋体" w:cs="宋体"/>
          <w:color w:val="auto"/>
          <w:kern w:val="0"/>
          <w:szCs w:val="21"/>
          <w:highlight w:val="none"/>
        </w:rPr>
      </w:pPr>
    </w:p>
    <w:p w14:paraId="19D10FD2">
      <w:pPr>
        <w:shd w:val="clear" w:color="auto" w:fill="auto"/>
        <w:spacing w:beforeLines="100" w:afterLines="50" w:line="300" w:lineRule="auto"/>
        <w:rPr>
          <w:rFonts w:ascii="宋体" w:hAnsi="宋体" w:cs="宋体"/>
          <w:color w:val="auto"/>
          <w:kern w:val="0"/>
          <w:szCs w:val="21"/>
          <w:highlight w:val="none"/>
        </w:rPr>
      </w:pPr>
    </w:p>
    <w:p w14:paraId="23F95CEE">
      <w:pPr>
        <w:shd w:val="clear" w:color="auto" w:fill="auto"/>
        <w:spacing w:beforeLines="100" w:afterLines="50" w:line="300" w:lineRule="auto"/>
        <w:rPr>
          <w:rFonts w:ascii="宋体" w:hAnsi="宋体" w:cs="宋体"/>
          <w:color w:val="auto"/>
          <w:kern w:val="0"/>
          <w:szCs w:val="21"/>
          <w:highlight w:val="none"/>
        </w:rPr>
      </w:pPr>
    </w:p>
    <w:p w14:paraId="40CDCAE3">
      <w:pPr>
        <w:shd w:val="clear" w:color="auto" w:fill="auto"/>
        <w:autoSpaceDE w:val="0"/>
        <w:autoSpaceDN w:val="0"/>
        <w:adjustRightInd w:val="0"/>
        <w:spacing w:line="300" w:lineRule="auto"/>
        <w:jc w:val="center"/>
        <w:rPr>
          <w:rFonts w:hint="eastAsia" w:ascii="宋体" w:hAnsi="宋体" w:cs="宋体"/>
          <w:b/>
          <w:bCs/>
          <w:color w:val="auto"/>
          <w:sz w:val="72"/>
          <w:szCs w:val="72"/>
          <w:highlight w:val="none"/>
        </w:rPr>
      </w:pPr>
      <w:r>
        <w:rPr>
          <w:rFonts w:hint="eastAsia" w:ascii="宋体" w:hAnsi="宋体" w:cs="宋体"/>
          <w:color w:val="auto"/>
          <w:kern w:val="0"/>
          <w:szCs w:val="21"/>
          <w:highlight w:val="none"/>
        </w:rPr>
        <w:t>技术标具体编制内容详见第三章“评标办法”。</w:t>
      </w:r>
      <w:r>
        <w:rPr>
          <w:rFonts w:hint="eastAsia" w:ascii="宋体" w:hAnsi="宋体" w:cs="宋体"/>
          <w:color w:val="auto"/>
          <w:sz w:val="30"/>
          <w:szCs w:val="30"/>
          <w:highlight w:val="none"/>
        </w:rPr>
        <w:br w:type="page"/>
      </w:r>
      <w:bookmarkEnd w:id="700"/>
      <w:r>
        <w:rPr>
          <w:rFonts w:hint="eastAsia"/>
          <w:b/>
          <w:bCs/>
          <w:color w:val="auto"/>
          <w:sz w:val="44"/>
          <w:szCs w:val="44"/>
          <w:highlight w:val="none"/>
          <w:lang w:eastAsia="zh-CN"/>
        </w:rPr>
        <w:t>220kV芳赤24M1线-芳柯24M2线、110kV赤黄1879线-赤州1881线迁改移位工程工程总承包(EPC)</w:t>
      </w:r>
    </w:p>
    <w:p w14:paraId="02A50F01">
      <w:pPr>
        <w:shd w:val="clear" w:color="auto" w:fill="auto"/>
        <w:autoSpaceDE w:val="0"/>
        <w:autoSpaceDN w:val="0"/>
        <w:adjustRightInd w:val="0"/>
        <w:spacing w:line="300" w:lineRule="auto"/>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投标文件</w:t>
      </w:r>
    </w:p>
    <w:p w14:paraId="0EA83C80">
      <w:pPr>
        <w:shd w:val="clear" w:color="auto" w:fill="auto"/>
        <w:autoSpaceDE w:val="0"/>
        <w:autoSpaceDN w:val="0"/>
        <w:adjustRightInd w:val="0"/>
        <w:spacing w:line="300" w:lineRule="auto"/>
        <w:rPr>
          <w:rFonts w:ascii="宋体" w:hAnsi="宋体" w:cs="宋体"/>
          <w:b/>
          <w:bCs/>
          <w:color w:val="auto"/>
          <w:sz w:val="48"/>
          <w:szCs w:val="48"/>
          <w:highlight w:val="none"/>
        </w:rPr>
      </w:pPr>
    </w:p>
    <w:p w14:paraId="58988411">
      <w:pPr>
        <w:shd w:val="clear" w:color="auto" w:fill="auto"/>
        <w:autoSpaceDE w:val="0"/>
        <w:autoSpaceDN w:val="0"/>
        <w:adjustRightInd w:val="0"/>
        <w:spacing w:line="300" w:lineRule="auto"/>
        <w:rPr>
          <w:rFonts w:ascii="宋体" w:hAnsi="宋体" w:cs="宋体"/>
          <w:b/>
          <w:bCs/>
          <w:color w:val="auto"/>
          <w:sz w:val="48"/>
          <w:szCs w:val="48"/>
          <w:highlight w:val="none"/>
        </w:rPr>
      </w:pPr>
    </w:p>
    <w:p w14:paraId="0B51ADA7">
      <w:pPr>
        <w:shd w:val="clear" w:color="auto" w:fill="auto"/>
        <w:autoSpaceDE w:val="0"/>
        <w:autoSpaceDN w:val="0"/>
        <w:adjustRightInd w:val="0"/>
        <w:spacing w:line="300" w:lineRule="auto"/>
        <w:rPr>
          <w:rFonts w:ascii="宋体" w:hAnsi="宋体" w:cs="宋体"/>
          <w:b/>
          <w:bCs/>
          <w:color w:val="auto"/>
          <w:sz w:val="48"/>
          <w:szCs w:val="48"/>
          <w:highlight w:val="none"/>
        </w:rPr>
      </w:pPr>
    </w:p>
    <w:p w14:paraId="5BE3C196">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投标文件内容：</w:t>
      </w:r>
      <w:r>
        <w:rPr>
          <w:rFonts w:hint="eastAsia" w:ascii="宋体" w:hAnsi="宋体" w:cs="宋体"/>
          <w:bCs/>
          <w:color w:val="auto"/>
          <w:sz w:val="30"/>
          <w:szCs w:val="30"/>
          <w:highlight w:val="none"/>
          <w:u w:val="single"/>
          <w:lang w:val="zh-CN"/>
        </w:rPr>
        <w:tab/>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投标文件</w:t>
      </w:r>
      <w:r>
        <w:rPr>
          <w:rFonts w:hint="eastAsia" w:ascii="宋体" w:hAnsi="宋体" w:cs="宋体"/>
          <w:bCs/>
          <w:color w:val="auto"/>
          <w:sz w:val="30"/>
          <w:szCs w:val="30"/>
          <w:highlight w:val="none"/>
          <w:u w:val="single"/>
          <w:lang w:val="en-US" w:eastAsia="zh-CN"/>
        </w:rPr>
        <w:t>资信标</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　　</w:t>
      </w:r>
    </w:p>
    <w:p w14:paraId="0100EEEA">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投标人：</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en-US" w:eastAsia="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w:t>
      </w:r>
      <w:r>
        <w:rPr>
          <w:rFonts w:hint="eastAsia" w:ascii="宋体" w:hAnsi="宋体" w:cs="宋体"/>
          <w:bCs/>
          <w:color w:val="auto"/>
          <w:sz w:val="30"/>
          <w:szCs w:val="30"/>
          <w:highlight w:val="none"/>
          <w:u w:val="single"/>
        </w:rPr>
        <w:t>单位</w:t>
      </w:r>
      <w:r>
        <w:rPr>
          <w:rFonts w:hint="eastAsia" w:ascii="宋体" w:hAnsi="宋体" w:cs="宋体"/>
          <w:bCs/>
          <w:color w:val="auto"/>
          <w:sz w:val="30"/>
          <w:szCs w:val="30"/>
          <w:highlight w:val="none"/>
          <w:u w:val="single"/>
          <w:lang w:val="zh-CN"/>
        </w:rPr>
        <w:t>盖章）　</w:t>
      </w:r>
    </w:p>
    <w:p w14:paraId="723998DF">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法定代表人</w:t>
      </w:r>
      <w:r>
        <w:rPr>
          <w:rFonts w:hint="eastAsia" w:ascii="宋体" w:hAnsi="宋体" w:cs="宋体"/>
          <w:bCs/>
          <w:color w:val="auto"/>
          <w:sz w:val="30"/>
          <w:szCs w:val="30"/>
          <w:highlight w:val="none"/>
        </w:rPr>
        <w:t>或委托代理人</w:t>
      </w:r>
      <w:r>
        <w:rPr>
          <w:rFonts w:hint="eastAsia" w:ascii="宋体" w:hAnsi="宋体" w:cs="宋体"/>
          <w:bCs/>
          <w:color w:val="auto"/>
          <w:sz w:val="30"/>
          <w:szCs w:val="30"/>
          <w:highlight w:val="none"/>
          <w:lang w:val="zh-CN"/>
        </w:rPr>
        <w:t>：</w:t>
      </w:r>
      <w:r>
        <w:rPr>
          <w:rFonts w:hint="eastAsia" w:ascii="宋体" w:hAnsi="宋体" w:cs="宋体"/>
          <w:bCs/>
          <w:color w:val="auto"/>
          <w:sz w:val="30"/>
          <w:szCs w:val="30"/>
          <w:highlight w:val="none"/>
          <w:u w:val="single"/>
          <w:lang w:val="zh-CN"/>
        </w:rPr>
        <w:t>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（盖章）</w:t>
      </w:r>
      <w:r>
        <w:rPr>
          <w:rFonts w:hint="eastAsia" w:ascii="宋体" w:hAnsi="宋体" w:cs="宋体"/>
          <w:bCs/>
          <w:color w:val="auto"/>
          <w:sz w:val="30"/>
          <w:szCs w:val="30"/>
          <w:highlight w:val="none"/>
          <w:u w:val="single"/>
        </w:rPr>
        <w:t xml:space="preserve">  </w:t>
      </w:r>
    </w:p>
    <w:p w14:paraId="217FF9E3">
      <w:pPr>
        <w:shd w:val="clear" w:color="auto" w:fill="auto"/>
        <w:autoSpaceDE w:val="0"/>
        <w:autoSpaceDN w:val="0"/>
        <w:adjustRightInd w:val="0"/>
        <w:spacing w:line="300" w:lineRule="auto"/>
        <w:ind w:firstLine="600" w:firstLineChars="200"/>
        <w:rPr>
          <w:rFonts w:ascii="宋体" w:hAnsi="宋体" w:cs="宋体"/>
          <w:bCs/>
          <w:color w:val="auto"/>
          <w:sz w:val="30"/>
          <w:szCs w:val="30"/>
          <w:highlight w:val="none"/>
          <w:lang w:val="zh-CN"/>
        </w:rPr>
      </w:pPr>
    </w:p>
    <w:p w14:paraId="0ED90F0A">
      <w:pPr>
        <w:pStyle w:val="10"/>
        <w:shd w:val="clear" w:color="auto" w:fill="auto"/>
        <w:spacing w:line="300" w:lineRule="auto"/>
        <w:rPr>
          <w:rFonts w:ascii="宋体" w:hAnsi="宋体" w:cs="宋体"/>
          <w:bCs/>
          <w:color w:val="auto"/>
          <w:sz w:val="30"/>
          <w:szCs w:val="30"/>
          <w:highlight w:val="none"/>
          <w:lang w:val="zh-CN"/>
        </w:rPr>
      </w:pPr>
    </w:p>
    <w:p w14:paraId="38647A3A">
      <w:pPr>
        <w:shd w:val="clear" w:color="auto" w:fill="auto"/>
        <w:spacing w:line="300" w:lineRule="auto"/>
        <w:rPr>
          <w:rFonts w:ascii="宋体" w:hAnsi="宋体" w:cs="宋体"/>
          <w:color w:val="auto"/>
          <w:highlight w:val="none"/>
          <w:lang w:val="zh-CN"/>
        </w:rPr>
      </w:pPr>
    </w:p>
    <w:p w14:paraId="3E632288">
      <w:pPr>
        <w:shd w:val="clear" w:color="auto" w:fill="auto"/>
        <w:spacing w:line="300" w:lineRule="auto"/>
        <w:ind w:firstLine="450" w:firstLineChars="150"/>
        <w:rPr>
          <w:rFonts w:ascii="宋体" w:hAnsi="宋体" w:cs="宋体"/>
          <w:bCs/>
          <w:color w:val="auto"/>
          <w:sz w:val="30"/>
          <w:szCs w:val="30"/>
          <w:highlight w:val="none"/>
          <w:lang w:val="zh-CN"/>
        </w:rPr>
      </w:pPr>
    </w:p>
    <w:p w14:paraId="7CD29BE9">
      <w:pPr>
        <w:shd w:val="clear" w:color="auto" w:fill="auto"/>
        <w:spacing w:line="300" w:lineRule="auto"/>
        <w:jc w:val="center"/>
        <w:rPr>
          <w:rFonts w:ascii="宋体" w:hAnsi="宋体" w:cs="宋体"/>
          <w:color w:val="auto"/>
          <w:highlight w:val="none"/>
          <w:lang w:val="zh-CN"/>
        </w:rPr>
      </w:pPr>
      <w:r>
        <w:rPr>
          <w:rFonts w:hint="eastAsia" w:ascii="宋体" w:hAnsi="宋体" w:cs="宋体"/>
          <w:bCs/>
          <w:color w:val="auto"/>
          <w:sz w:val="30"/>
          <w:szCs w:val="30"/>
          <w:highlight w:val="none"/>
          <w:lang w:val="zh-CN"/>
        </w:rPr>
        <w:t>日期：   年    月   日</w:t>
      </w:r>
    </w:p>
    <w:p w14:paraId="3D7BCFB9">
      <w:pPr>
        <w:shd w:val="clear" w:color="auto" w:fill="auto"/>
        <w:spacing w:line="300" w:lineRule="auto"/>
        <w:jc w:val="center"/>
        <w:rPr>
          <w:rFonts w:ascii="宋体" w:hAnsi="宋体" w:cs="宋体"/>
          <w:color w:val="auto"/>
          <w:highlight w:val="none"/>
          <w:lang w:val="zh-CN"/>
        </w:rPr>
      </w:pPr>
    </w:p>
    <w:p w14:paraId="40255FCA">
      <w:pPr>
        <w:shd w:val="clear" w:color="auto" w:fill="auto"/>
        <w:spacing w:before="114" w:line="227" w:lineRule="auto"/>
        <w:ind w:left="3875"/>
        <w:rPr>
          <w:rFonts w:ascii="宋体" w:hAnsi="宋体" w:cs="宋体"/>
          <w:color w:val="auto"/>
          <w:spacing w:val="-37"/>
          <w:sz w:val="35"/>
          <w:szCs w:val="35"/>
          <w:highlight w:val="none"/>
        </w:rPr>
      </w:pPr>
    </w:p>
    <w:p w14:paraId="5B18B864">
      <w:pPr>
        <w:shd w:val="clear" w:color="auto" w:fill="auto"/>
        <w:spacing w:before="114" w:line="227" w:lineRule="auto"/>
        <w:ind w:left="3875"/>
        <w:rPr>
          <w:rFonts w:ascii="宋体" w:hAnsi="宋体" w:cs="宋体"/>
          <w:color w:val="auto"/>
          <w:spacing w:val="-37"/>
          <w:sz w:val="35"/>
          <w:szCs w:val="35"/>
          <w:highlight w:val="none"/>
        </w:rPr>
      </w:pPr>
    </w:p>
    <w:p w14:paraId="0C94E642">
      <w:pPr>
        <w:shd w:val="clear" w:color="auto" w:fill="auto"/>
        <w:spacing w:before="114" w:line="227" w:lineRule="auto"/>
        <w:ind w:left="3875"/>
        <w:rPr>
          <w:rFonts w:ascii="宋体" w:hAnsi="宋体" w:cs="宋体"/>
          <w:color w:val="auto"/>
          <w:spacing w:val="-37"/>
          <w:sz w:val="35"/>
          <w:szCs w:val="35"/>
          <w:highlight w:val="none"/>
        </w:rPr>
      </w:pPr>
    </w:p>
    <w:p w14:paraId="388B16DC">
      <w:pPr>
        <w:shd w:val="clear" w:color="auto" w:fill="auto"/>
        <w:spacing w:before="114" w:line="227" w:lineRule="auto"/>
        <w:ind w:left="3875"/>
        <w:rPr>
          <w:rFonts w:ascii="宋体" w:hAnsi="宋体" w:cs="宋体"/>
          <w:color w:val="auto"/>
          <w:spacing w:val="-37"/>
          <w:sz w:val="35"/>
          <w:szCs w:val="35"/>
          <w:highlight w:val="none"/>
        </w:rPr>
      </w:pPr>
    </w:p>
    <w:p w14:paraId="7D5ADBDC">
      <w:pPr>
        <w:shd w:val="clear" w:color="auto" w:fill="auto"/>
        <w:spacing w:before="114" w:line="227" w:lineRule="auto"/>
        <w:ind w:left="3875"/>
        <w:rPr>
          <w:rFonts w:ascii="宋体" w:hAnsi="宋体" w:cs="宋体"/>
          <w:color w:val="auto"/>
          <w:spacing w:val="-37"/>
          <w:sz w:val="35"/>
          <w:szCs w:val="35"/>
          <w:highlight w:val="none"/>
        </w:rPr>
      </w:pPr>
    </w:p>
    <w:p w14:paraId="00B601B3">
      <w:pPr>
        <w:shd w:val="clear" w:color="auto" w:fill="auto"/>
        <w:spacing w:before="114" w:line="227" w:lineRule="auto"/>
        <w:ind w:left="3875"/>
        <w:rPr>
          <w:rFonts w:ascii="宋体" w:hAnsi="宋体" w:cs="宋体"/>
          <w:color w:val="auto"/>
          <w:sz w:val="35"/>
          <w:szCs w:val="35"/>
          <w:highlight w:val="none"/>
        </w:rPr>
      </w:pPr>
      <w:r>
        <w:rPr>
          <w:rFonts w:ascii="宋体" w:hAnsi="宋体" w:cs="宋体"/>
          <w:color w:val="auto"/>
          <w:spacing w:val="-37"/>
          <w:sz w:val="35"/>
          <w:szCs w:val="35"/>
          <w:highlight w:val="none"/>
        </w:rPr>
        <w:t>目</w:t>
      </w:r>
      <w:r>
        <w:rPr>
          <w:rFonts w:ascii="宋体" w:hAnsi="宋体" w:cs="宋体"/>
          <w:color w:val="auto"/>
          <w:spacing w:val="10"/>
          <w:sz w:val="35"/>
          <w:szCs w:val="35"/>
          <w:highlight w:val="none"/>
        </w:rPr>
        <w:t xml:space="preserve">    </w:t>
      </w:r>
      <w:r>
        <w:rPr>
          <w:rFonts w:ascii="宋体" w:hAnsi="宋体" w:cs="宋体"/>
          <w:color w:val="auto"/>
          <w:spacing w:val="-37"/>
          <w:sz w:val="35"/>
          <w:szCs w:val="35"/>
          <w:highlight w:val="none"/>
        </w:rPr>
        <w:t>录</w:t>
      </w:r>
    </w:p>
    <w:p w14:paraId="75E397F3">
      <w:pPr>
        <w:pStyle w:val="5"/>
        <w:shd w:val="clear" w:color="auto" w:fill="auto"/>
        <w:spacing w:line="257" w:lineRule="auto"/>
        <w:rPr>
          <w:color w:val="auto"/>
          <w:highlight w:val="none"/>
        </w:rPr>
      </w:pPr>
    </w:p>
    <w:p w14:paraId="5C1800D2">
      <w:pPr>
        <w:pStyle w:val="5"/>
        <w:shd w:val="clear" w:color="auto" w:fill="auto"/>
        <w:spacing w:line="258" w:lineRule="auto"/>
        <w:rPr>
          <w:color w:val="auto"/>
          <w:highlight w:val="none"/>
        </w:rPr>
      </w:pPr>
    </w:p>
    <w:p w14:paraId="673D49BB">
      <w:pPr>
        <w:pStyle w:val="5"/>
        <w:shd w:val="clear" w:color="auto" w:fill="auto"/>
        <w:spacing w:line="258" w:lineRule="auto"/>
        <w:rPr>
          <w:color w:val="auto"/>
          <w:highlight w:val="none"/>
        </w:rPr>
      </w:pPr>
    </w:p>
    <w:p w14:paraId="2EC65CE0">
      <w:pPr>
        <w:shd w:val="clear" w:color="auto" w:fill="auto"/>
        <w:spacing w:before="78" w:line="360" w:lineRule="auto"/>
        <w:rPr>
          <w:rFonts w:ascii="宋体" w:hAnsi="宋体" w:cs="宋体"/>
          <w:color w:val="auto"/>
          <w:sz w:val="24"/>
          <w:highlight w:val="none"/>
        </w:rPr>
      </w:pPr>
      <w:r>
        <w:rPr>
          <w:rFonts w:ascii="宋体" w:hAnsi="宋体" w:cs="宋体"/>
          <w:color w:val="auto"/>
          <w:spacing w:val="-4"/>
          <w:sz w:val="24"/>
          <w:highlight w:val="none"/>
        </w:rPr>
        <w:t>一、</w:t>
      </w:r>
      <w:r>
        <w:rPr>
          <w:rFonts w:ascii="宋体" w:hAnsi="宋体" w:cs="宋体"/>
          <w:color w:val="auto"/>
          <w:spacing w:val="-79"/>
          <w:sz w:val="24"/>
          <w:highlight w:val="none"/>
        </w:rPr>
        <w:t xml:space="preserve"> </w:t>
      </w:r>
      <w:r>
        <w:rPr>
          <w:rFonts w:hint="eastAsia" w:ascii="宋体" w:hAnsi="宋体" w:cs="宋体"/>
          <w:color w:val="auto"/>
          <w:spacing w:val="-4"/>
          <w:sz w:val="24"/>
          <w:highlight w:val="none"/>
        </w:rPr>
        <w:t>☑</w:t>
      </w:r>
      <w:r>
        <w:rPr>
          <w:rFonts w:ascii="宋体" w:hAnsi="宋体" w:cs="宋体"/>
          <w:color w:val="auto"/>
          <w:spacing w:val="-4"/>
          <w:sz w:val="24"/>
          <w:highlight w:val="none"/>
        </w:rPr>
        <w:t>投标人一般情况（表1）</w:t>
      </w:r>
    </w:p>
    <w:p w14:paraId="4729EA70">
      <w:pPr>
        <w:shd w:val="clear" w:color="auto" w:fill="auto"/>
        <w:spacing w:before="78" w:line="360" w:lineRule="auto"/>
        <w:jc w:val="both"/>
        <w:rPr>
          <w:rFonts w:ascii="宋体" w:hAnsi="宋体" w:cs="宋体"/>
          <w:color w:val="auto"/>
          <w:sz w:val="24"/>
          <w:highlight w:val="none"/>
        </w:rPr>
      </w:pPr>
      <w:r>
        <w:rPr>
          <w:rFonts w:hint="eastAsia" w:ascii="宋体" w:hAnsi="宋体" w:cs="宋体"/>
          <w:color w:val="auto"/>
          <w:spacing w:val="-2"/>
          <w:sz w:val="24"/>
          <w:highlight w:val="none"/>
        </w:rPr>
        <w:t>二</w:t>
      </w:r>
      <w:r>
        <w:rPr>
          <w:rFonts w:ascii="宋体" w:hAnsi="宋体" w:cs="宋体"/>
          <w:color w:val="auto"/>
          <w:spacing w:val="-2"/>
          <w:sz w:val="24"/>
          <w:highlight w:val="none"/>
        </w:rPr>
        <w:t>、</w:t>
      </w:r>
      <w:r>
        <w:rPr>
          <w:rFonts w:ascii="宋体" w:hAnsi="宋体" w:cs="宋体"/>
          <w:color w:val="auto"/>
          <w:spacing w:val="-86"/>
          <w:sz w:val="24"/>
          <w:highlight w:val="none"/>
        </w:rPr>
        <w:t xml:space="preserve"> </w:t>
      </w:r>
      <w:r>
        <w:rPr>
          <w:rFonts w:hint="eastAsia" w:ascii="宋体" w:hAnsi="宋体" w:cs="宋体"/>
          <w:color w:val="auto"/>
          <w:spacing w:val="-2"/>
          <w:sz w:val="24"/>
          <w:highlight w:val="none"/>
          <w:lang w:eastAsia="zh-CN"/>
        </w:rPr>
        <w:t>☑</w:t>
      </w:r>
      <w:r>
        <w:rPr>
          <w:rFonts w:ascii="宋体" w:hAnsi="宋体" w:cs="宋体"/>
          <w:color w:val="auto"/>
          <w:spacing w:val="-2"/>
          <w:sz w:val="24"/>
          <w:highlight w:val="none"/>
        </w:rPr>
        <w:t>业绩汇总表（表</w:t>
      </w:r>
      <w:r>
        <w:rPr>
          <w:rFonts w:hint="eastAsia" w:ascii="宋体" w:hAnsi="宋体" w:cs="宋体"/>
          <w:color w:val="auto"/>
          <w:spacing w:val="-2"/>
          <w:sz w:val="24"/>
          <w:highlight w:val="none"/>
        </w:rPr>
        <w:t>2</w:t>
      </w:r>
      <w:r>
        <w:rPr>
          <w:rFonts w:ascii="宋体" w:hAnsi="宋体" w:cs="宋体"/>
          <w:color w:val="auto"/>
          <w:spacing w:val="-17"/>
          <w:sz w:val="24"/>
          <w:highlight w:val="none"/>
        </w:rPr>
        <w:t>）（</w:t>
      </w:r>
      <w:r>
        <w:rPr>
          <w:rFonts w:ascii="宋体" w:hAnsi="宋体" w:cs="宋体"/>
          <w:color w:val="auto"/>
          <w:spacing w:val="-2"/>
          <w:sz w:val="24"/>
          <w:highlight w:val="none"/>
        </w:rPr>
        <w:t>评分业绩条件的汇总，附相关业绩的</w:t>
      </w:r>
      <w:r>
        <w:rPr>
          <w:rFonts w:ascii="宋体" w:hAnsi="宋体" w:cs="宋体"/>
          <w:color w:val="auto"/>
          <w:spacing w:val="-3"/>
          <w:sz w:val="24"/>
          <w:highlight w:val="none"/>
        </w:rPr>
        <w:t>证明材料，</w:t>
      </w:r>
    </w:p>
    <w:p w14:paraId="3D896F5E">
      <w:pPr>
        <w:shd w:val="clear" w:color="auto" w:fill="auto"/>
        <w:spacing w:before="181" w:line="360" w:lineRule="auto"/>
        <w:rPr>
          <w:color w:val="auto"/>
          <w:highlight w:val="none"/>
        </w:rPr>
      </w:pPr>
      <w:r>
        <w:rPr>
          <w:rFonts w:ascii="宋体" w:hAnsi="宋体" w:cs="宋体"/>
          <w:color w:val="auto"/>
          <w:spacing w:val="-1"/>
          <w:sz w:val="24"/>
          <w:highlight w:val="none"/>
        </w:rPr>
        <w:t>且需要准确详细列入）</w:t>
      </w:r>
    </w:p>
    <w:p w14:paraId="5D032C1E">
      <w:pPr>
        <w:shd w:val="clear" w:color="auto" w:fill="auto"/>
        <w:spacing w:before="78" w:line="360" w:lineRule="auto"/>
        <w:jc w:val="left"/>
        <w:rPr>
          <w:rFonts w:hint="eastAsia" w:ascii="宋体" w:hAnsi="宋体" w:eastAsia="宋体" w:cs="宋体"/>
          <w:color w:val="auto"/>
          <w:spacing w:val="-2"/>
          <w:sz w:val="24"/>
          <w:highlight w:val="none"/>
        </w:rPr>
      </w:pPr>
    </w:p>
    <w:p w14:paraId="4E21244E">
      <w:pPr>
        <w:shd w:val="clear" w:color="auto" w:fill="auto"/>
        <w:spacing w:before="78" w:line="360" w:lineRule="auto"/>
        <w:jc w:val="left"/>
        <w:rPr>
          <w:rFonts w:hint="eastAsia" w:ascii="宋体" w:hAnsi="宋体" w:eastAsia="宋体" w:cs="宋体"/>
          <w:color w:val="auto"/>
          <w:spacing w:val="-2"/>
          <w:sz w:val="24"/>
          <w:highlight w:val="none"/>
        </w:rPr>
        <w:sectPr>
          <w:footerReference r:id="rId15" w:type="default"/>
          <w:pgSz w:w="11850" w:h="16783"/>
          <w:pgMar w:top="1426" w:right="1686" w:bottom="1157" w:left="1710" w:header="0" w:footer="992" w:gutter="0"/>
          <w:pgNumType w:fmt="decimal"/>
          <w:cols w:space="720" w:num="1"/>
        </w:sectPr>
      </w:pPr>
    </w:p>
    <w:p w14:paraId="58EA4AE6">
      <w:pPr>
        <w:shd w:val="clear" w:color="auto" w:fill="auto"/>
        <w:spacing w:before="56" w:line="219" w:lineRule="auto"/>
        <w:ind w:left="2766"/>
        <w:rPr>
          <w:rFonts w:ascii="宋体" w:hAnsi="宋体" w:cs="宋体"/>
          <w:color w:val="auto"/>
          <w:sz w:val="28"/>
          <w:szCs w:val="28"/>
          <w:highlight w:val="none"/>
        </w:rPr>
      </w:pPr>
      <w:r>
        <w:rPr>
          <w:rFonts w:ascii="宋体" w:hAnsi="宋体" w:cs="宋体"/>
          <w:color w:val="auto"/>
          <w:spacing w:val="-4"/>
          <w:sz w:val="28"/>
          <w:szCs w:val="28"/>
          <w:highlight w:val="none"/>
        </w:rPr>
        <w:t>表1</w:t>
      </w:r>
      <w:r>
        <w:rPr>
          <w:rFonts w:ascii="宋体" w:hAnsi="宋体" w:cs="宋体"/>
          <w:color w:val="auto"/>
          <w:spacing w:val="27"/>
          <w:sz w:val="28"/>
          <w:szCs w:val="28"/>
          <w:highlight w:val="none"/>
        </w:rPr>
        <w:t xml:space="preserve">  </w:t>
      </w:r>
      <w:r>
        <w:rPr>
          <w:rFonts w:hint="eastAsia" w:ascii="宋体" w:hAnsi="宋体" w:cs="宋体"/>
          <w:color w:val="auto"/>
          <w:spacing w:val="-4"/>
          <w:sz w:val="24"/>
          <w:highlight w:val="none"/>
        </w:rPr>
        <w:t>☑</w:t>
      </w:r>
      <w:r>
        <w:rPr>
          <w:rFonts w:ascii="宋体" w:hAnsi="宋体" w:cs="宋体"/>
          <w:color w:val="auto"/>
          <w:spacing w:val="-4"/>
          <w:sz w:val="28"/>
          <w:szCs w:val="28"/>
          <w:highlight w:val="none"/>
        </w:rPr>
        <w:t>投标人基本情况表</w:t>
      </w:r>
    </w:p>
    <w:p w14:paraId="4B15412D">
      <w:pPr>
        <w:shd w:val="clear" w:color="auto" w:fill="auto"/>
        <w:spacing w:before="128"/>
        <w:rPr>
          <w:color w:val="auto"/>
          <w:highlight w:val="none"/>
        </w:rPr>
      </w:pPr>
    </w:p>
    <w:tbl>
      <w:tblPr>
        <w:tblStyle w:val="22"/>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4"/>
        <w:gridCol w:w="2385"/>
        <w:gridCol w:w="452"/>
        <w:gridCol w:w="1336"/>
        <w:gridCol w:w="1271"/>
        <w:gridCol w:w="1037"/>
        <w:gridCol w:w="731"/>
      </w:tblGrid>
      <w:tr w14:paraId="1D9DD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364" w:type="dxa"/>
            <w:noWrap w:val="0"/>
            <w:vAlign w:val="top"/>
          </w:tcPr>
          <w:p w14:paraId="3700B502">
            <w:pPr>
              <w:pStyle w:val="16"/>
              <w:shd w:val="clear" w:color="auto" w:fill="auto"/>
              <w:spacing w:before="47" w:line="329" w:lineRule="exact"/>
              <w:ind w:left="119"/>
              <w:rPr>
                <w:color w:val="auto"/>
                <w:sz w:val="24"/>
                <w:szCs w:val="24"/>
                <w:highlight w:val="none"/>
              </w:rPr>
            </w:pPr>
            <w:r>
              <w:rPr>
                <w:color w:val="auto"/>
                <w:spacing w:val="-4"/>
                <w:position w:val="6"/>
                <w:sz w:val="24"/>
                <w:szCs w:val="24"/>
                <w:highlight w:val="none"/>
              </w:rPr>
              <w:t>投标人名</w:t>
            </w:r>
          </w:p>
          <w:p w14:paraId="1125DE1E">
            <w:pPr>
              <w:pStyle w:val="16"/>
              <w:shd w:val="clear" w:color="auto" w:fill="auto"/>
              <w:spacing w:line="212" w:lineRule="auto"/>
              <w:ind w:left="115"/>
              <w:rPr>
                <w:color w:val="auto"/>
                <w:sz w:val="24"/>
                <w:szCs w:val="24"/>
                <w:highlight w:val="none"/>
              </w:rPr>
            </w:pPr>
            <w:r>
              <w:rPr>
                <w:color w:val="auto"/>
                <w:sz w:val="24"/>
                <w:szCs w:val="24"/>
                <w:highlight w:val="none"/>
              </w:rPr>
              <w:t>称</w:t>
            </w:r>
          </w:p>
        </w:tc>
        <w:tc>
          <w:tcPr>
            <w:tcW w:w="7212" w:type="dxa"/>
            <w:gridSpan w:val="6"/>
            <w:noWrap w:val="0"/>
            <w:vAlign w:val="top"/>
          </w:tcPr>
          <w:p w14:paraId="79ECF17D">
            <w:pPr>
              <w:shd w:val="clear" w:color="auto" w:fill="auto"/>
              <w:rPr>
                <w:rFonts w:ascii="Arial"/>
                <w:color w:val="auto"/>
                <w:highlight w:val="none"/>
              </w:rPr>
            </w:pPr>
          </w:p>
        </w:tc>
      </w:tr>
      <w:tr w14:paraId="2C4C3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1364" w:type="dxa"/>
            <w:noWrap w:val="0"/>
            <w:vAlign w:val="top"/>
          </w:tcPr>
          <w:p w14:paraId="25DD9884">
            <w:pPr>
              <w:pStyle w:val="16"/>
              <w:shd w:val="clear" w:color="auto" w:fill="auto"/>
              <w:spacing w:before="104" w:line="221" w:lineRule="auto"/>
              <w:ind w:left="116"/>
              <w:rPr>
                <w:color w:val="auto"/>
                <w:sz w:val="24"/>
                <w:szCs w:val="24"/>
                <w:highlight w:val="none"/>
              </w:rPr>
            </w:pPr>
            <w:r>
              <w:rPr>
                <w:color w:val="auto"/>
                <w:spacing w:val="-3"/>
                <w:sz w:val="24"/>
                <w:szCs w:val="24"/>
                <w:highlight w:val="none"/>
              </w:rPr>
              <w:t>注册地址</w:t>
            </w:r>
          </w:p>
        </w:tc>
        <w:tc>
          <w:tcPr>
            <w:tcW w:w="4173" w:type="dxa"/>
            <w:gridSpan w:val="3"/>
            <w:noWrap w:val="0"/>
            <w:vAlign w:val="top"/>
          </w:tcPr>
          <w:p w14:paraId="3A2A671E">
            <w:pPr>
              <w:shd w:val="clear" w:color="auto" w:fill="auto"/>
              <w:rPr>
                <w:rFonts w:ascii="Arial"/>
                <w:color w:val="auto"/>
                <w:highlight w:val="none"/>
              </w:rPr>
            </w:pPr>
          </w:p>
        </w:tc>
        <w:tc>
          <w:tcPr>
            <w:tcW w:w="1271" w:type="dxa"/>
            <w:noWrap w:val="0"/>
            <w:vAlign w:val="top"/>
          </w:tcPr>
          <w:p w14:paraId="467E8333">
            <w:pPr>
              <w:pStyle w:val="16"/>
              <w:shd w:val="clear" w:color="auto" w:fill="auto"/>
              <w:spacing w:before="105" w:line="219" w:lineRule="auto"/>
              <w:ind w:left="133"/>
              <w:rPr>
                <w:color w:val="auto"/>
                <w:sz w:val="24"/>
                <w:szCs w:val="24"/>
                <w:highlight w:val="none"/>
              </w:rPr>
            </w:pPr>
            <w:r>
              <w:rPr>
                <w:color w:val="auto"/>
                <w:spacing w:val="-7"/>
                <w:sz w:val="24"/>
                <w:szCs w:val="24"/>
                <w:highlight w:val="none"/>
              </w:rPr>
              <w:t>邮政编码</w:t>
            </w:r>
          </w:p>
        </w:tc>
        <w:tc>
          <w:tcPr>
            <w:tcW w:w="1768" w:type="dxa"/>
            <w:gridSpan w:val="2"/>
            <w:noWrap w:val="0"/>
            <w:vAlign w:val="top"/>
          </w:tcPr>
          <w:p w14:paraId="567B4D94">
            <w:pPr>
              <w:shd w:val="clear" w:color="auto" w:fill="auto"/>
              <w:rPr>
                <w:rFonts w:ascii="Arial"/>
                <w:color w:val="auto"/>
                <w:highlight w:val="none"/>
              </w:rPr>
            </w:pPr>
          </w:p>
        </w:tc>
      </w:tr>
      <w:tr w14:paraId="3A84B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364" w:type="dxa"/>
            <w:noWrap w:val="0"/>
            <w:vAlign w:val="top"/>
          </w:tcPr>
          <w:p w14:paraId="70F575EC">
            <w:pPr>
              <w:pStyle w:val="16"/>
              <w:shd w:val="clear" w:color="auto" w:fill="auto"/>
              <w:spacing w:before="180" w:line="221" w:lineRule="auto"/>
              <w:ind w:left="330"/>
              <w:rPr>
                <w:color w:val="auto"/>
                <w:sz w:val="24"/>
                <w:szCs w:val="24"/>
                <w:highlight w:val="none"/>
              </w:rPr>
            </w:pPr>
            <w:r>
              <w:rPr>
                <w:color w:val="auto"/>
                <w:spacing w:val="-4"/>
                <w:sz w:val="24"/>
                <w:szCs w:val="24"/>
                <w:highlight w:val="none"/>
              </w:rPr>
              <w:t>联系人</w:t>
            </w:r>
          </w:p>
        </w:tc>
        <w:tc>
          <w:tcPr>
            <w:tcW w:w="4173" w:type="dxa"/>
            <w:gridSpan w:val="3"/>
            <w:noWrap w:val="0"/>
            <w:vAlign w:val="top"/>
          </w:tcPr>
          <w:p w14:paraId="04EBC244">
            <w:pPr>
              <w:shd w:val="clear" w:color="auto" w:fill="auto"/>
              <w:rPr>
                <w:rFonts w:ascii="Arial"/>
                <w:color w:val="auto"/>
                <w:highlight w:val="none"/>
              </w:rPr>
            </w:pPr>
          </w:p>
        </w:tc>
        <w:tc>
          <w:tcPr>
            <w:tcW w:w="1271" w:type="dxa"/>
            <w:noWrap w:val="0"/>
            <w:vAlign w:val="top"/>
          </w:tcPr>
          <w:p w14:paraId="2B7BC9EC">
            <w:pPr>
              <w:pStyle w:val="16"/>
              <w:shd w:val="clear" w:color="auto" w:fill="auto"/>
              <w:spacing w:before="180" w:line="221" w:lineRule="auto"/>
              <w:ind w:left="432"/>
              <w:rPr>
                <w:color w:val="auto"/>
                <w:sz w:val="24"/>
                <w:szCs w:val="24"/>
                <w:highlight w:val="none"/>
              </w:rPr>
            </w:pPr>
            <w:r>
              <w:rPr>
                <w:color w:val="auto"/>
                <w:spacing w:val="-19"/>
                <w:sz w:val="24"/>
                <w:szCs w:val="24"/>
                <w:highlight w:val="none"/>
              </w:rPr>
              <w:t>电话</w:t>
            </w:r>
          </w:p>
        </w:tc>
        <w:tc>
          <w:tcPr>
            <w:tcW w:w="1768" w:type="dxa"/>
            <w:gridSpan w:val="2"/>
            <w:noWrap w:val="0"/>
            <w:vAlign w:val="top"/>
          </w:tcPr>
          <w:p w14:paraId="45123B7E">
            <w:pPr>
              <w:shd w:val="clear" w:color="auto" w:fill="auto"/>
              <w:rPr>
                <w:rFonts w:ascii="Arial"/>
                <w:color w:val="auto"/>
                <w:highlight w:val="none"/>
              </w:rPr>
            </w:pPr>
          </w:p>
        </w:tc>
      </w:tr>
      <w:tr w14:paraId="314EE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364" w:type="dxa"/>
            <w:vMerge w:val="restart"/>
            <w:tcBorders>
              <w:bottom w:val="nil"/>
            </w:tcBorders>
            <w:noWrap w:val="0"/>
            <w:vAlign w:val="top"/>
          </w:tcPr>
          <w:p w14:paraId="694FFC18">
            <w:pPr>
              <w:shd w:val="clear" w:color="auto" w:fill="auto"/>
              <w:spacing w:line="252" w:lineRule="auto"/>
              <w:rPr>
                <w:rFonts w:ascii="Arial"/>
                <w:color w:val="auto"/>
                <w:highlight w:val="none"/>
              </w:rPr>
            </w:pPr>
          </w:p>
          <w:p w14:paraId="4ECF4422">
            <w:pPr>
              <w:shd w:val="clear" w:color="auto" w:fill="auto"/>
              <w:spacing w:line="252" w:lineRule="auto"/>
              <w:rPr>
                <w:rFonts w:ascii="Arial"/>
                <w:color w:val="auto"/>
                <w:highlight w:val="none"/>
              </w:rPr>
            </w:pPr>
          </w:p>
          <w:p w14:paraId="50E39423">
            <w:pPr>
              <w:shd w:val="clear" w:color="auto" w:fill="auto"/>
              <w:spacing w:line="253" w:lineRule="auto"/>
              <w:rPr>
                <w:rFonts w:ascii="Arial"/>
                <w:color w:val="auto"/>
                <w:highlight w:val="none"/>
              </w:rPr>
            </w:pPr>
          </w:p>
          <w:p w14:paraId="0BAB223C">
            <w:pPr>
              <w:pStyle w:val="16"/>
              <w:shd w:val="clear" w:color="auto" w:fill="auto"/>
              <w:spacing w:before="78" w:line="219" w:lineRule="auto"/>
              <w:ind w:left="212"/>
              <w:rPr>
                <w:color w:val="auto"/>
                <w:sz w:val="24"/>
                <w:szCs w:val="24"/>
                <w:highlight w:val="none"/>
              </w:rPr>
            </w:pPr>
            <w:r>
              <w:rPr>
                <w:color w:val="auto"/>
                <w:spacing w:val="-4"/>
                <w:sz w:val="24"/>
                <w:szCs w:val="24"/>
                <w:highlight w:val="none"/>
              </w:rPr>
              <w:t>投标责任</w:t>
            </w:r>
          </w:p>
          <w:p w14:paraId="7E0F8B27">
            <w:pPr>
              <w:pStyle w:val="16"/>
              <w:shd w:val="clear" w:color="auto" w:fill="auto"/>
              <w:spacing w:before="23" w:line="230" w:lineRule="auto"/>
              <w:ind w:left="328" w:right="107" w:hanging="210"/>
              <w:rPr>
                <w:color w:val="auto"/>
                <w:sz w:val="24"/>
                <w:szCs w:val="24"/>
                <w:highlight w:val="none"/>
              </w:rPr>
            </w:pPr>
            <w:r>
              <w:rPr>
                <w:color w:val="auto"/>
                <w:spacing w:val="-14"/>
                <w:sz w:val="24"/>
                <w:szCs w:val="24"/>
                <w:highlight w:val="none"/>
              </w:rPr>
              <w:t>人（法律责</w:t>
            </w:r>
            <w:r>
              <w:rPr>
                <w:color w:val="auto"/>
                <w:spacing w:val="2"/>
                <w:sz w:val="24"/>
                <w:szCs w:val="24"/>
                <w:highlight w:val="none"/>
              </w:rPr>
              <w:t xml:space="preserve"> </w:t>
            </w:r>
            <w:r>
              <w:rPr>
                <w:color w:val="auto"/>
                <w:spacing w:val="-3"/>
                <w:sz w:val="24"/>
                <w:szCs w:val="24"/>
                <w:highlight w:val="none"/>
              </w:rPr>
              <w:t>任人）</w:t>
            </w:r>
          </w:p>
        </w:tc>
        <w:tc>
          <w:tcPr>
            <w:tcW w:w="2385" w:type="dxa"/>
            <w:noWrap w:val="0"/>
            <w:vAlign w:val="top"/>
          </w:tcPr>
          <w:p w14:paraId="2E8D4598">
            <w:pPr>
              <w:pStyle w:val="16"/>
              <w:shd w:val="clear" w:color="auto" w:fill="auto"/>
              <w:spacing w:before="59" w:line="227" w:lineRule="auto"/>
              <w:ind w:left="150"/>
              <w:rPr>
                <w:color w:val="auto"/>
                <w:highlight w:val="none"/>
              </w:rPr>
            </w:pPr>
            <w:r>
              <w:rPr>
                <w:color w:val="auto"/>
                <w:spacing w:val="8"/>
                <w:highlight w:val="none"/>
              </w:rPr>
              <w:t>投标直接责任人员为本</w:t>
            </w:r>
          </w:p>
          <w:p w14:paraId="71C05A26">
            <w:pPr>
              <w:pStyle w:val="16"/>
              <w:shd w:val="clear" w:color="auto" w:fill="auto"/>
              <w:spacing w:before="80" w:line="228" w:lineRule="auto"/>
              <w:ind w:left="256"/>
              <w:rPr>
                <w:color w:val="auto"/>
                <w:highlight w:val="none"/>
              </w:rPr>
            </w:pPr>
            <w:r>
              <w:rPr>
                <w:color w:val="auto"/>
                <w:spacing w:val="8"/>
                <w:highlight w:val="none"/>
              </w:rPr>
              <w:t>次投标委托授权代表</w:t>
            </w:r>
          </w:p>
        </w:tc>
        <w:tc>
          <w:tcPr>
            <w:tcW w:w="1788" w:type="dxa"/>
            <w:gridSpan w:val="2"/>
            <w:noWrap w:val="0"/>
            <w:vAlign w:val="top"/>
          </w:tcPr>
          <w:p w14:paraId="0E578F2D">
            <w:pPr>
              <w:shd w:val="clear" w:color="auto" w:fill="auto"/>
              <w:rPr>
                <w:rFonts w:ascii="Arial"/>
                <w:color w:val="auto"/>
                <w:highlight w:val="none"/>
              </w:rPr>
            </w:pPr>
          </w:p>
        </w:tc>
        <w:tc>
          <w:tcPr>
            <w:tcW w:w="1271" w:type="dxa"/>
            <w:noWrap w:val="0"/>
            <w:vAlign w:val="top"/>
          </w:tcPr>
          <w:p w14:paraId="5344497D">
            <w:pPr>
              <w:pStyle w:val="16"/>
              <w:shd w:val="clear" w:color="auto" w:fill="auto"/>
              <w:spacing w:before="208" w:line="221" w:lineRule="auto"/>
              <w:ind w:left="432"/>
              <w:rPr>
                <w:color w:val="auto"/>
                <w:sz w:val="24"/>
                <w:szCs w:val="24"/>
                <w:highlight w:val="none"/>
              </w:rPr>
            </w:pPr>
            <w:r>
              <w:rPr>
                <w:color w:val="auto"/>
                <w:spacing w:val="-19"/>
                <w:sz w:val="24"/>
                <w:szCs w:val="24"/>
                <w:highlight w:val="none"/>
              </w:rPr>
              <w:t>电话</w:t>
            </w:r>
          </w:p>
        </w:tc>
        <w:tc>
          <w:tcPr>
            <w:tcW w:w="1768" w:type="dxa"/>
            <w:gridSpan w:val="2"/>
            <w:noWrap w:val="0"/>
            <w:vAlign w:val="top"/>
          </w:tcPr>
          <w:p w14:paraId="292E14C0">
            <w:pPr>
              <w:shd w:val="clear" w:color="auto" w:fill="auto"/>
              <w:rPr>
                <w:rFonts w:ascii="Arial"/>
                <w:color w:val="auto"/>
                <w:highlight w:val="none"/>
              </w:rPr>
            </w:pPr>
          </w:p>
        </w:tc>
      </w:tr>
      <w:tr w14:paraId="1A67E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364" w:type="dxa"/>
            <w:vMerge w:val="continue"/>
            <w:tcBorders>
              <w:top w:val="nil"/>
              <w:bottom w:val="nil"/>
            </w:tcBorders>
            <w:noWrap w:val="0"/>
            <w:vAlign w:val="top"/>
          </w:tcPr>
          <w:p w14:paraId="5E1A1FB0">
            <w:pPr>
              <w:shd w:val="clear" w:color="auto" w:fill="auto"/>
              <w:rPr>
                <w:rFonts w:ascii="Arial"/>
                <w:color w:val="auto"/>
                <w:highlight w:val="none"/>
              </w:rPr>
            </w:pPr>
          </w:p>
        </w:tc>
        <w:tc>
          <w:tcPr>
            <w:tcW w:w="2385" w:type="dxa"/>
            <w:noWrap w:val="0"/>
            <w:vAlign w:val="top"/>
          </w:tcPr>
          <w:p w14:paraId="77AA5E5A">
            <w:pPr>
              <w:pStyle w:val="16"/>
              <w:shd w:val="clear" w:color="auto" w:fill="auto"/>
              <w:spacing w:before="194" w:line="228" w:lineRule="auto"/>
              <w:ind w:left="782"/>
              <w:rPr>
                <w:color w:val="auto"/>
                <w:highlight w:val="none"/>
              </w:rPr>
            </w:pPr>
            <w:r>
              <w:rPr>
                <w:color w:val="auto"/>
                <w:spacing w:val="5"/>
                <w:highlight w:val="none"/>
              </w:rPr>
              <w:t>身份证号</w:t>
            </w:r>
          </w:p>
        </w:tc>
        <w:tc>
          <w:tcPr>
            <w:tcW w:w="1788" w:type="dxa"/>
            <w:gridSpan w:val="2"/>
            <w:noWrap w:val="0"/>
            <w:vAlign w:val="top"/>
          </w:tcPr>
          <w:p w14:paraId="1A63D6DF">
            <w:pPr>
              <w:shd w:val="clear" w:color="auto" w:fill="auto"/>
              <w:rPr>
                <w:rFonts w:ascii="Arial"/>
                <w:color w:val="auto"/>
                <w:highlight w:val="none"/>
              </w:rPr>
            </w:pPr>
          </w:p>
        </w:tc>
        <w:tc>
          <w:tcPr>
            <w:tcW w:w="1271" w:type="dxa"/>
            <w:noWrap w:val="0"/>
            <w:vAlign w:val="top"/>
          </w:tcPr>
          <w:p w14:paraId="3B240F04">
            <w:pPr>
              <w:pStyle w:val="16"/>
              <w:shd w:val="clear" w:color="auto" w:fill="auto"/>
              <w:spacing w:before="179" w:line="221" w:lineRule="auto"/>
              <w:ind w:left="403"/>
              <w:rPr>
                <w:color w:val="auto"/>
                <w:sz w:val="24"/>
                <w:szCs w:val="24"/>
                <w:highlight w:val="none"/>
              </w:rPr>
            </w:pPr>
            <w:r>
              <w:rPr>
                <w:color w:val="auto"/>
                <w:spacing w:val="-5"/>
                <w:sz w:val="24"/>
                <w:szCs w:val="24"/>
                <w:highlight w:val="none"/>
              </w:rPr>
              <w:t>住址</w:t>
            </w:r>
          </w:p>
        </w:tc>
        <w:tc>
          <w:tcPr>
            <w:tcW w:w="1768" w:type="dxa"/>
            <w:gridSpan w:val="2"/>
            <w:noWrap w:val="0"/>
            <w:vAlign w:val="top"/>
          </w:tcPr>
          <w:p w14:paraId="4A377A3A">
            <w:pPr>
              <w:shd w:val="clear" w:color="auto" w:fill="auto"/>
              <w:rPr>
                <w:rFonts w:ascii="Arial"/>
                <w:color w:val="auto"/>
                <w:highlight w:val="none"/>
              </w:rPr>
            </w:pPr>
          </w:p>
        </w:tc>
      </w:tr>
      <w:tr w14:paraId="5F559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1364" w:type="dxa"/>
            <w:vMerge w:val="continue"/>
            <w:tcBorders>
              <w:top w:val="nil"/>
              <w:bottom w:val="nil"/>
            </w:tcBorders>
            <w:noWrap w:val="0"/>
            <w:vAlign w:val="top"/>
          </w:tcPr>
          <w:p w14:paraId="5D6824B3">
            <w:pPr>
              <w:shd w:val="clear" w:color="auto" w:fill="auto"/>
              <w:rPr>
                <w:rFonts w:ascii="Arial"/>
                <w:color w:val="auto"/>
                <w:highlight w:val="none"/>
              </w:rPr>
            </w:pPr>
          </w:p>
        </w:tc>
        <w:tc>
          <w:tcPr>
            <w:tcW w:w="2385" w:type="dxa"/>
            <w:noWrap w:val="0"/>
            <w:vAlign w:val="top"/>
          </w:tcPr>
          <w:p w14:paraId="4CBC7596">
            <w:pPr>
              <w:pStyle w:val="16"/>
              <w:shd w:val="clear" w:color="auto" w:fill="auto"/>
              <w:spacing w:before="61" w:line="264" w:lineRule="auto"/>
              <w:ind w:left="881" w:right="142" w:hanging="731"/>
              <w:rPr>
                <w:color w:val="auto"/>
                <w:highlight w:val="none"/>
              </w:rPr>
            </w:pPr>
            <w:r>
              <w:rPr>
                <w:color w:val="auto"/>
                <w:spacing w:val="8"/>
                <w:highlight w:val="none"/>
              </w:rPr>
              <w:t>投标的主管人员为法定</w:t>
            </w:r>
            <w:r>
              <w:rPr>
                <w:color w:val="auto"/>
                <w:spacing w:val="6"/>
                <w:highlight w:val="none"/>
              </w:rPr>
              <w:t xml:space="preserve"> </w:t>
            </w:r>
            <w:r>
              <w:rPr>
                <w:color w:val="auto"/>
                <w:spacing w:val="7"/>
                <w:highlight w:val="none"/>
              </w:rPr>
              <w:t>代表人</w:t>
            </w:r>
          </w:p>
        </w:tc>
        <w:tc>
          <w:tcPr>
            <w:tcW w:w="1788" w:type="dxa"/>
            <w:gridSpan w:val="2"/>
            <w:noWrap w:val="0"/>
            <w:vAlign w:val="top"/>
          </w:tcPr>
          <w:p w14:paraId="641C62B5">
            <w:pPr>
              <w:shd w:val="clear" w:color="auto" w:fill="auto"/>
              <w:rPr>
                <w:rFonts w:ascii="Arial"/>
                <w:color w:val="auto"/>
                <w:highlight w:val="none"/>
              </w:rPr>
            </w:pPr>
          </w:p>
        </w:tc>
        <w:tc>
          <w:tcPr>
            <w:tcW w:w="1271" w:type="dxa"/>
            <w:noWrap w:val="0"/>
            <w:vAlign w:val="top"/>
          </w:tcPr>
          <w:p w14:paraId="5D10C359">
            <w:pPr>
              <w:pStyle w:val="16"/>
              <w:shd w:val="clear" w:color="auto" w:fill="auto"/>
              <w:spacing w:before="209" w:line="221" w:lineRule="auto"/>
              <w:ind w:left="432"/>
              <w:rPr>
                <w:color w:val="auto"/>
                <w:sz w:val="24"/>
                <w:szCs w:val="24"/>
                <w:highlight w:val="none"/>
              </w:rPr>
            </w:pPr>
            <w:r>
              <w:rPr>
                <w:color w:val="auto"/>
                <w:spacing w:val="-19"/>
                <w:sz w:val="24"/>
                <w:szCs w:val="24"/>
                <w:highlight w:val="none"/>
              </w:rPr>
              <w:t>电话</w:t>
            </w:r>
          </w:p>
        </w:tc>
        <w:tc>
          <w:tcPr>
            <w:tcW w:w="1768" w:type="dxa"/>
            <w:gridSpan w:val="2"/>
            <w:noWrap w:val="0"/>
            <w:vAlign w:val="top"/>
          </w:tcPr>
          <w:p w14:paraId="27C33DF3">
            <w:pPr>
              <w:shd w:val="clear" w:color="auto" w:fill="auto"/>
              <w:rPr>
                <w:rFonts w:ascii="Arial"/>
                <w:color w:val="auto"/>
                <w:highlight w:val="none"/>
              </w:rPr>
            </w:pPr>
          </w:p>
        </w:tc>
      </w:tr>
      <w:tr w14:paraId="28808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364" w:type="dxa"/>
            <w:vMerge w:val="continue"/>
            <w:tcBorders>
              <w:top w:val="nil"/>
            </w:tcBorders>
            <w:noWrap w:val="0"/>
            <w:vAlign w:val="top"/>
          </w:tcPr>
          <w:p w14:paraId="7B85384D">
            <w:pPr>
              <w:shd w:val="clear" w:color="auto" w:fill="auto"/>
              <w:rPr>
                <w:rFonts w:ascii="Arial"/>
                <w:color w:val="auto"/>
                <w:highlight w:val="none"/>
              </w:rPr>
            </w:pPr>
          </w:p>
        </w:tc>
        <w:tc>
          <w:tcPr>
            <w:tcW w:w="2385" w:type="dxa"/>
            <w:noWrap w:val="0"/>
            <w:vAlign w:val="top"/>
          </w:tcPr>
          <w:p w14:paraId="7F8E87F0">
            <w:pPr>
              <w:pStyle w:val="16"/>
              <w:shd w:val="clear" w:color="auto" w:fill="auto"/>
              <w:spacing w:before="195" w:line="228" w:lineRule="auto"/>
              <w:ind w:left="782"/>
              <w:rPr>
                <w:color w:val="auto"/>
                <w:highlight w:val="none"/>
              </w:rPr>
            </w:pPr>
            <w:r>
              <w:rPr>
                <w:color w:val="auto"/>
                <w:spacing w:val="5"/>
                <w:highlight w:val="none"/>
              </w:rPr>
              <w:t>身份证号</w:t>
            </w:r>
          </w:p>
        </w:tc>
        <w:tc>
          <w:tcPr>
            <w:tcW w:w="1788" w:type="dxa"/>
            <w:gridSpan w:val="2"/>
            <w:noWrap w:val="0"/>
            <w:vAlign w:val="top"/>
          </w:tcPr>
          <w:p w14:paraId="6A3A113E">
            <w:pPr>
              <w:shd w:val="clear" w:color="auto" w:fill="auto"/>
              <w:rPr>
                <w:rFonts w:ascii="Arial"/>
                <w:color w:val="auto"/>
                <w:highlight w:val="none"/>
              </w:rPr>
            </w:pPr>
          </w:p>
        </w:tc>
        <w:tc>
          <w:tcPr>
            <w:tcW w:w="1271" w:type="dxa"/>
            <w:noWrap w:val="0"/>
            <w:vAlign w:val="top"/>
          </w:tcPr>
          <w:p w14:paraId="14DCE77F">
            <w:pPr>
              <w:pStyle w:val="16"/>
              <w:shd w:val="clear" w:color="auto" w:fill="auto"/>
              <w:spacing w:before="181" w:line="221" w:lineRule="auto"/>
              <w:ind w:left="403"/>
              <w:rPr>
                <w:color w:val="auto"/>
                <w:sz w:val="24"/>
                <w:szCs w:val="24"/>
                <w:highlight w:val="none"/>
              </w:rPr>
            </w:pPr>
            <w:r>
              <w:rPr>
                <w:color w:val="auto"/>
                <w:spacing w:val="-5"/>
                <w:sz w:val="24"/>
                <w:szCs w:val="24"/>
                <w:highlight w:val="none"/>
              </w:rPr>
              <w:t>住址</w:t>
            </w:r>
          </w:p>
        </w:tc>
        <w:tc>
          <w:tcPr>
            <w:tcW w:w="1768" w:type="dxa"/>
            <w:gridSpan w:val="2"/>
            <w:noWrap w:val="0"/>
            <w:vAlign w:val="top"/>
          </w:tcPr>
          <w:p w14:paraId="16E595D8">
            <w:pPr>
              <w:shd w:val="clear" w:color="auto" w:fill="auto"/>
              <w:rPr>
                <w:rFonts w:ascii="Arial"/>
                <w:color w:val="auto"/>
                <w:highlight w:val="none"/>
              </w:rPr>
            </w:pPr>
          </w:p>
        </w:tc>
      </w:tr>
      <w:tr w14:paraId="33E4C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364" w:type="dxa"/>
            <w:noWrap w:val="0"/>
            <w:vAlign w:val="top"/>
          </w:tcPr>
          <w:p w14:paraId="6E3EDA13">
            <w:pPr>
              <w:pStyle w:val="16"/>
              <w:shd w:val="clear" w:color="auto" w:fill="auto"/>
              <w:spacing w:before="188" w:line="220" w:lineRule="auto"/>
              <w:ind w:left="119"/>
              <w:rPr>
                <w:color w:val="auto"/>
                <w:sz w:val="24"/>
                <w:szCs w:val="24"/>
                <w:highlight w:val="none"/>
              </w:rPr>
            </w:pPr>
            <w:r>
              <w:rPr>
                <w:color w:val="auto"/>
                <w:spacing w:val="-4"/>
                <w:sz w:val="24"/>
                <w:szCs w:val="24"/>
                <w:highlight w:val="none"/>
              </w:rPr>
              <w:t>组织结构</w:t>
            </w:r>
          </w:p>
        </w:tc>
        <w:tc>
          <w:tcPr>
            <w:tcW w:w="7212" w:type="dxa"/>
            <w:gridSpan w:val="6"/>
            <w:noWrap w:val="0"/>
            <w:vAlign w:val="top"/>
          </w:tcPr>
          <w:p w14:paraId="0A858EB1">
            <w:pPr>
              <w:shd w:val="clear" w:color="auto" w:fill="auto"/>
              <w:rPr>
                <w:rFonts w:ascii="Arial"/>
                <w:color w:val="auto"/>
                <w:highlight w:val="none"/>
              </w:rPr>
            </w:pPr>
          </w:p>
        </w:tc>
      </w:tr>
      <w:tr w14:paraId="18A78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364" w:type="dxa"/>
            <w:noWrap w:val="0"/>
            <w:vAlign w:val="top"/>
          </w:tcPr>
          <w:p w14:paraId="322D87DD">
            <w:pPr>
              <w:pStyle w:val="16"/>
              <w:shd w:val="clear" w:color="auto" w:fill="auto"/>
              <w:spacing w:before="45" w:line="326" w:lineRule="exact"/>
              <w:ind w:left="117"/>
              <w:rPr>
                <w:color w:val="auto"/>
                <w:sz w:val="24"/>
                <w:szCs w:val="24"/>
                <w:highlight w:val="none"/>
              </w:rPr>
            </w:pPr>
            <w:r>
              <w:rPr>
                <w:color w:val="auto"/>
                <w:spacing w:val="-3"/>
                <w:position w:val="5"/>
                <w:sz w:val="24"/>
                <w:szCs w:val="24"/>
                <w:highlight w:val="none"/>
              </w:rPr>
              <w:t>法定代表</w:t>
            </w:r>
          </w:p>
          <w:p w14:paraId="53471C81">
            <w:pPr>
              <w:pStyle w:val="16"/>
              <w:shd w:val="clear" w:color="auto" w:fill="auto"/>
              <w:spacing w:line="213" w:lineRule="auto"/>
              <w:ind w:left="118"/>
              <w:rPr>
                <w:color w:val="auto"/>
                <w:sz w:val="24"/>
                <w:szCs w:val="24"/>
                <w:highlight w:val="none"/>
              </w:rPr>
            </w:pPr>
            <w:r>
              <w:rPr>
                <w:color w:val="auto"/>
                <w:spacing w:val="-4"/>
                <w:sz w:val="24"/>
                <w:szCs w:val="24"/>
                <w:highlight w:val="none"/>
              </w:rPr>
              <w:t>人姓名</w:t>
            </w:r>
          </w:p>
        </w:tc>
        <w:tc>
          <w:tcPr>
            <w:tcW w:w="2837" w:type="dxa"/>
            <w:gridSpan w:val="2"/>
            <w:noWrap w:val="0"/>
            <w:vAlign w:val="top"/>
          </w:tcPr>
          <w:p w14:paraId="6A5D8960">
            <w:pPr>
              <w:shd w:val="clear" w:color="auto" w:fill="auto"/>
              <w:rPr>
                <w:rFonts w:ascii="Arial"/>
                <w:color w:val="auto"/>
                <w:highlight w:val="none"/>
              </w:rPr>
            </w:pPr>
          </w:p>
        </w:tc>
        <w:tc>
          <w:tcPr>
            <w:tcW w:w="1336" w:type="dxa"/>
            <w:noWrap w:val="0"/>
            <w:vAlign w:val="top"/>
          </w:tcPr>
          <w:p w14:paraId="0F8B5FB4">
            <w:pPr>
              <w:pStyle w:val="16"/>
              <w:shd w:val="clear" w:color="auto" w:fill="auto"/>
              <w:spacing w:before="209" w:line="219" w:lineRule="auto"/>
              <w:ind w:left="116"/>
              <w:rPr>
                <w:color w:val="auto"/>
                <w:sz w:val="24"/>
                <w:szCs w:val="24"/>
                <w:highlight w:val="none"/>
              </w:rPr>
            </w:pPr>
            <w:r>
              <w:rPr>
                <w:color w:val="auto"/>
                <w:spacing w:val="-3"/>
                <w:sz w:val="24"/>
                <w:szCs w:val="24"/>
                <w:highlight w:val="none"/>
              </w:rPr>
              <w:t>技术职称</w:t>
            </w:r>
          </w:p>
        </w:tc>
        <w:tc>
          <w:tcPr>
            <w:tcW w:w="1271" w:type="dxa"/>
            <w:noWrap w:val="0"/>
            <w:vAlign w:val="top"/>
          </w:tcPr>
          <w:p w14:paraId="63409DA7">
            <w:pPr>
              <w:shd w:val="clear" w:color="auto" w:fill="auto"/>
              <w:rPr>
                <w:rFonts w:ascii="Arial"/>
                <w:color w:val="auto"/>
                <w:highlight w:val="none"/>
              </w:rPr>
            </w:pPr>
          </w:p>
        </w:tc>
        <w:tc>
          <w:tcPr>
            <w:tcW w:w="1037" w:type="dxa"/>
            <w:noWrap w:val="0"/>
            <w:vAlign w:val="top"/>
          </w:tcPr>
          <w:p w14:paraId="73A60EC1">
            <w:pPr>
              <w:pStyle w:val="16"/>
              <w:shd w:val="clear" w:color="auto" w:fill="auto"/>
              <w:spacing w:before="209" w:line="221" w:lineRule="auto"/>
              <w:ind w:left="145"/>
              <w:rPr>
                <w:color w:val="auto"/>
                <w:sz w:val="24"/>
                <w:szCs w:val="24"/>
                <w:highlight w:val="none"/>
              </w:rPr>
            </w:pPr>
            <w:r>
              <w:rPr>
                <w:color w:val="auto"/>
                <w:spacing w:val="-19"/>
                <w:sz w:val="24"/>
                <w:szCs w:val="24"/>
                <w:highlight w:val="none"/>
              </w:rPr>
              <w:t>电话</w:t>
            </w:r>
          </w:p>
        </w:tc>
        <w:tc>
          <w:tcPr>
            <w:tcW w:w="731" w:type="dxa"/>
            <w:noWrap w:val="0"/>
            <w:vAlign w:val="top"/>
          </w:tcPr>
          <w:p w14:paraId="5645EF51">
            <w:pPr>
              <w:shd w:val="clear" w:color="auto" w:fill="auto"/>
              <w:rPr>
                <w:rFonts w:ascii="Arial"/>
                <w:color w:val="auto"/>
                <w:highlight w:val="none"/>
              </w:rPr>
            </w:pPr>
          </w:p>
        </w:tc>
      </w:tr>
      <w:tr w14:paraId="14316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364" w:type="dxa"/>
            <w:noWrap w:val="0"/>
            <w:vAlign w:val="top"/>
          </w:tcPr>
          <w:p w14:paraId="5714CD8E">
            <w:pPr>
              <w:pStyle w:val="16"/>
              <w:shd w:val="clear" w:color="auto" w:fill="auto"/>
              <w:spacing w:before="46" w:line="326" w:lineRule="exact"/>
              <w:ind w:left="117"/>
              <w:rPr>
                <w:color w:val="auto"/>
                <w:sz w:val="24"/>
                <w:szCs w:val="24"/>
                <w:highlight w:val="none"/>
              </w:rPr>
            </w:pPr>
            <w:r>
              <w:rPr>
                <w:color w:val="auto"/>
                <w:spacing w:val="-3"/>
                <w:position w:val="6"/>
                <w:sz w:val="24"/>
                <w:szCs w:val="24"/>
                <w:highlight w:val="none"/>
              </w:rPr>
              <w:t>技术负责</w:t>
            </w:r>
          </w:p>
          <w:p w14:paraId="554B3E2F">
            <w:pPr>
              <w:pStyle w:val="16"/>
              <w:shd w:val="clear" w:color="auto" w:fill="auto"/>
              <w:spacing w:line="212" w:lineRule="auto"/>
              <w:ind w:left="118"/>
              <w:rPr>
                <w:color w:val="auto"/>
                <w:sz w:val="24"/>
                <w:szCs w:val="24"/>
                <w:highlight w:val="none"/>
              </w:rPr>
            </w:pPr>
            <w:r>
              <w:rPr>
                <w:color w:val="auto"/>
                <w:spacing w:val="-4"/>
                <w:sz w:val="24"/>
                <w:szCs w:val="24"/>
                <w:highlight w:val="none"/>
              </w:rPr>
              <w:t>人姓名</w:t>
            </w:r>
          </w:p>
        </w:tc>
        <w:tc>
          <w:tcPr>
            <w:tcW w:w="2837" w:type="dxa"/>
            <w:gridSpan w:val="2"/>
            <w:noWrap w:val="0"/>
            <w:vAlign w:val="top"/>
          </w:tcPr>
          <w:p w14:paraId="38EA1500">
            <w:pPr>
              <w:shd w:val="clear" w:color="auto" w:fill="auto"/>
              <w:rPr>
                <w:rFonts w:ascii="Arial"/>
                <w:color w:val="auto"/>
                <w:highlight w:val="none"/>
              </w:rPr>
            </w:pPr>
          </w:p>
        </w:tc>
        <w:tc>
          <w:tcPr>
            <w:tcW w:w="1336" w:type="dxa"/>
            <w:noWrap w:val="0"/>
            <w:vAlign w:val="top"/>
          </w:tcPr>
          <w:p w14:paraId="0759E986">
            <w:pPr>
              <w:pStyle w:val="16"/>
              <w:shd w:val="clear" w:color="auto" w:fill="auto"/>
              <w:spacing w:before="209" w:line="219" w:lineRule="auto"/>
              <w:ind w:left="116"/>
              <w:rPr>
                <w:color w:val="auto"/>
                <w:sz w:val="24"/>
                <w:szCs w:val="24"/>
                <w:highlight w:val="none"/>
              </w:rPr>
            </w:pPr>
            <w:r>
              <w:rPr>
                <w:color w:val="auto"/>
                <w:spacing w:val="-3"/>
                <w:sz w:val="24"/>
                <w:szCs w:val="24"/>
                <w:highlight w:val="none"/>
              </w:rPr>
              <w:t>技术职称</w:t>
            </w:r>
          </w:p>
        </w:tc>
        <w:tc>
          <w:tcPr>
            <w:tcW w:w="1271" w:type="dxa"/>
            <w:noWrap w:val="0"/>
            <w:vAlign w:val="top"/>
          </w:tcPr>
          <w:p w14:paraId="2C50E38D">
            <w:pPr>
              <w:shd w:val="clear" w:color="auto" w:fill="auto"/>
              <w:rPr>
                <w:rFonts w:ascii="Arial"/>
                <w:color w:val="auto"/>
                <w:highlight w:val="none"/>
              </w:rPr>
            </w:pPr>
          </w:p>
        </w:tc>
        <w:tc>
          <w:tcPr>
            <w:tcW w:w="1037" w:type="dxa"/>
            <w:noWrap w:val="0"/>
            <w:vAlign w:val="top"/>
          </w:tcPr>
          <w:p w14:paraId="7442D7CC">
            <w:pPr>
              <w:pStyle w:val="16"/>
              <w:shd w:val="clear" w:color="auto" w:fill="auto"/>
              <w:spacing w:before="210" w:line="221" w:lineRule="auto"/>
              <w:ind w:left="145"/>
              <w:rPr>
                <w:color w:val="auto"/>
                <w:sz w:val="24"/>
                <w:szCs w:val="24"/>
                <w:highlight w:val="none"/>
              </w:rPr>
            </w:pPr>
            <w:r>
              <w:rPr>
                <w:color w:val="auto"/>
                <w:spacing w:val="-19"/>
                <w:sz w:val="24"/>
                <w:szCs w:val="24"/>
                <w:highlight w:val="none"/>
              </w:rPr>
              <w:t>电话</w:t>
            </w:r>
          </w:p>
        </w:tc>
        <w:tc>
          <w:tcPr>
            <w:tcW w:w="731" w:type="dxa"/>
            <w:noWrap w:val="0"/>
            <w:vAlign w:val="top"/>
          </w:tcPr>
          <w:p w14:paraId="767339DA">
            <w:pPr>
              <w:shd w:val="clear" w:color="auto" w:fill="auto"/>
              <w:rPr>
                <w:rFonts w:ascii="Arial"/>
                <w:color w:val="auto"/>
                <w:highlight w:val="none"/>
              </w:rPr>
            </w:pPr>
          </w:p>
        </w:tc>
      </w:tr>
      <w:tr w14:paraId="59613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364" w:type="dxa"/>
            <w:noWrap w:val="0"/>
            <w:vAlign w:val="top"/>
          </w:tcPr>
          <w:p w14:paraId="1DD6FF1F">
            <w:pPr>
              <w:pStyle w:val="16"/>
              <w:shd w:val="clear" w:color="auto" w:fill="auto"/>
              <w:spacing w:before="188" w:line="221" w:lineRule="auto"/>
              <w:ind w:left="118"/>
              <w:rPr>
                <w:color w:val="auto"/>
                <w:sz w:val="24"/>
                <w:szCs w:val="24"/>
                <w:highlight w:val="none"/>
              </w:rPr>
            </w:pPr>
            <w:r>
              <w:rPr>
                <w:color w:val="auto"/>
                <w:spacing w:val="-3"/>
                <w:sz w:val="24"/>
                <w:szCs w:val="24"/>
                <w:highlight w:val="none"/>
              </w:rPr>
              <w:t>成立时间</w:t>
            </w:r>
          </w:p>
        </w:tc>
        <w:tc>
          <w:tcPr>
            <w:tcW w:w="2837" w:type="dxa"/>
            <w:gridSpan w:val="2"/>
            <w:noWrap w:val="0"/>
            <w:vAlign w:val="top"/>
          </w:tcPr>
          <w:p w14:paraId="020933EA">
            <w:pPr>
              <w:shd w:val="clear" w:color="auto" w:fill="auto"/>
              <w:rPr>
                <w:rFonts w:ascii="Arial"/>
                <w:color w:val="auto"/>
                <w:highlight w:val="none"/>
              </w:rPr>
            </w:pPr>
          </w:p>
        </w:tc>
        <w:tc>
          <w:tcPr>
            <w:tcW w:w="4375" w:type="dxa"/>
            <w:gridSpan w:val="4"/>
            <w:noWrap w:val="0"/>
            <w:vAlign w:val="top"/>
          </w:tcPr>
          <w:p w14:paraId="0DAE60E7">
            <w:pPr>
              <w:pStyle w:val="16"/>
              <w:shd w:val="clear" w:color="auto" w:fill="auto"/>
              <w:spacing w:before="189" w:line="219" w:lineRule="auto"/>
              <w:ind w:left="124"/>
              <w:rPr>
                <w:color w:val="auto"/>
                <w:sz w:val="24"/>
                <w:szCs w:val="24"/>
                <w:highlight w:val="none"/>
              </w:rPr>
            </w:pPr>
            <w:r>
              <w:rPr>
                <w:color w:val="auto"/>
                <w:spacing w:val="-4"/>
                <w:sz w:val="24"/>
                <w:szCs w:val="24"/>
                <w:highlight w:val="none"/>
              </w:rPr>
              <w:t>员工总人数：</w:t>
            </w:r>
          </w:p>
        </w:tc>
      </w:tr>
      <w:tr w14:paraId="35C11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1364" w:type="dxa"/>
            <w:noWrap w:val="0"/>
            <w:vAlign w:val="top"/>
          </w:tcPr>
          <w:p w14:paraId="4C2A9526">
            <w:pPr>
              <w:pStyle w:val="16"/>
              <w:shd w:val="clear" w:color="auto" w:fill="auto"/>
              <w:spacing w:before="79" w:line="326" w:lineRule="exact"/>
              <w:ind w:left="120"/>
              <w:rPr>
                <w:color w:val="auto"/>
                <w:sz w:val="24"/>
                <w:szCs w:val="24"/>
                <w:highlight w:val="none"/>
              </w:rPr>
            </w:pPr>
            <w:r>
              <w:rPr>
                <w:color w:val="auto"/>
                <w:spacing w:val="-4"/>
                <w:position w:val="5"/>
                <w:sz w:val="24"/>
                <w:szCs w:val="24"/>
                <w:highlight w:val="none"/>
              </w:rPr>
              <w:t>企业资质</w:t>
            </w:r>
          </w:p>
          <w:p w14:paraId="003F1B7F">
            <w:pPr>
              <w:pStyle w:val="16"/>
              <w:shd w:val="clear" w:color="auto" w:fill="auto"/>
              <w:spacing w:line="219" w:lineRule="auto"/>
              <w:ind w:left="118"/>
              <w:rPr>
                <w:color w:val="auto"/>
                <w:sz w:val="24"/>
                <w:szCs w:val="24"/>
                <w:highlight w:val="none"/>
              </w:rPr>
            </w:pPr>
            <w:r>
              <w:rPr>
                <w:color w:val="auto"/>
                <w:spacing w:val="-6"/>
                <w:sz w:val="24"/>
                <w:szCs w:val="24"/>
                <w:highlight w:val="none"/>
              </w:rPr>
              <w:t>等级</w:t>
            </w:r>
          </w:p>
        </w:tc>
        <w:tc>
          <w:tcPr>
            <w:tcW w:w="2837" w:type="dxa"/>
            <w:gridSpan w:val="2"/>
            <w:noWrap w:val="0"/>
            <w:vAlign w:val="top"/>
          </w:tcPr>
          <w:p w14:paraId="7D6DCCD3">
            <w:pPr>
              <w:shd w:val="clear" w:color="auto" w:fill="auto"/>
              <w:rPr>
                <w:rFonts w:ascii="Arial"/>
                <w:color w:val="auto"/>
                <w:highlight w:val="none"/>
              </w:rPr>
            </w:pPr>
          </w:p>
        </w:tc>
        <w:tc>
          <w:tcPr>
            <w:tcW w:w="1336" w:type="dxa"/>
            <w:vMerge w:val="restart"/>
            <w:tcBorders>
              <w:bottom w:val="nil"/>
            </w:tcBorders>
            <w:noWrap w:val="0"/>
            <w:vAlign w:val="top"/>
          </w:tcPr>
          <w:p w14:paraId="47FF1B5F">
            <w:pPr>
              <w:shd w:val="clear" w:color="auto" w:fill="auto"/>
              <w:spacing w:line="261" w:lineRule="auto"/>
              <w:rPr>
                <w:rFonts w:ascii="Arial"/>
                <w:color w:val="auto"/>
                <w:highlight w:val="none"/>
              </w:rPr>
            </w:pPr>
          </w:p>
          <w:p w14:paraId="7378AB62">
            <w:pPr>
              <w:shd w:val="clear" w:color="auto" w:fill="auto"/>
              <w:spacing w:line="261" w:lineRule="auto"/>
              <w:rPr>
                <w:rFonts w:ascii="Arial"/>
                <w:color w:val="auto"/>
                <w:highlight w:val="none"/>
              </w:rPr>
            </w:pPr>
          </w:p>
          <w:p w14:paraId="19C9188F">
            <w:pPr>
              <w:shd w:val="clear" w:color="auto" w:fill="auto"/>
              <w:spacing w:line="262" w:lineRule="auto"/>
              <w:rPr>
                <w:rFonts w:ascii="Arial"/>
                <w:color w:val="auto"/>
                <w:highlight w:val="none"/>
              </w:rPr>
            </w:pPr>
          </w:p>
          <w:p w14:paraId="14D1E45A">
            <w:pPr>
              <w:shd w:val="clear" w:color="auto" w:fill="auto"/>
              <w:spacing w:line="262" w:lineRule="auto"/>
              <w:rPr>
                <w:rFonts w:ascii="Arial"/>
                <w:color w:val="auto"/>
                <w:highlight w:val="none"/>
              </w:rPr>
            </w:pPr>
          </w:p>
          <w:p w14:paraId="0D4663F6">
            <w:pPr>
              <w:shd w:val="clear" w:color="auto" w:fill="auto"/>
              <w:spacing w:line="262" w:lineRule="auto"/>
              <w:rPr>
                <w:rFonts w:ascii="Arial"/>
                <w:color w:val="auto"/>
                <w:highlight w:val="none"/>
              </w:rPr>
            </w:pPr>
          </w:p>
          <w:p w14:paraId="3398739B">
            <w:pPr>
              <w:shd w:val="clear" w:color="auto" w:fill="auto"/>
              <w:spacing w:line="262" w:lineRule="auto"/>
              <w:rPr>
                <w:rFonts w:ascii="Arial"/>
                <w:color w:val="auto"/>
                <w:highlight w:val="none"/>
              </w:rPr>
            </w:pPr>
          </w:p>
          <w:p w14:paraId="1D2F714D">
            <w:pPr>
              <w:pStyle w:val="16"/>
              <w:shd w:val="clear" w:color="auto" w:fill="auto"/>
              <w:spacing w:before="78" w:line="220" w:lineRule="auto"/>
              <w:ind w:left="116"/>
              <w:rPr>
                <w:color w:val="auto"/>
                <w:sz w:val="24"/>
                <w:szCs w:val="24"/>
                <w:highlight w:val="none"/>
              </w:rPr>
            </w:pPr>
            <w:r>
              <w:rPr>
                <w:color w:val="auto"/>
                <w:spacing w:val="-6"/>
                <w:sz w:val="24"/>
                <w:szCs w:val="24"/>
                <w:highlight w:val="none"/>
              </w:rPr>
              <w:t>其中</w:t>
            </w:r>
          </w:p>
        </w:tc>
        <w:tc>
          <w:tcPr>
            <w:tcW w:w="1271" w:type="dxa"/>
            <w:noWrap w:val="0"/>
            <w:vAlign w:val="top"/>
          </w:tcPr>
          <w:p w14:paraId="2239477A">
            <w:pPr>
              <w:pStyle w:val="16"/>
              <w:shd w:val="clear" w:color="auto" w:fill="auto"/>
              <w:spacing w:before="78" w:line="237" w:lineRule="auto"/>
              <w:ind w:left="117" w:right="199" w:firstLine="1"/>
              <w:rPr>
                <w:color w:val="auto"/>
                <w:sz w:val="24"/>
                <w:szCs w:val="24"/>
                <w:highlight w:val="none"/>
              </w:rPr>
            </w:pPr>
            <w:r>
              <w:rPr>
                <w:color w:val="auto"/>
                <w:spacing w:val="-4"/>
                <w:sz w:val="24"/>
                <w:szCs w:val="24"/>
                <w:highlight w:val="none"/>
              </w:rPr>
              <w:t>项目负责</w:t>
            </w:r>
            <w:r>
              <w:rPr>
                <w:color w:val="auto"/>
                <w:spacing w:val="1"/>
                <w:sz w:val="24"/>
                <w:szCs w:val="24"/>
                <w:highlight w:val="none"/>
              </w:rPr>
              <w:t xml:space="preserve"> </w:t>
            </w:r>
            <w:r>
              <w:rPr>
                <w:color w:val="auto"/>
                <w:sz w:val="24"/>
                <w:szCs w:val="24"/>
                <w:highlight w:val="none"/>
              </w:rPr>
              <w:t>人</w:t>
            </w:r>
          </w:p>
        </w:tc>
        <w:tc>
          <w:tcPr>
            <w:tcW w:w="1768" w:type="dxa"/>
            <w:gridSpan w:val="2"/>
            <w:noWrap w:val="0"/>
            <w:vAlign w:val="top"/>
          </w:tcPr>
          <w:p w14:paraId="1147601D">
            <w:pPr>
              <w:shd w:val="clear" w:color="auto" w:fill="auto"/>
              <w:rPr>
                <w:rFonts w:ascii="Arial"/>
                <w:color w:val="auto"/>
                <w:highlight w:val="none"/>
              </w:rPr>
            </w:pPr>
          </w:p>
        </w:tc>
      </w:tr>
      <w:tr w14:paraId="4C03D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1364" w:type="dxa"/>
            <w:noWrap w:val="0"/>
            <w:vAlign w:val="top"/>
          </w:tcPr>
          <w:p w14:paraId="02050B54">
            <w:pPr>
              <w:pStyle w:val="16"/>
              <w:shd w:val="clear" w:color="auto" w:fill="auto"/>
              <w:spacing w:before="101" w:line="326" w:lineRule="exact"/>
              <w:ind w:left="123"/>
              <w:rPr>
                <w:color w:val="auto"/>
                <w:sz w:val="24"/>
                <w:szCs w:val="24"/>
                <w:highlight w:val="none"/>
              </w:rPr>
            </w:pPr>
            <w:r>
              <w:rPr>
                <w:color w:val="auto"/>
                <w:spacing w:val="-5"/>
                <w:position w:val="6"/>
                <w:sz w:val="24"/>
                <w:szCs w:val="24"/>
                <w:highlight w:val="none"/>
              </w:rPr>
              <w:t>营业执照</w:t>
            </w:r>
          </w:p>
          <w:p w14:paraId="2BCDD475">
            <w:pPr>
              <w:pStyle w:val="16"/>
              <w:shd w:val="clear" w:color="auto" w:fill="auto"/>
              <w:spacing w:before="1" w:line="220" w:lineRule="auto"/>
              <w:ind w:left="121"/>
              <w:rPr>
                <w:color w:val="auto"/>
                <w:sz w:val="24"/>
                <w:szCs w:val="24"/>
                <w:highlight w:val="none"/>
              </w:rPr>
            </w:pPr>
            <w:r>
              <w:rPr>
                <w:color w:val="auto"/>
                <w:sz w:val="24"/>
                <w:szCs w:val="24"/>
                <w:highlight w:val="none"/>
              </w:rPr>
              <w:t>号</w:t>
            </w:r>
          </w:p>
        </w:tc>
        <w:tc>
          <w:tcPr>
            <w:tcW w:w="2837" w:type="dxa"/>
            <w:gridSpan w:val="2"/>
            <w:noWrap w:val="0"/>
            <w:vAlign w:val="top"/>
          </w:tcPr>
          <w:p w14:paraId="54BFDECC">
            <w:pPr>
              <w:shd w:val="clear" w:color="auto" w:fill="auto"/>
              <w:rPr>
                <w:rFonts w:ascii="Arial"/>
                <w:color w:val="auto"/>
                <w:highlight w:val="none"/>
              </w:rPr>
            </w:pPr>
          </w:p>
        </w:tc>
        <w:tc>
          <w:tcPr>
            <w:tcW w:w="1336" w:type="dxa"/>
            <w:vMerge w:val="continue"/>
            <w:tcBorders>
              <w:top w:val="nil"/>
              <w:bottom w:val="nil"/>
            </w:tcBorders>
            <w:noWrap w:val="0"/>
            <w:vAlign w:val="top"/>
          </w:tcPr>
          <w:p w14:paraId="02EFEFD2">
            <w:pPr>
              <w:shd w:val="clear" w:color="auto" w:fill="auto"/>
              <w:rPr>
                <w:rFonts w:ascii="Arial"/>
                <w:color w:val="auto"/>
                <w:highlight w:val="none"/>
              </w:rPr>
            </w:pPr>
          </w:p>
        </w:tc>
        <w:tc>
          <w:tcPr>
            <w:tcW w:w="1271" w:type="dxa"/>
            <w:noWrap w:val="0"/>
            <w:vAlign w:val="top"/>
          </w:tcPr>
          <w:p w14:paraId="62FF4949">
            <w:pPr>
              <w:pStyle w:val="16"/>
              <w:shd w:val="clear" w:color="auto" w:fill="auto"/>
              <w:spacing w:before="101" w:line="236" w:lineRule="auto"/>
              <w:ind w:left="117" w:right="199" w:firstLine="4"/>
              <w:rPr>
                <w:color w:val="auto"/>
                <w:sz w:val="24"/>
                <w:szCs w:val="24"/>
                <w:highlight w:val="none"/>
              </w:rPr>
            </w:pPr>
            <w:r>
              <w:rPr>
                <w:color w:val="auto"/>
                <w:spacing w:val="-4"/>
                <w:sz w:val="24"/>
                <w:szCs w:val="24"/>
                <w:highlight w:val="none"/>
              </w:rPr>
              <w:t>高级职称</w:t>
            </w:r>
            <w:r>
              <w:rPr>
                <w:color w:val="auto"/>
                <w:sz w:val="24"/>
                <w:szCs w:val="24"/>
                <w:highlight w:val="none"/>
              </w:rPr>
              <w:t xml:space="preserve"> </w:t>
            </w:r>
            <w:r>
              <w:rPr>
                <w:color w:val="auto"/>
                <w:spacing w:val="-6"/>
                <w:sz w:val="24"/>
                <w:szCs w:val="24"/>
                <w:highlight w:val="none"/>
              </w:rPr>
              <w:t>人员</w:t>
            </w:r>
          </w:p>
        </w:tc>
        <w:tc>
          <w:tcPr>
            <w:tcW w:w="1768" w:type="dxa"/>
            <w:gridSpan w:val="2"/>
            <w:noWrap w:val="0"/>
            <w:vAlign w:val="top"/>
          </w:tcPr>
          <w:p w14:paraId="750AC387">
            <w:pPr>
              <w:shd w:val="clear" w:color="auto" w:fill="auto"/>
              <w:rPr>
                <w:rFonts w:ascii="Arial"/>
                <w:color w:val="auto"/>
                <w:highlight w:val="none"/>
              </w:rPr>
            </w:pPr>
          </w:p>
        </w:tc>
      </w:tr>
      <w:tr w14:paraId="6AD20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364" w:type="dxa"/>
            <w:noWrap w:val="0"/>
            <w:vAlign w:val="top"/>
          </w:tcPr>
          <w:p w14:paraId="37C6CC97">
            <w:pPr>
              <w:pStyle w:val="16"/>
              <w:shd w:val="clear" w:color="auto" w:fill="auto"/>
              <w:spacing w:before="209" w:line="221" w:lineRule="auto"/>
              <w:ind w:left="116"/>
              <w:rPr>
                <w:color w:val="auto"/>
                <w:sz w:val="24"/>
                <w:szCs w:val="24"/>
                <w:highlight w:val="none"/>
              </w:rPr>
            </w:pPr>
            <w:r>
              <w:rPr>
                <w:color w:val="auto"/>
                <w:spacing w:val="-3"/>
                <w:sz w:val="24"/>
                <w:szCs w:val="24"/>
                <w:highlight w:val="none"/>
              </w:rPr>
              <w:t>注册资金</w:t>
            </w:r>
          </w:p>
        </w:tc>
        <w:tc>
          <w:tcPr>
            <w:tcW w:w="2837" w:type="dxa"/>
            <w:gridSpan w:val="2"/>
            <w:noWrap w:val="0"/>
            <w:vAlign w:val="top"/>
          </w:tcPr>
          <w:p w14:paraId="4C2B7BF2">
            <w:pPr>
              <w:shd w:val="clear" w:color="auto" w:fill="auto"/>
              <w:rPr>
                <w:rFonts w:ascii="Arial"/>
                <w:color w:val="auto"/>
                <w:highlight w:val="none"/>
              </w:rPr>
            </w:pPr>
          </w:p>
        </w:tc>
        <w:tc>
          <w:tcPr>
            <w:tcW w:w="1336" w:type="dxa"/>
            <w:vMerge w:val="continue"/>
            <w:tcBorders>
              <w:top w:val="nil"/>
              <w:bottom w:val="nil"/>
            </w:tcBorders>
            <w:noWrap w:val="0"/>
            <w:vAlign w:val="top"/>
          </w:tcPr>
          <w:p w14:paraId="44D05DD0">
            <w:pPr>
              <w:shd w:val="clear" w:color="auto" w:fill="auto"/>
              <w:rPr>
                <w:rFonts w:ascii="Arial"/>
                <w:color w:val="auto"/>
                <w:highlight w:val="none"/>
              </w:rPr>
            </w:pPr>
          </w:p>
        </w:tc>
        <w:tc>
          <w:tcPr>
            <w:tcW w:w="1271" w:type="dxa"/>
            <w:noWrap w:val="0"/>
            <w:vAlign w:val="top"/>
          </w:tcPr>
          <w:p w14:paraId="3AC6B810">
            <w:pPr>
              <w:pStyle w:val="16"/>
              <w:shd w:val="clear" w:color="auto" w:fill="auto"/>
              <w:spacing w:before="45" w:line="232" w:lineRule="auto"/>
              <w:ind w:left="117" w:right="199" w:firstLine="20"/>
              <w:rPr>
                <w:color w:val="auto"/>
                <w:sz w:val="24"/>
                <w:szCs w:val="24"/>
                <w:highlight w:val="none"/>
              </w:rPr>
            </w:pPr>
            <w:r>
              <w:rPr>
                <w:color w:val="auto"/>
                <w:spacing w:val="-8"/>
                <w:sz w:val="24"/>
                <w:szCs w:val="24"/>
                <w:highlight w:val="none"/>
              </w:rPr>
              <w:t>中级职称</w:t>
            </w:r>
            <w:r>
              <w:rPr>
                <w:color w:val="auto"/>
                <w:sz w:val="24"/>
                <w:szCs w:val="24"/>
                <w:highlight w:val="none"/>
              </w:rPr>
              <w:t xml:space="preserve"> </w:t>
            </w:r>
            <w:r>
              <w:rPr>
                <w:color w:val="auto"/>
                <w:spacing w:val="-6"/>
                <w:sz w:val="24"/>
                <w:szCs w:val="24"/>
                <w:highlight w:val="none"/>
              </w:rPr>
              <w:t>人员</w:t>
            </w:r>
          </w:p>
        </w:tc>
        <w:tc>
          <w:tcPr>
            <w:tcW w:w="1768" w:type="dxa"/>
            <w:gridSpan w:val="2"/>
            <w:noWrap w:val="0"/>
            <w:vAlign w:val="top"/>
          </w:tcPr>
          <w:p w14:paraId="3459AB79">
            <w:pPr>
              <w:shd w:val="clear" w:color="auto" w:fill="auto"/>
              <w:rPr>
                <w:rFonts w:ascii="Arial"/>
                <w:color w:val="auto"/>
                <w:highlight w:val="none"/>
              </w:rPr>
            </w:pPr>
          </w:p>
        </w:tc>
      </w:tr>
      <w:tr w14:paraId="1C2FA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1364" w:type="dxa"/>
            <w:noWrap w:val="0"/>
            <w:vAlign w:val="top"/>
          </w:tcPr>
          <w:p w14:paraId="01FD84C8">
            <w:pPr>
              <w:pStyle w:val="16"/>
              <w:shd w:val="clear" w:color="auto" w:fill="auto"/>
              <w:spacing w:before="266" w:line="220" w:lineRule="auto"/>
              <w:ind w:left="117"/>
              <w:rPr>
                <w:color w:val="auto"/>
                <w:sz w:val="24"/>
                <w:szCs w:val="24"/>
                <w:highlight w:val="none"/>
              </w:rPr>
            </w:pPr>
            <w:r>
              <w:rPr>
                <w:color w:val="auto"/>
                <w:spacing w:val="-3"/>
                <w:sz w:val="24"/>
                <w:szCs w:val="24"/>
                <w:highlight w:val="none"/>
              </w:rPr>
              <w:t>开户银行</w:t>
            </w:r>
          </w:p>
        </w:tc>
        <w:tc>
          <w:tcPr>
            <w:tcW w:w="2837" w:type="dxa"/>
            <w:gridSpan w:val="2"/>
            <w:noWrap w:val="0"/>
            <w:vAlign w:val="top"/>
          </w:tcPr>
          <w:p w14:paraId="1DA71A18">
            <w:pPr>
              <w:shd w:val="clear" w:color="auto" w:fill="auto"/>
              <w:rPr>
                <w:rFonts w:ascii="Arial"/>
                <w:color w:val="auto"/>
                <w:highlight w:val="none"/>
              </w:rPr>
            </w:pPr>
          </w:p>
        </w:tc>
        <w:tc>
          <w:tcPr>
            <w:tcW w:w="1336" w:type="dxa"/>
            <w:vMerge w:val="continue"/>
            <w:tcBorders>
              <w:top w:val="nil"/>
              <w:bottom w:val="nil"/>
            </w:tcBorders>
            <w:noWrap w:val="0"/>
            <w:vAlign w:val="top"/>
          </w:tcPr>
          <w:p w14:paraId="3519F719">
            <w:pPr>
              <w:shd w:val="clear" w:color="auto" w:fill="auto"/>
              <w:rPr>
                <w:rFonts w:ascii="Arial"/>
                <w:color w:val="auto"/>
                <w:highlight w:val="none"/>
              </w:rPr>
            </w:pPr>
          </w:p>
        </w:tc>
        <w:tc>
          <w:tcPr>
            <w:tcW w:w="1271" w:type="dxa"/>
            <w:noWrap w:val="0"/>
            <w:vAlign w:val="top"/>
          </w:tcPr>
          <w:p w14:paraId="47E037B3">
            <w:pPr>
              <w:pStyle w:val="16"/>
              <w:shd w:val="clear" w:color="auto" w:fill="auto"/>
              <w:spacing w:before="100" w:line="237" w:lineRule="auto"/>
              <w:ind w:left="116" w:right="199" w:hanging="2"/>
              <w:rPr>
                <w:color w:val="auto"/>
                <w:sz w:val="24"/>
                <w:szCs w:val="24"/>
                <w:highlight w:val="none"/>
              </w:rPr>
            </w:pPr>
            <w:r>
              <w:rPr>
                <w:color w:val="auto"/>
                <w:spacing w:val="-3"/>
                <w:sz w:val="24"/>
                <w:szCs w:val="24"/>
                <w:highlight w:val="none"/>
              </w:rPr>
              <w:t>初级职称</w:t>
            </w:r>
            <w:r>
              <w:rPr>
                <w:color w:val="auto"/>
                <w:spacing w:val="2"/>
                <w:sz w:val="24"/>
                <w:szCs w:val="24"/>
                <w:highlight w:val="none"/>
              </w:rPr>
              <w:t xml:space="preserve"> </w:t>
            </w:r>
            <w:r>
              <w:rPr>
                <w:color w:val="auto"/>
                <w:spacing w:val="-6"/>
                <w:sz w:val="24"/>
                <w:szCs w:val="24"/>
                <w:highlight w:val="none"/>
              </w:rPr>
              <w:t>人员</w:t>
            </w:r>
          </w:p>
        </w:tc>
        <w:tc>
          <w:tcPr>
            <w:tcW w:w="1768" w:type="dxa"/>
            <w:gridSpan w:val="2"/>
            <w:noWrap w:val="0"/>
            <w:vAlign w:val="top"/>
          </w:tcPr>
          <w:p w14:paraId="52F2570C">
            <w:pPr>
              <w:shd w:val="clear" w:color="auto" w:fill="auto"/>
              <w:rPr>
                <w:rFonts w:ascii="Arial"/>
                <w:color w:val="auto"/>
                <w:highlight w:val="none"/>
              </w:rPr>
            </w:pPr>
          </w:p>
        </w:tc>
      </w:tr>
      <w:tr w14:paraId="42CE9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364" w:type="dxa"/>
            <w:noWrap w:val="0"/>
            <w:vAlign w:val="top"/>
          </w:tcPr>
          <w:p w14:paraId="6B7989D9">
            <w:pPr>
              <w:pStyle w:val="16"/>
              <w:shd w:val="clear" w:color="auto" w:fill="auto"/>
              <w:spacing w:before="192" w:line="221" w:lineRule="auto"/>
              <w:ind w:left="120"/>
              <w:rPr>
                <w:color w:val="auto"/>
                <w:sz w:val="24"/>
                <w:szCs w:val="24"/>
                <w:highlight w:val="none"/>
              </w:rPr>
            </w:pPr>
            <w:r>
              <w:rPr>
                <w:color w:val="auto"/>
                <w:spacing w:val="-7"/>
                <w:sz w:val="24"/>
                <w:szCs w:val="24"/>
                <w:highlight w:val="none"/>
              </w:rPr>
              <w:t>账号</w:t>
            </w:r>
          </w:p>
        </w:tc>
        <w:tc>
          <w:tcPr>
            <w:tcW w:w="2837" w:type="dxa"/>
            <w:gridSpan w:val="2"/>
            <w:noWrap w:val="0"/>
            <w:vAlign w:val="top"/>
          </w:tcPr>
          <w:p w14:paraId="47FDC5C0">
            <w:pPr>
              <w:shd w:val="clear" w:color="auto" w:fill="auto"/>
              <w:rPr>
                <w:rFonts w:ascii="Arial"/>
                <w:color w:val="auto"/>
                <w:highlight w:val="none"/>
              </w:rPr>
            </w:pPr>
          </w:p>
        </w:tc>
        <w:tc>
          <w:tcPr>
            <w:tcW w:w="1336" w:type="dxa"/>
            <w:vMerge w:val="continue"/>
            <w:tcBorders>
              <w:top w:val="nil"/>
            </w:tcBorders>
            <w:noWrap w:val="0"/>
            <w:vAlign w:val="top"/>
          </w:tcPr>
          <w:p w14:paraId="2A9A0B75">
            <w:pPr>
              <w:shd w:val="clear" w:color="auto" w:fill="auto"/>
              <w:rPr>
                <w:rFonts w:ascii="Arial"/>
                <w:color w:val="auto"/>
                <w:highlight w:val="none"/>
              </w:rPr>
            </w:pPr>
          </w:p>
        </w:tc>
        <w:tc>
          <w:tcPr>
            <w:tcW w:w="1271" w:type="dxa"/>
            <w:noWrap w:val="0"/>
            <w:vAlign w:val="top"/>
          </w:tcPr>
          <w:p w14:paraId="2AF2FB77">
            <w:pPr>
              <w:pStyle w:val="16"/>
              <w:shd w:val="clear" w:color="auto" w:fill="auto"/>
              <w:spacing w:before="192" w:line="221" w:lineRule="auto"/>
              <w:ind w:left="116"/>
              <w:rPr>
                <w:color w:val="auto"/>
                <w:sz w:val="24"/>
                <w:szCs w:val="24"/>
                <w:highlight w:val="none"/>
              </w:rPr>
            </w:pPr>
            <w:r>
              <w:rPr>
                <w:color w:val="auto"/>
                <w:spacing w:val="-6"/>
                <w:sz w:val="24"/>
                <w:szCs w:val="24"/>
                <w:highlight w:val="none"/>
              </w:rPr>
              <w:t>技工</w:t>
            </w:r>
          </w:p>
        </w:tc>
        <w:tc>
          <w:tcPr>
            <w:tcW w:w="1768" w:type="dxa"/>
            <w:gridSpan w:val="2"/>
            <w:noWrap w:val="0"/>
            <w:vAlign w:val="top"/>
          </w:tcPr>
          <w:p w14:paraId="51662464">
            <w:pPr>
              <w:shd w:val="clear" w:color="auto" w:fill="auto"/>
              <w:rPr>
                <w:rFonts w:ascii="Arial"/>
                <w:color w:val="auto"/>
                <w:highlight w:val="none"/>
              </w:rPr>
            </w:pPr>
          </w:p>
        </w:tc>
      </w:tr>
      <w:tr w14:paraId="51E9B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1364" w:type="dxa"/>
            <w:noWrap w:val="0"/>
            <w:vAlign w:val="top"/>
          </w:tcPr>
          <w:p w14:paraId="173DBCE7">
            <w:pPr>
              <w:shd w:val="clear" w:color="auto" w:fill="auto"/>
              <w:spacing w:line="278" w:lineRule="auto"/>
              <w:rPr>
                <w:rFonts w:ascii="Arial"/>
                <w:color w:val="auto"/>
                <w:highlight w:val="none"/>
              </w:rPr>
            </w:pPr>
          </w:p>
          <w:p w14:paraId="755ACA9A">
            <w:pPr>
              <w:pStyle w:val="16"/>
              <w:shd w:val="clear" w:color="auto" w:fill="auto"/>
              <w:spacing w:before="78" w:line="326" w:lineRule="exact"/>
              <w:ind w:left="118"/>
              <w:rPr>
                <w:color w:val="auto"/>
                <w:sz w:val="24"/>
                <w:szCs w:val="24"/>
                <w:highlight w:val="none"/>
              </w:rPr>
            </w:pPr>
            <w:r>
              <w:rPr>
                <w:color w:val="auto"/>
                <w:spacing w:val="-3"/>
                <w:position w:val="6"/>
                <w:sz w:val="24"/>
                <w:szCs w:val="24"/>
                <w:highlight w:val="none"/>
              </w:rPr>
              <w:t>经营范围</w:t>
            </w:r>
          </w:p>
          <w:p w14:paraId="064C572A">
            <w:pPr>
              <w:pStyle w:val="16"/>
              <w:shd w:val="clear" w:color="auto" w:fill="auto"/>
              <w:spacing w:before="1" w:line="220" w:lineRule="auto"/>
              <w:ind w:left="119"/>
              <w:rPr>
                <w:color w:val="auto"/>
                <w:sz w:val="24"/>
                <w:szCs w:val="24"/>
                <w:highlight w:val="none"/>
              </w:rPr>
            </w:pPr>
            <w:r>
              <w:rPr>
                <w:color w:val="auto"/>
                <w:spacing w:val="-7"/>
                <w:sz w:val="24"/>
                <w:szCs w:val="24"/>
                <w:highlight w:val="none"/>
              </w:rPr>
              <w:t>备注</w:t>
            </w:r>
          </w:p>
        </w:tc>
        <w:tc>
          <w:tcPr>
            <w:tcW w:w="7212" w:type="dxa"/>
            <w:gridSpan w:val="6"/>
            <w:noWrap w:val="0"/>
            <w:vAlign w:val="top"/>
          </w:tcPr>
          <w:p w14:paraId="4D33AEF6">
            <w:pPr>
              <w:shd w:val="clear" w:color="auto" w:fill="auto"/>
              <w:rPr>
                <w:rFonts w:ascii="Arial"/>
                <w:color w:val="auto"/>
                <w:highlight w:val="none"/>
              </w:rPr>
            </w:pPr>
          </w:p>
        </w:tc>
      </w:tr>
    </w:tbl>
    <w:p w14:paraId="5FD2820E">
      <w:pPr>
        <w:shd w:val="clear" w:color="auto" w:fill="auto"/>
        <w:spacing w:beforeLines="100" w:afterLines="50" w:line="240" w:lineRule="auto"/>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注：联合体投标，各成员均需填写此表。</w:t>
      </w:r>
    </w:p>
    <w:p w14:paraId="361FEE2A">
      <w:pPr>
        <w:shd w:val="clear" w:color="auto" w:fill="auto"/>
        <w:spacing w:beforeLines="100" w:afterLines="50" w:line="300" w:lineRule="auto"/>
        <w:jc w:val="center"/>
        <w:rPr>
          <w:rFonts w:hint="eastAsia" w:ascii="宋体" w:hAnsi="宋体" w:cs="宋体"/>
          <w:color w:val="auto"/>
          <w:sz w:val="30"/>
          <w:szCs w:val="30"/>
          <w:highlight w:val="none"/>
        </w:rPr>
      </w:pPr>
    </w:p>
    <w:p w14:paraId="3E19DFD9">
      <w:pPr>
        <w:pageBreakBefore w:val="0"/>
        <w:spacing w:before="240" w:beforeLines="100" w:after="120" w:afterLines="50" w:line="240" w:lineRule="auto"/>
        <w:ind w:firstLine="482" w:firstLineChars="0"/>
        <w:jc w:val="center"/>
        <w:outlineLvl w:val="9"/>
        <w:rPr>
          <w:rFonts w:ascii="宋体" w:hAnsi="宋体" w:cs="宋体"/>
          <w:b/>
          <w:sz w:val="32"/>
          <w:szCs w:val="32"/>
        </w:rPr>
      </w:pPr>
      <w:bookmarkStart w:id="706" w:name="OLE_LINK49"/>
      <w:r>
        <w:rPr>
          <w:rFonts w:hint="eastAsia" w:ascii="宋体" w:hAnsi="宋体" w:cs="宋体"/>
          <w:b/>
          <w:sz w:val="32"/>
          <w:szCs w:val="32"/>
        </w:rPr>
        <w:t>表2  投标人资格审查业绩汇总表</w:t>
      </w:r>
      <w:bookmarkEnd w:id="706"/>
    </w:p>
    <w:p w14:paraId="463DC8B6">
      <w:pPr>
        <w:widowControl/>
        <w:wordWrap w:val="0"/>
        <w:topLinePunct/>
        <w:autoSpaceDN w:val="0"/>
        <w:spacing w:line="360" w:lineRule="auto"/>
        <w:rPr>
          <w:rFonts w:ascii="Times New Roman" w:hAnsi="宋体"/>
          <w:kern w:val="0"/>
          <w:sz w:val="24"/>
        </w:rPr>
      </w:pPr>
    </w:p>
    <w:tbl>
      <w:tblPr>
        <w:tblStyle w:val="1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435"/>
        <w:gridCol w:w="1788"/>
        <w:gridCol w:w="1788"/>
        <w:gridCol w:w="2042"/>
      </w:tblGrid>
      <w:tr w14:paraId="0105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38" w:type="dxa"/>
            <w:vAlign w:val="center"/>
          </w:tcPr>
          <w:p w14:paraId="197755BA">
            <w:pPr>
              <w:spacing w:line="380" w:lineRule="exact"/>
              <w:jc w:val="center"/>
              <w:rPr>
                <w:rFonts w:ascii="宋体" w:hAnsi="宋体" w:cs="宋体"/>
                <w:b/>
                <w:bCs/>
                <w:sz w:val="24"/>
              </w:rPr>
            </w:pPr>
            <w:r>
              <w:rPr>
                <w:rFonts w:hint="eastAsia" w:ascii="宋体" w:hAnsi="宋体" w:cs="宋体"/>
                <w:b/>
                <w:bCs/>
                <w:sz w:val="24"/>
              </w:rPr>
              <w:t>序号</w:t>
            </w:r>
          </w:p>
        </w:tc>
        <w:tc>
          <w:tcPr>
            <w:tcW w:w="2435" w:type="dxa"/>
            <w:vAlign w:val="center"/>
          </w:tcPr>
          <w:p w14:paraId="1A25FD4F">
            <w:pPr>
              <w:spacing w:line="380" w:lineRule="exact"/>
              <w:jc w:val="center"/>
              <w:rPr>
                <w:rFonts w:ascii="宋体" w:hAnsi="宋体" w:cs="宋体"/>
                <w:b/>
                <w:bCs/>
                <w:sz w:val="24"/>
              </w:rPr>
            </w:pPr>
            <w:r>
              <w:rPr>
                <w:rFonts w:hint="eastAsia" w:ascii="宋体" w:hAnsi="宋体" w:cs="宋体"/>
                <w:b/>
                <w:bCs/>
                <w:sz w:val="24"/>
              </w:rPr>
              <w:t>项目名称</w:t>
            </w:r>
          </w:p>
        </w:tc>
        <w:tc>
          <w:tcPr>
            <w:tcW w:w="1788" w:type="dxa"/>
            <w:vAlign w:val="center"/>
          </w:tcPr>
          <w:p w14:paraId="2DF28689">
            <w:pPr>
              <w:spacing w:line="380" w:lineRule="exact"/>
              <w:jc w:val="center"/>
              <w:rPr>
                <w:rFonts w:ascii="宋体" w:hAnsi="宋体" w:cs="宋体"/>
                <w:b/>
                <w:bCs/>
                <w:sz w:val="24"/>
              </w:rPr>
            </w:pPr>
            <w:r>
              <w:rPr>
                <w:rFonts w:hint="eastAsia" w:ascii="宋体" w:hAnsi="宋体" w:cs="宋体"/>
                <w:b/>
                <w:bCs/>
                <w:sz w:val="24"/>
              </w:rPr>
              <w:t>电压等级</w:t>
            </w:r>
          </w:p>
        </w:tc>
        <w:tc>
          <w:tcPr>
            <w:tcW w:w="1788" w:type="dxa"/>
            <w:vAlign w:val="center"/>
          </w:tcPr>
          <w:p w14:paraId="0BABF982">
            <w:pPr>
              <w:spacing w:line="380" w:lineRule="exact"/>
              <w:jc w:val="center"/>
              <w:rPr>
                <w:rFonts w:ascii="宋体" w:hAnsi="宋体" w:cs="宋体"/>
                <w:b/>
                <w:bCs/>
                <w:sz w:val="24"/>
              </w:rPr>
            </w:pPr>
            <w:r>
              <w:rPr>
                <w:rFonts w:hint="eastAsia" w:ascii="宋体" w:hAnsi="宋体" w:cs="宋体"/>
                <w:b/>
                <w:bCs/>
                <w:sz w:val="24"/>
              </w:rPr>
              <w:t>项目类型</w:t>
            </w:r>
          </w:p>
        </w:tc>
        <w:tc>
          <w:tcPr>
            <w:tcW w:w="2042" w:type="dxa"/>
            <w:vAlign w:val="center"/>
          </w:tcPr>
          <w:p w14:paraId="3D892238">
            <w:pPr>
              <w:spacing w:line="380" w:lineRule="exact"/>
              <w:jc w:val="center"/>
              <w:rPr>
                <w:rFonts w:ascii="宋体" w:hAnsi="宋体" w:cs="宋体"/>
                <w:b/>
                <w:bCs/>
                <w:sz w:val="24"/>
              </w:rPr>
            </w:pPr>
            <w:bookmarkStart w:id="707" w:name="OLE_LINK48"/>
            <w:r>
              <w:rPr>
                <w:rFonts w:hint="eastAsia" w:ascii="宋体" w:hAnsi="宋体" w:cs="宋体"/>
                <w:b/>
                <w:bCs/>
                <w:sz w:val="24"/>
              </w:rPr>
              <w:t>竣工验收证明材料最晚签署时间</w:t>
            </w:r>
            <w:bookmarkEnd w:id="707"/>
          </w:p>
        </w:tc>
      </w:tr>
      <w:tr w14:paraId="71234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38" w:type="dxa"/>
          </w:tcPr>
          <w:p w14:paraId="5C4BD7BD">
            <w:pPr>
              <w:spacing w:line="380" w:lineRule="exact"/>
              <w:jc w:val="center"/>
              <w:rPr>
                <w:rFonts w:ascii="宋体" w:hAnsi="宋体" w:cs="宋体"/>
                <w:b/>
                <w:bCs/>
                <w:sz w:val="36"/>
                <w:szCs w:val="36"/>
              </w:rPr>
            </w:pPr>
          </w:p>
        </w:tc>
        <w:tc>
          <w:tcPr>
            <w:tcW w:w="2435" w:type="dxa"/>
          </w:tcPr>
          <w:p w14:paraId="190583EA">
            <w:pPr>
              <w:spacing w:line="380" w:lineRule="exact"/>
              <w:jc w:val="center"/>
              <w:rPr>
                <w:rFonts w:ascii="宋体" w:hAnsi="宋体" w:cs="宋体"/>
                <w:b/>
                <w:bCs/>
                <w:sz w:val="36"/>
                <w:szCs w:val="36"/>
              </w:rPr>
            </w:pPr>
          </w:p>
        </w:tc>
        <w:tc>
          <w:tcPr>
            <w:tcW w:w="1788" w:type="dxa"/>
          </w:tcPr>
          <w:p w14:paraId="4691C168">
            <w:pPr>
              <w:spacing w:line="380" w:lineRule="exact"/>
              <w:jc w:val="center"/>
              <w:rPr>
                <w:rFonts w:ascii="宋体" w:hAnsi="宋体" w:cs="宋体"/>
                <w:b/>
                <w:bCs/>
                <w:sz w:val="36"/>
                <w:szCs w:val="36"/>
              </w:rPr>
            </w:pPr>
          </w:p>
        </w:tc>
        <w:tc>
          <w:tcPr>
            <w:tcW w:w="1788" w:type="dxa"/>
          </w:tcPr>
          <w:p w14:paraId="558C1B1C">
            <w:pPr>
              <w:spacing w:line="380" w:lineRule="exact"/>
              <w:jc w:val="center"/>
              <w:rPr>
                <w:rFonts w:ascii="宋体" w:hAnsi="宋体" w:cs="宋体"/>
                <w:b/>
                <w:bCs/>
                <w:sz w:val="36"/>
                <w:szCs w:val="36"/>
              </w:rPr>
            </w:pPr>
          </w:p>
        </w:tc>
        <w:tc>
          <w:tcPr>
            <w:tcW w:w="2042" w:type="dxa"/>
          </w:tcPr>
          <w:p w14:paraId="7FAEC82A">
            <w:pPr>
              <w:spacing w:line="380" w:lineRule="exact"/>
              <w:jc w:val="center"/>
              <w:rPr>
                <w:rFonts w:ascii="宋体" w:hAnsi="宋体" w:cs="宋体"/>
                <w:b/>
                <w:bCs/>
                <w:sz w:val="36"/>
                <w:szCs w:val="36"/>
              </w:rPr>
            </w:pPr>
          </w:p>
        </w:tc>
      </w:tr>
      <w:tr w14:paraId="0B38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38" w:type="dxa"/>
          </w:tcPr>
          <w:p w14:paraId="01FADC3F">
            <w:pPr>
              <w:spacing w:line="380" w:lineRule="exact"/>
              <w:jc w:val="center"/>
              <w:rPr>
                <w:rFonts w:ascii="宋体" w:hAnsi="宋体" w:cs="宋体"/>
                <w:b/>
                <w:bCs/>
                <w:sz w:val="36"/>
                <w:szCs w:val="36"/>
              </w:rPr>
            </w:pPr>
          </w:p>
        </w:tc>
        <w:tc>
          <w:tcPr>
            <w:tcW w:w="2435" w:type="dxa"/>
          </w:tcPr>
          <w:p w14:paraId="2E5692F9">
            <w:pPr>
              <w:spacing w:line="380" w:lineRule="exact"/>
              <w:jc w:val="center"/>
              <w:rPr>
                <w:rFonts w:ascii="宋体" w:hAnsi="宋体" w:cs="宋体"/>
                <w:b/>
                <w:bCs/>
                <w:sz w:val="36"/>
                <w:szCs w:val="36"/>
              </w:rPr>
            </w:pPr>
          </w:p>
        </w:tc>
        <w:tc>
          <w:tcPr>
            <w:tcW w:w="1788" w:type="dxa"/>
          </w:tcPr>
          <w:p w14:paraId="33C85A1A">
            <w:pPr>
              <w:spacing w:line="380" w:lineRule="exact"/>
              <w:jc w:val="center"/>
              <w:rPr>
                <w:rFonts w:ascii="宋体" w:hAnsi="宋体" w:cs="宋体"/>
                <w:b/>
                <w:bCs/>
                <w:sz w:val="36"/>
                <w:szCs w:val="36"/>
              </w:rPr>
            </w:pPr>
          </w:p>
        </w:tc>
        <w:tc>
          <w:tcPr>
            <w:tcW w:w="1788" w:type="dxa"/>
          </w:tcPr>
          <w:p w14:paraId="5D43E659">
            <w:pPr>
              <w:spacing w:line="380" w:lineRule="exact"/>
              <w:jc w:val="center"/>
              <w:rPr>
                <w:rFonts w:ascii="宋体" w:hAnsi="宋体" w:cs="宋体"/>
                <w:b/>
                <w:bCs/>
                <w:sz w:val="36"/>
                <w:szCs w:val="36"/>
              </w:rPr>
            </w:pPr>
          </w:p>
        </w:tc>
        <w:tc>
          <w:tcPr>
            <w:tcW w:w="2042" w:type="dxa"/>
          </w:tcPr>
          <w:p w14:paraId="1039DFB2">
            <w:pPr>
              <w:spacing w:line="380" w:lineRule="exact"/>
              <w:jc w:val="center"/>
              <w:rPr>
                <w:rFonts w:ascii="宋体" w:hAnsi="宋体" w:cs="宋体"/>
                <w:b/>
                <w:bCs/>
                <w:sz w:val="36"/>
                <w:szCs w:val="36"/>
              </w:rPr>
            </w:pPr>
          </w:p>
        </w:tc>
      </w:tr>
      <w:tr w14:paraId="55EB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38" w:type="dxa"/>
          </w:tcPr>
          <w:p w14:paraId="722632BD">
            <w:pPr>
              <w:spacing w:line="380" w:lineRule="exact"/>
              <w:jc w:val="center"/>
              <w:rPr>
                <w:rFonts w:ascii="宋体" w:hAnsi="宋体" w:cs="宋体"/>
                <w:b/>
                <w:bCs/>
                <w:sz w:val="36"/>
                <w:szCs w:val="36"/>
              </w:rPr>
            </w:pPr>
          </w:p>
        </w:tc>
        <w:tc>
          <w:tcPr>
            <w:tcW w:w="2435" w:type="dxa"/>
          </w:tcPr>
          <w:p w14:paraId="00BB899D">
            <w:pPr>
              <w:spacing w:line="380" w:lineRule="exact"/>
              <w:jc w:val="center"/>
              <w:rPr>
                <w:rFonts w:ascii="宋体" w:hAnsi="宋体" w:cs="宋体"/>
                <w:b/>
                <w:bCs/>
                <w:sz w:val="36"/>
                <w:szCs w:val="36"/>
              </w:rPr>
            </w:pPr>
          </w:p>
        </w:tc>
        <w:tc>
          <w:tcPr>
            <w:tcW w:w="1788" w:type="dxa"/>
          </w:tcPr>
          <w:p w14:paraId="6CAE9C7E">
            <w:pPr>
              <w:spacing w:line="380" w:lineRule="exact"/>
              <w:jc w:val="center"/>
              <w:rPr>
                <w:rFonts w:ascii="宋体" w:hAnsi="宋体" w:cs="宋体"/>
                <w:b/>
                <w:bCs/>
                <w:sz w:val="36"/>
                <w:szCs w:val="36"/>
              </w:rPr>
            </w:pPr>
          </w:p>
        </w:tc>
        <w:tc>
          <w:tcPr>
            <w:tcW w:w="1788" w:type="dxa"/>
          </w:tcPr>
          <w:p w14:paraId="7BD13198">
            <w:pPr>
              <w:spacing w:line="380" w:lineRule="exact"/>
              <w:jc w:val="center"/>
              <w:rPr>
                <w:rFonts w:ascii="宋体" w:hAnsi="宋体" w:cs="宋体"/>
                <w:b/>
                <w:bCs/>
                <w:sz w:val="36"/>
                <w:szCs w:val="36"/>
              </w:rPr>
            </w:pPr>
          </w:p>
        </w:tc>
        <w:tc>
          <w:tcPr>
            <w:tcW w:w="2042" w:type="dxa"/>
          </w:tcPr>
          <w:p w14:paraId="56D96E59">
            <w:pPr>
              <w:spacing w:line="380" w:lineRule="exact"/>
              <w:jc w:val="center"/>
              <w:rPr>
                <w:rFonts w:ascii="宋体" w:hAnsi="宋体" w:cs="宋体"/>
                <w:b/>
                <w:bCs/>
                <w:sz w:val="36"/>
                <w:szCs w:val="36"/>
              </w:rPr>
            </w:pPr>
          </w:p>
        </w:tc>
      </w:tr>
      <w:tr w14:paraId="73B2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38" w:type="dxa"/>
          </w:tcPr>
          <w:p w14:paraId="7AC37580">
            <w:pPr>
              <w:spacing w:line="380" w:lineRule="exact"/>
              <w:jc w:val="center"/>
              <w:rPr>
                <w:rFonts w:ascii="宋体" w:hAnsi="宋体" w:cs="宋体"/>
                <w:b/>
                <w:bCs/>
                <w:sz w:val="36"/>
                <w:szCs w:val="36"/>
              </w:rPr>
            </w:pPr>
          </w:p>
        </w:tc>
        <w:tc>
          <w:tcPr>
            <w:tcW w:w="2435" w:type="dxa"/>
          </w:tcPr>
          <w:p w14:paraId="05F4279F">
            <w:pPr>
              <w:spacing w:line="380" w:lineRule="exact"/>
              <w:jc w:val="center"/>
              <w:rPr>
                <w:rFonts w:ascii="宋体" w:hAnsi="宋体" w:cs="宋体"/>
                <w:b/>
                <w:bCs/>
                <w:sz w:val="36"/>
                <w:szCs w:val="36"/>
              </w:rPr>
            </w:pPr>
          </w:p>
        </w:tc>
        <w:tc>
          <w:tcPr>
            <w:tcW w:w="1788" w:type="dxa"/>
          </w:tcPr>
          <w:p w14:paraId="3032A672">
            <w:pPr>
              <w:spacing w:line="380" w:lineRule="exact"/>
              <w:jc w:val="center"/>
              <w:rPr>
                <w:rFonts w:ascii="宋体" w:hAnsi="宋体" w:cs="宋体"/>
                <w:b/>
                <w:bCs/>
                <w:sz w:val="36"/>
                <w:szCs w:val="36"/>
              </w:rPr>
            </w:pPr>
          </w:p>
        </w:tc>
        <w:tc>
          <w:tcPr>
            <w:tcW w:w="1788" w:type="dxa"/>
          </w:tcPr>
          <w:p w14:paraId="5335B02B">
            <w:pPr>
              <w:spacing w:line="380" w:lineRule="exact"/>
              <w:jc w:val="center"/>
              <w:rPr>
                <w:rFonts w:ascii="宋体" w:hAnsi="宋体" w:cs="宋体"/>
                <w:b/>
                <w:bCs/>
                <w:sz w:val="36"/>
                <w:szCs w:val="36"/>
              </w:rPr>
            </w:pPr>
          </w:p>
        </w:tc>
        <w:tc>
          <w:tcPr>
            <w:tcW w:w="2042" w:type="dxa"/>
          </w:tcPr>
          <w:p w14:paraId="122E792D">
            <w:pPr>
              <w:spacing w:line="380" w:lineRule="exact"/>
              <w:jc w:val="center"/>
              <w:rPr>
                <w:rFonts w:ascii="宋体" w:hAnsi="宋体" w:cs="宋体"/>
                <w:b/>
                <w:bCs/>
                <w:sz w:val="36"/>
                <w:szCs w:val="36"/>
              </w:rPr>
            </w:pPr>
          </w:p>
        </w:tc>
      </w:tr>
      <w:tr w14:paraId="0E4B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38" w:type="dxa"/>
          </w:tcPr>
          <w:p w14:paraId="1EE85B7F">
            <w:pPr>
              <w:spacing w:line="380" w:lineRule="exact"/>
              <w:jc w:val="center"/>
              <w:rPr>
                <w:rFonts w:ascii="宋体" w:hAnsi="宋体" w:cs="宋体"/>
                <w:b/>
                <w:bCs/>
                <w:sz w:val="36"/>
                <w:szCs w:val="36"/>
              </w:rPr>
            </w:pPr>
          </w:p>
        </w:tc>
        <w:tc>
          <w:tcPr>
            <w:tcW w:w="2435" w:type="dxa"/>
          </w:tcPr>
          <w:p w14:paraId="37BC161C">
            <w:pPr>
              <w:spacing w:line="380" w:lineRule="exact"/>
              <w:jc w:val="center"/>
              <w:rPr>
                <w:rFonts w:ascii="宋体" w:hAnsi="宋体" w:cs="宋体"/>
                <w:b/>
                <w:bCs/>
                <w:sz w:val="36"/>
                <w:szCs w:val="36"/>
              </w:rPr>
            </w:pPr>
          </w:p>
        </w:tc>
        <w:tc>
          <w:tcPr>
            <w:tcW w:w="1788" w:type="dxa"/>
          </w:tcPr>
          <w:p w14:paraId="6294D78F">
            <w:pPr>
              <w:spacing w:line="380" w:lineRule="exact"/>
              <w:jc w:val="center"/>
              <w:rPr>
                <w:rFonts w:ascii="宋体" w:hAnsi="宋体" w:cs="宋体"/>
                <w:b/>
                <w:bCs/>
                <w:sz w:val="36"/>
                <w:szCs w:val="36"/>
              </w:rPr>
            </w:pPr>
          </w:p>
        </w:tc>
        <w:tc>
          <w:tcPr>
            <w:tcW w:w="1788" w:type="dxa"/>
          </w:tcPr>
          <w:p w14:paraId="52A7CAED">
            <w:pPr>
              <w:spacing w:line="380" w:lineRule="exact"/>
              <w:jc w:val="center"/>
              <w:rPr>
                <w:rFonts w:ascii="宋体" w:hAnsi="宋体" w:cs="宋体"/>
                <w:b/>
                <w:bCs/>
                <w:sz w:val="36"/>
                <w:szCs w:val="36"/>
              </w:rPr>
            </w:pPr>
          </w:p>
        </w:tc>
        <w:tc>
          <w:tcPr>
            <w:tcW w:w="2042" w:type="dxa"/>
          </w:tcPr>
          <w:p w14:paraId="736D63A2">
            <w:pPr>
              <w:spacing w:line="380" w:lineRule="exact"/>
              <w:jc w:val="center"/>
              <w:rPr>
                <w:rFonts w:ascii="宋体" w:hAnsi="宋体" w:cs="宋体"/>
                <w:b/>
                <w:bCs/>
                <w:sz w:val="36"/>
                <w:szCs w:val="36"/>
              </w:rPr>
            </w:pPr>
          </w:p>
        </w:tc>
      </w:tr>
      <w:tr w14:paraId="27DF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38" w:type="dxa"/>
          </w:tcPr>
          <w:p w14:paraId="29245AA0">
            <w:pPr>
              <w:spacing w:line="380" w:lineRule="exact"/>
              <w:jc w:val="center"/>
              <w:rPr>
                <w:rFonts w:ascii="宋体" w:hAnsi="宋体" w:cs="宋体"/>
                <w:b/>
                <w:bCs/>
                <w:sz w:val="36"/>
                <w:szCs w:val="36"/>
              </w:rPr>
            </w:pPr>
          </w:p>
        </w:tc>
        <w:tc>
          <w:tcPr>
            <w:tcW w:w="2435" w:type="dxa"/>
          </w:tcPr>
          <w:p w14:paraId="439978BB">
            <w:pPr>
              <w:spacing w:line="380" w:lineRule="exact"/>
              <w:jc w:val="center"/>
              <w:rPr>
                <w:rFonts w:ascii="宋体" w:hAnsi="宋体" w:cs="宋体"/>
                <w:b/>
                <w:bCs/>
                <w:sz w:val="36"/>
                <w:szCs w:val="36"/>
              </w:rPr>
            </w:pPr>
          </w:p>
        </w:tc>
        <w:tc>
          <w:tcPr>
            <w:tcW w:w="1788" w:type="dxa"/>
          </w:tcPr>
          <w:p w14:paraId="7F986501">
            <w:pPr>
              <w:spacing w:line="380" w:lineRule="exact"/>
              <w:jc w:val="center"/>
              <w:rPr>
                <w:rFonts w:ascii="宋体" w:hAnsi="宋体" w:cs="宋体"/>
                <w:b/>
                <w:bCs/>
                <w:sz w:val="36"/>
                <w:szCs w:val="36"/>
              </w:rPr>
            </w:pPr>
          </w:p>
        </w:tc>
        <w:tc>
          <w:tcPr>
            <w:tcW w:w="1788" w:type="dxa"/>
          </w:tcPr>
          <w:p w14:paraId="56DDC862">
            <w:pPr>
              <w:spacing w:line="380" w:lineRule="exact"/>
              <w:jc w:val="center"/>
              <w:rPr>
                <w:rFonts w:ascii="宋体" w:hAnsi="宋体" w:cs="宋体"/>
                <w:b/>
                <w:bCs/>
                <w:sz w:val="36"/>
                <w:szCs w:val="36"/>
              </w:rPr>
            </w:pPr>
          </w:p>
        </w:tc>
        <w:tc>
          <w:tcPr>
            <w:tcW w:w="2042" w:type="dxa"/>
          </w:tcPr>
          <w:p w14:paraId="5BE8AE7E">
            <w:pPr>
              <w:spacing w:line="380" w:lineRule="exact"/>
              <w:jc w:val="center"/>
              <w:rPr>
                <w:rFonts w:ascii="宋体" w:hAnsi="宋体" w:cs="宋体"/>
                <w:b/>
                <w:bCs/>
                <w:sz w:val="36"/>
                <w:szCs w:val="36"/>
              </w:rPr>
            </w:pPr>
          </w:p>
        </w:tc>
      </w:tr>
    </w:tbl>
    <w:p w14:paraId="4343839A">
      <w:pPr>
        <w:spacing w:before="240" w:beforeLines="100" w:after="120" w:afterLines="50"/>
        <w:jc w:val="left"/>
        <w:rPr>
          <w:rFonts w:ascii="宋体" w:hAnsi="宋体" w:cs="宋体"/>
          <w:b/>
          <w:bCs/>
          <w:sz w:val="24"/>
        </w:rPr>
      </w:pPr>
      <w:r>
        <w:rPr>
          <w:rFonts w:hint="eastAsia" w:ascii="宋体" w:hAnsi="宋体" w:cs="宋体"/>
          <w:b/>
          <w:bCs/>
          <w:sz w:val="24"/>
        </w:rPr>
        <w:t>注：表后须同时提供①中标通知书②施工合同（或工程总承包合同）③竣工验收证明材料。以上材料缺一不可。</w:t>
      </w:r>
    </w:p>
    <w:p w14:paraId="25499B2B">
      <w:pPr>
        <w:shd w:val="clear" w:color="auto" w:fill="auto"/>
        <w:spacing w:beforeLines="100" w:afterLines="50" w:line="300" w:lineRule="auto"/>
        <w:jc w:val="center"/>
        <w:rPr>
          <w:rFonts w:hint="eastAsia" w:ascii="宋体" w:hAnsi="宋体" w:cs="宋体"/>
          <w:color w:val="auto"/>
          <w:sz w:val="30"/>
          <w:szCs w:val="30"/>
          <w:highlight w:val="none"/>
        </w:rPr>
      </w:pPr>
    </w:p>
    <w:p w14:paraId="2BA85755">
      <w:pPr>
        <w:shd w:val="clear" w:color="auto" w:fill="auto"/>
        <w:spacing w:beforeLines="100" w:afterLines="50" w:line="300" w:lineRule="auto"/>
        <w:jc w:val="center"/>
        <w:rPr>
          <w:rFonts w:hint="eastAsia" w:ascii="宋体" w:hAnsi="宋体" w:cs="宋体"/>
          <w:color w:val="auto"/>
          <w:sz w:val="30"/>
          <w:szCs w:val="30"/>
          <w:highlight w:val="none"/>
        </w:rPr>
      </w:pPr>
    </w:p>
    <w:p w14:paraId="2F0B5611">
      <w:pPr>
        <w:shd w:val="clear" w:color="auto" w:fill="auto"/>
        <w:spacing w:beforeLines="100" w:afterLines="50" w:line="300" w:lineRule="auto"/>
        <w:jc w:val="center"/>
        <w:rPr>
          <w:rFonts w:hint="eastAsia" w:ascii="宋体" w:hAnsi="宋体" w:cs="宋体"/>
          <w:color w:val="auto"/>
          <w:sz w:val="30"/>
          <w:szCs w:val="30"/>
          <w:highlight w:val="none"/>
        </w:rPr>
      </w:pPr>
    </w:p>
    <w:p w14:paraId="00617D2A">
      <w:pPr>
        <w:shd w:val="clear" w:color="auto" w:fill="auto"/>
        <w:spacing w:beforeLines="100" w:afterLines="50" w:line="300" w:lineRule="auto"/>
        <w:jc w:val="center"/>
        <w:rPr>
          <w:rFonts w:hint="eastAsia" w:ascii="宋体" w:hAnsi="宋体" w:cs="宋体"/>
          <w:color w:val="auto"/>
          <w:sz w:val="30"/>
          <w:szCs w:val="30"/>
          <w:highlight w:val="none"/>
        </w:rPr>
      </w:pPr>
    </w:p>
    <w:p w14:paraId="1EE4EF8B">
      <w:pPr>
        <w:shd w:val="clear" w:color="auto" w:fill="auto"/>
        <w:spacing w:beforeLines="100" w:afterLines="50" w:line="300" w:lineRule="auto"/>
        <w:jc w:val="center"/>
        <w:rPr>
          <w:rFonts w:hint="eastAsia" w:ascii="宋体" w:hAnsi="宋体" w:cs="宋体"/>
          <w:color w:val="auto"/>
          <w:sz w:val="30"/>
          <w:szCs w:val="30"/>
          <w:highlight w:val="none"/>
        </w:rPr>
      </w:pPr>
    </w:p>
    <w:p w14:paraId="465F52A1">
      <w:pPr>
        <w:shd w:val="clear" w:color="auto" w:fill="auto"/>
        <w:spacing w:beforeLines="100" w:afterLines="50" w:line="300" w:lineRule="auto"/>
        <w:jc w:val="center"/>
        <w:rPr>
          <w:rFonts w:hint="eastAsia" w:ascii="宋体" w:hAnsi="宋体" w:cs="宋体"/>
          <w:color w:val="auto"/>
          <w:sz w:val="30"/>
          <w:szCs w:val="30"/>
          <w:highlight w:val="none"/>
        </w:rPr>
      </w:pPr>
    </w:p>
    <w:p w14:paraId="37060863">
      <w:pPr>
        <w:shd w:val="clear" w:color="auto" w:fill="auto"/>
        <w:spacing w:beforeLines="100" w:afterLines="50" w:line="300" w:lineRule="auto"/>
        <w:jc w:val="center"/>
        <w:rPr>
          <w:rFonts w:hint="eastAsia" w:ascii="宋体" w:hAnsi="宋体" w:cs="宋体"/>
          <w:color w:val="auto"/>
          <w:sz w:val="30"/>
          <w:szCs w:val="30"/>
          <w:highlight w:val="none"/>
        </w:rPr>
      </w:pPr>
    </w:p>
    <w:p w14:paraId="6712D4F5">
      <w:pPr>
        <w:shd w:val="clear" w:color="auto" w:fill="auto"/>
        <w:spacing w:beforeLines="100" w:afterLines="50" w:line="300" w:lineRule="auto"/>
        <w:jc w:val="center"/>
        <w:rPr>
          <w:rFonts w:hint="eastAsia" w:ascii="宋体" w:hAnsi="宋体" w:cs="宋体"/>
          <w:color w:val="auto"/>
          <w:sz w:val="30"/>
          <w:szCs w:val="30"/>
          <w:highlight w:val="none"/>
        </w:rPr>
      </w:pPr>
    </w:p>
    <w:p w14:paraId="1FC30158">
      <w:pPr>
        <w:shd w:val="clear" w:color="auto" w:fill="auto"/>
        <w:spacing w:beforeLines="100" w:afterLines="50" w:line="300" w:lineRule="auto"/>
        <w:jc w:val="center"/>
        <w:rPr>
          <w:rFonts w:hint="eastAsia" w:ascii="宋体" w:hAnsi="宋体" w:cs="宋体"/>
          <w:color w:val="auto"/>
          <w:sz w:val="30"/>
          <w:szCs w:val="30"/>
          <w:highlight w:val="none"/>
        </w:rPr>
      </w:pPr>
    </w:p>
    <w:p w14:paraId="3AD5E0A5">
      <w:pPr>
        <w:shd w:val="clear" w:color="auto" w:fill="auto"/>
        <w:spacing w:beforeLines="100" w:afterLines="50" w:line="300" w:lineRule="auto"/>
        <w:jc w:val="center"/>
        <w:rPr>
          <w:rFonts w:hint="eastAsia" w:ascii="宋体" w:hAnsi="宋体" w:cs="宋体"/>
          <w:color w:val="auto"/>
          <w:sz w:val="30"/>
          <w:szCs w:val="30"/>
          <w:highlight w:val="none"/>
        </w:rPr>
      </w:pPr>
    </w:p>
    <w:p w14:paraId="17B64A4B">
      <w:pPr>
        <w:shd w:val="clear" w:color="auto" w:fill="auto"/>
        <w:autoSpaceDE w:val="0"/>
        <w:autoSpaceDN w:val="0"/>
        <w:adjustRightInd w:val="0"/>
        <w:spacing w:line="300" w:lineRule="auto"/>
        <w:jc w:val="center"/>
        <w:rPr>
          <w:rFonts w:hint="eastAsia"/>
          <w:b/>
          <w:bCs/>
          <w:color w:val="auto"/>
          <w:sz w:val="44"/>
          <w:szCs w:val="44"/>
          <w:highlight w:val="none"/>
          <w:lang w:eastAsia="zh-CN"/>
        </w:rPr>
      </w:pPr>
      <w:r>
        <w:rPr>
          <w:rFonts w:hint="eastAsia"/>
          <w:b/>
          <w:bCs/>
          <w:color w:val="auto"/>
          <w:sz w:val="44"/>
          <w:szCs w:val="44"/>
          <w:highlight w:val="none"/>
          <w:lang w:eastAsia="zh-CN"/>
        </w:rPr>
        <w:t>220kV芳赤24M1线-芳柯24M2线、110kV赤黄1879线-赤州1881线迁改移位工程</w:t>
      </w:r>
    </w:p>
    <w:p w14:paraId="176EEB82">
      <w:pPr>
        <w:shd w:val="clear" w:color="auto" w:fill="auto"/>
        <w:autoSpaceDE w:val="0"/>
        <w:autoSpaceDN w:val="0"/>
        <w:adjustRightInd w:val="0"/>
        <w:spacing w:line="300" w:lineRule="auto"/>
        <w:jc w:val="center"/>
        <w:rPr>
          <w:rFonts w:hint="eastAsia" w:ascii="宋体" w:hAnsi="宋体" w:cs="宋体"/>
          <w:b/>
          <w:bCs/>
          <w:color w:val="auto"/>
          <w:sz w:val="72"/>
          <w:szCs w:val="72"/>
          <w:highlight w:val="none"/>
        </w:rPr>
      </w:pPr>
      <w:r>
        <w:rPr>
          <w:rFonts w:hint="eastAsia"/>
          <w:b/>
          <w:bCs/>
          <w:color w:val="auto"/>
          <w:sz w:val="44"/>
          <w:szCs w:val="44"/>
          <w:highlight w:val="none"/>
          <w:lang w:eastAsia="zh-CN"/>
        </w:rPr>
        <w:t>工程总承包(EPC)</w:t>
      </w:r>
    </w:p>
    <w:p w14:paraId="122F8A4C">
      <w:pPr>
        <w:shd w:val="clear" w:color="auto" w:fill="auto"/>
        <w:autoSpaceDE w:val="0"/>
        <w:autoSpaceDN w:val="0"/>
        <w:adjustRightInd w:val="0"/>
        <w:spacing w:line="300" w:lineRule="auto"/>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投标文件</w:t>
      </w:r>
    </w:p>
    <w:p w14:paraId="2B8F3041">
      <w:pPr>
        <w:shd w:val="clear" w:color="auto" w:fill="auto"/>
        <w:autoSpaceDE w:val="0"/>
        <w:autoSpaceDN w:val="0"/>
        <w:adjustRightInd w:val="0"/>
        <w:spacing w:line="300" w:lineRule="auto"/>
        <w:rPr>
          <w:rFonts w:ascii="宋体" w:hAnsi="宋体" w:cs="宋体"/>
          <w:b/>
          <w:bCs/>
          <w:color w:val="auto"/>
          <w:sz w:val="48"/>
          <w:szCs w:val="48"/>
          <w:highlight w:val="none"/>
        </w:rPr>
      </w:pPr>
    </w:p>
    <w:p w14:paraId="4BA1C855">
      <w:pPr>
        <w:shd w:val="clear" w:color="auto" w:fill="auto"/>
        <w:autoSpaceDE w:val="0"/>
        <w:autoSpaceDN w:val="0"/>
        <w:adjustRightInd w:val="0"/>
        <w:spacing w:line="300" w:lineRule="auto"/>
        <w:rPr>
          <w:rFonts w:ascii="宋体" w:hAnsi="宋体" w:cs="宋体"/>
          <w:b/>
          <w:bCs/>
          <w:color w:val="auto"/>
          <w:sz w:val="48"/>
          <w:szCs w:val="48"/>
          <w:highlight w:val="none"/>
        </w:rPr>
      </w:pPr>
    </w:p>
    <w:p w14:paraId="5E7F11A7">
      <w:pPr>
        <w:shd w:val="clear" w:color="auto" w:fill="auto"/>
        <w:autoSpaceDE w:val="0"/>
        <w:autoSpaceDN w:val="0"/>
        <w:adjustRightInd w:val="0"/>
        <w:spacing w:line="300" w:lineRule="auto"/>
        <w:rPr>
          <w:rFonts w:ascii="宋体" w:hAnsi="宋体" w:cs="宋体"/>
          <w:b/>
          <w:bCs/>
          <w:color w:val="auto"/>
          <w:sz w:val="48"/>
          <w:szCs w:val="48"/>
          <w:highlight w:val="none"/>
        </w:rPr>
      </w:pPr>
    </w:p>
    <w:p w14:paraId="52625F7F">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投标文件内容：</w:t>
      </w:r>
      <w:r>
        <w:rPr>
          <w:rFonts w:hint="eastAsia" w:ascii="宋体" w:hAnsi="宋体" w:cs="宋体"/>
          <w:bCs/>
          <w:color w:val="auto"/>
          <w:sz w:val="30"/>
          <w:szCs w:val="30"/>
          <w:highlight w:val="none"/>
          <w:u w:val="single"/>
          <w:lang w:val="zh-CN"/>
        </w:rPr>
        <w:tab/>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投标文件</w:t>
      </w:r>
      <w:r>
        <w:rPr>
          <w:rFonts w:hint="eastAsia" w:ascii="宋体" w:hAnsi="宋体" w:cs="宋体"/>
          <w:bCs/>
          <w:color w:val="auto"/>
          <w:sz w:val="30"/>
          <w:szCs w:val="30"/>
          <w:highlight w:val="none"/>
          <w:u w:val="single"/>
          <w:lang w:val="en-US" w:eastAsia="zh-CN"/>
        </w:rPr>
        <w:t>商务标</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　　</w:t>
      </w:r>
    </w:p>
    <w:p w14:paraId="1B256DF5">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投标人：</w:t>
      </w:r>
      <w:r>
        <w:rPr>
          <w:rFonts w:hint="eastAsia" w:ascii="宋体" w:hAnsi="宋体" w:cs="宋体"/>
          <w:bCs/>
          <w:color w:val="auto"/>
          <w:sz w:val="30"/>
          <w:szCs w:val="30"/>
          <w:highlight w:val="none"/>
          <w:u w:val="single"/>
          <w:lang w:val="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en-US" w:eastAsia="zh-CN"/>
        </w:rPr>
        <w:t xml:space="preserve">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w:t>
      </w:r>
      <w:r>
        <w:rPr>
          <w:rFonts w:hint="eastAsia" w:ascii="宋体" w:hAnsi="宋体" w:cs="宋体"/>
          <w:bCs/>
          <w:color w:val="auto"/>
          <w:sz w:val="30"/>
          <w:szCs w:val="30"/>
          <w:highlight w:val="none"/>
          <w:u w:val="single"/>
        </w:rPr>
        <w:t>单位</w:t>
      </w:r>
      <w:r>
        <w:rPr>
          <w:rFonts w:hint="eastAsia" w:ascii="宋体" w:hAnsi="宋体" w:cs="宋体"/>
          <w:bCs/>
          <w:color w:val="auto"/>
          <w:sz w:val="30"/>
          <w:szCs w:val="30"/>
          <w:highlight w:val="none"/>
          <w:u w:val="single"/>
          <w:lang w:val="zh-CN"/>
        </w:rPr>
        <w:t>盖章）　</w:t>
      </w:r>
    </w:p>
    <w:p w14:paraId="0DA8964D">
      <w:pPr>
        <w:shd w:val="clear" w:color="auto" w:fill="auto"/>
        <w:autoSpaceDE w:val="0"/>
        <w:autoSpaceDN w:val="0"/>
        <w:adjustRightInd w:val="0"/>
        <w:spacing w:line="600" w:lineRule="auto"/>
        <w:ind w:firstLine="300" w:firstLineChars="100"/>
        <w:rPr>
          <w:rFonts w:ascii="宋体" w:hAnsi="宋体" w:cs="宋体"/>
          <w:bCs/>
          <w:color w:val="auto"/>
          <w:sz w:val="30"/>
          <w:szCs w:val="30"/>
          <w:highlight w:val="none"/>
          <w:u w:val="single"/>
          <w:lang w:val="zh-CN"/>
        </w:rPr>
      </w:pPr>
      <w:r>
        <w:rPr>
          <w:rFonts w:hint="eastAsia" w:ascii="宋体" w:hAnsi="宋体" w:cs="宋体"/>
          <w:bCs/>
          <w:color w:val="auto"/>
          <w:sz w:val="30"/>
          <w:szCs w:val="30"/>
          <w:highlight w:val="none"/>
          <w:lang w:val="zh-CN"/>
        </w:rPr>
        <w:t>法定代表人</w:t>
      </w:r>
      <w:r>
        <w:rPr>
          <w:rFonts w:hint="eastAsia" w:ascii="宋体" w:hAnsi="宋体" w:cs="宋体"/>
          <w:bCs/>
          <w:color w:val="auto"/>
          <w:sz w:val="30"/>
          <w:szCs w:val="30"/>
          <w:highlight w:val="none"/>
        </w:rPr>
        <w:t>或委托代理人</w:t>
      </w:r>
      <w:r>
        <w:rPr>
          <w:rFonts w:hint="eastAsia" w:ascii="宋体" w:hAnsi="宋体" w:cs="宋体"/>
          <w:bCs/>
          <w:color w:val="auto"/>
          <w:sz w:val="30"/>
          <w:szCs w:val="30"/>
          <w:highlight w:val="none"/>
          <w:lang w:val="zh-CN"/>
        </w:rPr>
        <w:t>：</w:t>
      </w:r>
      <w:r>
        <w:rPr>
          <w:rFonts w:hint="eastAsia" w:ascii="宋体" w:hAnsi="宋体" w:cs="宋体"/>
          <w:bCs/>
          <w:color w:val="auto"/>
          <w:sz w:val="30"/>
          <w:szCs w:val="30"/>
          <w:highlight w:val="none"/>
          <w:u w:val="single"/>
          <w:lang w:val="zh-CN"/>
        </w:rPr>
        <w:t>　　</w:t>
      </w:r>
      <w:r>
        <w:rPr>
          <w:rFonts w:hint="eastAsia" w:ascii="宋体" w:hAnsi="宋体" w:cs="宋体"/>
          <w:bCs/>
          <w:color w:val="auto"/>
          <w:sz w:val="30"/>
          <w:szCs w:val="30"/>
          <w:highlight w:val="none"/>
          <w:u w:val="single"/>
        </w:rPr>
        <w:t xml:space="preserve">                 </w:t>
      </w:r>
      <w:r>
        <w:rPr>
          <w:rFonts w:hint="eastAsia" w:ascii="宋体" w:hAnsi="宋体" w:cs="宋体"/>
          <w:bCs/>
          <w:color w:val="auto"/>
          <w:sz w:val="30"/>
          <w:szCs w:val="30"/>
          <w:highlight w:val="none"/>
          <w:u w:val="single"/>
          <w:lang w:val="zh-CN"/>
        </w:rPr>
        <w:t>（盖章）</w:t>
      </w:r>
      <w:r>
        <w:rPr>
          <w:rFonts w:hint="eastAsia" w:ascii="宋体" w:hAnsi="宋体" w:cs="宋体"/>
          <w:bCs/>
          <w:color w:val="auto"/>
          <w:sz w:val="30"/>
          <w:szCs w:val="30"/>
          <w:highlight w:val="none"/>
          <w:u w:val="single"/>
        </w:rPr>
        <w:t xml:space="preserve">  </w:t>
      </w:r>
    </w:p>
    <w:p w14:paraId="440B6E73">
      <w:pPr>
        <w:shd w:val="clear" w:color="auto" w:fill="auto"/>
        <w:autoSpaceDE w:val="0"/>
        <w:autoSpaceDN w:val="0"/>
        <w:adjustRightInd w:val="0"/>
        <w:spacing w:line="300" w:lineRule="auto"/>
        <w:ind w:firstLine="600" w:firstLineChars="200"/>
        <w:rPr>
          <w:rFonts w:ascii="宋体" w:hAnsi="宋体" w:cs="宋体"/>
          <w:bCs/>
          <w:color w:val="auto"/>
          <w:sz w:val="30"/>
          <w:szCs w:val="30"/>
          <w:highlight w:val="none"/>
          <w:lang w:val="zh-CN"/>
        </w:rPr>
      </w:pPr>
    </w:p>
    <w:p w14:paraId="567E35E1">
      <w:pPr>
        <w:pStyle w:val="10"/>
        <w:shd w:val="clear" w:color="auto" w:fill="auto"/>
        <w:spacing w:line="300" w:lineRule="auto"/>
        <w:rPr>
          <w:rFonts w:ascii="宋体" w:hAnsi="宋体" w:cs="宋体"/>
          <w:bCs/>
          <w:color w:val="auto"/>
          <w:sz w:val="30"/>
          <w:szCs w:val="30"/>
          <w:highlight w:val="none"/>
          <w:lang w:val="zh-CN"/>
        </w:rPr>
      </w:pPr>
    </w:p>
    <w:p w14:paraId="2844C739">
      <w:pPr>
        <w:shd w:val="clear" w:color="auto" w:fill="auto"/>
        <w:spacing w:line="300" w:lineRule="auto"/>
        <w:rPr>
          <w:rFonts w:ascii="宋体" w:hAnsi="宋体" w:cs="宋体"/>
          <w:color w:val="auto"/>
          <w:highlight w:val="none"/>
          <w:lang w:val="zh-CN"/>
        </w:rPr>
      </w:pPr>
    </w:p>
    <w:p w14:paraId="795EADBF">
      <w:pPr>
        <w:shd w:val="clear" w:color="auto" w:fill="auto"/>
        <w:spacing w:line="300" w:lineRule="auto"/>
        <w:ind w:firstLine="450" w:firstLineChars="150"/>
        <w:rPr>
          <w:rFonts w:ascii="宋体" w:hAnsi="宋体" w:cs="宋体"/>
          <w:bCs/>
          <w:color w:val="auto"/>
          <w:sz w:val="30"/>
          <w:szCs w:val="30"/>
          <w:highlight w:val="none"/>
          <w:lang w:val="zh-CN"/>
        </w:rPr>
      </w:pPr>
    </w:p>
    <w:p w14:paraId="2A71E343">
      <w:pPr>
        <w:shd w:val="clear" w:color="auto" w:fill="auto"/>
        <w:spacing w:line="300" w:lineRule="auto"/>
        <w:jc w:val="center"/>
        <w:rPr>
          <w:rFonts w:ascii="宋体" w:hAnsi="宋体" w:cs="宋体"/>
          <w:color w:val="auto"/>
          <w:highlight w:val="none"/>
          <w:lang w:val="zh-CN"/>
        </w:rPr>
      </w:pPr>
      <w:r>
        <w:rPr>
          <w:rFonts w:hint="eastAsia" w:ascii="宋体" w:hAnsi="宋体" w:cs="宋体"/>
          <w:bCs/>
          <w:color w:val="auto"/>
          <w:sz w:val="30"/>
          <w:szCs w:val="30"/>
          <w:highlight w:val="none"/>
          <w:lang w:val="zh-CN"/>
        </w:rPr>
        <w:t>日期：   年    月   日</w:t>
      </w:r>
    </w:p>
    <w:p w14:paraId="003DFDFC">
      <w:pPr>
        <w:shd w:val="clear" w:color="auto" w:fill="auto"/>
        <w:autoSpaceDE w:val="0"/>
        <w:autoSpaceDN w:val="0"/>
        <w:adjustRightInd w:val="0"/>
        <w:spacing w:line="300" w:lineRule="auto"/>
        <w:ind w:firstLine="600" w:firstLineChars="200"/>
        <w:rPr>
          <w:rFonts w:ascii="宋体" w:hAnsi="宋体" w:cs="宋体"/>
          <w:bCs/>
          <w:color w:val="auto"/>
          <w:sz w:val="30"/>
          <w:szCs w:val="30"/>
          <w:highlight w:val="none"/>
          <w:lang w:val="zh-CN"/>
        </w:rPr>
      </w:pPr>
    </w:p>
    <w:p w14:paraId="05FE38FF">
      <w:pPr>
        <w:pStyle w:val="10"/>
        <w:shd w:val="clear" w:color="auto" w:fill="auto"/>
        <w:spacing w:line="300" w:lineRule="auto"/>
        <w:rPr>
          <w:rFonts w:ascii="宋体" w:hAnsi="宋体" w:cs="宋体"/>
          <w:bCs/>
          <w:color w:val="auto"/>
          <w:sz w:val="30"/>
          <w:szCs w:val="30"/>
          <w:highlight w:val="none"/>
          <w:lang w:val="zh-CN"/>
        </w:rPr>
      </w:pPr>
    </w:p>
    <w:p w14:paraId="3296109B">
      <w:pPr>
        <w:shd w:val="clear" w:color="auto" w:fill="auto"/>
        <w:spacing w:line="300" w:lineRule="auto"/>
        <w:rPr>
          <w:rFonts w:ascii="宋体" w:hAnsi="宋体" w:cs="宋体"/>
          <w:color w:val="auto"/>
          <w:highlight w:val="none"/>
          <w:lang w:val="zh-CN"/>
        </w:rPr>
      </w:pPr>
    </w:p>
    <w:p w14:paraId="6FF7F3B8">
      <w:pPr>
        <w:shd w:val="clear" w:color="auto" w:fill="auto"/>
        <w:spacing w:line="300" w:lineRule="auto"/>
        <w:ind w:firstLine="450" w:firstLineChars="150"/>
        <w:rPr>
          <w:rFonts w:ascii="宋体" w:hAnsi="宋体" w:cs="宋体"/>
          <w:bCs/>
          <w:color w:val="auto"/>
          <w:sz w:val="30"/>
          <w:szCs w:val="30"/>
          <w:highlight w:val="none"/>
          <w:lang w:val="zh-CN"/>
        </w:rPr>
      </w:pPr>
    </w:p>
    <w:p w14:paraId="5C8DEAB8">
      <w:pPr>
        <w:shd w:val="clear" w:color="auto" w:fill="auto"/>
        <w:spacing w:line="300" w:lineRule="auto"/>
        <w:ind w:firstLine="450" w:firstLineChars="150"/>
        <w:rPr>
          <w:rFonts w:ascii="宋体" w:hAnsi="宋体" w:cs="宋体"/>
          <w:bCs/>
          <w:color w:val="auto"/>
          <w:sz w:val="30"/>
          <w:szCs w:val="30"/>
          <w:highlight w:val="none"/>
          <w:lang w:val="zh-CN"/>
        </w:rPr>
      </w:pPr>
    </w:p>
    <w:p w14:paraId="325F055E">
      <w:pPr>
        <w:keepNext/>
        <w:keepLines/>
        <w:shd w:val="clear" w:color="auto" w:fill="auto"/>
        <w:spacing w:before="260" w:after="260" w:line="30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br w:type="page"/>
      </w:r>
    </w:p>
    <w:p w14:paraId="17E8E42F">
      <w:pPr>
        <w:shd w:val="clear" w:color="auto" w:fill="auto"/>
        <w:spacing w:before="71" w:line="227" w:lineRule="auto"/>
        <w:ind w:left="3808"/>
        <w:rPr>
          <w:rFonts w:ascii="宋体" w:hAnsi="宋体" w:cs="宋体"/>
          <w:color w:val="auto"/>
          <w:sz w:val="35"/>
          <w:szCs w:val="35"/>
          <w:highlight w:val="none"/>
        </w:rPr>
      </w:pPr>
      <w:bookmarkStart w:id="708" w:name="_Toc152042578"/>
      <w:bookmarkStart w:id="709" w:name="_Toc459543247"/>
      <w:bookmarkStart w:id="710" w:name="_Toc459381977"/>
      <w:bookmarkStart w:id="711" w:name="_Toc459543581"/>
      <w:bookmarkStart w:id="712" w:name="_Toc25525032"/>
      <w:bookmarkStart w:id="713" w:name="_Toc465327737"/>
      <w:bookmarkStart w:id="714" w:name="_Toc247527829"/>
      <w:bookmarkStart w:id="715" w:name="_Toc152045789"/>
      <w:bookmarkStart w:id="716" w:name="_Toc247514248"/>
      <w:bookmarkStart w:id="717" w:name="_Toc25932348"/>
      <w:bookmarkStart w:id="718" w:name="_Toc144974858"/>
      <w:r>
        <w:rPr>
          <w:rFonts w:ascii="宋体" w:hAnsi="宋体" w:cs="宋体"/>
          <w:color w:val="auto"/>
          <w:spacing w:val="-37"/>
          <w:sz w:val="35"/>
          <w:szCs w:val="35"/>
          <w:highlight w:val="none"/>
        </w:rPr>
        <w:t>目</w:t>
      </w:r>
      <w:r>
        <w:rPr>
          <w:rFonts w:ascii="宋体" w:hAnsi="宋体" w:cs="宋体"/>
          <w:color w:val="auto"/>
          <w:spacing w:val="10"/>
          <w:sz w:val="35"/>
          <w:szCs w:val="35"/>
          <w:highlight w:val="none"/>
        </w:rPr>
        <w:t xml:space="preserve">    </w:t>
      </w:r>
      <w:r>
        <w:rPr>
          <w:rFonts w:ascii="宋体" w:hAnsi="宋体" w:cs="宋体"/>
          <w:color w:val="auto"/>
          <w:spacing w:val="-37"/>
          <w:sz w:val="35"/>
          <w:szCs w:val="35"/>
          <w:highlight w:val="none"/>
        </w:rPr>
        <w:t>录</w:t>
      </w:r>
    </w:p>
    <w:p w14:paraId="74A72E7D">
      <w:pPr>
        <w:shd w:val="clear" w:color="auto" w:fill="auto"/>
        <w:spacing w:before="203" w:line="490" w:lineRule="exact"/>
        <w:ind w:left="431"/>
        <w:rPr>
          <w:rFonts w:ascii="宋体" w:hAnsi="宋体" w:cs="宋体"/>
          <w:color w:val="auto"/>
          <w:sz w:val="24"/>
          <w:highlight w:val="none"/>
        </w:rPr>
      </w:pPr>
      <w:r>
        <w:rPr>
          <w:rFonts w:ascii="宋体" w:hAnsi="宋体" w:cs="宋体"/>
          <w:color w:val="auto"/>
          <w:spacing w:val="-3"/>
          <w:position w:val="19"/>
          <w:sz w:val="24"/>
          <w:highlight w:val="none"/>
        </w:rPr>
        <w:t>1.法定代表人身份证明书</w:t>
      </w:r>
    </w:p>
    <w:p w14:paraId="59643CE9">
      <w:pPr>
        <w:shd w:val="clear" w:color="auto" w:fill="auto"/>
        <w:spacing w:line="218" w:lineRule="auto"/>
        <w:ind w:left="416"/>
        <w:rPr>
          <w:rFonts w:ascii="宋体" w:hAnsi="宋体" w:cs="宋体"/>
          <w:color w:val="auto"/>
          <w:sz w:val="24"/>
          <w:highlight w:val="none"/>
        </w:rPr>
      </w:pPr>
      <w:r>
        <w:rPr>
          <w:rFonts w:ascii="宋体" w:hAnsi="宋体" w:cs="宋体"/>
          <w:color w:val="auto"/>
          <w:spacing w:val="-2"/>
          <w:sz w:val="24"/>
          <w:highlight w:val="none"/>
        </w:rPr>
        <w:t>2.</w:t>
      </w:r>
      <w:r>
        <w:rPr>
          <w:rFonts w:hint="eastAsia" w:ascii="宋体" w:hAnsi="宋体" w:cs="宋体"/>
          <w:color w:val="auto"/>
          <w:spacing w:val="-2"/>
          <w:sz w:val="24"/>
          <w:highlight w:val="none"/>
        </w:rPr>
        <w:t>法定代表人授权委托书</w:t>
      </w:r>
      <w:r>
        <w:rPr>
          <w:rFonts w:ascii="宋体" w:hAnsi="宋体" w:cs="宋体"/>
          <w:color w:val="auto"/>
          <w:spacing w:val="-2"/>
          <w:sz w:val="24"/>
          <w:highlight w:val="none"/>
        </w:rPr>
        <w:t>授权委托书</w:t>
      </w:r>
    </w:p>
    <w:p w14:paraId="1BA99897">
      <w:pPr>
        <w:shd w:val="clear" w:color="auto" w:fill="auto"/>
        <w:spacing w:before="207" w:line="220" w:lineRule="auto"/>
        <w:ind w:left="418"/>
        <w:rPr>
          <w:rFonts w:ascii="宋体" w:hAnsi="宋体" w:cs="宋体"/>
          <w:color w:val="auto"/>
          <w:sz w:val="24"/>
          <w:highlight w:val="none"/>
        </w:rPr>
      </w:pPr>
      <w:r>
        <w:rPr>
          <w:rFonts w:ascii="宋体" w:hAnsi="宋体" w:cs="宋体"/>
          <w:color w:val="auto"/>
          <w:spacing w:val="-3"/>
          <w:sz w:val="24"/>
          <w:highlight w:val="none"/>
        </w:rPr>
        <w:t>3.投标函</w:t>
      </w:r>
    </w:p>
    <w:p w14:paraId="34A7DE9B">
      <w:pPr>
        <w:shd w:val="clear" w:color="auto" w:fill="auto"/>
        <w:spacing w:before="203" w:line="219" w:lineRule="auto"/>
        <w:ind w:left="412"/>
        <w:rPr>
          <w:rFonts w:ascii="宋体" w:hAnsi="宋体" w:cs="宋体"/>
          <w:color w:val="auto"/>
          <w:sz w:val="24"/>
          <w:highlight w:val="none"/>
        </w:rPr>
      </w:pPr>
      <w:r>
        <w:rPr>
          <w:rFonts w:ascii="宋体" w:hAnsi="宋体" w:cs="宋体"/>
          <w:color w:val="auto"/>
          <w:spacing w:val="-2"/>
          <w:sz w:val="24"/>
          <w:highlight w:val="none"/>
        </w:rPr>
        <w:t>4.投标函附录</w:t>
      </w:r>
    </w:p>
    <w:p w14:paraId="10A5DB9F">
      <w:pPr>
        <w:shd w:val="clear" w:color="auto" w:fill="auto"/>
        <w:spacing w:before="205" w:line="219" w:lineRule="auto"/>
        <w:ind w:left="418"/>
        <w:rPr>
          <w:rFonts w:ascii="宋体" w:hAnsi="宋体" w:cs="宋体"/>
          <w:color w:val="auto"/>
          <w:sz w:val="24"/>
          <w:highlight w:val="none"/>
        </w:rPr>
      </w:pPr>
      <w:r>
        <w:rPr>
          <w:rFonts w:ascii="宋体" w:hAnsi="宋体" w:cs="宋体"/>
          <w:color w:val="auto"/>
          <w:spacing w:val="-3"/>
          <w:sz w:val="24"/>
          <w:highlight w:val="none"/>
        </w:rPr>
        <w:t>5.投标承诺书</w:t>
      </w:r>
    </w:p>
    <w:p w14:paraId="4D3992E7">
      <w:pPr>
        <w:shd w:val="clear" w:color="auto" w:fill="auto"/>
        <w:spacing w:before="207" w:line="218" w:lineRule="auto"/>
        <w:ind w:left="415"/>
        <w:rPr>
          <w:rFonts w:ascii="宋体" w:hAnsi="宋体" w:cs="宋体"/>
          <w:color w:val="auto"/>
          <w:spacing w:val="-5"/>
          <w:sz w:val="24"/>
          <w:highlight w:val="none"/>
        </w:rPr>
      </w:pPr>
      <w:r>
        <w:rPr>
          <w:rFonts w:ascii="宋体" w:hAnsi="宋体" w:cs="宋体"/>
          <w:color w:val="auto"/>
          <w:spacing w:val="-2"/>
          <w:sz w:val="24"/>
          <w:highlight w:val="none"/>
        </w:rPr>
        <w:t>6.</w:t>
      </w:r>
      <w:r>
        <w:rPr>
          <w:rFonts w:hint="eastAsia" w:ascii="宋体" w:hAnsi="宋体" w:cs="宋体"/>
          <w:color w:val="auto"/>
          <w:spacing w:val="-5"/>
          <w:sz w:val="24"/>
          <w:highlight w:val="none"/>
        </w:rPr>
        <w:t>其它资料</w:t>
      </w:r>
    </w:p>
    <w:p w14:paraId="46EAB0E2">
      <w:pPr>
        <w:shd w:val="clear" w:color="auto" w:fill="auto"/>
        <w:spacing w:before="88" w:line="224" w:lineRule="auto"/>
        <w:ind w:left="2422"/>
        <w:rPr>
          <w:rFonts w:ascii="宋体" w:hAnsi="宋体" w:cs="宋体"/>
          <w:color w:val="auto"/>
          <w:spacing w:val="9"/>
          <w:sz w:val="35"/>
          <w:szCs w:val="35"/>
          <w:highlight w:val="none"/>
        </w:rPr>
      </w:pPr>
    </w:p>
    <w:p w14:paraId="0926B18B">
      <w:pPr>
        <w:shd w:val="clear" w:color="auto" w:fill="auto"/>
        <w:spacing w:before="88" w:line="224" w:lineRule="auto"/>
        <w:ind w:left="2422"/>
        <w:rPr>
          <w:rFonts w:ascii="宋体" w:hAnsi="宋体" w:cs="宋体"/>
          <w:color w:val="auto"/>
          <w:spacing w:val="9"/>
          <w:sz w:val="35"/>
          <w:szCs w:val="35"/>
          <w:highlight w:val="none"/>
        </w:rPr>
      </w:pPr>
    </w:p>
    <w:p w14:paraId="736D7391">
      <w:pPr>
        <w:pStyle w:val="10"/>
        <w:shd w:val="clear" w:color="auto" w:fill="auto"/>
        <w:rPr>
          <w:rFonts w:ascii="宋体" w:hAnsi="宋体" w:cs="宋体"/>
          <w:color w:val="auto"/>
          <w:spacing w:val="9"/>
          <w:sz w:val="35"/>
          <w:szCs w:val="35"/>
          <w:highlight w:val="none"/>
        </w:rPr>
      </w:pPr>
    </w:p>
    <w:p w14:paraId="62C7B6AA">
      <w:pPr>
        <w:shd w:val="clear" w:color="auto" w:fill="auto"/>
        <w:rPr>
          <w:color w:val="auto"/>
          <w:highlight w:val="none"/>
        </w:rPr>
      </w:pPr>
    </w:p>
    <w:p w14:paraId="4A23314C">
      <w:pPr>
        <w:shd w:val="clear" w:color="auto" w:fill="auto"/>
        <w:spacing w:before="88" w:line="224" w:lineRule="auto"/>
        <w:ind w:left="2422"/>
        <w:rPr>
          <w:rFonts w:ascii="宋体" w:hAnsi="宋体" w:cs="宋体"/>
          <w:color w:val="auto"/>
          <w:spacing w:val="9"/>
          <w:sz w:val="35"/>
          <w:szCs w:val="35"/>
          <w:highlight w:val="none"/>
        </w:rPr>
      </w:pPr>
    </w:p>
    <w:p w14:paraId="56165BA1">
      <w:pPr>
        <w:shd w:val="clear" w:color="auto" w:fill="auto"/>
        <w:spacing w:before="88" w:line="224" w:lineRule="auto"/>
        <w:ind w:left="2422"/>
        <w:rPr>
          <w:rFonts w:ascii="宋体" w:hAnsi="宋体" w:cs="宋体"/>
          <w:color w:val="auto"/>
          <w:spacing w:val="9"/>
          <w:sz w:val="35"/>
          <w:szCs w:val="35"/>
          <w:highlight w:val="none"/>
        </w:rPr>
      </w:pPr>
    </w:p>
    <w:p w14:paraId="2E1655FC">
      <w:pPr>
        <w:shd w:val="clear" w:color="auto" w:fill="auto"/>
        <w:spacing w:before="88" w:line="224" w:lineRule="auto"/>
        <w:ind w:left="2422"/>
        <w:rPr>
          <w:rFonts w:ascii="宋体" w:hAnsi="宋体" w:cs="宋体"/>
          <w:color w:val="auto"/>
          <w:spacing w:val="9"/>
          <w:sz w:val="35"/>
          <w:szCs w:val="35"/>
          <w:highlight w:val="none"/>
        </w:rPr>
      </w:pPr>
    </w:p>
    <w:p w14:paraId="315B5674">
      <w:pPr>
        <w:shd w:val="clear" w:color="auto" w:fill="auto"/>
        <w:spacing w:before="88" w:line="224" w:lineRule="auto"/>
        <w:ind w:left="2422"/>
        <w:rPr>
          <w:rFonts w:ascii="宋体" w:hAnsi="宋体" w:cs="宋体"/>
          <w:color w:val="auto"/>
          <w:spacing w:val="9"/>
          <w:sz w:val="35"/>
          <w:szCs w:val="35"/>
          <w:highlight w:val="none"/>
        </w:rPr>
      </w:pPr>
    </w:p>
    <w:p w14:paraId="344735AE">
      <w:pPr>
        <w:shd w:val="clear" w:color="auto" w:fill="auto"/>
        <w:spacing w:before="88" w:line="224" w:lineRule="auto"/>
        <w:ind w:left="2422"/>
        <w:rPr>
          <w:rFonts w:ascii="宋体" w:hAnsi="宋体" w:cs="宋体"/>
          <w:color w:val="auto"/>
          <w:spacing w:val="9"/>
          <w:sz w:val="35"/>
          <w:szCs w:val="35"/>
          <w:highlight w:val="none"/>
        </w:rPr>
      </w:pPr>
    </w:p>
    <w:p w14:paraId="61806F98">
      <w:pPr>
        <w:shd w:val="clear" w:color="auto" w:fill="auto"/>
        <w:spacing w:before="88" w:line="224" w:lineRule="auto"/>
        <w:ind w:left="2422"/>
        <w:rPr>
          <w:rFonts w:ascii="宋体" w:hAnsi="宋体" w:cs="宋体"/>
          <w:color w:val="auto"/>
          <w:spacing w:val="9"/>
          <w:sz w:val="35"/>
          <w:szCs w:val="35"/>
          <w:highlight w:val="none"/>
        </w:rPr>
      </w:pPr>
    </w:p>
    <w:p w14:paraId="49EBF55D">
      <w:pPr>
        <w:shd w:val="clear" w:color="auto" w:fill="auto"/>
        <w:spacing w:before="88" w:line="224" w:lineRule="auto"/>
        <w:ind w:left="2422"/>
        <w:rPr>
          <w:rFonts w:ascii="宋体" w:hAnsi="宋体" w:cs="宋体"/>
          <w:color w:val="auto"/>
          <w:spacing w:val="9"/>
          <w:sz w:val="35"/>
          <w:szCs w:val="35"/>
          <w:highlight w:val="none"/>
        </w:rPr>
      </w:pPr>
    </w:p>
    <w:p w14:paraId="3B217E83">
      <w:pPr>
        <w:shd w:val="clear" w:color="auto" w:fill="auto"/>
        <w:spacing w:before="88" w:line="224" w:lineRule="auto"/>
        <w:ind w:left="2422"/>
        <w:rPr>
          <w:rFonts w:ascii="宋体" w:hAnsi="宋体" w:cs="宋体"/>
          <w:color w:val="auto"/>
          <w:spacing w:val="9"/>
          <w:sz w:val="35"/>
          <w:szCs w:val="35"/>
          <w:highlight w:val="none"/>
        </w:rPr>
      </w:pPr>
    </w:p>
    <w:p w14:paraId="0929B4B6">
      <w:pPr>
        <w:shd w:val="clear" w:color="auto" w:fill="auto"/>
        <w:spacing w:before="88" w:line="224" w:lineRule="auto"/>
        <w:ind w:left="2422"/>
        <w:rPr>
          <w:rFonts w:ascii="宋体" w:hAnsi="宋体" w:cs="宋体"/>
          <w:color w:val="auto"/>
          <w:spacing w:val="9"/>
          <w:sz w:val="35"/>
          <w:szCs w:val="35"/>
          <w:highlight w:val="none"/>
        </w:rPr>
      </w:pPr>
    </w:p>
    <w:p w14:paraId="6A50B407">
      <w:pPr>
        <w:shd w:val="clear" w:color="auto" w:fill="auto"/>
        <w:spacing w:before="88" w:line="224" w:lineRule="auto"/>
        <w:ind w:left="2422"/>
        <w:rPr>
          <w:rFonts w:ascii="宋体" w:hAnsi="宋体" w:cs="宋体"/>
          <w:color w:val="auto"/>
          <w:spacing w:val="9"/>
          <w:sz w:val="35"/>
          <w:szCs w:val="35"/>
          <w:highlight w:val="none"/>
        </w:rPr>
      </w:pPr>
    </w:p>
    <w:p w14:paraId="7EB9BE54">
      <w:pPr>
        <w:shd w:val="clear" w:color="auto" w:fill="auto"/>
        <w:spacing w:before="88" w:line="224" w:lineRule="auto"/>
        <w:ind w:left="2422"/>
        <w:rPr>
          <w:rFonts w:ascii="宋体" w:hAnsi="宋体" w:cs="宋体"/>
          <w:color w:val="auto"/>
          <w:spacing w:val="9"/>
          <w:sz w:val="35"/>
          <w:szCs w:val="35"/>
          <w:highlight w:val="none"/>
        </w:rPr>
      </w:pPr>
    </w:p>
    <w:p w14:paraId="4732ECFB">
      <w:pPr>
        <w:shd w:val="clear" w:color="auto" w:fill="auto"/>
        <w:spacing w:before="88" w:line="224" w:lineRule="auto"/>
        <w:ind w:left="2422"/>
        <w:rPr>
          <w:rFonts w:ascii="宋体" w:hAnsi="宋体" w:cs="宋体"/>
          <w:color w:val="auto"/>
          <w:spacing w:val="9"/>
          <w:sz w:val="35"/>
          <w:szCs w:val="35"/>
          <w:highlight w:val="none"/>
        </w:rPr>
      </w:pPr>
    </w:p>
    <w:p w14:paraId="4B5275B9">
      <w:pPr>
        <w:shd w:val="clear" w:color="auto" w:fill="auto"/>
        <w:spacing w:before="88" w:line="224" w:lineRule="auto"/>
        <w:ind w:left="2422"/>
        <w:rPr>
          <w:rFonts w:ascii="宋体" w:hAnsi="宋体" w:cs="宋体"/>
          <w:color w:val="auto"/>
          <w:spacing w:val="9"/>
          <w:sz w:val="35"/>
          <w:szCs w:val="35"/>
          <w:highlight w:val="none"/>
        </w:rPr>
      </w:pPr>
    </w:p>
    <w:p w14:paraId="588E4C8C">
      <w:pPr>
        <w:shd w:val="clear" w:color="auto" w:fill="auto"/>
        <w:spacing w:before="88" w:line="224" w:lineRule="auto"/>
        <w:ind w:left="2422"/>
        <w:rPr>
          <w:rFonts w:ascii="宋体" w:hAnsi="宋体" w:cs="宋体"/>
          <w:color w:val="auto"/>
          <w:spacing w:val="9"/>
          <w:sz w:val="35"/>
          <w:szCs w:val="35"/>
          <w:highlight w:val="none"/>
        </w:rPr>
      </w:pPr>
    </w:p>
    <w:p w14:paraId="10F84A40">
      <w:pPr>
        <w:shd w:val="clear" w:color="auto" w:fill="auto"/>
        <w:spacing w:before="88" w:line="224" w:lineRule="auto"/>
        <w:ind w:left="2422"/>
        <w:rPr>
          <w:rFonts w:ascii="宋体" w:hAnsi="宋体" w:cs="宋体"/>
          <w:color w:val="auto"/>
          <w:spacing w:val="9"/>
          <w:sz w:val="35"/>
          <w:szCs w:val="35"/>
          <w:highlight w:val="none"/>
        </w:rPr>
      </w:pPr>
    </w:p>
    <w:p w14:paraId="235FEE01">
      <w:pPr>
        <w:shd w:val="clear" w:color="auto" w:fill="auto"/>
        <w:spacing w:before="88" w:line="224" w:lineRule="auto"/>
        <w:ind w:left="2422"/>
        <w:rPr>
          <w:rFonts w:ascii="宋体" w:hAnsi="宋体" w:cs="宋体"/>
          <w:color w:val="auto"/>
          <w:spacing w:val="9"/>
          <w:sz w:val="35"/>
          <w:szCs w:val="35"/>
          <w:highlight w:val="none"/>
        </w:rPr>
      </w:pPr>
    </w:p>
    <w:p w14:paraId="71415B37">
      <w:pPr>
        <w:shd w:val="clear" w:color="auto" w:fill="auto"/>
        <w:spacing w:before="88" w:line="224" w:lineRule="auto"/>
        <w:ind w:left="2422"/>
        <w:rPr>
          <w:rFonts w:ascii="宋体" w:hAnsi="宋体" w:cs="宋体"/>
          <w:color w:val="auto"/>
          <w:spacing w:val="9"/>
          <w:sz w:val="35"/>
          <w:szCs w:val="35"/>
          <w:highlight w:val="none"/>
        </w:rPr>
      </w:pPr>
    </w:p>
    <w:p w14:paraId="58EEE09B">
      <w:pPr>
        <w:shd w:val="clear" w:color="auto" w:fill="auto"/>
        <w:spacing w:before="88" w:line="224" w:lineRule="auto"/>
        <w:ind w:left="2422"/>
        <w:rPr>
          <w:rFonts w:ascii="宋体" w:hAnsi="宋体" w:cs="宋体"/>
          <w:color w:val="auto"/>
          <w:sz w:val="35"/>
          <w:szCs w:val="35"/>
          <w:highlight w:val="none"/>
        </w:rPr>
      </w:pPr>
      <w:r>
        <w:rPr>
          <w:rFonts w:ascii="宋体" w:hAnsi="宋体" w:cs="宋体"/>
          <w:color w:val="auto"/>
          <w:spacing w:val="9"/>
          <w:sz w:val="35"/>
          <w:szCs w:val="35"/>
          <w:highlight w:val="none"/>
        </w:rPr>
        <w:t>法定代表人身份证明书</w:t>
      </w:r>
    </w:p>
    <w:p w14:paraId="5D940738">
      <w:pPr>
        <w:pStyle w:val="5"/>
        <w:shd w:val="clear" w:color="auto" w:fill="auto"/>
        <w:spacing w:line="267" w:lineRule="auto"/>
        <w:rPr>
          <w:color w:val="auto"/>
          <w:highlight w:val="none"/>
        </w:rPr>
      </w:pPr>
    </w:p>
    <w:p w14:paraId="79126F04">
      <w:pPr>
        <w:pStyle w:val="5"/>
        <w:shd w:val="clear" w:color="auto" w:fill="auto"/>
        <w:spacing w:line="268" w:lineRule="auto"/>
        <w:rPr>
          <w:color w:val="auto"/>
          <w:highlight w:val="none"/>
        </w:rPr>
      </w:pPr>
    </w:p>
    <w:p w14:paraId="6A676957">
      <w:pPr>
        <w:shd w:val="clear" w:color="auto" w:fill="auto"/>
        <w:spacing w:before="78" w:line="504" w:lineRule="auto"/>
        <w:ind w:left="1"/>
        <w:rPr>
          <w:rFonts w:ascii="宋体" w:hAnsi="宋体" w:cs="宋体"/>
          <w:color w:val="auto"/>
          <w:sz w:val="24"/>
          <w:highlight w:val="none"/>
        </w:rPr>
      </w:pPr>
      <w:r>
        <w:rPr>
          <w:rFonts w:ascii="宋体" w:hAnsi="宋体" w:cs="宋体"/>
          <w:color w:val="auto"/>
          <w:spacing w:val="-3"/>
          <w:sz w:val="24"/>
          <w:highlight w:val="none"/>
        </w:rPr>
        <w:t>单位名称：</w:t>
      </w:r>
      <w:r>
        <w:rPr>
          <w:rFonts w:ascii="宋体" w:hAnsi="宋体" w:cs="宋体"/>
          <w:color w:val="auto"/>
          <w:sz w:val="24"/>
          <w:highlight w:val="none"/>
          <w:u w:val="single"/>
        </w:rPr>
        <w:t xml:space="preserve">                                     </w:t>
      </w:r>
    </w:p>
    <w:p w14:paraId="517265DB">
      <w:pPr>
        <w:shd w:val="clear" w:color="auto" w:fill="auto"/>
        <w:spacing w:line="228" w:lineRule="auto"/>
        <w:rPr>
          <w:rFonts w:ascii="宋体" w:hAnsi="宋体" w:cs="宋体"/>
          <w:color w:val="auto"/>
          <w:sz w:val="24"/>
          <w:highlight w:val="none"/>
        </w:rPr>
      </w:pPr>
      <w:r>
        <w:rPr>
          <w:rFonts w:ascii="宋体" w:hAnsi="宋体" w:cs="宋体"/>
          <w:color w:val="auto"/>
          <w:spacing w:val="-7"/>
          <w:sz w:val="24"/>
          <w:highlight w:val="none"/>
        </w:rPr>
        <w:t>地</w:t>
      </w:r>
      <w:r>
        <w:rPr>
          <w:rFonts w:ascii="宋体" w:hAnsi="宋体" w:cs="宋体"/>
          <w:color w:val="auto"/>
          <w:spacing w:val="2"/>
          <w:sz w:val="24"/>
          <w:highlight w:val="none"/>
        </w:rPr>
        <w:t xml:space="preserve">    </w:t>
      </w:r>
      <w:r>
        <w:rPr>
          <w:rFonts w:ascii="宋体" w:hAnsi="宋体" w:cs="宋体"/>
          <w:color w:val="auto"/>
          <w:spacing w:val="-7"/>
          <w:sz w:val="24"/>
          <w:highlight w:val="none"/>
        </w:rPr>
        <w:t>址：</w:t>
      </w:r>
      <w:r>
        <w:rPr>
          <w:rFonts w:ascii="宋体" w:hAnsi="宋体" w:cs="宋体"/>
          <w:color w:val="auto"/>
          <w:sz w:val="24"/>
          <w:highlight w:val="none"/>
          <w:u w:val="single"/>
        </w:rPr>
        <w:t xml:space="preserve">                                      </w:t>
      </w:r>
    </w:p>
    <w:p w14:paraId="5F72B43A">
      <w:pPr>
        <w:pStyle w:val="5"/>
        <w:shd w:val="clear" w:color="auto" w:fill="auto"/>
        <w:spacing w:line="275" w:lineRule="auto"/>
        <w:rPr>
          <w:color w:val="auto"/>
          <w:highlight w:val="none"/>
        </w:rPr>
      </w:pPr>
    </w:p>
    <w:p w14:paraId="789B80CD">
      <w:pPr>
        <w:shd w:val="clear" w:color="auto" w:fill="auto"/>
        <w:spacing w:before="78" w:line="493" w:lineRule="auto"/>
        <w:ind w:left="18" w:hanging="19"/>
        <w:rPr>
          <w:rFonts w:ascii="宋体" w:hAnsi="宋体" w:cs="宋体"/>
          <w:color w:val="auto"/>
          <w:sz w:val="24"/>
          <w:highlight w:val="none"/>
        </w:rPr>
      </w:pPr>
      <w:r>
        <w:rPr>
          <w:rFonts w:ascii="宋体" w:hAnsi="宋体" w:cs="宋体"/>
          <w:color w:val="auto"/>
          <w:spacing w:val="-16"/>
          <w:sz w:val="24"/>
          <w:highlight w:val="none"/>
        </w:rPr>
        <w:t>姓名：</w:t>
      </w:r>
      <w:r>
        <w:rPr>
          <w:rFonts w:ascii="宋体" w:hAnsi="宋体" w:cs="宋体"/>
          <w:color w:val="auto"/>
          <w:spacing w:val="-16"/>
          <w:sz w:val="24"/>
          <w:highlight w:val="none"/>
          <w:u w:val="single"/>
        </w:rPr>
        <w:t xml:space="preserve">           </w:t>
      </w:r>
      <w:r>
        <w:rPr>
          <w:rFonts w:ascii="宋体" w:hAnsi="宋体" w:cs="宋体"/>
          <w:color w:val="auto"/>
          <w:spacing w:val="-107"/>
          <w:sz w:val="24"/>
          <w:highlight w:val="none"/>
        </w:rPr>
        <w:t xml:space="preserve"> </w:t>
      </w:r>
      <w:r>
        <w:rPr>
          <w:rFonts w:ascii="宋体" w:hAnsi="宋体" w:cs="宋体"/>
          <w:color w:val="auto"/>
          <w:spacing w:val="-16"/>
          <w:sz w:val="24"/>
          <w:highlight w:val="none"/>
        </w:rPr>
        <w:t>性别：</w:t>
      </w:r>
      <w:r>
        <w:rPr>
          <w:rFonts w:ascii="宋体" w:hAnsi="宋体" w:cs="宋体"/>
          <w:color w:val="auto"/>
          <w:spacing w:val="-16"/>
          <w:sz w:val="24"/>
          <w:highlight w:val="none"/>
          <w:u w:val="single"/>
        </w:rPr>
        <w:t xml:space="preserve">       </w:t>
      </w:r>
      <w:r>
        <w:rPr>
          <w:rFonts w:ascii="宋体" w:hAnsi="宋体" w:cs="宋体"/>
          <w:color w:val="auto"/>
          <w:spacing w:val="-109"/>
          <w:sz w:val="24"/>
          <w:highlight w:val="none"/>
        </w:rPr>
        <w:t xml:space="preserve"> </w:t>
      </w:r>
      <w:r>
        <w:rPr>
          <w:rFonts w:ascii="宋体" w:hAnsi="宋体" w:cs="宋体"/>
          <w:color w:val="auto"/>
          <w:spacing w:val="-16"/>
          <w:sz w:val="24"/>
          <w:highlight w:val="none"/>
        </w:rPr>
        <w:t>年龄：</w:t>
      </w:r>
      <w:r>
        <w:rPr>
          <w:rFonts w:ascii="宋体" w:hAnsi="宋体" w:cs="宋体"/>
          <w:color w:val="auto"/>
          <w:sz w:val="24"/>
          <w:highlight w:val="none"/>
          <w:u w:val="single"/>
        </w:rPr>
        <w:t xml:space="preserve">      </w:t>
      </w:r>
      <w:r>
        <w:rPr>
          <w:rFonts w:ascii="宋体" w:hAnsi="宋体" w:cs="宋体"/>
          <w:color w:val="auto"/>
          <w:spacing w:val="-110"/>
          <w:sz w:val="24"/>
          <w:highlight w:val="none"/>
        </w:rPr>
        <w:t xml:space="preserve"> </w:t>
      </w:r>
      <w:r>
        <w:rPr>
          <w:rFonts w:ascii="宋体" w:hAnsi="宋体" w:cs="宋体"/>
          <w:color w:val="auto"/>
          <w:spacing w:val="-16"/>
          <w:sz w:val="24"/>
          <w:highlight w:val="none"/>
        </w:rPr>
        <w:t>职务：</w:t>
      </w:r>
      <w:r>
        <w:rPr>
          <w:rFonts w:ascii="宋体" w:hAnsi="宋体" w:cs="宋体"/>
          <w:color w:val="auto"/>
          <w:spacing w:val="-16"/>
          <w:sz w:val="24"/>
          <w:highlight w:val="none"/>
          <w:u w:val="single"/>
        </w:rPr>
        <w:t xml:space="preserve"> </w:t>
      </w:r>
      <w:r>
        <w:rPr>
          <w:rFonts w:ascii="宋体" w:hAnsi="宋体" w:cs="宋体"/>
          <w:color w:val="auto"/>
          <w:spacing w:val="-17"/>
          <w:sz w:val="24"/>
          <w:highlight w:val="none"/>
          <w:u w:val="single"/>
        </w:rPr>
        <w:t xml:space="preserve">                           </w:t>
      </w:r>
      <w:r>
        <w:rPr>
          <w:rFonts w:ascii="宋体" w:hAnsi="宋体" w:cs="宋体"/>
          <w:color w:val="auto"/>
          <w:spacing w:val="-105"/>
          <w:sz w:val="24"/>
          <w:highlight w:val="none"/>
        </w:rPr>
        <w:t xml:space="preserve"> </w:t>
      </w:r>
      <w:r>
        <w:rPr>
          <w:rFonts w:ascii="宋体" w:hAnsi="宋体" w:cs="宋体"/>
          <w:color w:val="auto"/>
          <w:spacing w:val="-17"/>
          <w:sz w:val="24"/>
          <w:highlight w:val="none"/>
        </w:rPr>
        <w:t>系</w:t>
      </w:r>
      <w:r>
        <w:rPr>
          <w:rFonts w:ascii="宋体" w:hAnsi="宋体" w:cs="宋体"/>
          <w:color w:val="auto"/>
          <w:spacing w:val="-3"/>
          <w:sz w:val="24"/>
          <w:highlight w:val="none"/>
        </w:rPr>
        <w:t>的法定代表人。为</w:t>
      </w:r>
      <w:r>
        <w:rPr>
          <w:rFonts w:ascii="宋体" w:hAnsi="宋体" w:cs="宋体"/>
          <w:color w:val="auto"/>
          <w:spacing w:val="-3"/>
          <w:sz w:val="25"/>
          <w:szCs w:val="25"/>
          <w:highlight w:val="none"/>
          <w:u w:val="single"/>
        </w:rPr>
        <w:t xml:space="preserve">    </w:t>
      </w:r>
      <w:r>
        <w:rPr>
          <w:rFonts w:ascii="宋体" w:hAnsi="宋体" w:cs="宋体"/>
          <w:i/>
          <w:iCs/>
          <w:color w:val="auto"/>
          <w:spacing w:val="-3"/>
          <w:sz w:val="25"/>
          <w:szCs w:val="25"/>
          <w:highlight w:val="none"/>
          <w:u w:val="single"/>
        </w:rPr>
        <w:t>（项目名称）</w:t>
      </w:r>
      <w:r>
        <w:rPr>
          <w:rFonts w:ascii="宋体" w:hAnsi="宋体" w:cs="宋体"/>
          <w:color w:val="auto"/>
          <w:spacing w:val="-3"/>
          <w:sz w:val="24"/>
          <w:highlight w:val="none"/>
        </w:rPr>
        <w:t>签署的投标文件内容均有效，并进行合同谈</w:t>
      </w:r>
      <w:r>
        <w:rPr>
          <w:rFonts w:ascii="宋体" w:hAnsi="宋体" w:cs="宋体"/>
          <w:color w:val="auto"/>
          <w:spacing w:val="-1"/>
          <w:sz w:val="24"/>
          <w:highlight w:val="none"/>
        </w:rPr>
        <w:t>判、签署合同和处理与之有关的一切事务。</w:t>
      </w:r>
    </w:p>
    <w:p w14:paraId="2A19A66E">
      <w:pPr>
        <w:shd w:val="clear" w:color="auto" w:fill="auto"/>
        <w:spacing w:before="79" w:line="219" w:lineRule="auto"/>
        <w:ind w:left="258"/>
        <w:rPr>
          <w:rFonts w:ascii="宋体" w:hAnsi="宋体" w:cs="宋体"/>
          <w:color w:val="auto"/>
          <w:sz w:val="24"/>
          <w:highlight w:val="none"/>
        </w:rPr>
      </w:pPr>
      <w:r>
        <w:rPr>
          <w:rFonts w:ascii="宋体" w:hAnsi="宋体" w:cs="宋体"/>
          <w:color w:val="auto"/>
          <w:sz w:val="24"/>
          <w:highlight w:val="none"/>
        </w:rPr>
        <w:t>附</w:t>
      </w:r>
    </w:p>
    <w:p w14:paraId="764FA441">
      <w:pPr>
        <w:shd w:val="clear" w:color="auto" w:fill="auto"/>
        <w:spacing w:line="21" w:lineRule="exact"/>
        <w:rPr>
          <w:color w:val="auto"/>
          <w:highlight w:val="none"/>
        </w:rPr>
      </w:pPr>
    </w:p>
    <w:tbl>
      <w:tblPr>
        <w:tblStyle w:val="22"/>
        <w:tblW w:w="0" w:type="auto"/>
        <w:tblInd w:w="10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568E9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trPr>
        <w:tc>
          <w:tcPr>
            <w:tcW w:w="6666" w:type="dxa"/>
            <w:noWrap w:val="0"/>
            <w:vAlign w:val="top"/>
          </w:tcPr>
          <w:p w14:paraId="4B018250">
            <w:pPr>
              <w:shd w:val="clear" w:color="auto" w:fill="auto"/>
              <w:spacing w:line="267" w:lineRule="auto"/>
              <w:rPr>
                <w:rFonts w:ascii="Arial"/>
                <w:color w:val="auto"/>
                <w:highlight w:val="none"/>
              </w:rPr>
            </w:pPr>
          </w:p>
          <w:p w14:paraId="30FA24B4">
            <w:pPr>
              <w:shd w:val="clear" w:color="auto" w:fill="auto"/>
              <w:spacing w:line="267" w:lineRule="auto"/>
              <w:rPr>
                <w:rFonts w:ascii="Arial"/>
                <w:color w:val="auto"/>
                <w:highlight w:val="none"/>
              </w:rPr>
            </w:pPr>
          </w:p>
          <w:p w14:paraId="07CBB4CF">
            <w:pPr>
              <w:shd w:val="clear" w:color="auto" w:fill="auto"/>
              <w:spacing w:line="267" w:lineRule="auto"/>
              <w:rPr>
                <w:rFonts w:ascii="Arial"/>
                <w:color w:val="auto"/>
                <w:highlight w:val="none"/>
              </w:rPr>
            </w:pPr>
          </w:p>
          <w:p w14:paraId="645B4A6C">
            <w:pPr>
              <w:shd w:val="clear" w:color="auto" w:fill="auto"/>
              <w:spacing w:line="268" w:lineRule="auto"/>
              <w:rPr>
                <w:rFonts w:ascii="Arial"/>
                <w:color w:val="auto"/>
                <w:highlight w:val="none"/>
              </w:rPr>
            </w:pPr>
          </w:p>
          <w:p w14:paraId="56701838">
            <w:pPr>
              <w:pStyle w:val="16"/>
              <w:shd w:val="clear" w:color="auto" w:fill="auto"/>
              <w:spacing w:before="78" w:line="219" w:lineRule="auto"/>
              <w:ind w:left="1061"/>
              <w:rPr>
                <w:color w:val="auto"/>
                <w:sz w:val="24"/>
                <w:szCs w:val="24"/>
                <w:highlight w:val="none"/>
              </w:rPr>
            </w:pPr>
            <w:r>
              <w:rPr>
                <w:color w:val="auto"/>
                <w:spacing w:val="-1"/>
                <w:sz w:val="24"/>
                <w:szCs w:val="24"/>
                <w:highlight w:val="none"/>
              </w:rPr>
              <w:t>法定代表人身份证正面原件的复制件粘贴处</w:t>
            </w:r>
          </w:p>
        </w:tc>
      </w:tr>
      <w:tr w14:paraId="01B4C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2" w:hRule="atLeast"/>
        </w:trPr>
        <w:tc>
          <w:tcPr>
            <w:tcW w:w="6666" w:type="dxa"/>
            <w:noWrap w:val="0"/>
            <w:vAlign w:val="top"/>
          </w:tcPr>
          <w:p w14:paraId="643397E9">
            <w:pPr>
              <w:shd w:val="clear" w:color="auto" w:fill="auto"/>
              <w:spacing w:line="307" w:lineRule="auto"/>
              <w:rPr>
                <w:rFonts w:ascii="Arial"/>
                <w:color w:val="auto"/>
                <w:highlight w:val="none"/>
              </w:rPr>
            </w:pPr>
          </w:p>
          <w:p w14:paraId="0960FE4B">
            <w:pPr>
              <w:shd w:val="clear" w:color="auto" w:fill="auto"/>
              <w:spacing w:line="307" w:lineRule="auto"/>
              <w:rPr>
                <w:rFonts w:ascii="Arial"/>
                <w:color w:val="auto"/>
                <w:highlight w:val="none"/>
              </w:rPr>
            </w:pPr>
          </w:p>
          <w:p w14:paraId="6EEAAD84">
            <w:pPr>
              <w:shd w:val="clear" w:color="auto" w:fill="auto"/>
              <w:spacing w:line="307" w:lineRule="auto"/>
              <w:rPr>
                <w:rFonts w:ascii="Arial"/>
                <w:color w:val="auto"/>
                <w:highlight w:val="none"/>
              </w:rPr>
            </w:pPr>
          </w:p>
          <w:p w14:paraId="5AA8F67F">
            <w:pPr>
              <w:pStyle w:val="16"/>
              <w:shd w:val="clear" w:color="auto" w:fill="auto"/>
              <w:spacing w:before="78" w:line="219" w:lineRule="auto"/>
              <w:ind w:left="1061"/>
              <w:rPr>
                <w:color w:val="auto"/>
                <w:sz w:val="24"/>
                <w:szCs w:val="24"/>
                <w:highlight w:val="none"/>
              </w:rPr>
            </w:pPr>
            <w:r>
              <w:rPr>
                <w:color w:val="auto"/>
                <w:spacing w:val="-1"/>
                <w:sz w:val="24"/>
                <w:szCs w:val="24"/>
                <w:highlight w:val="none"/>
              </w:rPr>
              <w:t>法定代表人身份证背面原件的复制件粘贴处</w:t>
            </w:r>
          </w:p>
        </w:tc>
      </w:tr>
    </w:tbl>
    <w:p w14:paraId="5EC7DE6B">
      <w:pPr>
        <w:shd w:val="clear" w:color="auto" w:fill="auto"/>
        <w:spacing w:before="206" w:line="219" w:lineRule="auto"/>
        <w:rPr>
          <w:rFonts w:ascii="宋体" w:hAnsi="宋体" w:cs="宋体"/>
          <w:color w:val="auto"/>
          <w:sz w:val="24"/>
          <w:highlight w:val="none"/>
        </w:rPr>
      </w:pPr>
      <w:r>
        <w:rPr>
          <w:rFonts w:ascii="宋体" w:hAnsi="宋体" w:cs="宋体"/>
          <w:color w:val="auto"/>
          <w:spacing w:val="-2"/>
          <w:sz w:val="24"/>
          <w:highlight w:val="none"/>
        </w:rPr>
        <w:t>特此证明。</w:t>
      </w:r>
    </w:p>
    <w:p w14:paraId="3B9454AC">
      <w:pPr>
        <w:pStyle w:val="5"/>
        <w:shd w:val="clear" w:color="auto" w:fill="auto"/>
        <w:spacing w:line="259" w:lineRule="auto"/>
        <w:rPr>
          <w:color w:val="auto"/>
          <w:highlight w:val="none"/>
        </w:rPr>
      </w:pPr>
    </w:p>
    <w:p w14:paraId="72D58592">
      <w:pPr>
        <w:pStyle w:val="5"/>
        <w:shd w:val="clear" w:color="auto" w:fill="auto"/>
        <w:spacing w:line="259" w:lineRule="auto"/>
        <w:rPr>
          <w:color w:val="auto"/>
          <w:highlight w:val="none"/>
        </w:rPr>
      </w:pPr>
    </w:p>
    <w:p w14:paraId="4736B1AC">
      <w:pPr>
        <w:pStyle w:val="5"/>
        <w:shd w:val="clear" w:color="auto" w:fill="auto"/>
        <w:spacing w:line="260" w:lineRule="auto"/>
        <w:rPr>
          <w:color w:val="auto"/>
          <w:highlight w:val="none"/>
        </w:rPr>
      </w:pPr>
    </w:p>
    <w:p w14:paraId="083781EB">
      <w:pPr>
        <w:shd w:val="clear" w:color="auto" w:fill="auto"/>
        <w:spacing w:before="79" w:line="219" w:lineRule="auto"/>
        <w:ind w:left="3242"/>
        <w:rPr>
          <w:rFonts w:ascii="宋体" w:hAnsi="宋体" w:cs="宋体"/>
          <w:color w:val="auto"/>
          <w:sz w:val="24"/>
          <w:highlight w:val="none"/>
        </w:rPr>
      </w:pPr>
      <w:r>
        <w:rPr>
          <w:rFonts w:ascii="宋体" w:hAnsi="宋体" w:cs="宋体"/>
          <w:color w:val="auto"/>
          <w:spacing w:val="2"/>
          <w:sz w:val="24"/>
          <w:highlight w:val="none"/>
        </w:rPr>
        <w:t>投标人</w:t>
      </w:r>
      <w:r>
        <w:rPr>
          <w:rFonts w:ascii="宋体" w:hAnsi="宋体" w:cs="宋体"/>
          <w:color w:val="auto"/>
          <w:spacing w:val="-15"/>
          <w:sz w:val="24"/>
          <w:highlight w:val="none"/>
        </w:rPr>
        <w:t>：</w:t>
      </w:r>
      <w:r>
        <w:rPr>
          <w:rFonts w:ascii="宋体" w:hAnsi="宋体" w:cs="宋体"/>
          <w:color w:val="auto"/>
          <w:sz w:val="24"/>
          <w:highlight w:val="none"/>
          <w:u w:val="single"/>
        </w:rPr>
        <w:t xml:space="preserve">        </w:t>
      </w:r>
      <w:r>
        <w:rPr>
          <w:rFonts w:ascii="宋体" w:hAnsi="宋体" w:cs="宋体"/>
          <w:color w:val="auto"/>
          <w:spacing w:val="-15"/>
          <w:sz w:val="24"/>
          <w:highlight w:val="none"/>
          <w:u w:val="single"/>
        </w:rPr>
        <w:t>（</w:t>
      </w:r>
      <w:r>
        <w:rPr>
          <w:rFonts w:ascii="宋体" w:hAnsi="宋体" w:cs="宋体"/>
          <w:color w:val="auto"/>
          <w:spacing w:val="2"/>
          <w:sz w:val="24"/>
          <w:highlight w:val="none"/>
          <w:u w:val="single"/>
        </w:rPr>
        <w:t>单位盖章）</w:t>
      </w:r>
      <w:r>
        <w:rPr>
          <w:rFonts w:ascii="宋体" w:hAnsi="宋体" w:cs="宋体"/>
          <w:color w:val="auto"/>
          <w:sz w:val="24"/>
          <w:highlight w:val="none"/>
          <w:u w:val="single"/>
        </w:rPr>
        <w:t xml:space="preserve">       </w:t>
      </w:r>
    </w:p>
    <w:p w14:paraId="7DBE52FD">
      <w:pPr>
        <w:pStyle w:val="5"/>
        <w:shd w:val="clear" w:color="auto" w:fill="auto"/>
        <w:spacing w:line="289" w:lineRule="auto"/>
        <w:rPr>
          <w:color w:val="auto"/>
          <w:highlight w:val="none"/>
        </w:rPr>
      </w:pPr>
    </w:p>
    <w:p w14:paraId="4991F401">
      <w:pPr>
        <w:shd w:val="clear" w:color="auto" w:fill="auto"/>
        <w:spacing w:before="79" w:line="219" w:lineRule="auto"/>
        <w:ind w:left="3281"/>
        <w:rPr>
          <w:rFonts w:ascii="宋体" w:hAnsi="宋体" w:cs="宋体"/>
          <w:color w:val="auto"/>
          <w:sz w:val="24"/>
          <w:highlight w:val="none"/>
        </w:rPr>
      </w:pPr>
      <w:r>
        <w:rPr>
          <w:rFonts w:ascii="宋体" w:hAnsi="宋体" w:cs="宋体"/>
          <w:color w:val="auto"/>
          <w:spacing w:val="-15"/>
          <w:sz w:val="24"/>
          <w:highlight w:val="none"/>
        </w:rPr>
        <w:t>日</w:t>
      </w:r>
      <w:r>
        <w:rPr>
          <w:rFonts w:ascii="宋体" w:hAnsi="宋体" w:cs="宋体"/>
          <w:color w:val="auto"/>
          <w:spacing w:val="3"/>
          <w:sz w:val="24"/>
          <w:highlight w:val="none"/>
        </w:rPr>
        <w:t xml:space="preserve">    </w:t>
      </w:r>
      <w:r>
        <w:rPr>
          <w:rFonts w:ascii="宋体" w:hAnsi="宋体" w:cs="宋体"/>
          <w:color w:val="auto"/>
          <w:spacing w:val="-15"/>
          <w:sz w:val="24"/>
          <w:highlight w:val="none"/>
        </w:rPr>
        <w:t>期：</w:t>
      </w:r>
      <w:r>
        <w:rPr>
          <w:rFonts w:ascii="宋体" w:hAnsi="宋体" w:cs="宋体"/>
          <w:color w:val="auto"/>
          <w:sz w:val="24"/>
          <w:highlight w:val="none"/>
          <w:u w:val="single"/>
        </w:rPr>
        <w:t xml:space="preserve">      </w:t>
      </w:r>
      <w:r>
        <w:rPr>
          <w:rFonts w:ascii="宋体" w:hAnsi="宋体" w:cs="宋体"/>
          <w:color w:val="auto"/>
          <w:spacing w:val="-109"/>
          <w:sz w:val="24"/>
          <w:highlight w:val="none"/>
        </w:rPr>
        <w:t xml:space="preserve"> </w:t>
      </w:r>
      <w:r>
        <w:rPr>
          <w:rFonts w:ascii="宋体" w:hAnsi="宋体" w:cs="宋体"/>
          <w:color w:val="auto"/>
          <w:spacing w:val="-15"/>
          <w:sz w:val="24"/>
          <w:highlight w:val="none"/>
        </w:rPr>
        <w:t>年</w:t>
      </w:r>
      <w:r>
        <w:rPr>
          <w:rFonts w:ascii="宋体" w:hAnsi="宋体" w:cs="宋体"/>
          <w:color w:val="auto"/>
          <w:spacing w:val="23"/>
          <w:sz w:val="24"/>
          <w:highlight w:val="none"/>
          <w:u w:val="single"/>
        </w:rPr>
        <w:t xml:space="preserve">     </w:t>
      </w:r>
      <w:r>
        <w:rPr>
          <w:rFonts w:ascii="宋体" w:hAnsi="宋体" w:cs="宋体"/>
          <w:color w:val="auto"/>
          <w:spacing w:val="-100"/>
          <w:sz w:val="24"/>
          <w:highlight w:val="none"/>
        </w:rPr>
        <w:t xml:space="preserve"> </w:t>
      </w:r>
      <w:r>
        <w:rPr>
          <w:rFonts w:ascii="宋体" w:hAnsi="宋体" w:cs="宋体"/>
          <w:color w:val="auto"/>
          <w:spacing w:val="-15"/>
          <w:sz w:val="24"/>
          <w:highlight w:val="none"/>
        </w:rPr>
        <w:t>月</w:t>
      </w:r>
      <w:r>
        <w:rPr>
          <w:rFonts w:ascii="宋体" w:hAnsi="宋体" w:cs="宋体"/>
          <w:color w:val="auto"/>
          <w:spacing w:val="19"/>
          <w:sz w:val="24"/>
          <w:highlight w:val="none"/>
          <w:u w:val="single"/>
        </w:rPr>
        <w:t xml:space="preserve">      </w:t>
      </w:r>
      <w:r>
        <w:rPr>
          <w:rFonts w:ascii="宋体" w:hAnsi="宋体" w:cs="宋体"/>
          <w:color w:val="auto"/>
          <w:spacing w:val="-64"/>
          <w:sz w:val="24"/>
          <w:highlight w:val="none"/>
        </w:rPr>
        <w:t xml:space="preserve"> </w:t>
      </w:r>
      <w:r>
        <w:rPr>
          <w:rFonts w:ascii="宋体" w:hAnsi="宋体" w:cs="宋体"/>
          <w:color w:val="auto"/>
          <w:spacing w:val="-15"/>
          <w:sz w:val="24"/>
          <w:highlight w:val="none"/>
        </w:rPr>
        <w:t>日</w:t>
      </w:r>
    </w:p>
    <w:p w14:paraId="1E00D849">
      <w:pPr>
        <w:pStyle w:val="5"/>
        <w:shd w:val="clear" w:color="auto" w:fill="auto"/>
        <w:spacing w:line="290" w:lineRule="auto"/>
        <w:rPr>
          <w:color w:val="auto"/>
          <w:highlight w:val="none"/>
        </w:rPr>
      </w:pPr>
    </w:p>
    <w:p w14:paraId="571C9547">
      <w:pPr>
        <w:pStyle w:val="5"/>
        <w:shd w:val="clear" w:color="auto" w:fill="auto"/>
        <w:spacing w:line="291" w:lineRule="auto"/>
        <w:rPr>
          <w:color w:val="auto"/>
          <w:highlight w:val="none"/>
        </w:rPr>
      </w:pPr>
    </w:p>
    <w:p w14:paraId="303E7F49">
      <w:pPr>
        <w:shd w:val="clear" w:color="auto" w:fill="auto"/>
        <w:spacing w:line="222" w:lineRule="auto"/>
        <w:rPr>
          <w:rFonts w:ascii="宋体" w:hAnsi="宋体" w:cs="宋体"/>
          <w:color w:val="auto"/>
          <w:sz w:val="28"/>
          <w:szCs w:val="28"/>
          <w:highlight w:val="none"/>
        </w:rPr>
        <w:sectPr>
          <w:footerReference r:id="rId16" w:type="default"/>
          <w:pgSz w:w="11850" w:h="16783"/>
          <w:pgMar w:top="1426" w:right="1700" w:bottom="1157" w:left="1710" w:header="0" w:footer="992" w:gutter="0"/>
          <w:pgNumType w:fmt="decimal"/>
          <w:cols w:space="720" w:num="1"/>
        </w:sectPr>
      </w:pPr>
    </w:p>
    <w:p w14:paraId="6BAC3B87">
      <w:pPr>
        <w:shd w:val="clear" w:color="auto" w:fill="auto"/>
        <w:spacing w:before="71" w:line="224" w:lineRule="auto"/>
        <w:ind w:left="3323"/>
        <w:rPr>
          <w:rFonts w:ascii="宋体" w:hAnsi="宋体" w:cs="宋体"/>
          <w:color w:val="auto"/>
          <w:sz w:val="35"/>
          <w:szCs w:val="35"/>
          <w:highlight w:val="none"/>
        </w:rPr>
      </w:pPr>
      <w:r>
        <w:rPr>
          <w:rFonts w:ascii="宋体" w:hAnsi="宋体" w:cs="宋体"/>
          <w:color w:val="auto"/>
          <w:spacing w:val="8"/>
          <w:sz w:val="35"/>
          <w:szCs w:val="35"/>
          <w:highlight w:val="none"/>
        </w:rPr>
        <w:t>授权委托书</w:t>
      </w:r>
    </w:p>
    <w:p w14:paraId="27A37AFC">
      <w:pPr>
        <w:shd w:val="clear" w:color="auto" w:fill="auto"/>
        <w:spacing w:before="289" w:line="488" w:lineRule="auto"/>
        <w:ind w:left="2" w:firstLine="719"/>
        <w:rPr>
          <w:rFonts w:ascii="宋体" w:hAnsi="宋体" w:cs="宋体"/>
          <w:color w:val="auto"/>
          <w:sz w:val="24"/>
          <w:highlight w:val="none"/>
        </w:rPr>
      </w:pPr>
      <w:r>
        <w:rPr>
          <w:rFonts w:ascii="宋体" w:hAnsi="宋体" w:cs="宋体"/>
          <w:color w:val="auto"/>
          <w:spacing w:val="-4"/>
          <w:sz w:val="24"/>
          <w:highlight w:val="none"/>
        </w:rPr>
        <w:t>本授权委托书声明：我</w:t>
      </w:r>
      <w:r>
        <w:rPr>
          <w:rFonts w:ascii="宋体" w:hAnsi="宋体" w:cs="宋体"/>
          <w:color w:val="auto"/>
          <w:spacing w:val="107"/>
          <w:sz w:val="25"/>
          <w:szCs w:val="25"/>
          <w:highlight w:val="none"/>
          <w:u w:val="single"/>
        </w:rPr>
        <w:t xml:space="preserve"> </w:t>
      </w:r>
      <w:r>
        <w:rPr>
          <w:rFonts w:ascii="宋体" w:hAnsi="宋体" w:cs="宋体"/>
          <w:i/>
          <w:iCs/>
          <w:color w:val="auto"/>
          <w:spacing w:val="-4"/>
          <w:sz w:val="25"/>
          <w:szCs w:val="25"/>
          <w:highlight w:val="none"/>
          <w:u w:val="single"/>
        </w:rPr>
        <w:t>（姓名）</w:t>
      </w:r>
      <w:r>
        <w:rPr>
          <w:rFonts w:ascii="宋体" w:hAnsi="宋体" w:cs="宋体"/>
          <w:color w:val="auto"/>
          <w:spacing w:val="-4"/>
          <w:sz w:val="24"/>
          <w:highlight w:val="none"/>
        </w:rPr>
        <w:t>系</w:t>
      </w:r>
      <w:r>
        <w:rPr>
          <w:rFonts w:ascii="宋体" w:hAnsi="宋体" w:cs="宋体"/>
          <w:color w:val="auto"/>
          <w:spacing w:val="48"/>
          <w:sz w:val="25"/>
          <w:szCs w:val="25"/>
          <w:highlight w:val="none"/>
          <w:u w:val="single"/>
        </w:rPr>
        <w:t xml:space="preserve">  </w:t>
      </w:r>
      <w:r>
        <w:rPr>
          <w:rFonts w:ascii="宋体" w:hAnsi="宋体" w:cs="宋体"/>
          <w:i/>
          <w:iCs/>
          <w:color w:val="auto"/>
          <w:spacing w:val="-4"/>
          <w:sz w:val="25"/>
          <w:szCs w:val="25"/>
          <w:highlight w:val="none"/>
          <w:u w:val="single"/>
        </w:rPr>
        <w:t>（投标单位名称）</w:t>
      </w:r>
      <w:r>
        <w:rPr>
          <w:rFonts w:ascii="宋体" w:hAnsi="宋体" w:cs="宋体"/>
          <w:color w:val="auto"/>
          <w:spacing w:val="-4"/>
          <w:sz w:val="24"/>
          <w:highlight w:val="none"/>
        </w:rPr>
        <w:t>的法定代表人，</w:t>
      </w:r>
      <w:r>
        <w:rPr>
          <w:rFonts w:ascii="宋体" w:hAnsi="宋体" w:cs="宋体"/>
          <w:color w:val="auto"/>
          <w:sz w:val="24"/>
          <w:highlight w:val="none"/>
        </w:rPr>
        <w:t xml:space="preserve"> </w:t>
      </w:r>
      <w:r>
        <w:rPr>
          <w:rFonts w:ascii="宋体" w:hAnsi="宋体" w:cs="宋体"/>
          <w:color w:val="auto"/>
          <w:spacing w:val="-4"/>
          <w:sz w:val="24"/>
          <w:highlight w:val="none"/>
        </w:rPr>
        <w:t>现授权委托</w:t>
      </w:r>
      <w:r>
        <w:rPr>
          <w:rFonts w:ascii="宋体" w:hAnsi="宋体" w:cs="宋体"/>
          <w:i/>
          <w:iCs/>
          <w:color w:val="auto"/>
          <w:spacing w:val="-4"/>
          <w:sz w:val="25"/>
          <w:szCs w:val="25"/>
          <w:highlight w:val="none"/>
          <w:u w:val="single"/>
        </w:rPr>
        <w:t>（单位名称）</w:t>
      </w:r>
      <w:r>
        <w:rPr>
          <w:rFonts w:ascii="宋体" w:hAnsi="宋体" w:cs="宋体"/>
          <w:color w:val="auto"/>
          <w:spacing w:val="-77"/>
          <w:sz w:val="25"/>
          <w:szCs w:val="25"/>
          <w:highlight w:val="none"/>
          <w:u w:val="single"/>
        </w:rPr>
        <w:t xml:space="preserve"> </w:t>
      </w:r>
      <w:r>
        <w:rPr>
          <w:rFonts w:ascii="宋体" w:hAnsi="宋体" w:cs="宋体"/>
          <w:color w:val="auto"/>
          <w:spacing w:val="-96"/>
          <w:sz w:val="25"/>
          <w:szCs w:val="25"/>
          <w:highlight w:val="none"/>
        </w:rPr>
        <w:t xml:space="preserve"> </w:t>
      </w:r>
      <w:r>
        <w:rPr>
          <w:rFonts w:ascii="宋体" w:hAnsi="宋体" w:cs="宋体"/>
          <w:color w:val="auto"/>
          <w:spacing w:val="-4"/>
          <w:sz w:val="24"/>
          <w:highlight w:val="none"/>
        </w:rPr>
        <w:t>的</w:t>
      </w:r>
      <w:r>
        <w:rPr>
          <w:rFonts w:ascii="宋体" w:hAnsi="宋体" w:cs="宋体"/>
          <w:color w:val="auto"/>
          <w:spacing w:val="-4"/>
          <w:sz w:val="24"/>
          <w:highlight w:val="none"/>
          <w:u w:val="single"/>
        </w:rPr>
        <w:t>（姓名）</w:t>
      </w:r>
      <w:r>
        <w:rPr>
          <w:rFonts w:ascii="宋体" w:hAnsi="宋体" w:cs="宋体"/>
          <w:color w:val="auto"/>
          <w:spacing w:val="-4"/>
          <w:sz w:val="24"/>
          <w:highlight w:val="none"/>
        </w:rPr>
        <w:t>在</w:t>
      </w:r>
      <w:r>
        <w:rPr>
          <w:rFonts w:ascii="宋体" w:hAnsi="宋体" w:cs="宋体"/>
          <w:color w:val="auto"/>
          <w:spacing w:val="-4"/>
          <w:sz w:val="24"/>
          <w:highlight w:val="none"/>
          <w:u w:val="single"/>
        </w:rPr>
        <w:t xml:space="preserve">  </w:t>
      </w:r>
      <w:r>
        <w:rPr>
          <w:rFonts w:ascii="宋体" w:hAnsi="宋体" w:cs="宋体"/>
          <w:color w:val="auto"/>
          <w:spacing w:val="-109"/>
          <w:sz w:val="24"/>
          <w:highlight w:val="none"/>
        </w:rPr>
        <w:t xml:space="preserve"> </w:t>
      </w:r>
      <w:r>
        <w:rPr>
          <w:rFonts w:ascii="宋体" w:hAnsi="宋体" w:cs="宋体"/>
          <w:color w:val="auto"/>
          <w:spacing w:val="-5"/>
          <w:sz w:val="24"/>
          <w:highlight w:val="none"/>
        </w:rPr>
        <w:t>年</w:t>
      </w:r>
      <w:r>
        <w:rPr>
          <w:rFonts w:ascii="宋体" w:hAnsi="宋体" w:cs="宋体"/>
          <w:color w:val="auto"/>
          <w:spacing w:val="-5"/>
          <w:sz w:val="24"/>
          <w:highlight w:val="none"/>
          <w:u w:val="single"/>
        </w:rPr>
        <w:t xml:space="preserve">  </w:t>
      </w:r>
      <w:r>
        <w:rPr>
          <w:rFonts w:ascii="宋体" w:hAnsi="宋体" w:cs="宋体"/>
          <w:color w:val="auto"/>
          <w:spacing w:val="-104"/>
          <w:sz w:val="24"/>
          <w:highlight w:val="none"/>
        </w:rPr>
        <w:t xml:space="preserve"> </w:t>
      </w:r>
      <w:r>
        <w:rPr>
          <w:rFonts w:ascii="宋体" w:hAnsi="宋体" w:cs="宋体"/>
          <w:color w:val="auto"/>
          <w:spacing w:val="-5"/>
          <w:sz w:val="24"/>
          <w:highlight w:val="none"/>
        </w:rPr>
        <w:t>月</w:t>
      </w:r>
      <w:r>
        <w:rPr>
          <w:rFonts w:ascii="宋体" w:hAnsi="宋体" w:cs="宋体"/>
          <w:color w:val="auto"/>
          <w:spacing w:val="-5"/>
          <w:sz w:val="24"/>
          <w:highlight w:val="none"/>
          <w:u w:val="single"/>
        </w:rPr>
        <w:t xml:space="preserve">  </w:t>
      </w:r>
      <w:r>
        <w:rPr>
          <w:rFonts w:ascii="宋体" w:hAnsi="宋体" w:cs="宋体"/>
          <w:color w:val="auto"/>
          <w:spacing w:val="-69"/>
          <w:sz w:val="24"/>
          <w:highlight w:val="none"/>
        </w:rPr>
        <w:t xml:space="preserve"> </w:t>
      </w:r>
      <w:r>
        <w:rPr>
          <w:rFonts w:ascii="宋体" w:hAnsi="宋体" w:cs="宋体"/>
          <w:color w:val="auto"/>
          <w:spacing w:val="-5"/>
          <w:sz w:val="24"/>
          <w:highlight w:val="none"/>
        </w:rPr>
        <w:t>日至</w:t>
      </w:r>
      <w:r>
        <w:rPr>
          <w:rFonts w:ascii="宋体" w:hAnsi="宋体" w:cs="宋体"/>
          <w:color w:val="auto"/>
          <w:spacing w:val="-5"/>
          <w:sz w:val="24"/>
          <w:highlight w:val="none"/>
          <w:u w:val="single"/>
        </w:rPr>
        <w:t xml:space="preserve">   </w:t>
      </w:r>
      <w:r>
        <w:rPr>
          <w:rFonts w:ascii="宋体" w:hAnsi="宋体" w:cs="宋体"/>
          <w:color w:val="auto"/>
          <w:spacing w:val="-109"/>
          <w:sz w:val="24"/>
          <w:highlight w:val="none"/>
        </w:rPr>
        <w:t xml:space="preserve"> </w:t>
      </w:r>
      <w:r>
        <w:rPr>
          <w:rFonts w:ascii="宋体" w:hAnsi="宋体" w:cs="宋体"/>
          <w:color w:val="auto"/>
          <w:spacing w:val="-5"/>
          <w:sz w:val="24"/>
          <w:highlight w:val="none"/>
        </w:rPr>
        <w:t>年</w:t>
      </w:r>
      <w:r>
        <w:rPr>
          <w:rFonts w:ascii="宋体" w:hAnsi="宋体" w:cs="宋体"/>
          <w:color w:val="auto"/>
          <w:spacing w:val="-5"/>
          <w:sz w:val="24"/>
          <w:highlight w:val="none"/>
          <w:u w:val="single"/>
        </w:rPr>
        <w:t xml:space="preserve">  </w:t>
      </w:r>
      <w:r>
        <w:rPr>
          <w:rFonts w:ascii="宋体" w:hAnsi="宋体" w:cs="宋体"/>
          <w:color w:val="auto"/>
          <w:spacing w:val="-104"/>
          <w:sz w:val="24"/>
          <w:highlight w:val="none"/>
        </w:rPr>
        <w:t xml:space="preserve"> </w:t>
      </w:r>
      <w:r>
        <w:rPr>
          <w:rFonts w:ascii="宋体" w:hAnsi="宋体" w:cs="宋体"/>
          <w:color w:val="auto"/>
          <w:spacing w:val="-5"/>
          <w:sz w:val="24"/>
          <w:highlight w:val="none"/>
        </w:rPr>
        <w:t>月</w:t>
      </w:r>
      <w:r>
        <w:rPr>
          <w:rFonts w:ascii="宋体" w:hAnsi="宋体" w:cs="宋体"/>
          <w:color w:val="auto"/>
          <w:spacing w:val="-5"/>
          <w:sz w:val="24"/>
          <w:highlight w:val="none"/>
          <w:u w:val="single"/>
        </w:rPr>
        <w:t xml:space="preserve">  </w:t>
      </w:r>
      <w:r>
        <w:rPr>
          <w:rFonts w:ascii="宋体" w:hAnsi="宋体" w:cs="宋体"/>
          <w:color w:val="auto"/>
          <w:spacing w:val="-69"/>
          <w:sz w:val="24"/>
          <w:highlight w:val="none"/>
        </w:rPr>
        <w:t xml:space="preserve"> </w:t>
      </w:r>
      <w:r>
        <w:rPr>
          <w:rFonts w:ascii="宋体" w:hAnsi="宋体" w:cs="宋体"/>
          <w:color w:val="auto"/>
          <w:spacing w:val="-5"/>
          <w:sz w:val="24"/>
          <w:highlight w:val="none"/>
        </w:rPr>
        <w:t>日（代理时</w:t>
      </w:r>
      <w:r>
        <w:rPr>
          <w:rFonts w:ascii="宋体" w:hAnsi="宋体" w:cs="宋体"/>
          <w:color w:val="auto"/>
          <w:spacing w:val="-1"/>
          <w:sz w:val="24"/>
          <w:highlight w:val="none"/>
        </w:rPr>
        <w:t>限）为我公司的代理人，以本公司的名义参加</w:t>
      </w:r>
      <w:r>
        <w:rPr>
          <w:rFonts w:ascii="宋体" w:hAnsi="宋体" w:cs="宋体"/>
          <w:color w:val="auto"/>
          <w:spacing w:val="-1"/>
          <w:sz w:val="25"/>
          <w:szCs w:val="25"/>
          <w:highlight w:val="none"/>
          <w:u w:val="single"/>
        </w:rPr>
        <w:t xml:space="preserve"> </w:t>
      </w:r>
      <w:r>
        <w:rPr>
          <w:rFonts w:ascii="宋体" w:hAnsi="宋体" w:cs="宋体"/>
          <w:i/>
          <w:iCs/>
          <w:color w:val="auto"/>
          <w:spacing w:val="-1"/>
          <w:sz w:val="25"/>
          <w:szCs w:val="25"/>
          <w:highlight w:val="none"/>
          <w:u w:val="single"/>
        </w:rPr>
        <w:t>（项目名称）</w:t>
      </w:r>
      <w:r>
        <w:rPr>
          <w:rFonts w:ascii="宋体" w:hAnsi="宋体" w:cs="宋体"/>
          <w:color w:val="auto"/>
          <w:spacing w:val="-77"/>
          <w:sz w:val="25"/>
          <w:szCs w:val="25"/>
          <w:highlight w:val="none"/>
          <w:u w:val="single"/>
        </w:rPr>
        <w:t xml:space="preserve"> </w:t>
      </w:r>
      <w:r>
        <w:rPr>
          <w:rFonts w:ascii="宋体" w:hAnsi="宋体" w:cs="宋体"/>
          <w:color w:val="auto"/>
          <w:spacing w:val="-96"/>
          <w:sz w:val="25"/>
          <w:szCs w:val="25"/>
          <w:highlight w:val="none"/>
        </w:rPr>
        <w:t xml:space="preserve"> </w:t>
      </w:r>
      <w:r>
        <w:rPr>
          <w:rFonts w:ascii="宋体" w:hAnsi="宋体" w:cs="宋体"/>
          <w:color w:val="auto"/>
          <w:spacing w:val="-1"/>
          <w:sz w:val="24"/>
          <w:highlight w:val="none"/>
        </w:rPr>
        <w:t>的投标活动。代理</w:t>
      </w:r>
      <w:r>
        <w:rPr>
          <w:rFonts w:ascii="宋体" w:hAnsi="宋体" w:cs="宋体"/>
          <w:color w:val="auto"/>
          <w:sz w:val="24"/>
          <w:highlight w:val="none"/>
        </w:rPr>
        <w:t>人在代理时间内参加投标、开标、询标过程中所签</w:t>
      </w:r>
      <w:r>
        <w:rPr>
          <w:rFonts w:ascii="宋体" w:hAnsi="宋体" w:cs="宋体"/>
          <w:color w:val="auto"/>
          <w:spacing w:val="-1"/>
          <w:sz w:val="24"/>
          <w:highlight w:val="none"/>
        </w:rPr>
        <w:t>署的一切文件和处理与之相关</w:t>
      </w:r>
      <w:r>
        <w:rPr>
          <w:rFonts w:ascii="宋体" w:hAnsi="宋体" w:cs="宋体"/>
          <w:color w:val="auto"/>
          <w:spacing w:val="-2"/>
          <w:sz w:val="24"/>
          <w:highlight w:val="none"/>
        </w:rPr>
        <w:t>的一切事务，本人均予以承认，并承诺诚信投标。</w:t>
      </w:r>
    </w:p>
    <w:p w14:paraId="5ECEE3C1">
      <w:pPr>
        <w:pStyle w:val="5"/>
        <w:shd w:val="clear" w:color="auto" w:fill="auto"/>
        <w:spacing w:line="277" w:lineRule="auto"/>
        <w:rPr>
          <w:color w:val="auto"/>
          <w:highlight w:val="none"/>
        </w:rPr>
      </w:pPr>
    </w:p>
    <w:p w14:paraId="01DE899C">
      <w:pPr>
        <w:shd w:val="clear" w:color="auto" w:fill="auto"/>
        <w:spacing w:before="78" w:line="219" w:lineRule="auto"/>
        <w:rPr>
          <w:rFonts w:ascii="宋体" w:hAnsi="宋体" w:cs="宋体"/>
          <w:color w:val="auto"/>
          <w:sz w:val="24"/>
          <w:highlight w:val="none"/>
        </w:rPr>
      </w:pPr>
      <w:r>
        <w:rPr>
          <w:rFonts w:ascii="宋体" w:hAnsi="宋体" w:cs="宋体"/>
          <w:color w:val="auto"/>
          <w:spacing w:val="-1"/>
          <w:sz w:val="24"/>
          <w:highlight w:val="none"/>
        </w:rPr>
        <w:t>代理人无权转委托。特此委托。</w:t>
      </w:r>
    </w:p>
    <w:p w14:paraId="35CD3E56">
      <w:pPr>
        <w:shd w:val="clear" w:color="auto" w:fill="auto"/>
        <w:spacing w:before="214" w:line="219" w:lineRule="auto"/>
        <w:ind w:left="259"/>
        <w:rPr>
          <w:rFonts w:ascii="宋体" w:hAnsi="宋体" w:cs="宋体"/>
          <w:color w:val="auto"/>
          <w:sz w:val="24"/>
          <w:highlight w:val="none"/>
        </w:rPr>
      </w:pPr>
      <w:r>
        <w:rPr>
          <w:rFonts w:ascii="宋体" w:hAnsi="宋体" w:cs="宋体"/>
          <w:color w:val="auto"/>
          <w:sz w:val="24"/>
          <w:highlight w:val="none"/>
        </w:rPr>
        <w:t>附</w:t>
      </w:r>
    </w:p>
    <w:p w14:paraId="0BBD7D97">
      <w:pPr>
        <w:shd w:val="clear" w:color="auto" w:fill="auto"/>
        <w:spacing w:line="22" w:lineRule="exact"/>
        <w:rPr>
          <w:color w:val="auto"/>
          <w:highlight w:val="none"/>
        </w:rPr>
      </w:pPr>
    </w:p>
    <w:tbl>
      <w:tblPr>
        <w:tblStyle w:val="22"/>
        <w:tblW w:w="0" w:type="auto"/>
        <w:tblInd w:w="10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156DC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2" w:hRule="atLeast"/>
        </w:trPr>
        <w:tc>
          <w:tcPr>
            <w:tcW w:w="6666" w:type="dxa"/>
            <w:noWrap w:val="0"/>
            <w:vAlign w:val="top"/>
          </w:tcPr>
          <w:p w14:paraId="6B9AD46F">
            <w:pPr>
              <w:shd w:val="clear" w:color="auto" w:fill="auto"/>
              <w:spacing w:line="248" w:lineRule="auto"/>
              <w:rPr>
                <w:rFonts w:ascii="Arial"/>
                <w:color w:val="auto"/>
                <w:highlight w:val="none"/>
              </w:rPr>
            </w:pPr>
          </w:p>
          <w:p w14:paraId="403E46A5">
            <w:pPr>
              <w:shd w:val="clear" w:color="auto" w:fill="auto"/>
              <w:spacing w:line="248" w:lineRule="auto"/>
              <w:rPr>
                <w:rFonts w:ascii="Arial"/>
                <w:color w:val="auto"/>
                <w:highlight w:val="none"/>
              </w:rPr>
            </w:pPr>
          </w:p>
          <w:p w14:paraId="0B94DDB8">
            <w:pPr>
              <w:shd w:val="clear" w:color="auto" w:fill="auto"/>
              <w:spacing w:line="248" w:lineRule="auto"/>
              <w:rPr>
                <w:rFonts w:ascii="Arial"/>
                <w:color w:val="auto"/>
                <w:highlight w:val="none"/>
              </w:rPr>
            </w:pPr>
          </w:p>
          <w:p w14:paraId="127FAF43">
            <w:pPr>
              <w:shd w:val="clear" w:color="auto" w:fill="auto"/>
              <w:spacing w:line="249" w:lineRule="auto"/>
              <w:rPr>
                <w:rFonts w:ascii="Arial"/>
                <w:color w:val="auto"/>
                <w:highlight w:val="none"/>
              </w:rPr>
            </w:pPr>
          </w:p>
          <w:p w14:paraId="25D3D4E7">
            <w:pPr>
              <w:shd w:val="clear" w:color="auto" w:fill="auto"/>
              <w:spacing w:line="249" w:lineRule="auto"/>
              <w:rPr>
                <w:rFonts w:ascii="Arial"/>
                <w:color w:val="auto"/>
                <w:highlight w:val="none"/>
              </w:rPr>
            </w:pPr>
          </w:p>
          <w:p w14:paraId="1AB62F15">
            <w:pPr>
              <w:pStyle w:val="16"/>
              <w:shd w:val="clear" w:color="auto" w:fill="auto"/>
              <w:spacing w:before="78" w:line="219" w:lineRule="auto"/>
              <w:ind w:left="1299"/>
              <w:rPr>
                <w:color w:val="auto"/>
                <w:sz w:val="24"/>
                <w:szCs w:val="24"/>
                <w:highlight w:val="none"/>
              </w:rPr>
            </w:pPr>
            <w:r>
              <w:rPr>
                <w:color w:val="auto"/>
                <w:spacing w:val="-1"/>
                <w:sz w:val="24"/>
                <w:szCs w:val="24"/>
                <w:highlight w:val="none"/>
              </w:rPr>
              <w:t>代理人身份证正面原件的复制件粘贴处</w:t>
            </w:r>
          </w:p>
        </w:tc>
      </w:tr>
      <w:tr w14:paraId="3F65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9" w:hRule="atLeast"/>
        </w:trPr>
        <w:tc>
          <w:tcPr>
            <w:tcW w:w="6666" w:type="dxa"/>
            <w:noWrap w:val="0"/>
            <w:vAlign w:val="top"/>
          </w:tcPr>
          <w:p w14:paraId="4738B43A">
            <w:pPr>
              <w:shd w:val="clear" w:color="auto" w:fill="auto"/>
              <w:spacing w:line="282" w:lineRule="auto"/>
              <w:rPr>
                <w:rFonts w:ascii="Arial"/>
                <w:color w:val="auto"/>
                <w:highlight w:val="none"/>
              </w:rPr>
            </w:pPr>
          </w:p>
          <w:p w14:paraId="34B479BB">
            <w:pPr>
              <w:shd w:val="clear" w:color="auto" w:fill="auto"/>
              <w:spacing w:line="282" w:lineRule="auto"/>
              <w:rPr>
                <w:rFonts w:ascii="Arial"/>
                <w:color w:val="auto"/>
                <w:highlight w:val="none"/>
              </w:rPr>
            </w:pPr>
          </w:p>
          <w:p w14:paraId="410740E4">
            <w:pPr>
              <w:shd w:val="clear" w:color="auto" w:fill="auto"/>
              <w:spacing w:line="283" w:lineRule="auto"/>
              <w:rPr>
                <w:rFonts w:ascii="Arial"/>
                <w:color w:val="auto"/>
                <w:highlight w:val="none"/>
              </w:rPr>
            </w:pPr>
          </w:p>
          <w:p w14:paraId="0B760789">
            <w:pPr>
              <w:shd w:val="clear" w:color="auto" w:fill="auto"/>
              <w:spacing w:line="283" w:lineRule="auto"/>
              <w:rPr>
                <w:rFonts w:ascii="Arial"/>
                <w:color w:val="auto"/>
                <w:highlight w:val="none"/>
              </w:rPr>
            </w:pPr>
          </w:p>
          <w:p w14:paraId="5EEE5C73">
            <w:pPr>
              <w:pStyle w:val="16"/>
              <w:shd w:val="clear" w:color="auto" w:fill="auto"/>
              <w:spacing w:before="78" w:line="219" w:lineRule="auto"/>
              <w:ind w:left="1299"/>
              <w:rPr>
                <w:color w:val="auto"/>
                <w:sz w:val="24"/>
                <w:szCs w:val="24"/>
                <w:highlight w:val="none"/>
              </w:rPr>
            </w:pPr>
            <w:r>
              <w:rPr>
                <w:color w:val="auto"/>
                <w:spacing w:val="-1"/>
                <w:sz w:val="24"/>
                <w:szCs w:val="24"/>
                <w:highlight w:val="none"/>
              </w:rPr>
              <w:t>代理人身份证背面原件的复制件粘贴处</w:t>
            </w:r>
          </w:p>
        </w:tc>
      </w:tr>
    </w:tbl>
    <w:p w14:paraId="50B9C33C">
      <w:pPr>
        <w:shd w:val="clear" w:color="auto" w:fill="auto"/>
        <w:spacing w:before="126" w:line="377" w:lineRule="auto"/>
        <w:ind w:left="2763"/>
        <w:rPr>
          <w:rFonts w:ascii="宋体" w:hAnsi="宋体" w:cs="宋体"/>
          <w:color w:val="auto"/>
          <w:sz w:val="24"/>
          <w:highlight w:val="none"/>
        </w:rPr>
      </w:pPr>
      <w:r>
        <w:rPr>
          <w:rFonts w:ascii="宋体" w:hAnsi="宋体" w:cs="宋体"/>
          <w:color w:val="auto"/>
          <w:spacing w:val="-4"/>
          <w:sz w:val="24"/>
          <w:highlight w:val="none"/>
        </w:rPr>
        <w:t>投  标</w:t>
      </w:r>
      <w:r>
        <w:rPr>
          <w:rFonts w:ascii="宋体" w:hAnsi="宋体" w:cs="宋体"/>
          <w:color w:val="auto"/>
          <w:spacing w:val="6"/>
          <w:sz w:val="24"/>
          <w:highlight w:val="none"/>
        </w:rPr>
        <w:t xml:space="preserve">  </w:t>
      </w:r>
      <w:r>
        <w:rPr>
          <w:rFonts w:ascii="宋体" w:hAnsi="宋体" w:cs="宋体"/>
          <w:color w:val="auto"/>
          <w:spacing w:val="-4"/>
          <w:sz w:val="24"/>
          <w:highlight w:val="none"/>
        </w:rPr>
        <w:t>人（单</w:t>
      </w:r>
      <w:r>
        <w:rPr>
          <w:rFonts w:ascii="宋体" w:hAnsi="宋体" w:cs="宋体"/>
          <w:color w:val="auto"/>
          <w:spacing w:val="5"/>
          <w:sz w:val="24"/>
          <w:highlight w:val="none"/>
        </w:rPr>
        <w:t xml:space="preserve">  </w:t>
      </w:r>
      <w:r>
        <w:rPr>
          <w:rFonts w:ascii="宋体" w:hAnsi="宋体" w:cs="宋体"/>
          <w:color w:val="auto"/>
          <w:spacing w:val="-4"/>
          <w:sz w:val="24"/>
          <w:highlight w:val="none"/>
        </w:rPr>
        <w:t>位盖章</w:t>
      </w:r>
      <w:r>
        <w:rPr>
          <w:rFonts w:ascii="宋体" w:hAnsi="宋体" w:cs="宋体"/>
          <w:color w:val="auto"/>
          <w:spacing w:val="2"/>
          <w:sz w:val="24"/>
          <w:highlight w:val="none"/>
        </w:rPr>
        <w:t>）：</w:t>
      </w:r>
      <w:r>
        <w:rPr>
          <w:rFonts w:ascii="宋体" w:hAnsi="宋体" w:cs="宋体"/>
          <w:color w:val="auto"/>
          <w:sz w:val="24"/>
          <w:highlight w:val="none"/>
          <w:u w:val="single"/>
        </w:rPr>
        <w:t xml:space="preserve">                   </w:t>
      </w:r>
    </w:p>
    <w:p w14:paraId="461E60F3">
      <w:pPr>
        <w:shd w:val="clear" w:color="auto" w:fill="auto"/>
        <w:spacing w:before="1" w:line="218" w:lineRule="auto"/>
        <w:ind w:left="2761"/>
        <w:rPr>
          <w:rFonts w:ascii="宋体" w:hAnsi="宋体" w:cs="宋体"/>
          <w:color w:val="auto"/>
          <w:sz w:val="24"/>
          <w:highlight w:val="none"/>
        </w:rPr>
      </w:pPr>
      <w:r>
        <w:rPr>
          <w:rFonts w:ascii="宋体" w:hAnsi="宋体" w:cs="宋体"/>
          <w:color w:val="auto"/>
          <w:spacing w:val="-1"/>
          <w:sz w:val="24"/>
          <w:highlight w:val="none"/>
        </w:rPr>
        <w:t>法定代表人（签字或盖章</w:t>
      </w:r>
      <w:r>
        <w:rPr>
          <w:rFonts w:ascii="宋体" w:hAnsi="宋体" w:cs="宋体"/>
          <w:color w:val="auto"/>
          <w:sz w:val="24"/>
          <w:highlight w:val="none"/>
        </w:rPr>
        <w:t>）：</w:t>
      </w:r>
      <w:r>
        <w:rPr>
          <w:rFonts w:ascii="宋体" w:hAnsi="宋体" w:cs="宋体"/>
          <w:color w:val="auto"/>
          <w:spacing w:val="-1"/>
          <w:sz w:val="24"/>
          <w:highlight w:val="none"/>
        </w:rPr>
        <w:t xml:space="preserve"> </w:t>
      </w:r>
      <w:r>
        <w:rPr>
          <w:rFonts w:ascii="宋体" w:hAnsi="宋体" w:cs="宋体"/>
          <w:color w:val="auto"/>
          <w:sz w:val="24"/>
          <w:highlight w:val="none"/>
          <w:u w:val="single"/>
        </w:rPr>
        <w:t xml:space="preserve">                  </w:t>
      </w:r>
    </w:p>
    <w:p w14:paraId="1ADE9C3F">
      <w:pPr>
        <w:shd w:val="clear" w:color="auto" w:fill="auto"/>
        <w:spacing w:before="208" w:line="219" w:lineRule="auto"/>
        <w:ind w:left="2802"/>
        <w:rPr>
          <w:rFonts w:ascii="宋体" w:hAnsi="宋体" w:cs="宋体"/>
          <w:color w:val="auto"/>
          <w:sz w:val="24"/>
          <w:highlight w:val="none"/>
        </w:rPr>
      </w:pPr>
      <w:r>
        <w:rPr>
          <w:rFonts w:ascii="宋体" w:hAnsi="宋体" w:cs="宋体"/>
          <w:color w:val="auto"/>
          <w:spacing w:val="-12"/>
          <w:sz w:val="24"/>
          <w:highlight w:val="none"/>
        </w:rPr>
        <w:t>日</w:t>
      </w:r>
      <w:r>
        <w:rPr>
          <w:rFonts w:ascii="宋体" w:hAnsi="宋体" w:cs="宋体"/>
          <w:color w:val="auto"/>
          <w:sz w:val="24"/>
          <w:highlight w:val="none"/>
        </w:rPr>
        <w:t xml:space="preserve">                    </w:t>
      </w:r>
      <w:r>
        <w:rPr>
          <w:rFonts w:ascii="宋体" w:hAnsi="宋体" w:cs="宋体"/>
          <w:color w:val="auto"/>
          <w:spacing w:val="-12"/>
          <w:sz w:val="24"/>
          <w:highlight w:val="none"/>
        </w:rPr>
        <w:t>期：</w:t>
      </w:r>
      <w:r>
        <w:rPr>
          <w:rFonts w:ascii="宋体" w:hAnsi="宋体" w:cs="宋体"/>
          <w:color w:val="auto"/>
          <w:spacing w:val="3"/>
          <w:sz w:val="24"/>
          <w:highlight w:val="none"/>
          <w:u w:val="single"/>
        </w:rPr>
        <w:t xml:space="preserve">     </w:t>
      </w:r>
      <w:r>
        <w:rPr>
          <w:rFonts w:ascii="宋体" w:hAnsi="宋体" w:cs="宋体"/>
          <w:color w:val="auto"/>
          <w:spacing w:val="-107"/>
          <w:sz w:val="24"/>
          <w:highlight w:val="none"/>
        </w:rPr>
        <w:t xml:space="preserve"> </w:t>
      </w:r>
      <w:r>
        <w:rPr>
          <w:rFonts w:ascii="宋体" w:hAnsi="宋体" w:cs="宋体"/>
          <w:color w:val="auto"/>
          <w:spacing w:val="-12"/>
          <w:sz w:val="24"/>
          <w:highlight w:val="none"/>
        </w:rPr>
        <w:t xml:space="preserve">年 </w:t>
      </w:r>
      <w:r>
        <w:rPr>
          <w:rFonts w:ascii="宋体" w:hAnsi="宋体" w:cs="宋体"/>
          <w:color w:val="auto"/>
          <w:sz w:val="24"/>
          <w:highlight w:val="none"/>
          <w:u w:val="single"/>
        </w:rPr>
        <w:t xml:space="preserve">   </w:t>
      </w:r>
      <w:r>
        <w:rPr>
          <w:rFonts w:ascii="宋体" w:hAnsi="宋体" w:cs="宋体"/>
          <w:color w:val="auto"/>
          <w:spacing w:val="-105"/>
          <w:sz w:val="24"/>
          <w:highlight w:val="none"/>
        </w:rPr>
        <w:t xml:space="preserve"> </w:t>
      </w:r>
      <w:r>
        <w:rPr>
          <w:rFonts w:ascii="宋体" w:hAnsi="宋体" w:cs="宋体"/>
          <w:color w:val="auto"/>
          <w:spacing w:val="-12"/>
          <w:sz w:val="24"/>
          <w:highlight w:val="none"/>
        </w:rPr>
        <w:t xml:space="preserve">月 </w:t>
      </w:r>
      <w:r>
        <w:rPr>
          <w:rFonts w:ascii="宋体" w:hAnsi="宋体" w:cs="宋体"/>
          <w:color w:val="auto"/>
          <w:sz w:val="24"/>
          <w:highlight w:val="none"/>
          <w:u w:val="single"/>
        </w:rPr>
        <w:t xml:space="preserve">   </w:t>
      </w:r>
      <w:r>
        <w:rPr>
          <w:rFonts w:ascii="宋体" w:hAnsi="宋体" w:cs="宋体"/>
          <w:color w:val="auto"/>
          <w:spacing w:val="-68"/>
          <w:sz w:val="24"/>
          <w:highlight w:val="none"/>
        </w:rPr>
        <w:t xml:space="preserve"> </w:t>
      </w:r>
      <w:r>
        <w:rPr>
          <w:rFonts w:ascii="宋体" w:hAnsi="宋体" w:cs="宋体"/>
          <w:color w:val="auto"/>
          <w:spacing w:val="-12"/>
          <w:sz w:val="24"/>
          <w:highlight w:val="none"/>
        </w:rPr>
        <w:t>日</w:t>
      </w:r>
    </w:p>
    <w:p w14:paraId="1C618759">
      <w:pPr>
        <w:pStyle w:val="5"/>
        <w:shd w:val="clear" w:color="auto" w:fill="auto"/>
        <w:spacing w:line="449" w:lineRule="auto"/>
        <w:rPr>
          <w:color w:val="auto"/>
          <w:highlight w:val="none"/>
        </w:rPr>
      </w:pPr>
    </w:p>
    <w:p w14:paraId="362A0F80">
      <w:pPr>
        <w:shd w:val="clear" w:color="auto" w:fill="auto"/>
        <w:spacing w:line="219" w:lineRule="auto"/>
        <w:rPr>
          <w:rFonts w:ascii="宋体" w:hAnsi="宋体" w:cs="宋体"/>
          <w:color w:val="auto"/>
          <w:sz w:val="24"/>
          <w:highlight w:val="none"/>
        </w:rPr>
        <w:sectPr>
          <w:footerReference r:id="rId17" w:type="default"/>
          <w:pgSz w:w="11850" w:h="16783"/>
          <w:pgMar w:top="1280" w:right="1638" w:bottom="1157" w:left="1710" w:header="0" w:footer="992" w:gutter="0"/>
          <w:pgNumType w:fmt="decimal"/>
          <w:cols w:space="720" w:num="1"/>
        </w:sectPr>
      </w:pPr>
    </w:p>
    <w:bookmarkEnd w:id="708"/>
    <w:bookmarkEnd w:id="709"/>
    <w:bookmarkEnd w:id="710"/>
    <w:bookmarkEnd w:id="711"/>
    <w:bookmarkEnd w:id="712"/>
    <w:bookmarkEnd w:id="713"/>
    <w:bookmarkEnd w:id="714"/>
    <w:bookmarkEnd w:id="715"/>
    <w:bookmarkEnd w:id="716"/>
    <w:bookmarkEnd w:id="717"/>
    <w:bookmarkEnd w:id="718"/>
    <w:p w14:paraId="03AF5915">
      <w:pPr>
        <w:pStyle w:val="3"/>
        <w:spacing w:line="400" w:lineRule="exact"/>
        <w:jc w:val="center"/>
        <w:rPr>
          <w:rFonts w:hint="eastAsia" w:ascii="宋体" w:hAnsi="宋体" w:cs="宋体"/>
          <w:color w:val="auto"/>
          <w:highlight w:val="none"/>
        </w:rPr>
      </w:pPr>
      <w:r>
        <w:rPr>
          <w:rFonts w:hint="eastAsia" w:ascii="宋体" w:hAnsi="宋体" w:cs="宋体"/>
          <w:color w:val="auto"/>
          <w:highlight w:val="none"/>
        </w:rPr>
        <w:t>（一）投标函</w:t>
      </w:r>
    </w:p>
    <w:p w14:paraId="70E1E611">
      <w:pPr>
        <w:spacing w:line="360" w:lineRule="exac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（招标人名称）：</w:t>
      </w:r>
    </w:p>
    <w:p w14:paraId="030FF44E">
      <w:pPr>
        <w:numPr>
          <w:ilvl w:val="0"/>
          <w:numId w:val="9"/>
        </w:numPr>
        <w:spacing w:line="360" w:lineRule="exact"/>
        <w:ind w:firstLine="420" w:firstLineChars="200"/>
        <w:rPr>
          <w:rFonts w:hint="eastAsia" w:ascii="宋体" w:hAnsi="宋体" w:cs="宋体"/>
          <w:color w:val="auto"/>
          <w:highlight w:val="none"/>
        </w:rPr>
      </w:pPr>
      <w:r>
        <w:rPr>
          <w:rFonts w:hint="eastAsia" w:ascii="宋体" w:hAnsi="宋体" w:cs="宋体"/>
          <w:color w:val="auto"/>
          <w:highlight w:val="none"/>
        </w:rPr>
        <w:t>我方已仔细研究了</w:t>
      </w:r>
      <w:r>
        <w:rPr>
          <w:rFonts w:hint="eastAsia" w:ascii="宋体" w:hAnsi="宋体" w:cs="宋体"/>
          <w:color w:val="auto"/>
          <w:highlight w:val="none"/>
          <w:u w:val="single"/>
        </w:rPr>
        <w:t xml:space="preserve">               </w:t>
      </w:r>
      <w:r>
        <w:rPr>
          <w:rFonts w:hint="eastAsia" w:ascii="宋体" w:hAnsi="宋体" w:cs="宋体"/>
          <w:color w:val="auto"/>
          <w:highlight w:val="none"/>
        </w:rPr>
        <w:t>（项目名称）招标文件的全部内容，投标报价为大写</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w:t>
      </w:r>
      <w:r>
        <w:rPr>
          <w:rFonts w:hint="eastAsia" w:ascii="宋体" w:hAnsi="宋体" w:cs="宋体"/>
          <w:color w:val="auto"/>
          <w:highlight w:val="none"/>
        </w:rPr>
        <w:t>小写</w:t>
      </w:r>
      <w:r>
        <w:rPr>
          <w:rFonts w:hint="eastAsia" w:ascii="宋体" w:hAnsi="宋体" w:cs="宋体"/>
          <w:color w:val="auto"/>
          <w:highlight w:val="none"/>
          <w:u w:val="single"/>
        </w:rPr>
        <w:t xml:space="preserve">         </w:t>
      </w:r>
      <w:r>
        <w:rPr>
          <w:rFonts w:hint="eastAsia" w:ascii="宋体" w:hAnsi="宋体" w:cs="宋体"/>
          <w:color w:val="auto"/>
          <w:highlight w:val="none"/>
        </w:rPr>
        <w:t>元</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其中施工图设计费</w:t>
      </w:r>
      <w:r>
        <w:rPr>
          <w:rFonts w:hint="eastAsia" w:ascii="宋体" w:hAnsi="宋体" w:cs="宋体"/>
          <w:color w:val="auto"/>
          <w:highlight w:val="none"/>
          <w:u w:val="single"/>
        </w:rPr>
        <w:t xml:space="preserve">        </w:t>
      </w:r>
      <w:r>
        <w:rPr>
          <w:rFonts w:hint="eastAsia" w:ascii="宋体" w:hAnsi="宋体" w:cs="宋体"/>
          <w:color w:val="auto"/>
          <w:highlight w:val="none"/>
        </w:rPr>
        <w:t>元）；按合同约定进行设计、实施和竣工承包工程，修补工程中的任何缺陷，实现工程目的。</w:t>
      </w:r>
    </w:p>
    <w:p w14:paraId="626DC314">
      <w:pPr>
        <w:spacing w:line="400" w:lineRule="exact"/>
        <w:ind w:firstLine="420" w:firstLineChars="200"/>
        <w:rPr>
          <w:rFonts w:hint="eastAsia" w:ascii="宋体" w:hAnsi="宋体" w:cs="宋体"/>
          <w:color w:val="auto"/>
          <w:highlight w:val="none"/>
        </w:rPr>
      </w:pPr>
      <w:r>
        <w:rPr>
          <w:rFonts w:hint="eastAsia" w:ascii="宋体" w:hAnsi="宋体" w:cs="宋体"/>
          <w:bCs/>
          <w:color w:val="auto"/>
          <w:highlight w:val="none"/>
        </w:rPr>
        <w:t>2.建设总工期：</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个日历天（</w:t>
      </w:r>
      <w:r>
        <w:rPr>
          <w:rFonts w:hint="eastAsia" w:ascii="宋体" w:hAnsi="宋体" w:cs="宋体"/>
          <w:bCs/>
          <w:color w:val="auto"/>
          <w:highlight w:val="none"/>
          <w:lang w:eastAsia="zh-CN"/>
        </w:rPr>
        <w:t>含</w:t>
      </w:r>
      <w:r>
        <w:rPr>
          <w:rFonts w:hint="eastAsia" w:ascii="宋体" w:hAnsi="宋体" w:cs="宋体"/>
          <w:bCs/>
          <w:color w:val="auto"/>
          <w:highlight w:val="none"/>
        </w:rPr>
        <w:t>施工图设计）</w:t>
      </w:r>
      <w:r>
        <w:rPr>
          <w:rFonts w:hint="eastAsia" w:ascii="宋体" w:hAnsi="宋体" w:cs="宋体"/>
          <w:bCs/>
          <w:color w:val="auto"/>
          <w:highlight w:val="none"/>
          <w:lang w:eastAsia="zh-CN"/>
        </w:rPr>
        <w:t>，</w:t>
      </w:r>
      <w:r>
        <w:rPr>
          <w:rFonts w:hint="eastAsia" w:ascii="宋体" w:hAnsi="宋体" w:cs="宋体"/>
          <w:bCs/>
          <w:color w:val="auto"/>
          <w:highlight w:val="none"/>
        </w:rPr>
        <w:t>中标通知书发出后</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日内完成施工图设计，</w:t>
      </w:r>
      <w:r>
        <w:rPr>
          <w:rFonts w:hint="eastAsia" w:ascii="宋体" w:hAnsi="宋体" w:cs="宋体"/>
          <w:bCs/>
          <w:color w:val="auto"/>
          <w:highlight w:val="none"/>
          <w:lang w:val="en-US" w:eastAsia="zh-CN"/>
        </w:rPr>
        <w:t>施工图审查通过后</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val="en-US" w:eastAsia="zh-CN"/>
        </w:rPr>
        <w:t>日内完成施工图预算及评审。2025</w:t>
      </w:r>
      <w:r>
        <w:rPr>
          <w:rFonts w:hint="eastAsia" w:ascii="宋体" w:hAnsi="宋体" w:cs="宋体"/>
          <w:bCs/>
          <w:color w:val="auto"/>
          <w:highlight w:val="none"/>
        </w:rPr>
        <w:t>年</w:t>
      </w:r>
      <w:r>
        <w:rPr>
          <w:rFonts w:hint="eastAsia" w:ascii="宋体" w:hAnsi="宋体" w:cs="宋体"/>
          <w:bCs/>
          <w:color w:val="auto"/>
          <w:highlight w:val="none"/>
          <w:lang w:val="en-US" w:eastAsia="zh-CN"/>
        </w:rPr>
        <w:t>11</w:t>
      </w:r>
      <w:r>
        <w:rPr>
          <w:rFonts w:hint="eastAsia" w:ascii="宋体" w:hAnsi="宋体" w:cs="宋体"/>
          <w:bCs/>
          <w:color w:val="auto"/>
          <w:highlight w:val="none"/>
        </w:rPr>
        <w:t>月</w:t>
      </w:r>
      <w:r>
        <w:rPr>
          <w:rFonts w:hint="eastAsia" w:ascii="宋体" w:hAnsi="宋体" w:cs="宋体"/>
          <w:bCs/>
          <w:color w:val="auto"/>
          <w:highlight w:val="none"/>
          <w:lang w:val="en-US" w:eastAsia="zh-CN"/>
        </w:rPr>
        <w:t>30</w:t>
      </w:r>
      <w:r>
        <w:rPr>
          <w:rFonts w:hint="eastAsia" w:ascii="宋体" w:hAnsi="宋体" w:cs="宋体"/>
          <w:bCs/>
          <w:color w:val="auto"/>
          <w:highlight w:val="none"/>
        </w:rPr>
        <w:t>日前完成所有工程并完成所有设备安装调试且具备使用条件</w:t>
      </w:r>
      <w:r>
        <w:rPr>
          <w:rFonts w:hint="eastAsia" w:ascii="宋体" w:hAnsi="宋体" w:cs="宋体"/>
          <w:color w:val="auto"/>
          <w:highlight w:val="none"/>
          <w:shd w:val="clear" w:color="auto" w:fill="FFFFFF"/>
        </w:rPr>
        <w:t>。</w:t>
      </w:r>
    </w:p>
    <w:p w14:paraId="40A161AD">
      <w:pPr>
        <w:spacing w:line="400" w:lineRule="exact"/>
        <w:ind w:firstLine="420" w:firstLineChars="200"/>
        <w:rPr>
          <w:rFonts w:hint="eastAsia" w:ascii="宋体" w:hAnsi="宋体" w:cs="宋体"/>
          <w:bCs/>
          <w:color w:val="auto"/>
          <w:highlight w:val="none"/>
          <w:u w:val="single"/>
        </w:rPr>
      </w:pPr>
      <w:r>
        <w:rPr>
          <w:rFonts w:hint="eastAsia" w:ascii="宋体" w:hAnsi="宋体" w:cs="宋体"/>
          <w:bCs/>
          <w:color w:val="auto"/>
          <w:highlight w:val="none"/>
        </w:rPr>
        <w:t>3.确保质量达到：</w:t>
      </w:r>
      <w:r>
        <w:rPr>
          <w:rFonts w:hint="eastAsia" w:ascii="宋体" w:hAnsi="宋体" w:cs="宋体"/>
          <w:bCs/>
          <w:color w:val="auto"/>
          <w:highlight w:val="none"/>
          <w:u w:val="single"/>
        </w:rPr>
        <w:t>（1）设计质量标准：满足国家、行业及地方现行技术标准、设计规范及设计图纸的要求（满足合同签订时最新设计标准）。</w:t>
      </w:r>
    </w:p>
    <w:p w14:paraId="49C78A10">
      <w:pPr>
        <w:spacing w:line="400" w:lineRule="exact"/>
        <w:ind w:firstLine="420" w:firstLineChars="200"/>
        <w:rPr>
          <w:rFonts w:hint="eastAsia" w:ascii="宋体" w:hAnsi="宋体" w:cs="宋体"/>
          <w:bCs/>
          <w:color w:val="auto"/>
          <w:highlight w:val="none"/>
          <w:u w:val="single"/>
        </w:rPr>
      </w:pPr>
      <w:r>
        <w:rPr>
          <w:rFonts w:hint="eastAsia" w:ascii="宋体" w:hAnsi="宋体" w:cs="宋体"/>
          <w:bCs/>
          <w:color w:val="auto"/>
          <w:highlight w:val="none"/>
          <w:u w:val="single"/>
        </w:rPr>
        <w:t>（2）工程所有物资（设备）采购质量标准：符合招标文件、设计图纸及有关标准、规范的要求。</w:t>
      </w:r>
    </w:p>
    <w:p w14:paraId="211D8793">
      <w:pPr>
        <w:spacing w:line="400" w:lineRule="exact"/>
        <w:ind w:firstLine="420" w:firstLineChars="200"/>
        <w:rPr>
          <w:rFonts w:hint="eastAsia" w:ascii="宋体" w:hAnsi="宋体" w:cs="宋体"/>
          <w:bCs/>
          <w:color w:val="auto"/>
          <w:highlight w:val="none"/>
          <w:u w:val="single"/>
        </w:rPr>
      </w:pPr>
      <w:r>
        <w:rPr>
          <w:rFonts w:hint="eastAsia" w:ascii="宋体" w:hAnsi="宋体" w:cs="宋体"/>
          <w:bCs/>
          <w:color w:val="auto"/>
          <w:highlight w:val="none"/>
          <w:u w:val="single"/>
        </w:rPr>
        <w:t>（3）施工质量标准：符合现行建设工程施工质量验收规范和标准及施工图纸要求，一次性验收合格</w:t>
      </w:r>
      <w:r>
        <w:rPr>
          <w:rFonts w:hint="eastAsia" w:ascii="宋体" w:hAnsi="宋体" w:cs="宋体"/>
          <w:color w:val="auto"/>
          <w:highlight w:val="none"/>
          <w:u w:val="single"/>
        </w:rPr>
        <w:t>。</w:t>
      </w:r>
    </w:p>
    <w:p w14:paraId="49375EFD">
      <w:pPr>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4.我方承诺在招标文件规定的投标有效期内不修改、撤销投标文件。</w:t>
      </w:r>
    </w:p>
    <w:p w14:paraId="53194606">
      <w:pPr>
        <w:spacing w:line="360" w:lineRule="exact"/>
        <w:ind w:firstLine="420" w:firstLineChars="200"/>
        <w:rPr>
          <w:rFonts w:hint="eastAsia" w:ascii="宋体" w:hAnsi="宋体" w:cs="宋体"/>
          <w:color w:val="auto"/>
          <w:highlight w:val="none"/>
        </w:rPr>
      </w:pPr>
      <w:r>
        <w:rPr>
          <w:rFonts w:hint="eastAsia" w:ascii="宋体" w:hAnsi="宋体" w:cs="宋体"/>
          <w:color w:val="auto"/>
          <w:highlight w:val="none"/>
        </w:rPr>
        <w:t>5.随同本投标函提交投标保证金一份，金额为人民币（大写）</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746A524">
      <w:pPr>
        <w:spacing w:line="360" w:lineRule="exact"/>
        <w:ind w:firstLine="420" w:firstLineChars="200"/>
        <w:rPr>
          <w:rFonts w:hint="eastAsia" w:ascii="宋体" w:hAnsi="宋体" w:cs="宋体"/>
          <w:color w:val="auto"/>
          <w:highlight w:val="none"/>
        </w:rPr>
      </w:pPr>
      <w:r>
        <w:rPr>
          <w:rFonts w:hint="eastAsia" w:ascii="宋体" w:hAnsi="宋体" w:cs="宋体"/>
          <w:color w:val="auto"/>
          <w:highlight w:val="none"/>
        </w:rPr>
        <w:t>6.如我方中标：</w:t>
      </w:r>
    </w:p>
    <w:p w14:paraId="74318979">
      <w:pPr>
        <w:spacing w:line="360" w:lineRule="exact"/>
        <w:ind w:firstLine="367" w:firstLineChars="175"/>
        <w:rPr>
          <w:rFonts w:hint="eastAsia" w:ascii="宋体" w:hAnsi="宋体" w:cs="宋体"/>
          <w:color w:val="auto"/>
          <w:highlight w:val="none"/>
        </w:rPr>
      </w:pPr>
      <w:r>
        <w:rPr>
          <w:rFonts w:hint="eastAsia" w:ascii="宋体" w:hAnsi="宋体" w:cs="宋体"/>
          <w:color w:val="auto"/>
          <w:highlight w:val="none"/>
        </w:rPr>
        <w:t>（1）我方承诺在收到中标通知书后，在中标通知书规定的期限内与你方签订合同。</w:t>
      </w:r>
    </w:p>
    <w:p w14:paraId="77C93C0B">
      <w:pPr>
        <w:spacing w:line="360" w:lineRule="exact"/>
        <w:ind w:firstLine="367" w:firstLineChars="175"/>
        <w:rPr>
          <w:rFonts w:hint="eastAsia" w:ascii="宋体" w:hAnsi="宋体" w:cs="宋体"/>
          <w:color w:val="auto"/>
          <w:highlight w:val="none"/>
        </w:rPr>
      </w:pPr>
      <w:r>
        <w:rPr>
          <w:rFonts w:hint="eastAsia" w:ascii="宋体" w:hAnsi="宋体" w:cs="宋体"/>
          <w:color w:val="auto"/>
          <w:highlight w:val="none"/>
        </w:rPr>
        <w:t>（2）随同本投标函递交的投标函附录属于合同文件的组成部分。</w:t>
      </w:r>
    </w:p>
    <w:p w14:paraId="6F8CCFA0">
      <w:pPr>
        <w:spacing w:line="360" w:lineRule="exact"/>
        <w:ind w:firstLine="367" w:firstLineChars="175"/>
        <w:rPr>
          <w:rFonts w:hint="eastAsia" w:ascii="宋体" w:hAnsi="宋体" w:cs="宋体"/>
          <w:color w:val="auto"/>
          <w:highlight w:val="none"/>
        </w:rPr>
      </w:pPr>
      <w:r>
        <w:rPr>
          <w:rFonts w:hint="eastAsia" w:ascii="宋体" w:hAnsi="宋体" w:cs="宋体"/>
          <w:color w:val="auto"/>
          <w:highlight w:val="none"/>
        </w:rPr>
        <w:t>（3）我方承诺按照招标文件规定向你方递交履约担保。</w:t>
      </w:r>
    </w:p>
    <w:p w14:paraId="744E0F1F">
      <w:pPr>
        <w:spacing w:line="360" w:lineRule="exact"/>
        <w:ind w:firstLine="367" w:firstLineChars="175"/>
        <w:rPr>
          <w:rFonts w:hint="eastAsia" w:ascii="宋体" w:hAnsi="宋体" w:cs="宋体"/>
          <w:color w:val="auto"/>
          <w:highlight w:val="none"/>
        </w:rPr>
      </w:pPr>
      <w:r>
        <w:rPr>
          <w:rFonts w:hint="eastAsia" w:ascii="宋体" w:hAnsi="宋体" w:cs="宋体"/>
          <w:color w:val="auto"/>
          <w:highlight w:val="none"/>
        </w:rPr>
        <w:t>（4）我方承诺在合同约定的期限内完成并移交全部合同工程。</w:t>
      </w:r>
    </w:p>
    <w:p w14:paraId="0B4FA428">
      <w:pPr>
        <w:spacing w:line="360" w:lineRule="exact"/>
        <w:ind w:firstLine="420" w:firstLineChars="200"/>
        <w:rPr>
          <w:rFonts w:hint="eastAsia" w:ascii="宋体" w:hAnsi="宋体" w:cs="宋体"/>
          <w:color w:val="auto"/>
          <w:highlight w:val="none"/>
        </w:rPr>
      </w:pPr>
      <w:r>
        <w:rPr>
          <w:rFonts w:hint="eastAsia" w:ascii="宋体" w:hAnsi="宋体" w:cs="宋体"/>
          <w:color w:val="auto"/>
          <w:highlight w:val="none"/>
        </w:rPr>
        <w:t>7.我方在此声明，所递交的投标文件及有关资料内容完整、真实和准确，且不存在第二章“投标人须知”第1.4.3项和第1.4.4项规定的任何一种情形。</w:t>
      </w:r>
    </w:p>
    <w:p w14:paraId="099BF1D9">
      <w:pPr>
        <w:spacing w:line="360" w:lineRule="exact"/>
        <w:ind w:firstLine="420" w:firstLineChars="200"/>
        <w:rPr>
          <w:rFonts w:hint="eastAsia" w:ascii="宋体" w:hAnsi="宋体" w:cs="宋体"/>
          <w:color w:val="auto"/>
          <w:highlight w:val="none"/>
        </w:rPr>
      </w:pPr>
      <w:r>
        <w:rPr>
          <w:rFonts w:hint="eastAsia" w:ascii="宋体" w:hAnsi="宋体" w:cs="宋体"/>
          <w:color w:val="auto"/>
          <w:highlight w:val="none"/>
        </w:rPr>
        <w:t>8.</w:t>
      </w:r>
      <w:r>
        <w:rPr>
          <w:rFonts w:hint="eastAsia" w:ascii="宋体" w:hAnsi="宋体" w:cs="宋体"/>
          <w:color w:val="auto"/>
          <w:highlight w:val="none"/>
          <w:u w:val="single"/>
        </w:rPr>
        <w:t xml:space="preserve">                                </w:t>
      </w:r>
      <w:r>
        <w:rPr>
          <w:rFonts w:hint="eastAsia" w:ascii="宋体" w:hAnsi="宋体" w:cs="宋体"/>
          <w:color w:val="auto"/>
          <w:highlight w:val="none"/>
        </w:rPr>
        <w:t>（其他补充说明）。</w:t>
      </w:r>
    </w:p>
    <w:p w14:paraId="58661334">
      <w:pPr>
        <w:pStyle w:val="10"/>
        <w:spacing w:line="360" w:lineRule="exact"/>
        <w:ind w:firstLine="210"/>
        <w:rPr>
          <w:rFonts w:hint="eastAsia" w:ascii="宋体" w:hAnsi="宋体" w:cs="宋体"/>
          <w:color w:val="auto"/>
          <w:szCs w:val="21"/>
          <w:highlight w:val="none"/>
        </w:rPr>
      </w:pPr>
    </w:p>
    <w:p w14:paraId="5BD4607A">
      <w:pPr>
        <w:spacing w:line="360" w:lineRule="exact"/>
        <w:ind w:firstLine="3675" w:firstLineChars="1750"/>
        <w:rPr>
          <w:rFonts w:hint="eastAsia" w:ascii="宋体" w:hAnsi="宋体" w:cs="宋体"/>
          <w:color w:val="auto"/>
          <w:szCs w:val="21"/>
          <w:highlight w:val="none"/>
        </w:rPr>
      </w:pPr>
    </w:p>
    <w:p w14:paraId="7DDAA0BC">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（盖单位章）</w:t>
      </w:r>
    </w:p>
    <w:p w14:paraId="60D33AF9">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（盖章）</w:t>
      </w:r>
    </w:p>
    <w:p w14:paraId="2BC7EDBD">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p>
    <w:p w14:paraId="59CE0127">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网址：</w:t>
      </w:r>
      <w:r>
        <w:rPr>
          <w:rFonts w:hint="eastAsia" w:ascii="宋体" w:hAnsi="宋体" w:cs="宋体"/>
          <w:color w:val="auto"/>
          <w:szCs w:val="21"/>
          <w:highlight w:val="none"/>
          <w:u w:val="single"/>
        </w:rPr>
        <w:t xml:space="preserve">                                   </w:t>
      </w:r>
    </w:p>
    <w:p w14:paraId="34CC70E5">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p>
    <w:p w14:paraId="63C22BED">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p>
    <w:p w14:paraId="5B1714A9">
      <w:pPr>
        <w:spacing w:line="360" w:lineRule="exact"/>
        <w:ind w:firstLine="3675" w:firstLineChars="1750"/>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252404EF">
      <w:pPr>
        <w:spacing w:line="360" w:lineRule="exact"/>
        <w:ind w:firstLine="4725" w:firstLineChars="225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88052BB">
      <w:pPr>
        <w:pStyle w:val="5"/>
        <w:shd w:val="clear" w:color="auto" w:fill="auto"/>
        <w:spacing w:line="300" w:lineRule="auto"/>
        <w:rPr>
          <w:rFonts w:ascii="宋体" w:hAnsi="宋体" w:cs="宋体"/>
          <w:color w:val="auto"/>
          <w:highlight w:val="none"/>
        </w:rPr>
      </w:pPr>
    </w:p>
    <w:p w14:paraId="1336FBB5">
      <w:pPr>
        <w:shd w:val="clear" w:color="auto" w:fill="auto"/>
        <w:spacing w:before="71" w:line="224" w:lineRule="auto"/>
        <w:rPr>
          <w:rFonts w:ascii="宋体" w:hAnsi="宋体" w:cs="宋体"/>
          <w:color w:val="auto"/>
          <w:spacing w:val="7"/>
          <w:sz w:val="35"/>
          <w:szCs w:val="35"/>
          <w:highlight w:val="none"/>
        </w:rPr>
      </w:pPr>
      <w:bookmarkStart w:id="719" w:name="_Toc25932349"/>
      <w:bookmarkStart w:id="720" w:name="_Toc152042580"/>
      <w:bookmarkStart w:id="721" w:name="_Toc144974860"/>
      <w:bookmarkStart w:id="722" w:name="_Toc152045791"/>
      <w:bookmarkStart w:id="723" w:name="_Toc247514283"/>
      <w:bookmarkStart w:id="724" w:name="_Toc465327738"/>
      <w:bookmarkStart w:id="725" w:name="_Toc247527831"/>
    </w:p>
    <w:p w14:paraId="417DECBB">
      <w:pPr>
        <w:shd w:val="clear" w:color="auto" w:fill="auto"/>
        <w:spacing w:before="71" w:line="224" w:lineRule="auto"/>
        <w:rPr>
          <w:rFonts w:ascii="宋体" w:hAnsi="宋体" w:cs="宋体"/>
          <w:color w:val="auto"/>
          <w:spacing w:val="7"/>
          <w:sz w:val="35"/>
          <w:szCs w:val="35"/>
          <w:highlight w:val="none"/>
        </w:rPr>
      </w:pPr>
    </w:p>
    <w:p w14:paraId="599E4E93">
      <w:pPr>
        <w:shd w:val="clear" w:color="auto" w:fill="auto"/>
        <w:spacing w:before="71" w:line="224" w:lineRule="auto"/>
        <w:ind w:left="3626"/>
        <w:rPr>
          <w:rFonts w:ascii="宋体" w:hAnsi="宋体" w:cs="宋体"/>
          <w:color w:val="auto"/>
          <w:sz w:val="35"/>
          <w:szCs w:val="35"/>
          <w:highlight w:val="none"/>
        </w:rPr>
      </w:pPr>
      <w:r>
        <w:rPr>
          <w:rFonts w:ascii="宋体" w:hAnsi="宋体" w:cs="宋体"/>
          <w:color w:val="auto"/>
          <w:spacing w:val="7"/>
          <w:sz w:val="35"/>
          <w:szCs w:val="35"/>
          <w:highlight w:val="none"/>
        </w:rPr>
        <w:t>投标函附录</w:t>
      </w:r>
    </w:p>
    <w:p w14:paraId="14CF07BE">
      <w:pPr>
        <w:shd w:val="clear" w:color="auto" w:fill="auto"/>
        <w:spacing w:before="45"/>
        <w:rPr>
          <w:color w:val="auto"/>
          <w:highlight w:val="none"/>
        </w:rPr>
      </w:pPr>
    </w:p>
    <w:p w14:paraId="4B20CF5E">
      <w:pPr>
        <w:shd w:val="clear" w:color="auto" w:fill="auto"/>
        <w:spacing w:before="45"/>
        <w:rPr>
          <w:color w:val="auto"/>
          <w:highlight w:val="none"/>
        </w:rPr>
      </w:pPr>
    </w:p>
    <w:tbl>
      <w:tblPr>
        <w:tblStyle w:val="1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749"/>
        <w:gridCol w:w="1701"/>
        <w:gridCol w:w="4176"/>
        <w:gridCol w:w="1116"/>
      </w:tblGrid>
      <w:tr w14:paraId="7285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98" w:type="dxa"/>
            <w:vAlign w:val="center"/>
          </w:tcPr>
          <w:p w14:paraId="3F3C9C45">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序号</w:t>
            </w:r>
          </w:p>
        </w:tc>
        <w:tc>
          <w:tcPr>
            <w:tcW w:w="1749" w:type="dxa"/>
            <w:vAlign w:val="center"/>
          </w:tcPr>
          <w:p w14:paraId="085A520A">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条款名称</w:t>
            </w:r>
          </w:p>
        </w:tc>
        <w:tc>
          <w:tcPr>
            <w:tcW w:w="1701" w:type="dxa"/>
            <w:vAlign w:val="center"/>
          </w:tcPr>
          <w:p w14:paraId="0EAAB525">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合同条款号</w:t>
            </w:r>
          </w:p>
        </w:tc>
        <w:tc>
          <w:tcPr>
            <w:tcW w:w="4176" w:type="dxa"/>
            <w:vAlign w:val="center"/>
          </w:tcPr>
          <w:p w14:paraId="37E5213A">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约定</w:t>
            </w:r>
            <w:r>
              <w:rPr>
                <w:rFonts w:ascii="宋体" w:hAnsi="宋体" w:eastAsia="宋体" w:cs="Times New Roman"/>
                <w:color w:val="auto"/>
                <w:szCs w:val="21"/>
                <w:highlight w:val="none"/>
              </w:rPr>
              <w:t>内容</w:t>
            </w:r>
          </w:p>
        </w:tc>
        <w:tc>
          <w:tcPr>
            <w:tcW w:w="1116" w:type="dxa"/>
            <w:vAlign w:val="center"/>
          </w:tcPr>
          <w:p w14:paraId="6C4BEBC8">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备注</w:t>
            </w:r>
          </w:p>
        </w:tc>
      </w:tr>
      <w:tr w14:paraId="6C8F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98" w:type="dxa"/>
            <w:vAlign w:val="center"/>
          </w:tcPr>
          <w:p w14:paraId="342D3CFD">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w:t>
            </w:r>
          </w:p>
        </w:tc>
        <w:tc>
          <w:tcPr>
            <w:tcW w:w="1749" w:type="dxa"/>
            <w:vAlign w:val="center"/>
          </w:tcPr>
          <w:p w14:paraId="46F9AF7C">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工程总承包项目经理</w:t>
            </w:r>
          </w:p>
        </w:tc>
        <w:tc>
          <w:tcPr>
            <w:tcW w:w="1701" w:type="dxa"/>
            <w:vAlign w:val="center"/>
          </w:tcPr>
          <w:p w14:paraId="7CE30985">
            <w:pPr>
              <w:spacing w:line="440" w:lineRule="exact"/>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1.1.2.</w:t>
            </w:r>
            <w:r>
              <w:rPr>
                <w:rFonts w:hint="eastAsia" w:ascii="宋体" w:hAnsi="宋体" w:eastAsia="宋体" w:cs="Times New Roman"/>
                <w:color w:val="auto"/>
                <w:szCs w:val="21"/>
                <w:highlight w:val="none"/>
              </w:rPr>
              <w:t>4</w:t>
            </w:r>
          </w:p>
        </w:tc>
        <w:tc>
          <w:tcPr>
            <w:tcW w:w="4176" w:type="dxa"/>
            <w:vAlign w:val="center"/>
          </w:tcPr>
          <w:p w14:paraId="0C5F84A4">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姓名：</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 xml:space="preserve">       </w:t>
            </w:r>
          </w:p>
        </w:tc>
        <w:tc>
          <w:tcPr>
            <w:tcW w:w="1116" w:type="dxa"/>
            <w:vAlign w:val="center"/>
          </w:tcPr>
          <w:p w14:paraId="44E882BB">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必填</w:t>
            </w:r>
          </w:p>
        </w:tc>
      </w:tr>
      <w:tr w14:paraId="7A03E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98" w:type="dxa"/>
            <w:vAlign w:val="center"/>
          </w:tcPr>
          <w:p w14:paraId="44BA3DEA">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p>
        </w:tc>
        <w:tc>
          <w:tcPr>
            <w:tcW w:w="1749" w:type="dxa"/>
            <w:vAlign w:val="center"/>
          </w:tcPr>
          <w:p w14:paraId="784E763B">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设计负责人</w:t>
            </w:r>
          </w:p>
        </w:tc>
        <w:tc>
          <w:tcPr>
            <w:tcW w:w="1701" w:type="dxa"/>
            <w:vAlign w:val="center"/>
          </w:tcPr>
          <w:p w14:paraId="114C7E92">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1.1.2.5</w:t>
            </w:r>
          </w:p>
        </w:tc>
        <w:tc>
          <w:tcPr>
            <w:tcW w:w="4176" w:type="dxa"/>
            <w:vAlign w:val="center"/>
          </w:tcPr>
          <w:p w14:paraId="0A87B97F">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姓名：</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p>
        </w:tc>
        <w:tc>
          <w:tcPr>
            <w:tcW w:w="1116" w:type="dxa"/>
            <w:vAlign w:val="center"/>
          </w:tcPr>
          <w:p w14:paraId="2F9C1CBA">
            <w:pPr>
              <w:jc w:val="center"/>
              <w:rPr>
                <w:rFonts w:ascii="Times New Roman" w:hAnsi="Times New Roman" w:eastAsia="宋体" w:cs="Times New Roman"/>
                <w:color w:val="auto"/>
                <w:szCs w:val="24"/>
                <w:highlight w:val="none"/>
              </w:rPr>
            </w:pPr>
          </w:p>
        </w:tc>
      </w:tr>
      <w:tr w14:paraId="0968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98" w:type="dxa"/>
            <w:vAlign w:val="center"/>
          </w:tcPr>
          <w:p w14:paraId="76FB4A81">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p>
        </w:tc>
        <w:tc>
          <w:tcPr>
            <w:tcW w:w="1749" w:type="dxa"/>
            <w:vAlign w:val="center"/>
          </w:tcPr>
          <w:p w14:paraId="412665D6">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施工负责人</w:t>
            </w:r>
          </w:p>
        </w:tc>
        <w:tc>
          <w:tcPr>
            <w:tcW w:w="1701" w:type="dxa"/>
            <w:vAlign w:val="center"/>
          </w:tcPr>
          <w:p w14:paraId="1ED89A1B">
            <w:pPr>
              <w:spacing w:line="440" w:lineRule="exact"/>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1.1.2.6</w:t>
            </w:r>
          </w:p>
        </w:tc>
        <w:tc>
          <w:tcPr>
            <w:tcW w:w="4176" w:type="dxa"/>
            <w:vAlign w:val="center"/>
          </w:tcPr>
          <w:p w14:paraId="199D0289">
            <w:pPr>
              <w:spacing w:line="440" w:lineRule="exac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姓名：</w:t>
            </w:r>
            <w:r>
              <w:rPr>
                <w:rFonts w:hint="eastAsia"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 xml:space="preserve">     </w:t>
            </w:r>
          </w:p>
        </w:tc>
        <w:tc>
          <w:tcPr>
            <w:tcW w:w="1116" w:type="dxa"/>
            <w:vAlign w:val="center"/>
          </w:tcPr>
          <w:p w14:paraId="540550A3">
            <w:pPr>
              <w:jc w:val="center"/>
              <w:rPr>
                <w:rFonts w:ascii="Times New Roman" w:hAnsi="Times New Roman" w:eastAsia="宋体" w:cs="Times New Roman"/>
                <w:color w:val="auto"/>
                <w:szCs w:val="24"/>
                <w:highlight w:val="none"/>
              </w:rPr>
            </w:pPr>
          </w:p>
        </w:tc>
      </w:tr>
      <w:tr w14:paraId="08E5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798" w:type="dxa"/>
            <w:vAlign w:val="center"/>
          </w:tcPr>
          <w:p w14:paraId="444AEB75">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p>
        </w:tc>
        <w:tc>
          <w:tcPr>
            <w:tcW w:w="1749" w:type="dxa"/>
            <w:vAlign w:val="center"/>
          </w:tcPr>
          <w:p w14:paraId="4CB1FC6C">
            <w:pPr>
              <w:jc w:val="center"/>
              <w:rPr>
                <w:rFonts w:ascii="宋体" w:hAnsi="宋体" w:eastAsia="宋体" w:cs="Times New Roman"/>
                <w:color w:val="auto"/>
                <w:szCs w:val="21"/>
                <w:highlight w:val="none"/>
              </w:rPr>
            </w:pPr>
            <w:r>
              <w:rPr>
                <w:rFonts w:hint="eastAsia" w:ascii="宋体" w:hAnsi="宋体" w:eastAsia="宋体" w:cs="宋体"/>
                <w:bCs/>
                <w:color w:val="auto"/>
                <w:szCs w:val="21"/>
                <w:highlight w:val="none"/>
              </w:rPr>
              <w:t>建设总工期</w:t>
            </w:r>
          </w:p>
        </w:tc>
        <w:tc>
          <w:tcPr>
            <w:tcW w:w="1701" w:type="dxa"/>
            <w:vAlign w:val="center"/>
          </w:tcPr>
          <w:p w14:paraId="4FFF6BFA">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1.1.4.</w:t>
            </w:r>
            <w:r>
              <w:rPr>
                <w:rFonts w:hint="eastAsia" w:ascii="宋体" w:hAnsi="宋体" w:eastAsia="宋体" w:cs="Times New Roman"/>
                <w:color w:val="auto"/>
                <w:szCs w:val="21"/>
                <w:highlight w:val="none"/>
              </w:rPr>
              <w:t>3</w:t>
            </w:r>
          </w:p>
        </w:tc>
        <w:tc>
          <w:tcPr>
            <w:tcW w:w="4176" w:type="dxa"/>
            <w:vAlign w:val="center"/>
          </w:tcPr>
          <w:p w14:paraId="02655947">
            <w:pPr>
              <w:rPr>
                <w:rFonts w:ascii="Times New Roman" w:hAnsi="Times New Roman"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日历天内完工</w:t>
            </w:r>
          </w:p>
        </w:tc>
        <w:tc>
          <w:tcPr>
            <w:tcW w:w="1116" w:type="dxa"/>
            <w:vAlign w:val="center"/>
          </w:tcPr>
          <w:p w14:paraId="0810B192">
            <w:pPr>
              <w:jc w:val="cente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必填</w:t>
            </w:r>
          </w:p>
        </w:tc>
      </w:tr>
      <w:tr w14:paraId="3C22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798" w:type="dxa"/>
            <w:vAlign w:val="center"/>
          </w:tcPr>
          <w:p w14:paraId="06031173">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p>
        </w:tc>
        <w:tc>
          <w:tcPr>
            <w:tcW w:w="1749" w:type="dxa"/>
            <w:vAlign w:val="center"/>
          </w:tcPr>
          <w:p w14:paraId="447B9536">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缺陷责任期</w:t>
            </w:r>
          </w:p>
        </w:tc>
        <w:tc>
          <w:tcPr>
            <w:tcW w:w="1701" w:type="dxa"/>
            <w:vAlign w:val="center"/>
          </w:tcPr>
          <w:p w14:paraId="427E9FC7">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1.1.4.5</w:t>
            </w:r>
          </w:p>
        </w:tc>
        <w:tc>
          <w:tcPr>
            <w:tcW w:w="4176" w:type="dxa"/>
            <w:vAlign w:val="center"/>
          </w:tcPr>
          <w:p w14:paraId="6051E32D">
            <w:pPr>
              <w:spacing w:line="440" w:lineRule="exact"/>
              <w:rPr>
                <w:rFonts w:ascii="Times New Roman" w:hAnsi="Times New Roman"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rPr>
              <w:t>12个月（从竣工验收合格之日起算）</w:t>
            </w:r>
            <w:r>
              <w:rPr>
                <w:rFonts w:hint="eastAsia" w:ascii="宋体" w:hAnsi="宋体" w:eastAsia="宋体" w:cs="Times New Roman"/>
                <w:color w:val="auto"/>
                <w:szCs w:val="21"/>
                <w:highlight w:val="none"/>
                <w:u w:val="single"/>
              </w:rPr>
              <w:t xml:space="preserve"> </w:t>
            </w:r>
          </w:p>
        </w:tc>
        <w:tc>
          <w:tcPr>
            <w:tcW w:w="1116" w:type="dxa"/>
            <w:vAlign w:val="center"/>
          </w:tcPr>
          <w:p w14:paraId="5BD3B308">
            <w:pPr>
              <w:spacing w:line="440" w:lineRule="exact"/>
              <w:rPr>
                <w:rFonts w:ascii="Times New Roman" w:hAnsi="Times New Roman" w:eastAsia="宋体" w:cs="Times New Roman"/>
                <w:color w:val="auto"/>
                <w:szCs w:val="21"/>
                <w:highlight w:val="none"/>
              </w:rPr>
            </w:pPr>
          </w:p>
        </w:tc>
      </w:tr>
    </w:tbl>
    <w:p w14:paraId="6A3CA427">
      <w:pPr>
        <w:pStyle w:val="5"/>
        <w:shd w:val="clear" w:color="auto" w:fill="auto"/>
        <w:rPr>
          <w:color w:val="auto"/>
          <w:highlight w:val="none"/>
        </w:rPr>
      </w:pPr>
    </w:p>
    <w:p w14:paraId="09CD3D03">
      <w:pPr>
        <w:shd w:val="clear" w:color="auto" w:fill="auto"/>
        <w:rPr>
          <w:color w:val="auto"/>
          <w:highlight w:val="none"/>
        </w:rPr>
        <w:sectPr>
          <w:footerReference r:id="rId18" w:type="default"/>
          <w:pgSz w:w="11850" w:h="16783"/>
          <w:pgMar w:top="954" w:right="1627" w:bottom="1157" w:left="1412" w:header="0" w:footer="992" w:gutter="0"/>
          <w:pgNumType w:fmt="decimal"/>
          <w:cols w:space="720" w:num="1"/>
        </w:sectPr>
      </w:pPr>
    </w:p>
    <w:p w14:paraId="5015BA65">
      <w:pPr>
        <w:shd w:val="clear" w:color="auto" w:fill="auto"/>
        <w:spacing w:before="60" w:line="186" w:lineRule="auto"/>
        <w:ind w:left="3427"/>
        <w:rPr>
          <w:rFonts w:ascii="微软雅黑" w:hAnsi="微软雅黑" w:eastAsia="微软雅黑" w:cs="微软雅黑"/>
          <w:color w:val="auto"/>
          <w:sz w:val="31"/>
          <w:szCs w:val="31"/>
          <w:highlight w:val="none"/>
        </w:rPr>
      </w:pPr>
      <w:r>
        <w:rPr>
          <w:rFonts w:hint="eastAsia" w:ascii="微软雅黑" w:hAnsi="微软雅黑" w:eastAsia="微软雅黑" w:cs="微软雅黑"/>
          <w:color w:val="auto"/>
          <w:spacing w:val="8"/>
          <w:sz w:val="31"/>
          <w:szCs w:val="31"/>
          <w:highlight w:val="none"/>
          <w:lang w:eastAsia="zh-CN"/>
        </w:rPr>
        <w:t>（二）</w:t>
      </w:r>
      <w:r>
        <w:rPr>
          <w:rFonts w:ascii="微软雅黑" w:hAnsi="微软雅黑" w:eastAsia="微软雅黑" w:cs="微软雅黑"/>
          <w:color w:val="auto"/>
          <w:spacing w:val="8"/>
          <w:sz w:val="31"/>
          <w:szCs w:val="31"/>
          <w:highlight w:val="none"/>
        </w:rPr>
        <w:t>投标承诺书</w:t>
      </w:r>
    </w:p>
    <w:p w14:paraId="080B1F68">
      <w:pPr>
        <w:shd w:val="clear" w:color="auto" w:fill="auto"/>
        <w:tabs>
          <w:tab w:val="left" w:pos="136"/>
        </w:tabs>
        <w:spacing w:before="99" w:line="360" w:lineRule="auto"/>
        <w:rPr>
          <w:rFonts w:ascii="宋体" w:hAnsi="宋体" w:cs="宋体"/>
          <w:color w:val="auto"/>
          <w:sz w:val="21"/>
          <w:szCs w:val="21"/>
          <w:highlight w:val="none"/>
        </w:rPr>
      </w:pPr>
      <w:r>
        <w:rPr>
          <w:rFonts w:ascii="宋体" w:hAnsi="宋体" w:cs="宋体"/>
          <w:color w:val="auto"/>
          <w:sz w:val="21"/>
          <w:szCs w:val="21"/>
          <w:highlight w:val="none"/>
          <w:u w:val="single"/>
        </w:rPr>
        <w:tab/>
      </w:r>
      <w:r>
        <w:rPr>
          <w:rFonts w:ascii="宋体" w:hAnsi="宋体" w:cs="宋体"/>
          <w:color w:val="auto"/>
          <w:spacing w:val="-23"/>
          <w:sz w:val="21"/>
          <w:szCs w:val="21"/>
          <w:highlight w:val="none"/>
          <w:u w:val="single"/>
        </w:rPr>
        <w:t>（招标人名称</w:t>
      </w:r>
      <w:r>
        <w:rPr>
          <w:rFonts w:ascii="宋体" w:hAnsi="宋体" w:cs="宋体"/>
          <w:color w:val="auto"/>
          <w:sz w:val="21"/>
          <w:szCs w:val="21"/>
          <w:highlight w:val="none"/>
          <w:u w:val="single"/>
        </w:rPr>
        <w:t>）</w:t>
      </w:r>
      <w:r>
        <w:rPr>
          <w:rFonts w:ascii="宋体" w:hAnsi="宋体" w:cs="宋体"/>
          <w:color w:val="auto"/>
          <w:spacing w:val="6"/>
          <w:sz w:val="21"/>
          <w:szCs w:val="21"/>
          <w:highlight w:val="none"/>
          <w:u w:val="single"/>
        </w:rPr>
        <w:t xml:space="preserve">                   </w:t>
      </w:r>
      <w:r>
        <w:rPr>
          <w:rFonts w:ascii="宋体" w:hAnsi="宋体" w:cs="宋体"/>
          <w:color w:val="auto"/>
          <w:sz w:val="21"/>
          <w:szCs w:val="21"/>
          <w:highlight w:val="none"/>
        </w:rPr>
        <w:t>：</w:t>
      </w:r>
    </w:p>
    <w:p w14:paraId="1D6AF779">
      <w:pPr>
        <w:shd w:val="clear" w:color="auto" w:fill="auto"/>
        <w:spacing w:before="44" w:line="360" w:lineRule="auto"/>
        <w:ind w:left="11" w:right="235" w:firstLine="479"/>
        <w:rPr>
          <w:rFonts w:ascii="宋体" w:hAnsi="宋体" w:cs="宋体"/>
          <w:color w:val="auto"/>
          <w:sz w:val="21"/>
          <w:szCs w:val="21"/>
          <w:highlight w:val="none"/>
        </w:rPr>
      </w:pPr>
      <w:r>
        <w:rPr>
          <w:rFonts w:ascii="宋体" w:hAnsi="宋体" w:cs="宋体"/>
          <w:color w:val="auto"/>
          <w:spacing w:val="-2"/>
          <w:sz w:val="21"/>
          <w:szCs w:val="21"/>
          <w:highlight w:val="none"/>
        </w:rPr>
        <w:t>本公司已详细阅读</w:t>
      </w:r>
      <w:r>
        <w:rPr>
          <w:rFonts w:ascii="宋体" w:hAnsi="宋体" w:cs="宋体"/>
          <w:color w:val="auto"/>
          <w:spacing w:val="36"/>
          <w:sz w:val="21"/>
          <w:szCs w:val="21"/>
          <w:highlight w:val="none"/>
          <w:u w:val="single"/>
        </w:rPr>
        <w:t xml:space="preserve">   </w:t>
      </w:r>
      <w:r>
        <w:rPr>
          <w:rFonts w:ascii="宋体" w:hAnsi="宋体" w:cs="宋体"/>
          <w:color w:val="auto"/>
          <w:spacing w:val="-2"/>
          <w:sz w:val="21"/>
          <w:szCs w:val="21"/>
          <w:highlight w:val="none"/>
          <w:u w:val="single"/>
        </w:rPr>
        <w:t>（项目名称及招标编号）</w:t>
      </w:r>
      <w:r>
        <w:rPr>
          <w:rFonts w:ascii="宋体" w:hAnsi="宋体" w:cs="宋体"/>
          <w:color w:val="auto"/>
          <w:spacing w:val="48"/>
          <w:sz w:val="21"/>
          <w:szCs w:val="21"/>
          <w:highlight w:val="none"/>
          <w:u w:val="single"/>
        </w:rPr>
        <w:t xml:space="preserve">  </w:t>
      </w:r>
      <w:r>
        <w:rPr>
          <w:rFonts w:ascii="宋体" w:hAnsi="宋体" w:cs="宋体"/>
          <w:color w:val="auto"/>
          <w:spacing w:val="-108"/>
          <w:sz w:val="21"/>
          <w:szCs w:val="21"/>
          <w:highlight w:val="none"/>
        </w:rPr>
        <w:t xml:space="preserve"> </w:t>
      </w:r>
      <w:r>
        <w:rPr>
          <w:rFonts w:ascii="宋体" w:hAnsi="宋体" w:cs="宋体"/>
          <w:color w:val="auto"/>
          <w:spacing w:val="-2"/>
          <w:sz w:val="21"/>
          <w:szCs w:val="21"/>
          <w:highlight w:val="none"/>
        </w:rPr>
        <w:t>招标文件，自觉遵守中华</w:t>
      </w:r>
      <w:r>
        <w:rPr>
          <w:rFonts w:ascii="宋体" w:hAnsi="宋体" w:cs="宋体"/>
          <w:color w:val="auto"/>
          <w:sz w:val="21"/>
          <w:szCs w:val="21"/>
          <w:highlight w:val="none"/>
        </w:rPr>
        <w:t>人民共和国、浙江省及当地有关招标投标的法律</w:t>
      </w:r>
      <w:r>
        <w:rPr>
          <w:rFonts w:ascii="宋体" w:hAnsi="宋体" w:cs="宋体"/>
          <w:color w:val="auto"/>
          <w:spacing w:val="-1"/>
          <w:sz w:val="21"/>
          <w:szCs w:val="21"/>
          <w:highlight w:val="none"/>
        </w:rPr>
        <w:t>法规规定，</w:t>
      </w:r>
      <w:r>
        <w:rPr>
          <w:rFonts w:ascii="宋体" w:hAnsi="宋体" w:cs="宋体"/>
          <w:color w:val="auto"/>
          <w:spacing w:val="-71"/>
          <w:sz w:val="21"/>
          <w:szCs w:val="21"/>
          <w:highlight w:val="none"/>
        </w:rPr>
        <w:t xml:space="preserve"> </w:t>
      </w:r>
      <w:r>
        <w:rPr>
          <w:rFonts w:ascii="宋体" w:hAnsi="宋体" w:cs="宋体"/>
          <w:color w:val="auto"/>
          <w:spacing w:val="-1"/>
          <w:sz w:val="21"/>
          <w:szCs w:val="21"/>
          <w:highlight w:val="none"/>
        </w:rPr>
        <w:t>自觉维护建筑市场正</w:t>
      </w:r>
      <w:r>
        <w:rPr>
          <w:rFonts w:ascii="宋体" w:hAnsi="宋体" w:cs="宋体"/>
          <w:color w:val="auto"/>
          <w:sz w:val="21"/>
          <w:szCs w:val="21"/>
          <w:highlight w:val="none"/>
        </w:rPr>
        <w:t xml:space="preserve"> </w:t>
      </w:r>
      <w:r>
        <w:rPr>
          <w:rFonts w:ascii="宋体" w:hAnsi="宋体" w:cs="宋体"/>
          <w:color w:val="auto"/>
          <w:spacing w:val="-1"/>
          <w:sz w:val="21"/>
          <w:szCs w:val="21"/>
          <w:highlight w:val="none"/>
        </w:rPr>
        <w:t>常秩序，现自愿就参加该工程投标有关事项郑重承诺如下：</w:t>
      </w:r>
    </w:p>
    <w:p w14:paraId="752A38CD">
      <w:pPr>
        <w:shd w:val="clear" w:color="auto" w:fill="auto"/>
        <w:spacing w:before="42" w:line="360" w:lineRule="auto"/>
        <w:ind w:left="33" w:right="173" w:firstLine="474"/>
        <w:rPr>
          <w:rFonts w:ascii="宋体" w:hAnsi="宋体" w:cs="宋体"/>
          <w:color w:val="auto"/>
          <w:sz w:val="21"/>
          <w:szCs w:val="21"/>
          <w:highlight w:val="none"/>
        </w:rPr>
      </w:pPr>
      <w:r>
        <w:rPr>
          <w:rFonts w:ascii="宋体" w:hAnsi="宋体" w:cs="宋体"/>
          <w:color w:val="auto"/>
          <w:spacing w:val="-8"/>
          <w:sz w:val="21"/>
          <w:szCs w:val="21"/>
          <w:highlight w:val="none"/>
        </w:rPr>
        <w:t>1. 承诺投标文件无虚假、伪造的内容。若投标文件中存在虚假、伪造的内容，</w:t>
      </w:r>
      <w:r>
        <w:rPr>
          <w:rFonts w:ascii="宋体" w:hAnsi="宋体" w:cs="宋体"/>
          <w:color w:val="auto"/>
          <w:spacing w:val="-4"/>
          <w:sz w:val="21"/>
          <w:szCs w:val="21"/>
          <w:highlight w:val="none"/>
        </w:rPr>
        <w:t>同意作无效投标处理。</w:t>
      </w:r>
    </w:p>
    <w:p w14:paraId="61E82C74">
      <w:pPr>
        <w:shd w:val="clear" w:color="auto" w:fill="auto"/>
        <w:spacing w:before="39" w:line="360" w:lineRule="auto"/>
        <w:ind w:left="10" w:right="237" w:firstLine="481"/>
        <w:rPr>
          <w:rFonts w:ascii="宋体" w:hAnsi="宋体" w:cs="宋体"/>
          <w:color w:val="auto"/>
          <w:sz w:val="21"/>
          <w:szCs w:val="21"/>
          <w:highlight w:val="none"/>
        </w:rPr>
      </w:pPr>
      <w:r>
        <w:rPr>
          <w:rFonts w:ascii="宋体" w:hAnsi="宋体" w:cs="宋体"/>
          <w:color w:val="auto"/>
          <w:spacing w:val="1"/>
          <w:sz w:val="21"/>
          <w:szCs w:val="21"/>
          <w:highlight w:val="none"/>
        </w:rPr>
        <w:t>2.承诺我单位法定代表人、拟派项目负责人、授权代表等主要责任人诚</w:t>
      </w:r>
      <w:r>
        <w:rPr>
          <w:rFonts w:ascii="宋体" w:hAnsi="宋体" w:cs="宋体"/>
          <w:color w:val="auto"/>
          <w:sz w:val="21"/>
          <w:szCs w:val="21"/>
          <w:highlight w:val="none"/>
        </w:rPr>
        <w:t xml:space="preserve">信投 </w:t>
      </w:r>
      <w:r>
        <w:rPr>
          <w:rFonts w:ascii="宋体" w:hAnsi="宋体" w:cs="宋体"/>
          <w:color w:val="auto"/>
          <w:spacing w:val="-6"/>
          <w:sz w:val="21"/>
          <w:szCs w:val="21"/>
          <w:highlight w:val="none"/>
        </w:rPr>
        <w:t>标。</w:t>
      </w:r>
    </w:p>
    <w:p w14:paraId="0216FC81">
      <w:pPr>
        <w:shd w:val="clear" w:color="auto" w:fill="auto"/>
        <w:spacing w:before="41" w:line="360" w:lineRule="auto"/>
        <w:ind w:left="10" w:right="235" w:firstLine="483"/>
        <w:rPr>
          <w:rFonts w:ascii="宋体" w:hAnsi="宋体" w:cs="宋体"/>
          <w:color w:val="auto"/>
          <w:sz w:val="21"/>
          <w:szCs w:val="21"/>
          <w:highlight w:val="none"/>
        </w:rPr>
      </w:pPr>
      <w:r>
        <w:rPr>
          <w:rFonts w:ascii="宋体" w:hAnsi="宋体" w:cs="宋体"/>
          <w:color w:val="auto"/>
          <w:spacing w:val="1"/>
          <w:sz w:val="21"/>
          <w:szCs w:val="21"/>
          <w:highlight w:val="none"/>
        </w:rPr>
        <w:t>3.承诺无串通投标行为，若与其他投标人存在投标文件异常一致、内容</w:t>
      </w:r>
      <w:r>
        <w:rPr>
          <w:rFonts w:ascii="宋体" w:hAnsi="宋体" w:cs="宋体"/>
          <w:color w:val="auto"/>
          <w:sz w:val="21"/>
          <w:szCs w:val="21"/>
          <w:highlight w:val="none"/>
        </w:rPr>
        <w:t xml:space="preserve">多处 </w:t>
      </w:r>
      <w:r>
        <w:rPr>
          <w:rFonts w:ascii="宋体" w:hAnsi="宋体" w:cs="宋体"/>
          <w:color w:val="auto"/>
          <w:spacing w:val="-1"/>
          <w:sz w:val="21"/>
          <w:szCs w:val="21"/>
          <w:highlight w:val="none"/>
        </w:rPr>
        <w:t>雷同、电子检测码（码）一致的情况，同意作无</w:t>
      </w:r>
      <w:r>
        <w:rPr>
          <w:rFonts w:ascii="宋体" w:hAnsi="宋体" w:cs="宋体"/>
          <w:color w:val="auto"/>
          <w:spacing w:val="-2"/>
          <w:sz w:val="21"/>
          <w:szCs w:val="21"/>
          <w:highlight w:val="none"/>
        </w:rPr>
        <w:t>效投标处理，并接受有关行政</w:t>
      </w:r>
      <w:r>
        <w:rPr>
          <w:rFonts w:ascii="宋体" w:hAnsi="宋体" w:cs="宋体"/>
          <w:color w:val="auto"/>
          <w:spacing w:val="-1"/>
          <w:sz w:val="21"/>
          <w:szCs w:val="21"/>
          <w:highlight w:val="none"/>
        </w:rPr>
        <w:t>监督部门的调查和处罚。</w:t>
      </w:r>
    </w:p>
    <w:p w14:paraId="256680C0">
      <w:pPr>
        <w:shd w:val="clear" w:color="auto" w:fill="auto"/>
        <w:spacing w:before="43" w:line="360" w:lineRule="auto"/>
        <w:ind w:left="8" w:right="237" w:firstLine="480"/>
        <w:rPr>
          <w:rFonts w:ascii="宋体" w:hAnsi="宋体" w:cs="宋体"/>
          <w:color w:val="auto"/>
          <w:sz w:val="21"/>
          <w:szCs w:val="21"/>
          <w:highlight w:val="none"/>
        </w:rPr>
      </w:pPr>
      <w:r>
        <w:rPr>
          <w:rFonts w:ascii="宋体" w:hAnsi="宋体" w:cs="宋体"/>
          <w:color w:val="auto"/>
          <w:spacing w:val="1"/>
          <w:sz w:val="21"/>
          <w:szCs w:val="21"/>
          <w:highlight w:val="none"/>
        </w:rPr>
        <w:t>4.承诺无恶意报价行为，若被认定存在严重哄抬标价或影响合同履行的异常</w:t>
      </w:r>
      <w:r>
        <w:rPr>
          <w:rFonts w:ascii="宋体" w:hAnsi="宋体" w:cs="宋体"/>
          <w:color w:val="auto"/>
          <w:spacing w:val="2"/>
          <w:sz w:val="21"/>
          <w:szCs w:val="21"/>
          <w:highlight w:val="none"/>
        </w:rPr>
        <w:t xml:space="preserve"> </w:t>
      </w:r>
      <w:r>
        <w:rPr>
          <w:rFonts w:ascii="宋体" w:hAnsi="宋体" w:cs="宋体"/>
          <w:color w:val="auto"/>
          <w:sz w:val="21"/>
          <w:szCs w:val="21"/>
          <w:highlight w:val="none"/>
        </w:rPr>
        <w:t>低价竞标行为，同意作无效投标处理，并接受有关行政监</w:t>
      </w:r>
      <w:r>
        <w:rPr>
          <w:rFonts w:ascii="宋体" w:hAnsi="宋体" w:cs="宋体"/>
          <w:color w:val="auto"/>
          <w:spacing w:val="-1"/>
          <w:sz w:val="21"/>
          <w:szCs w:val="21"/>
          <w:highlight w:val="none"/>
        </w:rPr>
        <w:t>督部门的调查和处罚。</w:t>
      </w:r>
    </w:p>
    <w:p w14:paraId="4824C88B">
      <w:pPr>
        <w:shd w:val="clear" w:color="auto" w:fill="auto"/>
        <w:spacing w:before="46" w:line="360" w:lineRule="auto"/>
        <w:ind w:left="16" w:right="202" w:firstLine="478"/>
        <w:rPr>
          <w:rFonts w:ascii="宋体" w:hAnsi="宋体" w:cs="宋体"/>
          <w:color w:val="auto"/>
          <w:sz w:val="21"/>
          <w:szCs w:val="21"/>
          <w:highlight w:val="none"/>
        </w:rPr>
      </w:pPr>
      <w:r>
        <w:rPr>
          <w:rFonts w:ascii="宋体" w:hAnsi="宋体" w:cs="宋体"/>
          <w:color w:val="auto"/>
          <w:spacing w:val="-6"/>
          <w:sz w:val="21"/>
          <w:szCs w:val="21"/>
          <w:highlight w:val="none"/>
        </w:rPr>
        <w:t>5.承诺按照投标文件派驻管理人员及投入机械设备，若存在不到位的情况，同</w:t>
      </w:r>
      <w:r>
        <w:rPr>
          <w:rFonts w:ascii="宋体" w:hAnsi="宋体" w:cs="宋体"/>
          <w:color w:val="auto"/>
          <w:spacing w:val="-11"/>
          <w:sz w:val="21"/>
          <w:szCs w:val="21"/>
          <w:highlight w:val="none"/>
        </w:rPr>
        <w:t>意接受合同约定的处罚。若严重影响合同履约的，同意接受招</w:t>
      </w:r>
      <w:r>
        <w:rPr>
          <w:rFonts w:ascii="宋体" w:hAnsi="宋体" w:cs="宋体"/>
          <w:color w:val="auto"/>
          <w:spacing w:val="-12"/>
          <w:sz w:val="21"/>
          <w:szCs w:val="21"/>
          <w:highlight w:val="none"/>
        </w:rPr>
        <w:t>标人解除合同的要求。</w:t>
      </w:r>
    </w:p>
    <w:p w14:paraId="5C0CB7DD">
      <w:pPr>
        <w:shd w:val="clear" w:color="auto" w:fill="auto"/>
        <w:spacing w:before="41" w:line="360" w:lineRule="auto"/>
        <w:ind w:left="8" w:right="235" w:firstLine="482"/>
        <w:rPr>
          <w:rFonts w:ascii="宋体" w:hAnsi="宋体" w:cs="宋体"/>
          <w:color w:val="auto"/>
          <w:sz w:val="21"/>
          <w:szCs w:val="21"/>
          <w:highlight w:val="none"/>
        </w:rPr>
      </w:pPr>
      <w:r>
        <w:rPr>
          <w:rFonts w:ascii="宋体" w:hAnsi="宋体" w:cs="宋体"/>
          <w:color w:val="auto"/>
          <w:spacing w:val="1"/>
          <w:sz w:val="21"/>
          <w:szCs w:val="21"/>
          <w:highlight w:val="none"/>
        </w:rPr>
        <w:t>6.承诺本项目拟派项目负责人在投标截止日无在其他任何在建合同工程上担</w:t>
      </w:r>
      <w:r>
        <w:rPr>
          <w:rFonts w:ascii="宋体" w:hAnsi="宋体" w:cs="宋体"/>
          <w:color w:val="auto"/>
          <w:spacing w:val="-1"/>
          <w:sz w:val="21"/>
          <w:szCs w:val="21"/>
          <w:highlight w:val="none"/>
        </w:rPr>
        <w:t>任项目负责人（包括工程总承包项目中的施工负责人）的情形。</w:t>
      </w:r>
    </w:p>
    <w:p w14:paraId="4FB01AEF">
      <w:pPr>
        <w:shd w:val="clear" w:color="auto" w:fill="auto"/>
        <w:spacing w:before="46" w:line="360" w:lineRule="auto"/>
        <w:ind w:left="9" w:right="235" w:firstLine="485"/>
        <w:rPr>
          <w:rFonts w:ascii="宋体" w:hAnsi="宋体" w:cs="宋体"/>
          <w:color w:val="auto"/>
          <w:sz w:val="21"/>
          <w:szCs w:val="21"/>
          <w:highlight w:val="none"/>
        </w:rPr>
      </w:pPr>
      <w:r>
        <w:rPr>
          <w:rFonts w:ascii="宋体" w:hAnsi="宋体" w:cs="宋体"/>
          <w:color w:val="auto"/>
          <w:sz w:val="21"/>
          <w:szCs w:val="21"/>
          <w:highlight w:val="none"/>
        </w:rPr>
        <w:t>7.承诺我单位在投标期间（招标公告发布之日至中标通知书发出之日</w:t>
      </w:r>
      <w:r>
        <w:rPr>
          <w:rFonts w:ascii="宋体" w:hAnsi="宋体" w:cs="宋体"/>
          <w:color w:val="auto"/>
          <w:spacing w:val="14"/>
          <w:sz w:val="21"/>
          <w:szCs w:val="21"/>
          <w:highlight w:val="none"/>
        </w:rPr>
        <w:t>），</w:t>
      </w:r>
      <w:r>
        <w:rPr>
          <w:rFonts w:ascii="宋体" w:hAnsi="宋体" w:cs="宋体"/>
          <w:color w:val="auto"/>
          <w:sz w:val="21"/>
          <w:szCs w:val="21"/>
          <w:highlight w:val="none"/>
        </w:rPr>
        <w:t>资</w:t>
      </w:r>
      <w:r>
        <w:rPr>
          <w:rFonts w:ascii="宋体" w:hAnsi="宋体" w:cs="宋体"/>
          <w:color w:val="auto"/>
          <w:spacing w:val="-1"/>
          <w:sz w:val="21"/>
          <w:szCs w:val="21"/>
          <w:highlight w:val="none"/>
        </w:rPr>
        <w:t>质条件在“浙江省建筑市场监管公共服务系统</w:t>
      </w:r>
      <w:r>
        <w:rPr>
          <w:rFonts w:ascii="宋体" w:hAnsi="宋体" w:cs="宋体"/>
          <w:color w:val="auto"/>
          <w:spacing w:val="-80"/>
          <w:sz w:val="21"/>
          <w:szCs w:val="21"/>
          <w:highlight w:val="none"/>
        </w:rPr>
        <w:t xml:space="preserve"> </w:t>
      </w:r>
      <w:r>
        <w:rPr>
          <w:rFonts w:ascii="宋体" w:hAnsi="宋体" w:cs="宋体"/>
          <w:color w:val="auto"/>
          <w:spacing w:val="-1"/>
          <w:sz w:val="21"/>
          <w:szCs w:val="21"/>
          <w:highlight w:val="none"/>
        </w:rPr>
        <w:t>”上动态核查结果处于“合格</w:t>
      </w:r>
      <w:r>
        <w:rPr>
          <w:rFonts w:ascii="宋体" w:hAnsi="宋体" w:cs="宋体"/>
          <w:color w:val="auto"/>
          <w:spacing w:val="-88"/>
          <w:sz w:val="21"/>
          <w:szCs w:val="21"/>
          <w:highlight w:val="none"/>
        </w:rPr>
        <w:t xml:space="preserve"> </w:t>
      </w:r>
      <w:r>
        <w:rPr>
          <w:rFonts w:ascii="宋体" w:hAnsi="宋体" w:cs="宋体"/>
          <w:color w:val="auto"/>
          <w:spacing w:val="-1"/>
          <w:sz w:val="21"/>
          <w:szCs w:val="21"/>
          <w:highlight w:val="none"/>
        </w:rPr>
        <w:t>”状</w:t>
      </w:r>
      <w:r>
        <w:rPr>
          <w:rFonts w:ascii="宋体" w:hAnsi="宋体" w:cs="宋体"/>
          <w:color w:val="auto"/>
          <w:sz w:val="21"/>
          <w:szCs w:val="21"/>
          <w:highlight w:val="none"/>
        </w:rPr>
        <w:t xml:space="preserve"> </w:t>
      </w:r>
      <w:r>
        <w:rPr>
          <w:rFonts w:ascii="宋体" w:hAnsi="宋体" w:cs="宋体"/>
          <w:color w:val="auto"/>
          <w:spacing w:val="-2"/>
          <w:sz w:val="21"/>
          <w:szCs w:val="21"/>
          <w:highlight w:val="none"/>
        </w:rPr>
        <w:t>态，若为“不合格</w:t>
      </w:r>
      <w:r>
        <w:rPr>
          <w:rFonts w:ascii="宋体" w:hAnsi="宋体" w:cs="宋体"/>
          <w:color w:val="auto"/>
          <w:spacing w:val="-89"/>
          <w:sz w:val="21"/>
          <w:szCs w:val="21"/>
          <w:highlight w:val="none"/>
        </w:rPr>
        <w:t xml:space="preserve"> </w:t>
      </w:r>
      <w:r>
        <w:rPr>
          <w:rFonts w:ascii="宋体" w:hAnsi="宋体" w:cs="宋体"/>
          <w:color w:val="auto"/>
          <w:spacing w:val="-2"/>
          <w:sz w:val="21"/>
          <w:szCs w:val="21"/>
          <w:highlight w:val="none"/>
        </w:rPr>
        <w:t>”状态同意作否决投标处理。</w:t>
      </w:r>
    </w:p>
    <w:p w14:paraId="34000F25">
      <w:pPr>
        <w:shd w:val="clear" w:color="auto" w:fill="auto"/>
        <w:spacing w:before="42" w:line="360" w:lineRule="auto"/>
        <w:ind w:left="9" w:firstLine="480"/>
        <w:rPr>
          <w:rFonts w:ascii="宋体" w:hAnsi="宋体" w:cs="宋体"/>
          <w:color w:val="auto"/>
          <w:sz w:val="21"/>
          <w:szCs w:val="21"/>
          <w:highlight w:val="none"/>
        </w:rPr>
      </w:pPr>
      <w:r>
        <w:rPr>
          <w:rFonts w:ascii="宋体" w:hAnsi="宋体" w:cs="宋体"/>
          <w:color w:val="auto"/>
          <w:sz w:val="21"/>
          <w:szCs w:val="21"/>
          <w:highlight w:val="none"/>
        </w:rPr>
        <w:t>8.承诺我单位在投标前，及时维护更新“浙江省建筑市场监管公共服务系统</w:t>
      </w:r>
      <w:r>
        <w:rPr>
          <w:rFonts w:ascii="宋体" w:hAnsi="宋体" w:cs="宋体"/>
          <w:color w:val="auto"/>
          <w:spacing w:val="-89"/>
          <w:sz w:val="21"/>
          <w:szCs w:val="21"/>
          <w:highlight w:val="none"/>
        </w:rPr>
        <w:t xml:space="preserve"> </w:t>
      </w:r>
      <w:r>
        <w:rPr>
          <w:rFonts w:ascii="宋体" w:hAnsi="宋体" w:cs="宋体"/>
          <w:color w:val="auto"/>
          <w:sz w:val="21"/>
          <w:szCs w:val="21"/>
          <w:highlight w:val="none"/>
        </w:rPr>
        <w:t xml:space="preserve">” </w:t>
      </w:r>
      <w:r>
        <w:rPr>
          <w:rFonts w:ascii="宋体" w:hAnsi="宋体" w:cs="宋体"/>
          <w:color w:val="auto"/>
          <w:spacing w:val="1"/>
          <w:sz w:val="21"/>
          <w:szCs w:val="21"/>
          <w:highlight w:val="none"/>
        </w:rPr>
        <w:t>相关信息，并对企业资质、人员资格、项目状况、信用评价等信息的真实性、准</w:t>
      </w:r>
      <w:r>
        <w:rPr>
          <w:rFonts w:ascii="宋体" w:hAnsi="宋体" w:cs="宋体"/>
          <w:color w:val="auto"/>
          <w:spacing w:val="-2"/>
          <w:sz w:val="21"/>
          <w:szCs w:val="21"/>
          <w:highlight w:val="none"/>
        </w:rPr>
        <w:t>确性、完整性负责。</w:t>
      </w:r>
    </w:p>
    <w:p w14:paraId="72BF4389">
      <w:pPr>
        <w:shd w:val="clear" w:color="auto" w:fill="auto"/>
        <w:spacing w:before="42" w:line="360" w:lineRule="auto"/>
        <w:ind w:left="12" w:right="235" w:firstLine="478"/>
        <w:rPr>
          <w:rFonts w:ascii="宋体" w:hAnsi="宋体" w:cs="宋体"/>
          <w:color w:val="auto"/>
          <w:sz w:val="21"/>
          <w:szCs w:val="21"/>
          <w:highlight w:val="none"/>
        </w:rPr>
      </w:pPr>
      <w:r>
        <w:rPr>
          <w:rFonts w:ascii="宋体" w:hAnsi="宋体" w:cs="宋体"/>
          <w:color w:val="auto"/>
          <w:spacing w:val="1"/>
          <w:sz w:val="21"/>
          <w:szCs w:val="21"/>
          <w:highlight w:val="none"/>
        </w:rPr>
        <w:t>9.承诺本招标文件要求的人员和单位没有被人民法院列入限制失信被执行人</w:t>
      </w:r>
      <w:r>
        <w:rPr>
          <w:rFonts w:ascii="宋体" w:hAnsi="宋体" w:cs="宋体"/>
          <w:color w:val="auto"/>
          <w:spacing w:val="-1"/>
          <w:sz w:val="21"/>
          <w:szCs w:val="21"/>
          <w:highlight w:val="none"/>
        </w:rPr>
        <w:t>名单和至投标截止时间三年内没有行贿犯罪记录。</w:t>
      </w:r>
    </w:p>
    <w:p w14:paraId="666812EB">
      <w:pPr>
        <w:shd w:val="clear" w:color="auto" w:fill="auto"/>
        <w:spacing w:before="42" w:line="360" w:lineRule="auto"/>
        <w:ind w:left="12" w:right="237" w:firstLine="494"/>
        <w:rPr>
          <w:rFonts w:ascii="宋体" w:hAnsi="宋体" w:cs="宋体"/>
          <w:color w:val="auto"/>
          <w:sz w:val="21"/>
          <w:szCs w:val="21"/>
          <w:highlight w:val="none"/>
        </w:rPr>
      </w:pPr>
      <w:r>
        <w:rPr>
          <w:rFonts w:ascii="宋体" w:hAnsi="宋体" w:cs="宋体"/>
          <w:color w:val="auto"/>
          <w:sz w:val="21"/>
          <w:szCs w:val="21"/>
          <w:highlight w:val="none"/>
        </w:rPr>
        <w:t>10.承诺未被有关行政主管部门列入严重失信黑名单失信(严重违法失信企业</w:t>
      </w:r>
      <w:r>
        <w:rPr>
          <w:rFonts w:ascii="宋体" w:hAnsi="宋体" w:cs="宋体"/>
          <w:color w:val="auto"/>
          <w:spacing w:val="17"/>
          <w:sz w:val="21"/>
          <w:szCs w:val="21"/>
          <w:highlight w:val="none"/>
        </w:rPr>
        <w:t xml:space="preserve"> </w:t>
      </w:r>
      <w:r>
        <w:rPr>
          <w:rFonts w:ascii="宋体" w:hAnsi="宋体" w:cs="宋体"/>
          <w:color w:val="auto"/>
          <w:spacing w:val="-1"/>
          <w:sz w:val="21"/>
          <w:szCs w:val="21"/>
          <w:highlight w:val="none"/>
        </w:rPr>
        <w:t>名单、联合惩戒名单)或限制参加投标。</w:t>
      </w:r>
    </w:p>
    <w:p w14:paraId="6BE64AB2">
      <w:pPr>
        <w:shd w:val="clear" w:color="auto" w:fill="auto"/>
        <w:spacing w:before="41" w:line="360" w:lineRule="auto"/>
        <w:ind w:left="55" w:right="235" w:firstLine="451"/>
        <w:rPr>
          <w:rFonts w:ascii="宋体" w:hAnsi="宋体" w:cs="宋体"/>
          <w:color w:val="auto"/>
          <w:sz w:val="21"/>
          <w:szCs w:val="21"/>
          <w:highlight w:val="none"/>
        </w:rPr>
      </w:pPr>
      <w:r>
        <w:rPr>
          <w:rFonts w:ascii="宋体" w:hAnsi="宋体" w:cs="宋体"/>
          <w:color w:val="auto"/>
          <w:spacing w:val="-3"/>
          <w:sz w:val="21"/>
          <w:szCs w:val="21"/>
          <w:highlight w:val="none"/>
        </w:rPr>
        <w:t>11.若我单位中标，承诺在本工程实施过程中若变更拟派项目负责人，拟派项</w:t>
      </w:r>
      <w:r>
        <w:rPr>
          <w:rFonts w:ascii="宋体" w:hAnsi="宋体" w:cs="宋体"/>
          <w:color w:val="auto"/>
          <w:spacing w:val="4"/>
          <w:sz w:val="21"/>
          <w:szCs w:val="21"/>
          <w:highlight w:val="none"/>
        </w:rPr>
        <w:t xml:space="preserve"> </w:t>
      </w:r>
      <w:r>
        <w:rPr>
          <w:rFonts w:ascii="宋体" w:hAnsi="宋体" w:cs="宋体"/>
          <w:color w:val="auto"/>
          <w:spacing w:val="-2"/>
          <w:sz w:val="21"/>
          <w:szCs w:val="21"/>
          <w:highlight w:val="none"/>
        </w:rPr>
        <w:t>目负责人在变更之日起六个月之内将不参与浙江省行政区域范围内工程投标。</w:t>
      </w:r>
    </w:p>
    <w:p w14:paraId="4387AED7">
      <w:pPr>
        <w:shd w:val="clear" w:color="auto" w:fill="auto"/>
        <w:spacing w:before="43" w:line="360" w:lineRule="auto"/>
        <w:ind w:left="507"/>
        <w:outlineLvl w:val="1"/>
        <w:rPr>
          <w:rFonts w:ascii="宋体" w:hAnsi="宋体" w:cs="宋体"/>
          <w:color w:val="auto"/>
          <w:sz w:val="21"/>
          <w:szCs w:val="21"/>
          <w:highlight w:val="none"/>
        </w:rPr>
      </w:pPr>
      <w:r>
        <w:rPr>
          <w:rFonts w:ascii="宋体" w:hAnsi="宋体" w:cs="宋体"/>
          <w:color w:val="auto"/>
          <w:spacing w:val="-1"/>
          <w:sz w:val="21"/>
          <w:szCs w:val="21"/>
          <w:highlight w:val="none"/>
        </w:rPr>
        <w:t>12.我单位直接负责本项目投标的主管人员为法定代表</w:t>
      </w:r>
      <w:r>
        <w:rPr>
          <w:rFonts w:ascii="宋体" w:hAnsi="宋体" w:cs="宋体"/>
          <w:color w:val="auto"/>
          <w:spacing w:val="-2"/>
          <w:sz w:val="21"/>
          <w:szCs w:val="21"/>
          <w:highlight w:val="none"/>
        </w:rPr>
        <w:t xml:space="preserve">人 </w:t>
      </w:r>
      <w:r>
        <w:rPr>
          <w:rFonts w:ascii="宋体" w:hAnsi="宋体" w:cs="宋体"/>
          <w:color w:val="auto"/>
          <w:sz w:val="21"/>
          <w:szCs w:val="21"/>
          <w:highlight w:val="none"/>
          <w:u w:val="single"/>
        </w:rPr>
        <w:t xml:space="preserve">             </w:t>
      </w:r>
    </w:p>
    <w:p w14:paraId="1418317E">
      <w:pPr>
        <w:shd w:val="clear" w:color="auto" w:fill="auto"/>
        <w:spacing w:before="42" w:line="360" w:lineRule="auto"/>
        <w:ind w:left="1" w:right="306" w:firstLine="20"/>
        <w:rPr>
          <w:rFonts w:ascii="宋体" w:hAnsi="宋体" w:cs="宋体"/>
          <w:color w:val="auto"/>
          <w:sz w:val="21"/>
          <w:szCs w:val="21"/>
          <w:highlight w:val="none"/>
        </w:rPr>
      </w:pPr>
      <w:r>
        <w:rPr>
          <w:rFonts w:ascii="宋体" w:hAnsi="宋体" w:cs="宋体"/>
          <w:color w:val="auto"/>
          <w:spacing w:val="-5"/>
          <w:sz w:val="21"/>
          <w:szCs w:val="21"/>
          <w:highlight w:val="none"/>
        </w:rPr>
        <w:t>（身份证号码</w:t>
      </w:r>
      <w:r>
        <w:rPr>
          <w:rFonts w:ascii="宋体" w:hAnsi="宋体" w:cs="宋体"/>
          <w:color w:val="auto"/>
          <w:spacing w:val="-17"/>
          <w:sz w:val="21"/>
          <w:szCs w:val="21"/>
          <w:highlight w:val="none"/>
        </w:rPr>
        <w:t>：</w:t>
      </w:r>
      <w:r>
        <w:rPr>
          <w:rFonts w:ascii="宋体" w:hAnsi="宋体" w:cs="宋体"/>
          <w:color w:val="auto"/>
          <w:sz w:val="21"/>
          <w:szCs w:val="21"/>
          <w:highlight w:val="none"/>
          <w:u w:val="single"/>
        </w:rPr>
        <w:t xml:space="preserve">           </w:t>
      </w:r>
      <w:r>
        <w:rPr>
          <w:rFonts w:ascii="宋体" w:hAnsi="宋体" w:cs="宋体"/>
          <w:color w:val="auto"/>
          <w:spacing w:val="1"/>
          <w:sz w:val="21"/>
          <w:szCs w:val="21"/>
          <w:highlight w:val="none"/>
        </w:rPr>
        <w:t xml:space="preserve">  </w:t>
      </w:r>
      <w:r>
        <w:rPr>
          <w:rFonts w:ascii="宋体" w:hAnsi="宋体" w:cs="宋体"/>
          <w:color w:val="auto"/>
          <w:spacing w:val="-17"/>
          <w:sz w:val="21"/>
          <w:szCs w:val="21"/>
          <w:highlight w:val="none"/>
        </w:rPr>
        <w:t>，</w:t>
      </w:r>
      <w:r>
        <w:rPr>
          <w:rFonts w:ascii="宋体" w:hAnsi="宋体" w:cs="宋体"/>
          <w:color w:val="auto"/>
          <w:spacing w:val="-5"/>
          <w:sz w:val="21"/>
          <w:szCs w:val="21"/>
          <w:highlight w:val="none"/>
        </w:rPr>
        <w:t>联系手机号码</w:t>
      </w:r>
      <w:r>
        <w:rPr>
          <w:rFonts w:ascii="宋体" w:hAnsi="宋体" w:cs="宋体"/>
          <w:color w:val="auto"/>
          <w:spacing w:val="-17"/>
          <w:sz w:val="21"/>
          <w:szCs w:val="21"/>
          <w:highlight w:val="none"/>
        </w:rPr>
        <w:t>：</w:t>
      </w:r>
      <w:r>
        <w:rPr>
          <w:rFonts w:ascii="宋体" w:hAnsi="宋体" w:cs="宋体"/>
          <w:color w:val="auto"/>
          <w:spacing w:val="-9"/>
          <w:sz w:val="21"/>
          <w:szCs w:val="21"/>
          <w:highlight w:val="none"/>
          <w:u w:val="single"/>
        </w:rPr>
        <w:t xml:space="preserve"> </w:t>
      </w:r>
      <w:r>
        <w:rPr>
          <w:rFonts w:ascii="宋体" w:hAnsi="宋体" w:cs="宋体"/>
          <w:i/>
          <w:iCs/>
          <w:color w:val="auto"/>
          <w:spacing w:val="-17"/>
          <w:sz w:val="21"/>
          <w:szCs w:val="21"/>
          <w:highlight w:val="none"/>
          <w:u w:val="single"/>
        </w:rPr>
        <w:t>（</w:t>
      </w:r>
      <w:r>
        <w:rPr>
          <w:rFonts w:ascii="宋体" w:hAnsi="宋体" w:cs="宋体"/>
          <w:i/>
          <w:iCs/>
          <w:color w:val="auto"/>
          <w:spacing w:val="-5"/>
          <w:sz w:val="21"/>
          <w:szCs w:val="21"/>
          <w:highlight w:val="none"/>
          <w:u w:val="single"/>
        </w:rPr>
        <w:t>必须为本人实名办理的手</w:t>
      </w:r>
      <w:r>
        <w:rPr>
          <w:rFonts w:ascii="宋体" w:hAnsi="宋体" w:cs="宋体"/>
          <w:i/>
          <w:iCs/>
          <w:color w:val="auto"/>
          <w:spacing w:val="-5"/>
          <w:sz w:val="21"/>
          <w:szCs w:val="21"/>
          <w:highlight w:val="none"/>
        </w:rPr>
        <w:t>机</w:t>
      </w:r>
      <w:r>
        <w:rPr>
          <w:rFonts w:ascii="宋体" w:hAnsi="宋体" w:cs="宋体"/>
          <w:color w:val="auto"/>
          <w:sz w:val="21"/>
          <w:szCs w:val="21"/>
          <w:highlight w:val="none"/>
        </w:rPr>
        <w:t xml:space="preserve"> </w:t>
      </w:r>
      <w:r>
        <w:rPr>
          <w:rFonts w:ascii="宋体" w:hAnsi="宋体" w:cs="宋体"/>
          <w:i/>
          <w:iCs/>
          <w:color w:val="auto"/>
          <w:spacing w:val="1"/>
          <w:sz w:val="21"/>
          <w:szCs w:val="21"/>
          <w:highlight w:val="none"/>
          <w:u w:val="single"/>
        </w:rPr>
        <w:t>号码</w:t>
      </w:r>
      <w:r>
        <w:rPr>
          <w:rFonts w:ascii="宋体" w:hAnsi="宋体" w:cs="宋体"/>
          <w:i/>
          <w:iCs/>
          <w:color w:val="auto"/>
          <w:spacing w:val="-10"/>
          <w:sz w:val="21"/>
          <w:szCs w:val="21"/>
          <w:highlight w:val="none"/>
          <w:u w:val="single"/>
        </w:rPr>
        <w:t>）</w:t>
      </w:r>
      <w:r>
        <w:rPr>
          <w:rFonts w:ascii="宋体" w:hAnsi="宋体" w:cs="宋体"/>
          <w:color w:val="auto"/>
          <w:spacing w:val="11"/>
          <w:sz w:val="21"/>
          <w:szCs w:val="21"/>
          <w:highlight w:val="none"/>
          <w:u w:val="single"/>
        </w:rPr>
        <w:t xml:space="preserve">   </w:t>
      </w:r>
      <w:r>
        <w:rPr>
          <w:rFonts w:ascii="宋体" w:hAnsi="宋体" w:cs="宋体"/>
          <w:color w:val="auto"/>
          <w:spacing w:val="32"/>
          <w:sz w:val="21"/>
          <w:szCs w:val="21"/>
          <w:highlight w:val="none"/>
        </w:rPr>
        <w:t xml:space="preserve"> </w:t>
      </w:r>
      <w:r>
        <w:rPr>
          <w:rFonts w:ascii="宋体" w:hAnsi="宋体" w:cs="宋体"/>
          <w:color w:val="auto"/>
          <w:spacing w:val="-10"/>
          <w:sz w:val="21"/>
          <w:szCs w:val="21"/>
          <w:highlight w:val="none"/>
        </w:rPr>
        <w:t>）；</w:t>
      </w:r>
      <w:r>
        <w:rPr>
          <w:rFonts w:ascii="宋体" w:hAnsi="宋体" w:cs="宋体"/>
          <w:color w:val="auto"/>
          <w:spacing w:val="1"/>
          <w:sz w:val="21"/>
          <w:szCs w:val="21"/>
          <w:highlight w:val="none"/>
        </w:rPr>
        <w:t>我单位与本项目投标相关的直接责任人员为本次投标委托授权</w:t>
      </w:r>
      <w:r>
        <w:rPr>
          <w:rFonts w:ascii="宋体" w:hAnsi="宋体" w:cs="宋体"/>
          <w:color w:val="auto"/>
          <w:spacing w:val="-2"/>
          <w:sz w:val="21"/>
          <w:szCs w:val="21"/>
          <w:highlight w:val="none"/>
        </w:rPr>
        <w:t>代表</w:t>
      </w:r>
      <w:r>
        <w:rPr>
          <w:rFonts w:ascii="宋体" w:hAnsi="宋体" w:cs="宋体"/>
          <w:color w:val="auto"/>
          <w:spacing w:val="-2"/>
          <w:sz w:val="21"/>
          <w:szCs w:val="21"/>
          <w:highlight w:val="none"/>
          <w:u w:val="single"/>
        </w:rPr>
        <w:t xml:space="preserve">           </w:t>
      </w:r>
      <w:r>
        <w:rPr>
          <w:rFonts w:ascii="宋体" w:hAnsi="宋体" w:cs="宋体"/>
          <w:color w:val="auto"/>
          <w:spacing w:val="-2"/>
          <w:sz w:val="21"/>
          <w:szCs w:val="21"/>
          <w:highlight w:val="none"/>
        </w:rPr>
        <w:t>（身份证号码：</w:t>
      </w:r>
      <w:r>
        <w:rPr>
          <w:rFonts w:ascii="宋体" w:hAnsi="宋体" w:cs="宋体"/>
          <w:color w:val="auto"/>
          <w:spacing w:val="-2"/>
          <w:sz w:val="21"/>
          <w:szCs w:val="21"/>
          <w:highlight w:val="none"/>
          <w:u w:val="single"/>
        </w:rPr>
        <w:t xml:space="preserve">              </w:t>
      </w:r>
      <w:r>
        <w:rPr>
          <w:rFonts w:ascii="宋体" w:hAnsi="宋体" w:cs="宋体"/>
          <w:color w:val="auto"/>
          <w:spacing w:val="-109"/>
          <w:sz w:val="21"/>
          <w:szCs w:val="21"/>
          <w:highlight w:val="none"/>
        </w:rPr>
        <w:t xml:space="preserve"> </w:t>
      </w:r>
      <w:r>
        <w:rPr>
          <w:rFonts w:ascii="宋体" w:hAnsi="宋体" w:cs="宋体"/>
          <w:color w:val="auto"/>
          <w:spacing w:val="-2"/>
          <w:sz w:val="21"/>
          <w:szCs w:val="21"/>
          <w:highlight w:val="none"/>
        </w:rPr>
        <w:t>联系手机号码</w:t>
      </w:r>
      <w:r>
        <w:rPr>
          <w:rFonts w:ascii="宋体" w:hAnsi="宋体" w:cs="宋体"/>
          <w:color w:val="auto"/>
          <w:spacing w:val="-4"/>
          <w:sz w:val="21"/>
          <w:szCs w:val="21"/>
          <w:highlight w:val="none"/>
        </w:rPr>
        <w:t>：</w:t>
      </w:r>
      <w:r>
        <w:rPr>
          <w:rFonts w:ascii="宋体" w:hAnsi="宋体" w:cs="宋体"/>
          <w:color w:val="auto"/>
          <w:spacing w:val="53"/>
          <w:sz w:val="21"/>
          <w:szCs w:val="21"/>
          <w:highlight w:val="none"/>
          <w:u w:val="single"/>
        </w:rPr>
        <w:t xml:space="preserve">  </w:t>
      </w:r>
      <w:r>
        <w:rPr>
          <w:rFonts w:ascii="宋体" w:hAnsi="宋体" w:cs="宋体"/>
          <w:i/>
          <w:iCs/>
          <w:color w:val="auto"/>
          <w:spacing w:val="-4"/>
          <w:sz w:val="21"/>
          <w:szCs w:val="21"/>
          <w:highlight w:val="none"/>
          <w:u w:val="single"/>
        </w:rPr>
        <w:t>（</w:t>
      </w:r>
      <w:r>
        <w:rPr>
          <w:rFonts w:ascii="宋体" w:hAnsi="宋体" w:cs="宋体"/>
          <w:i/>
          <w:iCs/>
          <w:color w:val="auto"/>
          <w:spacing w:val="-2"/>
          <w:sz w:val="21"/>
          <w:szCs w:val="21"/>
          <w:highlight w:val="none"/>
          <w:u w:val="single"/>
        </w:rPr>
        <w:t>必须为本</w:t>
      </w:r>
      <w:r>
        <w:rPr>
          <w:rFonts w:ascii="宋体" w:hAnsi="宋体" w:cs="宋体"/>
          <w:i/>
          <w:iCs/>
          <w:color w:val="auto"/>
          <w:spacing w:val="-3"/>
          <w:sz w:val="21"/>
          <w:szCs w:val="21"/>
          <w:highlight w:val="none"/>
          <w:u w:val="single"/>
        </w:rPr>
        <w:t>人实名办理的手机号码</w:t>
      </w:r>
      <w:r>
        <w:rPr>
          <w:rFonts w:ascii="宋体" w:hAnsi="宋体" w:cs="宋体"/>
          <w:i/>
          <w:iCs/>
          <w:color w:val="auto"/>
          <w:spacing w:val="-46"/>
          <w:sz w:val="21"/>
          <w:szCs w:val="21"/>
          <w:highlight w:val="none"/>
          <w:u w:val="single"/>
        </w:rPr>
        <w:t>）</w:t>
      </w:r>
      <w:r>
        <w:rPr>
          <w:rFonts w:ascii="宋体" w:hAnsi="宋体" w:cs="宋体"/>
          <w:color w:val="auto"/>
          <w:spacing w:val="12"/>
          <w:sz w:val="21"/>
          <w:szCs w:val="21"/>
          <w:highlight w:val="none"/>
          <w:u w:val="single"/>
        </w:rPr>
        <w:t xml:space="preserve">          </w:t>
      </w:r>
      <w:r>
        <w:rPr>
          <w:rFonts w:ascii="宋体" w:hAnsi="宋体" w:cs="宋体"/>
          <w:color w:val="auto"/>
          <w:spacing w:val="-85"/>
          <w:sz w:val="21"/>
          <w:szCs w:val="21"/>
          <w:highlight w:val="none"/>
        </w:rPr>
        <w:t xml:space="preserve"> </w:t>
      </w:r>
      <w:r>
        <w:rPr>
          <w:rFonts w:ascii="宋体" w:hAnsi="宋体" w:cs="宋体"/>
          <w:color w:val="auto"/>
          <w:spacing w:val="-46"/>
          <w:sz w:val="21"/>
          <w:szCs w:val="21"/>
          <w:highlight w:val="none"/>
        </w:rPr>
        <w:t>），</w:t>
      </w:r>
      <w:r>
        <w:rPr>
          <w:rFonts w:ascii="宋体" w:hAnsi="宋体" w:cs="宋体"/>
          <w:color w:val="auto"/>
          <w:spacing w:val="-3"/>
          <w:sz w:val="21"/>
          <w:szCs w:val="21"/>
          <w:highlight w:val="none"/>
        </w:rPr>
        <w:t>上述人员承诺承担相应的</w:t>
      </w:r>
      <w:r>
        <w:rPr>
          <w:rFonts w:ascii="宋体" w:hAnsi="宋体" w:cs="宋体"/>
          <w:color w:val="auto"/>
          <w:spacing w:val="-4"/>
          <w:sz w:val="21"/>
          <w:szCs w:val="21"/>
          <w:highlight w:val="none"/>
        </w:rPr>
        <w:t>法律责任 。</w:t>
      </w:r>
    </w:p>
    <w:p w14:paraId="4A608F3F">
      <w:pPr>
        <w:shd w:val="clear" w:color="auto" w:fill="auto"/>
        <w:spacing w:before="41" w:line="360" w:lineRule="auto"/>
        <w:ind w:left="507"/>
        <w:rPr>
          <w:rFonts w:ascii="宋体" w:hAnsi="宋体" w:cs="宋体"/>
          <w:color w:val="auto"/>
          <w:sz w:val="21"/>
          <w:szCs w:val="21"/>
          <w:highlight w:val="none"/>
        </w:rPr>
      </w:pPr>
      <w:r>
        <w:rPr>
          <w:rFonts w:ascii="宋体" w:hAnsi="宋体" w:cs="宋体"/>
          <w:color w:val="auto"/>
          <w:spacing w:val="-7"/>
          <w:sz w:val="21"/>
          <w:szCs w:val="21"/>
          <w:highlight w:val="none"/>
        </w:rPr>
        <w:t>13.其他</w:t>
      </w:r>
      <w:r>
        <w:rPr>
          <w:rFonts w:ascii="宋体" w:hAnsi="宋体" w:cs="宋体"/>
          <w:color w:val="auto"/>
          <w:spacing w:val="-1"/>
          <w:sz w:val="21"/>
          <w:szCs w:val="21"/>
          <w:highlight w:val="none"/>
        </w:rPr>
        <w:t>：</w:t>
      </w:r>
      <w:r>
        <w:rPr>
          <w:rFonts w:ascii="宋体" w:hAnsi="宋体" w:cs="宋体"/>
          <w:color w:val="auto"/>
          <w:sz w:val="21"/>
          <w:szCs w:val="21"/>
          <w:highlight w:val="none"/>
          <w:u w:val="single"/>
        </w:rPr>
        <w:t xml:space="preserve">    </w:t>
      </w:r>
      <w:r>
        <w:rPr>
          <w:rFonts w:ascii="宋体" w:hAnsi="宋体" w:cs="宋体"/>
          <w:i/>
          <w:iCs/>
          <w:color w:val="auto"/>
          <w:spacing w:val="-1"/>
          <w:sz w:val="21"/>
          <w:szCs w:val="21"/>
          <w:highlight w:val="none"/>
          <w:u w:val="single"/>
        </w:rPr>
        <w:t>（</w:t>
      </w:r>
      <w:r>
        <w:rPr>
          <w:rFonts w:ascii="宋体" w:hAnsi="宋体" w:cs="宋体"/>
          <w:i/>
          <w:iCs/>
          <w:color w:val="auto"/>
          <w:spacing w:val="-7"/>
          <w:sz w:val="21"/>
          <w:szCs w:val="21"/>
          <w:highlight w:val="none"/>
          <w:u w:val="single"/>
        </w:rPr>
        <w:t>招标人可根据实际情况增加相应的条款）</w:t>
      </w:r>
      <w:r>
        <w:rPr>
          <w:rFonts w:ascii="宋体" w:hAnsi="宋体" w:cs="宋体"/>
          <w:color w:val="auto"/>
          <w:spacing w:val="23"/>
          <w:sz w:val="21"/>
          <w:szCs w:val="21"/>
          <w:highlight w:val="none"/>
          <w:u w:val="single"/>
        </w:rPr>
        <w:t xml:space="preserve">   </w:t>
      </w:r>
      <w:r>
        <w:rPr>
          <w:rFonts w:ascii="宋体" w:hAnsi="宋体" w:cs="宋体"/>
          <w:color w:val="auto"/>
          <w:spacing w:val="-7"/>
          <w:sz w:val="21"/>
          <w:szCs w:val="21"/>
          <w:highlight w:val="none"/>
          <w:u w:val="single"/>
        </w:rPr>
        <w:t>。</w:t>
      </w:r>
    </w:p>
    <w:p w14:paraId="598355A4">
      <w:pPr>
        <w:shd w:val="clear" w:color="auto" w:fill="auto"/>
        <w:spacing w:before="39" w:line="360" w:lineRule="auto"/>
        <w:ind w:left="15" w:right="202" w:firstLine="492"/>
        <w:rPr>
          <w:rFonts w:ascii="宋体" w:hAnsi="宋体" w:cs="宋体"/>
          <w:color w:val="auto"/>
          <w:sz w:val="21"/>
          <w:szCs w:val="21"/>
          <w:highlight w:val="none"/>
        </w:rPr>
      </w:pPr>
      <w:r>
        <w:rPr>
          <w:rFonts w:ascii="宋体" w:hAnsi="宋体" w:cs="宋体"/>
          <w:color w:val="auto"/>
          <w:spacing w:val="-9"/>
          <w:sz w:val="21"/>
          <w:szCs w:val="21"/>
          <w:highlight w:val="none"/>
        </w:rPr>
        <w:t>14.以上承诺如有虚假，愿意接受投标保证金不予退还的处理。</w:t>
      </w:r>
      <w:r>
        <w:rPr>
          <w:rFonts w:ascii="宋体" w:hAnsi="宋体" w:cs="宋体"/>
          <w:color w:val="auto"/>
          <w:spacing w:val="-10"/>
          <w:sz w:val="21"/>
          <w:szCs w:val="21"/>
          <w:highlight w:val="none"/>
        </w:rPr>
        <w:t>给招标人造成损</w:t>
      </w:r>
      <w:r>
        <w:rPr>
          <w:rFonts w:ascii="宋体" w:hAnsi="宋体" w:cs="宋体"/>
          <w:color w:val="auto"/>
          <w:sz w:val="21"/>
          <w:szCs w:val="21"/>
          <w:highlight w:val="none"/>
        </w:rPr>
        <w:t xml:space="preserve"> </w:t>
      </w:r>
      <w:r>
        <w:rPr>
          <w:rFonts w:ascii="宋体" w:hAnsi="宋体" w:cs="宋体"/>
          <w:color w:val="auto"/>
          <w:spacing w:val="-11"/>
          <w:sz w:val="21"/>
          <w:szCs w:val="21"/>
          <w:highlight w:val="none"/>
        </w:rPr>
        <w:t>失的，愿意依法承担赔偿责任。如已中标，同意招标人取消我单</w:t>
      </w:r>
      <w:r>
        <w:rPr>
          <w:rFonts w:ascii="宋体" w:hAnsi="宋体" w:cs="宋体"/>
          <w:color w:val="auto"/>
          <w:spacing w:val="-12"/>
          <w:sz w:val="21"/>
          <w:szCs w:val="21"/>
          <w:highlight w:val="none"/>
        </w:rPr>
        <w:t>位中标资格的处理。</w:t>
      </w:r>
    </w:p>
    <w:p w14:paraId="307E0CA8">
      <w:pPr>
        <w:shd w:val="clear" w:color="auto" w:fill="auto"/>
        <w:spacing w:before="44" w:line="360" w:lineRule="auto"/>
        <w:ind w:left="10" w:right="225" w:firstLine="458"/>
        <w:rPr>
          <w:rFonts w:ascii="宋体" w:hAnsi="宋体" w:cs="宋体"/>
          <w:color w:val="auto"/>
          <w:sz w:val="21"/>
          <w:szCs w:val="21"/>
          <w:highlight w:val="none"/>
        </w:rPr>
      </w:pPr>
      <w:r>
        <w:rPr>
          <w:rFonts w:ascii="宋体" w:hAnsi="宋体" w:cs="宋体"/>
          <w:color w:val="auto"/>
          <w:spacing w:val="-6"/>
          <w:sz w:val="21"/>
          <w:szCs w:val="21"/>
          <w:highlight w:val="none"/>
        </w:rPr>
        <w:t>本人</w:t>
      </w:r>
      <w:r>
        <w:rPr>
          <w:rFonts w:ascii="宋体" w:hAnsi="宋体" w:cs="宋体"/>
          <w:color w:val="auto"/>
          <w:spacing w:val="52"/>
          <w:sz w:val="21"/>
          <w:szCs w:val="21"/>
          <w:highlight w:val="none"/>
          <w:u w:val="single"/>
        </w:rPr>
        <w:t xml:space="preserve">  </w:t>
      </w:r>
      <w:r>
        <w:rPr>
          <w:rFonts w:ascii="宋体" w:hAnsi="宋体" w:cs="宋体"/>
          <w:color w:val="auto"/>
          <w:spacing w:val="-6"/>
          <w:sz w:val="21"/>
          <w:szCs w:val="21"/>
          <w:highlight w:val="none"/>
          <w:u w:val="single"/>
        </w:rPr>
        <w:t>拟派项目负责人（签字</w:t>
      </w:r>
      <w:r>
        <w:rPr>
          <w:rFonts w:ascii="宋体" w:hAnsi="宋体" w:cs="宋体"/>
          <w:color w:val="auto"/>
          <w:spacing w:val="7"/>
          <w:sz w:val="21"/>
          <w:szCs w:val="21"/>
          <w:highlight w:val="none"/>
          <w:u w:val="single"/>
        </w:rPr>
        <w:t>）：</w:t>
      </w:r>
      <w:r>
        <w:rPr>
          <w:rFonts w:ascii="宋体" w:hAnsi="宋体" w:cs="宋体"/>
          <w:color w:val="auto"/>
          <w:sz w:val="21"/>
          <w:szCs w:val="21"/>
          <w:highlight w:val="none"/>
          <w:u w:val="single"/>
        </w:rPr>
        <w:t xml:space="preserve">     </w:t>
      </w:r>
      <w:r>
        <w:rPr>
          <w:rFonts w:ascii="宋体" w:hAnsi="宋体" w:cs="宋体"/>
          <w:color w:val="auto"/>
          <w:spacing w:val="-6"/>
          <w:sz w:val="21"/>
          <w:szCs w:val="21"/>
          <w:highlight w:val="none"/>
        </w:rPr>
        <w:t>对所在单位参与本次投标知情,投</w:t>
      </w:r>
      <w:r>
        <w:rPr>
          <w:rFonts w:ascii="宋体" w:hAnsi="宋体" w:cs="宋体"/>
          <w:color w:val="auto"/>
          <w:spacing w:val="3"/>
          <w:sz w:val="21"/>
          <w:szCs w:val="21"/>
          <w:highlight w:val="none"/>
        </w:rPr>
        <w:t xml:space="preserve"> </w:t>
      </w:r>
      <w:r>
        <w:rPr>
          <w:rFonts w:ascii="宋体" w:hAnsi="宋体" w:cs="宋体"/>
          <w:color w:val="auto"/>
          <w:spacing w:val="-10"/>
          <w:sz w:val="21"/>
          <w:szCs w:val="21"/>
          <w:highlight w:val="none"/>
        </w:rPr>
        <w:t>标中使用的本人相关业绩真实有效。</w:t>
      </w:r>
    </w:p>
    <w:p w14:paraId="403EF132">
      <w:pPr>
        <w:shd w:val="clear" w:color="auto" w:fill="auto"/>
        <w:spacing w:before="42" w:line="360" w:lineRule="auto"/>
        <w:ind w:left="3130"/>
        <w:rPr>
          <w:rFonts w:ascii="宋体" w:hAnsi="宋体" w:cs="宋体"/>
          <w:color w:val="auto"/>
          <w:sz w:val="21"/>
          <w:szCs w:val="21"/>
          <w:highlight w:val="none"/>
        </w:rPr>
      </w:pPr>
      <w:r>
        <w:rPr>
          <w:rFonts w:ascii="宋体" w:hAnsi="宋体" w:cs="宋体"/>
          <w:color w:val="auto"/>
          <w:spacing w:val="-1"/>
          <w:position w:val="6"/>
          <w:sz w:val="21"/>
          <w:szCs w:val="21"/>
          <w:highlight w:val="none"/>
        </w:rPr>
        <w:t>法定代表人（签字或盖章</w:t>
      </w:r>
      <w:r>
        <w:rPr>
          <w:rFonts w:ascii="宋体" w:hAnsi="宋体" w:cs="宋体"/>
          <w:color w:val="auto"/>
          <w:position w:val="6"/>
          <w:sz w:val="21"/>
          <w:szCs w:val="21"/>
          <w:highlight w:val="none"/>
        </w:rPr>
        <w:t>）：</w:t>
      </w:r>
    </w:p>
    <w:p w14:paraId="5017A05B">
      <w:pPr>
        <w:shd w:val="clear" w:color="auto" w:fill="auto"/>
        <w:spacing w:before="1" w:line="360" w:lineRule="auto"/>
        <w:ind w:left="3132"/>
        <w:rPr>
          <w:rFonts w:ascii="宋体" w:hAnsi="宋体" w:cs="宋体"/>
          <w:color w:val="auto"/>
          <w:sz w:val="21"/>
          <w:szCs w:val="21"/>
          <w:highlight w:val="none"/>
        </w:rPr>
      </w:pPr>
      <w:r>
        <w:rPr>
          <w:rFonts w:ascii="宋体" w:hAnsi="宋体" w:cs="宋体"/>
          <w:color w:val="auto"/>
          <w:spacing w:val="-2"/>
          <w:sz w:val="21"/>
          <w:szCs w:val="21"/>
          <w:highlight w:val="none"/>
        </w:rPr>
        <w:t>投标人（单位盖章</w:t>
      </w:r>
      <w:r>
        <w:rPr>
          <w:rFonts w:ascii="宋体" w:hAnsi="宋体" w:cs="宋体"/>
          <w:color w:val="auto"/>
          <w:spacing w:val="1"/>
          <w:sz w:val="21"/>
          <w:szCs w:val="21"/>
          <w:highlight w:val="none"/>
        </w:rPr>
        <w:t>）：</w:t>
      </w:r>
    </w:p>
    <w:p w14:paraId="5762E591">
      <w:pPr>
        <w:shd w:val="clear" w:color="auto" w:fill="auto"/>
        <w:spacing w:before="36" w:line="360" w:lineRule="auto"/>
        <w:ind w:left="6214"/>
        <w:rPr>
          <w:rFonts w:ascii="宋体" w:hAnsi="宋体" w:cs="宋体"/>
          <w:color w:val="auto"/>
          <w:sz w:val="21"/>
          <w:szCs w:val="21"/>
          <w:highlight w:val="none"/>
        </w:rPr>
      </w:pPr>
      <w:r>
        <w:rPr>
          <w:rFonts w:ascii="宋体" w:hAnsi="宋体" w:cs="宋体"/>
          <w:color w:val="auto"/>
          <w:spacing w:val="-9"/>
          <w:sz w:val="21"/>
          <w:szCs w:val="21"/>
          <w:highlight w:val="none"/>
        </w:rPr>
        <w:t>年</w:t>
      </w:r>
      <w:r>
        <w:rPr>
          <w:rFonts w:ascii="宋体" w:hAnsi="宋体" w:cs="宋体"/>
          <w:color w:val="auto"/>
          <w:spacing w:val="3"/>
          <w:sz w:val="21"/>
          <w:szCs w:val="21"/>
          <w:highlight w:val="none"/>
        </w:rPr>
        <w:t xml:space="preserve">    </w:t>
      </w:r>
      <w:r>
        <w:rPr>
          <w:rFonts w:ascii="宋体" w:hAnsi="宋体" w:cs="宋体"/>
          <w:color w:val="auto"/>
          <w:spacing w:val="-9"/>
          <w:sz w:val="21"/>
          <w:szCs w:val="21"/>
          <w:highlight w:val="none"/>
        </w:rPr>
        <w:t>月</w:t>
      </w:r>
      <w:r>
        <w:rPr>
          <w:rFonts w:ascii="宋体" w:hAnsi="宋体" w:cs="宋体"/>
          <w:color w:val="auto"/>
          <w:spacing w:val="13"/>
          <w:sz w:val="21"/>
          <w:szCs w:val="21"/>
          <w:highlight w:val="none"/>
        </w:rPr>
        <w:t xml:space="preserve">    </w:t>
      </w:r>
      <w:r>
        <w:rPr>
          <w:rFonts w:ascii="宋体" w:hAnsi="宋体" w:cs="宋体"/>
          <w:color w:val="auto"/>
          <w:spacing w:val="-9"/>
          <w:sz w:val="21"/>
          <w:szCs w:val="21"/>
          <w:highlight w:val="none"/>
        </w:rPr>
        <w:t>日</w:t>
      </w:r>
    </w:p>
    <w:p w14:paraId="32C05DF9">
      <w:pPr>
        <w:shd w:val="clear" w:color="auto" w:fill="auto"/>
        <w:spacing w:line="219" w:lineRule="auto"/>
        <w:rPr>
          <w:rFonts w:ascii="宋体" w:hAnsi="宋体" w:cs="宋体"/>
          <w:color w:val="auto"/>
          <w:sz w:val="24"/>
          <w:highlight w:val="none"/>
        </w:rPr>
        <w:sectPr>
          <w:footerReference r:id="rId19" w:type="default"/>
          <w:pgSz w:w="11850" w:h="16783"/>
          <w:pgMar w:top="1440" w:right="1080" w:bottom="1440" w:left="1080" w:header="0" w:footer="992" w:gutter="0"/>
          <w:pgNumType w:fmt="decimal"/>
          <w:cols w:space="720" w:num="1"/>
        </w:sectPr>
      </w:pPr>
    </w:p>
    <w:p w14:paraId="356CAA6D">
      <w:pPr>
        <w:shd w:val="clear" w:color="auto" w:fill="auto"/>
        <w:spacing w:before="56" w:line="219" w:lineRule="auto"/>
        <w:jc w:val="center"/>
        <w:rPr>
          <w:rFonts w:ascii="宋体" w:hAnsi="宋体" w:cs="宋体"/>
          <w:color w:val="auto"/>
          <w:sz w:val="28"/>
          <w:szCs w:val="28"/>
          <w:highlight w:val="none"/>
        </w:rPr>
      </w:pPr>
      <w:r>
        <w:rPr>
          <w:rFonts w:ascii="宋体" w:hAnsi="宋体" w:cs="宋体"/>
          <w:color w:val="auto"/>
          <w:spacing w:val="-1"/>
          <w:sz w:val="28"/>
          <w:szCs w:val="28"/>
          <w:highlight w:val="none"/>
        </w:rPr>
        <w:t>投标保函（供参考）</w:t>
      </w:r>
    </w:p>
    <w:p w14:paraId="5AB777C0">
      <w:pPr>
        <w:shd w:val="clear" w:color="auto" w:fill="auto"/>
        <w:spacing w:before="196" w:line="224" w:lineRule="auto"/>
        <w:ind w:left="3824"/>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编号：</w:t>
      </w:r>
    </w:p>
    <w:p w14:paraId="684B5E4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right="0"/>
        <w:textAlignment w:val="auto"/>
        <w:rPr>
          <w:rFonts w:ascii="宋体" w:hAnsi="宋体" w:cs="宋体"/>
          <w:snapToGrid w:val="0"/>
          <w:color w:val="auto"/>
          <w:kern w:val="0"/>
          <w:sz w:val="21"/>
          <w:szCs w:val="21"/>
          <w:highlight w:val="none"/>
        </w:rPr>
      </w:pPr>
      <w:r>
        <w:rPr>
          <w:rFonts w:ascii="宋体" w:hAnsi="宋体" w:cs="宋体"/>
          <w:snapToGrid w:val="0"/>
          <w:color w:val="auto"/>
          <w:spacing w:val="-2"/>
          <w:kern w:val="0"/>
          <w:sz w:val="21"/>
          <w:szCs w:val="21"/>
          <w:highlight w:val="none"/>
        </w:rPr>
        <w:t xml:space="preserve">致 </w:t>
      </w:r>
      <w:r>
        <w:rPr>
          <w:rFonts w:ascii="宋体" w:hAnsi="宋体" w:cs="宋体"/>
          <w:snapToGrid w:val="0"/>
          <w:color w:val="auto"/>
          <w:spacing w:val="3"/>
          <w:kern w:val="0"/>
          <w:sz w:val="21"/>
          <w:szCs w:val="21"/>
          <w:highlight w:val="none"/>
          <w:u w:val="single"/>
        </w:rPr>
        <w:t xml:space="preserve">     </w:t>
      </w:r>
      <w:r>
        <w:rPr>
          <w:rFonts w:ascii="宋体" w:hAnsi="宋体" w:cs="宋体"/>
          <w:snapToGrid w:val="0"/>
          <w:color w:val="auto"/>
          <w:spacing w:val="-2"/>
          <w:kern w:val="0"/>
          <w:sz w:val="21"/>
          <w:szCs w:val="21"/>
          <w:highlight w:val="none"/>
          <w:u w:val="single"/>
        </w:rPr>
        <w:t xml:space="preserve">招标人        </w:t>
      </w:r>
      <w:r>
        <w:rPr>
          <w:rFonts w:ascii="宋体" w:hAnsi="宋体" w:cs="宋体"/>
          <w:snapToGrid w:val="0"/>
          <w:color w:val="auto"/>
          <w:spacing w:val="-2"/>
          <w:kern w:val="0"/>
          <w:sz w:val="21"/>
          <w:szCs w:val="21"/>
          <w:highlight w:val="none"/>
        </w:rPr>
        <w:t>：</w:t>
      </w:r>
    </w:p>
    <w:p w14:paraId="0BCC5AA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08" w:firstLineChars="200"/>
        <w:textAlignment w:val="auto"/>
        <w:rPr>
          <w:rFonts w:ascii="宋体" w:hAnsi="宋体" w:cs="宋体"/>
          <w:snapToGrid w:val="0"/>
          <w:color w:val="auto"/>
          <w:kern w:val="0"/>
          <w:sz w:val="21"/>
          <w:szCs w:val="21"/>
          <w:highlight w:val="none"/>
        </w:rPr>
      </w:pPr>
      <w:r>
        <w:rPr>
          <w:rFonts w:ascii="宋体" w:hAnsi="宋体" w:cs="宋体"/>
          <w:snapToGrid w:val="0"/>
          <w:color w:val="auto"/>
          <w:spacing w:val="-3"/>
          <w:kern w:val="0"/>
          <w:sz w:val="21"/>
          <w:szCs w:val="21"/>
          <w:highlight w:val="none"/>
        </w:rPr>
        <w:t>鉴于</w:t>
      </w:r>
      <w:r>
        <w:rPr>
          <w:rFonts w:ascii="宋体" w:hAnsi="宋体" w:cs="宋体"/>
          <w:snapToGrid w:val="0"/>
          <w:color w:val="auto"/>
          <w:spacing w:val="-26"/>
          <w:kern w:val="0"/>
          <w:sz w:val="21"/>
          <w:szCs w:val="21"/>
          <w:highlight w:val="none"/>
        </w:rPr>
        <w:t>：</w:t>
      </w:r>
      <w:r>
        <w:rPr>
          <w:rFonts w:ascii="宋体" w:hAnsi="宋体" w:cs="宋体"/>
          <w:snapToGrid w:val="0"/>
          <w:color w:val="auto"/>
          <w:kern w:val="0"/>
          <w:sz w:val="21"/>
          <w:szCs w:val="21"/>
          <w:highlight w:val="none"/>
          <w:u w:val="single"/>
        </w:rPr>
        <w:t xml:space="preserve">                   </w:t>
      </w:r>
      <w:r>
        <w:rPr>
          <w:rFonts w:ascii="宋体" w:hAnsi="宋体" w:cs="宋体"/>
          <w:snapToGrid w:val="0"/>
          <w:color w:val="auto"/>
          <w:spacing w:val="-5"/>
          <w:kern w:val="0"/>
          <w:sz w:val="21"/>
          <w:szCs w:val="21"/>
          <w:highlight w:val="none"/>
        </w:rPr>
        <w:t>（</w:t>
      </w:r>
      <w:r>
        <w:rPr>
          <w:rFonts w:hint="eastAsia" w:ascii="宋体" w:hAnsi="宋体" w:cs="宋体"/>
          <w:snapToGrid w:val="0"/>
          <w:color w:val="auto"/>
          <w:spacing w:val="-5"/>
          <w:kern w:val="0"/>
          <w:sz w:val="21"/>
          <w:szCs w:val="21"/>
          <w:highlight w:val="none"/>
          <w:lang w:val="en-US" w:eastAsia="zh-CN"/>
        </w:rPr>
        <w:t>以</w:t>
      </w:r>
      <w:r>
        <w:rPr>
          <w:rFonts w:ascii="宋体" w:hAnsi="宋体" w:cs="宋体"/>
          <w:snapToGrid w:val="0"/>
          <w:color w:val="auto"/>
          <w:spacing w:val="-5"/>
          <w:kern w:val="0"/>
          <w:sz w:val="21"/>
          <w:szCs w:val="21"/>
          <w:highlight w:val="none"/>
        </w:rPr>
        <w:t>下</w:t>
      </w:r>
      <w:r>
        <w:rPr>
          <w:rFonts w:ascii="宋体" w:hAnsi="宋体" w:cs="宋体"/>
          <w:snapToGrid w:val="0"/>
          <w:color w:val="auto"/>
          <w:spacing w:val="-3"/>
          <w:kern w:val="0"/>
          <w:sz w:val="21"/>
          <w:szCs w:val="21"/>
          <w:highlight w:val="none"/>
        </w:rPr>
        <w:t>简称“投标人</w:t>
      </w:r>
      <w:r>
        <w:rPr>
          <w:rFonts w:ascii="宋体" w:hAnsi="宋体" w:cs="宋体"/>
          <w:snapToGrid w:val="0"/>
          <w:color w:val="auto"/>
          <w:spacing w:val="-88"/>
          <w:kern w:val="0"/>
          <w:sz w:val="21"/>
          <w:szCs w:val="21"/>
          <w:highlight w:val="none"/>
        </w:rPr>
        <w:t xml:space="preserve"> </w:t>
      </w:r>
      <w:r>
        <w:rPr>
          <w:rFonts w:ascii="宋体" w:hAnsi="宋体" w:cs="宋体"/>
          <w:snapToGrid w:val="0"/>
          <w:color w:val="auto"/>
          <w:spacing w:val="-3"/>
          <w:kern w:val="0"/>
          <w:sz w:val="21"/>
          <w:szCs w:val="21"/>
          <w:highlight w:val="none"/>
        </w:rPr>
        <w:t>”）根据贵方发出的编号为</w:t>
      </w:r>
      <w:r>
        <w:rPr>
          <w:rFonts w:ascii="宋体" w:hAnsi="宋体" w:cs="宋体"/>
          <w:snapToGrid w:val="0"/>
          <w:color w:val="auto"/>
          <w:kern w:val="0"/>
          <w:sz w:val="21"/>
          <w:szCs w:val="21"/>
          <w:highlight w:val="none"/>
        </w:rPr>
        <w:t xml:space="preserve"> </w:t>
      </w:r>
      <w:r>
        <w:rPr>
          <w:rFonts w:ascii="宋体" w:hAnsi="宋体" w:cs="宋体"/>
          <w:snapToGrid w:val="0"/>
          <w:color w:val="auto"/>
          <w:spacing w:val="-3"/>
          <w:kern w:val="0"/>
          <w:sz w:val="21"/>
          <w:szCs w:val="21"/>
          <w:highlight w:val="none"/>
        </w:rPr>
        <w:t>的招标文件拟向贵方投标承接</w:t>
      </w:r>
      <w:r>
        <w:rPr>
          <w:rFonts w:ascii="宋体" w:hAnsi="宋体" w:cs="宋体"/>
          <w:snapToGrid w:val="0"/>
          <w:color w:val="auto"/>
          <w:spacing w:val="-3"/>
          <w:kern w:val="0"/>
          <w:sz w:val="21"/>
          <w:szCs w:val="21"/>
          <w:highlight w:val="none"/>
          <w:u w:val="single"/>
        </w:rPr>
        <w:t xml:space="preserve">                 </w:t>
      </w:r>
      <w:r>
        <w:rPr>
          <w:rFonts w:ascii="宋体" w:hAnsi="宋体" w:cs="宋体"/>
          <w:snapToGrid w:val="0"/>
          <w:color w:val="auto"/>
          <w:spacing w:val="-91"/>
          <w:kern w:val="0"/>
          <w:sz w:val="21"/>
          <w:szCs w:val="21"/>
          <w:highlight w:val="none"/>
        </w:rPr>
        <w:t xml:space="preserve"> </w:t>
      </w:r>
      <w:r>
        <w:rPr>
          <w:rFonts w:ascii="宋体" w:hAnsi="宋体" w:cs="宋体"/>
          <w:snapToGrid w:val="0"/>
          <w:color w:val="auto"/>
          <w:spacing w:val="-3"/>
          <w:kern w:val="0"/>
          <w:sz w:val="21"/>
          <w:szCs w:val="21"/>
          <w:highlight w:val="none"/>
        </w:rPr>
        <w:t>项目。根据招标文件，投标人需</w:t>
      </w:r>
    </w:p>
    <w:p w14:paraId="101B635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04" w:firstLineChars="200"/>
        <w:textAlignment w:val="auto"/>
        <w:rPr>
          <w:rFonts w:ascii="宋体" w:hAnsi="宋体" w:cs="宋体"/>
          <w:snapToGrid w:val="0"/>
          <w:color w:val="auto"/>
          <w:kern w:val="0"/>
          <w:sz w:val="21"/>
          <w:szCs w:val="21"/>
          <w:highlight w:val="none"/>
        </w:rPr>
      </w:pPr>
      <w:r>
        <w:rPr>
          <w:rFonts w:ascii="宋体" w:hAnsi="宋体" w:cs="宋体"/>
          <w:snapToGrid w:val="0"/>
          <w:color w:val="auto"/>
          <w:spacing w:val="-4"/>
          <w:kern w:val="0"/>
          <w:sz w:val="21"/>
          <w:szCs w:val="21"/>
          <w:highlight w:val="none"/>
        </w:rPr>
        <w:t>向贵方提交投标保函。</w:t>
      </w:r>
    </w:p>
    <w:p w14:paraId="1D054D8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00" w:firstLineChars="200"/>
        <w:textAlignment w:val="auto"/>
        <w:rPr>
          <w:rFonts w:ascii="宋体" w:hAnsi="宋体" w:cs="宋体"/>
          <w:snapToGrid w:val="0"/>
          <w:color w:val="auto"/>
          <w:kern w:val="0"/>
          <w:sz w:val="21"/>
          <w:szCs w:val="21"/>
          <w:highlight w:val="none"/>
        </w:rPr>
      </w:pPr>
      <w:r>
        <w:rPr>
          <w:rFonts w:ascii="宋体" w:hAnsi="宋体" w:cs="宋体"/>
          <w:snapToGrid w:val="0"/>
          <w:color w:val="auto"/>
          <w:spacing w:val="-5"/>
          <w:kern w:val="0"/>
          <w:sz w:val="21"/>
          <w:szCs w:val="21"/>
          <w:highlight w:val="none"/>
        </w:rPr>
        <w:t>根据投标人的申请，我行（下称“保证人</w:t>
      </w:r>
      <w:r>
        <w:rPr>
          <w:rFonts w:ascii="宋体" w:hAnsi="宋体" w:cs="宋体"/>
          <w:snapToGrid w:val="0"/>
          <w:color w:val="auto"/>
          <w:spacing w:val="-86"/>
          <w:kern w:val="0"/>
          <w:sz w:val="21"/>
          <w:szCs w:val="21"/>
          <w:highlight w:val="none"/>
        </w:rPr>
        <w:t xml:space="preserve"> </w:t>
      </w:r>
      <w:r>
        <w:rPr>
          <w:rFonts w:ascii="宋体" w:hAnsi="宋体" w:cs="宋体"/>
          <w:snapToGrid w:val="0"/>
          <w:color w:val="auto"/>
          <w:spacing w:val="-5"/>
          <w:kern w:val="0"/>
          <w:sz w:val="21"/>
          <w:szCs w:val="21"/>
          <w:highlight w:val="none"/>
        </w:rPr>
        <w:t>”）在此向贵方（下称“受益人</w:t>
      </w:r>
      <w:r>
        <w:rPr>
          <w:rFonts w:ascii="宋体" w:hAnsi="宋体" w:cs="宋体"/>
          <w:snapToGrid w:val="0"/>
          <w:color w:val="auto"/>
          <w:spacing w:val="-88"/>
          <w:kern w:val="0"/>
          <w:sz w:val="21"/>
          <w:szCs w:val="21"/>
          <w:highlight w:val="none"/>
        </w:rPr>
        <w:t xml:space="preserve"> </w:t>
      </w:r>
      <w:r>
        <w:rPr>
          <w:rFonts w:ascii="宋体" w:hAnsi="宋体" w:cs="宋体"/>
          <w:snapToGrid w:val="0"/>
          <w:color w:val="auto"/>
          <w:spacing w:val="-5"/>
          <w:kern w:val="0"/>
          <w:sz w:val="21"/>
          <w:szCs w:val="21"/>
          <w:highlight w:val="none"/>
        </w:rPr>
        <w:t>”）</w:t>
      </w:r>
      <w:r>
        <w:rPr>
          <w:rFonts w:ascii="宋体" w:hAnsi="宋体" w:cs="宋体"/>
          <w:snapToGrid w:val="0"/>
          <w:color w:val="auto"/>
          <w:kern w:val="0"/>
          <w:sz w:val="21"/>
          <w:szCs w:val="21"/>
          <w:highlight w:val="none"/>
        </w:rPr>
        <w:t xml:space="preserve"> </w:t>
      </w:r>
      <w:r>
        <w:rPr>
          <w:rFonts w:ascii="宋体" w:hAnsi="宋体" w:cs="宋体"/>
          <w:snapToGrid w:val="0"/>
          <w:color w:val="auto"/>
          <w:spacing w:val="-12"/>
          <w:kern w:val="0"/>
          <w:sz w:val="21"/>
          <w:szCs w:val="21"/>
          <w:highlight w:val="none"/>
        </w:rPr>
        <w:t>开立不可撤销，担保金额累计不超过</w:t>
      </w:r>
      <w:r>
        <w:rPr>
          <w:rFonts w:ascii="宋体" w:hAnsi="宋体" w:cs="宋体"/>
          <w:snapToGrid w:val="0"/>
          <w:color w:val="auto"/>
          <w:spacing w:val="-12"/>
          <w:kern w:val="0"/>
          <w:sz w:val="21"/>
          <w:szCs w:val="21"/>
          <w:highlight w:val="none"/>
          <w:u w:val="single"/>
        </w:rPr>
        <w:t xml:space="preserve">      </w:t>
      </w:r>
      <w:r>
        <w:rPr>
          <w:rFonts w:ascii="宋体" w:hAnsi="宋体" w:cs="宋体"/>
          <w:snapToGrid w:val="0"/>
          <w:color w:val="auto"/>
          <w:spacing w:val="-12"/>
          <w:kern w:val="0"/>
          <w:sz w:val="21"/>
          <w:szCs w:val="21"/>
          <w:highlight w:val="none"/>
        </w:rPr>
        <w:t>（币种）</w:t>
      </w:r>
      <w:r>
        <w:rPr>
          <w:rFonts w:ascii="宋体" w:hAnsi="宋体" w:cs="宋体"/>
          <w:snapToGrid w:val="0"/>
          <w:color w:val="auto"/>
          <w:kern w:val="0"/>
          <w:sz w:val="21"/>
          <w:szCs w:val="21"/>
          <w:highlight w:val="none"/>
          <w:u w:val="single"/>
        </w:rPr>
        <w:t xml:space="preserve">                     </w:t>
      </w:r>
      <w:r>
        <w:rPr>
          <w:rFonts w:ascii="宋体" w:hAnsi="宋体" w:cs="宋体"/>
          <w:snapToGrid w:val="0"/>
          <w:color w:val="auto"/>
          <w:spacing w:val="-96"/>
          <w:kern w:val="0"/>
          <w:sz w:val="21"/>
          <w:szCs w:val="21"/>
          <w:highlight w:val="none"/>
        </w:rPr>
        <w:t xml:space="preserve"> </w:t>
      </w:r>
      <w:r>
        <w:rPr>
          <w:rFonts w:ascii="宋体" w:hAnsi="宋体" w:cs="宋体"/>
          <w:snapToGrid w:val="0"/>
          <w:color w:val="auto"/>
          <w:spacing w:val="-12"/>
          <w:kern w:val="0"/>
          <w:sz w:val="21"/>
          <w:szCs w:val="21"/>
          <w:highlight w:val="none"/>
        </w:rPr>
        <w:t>元（大</w:t>
      </w:r>
      <w:r>
        <w:rPr>
          <w:rFonts w:ascii="宋体" w:hAnsi="宋体" w:cs="宋体"/>
          <w:snapToGrid w:val="0"/>
          <w:color w:val="auto"/>
          <w:spacing w:val="-2"/>
          <w:kern w:val="0"/>
          <w:sz w:val="21"/>
          <w:szCs w:val="21"/>
          <w:highlight w:val="none"/>
        </w:rPr>
        <w:t>写）</w:t>
      </w:r>
      <w:r>
        <w:rPr>
          <w:rFonts w:ascii="宋体" w:hAnsi="宋体" w:cs="宋体"/>
          <w:snapToGrid w:val="0"/>
          <w:color w:val="auto"/>
          <w:spacing w:val="-2"/>
          <w:kern w:val="0"/>
          <w:sz w:val="21"/>
          <w:szCs w:val="21"/>
          <w:highlight w:val="none"/>
          <w:u w:val="single"/>
        </w:rPr>
        <w:t xml:space="preserve">                       </w:t>
      </w:r>
      <w:r>
        <w:rPr>
          <w:rFonts w:ascii="宋体" w:hAnsi="宋体" w:cs="宋体"/>
          <w:snapToGrid w:val="0"/>
          <w:color w:val="auto"/>
          <w:spacing w:val="-89"/>
          <w:kern w:val="0"/>
          <w:sz w:val="21"/>
          <w:szCs w:val="21"/>
          <w:highlight w:val="none"/>
        </w:rPr>
        <w:t xml:space="preserve"> </w:t>
      </w:r>
      <w:r>
        <w:rPr>
          <w:rFonts w:ascii="宋体" w:hAnsi="宋体" w:cs="宋体"/>
          <w:snapToGrid w:val="0"/>
          <w:color w:val="auto"/>
          <w:spacing w:val="-2"/>
          <w:kern w:val="0"/>
          <w:sz w:val="21"/>
          <w:szCs w:val="21"/>
          <w:highlight w:val="none"/>
        </w:rPr>
        <w:t>的投标保函（下称“本保函</w:t>
      </w:r>
      <w:r>
        <w:rPr>
          <w:rFonts w:ascii="宋体" w:hAnsi="宋体" w:cs="宋体"/>
          <w:snapToGrid w:val="0"/>
          <w:color w:val="auto"/>
          <w:spacing w:val="-88"/>
          <w:kern w:val="0"/>
          <w:sz w:val="21"/>
          <w:szCs w:val="21"/>
          <w:highlight w:val="none"/>
        </w:rPr>
        <w:t xml:space="preserve"> </w:t>
      </w:r>
      <w:r>
        <w:rPr>
          <w:rFonts w:ascii="宋体" w:hAnsi="宋体" w:cs="宋体"/>
          <w:snapToGrid w:val="0"/>
          <w:color w:val="auto"/>
          <w:spacing w:val="-2"/>
          <w:kern w:val="0"/>
          <w:sz w:val="21"/>
          <w:szCs w:val="21"/>
          <w:highlight w:val="none"/>
        </w:rPr>
        <w:t>”）。</w:t>
      </w:r>
    </w:p>
    <w:p w14:paraId="56DBF86C">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一、本保函为不可撤销、见索即付的独立保函。保证人承诺，在本保函有效</w:t>
      </w:r>
      <w:r>
        <w:rPr>
          <w:rFonts w:hint="eastAsia" w:ascii="宋体" w:hAnsi="宋体" w:eastAsia="宋体" w:cs="宋体"/>
          <w:snapToGrid w:val="0"/>
          <w:color w:val="auto"/>
          <w:spacing w:val="18"/>
          <w:kern w:val="0"/>
          <w:sz w:val="21"/>
          <w:szCs w:val="21"/>
          <w:highlight w:val="none"/>
        </w:rPr>
        <w:t xml:space="preserve"> </w:t>
      </w:r>
      <w:r>
        <w:rPr>
          <w:rFonts w:hint="eastAsia" w:ascii="宋体" w:hAnsi="宋体" w:eastAsia="宋体" w:cs="宋体"/>
          <w:snapToGrid w:val="0"/>
          <w:color w:val="auto"/>
          <w:kern w:val="0"/>
          <w:sz w:val="21"/>
          <w:szCs w:val="21"/>
          <w:highlight w:val="none"/>
        </w:rPr>
        <w:t>期内收到受益人提交的书面付款通知次日起十个</w:t>
      </w:r>
      <w:r>
        <w:rPr>
          <w:rFonts w:hint="eastAsia" w:ascii="宋体" w:hAnsi="宋体" w:eastAsia="宋体" w:cs="宋体"/>
          <w:snapToGrid w:val="0"/>
          <w:color w:val="auto"/>
          <w:spacing w:val="-1"/>
          <w:kern w:val="0"/>
          <w:sz w:val="21"/>
          <w:szCs w:val="21"/>
          <w:highlight w:val="none"/>
        </w:rPr>
        <w:t>工作日内在担保金额内按照付款</w:t>
      </w:r>
    </w:p>
    <w:p w14:paraId="4250B41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20"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通知要求支付，书面付款通知即为付款要求之单据，</w:t>
      </w:r>
      <w:r>
        <w:rPr>
          <w:rFonts w:hint="eastAsia" w:ascii="宋体" w:hAnsi="宋体" w:eastAsia="宋体" w:cs="宋体"/>
          <w:snapToGrid w:val="0"/>
          <w:color w:val="auto"/>
          <w:spacing w:val="-1"/>
          <w:kern w:val="0"/>
          <w:sz w:val="21"/>
          <w:szCs w:val="21"/>
          <w:highlight w:val="none"/>
        </w:rPr>
        <w:t>无须提交其他证明文件。</w:t>
      </w:r>
    </w:p>
    <w:p w14:paraId="57029D6A">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付款通知应满足以下要求：</w:t>
      </w:r>
    </w:p>
    <w:p w14:paraId="7ACBD32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2"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2"/>
          <w:kern w:val="0"/>
          <w:sz w:val="21"/>
          <w:szCs w:val="21"/>
          <w:highlight w:val="none"/>
        </w:rPr>
        <w:t>1.经受益人有权签字人签字、加盖受益人公章；</w:t>
      </w:r>
    </w:p>
    <w:p w14:paraId="48B4F98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2.载明投标人存在下列投标保证金不予退还情形之一：</w:t>
      </w:r>
    </w:p>
    <w:p w14:paraId="122AEB6B">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outlineLvl w:val="2"/>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（1）投标截止后在投标有效期内撤销投标文件；</w:t>
      </w:r>
    </w:p>
    <w:p w14:paraId="24E44CB8">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position w:val="24"/>
          <w:sz w:val="21"/>
          <w:szCs w:val="21"/>
          <w:highlight w:val="none"/>
        </w:rPr>
        <w:t>（2）中标后，在招标文件规定的时间内无正当理由不与受益人订立合同，</w:t>
      </w:r>
    </w:p>
    <w:p w14:paraId="7714B1D7">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或签订合同时向受益人提出附加条件；</w:t>
      </w:r>
    </w:p>
    <w:p w14:paraId="66FB295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（3）中标后不按照招标文件要求提交履约保证金或履约保函（保险</w:t>
      </w:r>
      <w:r>
        <w:rPr>
          <w:rFonts w:hint="eastAsia" w:ascii="宋体" w:hAnsi="宋体" w:eastAsia="宋体" w:cs="宋体"/>
          <w:snapToGrid w:val="0"/>
          <w:color w:val="auto"/>
          <w:spacing w:val="4"/>
          <w:kern w:val="0"/>
          <w:sz w:val="21"/>
          <w:szCs w:val="21"/>
          <w:highlight w:val="none"/>
        </w:rPr>
        <w:t>）</w:t>
      </w:r>
      <w:r>
        <w:rPr>
          <w:rFonts w:hint="eastAsia" w:ascii="宋体" w:hAnsi="宋体" w:eastAsia="宋体" w:cs="宋体"/>
          <w:snapToGrid w:val="0"/>
          <w:color w:val="auto"/>
          <w:kern w:val="0"/>
          <w:sz w:val="21"/>
          <w:szCs w:val="21"/>
          <w:highlight w:val="none"/>
        </w:rPr>
        <w:t xml:space="preserve"> </w:t>
      </w:r>
      <w:r>
        <w:rPr>
          <w:rFonts w:hint="eastAsia" w:ascii="宋体" w:hAnsi="宋体" w:eastAsia="宋体" w:cs="宋体"/>
          <w:snapToGrid w:val="0"/>
          <w:color w:val="auto"/>
          <w:spacing w:val="4"/>
          <w:kern w:val="0"/>
          <w:sz w:val="21"/>
          <w:szCs w:val="21"/>
          <w:highlight w:val="none"/>
        </w:rPr>
        <w:t>；</w:t>
      </w:r>
    </w:p>
    <w:p w14:paraId="4C2FEC5E">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outlineLvl w:val="2"/>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（4）存在招标文件规定的不予退还投标保证金的其他情形。</w:t>
      </w:r>
    </w:p>
    <w:p w14:paraId="2C22002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3.载明要求支付的金额及付款方式；</w:t>
      </w:r>
    </w:p>
    <w:p w14:paraId="427EE24D">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1"/>
          <w:kern w:val="0"/>
          <w:sz w:val="21"/>
          <w:szCs w:val="21"/>
          <w:highlight w:val="none"/>
        </w:rPr>
        <w:t>4.付款通知必须在本保函有效期内到达以下地址：</w:t>
      </w:r>
      <w:r>
        <w:rPr>
          <w:rFonts w:hint="eastAsia" w:ascii="宋体" w:hAnsi="宋体" w:eastAsia="宋体" w:cs="宋体"/>
          <w:snapToGrid w:val="0"/>
          <w:color w:val="auto"/>
          <w:spacing w:val="-1"/>
          <w:kern w:val="0"/>
          <w:sz w:val="21"/>
          <w:szCs w:val="21"/>
          <w:highlight w:val="none"/>
          <w:u w:val="single"/>
          <w:lang w:val="en-US" w:eastAsia="zh-CN"/>
        </w:rPr>
        <w:t xml:space="preserve">         </w:t>
      </w:r>
    </w:p>
    <w:p w14:paraId="74F90BCF">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right="0" w:firstLine="396" w:firstLineChars="200"/>
        <w:jc w:val="both"/>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spacing w:val="-6"/>
          <w:kern w:val="0"/>
          <w:sz w:val="21"/>
          <w:szCs w:val="21"/>
          <w:highlight w:val="none"/>
        </w:rPr>
        <w:t>二、本保函一经开立即生效，有效期自开立之日起至</w:t>
      </w:r>
      <w:r>
        <w:rPr>
          <w:rFonts w:hint="eastAsia" w:ascii="宋体" w:hAnsi="宋体" w:eastAsia="宋体" w:cs="宋体"/>
          <w:snapToGrid w:val="0"/>
          <w:color w:val="auto"/>
          <w:spacing w:val="-6"/>
          <w:kern w:val="0"/>
          <w:sz w:val="21"/>
          <w:szCs w:val="21"/>
          <w:highlight w:val="none"/>
          <w:u w:val="single"/>
        </w:rPr>
        <w:t xml:space="preserve">      年   月    日</w:t>
      </w:r>
      <w:r>
        <w:rPr>
          <w:rFonts w:hint="eastAsia" w:ascii="宋体" w:hAnsi="宋体" w:eastAsia="宋体" w:cs="宋体"/>
          <w:snapToGrid w:val="0"/>
          <w:color w:val="auto"/>
          <w:spacing w:val="-6"/>
          <w:kern w:val="0"/>
          <w:sz w:val="21"/>
          <w:szCs w:val="21"/>
          <w:highlight w:val="none"/>
        </w:rPr>
        <w:t>止。</w:t>
      </w:r>
    </w:p>
    <w:p w14:paraId="496438B6">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20" w:firstLineChars="200"/>
        <w:textAlignment w:val="auto"/>
        <w:outlineLvl w:val="3"/>
        <w:rPr>
          <w:rFonts w:hint="eastAsia" w:ascii="宋体" w:hAnsi="宋体" w:eastAsia="宋体" w:cs="宋体"/>
          <w:color w:val="auto"/>
          <w:spacing w:val="-1"/>
          <w:sz w:val="21"/>
          <w:szCs w:val="21"/>
          <w:highlight w:val="none"/>
        </w:rPr>
      </w:pPr>
      <w:r>
        <w:rPr>
          <w:rFonts w:hint="eastAsia" w:ascii="宋体" w:hAnsi="宋体" w:eastAsia="宋体" w:cs="宋体"/>
          <w:snapToGrid w:val="0"/>
          <w:color w:val="auto"/>
          <w:kern w:val="0"/>
          <w:sz w:val="21"/>
          <w:szCs w:val="21"/>
          <w:highlight w:val="none"/>
        </w:rPr>
        <w:t>三、受益人将主合同项下债权转让第三人时需经保</w:t>
      </w:r>
      <w:r>
        <w:rPr>
          <w:rFonts w:hint="eastAsia" w:ascii="宋体" w:hAnsi="宋体" w:eastAsia="宋体" w:cs="宋体"/>
          <w:snapToGrid w:val="0"/>
          <w:color w:val="auto"/>
          <w:spacing w:val="-1"/>
          <w:kern w:val="0"/>
          <w:sz w:val="21"/>
          <w:szCs w:val="21"/>
          <w:highlight w:val="none"/>
        </w:rPr>
        <w:t>证人书面同意，否则保证</w:t>
      </w:r>
      <w:r>
        <w:rPr>
          <w:rFonts w:hint="eastAsia" w:ascii="宋体" w:hAnsi="宋体" w:eastAsia="宋体" w:cs="宋体"/>
          <w:color w:val="auto"/>
          <w:spacing w:val="-1"/>
          <w:sz w:val="21"/>
          <w:szCs w:val="21"/>
          <w:highlight w:val="none"/>
        </w:rPr>
        <w:t>人在本保函项下的担保责任自动解除。</w:t>
      </w:r>
    </w:p>
    <w:p w14:paraId="4B6F4425">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2" w:firstLineChars="200"/>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四、未经保证人书面同意，本保函不得转让、质押。</w:t>
      </w:r>
    </w:p>
    <w:p w14:paraId="14F62B54">
      <w:pPr>
        <w:keepNext w:val="0"/>
        <w:keepLines w:val="0"/>
        <w:pageBreakBefore w:val="0"/>
        <w:widowControl w:val="0"/>
        <w:shd w:val="clear" w:color="auto" w:fill="auto"/>
        <w:kinsoku/>
        <w:wordWrap w:val="0"/>
        <w:overflowPunct/>
        <w:topLinePunct w:val="0"/>
        <w:autoSpaceDE/>
        <w:autoSpaceDN/>
        <w:bidi w:val="0"/>
        <w:adjustRightInd w:val="0"/>
        <w:snapToGrid w:val="0"/>
        <w:spacing w:line="360" w:lineRule="auto"/>
        <w:ind w:left="0" w:right="0" w:firstLine="416" w:firstLineChars="200"/>
        <w:textAlignment w:val="auto"/>
        <w:rPr>
          <w:color w:val="auto"/>
          <w:highlight w:val="none"/>
        </w:rPr>
      </w:pPr>
      <w:r>
        <w:rPr>
          <w:rFonts w:hint="eastAsia" w:ascii="宋体" w:hAnsi="宋体" w:eastAsia="宋体" w:cs="宋体"/>
          <w:color w:val="auto"/>
          <w:spacing w:val="-1"/>
          <w:sz w:val="21"/>
          <w:szCs w:val="21"/>
          <w:highlight w:val="none"/>
        </w:rPr>
        <w:t>五、本保函适用中华人民共和国法律，受中华人民共和国法律管辖。在本保</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
          <w:sz w:val="21"/>
          <w:szCs w:val="21"/>
          <w:highlight w:val="none"/>
        </w:rPr>
        <w:t>函履行期间，如发生争议，各当事人首先应协商解决。协商不能解决的，任何一方可向保证人住所地有管辖权的法院提起诉讼。</w:t>
      </w:r>
    </w:p>
    <w:p w14:paraId="19ADA7A1">
      <w:pPr>
        <w:pStyle w:val="5"/>
        <w:shd w:val="clear" w:color="auto" w:fill="auto"/>
        <w:spacing w:line="262" w:lineRule="auto"/>
        <w:rPr>
          <w:color w:val="auto"/>
          <w:highlight w:val="none"/>
        </w:rPr>
      </w:pPr>
    </w:p>
    <w:p w14:paraId="1EB16AFC">
      <w:pPr>
        <w:shd w:val="clear" w:color="auto" w:fill="auto"/>
        <w:spacing w:before="78" w:line="219" w:lineRule="auto"/>
        <w:jc w:val="right"/>
        <w:rPr>
          <w:rFonts w:ascii="宋体" w:hAnsi="宋体" w:cs="宋体"/>
          <w:color w:val="auto"/>
          <w:sz w:val="24"/>
          <w:highlight w:val="none"/>
        </w:rPr>
      </w:pPr>
      <w:r>
        <w:rPr>
          <w:rFonts w:ascii="宋体" w:hAnsi="宋体" w:cs="宋体"/>
          <w:color w:val="auto"/>
          <w:sz w:val="24"/>
          <w:highlight w:val="none"/>
        </w:rPr>
        <w:t>保证人</w:t>
      </w:r>
      <w:r>
        <w:rPr>
          <w:rFonts w:ascii="宋体" w:hAnsi="宋体" w:cs="宋体"/>
          <w:color w:val="auto"/>
          <w:spacing w:val="-17"/>
          <w:sz w:val="24"/>
          <w:highlight w:val="none"/>
        </w:rPr>
        <w:t>：</w:t>
      </w:r>
      <w:r>
        <w:rPr>
          <w:rFonts w:ascii="宋体" w:hAnsi="宋体" w:cs="宋体"/>
          <w:color w:val="auto"/>
          <w:sz w:val="24"/>
          <w:highlight w:val="none"/>
          <w:u w:val="single"/>
        </w:rPr>
        <w:t xml:space="preserve">                   </w:t>
      </w:r>
      <w:r>
        <w:rPr>
          <w:rFonts w:ascii="宋体" w:hAnsi="宋体" w:cs="宋体"/>
          <w:color w:val="auto"/>
          <w:spacing w:val="-17"/>
          <w:sz w:val="24"/>
          <w:highlight w:val="none"/>
        </w:rPr>
        <w:t>（</w:t>
      </w:r>
      <w:r>
        <w:rPr>
          <w:rFonts w:ascii="宋体" w:hAnsi="宋体" w:cs="宋体"/>
          <w:color w:val="auto"/>
          <w:sz w:val="24"/>
          <w:highlight w:val="none"/>
        </w:rPr>
        <w:t>签章）</w:t>
      </w:r>
    </w:p>
    <w:p w14:paraId="765709B4">
      <w:pPr>
        <w:pStyle w:val="5"/>
        <w:shd w:val="clear" w:color="auto" w:fill="auto"/>
        <w:spacing w:line="251" w:lineRule="auto"/>
        <w:rPr>
          <w:color w:val="auto"/>
          <w:highlight w:val="none"/>
        </w:rPr>
      </w:pPr>
    </w:p>
    <w:p w14:paraId="0F2A0E90">
      <w:pPr>
        <w:shd w:val="clear" w:color="auto" w:fill="auto"/>
        <w:spacing w:before="79" w:line="219" w:lineRule="auto"/>
        <w:jc w:val="right"/>
        <w:rPr>
          <w:rFonts w:ascii="宋体" w:hAnsi="宋体" w:cs="宋体"/>
          <w:color w:val="auto"/>
          <w:spacing w:val="-3"/>
          <w:sz w:val="24"/>
          <w:highlight w:val="none"/>
        </w:rPr>
      </w:pPr>
      <w:r>
        <w:rPr>
          <w:rFonts w:ascii="宋体" w:hAnsi="宋体" w:cs="宋体"/>
          <w:color w:val="auto"/>
          <w:spacing w:val="-3"/>
          <w:sz w:val="24"/>
          <w:highlight w:val="none"/>
        </w:rPr>
        <w:t>开具日期：</w:t>
      </w:r>
      <w:r>
        <w:rPr>
          <w:rFonts w:ascii="宋体" w:hAnsi="宋体" w:cs="宋体"/>
          <w:color w:val="auto"/>
          <w:spacing w:val="-29"/>
          <w:sz w:val="24"/>
          <w:highlight w:val="none"/>
        </w:rPr>
        <w:t xml:space="preserve"> </w:t>
      </w:r>
      <w:r>
        <w:rPr>
          <w:rFonts w:ascii="宋体" w:hAnsi="宋体" w:cs="宋体"/>
          <w:color w:val="auto"/>
          <w:sz w:val="24"/>
          <w:highlight w:val="none"/>
          <w:u w:val="single"/>
        </w:rPr>
        <w:t xml:space="preserve">    </w:t>
      </w:r>
      <w:r>
        <w:rPr>
          <w:rFonts w:ascii="宋体" w:hAnsi="宋体" w:cs="宋体"/>
          <w:color w:val="auto"/>
          <w:spacing w:val="-110"/>
          <w:sz w:val="24"/>
          <w:highlight w:val="none"/>
        </w:rPr>
        <w:t xml:space="preserve"> </w:t>
      </w:r>
      <w:r>
        <w:rPr>
          <w:rFonts w:ascii="宋体" w:hAnsi="宋体" w:cs="宋体"/>
          <w:color w:val="auto"/>
          <w:spacing w:val="-3"/>
          <w:sz w:val="24"/>
          <w:highlight w:val="none"/>
        </w:rPr>
        <w:t>年</w:t>
      </w:r>
      <w:r>
        <w:rPr>
          <w:rFonts w:ascii="宋体" w:hAnsi="宋体" w:cs="宋体"/>
          <w:color w:val="auto"/>
          <w:spacing w:val="-3"/>
          <w:sz w:val="24"/>
          <w:highlight w:val="none"/>
          <w:u w:val="single"/>
        </w:rPr>
        <w:t xml:space="preserve">   </w:t>
      </w:r>
      <w:r>
        <w:rPr>
          <w:rFonts w:ascii="宋体" w:hAnsi="宋体" w:cs="宋体"/>
          <w:color w:val="auto"/>
          <w:spacing w:val="-104"/>
          <w:sz w:val="24"/>
          <w:highlight w:val="none"/>
        </w:rPr>
        <w:t xml:space="preserve"> </w:t>
      </w:r>
      <w:r>
        <w:rPr>
          <w:rFonts w:ascii="宋体" w:hAnsi="宋体" w:cs="宋体"/>
          <w:color w:val="auto"/>
          <w:spacing w:val="-3"/>
          <w:sz w:val="24"/>
          <w:highlight w:val="none"/>
        </w:rPr>
        <w:t>月</w:t>
      </w:r>
      <w:r>
        <w:rPr>
          <w:rFonts w:ascii="宋体" w:hAnsi="宋体" w:cs="宋体"/>
          <w:color w:val="auto"/>
          <w:spacing w:val="-3"/>
          <w:sz w:val="24"/>
          <w:highlight w:val="none"/>
          <w:u w:val="single"/>
        </w:rPr>
        <w:t xml:space="preserve">   </w:t>
      </w:r>
      <w:r>
        <w:rPr>
          <w:rFonts w:ascii="宋体" w:hAnsi="宋体" w:cs="宋体"/>
          <w:color w:val="auto"/>
          <w:spacing w:val="-70"/>
          <w:sz w:val="24"/>
          <w:highlight w:val="none"/>
        </w:rPr>
        <w:t xml:space="preserve"> </w:t>
      </w:r>
      <w:r>
        <w:rPr>
          <w:rFonts w:ascii="宋体" w:hAnsi="宋体" w:cs="宋体"/>
          <w:color w:val="auto"/>
          <w:spacing w:val="-3"/>
          <w:sz w:val="24"/>
          <w:highlight w:val="none"/>
        </w:rPr>
        <w:t>日</w:t>
      </w:r>
      <w:bookmarkEnd w:id="701"/>
      <w:bookmarkEnd w:id="719"/>
      <w:bookmarkEnd w:id="720"/>
      <w:bookmarkEnd w:id="721"/>
      <w:bookmarkEnd w:id="722"/>
      <w:bookmarkEnd w:id="723"/>
      <w:bookmarkEnd w:id="724"/>
      <w:bookmarkEnd w:id="725"/>
    </w:p>
    <w:p w14:paraId="53CFB283">
      <w:pPr>
        <w:shd w:val="clear" w:color="auto" w:fill="auto"/>
        <w:spacing w:before="79" w:line="219" w:lineRule="auto"/>
        <w:ind w:left="4679" w:firstLine="702" w:firstLineChars="300"/>
        <w:rPr>
          <w:rFonts w:ascii="宋体" w:hAnsi="宋体" w:cs="宋体"/>
          <w:color w:val="auto"/>
          <w:spacing w:val="-3"/>
          <w:sz w:val="24"/>
          <w:highlight w:val="none"/>
        </w:rPr>
      </w:pPr>
    </w:p>
    <w:sectPr>
      <w:footerReference r:id="rId20" w:type="default"/>
      <w:pgSz w:w="11906" w:h="16838"/>
      <w:pgMar w:top="1440" w:right="1080" w:bottom="1440" w:left="10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A7A9F">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7668D3">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0C7668D3">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D0875">
    <w:pPr>
      <w:spacing w:line="167" w:lineRule="auto"/>
      <w:ind w:left="4410"/>
      <w:rPr>
        <w:rFonts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82DDBB">
                          <w:pPr>
                            <w:pStyle w:val="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5682DDBB">
                    <w:pPr>
                      <w:pStyle w:val="6"/>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72FA5">
    <w:pPr>
      <w:spacing w:line="169" w:lineRule="auto"/>
      <w:ind w:left="4410"/>
      <w:rPr>
        <w:rFonts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BBDB397">
                          <w:pPr>
                            <w:pStyle w:val="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3BBDB397">
                    <w:pPr>
                      <w:pStyle w:val="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22C3">
    <w:pPr>
      <w:pStyle w:val="6"/>
      <w:ind w:right="360"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09154F5">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009154F5">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56DDB">
    <w:pPr>
      <w:pStyle w:val="6"/>
      <w:ind w:right="360"/>
      <w:rPr>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F6F2F9">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5F6F2F9">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A065B">
    <w:pPr>
      <w:tabs>
        <w:tab w:val="left" w:pos="5345"/>
      </w:tabs>
      <w:spacing w:line="169" w:lineRule="auto"/>
      <w:ind w:left="4413"/>
      <w:rPr>
        <w:rFonts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819955">
                          <w:pPr>
                            <w:pStyle w:val="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18819955">
                    <w:pPr>
                      <w:pStyle w:val="6"/>
                    </w:pPr>
                    <w:r>
                      <w:fldChar w:fldCharType="begin"/>
                    </w:r>
                    <w:r>
                      <w:instrText xml:space="preserve"> PAGE  \* MERGEFORMAT </w:instrText>
                    </w:r>
                    <w:r>
                      <w:fldChar w:fldCharType="separate"/>
                    </w:r>
                    <w:r>
                      <w:t>38</w:t>
                    </w:r>
                    <w:r>
                      <w:fldChar w:fldCharType="end"/>
                    </w:r>
                  </w:p>
                </w:txbxContent>
              </v:textbox>
            </v:shape>
          </w:pict>
        </mc:Fallback>
      </mc:AlternateContent>
    </w:r>
    <w:r>
      <w:rPr>
        <w:rFonts w:hint="eastAsia" w:eastAsia="宋体" w:cs="Calibri"/>
        <w:sz w:val="18"/>
        <w:szCs w:val="18"/>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62DB">
    <w:pPr>
      <w:spacing w:line="169" w:lineRule="auto"/>
      <w:ind w:left="4091"/>
      <w:rPr>
        <w:rFonts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AC59E81">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7AC59E81">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8DC65">
    <w:pPr>
      <w:spacing w:line="169" w:lineRule="auto"/>
      <w:ind w:left="4091"/>
      <w:rPr>
        <w:rFonts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08EC4C">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3808EC4C">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CA38B">
    <w:pPr>
      <w:spacing w:line="169" w:lineRule="auto"/>
      <w:ind w:left="4215"/>
      <w:rPr>
        <w:rFonts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D46C3">
                          <w:pPr>
                            <w:pStyle w:val="6"/>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89D46C3">
                    <w:pPr>
                      <w:pStyle w:val="6"/>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E4715">
    <w:pPr>
      <w:spacing w:line="169" w:lineRule="auto"/>
      <w:ind w:left="4094"/>
      <w:rPr>
        <w:rFonts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8073F">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BA8073F">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8D2A4">
    <w:pPr>
      <w:spacing w:line="169" w:lineRule="auto"/>
      <w:ind w:left="4026"/>
      <w:rPr>
        <w:rFonts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1AE0D">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2F1AE0D">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DBD46">
    <w:pPr>
      <w:spacing w:line="169" w:lineRule="auto"/>
      <w:rPr>
        <w:rFonts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0BAA79">
                          <w:pPr>
                            <w:pStyle w:val="6"/>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60BAA79">
                    <w:pPr>
                      <w:pStyle w:val="6"/>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C6814">
    <w:pPr>
      <w:spacing w:line="169" w:lineRule="auto"/>
      <w:ind w:left="4093"/>
      <w:rPr>
        <w:rFonts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BA784">
                          <w:pPr>
                            <w:pStyle w:val="6"/>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17BA784">
                    <w:pPr>
                      <w:pStyle w:val="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09166">
    <w:pPr>
      <w:spacing w:line="169" w:lineRule="auto"/>
      <w:ind w:left="4094"/>
      <w:rPr>
        <w:rFonts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ED20F">
                          <w:pPr>
                            <w:pStyle w:val="6"/>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FED20F">
                    <w:pPr>
                      <w:pStyle w:val="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FC841">
    <w:pPr>
      <w:spacing w:line="169" w:lineRule="auto"/>
      <w:ind w:left="4391"/>
      <w:rPr>
        <w:rFonts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FE155">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ECFE155">
                    <w:pPr>
                      <w:pStyle w:val="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9C15">
    <w:pPr>
      <w:spacing w:line="169" w:lineRule="auto"/>
      <w:ind w:left="4103"/>
      <w:rPr>
        <w:rFonts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95AAE">
                          <w:pPr>
                            <w:pStyle w:val="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6795AAE">
                    <w:pPr>
                      <w:pStyle w:val="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78CA2">
    <w:pPr>
      <w:spacing w:line="168" w:lineRule="auto"/>
      <w:ind w:left="4215"/>
      <w:rPr>
        <w:rFonts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BEE210">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ABEE210">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DEC5">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C7B8AF"/>
    <w:multiLevelType w:val="multilevel"/>
    <w:tmpl w:val="9DC7B8AF"/>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23F29FF"/>
    <w:multiLevelType w:val="singleLevel"/>
    <w:tmpl w:val="B23F29FF"/>
    <w:lvl w:ilvl="0" w:tentative="0">
      <w:start w:val="6"/>
      <w:numFmt w:val="chineseCounting"/>
      <w:suff w:val="nothing"/>
      <w:lvlText w:val="%1、"/>
      <w:lvlJc w:val="left"/>
      <w:rPr>
        <w:rFonts w:hint="eastAsia"/>
      </w:rPr>
    </w:lvl>
  </w:abstractNum>
  <w:abstractNum w:abstractNumId="2">
    <w:nsid w:val="EDDBC3E9"/>
    <w:multiLevelType w:val="multilevel"/>
    <w:tmpl w:val="EDDBC3E9"/>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8452ED6"/>
    <w:multiLevelType w:val="multilevel"/>
    <w:tmpl w:val="08452ED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9FA3A39"/>
    <w:multiLevelType w:val="multilevel"/>
    <w:tmpl w:val="19FA3A39"/>
    <w:lvl w:ilvl="0" w:tentative="0">
      <w:start w:val="5"/>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5">
    <w:nsid w:val="37313D62"/>
    <w:multiLevelType w:val="singleLevel"/>
    <w:tmpl w:val="37313D62"/>
    <w:lvl w:ilvl="0" w:tentative="0">
      <w:start w:val="2"/>
      <w:numFmt w:val="decimal"/>
      <w:suff w:val="nothing"/>
      <w:lvlText w:val="%1、"/>
      <w:lvlJc w:val="left"/>
      <w:rPr>
        <w:rFonts w:cs="Times New Roman"/>
      </w:rPr>
    </w:lvl>
  </w:abstractNum>
  <w:abstractNum w:abstractNumId="6">
    <w:nsid w:val="38430199"/>
    <w:multiLevelType w:val="multilevel"/>
    <w:tmpl w:val="38430199"/>
    <w:lvl w:ilvl="0" w:tentative="0">
      <w:start w:val="25"/>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DB36B27"/>
    <w:multiLevelType w:val="multilevel"/>
    <w:tmpl w:val="4DB36B27"/>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3ABF2AB"/>
    <w:multiLevelType w:val="singleLevel"/>
    <w:tmpl w:val="53ABF2AB"/>
    <w:lvl w:ilvl="0" w:tentative="0">
      <w:start w:val="1"/>
      <w:numFmt w:val="decimal"/>
      <w:suff w:val="nothing"/>
      <w:lvlText w:val="%1．"/>
      <w:lvlJc w:val="left"/>
    </w:lvl>
  </w:abstractNum>
  <w:num w:numId="1">
    <w:abstractNumId w:val="4"/>
  </w:num>
  <w:num w:numId="2">
    <w:abstractNumId w:val="0"/>
  </w:num>
  <w:num w:numId="3">
    <w:abstractNumId w:val="2"/>
  </w:num>
  <w:num w:numId="4">
    <w:abstractNumId w:val="3"/>
  </w:num>
  <w:num w:numId="5">
    <w:abstractNumId w:val="7"/>
  </w:num>
  <w:num w:numId="6">
    <w:abstractNumId w:val="6"/>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sLFWqvyKUhAQnHlYuTCMdCcBJ58=" w:salt="kZs0RNrzcG8FgzGGip4N4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A927EC"/>
    <w:rsid w:val="020838CA"/>
    <w:rsid w:val="026F1AAE"/>
    <w:rsid w:val="02C63CD8"/>
    <w:rsid w:val="054B711F"/>
    <w:rsid w:val="0904214D"/>
    <w:rsid w:val="0D3B51DE"/>
    <w:rsid w:val="0F670F9B"/>
    <w:rsid w:val="0FEB39D9"/>
    <w:rsid w:val="106F0CA9"/>
    <w:rsid w:val="12C62887"/>
    <w:rsid w:val="1380268A"/>
    <w:rsid w:val="144933C4"/>
    <w:rsid w:val="160B4155"/>
    <w:rsid w:val="163C4F94"/>
    <w:rsid w:val="1B944F25"/>
    <w:rsid w:val="1D2E4E18"/>
    <w:rsid w:val="1D7D4A93"/>
    <w:rsid w:val="1E4C366C"/>
    <w:rsid w:val="1E892D3B"/>
    <w:rsid w:val="1F010B23"/>
    <w:rsid w:val="20632B06"/>
    <w:rsid w:val="22792401"/>
    <w:rsid w:val="22A927EC"/>
    <w:rsid w:val="234F431F"/>
    <w:rsid w:val="23767E95"/>
    <w:rsid w:val="2564005E"/>
    <w:rsid w:val="25DC4098"/>
    <w:rsid w:val="272E1912"/>
    <w:rsid w:val="291D066E"/>
    <w:rsid w:val="2BEC4FC2"/>
    <w:rsid w:val="30511345"/>
    <w:rsid w:val="34AA3056"/>
    <w:rsid w:val="34FB30EE"/>
    <w:rsid w:val="3562514B"/>
    <w:rsid w:val="36952525"/>
    <w:rsid w:val="38660910"/>
    <w:rsid w:val="38B46C51"/>
    <w:rsid w:val="3A1D4ABA"/>
    <w:rsid w:val="3A35391F"/>
    <w:rsid w:val="3B762441"/>
    <w:rsid w:val="3BB82547"/>
    <w:rsid w:val="3E2449C7"/>
    <w:rsid w:val="3E4660FB"/>
    <w:rsid w:val="40BB6672"/>
    <w:rsid w:val="41872CB2"/>
    <w:rsid w:val="41A81B71"/>
    <w:rsid w:val="44756658"/>
    <w:rsid w:val="4649640B"/>
    <w:rsid w:val="47D959A8"/>
    <w:rsid w:val="4B0435C5"/>
    <w:rsid w:val="4B563C2A"/>
    <w:rsid w:val="4BF60C4C"/>
    <w:rsid w:val="4C0E5B58"/>
    <w:rsid w:val="4D69478A"/>
    <w:rsid w:val="4F5B7E44"/>
    <w:rsid w:val="50D21A70"/>
    <w:rsid w:val="53A5715E"/>
    <w:rsid w:val="545C56B5"/>
    <w:rsid w:val="545D5AF4"/>
    <w:rsid w:val="56913550"/>
    <w:rsid w:val="5BDB1697"/>
    <w:rsid w:val="5C081330"/>
    <w:rsid w:val="5D6A003A"/>
    <w:rsid w:val="5E6B75A3"/>
    <w:rsid w:val="5F4F605C"/>
    <w:rsid w:val="60AA3E6F"/>
    <w:rsid w:val="62DA24C3"/>
    <w:rsid w:val="62E62F4B"/>
    <w:rsid w:val="63117733"/>
    <w:rsid w:val="655C2C51"/>
    <w:rsid w:val="65895914"/>
    <w:rsid w:val="662621EA"/>
    <w:rsid w:val="69714223"/>
    <w:rsid w:val="69D42BEF"/>
    <w:rsid w:val="6B4B23F5"/>
    <w:rsid w:val="6F4E0CB0"/>
    <w:rsid w:val="70C64215"/>
    <w:rsid w:val="70C90342"/>
    <w:rsid w:val="7173669B"/>
    <w:rsid w:val="720505B6"/>
    <w:rsid w:val="721E1F9A"/>
    <w:rsid w:val="721F181B"/>
    <w:rsid w:val="73676B7D"/>
    <w:rsid w:val="77260CAD"/>
    <w:rsid w:val="7744524A"/>
    <w:rsid w:val="783F5946"/>
    <w:rsid w:val="78AB4800"/>
    <w:rsid w:val="79F40255"/>
    <w:rsid w:val="7A072BDE"/>
    <w:rsid w:val="7A3E2762"/>
    <w:rsid w:val="7C635BB6"/>
    <w:rsid w:val="7E1846B6"/>
    <w:rsid w:val="7EA45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9"/>
    <w:pPr>
      <w:keepNext/>
      <w:keepLines/>
      <w:spacing w:before="260" w:after="260" w:line="416" w:lineRule="auto"/>
      <w:outlineLvl w:val="2"/>
    </w:pPr>
    <w:rPr>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toa heading"/>
    <w:basedOn w:val="1"/>
    <w:next w:val="1"/>
    <w:qFormat/>
    <w:uiPriority w:val="0"/>
    <w:pPr>
      <w:spacing w:before="120"/>
    </w:pPr>
    <w:rPr>
      <w:rFonts w:ascii="Arial" w:hAnsi="Arial" w:cs="Arial"/>
      <w:sz w:val="24"/>
      <w:szCs w:val="24"/>
    </w:rPr>
  </w:style>
  <w:style w:type="paragraph" w:styleId="5">
    <w:name w:val="Body Text"/>
    <w:basedOn w:val="1"/>
    <w:unhideWhenUsed/>
    <w:qFormat/>
    <w:uiPriority w:val="0"/>
    <w:pPr>
      <w:spacing w:after="120"/>
    </w:pPr>
    <w:rPr>
      <w:sz w:val="20"/>
    </w:rPr>
  </w:style>
  <w:style w:type="paragraph" w:styleId="6">
    <w:name w:val="footer"/>
    <w:basedOn w:val="1"/>
    <w:qFormat/>
    <w:uiPriority w:val="99"/>
    <w:pPr>
      <w:tabs>
        <w:tab w:val="center" w:pos="4153"/>
        <w:tab w:val="right" w:pos="8306"/>
      </w:tabs>
      <w:snapToGrid w:val="0"/>
      <w:jc w:val="left"/>
    </w:pPr>
    <w:rPr>
      <w:rFonts w:ascii="Times New Roman" w:hAnsi="Times New Roman"/>
      <w:kern w:val="0"/>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8">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1"/>
      <w:szCs w:val="21"/>
      <w:lang w:val="en-US" w:eastAsia="zh-CN" w:bidi="ar"/>
    </w:rPr>
  </w:style>
  <w:style w:type="paragraph" w:styleId="9">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0">
    <w:name w:val="Body Text First Indent"/>
    <w:basedOn w:val="1"/>
    <w:next w:val="1"/>
    <w:qFormat/>
    <w:uiPriority w:val="99"/>
    <w:pPr>
      <w:spacing w:line="312" w:lineRule="auto"/>
      <w:ind w:firstLine="420"/>
    </w:pPr>
    <w:rPr>
      <w:sz w:val="24"/>
    </w:rPr>
  </w:style>
  <w:style w:type="character" w:styleId="13">
    <w:name w:val="Hyperlink"/>
    <w:basedOn w:val="12"/>
    <w:qFormat/>
    <w:uiPriority w:val="0"/>
    <w:rPr>
      <w:color w:val="0000FF"/>
      <w:u w:val="single"/>
    </w:rPr>
  </w:style>
  <w:style w:type="paragraph" w:customStyle="1" w:styleId="14">
    <w:name w:val="WPSOffice手动目录 1"/>
    <w:qFormat/>
    <w:uiPriority w:val="0"/>
    <w:rPr>
      <w:rFonts w:ascii="Times New Roman" w:hAnsi="Times New Roman" w:eastAsia="宋体" w:cs="Times New Roman"/>
      <w:lang w:val="en-US" w:eastAsia="zh-CN" w:bidi="ar-SA"/>
    </w:rPr>
  </w:style>
  <w:style w:type="character" w:customStyle="1" w:styleId="15">
    <w:name w:val="NormalCharacter"/>
    <w:semiHidden/>
    <w:qFormat/>
    <w:uiPriority w:val="0"/>
  </w:style>
  <w:style w:type="paragraph" w:customStyle="1" w:styleId="16">
    <w:name w:val="Table Text"/>
    <w:basedOn w:val="1"/>
    <w:semiHidden/>
    <w:qFormat/>
    <w:uiPriority w:val="0"/>
    <w:rPr>
      <w:rFonts w:ascii="宋体" w:hAnsi="宋体" w:cs="宋体"/>
      <w:sz w:val="20"/>
      <w:szCs w:val="20"/>
      <w:lang w:eastAsia="en-US"/>
    </w:rPr>
  </w:style>
  <w:style w:type="paragraph" w:customStyle="1" w:styleId="17">
    <w:name w:val="正文，首行缩进:"/>
    <w:basedOn w:val="1"/>
    <w:qFormat/>
    <w:uiPriority w:val="0"/>
    <w:pPr>
      <w:tabs>
        <w:tab w:val="left" w:pos="3376"/>
      </w:tabs>
      <w:ind w:firstLine="480"/>
    </w:pPr>
    <w:rPr>
      <w:rFonts w:ascii="宋体" w:hAnsi="宋体"/>
      <w:sz w:val="24"/>
    </w:rPr>
  </w:style>
  <w:style w:type="paragraph" w:customStyle="1" w:styleId="18">
    <w:name w:val="正文_1"/>
    <w:next w:val="19"/>
    <w:qFormat/>
    <w:uiPriority w:val="1"/>
    <w:pPr>
      <w:jc w:val="both"/>
    </w:pPr>
    <w:rPr>
      <w:rFonts w:ascii="Times New Roman" w:hAnsi="Times New Roman" w:eastAsia="宋体" w:cs="Times New Roman"/>
      <w:sz w:val="21"/>
      <w:szCs w:val="21"/>
      <w:lang w:val="en-US" w:eastAsia="zh-CN" w:bidi="ar-SA"/>
    </w:rPr>
  </w:style>
  <w:style w:type="paragraph" w:customStyle="1" w:styleId="19">
    <w:name w:val="正文首行缩进_0"/>
    <w:basedOn w:val="20"/>
    <w:next w:val="18"/>
    <w:unhideWhenUsed/>
    <w:qFormat/>
    <w:uiPriority w:val="99"/>
    <w:pPr>
      <w:autoSpaceDE/>
      <w:autoSpaceDN/>
      <w:adjustRightInd/>
      <w:spacing w:after="120"/>
      <w:ind w:left="0" w:firstLine="420" w:firstLineChars="100"/>
      <w:jc w:val="both"/>
    </w:pPr>
    <w:rPr>
      <w:rFonts w:ascii="Calibri" w:hAnsi="Calibri"/>
      <w:kern w:val="2"/>
      <w:sz w:val="21"/>
      <w:szCs w:val="22"/>
    </w:rPr>
  </w:style>
  <w:style w:type="paragraph" w:customStyle="1" w:styleId="20">
    <w:name w:val="正文文本_0"/>
    <w:basedOn w:val="21"/>
    <w:next w:val="19"/>
    <w:qFormat/>
    <w:uiPriority w:val="0"/>
    <w:pPr>
      <w:autoSpaceDE w:val="0"/>
      <w:autoSpaceDN w:val="0"/>
      <w:adjustRightInd w:val="0"/>
      <w:ind w:left="520"/>
      <w:jc w:val="left"/>
    </w:pPr>
    <w:rPr>
      <w:rFonts w:ascii="Times New Roman" w:hAnsi="Times New Roman"/>
      <w:kern w:val="0"/>
      <w:sz w:val="24"/>
      <w:szCs w:val="24"/>
    </w:rPr>
  </w:style>
  <w:style w:type="paragraph" w:customStyle="1" w:styleId="21">
    <w:name w:val="正文_0_0"/>
    <w:next w:val="19"/>
    <w:qFormat/>
    <w:uiPriority w:val="1"/>
    <w:pPr>
      <w:jc w:val="both"/>
    </w:pPr>
    <w:rPr>
      <w:rFonts w:ascii="Times New Roman" w:hAnsi="Times New Roman" w:eastAsia="宋体" w:cs="Times New Roman"/>
      <w:sz w:val="21"/>
      <w:szCs w:val="21"/>
      <w:lang w:val="en-US" w:eastAsia="zh-CN" w:bidi="ar-SA"/>
    </w:rPr>
  </w:style>
  <w:style w:type="table" w:customStyle="1" w:styleId="22">
    <w:name w:val="Table Normal"/>
    <w:unhideWhenUsed/>
    <w:qFormat/>
    <w:uiPriority w:val="0"/>
    <w:tblPr>
      <w:tblCellMar>
        <w:top w:w="0" w:type="dxa"/>
        <w:left w:w="0" w:type="dxa"/>
        <w:bottom w:w="0" w:type="dxa"/>
        <w:right w:w="0" w:type="dxa"/>
      </w:tblCellMar>
    </w:tblPr>
  </w:style>
  <w:style w:type="paragraph" w:customStyle="1" w:styleId="23">
    <w:name w:val="Table Paragraph"/>
    <w:basedOn w:val="1"/>
    <w:qFormat/>
    <w:uiPriority w:val="1"/>
    <w:pPr>
      <w:autoSpaceDE w:val="0"/>
      <w:autoSpaceDN w:val="0"/>
      <w:jc w:val="left"/>
    </w:pPr>
    <w:rPr>
      <w:rFonts w:ascii="宋体" w:hAnsi="宋体" w:cs="宋体"/>
      <w:kern w:val="0"/>
      <w:sz w:val="22"/>
      <w:lang w:val="zh-CN"/>
    </w:rPr>
  </w:style>
  <w:style w:type="paragraph" w:customStyle="1" w:styleId="24">
    <w:name w:val="正文_3_0"/>
    <w:next w:val="25"/>
    <w:qFormat/>
    <w:uiPriority w:val="1"/>
    <w:pPr>
      <w:jc w:val="both"/>
    </w:pPr>
    <w:rPr>
      <w:rFonts w:ascii="Times New Roman" w:hAnsi="Times New Roman" w:eastAsia="等线" w:cs="Times New Roman"/>
      <w:sz w:val="21"/>
      <w:szCs w:val="21"/>
      <w:lang w:val="en-US" w:eastAsia="zh-CN" w:bidi="ar-SA"/>
    </w:rPr>
  </w:style>
  <w:style w:type="paragraph" w:customStyle="1" w:styleId="25">
    <w:name w:val="正文文本_3"/>
    <w:basedOn w:val="26"/>
    <w:qFormat/>
    <w:uiPriority w:val="99"/>
    <w:pPr>
      <w:spacing w:before="100" w:beforeAutospacing="1" w:after="120"/>
    </w:pPr>
  </w:style>
  <w:style w:type="paragraph" w:customStyle="1" w:styleId="26">
    <w:name w:val="正文_3_1"/>
    <w:basedOn w:val="1"/>
    <w:next w:val="1"/>
    <w:qFormat/>
    <w:uiPriority w:val="1"/>
    <w:pPr>
      <w:widowControl/>
    </w:pPr>
    <w:rPr>
      <w:kern w:val="0"/>
      <w:szCs w:val="21"/>
    </w:rPr>
  </w:style>
  <w:style w:type="paragraph" w:customStyle="1" w:styleId="27">
    <w:name w:val="正文_3_0_3"/>
    <w:basedOn w:val="28"/>
    <w:next w:val="31"/>
    <w:qFormat/>
    <w:uiPriority w:val="0"/>
    <w:rPr>
      <w:rFonts w:eastAsia="等线"/>
    </w:rPr>
  </w:style>
  <w:style w:type="paragraph" w:customStyle="1" w:styleId="28">
    <w:name w:val="正文_2_0_1_0"/>
    <w:next w:val="29"/>
    <w:qFormat/>
    <w:uiPriority w:val="1"/>
    <w:pPr>
      <w:jc w:val="both"/>
    </w:pPr>
    <w:rPr>
      <w:rFonts w:ascii="Times New Roman" w:hAnsi="Times New Roman" w:eastAsia="宋体" w:cs="Times New Roman"/>
      <w:sz w:val="21"/>
      <w:szCs w:val="21"/>
      <w:lang w:val="en-US" w:eastAsia="zh-CN" w:bidi="ar-SA"/>
    </w:rPr>
  </w:style>
  <w:style w:type="paragraph" w:customStyle="1" w:styleId="29">
    <w:name w:val="Normal_1_1_0"/>
    <w:next w:val="30"/>
    <w:qFormat/>
    <w:uiPriority w:val="0"/>
    <w:rPr>
      <w:rFonts w:ascii="Times New Roman" w:hAnsi="Times New Roman" w:eastAsia="宋体" w:cs="Times New Roman"/>
      <w:sz w:val="24"/>
      <w:szCs w:val="24"/>
      <w:lang w:val="en-US" w:eastAsia="zh-CN" w:bidi="ar-SA"/>
    </w:rPr>
  </w:style>
  <w:style w:type="paragraph" w:customStyle="1" w:styleId="30">
    <w:name w:val="样式1_2_0_0"/>
    <w:basedOn w:val="29"/>
    <w:qFormat/>
    <w:uiPriority w:val="0"/>
    <w:rPr>
      <w:rFonts w:ascii="宋体" w:hAnsi="宋体"/>
      <w:b/>
    </w:rPr>
  </w:style>
  <w:style w:type="paragraph" w:customStyle="1" w:styleId="31">
    <w:name w:val="正文首行缩进_1_0_3"/>
    <w:basedOn w:val="27"/>
    <w:next w:val="32"/>
    <w:qFormat/>
    <w:uiPriority w:val="0"/>
    <w:pPr>
      <w:ind w:firstLine="420"/>
    </w:pPr>
  </w:style>
  <w:style w:type="paragraph" w:customStyle="1" w:styleId="32">
    <w:name w:val="正文_7_0_0"/>
    <w:next w:val="31"/>
    <w:qFormat/>
    <w:uiPriority w:val="1"/>
    <w:pPr>
      <w:jc w:val="both"/>
    </w:pPr>
    <w:rPr>
      <w:rFonts w:ascii="Times New Roman" w:hAnsi="Times New Roman" w:eastAsia="宋体" w:cs="Times New Roman"/>
      <w:sz w:val="21"/>
      <w:szCs w:val="21"/>
      <w:lang w:val="en-US" w:eastAsia="zh-CN" w:bidi="ar-SA"/>
    </w:rPr>
  </w:style>
  <w:style w:type="character" w:customStyle="1" w:styleId="33">
    <w:name w:val="10"/>
    <w:qFormat/>
    <w:uiPriority w:val="0"/>
    <w:rPr>
      <w:rFonts w:hint="default" w:ascii="Times New Roman" w:hAnsi="Times New Roman" w:eastAsia="宋体" w:cs="Times New Roman"/>
    </w:rPr>
  </w:style>
  <w:style w:type="paragraph" w:customStyle="1" w:styleId="34">
    <w:name w:val="gao"/>
    <w:basedOn w:val="1"/>
    <w:qFormat/>
    <w:uiPriority w:val="0"/>
    <w:pPr>
      <w:widowControl/>
      <w:spacing w:before="100" w:beforeAutospacing="1" w:after="100" w:afterAutospacing="1"/>
      <w:jc w:val="left"/>
    </w:pPr>
    <w:rPr>
      <w:rFonts w:ascii="宋体" w:hAnsi="宋体"/>
      <w:kern w:val="0"/>
      <w:sz w:val="24"/>
    </w:rPr>
  </w:style>
  <w:style w:type="paragraph" w:customStyle="1" w:styleId="35">
    <w:name w:val="Normal_20"/>
    <w:qFormat/>
    <w:uiPriority w:val="0"/>
    <w:rPr>
      <w:rFonts w:ascii="Times New Roman" w:hAnsi="Times New Roman" w:eastAsia="Times New Roman" w:cs="Times New Roman"/>
      <w:sz w:val="24"/>
      <w:szCs w:val="24"/>
      <w:lang w:val="en-US" w:eastAsia="zh-CN" w:bidi="ar-SA"/>
    </w:rPr>
  </w:style>
  <w:style w:type="paragraph" w:customStyle="1" w:styleId="36">
    <w:name w:val="正文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132</Pages>
  <Words>38740</Words>
  <Characters>41765</Characters>
  <Lines>0</Lines>
  <Paragraphs>0</Paragraphs>
  <TotalTime>205</TotalTime>
  <ScaleCrop>false</ScaleCrop>
  <LinksUpToDate>false</LinksUpToDate>
  <CharactersWithSpaces>43742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2025-06-11T09:16:00Z</dcterms:created>
  <dc:creator>A monologue</dc:creator>
  <cp:lastModifiedBy>guik</cp:lastModifiedBy>
  <cp:lastPrinted>2025-07-21T07:45:00Z</cp:lastPrinted>
  <dcterms:modified xsi:type="dcterms:W3CDTF">2025-07-21T10:32:27Z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EFA499AD7CA54BB9B6C58E13BEBA118C_13</vt:lpwstr>
  </property>
  <property fmtid="{D5CDD505-2E9C-101B-9397-08002B2CF9AE}" pid="4" name="KSOTemplateDocerSaveRecord">
    <vt:lpwstr>eyJoZGlkIjoiOTU5YzcyZTNhYWQwMGQ3YWM0ZmM0OTY1YTFmYmI0YjMiLCJ1c2VySWQiOiI3NTc0NjMwNzYifQ==</vt:lpwstr>
  </property>
</Properties>
</file>