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27" w:firstLineChars="196"/>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（燃料油油浆沉降剂）</w:t>
      </w:r>
    </w:p>
    <w:p>
      <w:pPr>
        <w:spacing w:line="360" w:lineRule="auto"/>
        <w:ind w:firstLine="627" w:firstLineChars="196"/>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中标候选人公示</w:t>
      </w:r>
    </w:p>
    <w:p>
      <w:pPr>
        <w:spacing w:line="360" w:lineRule="auto"/>
        <w:ind w:firstLine="627" w:firstLineChars="196"/>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招标编号：HSH2603-WZ002-WZSYGS31-B11050086348881-18</w:t>
      </w:r>
    </w:p>
    <w:p>
      <w:pPr>
        <w:spacing w:line="360" w:lineRule="auto"/>
        <w:ind w:firstLine="630" w:firstLineChars="196"/>
        <w:outlineLvl w:val="0"/>
        <w:rPr>
          <w:rFonts w:ascii="宋体" w:hAnsi="宋体"/>
          <w:b/>
          <w:bCs/>
          <w:sz w:val="32"/>
          <w:szCs w:val="32"/>
        </w:rPr>
      </w:pPr>
      <w:r>
        <w:rPr>
          <w:rFonts w:hint="eastAsia" w:ascii="宋体" w:hAnsi="宋体"/>
          <w:b/>
          <w:bCs/>
          <w:sz w:val="32"/>
          <w:szCs w:val="32"/>
        </w:rPr>
        <w:t>一、基本情况</w:t>
      </w:r>
    </w:p>
    <w:p>
      <w:pPr>
        <w:spacing w:line="360" w:lineRule="auto"/>
        <w:ind w:firstLine="560" w:firstLineChars="200"/>
        <w:rPr>
          <w:rFonts w:hint="eastAsia" w:ascii="宋体" w:hAnsi="宋体"/>
          <w:sz w:val="28"/>
          <w:szCs w:val="28"/>
        </w:rPr>
      </w:pPr>
      <w:r>
        <w:rPr>
          <w:rFonts w:hint="eastAsia" w:ascii="宋体" w:hAnsi="宋体"/>
          <w:sz w:val="28"/>
          <w:szCs w:val="28"/>
        </w:rPr>
        <w:t>本项目招标内容包括：</w:t>
      </w:r>
      <w:r>
        <w:rPr>
          <w:rFonts w:hint="eastAsia" w:ascii="宋体" w:hAnsi="宋体"/>
          <w:sz w:val="28"/>
          <w:szCs w:val="28"/>
          <w:u w:val="single"/>
        </w:rPr>
        <w:t xml:space="preserve"> 燃料油油浆沉降剂 </w:t>
      </w:r>
      <w:r>
        <w:rPr>
          <w:rFonts w:hint="eastAsia" w:ascii="宋体" w:hAnsi="宋体"/>
          <w:sz w:val="28"/>
          <w:szCs w:val="28"/>
        </w:rPr>
        <w:t>，资金已落实。该项目已按要求履行了相关报批及备案等手续，并依据国家相关法律法规及集团公司相关规定组织开展招标活动，本项目采用</w:t>
      </w:r>
      <w:r>
        <w:rPr>
          <w:rFonts w:hint="eastAsia" w:ascii="宋体" w:hAnsi="宋体"/>
          <w:sz w:val="28"/>
          <w:szCs w:val="28"/>
          <w:u w:val="single"/>
        </w:rPr>
        <w:t xml:space="preserve">  公开招标</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方式。</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二、投标及开标情况</w:t>
      </w:r>
    </w:p>
    <w:p>
      <w:pPr>
        <w:spacing w:beforeLines="50" w:afterLines="50" w:line="360" w:lineRule="auto"/>
        <w:ind w:firstLine="560" w:firstLineChars="200"/>
        <w:jc w:val="left"/>
        <w:rPr>
          <w:rFonts w:hint="eastAsia" w:ascii="宋体" w:hAnsi="宋体"/>
          <w:sz w:val="28"/>
          <w:szCs w:val="28"/>
        </w:rPr>
      </w:pPr>
      <w:r>
        <w:rPr>
          <w:rFonts w:hint="eastAsia" w:ascii="宋体" w:hAnsi="宋体"/>
          <w:sz w:val="28"/>
          <w:szCs w:val="28"/>
        </w:rPr>
        <w:t>本次公开招标共有</w:t>
      </w:r>
      <w:r>
        <w:rPr>
          <w:rFonts w:hint="eastAsia" w:ascii="宋体" w:hAnsi="宋体"/>
          <w:sz w:val="28"/>
          <w:szCs w:val="28"/>
          <w:u w:val="single"/>
        </w:rPr>
        <w:t xml:space="preserve"> </w:t>
      </w:r>
      <w:r>
        <w:rPr>
          <w:rFonts w:hint="eastAsia" w:ascii="宋体" w:hAnsi="宋体"/>
          <w:sz w:val="28"/>
          <w:szCs w:val="28"/>
          <w:u w:val="single"/>
          <w:lang w:val="en-US" w:eastAsia="zh-CN"/>
        </w:rPr>
        <w:t>4</w:t>
      </w:r>
      <w:r>
        <w:rPr>
          <w:rFonts w:hint="eastAsia" w:ascii="宋体" w:hAnsi="宋体"/>
          <w:sz w:val="28"/>
          <w:szCs w:val="28"/>
          <w:u w:val="single"/>
        </w:rPr>
        <w:t xml:space="preserve"> </w:t>
      </w:r>
      <w:r>
        <w:rPr>
          <w:rFonts w:hint="eastAsia" w:ascii="宋体" w:hAnsi="宋体"/>
          <w:sz w:val="28"/>
          <w:szCs w:val="28"/>
        </w:rPr>
        <w:t>家购买招标文件，实际递交投标文件的</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rPr>
        <w:t>家，未在投标截止时间递交投标文件的</w:t>
      </w:r>
      <w:r>
        <w:rPr>
          <w:rFonts w:hint="eastAsia" w:ascii="宋体" w:hAnsi="宋体"/>
          <w:sz w:val="28"/>
          <w:szCs w:val="28"/>
          <w:u w:val="single"/>
        </w:rPr>
        <w:t xml:space="preserve"> </w:t>
      </w:r>
      <w:r>
        <w:rPr>
          <w:rFonts w:hint="eastAsia" w:ascii="宋体" w:hAnsi="宋体"/>
          <w:sz w:val="28"/>
          <w:szCs w:val="28"/>
          <w:u w:val="single"/>
          <w:lang w:val="en-US" w:eastAsia="zh-CN"/>
        </w:rPr>
        <w:t>1</w:t>
      </w:r>
      <w:r>
        <w:rPr>
          <w:rFonts w:hint="eastAsia" w:ascii="宋体" w:hAnsi="宋体"/>
          <w:sz w:val="28"/>
          <w:szCs w:val="28"/>
          <w:u w:val="single"/>
        </w:rPr>
        <w:t xml:space="preserve"> </w:t>
      </w:r>
      <w:r>
        <w:rPr>
          <w:rFonts w:hint="eastAsia" w:ascii="宋体" w:hAnsi="宋体"/>
          <w:sz w:val="28"/>
          <w:szCs w:val="28"/>
        </w:rPr>
        <w:t>家。</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三、评标情况</w:t>
      </w:r>
    </w:p>
    <w:p>
      <w:pPr>
        <w:spacing w:line="360" w:lineRule="auto"/>
        <w:ind w:firstLine="548" w:firstLineChars="196"/>
        <w:rPr>
          <w:rFonts w:hint="eastAsia" w:ascii="宋体" w:hAnsi="宋体"/>
          <w:sz w:val="28"/>
          <w:szCs w:val="28"/>
        </w:rPr>
      </w:pPr>
      <w:r>
        <w:rPr>
          <w:rFonts w:hint="eastAsia" w:ascii="宋体" w:hAnsi="宋体"/>
          <w:sz w:val="28"/>
          <w:szCs w:val="28"/>
        </w:rPr>
        <w:t>本项目采用</w:t>
      </w:r>
      <w:r>
        <w:rPr>
          <w:rFonts w:hint="eastAsia" w:ascii="宋体" w:hAnsi="宋体"/>
          <w:sz w:val="28"/>
          <w:szCs w:val="28"/>
          <w:u w:val="single"/>
        </w:rPr>
        <w:t xml:space="preserve"> 综合评估法 </w:t>
      </w:r>
      <w:r>
        <w:rPr>
          <w:rFonts w:hint="eastAsia" w:ascii="宋体" w:hAnsi="宋体"/>
          <w:sz w:val="28"/>
          <w:szCs w:val="28"/>
        </w:rPr>
        <w:t>，具体评标方法、标准及程序详见招标文件。</w:t>
      </w:r>
    </w:p>
    <w:p>
      <w:pPr>
        <w:spacing w:beforeLines="50" w:afterLines="50" w:line="360" w:lineRule="auto"/>
        <w:ind w:firstLine="560" w:firstLineChars="200"/>
        <w:jc w:val="left"/>
        <w:rPr>
          <w:rFonts w:hint="eastAsia" w:ascii="宋体" w:hAnsi="宋体"/>
          <w:sz w:val="28"/>
          <w:szCs w:val="28"/>
        </w:rPr>
      </w:pPr>
      <w:r>
        <w:rPr>
          <w:rFonts w:hint="eastAsia" w:ascii="宋体" w:hAnsi="宋体"/>
          <w:sz w:val="28"/>
          <w:szCs w:val="28"/>
        </w:rPr>
        <w:t>按照本项目招标文件及相关补充文件规定，对</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家投标人的投标文件进行了初评，通过的</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家，未通过的</w:t>
      </w:r>
      <w:r>
        <w:rPr>
          <w:rFonts w:hint="eastAsia" w:ascii="宋体" w:hAnsi="宋体"/>
          <w:sz w:val="28"/>
          <w:szCs w:val="28"/>
          <w:u w:val="single"/>
        </w:rPr>
        <w:t xml:space="preserve"> </w:t>
      </w:r>
      <w:r>
        <w:rPr>
          <w:rFonts w:hint="eastAsia" w:ascii="宋体" w:hAnsi="宋体"/>
          <w:sz w:val="28"/>
          <w:szCs w:val="28"/>
          <w:u w:val="single"/>
          <w:lang w:val="en-US" w:eastAsia="zh-CN"/>
        </w:rPr>
        <w:t>0</w:t>
      </w:r>
      <w:r>
        <w:rPr>
          <w:rFonts w:hint="eastAsia" w:ascii="宋体" w:hAnsi="宋体"/>
          <w:sz w:val="28"/>
          <w:szCs w:val="28"/>
          <w:u w:val="single"/>
        </w:rPr>
        <w:t xml:space="preserve"> </w:t>
      </w:r>
      <w:r>
        <w:rPr>
          <w:rFonts w:hint="eastAsia" w:ascii="宋体" w:hAnsi="宋体"/>
          <w:sz w:val="28"/>
          <w:szCs w:val="28"/>
        </w:rPr>
        <w:t>家</w:t>
      </w:r>
      <w:r>
        <w:rPr>
          <w:rFonts w:hint="eastAsia" w:ascii="宋体" w:hAnsi="宋体"/>
          <w:sz w:val="28"/>
          <w:szCs w:val="28"/>
          <w:lang w:eastAsia="zh-CN"/>
        </w:rPr>
        <w:t>。</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四、评标委员会推荐的中标候选人情况</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3627"/>
        <w:gridCol w:w="1133"/>
        <w:gridCol w:w="1147"/>
        <w:gridCol w:w="2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rPr>
                <w:b/>
                <w:bCs/>
                <w:color w:val="000000"/>
                <w:sz w:val="20"/>
                <w:szCs w:val="20"/>
              </w:rPr>
            </w:pPr>
            <w:r>
              <w:rPr>
                <w:rFonts w:hint="eastAsia"/>
                <w:b/>
                <w:bCs/>
                <w:color w:val="000000"/>
                <w:sz w:val="20"/>
                <w:szCs w:val="20"/>
              </w:rPr>
              <w:t>排名</w:t>
            </w:r>
          </w:p>
        </w:tc>
        <w:tc>
          <w:tcPr>
            <w:tcW w:w="3627" w:type="dxa"/>
            <w:vAlign w:val="center"/>
          </w:tcPr>
          <w:p>
            <w:pPr>
              <w:jc w:val="center"/>
              <w:rPr>
                <w:b/>
                <w:bCs/>
                <w:color w:val="000000"/>
                <w:sz w:val="20"/>
                <w:szCs w:val="20"/>
              </w:rPr>
            </w:pPr>
            <w:r>
              <w:rPr>
                <w:rFonts w:hint="eastAsia"/>
                <w:b/>
                <w:bCs/>
                <w:color w:val="000000"/>
                <w:sz w:val="20"/>
                <w:szCs w:val="20"/>
              </w:rPr>
              <w:t>投标人名称</w:t>
            </w:r>
          </w:p>
        </w:tc>
        <w:tc>
          <w:tcPr>
            <w:tcW w:w="1133" w:type="dxa"/>
            <w:vAlign w:val="center"/>
          </w:tcPr>
          <w:p>
            <w:pPr>
              <w:jc w:val="center"/>
              <w:rPr>
                <w:b/>
                <w:bCs/>
                <w:color w:val="000000"/>
                <w:sz w:val="20"/>
                <w:szCs w:val="20"/>
              </w:rPr>
            </w:pPr>
            <w:r>
              <w:rPr>
                <w:rFonts w:hint="eastAsia"/>
                <w:b/>
                <w:bCs/>
                <w:color w:val="000000"/>
                <w:sz w:val="20"/>
                <w:szCs w:val="20"/>
              </w:rPr>
              <w:t>质量</w:t>
            </w:r>
          </w:p>
        </w:tc>
        <w:tc>
          <w:tcPr>
            <w:tcW w:w="1147" w:type="dxa"/>
            <w:vAlign w:val="center"/>
          </w:tcPr>
          <w:p>
            <w:pPr>
              <w:jc w:val="center"/>
              <w:rPr>
                <w:b/>
                <w:bCs/>
                <w:color w:val="000000"/>
                <w:sz w:val="20"/>
                <w:szCs w:val="20"/>
              </w:rPr>
            </w:pPr>
            <w:r>
              <w:rPr>
                <w:rFonts w:hint="eastAsia"/>
                <w:b/>
                <w:bCs/>
                <w:color w:val="000000"/>
                <w:sz w:val="20"/>
                <w:szCs w:val="20"/>
              </w:rPr>
              <w:t>交货期</w:t>
            </w:r>
          </w:p>
        </w:tc>
        <w:tc>
          <w:tcPr>
            <w:tcW w:w="2067" w:type="dxa"/>
            <w:vAlign w:val="center"/>
          </w:tcPr>
          <w:p>
            <w:pPr>
              <w:jc w:val="center"/>
              <w:rPr>
                <w:b/>
                <w:bCs/>
                <w:color w:val="000000"/>
                <w:sz w:val="20"/>
                <w:szCs w:val="20"/>
              </w:rPr>
            </w:pPr>
            <w:r>
              <w:rPr>
                <w:rFonts w:hint="eastAsia"/>
                <w:b/>
                <w:bCs/>
                <w:color w:val="000000"/>
                <w:sz w:val="20"/>
                <w:szCs w:val="20"/>
              </w:rPr>
              <w:t>资格能力条件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534"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3627" w:type="dxa"/>
            <w:vAlign w:val="center"/>
          </w:tcPr>
          <w:p>
            <w:pPr>
              <w:jc w:val="center"/>
              <w:rPr>
                <w:rFonts w:ascii="方正仿宋简体" w:hAnsi="方正仿宋简体" w:eastAsia="方正仿宋简体" w:cs="方正仿宋简体"/>
                <w:szCs w:val="21"/>
              </w:rPr>
            </w:pPr>
            <w:r>
              <w:rPr>
                <w:rFonts w:ascii="方正仿宋简体" w:hAnsi="方正仿宋简体" w:eastAsia="方正仿宋简体" w:cs="方正仿宋简体"/>
                <w:szCs w:val="21"/>
              </w:rPr>
              <w:t>广昌达新材料技术服务（深圳）股份有限公司</w:t>
            </w:r>
          </w:p>
        </w:tc>
        <w:tc>
          <w:tcPr>
            <w:tcW w:w="1133"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满足招标文件</w:t>
            </w:r>
          </w:p>
        </w:tc>
        <w:tc>
          <w:tcPr>
            <w:tcW w:w="114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响应需方要求</w:t>
            </w:r>
          </w:p>
        </w:tc>
        <w:tc>
          <w:tcPr>
            <w:tcW w:w="2067" w:type="dxa"/>
            <w:vAlign w:val="center"/>
          </w:tcPr>
          <w:p>
            <w:pPr>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534"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3627" w:type="dxa"/>
            <w:vAlign w:val="center"/>
          </w:tcPr>
          <w:p>
            <w:pPr>
              <w:jc w:val="center"/>
              <w:rPr>
                <w:rFonts w:ascii="方正仿宋简体" w:hAnsi="方正仿宋简体" w:eastAsia="方正仿宋简体" w:cs="方正仿宋简体"/>
                <w:szCs w:val="21"/>
              </w:rPr>
            </w:pPr>
            <w:r>
              <w:rPr>
                <w:rFonts w:ascii="方正仿宋简体" w:hAnsi="方正仿宋简体" w:eastAsia="方正仿宋简体" w:cs="方正仿宋简体"/>
                <w:szCs w:val="21"/>
              </w:rPr>
              <w:t>金浦新材料股份有限公司</w:t>
            </w:r>
          </w:p>
        </w:tc>
        <w:tc>
          <w:tcPr>
            <w:tcW w:w="1133"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满足招标文件</w:t>
            </w:r>
          </w:p>
        </w:tc>
        <w:tc>
          <w:tcPr>
            <w:tcW w:w="114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响应需方要求</w:t>
            </w:r>
          </w:p>
        </w:tc>
        <w:tc>
          <w:tcPr>
            <w:tcW w:w="206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3627" w:type="dxa"/>
            <w:vAlign w:val="center"/>
          </w:tcPr>
          <w:p>
            <w:pPr>
              <w:jc w:val="center"/>
              <w:rPr>
                <w:rFonts w:ascii="方正仿宋简体" w:hAnsi="方正仿宋简体" w:eastAsia="方正仿宋简体" w:cs="方正仿宋简体"/>
                <w:szCs w:val="21"/>
              </w:rPr>
            </w:pPr>
            <w:r>
              <w:rPr>
                <w:rFonts w:ascii="方正仿宋简体" w:hAnsi="方正仿宋简体" w:eastAsia="方正仿宋简体" w:cs="方正仿宋简体"/>
                <w:szCs w:val="21"/>
              </w:rPr>
              <w:t>深圳市科拉达精细化工有限公司</w:t>
            </w:r>
          </w:p>
        </w:tc>
        <w:tc>
          <w:tcPr>
            <w:tcW w:w="1133"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满足招标文件</w:t>
            </w:r>
          </w:p>
        </w:tc>
        <w:tc>
          <w:tcPr>
            <w:tcW w:w="114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响应需方要求</w:t>
            </w:r>
          </w:p>
        </w:tc>
        <w:tc>
          <w:tcPr>
            <w:tcW w:w="206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满足招标文件要求</w:t>
            </w:r>
          </w:p>
        </w:tc>
      </w:tr>
    </w:tbl>
    <w:p>
      <w:pPr>
        <w:spacing w:line="360" w:lineRule="auto"/>
        <w:outlineLvl w:val="0"/>
        <w:rPr>
          <w:rFonts w:hint="eastAsia" w:ascii="宋体" w:hAnsi="宋体"/>
          <w:b/>
          <w:bCs/>
          <w:sz w:val="32"/>
          <w:szCs w:val="32"/>
        </w:rPr>
      </w:pP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五、提出异议</w:t>
      </w:r>
      <w:bookmarkStart w:id="0" w:name="_GoBack"/>
      <w:bookmarkEnd w:id="0"/>
      <w:r>
        <w:rPr>
          <w:rFonts w:hint="eastAsia" w:ascii="宋体" w:hAnsi="宋体"/>
          <w:b/>
          <w:bCs/>
          <w:sz w:val="32"/>
          <w:szCs w:val="32"/>
        </w:rPr>
        <w:t>的渠道和方式</w:t>
      </w:r>
    </w:p>
    <w:p>
      <w:pPr>
        <w:spacing w:beforeLines="50" w:afterLines="50" w:line="460" w:lineRule="exact"/>
        <w:ind w:firstLine="560" w:firstLineChars="200"/>
        <w:jc w:val="left"/>
        <w:rPr>
          <w:rFonts w:hint="eastAsia" w:ascii="宋体" w:hAnsi="宋体"/>
          <w:sz w:val="28"/>
          <w:szCs w:val="28"/>
        </w:rPr>
      </w:pPr>
      <w:r>
        <w:rPr>
          <w:rFonts w:hint="eastAsia" w:ascii="宋体" w:hAnsi="宋体"/>
          <w:sz w:val="28"/>
          <w:szCs w:val="28"/>
        </w:rPr>
        <w:t>投标人或其他利害关系人对本招标项目的评标结果有异议的，投标人应当在中标候选人公示期间通过中国石油招标投标电子交易平台（首次提出仅接受此方式提交的异议），其他利害关系人应当在中标候选人公示期间通过给受理邮箱发邮件的方式向招标代理机构提出书面异议文件。</w:t>
      </w:r>
    </w:p>
    <w:p>
      <w:pPr>
        <w:spacing w:beforeLines="50" w:afterLines="50" w:line="460" w:lineRule="exact"/>
        <w:ind w:firstLine="560" w:firstLineChars="200"/>
        <w:jc w:val="left"/>
        <w:rPr>
          <w:rFonts w:hint="eastAsia" w:ascii="宋体" w:hAnsi="宋体"/>
          <w:sz w:val="28"/>
          <w:szCs w:val="28"/>
        </w:rPr>
      </w:pPr>
      <w:r>
        <w:rPr>
          <w:rFonts w:hint="eastAsia" w:ascii="宋体" w:hAnsi="宋体"/>
          <w:sz w:val="28"/>
          <w:szCs w:val="28"/>
        </w:rPr>
        <w:t>受理部门：中国石油物资沈阳有限公司</w:t>
      </w:r>
    </w:p>
    <w:p>
      <w:pPr>
        <w:spacing w:beforeLines="50" w:afterLines="50" w:line="460" w:lineRule="exact"/>
        <w:ind w:firstLine="560" w:firstLineChars="200"/>
        <w:jc w:val="left"/>
        <w:rPr>
          <w:rFonts w:hint="eastAsia" w:ascii="宋体" w:hAnsi="宋体" w:eastAsia="宋体"/>
          <w:sz w:val="28"/>
          <w:szCs w:val="28"/>
          <w:lang w:eastAsia="zh-CN"/>
        </w:rPr>
      </w:pPr>
      <w:r>
        <w:rPr>
          <w:rFonts w:hint="eastAsia" w:ascii="宋体" w:hAnsi="宋体"/>
          <w:sz w:val="28"/>
          <w:szCs w:val="28"/>
        </w:rPr>
        <w:t>受理人：张铭钊</w:t>
      </w:r>
    </w:p>
    <w:p>
      <w:pPr>
        <w:spacing w:line="460" w:lineRule="exact"/>
        <w:ind w:firstLine="560" w:firstLineChars="200"/>
        <w:rPr>
          <w:rFonts w:hint="eastAsia" w:ascii="宋体" w:hAnsi="宋体"/>
          <w:sz w:val="28"/>
          <w:szCs w:val="28"/>
        </w:rPr>
      </w:pPr>
      <w:r>
        <w:rPr>
          <w:rFonts w:hint="eastAsia" w:ascii="宋体" w:hAnsi="宋体"/>
          <w:sz w:val="28"/>
          <w:szCs w:val="28"/>
        </w:rPr>
        <w:t>受理电话：024-86235630</w:t>
      </w:r>
    </w:p>
    <w:p>
      <w:pPr>
        <w:spacing w:line="460" w:lineRule="exact"/>
        <w:ind w:firstLine="560" w:firstLineChars="200"/>
        <w:rPr>
          <w:rFonts w:hint="eastAsia" w:ascii="宋体" w:hAnsi="宋体"/>
          <w:sz w:val="28"/>
          <w:szCs w:val="28"/>
        </w:rPr>
      </w:pPr>
      <w:r>
        <w:rPr>
          <w:rFonts w:hint="eastAsia" w:ascii="宋体" w:hAnsi="宋体"/>
          <w:sz w:val="28"/>
          <w:szCs w:val="28"/>
        </w:rPr>
        <w:t>受理邮箱：syzmz@cnpc.com.cn</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0BBB"/>
    <w:rsid w:val="001E75DF"/>
    <w:rsid w:val="00264D2D"/>
    <w:rsid w:val="007A0BBB"/>
    <w:rsid w:val="0B803F30"/>
    <w:rsid w:val="17971A75"/>
    <w:rsid w:val="1DE9293D"/>
    <w:rsid w:val="1FC77E4B"/>
    <w:rsid w:val="276B40FC"/>
    <w:rsid w:val="3A9D288E"/>
    <w:rsid w:val="3DE24BB8"/>
    <w:rsid w:val="3E9122AB"/>
    <w:rsid w:val="41A75214"/>
    <w:rsid w:val="44D85122"/>
    <w:rsid w:val="48BC043F"/>
    <w:rsid w:val="4AC54EFC"/>
    <w:rsid w:val="4CD43892"/>
    <w:rsid w:val="4D863AAF"/>
    <w:rsid w:val="65711511"/>
    <w:rsid w:val="671D15B0"/>
    <w:rsid w:val="6C751D59"/>
    <w:rsid w:val="6CB12F22"/>
    <w:rsid w:val="72FA4ABA"/>
    <w:rsid w:val="73995447"/>
    <w:rsid w:val="73E80236"/>
    <w:rsid w:val="7732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462</Words>
  <Characters>468</Characters>
  <Lines>22</Lines>
  <Paragraphs>12</Paragraphs>
  <TotalTime>1</TotalTime>
  <ScaleCrop>false</ScaleCrop>
  <LinksUpToDate>false</LinksUpToDate>
  <CharactersWithSpaces>918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ZYY</cp:lastModifiedBy>
  <dcterms:modified xsi:type="dcterms:W3CDTF">2026-03-27T06:26:21Z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