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A2F5">
      <w:pPr>
        <w:pStyle w:val="21"/>
        <w:rPr>
          <w:rFonts w:hint="eastAsia" w:ascii="宋体" w:hAnsi="宋体" w:eastAsia="宋体" w:cs="宋体"/>
          <w:b/>
          <w:bCs/>
          <w:color w:val="auto"/>
          <w:spacing w:val="0"/>
          <w:sz w:val="48"/>
          <w:szCs w:val="48"/>
          <w:highlight w:val="none"/>
          <w:lang w:eastAsia="zh-CN"/>
        </w:rPr>
      </w:pPr>
      <w:bookmarkStart w:id="0" w:name="_Toc15105"/>
      <w:bookmarkStart w:id="1" w:name="_Toc278543496"/>
    </w:p>
    <w:p w14:paraId="46ADA5EE">
      <w:pPr>
        <w:pStyle w:val="21"/>
        <w:ind w:left="0" w:leftChars="0" w:firstLine="0" w:firstLineChars="0"/>
        <w:rPr>
          <w:rFonts w:hint="eastAsia" w:ascii="宋体" w:hAnsi="宋体" w:eastAsia="宋体" w:cs="宋体"/>
          <w:b/>
          <w:bCs/>
          <w:color w:val="auto"/>
          <w:spacing w:val="0"/>
          <w:sz w:val="48"/>
          <w:szCs w:val="48"/>
          <w:highlight w:val="none"/>
          <w:lang w:eastAsia="zh-CN"/>
        </w:rPr>
      </w:pPr>
    </w:p>
    <w:p w14:paraId="06E79E04">
      <w:pPr>
        <w:tabs>
          <w:tab w:val="left" w:pos="2070"/>
          <w:tab w:val="center" w:pos="4365"/>
        </w:tabs>
        <w:snapToGrid w:val="0"/>
        <w:jc w:val="center"/>
        <w:rPr>
          <w:rFonts w:hint="eastAsia" w:ascii="宋体" w:hAnsi="宋体" w:eastAsia="宋体" w:cs="宋体"/>
          <w:b/>
          <w:color w:val="auto"/>
          <w:sz w:val="22"/>
          <w:szCs w:val="22"/>
          <w:highlight w:val="none"/>
          <w:lang w:eastAsia="zh-CN"/>
        </w:rPr>
      </w:pPr>
    </w:p>
    <w:p w14:paraId="6609B4B9">
      <w:pPr>
        <w:tabs>
          <w:tab w:val="left" w:pos="2070"/>
          <w:tab w:val="center" w:pos="4365"/>
        </w:tabs>
        <w:snapToGrid w:val="0"/>
        <w:jc w:val="center"/>
        <w:rPr>
          <w:rFonts w:hint="eastAsia" w:ascii="宋体" w:hAnsi="宋体"/>
          <w:b/>
          <w:bCs/>
          <w:color w:val="auto"/>
          <w:sz w:val="40"/>
          <w:szCs w:val="40"/>
          <w:highlight w:val="none"/>
        </w:rPr>
      </w:pPr>
      <w:r>
        <w:rPr>
          <w:rFonts w:hint="eastAsia" w:ascii="华文中宋" w:hAnsi="华文中宋" w:eastAsia="华文中宋"/>
          <w:b/>
          <w:color w:val="auto"/>
          <w:spacing w:val="60"/>
          <w:sz w:val="84"/>
          <w:szCs w:val="84"/>
          <w:lang w:val="en-US" w:eastAsia="zh-CN"/>
        </w:rPr>
        <w:t>谈 判</w:t>
      </w:r>
      <w:r>
        <w:rPr>
          <w:rFonts w:hint="eastAsia" w:ascii="华文中宋" w:hAnsi="华文中宋" w:eastAsia="华文中宋"/>
          <w:b/>
          <w:color w:val="auto"/>
          <w:spacing w:val="60"/>
          <w:sz w:val="84"/>
          <w:szCs w:val="84"/>
        </w:rPr>
        <w:t xml:space="preserve"> 文 件</w:t>
      </w:r>
    </w:p>
    <w:p w14:paraId="767B8281">
      <w:pPr>
        <w:spacing w:line="480" w:lineRule="exact"/>
        <w:rPr>
          <w:rFonts w:hint="eastAsia" w:ascii="华文中宋" w:hAnsi="华文中宋" w:eastAsia="华文中宋"/>
          <w:color w:val="auto"/>
          <w:sz w:val="30"/>
          <w:szCs w:val="30"/>
        </w:rPr>
      </w:pPr>
    </w:p>
    <w:p w14:paraId="60DEA630">
      <w:pPr>
        <w:spacing w:line="480" w:lineRule="exact"/>
        <w:rPr>
          <w:rFonts w:hint="eastAsia" w:ascii="华文中宋" w:hAnsi="华文中宋" w:eastAsia="华文中宋"/>
          <w:color w:val="auto"/>
          <w:sz w:val="30"/>
          <w:szCs w:val="30"/>
        </w:rPr>
      </w:pPr>
    </w:p>
    <w:p w14:paraId="2A51712B">
      <w:pPr>
        <w:spacing w:line="480" w:lineRule="exact"/>
        <w:rPr>
          <w:rFonts w:hint="eastAsia" w:ascii="华文中宋" w:hAnsi="华文中宋" w:eastAsia="华文中宋"/>
          <w:color w:val="auto"/>
          <w:sz w:val="30"/>
          <w:szCs w:val="30"/>
        </w:rPr>
      </w:pPr>
    </w:p>
    <w:p w14:paraId="204D5859">
      <w:pPr>
        <w:spacing w:line="480" w:lineRule="exact"/>
        <w:rPr>
          <w:rFonts w:hint="eastAsia" w:ascii="华文中宋" w:hAnsi="华文中宋" w:eastAsia="华文中宋"/>
          <w:color w:val="auto"/>
          <w:sz w:val="30"/>
          <w:szCs w:val="30"/>
        </w:rPr>
      </w:pPr>
    </w:p>
    <w:p w14:paraId="42EB0A96">
      <w:pPr>
        <w:spacing w:line="480" w:lineRule="exact"/>
        <w:rPr>
          <w:rFonts w:hint="eastAsia" w:ascii="华文中宋" w:hAnsi="华文中宋" w:eastAsia="华文中宋"/>
          <w:color w:val="auto"/>
          <w:sz w:val="30"/>
          <w:szCs w:val="30"/>
        </w:rPr>
      </w:pPr>
    </w:p>
    <w:p w14:paraId="40FD7C22">
      <w:pPr>
        <w:spacing w:line="480" w:lineRule="exact"/>
        <w:ind w:firstLine="600" w:firstLineChars="200"/>
        <w:rPr>
          <w:rFonts w:hint="eastAsia" w:ascii="华文中宋" w:hAnsi="华文中宋" w:eastAsia="华文中宋"/>
          <w:color w:val="auto"/>
          <w:sz w:val="30"/>
          <w:szCs w:val="30"/>
          <w:lang w:val="en-US" w:eastAsia="zh-CN"/>
        </w:rPr>
      </w:pPr>
      <w:r>
        <w:rPr>
          <w:rFonts w:hint="eastAsia" w:ascii="华文中宋" w:hAnsi="华文中宋" w:eastAsia="华文中宋"/>
          <w:color w:val="auto"/>
          <w:sz w:val="30"/>
          <w:szCs w:val="30"/>
        </w:rPr>
        <w:t>项目编号：1411122025CTP00008</w:t>
      </w:r>
    </w:p>
    <w:p w14:paraId="75C280D7">
      <w:pPr>
        <w:spacing w:line="480" w:lineRule="auto"/>
        <w:ind w:left="2096" w:leftChars="284" w:hanging="1500" w:hangingChars="500"/>
        <w:jc w:val="both"/>
        <w:rPr>
          <w:rStyle w:val="26"/>
          <w:rFonts w:hint="eastAsia" w:ascii="宋体" w:hAnsi="宋体" w:eastAsia="华文中宋" w:cs="宋体"/>
          <w:b/>
          <w:bCs/>
          <w:color w:val="auto"/>
          <w:sz w:val="30"/>
          <w:szCs w:val="30"/>
          <w:highlight w:val="none"/>
          <w:lang w:val="en-US" w:eastAsia="zh-CN"/>
        </w:rPr>
      </w:pPr>
      <w:r>
        <w:rPr>
          <w:rFonts w:hint="eastAsia" w:ascii="华文中宋" w:hAnsi="华文中宋" w:eastAsia="华文中宋"/>
          <w:color w:val="auto"/>
          <w:sz w:val="30"/>
          <w:szCs w:val="30"/>
        </w:rPr>
        <w:t>项目名称：</w:t>
      </w:r>
      <w:r>
        <w:rPr>
          <w:rFonts w:hint="eastAsia" w:ascii="华文中宋" w:hAnsi="华文中宋" w:eastAsia="华文中宋"/>
          <w:color w:val="auto"/>
          <w:sz w:val="32"/>
          <w:szCs w:val="32"/>
          <w:lang w:eastAsia="zh-CN"/>
        </w:rPr>
        <w:t>离石电缆厂既有建筑质量安全鉴定项目</w:t>
      </w:r>
    </w:p>
    <w:p w14:paraId="344301E3">
      <w:pPr>
        <w:tabs>
          <w:tab w:val="left" w:pos="2070"/>
          <w:tab w:val="center" w:pos="4365"/>
        </w:tabs>
        <w:snapToGrid w:val="0"/>
        <w:jc w:val="center"/>
        <w:rPr>
          <w:rFonts w:hint="eastAsia" w:ascii="宋体" w:hAnsi="宋体" w:eastAsia="宋体" w:cs="宋体"/>
          <w:color w:val="auto"/>
          <w:sz w:val="44"/>
          <w:szCs w:val="44"/>
          <w:highlight w:val="none"/>
        </w:rPr>
      </w:pPr>
    </w:p>
    <w:p w14:paraId="43D3B87A">
      <w:pPr>
        <w:tabs>
          <w:tab w:val="left" w:pos="2070"/>
          <w:tab w:val="center" w:pos="4365"/>
        </w:tabs>
        <w:snapToGrid w:val="0"/>
        <w:jc w:val="center"/>
        <w:rPr>
          <w:rFonts w:hint="eastAsia" w:ascii="宋体" w:hAnsi="宋体" w:eastAsia="宋体" w:cs="宋体"/>
          <w:color w:val="auto"/>
          <w:sz w:val="44"/>
          <w:szCs w:val="44"/>
          <w:highlight w:val="none"/>
        </w:rPr>
      </w:pPr>
    </w:p>
    <w:p w14:paraId="5EFB81F2">
      <w:pPr>
        <w:tabs>
          <w:tab w:val="left" w:pos="2070"/>
          <w:tab w:val="center" w:pos="4365"/>
        </w:tabs>
        <w:snapToGrid w:val="0"/>
        <w:jc w:val="center"/>
        <w:rPr>
          <w:rFonts w:hint="eastAsia" w:ascii="宋体" w:hAnsi="宋体" w:eastAsia="宋体" w:cs="宋体"/>
          <w:color w:val="auto"/>
          <w:sz w:val="44"/>
          <w:szCs w:val="44"/>
          <w:highlight w:val="none"/>
        </w:rPr>
      </w:pPr>
    </w:p>
    <w:p w14:paraId="4177EB44">
      <w:pPr>
        <w:ind w:firstLine="542" w:firstLineChars="150"/>
        <w:rPr>
          <w:rFonts w:hint="eastAsia" w:ascii="宋体" w:hAnsi="宋体" w:eastAsia="宋体" w:cs="宋体"/>
          <w:b/>
          <w:color w:val="auto"/>
          <w:spacing w:val="20"/>
          <w:sz w:val="32"/>
          <w:szCs w:val="32"/>
          <w:highlight w:val="none"/>
        </w:rPr>
      </w:pPr>
    </w:p>
    <w:p w14:paraId="26DFB508">
      <w:pPr>
        <w:pStyle w:val="16"/>
        <w:rPr>
          <w:rFonts w:hint="eastAsia" w:ascii="宋体" w:hAnsi="宋体" w:eastAsia="宋体" w:cs="宋体"/>
          <w:b/>
          <w:color w:val="auto"/>
          <w:spacing w:val="20"/>
          <w:sz w:val="32"/>
          <w:szCs w:val="32"/>
          <w:highlight w:val="none"/>
        </w:rPr>
      </w:pPr>
    </w:p>
    <w:p w14:paraId="56D60D64">
      <w:pPr>
        <w:pStyle w:val="16"/>
        <w:rPr>
          <w:rFonts w:hint="eastAsia" w:ascii="宋体" w:hAnsi="宋体" w:eastAsia="宋体" w:cs="宋体"/>
          <w:b/>
          <w:color w:val="auto"/>
          <w:spacing w:val="20"/>
          <w:sz w:val="32"/>
          <w:szCs w:val="32"/>
          <w:highlight w:val="none"/>
        </w:rPr>
      </w:pPr>
    </w:p>
    <w:p w14:paraId="07B86BFC">
      <w:pPr>
        <w:pStyle w:val="16"/>
        <w:rPr>
          <w:rFonts w:hint="eastAsia" w:ascii="宋体" w:hAnsi="宋体" w:eastAsia="宋体" w:cs="宋体"/>
          <w:b/>
          <w:color w:val="auto"/>
          <w:spacing w:val="20"/>
          <w:sz w:val="32"/>
          <w:szCs w:val="32"/>
          <w:highlight w:val="none"/>
        </w:rPr>
      </w:pPr>
    </w:p>
    <w:p w14:paraId="6538E604">
      <w:pPr>
        <w:pStyle w:val="6"/>
        <w:ind w:left="0" w:leftChars="0" w:firstLine="0" w:firstLineChars="0"/>
        <w:rPr>
          <w:rFonts w:hint="eastAsia" w:ascii="宋体" w:hAnsi="宋体" w:eastAsia="宋体" w:cs="宋体"/>
          <w:color w:val="auto"/>
          <w:highlight w:val="none"/>
        </w:rPr>
      </w:pPr>
    </w:p>
    <w:p w14:paraId="294125F7">
      <w:pPr>
        <w:spacing w:line="480" w:lineRule="auto"/>
        <w:ind w:firstLine="900" w:firstLineChars="300"/>
        <w:jc w:val="both"/>
        <w:outlineLvl w:val="0"/>
        <w:rPr>
          <w:rStyle w:val="26"/>
          <w:rFonts w:hint="eastAsia" w:ascii="华文中宋" w:hAnsi="华文中宋" w:eastAsia="华文中宋" w:cs="华文中宋"/>
          <w:b w:val="0"/>
          <w:bCs/>
          <w:color w:val="auto"/>
          <w:sz w:val="30"/>
          <w:szCs w:val="30"/>
          <w:highlight w:val="none"/>
          <w:lang w:eastAsia="zh-TW"/>
        </w:rPr>
      </w:pPr>
      <w:bookmarkStart w:id="2" w:name="_Toc9418"/>
      <w:r>
        <w:rPr>
          <w:rStyle w:val="26"/>
          <w:rFonts w:hint="eastAsia" w:ascii="华文中宋" w:hAnsi="华文中宋" w:eastAsia="华文中宋" w:cs="华文中宋"/>
          <w:b w:val="0"/>
          <w:bCs/>
          <w:color w:val="auto"/>
          <w:sz w:val="30"/>
          <w:szCs w:val="30"/>
          <w:highlight w:val="none"/>
          <w:lang w:eastAsia="zh-CN"/>
        </w:rPr>
        <w:t>采</w:t>
      </w:r>
      <w:r>
        <w:rPr>
          <w:rStyle w:val="26"/>
          <w:rFonts w:hint="eastAsia" w:ascii="华文中宋" w:hAnsi="华文中宋" w:eastAsia="华文中宋" w:cs="华文中宋"/>
          <w:b w:val="0"/>
          <w:bCs/>
          <w:color w:val="auto"/>
          <w:sz w:val="30"/>
          <w:szCs w:val="30"/>
          <w:highlight w:val="none"/>
          <w:lang w:val="en-US" w:eastAsia="zh-CN"/>
        </w:rPr>
        <w:t xml:space="preserve">   </w:t>
      </w:r>
      <w:r>
        <w:rPr>
          <w:rStyle w:val="26"/>
          <w:rFonts w:hint="eastAsia" w:ascii="华文中宋" w:hAnsi="华文中宋" w:eastAsia="华文中宋" w:cs="华文中宋"/>
          <w:b w:val="0"/>
          <w:bCs/>
          <w:color w:val="auto"/>
          <w:sz w:val="30"/>
          <w:szCs w:val="30"/>
          <w:highlight w:val="none"/>
          <w:lang w:eastAsia="zh-CN"/>
        </w:rPr>
        <w:t>购</w:t>
      </w:r>
      <w:r>
        <w:rPr>
          <w:rStyle w:val="26"/>
          <w:rFonts w:hint="eastAsia" w:ascii="华文中宋" w:hAnsi="华文中宋" w:eastAsia="华文中宋" w:cs="华文中宋"/>
          <w:b w:val="0"/>
          <w:bCs/>
          <w:color w:val="auto"/>
          <w:sz w:val="30"/>
          <w:szCs w:val="30"/>
          <w:highlight w:val="none"/>
          <w:lang w:val="en-US" w:eastAsia="zh-CN"/>
        </w:rPr>
        <w:t xml:space="preserve">   </w:t>
      </w:r>
      <w:r>
        <w:rPr>
          <w:rStyle w:val="26"/>
          <w:rFonts w:hint="eastAsia" w:ascii="华文中宋" w:hAnsi="华文中宋" w:eastAsia="华文中宋" w:cs="华文中宋"/>
          <w:b w:val="0"/>
          <w:bCs/>
          <w:color w:val="auto"/>
          <w:sz w:val="30"/>
          <w:szCs w:val="30"/>
          <w:highlight w:val="none"/>
          <w:lang w:eastAsia="zh-CN"/>
        </w:rPr>
        <w:t>人：</w:t>
      </w:r>
      <w:bookmarkEnd w:id="2"/>
      <w:r>
        <w:rPr>
          <w:rStyle w:val="26"/>
          <w:rFonts w:hint="eastAsia" w:ascii="华文中宋" w:hAnsi="华文中宋" w:eastAsia="华文中宋" w:cs="华文中宋"/>
          <w:b w:val="0"/>
          <w:bCs/>
          <w:color w:val="auto"/>
          <w:sz w:val="30"/>
          <w:szCs w:val="30"/>
          <w:highlight w:val="none"/>
          <w:lang w:val="en-US" w:eastAsia="zh-CN"/>
        </w:rPr>
        <w:t xml:space="preserve">吕梁经济技术开发区管理委员会 </w:t>
      </w:r>
    </w:p>
    <w:p w14:paraId="614C7B43">
      <w:pPr>
        <w:spacing w:line="480" w:lineRule="auto"/>
        <w:ind w:firstLine="900" w:firstLineChars="300"/>
        <w:jc w:val="both"/>
        <w:rPr>
          <w:rStyle w:val="26"/>
          <w:rFonts w:hint="eastAsia" w:ascii="华文中宋" w:hAnsi="华文中宋" w:eastAsia="华文中宋" w:cs="华文中宋"/>
          <w:b w:val="0"/>
          <w:bCs/>
          <w:color w:val="auto"/>
          <w:sz w:val="30"/>
          <w:szCs w:val="30"/>
          <w:highlight w:val="none"/>
          <w:lang w:val="en-US" w:eastAsia="zh-CN"/>
        </w:rPr>
      </w:pPr>
      <w:r>
        <w:rPr>
          <w:rStyle w:val="26"/>
          <w:rFonts w:hint="eastAsia" w:ascii="华文中宋" w:hAnsi="华文中宋" w:eastAsia="华文中宋" w:cs="华文中宋"/>
          <w:b w:val="0"/>
          <w:bCs/>
          <w:color w:val="auto"/>
          <w:sz w:val="30"/>
          <w:szCs w:val="30"/>
          <w:highlight w:val="none"/>
          <w:lang w:val="en-US" w:eastAsia="zh-CN"/>
        </w:rPr>
        <w:t>采购</w:t>
      </w:r>
      <w:r>
        <w:rPr>
          <w:rStyle w:val="26"/>
          <w:rFonts w:hint="eastAsia" w:ascii="华文中宋" w:hAnsi="华文中宋" w:eastAsia="华文中宋" w:cs="华文中宋"/>
          <w:b w:val="0"/>
          <w:bCs/>
          <w:color w:val="auto"/>
          <w:sz w:val="30"/>
          <w:szCs w:val="30"/>
          <w:highlight w:val="none"/>
          <w:lang w:eastAsia="zh-CN"/>
        </w:rPr>
        <w:t>代理机构：山西锦秀诚信项目咨询有限公司</w:t>
      </w:r>
    </w:p>
    <w:p w14:paraId="53F2CBA6">
      <w:pPr>
        <w:spacing w:line="360" w:lineRule="auto"/>
        <w:ind w:firstLine="567"/>
        <w:jc w:val="center"/>
        <w:rPr>
          <w:rStyle w:val="26"/>
          <w:rFonts w:hint="eastAsia" w:ascii="华文中宋" w:hAnsi="华文中宋" w:eastAsia="华文中宋" w:cs="华文中宋"/>
          <w:b w:val="0"/>
          <w:bCs/>
          <w:color w:val="auto"/>
          <w:sz w:val="29"/>
          <w:szCs w:val="29"/>
          <w:highlight w:val="none"/>
          <w:lang w:eastAsia="zh-CN"/>
        </w:rPr>
      </w:pPr>
    </w:p>
    <w:p w14:paraId="0F994899">
      <w:pPr>
        <w:overflowPunct w:val="0"/>
        <w:topLinePunct/>
        <w:autoSpaceDN w:val="0"/>
        <w:adjustRightInd w:val="0"/>
        <w:snapToGrid w:val="0"/>
        <w:spacing w:line="360" w:lineRule="auto"/>
        <w:jc w:val="center"/>
        <w:rPr>
          <w:rFonts w:hint="eastAsia" w:ascii="华文中宋" w:hAnsi="华文中宋" w:eastAsia="华文中宋" w:cs="华文中宋"/>
          <w:b w:val="0"/>
          <w:bCs/>
          <w:snapToGrid w:val="0"/>
          <w:color w:val="auto"/>
          <w:kern w:val="0"/>
          <w:sz w:val="28"/>
          <w:highlight w:val="none"/>
          <w:lang w:val="en-US"/>
        </w:rPr>
        <w:sectPr>
          <w:headerReference r:id="rId3" w:type="default"/>
          <w:footerReference r:id="rId4" w:type="default"/>
          <w:pgSz w:w="11906" w:h="16838"/>
          <w:pgMar w:top="1417" w:right="1417" w:bottom="1417" w:left="1417" w:header="1134" w:footer="964" w:gutter="0"/>
          <w:pgNumType w:start="1"/>
          <w:cols w:space="720" w:num="1"/>
          <w:formProt w:val="1"/>
          <w:docGrid w:type="lines" w:linePitch="312" w:charSpace="0"/>
        </w:sectPr>
      </w:pPr>
      <w:r>
        <w:rPr>
          <w:rStyle w:val="26"/>
          <w:rFonts w:hint="eastAsia" w:ascii="华文中宋" w:hAnsi="华文中宋" w:eastAsia="华文中宋" w:cs="华文中宋"/>
          <w:b w:val="0"/>
          <w:bCs/>
          <w:color w:val="auto"/>
          <w:sz w:val="29"/>
          <w:szCs w:val="29"/>
          <w:highlight w:val="none"/>
          <w:lang w:eastAsia="zh-CN"/>
        </w:rPr>
        <w:t>二〇二五年七月</w:t>
      </w:r>
    </w:p>
    <w:p w14:paraId="5BDCD06B">
      <w:pPr>
        <w:rPr>
          <w:rFonts w:ascii="宋体" w:hAnsi="宋体" w:cs="宋体"/>
          <w:b/>
          <w:bCs/>
          <w:color w:val="auto"/>
          <w:kern w:val="0"/>
          <w:sz w:val="36"/>
          <w:szCs w:val="36"/>
          <w:highlight w:val="none"/>
        </w:rPr>
      </w:pPr>
    </w:p>
    <w:bookmarkEnd w:id="0"/>
    <w:sdt>
      <w:sdtPr>
        <w:rPr>
          <w:rFonts w:ascii="宋体" w:hAnsi="宋体" w:eastAsia="宋体" w:cs="Times New Roman"/>
          <w:color w:val="auto"/>
          <w:kern w:val="2"/>
          <w:sz w:val="21"/>
          <w:szCs w:val="24"/>
          <w:lang w:val="en-US" w:eastAsia="zh-CN" w:bidi="ar-SA"/>
        </w:rPr>
        <w:id w:val="147458458"/>
        <w15:color w:val="DBDBDB"/>
        <w:docPartObj>
          <w:docPartGallery w:val="Table of Contents"/>
          <w:docPartUnique/>
        </w:docPartObj>
      </w:sdtPr>
      <w:sdtEndPr>
        <w:rPr>
          <w:rFonts w:ascii="宋体" w:hAnsi="宋体" w:eastAsia="宋体" w:cs="宋体"/>
          <w:b/>
          <w:color w:val="auto"/>
          <w:kern w:val="0"/>
          <w:sz w:val="21"/>
          <w:szCs w:val="21"/>
          <w:highlight w:val="none"/>
          <w:lang w:val="en-US" w:eastAsia="zh-CN" w:bidi="ar-SA"/>
        </w:rPr>
      </w:sdtEndPr>
      <w:sdtContent>
        <w:p w14:paraId="0AFF6E18">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14:paraId="6D5C9EA1">
          <w:pPr>
            <w:pStyle w:val="28"/>
            <w:tabs>
              <w:tab w:val="right" w:leader="dot" w:pos="9072"/>
            </w:tabs>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TOC \o "1-2" \h \u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_Toc149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snapToGrid w:val="0"/>
              <w:color w:val="auto"/>
              <w:kern w:val="0"/>
              <w:sz w:val="28"/>
              <w:szCs w:val="28"/>
              <w:highlight w:val="none"/>
            </w:rPr>
            <w:t>第一部分  谈判公告</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_Toc149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1</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66A1C424">
          <w:pPr>
            <w:pStyle w:val="28"/>
            <w:tabs>
              <w:tab w:val="right" w:leader="dot" w:pos="9072"/>
            </w:tabs>
            <w:rPr>
              <w:rFonts w:hint="eastAsia" w:ascii="宋体" w:hAnsi="宋体" w:eastAsia="宋体" w:cs="宋体"/>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_Toc14261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color w:val="auto"/>
              <w:sz w:val="28"/>
              <w:szCs w:val="28"/>
              <w:highlight w:val="none"/>
            </w:rPr>
            <w:t>第二部分  供应商须知前附表</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_Toc14261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7110F56B">
          <w:pPr>
            <w:pStyle w:val="28"/>
            <w:tabs>
              <w:tab w:val="right" w:leader="dot" w:pos="9072"/>
            </w:tabs>
            <w:rPr>
              <w:rFonts w:hint="eastAsia" w:ascii="宋体" w:hAnsi="宋体" w:eastAsia="宋体" w:cs="宋体"/>
              <w:b/>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_Toc9666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bCs/>
              <w:snapToGrid w:val="0"/>
              <w:color w:val="auto"/>
              <w:kern w:val="0"/>
              <w:sz w:val="28"/>
              <w:szCs w:val="28"/>
              <w:highlight w:val="none"/>
            </w:rPr>
            <w:t>第三部分  供应商须知</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_Toc9666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11</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799C42FE">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_Toc25774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一、总则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_Toc25774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11</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3C96A029">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_Toc23016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Cs/>
              <w:color w:val="auto"/>
              <w:kern w:val="0"/>
              <w:sz w:val="28"/>
              <w:szCs w:val="28"/>
              <w:highlight w:val="none"/>
            </w:rPr>
            <w:t>二、谈判文件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_Toc23016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2634039B">
          <w:pPr>
            <w:pStyle w:val="28"/>
            <w:tabs>
              <w:tab w:val="right" w:leader="dot" w:pos="9072"/>
            </w:tabs>
            <w:ind w:firstLine="560" w:firstLineChars="200"/>
            <w:rPr>
              <w:rFonts w:hint="eastAsia" w:ascii="宋体" w:hAnsi="宋体" w:eastAsia="宋体" w:cs="宋体"/>
              <w:b/>
              <w:color w:val="auto"/>
              <w:sz w:val="28"/>
              <w:szCs w:val="28"/>
            </w:rPr>
          </w:pPr>
          <w:r>
            <w:rPr>
              <w:rFonts w:hint="eastAsia" w:ascii="宋体" w:hAnsi="宋体" w:eastAsia="宋体" w:cs="宋体"/>
              <w:b w:val="0"/>
              <w:bCs/>
              <w:color w:val="auto"/>
              <w:kern w:val="0"/>
              <w:sz w:val="28"/>
              <w:szCs w:val="28"/>
              <w:highlight w:val="none"/>
            </w:rPr>
            <w:fldChar w:fldCharType="begin"/>
          </w:r>
          <w:r>
            <w:rPr>
              <w:rFonts w:hint="eastAsia" w:ascii="宋体" w:hAnsi="宋体" w:eastAsia="宋体" w:cs="宋体"/>
              <w:b w:val="0"/>
              <w:bCs/>
              <w:color w:val="auto"/>
              <w:kern w:val="0"/>
              <w:sz w:val="28"/>
              <w:szCs w:val="28"/>
              <w:highlight w:val="none"/>
            </w:rPr>
            <w:instrText xml:space="preserve"> HYPERLINK \l _Toc1806 </w:instrText>
          </w:r>
          <w:r>
            <w:rPr>
              <w:rFonts w:hint="eastAsia" w:ascii="宋体" w:hAnsi="宋体" w:eastAsia="宋体" w:cs="宋体"/>
              <w:b w:val="0"/>
              <w:bCs/>
              <w:color w:val="auto"/>
              <w:kern w:val="0"/>
              <w:sz w:val="28"/>
              <w:szCs w:val="28"/>
              <w:highlight w:val="none"/>
            </w:rPr>
            <w:fldChar w:fldCharType="separate"/>
          </w:r>
          <w:r>
            <w:rPr>
              <w:rFonts w:hint="eastAsia" w:ascii="宋体" w:hAnsi="宋体" w:eastAsia="宋体" w:cs="宋体"/>
              <w:b w:val="0"/>
              <w:bCs/>
              <w:color w:val="auto"/>
              <w:sz w:val="28"/>
              <w:szCs w:val="28"/>
              <w:highlight w:val="none"/>
            </w:rPr>
            <w:t>三、响应文件</w:t>
          </w:r>
          <w:r>
            <w:rPr>
              <w:rFonts w:hint="eastAsia" w:ascii="宋体" w:hAnsi="宋体" w:eastAsia="宋体" w:cs="宋体"/>
              <w:b w:val="0"/>
              <w:bCs/>
              <w:color w:val="auto"/>
              <w:sz w:val="28"/>
              <w:szCs w:val="28"/>
            </w:rPr>
            <w:tab/>
          </w:r>
          <w:r>
            <w:rPr>
              <w:rFonts w:hint="eastAsia" w:ascii="宋体" w:hAnsi="宋体" w:eastAsia="宋体" w:cs="宋体"/>
              <w:b w:val="0"/>
              <w:bCs/>
              <w:color w:val="auto"/>
              <w:sz w:val="28"/>
              <w:szCs w:val="28"/>
            </w:rPr>
            <w:fldChar w:fldCharType="begin"/>
          </w:r>
          <w:r>
            <w:rPr>
              <w:rFonts w:hint="eastAsia" w:ascii="宋体" w:hAnsi="宋体" w:eastAsia="宋体" w:cs="宋体"/>
              <w:b w:val="0"/>
              <w:bCs/>
              <w:color w:val="auto"/>
              <w:sz w:val="28"/>
              <w:szCs w:val="28"/>
            </w:rPr>
            <w:instrText xml:space="preserve"> PAGEREF _Toc1806 \h </w:instrText>
          </w:r>
          <w:r>
            <w:rPr>
              <w:rFonts w:hint="eastAsia" w:ascii="宋体" w:hAnsi="宋体" w:eastAsia="宋体" w:cs="宋体"/>
              <w:b w:val="0"/>
              <w:bCs/>
              <w:color w:val="auto"/>
              <w:sz w:val="28"/>
              <w:szCs w:val="28"/>
            </w:rPr>
            <w:fldChar w:fldCharType="separate"/>
          </w:r>
          <w:r>
            <w:rPr>
              <w:rFonts w:hint="eastAsia" w:ascii="宋体" w:hAnsi="宋体" w:eastAsia="宋体" w:cs="宋体"/>
              <w:b w:val="0"/>
              <w:bCs/>
              <w:color w:val="auto"/>
              <w:sz w:val="28"/>
              <w:szCs w:val="28"/>
            </w:rPr>
            <w:t>15</w:t>
          </w:r>
          <w:r>
            <w:rPr>
              <w:rFonts w:hint="eastAsia" w:ascii="宋体" w:hAnsi="宋体" w:eastAsia="宋体" w:cs="宋体"/>
              <w:b w:val="0"/>
              <w:bCs/>
              <w:color w:val="auto"/>
              <w:sz w:val="28"/>
              <w:szCs w:val="28"/>
            </w:rPr>
            <w:fldChar w:fldCharType="end"/>
          </w:r>
          <w:r>
            <w:rPr>
              <w:rFonts w:hint="eastAsia" w:ascii="宋体" w:hAnsi="宋体" w:eastAsia="宋体" w:cs="宋体"/>
              <w:b w:val="0"/>
              <w:bCs/>
              <w:color w:val="auto"/>
              <w:kern w:val="0"/>
              <w:sz w:val="28"/>
              <w:szCs w:val="28"/>
              <w:highlight w:val="none"/>
            </w:rPr>
            <w:fldChar w:fldCharType="end"/>
          </w:r>
        </w:p>
        <w:p w14:paraId="72172BBE">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_Toc21386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Cs/>
              <w:color w:val="auto"/>
              <w:sz w:val="28"/>
              <w:szCs w:val="28"/>
              <w:highlight w:val="none"/>
            </w:rPr>
            <w:t>四、响应文件的退回</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_Toc21386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740FE47A">
          <w:pPr>
            <w:pStyle w:val="29"/>
            <w:tabs>
              <w:tab w:val="right" w:leader="dot" w:pos="9072"/>
            </w:tabs>
            <w:ind w:left="0" w:leftChars="0" w:firstLine="560" w:firstLineChars="200"/>
            <w:rPr>
              <w:rFonts w:hint="eastAsia" w:ascii="宋体" w:hAnsi="宋体" w:eastAsia="宋体" w:cs="宋体"/>
              <w:b/>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_Toc15488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rPr>
            <w:t>五、</w:t>
          </w:r>
          <w:r>
            <w:rPr>
              <w:rFonts w:hint="eastAsia" w:ascii="宋体" w:hAnsi="宋体" w:eastAsia="宋体" w:cs="宋体"/>
              <w:color w:val="auto"/>
              <w:kern w:val="0"/>
              <w:sz w:val="28"/>
              <w:szCs w:val="28"/>
              <w:highlight w:val="none"/>
            </w:rPr>
            <w:t>开启</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_Toc15488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7D29E98B">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_Toc23175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六、签订合同</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_Toc23175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110F916F">
          <w:pPr>
            <w:pStyle w:val="28"/>
            <w:tabs>
              <w:tab w:val="right" w:leader="dot" w:pos="9072"/>
            </w:tabs>
            <w:ind w:firstLine="560" w:firstLineChars="200"/>
            <w:rPr>
              <w:rFonts w:hint="eastAsia" w:ascii="宋体" w:hAnsi="宋体" w:eastAsia="宋体" w:cs="宋体"/>
              <w:b/>
              <w:color w:val="auto"/>
              <w:sz w:val="28"/>
              <w:szCs w:val="28"/>
            </w:rPr>
          </w:pPr>
          <w:r>
            <w:rPr>
              <w:rFonts w:hint="eastAsia" w:ascii="宋体" w:hAnsi="宋体" w:eastAsia="宋体" w:cs="宋体"/>
              <w:b w:val="0"/>
              <w:bCs/>
              <w:color w:val="auto"/>
              <w:kern w:val="0"/>
              <w:sz w:val="28"/>
              <w:szCs w:val="28"/>
              <w:highlight w:val="none"/>
            </w:rPr>
            <w:fldChar w:fldCharType="begin"/>
          </w:r>
          <w:r>
            <w:rPr>
              <w:rFonts w:hint="eastAsia" w:ascii="宋体" w:hAnsi="宋体" w:eastAsia="宋体" w:cs="宋体"/>
              <w:b w:val="0"/>
              <w:bCs/>
              <w:color w:val="auto"/>
              <w:kern w:val="0"/>
              <w:sz w:val="28"/>
              <w:szCs w:val="28"/>
              <w:highlight w:val="none"/>
            </w:rPr>
            <w:instrText xml:space="preserve"> HYPERLINK \l _Toc1179 </w:instrText>
          </w:r>
          <w:r>
            <w:rPr>
              <w:rFonts w:hint="eastAsia" w:ascii="宋体" w:hAnsi="宋体" w:eastAsia="宋体" w:cs="宋体"/>
              <w:b w:val="0"/>
              <w:bCs/>
              <w:color w:val="auto"/>
              <w:kern w:val="0"/>
              <w:sz w:val="28"/>
              <w:szCs w:val="28"/>
              <w:highlight w:val="none"/>
            </w:rPr>
            <w:fldChar w:fldCharType="separate"/>
          </w:r>
          <w:r>
            <w:rPr>
              <w:rFonts w:hint="eastAsia" w:ascii="宋体" w:hAnsi="宋体" w:eastAsia="宋体" w:cs="宋体"/>
              <w:b w:val="0"/>
              <w:bCs/>
              <w:color w:val="auto"/>
              <w:sz w:val="28"/>
              <w:szCs w:val="28"/>
              <w:highlight w:val="none"/>
            </w:rPr>
            <w:t>七、保密和披露</w:t>
          </w:r>
          <w:r>
            <w:rPr>
              <w:rFonts w:hint="eastAsia" w:ascii="宋体" w:hAnsi="宋体" w:eastAsia="宋体" w:cs="宋体"/>
              <w:b w:val="0"/>
              <w:bCs/>
              <w:color w:val="auto"/>
              <w:sz w:val="28"/>
              <w:szCs w:val="28"/>
            </w:rPr>
            <w:tab/>
          </w:r>
          <w:r>
            <w:rPr>
              <w:rFonts w:hint="eastAsia" w:ascii="宋体" w:hAnsi="宋体" w:eastAsia="宋体" w:cs="宋体"/>
              <w:b w:val="0"/>
              <w:bCs/>
              <w:color w:val="auto"/>
              <w:sz w:val="28"/>
              <w:szCs w:val="28"/>
            </w:rPr>
            <w:fldChar w:fldCharType="begin"/>
          </w:r>
          <w:r>
            <w:rPr>
              <w:rFonts w:hint="eastAsia" w:ascii="宋体" w:hAnsi="宋体" w:eastAsia="宋体" w:cs="宋体"/>
              <w:b w:val="0"/>
              <w:bCs/>
              <w:color w:val="auto"/>
              <w:sz w:val="28"/>
              <w:szCs w:val="28"/>
            </w:rPr>
            <w:instrText xml:space="preserve"> PAGEREF _Toc1179 \h </w:instrText>
          </w:r>
          <w:r>
            <w:rPr>
              <w:rFonts w:hint="eastAsia" w:ascii="宋体" w:hAnsi="宋体" w:eastAsia="宋体" w:cs="宋体"/>
              <w:b w:val="0"/>
              <w:bCs/>
              <w:color w:val="auto"/>
              <w:sz w:val="28"/>
              <w:szCs w:val="28"/>
            </w:rPr>
            <w:fldChar w:fldCharType="separate"/>
          </w:r>
          <w:r>
            <w:rPr>
              <w:rFonts w:hint="eastAsia" w:ascii="宋体" w:hAnsi="宋体" w:eastAsia="宋体" w:cs="宋体"/>
              <w:b w:val="0"/>
              <w:bCs/>
              <w:color w:val="auto"/>
              <w:sz w:val="28"/>
              <w:szCs w:val="28"/>
            </w:rPr>
            <w:t>26</w:t>
          </w:r>
          <w:r>
            <w:rPr>
              <w:rFonts w:hint="eastAsia" w:ascii="宋体" w:hAnsi="宋体" w:eastAsia="宋体" w:cs="宋体"/>
              <w:b w:val="0"/>
              <w:bCs/>
              <w:color w:val="auto"/>
              <w:sz w:val="28"/>
              <w:szCs w:val="28"/>
            </w:rPr>
            <w:fldChar w:fldCharType="end"/>
          </w:r>
          <w:r>
            <w:rPr>
              <w:rFonts w:hint="eastAsia" w:ascii="宋体" w:hAnsi="宋体" w:eastAsia="宋体" w:cs="宋体"/>
              <w:b w:val="0"/>
              <w:bCs/>
              <w:color w:val="auto"/>
              <w:kern w:val="0"/>
              <w:sz w:val="28"/>
              <w:szCs w:val="28"/>
              <w:highlight w:val="none"/>
            </w:rPr>
            <w:fldChar w:fldCharType="end"/>
          </w:r>
        </w:p>
        <w:p w14:paraId="650AF3C0">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_Toc8507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Cs/>
              <w:color w:val="auto"/>
              <w:sz w:val="28"/>
              <w:szCs w:val="28"/>
              <w:highlight w:val="none"/>
            </w:rPr>
            <w:t>八、</w:t>
          </w:r>
          <w:r>
            <w:rPr>
              <w:rFonts w:hint="eastAsia" w:ascii="宋体" w:hAnsi="宋体" w:eastAsia="宋体" w:cs="宋体"/>
              <w:color w:val="auto"/>
              <w:kern w:val="0"/>
              <w:sz w:val="28"/>
              <w:szCs w:val="28"/>
              <w:highlight w:val="none"/>
            </w:rPr>
            <w:t>询问和质疑</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_Toc8507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0C396328">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_Toc29362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九、违约处罚</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_Toc29362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077C8E4B">
          <w:pPr>
            <w:pStyle w:val="29"/>
            <w:tabs>
              <w:tab w:val="right" w:leader="dot" w:pos="9072"/>
            </w:tabs>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_Toc24693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lang w:val="en-US" w:eastAsia="zh-CN"/>
            </w:rPr>
            <w:t>十</w:t>
          </w:r>
          <w:r>
            <w:rPr>
              <w:rFonts w:hint="eastAsia" w:ascii="宋体" w:hAnsi="宋体" w:eastAsia="宋体" w:cs="宋体"/>
              <w:color w:val="auto"/>
              <w:kern w:val="0"/>
              <w:sz w:val="28"/>
              <w:szCs w:val="28"/>
              <w:highlight w:val="none"/>
            </w:rPr>
            <w:t>、政策性要求评审内容及标准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_Toc24693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highlight w:val="none"/>
            </w:rPr>
            <w:fldChar w:fldCharType="end"/>
          </w:r>
        </w:p>
        <w:p w14:paraId="4ADFA0E3">
          <w:pPr>
            <w:pStyle w:val="28"/>
            <w:tabs>
              <w:tab w:val="right" w:leader="dot" w:pos="9072"/>
            </w:tabs>
            <w:rPr>
              <w:rFonts w:hint="eastAsia" w:ascii="宋体" w:hAnsi="宋体" w:eastAsia="宋体" w:cs="宋体"/>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_Toc10279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bCs/>
              <w:snapToGrid w:val="0"/>
              <w:color w:val="auto"/>
              <w:kern w:val="0"/>
              <w:sz w:val="28"/>
              <w:szCs w:val="28"/>
              <w:highlight w:val="none"/>
            </w:rPr>
            <w:t>第四部分  评审标准和评定方法</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_Toc10279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31</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0B331A2F">
          <w:pPr>
            <w:pStyle w:val="28"/>
            <w:tabs>
              <w:tab w:val="right" w:leader="dot" w:pos="9072"/>
            </w:tabs>
            <w:rPr>
              <w:rFonts w:hint="eastAsia" w:ascii="宋体" w:hAnsi="宋体" w:eastAsia="宋体" w:cs="宋体"/>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_Toc7909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bCs/>
              <w:color w:val="auto"/>
              <w:kern w:val="0"/>
              <w:sz w:val="28"/>
              <w:szCs w:val="28"/>
              <w:highlight w:val="none"/>
            </w:rPr>
            <w:t>第五部分  商务、技术要求</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_Toc7909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38</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373EC2BC">
          <w:pPr>
            <w:pStyle w:val="28"/>
            <w:tabs>
              <w:tab w:val="right" w:leader="dot" w:pos="9072"/>
            </w:tabs>
            <w:rPr>
              <w:rFonts w:hint="eastAsia" w:ascii="宋体" w:hAnsi="宋体" w:eastAsia="宋体" w:cs="宋体"/>
              <w:b/>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_Toc4290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bCs/>
              <w:color w:val="auto"/>
              <w:kern w:val="0"/>
              <w:sz w:val="28"/>
              <w:szCs w:val="28"/>
              <w:highlight w:val="none"/>
            </w:rPr>
            <w:t>第六部分</w:t>
          </w:r>
          <w:r>
            <w:rPr>
              <w:rFonts w:hint="eastAsia" w:ascii="宋体" w:hAnsi="宋体" w:eastAsia="宋体" w:cs="宋体"/>
              <w:b/>
              <w:color w:val="auto"/>
              <w:sz w:val="28"/>
              <w:szCs w:val="28"/>
              <w:highlight w:val="none"/>
            </w:rPr>
            <w:t xml:space="preserve">  </w:t>
          </w:r>
          <w:r>
            <w:rPr>
              <w:rFonts w:hint="eastAsia" w:ascii="宋体" w:hAnsi="宋体" w:eastAsia="宋体" w:cs="宋体"/>
              <w:b/>
              <w:bCs/>
              <w:color w:val="auto"/>
              <w:kern w:val="0"/>
              <w:sz w:val="28"/>
              <w:szCs w:val="28"/>
              <w:highlight w:val="none"/>
            </w:rPr>
            <w:t>政府采购合同（范本）</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_Toc4290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40</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0B031864">
          <w:pPr>
            <w:pStyle w:val="28"/>
            <w:tabs>
              <w:tab w:val="right" w:leader="dot" w:pos="9072"/>
            </w:tabs>
            <w:rPr>
              <w:rFonts w:hint="eastAsia" w:ascii="宋体" w:hAnsi="宋体" w:eastAsia="宋体" w:cs="宋体"/>
              <w:b/>
              <w:color w:val="auto"/>
              <w:sz w:val="28"/>
              <w:szCs w:val="28"/>
            </w:rPr>
          </w:pP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\l _Toc5073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color w:val="auto"/>
              <w:kern w:val="0"/>
              <w:sz w:val="28"/>
              <w:szCs w:val="28"/>
              <w:highlight w:val="none"/>
            </w:rPr>
            <w:t>第七部分  响应文件格式</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_Toc5073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44</w:t>
          </w:r>
          <w:r>
            <w:rPr>
              <w:rFonts w:hint="eastAsia" w:ascii="宋体" w:hAnsi="宋体" w:eastAsia="宋体" w:cs="宋体"/>
              <w:b/>
              <w:color w:val="auto"/>
              <w:sz w:val="28"/>
              <w:szCs w:val="28"/>
            </w:rPr>
            <w:fldChar w:fldCharType="end"/>
          </w:r>
          <w:r>
            <w:rPr>
              <w:rFonts w:hint="eastAsia" w:ascii="宋体" w:hAnsi="宋体" w:eastAsia="宋体" w:cs="宋体"/>
              <w:b/>
              <w:color w:val="auto"/>
              <w:kern w:val="0"/>
              <w:sz w:val="28"/>
              <w:szCs w:val="28"/>
              <w:highlight w:val="none"/>
            </w:rPr>
            <w:fldChar w:fldCharType="end"/>
          </w:r>
        </w:p>
        <w:p w14:paraId="6EDC6966">
          <w:pPr>
            <w:spacing w:line="520" w:lineRule="atLeast"/>
            <w:jc w:val="left"/>
            <w:rPr>
              <w:rFonts w:ascii="宋体" w:hAnsi="宋体" w:cs="宋体"/>
              <w:color w:val="auto"/>
              <w:kern w:val="0"/>
              <w:szCs w:val="21"/>
              <w:highlight w:val="none"/>
            </w:rPr>
          </w:pPr>
          <w:r>
            <w:rPr>
              <w:rFonts w:hint="eastAsia" w:ascii="宋体" w:hAnsi="宋体" w:eastAsia="宋体" w:cs="宋体"/>
              <w:b/>
              <w:color w:val="auto"/>
              <w:kern w:val="0"/>
              <w:sz w:val="28"/>
              <w:szCs w:val="28"/>
              <w:highlight w:val="none"/>
            </w:rPr>
            <w:fldChar w:fldCharType="end"/>
          </w:r>
        </w:p>
      </w:sdtContent>
    </w:sdt>
    <w:p w14:paraId="4BC497A2">
      <w:pPr>
        <w:tabs>
          <w:tab w:val="left" w:pos="2070"/>
          <w:tab w:val="center" w:pos="4365"/>
        </w:tabs>
        <w:overflowPunct w:val="0"/>
        <w:topLinePunct/>
        <w:autoSpaceDN w:val="0"/>
        <w:adjustRightInd w:val="0"/>
        <w:snapToGrid w:val="0"/>
        <w:spacing w:line="360" w:lineRule="auto"/>
        <w:jc w:val="center"/>
        <w:rPr>
          <w:rFonts w:hint="eastAsia" w:ascii="宋体" w:hAnsi="宋体" w:cs="宋体"/>
          <w:b/>
          <w:snapToGrid w:val="0"/>
          <w:color w:val="auto"/>
          <w:kern w:val="0"/>
          <w:sz w:val="30"/>
          <w:szCs w:val="30"/>
          <w:highlight w:val="none"/>
        </w:rPr>
        <w:sectPr>
          <w:pgSz w:w="11906" w:h="16838"/>
          <w:pgMar w:top="1417" w:right="1417" w:bottom="1417" w:left="1417" w:header="851" w:footer="992" w:gutter="0"/>
          <w:pgNumType w:start="1"/>
          <w:cols w:space="720" w:num="1"/>
          <w:formProt w:val="1"/>
          <w:docGrid w:type="lines" w:linePitch="312" w:charSpace="0"/>
        </w:sectPr>
      </w:pPr>
      <w:bookmarkStart w:id="3" w:name="_Toc10267"/>
    </w:p>
    <w:p w14:paraId="1ABFB073">
      <w:pPr>
        <w:tabs>
          <w:tab w:val="left" w:pos="2070"/>
          <w:tab w:val="center" w:pos="4365"/>
        </w:tabs>
        <w:overflowPunct w:val="0"/>
        <w:topLinePunct/>
        <w:autoSpaceDN w:val="0"/>
        <w:adjustRightInd w:val="0"/>
        <w:snapToGrid w:val="0"/>
        <w:spacing w:line="360" w:lineRule="auto"/>
        <w:jc w:val="center"/>
        <w:outlineLvl w:val="0"/>
        <w:rPr>
          <w:rFonts w:ascii="宋体" w:hAnsi="宋体" w:cs="宋体"/>
          <w:b/>
          <w:snapToGrid w:val="0"/>
          <w:color w:val="auto"/>
          <w:kern w:val="0"/>
          <w:sz w:val="32"/>
          <w:szCs w:val="32"/>
          <w:highlight w:val="none"/>
        </w:rPr>
      </w:pPr>
      <w:bookmarkStart w:id="4" w:name="_Toc149"/>
      <w:r>
        <w:rPr>
          <w:rFonts w:hint="eastAsia" w:ascii="宋体" w:hAnsi="宋体" w:cs="宋体"/>
          <w:b/>
          <w:snapToGrid w:val="0"/>
          <w:color w:val="auto"/>
          <w:kern w:val="0"/>
          <w:sz w:val="30"/>
          <w:szCs w:val="30"/>
          <w:highlight w:val="none"/>
        </w:rPr>
        <w:t>第一部分  谈判公告</w:t>
      </w:r>
      <w:bookmarkEnd w:id="4"/>
    </w:p>
    <w:p w14:paraId="1741CDD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0D389B9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u w:val="single"/>
          <w:lang w:eastAsia="zh-CN"/>
        </w:rPr>
        <w:t>离石电缆厂既有建筑质量安全鉴定项目</w:t>
      </w:r>
      <w:r>
        <w:rPr>
          <w:rFonts w:hint="eastAsia" w:ascii="宋体" w:hAnsi="宋体" w:cs="宋体"/>
          <w:color w:val="auto"/>
          <w:kern w:val="0"/>
          <w:sz w:val="24"/>
          <w:highlight w:val="none"/>
        </w:rPr>
        <w:t>潜在供应商应在</w:t>
      </w:r>
      <w:r>
        <w:rPr>
          <w:rFonts w:hint="eastAsia" w:ascii="宋体" w:hAnsi="宋体" w:cs="宋体"/>
          <w:color w:val="auto"/>
          <w:sz w:val="24"/>
          <w:highlight w:val="none"/>
        </w:rPr>
        <w:t>山西政府采购网（http://www.ccgp-shanxi.gov.cn/home.html）线上获取谈判文件，并于</w:t>
      </w:r>
      <w:r>
        <w:rPr>
          <w:rFonts w:hint="eastAsia" w:ascii="宋体" w:hAnsi="宋体" w:cs="宋体"/>
          <w:color w:val="auto"/>
          <w:sz w:val="24"/>
          <w:highlight w:val="none"/>
          <w:u w:val="single"/>
          <w:lang w:eastAsia="zh-CN"/>
        </w:rPr>
        <w:t>2025年08月01日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1917F5C4">
      <w:pPr>
        <w:overflowPunct w:val="0"/>
        <w:topLinePunct/>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5" w:name="_Toc28359012"/>
      <w:bookmarkStart w:id="6" w:name="_Toc28359089"/>
      <w:bookmarkStart w:id="7" w:name="_Toc35393798"/>
      <w:bookmarkStart w:id="8" w:name="_Toc35393629"/>
    </w:p>
    <w:p w14:paraId="560EF511">
      <w:pPr>
        <w:overflowPunct w:val="0"/>
        <w:topLinePunct/>
        <w:autoSpaceDN w:val="0"/>
        <w:adjustRightInd w:val="0"/>
        <w:snapToGrid w:val="0"/>
        <w:spacing w:line="360" w:lineRule="auto"/>
        <w:outlineLvl w:val="1"/>
        <w:rPr>
          <w:rFonts w:ascii="宋体" w:hAnsi="宋体" w:cs="宋体"/>
          <w:snapToGrid w:val="0"/>
          <w:color w:val="auto"/>
          <w:kern w:val="0"/>
          <w:sz w:val="24"/>
          <w:highlight w:val="none"/>
        </w:rPr>
      </w:pPr>
      <w:bookmarkStart w:id="9" w:name="_Toc16331"/>
      <w:r>
        <w:rPr>
          <w:rFonts w:hint="eastAsia" w:ascii="宋体" w:hAnsi="宋体" w:cs="宋体"/>
          <w:b/>
          <w:bCs/>
          <w:snapToGrid w:val="0"/>
          <w:color w:val="auto"/>
          <w:kern w:val="0"/>
          <w:sz w:val="24"/>
          <w:highlight w:val="none"/>
        </w:rPr>
        <w:t>一、项目基本情况</w:t>
      </w:r>
      <w:bookmarkEnd w:id="5"/>
      <w:bookmarkEnd w:id="6"/>
      <w:bookmarkEnd w:id="7"/>
      <w:bookmarkEnd w:id="8"/>
      <w:bookmarkEnd w:id="9"/>
    </w:p>
    <w:p w14:paraId="2C2632B3">
      <w:pPr>
        <w:overflowPunct w:val="0"/>
        <w:topLinePunct/>
        <w:autoSpaceDN w:val="0"/>
        <w:adjustRightInd w:val="0"/>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1、项目编号：1411122025CTP00008</w:t>
      </w:r>
      <w:r>
        <w:rPr>
          <w:rFonts w:hint="eastAsia" w:ascii="宋体" w:hAnsi="宋体" w:cs="宋体"/>
          <w:snapToGrid w:val="0"/>
          <w:color w:val="auto"/>
          <w:kern w:val="0"/>
          <w:sz w:val="24"/>
          <w:highlight w:val="none"/>
          <w:lang w:val="en-US" w:eastAsia="zh-CN"/>
        </w:rPr>
        <w:t>；</w:t>
      </w:r>
    </w:p>
    <w:p w14:paraId="1D2F09A5">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、项目名称：</w:t>
      </w:r>
      <w:r>
        <w:rPr>
          <w:rFonts w:hint="eastAsia" w:ascii="宋体" w:hAnsi="宋体" w:cs="宋体"/>
          <w:snapToGrid w:val="0"/>
          <w:color w:val="auto"/>
          <w:kern w:val="0"/>
          <w:sz w:val="24"/>
          <w:highlight w:val="none"/>
          <w:lang w:eastAsia="zh-CN"/>
        </w:rPr>
        <w:t>离石电缆厂既有建筑质量安全鉴定项目；</w:t>
      </w:r>
    </w:p>
    <w:p w14:paraId="1DFFE47F">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、采购方式：竞争性谈判</w:t>
      </w:r>
      <w:r>
        <w:rPr>
          <w:rFonts w:hint="eastAsia" w:ascii="宋体" w:hAnsi="宋体" w:cs="宋体"/>
          <w:snapToGrid w:val="0"/>
          <w:color w:val="auto"/>
          <w:kern w:val="0"/>
          <w:sz w:val="24"/>
          <w:highlight w:val="none"/>
          <w:lang w:eastAsia="zh-CN"/>
        </w:rPr>
        <w:t>；</w:t>
      </w:r>
    </w:p>
    <w:p w14:paraId="79E20746">
      <w:pPr>
        <w:autoSpaceDE w:val="0"/>
        <w:autoSpaceDN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、预算金额：</w:t>
      </w:r>
      <w:r>
        <w:rPr>
          <w:rFonts w:hint="eastAsia" w:ascii="宋体" w:hAnsi="宋体" w:cs="宋体"/>
          <w:color w:val="auto"/>
          <w:sz w:val="24"/>
          <w:highlight w:val="none"/>
          <w:lang w:eastAsia="zh-CN"/>
        </w:rPr>
        <w:t>969408.2</w:t>
      </w:r>
      <w:r>
        <w:rPr>
          <w:rFonts w:hint="eastAsia" w:ascii="宋体" w:hAnsi="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p>
    <w:p w14:paraId="5398164F">
      <w:pPr>
        <w:autoSpaceDE w:val="0"/>
        <w:autoSpaceDN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、最高限价：</w:t>
      </w:r>
      <w:r>
        <w:rPr>
          <w:rFonts w:hint="eastAsia" w:ascii="宋体" w:hAnsi="宋体" w:cs="宋体"/>
          <w:color w:val="auto"/>
          <w:sz w:val="24"/>
          <w:highlight w:val="none"/>
          <w:lang w:eastAsia="zh-CN"/>
        </w:rPr>
        <w:t>969408.2</w:t>
      </w:r>
      <w:r>
        <w:rPr>
          <w:rFonts w:hint="eastAsia" w:ascii="宋体" w:hAnsi="宋体" w:cs="宋体"/>
          <w:snapToGrid w:val="0"/>
          <w:color w:val="auto"/>
          <w:kern w:val="0"/>
          <w:sz w:val="24"/>
          <w:highlight w:val="none"/>
          <w:lang w:val="en-US" w:eastAsia="zh-CN"/>
        </w:rPr>
        <w:t>元；</w:t>
      </w:r>
    </w:p>
    <w:p w14:paraId="2BB31F11">
      <w:pPr>
        <w:overflowPunct w:val="0"/>
        <w:topLinePunct/>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、采购需求：</w:t>
      </w:r>
      <w:r>
        <w:rPr>
          <w:rFonts w:hint="eastAsia" w:ascii="宋体" w:hAnsi="宋体" w:cs="宋体"/>
          <w:color w:val="auto"/>
          <w:sz w:val="24"/>
          <w:highlight w:val="none"/>
          <w:lang w:eastAsia="zh-CN"/>
        </w:rPr>
        <w:t>离石电缆厂既有建筑质量安全鉴定项目</w:t>
      </w:r>
      <w:r>
        <w:rPr>
          <w:rFonts w:hint="eastAsia" w:ascii="宋体" w:hAnsi="宋体" w:cs="宋体"/>
          <w:color w:val="auto"/>
          <w:sz w:val="24"/>
          <w:highlight w:val="none"/>
        </w:rPr>
        <w:t>。具体报价范围、采购范围及所应达到的具体要求，以本</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文件中商务、技术和服务的相应规定为准。</w:t>
      </w:r>
    </w:p>
    <w:p w14:paraId="4012370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eastAsia="zh-CN"/>
        </w:rPr>
        <w:t>质量标准：满足国家、行业及地方相关规范标准要求；</w:t>
      </w:r>
    </w:p>
    <w:p w14:paraId="1343263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合同履行期限</w:t>
      </w:r>
      <w:r>
        <w:rPr>
          <w:rFonts w:hint="eastAsia" w:ascii="宋体" w:hAnsi="宋体" w:cs="宋体"/>
          <w:color w:val="auto"/>
          <w:sz w:val="24"/>
          <w:highlight w:val="none"/>
        </w:rPr>
        <w:t>：</w:t>
      </w:r>
      <w:r>
        <w:rPr>
          <w:rFonts w:hint="eastAsia" w:ascii="宋体" w:hAnsi="宋体" w:cs="宋体"/>
          <w:color w:val="auto"/>
          <w:sz w:val="24"/>
          <w:highlight w:val="none"/>
          <w:lang w:eastAsia="zh-CN"/>
        </w:rPr>
        <w:t>自签订质量检测服务合同之日起至本项目工程竣工并出具全部检测报告止。</w:t>
      </w:r>
    </w:p>
    <w:p w14:paraId="43F7863A">
      <w:pPr>
        <w:spacing w:line="360" w:lineRule="auto"/>
        <w:ind w:firstLine="480" w:firstLineChars="200"/>
        <w:outlineLvl w:val="1"/>
        <w:rPr>
          <w:rFonts w:hint="eastAsia" w:ascii="宋体" w:hAnsi="宋体" w:cs="宋体"/>
          <w:b w:val="0"/>
          <w:bCs w:val="0"/>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、本项目（是/否）接受联合体：</w:t>
      </w:r>
      <w:bookmarkStart w:id="10" w:name="_Toc35393630"/>
      <w:bookmarkStart w:id="11" w:name="_Toc28359013"/>
      <w:bookmarkStart w:id="12" w:name="_Toc35393799"/>
      <w:bookmarkStart w:id="13" w:name="_Toc28359090"/>
      <w:r>
        <w:rPr>
          <w:rFonts w:hint="eastAsia" w:ascii="宋体" w:hAnsi="宋体" w:cs="宋体"/>
          <w:color w:val="auto"/>
          <w:sz w:val="24"/>
          <w:highlight w:val="none"/>
          <w:lang w:val="en-US" w:eastAsia="zh-CN"/>
        </w:rPr>
        <w:t>否</w:t>
      </w:r>
      <w:r>
        <w:rPr>
          <w:rFonts w:hint="eastAsia" w:ascii="宋体" w:hAnsi="宋体" w:cs="宋体"/>
          <w:color w:val="auto"/>
          <w:sz w:val="24"/>
          <w:highlight w:val="none"/>
          <w:lang w:eastAsia="zh-CN"/>
        </w:rPr>
        <w:t>。</w:t>
      </w:r>
      <w:bookmarkStart w:id="14" w:name="_Toc19751"/>
    </w:p>
    <w:p w14:paraId="1683E816">
      <w:pPr>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二、供应商的资格要求：</w:t>
      </w:r>
      <w:bookmarkEnd w:id="10"/>
      <w:bookmarkEnd w:id="11"/>
      <w:bookmarkEnd w:id="12"/>
      <w:bookmarkEnd w:id="13"/>
      <w:bookmarkEnd w:id="14"/>
    </w:p>
    <w:p w14:paraId="0AFD16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rPr>
        <w:t>；</w:t>
      </w:r>
    </w:p>
    <w:p w14:paraId="78F38B5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lang w:val="en-US" w:eastAsia="zh-CN"/>
        </w:rPr>
        <w:t>本项目专门面向中小企业采购</w:t>
      </w:r>
      <w:r>
        <w:rPr>
          <w:rFonts w:hint="eastAsia" w:ascii="宋体" w:hAnsi="宋体" w:cs="宋体"/>
          <w:color w:val="auto"/>
          <w:sz w:val="24"/>
          <w:highlight w:val="none"/>
          <w:lang w:eastAsia="zh-CN"/>
        </w:rPr>
        <w:t>；</w:t>
      </w:r>
    </w:p>
    <w:p w14:paraId="013C9BC3">
      <w:pPr>
        <w:widowControl/>
        <w:adjustRightIn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eastAsia="zh-CN"/>
        </w:rPr>
        <w:t>供应商须同时具备建设行政主管部门颁发的建设工程质量检测机构资质证书(包含建筑材料及构配件、主体结构及装饰装修、钢结构、地基基础)和检验检测机构资质认定证书，并在人员、设备、资金等方面具有相应的能力，其中，投标人拟派项目负责人须具备工程类专业中级及以上职称</w:t>
      </w:r>
    </w:p>
    <w:p w14:paraId="02189A8B">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、单位负责人为同一人或者存在控股、管理关系的不同单位，不得参加同一包投标或者未分包的同一采购项目投标。</w:t>
      </w:r>
    </w:p>
    <w:p w14:paraId="4827E200">
      <w:pPr>
        <w:widowControl/>
        <w:adjustRightInd w:val="0"/>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不得为“信用中国”网站（https://www.creditchina.gov.cn/）中列入失信被执行人和重大税收违法案件当事人名单的供应商，不得为“中国政府采购网”（http://www.ccgp.gov.cn/）政府采购严重违法失信行为记录名单中被财政部门禁止参加政府采购活动的供应商。</w:t>
      </w:r>
    </w:p>
    <w:p w14:paraId="2C42116B">
      <w:pPr>
        <w:widowControl/>
        <w:adjustRightInd w:val="0"/>
        <w:spacing w:line="360" w:lineRule="auto"/>
        <w:jc w:val="left"/>
        <w:outlineLvl w:val="1"/>
        <w:rPr>
          <w:rFonts w:ascii="宋体" w:hAnsi="宋体" w:cs="宋体"/>
          <w:color w:val="auto"/>
          <w:sz w:val="24"/>
          <w:highlight w:val="none"/>
        </w:rPr>
      </w:pPr>
      <w:bookmarkStart w:id="15" w:name="_Toc26060"/>
      <w:r>
        <w:rPr>
          <w:rFonts w:hint="eastAsia" w:ascii="宋体" w:hAnsi="宋体" w:cs="宋体"/>
          <w:b/>
          <w:bCs/>
          <w:color w:val="auto"/>
          <w:sz w:val="24"/>
          <w:highlight w:val="none"/>
        </w:rPr>
        <w:t>三、获取谈判文件</w:t>
      </w:r>
      <w:bookmarkEnd w:id="15"/>
      <w:bookmarkStart w:id="16" w:name="_Toc35393801"/>
      <w:bookmarkStart w:id="17" w:name="_Toc28359092"/>
      <w:bookmarkStart w:id="18" w:name="_Toc35393632"/>
      <w:bookmarkStart w:id="19" w:name="_Toc28359015"/>
    </w:p>
    <w:p w14:paraId="30A4D481">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eastAsia="zh-CN"/>
        </w:rPr>
        <w:t>2025年07月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日至2025年07月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lang w:eastAsia="zh-CN"/>
        </w:rPr>
        <w:t>日</w:t>
      </w:r>
      <w:r>
        <w:rPr>
          <w:rFonts w:hint="eastAsia" w:ascii="宋体" w:hAnsi="宋体" w:cs="宋体"/>
          <w:color w:val="auto"/>
          <w:sz w:val="24"/>
          <w:highlight w:val="none"/>
          <w:lang w:eastAsia="zh-CN"/>
        </w:rPr>
        <w:t>。每天上午00:00至12:00，下午12:00至23:59（北京时间，法定节假日除外）</w:t>
      </w:r>
    </w:p>
    <w:p w14:paraId="631757F0">
      <w:pPr>
        <w:widowControl/>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2、地点：山西政府采购平台（https://login.sxzfcg.zcygov.cn/user-login</w:t>
      </w:r>
    </w:p>
    <w:p w14:paraId="31CEAD08">
      <w:pPr>
        <w:widowControl/>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/#/login）线上获取</w:t>
      </w:r>
    </w:p>
    <w:p w14:paraId="61F258E6">
      <w:pPr>
        <w:pStyle w:val="30"/>
        <w:keepNext/>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3、方式：在线获取</w:t>
      </w:r>
    </w:p>
    <w:p w14:paraId="11E8B7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凡有意参加谈判的供应商，请按照以下步骤免费获取谈判文件：</w:t>
      </w:r>
    </w:p>
    <w:p w14:paraId="791C79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（1）在中国政府采购网山西分网完成注册，已完成注册的请跳过此步骤；</w:t>
      </w:r>
    </w:p>
    <w:p w14:paraId="177F99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（2）请于谈判文件获取截止时间前（北京时间，下同），进入</w:t>
      </w:r>
      <w:r>
        <w:rPr>
          <w:rFonts w:hint="eastAsia" w:ascii="宋体" w:hAnsi="宋体" w:cs="宋体"/>
          <w:color w:val="auto"/>
          <w:sz w:val="28"/>
          <w:szCs w:val="28"/>
          <w:highlight w:val="none"/>
        </w:rPr>
        <w:t>山西政府采购平台（https://login.sxzfcg.zcygov.cn/user-login/#/login）使用企业数字证书（CA）在网上获取谈判文件。</w:t>
      </w:r>
    </w:p>
    <w:p w14:paraId="1E7A5FD4">
      <w:pPr>
        <w:pStyle w:val="30"/>
        <w:keepNext/>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4、售价（元）：0元</w:t>
      </w:r>
    </w:p>
    <w:p w14:paraId="25A87BC3">
      <w:pPr>
        <w:spacing w:line="360" w:lineRule="auto"/>
        <w:outlineLvl w:val="1"/>
        <w:rPr>
          <w:rFonts w:ascii="宋体" w:hAnsi="宋体" w:cs="宋体"/>
          <w:color w:val="auto"/>
          <w:sz w:val="24"/>
          <w:highlight w:val="none"/>
        </w:rPr>
      </w:pPr>
      <w:bookmarkStart w:id="20" w:name="_Toc13473"/>
      <w:r>
        <w:rPr>
          <w:rFonts w:hint="eastAsia" w:ascii="宋体" w:hAnsi="宋体" w:cs="宋体"/>
          <w:b/>
          <w:bCs/>
          <w:color w:val="auto"/>
          <w:sz w:val="24"/>
          <w:highlight w:val="none"/>
        </w:rPr>
        <w:t>四、响应文件提交</w:t>
      </w:r>
      <w:bookmarkEnd w:id="16"/>
      <w:bookmarkEnd w:id="17"/>
      <w:bookmarkEnd w:id="18"/>
      <w:bookmarkEnd w:id="19"/>
      <w:bookmarkEnd w:id="20"/>
      <w:bookmarkStart w:id="21" w:name="_Toc28359093"/>
      <w:bookmarkStart w:id="22" w:name="_Toc35393802"/>
      <w:bookmarkStart w:id="23" w:name="_Toc28359016"/>
      <w:bookmarkStart w:id="24" w:name="_Toc35393633"/>
    </w:p>
    <w:p w14:paraId="0ADD7460">
      <w:pPr>
        <w:pStyle w:val="14"/>
        <w:kinsoku w:val="0"/>
        <w:adjustRightInd w:val="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1、电子响应文件需</w:t>
      </w:r>
      <w:r>
        <w:rPr>
          <w:rFonts w:hint="eastAsia" w:hAnsi="宋体" w:cs="宋体"/>
          <w:color w:val="auto"/>
          <w:sz w:val="24"/>
          <w:szCs w:val="24"/>
          <w:highlight w:val="none"/>
        </w:rPr>
        <w:t>在政采云平台投标客户端（http://www.ccgp-shanxi.gov.cn/sxCategory15/sxCategory202/sxCategory20201/327.html）</w:t>
      </w:r>
      <w:r>
        <w:rPr>
          <w:rFonts w:hint="eastAsia" w:hAnsi="宋体" w:cs="宋体"/>
          <w:color w:val="auto"/>
          <w:kern w:val="2"/>
          <w:sz w:val="24"/>
          <w:szCs w:val="24"/>
          <w:highlight w:val="none"/>
        </w:rPr>
        <w:t>完成上传，在</w:t>
      </w:r>
      <w:r>
        <w:rPr>
          <w:rFonts w:hint="eastAsia" w:hAnsi="宋体" w:cs="宋体"/>
          <w:color w:val="auto"/>
          <w:sz w:val="24"/>
          <w:highlight w:val="none"/>
        </w:rPr>
        <w:t>响应文件</w:t>
      </w:r>
      <w:r>
        <w:rPr>
          <w:rFonts w:hint="eastAsia" w:hAnsi="宋体" w:cs="宋体"/>
          <w:color w:val="auto"/>
          <w:kern w:val="2"/>
          <w:sz w:val="24"/>
          <w:szCs w:val="24"/>
          <w:highlight w:val="none"/>
        </w:rPr>
        <w:t>开启时间前未完成响应文件上传的，视为未递交响应文件，供应商自行承担责任。</w:t>
      </w:r>
    </w:p>
    <w:p w14:paraId="616B250A">
      <w:pPr>
        <w:pStyle w:val="14"/>
        <w:kinsoku w:val="0"/>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kern w:val="2"/>
          <w:sz w:val="24"/>
          <w:szCs w:val="24"/>
          <w:highlight w:val="none"/>
        </w:rPr>
        <w:t>2、供应商提交响应文件的方式：政采云平台投标客户端。</w:t>
      </w:r>
    </w:p>
    <w:p w14:paraId="3FC7CCDB">
      <w:pPr>
        <w:spacing w:line="360" w:lineRule="auto"/>
        <w:outlineLvl w:val="1"/>
        <w:rPr>
          <w:rFonts w:ascii="宋体" w:hAnsi="宋体" w:cs="宋体"/>
          <w:color w:val="auto"/>
          <w:sz w:val="24"/>
          <w:highlight w:val="none"/>
        </w:rPr>
      </w:pPr>
      <w:bookmarkStart w:id="25" w:name="_Toc11531"/>
      <w:r>
        <w:rPr>
          <w:rFonts w:hint="eastAsia" w:ascii="宋体" w:hAnsi="宋体" w:cs="宋体"/>
          <w:b/>
          <w:bCs/>
          <w:color w:val="auto"/>
          <w:sz w:val="24"/>
          <w:highlight w:val="none"/>
        </w:rPr>
        <w:t>五、开启</w:t>
      </w:r>
      <w:bookmarkEnd w:id="21"/>
      <w:bookmarkEnd w:id="22"/>
      <w:bookmarkEnd w:id="23"/>
      <w:bookmarkEnd w:id="24"/>
      <w:bookmarkEnd w:id="25"/>
    </w:p>
    <w:p w14:paraId="431F31C2">
      <w:pPr>
        <w:spacing w:line="360" w:lineRule="auto"/>
        <w:ind w:firstLine="480" w:firstLineChars="200"/>
        <w:rPr>
          <w:rFonts w:ascii="宋体" w:hAnsi="宋体" w:cs="宋体"/>
          <w:color w:val="auto"/>
          <w:sz w:val="24"/>
          <w:highlight w:val="none"/>
        </w:rPr>
      </w:pPr>
      <w:bookmarkStart w:id="26" w:name="_Toc28359017"/>
      <w:bookmarkStart w:id="27" w:name="_Toc35393803"/>
      <w:bookmarkStart w:id="28" w:name="_Toc28359094"/>
      <w:bookmarkStart w:id="29" w:name="_Toc35393634"/>
      <w:r>
        <w:rPr>
          <w:rFonts w:hint="eastAsia" w:ascii="宋体" w:hAnsi="宋体" w:cs="宋体"/>
          <w:color w:val="auto"/>
          <w:sz w:val="24"/>
          <w:highlight w:val="none"/>
        </w:rPr>
        <w:t>1、时间：</w:t>
      </w:r>
      <w:r>
        <w:rPr>
          <w:rFonts w:hint="eastAsia" w:ascii="宋体" w:hAnsi="宋体" w:cs="宋体"/>
          <w:color w:val="auto"/>
          <w:sz w:val="24"/>
          <w:highlight w:val="none"/>
          <w:lang w:eastAsia="zh-CN"/>
        </w:rPr>
        <w:t>2025年08月01日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0分</w:t>
      </w:r>
      <w:r>
        <w:rPr>
          <w:rFonts w:hint="eastAsia" w:ascii="宋体" w:hAnsi="宋体" w:cs="宋体"/>
          <w:color w:val="auto"/>
          <w:sz w:val="24"/>
          <w:highlight w:val="none"/>
        </w:rPr>
        <w:t>（北京时间）</w:t>
      </w:r>
    </w:p>
    <w:p w14:paraId="515E42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2、地点：线上开启</w:t>
      </w:r>
    </w:p>
    <w:p w14:paraId="22B157FA">
      <w:pPr>
        <w:spacing w:line="360" w:lineRule="auto"/>
        <w:outlineLvl w:val="1"/>
        <w:rPr>
          <w:rFonts w:ascii="宋体" w:hAnsi="宋体" w:cs="宋体"/>
          <w:b/>
          <w:bCs/>
          <w:color w:val="auto"/>
          <w:sz w:val="24"/>
          <w:highlight w:val="none"/>
        </w:rPr>
      </w:pPr>
      <w:bookmarkStart w:id="30" w:name="_Toc18302"/>
      <w:r>
        <w:rPr>
          <w:rFonts w:hint="eastAsia" w:ascii="宋体" w:hAnsi="宋体" w:cs="宋体"/>
          <w:b/>
          <w:bCs/>
          <w:color w:val="auto"/>
          <w:sz w:val="24"/>
          <w:highlight w:val="none"/>
        </w:rPr>
        <w:t>六、公告期限</w:t>
      </w:r>
      <w:bookmarkEnd w:id="26"/>
      <w:bookmarkEnd w:id="27"/>
      <w:bookmarkEnd w:id="28"/>
      <w:bookmarkEnd w:id="29"/>
      <w:bookmarkEnd w:id="30"/>
    </w:p>
    <w:p w14:paraId="7D81BF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bookmarkStart w:id="31" w:name="_Toc35393804"/>
      <w:bookmarkStart w:id="32" w:name="_Toc35393635"/>
    </w:p>
    <w:p w14:paraId="49DEDB0F">
      <w:pPr>
        <w:spacing w:line="360" w:lineRule="auto"/>
        <w:outlineLvl w:val="1"/>
        <w:rPr>
          <w:rFonts w:ascii="宋体" w:hAnsi="宋体" w:cs="宋体"/>
          <w:b/>
          <w:bCs/>
          <w:color w:val="auto"/>
          <w:sz w:val="24"/>
          <w:highlight w:val="none"/>
        </w:rPr>
      </w:pPr>
      <w:bookmarkStart w:id="33" w:name="_Toc5567"/>
      <w:r>
        <w:rPr>
          <w:rFonts w:hint="eastAsia" w:ascii="宋体" w:hAnsi="宋体" w:cs="宋体"/>
          <w:b/>
          <w:bCs/>
          <w:color w:val="auto"/>
          <w:sz w:val="24"/>
          <w:highlight w:val="none"/>
        </w:rPr>
        <w:t>七、其他补充事宜</w:t>
      </w:r>
      <w:bookmarkEnd w:id="31"/>
      <w:bookmarkEnd w:id="32"/>
      <w:bookmarkEnd w:id="33"/>
    </w:p>
    <w:p w14:paraId="5A777AC3">
      <w:pPr>
        <w:spacing w:line="360" w:lineRule="auto"/>
        <w:ind w:firstLine="480" w:firstLineChars="200"/>
        <w:rPr>
          <w:rFonts w:ascii="宋体" w:hAnsi="宋体" w:cs="宋体"/>
          <w:color w:val="auto"/>
          <w:sz w:val="24"/>
          <w:highlight w:val="none"/>
        </w:rPr>
      </w:pPr>
      <w:bookmarkStart w:id="34" w:name="_Toc28359018"/>
      <w:bookmarkStart w:id="35" w:name="_Toc35393805"/>
      <w:bookmarkStart w:id="36" w:name="_Toc28359095"/>
      <w:bookmarkStart w:id="37" w:name="_Toc35393636"/>
      <w:r>
        <w:rPr>
          <w:rFonts w:hint="eastAsia" w:ascii="宋体" w:hAnsi="宋体" w:cs="宋体"/>
          <w:color w:val="auto"/>
          <w:sz w:val="24"/>
          <w:highlight w:val="none"/>
        </w:rPr>
        <w:t>1.凡有意参加响应的供应商，请按照以下步骤获取谈判文件：（1）在中国政府采购网山西分网完成注册，已完成注册的请跳过此步骤；（2）请于谈判文件获取截止时间前进入政采云平台使用企业数字证书（CA）在网上获取谈判文件。</w:t>
      </w:r>
    </w:p>
    <w:p w14:paraId="0AFD0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响应文件递交及格式要求：提交响应文件截止时间前在政采云平台响应客户完成响应文件CA加密上传，提交响应文件截止时间前未完成上传的，视为撤回响应文件，供应商自行承担责任。如有疑问，可致电技术支持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w:t>
      </w:r>
    </w:p>
    <w:p w14:paraId="4555F4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3.针对本项目的质疑需一次性提出，多次提出将不予受理。</w:t>
      </w:r>
    </w:p>
    <w:p w14:paraId="66AE44B5">
      <w:pPr>
        <w:spacing w:line="360" w:lineRule="auto"/>
        <w:outlineLvl w:val="1"/>
        <w:rPr>
          <w:rFonts w:ascii="宋体" w:hAnsi="宋体" w:cs="宋体"/>
          <w:b/>
          <w:bCs/>
          <w:color w:val="auto"/>
          <w:sz w:val="24"/>
          <w:highlight w:val="none"/>
        </w:rPr>
      </w:pPr>
      <w:bookmarkStart w:id="38" w:name="_Toc6179"/>
      <w:r>
        <w:rPr>
          <w:rFonts w:hint="eastAsia" w:ascii="宋体" w:hAnsi="宋体" w:cs="宋体"/>
          <w:b/>
          <w:bCs/>
          <w:color w:val="auto"/>
          <w:sz w:val="24"/>
          <w:highlight w:val="none"/>
        </w:rPr>
        <w:t>八、凡对本次采购提出询问，请按以下方式联系。</w:t>
      </w:r>
      <w:bookmarkEnd w:id="34"/>
      <w:bookmarkEnd w:id="35"/>
      <w:bookmarkEnd w:id="36"/>
      <w:bookmarkEnd w:id="37"/>
      <w:bookmarkEnd w:id="38"/>
    </w:p>
    <w:p w14:paraId="716CAD0D">
      <w:pPr>
        <w:spacing w:line="360" w:lineRule="auto"/>
        <w:ind w:firstLine="480" w:firstLineChars="200"/>
        <w:rPr>
          <w:rFonts w:ascii="宋体" w:hAnsi="宋体" w:cs="宋体"/>
          <w:color w:val="auto"/>
          <w:sz w:val="24"/>
          <w:highlight w:val="none"/>
        </w:rPr>
      </w:pPr>
      <w:bookmarkStart w:id="39" w:name="_Toc35393806"/>
      <w:bookmarkStart w:id="40" w:name="_Toc28359096"/>
      <w:bookmarkStart w:id="41" w:name="_Toc28359019"/>
      <w:bookmarkStart w:id="42" w:name="_Toc35393637"/>
      <w:r>
        <w:rPr>
          <w:rFonts w:hint="eastAsia" w:ascii="宋体" w:hAnsi="宋体" w:cs="宋体"/>
          <w:color w:val="auto"/>
          <w:sz w:val="24"/>
          <w:highlight w:val="none"/>
        </w:rPr>
        <w:t>1.采购人信息</w:t>
      </w:r>
      <w:bookmarkEnd w:id="39"/>
      <w:bookmarkEnd w:id="40"/>
      <w:bookmarkEnd w:id="41"/>
      <w:bookmarkEnd w:id="42"/>
    </w:p>
    <w:p w14:paraId="2E543D05">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3" w:name="_Toc28359020"/>
      <w:bookmarkStart w:id="44" w:name="_Toc35393807"/>
      <w:bookmarkStart w:id="45" w:name="_Toc35393638"/>
      <w:bookmarkStart w:id="46" w:name="_Toc28359097"/>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eastAsia="zh-CN"/>
        </w:rPr>
        <w:t>吕梁</w:t>
      </w:r>
      <w:r>
        <w:rPr>
          <w:rFonts w:hint="eastAsia" w:ascii="宋体" w:hAnsi="宋体" w:cs="宋体"/>
          <w:color w:val="000000" w:themeColor="text1"/>
          <w:sz w:val="24"/>
          <w:highlight w:val="none"/>
          <w:lang w:eastAsia="zh-CN"/>
          <w14:textFill>
            <w14:solidFill>
              <w14:schemeClr w14:val="tx1"/>
            </w14:solidFill>
          </w14:textFill>
        </w:rPr>
        <w:t>经济技术开发区管理委员会</w:t>
      </w:r>
    </w:p>
    <w:p w14:paraId="2C6A1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址：</w:t>
      </w:r>
      <w:r>
        <w:rPr>
          <w:rFonts w:hint="eastAsia" w:ascii="宋体" w:hAnsi="宋体" w:cs="宋体"/>
          <w:color w:val="000000" w:themeColor="text1"/>
          <w:sz w:val="24"/>
          <w:highlight w:val="none"/>
          <w:lang w:eastAsia="zh-CN"/>
          <w14:textFill>
            <w14:solidFill>
              <w14:schemeClr w14:val="tx1"/>
            </w14:solidFill>
          </w14:textFill>
        </w:rPr>
        <w:t>吕梁经济技术开发区数字经济产业园</w:t>
      </w:r>
    </w:p>
    <w:p w14:paraId="1FF485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val="en-US" w:eastAsia="zh-CN"/>
          <w14:textFill>
            <w14:solidFill>
              <w14:schemeClr w14:val="tx1"/>
            </w14:solidFill>
          </w14:textFill>
        </w:rPr>
        <w:t>王女士</w:t>
      </w:r>
      <w:r>
        <w:rPr>
          <w:rFonts w:hint="default" w:ascii="仿宋" w:eastAsia="仿宋" w:cs="仿宋"/>
          <w:color w:val="000000" w:themeColor="text1"/>
          <w:spacing w:val="6"/>
          <w:sz w:val="28"/>
          <w:szCs w:val="28"/>
          <w:lang w:val="en-US" w:eastAsia="zh-CN"/>
          <w14:textFill>
            <w14:solidFill>
              <w14:schemeClr w14:val="tx1"/>
            </w14:solidFill>
          </w14:textFill>
        </w:rPr>
        <w:t xml:space="preserve"> </w:t>
      </w:r>
    </w:p>
    <w:p w14:paraId="64AFABDA">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联系电话：18306830920</w:t>
      </w:r>
    </w:p>
    <w:p w14:paraId="388E97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bookmarkEnd w:id="43"/>
      <w:bookmarkEnd w:id="44"/>
      <w:bookmarkEnd w:id="45"/>
      <w:bookmarkEnd w:id="46"/>
    </w:p>
    <w:p w14:paraId="00D86BB7">
      <w:pPr>
        <w:spacing w:line="360" w:lineRule="auto"/>
        <w:ind w:firstLine="480" w:firstLineChars="200"/>
        <w:rPr>
          <w:rFonts w:ascii="宋体" w:hAnsi="宋体" w:cs="宋体"/>
          <w:color w:val="auto"/>
          <w:sz w:val="24"/>
          <w:highlight w:val="none"/>
        </w:rPr>
      </w:pPr>
      <w:bookmarkStart w:id="47" w:name="_Toc35393639"/>
      <w:bookmarkStart w:id="48" w:name="_Toc35393808"/>
      <w:bookmarkStart w:id="49" w:name="_Toc28359098"/>
      <w:bookmarkStart w:id="50" w:name="_Toc28359021"/>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eastAsia="zh-CN"/>
        </w:rPr>
        <w:t>山西锦秀诚信项目咨询有限公司</w:t>
      </w:r>
      <w:r>
        <w:rPr>
          <w:rFonts w:hint="eastAsia" w:ascii="宋体" w:hAnsi="宋体" w:cs="宋体"/>
          <w:color w:val="auto"/>
          <w:sz w:val="24"/>
          <w:highlight w:val="none"/>
        </w:rPr>
        <w:t xml:space="preserve"> </w:t>
      </w:r>
    </w:p>
    <w:p w14:paraId="62E4356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吕梁市离石区七里滩滨东学府院4单元1202室</w:t>
      </w:r>
    </w:p>
    <w:p w14:paraId="3EB0A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冯</w:t>
      </w:r>
      <w:r>
        <w:rPr>
          <w:rFonts w:hint="eastAsia" w:ascii="宋体" w:hAnsi="宋体" w:cs="宋体"/>
          <w:color w:val="auto"/>
          <w:sz w:val="24"/>
          <w:highlight w:val="none"/>
        </w:rPr>
        <w:t>先生</w:t>
      </w:r>
    </w:p>
    <w:p w14:paraId="7A2514E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18035866266</w:t>
      </w:r>
    </w:p>
    <w:p w14:paraId="16F14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bookmarkEnd w:id="47"/>
      <w:bookmarkEnd w:id="48"/>
      <w:bookmarkEnd w:id="49"/>
      <w:bookmarkEnd w:id="50"/>
    </w:p>
    <w:p w14:paraId="56C2ECF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冯</w:t>
      </w:r>
      <w:r>
        <w:rPr>
          <w:rFonts w:hint="eastAsia" w:ascii="宋体" w:hAnsi="宋体" w:cs="宋体"/>
          <w:color w:val="auto"/>
          <w:sz w:val="24"/>
          <w:highlight w:val="none"/>
        </w:rPr>
        <w:t>先生</w:t>
      </w:r>
    </w:p>
    <w:p w14:paraId="6A124133">
      <w:pPr>
        <w:spacing w:line="360" w:lineRule="auto"/>
        <w:ind w:firstLine="480" w:firstLineChars="200"/>
        <w:rPr>
          <w:rFonts w:hint="default" w:ascii="宋体" w:hAnsi="宋体" w:eastAsia="宋体" w:cs="宋体"/>
          <w:color w:val="auto"/>
          <w:szCs w:val="21"/>
          <w:highlight w:val="none"/>
          <w:lang w:val="en-US" w:eastAsia="zh-CN"/>
        </w:rPr>
      </w:pPr>
      <w:r>
        <w:rPr>
          <w:rFonts w:hint="eastAsia" w:ascii="宋体" w:hAnsi="宋体" w:cs="宋体"/>
          <w:color w:val="auto"/>
          <w:sz w:val="24"/>
          <w:highlight w:val="none"/>
        </w:rPr>
        <w:t>电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话：</w:t>
      </w:r>
      <w:r>
        <w:rPr>
          <w:rFonts w:hint="eastAsia" w:ascii="宋体" w:hAnsi="宋体" w:cs="宋体"/>
          <w:color w:val="auto"/>
          <w:sz w:val="24"/>
          <w:highlight w:val="none"/>
          <w:lang w:val="en-US" w:eastAsia="zh-CN"/>
        </w:rPr>
        <w:t>18035866266</w:t>
      </w:r>
    </w:p>
    <w:p w14:paraId="697FE1DC">
      <w:pPr>
        <w:kinsoku w:val="0"/>
        <w:spacing w:line="360" w:lineRule="auto"/>
        <w:ind w:firstLine="420" w:firstLineChars="200"/>
        <w:rPr>
          <w:rFonts w:ascii="宋体" w:hAnsi="宋体" w:cs="宋体"/>
          <w:color w:val="auto"/>
          <w:szCs w:val="21"/>
          <w:highlight w:val="none"/>
        </w:rPr>
      </w:pPr>
    </w:p>
    <w:p w14:paraId="7CC52143">
      <w:pPr>
        <w:pStyle w:val="30"/>
        <w:spacing w:line="360" w:lineRule="auto"/>
        <w:ind w:firstLine="480"/>
        <w:jc w:val="left"/>
        <w:rPr>
          <w:rFonts w:ascii="宋体" w:hAnsi="宋体" w:cs="宋体"/>
          <w:color w:val="auto"/>
          <w:sz w:val="24"/>
          <w:highlight w:val="none"/>
        </w:rPr>
      </w:pPr>
    </w:p>
    <w:p w14:paraId="3C29059C">
      <w:pPr>
        <w:pStyle w:val="30"/>
        <w:spacing w:line="360" w:lineRule="auto"/>
        <w:ind w:firstLine="480"/>
        <w:jc w:val="left"/>
        <w:rPr>
          <w:rFonts w:ascii="宋体" w:hAnsi="宋体" w:cs="宋体"/>
          <w:color w:val="auto"/>
          <w:sz w:val="24"/>
          <w:highlight w:val="none"/>
        </w:rPr>
      </w:pPr>
    </w:p>
    <w:p w14:paraId="56EEF0B3">
      <w:pPr>
        <w:pStyle w:val="30"/>
        <w:spacing w:line="360" w:lineRule="auto"/>
        <w:ind w:firstLine="480"/>
        <w:jc w:val="left"/>
        <w:rPr>
          <w:rFonts w:ascii="宋体" w:hAnsi="宋体" w:cs="宋体"/>
          <w:color w:val="auto"/>
          <w:sz w:val="24"/>
          <w:highlight w:val="none"/>
        </w:rPr>
      </w:pPr>
    </w:p>
    <w:p w14:paraId="6F3D11FB">
      <w:pPr>
        <w:pStyle w:val="30"/>
        <w:spacing w:line="360" w:lineRule="auto"/>
        <w:ind w:firstLine="480"/>
        <w:jc w:val="left"/>
        <w:rPr>
          <w:rFonts w:ascii="宋体" w:hAnsi="宋体" w:cs="宋体"/>
          <w:color w:val="auto"/>
          <w:sz w:val="24"/>
          <w:highlight w:val="none"/>
        </w:rPr>
      </w:pPr>
    </w:p>
    <w:p w14:paraId="4D7A9ED7">
      <w:pPr>
        <w:rPr>
          <w:rFonts w:hint="eastAsia" w:ascii="宋体" w:hAnsi="宋体" w:cs="宋体"/>
          <w:b/>
          <w:color w:val="auto"/>
          <w:sz w:val="30"/>
          <w:szCs w:val="30"/>
          <w:highlight w:val="none"/>
        </w:rPr>
      </w:pPr>
      <w:bookmarkStart w:id="51" w:name="_Toc14261"/>
      <w:r>
        <w:rPr>
          <w:rFonts w:hint="eastAsia" w:ascii="宋体" w:hAnsi="宋体" w:cs="宋体"/>
          <w:b/>
          <w:color w:val="auto"/>
          <w:sz w:val="30"/>
          <w:szCs w:val="30"/>
          <w:highlight w:val="none"/>
        </w:rPr>
        <w:br w:type="page"/>
      </w:r>
    </w:p>
    <w:p w14:paraId="01B35A89">
      <w:pPr>
        <w:pStyle w:val="31"/>
        <w:ind w:firstLine="723"/>
        <w:jc w:val="center"/>
        <w:outlineLvl w:val="0"/>
        <w:rPr>
          <w:rFonts w:ascii="宋体" w:hAnsi="宋体" w:cs="宋体"/>
          <w:b/>
          <w:color w:val="auto"/>
          <w:sz w:val="36"/>
          <w:szCs w:val="36"/>
          <w:highlight w:val="none"/>
        </w:rPr>
      </w:pPr>
      <w:r>
        <w:rPr>
          <w:rFonts w:hint="eastAsia" w:ascii="宋体" w:hAnsi="宋体" w:cs="宋体"/>
          <w:b/>
          <w:color w:val="auto"/>
          <w:sz w:val="30"/>
          <w:szCs w:val="30"/>
          <w:highlight w:val="none"/>
        </w:rPr>
        <w:t>第二部分  供应商须知前附表</w:t>
      </w:r>
      <w:bookmarkEnd w:id="51"/>
    </w:p>
    <w:tbl>
      <w:tblPr>
        <w:tblStyle w:val="22"/>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639"/>
        <w:gridCol w:w="6407"/>
      </w:tblGrid>
      <w:tr w14:paraId="445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85" w:type="dxa"/>
            <w:vAlign w:val="center"/>
          </w:tcPr>
          <w:p w14:paraId="2ED96135">
            <w:pPr>
              <w:spacing w:line="360" w:lineRule="auto"/>
              <w:ind w:left="-105" w:leftChars="-50" w:right="-105" w:rightChars="-50"/>
              <w:jc w:val="center"/>
              <w:rPr>
                <w:rFonts w:ascii="宋体" w:hAnsi="宋体" w:cs="宋体"/>
                <w:b/>
                <w:bCs/>
                <w:color w:val="auto"/>
                <w:sz w:val="24"/>
                <w:highlight w:val="none"/>
              </w:rPr>
            </w:pPr>
            <w:r>
              <w:rPr>
                <w:rFonts w:hint="eastAsia" w:ascii="宋体" w:hAnsi="宋体" w:cs="宋体"/>
                <w:color w:val="auto"/>
                <w:sz w:val="24"/>
                <w:highlight w:val="none"/>
              </w:rPr>
              <w:t>序号</w:t>
            </w:r>
          </w:p>
        </w:tc>
        <w:tc>
          <w:tcPr>
            <w:tcW w:w="2639" w:type="dxa"/>
            <w:vAlign w:val="center"/>
          </w:tcPr>
          <w:p w14:paraId="6AFA90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6407" w:type="dxa"/>
            <w:vAlign w:val="center"/>
          </w:tcPr>
          <w:p w14:paraId="4C4689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1682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14:paraId="6045FC9B">
            <w:pPr>
              <w:keepNex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2639" w:type="dxa"/>
            <w:vAlign w:val="center"/>
          </w:tcPr>
          <w:p w14:paraId="485862BD">
            <w:pPr>
              <w:keepNex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407" w:type="dxa"/>
            <w:vAlign w:val="center"/>
          </w:tcPr>
          <w:p w14:paraId="6500F92A">
            <w:pPr>
              <w:keepNext/>
              <w:jc w:val="left"/>
              <w:rPr>
                <w:rFonts w:hint="eastAsia" w:ascii="宋体" w:hAnsi="宋体" w:eastAsia="宋体" w:cs="宋体"/>
                <w:color w:val="auto"/>
                <w:sz w:val="24"/>
                <w:highlight w:val="none"/>
                <w:lang w:eastAsia="zh-CN"/>
              </w:rPr>
            </w:pPr>
            <w:r>
              <w:rPr>
                <w:rFonts w:hint="eastAsia" w:ascii="宋体" w:hAnsi="宋体" w:cs="宋体"/>
                <w:snapToGrid w:val="0"/>
                <w:color w:val="auto"/>
                <w:kern w:val="0"/>
                <w:sz w:val="24"/>
                <w:highlight w:val="none"/>
                <w:lang w:eastAsia="zh-CN"/>
              </w:rPr>
              <w:t>离石电缆厂既有建筑质量安全鉴定项目</w:t>
            </w:r>
          </w:p>
        </w:tc>
      </w:tr>
      <w:tr w14:paraId="7765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85" w:type="dxa"/>
            <w:vAlign w:val="center"/>
          </w:tcPr>
          <w:p w14:paraId="0E55D3F8">
            <w:pPr>
              <w:keepNex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639" w:type="dxa"/>
            <w:vAlign w:val="center"/>
          </w:tcPr>
          <w:p w14:paraId="5EC252C1">
            <w:pPr>
              <w:keepNext/>
              <w:jc w:val="center"/>
              <w:rPr>
                <w:rFonts w:ascii="宋体" w:hAnsi="宋体" w:cs="宋体"/>
                <w:color w:val="auto"/>
                <w:sz w:val="24"/>
                <w:highlight w:val="none"/>
              </w:rPr>
            </w:pPr>
            <w:r>
              <w:rPr>
                <w:rFonts w:hint="eastAsia" w:ascii="宋体" w:hAnsi="宋体" w:cs="宋体"/>
                <w:snapToGrid w:val="0"/>
                <w:color w:val="auto"/>
                <w:kern w:val="0"/>
                <w:sz w:val="24"/>
                <w:highlight w:val="none"/>
              </w:rPr>
              <w:t>预算金额</w:t>
            </w:r>
          </w:p>
        </w:tc>
        <w:tc>
          <w:tcPr>
            <w:tcW w:w="6407" w:type="dxa"/>
            <w:vAlign w:val="center"/>
          </w:tcPr>
          <w:p w14:paraId="0EB6310B">
            <w:pPr>
              <w:autoSpaceDE w:val="0"/>
              <w:autoSpaceDN w:val="0"/>
              <w:spacing w:line="360" w:lineRule="auto"/>
              <w:rPr>
                <w:rFonts w:ascii="宋体" w:hAnsi="宋体"/>
                <w:color w:val="auto"/>
                <w:sz w:val="24"/>
              </w:rPr>
            </w:pPr>
            <w:r>
              <w:rPr>
                <w:rFonts w:hint="eastAsia" w:ascii="宋体" w:hAnsi="宋体"/>
                <w:color w:val="auto"/>
                <w:sz w:val="24"/>
              </w:rPr>
              <w:t>预算金额及最高限价</w:t>
            </w:r>
          </w:p>
          <w:p w14:paraId="4F95664A">
            <w:pPr>
              <w:autoSpaceDE w:val="0"/>
              <w:autoSpaceDN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auto"/>
                <w:sz w:val="24"/>
                <w:highlight w:val="none"/>
              </w:rPr>
              <w:t>人民币：</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val="en-US" w:eastAsia="zh-CN"/>
                <w14:textFill>
                  <w14:solidFill>
                    <w14:schemeClr w14:val="tx1"/>
                  </w14:solidFill>
                </w14:textFill>
              </w:rPr>
              <w:t>玖拾陆万玖仟肆佰零捌元贰角</w:t>
            </w:r>
          </w:p>
          <w:p w14:paraId="150585AE">
            <w:pPr>
              <w:autoSpaceDE w:val="0"/>
              <w:autoSpaceDN w:val="0"/>
              <w:spacing w:line="360" w:lineRule="auto"/>
              <w:ind w:firstLine="960" w:firstLineChars="4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r>
              <w:rPr>
                <w:rFonts w:hint="eastAsia" w:ascii="宋体" w:hAnsi="宋体"/>
                <w:color w:val="000000" w:themeColor="text1"/>
                <w:sz w:val="24"/>
                <w:highlight w:val="none"/>
                <w:lang w:val="en-US" w:eastAsia="zh-CN"/>
                <w14:textFill>
                  <w14:solidFill>
                    <w14:schemeClr w14:val="tx1"/>
                  </w14:solidFill>
                </w14:textFill>
              </w:rPr>
              <w:t>969408.2元</w:t>
            </w:r>
          </w:p>
          <w:p w14:paraId="630C840A">
            <w:pPr>
              <w:keepNext/>
              <w:jc w:val="left"/>
              <w:rPr>
                <w:rFonts w:hint="default" w:ascii="宋体" w:hAnsi="宋体" w:eastAsia="宋体" w:cs="宋体"/>
                <w:snapToGrid w:val="0"/>
                <w:color w:val="auto"/>
                <w:kern w:val="0"/>
                <w:sz w:val="24"/>
                <w:highlight w:val="none"/>
                <w:lang w:val="en-US" w:eastAsia="zh-CN"/>
              </w:rPr>
            </w:pPr>
            <w:r>
              <w:rPr>
                <w:rFonts w:hint="eastAsia" w:ascii="宋体" w:hAnsi="宋体"/>
                <w:b/>
                <w:color w:val="auto"/>
                <w:sz w:val="24"/>
              </w:rPr>
              <w:t>注：供应商首轮报价不得超过其最高限价，否则响应无效。</w:t>
            </w:r>
          </w:p>
        </w:tc>
      </w:tr>
      <w:tr w14:paraId="1F85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85" w:type="dxa"/>
            <w:vAlign w:val="center"/>
          </w:tcPr>
          <w:p w14:paraId="3DC31170">
            <w:pPr>
              <w:keepNex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639" w:type="dxa"/>
            <w:vAlign w:val="center"/>
          </w:tcPr>
          <w:p w14:paraId="43A77B7D">
            <w:pPr>
              <w:keepNext/>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6407" w:type="dxa"/>
            <w:vAlign w:val="center"/>
          </w:tcPr>
          <w:p w14:paraId="7DC0E124">
            <w:pPr>
              <w:keepNex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自签订质量检测服务合同之日起至本项目工程竣工并出具全部检测报告止。</w:t>
            </w:r>
          </w:p>
        </w:tc>
      </w:tr>
      <w:tr w14:paraId="7695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85" w:type="dxa"/>
            <w:vAlign w:val="center"/>
          </w:tcPr>
          <w:p w14:paraId="06EBECBA">
            <w:pPr>
              <w:keepNex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2639" w:type="dxa"/>
            <w:vAlign w:val="center"/>
          </w:tcPr>
          <w:p w14:paraId="3C9D372E">
            <w:pPr>
              <w:keepNex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6407" w:type="dxa"/>
            <w:vAlign w:val="center"/>
          </w:tcPr>
          <w:p w14:paraId="2EA2AA06">
            <w:pPr>
              <w:keepNext/>
              <w:jc w:val="left"/>
              <w:rPr>
                <w:rFonts w:ascii="宋体" w:hAnsi="宋体" w:cs="宋体"/>
                <w:color w:val="auto"/>
                <w:sz w:val="24"/>
                <w:highlight w:val="none"/>
              </w:rPr>
            </w:pPr>
            <w:r>
              <w:rPr>
                <w:rFonts w:hint="eastAsia" w:ascii="宋体" w:hAnsi="宋体" w:cs="宋体"/>
                <w:color w:val="auto"/>
                <w:sz w:val="24"/>
                <w:highlight w:val="none"/>
              </w:rPr>
              <w:t>满足国家、行业及地方相关规范标准要求</w:t>
            </w:r>
          </w:p>
        </w:tc>
      </w:tr>
      <w:tr w14:paraId="56CE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14:paraId="61022896">
            <w:pPr>
              <w:keepNex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639" w:type="dxa"/>
            <w:vAlign w:val="center"/>
          </w:tcPr>
          <w:p w14:paraId="0E25F80C">
            <w:pPr>
              <w:keepNext/>
              <w:jc w:val="center"/>
              <w:rPr>
                <w:rFonts w:ascii="宋体" w:hAnsi="宋体" w:cs="宋体"/>
                <w:color w:val="auto"/>
                <w:sz w:val="24"/>
                <w:highlight w:val="none"/>
              </w:rPr>
            </w:pPr>
            <w:r>
              <w:rPr>
                <w:rFonts w:hint="eastAsia" w:ascii="宋体" w:hAnsi="宋体" w:cs="宋体"/>
                <w:color w:val="auto"/>
                <w:sz w:val="24"/>
                <w:highlight w:val="none"/>
              </w:rPr>
              <w:t>分包</w:t>
            </w:r>
          </w:p>
        </w:tc>
        <w:tc>
          <w:tcPr>
            <w:tcW w:w="6407" w:type="dxa"/>
            <w:vAlign w:val="center"/>
          </w:tcPr>
          <w:p w14:paraId="4F566148">
            <w:pPr>
              <w:keepNex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不分包</w:t>
            </w:r>
          </w:p>
        </w:tc>
      </w:tr>
      <w:tr w14:paraId="0F51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vAlign w:val="center"/>
          </w:tcPr>
          <w:p w14:paraId="6A471DFD">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2639" w:type="dxa"/>
            <w:vAlign w:val="center"/>
          </w:tcPr>
          <w:p w14:paraId="14D74DF6">
            <w:pPr>
              <w:keepNext/>
              <w:snapToGrid w:val="0"/>
              <w:jc w:val="center"/>
              <w:rPr>
                <w:rFonts w:ascii="宋体" w:hAnsi="宋体" w:cs="宋体"/>
                <w:color w:val="auto"/>
                <w:sz w:val="24"/>
                <w:highlight w:val="none"/>
              </w:rPr>
            </w:pPr>
            <w:r>
              <w:rPr>
                <w:rFonts w:hint="eastAsia" w:ascii="宋体" w:hAnsi="宋体" w:cs="宋体"/>
                <w:bCs/>
                <w:color w:val="auto"/>
                <w:sz w:val="24"/>
                <w:highlight w:val="none"/>
              </w:rPr>
              <w:t>谈判有效期</w:t>
            </w:r>
          </w:p>
        </w:tc>
        <w:tc>
          <w:tcPr>
            <w:tcW w:w="6407" w:type="dxa"/>
            <w:vAlign w:val="center"/>
          </w:tcPr>
          <w:p w14:paraId="65FF18D8">
            <w:pPr>
              <w:pStyle w:val="14"/>
              <w:snapToGrid w:val="0"/>
              <w:spacing w:line="390" w:lineRule="exact"/>
              <w:rPr>
                <w:rFonts w:hAnsi="宋体" w:cs="宋体"/>
                <w:bCs/>
                <w:color w:val="auto"/>
                <w:sz w:val="24"/>
                <w:szCs w:val="24"/>
                <w:highlight w:val="none"/>
              </w:rPr>
            </w:pPr>
            <w:r>
              <w:rPr>
                <w:rFonts w:hint="eastAsia" w:hAnsi="宋体" w:cs="宋体"/>
                <w:bCs/>
                <w:color w:val="auto"/>
                <w:sz w:val="24"/>
                <w:szCs w:val="24"/>
                <w:highlight w:val="none"/>
              </w:rPr>
              <w:t>90日历天（从提交响应文件截止之日起计算）</w:t>
            </w:r>
          </w:p>
        </w:tc>
      </w:tr>
      <w:tr w14:paraId="56D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85" w:type="dxa"/>
            <w:vAlign w:val="center"/>
          </w:tcPr>
          <w:p w14:paraId="5FDA1A99">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p>
        </w:tc>
        <w:tc>
          <w:tcPr>
            <w:tcW w:w="2639" w:type="dxa"/>
            <w:vAlign w:val="center"/>
          </w:tcPr>
          <w:p w14:paraId="36E318CC">
            <w:pPr>
              <w:keepNext/>
              <w:snapToGrid w:val="0"/>
              <w:jc w:val="center"/>
              <w:rPr>
                <w:rFonts w:ascii="宋体" w:hAnsi="宋体" w:cs="宋体"/>
                <w:bCs/>
                <w:color w:val="auto"/>
                <w:sz w:val="24"/>
                <w:highlight w:val="none"/>
              </w:rPr>
            </w:pPr>
            <w:r>
              <w:rPr>
                <w:rFonts w:hint="eastAsia" w:ascii="宋体" w:hAnsi="宋体" w:cs="宋体"/>
                <w:color w:val="auto"/>
                <w:kern w:val="0"/>
                <w:sz w:val="24"/>
                <w:highlight w:val="none"/>
              </w:rPr>
              <w:t>是否允许联合体参加</w:t>
            </w:r>
          </w:p>
        </w:tc>
        <w:tc>
          <w:tcPr>
            <w:tcW w:w="6407" w:type="dxa"/>
            <w:vAlign w:val="center"/>
          </w:tcPr>
          <w:p w14:paraId="4673FE75">
            <w:pPr>
              <w:pStyle w:val="14"/>
              <w:snapToGrid w:val="0"/>
              <w:spacing w:line="390" w:lineRule="exact"/>
              <w:rPr>
                <w:rFonts w:hint="eastAsia"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否</w:t>
            </w:r>
          </w:p>
        </w:tc>
      </w:tr>
      <w:tr w14:paraId="5CF2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85" w:type="dxa"/>
            <w:vAlign w:val="center"/>
          </w:tcPr>
          <w:p w14:paraId="74F9C3F3">
            <w:pPr>
              <w:spacing w:line="360" w:lineRule="auto"/>
              <w:jc w:val="center"/>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8</w:t>
            </w:r>
          </w:p>
        </w:tc>
        <w:tc>
          <w:tcPr>
            <w:tcW w:w="2639" w:type="dxa"/>
            <w:vAlign w:val="center"/>
          </w:tcPr>
          <w:p w14:paraId="1D09C34D">
            <w:pPr>
              <w:spacing w:line="360" w:lineRule="auto"/>
              <w:ind w:left="-101" w:leftChars="-48" w:right="-94" w:rightChars="-45" w:firstLine="132" w:firstLineChars="55"/>
              <w:jc w:val="center"/>
              <w:rPr>
                <w:rFonts w:hint="eastAsia" w:ascii="宋体" w:hAnsi="宋体" w:cs="宋体"/>
                <w:color w:val="auto"/>
                <w:sz w:val="24"/>
                <w:highlight w:val="none"/>
              </w:rPr>
            </w:pPr>
            <w:r>
              <w:rPr>
                <w:rFonts w:hint="eastAsia" w:ascii="宋体" w:hAnsi="宋体" w:cs="宋体"/>
                <w:color w:val="auto"/>
                <w:sz w:val="24"/>
                <w:highlight w:val="none"/>
              </w:rPr>
              <w:t>响应文件</w:t>
            </w:r>
          </w:p>
          <w:p w14:paraId="7C6FDC60">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（资格证明文件）</w:t>
            </w:r>
          </w:p>
        </w:tc>
        <w:tc>
          <w:tcPr>
            <w:tcW w:w="6407" w:type="dxa"/>
            <w:vAlign w:val="center"/>
          </w:tcPr>
          <w:p w14:paraId="2FEB8B8F">
            <w:pPr>
              <w:topLinePunct/>
              <w:autoSpaceDE w:val="0"/>
              <w:autoSpaceDN w:val="0"/>
              <w:spacing w:line="460" w:lineRule="exact"/>
              <w:rPr>
                <w:rFonts w:ascii="宋体" w:cs="宋体"/>
                <w:b/>
                <w:bCs/>
                <w:color w:val="auto"/>
                <w:sz w:val="24"/>
              </w:rPr>
            </w:pPr>
            <w:r>
              <w:rPr>
                <w:rFonts w:ascii="宋体" w:hAnsi="宋体" w:cs="宋体"/>
                <w:b/>
                <w:bCs/>
                <w:color w:val="auto"/>
                <w:sz w:val="24"/>
              </w:rPr>
              <w:t>1</w:t>
            </w:r>
            <w:r>
              <w:rPr>
                <w:rFonts w:hint="eastAsia" w:ascii="宋体" w:hAnsi="宋体" w:cs="宋体"/>
                <w:b/>
                <w:bCs/>
                <w:color w:val="auto"/>
                <w:sz w:val="24"/>
                <w:lang w:eastAsia="zh-CN"/>
              </w:rPr>
              <w:t>、</w:t>
            </w:r>
            <w:r>
              <w:rPr>
                <w:rFonts w:hint="eastAsia" w:ascii="宋体" w:hAnsi="宋体"/>
                <w:b/>
                <w:bCs/>
                <w:color w:val="auto"/>
                <w:sz w:val="24"/>
                <w:highlight w:val="none"/>
              </w:rPr>
              <w:t>具有独立承担民事责任的能力</w:t>
            </w:r>
          </w:p>
          <w:p w14:paraId="0A586164">
            <w:pPr>
              <w:topLinePunct/>
              <w:autoSpaceDE w:val="0"/>
              <w:autoSpaceDN w:val="0"/>
              <w:spacing w:line="460" w:lineRule="exact"/>
              <w:rPr>
                <w:rFonts w:hint="eastAsia" w:ascii="宋体" w:hAnsi="宋体" w:cs="宋体"/>
                <w:color w:val="auto"/>
                <w:sz w:val="24"/>
              </w:rPr>
            </w:pPr>
            <w:r>
              <w:rPr>
                <w:rFonts w:hint="eastAsia" w:ascii="宋体" w:hAnsi="宋体" w:cs="宋体"/>
                <w:color w:val="auto"/>
                <w:sz w:val="24"/>
              </w:rPr>
              <w:t>提供供应商信用承诺书。</w:t>
            </w:r>
          </w:p>
          <w:p w14:paraId="141E1A05">
            <w:pPr>
              <w:topLinePunct/>
              <w:autoSpaceDE w:val="0"/>
              <w:autoSpaceDN w:val="0"/>
              <w:spacing w:line="460" w:lineRule="exact"/>
              <w:rPr>
                <w:rFonts w:hint="eastAsia" w:ascii="宋体" w:hAnsi="宋体" w:eastAsia="宋体" w:cs="宋体"/>
                <w:color w:val="auto"/>
                <w:sz w:val="24"/>
                <w:lang w:eastAsia="zh-CN"/>
              </w:rPr>
            </w:pPr>
            <w:r>
              <w:rPr>
                <w:rFonts w:hint="eastAsia" w:ascii="宋体" w:hAnsi="宋体" w:cs="宋体"/>
                <w:color w:val="auto"/>
                <w:sz w:val="24"/>
              </w:rPr>
              <w:t>以上证明材料须符合要求、有效、完整。否则，响应无效</w:t>
            </w:r>
            <w:r>
              <w:rPr>
                <w:rFonts w:hint="eastAsia" w:ascii="宋体" w:hAnsi="宋体" w:cs="宋体"/>
                <w:color w:val="auto"/>
                <w:sz w:val="24"/>
                <w:lang w:eastAsia="zh-CN"/>
              </w:rPr>
              <w:t>。</w:t>
            </w:r>
          </w:p>
          <w:p w14:paraId="640A5823">
            <w:pPr>
              <w:topLinePunct/>
              <w:autoSpaceDE w:val="0"/>
              <w:autoSpaceDN w:val="0"/>
              <w:spacing w:line="46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rPr>
              <w:t>2</w:t>
            </w:r>
            <w:r>
              <w:rPr>
                <w:rFonts w:hint="eastAsia" w:ascii="宋体" w:hAnsi="宋体" w:cs="宋体"/>
                <w:b/>
                <w:bCs/>
                <w:color w:val="auto"/>
                <w:sz w:val="24"/>
                <w:lang w:eastAsia="zh-CN"/>
              </w:rPr>
              <w:t>、</w:t>
            </w:r>
            <w:r>
              <w:rPr>
                <w:rFonts w:hint="eastAsia" w:ascii="宋体" w:hAnsi="宋体"/>
                <w:b/>
                <w:bCs/>
                <w:color w:val="auto"/>
                <w:sz w:val="24"/>
                <w:highlight w:val="none"/>
              </w:rPr>
              <w:t>具有履行合同所必需的设备和专业技术能力</w:t>
            </w:r>
          </w:p>
          <w:p w14:paraId="7E50923E">
            <w:pPr>
              <w:topLinePunct/>
              <w:autoSpaceDE w:val="0"/>
              <w:autoSpaceDN w:val="0"/>
              <w:spacing w:line="46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提供供应商信用承诺书。</w:t>
            </w:r>
          </w:p>
          <w:p w14:paraId="2E48C69D">
            <w:pPr>
              <w:topLinePunct/>
              <w:autoSpaceDE w:val="0"/>
              <w:autoSpaceDN w:val="0"/>
              <w:spacing w:line="46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以上证明材料须符合要求、有效、完整。否则，响应无效</w:t>
            </w:r>
            <w:r>
              <w:rPr>
                <w:rFonts w:hint="eastAsia" w:ascii="宋体" w:hAnsi="宋体" w:cs="宋体"/>
                <w:color w:val="auto"/>
                <w:sz w:val="24"/>
                <w:lang w:eastAsia="zh-CN"/>
              </w:rPr>
              <w:t>。</w:t>
            </w:r>
          </w:p>
          <w:p w14:paraId="05ACBEF3">
            <w:pPr>
              <w:numPr>
                <w:ilvl w:val="0"/>
                <w:numId w:val="0"/>
              </w:numPr>
              <w:topLinePunct/>
              <w:autoSpaceDE w:val="0"/>
              <w:autoSpaceDN w:val="0"/>
              <w:spacing w:line="460" w:lineRule="exac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3、具有良好的商业信誉和健全的财务会计制度</w:t>
            </w:r>
          </w:p>
          <w:p w14:paraId="671766F9">
            <w:pPr>
              <w:numPr>
                <w:ilvl w:val="0"/>
                <w:numId w:val="0"/>
              </w:numPr>
              <w:topLinePunct/>
              <w:autoSpaceDE w:val="0"/>
              <w:autoSpaceDN w:val="0"/>
              <w:spacing w:line="460" w:lineRule="exact"/>
              <w:rPr>
                <w:rFonts w:hint="eastAsia" w:ascii="宋体" w:hAnsi="宋体" w:eastAsia="宋体" w:cs="宋体"/>
                <w:color w:val="auto"/>
                <w:sz w:val="24"/>
              </w:rPr>
            </w:pPr>
            <w:r>
              <w:rPr>
                <w:rFonts w:hint="eastAsia" w:ascii="宋体" w:hAnsi="宋体" w:eastAsia="宋体" w:cs="宋体"/>
                <w:color w:val="auto"/>
                <w:sz w:val="24"/>
              </w:rPr>
              <w:t>提供供应商信用承诺书。</w:t>
            </w:r>
          </w:p>
          <w:p w14:paraId="29A44441">
            <w:pPr>
              <w:numPr>
                <w:ilvl w:val="0"/>
                <w:numId w:val="0"/>
              </w:numPr>
              <w:topLinePunct/>
              <w:autoSpaceDE w:val="0"/>
              <w:autoSpaceDN w:val="0"/>
              <w:spacing w:line="460" w:lineRule="exact"/>
              <w:rPr>
                <w:rFonts w:hint="eastAsia" w:ascii="宋体" w:hAnsi="宋体" w:eastAsia="宋体" w:cs="宋体"/>
                <w:color w:val="auto"/>
                <w:sz w:val="24"/>
              </w:rPr>
            </w:pPr>
            <w:r>
              <w:rPr>
                <w:rFonts w:hint="eastAsia" w:ascii="宋体" w:hAnsi="宋体" w:eastAsia="宋体" w:cs="宋体"/>
                <w:color w:val="auto"/>
                <w:sz w:val="24"/>
              </w:rPr>
              <w:t>以上证明材料须符合要求、有效、完整。否则，响应无效。</w:t>
            </w:r>
          </w:p>
          <w:p w14:paraId="4F1ED0B5">
            <w:pPr>
              <w:numPr>
                <w:ilvl w:val="0"/>
                <w:numId w:val="0"/>
              </w:numPr>
              <w:topLinePunct/>
              <w:autoSpaceDE w:val="0"/>
              <w:autoSpaceDN w:val="0"/>
              <w:spacing w:line="460" w:lineRule="exact"/>
              <w:rPr>
                <w:rFonts w:hint="default" w:ascii="宋体" w:hAnsi="宋体" w:cs="宋体"/>
                <w:b/>
                <w:bCs/>
                <w:color w:val="auto"/>
                <w:sz w:val="24"/>
                <w:lang w:val="en-US" w:eastAsia="zh-CN"/>
              </w:rPr>
            </w:pPr>
            <w:r>
              <w:rPr>
                <w:rFonts w:hint="eastAsia" w:ascii="宋体" w:hAnsi="宋体" w:cs="宋体"/>
                <w:b/>
                <w:bCs/>
                <w:color w:val="auto"/>
                <w:sz w:val="24"/>
                <w:lang w:val="en-US" w:eastAsia="zh-CN"/>
              </w:rPr>
              <w:t>4、</w:t>
            </w:r>
            <w:r>
              <w:rPr>
                <w:rFonts w:hint="eastAsia" w:ascii="宋体" w:hAnsi="宋体"/>
                <w:b/>
                <w:bCs/>
                <w:color w:val="auto"/>
                <w:sz w:val="24"/>
              </w:rPr>
              <w:t>有依法缴纳税收和社会保障资金的良好记录</w:t>
            </w:r>
          </w:p>
          <w:p w14:paraId="6CB43147">
            <w:pPr>
              <w:numPr>
                <w:ilvl w:val="0"/>
                <w:numId w:val="0"/>
              </w:num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提供供应商信用承诺书。</w:t>
            </w:r>
          </w:p>
          <w:p w14:paraId="00B4A0C4">
            <w:pPr>
              <w:numPr>
                <w:ilvl w:val="0"/>
                <w:numId w:val="0"/>
              </w:num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以上证明材料须符合要求、有效、完整。否则，响应无效。</w:t>
            </w:r>
          </w:p>
          <w:p w14:paraId="21CC0F87">
            <w:pPr>
              <w:numPr>
                <w:ilvl w:val="0"/>
                <w:numId w:val="0"/>
              </w:numPr>
              <w:topLinePunct/>
              <w:autoSpaceDE w:val="0"/>
              <w:autoSpaceDN w:val="0"/>
              <w:spacing w:line="460" w:lineRule="exact"/>
              <w:rPr>
                <w:rFonts w:hint="default" w:ascii="宋体" w:hAnsi="宋体" w:cs="宋体"/>
                <w:b/>
                <w:bCs/>
                <w:color w:val="auto"/>
                <w:sz w:val="24"/>
                <w:lang w:val="en-US" w:eastAsia="zh-CN"/>
              </w:rPr>
            </w:pPr>
            <w:r>
              <w:rPr>
                <w:rFonts w:hint="eastAsia" w:ascii="宋体" w:hAnsi="宋体" w:cs="宋体"/>
                <w:b/>
                <w:bCs/>
                <w:color w:val="auto"/>
                <w:sz w:val="24"/>
                <w:lang w:val="en-US" w:eastAsia="zh-CN"/>
              </w:rPr>
              <w:t>5、参加政府采购活动前三年内，在经营活动中没有重大违法记录</w:t>
            </w:r>
          </w:p>
          <w:p w14:paraId="7E8F9247">
            <w:pPr>
              <w:numPr>
                <w:ilvl w:val="0"/>
                <w:numId w:val="0"/>
              </w:numPr>
              <w:topLinePunct/>
              <w:autoSpaceDE w:val="0"/>
              <w:autoSpaceDN w:val="0"/>
              <w:spacing w:line="460" w:lineRule="exact"/>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提供供应商信用承诺书。</w:t>
            </w:r>
          </w:p>
          <w:p w14:paraId="04C9BF9E">
            <w:pPr>
              <w:numPr>
                <w:ilvl w:val="0"/>
                <w:numId w:val="0"/>
              </w:numPr>
              <w:topLinePunct/>
              <w:autoSpaceDE w:val="0"/>
              <w:autoSpaceDN w:val="0"/>
              <w:spacing w:line="460" w:lineRule="exact"/>
              <w:rPr>
                <w:rFonts w:hint="eastAsia" w:ascii="宋体" w:hAnsi="宋体" w:cs="宋体"/>
                <w:b/>
                <w:bCs/>
                <w:color w:val="auto"/>
                <w:sz w:val="24"/>
                <w:lang w:val="en-US" w:eastAsia="zh-CN"/>
              </w:rPr>
            </w:pPr>
            <w:r>
              <w:rPr>
                <w:rFonts w:hint="eastAsia" w:ascii="宋体" w:hAnsi="宋体" w:cs="宋体"/>
                <w:b w:val="0"/>
                <w:bCs w:val="0"/>
                <w:color w:val="auto"/>
                <w:sz w:val="24"/>
                <w:lang w:val="en-US" w:eastAsia="zh-CN"/>
              </w:rPr>
              <w:t>以上证明材料须符合要求、有效、完整。否则，响应无效。</w:t>
            </w:r>
          </w:p>
          <w:p w14:paraId="1E7E1286">
            <w:pPr>
              <w:topLinePunct/>
              <w:autoSpaceDE w:val="0"/>
              <w:autoSpaceDN w:val="0"/>
              <w:spacing w:line="460" w:lineRule="exact"/>
              <w:rPr>
                <w:rFonts w:hint="eastAsia" w:ascii="宋体" w:hAnsi="宋体" w:cs="宋体"/>
                <w:b/>
                <w:bCs/>
                <w:color w:val="auto"/>
                <w:sz w:val="24"/>
                <w:lang w:val="en-US" w:eastAsia="zh-CN"/>
              </w:rPr>
            </w:pPr>
            <w:r>
              <w:rPr>
                <w:rFonts w:hint="eastAsia" w:ascii="宋体" w:hAnsi="宋体" w:cs="宋体"/>
                <w:b/>
                <w:bCs/>
                <w:color w:val="auto"/>
                <w:sz w:val="24"/>
                <w:lang w:val="en-US" w:eastAsia="zh-CN"/>
              </w:rPr>
              <w:t>6、供应商廉洁自律承诺书</w:t>
            </w:r>
          </w:p>
          <w:p w14:paraId="4F63E5E1">
            <w:p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提供供应商廉洁自律承诺书；</w:t>
            </w:r>
          </w:p>
          <w:p w14:paraId="3C3829F5">
            <w:p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承诺书须内容完整、签署符合要求、加盖电子CA章。否则，响应无效。</w:t>
            </w:r>
          </w:p>
          <w:p w14:paraId="4F34E808">
            <w:pPr>
              <w:numPr>
                <w:ilvl w:val="0"/>
                <w:numId w:val="0"/>
              </w:numPr>
              <w:topLinePunct/>
              <w:autoSpaceDE w:val="0"/>
              <w:autoSpaceDN w:val="0"/>
              <w:spacing w:line="460" w:lineRule="exact"/>
              <w:rPr>
                <w:rFonts w:hint="eastAsia" w:ascii="宋体" w:hAnsi="宋体" w:cs="宋体"/>
                <w:b/>
                <w:bCs/>
                <w:color w:val="auto"/>
                <w:sz w:val="24"/>
                <w:lang w:val="en-US" w:eastAsia="zh-CN"/>
              </w:rPr>
            </w:pPr>
            <w:r>
              <w:rPr>
                <w:rFonts w:hint="eastAsia" w:ascii="宋体" w:hAnsi="宋体" w:cs="宋体"/>
                <w:b/>
                <w:bCs/>
                <w:color w:val="auto"/>
                <w:sz w:val="24"/>
                <w:lang w:val="en-US" w:eastAsia="zh-CN"/>
              </w:rPr>
              <w:t>7、谈判保证金</w:t>
            </w:r>
          </w:p>
          <w:p w14:paraId="544432E4">
            <w:pPr>
              <w:numPr>
                <w:ilvl w:val="0"/>
                <w:numId w:val="0"/>
              </w:num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提供谈判保证金提交凭据；</w:t>
            </w:r>
          </w:p>
          <w:p w14:paraId="024524A8">
            <w:pPr>
              <w:numPr>
                <w:ilvl w:val="0"/>
                <w:numId w:val="0"/>
              </w:numPr>
              <w:topLinePunct/>
              <w:autoSpaceDE w:val="0"/>
              <w:autoSpaceDN w:val="0"/>
              <w:spacing w:line="460" w:lineRule="exact"/>
              <w:rPr>
                <w:rFonts w:hint="eastAsia" w:ascii="宋体" w:hAnsi="宋体" w:cs="宋体"/>
                <w:color w:val="auto"/>
                <w:sz w:val="24"/>
                <w:lang w:val="en-US" w:eastAsia="zh-CN"/>
              </w:rPr>
            </w:pPr>
            <w:r>
              <w:rPr>
                <w:rFonts w:hint="eastAsia" w:ascii="宋体" w:hAnsi="宋体" w:cs="宋体"/>
                <w:color w:val="auto"/>
                <w:sz w:val="24"/>
                <w:lang w:val="en-US" w:eastAsia="zh-CN"/>
              </w:rPr>
              <w:t>谈判保证金须按照谈判文件前附表要求在递交谈判文件截止时间前足额提交、加盖电子CA章。否则，响应无效。</w:t>
            </w:r>
          </w:p>
          <w:p w14:paraId="3C849AD2">
            <w:pPr>
              <w:numPr>
                <w:ilvl w:val="0"/>
                <w:numId w:val="2"/>
              </w:numPr>
              <w:topLinePunct/>
              <w:autoSpaceDE w:val="0"/>
              <w:autoSpaceDN w:val="0"/>
              <w:spacing w:line="460" w:lineRule="exact"/>
              <w:rPr>
                <w:rFonts w:hint="eastAsia" w:ascii="宋体" w:hAnsi="宋体" w:eastAsia="宋体" w:cs="宋体"/>
                <w:b/>
                <w:bCs/>
                <w:color w:val="auto"/>
                <w:sz w:val="24"/>
              </w:rPr>
            </w:pPr>
            <w:r>
              <w:rPr>
                <w:rFonts w:hint="eastAsia" w:ascii="宋体" w:hAnsi="宋体" w:cs="宋体"/>
                <w:b/>
                <w:bCs/>
                <w:color w:val="auto"/>
                <w:sz w:val="24"/>
                <w:lang w:eastAsia="zh-CN"/>
              </w:rPr>
              <w:t>本项目要求的特定资格条件</w:t>
            </w:r>
            <w:r>
              <w:rPr>
                <w:rFonts w:hint="eastAsia" w:ascii="宋体" w:hAnsi="宋体" w:eastAsia="宋体" w:cs="宋体"/>
                <w:b/>
                <w:bCs/>
                <w:color w:val="auto"/>
                <w:sz w:val="24"/>
              </w:rPr>
              <w:t>：详见商务、技术要求。（复印件或影印件须加盖供应商数字证书电子CA章）</w:t>
            </w:r>
          </w:p>
          <w:p w14:paraId="0D3F5769">
            <w:pPr>
              <w:topLinePunct/>
              <w:autoSpaceDE w:val="0"/>
              <w:autoSpaceDN w:val="0"/>
              <w:spacing w:line="460" w:lineRule="exact"/>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9</w:t>
            </w:r>
            <w:r>
              <w:rPr>
                <w:rFonts w:hint="eastAsia" w:ascii="宋体" w:hAnsi="宋体" w:eastAsia="宋体" w:cs="宋体"/>
                <w:b/>
                <w:bCs/>
                <w:color w:val="auto"/>
                <w:sz w:val="24"/>
              </w:rPr>
              <w:t>.</w:t>
            </w:r>
            <w:r>
              <w:rPr>
                <w:rFonts w:hint="eastAsia" w:ascii="宋体" w:hAnsi="宋体" w:cs="宋体"/>
                <w:b/>
                <w:bCs/>
                <w:color w:val="auto"/>
                <w:sz w:val="24"/>
                <w:lang w:val="en-US" w:eastAsia="zh-CN"/>
              </w:rPr>
              <w:t>采购政策：</w:t>
            </w:r>
            <w:r>
              <w:rPr>
                <w:rFonts w:hint="eastAsia" w:ascii="宋体" w:hAnsi="宋体" w:eastAsia="宋体" w:cs="宋体"/>
                <w:b/>
                <w:bCs/>
                <w:color w:val="auto"/>
                <w:sz w:val="24"/>
                <w:lang w:val="en-US" w:eastAsia="zh-CN"/>
              </w:rPr>
              <w:t>供应商为</w:t>
            </w:r>
            <w:r>
              <w:rPr>
                <w:rFonts w:hint="eastAsia" w:ascii="宋体" w:hAnsi="宋体" w:cs="宋体"/>
                <w:b/>
                <w:bCs/>
                <w:color w:val="auto"/>
                <w:sz w:val="24"/>
                <w:lang w:val="en-US" w:eastAsia="zh-CN"/>
              </w:rPr>
              <w:t>中小</w:t>
            </w:r>
            <w:r>
              <w:rPr>
                <w:rFonts w:hint="eastAsia" w:ascii="宋体" w:hAnsi="宋体" w:eastAsia="宋体" w:cs="宋体"/>
                <w:b/>
                <w:bCs/>
                <w:color w:val="auto"/>
                <w:sz w:val="24"/>
                <w:lang w:val="en-US" w:eastAsia="zh-CN"/>
              </w:rPr>
              <w:t>企业</w:t>
            </w:r>
          </w:p>
          <w:p w14:paraId="0A6EAD60">
            <w:pPr>
              <w:topLinePunct/>
              <w:autoSpaceDE w:val="0"/>
              <w:autoSpaceDN w:val="0"/>
              <w:spacing w:line="4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请根据要求单独上传《中小企业声明函》，格式以采购文件要求为准。</w:t>
            </w:r>
          </w:p>
          <w:p w14:paraId="3319941F">
            <w:pPr>
              <w:topLinePunct/>
              <w:autoSpaceDE w:val="0"/>
              <w:autoSpaceDN w:val="0"/>
              <w:spacing w:line="460" w:lineRule="exact"/>
              <w:rPr>
                <w:rFonts w:ascii="宋体" w:hAnsi="宋体" w:eastAsia="宋体" w:cs="宋体"/>
                <w:b/>
                <w:bCs/>
                <w:color w:val="auto"/>
                <w:sz w:val="24"/>
              </w:rPr>
            </w:pPr>
            <w:r>
              <w:rPr>
                <w:rFonts w:hint="eastAsia" w:ascii="宋体" w:hAnsi="宋体" w:eastAsia="宋体" w:cs="宋体"/>
                <w:b/>
                <w:bCs/>
                <w:color w:val="auto"/>
                <w:kern w:val="2"/>
                <w:sz w:val="24"/>
                <w:szCs w:val="24"/>
                <w:lang w:val="en-US" w:eastAsia="zh-CN" w:bidi="ar-SA"/>
              </w:rPr>
              <w:t>10.</w:t>
            </w:r>
            <w:r>
              <w:rPr>
                <w:rFonts w:hint="eastAsia" w:ascii="宋体" w:hAnsi="宋体" w:eastAsia="宋体" w:cs="宋体"/>
                <w:b/>
                <w:bCs/>
                <w:color w:val="auto"/>
                <w:sz w:val="24"/>
              </w:rPr>
              <w:t>供应商信用信息查询</w:t>
            </w:r>
          </w:p>
          <w:p w14:paraId="081FEC7C">
            <w:pPr>
              <w:topLinePunct/>
              <w:autoSpaceDE w:val="0"/>
              <w:autoSpaceDN w:val="0"/>
              <w:spacing w:line="460" w:lineRule="exact"/>
              <w:rPr>
                <w:rFonts w:ascii="宋体" w:hAnsi="宋体" w:eastAsia="宋体" w:cs="宋体"/>
                <w:color w:val="auto"/>
                <w:sz w:val="24"/>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rPr>
              <w:t>查询地址：</w:t>
            </w:r>
          </w:p>
          <w:p w14:paraId="02A01C84">
            <w:pPr>
              <w:topLinePunct/>
              <w:autoSpaceDE w:val="0"/>
              <w:autoSpaceDN w:val="0"/>
              <w:spacing w:line="460" w:lineRule="exact"/>
              <w:rPr>
                <w:rFonts w:ascii="宋体" w:hAnsi="宋体" w:cs="宋体"/>
                <w:color w:val="auto"/>
                <w:sz w:val="24"/>
              </w:rPr>
            </w:pPr>
            <w:r>
              <w:rPr>
                <w:rFonts w:hint="eastAsia" w:ascii="宋体" w:hAnsi="宋体" w:cs="宋体"/>
                <w:color w:val="auto"/>
                <w:sz w:val="24"/>
              </w:rPr>
              <w:t>“信用中国”网站（http://www.creditchina.gov.cn）、“中国政府采购网”（http://www.ccgp.gov.cn）、国家企业信用信息公示系统（http://www.gsxt.gov.cn/index.html）；</w:t>
            </w:r>
          </w:p>
          <w:p w14:paraId="44F94B39">
            <w:pPr>
              <w:topLinePunct/>
              <w:autoSpaceDE w:val="0"/>
              <w:autoSpaceDN w:val="0"/>
              <w:spacing w:line="460" w:lineRule="exact"/>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.2查询截止时间：</w:t>
            </w:r>
          </w:p>
          <w:p w14:paraId="2391E662">
            <w:pPr>
              <w:topLinePunct/>
              <w:autoSpaceDE w:val="0"/>
              <w:autoSpaceDN w:val="0"/>
              <w:spacing w:line="460" w:lineRule="exact"/>
              <w:rPr>
                <w:rFonts w:ascii="宋体" w:hAnsi="宋体" w:cs="宋体"/>
                <w:color w:val="auto"/>
                <w:sz w:val="24"/>
                <w:highlight w:val="none"/>
              </w:rPr>
            </w:pPr>
            <w:r>
              <w:rPr>
                <w:rFonts w:hint="eastAsia" w:ascii="宋体" w:hAnsi="宋体" w:cs="宋体"/>
                <w:color w:val="auto"/>
                <w:sz w:val="24"/>
                <w:highlight w:val="none"/>
              </w:rPr>
              <w:t>查询相关主体信用记录截止时间为响应文件开启当日；</w:t>
            </w:r>
          </w:p>
          <w:p w14:paraId="18196C28">
            <w:pPr>
              <w:topLinePunct/>
              <w:autoSpaceDE w:val="0"/>
              <w:autoSpaceDN w:val="0"/>
              <w:spacing w:line="460" w:lineRule="exact"/>
              <w:rPr>
                <w:rFonts w:ascii="宋体" w:hAnsi="宋体" w:cs="宋体"/>
                <w:color w:val="auto"/>
                <w:sz w:val="24"/>
              </w:rPr>
            </w:pPr>
            <w:r>
              <w:rPr>
                <w:rFonts w:hint="eastAsia" w:ascii="宋体" w:hAnsi="宋体" w:cs="宋体"/>
                <w:color w:val="auto"/>
                <w:sz w:val="24"/>
              </w:rPr>
              <w:t>注：</w:t>
            </w:r>
          </w:p>
          <w:p w14:paraId="69996322">
            <w:pPr>
              <w:topLinePunct/>
              <w:autoSpaceDE w:val="0"/>
              <w:autoSpaceDN w:val="0"/>
              <w:spacing w:line="460" w:lineRule="exact"/>
              <w:rPr>
                <w:rFonts w:ascii="宋体" w:hAnsi="宋体" w:cs="宋体"/>
                <w:color w:val="auto"/>
                <w:sz w:val="24"/>
              </w:rPr>
            </w:pPr>
            <w:r>
              <w:rPr>
                <w:rFonts w:hint="eastAsia" w:ascii="宋体" w:hAnsi="宋体" w:cs="宋体"/>
                <w:color w:val="auto"/>
                <w:sz w:val="24"/>
              </w:rPr>
              <w:t>（1）第1-</w:t>
            </w:r>
            <w:r>
              <w:rPr>
                <w:rFonts w:hint="eastAsia" w:ascii="宋体" w:hAnsi="宋体" w:cs="宋体"/>
                <w:color w:val="auto"/>
                <w:sz w:val="24"/>
                <w:lang w:val="en-US" w:eastAsia="zh-CN"/>
              </w:rPr>
              <w:t>9</w:t>
            </w:r>
            <w:r>
              <w:rPr>
                <w:rFonts w:hint="eastAsia" w:ascii="宋体" w:hAnsi="宋体" w:cs="宋体"/>
                <w:color w:val="auto"/>
                <w:sz w:val="24"/>
              </w:rPr>
              <w:t>项资格证明文件，若有一项未提供或无效，将导致其不具备</w:t>
            </w:r>
            <w:r>
              <w:rPr>
                <w:rFonts w:hint="eastAsia" w:ascii="宋体" w:hAnsi="宋体" w:cs="宋体"/>
                <w:color w:val="auto"/>
                <w:sz w:val="24"/>
                <w:lang w:eastAsia="zh-CN"/>
              </w:rPr>
              <w:t>谈判</w:t>
            </w:r>
            <w:r>
              <w:rPr>
                <w:rFonts w:hint="eastAsia" w:ascii="宋体" w:hAnsi="宋体" w:cs="宋体"/>
                <w:color w:val="auto"/>
                <w:sz w:val="24"/>
              </w:rPr>
              <w:t>资格，且不允许在开启后补正。</w:t>
            </w:r>
          </w:p>
          <w:p w14:paraId="0A074416">
            <w:pPr>
              <w:topLinePunct/>
              <w:autoSpaceDE w:val="0"/>
              <w:autoSpaceDN w:val="0"/>
              <w:spacing w:line="400" w:lineRule="exact"/>
              <w:rPr>
                <w:rFonts w:ascii="宋体" w:hAnsi="宋体" w:cs="宋体"/>
                <w:b/>
                <w:color w:val="auto"/>
                <w:sz w:val="24"/>
                <w:highlight w:val="none"/>
              </w:rPr>
            </w:pPr>
            <w:r>
              <w:rPr>
                <w:rFonts w:hint="eastAsia" w:ascii="宋体" w:hAnsi="宋体" w:cs="宋体"/>
                <w:color w:val="auto"/>
                <w:sz w:val="24"/>
              </w:rPr>
              <w:t>（2）第</w:t>
            </w:r>
            <w:r>
              <w:rPr>
                <w:rFonts w:hint="eastAsia" w:ascii="宋体" w:hAnsi="宋体" w:cs="宋体"/>
                <w:color w:val="auto"/>
                <w:sz w:val="24"/>
                <w:lang w:val="en-US" w:eastAsia="zh-CN"/>
              </w:rPr>
              <w:t>11</w:t>
            </w:r>
            <w:r>
              <w:rPr>
                <w:rFonts w:hint="eastAsia" w:ascii="宋体" w:hAnsi="宋体" w:cs="宋体"/>
                <w:color w:val="auto"/>
                <w:sz w:val="24"/>
              </w:rPr>
              <w:t>项查询结果中供应商存在失信记录情形的，其响应文件将作无效处理。</w:t>
            </w:r>
            <w:r>
              <w:rPr>
                <w:rFonts w:hint="eastAsia" w:ascii="宋体" w:hAnsi="宋体" w:cs="宋体"/>
                <w:color w:val="auto"/>
                <w:sz w:val="24"/>
                <w:lang w:eastAsia="zh-CN"/>
              </w:rPr>
              <w:t>（</w:t>
            </w:r>
            <w:r>
              <w:rPr>
                <w:rFonts w:hint="eastAsia" w:ascii="宋体" w:hAnsi="宋体" w:cs="宋体"/>
                <w:color w:val="auto"/>
                <w:sz w:val="24"/>
                <w:lang w:val="en-US" w:eastAsia="zh-CN"/>
              </w:rPr>
              <w:t>查询工作由评审小组现场查询</w:t>
            </w:r>
            <w:r>
              <w:rPr>
                <w:rFonts w:hint="eastAsia" w:ascii="宋体" w:hAnsi="宋体" w:cs="宋体"/>
                <w:color w:val="auto"/>
                <w:sz w:val="24"/>
                <w:lang w:eastAsia="zh-CN"/>
              </w:rPr>
              <w:t>）</w:t>
            </w:r>
          </w:p>
        </w:tc>
      </w:tr>
      <w:tr w14:paraId="393A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5" w:type="dxa"/>
            <w:vAlign w:val="center"/>
          </w:tcPr>
          <w:p w14:paraId="6AC665DA">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2639" w:type="dxa"/>
            <w:vAlign w:val="center"/>
          </w:tcPr>
          <w:p w14:paraId="0B34B35C">
            <w:pPr>
              <w:spacing w:line="360" w:lineRule="auto"/>
              <w:ind w:left="-101" w:leftChars="-48" w:right="-94" w:rightChars="-45" w:firstLine="132" w:firstLineChars="55"/>
              <w:jc w:val="center"/>
              <w:rPr>
                <w:rFonts w:hint="eastAsia" w:ascii="宋体" w:hAnsi="宋体" w:cs="宋体"/>
                <w:color w:val="auto"/>
                <w:sz w:val="24"/>
                <w:highlight w:val="none"/>
              </w:rPr>
            </w:pPr>
            <w:r>
              <w:rPr>
                <w:rFonts w:hint="eastAsia" w:ascii="宋体" w:hAnsi="宋体" w:cs="宋体"/>
                <w:color w:val="auto"/>
                <w:sz w:val="24"/>
                <w:highlight w:val="none"/>
              </w:rPr>
              <w:t>响应文件</w:t>
            </w:r>
          </w:p>
          <w:p w14:paraId="44AE34BC">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（商务技术文件）</w:t>
            </w:r>
          </w:p>
        </w:tc>
        <w:tc>
          <w:tcPr>
            <w:tcW w:w="6407" w:type="dxa"/>
            <w:vAlign w:val="center"/>
          </w:tcPr>
          <w:p w14:paraId="2FC9946E">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*1.法定代表人（负责人）身份证明书(见‘响应文件格式’)； </w:t>
            </w:r>
          </w:p>
          <w:p w14:paraId="2FDCDB25">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*2.法定代表人（负责人）授权委托书(见‘响应文件格式’，若供应商代表为法定代表人的可不提供)；</w:t>
            </w:r>
          </w:p>
          <w:p w14:paraId="67A76B19">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响应函</w:t>
            </w:r>
            <w:r>
              <w:rPr>
                <w:rFonts w:hint="eastAsia" w:ascii="宋体" w:hAnsi="宋体" w:cs="宋体"/>
                <w:color w:val="auto"/>
                <w:sz w:val="24"/>
                <w:highlight w:val="none"/>
              </w:rPr>
              <w:t>(见‘响应文件格式’)；</w:t>
            </w:r>
          </w:p>
          <w:p w14:paraId="01913220">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*4.报价一览表(见‘响应文件格式’)；</w:t>
            </w:r>
          </w:p>
          <w:p w14:paraId="713F1DC6">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*5.商务技术规范响应及偏离表（见‘响应文件格式’）；</w:t>
            </w:r>
          </w:p>
          <w:p w14:paraId="51DAB6C6">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6.服务方案；</w:t>
            </w:r>
          </w:p>
          <w:p w14:paraId="58FF4799">
            <w:pPr>
              <w:topLinePunct/>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7.近三年同类项目案例及证明资料；</w:t>
            </w:r>
          </w:p>
          <w:p w14:paraId="3A844AD6">
            <w:pPr>
              <w:topLinePunct/>
              <w:autoSpaceDE w:val="0"/>
              <w:autoSpaceDN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.供应商认为需要提供的其他商务、技术材料。</w:t>
            </w:r>
          </w:p>
          <w:p w14:paraId="34E6EC98">
            <w:pPr>
              <w:topLinePunct/>
              <w:autoSpaceDE w:val="0"/>
              <w:autoSpaceDN w:val="0"/>
              <w:spacing w:line="400" w:lineRule="exact"/>
              <w:rPr>
                <w:rFonts w:ascii="宋体" w:hAnsi="宋体" w:cs="宋体"/>
                <w:b/>
                <w:bCs/>
                <w:color w:val="auto"/>
                <w:kern w:val="0"/>
                <w:sz w:val="24"/>
                <w:highlight w:val="none"/>
              </w:rPr>
            </w:pPr>
            <w:r>
              <w:rPr>
                <w:rFonts w:hint="eastAsia" w:ascii="宋体" w:hAnsi="宋体" w:cs="宋体"/>
                <w:b/>
                <w:color w:val="auto"/>
                <w:kern w:val="0"/>
                <w:sz w:val="24"/>
              </w:rPr>
              <w:t>未对以上文件中标“</w:t>
            </w:r>
            <w:r>
              <w:rPr>
                <w:rFonts w:hint="eastAsia" w:ascii="宋体" w:hAnsi="宋体" w:cs="仿宋"/>
                <w:color w:val="auto"/>
                <w:kern w:val="0"/>
              </w:rPr>
              <w:t>*</w:t>
            </w:r>
            <w:r>
              <w:rPr>
                <w:rFonts w:hint="eastAsia" w:ascii="宋体" w:hAnsi="宋体" w:cs="宋体"/>
                <w:b/>
                <w:color w:val="auto"/>
                <w:kern w:val="0"/>
                <w:sz w:val="24"/>
              </w:rPr>
              <w:t>”的要求作出实质上响应的，将导致其不具备</w:t>
            </w:r>
            <w:r>
              <w:rPr>
                <w:rFonts w:hint="eastAsia" w:ascii="宋体" w:hAnsi="宋体" w:cs="宋体"/>
                <w:b/>
                <w:color w:val="auto"/>
                <w:kern w:val="0"/>
                <w:sz w:val="24"/>
                <w:lang w:val="en-US" w:eastAsia="zh-CN"/>
              </w:rPr>
              <w:t>谈判</w:t>
            </w:r>
            <w:r>
              <w:rPr>
                <w:rFonts w:hint="eastAsia" w:ascii="宋体" w:hAnsi="宋体" w:cs="宋体"/>
                <w:b/>
                <w:color w:val="auto"/>
                <w:kern w:val="0"/>
                <w:sz w:val="24"/>
              </w:rPr>
              <w:t>资格，且不允许在开标后补正。</w:t>
            </w:r>
          </w:p>
        </w:tc>
      </w:tr>
      <w:tr w14:paraId="6EE9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5E85515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39" w:type="dxa"/>
            <w:vAlign w:val="center"/>
          </w:tcPr>
          <w:p w14:paraId="76F68473">
            <w:pPr>
              <w:spacing w:line="360" w:lineRule="auto"/>
              <w:ind w:left="-101" w:leftChars="-48" w:right="-94" w:rightChars="-45" w:firstLine="132" w:firstLineChars="55"/>
              <w:jc w:val="center"/>
              <w:rPr>
                <w:rFonts w:hint="eastAsia" w:ascii="宋体" w:hAnsi="宋体" w:cs="宋体"/>
                <w:color w:val="auto"/>
                <w:sz w:val="24"/>
                <w:highlight w:val="none"/>
              </w:rPr>
            </w:pPr>
            <w:r>
              <w:rPr>
                <w:rFonts w:hint="eastAsia" w:ascii="宋体" w:hAnsi="宋体"/>
                <w:color w:val="auto"/>
                <w:sz w:val="24"/>
              </w:rPr>
              <w:t>竞争性</w:t>
            </w:r>
            <w:r>
              <w:rPr>
                <w:rFonts w:hint="eastAsia" w:ascii="宋体" w:hAnsi="宋体"/>
                <w:color w:val="auto"/>
                <w:sz w:val="24"/>
                <w:lang w:val="en-US" w:eastAsia="zh-CN"/>
              </w:rPr>
              <w:t>谈判</w:t>
            </w:r>
            <w:r>
              <w:rPr>
                <w:rFonts w:hint="eastAsia" w:ascii="宋体" w:hAnsi="宋体"/>
                <w:color w:val="auto"/>
                <w:sz w:val="24"/>
              </w:rPr>
              <w:t>保证金金额及缴纳要求</w:t>
            </w:r>
          </w:p>
        </w:tc>
        <w:tc>
          <w:tcPr>
            <w:tcW w:w="6407" w:type="dxa"/>
            <w:vAlign w:val="center"/>
          </w:tcPr>
          <w:p w14:paraId="2C78AE7C">
            <w:pPr>
              <w:spacing w:line="360" w:lineRule="auto"/>
              <w:rPr>
                <w:rFonts w:ascii="宋体" w:hAnsi="宋体"/>
                <w:b/>
                <w:color w:val="auto"/>
                <w:sz w:val="24"/>
              </w:rPr>
            </w:pPr>
            <w:r>
              <w:rPr>
                <w:rFonts w:hint="eastAsia" w:ascii="宋体" w:hAnsi="宋体"/>
                <w:b/>
                <w:color w:val="auto"/>
                <w:sz w:val="24"/>
                <w:lang w:val="en-US" w:eastAsia="zh-CN"/>
              </w:rPr>
              <w:t>谈判</w:t>
            </w:r>
            <w:r>
              <w:rPr>
                <w:rFonts w:hint="eastAsia" w:ascii="宋体" w:hAnsi="宋体"/>
                <w:b/>
                <w:color w:val="auto"/>
                <w:sz w:val="24"/>
              </w:rPr>
              <w:t>保证金金额：</w:t>
            </w:r>
            <w:r>
              <w:rPr>
                <w:rFonts w:hint="eastAsia" w:ascii="宋体" w:hAnsi="宋体"/>
                <w:b/>
                <w:color w:val="auto"/>
                <w:sz w:val="24"/>
                <w:lang w:eastAsia="zh-CN"/>
              </w:rPr>
              <w:t>人民币</w:t>
            </w:r>
            <w:r>
              <w:rPr>
                <w:rFonts w:hint="eastAsia" w:ascii="宋体" w:hAnsi="宋体"/>
                <w:b/>
                <w:color w:val="auto"/>
                <w:sz w:val="24"/>
                <w:lang w:val="en-US" w:eastAsia="zh-CN"/>
              </w:rPr>
              <w:t>玖仟</w:t>
            </w:r>
            <w:r>
              <w:rPr>
                <w:rFonts w:hint="eastAsia" w:ascii="宋体" w:hAnsi="宋体"/>
                <w:b/>
                <w:color w:val="auto"/>
                <w:sz w:val="24"/>
                <w:lang w:eastAsia="zh-CN"/>
              </w:rPr>
              <w:t>元整</w:t>
            </w:r>
            <w:r>
              <w:rPr>
                <w:rFonts w:hint="eastAsia" w:ascii="宋体" w:hAnsi="宋体"/>
                <w:b/>
                <w:color w:val="auto"/>
                <w:sz w:val="24"/>
                <w:lang w:val="en-US" w:eastAsia="zh-CN"/>
              </w:rPr>
              <w:t xml:space="preserve"> </w:t>
            </w:r>
            <w:r>
              <w:rPr>
                <w:rFonts w:hint="eastAsia" w:ascii="宋体" w:hAnsi="宋体"/>
                <w:b/>
                <w:color w:val="auto"/>
                <w:sz w:val="24"/>
              </w:rPr>
              <w:t>￥：</w:t>
            </w:r>
            <w:r>
              <w:rPr>
                <w:rFonts w:hint="eastAsia" w:ascii="宋体" w:hAnsi="宋体"/>
                <w:b/>
                <w:color w:val="auto"/>
                <w:sz w:val="24"/>
                <w:lang w:val="en-US" w:eastAsia="zh-CN"/>
              </w:rPr>
              <w:t>9000</w:t>
            </w:r>
            <w:r>
              <w:rPr>
                <w:rFonts w:hint="eastAsia" w:ascii="宋体" w:hAnsi="宋体"/>
                <w:b/>
                <w:color w:val="auto"/>
                <w:sz w:val="24"/>
              </w:rPr>
              <w:t>元</w:t>
            </w:r>
          </w:p>
          <w:p w14:paraId="1CDEE5B6">
            <w:pPr>
              <w:spacing w:line="360" w:lineRule="auto"/>
              <w:rPr>
                <w:rFonts w:hint="eastAsia" w:ascii="宋体" w:hAnsi="宋体"/>
                <w:color w:val="auto"/>
                <w:sz w:val="24"/>
              </w:rPr>
            </w:pPr>
            <w:r>
              <w:rPr>
                <w:rFonts w:hint="eastAsia" w:ascii="宋体" w:hAnsi="宋体"/>
                <w:color w:val="auto"/>
                <w:sz w:val="24"/>
                <w:lang w:val="en-US" w:eastAsia="zh-CN"/>
              </w:rPr>
              <w:t>谈判</w:t>
            </w:r>
            <w:r>
              <w:rPr>
                <w:rFonts w:hint="eastAsia" w:ascii="宋体" w:hAnsi="宋体"/>
                <w:color w:val="auto"/>
                <w:sz w:val="24"/>
              </w:rPr>
              <w:t>保证金允许形式：采用银行转账、支票、汇票、本票支付，或者金融机构、担保机构出具的保函等非现金形式</w:t>
            </w:r>
          </w:p>
          <w:p w14:paraId="239214B9">
            <w:pPr>
              <w:spacing w:line="360" w:lineRule="auto"/>
              <w:rPr>
                <w:rFonts w:hint="eastAsia" w:ascii="宋体" w:hAnsi="宋体"/>
                <w:color w:val="auto"/>
                <w:sz w:val="24"/>
              </w:rPr>
            </w:pPr>
            <w:r>
              <w:rPr>
                <w:rFonts w:hint="eastAsia" w:ascii="宋体" w:hAnsi="宋体"/>
                <w:color w:val="auto"/>
                <w:sz w:val="24"/>
                <w:lang w:val="en-US" w:eastAsia="zh-CN"/>
              </w:rPr>
              <w:t>谈判</w:t>
            </w:r>
            <w:r>
              <w:rPr>
                <w:rFonts w:hint="eastAsia" w:ascii="宋体" w:hAnsi="宋体"/>
                <w:color w:val="auto"/>
                <w:sz w:val="24"/>
              </w:rPr>
              <w:t>保证金允许缴纳方式：基本户转账</w:t>
            </w:r>
          </w:p>
          <w:p w14:paraId="347C2C3E">
            <w:pPr>
              <w:spacing w:line="360" w:lineRule="auto"/>
              <w:rPr>
                <w:rFonts w:ascii="宋体" w:hAnsi="宋体"/>
                <w:b/>
                <w:color w:val="auto"/>
                <w:sz w:val="24"/>
              </w:rPr>
            </w:pPr>
            <w:r>
              <w:rPr>
                <w:rFonts w:hint="eastAsia" w:ascii="宋体" w:hAnsi="宋体"/>
                <w:b/>
                <w:color w:val="auto"/>
                <w:sz w:val="24"/>
              </w:rPr>
              <w:t>收款单位：山西锦秀诚信项目咨询有限公司</w:t>
            </w:r>
          </w:p>
          <w:p w14:paraId="2C302A7A">
            <w:pPr>
              <w:spacing w:line="360" w:lineRule="auto"/>
              <w:rPr>
                <w:rFonts w:hint="eastAsia" w:ascii="宋体" w:hAnsi="宋体"/>
                <w:b/>
                <w:color w:val="auto"/>
                <w:sz w:val="24"/>
              </w:rPr>
            </w:pPr>
            <w:r>
              <w:rPr>
                <w:rFonts w:hint="eastAsia" w:ascii="宋体" w:hAnsi="宋体"/>
                <w:b/>
                <w:color w:val="auto"/>
                <w:sz w:val="24"/>
              </w:rPr>
              <w:t>开 户 行：中国建设银行吕梁城建支行</w:t>
            </w:r>
          </w:p>
          <w:p w14:paraId="1B9B6594">
            <w:pPr>
              <w:spacing w:line="360" w:lineRule="auto"/>
              <w:rPr>
                <w:rFonts w:hint="eastAsia" w:ascii="宋体" w:hAnsi="宋体"/>
                <w:b/>
                <w:color w:val="auto"/>
                <w:sz w:val="24"/>
              </w:rPr>
            </w:pPr>
            <w:r>
              <w:rPr>
                <w:rFonts w:hint="eastAsia" w:ascii="宋体" w:hAnsi="宋体"/>
                <w:b/>
                <w:color w:val="auto"/>
                <w:sz w:val="24"/>
              </w:rPr>
              <w:t>账    号：14050169690800001605</w:t>
            </w:r>
          </w:p>
          <w:p w14:paraId="28A00235">
            <w:pPr>
              <w:spacing w:line="360" w:lineRule="auto"/>
              <w:rPr>
                <w:rFonts w:ascii="宋体" w:hAnsi="宋体"/>
                <w:b/>
                <w:color w:val="auto"/>
                <w:sz w:val="24"/>
              </w:rPr>
            </w:pPr>
            <w:r>
              <w:rPr>
                <w:rFonts w:hint="eastAsia" w:ascii="宋体" w:hAnsi="宋体"/>
                <w:b/>
                <w:color w:val="auto"/>
                <w:sz w:val="24"/>
              </w:rPr>
              <w:t>开户行号：105173014034</w:t>
            </w:r>
          </w:p>
          <w:p w14:paraId="498C4B39">
            <w:pPr>
              <w:spacing w:line="360" w:lineRule="auto"/>
              <w:rPr>
                <w:rFonts w:ascii="宋体" w:hAnsi="宋体"/>
                <w:b/>
                <w:color w:val="auto"/>
                <w:sz w:val="24"/>
              </w:rPr>
            </w:pPr>
            <w:r>
              <w:rPr>
                <w:rFonts w:hint="eastAsia" w:ascii="宋体" w:hAnsi="宋体"/>
                <w:b/>
                <w:color w:val="auto"/>
                <w:sz w:val="24"/>
              </w:rPr>
              <w:t>财务联系人：冯先生</w:t>
            </w:r>
          </w:p>
          <w:p w14:paraId="5BCF7FEE">
            <w:pPr>
              <w:spacing w:line="360" w:lineRule="auto"/>
              <w:rPr>
                <w:rFonts w:ascii="宋体" w:hAnsi="宋体"/>
                <w:b/>
                <w:color w:val="auto"/>
                <w:sz w:val="24"/>
              </w:rPr>
            </w:pPr>
            <w:r>
              <w:rPr>
                <w:rFonts w:hint="eastAsia" w:ascii="宋体" w:hAnsi="宋体"/>
                <w:b/>
                <w:color w:val="auto"/>
                <w:sz w:val="24"/>
              </w:rPr>
              <w:t>联系电话：18035866266</w:t>
            </w:r>
          </w:p>
          <w:p w14:paraId="7B65085E">
            <w:pPr>
              <w:spacing w:line="360" w:lineRule="auto"/>
              <w:rPr>
                <w:rFonts w:ascii="宋体" w:hAnsi="宋体"/>
                <w:color w:val="auto"/>
                <w:sz w:val="24"/>
              </w:rPr>
            </w:pPr>
            <w:r>
              <w:rPr>
                <w:rFonts w:hint="eastAsia" w:ascii="宋体" w:hAnsi="宋体"/>
                <w:color w:val="auto"/>
                <w:sz w:val="24"/>
              </w:rPr>
              <w:t>注：</w:t>
            </w:r>
          </w:p>
          <w:p w14:paraId="6ED0EE9A">
            <w:pPr>
              <w:spacing w:line="360" w:lineRule="auto"/>
              <w:rPr>
                <w:rFonts w:ascii="宋体" w:hAnsi="宋体"/>
                <w:color w:val="auto"/>
                <w:sz w:val="24"/>
              </w:rPr>
            </w:pPr>
            <w:r>
              <w:rPr>
                <w:rFonts w:hint="eastAsia" w:ascii="宋体" w:hAnsi="宋体"/>
                <w:color w:val="auto"/>
                <w:sz w:val="24"/>
              </w:rPr>
              <w:t>（1）未按要求提交</w:t>
            </w:r>
            <w:r>
              <w:rPr>
                <w:rFonts w:hint="eastAsia" w:ascii="宋体" w:hAnsi="宋体"/>
                <w:color w:val="auto"/>
                <w:sz w:val="24"/>
                <w:lang w:eastAsia="zh-CN"/>
              </w:rPr>
              <w:t>谈判</w:t>
            </w:r>
            <w:r>
              <w:rPr>
                <w:rFonts w:hint="eastAsia" w:ascii="宋体" w:hAnsi="宋体"/>
                <w:color w:val="auto"/>
                <w:sz w:val="24"/>
              </w:rPr>
              <w:t>保证金或未足额交纳</w:t>
            </w:r>
            <w:r>
              <w:rPr>
                <w:rFonts w:hint="eastAsia" w:ascii="宋体" w:hAnsi="宋体"/>
                <w:color w:val="auto"/>
                <w:sz w:val="24"/>
                <w:lang w:eastAsia="zh-CN"/>
              </w:rPr>
              <w:t>谈判</w:t>
            </w:r>
            <w:r>
              <w:rPr>
                <w:rFonts w:hint="eastAsia" w:ascii="宋体" w:hAnsi="宋体"/>
                <w:color w:val="auto"/>
                <w:sz w:val="24"/>
              </w:rPr>
              <w:t>保证金或未在开启时间之前到账的，均将被视为无效响应。</w:t>
            </w:r>
          </w:p>
          <w:p w14:paraId="1902B829">
            <w:pPr>
              <w:spacing w:line="360" w:lineRule="auto"/>
              <w:rPr>
                <w:rFonts w:ascii="宋体" w:hAnsi="宋体"/>
                <w:color w:val="auto"/>
                <w:sz w:val="24"/>
              </w:rPr>
            </w:pPr>
            <w:r>
              <w:rPr>
                <w:rFonts w:hint="eastAsia" w:ascii="宋体" w:hAnsi="宋体"/>
                <w:color w:val="auto"/>
                <w:sz w:val="24"/>
              </w:rPr>
              <w:t>（2）供应商交纳</w:t>
            </w:r>
            <w:r>
              <w:rPr>
                <w:rFonts w:hint="eastAsia" w:ascii="宋体" w:hAnsi="宋体"/>
                <w:color w:val="auto"/>
                <w:sz w:val="24"/>
                <w:lang w:eastAsia="zh-CN"/>
              </w:rPr>
              <w:t>谈判</w:t>
            </w:r>
            <w:r>
              <w:rPr>
                <w:rFonts w:hint="eastAsia" w:ascii="宋体" w:hAnsi="宋体"/>
                <w:color w:val="auto"/>
                <w:sz w:val="24"/>
              </w:rPr>
              <w:t>保证金时，须在凭单用途栏中注明项目名称</w:t>
            </w:r>
            <w:r>
              <w:rPr>
                <w:rFonts w:hint="eastAsia" w:ascii="宋体" w:hAnsi="宋体"/>
                <w:color w:val="auto"/>
                <w:sz w:val="24"/>
                <w:lang w:val="en-US" w:eastAsia="zh-CN"/>
              </w:rPr>
              <w:t>和</w:t>
            </w:r>
            <w:r>
              <w:rPr>
                <w:rFonts w:hint="eastAsia" w:ascii="宋体" w:hAnsi="宋体"/>
                <w:color w:val="auto"/>
                <w:sz w:val="24"/>
              </w:rPr>
              <w:t>项目编号</w:t>
            </w:r>
            <w:r>
              <w:rPr>
                <w:rFonts w:hint="eastAsia" w:ascii="宋体" w:hAnsi="宋体"/>
                <w:color w:val="auto"/>
                <w:sz w:val="24"/>
                <w:lang w:eastAsia="zh-CN"/>
              </w:rPr>
              <w:t>（</w:t>
            </w:r>
            <w:r>
              <w:rPr>
                <w:rFonts w:hint="eastAsia" w:ascii="宋体" w:hAnsi="宋体"/>
                <w:color w:val="auto"/>
                <w:sz w:val="24"/>
                <w:lang w:val="en-US" w:eastAsia="zh-CN"/>
              </w:rPr>
              <w:t>可简写</w:t>
            </w:r>
            <w:r>
              <w:rPr>
                <w:rFonts w:hint="eastAsia" w:ascii="宋体" w:hAnsi="宋体"/>
                <w:color w:val="auto"/>
                <w:sz w:val="24"/>
                <w:lang w:eastAsia="zh-CN"/>
              </w:rPr>
              <w:t>）</w:t>
            </w:r>
            <w:r>
              <w:rPr>
                <w:rFonts w:hint="eastAsia" w:ascii="宋体" w:hAnsi="宋体"/>
                <w:color w:val="auto"/>
                <w:sz w:val="24"/>
              </w:rPr>
              <w:t>。</w:t>
            </w:r>
          </w:p>
          <w:p w14:paraId="5C79D6F5">
            <w:pPr>
              <w:spacing w:line="360" w:lineRule="auto"/>
              <w:rPr>
                <w:rFonts w:hint="eastAsia" w:ascii="宋体" w:hAnsi="宋体" w:cs="宋体"/>
                <w:color w:val="auto"/>
                <w:kern w:val="0"/>
                <w:sz w:val="24"/>
                <w:highlight w:val="none"/>
                <w:lang w:val="en-US" w:eastAsia="zh-CN"/>
              </w:rPr>
            </w:pPr>
            <w:r>
              <w:rPr>
                <w:rFonts w:hint="eastAsia" w:ascii="宋体" w:hAnsi="宋体"/>
                <w:color w:val="auto"/>
                <w:sz w:val="24"/>
              </w:rPr>
              <w:t>未按前述各款要求提交保证金，或所提交保证金不完全符合各项要求的报价，将被视为无效报价。</w:t>
            </w:r>
          </w:p>
        </w:tc>
      </w:tr>
      <w:tr w14:paraId="0F0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56DD7A59">
            <w:pPr>
              <w:spacing w:line="360" w:lineRule="auto"/>
              <w:jc w:val="center"/>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2639" w:type="dxa"/>
            <w:vAlign w:val="center"/>
          </w:tcPr>
          <w:p w14:paraId="6E95B4AB">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政府采购相关政策要求</w:t>
            </w:r>
          </w:p>
        </w:tc>
        <w:tc>
          <w:tcPr>
            <w:tcW w:w="6407" w:type="dxa"/>
            <w:vAlign w:val="center"/>
          </w:tcPr>
          <w:p w14:paraId="18F1A75E">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涉及节能、环保产品的根据《关于调整优化节能产品、环境标志产品政府采购执行机制的通知》[财库（2019）9号]的规定和最新节能产品政府采购品目清单，货物中有强制节能产品的，须提供国家确定的认证机构出具的、处于有效期之内的节能产品认证证书，否则响应文件将会被拒绝。</w:t>
            </w:r>
          </w:p>
          <w:p w14:paraId="12F6AE3A">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2、涉及正版软件的本项目所采购的货物中如包含计算机，必须预装正版操作系统软件产品；所采购的其它软件必须为正版软件。</w:t>
            </w:r>
          </w:p>
          <w:p w14:paraId="61595949">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．涉及网络关键设备和网络安全专用产品的要求：</w:t>
            </w:r>
          </w:p>
          <w:p w14:paraId="0D19B09B">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货物中如含有《网络关键设备和网络安全专用产品目录》中的产品，须提供具备资格的机构出具的安全认证合格或者安全检测符合要求的相关证明材料扫描件或复印件。具备资格的机构是指列入《承担网络关键设备和网络安全专用产品安全认证和安全检测任务机构名录》的机构。</w:t>
            </w:r>
          </w:p>
          <w:p w14:paraId="795A253F">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涉及小型、微型企业参加评审的根据《山西省财政厅关于进一步加大政府采购支持中小企业力度助力扎实稳住经济的通知》晋财购〔2022〕6号的规定，各采购单位对于非专门面向中小企业采购的政府采购项目或者采购包，要在采购需求编制审查中予以明确，对符合规定的小微企业报价给予一定比例的扣除，用扣除后的价格参加评审。对于非专门面向中小企业采购的政府采购项目或者采购包，货物服务采购项目给予小微企业的价格扣除优惠为</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特殊情况的不应低于10%，采用大中型企业与小微企业组成联合体或者大中型企业向小微企业分包采购合同的，评审优惠幅度为6%，特殊情况的不应低于4%。政府采购工程项目给予小微企业的价格扣除优惠为5%或者在原报价得分的基础上增加其价格得分的5%，采用大中型企业与小微企业组成联合体或者大中型企业向小微企业分包采购合同的，评审优惠幅度为2%或者在原报价得分的基础上增加其价格得分的2%。(专门面向中小企业采购的项目或者采购包，不再执行价格评审优惠的扶持政策。)</w:t>
            </w:r>
          </w:p>
          <w:p w14:paraId="0AC9C7CF">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5、涉及残疾人福利性单位参加评审的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对属于残疾人福利性单位的价格给予扣除，用扣除后的价格参与评审；</w:t>
            </w:r>
          </w:p>
          <w:p w14:paraId="7CC8DE8B">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注：残疾人福利性单位属于小型、微型企业的，不重复享受政策。</w:t>
            </w:r>
          </w:p>
          <w:p w14:paraId="31840998">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享受政府采购支持政策的残疾人福利性单位应当同时满足以下条件：</w:t>
            </w:r>
          </w:p>
          <w:p w14:paraId="18C110D2">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A.安置的残疾人占本单位在职职工人数的比例不低于25%（含25%），并且安置的残疾人人数不少于10人（含10人）；</w:t>
            </w:r>
          </w:p>
          <w:p w14:paraId="7D77EF0E">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B.依法与安置的每位残疾人签订了一年以上（含一年）的劳动合同或服务协议；</w:t>
            </w:r>
          </w:p>
          <w:p w14:paraId="2E8940CE">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C.为安置的每位残疾人按月足额缴纳了基本养老保险、基本医疗保险、失业保险、工伤保险和生育保险等社会保险费；</w:t>
            </w:r>
          </w:p>
          <w:p w14:paraId="21F8890F">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D.通过银行等金融机构向安置的每位残疾人，按月支付了不低于单位所在区县适用的经省级人民政府批准的月最低工资标准的工资；</w:t>
            </w:r>
          </w:p>
          <w:p w14:paraId="79820AD5">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E．提供本单位制造的货物、承担的工程或者服务（以下简称产品），或者提供其他残疾人福利性单位制造的货物（不包括使用非残疾人福利性单位注册商标的货物）。</w:t>
            </w:r>
          </w:p>
          <w:p w14:paraId="4568F406">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E79274">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6、涉及监狱企业参加评审的</w:t>
            </w:r>
          </w:p>
          <w:p w14:paraId="0E68D4F0">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依据《财政部司法部关于政府采购支持监狱企业发展有关问题的通知》(财库〔2014〕68号)规定，监狱企业视同小型、微型企业，享受预留份额、评审中价格扣除等政府采购促进中小企业发展的政府采购政策。对属于监狱企业的价格给予扣除，用扣除后的价格参与评审。</w:t>
            </w:r>
          </w:p>
          <w:p w14:paraId="12C2AE60">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注：（1）监狱企业又属于小型、微型企业的，不重复享受政策。</w:t>
            </w:r>
          </w:p>
          <w:p w14:paraId="03AFB18E">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4F656BA">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7、涉及创新产品、创新服务的</w:t>
            </w:r>
          </w:p>
          <w:p w14:paraId="31E12306">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（供应商投提供创新产品或创新服务属于《山西省创新产品和服务推荐清单》中创新产品或创新服务的，对供应商的报价给予折扣，以折扣后的价格参与评审。</w:t>
            </w:r>
          </w:p>
          <w:p w14:paraId="0F3C3347">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8、涉及商品包装和快递包装的</w:t>
            </w:r>
          </w:p>
          <w:p w14:paraId="545ECA14">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本文件列出商品包装和快递包装要求的，供应商应承诺商品包装符合《商品包装政府采购需求标准（试行）》，快递包装符合《快递包装政府采购需求标准（试行）》。</w:t>
            </w:r>
          </w:p>
          <w:p w14:paraId="6595F5E3">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.格式见第七部分</w:t>
            </w:r>
          </w:p>
        </w:tc>
      </w:tr>
      <w:tr w14:paraId="5F0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715AF980">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2639" w:type="dxa"/>
            <w:vAlign w:val="center"/>
          </w:tcPr>
          <w:p w14:paraId="21E70B8D">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响应文件递交</w:t>
            </w:r>
          </w:p>
        </w:tc>
        <w:tc>
          <w:tcPr>
            <w:tcW w:w="6407" w:type="dxa"/>
            <w:vAlign w:val="center"/>
          </w:tcPr>
          <w:p w14:paraId="05D69936">
            <w:pPr>
              <w:topLinePunct/>
              <w:autoSpaceDE w:val="0"/>
              <w:autoSpaceDN w:val="0"/>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递交截止时间：</w:t>
            </w:r>
            <w:r>
              <w:rPr>
                <w:rFonts w:hint="eastAsia" w:ascii="宋体" w:hAnsi="宋体" w:cs="宋体"/>
                <w:color w:val="auto"/>
                <w:kern w:val="0"/>
                <w:sz w:val="24"/>
                <w:highlight w:val="none"/>
                <w:lang w:eastAsia="zh-CN"/>
              </w:rPr>
              <w:t>2025年08月01日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lang w:eastAsia="zh-CN"/>
              </w:rPr>
              <w:t>时</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0分</w:t>
            </w:r>
            <w:r>
              <w:rPr>
                <w:rFonts w:hint="eastAsia" w:ascii="宋体" w:hAnsi="宋体" w:cs="宋体"/>
                <w:color w:val="auto"/>
                <w:kern w:val="0"/>
                <w:sz w:val="24"/>
                <w:highlight w:val="none"/>
              </w:rPr>
              <w:t>（北京时间）前在山西省政府采购信息平台</w:t>
            </w:r>
          </w:p>
          <w:p w14:paraId="2C2433F4">
            <w:pPr>
              <w:topLinePunct/>
              <w:autoSpaceDE w:val="0"/>
              <w:autoSpaceDN w:val="0"/>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（http://www.ccgp-shanxi.gov.cn/home.html）中完成递交（上传），截止时间前未完成响应文件上传的，视为撤回响应文件，供应商自行承担责任。</w:t>
            </w:r>
          </w:p>
          <w:p w14:paraId="4481684E">
            <w:pPr>
              <w:topLinePunct/>
              <w:autoSpaceDE w:val="0"/>
              <w:autoSpaceDN w:val="0"/>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递交地址：政采云平台投标客户端</w:t>
            </w:r>
          </w:p>
        </w:tc>
      </w:tr>
      <w:tr w14:paraId="7A58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2D419AC0">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2639" w:type="dxa"/>
            <w:vAlign w:val="center"/>
          </w:tcPr>
          <w:p w14:paraId="45150AD3">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谈判小组成员构成</w:t>
            </w:r>
          </w:p>
        </w:tc>
        <w:tc>
          <w:tcPr>
            <w:tcW w:w="6407" w:type="dxa"/>
            <w:vAlign w:val="center"/>
          </w:tcPr>
          <w:p w14:paraId="14D8733E">
            <w:pPr>
              <w:spacing w:line="360" w:lineRule="auto"/>
              <w:rPr>
                <w:rFonts w:ascii="宋体" w:hAnsi="宋体" w:cs="宋体"/>
                <w:bCs/>
                <w:color w:val="auto"/>
                <w:sz w:val="24"/>
                <w:highlight w:val="none"/>
              </w:rPr>
            </w:pPr>
            <w:r>
              <w:rPr>
                <w:rFonts w:hint="eastAsia" w:ascii="宋体" w:hAnsi="宋体" w:cs="宋体"/>
                <w:bCs/>
                <w:color w:val="auto"/>
                <w:sz w:val="24"/>
                <w:highlight w:val="none"/>
              </w:rPr>
              <w:t>本采购项目的谈判小组成员由</w:t>
            </w:r>
            <w:r>
              <w:rPr>
                <w:rFonts w:hint="eastAsia" w:ascii="宋体" w:hAnsi="宋体" w:cs="宋体"/>
                <w:bCs/>
                <w:color w:val="auto"/>
                <w:sz w:val="24"/>
                <w:highlight w:val="none"/>
                <w:u w:val="single"/>
              </w:rPr>
              <w:t>3</w:t>
            </w:r>
            <w:r>
              <w:rPr>
                <w:rFonts w:hint="eastAsia" w:ascii="宋体" w:hAnsi="宋体" w:cs="宋体"/>
                <w:bCs/>
                <w:color w:val="auto"/>
                <w:sz w:val="24"/>
                <w:highlight w:val="none"/>
              </w:rPr>
              <w:t>人组成，其中评审专家</w:t>
            </w:r>
            <w:r>
              <w:rPr>
                <w:rFonts w:hint="eastAsia" w:ascii="宋体" w:hAnsi="宋体" w:cs="宋体"/>
                <w:bCs/>
                <w:color w:val="auto"/>
                <w:sz w:val="24"/>
                <w:highlight w:val="none"/>
                <w:u w:val="single"/>
              </w:rPr>
              <w:t>2</w:t>
            </w:r>
            <w:r>
              <w:rPr>
                <w:rFonts w:hint="eastAsia" w:ascii="宋体" w:hAnsi="宋体" w:cs="宋体"/>
                <w:bCs/>
                <w:color w:val="auto"/>
                <w:sz w:val="24"/>
                <w:highlight w:val="none"/>
              </w:rPr>
              <w:t>人，采购人代表</w:t>
            </w:r>
            <w:r>
              <w:rPr>
                <w:rFonts w:hint="eastAsia" w:ascii="宋体" w:hAnsi="宋体" w:cs="宋体"/>
                <w:bCs/>
                <w:color w:val="auto"/>
                <w:sz w:val="24"/>
                <w:highlight w:val="none"/>
                <w:u w:val="single"/>
              </w:rPr>
              <w:t>1</w:t>
            </w:r>
            <w:r>
              <w:rPr>
                <w:rFonts w:hint="eastAsia" w:ascii="宋体" w:hAnsi="宋体" w:cs="宋体"/>
                <w:bCs/>
                <w:color w:val="auto"/>
                <w:sz w:val="24"/>
                <w:highlight w:val="none"/>
              </w:rPr>
              <w:t>人。</w:t>
            </w:r>
          </w:p>
        </w:tc>
      </w:tr>
      <w:tr w14:paraId="3285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44D724D9">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2639" w:type="dxa"/>
            <w:vAlign w:val="center"/>
          </w:tcPr>
          <w:p w14:paraId="78085804">
            <w:pPr>
              <w:spacing w:line="360" w:lineRule="auto"/>
              <w:ind w:left="-101" w:leftChars="-48" w:right="-94" w:rightChars="-45" w:firstLine="132" w:firstLineChars="55"/>
              <w:jc w:val="center"/>
              <w:rPr>
                <w:rFonts w:ascii="宋体" w:hAnsi="宋体" w:cs="宋体"/>
                <w:color w:val="auto"/>
                <w:sz w:val="24"/>
                <w:highlight w:val="none"/>
              </w:rPr>
            </w:pPr>
            <w:r>
              <w:rPr>
                <w:rFonts w:hint="eastAsia" w:ascii="宋体" w:hAnsi="宋体" w:cs="宋体"/>
                <w:color w:val="auto"/>
                <w:sz w:val="24"/>
                <w:highlight w:val="none"/>
              </w:rPr>
              <w:t>确定成交供应商</w:t>
            </w:r>
          </w:p>
        </w:tc>
        <w:tc>
          <w:tcPr>
            <w:tcW w:w="6407" w:type="dxa"/>
            <w:vAlign w:val="center"/>
          </w:tcPr>
          <w:p w14:paraId="2EF44516">
            <w:pPr>
              <w:spacing w:line="360" w:lineRule="auto"/>
              <w:rPr>
                <w:rFonts w:ascii="宋体" w:hAnsi="宋体" w:cs="宋体"/>
                <w:bCs/>
                <w:color w:val="auto"/>
                <w:sz w:val="24"/>
                <w:highlight w:val="none"/>
              </w:rPr>
            </w:pPr>
            <w:r>
              <w:rPr>
                <w:rFonts w:hint="eastAsia" w:ascii="宋体" w:hAnsi="宋体" w:cs="宋体"/>
                <w:bCs/>
                <w:color w:val="auto"/>
                <w:sz w:val="24"/>
                <w:highlight w:val="none"/>
              </w:rPr>
              <w:t>质量和服务均能满足谈判文件实质性响应要求的供应商中，按照供应商由低到高的报价顺序，甲方授权评标委员会按照成交候选供应商排序，优先直接确定排名第一的供应商为成交供应商。</w:t>
            </w:r>
          </w:p>
        </w:tc>
      </w:tr>
      <w:tr w14:paraId="0819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095A758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2639" w:type="dxa"/>
            <w:vAlign w:val="center"/>
          </w:tcPr>
          <w:p w14:paraId="4352D709">
            <w:pPr>
              <w:topLinePunct/>
              <w:autoSpaceDE w:val="0"/>
              <w:autoSpaceDN w:val="0"/>
              <w:spacing w:line="460" w:lineRule="exact"/>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现场勘查</w:t>
            </w:r>
          </w:p>
        </w:tc>
        <w:tc>
          <w:tcPr>
            <w:tcW w:w="6407" w:type="dxa"/>
            <w:vAlign w:val="center"/>
          </w:tcPr>
          <w:p w14:paraId="1308BC02">
            <w:pPr>
              <w:pStyle w:val="32"/>
              <w:keepNext w:val="0"/>
              <w:keepLines w:val="0"/>
              <w:topLinePunct/>
              <w:autoSpaceDE w:val="0"/>
              <w:autoSpaceDN w:val="0"/>
              <w:snapToGrid w:val="0"/>
              <w:spacing w:before="0" w:after="0" w:line="460" w:lineRule="exact"/>
              <w:rPr>
                <w:rFonts w:cs="宋体"/>
                <w:color w:val="auto"/>
                <w:kern w:val="0"/>
                <w:sz w:val="24"/>
                <w:szCs w:val="24"/>
                <w:highlight w:val="none"/>
              </w:rPr>
            </w:pPr>
            <w:r>
              <w:rPr>
                <w:rFonts w:hint="eastAsia" w:cs="宋体"/>
                <w:color w:val="auto"/>
                <w:kern w:val="0"/>
                <w:sz w:val="24"/>
                <w:szCs w:val="24"/>
                <w:lang w:val="en-US" w:eastAsia="zh-CN"/>
              </w:rPr>
              <w:t>谈判</w:t>
            </w:r>
            <w:r>
              <w:rPr>
                <w:rFonts w:hint="eastAsia" w:cs="宋体"/>
                <w:color w:val="auto"/>
                <w:kern w:val="0"/>
                <w:sz w:val="24"/>
                <w:szCs w:val="24"/>
              </w:rPr>
              <w:t>文件提供期限截止后，如需要，书面通知</w:t>
            </w:r>
          </w:p>
        </w:tc>
      </w:tr>
      <w:tr w14:paraId="7D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49851C3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2639" w:type="dxa"/>
            <w:vAlign w:val="center"/>
          </w:tcPr>
          <w:p w14:paraId="72B16E72">
            <w:pPr>
              <w:topLinePunct/>
              <w:autoSpaceDE w:val="0"/>
              <w:autoSpaceDN w:val="0"/>
              <w:spacing w:line="460" w:lineRule="exact"/>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标前答疑</w:t>
            </w:r>
          </w:p>
        </w:tc>
        <w:tc>
          <w:tcPr>
            <w:tcW w:w="6407" w:type="dxa"/>
            <w:vAlign w:val="center"/>
          </w:tcPr>
          <w:p w14:paraId="2407D2AA">
            <w:pPr>
              <w:pStyle w:val="32"/>
              <w:keepNext w:val="0"/>
              <w:keepLines w:val="0"/>
              <w:topLinePunct/>
              <w:autoSpaceDE w:val="0"/>
              <w:autoSpaceDN w:val="0"/>
              <w:snapToGrid w:val="0"/>
              <w:spacing w:before="0" w:after="0" w:line="460" w:lineRule="exact"/>
              <w:rPr>
                <w:rFonts w:cs="宋体"/>
                <w:bCs/>
                <w:color w:val="auto"/>
                <w:sz w:val="24"/>
                <w:szCs w:val="24"/>
                <w:highlight w:val="none"/>
              </w:rPr>
            </w:pPr>
            <w:r>
              <w:rPr>
                <w:rFonts w:hint="eastAsia" w:cs="宋体"/>
                <w:color w:val="auto"/>
                <w:kern w:val="0"/>
                <w:sz w:val="24"/>
                <w:szCs w:val="24"/>
                <w:lang w:val="en-US" w:eastAsia="zh-CN"/>
              </w:rPr>
              <w:t>谈判</w:t>
            </w:r>
            <w:r>
              <w:rPr>
                <w:rFonts w:hint="eastAsia" w:cs="宋体"/>
                <w:color w:val="auto"/>
                <w:kern w:val="0"/>
                <w:sz w:val="24"/>
                <w:szCs w:val="24"/>
              </w:rPr>
              <w:t>文件提供期限截止后，如需要，书面通知</w:t>
            </w:r>
          </w:p>
        </w:tc>
      </w:tr>
      <w:tr w14:paraId="61A8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85" w:type="dxa"/>
            <w:vAlign w:val="center"/>
          </w:tcPr>
          <w:p w14:paraId="5B3C809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2639" w:type="dxa"/>
            <w:vAlign w:val="center"/>
          </w:tcPr>
          <w:p w14:paraId="30C44832">
            <w:pPr>
              <w:spacing w:line="360" w:lineRule="auto"/>
              <w:ind w:left="-103" w:leftChars="-49" w:right="-94" w:rightChars="-45"/>
              <w:jc w:val="center"/>
              <w:rPr>
                <w:rFonts w:ascii="宋体" w:hAnsi="宋体" w:cs="宋体"/>
                <w:color w:val="auto"/>
                <w:sz w:val="24"/>
                <w:highlight w:val="none"/>
              </w:rPr>
            </w:pPr>
            <w:r>
              <w:rPr>
                <w:rFonts w:hint="eastAsia" w:ascii="宋体" w:hAnsi="宋体" w:cs="宋体"/>
                <w:color w:val="auto"/>
                <w:sz w:val="24"/>
                <w:highlight w:val="none"/>
              </w:rPr>
              <w:t>谈判过程中可能实质性变动内容</w:t>
            </w:r>
          </w:p>
        </w:tc>
        <w:tc>
          <w:tcPr>
            <w:tcW w:w="6407" w:type="dxa"/>
            <w:vAlign w:val="bottom"/>
          </w:tcPr>
          <w:p w14:paraId="17970DBA">
            <w:pPr>
              <w:pStyle w:val="32"/>
              <w:keepNext w:val="0"/>
              <w:keepLines w:val="0"/>
              <w:snapToGrid w:val="0"/>
              <w:spacing w:before="0" w:after="0" w:line="420" w:lineRule="exact"/>
              <w:rPr>
                <w:rFonts w:cs="宋体"/>
                <w:color w:val="auto"/>
                <w:sz w:val="24"/>
                <w:szCs w:val="24"/>
                <w:highlight w:val="none"/>
              </w:rPr>
            </w:pPr>
            <w:bookmarkStart w:id="52" w:name="_Toc23913"/>
            <w:r>
              <w:rPr>
                <w:rFonts w:hint="eastAsia" w:cs="宋体"/>
                <w:color w:val="auto"/>
                <w:sz w:val="24"/>
                <w:szCs w:val="24"/>
                <w:highlight w:val="none"/>
              </w:rPr>
              <w:t>谈判文件第五部分中的技术、服务要求以及第六部分合同范本中相关内容，对变动的内容，须经采购方代表签字确认。</w:t>
            </w:r>
            <w:bookmarkEnd w:id="52"/>
          </w:p>
        </w:tc>
      </w:tr>
      <w:tr w14:paraId="4125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85" w:type="dxa"/>
            <w:vAlign w:val="center"/>
          </w:tcPr>
          <w:p w14:paraId="63B5D24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639" w:type="dxa"/>
            <w:vAlign w:val="center"/>
          </w:tcPr>
          <w:p w14:paraId="1F0DA4B3">
            <w:pPr>
              <w:spacing w:line="420" w:lineRule="exact"/>
              <w:ind w:left="-105" w:leftChars="-50" w:right="-105" w:rightChars="-50"/>
              <w:jc w:val="center"/>
              <w:rPr>
                <w:rFonts w:ascii="宋体" w:hAnsi="宋体" w:cs="宋体"/>
                <w:color w:val="auto"/>
                <w:sz w:val="24"/>
                <w:highlight w:val="none"/>
              </w:rPr>
            </w:pPr>
            <w:r>
              <w:rPr>
                <w:rFonts w:hint="eastAsia" w:ascii="宋体" w:hAnsi="宋体"/>
                <w:color w:val="auto"/>
                <w:sz w:val="24"/>
              </w:rPr>
              <w:t>本项目所属行业</w:t>
            </w:r>
          </w:p>
        </w:tc>
        <w:tc>
          <w:tcPr>
            <w:tcW w:w="6407" w:type="dxa"/>
            <w:vAlign w:val="center"/>
          </w:tcPr>
          <w:p w14:paraId="7C1E7B76">
            <w:pPr>
              <w:pStyle w:val="32"/>
              <w:keepNext w:val="0"/>
              <w:keepLines w:val="0"/>
              <w:snapToGrid w:val="0"/>
              <w:spacing w:before="0" w:after="0" w:line="420" w:lineRule="exact"/>
              <w:rPr>
                <w:rFonts w:cs="宋体"/>
                <w:color w:val="auto"/>
                <w:sz w:val="24"/>
                <w:szCs w:val="24"/>
                <w:highlight w:val="none"/>
              </w:rPr>
            </w:pPr>
            <w:r>
              <w:rPr>
                <w:rFonts w:hint="eastAsia"/>
                <w:color w:val="auto"/>
                <w:sz w:val="24"/>
                <w:szCs w:val="24"/>
              </w:rPr>
              <w:t>根据中小企业划型标准，本项目属</w:t>
            </w:r>
            <w:r>
              <w:rPr>
                <w:rFonts w:hint="eastAsia"/>
                <w:color w:val="auto"/>
                <w:sz w:val="24"/>
                <w:szCs w:val="24"/>
                <w:u w:val="single"/>
                <w:lang w:val="en-US" w:eastAsia="zh-CN"/>
              </w:rPr>
              <w:t>其他未列明行业</w:t>
            </w:r>
            <w:r>
              <w:rPr>
                <w:rFonts w:hint="eastAsia"/>
                <w:color w:val="auto"/>
                <w:sz w:val="24"/>
                <w:szCs w:val="24"/>
              </w:rPr>
              <w:t>行业。</w:t>
            </w:r>
          </w:p>
        </w:tc>
      </w:tr>
      <w:tr w14:paraId="7747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85" w:type="dxa"/>
            <w:vAlign w:val="center"/>
          </w:tcPr>
          <w:p w14:paraId="035BA94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639" w:type="dxa"/>
            <w:vAlign w:val="center"/>
          </w:tcPr>
          <w:p w14:paraId="0C264BB5">
            <w:pPr>
              <w:spacing w:line="360" w:lineRule="auto"/>
              <w:ind w:left="-103" w:leftChars="-49" w:right="-94" w:rightChars="-45"/>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407" w:type="dxa"/>
            <w:vAlign w:val="bottom"/>
          </w:tcPr>
          <w:p w14:paraId="17E87618">
            <w:pPr>
              <w:pStyle w:val="32"/>
              <w:keepNext w:val="0"/>
              <w:keepLines w:val="0"/>
              <w:snapToGrid w:val="0"/>
              <w:spacing w:before="0" w:after="0" w:line="420" w:lineRule="exact"/>
              <w:rPr>
                <w:rFonts w:hint="eastAsia" w:eastAsia="宋体" w:cs="宋体"/>
                <w:color w:val="auto"/>
                <w:sz w:val="24"/>
                <w:szCs w:val="24"/>
                <w:highlight w:val="none"/>
                <w:lang w:eastAsia="zh-CN"/>
              </w:rPr>
            </w:pPr>
            <w:r>
              <w:rPr>
                <w:rFonts w:hint="eastAsia" w:eastAsia="宋体" w:cs="宋体"/>
                <w:color w:val="auto"/>
                <w:sz w:val="24"/>
                <w:szCs w:val="24"/>
                <w:highlight w:val="none"/>
                <w:lang w:val="en-US" w:eastAsia="zh-CN"/>
              </w:rPr>
              <w:t>由成交人向采购代理机构支付，</w:t>
            </w:r>
            <w:r>
              <w:rPr>
                <w:rFonts w:hint="eastAsia" w:eastAsia="宋体" w:cs="宋体"/>
                <w:color w:val="auto"/>
                <w:sz w:val="24"/>
                <w:szCs w:val="24"/>
                <w:highlight w:val="none"/>
                <w:lang w:eastAsia="zh-CN"/>
              </w:rPr>
              <w:t>费用额度参照国家计委计价格[2002]1980号文件和国家发改委发改价格[2011]534号文件规定</w:t>
            </w:r>
            <w:r>
              <w:rPr>
                <w:rFonts w:hint="eastAsia" w:eastAsia="宋体" w:cs="宋体"/>
                <w:color w:val="auto"/>
                <w:sz w:val="24"/>
                <w:szCs w:val="24"/>
                <w:highlight w:val="none"/>
                <w:lang w:val="en-US" w:eastAsia="zh-CN"/>
              </w:rPr>
              <w:t>收取</w:t>
            </w:r>
            <w:r>
              <w:rPr>
                <w:rFonts w:hint="eastAsia" w:eastAsia="宋体" w:cs="宋体"/>
                <w:color w:val="auto"/>
                <w:sz w:val="24"/>
                <w:szCs w:val="24"/>
                <w:highlight w:val="none"/>
                <w:lang w:eastAsia="zh-CN"/>
              </w:rPr>
              <w:t>。</w:t>
            </w:r>
          </w:p>
        </w:tc>
      </w:tr>
    </w:tbl>
    <w:p w14:paraId="666CD2DD">
      <w:pPr>
        <w:snapToGrid w:val="0"/>
        <w:jc w:val="center"/>
        <w:outlineLvl w:val="1"/>
        <w:rPr>
          <w:rFonts w:ascii="宋体" w:hAnsi="宋体" w:cs="宋体"/>
          <w:b/>
          <w:bCs/>
          <w:color w:val="auto"/>
          <w:spacing w:val="20"/>
          <w:kern w:val="0"/>
          <w:sz w:val="30"/>
          <w:szCs w:val="30"/>
          <w:highlight w:val="none"/>
        </w:rPr>
      </w:pPr>
      <w:r>
        <w:rPr>
          <w:rFonts w:hint="eastAsia" w:ascii="宋体" w:hAnsi="宋体" w:cs="宋体"/>
          <w:b/>
          <w:bCs/>
          <w:snapToGrid w:val="0"/>
          <w:color w:val="auto"/>
          <w:kern w:val="0"/>
          <w:sz w:val="32"/>
          <w:szCs w:val="32"/>
          <w:highlight w:val="none"/>
        </w:rPr>
        <w:br w:type="page"/>
      </w:r>
      <w:bookmarkStart w:id="53" w:name="_Toc16371"/>
      <w:r>
        <w:rPr>
          <w:rFonts w:hint="eastAsia" w:ascii="宋体" w:hAnsi="宋体" w:cs="宋体"/>
          <w:b/>
          <w:bCs/>
          <w:color w:val="auto"/>
          <w:spacing w:val="20"/>
          <w:kern w:val="0"/>
          <w:sz w:val="28"/>
          <w:szCs w:val="28"/>
          <w:highlight w:val="none"/>
        </w:rPr>
        <w:t>电子响应须知附表</w:t>
      </w:r>
      <w:bookmarkEnd w:id="53"/>
    </w:p>
    <w:tbl>
      <w:tblPr>
        <w:tblStyle w:val="2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53"/>
        <w:gridCol w:w="7180"/>
      </w:tblGrid>
      <w:tr w14:paraId="4A5B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14:paraId="466E63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3" w:type="dxa"/>
            <w:vAlign w:val="center"/>
          </w:tcPr>
          <w:p w14:paraId="29FCEA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7180" w:type="dxa"/>
            <w:vAlign w:val="center"/>
          </w:tcPr>
          <w:p w14:paraId="52B416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21F6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14:paraId="39AC06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53" w:type="dxa"/>
            <w:vAlign w:val="center"/>
          </w:tcPr>
          <w:p w14:paraId="4DEDFC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响应文件编制</w:t>
            </w:r>
          </w:p>
        </w:tc>
        <w:tc>
          <w:tcPr>
            <w:tcW w:w="7180" w:type="dxa"/>
            <w:vAlign w:val="center"/>
          </w:tcPr>
          <w:p w14:paraId="374E7C22">
            <w:pPr>
              <w:spacing w:line="360" w:lineRule="auto"/>
              <w:jc w:val="left"/>
              <w:rPr>
                <w:rFonts w:ascii="宋体" w:hAnsi="宋体" w:cs="宋体"/>
                <w:color w:val="auto"/>
                <w:sz w:val="24"/>
                <w:highlight w:val="none"/>
              </w:rPr>
            </w:pPr>
            <w:r>
              <w:rPr>
                <w:rFonts w:hint="eastAsia" w:ascii="宋体" w:hAnsi="宋体" w:cs="宋体"/>
                <w:color w:val="auto"/>
                <w:sz w:val="24"/>
                <w:highlight w:val="none"/>
              </w:rPr>
              <w:t>1.1供应商应使用政采云系统的响应文件编制工具，按照操作手册编制电子响应文件，并使用数字证书（CA）按照谈判文件规定签字、签章。同时使用数字证书（CA）对响应文件进行加密。</w:t>
            </w:r>
          </w:p>
          <w:p w14:paraId="2F169545">
            <w:pPr>
              <w:spacing w:line="360" w:lineRule="auto"/>
              <w:jc w:val="left"/>
              <w:rPr>
                <w:rFonts w:ascii="宋体" w:hAnsi="宋体" w:cs="宋体"/>
                <w:color w:val="auto"/>
                <w:sz w:val="24"/>
                <w:highlight w:val="none"/>
              </w:rPr>
            </w:pPr>
            <w:r>
              <w:rPr>
                <w:rFonts w:hint="eastAsia" w:ascii="宋体" w:hAnsi="宋体" w:cs="宋体"/>
                <w:color w:val="auto"/>
                <w:sz w:val="24"/>
                <w:highlight w:val="none"/>
              </w:rPr>
              <w:t>1.2在上传电子响应文件时，需对应系统中每个模块要求，形成独立的PDF格式文件，按照指定对应模块，逐条完成上传，保存后提交。</w:t>
            </w:r>
          </w:p>
          <w:p w14:paraId="1D7D683C">
            <w:pPr>
              <w:spacing w:line="360" w:lineRule="auto"/>
              <w:jc w:val="left"/>
              <w:rPr>
                <w:rFonts w:ascii="宋体" w:hAnsi="宋体" w:cs="宋体"/>
                <w:color w:val="auto"/>
                <w:sz w:val="24"/>
                <w:highlight w:val="none"/>
              </w:rPr>
            </w:pPr>
            <w:r>
              <w:rPr>
                <w:rFonts w:hint="eastAsia" w:ascii="宋体" w:hAnsi="宋体" w:cs="宋体"/>
                <w:color w:val="auto"/>
                <w:sz w:val="24"/>
                <w:highlight w:val="none"/>
              </w:rPr>
              <w:t>1.3电子响应文件所附各类证件、证书、证明，均随响应文件统一编排页码进行上传。</w:t>
            </w:r>
          </w:p>
        </w:tc>
      </w:tr>
      <w:tr w14:paraId="2A7B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14:paraId="1078D5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53" w:type="dxa"/>
            <w:vAlign w:val="center"/>
          </w:tcPr>
          <w:p w14:paraId="58AED9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电子响应文件解密</w:t>
            </w:r>
          </w:p>
        </w:tc>
        <w:tc>
          <w:tcPr>
            <w:tcW w:w="7180" w:type="dxa"/>
            <w:vAlign w:val="center"/>
          </w:tcPr>
          <w:p w14:paraId="65502AE8">
            <w:pPr>
              <w:spacing w:line="360" w:lineRule="auto"/>
              <w:jc w:val="left"/>
              <w:rPr>
                <w:rFonts w:ascii="宋体" w:hAnsi="宋体" w:cs="宋体"/>
                <w:color w:val="auto"/>
                <w:sz w:val="24"/>
                <w:highlight w:val="none"/>
              </w:rPr>
            </w:pPr>
            <w:r>
              <w:rPr>
                <w:rFonts w:hint="eastAsia" w:ascii="宋体" w:hAnsi="宋体" w:cs="宋体"/>
                <w:color w:val="auto"/>
                <w:sz w:val="24"/>
                <w:highlight w:val="none"/>
              </w:rPr>
              <w:t>2.1在谈判文件规定的响应文件开启时间后，采购代理机构会在政采云系统发出解密指令，供应商在收到解密指令后，须使用加密响应文件时所使用的数字证书（CA）对已递交（上传）的电子响应文件进行解密（可远程解密）。</w:t>
            </w:r>
          </w:p>
          <w:p w14:paraId="31685212">
            <w:pPr>
              <w:spacing w:line="360" w:lineRule="auto"/>
              <w:jc w:val="left"/>
              <w:rPr>
                <w:rFonts w:ascii="宋体" w:hAnsi="宋体" w:cs="宋体"/>
                <w:color w:val="auto"/>
                <w:sz w:val="24"/>
                <w:highlight w:val="none"/>
              </w:rPr>
            </w:pPr>
            <w:r>
              <w:rPr>
                <w:rFonts w:hint="eastAsia" w:ascii="宋体" w:hAnsi="宋体" w:cs="宋体"/>
                <w:color w:val="auto"/>
                <w:sz w:val="24"/>
                <w:highlight w:val="none"/>
              </w:rPr>
              <w:t>2.2电子响应文件解密时间：</w:t>
            </w:r>
            <w:r>
              <w:rPr>
                <w:rFonts w:hint="eastAsia" w:ascii="宋体" w:hAnsi="宋体" w:cs="宋体"/>
                <w:color w:val="auto"/>
                <w:sz w:val="24"/>
                <w:highlight w:val="none"/>
                <w:u w:val="single"/>
              </w:rPr>
              <w:t>30分钟</w:t>
            </w:r>
          </w:p>
          <w:p w14:paraId="1D88A001">
            <w:pPr>
              <w:spacing w:line="360" w:lineRule="auto"/>
              <w:jc w:val="left"/>
              <w:rPr>
                <w:rFonts w:ascii="宋体" w:hAnsi="宋体" w:cs="宋体"/>
                <w:color w:val="auto"/>
                <w:sz w:val="24"/>
                <w:highlight w:val="none"/>
              </w:rPr>
            </w:pPr>
            <w:r>
              <w:rPr>
                <w:rFonts w:hint="eastAsia" w:ascii="宋体" w:hAnsi="宋体" w:cs="宋体"/>
                <w:color w:val="auto"/>
                <w:sz w:val="24"/>
                <w:highlight w:val="none"/>
              </w:rPr>
              <w:t>2.3电子响应文件解密流程：使用用户名密码或电子CA登录政采云系统→项目采购→开标评标→找到对应项目→解密→输入CA密码→开始下载→解密完成。</w:t>
            </w:r>
          </w:p>
          <w:p w14:paraId="6736BDE2">
            <w:pPr>
              <w:spacing w:line="360" w:lineRule="auto"/>
              <w:jc w:val="left"/>
              <w:rPr>
                <w:rFonts w:ascii="宋体" w:hAnsi="宋体" w:cs="宋体"/>
                <w:color w:val="auto"/>
                <w:sz w:val="24"/>
                <w:highlight w:val="none"/>
              </w:rPr>
            </w:pPr>
            <w:r>
              <w:rPr>
                <w:rFonts w:hint="eastAsia" w:ascii="宋体" w:hAnsi="宋体" w:cs="宋体"/>
                <w:color w:val="auto"/>
                <w:sz w:val="24"/>
                <w:highlight w:val="none"/>
              </w:rPr>
              <w:t>2.4因供应商原因造成响应文件未解密的，视为撤销其响应文件，包括以下情形：</w:t>
            </w:r>
          </w:p>
          <w:p w14:paraId="4DB4C77C">
            <w:pPr>
              <w:spacing w:line="360" w:lineRule="auto"/>
              <w:jc w:val="left"/>
              <w:rPr>
                <w:rFonts w:ascii="宋体" w:hAnsi="宋体" w:cs="宋体"/>
                <w:color w:val="auto"/>
                <w:sz w:val="24"/>
                <w:highlight w:val="none"/>
              </w:rPr>
            </w:pPr>
            <w:r>
              <w:rPr>
                <w:rFonts w:hint="eastAsia" w:ascii="宋体" w:hAnsi="宋体" w:cs="宋体"/>
                <w:color w:val="auto"/>
                <w:sz w:val="24"/>
                <w:highlight w:val="none"/>
              </w:rPr>
              <w:t>（1)供应商未在规定时间内解密响应文件的；</w:t>
            </w:r>
          </w:p>
          <w:p w14:paraId="47D1952E">
            <w:pPr>
              <w:spacing w:line="360" w:lineRule="auto"/>
              <w:jc w:val="left"/>
              <w:rPr>
                <w:rFonts w:ascii="宋体" w:hAnsi="宋体" w:cs="宋体"/>
                <w:color w:val="auto"/>
                <w:sz w:val="24"/>
                <w:highlight w:val="none"/>
              </w:rPr>
            </w:pPr>
            <w:r>
              <w:rPr>
                <w:rFonts w:hint="eastAsia" w:ascii="宋体" w:hAnsi="宋体" w:cs="宋体"/>
                <w:color w:val="auto"/>
                <w:sz w:val="24"/>
                <w:highlight w:val="none"/>
              </w:rPr>
              <w:t>（2)供应商使用非本次谈判加密用CA数字证书解密的；</w:t>
            </w:r>
          </w:p>
          <w:p w14:paraId="5090D837">
            <w:pPr>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（3)供应商使用的CA数字证书属于注销或无效或损坏的。</w:t>
            </w:r>
          </w:p>
        </w:tc>
      </w:tr>
      <w:tr w14:paraId="3F78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14:paraId="73148B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53" w:type="dxa"/>
            <w:vAlign w:val="center"/>
          </w:tcPr>
          <w:p w14:paraId="5CA1A5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7180" w:type="dxa"/>
            <w:vAlign w:val="center"/>
          </w:tcPr>
          <w:p w14:paraId="0D1B0952">
            <w:pPr>
              <w:spacing w:line="360" w:lineRule="auto"/>
              <w:jc w:val="left"/>
              <w:rPr>
                <w:rFonts w:ascii="宋体" w:hAnsi="宋体" w:cs="宋体"/>
                <w:color w:val="auto"/>
                <w:sz w:val="24"/>
                <w:highlight w:val="none"/>
              </w:rPr>
            </w:pPr>
            <w:r>
              <w:rPr>
                <w:rFonts w:hint="eastAsia" w:ascii="宋体" w:hAnsi="宋体" w:cs="宋体"/>
                <w:color w:val="auto"/>
                <w:sz w:val="24"/>
                <w:highlight w:val="none"/>
              </w:rPr>
              <w:t>3.1本项目采购活动的全过程，均采用电子形式进行。在评审过程中，当政采云系统出现异常情形时，经请示财政部门同意后，采购代理机构可采用其他方式进行评审活动。</w:t>
            </w:r>
          </w:p>
          <w:p w14:paraId="28074A2E">
            <w:pPr>
              <w:spacing w:line="360" w:lineRule="auto"/>
              <w:jc w:val="left"/>
              <w:rPr>
                <w:rFonts w:ascii="宋体" w:hAnsi="宋体" w:cs="宋体"/>
                <w:color w:val="auto"/>
                <w:sz w:val="24"/>
                <w:highlight w:val="none"/>
              </w:rPr>
            </w:pPr>
            <w:r>
              <w:rPr>
                <w:rFonts w:hint="eastAsia" w:ascii="宋体" w:hAnsi="宋体" w:cs="宋体"/>
                <w:color w:val="auto"/>
                <w:sz w:val="24"/>
                <w:highlight w:val="none"/>
              </w:rPr>
              <w:t>3.2待系统恢复后，采购代理机构须把线下开启、评审结果数据录入政采云系统。</w:t>
            </w:r>
          </w:p>
        </w:tc>
      </w:tr>
    </w:tbl>
    <w:p w14:paraId="45D1D5A2">
      <w:pPr>
        <w:rPr>
          <w:rFonts w:ascii="宋体" w:hAnsi="宋体" w:cs="宋体"/>
          <w:color w:val="auto"/>
          <w:highlight w:val="none"/>
        </w:rPr>
      </w:pPr>
    </w:p>
    <w:p w14:paraId="2DA39F92">
      <w:pPr>
        <w:overflowPunct w:val="0"/>
        <w:topLinePunct/>
        <w:autoSpaceDN w:val="0"/>
        <w:adjustRightInd w:val="0"/>
        <w:snapToGrid w:val="0"/>
        <w:spacing w:line="360" w:lineRule="auto"/>
        <w:jc w:val="center"/>
        <w:outlineLvl w:val="9"/>
        <w:rPr>
          <w:rFonts w:ascii="宋体" w:hAnsi="宋体" w:cs="宋体"/>
          <w:b/>
          <w:bCs/>
          <w:snapToGrid w:val="0"/>
          <w:color w:val="auto"/>
          <w:kern w:val="0"/>
          <w:sz w:val="28"/>
          <w:szCs w:val="28"/>
          <w:highlight w:val="none"/>
        </w:rPr>
      </w:pPr>
    </w:p>
    <w:p w14:paraId="4D7FEA56">
      <w:pPr>
        <w:overflowPunct w:val="0"/>
        <w:topLinePunct/>
        <w:autoSpaceDN w:val="0"/>
        <w:adjustRightInd w:val="0"/>
        <w:snapToGrid w:val="0"/>
        <w:spacing w:line="360" w:lineRule="auto"/>
        <w:jc w:val="center"/>
        <w:outlineLvl w:val="0"/>
        <w:rPr>
          <w:rFonts w:ascii="宋体" w:hAnsi="宋体" w:cs="宋体"/>
          <w:b/>
          <w:bCs/>
          <w:snapToGrid w:val="0"/>
          <w:color w:val="auto"/>
          <w:kern w:val="0"/>
          <w:sz w:val="28"/>
          <w:szCs w:val="28"/>
          <w:highlight w:val="none"/>
        </w:rPr>
      </w:pPr>
      <w:bookmarkStart w:id="54" w:name="_Toc9666"/>
      <w:r>
        <w:rPr>
          <w:rFonts w:hint="eastAsia" w:ascii="宋体" w:hAnsi="宋体" w:cs="宋体"/>
          <w:b/>
          <w:bCs/>
          <w:snapToGrid w:val="0"/>
          <w:color w:val="auto"/>
          <w:kern w:val="0"/>
          <w:sz w:val="28"/>
          <w:szCs w:val="28"/>
          <w:highlight w:val="none"/>
        </w:rPr>
        <w:t>第三部分  供应商须知</w:t>
      </w:r>
      <w:bookmarkEnd w:id="54"/>
    </w:p>
    <w:p w14:paraId="20771B9A">
      <w:pPr>
        <w:snapToGrid w:val="0"/>
        <w:spacing w:line="360" w:lineRule="auto"/>
        <w:ind w:firstLine="482" w:firstLineChars="200"/>
        <w:outlineLvl w:val="1"/>
        <w:rPr>
          <w:rFonts w:ascii="宋体" w:hAnsi="宋体" w:cs="宋体"/>
          <w:bCs/>
          <w:color w:val="auto"/>
          <w:kern w:val="0"/>
          <w:sz w:val="24"/>
          <w:highlight w:val="none"/>
        </w:rPr>
      </w:pPr>
      <w:bookmarkStart w:id="55" w:name="_Toc25774"/>
      <w:r>
        <w:rPr>
          <w:rFonts w:hint="eastAsia" w:ascii="宋体" w:hAnsi="宋体" w:cs="宋体"/>
          <w:b/>
          <w:color w:val="auto"/>
          <w:kern w:val="0"/>
          <w:sz w:val="24"/>
          <w:highlight w:val="none"/>
        </w:rPr>
        <w:t>一、总则</w:t>
      </w:r>
      <w:bookmarkEnd w:id="55"/>
    </w:p>
    <w:p w14:paraId="120408A9">
      <w:pPr>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 适用范围</w:t>
      </w:r>
    </w:p>
    <w:p w14:paraId="3C67E32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本谈判文件适用于本次谈判活动的全过程。</w:t>
      </w:r>
      <w:r>
        <w:rPr>
          <w:rFonts w:hint="eastAsia" w:ascii="宋体" w:hAnsi="宋体" w:cs="宋体"/>
          <w:color w:val="auto"/>
          <w:kern w:val="0"/>
          <w:sz w:val="24"/>
          <w:highlight w:val="none"/>
        </w:rPr>
        <w:tab/>
      </w:r>
    </w:p>
    <w:p w14:paraId="6F730B8F">
      <w:pPr>
        <w:tabs>
          <w:tab w:val="left" w:pos="962"/>
        </w:tabs>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 定义</w:t>
      </w:r>
    </w:p>
    <w:p w14:paraId="48E80810">
      <w:pPr>
        <w:tabs>
          <w:tab w:val="left" w:pos="567"/>
        </w:tabs>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2.1采购方：指进行本次谈判活动的</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单位。即：</w:t>
      </w:r>
      <w:r>
        <w:rPr>
          <w:rFonts w:hint="eastAsia" w:ascii="宋体" w:hAnsi="宋体" w:cs="宋体"/>
          <w:color w:val="auto"/>
          <w:kern w:val="0"/>
          <w:sz w:val="24"/>
          <w:highlight w:val="none"/>
          <w:lang w:eastAsia="zh-CN"/>
        </w:rPr>
        <w:t>吕梁经济技术开发区管理委员会</w:t>
      </w:r>
      <w:r>
        <w:rPr>
          <w:rFonts w:hint="eastAsia" w:ascii="宋体" w:hAnsi="宋体" w:cs="宋体"/>
          <w:color w:val="auto"/>
          <w:kern w:val="0"/>
          <w:sz w:val="24"/>
          <w:highlight w:val="none"/>
        </w:rPr>
        <w:t>。</w:t>
      </w:r>
    </w:p>
    <w:p w14:paraId="3B1D2A9D">
      <w:pPr>
        <w:tabs>
          <w:tab w:val="left" w:pos="567"/>
        </w:tabs>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 xml:space="preserve">2.2 </w:t>
      </w:r>
      <w:r>
        <w:rPr>
          <w:rFonts w:hint="eastAsia" w:ascii="宋体" w:hAnsi="宋体" w:cs="宋体"/>
          <w:color w:val="auto"/>
          <w:kern w:val="0"/>
          <w:sz w:val="24"/>
          <w:highlight w:val="none"/>
        </w:rPr>
        <w:t>代理机构：指在采购方委托的范围内依法开展谈判活动，组织本次谈判活动的执行机构，即“</w:t>
      </w:r>
      <w:r>
        <w:rPr>
          <w:rFonts w:hint="eastAsia" w:ascii="宋体" w:hAnsi="宋体" w:cs="宋体"/>
          <w:color w:val="auto"/>
          <w:kern w:val="0"/>
          <w:sz w:val="24"/>
          <w:highlight w:val="none"/>
          <w:lang w:eastAsia="zh-CN"/>
        </w:rPr>
        <w:t>山西锦秀诚信项目咨询有限公司</w:t>
      </w:r>
      <w:r>
        <w:rPr>
          <w:rFonts w:hint="eastAsia" w:ascii="宋体" w:hAnsi="宋体" w:cs="宋体"/>
          <w:color w:val="auto"/>
          <w:kern w:val="0"/>
          <w:sz w:val="24"/>
          <w:highlight w:val="none"/>
        </w:rPr>
        <w:t>”。</w:t>
      </w:r>
    </w:p>
    <w:p w14:paraId="774C4270">
      <w:pPr>
        <w:tabs>
          <w:tab w:val="left" w:pos="567"/>
        </w:tabs>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2.3供应商：指符合本谈判文件规定向按期提供响应文件参加谈判活动的法人、其他组织或者自然人。</w:t>
      </w:r>
    </w:p>
    <w:p w14:paraId="064C77F6">
      <w:pPr>
        <w:tabs>
          <w:tab w:val="left" w:pos="567"/>
        </w:tabs>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2.4潜在供应商：指符合本谈判文件各项规定的供应商。</w:t>
      </w:r>
    </w:p>
    <w:p w14:paraId="2B322AD6">
      <w:pPr>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2.5货物：指供应商按谈判文件商务技术要求，向采购人有偿提供的各种物品及其他有关技术资料和材料。</w:t>
      </w:r>
    </w:p>
    <w:p w14:paraId="31D9BA0E">
      <w:pPr>
        <w:tabs>
          <w:tab w:val="left" w:pos="567"/>
        </w:tabs>
        <w:snapToGrid w:val="0"/>
        <w:spacing w:line="42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2.6服务：指谈判文件规定的供应商为完成采购项目所需承担的全部义务。如按要求完成</w:t>
      </w:r>
      <w:r>
        <w:rPr>
          <w:rFonts w:hint="eastAsia" w:ascii="宋体" w:hAnsi="宋体" w:cs="宋体"/>
          <w:color w:val="auto"/>
          <w:kern w:val="0"/>
          <w:sz w:val="24"/>
          <w:highlight w:val="none"/>
          <w:lang w:val="en-US" w:eastAsia="zh-CN"/>
        </w:rPr>
        <w:t>服务内容</w:t>
      </w:r>
      <w:r>
        <w:rPr>
          <w:rFonts w:hint="eastAsia" w:ascii="宋体" w:hAnsi="宋体" w:cs="宋体"/>
          <w:color w:val="auto"/>
          <w:kern w:val="0"/>
          <w:sz w:val="24"/>
          <w:highlight w:val="none"/>
        </w:rPr>
        <w:t>及本谈判文件和合同中规定由供应商承担的其他义务。</w:t>
      </w:r>
    </w:p>
    <w:p w14:paraId="27FDA2E2">
      <w:pPr>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2.7谈判文件：是采购代理机构根据国家相关法律法规政策和采购人采购需求制定的向潜在供应商发出并告知项目需求、谈判活动规则和合同条件等信息的要约文件，是本项目谈判活动的主要依据，对谈判活动各方均具有法律约束力。</w:t>
      </w:r>
    </w:p>
    <w:p w14:paraId="7A8E2AD7">
      <w:pPr>
        <w:snapToGrid w:val="0"/>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2.8响应文件：是指供应商应谈判文件的条件和要求，按规定编制并按时递交的文件。</w:t>
      </w:r>
    </w:p>
    <w:p w14:paraId="357174DA">
      <w:pPr>
        <w:tabs>
          <w:tab w:val="left" w:pos="567"/>
        </w:tabs>
        <w:snapToGrid w:val="0"/>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 合格供应商的条件</w:t>
      </w:r>
    </w:p>
    <w:p w14:paraId="1C95FB85">
      <w:pPr>
        <w:tabs>
          <w:tab w:val="left" w:pos="567"/>
        </w:tabs>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3.1符合《中华人民共和国政府采购法》第二十二条供应商参加政府采购活动应当具备的条件及其他有关法律、法规关于供应商的有关规定，有能力提供采购服务的供应商。需按供应商须知前附表第</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项要求提供有效资格证明文件。</w:t>
      </w:r>
    </w:p>
    <w:p w14:paraId="357F1BD3">
      <w:pPr>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3.2为本项目提供整体设计、规范编制或者项目管理、监理、检测等服务的供应商，不得再参加本项目的谈判</w:t>
      </w:r>
      <w:r>
        <w:rPr>
          <w:rFonts w:hint="eastAsia" w:ascii="宋体" w:hAnsi="宋体" w:cs="宋体"/>
          <w:color w:val="auto"/>
          <w:kern w:val="0"/>
          <w:sz w:val="24"/>
          <w:highlight w:val="none"/>
          <w:lang w:eastAsia="zh-CN"/>
        </w:rPr>
        <w:t>投标</w:t>
      </w:r>
      <w:r>
        <w:rPr>
          <w:rFonts w:hint="eastAsia" w:ascii="宋体" w:hAnsi="宋体" w:cs="宋体"/>
          <w:color w:val="auto"/>
          <w:kern w:val="0"/>
          <w:sz w:val="24"/>
          <w:highlight w:val="none"/>
        </w:rPr>
        <w:t>。</w:t>
      </w:r>
    </w:p>
    <w:p w14:paraId="7CEBF105">
      <w:pPr>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3.3关于是否允许代理商参加谈判：</w:t>
      </w:r>
      <w:r>
        <w:rPr>
          <w:rFonts w:hint="eastAsia" w:ascii="宋体" w:hAnsi="宋体" w:cs="宋体"/>
          <w:color w:val="auto"/>
          <w:kern w:val="0"/>
          <w:sz w:val="24"/>
          <w:highlight w:val="none"/>
          <w:lang w:val="en-US" w:eastAsia="zh-CN"/>
        </w:rPr>
        <w:t>否</w:t>
      </w:r>
      <w:r>
        <w:rPr>
          <w:rFonts w:hint="eastAsia" w:ascii="宋体" w:hAnsi="宋体" w:cs="宋体"/>
          <w:color w:val="auto"/>
          <w:kern w:val="0"/>
          <w:sz w:val="24"/>
          <w:highlight w:val="none"/>
        </w:rPr>
        <w:t>。</w:t>
      </w:r>
    </w:p>
    <w:p w14:paraId="2083099F">
      <w:pPr>
        <w:snapToGri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3.4关于是否允许联合体谈判：</w:t>
      </w:r>
      <w:r>
        <w:rPr>
          <w:rFonts w:hint="eastAsia" w:ascii="宋体" w:hAnsi="宋体" w:cs="宋体"/>
          <w:color w:val="auto"/>
          <w:kern w:val="0"/>
          <w:sz w:val="24"/>
          <w:highlight w:val="none"/>
          <w:lang w:val="en-US" w:eastAsia="zh-CN"/>
        </w:rPr>
        <w:t>否</w:t>
      </w:r>
      <w:r>
        <w:rPr>
          <w:rFonts w:hint="eastAsia" w:ascii="宋体" w:hAnsi="宋体" w:cs="宋体"/>
          <w:color w:val="auto"/>
          <w:kern w:val="0"/>
          <w:sz w:val="24"/>
          <w:highlight w:val="none"/>
        </w:rPr>
        <w:t>。</w:t>
      </w:r>
    </w:p>
    <w:p w14:paraId="7D273A25">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若《谈判邀请函》接受联合体参加的：</w:t>
      </w:r>
    </w:p>
    <w:p w14:paraId="178C25D3">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（1）两个以上的法人或者其他组织或自然人可以组成一个联合体，以一个供应商的身份共同参加。</w:t>
      </w:r>
    </w:p>
    <w:p w14:paraId="2AA4AD41">
      <w:pPr>
        <w:snapToGrid w:val="0"/>
        <w:spacing w:line="360" w:lineRule="auto"/>
        <w:ind w:firstLine="480" w:firstLineChars="200"/>
        <w:rPr>
          <w:rFonts w:hint="eastAsia" w:ascii="宋体" w:hAnsi="宋体" w:eastAsia="宋体" w:cs="宋体"/>
          <w:color w:val="auto"/>
          <w:kern w:val="0"/>
          <w:sz w:val="24"/>
          <w:highlight w:val="cyan"/>
          <w:lang w:eastAsia="zh-CN"/>
        </w:rPr>
      </w:pPr>
      <w:r>
        <w:rPr>
          <w:rFonts w:hint="eastAsia" w:ascii="宋体" w:hAnsi="宋体" w:cs="宋体"/>
          <w:color w:val="auto"/>
          <w:kern w:val="0"/>
          <w:sz w:val="24"/>
          <w:highlight w:val="none"/>
        </w:rPr>
        <w:t>（2）联合体各方均应当符合《政府采购法》第二十二条第一款规定的条件</w:t>
      </w:r>
      <w:r>
        <w:rPr>
          <w:rFonts w:hint="eastAsia" w:ascii="宋体" w:hAnsi="宋体" w:cs="宋体"/>
          <w:color w:val="auto"/>
          <w:kern w:val="0"/>
          <w:sz w:val="24"/>
          <w:highlight w:val="none"/>
          <w:lang w:eastAsia="zh-CN"/>
        </w:rPr>
        <w:t>。</w:t>
      </w:r>
    </w:p>
    <w:p w14:paraId="5063F54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联合体各方之间应当签订共同谈判协议并在响应文件内提交，明确约定联合体主体及联合体各方承担的工作和相应的责任。联合体各方签订共同谈判协议后，不得再以自己名义单独在同一项目中参加谈判活动，也不得组成新的联合体参加同一项目的谈判。联合谈判协议格式见本谈判文件第七部分响应文件格式。</w:t>
      </w:r>
    </w:p>
    <w:p w14:paraId="4D132349">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）下载谈判文件时，应以联合体协议中确定的</w:t>
      </w:r>
      <w:r>
        <w:rPr>
          <w:rFonts w:hint="eastAsia" w:ascii="宋体" w:hAnsi="宋体" w:cs="宋体"/>
          <w:color w:val="auto"/>
          <w:kern w:val="0"/>
          <w:sz w:val="24"/>
          <w:highlight w:val="none"/>
          <w:lang w:val="en-US" w:eastAsia="zh-CN"/>
        </w:rPr>
        <w:t>牵头人</w:t>
      </w:r>
      <w:r>
        <w:rPr>
          <w:rFonts w:hint="eastAsia" w:ascii="宋体" w:hAnsi="宋体" w:cs="宋体"/>
          <w:color w:val="auto"/>
          <w:kern w:val="0"/>
          <w:sz w:val="24"/>
          <w:highlight w:val="none"/>
        </w:rPr>
        <w:t>名义下载。</w:t>
      </w:r>
    </w:p>
    <w:p w14:paraId="593C2BB7">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）联合体参加的，应以主体方名义提交谈判保证金（如有），对联合体各方均具有约束力。</w:t>
      </w:r>
    </w:p>
    <w:p w14:paraId="2D119FD6">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由同一专业的单位组成的联合体，按照同一项资质等级较低的单位确定资质等级。业绩等有关打分内容根据共同谈判协议约定的各方承担的工作和相应责任，确定一方打分，不累加打分；评审标准无明确或难以明确对应哪一方的打分内容按主体方打分。</w:t>
      </w:r>
    </w:p>
    <w:p w14:paraId="6D35DAB7">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）联合体各方应当共同与采购人签订采购合同，就采购合同约定的事项对采购人承担连带责任。</w:t>
      </w:r>
    </w:p>
    <w:p w14:paraId="381826FF">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3.5关于关联企业</w:t>
      </w:r>
    </w:p>
    <w:p w14:paraId="680565FE">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除联合体外，法定代表人或单位负责人为同一个人或者存在直接控股、管理关系的不同供应商，不得同时参加同一项目或同一子项目的谈判活动。如同时参加，则评审时将同时被拒绝。</w:t>
      </w:r>
    </w:p>
    <w:p w14:paraId="298A5676">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3.6关于中小微企业参与谈判</w:t>
      </w:r>
    </w:p>
    <w:p w14:paraId="3283B85B">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中小微企业是指符合《政府采购促进中小企业发展管理办法》（财库[2020]46号）规定的供应商。中小微企业参与谈判应提供《中小企业声明函》。</w:t>
      </w:r>
    </w:p>
    <w:p w14:paraId="2CB1B988">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监狱企业参加时，提供由省级以上监狱管理局、戒毒管理局（含新疆生产建设兵团）出具的属于监狱企业的证明文件，不再提供《中小企业声明函》。</w:t>
      </w:r>
    </w:p>
    <w:p w14:paraId="3871FFE4">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残疾人福利性单位视同为小型、微型企业。</w:t>
      </w:r>
    </w:p>
    <w:p w14:paraId="569AB0CA">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3.7关于分公司参加谈判</w:t>
      </w:r>
    </w:p>
    <w:p w14:paraId="1AF9152A">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公司作为供应商参与本项目政府采购活动的，应提供具有法人资格的总公司的营业执照副本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7C70E7A9">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4.合格的服务</w:t>
      </w:r>
    </w:p>
    <w:p w14:paraId="4C965251">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4.1供应商所提供的服务应当没有侵犯任何第三方的知识产权、技术秘密等合法权利。</w:t>
      </w:r>
    </w:p>
    <w:p w14:paraId="08E4508F">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4.2供应商提供的服务应当符合谈判文件的要求，并且其质量完全符合国家标准、行业标准或地方标准。</w:t>
      </w:r>
    </w:p>
    <w:p w14:paraId="290FA27D">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4.3系统软件、通用软件必须是具有在中国境内的合法使用权或版权的正版软件，涉及到第三方提出侵权或知识产权的起诉及支付版税等费用由供应商承担所有责任及费用。</w:t>
      </w:r>
    </w:p>
    <w:p w14:paraId="6DD7751F">
      <w:pPr>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 谈判费用</w:t>
      </w:r>
    </w:p>
    <w:p w14:paraId="47C4B9BF">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5.1供应商应承担准备和参与谈判有关的所有费用，采购代理机构或采购人在任何情况下均无义务和责任承担这些费用。</w:t>
      </w:r>
    </w:p>
    <w:p w14:paraId="1C7C3A98">
      <w:pPr>
        <w:numPr>
          <w:ilvl w:val="0"/>
          <w:numId w:val="3"/>
        </w:numPr>
        <w:tabs>
          <w:tab w:val="left" w:pos="567"/>
        </w:tabs>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谈判要求</w:t>
      </w:r>
    </w:p>
    <w:p w14:paraId="7740F70D">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6.1供应商所提供的服务方案与技术方案被采购人采用时，成交供应商所提供的服务及相关内容必须符合本《谈判文件》的要求并按要求实施，并认真履行合同规定的相关条款。</w:t>
      </w:r>
    </w:p>
    <w:p w14:paraId="507B06AB">
      <w:pPr>
        <w:tabs>
          <w:tab w:val="left" w:pos="567"/>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6.2采购代理机构或者采购人可以在谈判文件提供期限截止后，组织已获取谈判文件的潜在供应商现场勘查或者召开标前答疑会。是否组织现场勘查或者召开答疑会的，详见供应商前附表第</w:t>
      </w:r>
      <w:r>
        <w:rPr>
          <w:rFonts w:hint="eastAsia" w:ascii="宋体" w:hAnsi="宋体" w:cs="宋体"/>
          <w:bCs/>
          <w:color w:val="auto"/>
          <w:kern w:val="0"/>
          <w:sz w:val="24"/>
          <w:highlight w:val="none"/>
          <w:lang w:val="en-US" w:eastAsia="zh-CN"/>
        </w:rPr>
        <w:t>15</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项。而无论采购代理机构是否安排踏勘现场，潜在供应商均应当将相关的因素作为谈判响应所应当考虑或依据的因素。</w:t>
      </w:r>
    </w:p>
    <w:p w14:paraId="23A8D929">
      <w:pPr>
        <w:tabs>
          <w:tab w:val="left" w:pos="567"/>
        </w:tabs>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7. 通知</w:t>
      </w:r>
    </w:p>
    <w:p w14:paraId="31144AF3">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7.1对与本项目有关的通知，代理机构将通过</w:t>
      </w:r>
      <w:r>
        <w:rPr>
          <w:rFonts w:hint="eastAsia" w:ascii="宋体" w:hAnsi="宋体" w:cs="宋体"/>
          <w:color w:val="auto"/>
          <w:kern w:val="0"/>
          <w:sz w:val="24"/>
          <w:highlight w:val="none"/>
          <w:u w:val="single"/>
        </w:rPr>
        <w:t>山西政府采购平台政采云系统中</w:t>
      </w:r>
      <w:r>
        <w:rPr>
          <w:rFonts w:hint="eastAsia" w:ascii="宋体" w:hAnsi="宋体" w:cs="宋体"/>
          <w:color w:val="auto"/>
          <w:kern w:val="0"/>
          <w:sz w:val="24"/>
          <w:highlight w:val="none"/>
        </w:rPr>
        <w:t>发出（视同书面通知），因线路故障导致通知延迟或无法查看，代理机构或采购方将不承担任何责任，有关的谈判活动可以继续有效</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进行。</w:t>
      </w:r>
    </w:p>
    <w:p w14:paraId="5444937C">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8.解释权</w:t>
      </w:r>
    </w:p>
    <w:p w14:paraId="58F9479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8.1本次谈判活动的最终解释权归为采购人、采购代理机构。</w:t>
      </w:r>
    </w:p>
    <w:p w14:paraId="76B5161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8.2当对一个问题有多种解释时以采购人、采购代理机构的解释为准。</w:t>
      </w:r>
    </w:p>
    <w:p w14:paraId="10ECF22E">
      <w:pPr>
        <w:snapToGrid w:val="0"/>
        <w:spacing w:line="360" w:lineRule="auto"/>
        <w:ind w:firstLine="480" w:firstLineChars="200"/>
        <w:outlineLvl w:val="1"/>
        <w:rPr>
          <w:rFonts w:ascii="宋体" w:hAnsi="宋体" w:cs="宋体"/>
          <w:color w:val="auto"/>
          <w:kern w:val="0"/>
          <w:sz w:val="24"/>
          <w:highlight w:val="none"/>
        </w:rPr>
      </w:pPr>
      <w:bookmarkStart w:id="56" w:name="_Toc8721"/>
      <w:r>
        <w:rPr>
          <w:rFonts w:hint="eastAsia" w:ascii="宋体" w:hAnsi="宋体" w:cs="宋体"/>
          <w:color w:val="auto"/>
          <w:kern w:val="0"/>
          <w:sz w:val="24"/>
          <w:highlight w:val="none"/>
        </w:rPr>
        <w:t>8.3本文件未作须知明示，而又有相关法律、法规规定的，采购人、采购代理机构将依据相关法律法规的规定进行解释。</w:t>
      </w:r>
      <w:bookmarkEnd w:id="56"/>
    </w:p>
    <w:p w14:paraId="57B16957">
      <w:pPr>
        <w:tabs>
          <w:tab w:val="left" w:pos="567"/>
        </w:tabs>
        <w:snapToGrid w:val="0"/>
        <w:spacing w:line="360" w:lineRule="auto"/>
        <w:ind w:firstLine="482" w:firstLineChars="200"/>
        <w:outlineLvl w:val="1"/>
        <w:rPr>
          <w:rFonts w:ascii="宋体" w:hAnsi="宋体" w:cs="宋体"/>
          <w:b/>
          <w:bCs/>
          <w:color w:val="auto"/>
          <w:kern w:val="0"/>
          <w:sz w:val="24"/>
          <w:highlight w:val="none"/>
        </w:rPr>
      </w:pPr>
      <w:bookmarkStart w:id="57" w:name="_Toc23016"/>
      <w:r>
        <w:rPr>
          <w:rFonts w:hint="eastAsia" w:ascii="宋体" w:hAnsi="宋体" w:cs="宋体"/>
          <w:b/>
          <w:bCs/>
          <w:color w:val="auto"/>
          <w:kern w:val="0"/>
          <w:sz w:val="24"/>
          <w:highlight w:val="none"/>
        </w:rPr>
        <w:t>二、谈判文件</w:t>
      </w:r>
      <w:bookmarkEnd w:id="57"/>
    </w:p>
    <w:p w14:paraId="4F298105">
      <w:pPr>
        <w:snapToGrid w:val="0"/>
        <w:spacing w:line="360" w:lineRule="auto"/>
        <w:ind w:firstLine="477" w:firstLineChars="198"/>
        <w:jc w:val="left"/>
        <w:rPr>
          <w:rFonts w:ascii="宋体" w:hAnsi="宋体" w:cs="宋体"/>
          <w:b/>
          <w:color w:val="auto"/>
          <w:kern w:val="0"/>
          <w:sz w:val="24"/>
          <w:highlight w:val="none"/>
        </w:rPr>
      </w:pPr>
      <w:r>
        <w:rPr>
          <w:rFonts w:hint="eastAsia" w:ascii="宋体" w:hAnsi="宋体" w:cs="宋体"/>
          <w:b/>
          <w:color w:val="auto"/>
          <w:kern w:val="0"/>
          <w:sz w:val="24"/>
          <w:highlight w:val="none"/>
        </w:rPr>
        <w:t>9.谈判文件的内容</w:t>
      </w:r>
    </w:p>
    <w:p w14:paraId="5A271AF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9.1谈判文件由下列七部分内容组成：</w:t>
      </w:r>
    </w:p>
    <w:p w14:paraId="6FA7EE5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第一部分 谈判公告；</w:t>
      </w:r>
    </w:p>
    <w:p w14:paraId="4B3E580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第二部分 供应商须知前附表；</w:t>
      </w:r>
    </w:p>
    <w:p w14:paraId="21B4ABE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第三部分 供应商须知；</w:t>
      </w:r>
    </w:p>
    <w:p w14:paraId="42D199C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第四部分 评审标准和评定方法；</w:t>
      </w:r>
    </w:p>
    <w:p w14:paraId="197319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第五部分 商务、技术要求；</w:t>
      </w:r>
    </w:p>
    <w:p w14:paraId="4FF6160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第六部分 政府采购合同范本；</w:t>
      </w:r>
    </w:p>
    <w:p w14:paraId="3E7669C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第七部分 响应文件格式。</w:t>
      </w:r>
    </w:p>
    <w:p w14:paraId="5F8D4670">
      <w:pPr>
        <w:pStyle w:val="33"/>
        <w:spacing w:line="360" w:lineRule="auto"/>
        <w:ind w:left="0" w:firstLine="480" w:firstLineChars="200"/>
        <w:jc w:val="both"/>
        <w:rPr>
          <w:color w:val="auto"/>
          <w:kern w:val="0"/>
          <w:sz w:val="24"/>
          <w:szCs w:val="24"/>
          <w:highlight w:val="none"/>
        </w:rPr>
      </w:pPr>
      <w:r>
        <w:rPr>
          <w:rFonts w:hint="eastAsia"/>
          <w:color w:val="auto"/>
          <w:kern w:val="0"/>
          <w:sz w:val="24"/>
          <w:szCs w:val="24"/>
          <w:highlight w:val="none"/>
        </w:rPr>
        <w:t>9.2供应商应详细阅读谈判文件的全部内容。如果没有按照谈判文件要求提交全部资料或者没有对谈判文件在各方面都</w:t>
      </w:r>
      <w:r>
        <w:rPr>
          <w:rFonts w:hint="eastAsia"/>
          <w:color w:val="auto"/>
          <w:kern w:val="0"/>
          <w:sz w:val="24"/>
          <w:szCs w:val="24"/>
          <w:highlight w:val="none"/>
          <w:lang w:eastAsia="zh-CN"/>
        </w:rPr>
        <w:t>作出</w:t>
      </w:r>
      <w:r>
        <w:rPr>
          <w:rFonts w:hint="eastAsia"/>
          <w:color w:val="auto"/>
          <w:kern w:val="0"/>
          <w:sz w:val="24"/>
          <w:szCs w:val="24"/>
          <w:highlight w:val="none"/>
        </w:rPr>
        <w:t>实质性响应，有可能被确定为响应无效。</w:t>
      </w:r>
    </w:p>
    <w:p w14:paraId="26254FB2">
      <w:pPr>
        <w:pStyle w:val="33"/>
        <w:spacing w:line="360" w:lineRule="auto"/>
        <w:ind w:left="0" w:firstLine="480" w:firstLineChars="200"/>
        <w:jc w:val="both"/>
        <w:rPr>
          <w:color w:val="auto"/>
          <w:kern w:val="0"/>
          <w:sz w:val="24"/>
          <w:szCs w:val="24"/>
          <w:highlight w:val="none"/>
        </w:rPr>
      </w:pPr>
      <w:r>
        <w:rPr>
          <w:rFonts w:hint="eastAsia"/>
          <w:color w:val="auto"/>
          <w:kern w:val="0"/>
          <w:sz w:val="24"/>
          <w:szCs w:val="24"/>
          <w:highlight w:val="none"/>
        </w:rPr>
        <w:t>9.3 除非特殊要求，谈判文件不单独提供本谈判项目使用地的自然环境、气候条件、公用设施等情况，供应商被视为熟悉上述与履行合同有关的一切情况。</w:t>
      </w:r>
    </w:p>
    <w:p w14:paraId="4794E126">
      <w:pPr>
        <w:pStyle w:val="33"/>
        <w:spacing w:line="460" w:lineRule="exact"/>
        <w:ind w:left="0" w:firstLine="480" w:firstLineChars="200"/>
        <w:jc w:val="both"/>
        <w:rPr>
          <w:color w:val="auto"/>
          <w:kern w:val="0"/>
          <w:sz w:val="24"/>
          <w:szCs w:val="24"/>
          <w:highlight w:val="none"/>
        </w:rPr>
      </w:pPr>
      <w:r>
        <w:rPr>
          <w:rFonts w:hint="eastAsia"/>
          <w:color w:val="auto"/>
          <w:kern w:val="0"/>
          <w:sz w:val="24"/>
          <w:szCs w:val="24"/>
          <w:highlight w:val="none"/>
        </w:rPr>
        <w:t>9.4 谈判文件的解释权归代理机构。当对一个问题有多种解释时以代理机构的解释为准。</w:t>
      </w:r>
    </w:p>
    <w:p w14:paraId="48545A90">
      <w:pPr>
        <w:pStyle w:val="33"/>
        <w:spacing w:line="360" w:lineRule="auto"/>
        <w:ind w:left="0" w:firstLine="480" w:firstLineChars="200"/>
        <w:jc w:val="both"/>
        <w:rPr>
          <w:color w:val="auto"/>
          <w:kern w:val="0"/>
          <w:sz w:val="24"/>
          <w:szCs w:val="24"/>
          <w:highlight w:val="none"/>
        </w:rPr>
      </w:pPr>
      <w:r>
        <w:rPr>
          <w:rFonts w:hint="eastAsia"/>
          <w:color w:val="auto"/>
          <w:kern w:val="0"/>
          <w:sz w:val="24"/>
          <w:szCs w:val="24"/>
          <w:highlight w:val="none"/>
        </w:rPr>
        <w:t>9.5 谈判文件未作须知明示，而又有法律、法规规定的，代理机构将依据相关法律法规的规定进行解释。</w:t>
      </w:r>
    </w:p>
    <w:p w14:paraId="55E41795">
      <w:pPr>
        <w:pStyle w:val="33"/>
        <w:spacing w:line="360" w:lineRule="auto"/>
        <w:ind w:left="0" w:firstLine="482" w:firstLineChars="200"/>
        <w:jc w:val="both"/>
        <w:rPr>
          <w:b/>
          <w:bCs/>
          <w:color w:val="auto"/>
          <w:sz w:val="24"/>
          <w:szCs w:val="24"/>
          <w:highlight w:val="none"/>
        </w:rPr>
      </w:pPr>
      <w:r>
        <w:rPr>
          <w:rFonts w:hint="eastAsia"/>
          <w:b/>
          <w:bCs/>
          <w:color w:val="auto"/>
          <w:sz w:val="24"/>
          <w:szCs w:val="24"/>
          <w:highlight w:val="none"/>
        </w:rPr>
        <w:t>10. 谈判文件的澄清和修改</w:t>
      </w:r>
    </w:p>
    <w:p w14:paraId="21A9938E">
      <w:pPr>
        <w:pStyle w:val="33"/>
        <w:spacing w:line="360" w:lineRule="auto"/>
        <w:ind w:left="0" w:firstLine="480" w:firstLineChars="200"/>
        <w:jc w:val="both"/>
        <w:rPr>
          <w:color w:val="auto"/>
          <w:sz w:val="24"/>
          <w:szCs w:val="24"/>
          <w:highlight w:val="none"/>
        </w:rPr>
      </w:pPr>
      <w:r>
        <w:rPr>
          <w:rFonts w:hint="eastAsia"/>
          <w:color w:val="auto"/>
          <w:sz w:val="24"/>
          <w:szCs w:val="24"/>
          <w:highlight w:val="none"/>
        </w:rPr>
        <w:t>10.1澄清或修改时间及处理：提交首次响应文件截止日（响应文件开启时间，下同）之前，代理机构或采购方可以对已发出的谈判文件进行必要的澄清或修改，其内容作为谈判文件的组成部分。所澄清或修改内容可能影响响应文件编制的，代理机构或采购方应当在提交首次响应文件截止时间至少3日前，以公告形式在</w:t>
      </w:r>
      <w:r>
        <w:rPr>
          <w:rFonts w:hint="eastAsia"/>
          <w:color w:val="auto"/>
          <w:sz w:val="24"/>
          <w:szCs w:val="24"/>
          <w:highlight w:val="none"/>
          <w:u w:val="single"/>
        </w:rPr>
        <w:t>中国政府采购网山西分网</w:t>
      </w:r>
      <w:r>
        <w:rPr>
          <w:rFonts w:hint="eastAsia"/>
          <w:color w:val="auto"/>
          <w:sz w:val="24"/>
          <w:szCs w:val="24"/>
          <w:highlight w:val="none"/>
        </w:rPr>
        <w:t>发布变更公告。不足3日的，应当顺延提交首次响应文件截止时间。</w:t>
      </w:r>
    </w:p>
    <w:p w14:paraId="21F9F885">
      <w:pPr>
        <w:pStyle w:val="33"/>
        <w:spacing w:line="360" w:lineRule="auto"/>
        <w:ind w:left="0" w:firstLine="480" w:firstLineChars="200"/>
        <w:jc w:val="both"/>
        <w:rPr>
          <w:color w:val="auto"/>
          <w:sz w:val="24"/>
          <w:szCs w:val="24"/>
          <w:highlight w:val="none"/>
        </w:rPr>
      </w:pPr>
      <w:r>
        <w:rPr>
          <w:rFonts w:hint="eastAsia"/>
          <w:color w:val="auto"/>
          <w:sz w:val="24"/>
          <w:szCs w:val="24"/>
          <w:highlight w:val="none"/>
        </w:rPr>
        <w:t>10.2澄清修改的补充文件中包括原提出的问题及问题的说明意见，但不包括问题的来源。</w:t>
      </w:r>
    </w:p>
    <w:p w14:paraId="04DE29B5">
      <w:pPr>
        <w:pStyle w:val="33"/>
        <w:spacing w:line="360" w:lineRule="auto"/>
        <w:ind w:left="0" w:firstLine="480" w:firstLineChars="200"/>
        <w:jc w:val="both"/>
        <w:rPr>
          <w:color w:val="auto"/>
          <w:sz w:val="24"/>
          <w:szCs w:val="24"/>
          <w:highlight w:val="none"/>
        </w:rPr>
      </w:pPr>
      <w:r>
        <w:rPr>
          <w:rFonts w:hint="eastAsia"/>
          <w:color w:val="auto"/>
          <w:sz w:val="24"/>
          <w:szCs w:val="24"/>
          <w:highlight w:val="none"/>
        </w:rPr>
        <w:t>10.3供应商澄清、询问时间及方式：任何已下载了谈判文件的供应商，均应在首次提交响应文件截止时间3日前对谈判文件进行澄清、询问，并以书面形式（包括书面材料、信函、传真，下同）送达代理机构。</w:t>
      </w:r>
    </w:p>
    <w:p w14:paraId="5C45DD76">
      <w:pPr>
        <w:pStyle w:val="33"/>
        <w:spacing w:line="360" w:lineRule="auto"/>
        <w:ind w:left="0" w:firstLine="480" w:firstLineChars="200"/>
        <w:jc w:val="both"/>
        <w:rPr>
          <w:color w:val="auto"/>
          <w:sz w:val="24"/>
          <w:szCs w:val="24"/>
          <w:highlight w:val="none"/>
        </w:rPr>
      </w:pPr>
      <w:r>
        <w:rPr>
          <w:rFonts w:hint="eastAsia"/>
          <w:color w:val="auto"/>
          <w:sz w:val="24"/>
          <w:szCs w:val="24"/>
          <w:highlight w:val="none"/>
        </w:rPr>
        <w:t>10.4澄清、修改</w:t>
      </w:r>
      <w:r>
        <w:rPr>
          <w:rFonts w:hint="eastAsia"/>
          <w:color w:val="auto"/>
          <w:sz w:val="24"/>
          <w:szCs w:val="24"/>
          <w:highlight w:val="none"/>
          <w:lang w:eastAsia="zh-CN"/>
        </w:rPr>
        <w:t>及其他</w:t>
      </w:r>
      <w:r>
        <w:rPr>
          <w:rFonts w:hint="eastAsia"/>
          <w:color w:val="auto"/>
          <w:sz w:val="24"/>
          <w:szCs w:val="24"/>
          <w:highlight w:val="none"/>
        </w:rPr>
        <w:t>答复的效力：代理机构或采购方一旦对谈判文件做出澄清或修改，即发生效力，代理机构或采购方有关的补充文件，应当作为谈判文件的组成部分，对所有供应商均具有约束力。</w:t>
      </w:r>
    </w:p>
    <w:p w14:paraId="5036993D">
      <w:pPr>
        <w:pStyle w:val="34"/>
        <w:keepNext w:val="0"/>
        <w:keepLines w:val="0"/>
        <w:snapToGrid w:val="0"/>
        <w:spacing w:before="156" w:beforeLines="50" w:after="156" w:afterLines="50" w:line="360" w:lineRule="auto"/>
        <w:ind w:firstLine="455" w:firstLineChars="189"/>
        <w:jc w:val="left"/>
        <w:outlineLvl w:val="1"/>
        <w:rPr>
          <w:rFonts w:ascii="宋体" w:hAnsi="宋体"/>
          <w:color w:val="auto"/>
          <w:sz w:val="24"/>
          <w:szCs w:val="24"/>
          <w:highlight w:val="none"/>
        </w:rPr>
      </w:pPr>
      <w:bookmarkStart w:id="58" w:name="_Toc1806"/>
      <w:r>
        <w:rPr>
          <w:rFonts w:hint="eastAsia" w:ascii="宋体" w:hAnsi="宋体"/>
          <w:color w:val="auto"/>
          <w:sz w:val="24"/>
          <w:szCs w:val="24"/>
          <w:highlight w:val="none"/>
        </w:rPr>
        <w:t>三、响应文件</w:t>
      </w:r>
      <w:bookmarkEnd w:id="58"/>
    </w:p>
    <w:p w14:paraId="43B482AF">
      <w:pPr>
        <w:tabs>
          <w:tab w:val="left" w:pos="0"/>
        </w:tabs>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11.响应文件的语言和计量单位</w:t>
      </w:r>
    </w:p>
    <w:p w14:paraId="37EEF51F">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11.1供应商提交的响应文件（包括商务、技术文件和资料中的说明）以及供应商与代理机构就有关谈判的所有往来函均应使用中文简体字。</w:t>
      </w:r>
    </w:p>
    <w:p w14:paraId="4549E807">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11.2 响应文件所使用的计量单位，应使用</w:t>
      </w:r>
      <w:r>
        <w:rPr>
          <w:rFonts w:hint="eastAsia" w:ascii="宋体" w:hAnsi="宋体" w:cs="宋体"/>
          <w:color w:val="auto"/>
          <w:kern w:val="0"/>
          <w:sz w:val="24"/>
          <w:highlight w:val="none"/>
          <w:lang w:eastAsia="zh-CN"/>
        </w:rPr>
        <w:t>中华人民共和国</w:t>
      </w:r>
      <w:r>
        <w:rPr>
          <w:rFonts w:hint="eastAsia" w:ascii="宋体" w:hAnsi="宋体" w:cs="宋体"/>
          <w:color w:val="auto"/>
          <w:kern w:val="0"/>
          <w:sz w:val="24"/>
          <w:highlight w:val="none"/>
        </w:rPr>
        <w:t>法定计量单位。</w:t>
      </w:r>
    </w:p>
    <w:p w14:paraId="7BF827CD">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11.3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否则，产生的不利后果由供应商承担。</w:t>
      </w:r>
    </w:p>
    <w:p w14:paraId="162A23A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原版为外文的证书类、证明类文件，与供应商名称</w:t>
      </w:r>
      <w:r>
        <w:rPr>
          <w:rFonts w:hint="eastAsia" w:ascii="宋体" w:hAnsi="宋体" w:cs="宋体"/>
          <w:color w:val="auto"/>
          <w:kern w:val="0"/>
          <w:sz w:val="24"/>
          <w:highlight w:val="none"/>
          <w:lang w:eastAsia="zh-CN"/>
        </w:rPr>
        <w:t>或其他</w:t>
      </w:r>
      <w:r>
        <w:rPr>
          <w:rFonts w:hint="eastAsia" w:ascii="宋体" w:hAnsi="宋体" w:cs="宋体"/>
          <w:color w:val="auto"/>
          <w:kern w:val="0"/>
          <w:sz w:val="24"/>
          <w:highlight w:val="none"/>
        </w:rPr>
        <w:t>实际情况不符的，供应商应当提供相关证明文件。</w:t>
      </w:r>
    </w:p>
    <w:p w14:paraId="087EBD81">
      <w:pPr>
        <w:tabs>
          <w:tab w:val="left" w:pos="0"/>
        </w:tabs>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12. 响应文件的组成及相关要求</w:t>
      </w:r>
    </w:p>
    <w:p w14:paraId="7782192B">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12.1响应文件分为资格证明文件和商务技术文件两部分组成。</w:t>
      </w:r>
    </w:p>
    <w:p w14:paraId="79375E8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资格证明文件：指供应商提交的证明其有资格参加谈判的文件。</w:t>
      </w:r>
    </w:p>
    <w:p w14:paraId="3249E4D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商务、技术文件：指供应商提交的能够证明其成交后有能力履行合同的文件和提供的服务符合本谈判文件规定和政策性要求的文件。</w:t>
      </w:r>
    </w:p>
    <w:p w14:paraId="14D5243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谈判，供应商应按谈判文件供应商须知前附表要求，提交资格证明文件和商务、技术文件及供应商自行编写的其他文件。资格证明文件、商务技术文件中的加“*”项、商务技术要求中加“*”指标、政策性要求中国家强制性因素若有缺失或无效或商务技术文件未实质上响应谈判文件要求，将作无效报价处理。</w:t>
      </w:r>
    </w:p>
    <w:p w14:paraId="10168CB3">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12.2响应文件其他要求</w:t>
      </w:r>
    </w:p>
    <w:p w14:paraId="67F2EC0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12.2.1编排要求</w:t>
      </w:r>
    </w:p>
    <w:p w14:paraId="686233F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响应文件规格幅面（A4）；按照谈判文件第七部分格式要求和系统中的编排顺序，统一编目、正序编排页码（响应文件中扫描件或影印件及彩色宣传资料等均须与响应文件正文一起逐页编排页码）。由于编排混乱导致响应文件被误读或查找不到，其责任应当由供应商承担。</w:t>
      </w:r>
    </w:p>
    <w:p w14:paraId="3A59329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12.2.2格式要求</w:t>
      </w:r>
    </w:p>
    <w:p w14:paraId="39F7BDC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本谈判文件第七部分已提供“响应文件格式”的，需按照格式要求编制和上传（供应商可以对所提供的格式进行扩展，但不得更改格式内容），没有提供格式的，供应商自拟。</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rPr>
        <w:t>文件为逐页加盖电子公章后的PDF文件。</w:t>
      </w:r>
      <w:r>
        <w:rPr>
          <w:rFonts w:hint="eastAsia" w:ascii="宋体" w:hAnsi="宋体" w:cs="宋体"/>
          <w:color w:val="auto"/>
          <w:kern w:val="0"/>
          <w:sz w:val="24"/>
          <w:highlight w:val="none"/>
        </w:rPr>
        <w:t>以联合体形式响应的，除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组成（格式）部分要求外，其他文件可由联合体牵头人在采购文件规定的签章处签署公章或法定代表人章或授权代表章即可，由联合牵头人签章的视同联合体成员已经签章。</w:t>
      </w:r>
    </w:p>
    <w:p w14:paraId="2069ACD0">
      <w:pPr>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b w:val="0"/>
          <w:bCs w:val="0"/>
          <w:color w:val="auto"/>
          <w:kern w:val="0"/>
          <w:sz w:val="24"/>
          <w:highlight w:val="none"/>
        </w:rPr>
        <w:t>如供应商参加多包谈判的，要求按包分别独立制作响应文件。</w:t>
      </w:r>
    </w:p>
    <w:p w14:paraId="1A2D7E8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12.2.3响应文件的加密</w:t>
      </w:r>
    </w:p>
    <w:p w14:paraId="250447E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12.2.3.1响应文件加密</w:t>
      </w:r>
    </w:p>
    <w:p w14:paraId="68BA4CB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系统中上传的电子响应文件须使用数字电子CA（单位、法人或个人）进行加密。</w:t>
      </w:r>
    </w:p>
    <w:p w14:paraId="42627183">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12.3谈判保证金</w:t>
      </w:r>
    </w:p>
    <w:p w14:paraId="368A524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12.3.1供应商应提交的谈判保证金金额和提交方式详见前附表。未按要求缴纳谈判保证金的，响应无效。</w:t>
      </w:r>
    </w:p>
    <w:p w14:paraId="49D240B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12.3.2供应商在响应文件开启时间前撤回已提交的响应文件的，代理机构应当自收到供应商书面撤回通知之日起5个工作日内，退还已收取的谈判保证金，但因供应商自身原因导致无法及时退还的除外。</w:t>
      </w:r>
    </w:p>
    <w:p w14:paraId="7D24419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12.3.3代理机构应当自成交通知书发出之日起5个工作日内退还未成交供应商的谈判保证金，自采购合同签订之日起5个工作日内退还成交供应商的谈判保证金。但因供应商自身原因导致无法及时退还的除外。</w:t>
      </w:r>
    </w:p>
    <w:p w14:paraId="2D279F2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12.3.4有下列情形之一的，谈判保证金不予退还：</w:t>
      </w:r>
    </w:p>
    <w:p w14:paraId="1F51FAF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12.3.4.1供应商在响应文件中提供虚假材料的；</w:t>
      </w:r>
    </w:p>
    <w:p w14:paraId="21197DA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12.3.4.2除因不可抗力或谈判文件认可的情形外，成交供应商不与采购人签订合同的；</w:t>
      </w:r>
    </w:p>
    <w:p w14:paraId="0FFEB4A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12.3.4.3供应商与采购人、其他供应商或者代理机构恶意串通的；</w:t>
      </w:r>
    </w:p>
    <w:p w14:paraId="6710423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12.3.4.4谈判有效期内撤回响应文件的；</w:t>
      </w:r>
    </w:p>
    <w:p w14:paraId="68FFB54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12.3.4.5谈判文件规定的其他情形。</w:t>
      </w:r>
    </w:p>
    <w:p w14:paraId="5346A99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12.3.5已提交响应文件的供应商，在提交最后报价之前，可以根据谈判情况退出报价。代理机构应当退还退出谈判的供应商的谈判保证金。</w:t>
      </w:r>
    </w:p>
    <w:p w14:paraId="7BD8B287">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12.4 谈判报价</w:t>
      </w:r>
    </w:p>
    <w:p w14:paraId="2BBB9C4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12.4.1所有报价均以人民币“元”为计算单位。只要投报了一个确定数额的总价，无论分项价格是否全部填报了相应的金额或免费字样，报价应被视为已经包含了但并不限于各项购买货物及其运送、安装、调试、技术培训、验收、保险和相关服务等的费用。</w:t>
      </w:r>
      <w:r>
        <w:rPr>
          <w:rFonts w:hint="eastAsia" w:ascii="宋体" w:hAnsi="宋体" w:cs="宋体"/>
          <w:color w:val="auto"/>
          <w:kern w:val="0"/>
          <w:sz w:val="24"/>
          <w:highlight w:val="none"/>
          <w:lang w:eastAsia="zh-CN"/>
        </w:rPr>
        <w:t>在其他情况下</w:t>
      </w:r>
      <w:r>
        <w:rPr>
          <w:rFonts w:hint="eastAsia" w:ascii="宋体" w:hAnsi="宋体" w:cs="宋体"/>
          <w:color w:val="auto"/>
          <w:kern w:val="0"/>
          <w:sz w:val="24"/>
          <w:highlight w:val="none"/>
        </w:rPr>
        <w:t>，由于分项报价填报不完整、不清楚或存在</w:t>
      </w:r>
      <w:r>
        <w:rPr>
          <w:rFonts w:hint="eastAsia" w:ascii="宋体" w:hAnsi="宋体" w:cs="宋体"/>
          <w:color w:val="auto"/>
          <w:kern w:val="0"/>
          <w:sz w:val="24"/>
          <w:highlight w:val="none"/>
          <w:lang w:eastAsia="zh-CN"/>
        </w:rPr>
        <w:t>其他任何</w:t>
      </w:r>
      <w:r>
        <w:rPr>
          <w:rFonts w:hint="eastAsia" w:ascii="宋体" w:hAnsi="宋体" w:cs="宋体"/>
          <w:color w:val="auto"/>
          <w:kern w:val="0"/>
          <w:sz w:val="24"/>
          <w:highlight w:val="none"/>
        </w:rPr>
        <w:t>失误，所导致的任何不利后果均应当由供应商自行承担。</w:t>
      </w:r>
    </w:p>
    <w:p w14:paraId="16E6AA9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12.4.2供应商应按报价要求的内容认真填报“报价一览表”。</w:t>
      </w:r>
    </w:p>
    <w:p w14:paraId="2E54881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12.4.3供应商投报多包的，应对每包整包内容分别填报，不得拆包分项报价。 </w:t>
      </w:r>
    </w:p>
    <w:p w14:paraId="579A859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12.4.4本次谈判不接受可选择方案的报价。</w:t>
      </w:r>
    </w:p>
    <w:p w14:paraId="0A7A102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12.4.5报价货物单价包括货物报价、装箱、包装、包装物料、送货、保险、安装调试、验收、技术培训、售后服务等所有相关费用。</w:t>
      </w:r>
    </w:p>
    <w:p w14:paraId="1D6899B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124.6对于有配件、耗材、选件、备件和特殊工具的货物，还应填报货物配件、耗材、选件、备件及特殊工具清单，注明品牌、型号、产地、功能、单价、批量折扣等内容，该表格由供应商自行设计。</w:t>
      </w:r>
    </w:p>
    <w:p w14:paraId="1347EAA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12.4.7进口产品报价方式</w:t>
      </w:r>
    </w:p>
    <w:p w14:paraId="5168192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允许采购进口产品的项目，进口货物投标报价按美元（CIP太原）核算，以“人民币”报价，包含进口环节所需的全部相关费用，通过中国海关报关验放进入中国境内产自境外的且符合国家免税政策的货物，可提供海关免税证明手续。</w:t>
      </w:r>
    </w:p>
    <w:p w14:paraId="21B5EE4F">
      <w:pPr>
        <w:pStyle w:val="35"/>
        <w:snapToGrid w:val="0"/>
        <w:spacing w:line="360" w:lineRule="auto"/>
        <w:ind w:firstLine="477" w:firstLineChars="198"/>
        <w:jc w:val="both"/>
        <w:rPr>
          <w:rFonts w:cs="宋体"/>
          <w:b/>
          <w:color w:val="auto"/>
          <w:sz w:val="24"/>
          <w:szCs w:val="24"/>
          <w:highlight w:val="none"/>
        </w:rPr>
      </w:pPr>
      <w:r>
        <w:rPr>
          <w:rFonts w:hint="eastAsia" w:cs="宋体"/>
          <w:b/>
          <w:color w:val="auto"/>
          <w:sz w:val="24"/>
          <w:szCs w:val="24"/>
          <w:highlight w:val="none"/>
        </w:rPr>
        <w:t>13. 响应文件填写说明</w:t>
      </w:r>
    </w:p>
    <w:p w14:paraId="4C5D475C">
      <w:pPr>
        <w:pStyle w:val="35"/>
        <w:snapToGrid w:val="0"/>
        <w:spacing w:line="360" w:lineRule="auto"/>
        <w:ind w:firstLine="480" w:firstLineChars="200"/>
        <w:jc w:val="left"/>
        <w:rPr>
          <w:rFonts w:cs="宋体"/>
          <w:color w:val="auto"/>
          <w:kern w:val="0"/>
          <w:sz w:val="24"/>
          <w:szCs w:val="24"/>
          <w:highlight w:val="none"/>
        </w:rPr>
      </w:pPr>
      <w:r>
        <w:rPr>
          <w:rFonts w:hint="eastAsia" w:cs="宋体"/>
          <w:color w:val="auto"/>
          <w:kern w:val="0"/>
          <w:sz w:val="24"/>
          <w:szCs w:val="24"/>
          <w:highlight w:val="none"/>
        </w:rPr>
        <w:t>13.1供应商应详细阅读本谈判文件的全部内容。响应文件应对本谈判文件中的内容</w:t>
      </w:r>
      <w:r>
        <w:rPr>
          <w:rFonts w:hint="eastAsia" w:cs="宋体"/>
          <w:color w:val="auto"/>
          <w:kern w:val="0"/>
          <w:sz w:val="24"/>
          <w:szCs w:val="24"/>
          <w:highlight w:val="none"/>
          <w:lang w:eastAsia="zh-CN"/>
        </w:rPr>
        <w:t>作出</w:t>
      </w:r>
      <w:r>
        <w:rPr>
          <w:rFonts w:hint="eastAsia" w:cs="宋体"/>
          <w:color w:val="auto"/>
          <w:kern w:val="0"/>
          <w:sz w:val="24"/>
          <w:szCs w:val="24"/>
          <w:highlight w:val="none"/>
        </w:rPr>
        <w:t>实质性和完整性的响应。</w:t>
      </w:r>
    </w:p>
    <w:p w14:paraId="1A4F2E2A">
      <w:pPr>
        <w:pStyle w:val="35"/>
        <w:snapToGrid w:val="0"/>
        <w:spacing w:line="360" w:lineRule="auto"/>
        <w:ind w:firstLine="480" w:firstLineChars="200"/>
        <w:jc w:val="left"/>
        <w:rPr>
          <w:rFonts w:cs="宋体"/>
          <w:b/>
          <w:color w:val="auto"/>
          <w:sz w:val="24"/>
          <w:szCs w:val="24"/>
          <w:highlight w:val="none"/>
        </w:rPr>
      </w:pPr>
      <w:r>
        <w:rPr>
          <w:rFonts w:hint="eastAsia" w:cs="宋体"/>
          <w:color w:val="auto"/>
          <w:kern w:val="0"/>
          <w:sz w:val="24"/>
          <w:szCs w:val="24"/>
          <w:highlight w:val="none"/>
        </w:rPr>
        <w:t>13.2响应文件应严格按照谈判文件第七部分的要求提交，并按规定的统一格式</w:t>
      </w:r>
      <w:r>
        <w:rPr>
          <w:rFonts w:hint="eastAsia" w:cs="宋体"/>
          <w:color w:val="auto"/>
          <w:sz w:val="24"/>
          <w:szCs w:val="24"/>
          <w:highlight w:val="none"/>
        </w:rPr>
        <w:t>逐项填写，不准有空项、缺项；无相应内容可填的项应填写“无”、“没有相应指标”、“/”等明确的回答</w:t>
      </w:r>
      <w:r>
        <w:rPr>
          <w:rFonts w:hint="eastAsia" w:cs="宋体"/>
          <w:b/>
          <w:color w:val="auto"/>
          <w:sz w:val="24"/>
          <w:szCs w:val="24"/>
          <w:highlight w:val="none"/>
        </w:rPr>
        <w:t>。</w:t>
      </w:r>
      <w:r>
        <w:rPr>
          <w:rFonts w:hint="eastAsia" w:cs="宋体"/>
          <w:color w:val="auto"/>
          <w:sz w:val="24"/>
          <w:szCs w:val="24"/>
          <w:highlight w:val="none"/>
        </w:rPr>
        <w:t>响应文件未按规定提交或留有空项，将被视为不完整响应的响应文件，其响应文件有可能被拒绝。</w:t>
      </w:r>
    </w:p>
    <w:p w14:paraId="4D449204">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13.3供应商必须对响应文件所提供的全部资料的真实性可靠性负责，并接受谈判小组对其中任何资料进一步审查的要求。</w:t>
      </w:r>
    </w:p>
    <w:p w14:paraId="07464216">
      <w:pPr>
        <w:pStyle w:val="35"/>
        <w:snapToGrid w:val="0"/>
        <w:spacing w:line="360" w:lineRule="auto"/>
        <w:ind w:firstLine="480" w:firstLineChars="200"/>
        <w:jc w:val="left"/>
        <w:rPr>
          <w:rFonts w:cs="宋体"/>
          <w:color w:val="auto"/>
          <w:kern w:val="0"/>
          <w:sz w:val="24"/>
          <w:szCs w:val="24"/>
          <w:highlight w:val="none"/>
        </w:rPr>
      </w:pPr>
      <w:r>
        <w:rPr>
          <w:rFonts w:hint="eastAsia" w:cs="宋体"/>
          <w:color w:val="auto"/>
          <w:sz w:val="24"/>
          <w:szCs w:val="24"/>
          <w:highlight w:val="none"/>
        </w:rPr>
        <w:t>13.4</w:t>
      </w:r>
      <w:r>
        <w:rPr>
          <w:rFonts w:hint="eastAsia" w:cs="宋体"/>
          <w:color w:val="auto"/>
          <w:kern w:val="0"/>
          <w:sz w:val="24"/>
          <w:szCs w:val="24"/>
          <w:highlight w:val="none"/>
        </w:rPr>
        <w:t>因响应文件字迹潦草、提交资料不清晰或表达不清楚所引起的不利后果由供应商自行承担。</w:t>
      </w:r>
    </w:p>
    <w:p w14:paraId="192F2F3B">
      <w:pPr>
        <w:pStyle w:val="35"/>
        <w:snapToGrid w:val="0"/>
        <w:spacing w:line="360" w:lineRule="auto"/>
        <w:ind w:firstLine="480" w:firstLineChars="200"/>
        <w:jc w:val="left"/>
        <w:rPr>
          <w:rFonts w:cs="宋体"/>
          <w:color w:val="auto"/>
          <w:sz w:val="24"/>
          <w:szCs w:val="24"/>
          <w:highlight w:val="none"/>
        </w:rPr>
      </w:pPr>
      <w:r>
        <w:rPr>
          <w:rFonts w:hint="eastAsia" w:cs="宋体"/>
          <w:color w:val="auto"/>
          <w:kern w:val="0"/>
          <w:sz w:val="24"/>
          <w:szCs w:val="24"/>
          <w:highlight w:val="none"/>
        </w:rPr>
        <w:t>13.5</w:t>
      </w:r>
      <w:r>
        <w:rPr>
          <w:rFonts w:hint="eastAsia" w:cs="宋体"/>
          <w:color w:val="auto"/>
          <w:sz w:val="24"/>
          <w:szCs w:val="24"/>
          <w:highlight w:val="none"/>
        </w:rPr>
        <w:t>为提倡诚实信用的谈判行为，特别要求供应商应本着诚信精神，在本次响应文件中按照谈判文件要求，以审慎的态度明确、清楚地披露各项内容。</w:t>
      </w:r>
      <w:r>
        <w:rPr>
          <w:rFonts w:hint="eastAsia" w:cs="宋体"/>
          <w:color w:val="auto"/>
          <w:kern w:val="0"/>
          <w:sz w:val="24"/>
          <w:szCs w:val="24"/>
          <w:highlight w:val="none"/>
        </w:rPr>
        <w:t>一旦在评审中被发现存在重大偏离或被认定为属于重大偏离，则谈判小组有权决定对该响应予以拒绝。</w:t>
      </w:r>
    </w:p>
    <w:p w14:paraId="2A32E719">
      <w:pPr>
        <w:pStyle w:val="35"/>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rPr>
        <w:t>14. 响应文件的有效期</w:t>
      </w:r>
    </w:p>
    <w:p w14:paraId="3FADCA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14.1本项目响应文件的有效期详见供应商须知前附表第8条。</w:t>
      </w:r>
      <w:r>
        <w:rPr>
          <w:rFonts w:hint="eastAsia" w:ascii="宋体" w:hAnsi="宋体" w:cs="宋体"/>
          <w:color w:val="auto"/>
          <w:kern w:val="0"/>
          <w:sz w:val="24"/>
          <w:highlight w:val="none"/>
        </w:rPr>
        <w:t>有效期短于该规定期限的响应无效。</w:t>
      </w:r>
    </w:p>
    <w:p w14:paraId="0526CFC2">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14.2谈判有效期从提交响应文件的截止之日起算。</w:t>
      </w:r>
    </w:p>
    <w:p w14:paraId="2E7012A4">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14.3如果出现特殊情况，采购方可要求供应商将响应文件有效期延长一段时间，这种要求和供应商的答复以书面形式进行。供应商可以拒绝这种要求，而不被没收谈判保证金。同意延长响应文件有效期时，本须知关于谈判保证金的退还与没收规定仍适用。</w:t>
      </w:r>
    </w:p>
    <w:p w14:paraId="36D04585">
      <w:pPr>
        <w:pStyle w:val="35"/>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rPr>
        <w:t>15. 响应文件的签署及其他规定</w:t>
      </w:r>
    </w:p>
    <w:p w14:paraId="6D8BEF48">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15.1组成响应文件的各种文件均应遵守本款规定。</w:t>
      </w:r>
    </w:p>
    <w:p w14:paraId="2C659B69">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15.2供应商在响应文件及相关文件的签订、履行、通知等事项的文件中的“单位盖章”、“印章”、“公章”等处均仅指与当事人名称全称相一致的标准公章的电子签章，不得</w:t>
      </w:r>
      <w:r>
        <w:rPr>
          <w:rFonts w:hint="eastAsia" w:cs="宋体"/>
          <w:color w:val="auto"/>
          <w:sz w:val="24"/>
          <w:szCs w:val="24"/>
          <w:highlight w:val="none"/>
          <w:lang w:eastAsia="zh-CN"/>
        </w:rPr>
        <w:t>使用其他</w:t>
      </w:r>
      <w:r>
        <w:rPr>
          <w:rFonts w:hint="eastAsia" w:cs="宋体"/>
          <w:color w:val="auto"/>
          <w:sz w:val="24"/>
          <w:szCs w:val="24"/>
          <w:highlight w:val="none"/>
        </w:rPr>
        <w:t>（如带有“专用章”等字样）印章，否则将按响应无效处理。法定代表人（负责人）或供应商代表签章等处均仅指法定代表人（负责人）或供应商代表签字</w:t>
      </w:r>
      <w:r>
        <w:rPr>
          <w:rFonts w:hint="eastAsia" w:cs="宋体"/>
          <w:color w:val="auto"/>
          <w:sz w:val="24"/>
          <w:szCs w:val="24"/>
          <w:highlight w:val="none"/>
          <w:lang w:val="en-US" w:eastAsia="zh-CN"/>
        </w:rPr>
        <w:t>和</w:t>
      </w:r>
      <w:r>
        <w:rPr>
          <w:rFonts w:hint="eastAsia" w:cs="宋体"/>
          <w:color w:val="auto"/>
          <w:sz w:val="24"/>
          <w:szCs w:val="24"/>
          <w:highlight w:val="none"/>
        </w:rPr>
        <w:t>盖章。</w:t>
      </w:r>
    </w:p>
    <w:p w14:paraId="1F57B6CA">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15.3供应商应在响应文件中按照谈判文件要求，在指定的位置签章，否则将按响应无效处理。</w:t>
      </w:r>
    </w:p>
    <w:p w14:paraId="51C44BD6">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15.4响应文件应字迹清楚、内容齐全、不得涂改或增删。如有修改和增删，必须有供应商</w:t>
      </w:r>
      <w:r>
        <w:rPr>
          <w:rFonts w:hint="eastAsia" w:cs="宋体"/>
          <w:color w:val="auto"/>
          <w:sz w:val="24"/>
          <w:szCs w:val="24"/>
          <w:highlight w:val="none"/>
          <w:lang w:val="en-US" w:eastAsia="zh-CN"/>
        </w:rPr>
        <w:t>签</w:t>
      </w:r>
      <w:r>
        <w:rPr>
          <w:rFonts w:hint="eastAsia" w:cs="宋体"/>
          <w:color w:val="auto"/>
          <w:sz w:val="24"/>
          <w:szCs w:val="24"/>
          <w:highlight w:val="none"/>
        </w:rPr>
        <w:t>章</w:t>
      </w:r>
      <w:r>
        <w:rPr>
          <w:rFonts w:hint="eastAsia" w:cs="宋体"/>
          <w:color w:val="auto"/>
          <w:sz w:val="24"/>
          <w:szCs w:val="24"/>
          <w:highlight w:val="none"/>
          <w:lang w:val="en-US" w:eastAsia="zh-CN"/>
        </w:rPr>
        <w:t>和</w:t>
      </w:r>
      <w:r>
        <w:rPr>
          <w:rFonts w:hint="eastAsia" w:cs="宋体"/>
          <w:color w:val="auto"/>
          <w:sz w:val="24"/>
          <w:szCs w:val="24"/>
          <w:highlight w:val="none"/>
        </w:rPr>
        <w:t>法定代表人或其授权的供应商授权代表签章。</w:t>
      </w:r>
    </w:p>
    <w:p w14:paraId="1CE34114">
      <w:pPr>
        <w:pStyle w:val="35"/>
        <w:snapToGrid w:val="0"/>
        <w:spacing w:line="360" w:lineRule="auto"/>
        <w:ind w:firstLine="482" w:firstLineChars="200"/>
        <w:jc w:val="left"/>
        <w:outlineLvl w:val="1"/>
        <w:rPr>
          <w:rFonts w:cs="宋体"/>
          <w:b/>
          <w:bCs/>
          <w:color w:val="auto"/>
          <w:sz w:val="24"/>
          <w:szCs w:val="24"/>
          <w:highlight w:val="none"/>
        </w:rPr>
      </w:pPr>
      <w:bookmarkStart w:id="59" w:name="_Toc21386"/>
      <w:r>
        <w:rPr>
          <w:rFonts w:hint="eastAsia" w:cs="宋体"/>
          <w:b/>
          <w:bCs/>
          <w:color w:val="auto"/>
          <w:sz w:val="24"/>
          <w:szCs w:val="24"/>
          <w:highlight w:val="none"/>
        </w:rPr>
        <w:t>四、响应文件的退回</w:t>
      </w:r>
      <w:bookmarkEnd w:id="59"/>
    </w:p>
    <w:p w14:paraId="1E6DC58E">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15.5因响应文件字迹潦草或表达不清所引起的不利后果由供应商承担。</w:t>
      </w:r>
    </w:p>
    <w:p w14:paraId="0C32B21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16.1供应商应当在谈判文件要求的首次响应文件解密时间内，未完成解密的，视为供应商退回响应文件。</w:t>
      </w:r>
    </w:p>
    <w:p w14:paraId="43BB9843">
      <w:pPr>
        <w:pStyle w:val="35"/>
        <w:snapToGrid w:val="0"/>
        <w:spacing w:line="360" w:lineRule="auto"/>
        <w:ind w:firstLine="482" w:firstLineChars="200"/>
        <w:jc w:val="left"/>
        <w:rPr>
          <w:rFonts w:cs="宋体"/>
          <w:b/>
          <w:bCs/>
          <w:color w:val="auto"/>
          <w:kern w:val="0"/>
          <w:sz w:val="24"/>
          <w:szCs w:val="24"/>
          <w:highlight w:val="none"/>
        </w:rPr>
      </w:pPr>
      <w:r>
        <w:rPr>
          <w:rFonts w:hint="eastAsia" w:cs="宋体"/>
          <w:b/>
          <w:color w:val="auto"/>
          <w:sz w:val="24"/>
          <w:szCs w:val="24"/>
          <w:highlight w:val="none"/>
        </w:rPr>
        <w:t>16.响应文件</w:t>
      </w:r>
      <w:r>
        <w:rPr>
          <w:rFonts w:hint="eastAsia" w:cs="宋体"/>
          <w:b/>
          <w:bCs/>
          <w:color w:val="auto"/>
          <w:kern w:val="0"/>
          <w:sz w:val="24"/>
          <w:szCs w:val="24"/>
          <w:highlight w:val="none"/>
        </w:rPr>
        <w:t>解密</w:t>
      </w:r>
    </w:p>
    <w:p w14:paraId="27A73844">
      <w:pPr>
        <w:tabs>
          <w:tab w:val="left" w:pos="567"/>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17.1采购代理机构在开启时间止发出解密指令，供应商接到解密信息后，在规定的解密时间内使用加密电子文件时的电子CA进行</w:t>
      </w:r>
      <w:r>
        <w:rPr>
          <w:rFonts w:hint="eastAsia" w:ascii="宋体" w:hAnsi="宋体" w:cs="宋体"/>
          <w:bCs/>
          <w:color w:val="auto"/>
          <w:kern w:val="0"/>
          <w:sz w:val="24"/>
          <w:highlight w:val="none"/>
        </w:rPr>
        <w:t>解密（可远程解密）。</w:t>
      </w:r>
    </w:p>
    <w:p w14:paraId="09E24D46">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rPr>
        <w:t>17.2解密截止时间后，供应商将无法对响应文件进行解密。除特殊情形需请示财政部门采用其他方式外，代理机构不得以任何理由延期解密。</w:t>
      </w:r>
    </w:p>
    <w:p w14:paraId="46F3922A">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kern w:val="0"/>
          <w:sz w:val="24"/>
          <w:highlight w:val="none"/>
        </w:rPr>
        <w:t>17.3</w:t>
      </w:r>
      <w:r>
        <w:rPr>
          <w:rFonts w:hint="eastAsia" w:ascii="宋体" w:hAnsi="宋体" w:cs="宋体"/>
          <w:color w:val="auto"/>
          <w:kern w:val="0"/>
          <w:sz w:val="24"/>
          <w:highlight w:val="none"/>
        </w:rPr>
        <w:t>在响应文件解密截止时间后</w:t>
      </w:r>
      <w:r>
        <w:rPr>
          <w:rFonts w:hint="eastAsia" w:ascii="宋体" w:hAnsi="宋体" w:cs="宋体"/>
          <w:bCs/>
          <w:color w:val="auto"/>
          <w:kern w:val="0"/>
          <w:sz w:val="24"/>
          <w:highlight w:val="none"/>
        </w:rPr>
        <w:t>完成解密的</w:t>
      </w:r>
      <w:r>
        <w:rPr>
          <w:rFonts w:hint="eastAsia" w:ascii="宋体" w:hAnsi="宋体" w:cs="宋体"/>
          <w:color w:val="auto"/>
          <w:kern w:val="0"/>
          <w:sz w:val="24"/>
          <w:highlight w:val="none"/>
        </w:rPr>
        <w:t>供应商不足法定谈判家数时，不得进行下一步评审程序。</w:t>
      </w:r>
    </w:p>
    <w:p w14:paraId="54037959">
      <w:pPr>
        <w:tabs>
          <w:tab w:val="left" w:pos="0"/>
        </w:tabs>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18.</w:t>
      </w:r>
      <w:r>
        <w:rPr>
          <w:rFonts w:hint="eastAsia" w:ascii="宋体" w:hAnsi="宋体" w:cs="宋体"/>
          <w:color w:val="auto"/>
          <w:kern w:val="0"/>
          <w:sz w:val="24"/>
          <w:highlight w:val="none"/>
        </w:rPr>
        <w:t xml:space="preserve"> </w:t>
      </w:r>
      <w:r>
        <w:rPr>
          <w:rFonts w:hint="eastAsia" w:ascii="宋体" w:hAnsi="宋体" w:cs="宋体"/>
          <w:b/>
          <w:color w:val="auto"/>
          <w:kern w:val="0"/>
          <w:sz w:val="24"/>
          <w:highlight w:val="none"/>
        </w:rPr>
        <w:t>响应文件的补充、修改和撤回</w:t>
      </w:r>
    </w:p>
    <w:p w14:paraId="529714FB">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18.1供应商在响应文件解密截止时间前，可以对响应文件进行补充、修改，补充、修改的内容作为响应文件的组成部分。补充、修改内容需在“</w:t>
      </w:r>
      <w:r>
        <w:rPr>
          <w:rFonts w:hint="eastAsia" w:ascii="宋体" w:hAnsi="宋体" w:cs="宋体"/>
          <w:color w:val="auto"/>
          <w:sz w:val="24"/>
          <w:highlight w:val="none"/>
        </w:rPr>
        <w:t>政采云系统</w:t>
      </w:r>
      <w:r>
        <w:rPr>
          <w:rFonts w:hint="eastAsia" w:ascii="宋体" w:hAnsi="宋体" w:cs="宋体"/>
          <w:color w:val="auto"/>
          <w:kern w:val="0"/>
          <w:sz w:val="24"/>
          <w:highlight w:val="none"/>
        </w:rPr>
        <w:t>”中加密上传，未进行上传的补充、修改内容无效。</w:t>
      </w:r>
    </w:p>
    <w:p w14:paraId="34F0D27A">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18.2补充、修改的内容应当按照谈判文件要求签署、盖章，否则，按无效处理。</w:t>
      </w:r>
    </w:p>
    <w:p w14:paraId="4805BF1E">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18.3在响应文件解密截止时间之后，供应商不得对其已解密的响应文件（含补充、修改）进行撤回。</w:t>
      </w:r>
    </w:p>
    <w:p w14:paraId="286E9117">
      <w:pPr>
        <w:numPr>
          <w:ilvl w:val="0"/>
          <w:numId w:val="4"/>
        </w:numPr>
        <w:tabs>
          <w:tab w:val="left" w:pos="0"/>
        </w:tabs>
        <w:snapToGrid w:val="0"/>
        <w:spacing w:line="360" w:lineRule="auto"/>
        <w:ind w:firstLine="482" w:firstLineChars="200"/>
        <w:outlineLvl w:val="1"/>
        <w:rPr>
          <w:rFonts w:ascii="宋体" w:hAnsi="宋体" w:cs="宋体"/>
          <w:b/>
          <w:color w:val="auto"/>
          <w:kern w:val="0"/>
          <w:sz w:val="24"/>
          <w:highlight w:val="none"/>
        </w:rPr>
      </w:pPr>
      <w:bookmarkStart w:id="60" w:name="_Toc15488"/>
      <w:r>
        <w:rPr>
          <w:rFonts w:hint="eastAsia" w:ascii="宋体" w:hAnsi="宋体" w:cs="宋体"/>
          <w:b/>
          <w:color w:val="auto"/>
          <w:kern w:val="0"/>
          <w:sz w:val="24"/>
          <w:highlight w:val="none"/>
        </w:rPr>
        <w:t>开启</w:t>
      </w:r>
      <w:bookmarkEnd w:id="60"/>
    </w:p>
    <w:p w14:paraId="564096D8">
      <w:pPr>
        <w:tabs>
          <w:tab w:val="left" w:pos="0"/>
        </w:tabs>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19.响应文件开启及其有关事项</w:t>
      </w:r>
    </w:p>
    <w:p w14:paraId="482968E4">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19.1代理机构按谈判文件规定的响应文件开启时间、地点主持谈判文件开启会议。</w:t>
      </w:r>
      <w:r>
        <w:rPr>
          <w:rFonts w:hint="eastAsia" w:ascii="宋体" w:hAnsi="宋体" w:cs="宋体"/>
          <w:bCs/>
          <w:color w:val="auto"/>
          <w:kern w:val="0"/>
          <w:sz w:val="24"/>
          <w:highlight w:val="none"/>
        </w:rPr>
        <w:t>谈判活动现场进行全程录音录像，录音录像应当清晰可辨，音像资料作为采购文件一并存档。</w:t>
      </w:r>
    </w:p>
    <w:p w14:paraId="763DD0FC">
      <w:pPr>
        <w:tabs>
          <w:tab w:val="left" w:pos="567"/>
        </w:tabs>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19.2参加谈判的供应商法定代表人或授权代表必须在供应商签到表上签到以证明其出席。</w:t>
      </w:r>
    </w:p>
    <w:p w14:paraId="132B872A">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19.3谈判小组成员和参与采购人代表不得参加谈判会议开启活动。</w:t>
      </w:r>
    </w:p>
    <w:p w14:paraId="6F52D016">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19.4采购代理机构在响应文件开启时间，发出响应文件解密指令。</w:t>
      </w:r>
    </w:p>
    <w:p w14:paraId="06DEA8E8">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19.5本项目实行密封报价，不进行公开唱标。</w:t>
      </w:r>
    </w:p>
    <w:p w14:paraId="09733D9E">
      <w:pPr>
        <w:pStyle w:val="34"/>
        <w:keepNext w:val="0"/>
        <w:keepLines w:val="0"/>
        <w:snapToGrid w:val="0"/>
        <w:spacing w:before="0" w:after="0" w:line="360" w:lineRule="auto"/>
        <w:ind w:firstLine="453" w:firstLineChars="189"/>
        <w:jc w:val="left"/>
        <w:outlineLvl w:val="1"/>
        <w:rPr>
          <w:rFonts w:ascii="宋体" w:hAnsi="宋体"/>
          <w:b w:val="0"/>
          <w:bCs w:val="0"/>
          <w:color w:val="auto"/>
          <w:sz w:val="24"/>
          <w:szCs w:val="24"/>
          <w:highlight w:val="none"/>
        </w:rPr>
      </w:pPr>
      <w:bookmarkStart w:id="61" w:name="_Toc30674"/>
      <w:r>
        <w:rPr>
          <w:rFonts w:hint="eastAsia" w:ascii="宋体" w:hAnsi="宋体"/>
          <w:b w:val="0"/>
          <w:bCs w:val="0"/>
          <w:color w:val="auto"/>
          <w:sz w:val="24"/>
          <w:szCs w:val="24"/>
          <w:highlight w:val="none"/>
        </w:rPr>
        <w:t>19.6开启过程，采购人、采购代理机构相关工作人员有需要回避的情形的，应主动提出回避。</w:t>
      </w:r>
      <w:bookmarkEnd w:id="61"/>
    </w:p>
    <w:p w14:paraId="5EC3D090">
      <w:pPr>
        <w:pStyle w:val="34"/>
        <w:keepNext w:val="0"/>
        <w:keepLines w:val="0"/>
        <w:snapToGrid w:val="0"/>
        <w:spacing w:before="0" w:after="0" w:line="360" w:lineRule="auto"/>
        <w:ind w:firstLine="453" w:firstLineChars="189"/>
        <w:jc w:val="left"/>
        <w:outlineLvl w:val="1"/>
        <w:rPr>
          <w:rFonts w:ascii="宋体" w:hAnsi="宋体"/>
          <w:b w:val="0"/>
          <w:bCs w:val="0"/>
          <w:color w:val="auto"/>
          <w:sz w:val="24"/>
          <w:szCs w:val="24"/>
          <w:highlight w:val="none"/>
        </w:rPr>
      </w:pPr>
      <w:bookmarkStart w:id="62" w:name="_Toc32498"/>
      <w:r>
        <w:rPr>
          <w:rFonts w:hint="eastAsia" w:ascii="宋体" w:hAnsi="宋体"/>
          <w:b w:val="0"/>
          <w:bCs w:val="0"/>
          <w:color w:val="auto"/>
          <w:sz w:val="24"/>
          <w:szCs w:val="24"/>
          <w:highlight w:val="none"/>
        </w:rPr>
        <w:t>19.8供应商未参加开启活动的，视同认可开启结果。</w:t>
      </w:r>
      <w:bookmarkEnd w:id="62"/>
    </w:p>
    <w:p w14:paraId="030ABDE9">
      <w:pPr>
        <w:pStyle w:val="34"/>
        <w:keepNext w:val="0"/>
        <w:keepLines w:val="0"/>
        <w:snapToGrid w:val="0"/>
        <w:spacing w:before="156" w:beforeLines="50" w:after="156" w:afterLines="50" w:line="360" w:lineRule="auto"/>
        <w:ind w:firstLine="455" w:firstLineChars="189"/>
        <w:jc w:val="left"/>
        <w:outlineLvl w:val="1"/>
        <w:rPr>
          <w:rFonts w:ascii="宋体" w:hAnsi="宋体"/>
          <w:color w:val="auto"/>
          <w:sz w:val="24"/>
          <w:szCs w:val="24"/>
          <w:highlight w:val="none"/>
        </w:rPr>
      </w:pPr>
      <w:bookmarkStart w:id="63" w:name="_Toc11069"/>
      <w:r>
        <w:rPr>
          <w:rFonts w:hint="eastAsia" w:ascii="宋体" w:hAnsi="宋体"/>
          <w:color w:val="auto"/>
          <w:sz w:val="24"/>
          <w:szCs w:val="24"/>
          <w:highlight w:val="none"/>
        </w:rPr>
        <w:t>五、谈判程序和要求</w:t>
      </w:r>
      <w:bookmarkEnd w:id="63"/>
    </w:p>
    <w:p w14:paraId="5C7549FA">
      <w:pPr>
        <w:pStyle w:val="35"/>
        <w:snapToGrid w:val="0"/>
        <w:spacing w:line="360" w:lineRule="auto"/>
        <w:ind w:firstLine="472" w:firstLineChars="196"/>
        <w:jc w:val="left"/>
        <w:rPr>
          <w:rFonts w:cs="宋体"/>
          <w:b/>
          <w:color w:val="auto"/>
          <w:sz w:val="24"/>
          <w:szCs w:val="24"/>
          <w:highlight w:val="none"/>
        </w:rPr>
      </w:pPr>
      <w:r>
        <w:rPr>
          <w:rFonts w:hint="eastAsia" w:cs="宋体"/>
          <w:b/>
          <w:color w:val="auto"/>
          <w:sz w:val="24"/>
          <w:szCs w:val="24"/>
          <w:highlight w:val="none"/>
        </w:rPr>
        <w:t>20.组建谈判小组</w:t>
      </w:r>
    </w:p>
    <w:p w14:paraId="3242C7EA">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20.1</w:t>
      </w:r>
      <w:r>
        <w:rPr>
          <w:rFonts w:hint="eastAsia" w:ascii="宋体" w:hAnsi="宋体" w:cs="宋体"/>
          <w:color w:val="auto"/>
          <w:kern w:val="0"/>
          <w:sz w:val="24"/>
          <w:highlight w:val="none"/>
        </w:rPr>
        <w:t>采购代理机构根据相关法律法规和本谈判文件的规定，结合本项目特点组建谈判小组，谈判小组由采购人代表和评审专家共三人及以上单数组成，其中评审专家不得少于成员总数的三分之二。</w:t>
      </w:r>
    </w:p>
    <w:p w14:paraId="17CC8082">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20.2评审专家对本单位的采购项目只能作为采购人代表参与评审，法律规定的情形除外。</w:t>
      </w:r>
    </w:p>
    <w:p w14:paraId="11C974A6">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20.3采购代理机构工作人员不得参加由本机构代理的政府采购项目的评审活动。</w:t>
      </w:r>
    </w:p>
    <w:p w14:paraId="5777326F">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20.4谈判小组成员名单在评审结果公告前应当保密。</w:t>
      </w:r>
    </w:p>
    <w:p w14:paraId="0AD4835D">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20.5评审专家由采购代理机构从</w:t>
      </w:r>
      <w:r>
        <w:rPr>
          <w:rFonts w:hint="eastAsia" w:ascii="宋体" w:hAnsi="宋体" w:cs="宋体"/>
          <w:color w:val="auto"/>
          <w:kern w:val="0"/>
          <w:sz w:val="24"/>
          <w:highlight w:val="none"/>
          <w:u w:val="single"/>
        </w:rPr>
        <w:t>山西省政府采购评审专家库</w:t>
      </w:r>
      <w:r>
        <w:rPr>
          <w:rFonts w:hint="eastAsia" w:ascii="宋体" w:hAnsi="宋体" w:cs="宋体"/>
          <w:color w:val="auto"/>
          <w:kern w:val="0"/>
          <w:sz w:val="24"/>
          <w:highlight w:val="none"/>
        </w:rPr>
        <w:t>中，通过随机抽取方式产生。对技术复杂、专业性强的采购项目，通过随机方式难以确定合适评审专家的，</w:t>
      </w:r>
      <w:r>
        <w:rPr>
          <w:rFonts w:hint="eastAsia" w:ascii="宋体" w:hAnsi="宋体" w:cs="宋体"/>
          <w:bCs/>
          <w:color w:val="auto"/>
          <w:kern w:val="0"/>
          <w:sz w:val="24"/>
          <w:highlight w:val="none"/>
        </w:rPr>
        <w:t>经主管预算单位同意，采购人可以自行选定相应专业领域的评审专家。</w:t>
      </w:r>
    </w:p>
    <w:p w14:paraId="45134101">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20.6谈判中因评审专家缺席、回避或者健康等特殊原因，导致谈判小组成员组成不符合相关规定的，代理机构应当补足后继续谈判。被更换的谈判小组成员所做出的谈判意见无效。</w:t>
      </w:r>
    </w:p>
    <w:p w14:paraId="198F00B8">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20.7无法及时补足谈判小组成员时，代理机构应当停止谈判活动，封存所有响应文件及评审资料，重新组建谈判小组进行谈判。原谈判小组所做出的谈判意见无效。</w:t>
      </w:r>
    </w:p>
    <w:p w14:paraId="06A159CC">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20.8代理机构应当将变更、重新组建谈判小组的情况予以记录，并随谈判文件一并存档。</w:t>
      </w:r>
    </w:p>
    <w:p w14:paraId="58B1A15A">
      <w:pPr>
        <w:pStyle w:val="35"/>
        <w:snapToGrid w:val="0"/>
        <w:spacing w:line="360" w:lineRule="auto"/>
        <w:ind w:firstLine="472" w:firstLineChars="196"/>
        <w:jc w:val="left"/>
        <w:rPr>
          <w:rFonts w:cs="宋体"/>
          <w:b/>
          <w:color w:val="auto"/>
          <w:sz w:val="24"/>
          <w:szCs w:val="24"/>
          <w:highlight w:val="none"/>
        </w:rPr>
      </w:pPr>
      <w:r>
        <w:rPr>
          <w:rFonts w:hint="eastAsia" w:cs="宋体"/>
          <w:b/>
          <w:color w:val="auto"/>
          <w:sz w:val="24"/>
          <w:szCs w:val="24"/>
          <w:highlight w:val="none"/>
        </w:rPr>
        <w:t>21.评审</w:t>
      </w:r>
    </w:p>
    <w:p w14:paraId="25ED614A">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21.1谈判小组成员首先对谈判文件进行符合性、合理性审查，并签字确认。如谈判文件内容中存在违反国家有关强制性规定的或歧视性等条款，应当向采购代理机构说明，并停止本项目评审。</w:t>
      </w:r>
    </w:p>
    <w:p w14:paraId="020CEAAC">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21.2</w:t>
      </w:r>
      <w:r>
        <w:rPr>
          <w:rFonts w:hint="eastAsia" w:ascii="宋体" w:hAnsi="宋体" w:cs="宋体"/>
          <w:color w:val="auto"/>
          <w:kern w:val="0"/>
          <w:sz w:val="24"/>
          <w:highlight w:val="none"/>
        </w:rPr>
        <w:t>依据谈判文件中规定“评审方法和评审标准”，谈判小组成员按分包顺序</w:t>
      </w:r>
      <w:r>
        <w:rPr>
          <w:rFonts w:hint="eastAsia" w:ascii="宋体" w:hAnsi="宋体" w:cs="宋体"/>
          <w:color w:val="auto"/>
          <w:sz w:val="24"/>
          <w:highlight w:val="none"/>
        </w:rPr>
        <w:t>对每包所有参加谈判的供应商的响应文件中</w:t>
      </w:r>
      <w:r>
        <w:rPr>
          <w:rFonts w:hint="eastAsia" w:ascii="宋体" w:hAnsi="宋体" w:cs="宋体"/>
          <w:color w:val="auto"/>
          <w:kern w:val="0"/>
          <w:sz w:val="24"/>
          <w:highlight w:val="none"/>
        </w:rPr>
        <w:t>的资格证明文件和商务技术文件的有效性、完整性、符合性进行独立审查。</w:t>
      </w:r>
    </w:p>
    <w:p w14:paraId="53C2B609">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21.3根据资格证明文件审查结果（评审意见不一致时，遵循少数服从多数的原则），确定各供应商是否具备谈判资格。</w:t>
      </w:r>
    </w:p>
    <w:p w14:paraId="3ED2810B">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21.4对资格性审查合格的3家及以上供应商的响应文件中商务技术文件进行审查，根据审查结果（评审意见不一致时，遵循少数服从多数的原则），以确定其是否对谈判文件的商务技术要求做出了实质性响应。</w:t>
      </w:r>
    </w:p>
    <w:p w14:paraId="45D44A26">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21.5在审查过程中，除资格证明文件外谈判小组可以要求供应商对响应文件中的商务技术存在含义不明确、同类问题表述不一致或者有明显文字和计算错误的内容等作出必要的澄清、说明或者补正。但供应商的澄清、说明或者更正不得超过响应文件的范围或者改变响应文件的实质性内容。</w:t>
      </w:r>
    </w:p>
    <w:p w14:paraId="2E6C5736">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21.6谈判小组要求供应商澄清、说明或者更正的内容应当在“政采云系统”中提出。供应商的澄清、说明或者更正应当由法定代表人或其授权代表签字或者加盖电子CA章，并在政采云系统中进行回复。谈判小组成员根据回复内容，判断其是否实质上响应谈判文件要求。</w:t>
      </w:r>
    </w:p>
    <w:p w14:paraId="0B44AB93">
      <w:pPr>
        <w:tabs>
          <w:tab w:val="left" w:pos="567"/>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21.7实质性响应的响应文件：是指与谈判文件的主要商务技术条款、条件和要求相符，经谈判小组成员认定完全符合谈判文件要求的响应文件。</w:t>
      </w:r>
    </w:p>
    <w:p w14:paraId="628EA09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21.8未实质性响应的响应文件：是指对谈判文件的主要商务技术条款、条件和要求等未完全实质上响应或者响应不一致，存在限制了采购人或其他供应商的权利与义务，纠正这些内容将对其他实质上响应要求的供应商的竞争地位产生不公正的影响。包括但不限于：</w:t>
      </w:r>
    </w:p>
    <w:p w14:paraId="55ABB004">
      <w:pPr>
        <w:tabs>
          <w:tab w:val="left" w:pos="737"/>
          <w:tab w:val="left" w:pos="1200"/>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A．未对“供应商须知前附表”第</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条中带*号的商务技术文件及商务技术指标要求中带“*”商务技术要求作出实质上响应的；</w:t>
      </w:r>
    </w:p>
    <w:p w14:paraId="63EE4FBB">
      <w:pPr>
        <w:tabs>
          <w:tab w:val="left" w:pos="737"/>
          <w:tab w:val="left" w:pos="1200"/>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B．未按谈判文件的规定签章的；</w:t>
      </w:r>
    </w:p>
    <w:p w14:paraId="2716F3C9">
      <w:pPr>
        <w:tabs>
          <w:tab w:val="left" w:pos="737"/>
          <w:tab w:val="left" w:pos="1200"/>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C．响应文件有效期不足的；</w:t>
      </w:r>
    </w:p>
    <w:p w14:paraId="49CF53C4">
      <w:pPr>
        <w:tabs>
          <w:tab w:val="left" w:pos="737"/>
          <w:tab w:val="left" w:pos="1200"/>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D．未按照谈判文件规定报价的；</w:t>
      </w:r>
    </w:p>
    <w:p w14:paraId="79269602">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E．不符合谈判文件中有关分包、转包规定的；</w:t>
      </w:r>
    </w:p>
    <w:p w14:paraId="3DAD1F41">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F．响应文件附有采购人不能接受的条件的；</w:t>
      </w:r>
    </w:p>
    <w:p w14:paraId="148EC53F">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G．不符合谈判文件中规定的其他实质性要求的。</w:t>
      </w:r>
    </w:p>
    <w:p w14:paraId="0332753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21.9如果未对谈判文件商务技术要求做出实质性响应，谈判将予以拒绝，供应商不得再对响应文件进行任何澄清、说明或者更正，从而使其成为实质性响应的响应文件。 </w:t>
      </w:r>
    </w:p>
    <w:p w14:paraId="2520BE50">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21.10谈判小组对响应文件的判定,除项目需对文件中无法用文字表述的其他特殊要求（如需对样品、演示内容等）作为实质性审查内容外，只依据供应商在“政采云系统”中提交的电子响应文件。</w:t>
      </w:r>
    </w:p>
    <w:p w14:paraId="1FF6538A">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21.11谈判小组各评审专家在资格性、符合性审查之后，与符合谈判文件要求的3家及以上供应商进行谈判（询标）。</w:t>
      </w:r>
    </w:p>
    <w:p w14:paraId="34FE9065">
      <w:pPr>
        <w:tabs>
          <w:tab w:val="left" w:pos="737"/>
          <w:tab w:val="left" w:pos="1200"/>
        </w:tabs>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21.12响应文件评审结束，对未实质上响应谈判文件的响应文件按无效响应处理。</w:t>
      </w:r>
    </w:p>
    <w:p w14:paraId="2FBC3ECF">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22．谈判（询标）</w:t>
      </w:r>
    </w:p>
    <w:p w14:paraId="238957E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22.1谈判小组成员与3家及以上实质性响应谈判文件要求的供应商就本次采购需求中的技术、服务要求以及合同草案通过“政采云系统”分别进行谈判（询标）。</w:t>
      </w:r>
    </w:p>
    <w:p w14:paraId="1AC58F8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22.2谈判小组可以根据谈判文件和谈判（询标）情况实质性变动采购需求中的技术、服务要求以及合同草案条款，但不得变动谈判文件中的其他内容。实质性变动的内容，需经采购人代表签字确认。</w:t>
      </w:r>
    </w:p>
    <w:p w14:paraId="4CCF5F5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在谈判（询标）过程中做出的实质性变动内容，是谈判文件的有效组成部分。谈判小组组长将实质性变动情况和谈判小组的要求通过“政采云系统”给各供应商发出询标函。各供应商在接到询标函通知后，须在规定时间内通过“政采云系统”提交加盖供应商电子CA章的对询标函所有内容作出的答复函。</w:t>
      </w:r>
    </w:p>
    <w:p w14:paraId="0B56FF3E">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22.4存在下列情况之一者将视为响应无效：</w:t>
      </w:r>
    </w:p>
    <w:p w14:paraId="1FB459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（1）未在规定时间内提交对询标函所有内容做出答复函的，</w:t>
      </w:r>
    </w:p>
    <w:p w14:paraId="70854B5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（2）未在答复函中由法定代表人或其授权代表签字或加盖电子CA章的；</w:t>
      </w:r>
    </w:p>
    <w:p w14:paraId="5EF74A2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（3）未按谈判小组要求对响应文件进行澄清（说明或者更正）的；</w:t>
      </w:r>
    </w:p>
    <w:p w14:paraId="59385EC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（4）谈判小组对答复内容经过评审后认为其没有对谈判内容作出实质性响应的；</w:t>
      </w:r>
    </w:p>
    <w:p w14:paraId="108E397D">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（5）存在采购人不能接受内容的等情形。</w:t>
      </w:r>
    </w:p>
    <w:p w14:paraId="0BE526D7">
      <w:pPr>
        <w:pStyle w:val="35"/>
        <w:snapToGrid w:val="0"/>
        <w:spacing w:line="360" w:lineRule="auto"/>
        <w:ind w:firstLine="482" w:firstLineChars="200"/>
        <w:jc w:val="left"/>
        <w:rPr>
          <w:rFonts w:hint="default" w:eastAsia="宋体" w:cs="宋体"/>
          <w:b/>
          <w:color w:val="auto"/>
          <w:sz w:val="24"/>
          <w:szCs w:val="24"/>
          <w:highlight w:val="none"/>
          <w:lang w:val="en-US" w:eastAsia="zh-CN"/>
        </w:rPr>
      </w:pPr>
      <w:r>
        <w:rPr>
          <w:rFonts w:hint="eastAsia" w:cs="宋体"/>
          <w:b/>
          <w:color w:val="auto"/>
          <w:sz w:val="24"/>
          <w:szCs w:val="24"/>
          <w:highlight w:val="none"/>
        </w:rPr>
        <w:t>23.最终报价</w:t>
      </w:r>
    </w:p>
    <w:p w14:paraId="644A04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23.1报价原则</w:t>
      </w:r>
    </w:p>
    <w:p w14:paraId="06F36B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23.1.1谈判文件能够详细列明采购标的的技术要求、服务要求等的，谈判结束后，谈判小组应当向所有实质性响应谈判文件要求的供应商开启第二次报价通知，并要求其在规定时间内在“政采云系统”中提交第二次（最终）报价。提交最终报价的供应商不得少于3家。</w:t>
      </w:r>
    </w:p>
    <w:p w14:paraId="60CC0E3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23.1.2谈判文件不能详细列明采购标的的技术要求、服务要求的，需经谈判由供应商提供最终解决方案的，谈判结束后，谈判小组应当按照少数服从多数的原则投票推荐3家以上供应商的解决方案，并要求其在规定时间内在“政采云系统”中提交最终报价。</w:t>
      </w:r>
    </w:p>
    <w:p w14:paraId="22A69023">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23.1.3供应商在提交最终响应函之前，可以根据谈判情况退出最终报价，采购人、采购代理机构应当退还退出谈判的供应商的谈判保证金。供应商在规定时间内未在“政采云系统”中提交最终报价的，视为退出最终报价。</w:t>
      </w:r>
    </w:p>
    <w:p w14:paraId="38A6BA1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23.1.4提交的最终报价须加盖电子CA章，并在政采云系统上传。若为联合体形式参加谈判，</w:t>
      </w:r>
      <w:r>
        <w:rPr>
          <w:rFonts w:hint="eastAsia" w:ascii="宋体" w:hAnsi="宋体" w:cs="宋体"/>
          <w:color w:val="auto"/>
          <w:sz w:val="24"/>
          <w:highlight w:val="none"/>
          <w:lang w:val="en-US" w:eastAsia="zh-CN"/>
        </w:rPr>
        <w:t>最终</w:t>
      </w:r>
      <w:r>
        <w:rPr>
          <w:rFonts w:hint="eastAsia" w:ascii="宋体" w:hAnsi="宋体" w:cs="宋体"/>
          <w:color w:val="auto"/>
          <w:sz w:val="24"/>
          <w:highlight w:val="none"/>
        </w:rPr>
        <w:t>报价由牵头人负责报价，加盖牵头人电子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章</w:t>
      </w:r>
    </w:p>
    <w:p w14:paraId="1FF28C1A">
      <w:pPr>
        <w:pStyle w:val="1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23.2报价审核</w:t>
      </w:r>
    </w:p>
    <w:p w14:paraId="0FC0F948">
      <w:pPr>
        <w:pStyle w:val="1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23.2.1根据本文件第四部分“评审方法和评审标准”对最终报价进行符合性审查。</w:t>
      </w:r>
    </w:p>
    <w:p w14:paraId="49466065">
      <w:pPr>
        <w:pStyle w:val="1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23.2.2对最终报价存在明显不合理的，谈判小组有权决定是否通过“政采云系统”要求供应商在规定时间内提供相关证明材料。</w:t>
      </w:r>
    </w:p>
    <w:p w14:paraId="709C38B0">
      <w:pPr>
        <w:pStyle w:val="9"/>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23.2.3提交最终报价的供应商家数不足法定供应商数量的，需依法重新组织谈判活动或终止谈判活动。</w:t>
      </w:r>
    </w:p>
    <w:p w14:paraId="2C7D9CBE">
      <w:pPr>
        <w:pStyle w:val="1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23.2.4经审查，合格供应商数量符合法定供应商家数时，对符合政策性要求优惠的各供应商的最终报价，按照谈判文件中确定的优惠率，对其最终报价进行调整后，形成各供应商最终评审价格。</w:t>
      </w:r>
    </w:p>
    <w:p w14:paraId="4C35BFCF">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23.3存在下列情况之一者将视为响应无效：</w:t>
      </w:r>
    </w:p>
    <w:p w14:paraId="756673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（1）未在规定时间内提交最终报价的；</w:t>
      </w:r>
    </w:p>
    <w:p w14:paraId="40BE060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（2）未在最终报价函中加盖电子CA章的；</w:t>
      </w:r>
    </w:p>
    <w:p w14:paraId="08A996E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（3）未按最终报价函要求进行填报或最终报价函填报不完整，</w:t>
      </w:r>
      <w:r>
        <w:rPr>
          <w:rFonts w:hint="eastAsia" w:ascii="宋体" w:hAnsi="宋体" w:cs="宋体"/>
          <w:color w:val="auto"/>
          <w:sz w:val="24"/>
          <w:highlight w:val="none"/>
          <w:lang w:eastAsia="zh-CN"/>
        </w:rPr>
        <w:t>存在</w:t>
      </w:r>
      <w:r>
        <w:rPr>
          <w:rFonts w:hint="eastAsia" w:ascii="宋体" w:hAnsi="宋体" w:cs="宋体"/>
          <w:color w:val="auto"/>
          <w:sz w:val="24"/>
          <w:highlight w:val="none"/>
        </w:rPr>
        <w:t>空项、漏项、缺项的；</w:t>
      </w:r>
    </w:p>
    <w:p w14:paraId="1229F11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谈判小组成员对各供应商的最终报价进行合理性审核，如谈判小组成员一致认为某个供应商的最后报价明显不合理，有降低质量、不能诚信履行的可能时，谈判小组成员有权决定是否通知供应商限期进行书面解释或提供相关证明材料。若已要求，而该供应商在规定期限内未做出解释、做出的解释不合理或不能提供证明材料的。</w:t>
      </w:r>
    </w:p>
    <w:p w14:paraId="14B05970">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24.推荐成交候选供应商、确定成交供应商</w:t>
      </w:r>
    </w:p>
    <w:p w14:paraId="75DF541E">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24.1推荐成交候选供应商需遵循下列原则</w:t>
      </w:r>
    </w:p>
    <w:p w14:paraId="7B2F6EEE">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24.2.1谈判小组依据23.2.4确定的最终评审价格，按照由</w:t>
      </w:r>
      <w:r>
        <w:rPr>
          <w:rFonts w:hint="eastAsia" w:cs="宋体"/>
          <w:color w:val="auto"/>
          <w:sz w:val="24"/>
          <w:szCs w:val="24"/>
          <w:highlight w:val="none"/>
          <w:lang w:val="en-US" w:eastAsia="zh-CN"/>
        </w:rPr>
        <w:t>低</w:t>
      </w:r>
      <w:r>
        <w:rPr>
          <w:rFonts w:hint="eastAsia" w:cs="宋体"/>
          <w:color w:val="auto"/>
          <w:sz w:val="24"/>
          <w:szCs w:val="24"/>
          <w:highlight w:val="none"/>
        </w:rPr>
        <w:t>到</w:t>
      </w:r>
      <w:r>
        <w:rPr>
          <w:rFonts w:hint="eastAsia" w:cs="宋体"/>
          <w:color w:val="auto"/>
          <w:sz w:val="24"/>
          <w:szCs w:val="24"/>
          <w:highlight w:val="none"/>
          <w:lang w:val="en-US" w:eastAsia="zh-CN"/>
        </w:rPr>
        <w:t>高</w:t>
      </w:r>
      <w:r>
        <w:rPr>
          <w:rFonts w:hint="eastAsia" w:cs="宋体"/>
          <w:color w:val="auto"/>
          <w:sz w:val="24"/>
          <w:szCs w:val="24"/>
          <w:highlight w:val="none"/>
        </w:rPr>
        <w:t>的顺序排序；</w:t>
      </w:r>
    </w:p>
    <w:p w14:paraId="4D191685">
      <w:pPr>
        <w:pStyle w:val="35"/>
        <w:snapToGrid w:val="0"/>
        <w:spacing w:line="360" w:lineRule="auto"/>
        <w:ind w:firstLine="480" w:firstLineChars="200"/>
        <w:jc w:val="left"/>
        <w:rPr>
          <w:rFonts w:cs="宋体"/>
          <w:color w:val="auto"/>
          <w:kern w:val="0"/>
          <w:sz w:val="24"/>
          <w:szCs w:val="24"/>
          <w:highlight w:val="none"/>
        </w:rPr>
      </w:pPr>
      <w:r>
        <w:rPr>
          <w:rFonts w:hint="eastAsia" w:cs="宋体"/>
          <w:color w:val="auto"/>
          <w:sz w:val="24"/>
          <w:szCs w:val="24"/>
          <w:highlight w:val="none"/>
        </w:rPr>
        <w:t>24.2.2报价相同的，</w:t>
      </w:r>
      <w:r>
        <w:rPr>
          <w:rFonts w:hint="eastAsia" w:cs="宋体"/>
          <w:color w:val="auto"/>
          <w:kern w:val="0"/>
          <w:sz w:val="24"/>
          <w:szCs w:val="24"/>
          <w:highlight w:val="none"/>
        </w:rPr>
        <w:t>按照技术方案、服务等因素的优劣进行</w:t>
      </w:r>
      <w:r>
        <w:rPr>
          <w:rFonts w:hint="eastAsia" w:cs="宋体"/>
          <w:color w:val="auto"/>
          <w:sz w:val="24"/>
          <w:szCs w:val="24"/>
          <w:highlight w:val="none"/>
        </w:rPr>
        <w:t>排名</w:t>
      </w:r>
      <w:r>
        <w:rPr>
          <w:rFonts w:hint="eastAsia" w:cs="宋体"/>
          <w:color w:val="auto"/>
          <w:kern w:val="0"/>
          <w:sz w:val="24"/>
          <w:szCs w:val="24"/>
          <w:highlight w:val="none"/>
        </w:rPr>
        <w:t>。</w:t>
      </w:r>
    </w:p>
    <w:p w14:paraId="3F2FB643">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24.2.3供应商提供相同品牌产品且通过资格审查、符合性审查的不同供应商参加同一合同项下谈判的，按一家供应商计算，评审价格最低的同品牌供应商获得成交候选人推荐资格；评审价格相同的，由评审小组在谈判现场采取随机抽取方式确定一个供应商获得成交候选供应商推荐资格，其他同品牌供应商不作为成交候选人。</w:t>
      </w:r>
    </w:p>
    <w:p w14:paraId="5FEC560A">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24.2.4如本项目或本包为非单一产品采购的，应根据采购项目技术构成、产品价格比重等合理确定核心产品，并在谈判文件中载明；多家供应商提供的核心产品品牌相同的，按24.2.3规定处理。</w:t>
      </w:r>
    </w:p>
    <w:p w14:paraId="69F1F202">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24.2.5谈判小组成员对推荐顺序有异议的，按照少数服从多数的原则推荐成交候选供应商，谈判活动继续进行。</w:t>
      </w:r>
    </w:p>
    <w:p w14:paraId="61964449">
      <w:pPr>
        <w:pStyle w:val="35"/>
        <w:snapToGrid w:val="0"/>
        <w:spacing w:line="360" w:lineRule="auto"/>
        <w:ind w:firstLine="482" w:firstLineChars="200"/>
        <w:jc w:val="left"/>
        <w:rPr>
          <w:rFonts w:cs="宋体"/>
          <w:color w:val="auto"/>
          <w:sz w:val="24"/>
          <w:szCs w:val="24"/>
          <w:highlight w:val="none"/>
        </w:rPr>
      </w:pPr>
      <w:r>
        <w:rPr>
          <w:rFonts w:hint="eastAsia" w:cs="宋体"/>
          <w:b/>
          <w:bCs/>
          <w:color w:val="auto"/>
          <w:sz w:val="24"/>
          <w:szCs w:val="24"/>
          <w:highlight w:val="none"/>
        </w:rPr>
        <w:t>25.确定成交供应商</w:t>
      </w:r>
    </w:p>
    <w:p w14:paraId="2FA45FD0">
      <w:pPr>
        <w:pStyle w:val="35"/>
        <w:snapToGrid w:val="0"/>
        <w:spacing w:line="360" w:lineRule="auto"/>
        <w:ind w:firstLine="480" w:firstLineChars="200"/>
        <w:jc w:val="left"/>
        <w:rPr>
          <w:rFonts w:cs="宋体"/>
          <w:color w:val="auto"/>
          <w:kern w:val="0"/>
          <w:sz w:val="24"/>
          <w:szCs w:val="24"/>
          <w:highlight w:val="none"/>
        </w:rPr>
      </w:pPr>
      <w:r>
        <w:rPr>
          <w:rFonts w:hint="eastAsia" w:cs="宋体"/>
          <w:color w:val="auto"/>
          <w:sz w:val="24"/>
          <w:szCs w:val="24"/>
          <w:highlight w:val="none"/>
        </w:rPr>
        <w:t>25.1本次谈判项目，</w:t>
      </w:r>
      <w:r>
        <w:rPr>
          <w:rFonts w:hint="eastAsia" w:cs="宋体"/>
          <w:color w:val="auto"/>
          <w:sz w:val="24"/>
          <w:szCs w:val="24"/>
          <w:highlight w:val="none"/>
          <w:lang w:val="en-US" w:eastAsia="zh-CN"/>
        </w:rPr>
        <w:t>在</w:t>
      </w:r>
      <w:r>
        <w:rPr>
          <w:rFonts w:hint="eastAsia" w:cs="宋体"/>
          <w:color w:val="auto"/>
          <w:sz w:val="24"/>
          <w:szCs w:val="24"/>
          <w:highlight w:val="none"/>
        </w:rPr>
        <w:t>质量和服务均能满足谈判文件实质性响应要求的供应商中，按照供应商由低到高的报价顺序，甲方授权评标委员会按照成交候选供应商排序，优先直接确定排名第一的供应商为成交供应商。</w:t>
      </w:r>
    </w:p>
    <w:p w14:paraId="0FBE91B0">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26.编写评审报告</w:t>
      </w:r>
    </w:p>
    <w:p w14:paraId="6E0F34D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26.1谈判小组根据谈判记录和谈判情况及评审结果编写评审报告。</w:t>
      </w:r>
    </w:p>
    <w:p w14:paraId="6CF6830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评审报告应当包括以下主要内容：</w:t>
      </w:r>
    </w:p>
    <w:p w14:paraId="3FF8938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（一）邀请供应商参加谈判活动的具体方法和相关情况；</w:t>
      </w:r>
    </w:p>
    <w:p w14:paraId="56826FF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（二）响应文件开启日期和地点及响应文件解密情况；</w:t>
      </w:r>
    </w:p>
    <w:p w14:paraId="6EAE341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（三）获取谈判文件的供应商名单和谈判小组成员名单；</w:t>
      </w:r>
    </w:p>
    <w:p w14:paraId="7B714F8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（四）评审情况记录和说明，包括各供应商的资格性、符合性审查情况、供应商响应文件评审情况、谈判情况、报价情况等；</w:t>
      </w:r>
    </w:p>
    <w:p w14:paraId="45C0E39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（五）提出成交供应商的排序名单和理由。</w:t>
      </w:r>
    </w:p>
    <w:p w14:paraId="15979A1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26.2评审报告应当由谈判小组全体人员签字认可。对评审报告有异议的谈判小组成员，应当在报告上签署不同意见并说明理由，由谈判小组书面记录相关情况。谈判小组成员拒绝在报告上签字又不出具说明其不同意见和理由的，视为同意评审报告。</w:t>
      </w:r>
    </w:p>
    <w:p w14:paraId="40CA90AB">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27.评审复核</w:t>
      </w:r>
    </w:p>
    <w:p w14:paraId="4D92EBF1">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27.1谈判小组要对评审数据进行校对、核对。</w:t>
      </w:r>
    </w:p>
    <w:p w14:paraId="11195A07">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27.2除资格性审查认定错误、分值汇总计算错误、分项评分超出评分范围、客观分评分不一致、经谈判小组一致认定畸高、畸低的情形外，代理机构或者采购方不得以任何理由组织重新评审。</w:t>
      </w:r>
    </w:p>
    <w:p w14:paraId="3FBE2D09">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27.3采购方、代理机构发现谈判小组未按谈判文件规定的评审标准进行评审的，应当重新开展谈判活动，并同时书面报告相关部门。</w:t>
      </w:r>
    </w:p>
    <w:p w14:paraId="013BED21">
      <w:pPr>
        <w:pStyle w:val="35"/>
        <w:snapToGrid w:val="0"/>
        <w:spacing w:line="360" w:lineRule="auto"/>
        <w:ind w:firstLine="482" w:firstLineChars="200"/>
        <w:jc w:val="left"/>
        <w:rPr>
          <w:rFonts w:cs="宋体"/>
          <w:b/>
          <w:color w:val="auto"/>
          <w:sz w:val="24"/>
          <w:szCs w:val="24"/>
          <w:highlight w:val="none"/>
        </w:rPr>
      </w:pPr>
      <w:r>
        <w:rPr>
          <w:rFonts w:hint="eastAsia" w:cs="宋体"/>
          <w:b/>
          <w:color w:val="auto"/>
          <w:sz w:val="24"/>
          <w:szCs w:val="24"/>
          <w:highlight w:val="none"/>
        </w:rPr>
        <w:t>28.谈判过程保密</w:t>
      </w:r>
    </w:p>
    <w:p w14:paraId="71D9018B">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28.1在谈判期间，任何人不得透露与谈判有关的其他供应商的响应内容及服务方案和其他信息。</w:t>
      </w:r>
    </w:p>
    <w:p w14:paraId="7E821709">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28.2</w:t>
      </w:r>
      <w:r>
        <w:rPr>
          <w:rFonts w:hint="eastAsia" w:ascii="宋体" w:hAnsi="宋体" w:cs="宋体"/>
          <w:color w:val="auto"/>
          <w:kern w:val="0"/>
          <w:sz w:val="24"/>
          <w:highlight w:val="none"/>
        </w:rPr>
        <w:t>采购人、代理机构应当采取必要措施，保证谈判在严格保密的情况下进行。除采购方代表、谈判现场组织人员外，采购方的其他工作人员以及与谈判工作无关的人员不得进入谈判现场。</w:t>
      </w:r>
    </w:p>
    <w:p w14:paraId="3B2C6970">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28.3谈判开始，直到授予成交供应商合同止，凡是属于审查、澄清、评价和比较谈判的有关资料等，均不得向供应商或其他与谈判无关的人员透露。</w:t>
      </w:r>
    </w:p>
    <w:p w14:paraId="6A9712FC">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28.4在谈判期间，供应商企图影响代理机构或谈判小组的任何活动，将导致谈判被拒绝，并承担相应的责任。</w:t>
      </w:r>
    </w:p>
    <w:p w14:paraId="23EFC814">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28.5谈判结束后，参与评审的所有人员不得带走与相关规定要求违背的任何资料。</w:t>
      </w:r>
    </w:p>
    <w:p w14:paraId="42CD554C">
      <w:pPr>
        <w:pStyle w:val="35"/>
        <w:snapToGrid w:val="0"/>
        <w:spacing w:line="360" w:lineRule="auto"/>
        <w:ind w:firstLine="477" w:firstLineChars="198"/>
        <w:jc w:val="left"/>
        <w:rPr>
          <w:rFonts w:cs="宋体"/>
          <w:b/>
          <w:color w:val="auto"/>
          <w:sz w:val="24"/>
          <w:szCs w:val="24"/>
          <w:highlight w:val="none"/>
        </w:rPr>
      </w:pPr>
      <w:r>
        <w:rPr>
          <w:rFonts w:hint="eastAsia" w:cs="宋体"/>
          <w:b/>
          <w:color w:val="auto"/>
          <w:sz w:val="24"/>
          <w:szCs w:val="24"/>
          <w:highlight w:val="none"/>
        </w:rPr>
        <w:t>29.关于供应商瑕疵滞后发现的处理规则</w:t>
      </w:r>
    </w:p>
    <w:p w14:paraId="6E8C7490">
      <w:pPr>
        <w:pStyle w:val="35"/>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29.1无论基于何种原因，各项本应作拒绝或无效响应处理的情形，即便未被及时发现而使该供应商进入初审、谈判或其它后续程序的，包括已经签约的情形。一旦被发现，代理机构均有权采取相应的补救及纠正措施。</w:t>
      </w:r>
    </w:p>
    <w:p w14:paraId="1DD8EDB1">
      <w:pPr>
        <w:tabs>
          <w:tab w:val="left" w:pos="0"/>
        </w:tabs>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30.谈判项目终止</w:t>
      </w:r>
    </w:p>
    <w:p w14:paraId="6B9D65F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30.1出现下列情形之一的，代理机构或采购方应当终止谈判活动，发布项目终止公告并说明原因，重新开展谈判活动：</w:t>
      </w:r>
    </w:p>
    <w:p w14:paraId="07793D3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（一）因情况变化，不再符合规定的谈判方式适用情形的；</w:t>
      </w:r>
    </w:p>
    <w:p w14:paraId="5D356B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（二）出现影响谈判公正、公平行为的；</w:t>
      </w:r>
    </w:p>
    <w:p w14:paraId="18CB7AC2">
      <w:pPr>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（三）在谈判过程中符合谈判文件资格性符合性要求的供应商不足3家的，但技术复杂或者性质特殊，不能确定具体要求的情形除外。</w:t>
      </w:r>
    </w:p>
    <w:p w14:paraId="7CCBA85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30.2在谈判活动中因重大变故，谈判任务取消的，代理机构或采购方应当终止谈判活动，通过发布终止项目公告的方式通知所有参加谈判活动的供应商，并将项目实施情况和谈判任务取消原因报送相关部门。</w:t>
      </w:r>
    </w:p>
    <w:p w14:paraId="2893B751">
      <w:pPr>
        <w:snapToGrid w:val="0"/>
        <w:spacing w:line="360" w:lineRule="auto"/>
        <w:ind w:firstLine="482" w:firstLineChars="200"/>
        <w:jc w:val="left"/>
        <w:outlineLvl w:val="1"/>
        <w:rPr>
          <w:rFonts w:ascii="宋体" w:hAnsi="宋体" w:cs="宋体"/>
          <w:b/>
          <w:color w:val="auto"/>
          <w:kern w:val="0"/>
          <w:sz w:val="24"/>
          <w:highlight w:val="none"/>
        </w:rPr>
      </w:pPr>
      <w:bookmarkStart w:id="64" w:name="_Toc23175"/>
      <w:r>
        <w:rPr>
          <w:rFonts w:hint="eastAsia" w:ascii="宋体" w:hAnsi="宋体" w:cs="宋体"/>
          <w:b/>
          <w:color w:val="auto"/>
          <w:kern w:val="0"/>
          <w:sz w:val="24"/>
          <w:highlight w:val="none"/>
        </w:rPr>
        <w:t>六、签订合同</w:t>
      </w:r>
      <w:bookmarkEnd w:id="64"/>
    </w:p>
    <w:p w14:paraId="4C9E1116">
      <w:pPr>
        <w:pStyle w:val="35"/>
        <w:snapToGrid w:val="0"/>
        <w:spacing w:line="360" w:lineRule="auto"/>
        <w:ind w:firstLine="477" w:firstLineChars="198"/>
        <w:jc w:val="left"/>
        <w:rPr>
          <w:rFonts w:cs="宋体"/>
          <w:b/>
          <w:color w:val="auto"/>
          <w:sz w:val="24"/>
          <w:szCs w:val="24"/>
          <w:highlight w:val="none"/>
        </w:rPr>
      </w:pPr>
      <w:r>
        <w:rPr>
          <w:rFonts w:hint="eastAsia" w:cs="宋体"/>
          <w:b/>
          <w:color w:val="auto"/>
          <w:sz w:val="24"/>
          <w:szCs w:val="24"/>
          <w:highlight w:val="none"/>
        </w:rPr>
        <w:t>31.成交公告与成交通知</w:t>
      </w:r>
    </w:p>
    <w:p w14:paraId="67D13F56">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31.1代理机构或采购方应当在成交供应商确定后2个工作日内，在</w:t>
      </w:r>
      <w:r>
        <w:rPr>
          <w:rFonts w:hint="eastAsia" w:cs="宋体"/>
          <w:color w:val="auto"/>
          <w:sz w:val="24"/>
          <w:szCs w:val="24"/>
          <w:highlight w:val="none"/>
          <w:u w:val="single"/>
        </w:rPr>
        <w:t>中国政府采购网山西分网</w:t>
      </w:r>
      <w:r>
        <w:rPr>
          <w:rFonts w:hint="eastAsia" w:cs="宋体"/>
          <w:color w:val="auto"/>
          <w:sz w:val="24"/>
          <w:szCs w:val="24"/>
          <w:highlight w:val="none"/>
        </w:rPr>
        <w:t>发布成交结果</w:t>
      </w:r>
      <w:r>
        <w:rPr>
          <w:rFonts w:hint="eastAsia" w:cs="宋体"/>
          <w:color w:val="auto"/>
          <w:kern w:val="0"/>
          <w:sz w:val="24"/>
          <w:szCs w:val="24"/>
          <w:highlight w:val="none"/>
        </w:rPr>
        <w:t>，同时向成交供应商发出成交通知书，并将谈判文件随成交结果同时公告。成交结果公告应当包括：</w:t>
      </w:r>
    </w:p>
    <w:p w14:paraId="5014D619">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（一）采购方和代理机构的名称、地址和联系方式；</w:t>
      </w:r>
    </w:p>
    <w:p w14:paraId="51AF2BBF">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（二）项目名称和项目编号；</w:t>
      </w:r>
    </w:p>
    <w:p w14:paraId="72E3F3C8">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（三）成交供应商名称、地址和成交金额；</w:t>
      </w:r>
    </w:p>
    <w:p w14:paraId="76136148">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（四）主要成交标的的</w:t>
      </w:r>
      <w:r>
        <w:rPr>
          <w:rFonts w:hint="eastAsia" w:cs="宋体"/>
          <w:color w:val="auto"/>
          <w:kern w:val="0"/>
          <w:sz w:val="24"/>
          <w:szCs w:val="24"/>
          <w:highlight w:val="none"/>
          <w:lang w:val="en-US" w:eastAsia="zh-CN"/>
        </w:rPr>
        <w:t>服务标准、</w:t>
      </w:r>
      <w:r>
        <w:rPr>
          <w:rFonts w:hint="eastAsia" w:cs="宋体"/>
          <w:color w:val="auto"/>
          <w:kern w:val="0"/>
          <w:sz w:val="24"/>
          <w:szCs w:val="24"/>
          <w:highlight w:val="none"/>
        </w:rPr>
        <w:t>服务要求</w:t>
      </w:r>
      <w:r>
        <w:rPr>
          <w:rFonts w:hint="eastAsia" w:cs="宋体"/>
          <w:color w:val="auto"/>
          <w:kern w:val="0"/>
          <w:sz w:val="24"/>
          <w:szCs w:val="24"/>
          <w:highlight w:val="none"/>
          <w:lang w:val="en-US" w:eastAsia="zh-CN"/>
        </w:rPr>
        <w:t>等</w:t>
      </w:r>
      <w:r>
        <w:rPr>
          <w:rFonts w:hint="eastAsia" w:cs="宋体"/>
          <w:color w:val="auto"/>
          <w:kern w:val="0"/>
          <w:sz w:val="24"/>
          <w:szCs w:val="24"/>
          <w:highlight w:val="none"/>
        </w:rPr>
        <w:t>；</w:t>
      </w:r>
    </w:p>
    <w:p w14:paraId="323E1A10">
      <w:pPr>
        <w:pStyle w:val="35"/>
        <w:snapToGrid w:val="0"/>
        <w:spacing w:line="360" w:lineRule="auto"/>
        <w:ind w:firstLine="475" w:firstLineChars="198"/>
        <w:jc w:val="left"/>
        <w:rPr>
          <w:rFonts w:cs="宋体"/>
          <w:color w:val="auto"/>
          <w:kern w:val="0"/>
          <w:sz w:val="24"/>
          <w:szCs w:val="24"/>
          <w:highlight w:val="none"/>
        </w:rPr>
      </w:pPr>
      <w:r>
        <w:rPr>
          <w:rFonts w:hint="eastAsia" w:cs="宋体"/>
          <w:color w:val="auto"/>
          <w:kern w:val="0"/>
          <w:sz w:val="24"/>
          <w:szCs w:val="24"/>
          <w:highlight w:val="none"/>
        </w:rPr>
        <w:t>（五）谈判小组成员名单。</w:t>
      </w:r>
    </w:p>
    <w:p w14:paraId="6AC201FC">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31.2代理机构对未成交的</w:t>
      </w:r>
      <w:r>
        <w:rPr>
          <w:rFonts w:hint="eastAsia" w:ascii="宋体" w:hAnsi="宋体" w:cs="宋体"/>
          <w:color w:val="auto"/>
          <w:sz w:val="24"/>
          <w:highlight w:val="none"/>
        </w:rPr>
        <w:t>供应商</w:t>
      </w:r>
      <w:r>
        <w:rPr>
          <w:rFonts w:hint="eastAsia" w:ascii="宋体" w:hAnsi="宋体" w:cs="宋体"/>
          <w:color w:val="auto"/>
          <w:kern w:val="0"/>
          <w:sz w:val="24"/>
          <w:highlight w:val="none"/>
        </w:rPr>
        <w:t>不做未成交原因的解释。</w:t>
      </w:r>
    </w:p>
    <w:p w14:paraId="78BDD8D1">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31.3成交通知书对采购方和成交供应商具有同等法律效力，是合同的组成部分。</w:t>
      </w:r>
    </w:p>
    <w:p w14:paraId="250467BE">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31.4除不可抗力等因素外，成交通知书发出后，采购方改变成交结果，或者成交供应商拒绝签订合同的，应当承担相应的责任。</w:t>
      </w:r>
    </w:p>
    <w:p w14:paraId="70B8255B">
      <w:pPr>
        <w:tabs>
          <w:tab w:val="left" w:pos="5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31.5成交供应商拒绝签订合同的，采购方可以确定其他供应商作为成交供应商，并签订合同；也可以重新开展谈判活动。拒绝签订合同的成交供应商不得参加对该项目重新开展的谈判活动。</w:t>
      </w:r>
    </w:p>
    <w:p w14:paraId="664207A3">
      <w:pPr>
        <w:pStyle w:val="35"/>
        <w:snapToGrid w:val="0"/>
        <w:spacing w:line="360" w:lineRule="auto"/>
        <w:ind w:firstLine="477" w:firstLineChars="198"/>
        <w:jc w:val="left"/>
        <w:rPr>
          <w:rFonts w:cs="宋体"/>
          <w:b/>
          <w:color w:val="auto"/>
          <w:sz w:val="24"/>
          <w:szCs w:val="24"/>
          <w:highlight w:val="none"/>
        </w:rPr>
      </w:pPr>
      <w:r>
        <w:rPr>
          <w:rFonts w:hint="eastAsia" w:cs="宋体"/>
          <w:b/>
          <w:color w:val="auto"/>
          <w:sz w:val="24"/>
          <w:szCs w:val="24"/>
          <w:highlight w:val="none"/>
        </w:rPr>
        <w:t>32.成交服务费</w:t>
      </w:r>
    </w:p>
    <w:p w14:paraId="224D5F04">
      <w:pPr>
        <w:pStyle w:val="36"/>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32.1</w:t>
      </w:r>
      <w:r>
        <w:rPr>
          <w:rFonts w:hint="eastAsia" w:ascii="宋体" w:hAnsi="宋体" w:cs="宋体"/>
          <w:color w:val="auto"/>
          <w:kern w:val="0"/>
          <w:sz w:val="24"/>
          <w:highlight w:val="none"/>
          <w:lang w:val="en-US" w:eastAsia="zh-CN"/>
        </w:rPr>
        <w:t>由成交人向采购代理机构支付，</w:t>
      </w:r>
      <w:r>
        <w:rPr>
          <w:rFonts w:hint="eastAsia" w:ascii="宋体" w:hAnsi="宋体" w:cs="宋体"/>
          <w:color w:val="auto"/>
          <w:kern w:val="0"/>
          <w:sz w:val="24"/>
          <w:highlight w:val="none"/>
          <w:lang w:eastAsia="zh-CN"/>
        </w:rPr>
        <w:t>费用额度参照国家计委计价格[2002]1980号文件和国家发改委发改价格[2011]534号文件规定</w:t>
      </w:r>
      <w:r>
        <w:rPr>
          <w:rFonts w:hint="eastAsia" w:ascii="宋体" w:hAnsi="宋体" w:cs="宋体"/>
          <w:color w:val="auto"/>
          <w:kern w:val="0"/>
          <w:sz w:val="24"/>
          <w:highlight w:val="none"/>
          <w:lang w:val="en-US" w:eastAsia="zh-CN"/>
        </w:rPr>
        <w:t>收取</w:t>
      </w:r>
      <w:r>
        <w:rPr>
          <w:rFonts w:hint="eastAsia" w:ascii="宋体" w:hAnsi="宋体" w:cs="宋体"/>
          <w:color w:val="auto"/>
          <w:kern w:val="0"/>
          <w:sz w:val="24"/>
          <w:highlight w:val="none"/>
          <w:lang w:eastAsia="zh-CN"/>
        </w:rPr>
        <w:t>。</w:t>
      </w:r>
    </w:p>
    <w:p w14:paraId="6D8BFCE7">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33.签订合同</w:t>
      </w:r>
    </w:p>
    <w:p w14:paraId="003AC1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kern w:val="0"/>
          <w:sz w:val="24"/>
          <w:highlight w:val="none"/>
        </w:rPr>
        <w:t>采购方与成交供应商应当在成交通知书发出之日起30日内，</w:t>
      </w:r>
      <w:r>
        <w:rPr>
          <w:rFonts w:hint="eastAsia" w:ascii="宋体" w:hAnsi="宋体" w:cs="宋体"/>
          <w:color w:val="auto"/>
          <w:sz w:val="24"/>
          <w:highlight w:val="none"/>
        </w:rPr>
        <w:t>按照谈判文件确定的合同文本以及谈判内容、服务、技术要求等事项签订采购合同。</w:t>
      </w:r>
    </w:p>
    <w:p w14:paraId="23AD8D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33.2采购方不得向成交供应商提出超出谈判文件、成交供应商响应文件及其相关承诺以外的任何要求作为签订合同的条件，不得与成交供应商订立背离谈判文件确定的合同文本以及谈判内容、服务及技术要求等实质性内容的协议。</w:t>
      </w:r>
    </w:p>
    <w:p w14:paraId="431DDE77">
      <w:pPr>
        <w:pStyle w:val="35"/>
        <w:snapToGrid w:val="0"/>
        <w:spacing w:line="360" w:lineRule="auto"/>
        <w:ind w:firstLine="480" w:firstLineChars="200"/>
        <w:jc w:val="left"/>
        <w:rPr>
          <w:rFonts w:cs="宋体"/>
          <w:color w:val="auto"/>
          <w:kern w:val="0"/>
          <w:sz w:val="24"/>
          <w:szCs w:val="24"/>
          <w:highlight w:val="none"/>
        </w:rPr>
      </w:pPr>
      <w:r>
        <w:rPr>
          <w:rFonts w:hint="eastAsia" w:cs="宋体"/>
          <w:color w:val="auto"/>
          <w:sz w:val="24"/>
          <w:szCs w:val="24"/>
          <w:highlight w:val="none"/>
        </w:rPr>
        <w:t>33.3除谈判文件要求可以转包、分包情形外，成交供应商不得转包、分包，亦不得将合同全部及任何权利、义务向第三方转让。</w:t>
      </w:r>
      <w:r>
        <w:rPr>
          <w:rFonts w:hint="eastAsia" w:cs="宋体"/>
          <w:color w:val="auto"/>
          <w:kern w:val="0"/>
          <w:sz w:val="24"/>
          <w:szCs w:val="24"/>
          <w:highlight w:val="none"/>
        </w:rPr>
        <w:t>代理机构或采购方有权决定按照成交供应商成交后毁标、终止或解除合同等依约处理。</w:t>
      </w:r>
    </w:p>
    <w:p w14:paraId="10448603">
      <w:pPr>
        <w:tabs>
          <w:tab w:val="left" w:pos="567"/>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33.4</w:t>
      </w:r>
      <w:r>
        <w:rPr>
          <w:rFonts w:hint="eastAsia" w:ascii="宋体" w:hAnsi="宋体" w:cs="宋体"/>
          <w:color w:val="auto"/>
          <w:kern w:val="0"/>
          <w:sz w:val="24"/>
          <w:highlight w:val="none"/>
        </w:rPr>
        <w:t>采购方与成交供应商应当根据合同约定依法履行合同义务，否则，应承担赔偿责任。</w:t>
      </w:r>
    </w:p>
    <w:p w14:paraId="392B35F3">
      <w:pPr>
        <w:pStyle w:val="35"/>
        <w:snapToGrid w:val="0"/>
        <w:spacing w:line="360" w:lineRule="auto"/>
        <w:ind w:firstLine="480" w:firstLineChars="200"/>
        <w:jc w:val="left"/>
        <w:rPr>
          <w:rFonts w:cs="宋体"/>
          <w:color w:val="auto"/>
          <w:sz w:val="24"/>
          <w:szCs w:val="24"/>
          <w:highlight w:val="none"/>
        </w:rPr>
      </w:pPr>
      <w:r>
        <w:rPr>
          <w:rFonts w:hint="eastAsia" w:cs="宋体"/>
          <w:color w:val="auto"/>
          <w:kern w:val="0"/>
          <w:sz w:val="24"/>
          <w:szCs w:val="24"/>
          <w:highlight w:val="none"/>
        </w:rPr>
        <w:t>33.5</w:t>
      </w:r>
      <w:r>
        <w:rPr>
          <w:rFonts w:hint="eastAsia" w:cs="宋体"/>
          <w:color w:val="auto"/>
          <w:sz w:val="24"/>
          <w:szCs w:val="24"/>
          <w:highlight w:val="none"/>
        </w:rPr>
        <w:t>成交供应商应当自合同或补充合同签订之日起五个工作日内将合同报代理机构备案。</w:t>
      </w:r>
    </w:p>
    <w:p w14:paraId="6DD1B991">
      <w:pPr>
        <w:pStyle w:val="34"/>
        <w:keepNext w:val="0"/>
        <w:keepLines w:val="0"/>
        <w:snapToGrid w:val="0"/>
        <w:spacing w:before="156" w:beforeLines="50" w:after="156" w:afterLines="50" w:line="360" w:lineRule="auto"/>
        <w:ind w:firstLine="455" w:firstLineChars="189"/>
        <w:jc w:val="left"/>
        <w:outlineLvl w:val="1"/>
        <w:rPr>
          <w:rFonts w:ascii="宋体" w:hAnsi="宋体"/>
          <w:color w:val="auto"/>
          <w:sz w:val="24"/>
          <w:szCs w:val="24"/>
          <w:highlight w:val="none"/>
        </w:rPr>
      </w:pPr>
      <w:bookmarkStart w:id="65" w:name="_Toc1179"/>
      <w:r>
        <w:rPr>
          <w:rFonts w:hint="eastAsia" w:ascii="宋体" w:hAnsi="宋体"/>
          <w:color w:val="auto"/>
          <w:sz w:val="24"/>
          <w:szCs w:val="24"/>
          <w:highlight w:val="none"/>
        </w:rPr>
        <w:t>七、保密和披露</w:t>
      </w:r>
      <w:bookmarkEnd w:id="65"/>
    </w:p>
    <w:p w14:paraId="2818D7AC">
      <w:pPr>
        <w:pStyle w:val="35"/>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34.1供应商自获取谈判文件之日起，须承诺承担对本谈判项目的保密义务，不得将因本次谈判获得的信息向第三方外传。</w:t>
      </w:r>
    </w:p>
    <w:p w14:paraId="2E4D4B3C">
      <w:pPr>
        <w:pStyle w:val="35"/>
        <w:spacing w:line="360" w:lineRule="auto"/>
        <w:ind w:firstLine="482" w:firstLineChars="200"/>
        <w:jc w:val="left"/>
        <w:rPr>
          <w:rFonts w:cs="宋体"/>
          <w:color w:val="auto"/>
          <w:sz w:val="24"/>
          <w:szCs w:val="24"/>
          <w:highlight w:val="none"/>
        </w:rPr>
      </w:pPr>
      <w:r>
        <w:rPr>
          <w:rFonts w:hint="eastAsia" w:cs="宋体"/>
          <w:b/>
          <w:bCs/>
          <w:color w:val="auto"/>
          <w:kern w:val="0"/>
          <w:sz w:val="24"/>
          <w:szCs w:val="24"/>
          <w:highlight w:val="none"/>
        </w:rPr>
        <w:t>34.2参加谈判过程的有关人员对谈判情况以及在谈判过程中获悉的国家秘密、商业秘密负有保密责任。</w:t>
      </w:r>
    </w:p>
    <w:p w14:paraId="6D511DB9">
      <w:pPr>
        <w:pStyle w:val="35"/>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34.3代理机构有权将供应商提供的所有资料向有关部门或评审的有关人员披露。</w:t>
      </w:r>
    </w:p>
    <w:p w14:paraId="50F2646D">
      <w:pPr>
        <w:pStyle w:val="35"/>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34.4在代理机构认为适当时、国家机关调查、审查、审计时以及其他符合规定的情形下，代理机构无须事先征求成交供应商同意而可以披露关于谈判过程、合同文本、签署情况的资料、成交供应商的名称及地址、响应文件的有关信息以及补充条款等，但应当在合理的必要范围内。对任何已经公布过的内容或与之内容相同的资料，以及成交供应商已经泄露或公开的，无须再承担保密责任。</w:t>
      </w:r>
    </w:p>
    <w:p w14:paraId="0C04199E">
      <w:pPr>
        <w:snapToGrid w:val="0"/>
        <w:spacing w:line="360" w:lineRule="auto"/>
        <w:ind w:firstLine="482" w:firstLineChars="200"/>
        <w:outlineLvl w:val="1"/>
        <w:rPr>
          <w:rFonts w:ascii="宋体" w:hAnsi="宋体" w:cs="宋体"/>
          <w:b/>
          <w:color w:val="auto"/>
          <w:kern w:val="0"/>
          <w:sz w:val="24"/>
          <w:highlight w:val="none"/>
        </w:rPr>
      </w:pPr>
      <w:bookmarkStart w:id="66" w:name="_Toc8507"/>
      <w:r>
        <w:rPr>
          <w:rFonts w:hint="eastAsia" w:ascii="宋体" w:hAnsi="宋体" w:cs="宋体"/>
          <w:b/>
          <w:bCs/>
          <w:color w:val="auto"/>
          <w:sz w:val="24"/>
          <w:highlight w:val="none"/>
        </w:rPr>
        <w:t>八、</w:t>
      </w:r>
      <w:r>
        <w:rPr>
          <w:rFonts w:hint="eastAsia" w:ascii="宋体" w:hAnsi="宋体" w:cs="宋体"/>
          <w:b/>
          <w:color w:val="auto"/>
          <w:kern w:val="0"/>
          <w:sz w:val="24"/>
          <w:highlight w:val="none"/>
        </w:rPr>
        <w:t>询问和质疑</w:t>
      </w:r>
      <w:bookmarkEnd w:id="66"/>
    </w:p>
    <w:p w14:paraId="68F91FD0">
      <w:pPr>
        <w:snapToGrid w:val="0"/>
        <w:spacing w:line="360" w:lineRule="auto"/>
        <w:ind w:firstLine="480" w:firstLineChars="200"/>
        <w:rPr>
          <w:rFonts w:hint="eastAsia" w:ascii="宋体" w:hAnsi="宋体"/>
          <w:color w:val="auto"/>
          <w:kern w:val="0"/>
          <w:sz w:val="24"/>
        </w:rPr>
      </w:pPr>
      <w:bookmarkStart w:id="67" w:name="_Toc29362"/>
      <w:r>
        <w:rPr>
          <w:rFonts w:hint="eastAsia" w:ascii="宋体" w:hAnsi="宋体"/>
          <w:color w:val="auto"/>
          <w:kern w:val="0"/>
          <w:sz w:val="24"/>
        </w:rPr>
        <w:t>3</w:t>
      </w:r>
      <w:r>
        <w:rPr>
          <w:rFonts w:hint="eastAsia" w:ascii="宋体" w:hAnsi="宋体"/>
          <w:color w:val="auto"/>
          <w:kern w:val="0"/>
          <w:sz w:val="24"/>
          <w:lang w:val="en-US" w:eastAsia="zh-CN"/>
        </w:rPr>
        <w:t>5</w:t>
      </w:r>
      <w:r>
        <w:rPr>
          <w:rFonts w:hint="eastAsia" w:ascii="宋体" w:hAnsi="宋体"/>
          <w:color w:val="auto"/>
          <w:kern w:val="0"/>
          <w:sz w:val="24"/>
        </w:rPr>
        <w:t>.询问</w:t>
      </w:r>
    </w:p>
    <w:p w14:paraId="6F3F1BB8">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5</w:t>
      </w:r>
      <w:r>
        <w:rPr>
          <w:rFonts w:hint="eastAsia" w:ascii="宋体" w:hAnsi="宋体"/>
          <w:color w:val="auto"/>
          <w:kern w:val="0"/>
          <w:sz w:val="24"/>
        </w:rPr>
        <w:t>.1供应商对政府采购活动事项有疑问的，可以向采购代理机构提出询问，采购代理机构应当及时作出答复，但答复的内容不得涉及商业秘密。</w:t>
      </w:r>
    </w:p>
    <w:p w14:paraId="71F31755">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.质疑</w:t>
      </w:r>
    </w:p>
    <w:p w14:paraId="12DFDA35">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 xml:space="preserve">.1 </w:t>
      </w:r>
      <w:r>
        <w:rPr>
          <w:rFonts w:hint="eastAsia" w:ascii="宋体" w:hAnsi="宋体"/>
          <w:color w:val="auto"/>
          <w:kern w:val="0"/>
          <w:sz w:val="24"/>
          <w:lang w:eastAsia="zh-CN"/>
        </w:rPr>
        <w:t>谈判</w:t>
      </w:r>
      <w:r>
        <w:rPr>
          <w:rFonts w:hint="eastAsia" w:ascii="宋体" w:hAnsi="宋体"/>
          <w:color w:val="auto"/>
          <w:kern w:val="0"/>
          <w:sz w:val="24"/>
        </w:rPr>
        <w:t>程序受《中华人民共和国政府采购法》和相关法律法规的约束，并受到严格的内部监督，以确保授予合同过程的公平公正。</w:t>
      </w:r>
    </w:p>
    <w:p w14:paraId="7AE52799">
      <w:pPr>
        <w:snapToGrid w:val="0"/>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36.2已获取采购文件的供应商人对采购文件有异议的，可以对采购文件提出质疑。应当在获取采购文件或者采购文件公告期限届满之日起7个工作日内提出质疑。</w:t>
      </w:r>
    </w:p>
    <w:p w14:paraId="6EC9BE51">
      <w:pPr>
        <w:snapToGrid w:val="0"/>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36.3 供应商认为其报价未获公平评审或谈判过程和成交结果使自己的权益受到损害的，应当在成交信息公告正式发布之日起7个工作日内提出质疑。</w:t>
      </w:r>
    </w:p>
    <w:p w14:paraId="375B050E">
      <w:pPr>
        <w:snapToGrid w:val="0"/>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36.4 质疑须通过政府采购平台进入“项目质疑管理</w:t>
      </w:r>
      <w:r>
        <w:rPr>
          <w:rFonts w:hint="default" w:ascii="宋体" w:hAnsi="宋体"/>
          <w:color w:val="auto"/>
          <w:kern w:val="0"/>
          <w:sz w:val="24"/>
          <w:lang w:val="en-US" w:eastAsia="zh-CN"/>
        </w:rPr>
        <w:t>”</w:t>
      </w:r>
      <w:r>
        <w:rPr>
          <w:rFonts w:hint="eastAsia" w:ascii="宋体" w:hAnsi="宋体"/>
          <w:color w:val="auto"/>
          <w:kern w:val="0"/>
          <w:sz w:val="24"/>
          <w:lang w:val="en-US" w:eastAsia="zh-CN"/>
        </w:rPr>
        <w:t>以线上方式提出，须经法定代表人签章并加盖电子公章，提交采购代理机构（或采购人）。</w:t>
      </w:r>
    </w:p>
    <w:p w14:paraId="185435C7">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lang w:val="en-US" w:eastAsia="zh-CN"/>
        </w:rPr>
        <w:t>36.5 质疑函应当包括以下主要内容：被质疑项目名称、项目编号、招标公告发布时间、质疑事项、法律依据（具体条款）、质疑人全称、法定代表人签章、有效联系方式（</w:t>
      </w:r>
      <w:r>
        <w:rPr>
          <w:rFonts w:hint="eastAsia" w:ascii="宋体" w:hAnsi="宋体"/>
          <w:color w:val="auto"/>
          <w:kern w:val="0"/>
          <w:sz w:val="24"/>
        </w:rPr>
        <w:t>包括手机、传真号码）。</w:t>
      </w:r>
    </w:p>
    <w:p w14:paraId="250342F8">
      <w:pPr>
        <w:snapToGrid w:val="0"/>
        <w:spacing w:line="360" w:lineRule="auto"/>
        <w:ind w:firstLine="480" w:firstLineChars="200"/>
        <w:rPr>
          <w:rFonts w:hint="eastAsia" w:ascii="宋体" w:hAnsi="宋体"/>
          <w:color w:val="auto"/>
          <w:kern w:val="0"/>
          <w:sz w:val="24"/>
          <w:lang w:eastAsia="zh-CN"/>
        </w:rPr>
      </w:pPr>
      <w:r>
        <w:rPr>
          <w:rFonts w:hint="eastAsia" w:ascii="宋体" w:hAnsi="宋体"/>
          <w:color w:val="auto"/>
          <w:kern w:val="0"/>
          <w:sz w:val="24"/>
          <w:lang w:val="en-US" w:eastAsia="zh-CN"/>
        </w:rPr>
        <w:t>36</w:t>
      </w:r>
      <w:r>
        <w:rPr>
          <w:rFonts w:hint="eastAsia" w:ascii="宋体" w:hAnsi="宋体"/>
          <w:color w:val="auto"/>
          <w:kern w:val="0"/>
          <w:sz w:val="24"/>
        </w:rPr>
        <w:t>.</w:t>
      </w:r>
      <w:r>
        <w:rPr>
          <w:rFonts w:hint="eastAsia" w:ascii="宋体" w:hAnsi="宋体"/>
          <w:color w:val="auto"/>
          <w:kern w:val="0"/>
          <w:sz w:val="24"/>
          <w:lang w:val="en-US" w:eastAsia="zh-CN"/>
        </w:rPr>
        <w:t>6</w:t>
      </w:r>
      <w:r>
        <w:rPr>
          <w:rFonts w:hint="eastAsia" w:ascii="宋体" w:hAnsi="宋体"/>
          <w:color w:val="auto"/>
          <w:kern w:val="0"/>
          <w:sz w:val="24"/>
        </w:rPr>
        <w:t>质疑应按照“谁主张、谁举证”的原则，</w:t>
      </w:r>
      <w:r>
        <w:rPr>
          <w:rFonts w:hint="eastAsia" w:ascii="宋体" w:hAnsi="宋体"/>
          <w:color w:val="auto"/>
          <w:kern w:val="0"/>
          <w:sz w:val="24"/>
          <w:lang w:eastAsia="zh-CN"/>
        </w:rPr>
        <w:t>质疑函</w:t>
      </w:r>
      <w:r>
        <w:rPr>
          <w:rFonts w:hint="eastAsia" w:ascii="宋体" w:hAnsi="宋体"/>
          <w:color w:val="auto"/>
          <w:kern w:val="0"/>
          <w:sz w:val="24"/>
        </w:rPr>
        <w:t>应当附相关证明材料</w:t>
      </w:r>
      <w:r>
        <w:rPr>
          <w:rFonts w:hint="eastAsia" w:ascii="宋体" w:hAnsi="宋体"/>
          <w:color w:val="auto"/>
          <w:kern w:val="0"/>
          <w:sz w:val="24"/>
          <w:lang w:eastAsia="zh-CN"/>
        </w:rPr>
        <w:t>，质疑材料应为简体中文。</w:t>
      </w:r>
    </w:p>
    <w:p w14:paraId="749DEDA4">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7</w:t>
      </w:r>
      <w:r>
        <w:rPr>
          <w:rFonts w:hint="eastAsia" w:ascii="宋体" w:hAnsi="宋体"/>
          <w:color w:val="auto"/>
          <w:kern w:val="0"/>
          <w:sz w:val="24"/>
        </w:rPr>
        <w:t xml:space="preserve">有下列情形之一的，属于无效质疑，采购代理机构（或采购人）可不予受理： </w:t>
      </w:r>
    </w:p>
    <w:p w14:paraId="2E0682FE">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（1）未在有效期限内提出质疑的；</w:t>
      </w:r>
    </w:p>
    <w:p w14:paraId="1A813428">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2</w:t>
      </w:r>
      <w:r>
        <w:rPr>
          <w:rFonts w:hint="eastAsia" w:ascii="宋体" w:hAnsi="宋体"/>
          <w:color w:val="auto"/>
          <w:kern w:val="0"/>
          <w:sz w:val="24"/>
        </w:rPr>
        <w:t>）所</w:t>
      </w:r>
      <w:r>
        <w:rPr>
          <w:rFonts w:hint="eastAsia" w:ascii="宋体" w:hAnsi="宋体"/>
          <w:color w:val="auto"/>
          <w:kern w:val="0"/>
          <w:sz w:val="24"/>
          <w:lang w:val="en-US" w:eastAsia="zh-CN"/>
        </w:rPr>
        <w:t>上传</w:t>
      </w:r>
      <w:r>
        <w:rPr>
          <w:rFonts w:hint="eastAsia" w:ascii="宋体" w:hAnsi="宋体"/>
          <w:color w:val="auto"/>
          <w:kern w:val="0"/>
          <w:sz w:val="24"/>
        </w:rPr>
        <w:t>材料未明示属于质疑材料的；</w:t>
      </w:r>
    </w:p>
    <w:p w14:paraId="5798A07B">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3</w:t>
      </w:r>
      <w:r>
        <w:rPr>
          <w:rFonts w:hint="eastAsia" w:ascii="宋体" w:hAnsi="宋体"/>
          <w:color w:val="auto"/>
          <w:kern w:val="0"/>
          <w:sz w:val="24"/>
        </w:rPr>
        <w:t>）质疑函没有法定代表人加盖本人姓名章和加盖单位</w:t>
      </w:r>
      <w:r>
        <w:rPr>
          <w:rFonts w:hint="eastAsia" w:ascii="宋体" w:hAnsi="宋体"/>
          <w:color w:val="auto"/>
          <w:kern w:val="0"/>
          <w:sz w:val="24"/>
          <w:lang w:val="en-US" w:eastAsia="zh-CN"/>
        </w:rPr>
        <w:t>电子</w:t>
      </w:r>
      <w:r>
        <w:rPr>
          <w:rFonts w:hint="eastAsia" w:ascii="宋体" w:hAnsi="宋体"/>
          <w:color w:val="auto"/>
          <w:kern w:val="0"/>
          <w:sz w:val="24"/>
        </w:rPr>
        <w:t>公章的；质疑函由参加采购项目的授权代表加盖本人姓名章，但没有法定代表人特别授权的；</w:t>
      </w:r>
    </w:p>
    <w:p w14:paraId="5A00EB26">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4</w:t>
      </w:r>
      <w:r>
        <w:rPr>
          <w:rFonts w:hint="eastAsia" w:ascii="宋体" w:hAnsi="宋体"/>
          <w:color w:val="auto"/>
          <w:kern w:val="0"/>
          <w:sz w:val="24"/>
        </w:rPr>
        <w:t>）</w:t>
      </w:r>
      <w:r>
        <w:rPr>
          <w:rFonts w:hint="eastAsia" w:ascii="宋体" w:hAnsi="宋体"/>
          <w:color w:val="auto"/>
          <w:kern w:val="0"/>
          <w:sz w:val="24"/>
          <w:lang w:eastAsia="zh-CN"/>
        </w:rPr>
        <w:t>质疑函</w:t>
      </w:r>
      <w:r>
        <w:rPr>
          <w:rFonts w:hint="eastAsia" w:ascii="宋体" w:hAnsi="宋体"/>
          <w:color w:val="auto"/>
          <w:kern w:val="0"/>
          <w:sz w:val="24"/>
        </w:rPr>
        <w:t>未提供有效联系人或联系方式的；</w:t>
      </w:r>
    </w:p>
    <w:p w14:paraId="494429F8">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5</w:t>
      </w:r>
      <w:r>
        <w:rPr>
          <w:rFonts w:hint="eastAsia" w:ascii="宋体" w:hAnsi="宋体"/>
          <w:color w:val="auto"/>
          <w:kern w:val="0"/>
          <w:sz w:val="24"/>
        </w:rPr>
        <w:t>）质疑事项已经进入投诉或者行政复议或者诉讼程序的；</w:t>
      </w:r>
    </w:p>
    <w:p w14:paraId="0C9A5891">
      <w:pPr>
        <w:snapToGrid w:val="0"/>
        <w:spacing w:line="360" w:lineRule="auto"/>
        <w:ind w:firstLine="480" w:firstLineChars="200"/>
        <w:rPr>
          <w:rFonts w:hint="eastAsia" w:ascii="宋体" w:hAnsi="宋体"/>
          <w:color w:val="auto"/>
          <w:kern w:val="0"/>
          <w:sz w:val="24"/>
          <w:lang w:eastAsia="zh-CN"/>
        </w:rPr>
      </w:pPr>
      <w:r>
        <w:rPr>
          <w:rFonts w:hint="eastAsia" w:ascii="宋体" w:hAnsi="宋体"/>
          <w:color w:val="auto"/>
          <w:kern w:val="0"/>
          <w:sz w:val="24"/>
        </w:rPr>
        <w:t>（</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eastAsia="zh-CN"/>
        </w:rPr>
        <w:t>质疑函</w:t>
      </w:r>
      <w:r>
        <w:rPr>
          <w:rFonts w:hint="eastAsia" w:ascii="宋体" w:hAnsi="宋体"/>
          <w:color w:val="auto"/>
          <w:kern w:val="0"/>
          <w:sz w:val="24"/>
        </w:rPr>
        <w:t>未附相关证明材料，被视为无有效证据支持的</w:t>
      </w:r>
      <w:r>
        <w:rPr>
          <w:rFonts w:hint="eastAsia" w:ascii="宋体" w:hAnsi="宋体"/>
          <w:color w:val="auto"/>
          <w:kern w:val="0"/>
          <w:sz w:val="24"/>
          <w:lang w:eastAsia="zh-CN"/>
        </w:rPr>
        <w:t>；</w:t>
      </w:r>
    </w:p>
    <w:p w14:paraId="6B4C230C">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7</w:t>
      </w:r>
      <w:r>
        <w:rPr>
          <w:rFonts w:hint="eastAsia" w:ascii="宋体" w:hAnsi="宋体"/>
          <w:color w:val="auto"/>
          <w:kern w:val="0"/>
          <w:sz w:val="24"/>
        </w:rPr>
        <w:t>）</w:t>
      </w:r>
      <w:r>
        <w:rPr>
          <w:rFonts w:hint="eastAsia" w:ascii="宋体" w:hAnsi="宋体"/>
          <w:color w:val="auto"/>
          <w:kern w:val="0"/>
          <w:sz w:val="24"/>
          <w:lang w:eastAsia="zh-CN"/>
        </w:rPr>
        <w:t>报价人</w:t>
      </w:r>
      <w:r>
        <w:rPr>
          <w:rFonts w:hint="eastAsia" w:ascii="宋体" w:hAnsi="宋体"/>
          <w:color w:val="auto"/>
          <w:kern w:val="0"/>
          <w:sz w:val="24"/>
        </w:rPr>
        <w:t>对</w:t>
      </w:r>
      <w:r>
        <w:rPr>
          <w:rFonts w:hint="eastAsia" w:ascii="宋体" w:hAnsi="宋体"/>
          <w:color w:val="auto"/>
          <w:kern w:val="0"/>
          <w:sz w:val="24"/>
          <w:lang w:eastAsia="zh-CN"/>
        </w:rPr>
        <w:t>采购文件</w:t>
      </w:r>
      <w:r>
        <w:rPr>
          <w:rFonts w:hint="eastAsia" w:ascii="宋体" w:hAnsi="宋体"/>
          <w:color w:val="auto"/>
          <w:kern w:val="0"/>
          <w:sz w:val="24"/>
        </w:rPr>
        <w:t>条款或技术参数有异议，未在开标前通过澄清或修改程序提出，并且</w:t>
      </w:r>
      <w:r>
        <w:rPr>
          <w:rFonts w:hint="eastAsia" w:ascii="宋体" w:hAnsi="宋体"/>
          <w:color w:val="auto"/>
          <w:kern w:val="0"/>
          <w:sz w:val="24"/>
          <w:lang w:eastAsia="zh-CN"/>
        </w:rPr>
        <w:t>报价人</w:t>
      </w:r>
      <w:r>
        <w:rPr>
          <w:rFonts w:hint="eastAsia" w:ascii="宋体" w:hAnsi="宋体"/>
          <w:color w:val="auto"/>
          <w:kern w:val="0"/>
          <w:sz w:val="24"/>
        </w:rPr>
        <w:t>已经参与投标，而于开标后对</w:t>
      </w:r>
      <w:r>
        <w:rPr>
          <w:rFonts w:hint="eastAsia" w:ascii="宋体" w:hAnsi="宋体"/>
          <w:color w:val="auto"/>
          <w:kern w:val="0"/>
          <w:sz w:val="24"/>
          <w:lang w:eastAsia="zh-CN"/>
        </w:rPr>
        <w:t>采购文件</w:t>
      </w:r>
      <w:r>
        <w:rPr>
          <w:rFonts w:hint="eastAsia" w:ascii="宋体" w:hAnsi="宋体"/>
          <w:color w:val="auto"/>
          <w:kern w:val="0"/>
          <w:sz w:val="24"/>
        </w:rPr>
        <w:t>提出质疑的；</w:t>
      </w:r>
    </w:p>
    <w:p w14:paraId="5A17A1A3">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8</w:t>
      </w:r>
      <w:r>
        <w:rPr>
          <w:rFonts w:hint="eastAsia" w:ascii="宋体" w:hAnsi="宋体"/>
          <w:color w:val="auto"/>
          <w:kern w:val="0"/>
          <w:sz w:val="24"/>
        </w:rPr>
        <w:t>）在提出本次质疑前半年内连续三次质疑而无事实依据的；</w:t>
      </w:r>
    </w:p>
    <w:p w14:paraId="033F0B12">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9</w:t>
      </w:r>
      <w:r>
        <w:rPr>
          <w:rFonts w:hint="eastAsia" w:ascii="宋体" w:hAnsi="宋体"/>
          <w:color w:val="auto"/>
          <w:kern w:val="0"/>
          <w:sz w:val="24"/>
        </w:rPr>
        <w:t>）其它不符合受理条件的情形。</w:t>
      </w:r>
    </w:p>
    <w:p w14:paraId="3B92B968">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8</w:t>
      </w:r>
      <w:r>
        <w:rPr>
          <w:rFonts w:hint="eastAsia" w:ascii="宋体" w:hAnsi="宋体"/>
          <w:color w:val="auto"/>
          <w:kern w:val="0"/>
          <w:sz w:val="24"/>
        </w:rPr>
        <w:t xml:space="preserve"> 采购人或采购代理机构将在收到质疑后7个工作日内审查质疑事项，作出答复或相关处理决定，并通知质疑供应商和其他有关供应商，但答复的内容不得涉及商业秘密。</w:t>
      </w:r>
    </w:p>
    <w:p w14:paraId="71F540AF">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9</w:t>
      </w:r>
      <w:r>
        <w:rPr>
          <w:rFonts w:hint="eastAsia" w:ascii="宋体" w:hAnsi="宋体"/>
          <w:color w:val="auto"/>
          <w:kern w:val="0"/>
          <w:sz w:val="24"/>
        </w:rPr>
        <w:t xml:space="preserve"> 供应商进行虚假和恶意质疑的，采购代理机构可以提请政府采购监管部门将其列入不良记录名单，在一至三年内禁止参加政府采购活动，并将处理决定在相关政府采购媒体上公布。</w:t>
      </w:r>
    </w:p>
    <w:p w14:paraId="2848C54A">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10</w:t>
      </w:r>
      <w:r>
        <w:rPr>
          <w:rFonts w:hint="eastAsia" w:ascii="宋体" w:hAnsi="宋体"/>
          <w:color w:val="auto"/>
          <w:kern w:val="0"/>
          <w:sz w:val="24"/>
        </w:rPr>
        <w:t xml:space="preserve"> 质疑供应商对采购人或采购代理机构的答复不满意以及采购人或采购代理机构未在规定的时间内做出答复的，可以在答复期满后15个工作日内向政府采购监管部门进行投诉。</w:t>
      </w:r>
    </w:p>
    <w:p w14:paraId="4701B770">
      <w:pPr>
        <w:snapToGrid w:val="0"/>
        <w:spacing w:line="360" w:lineRule="auto"/>
        <w:ind w:firstLine="480" w:firstLineChars="20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lang w:val="en-US" w:eastAsia="zh-CN"/>
        </w:rPr>
        <w:t>6</w:t>
      </w:r>
      <w:r>
        <w:rPr>
          <w:rFonts w:ascii="宋体" w:hAnsi="宋体"/>
          <w:color w:val="auto"/>
          <w:kern w:val="0"/>
          <w:sz w:val="24"/>
        </w:rPr>
        <w:t>.1</w:t>
      </w:r>
      <w:r>
        <w:rPr>
          <w:rFonts w:hint="eastAsia" w:ascii="宋体" w:hAnsi="宋体"/>
          <w:color w:val="auto"/>
          <w:kern w:val="0"/>
          <w:sz w:val="24"/>
          <w:lang w:val="en-US" w:eastAsia="zh-CN"/>
        </w:rPr>
        <w:t>1</w:t>
      </w:r>
      <w:r>
        <w:rPr>
          <w:rFonts w:ascii="宋体" w:hAnsi="宋体"/>
          <w:color w:val="auto"/>
          <w:kern w:val="0"/>
          <w:sz w:val="24"/>
        </w:rPr>
        <w:t>接收质疑函的联系方式</w:t>
      </w:r>
    </w:p>
    <w:p w14:paraId="34647476">
      <w:pPr>
        <w:snapToGrid w:val="0"/>
        <w:spacing w:line="360" w:lineRule="auto"/>
        <w:ind w:firstLine="480" w:firstLineChars="200"/>
        <w:rPr>
          <w:rFonts w:ascii="宋体" w:hAnsi="宋体"/>
          <w:color w:val="auto"/>
          <w:kern w:val="0"/>
          <w:sz w:val="24"/>
        </w:rPr>
      </w:pPr>
      <w:r>
        <w:rPr>
          <w:rFonts w:ascii="宋体" w:hAnsi="宋体"/>
          <w:color w:val="auto"/>
          <w:kern w:val="0"/>
          <w:sz w:val="24"/>
        </w:rPr>
        <w:t>联系单位：</w:t>
      </w:r>
      <w:r>
        <w:rPr>
          <w:rFonts w:hint="eastAsia" w:ascii="宋体" w:hAnsi="宋体"/>
          <w:color w:val="auto"/>
          <w:kern w:val="0"/>
          <w:sz w:val="24"/>
          <w:lang w:val="zh-CN"/>
        </w:rPr>
        <w:t>山西锦秀诚信项目咨询有限公司</w:t>
      </w:r>
    </w:p>
    <w:p w14:paraId="153DAC62">
      <w:pPr>
        <w:snapToGrid w:val="0"/>
        <w:spacing w:line="360" w:lineRule="auto"/>
        <w:ind w:firstLine="480" w:firstLineChars="200"/>
        <w:rPr>
          <w:rFonts w:hint="eastAsia" w:ascii="宋体" w:hAnsi="宋体" w:eastAsia="宋体"/>
          <w:color w:val="auto"/>
          <w:kern w:val="0"/>
          <w:sz w:val="24"/>
          <w:lang w:eastAsia="zh-CN"/>
        </w:rPr>
      </w:pPr>
      <w:r>
        <w:rPr>
          <w:rFonts w:ascii="宋体" w:hAnsi="宋体"/>
          <w:color w:val="auto"/>
          <w:kern w:val="0"/>
          <w:sz w:val="24"/>
        </w:rPr>
        <w:t>单位地址：</w:t>
      </w:r>
      <w:r>
        <w:rPr>
          <w:rFonts w:hint="eastAsia" w:ascii="宋体" w:hAnsi="宋体"/>
          <w:color w:val="auto"/>
          <w:kern w:val="0"/>
          <w:sz w:val="24"/>
          <w:lang w:eastAsia="zh-CN"/>
        </w:rPr>
        <w:t>吕梁市离石区七里滩滨东学府苑4单元1202室</w:t>
      </w:r>
    </w:p>
    <w:p w14:paraId="65D87853">
      <w:pPr>
        <w:snapToGrid w:val="0"/>
        <w:spacing w:line="360" w:lineRule="auto"/>
        <w:ind w:firstLine="480" w:firstLineChars="200"/>
        <w:rPr>
          <w:rFonts w:ascii="宋体" w:hAnsi="宋体"/>
          <w:color w:val="auto"/>
          <w:kern w:val="0"/>
          <w:sz w:val="24"/>
        </w:rPr>
      </w:pPr>
      <w:r>
        <w:rPr>
          <w:rFonts w:ascii="宋体" w:hAnsi="宋体"/>
          <w:color w:val="auto"/>
          <w:kern w:val="0"/>
          <w:sz w:val="24"/>
        </w:rPr>
        <w:t>联 系 人：</w:t>
      </w:r>
      <w:r>
        <w:rPr>
          <w:rFonts w:hint="eastAsia" w:ascii="宋体" w:hAnsi="宋体"/>
          <w:color w:val="auto"/>
          <w:kern w:val="0"/>
          <w:sz w:val="24"/>
        </w:rPr>
        <w:t>冯先生</w:t>
      </w:r>
    </w:p>
    <w:p w14:paraId="0154B7B3">
      <w:pPr>
        <w:snapToGrid w:val="0"/>
        <w:spacing w:line="360" w:lineRule="auto"/>
        <w:ind w:firstLine="480" w:firstLineChars="200"/>
        <w:outlineLvl w:val="1"/>
        <w:rPr>
          <w:rFonts w:hint="eastAsia" w:ascii="宋体" w:hAnsi="宋体"/>
          <w:color w:val="auto"/>
          <w:kern w:val="0"/>
          <w:sz w:val="24"/>
        </w:rPr>
      </w:pPr>
      <w:r>
        <w:rPr>
          <w:rFonts w:ascii="宋体" w:hAnsi="宋体"/>
          <w:color w:val="auto"/>
          <w:kern w:val="0"/>
          <w:sz w:val="24"/>
        </w:rPr>
        <w:t>联系电话：</w:t>
      </w:r>
      <w:r>
        <w:rPr>
          <w:rFonts w:hint="eastAsia" w:ascii="宋体" w:hAnsi="宋体"/>
          <w:color w:val="auto"/>
          <w:kern w:val="0"/>
          <w:sz w:val="24"/>
        </w:rPr>
        <w:t>18035866266</w:t>
      </w:r>
    </w:p>
    <w:p w14:paraId="462593B6">
      <w:pPr>
        <w:snapToGrid w:val="0"/>
        <w:spacing w:line="360" w:lineRule="auto"/>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九、违约处罚</w:t>
      </w:r>
      <w:bookmarkEnd w:id="67"/>
    </w:p>
    <w:p w14:paraId="1BDC249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 xml:space="preserve">. 供应商发生下列情况之一的，谈判保证金将被没收，并可能被列入不良记录名单，同时代理机构将提请相关监管部门，依据相关规定作出处理。 </w:t>
      </w:r>
    </w:p>
    <w:p w14:paraId="0B4658D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.1开启后在响应文件有效期内，供应商撤回其响应文件；</w:t>
      </w:r>
    </w:p>
    <w:p w14:paraId="31B79FE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.2在谈判期间，供应商企图影响代理机构或谈判小组的任何活动，将导致报价被拒绝，并由其承担相应的法律责任；</w:t>
      </w:r>
    </w:p>
    <w:p w14:paraId="558DC54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 xml:space="preserve">.3成交供应商未按本谈判文件规定签约； </w:t>
      </w:r>
    </w:p>
    <w:p w14:paraId="059B9E6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.4成交供应商与采购方订立背离合同实质性内容</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 xml:space="preserve">协议； </w:t>
      </w:r>
    </w:p>
    <w:p w14:paraId="54F2E74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.5成交供应商未按谈判文件规定和合同约定履行义务的。</w:t>
      </w:r>
    </w:p>
    <w:p w14:paraId="35F4AE4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.采购方有下列情形之一的，由有关部门责令限期改正；情节严重的，给予警告：</w:t>
      </w:r>
    </w:p>
    <w:p w14:paraId="0E8A887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（一）未按照本办法的规定编制谈判需求的；</w:t>
      </w:r>
    </w:p>
    <w:p w14:paraId="365A0EF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（二）采购方向供应商索要或者接受其给予的赠品、回扣或者与谈判无关的其他商品、服务的；</w:t>
      </w:r>
    </w:p>
    <w:p w14:paraId="5E4C24D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.谈判小组及其成员不得有下列行为：</w:t>
      </w:r>
    </w:p>
    <w:p w14:paraId="4815F3D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（一）确定参与评审至评审结束前私自接触供应商；</w:t>
      </w:r>
    </w:p>
    <w:p w14:paraId="32D45D4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（二）接受供应商提出的与响应文件不一致的澄清或者说明，对于响应文件中含义不明确、同类问题表述不一致或者有明显文字和计算错误的内容的情形除外；</w:t>
      </w:r>
    </w:p>
    <w:p w14:paraId="379A5AE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（三）违反评审纪律发表倾向性意见或者征询采购方的倾向性意见；</w:t>
      </w:r>
    </w:p>
    <w:p w14:paraId="37CAE10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（四）对需要专业判断的主观评审因素协商评分；</w:t>
      </w:r>
    </w:p>
    <w:p w14:paraId="137BCD0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（五）在评审过程中擅离职守，影响评审程序正常进行的；</w:t>
      </w:r>
    </w:p>
    <w:p w14:paraId="627B59F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（六）记录、复制或者带走任何评标资料；</w:t>
      </w:r>
    </w:p>
    <w:p w14:paraId="6DC5B12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（七）其他不遵守评标纪律的行为。</w:t>
      </w:r>
    </w:p>
    <w:p w14:paraId="3D109F1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谈判小组成员有前款第一至五项行为之一的，其评审意见无效，并不得获取评审劳务报酬和报销异地评审差旅费。</w:t>
      </w:r>
    </w:p>
    <w:p w14:paraId="28C2AA6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40</w:t>
      </w:r>
      <w:r>
        <w:rPr>
          <w:rFonts w:hint="eastAsia" w:ascii="宋体" w:hAnsi="宋体" w:cs="宋体"/>
          <w:color w:val="auto"/>
          <w:kern w:val="0"/>
          <w:sz w:val="24"/>
          <w:highlight w:val="none"/>
        </w:rPr>
        <w:t>.代理机构或采购方有下列情形之一的，由相关部门责令限期改正，情节严重的，给予警告：</w:t>
      </w:r>
    </w:p>
    <w:p w14:paraId="5D1FFDE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（一）代理机构及其分支机构在所代理的谈判项目中参与谈判活动的，为所代理的谈判项目的供应商参加本项目提供咨询的；</w:t>
      </w:r>
    </w:p>
    <w:p w14:paraId="59FE22C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（二）未按照规定进行资格预审的；</w:t>
      </w:r>
    </w:p>
    <w:p w14:paraId="7A540A0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（三）违反规定确定谈判文件售价的；</w:t>
      </w:r>
    </w:p>
    <w:p w14:paraId="075E11E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（四）未按规定对谈判文件、评审活动进行全程录音录像的；</w:t>
      </w:r>
    </w:p>
    <w:p w14:paraId="0429210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（五）擅自终止谈判活动的；</w:t>
      </w:r>
    </w:p>
    <w:p w14:paraId="74B153F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（六）未按照规定对响应文件进行解密和组织评审的；</w:t>
      </w:r>
    </w:p>
    <w:p w14:paraId="4202634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（七）未按照规定退还谈判保证金的；</w:t>
      </w:r>
    </w:p>
    <w:p w14:paraId="2BB5163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（八）违反本办法规定进行重新评审或者重新组建谈判小组进行评审的；</w:t>
      </w:r>
    </w:p>
    <w:p w14:paraId="7B22E68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（九）开启前泄露已获取谈判文件的潜在供应商的名称、数量或者其他可能影响公平竞争的有关谈判活动情况的；</w:t>
      </w:r>
    </w:p>
    <w:p w14:paraId="0EEF2D6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（十）未妥善保存谈判采购文件的；</w:t>
      </w:r>
    </w:p>
    <w:p w14:paraId="01D83F8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（十一）其他违反本办法规定的情形。</w:t>
      </w:r>
    </w:p>
    <w:p w14:paraId="1D1F49CE">
      <w:pPr>
        <w:tabs>
          <w:tab w:val="left" w:pos="0"/>
        </w:tabs>
        <w:snapToGrid w:val="0"/>
        <w:spacing w:line="360" w:lineRule="auto"/>
        <w:ind w:firstLine="482" w:firstLineChars="200"/>
        <w:outlineLvl w:val="1"/>
        <w:rPr>
          <w:rFonts w:ascii="宋体" w:hAnsi="宋体" w:cs="宋体"/>
          <w:b/>
          <w:color w:val="auto"/>
          <w:kern w:val="0"/>
          <w:sz w:val="24"/>
          <w:highlight w:val="none"/>
        </w:rPr>
      </w:pPr>
      <w:bookmarkStart w:id="68" w:name="_Toc24693"/>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w:t>
      </w:r>
      <w:bookmarkStart w:id="69" w:name="_Toc466533586"/>
      <w:r>
        <w:rPr>
          <w:rFonts w:hint="eastAsia" w:ascii="宋体" w:hAnsi="宋体" w:cs="宋体"/>
          <w:b/>
          <w:color w:val="auto"/>
          <w:kern w:val="0"/>
          <w:sz w:val="24"/>
          <w:highlight w:val="none"/>
        </w:rPr>
        <w:t>政策性要求评审内容及标准</w:t>
      </w:r>
      <w:bookmarkEnd w:id="68"/>
      <w:bookmarkEnd w:id="69"/>
    </w:p>
    <w:p w14:paraId="77970D0A">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41.进口货物及政府采购政策要求</w:t>
      </w:r>
    </w:p>
    <w:p w14:paraId="6F5892A2">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41.1按照财政部《政府采购进口产品管理办法》（财库[2007]119号）的有关规定，本</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涉及的采购货物及软件服务，未特别标注“进口产品”字样的，均必须投报国产产品。进口产品特指“通过中国海关报关验放进入中国境内且产自关境外的产品”，报价产品各项技术标准必须符合国家强制性标准。</w:t>
      </w:r>
    </w:p>
    <w:p w14:paraId="23915436">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41.2国家强制产品</w:t>
      </w:r>
    </w:p>
    <w:p w14:paraId="19D7E74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提供获得国家确定的认证机构出具的处于有效期之内的节能产品认证证书。</w:t>
      </w:r>
    </w:p>
    <w:p w14:paraId="520F292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41.3本项目所采购的货物中如包含计算机，必须预装正版操作系统软件产品；所采购的其它软件必须为正版软件。</w:t>
      </w:r>
    </w:p>
    <w:p w14:paraId="54F92BB2">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42.涉及网络关键设备和网络安全专用产品的要求：</w:t>
      </w:r>
    </w:p>
    <w:p w14:paraId="582C6B3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标货物中如含有《网络关键设备和网络安全专用产品目录》中的产品，须提供具备资格的机构出具的安全认证合格或者安全检测符合要求的相关证明材料扫描件或复印件。具备资格的机构是指列入《承担网络关键设备和网络安全专用产品安全认证和安全检测任务机构名录》的机构。</w:t>
      </w:r>
    </w:p>
    <w:p w14:paraId="61C5310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43.依据政府采购的相关规定，如果供应商或所提供的货物满足下述要求并经</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小组全体成员集体认定通过，予以考虑执行。</w:t>
      </w:r>
    </w:p>
    <w:p w14:paraId="2E25DDF0">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43.1．中小微企业参加本项目</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w:t>
      </w:r>
    </w:p>
    <w:p w14:paraId="79973CBB">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须按照《政府采购促进中小企业发展管理办法》（财库﹝2020﹞46号）如实填写《中小企业声明函》。</w:t>
      </w:r>
    </w:p>
    <w:p w14:paraId="1E3B20F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43.2残疾人福利单位参加本项目</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w:t>
      </w:r>
    </w:p>
    <w:p w14:paraId="24F87B0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2B11993D">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43.3监狱企业参加本项目</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w:t>
      </w:r>
    </w:p>
    <w:p w14:paraId="2445A4ED">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依据《财政部司法部关于政府采购支持监狱企业发展有关问题的通知》(财库〔2014〕68号)规定，监狱企业视同小型、微型企业，享受预留份额、评审中价格扣除等政府采购促进中小企业发展的政府采购政策。</w:t>
      </w:r>
    </w:p>
    <w:p w14:paraId="2772F2BD">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43.4联合体参加本项目</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w:t>
      </w:r>
    </w:p>
    <w:p w14:paraId="5F9E57A3">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kern w:val="0"/>
          <w:sz w:val="24"/>
          <w:highlight w:val="none"/>
        </w:rPr>
        <w:t>如本项目要求有联合体参加</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的，要根据《中华人民共和国政府采购法》第二十二条和《中华人民共和国政府采购法实施条例》第十七条的规定应提供</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联合体各方的资格。联合体协议中约定，小型、微型企业的协议合同金额占到联合体协议合同金额30%以上的，给予联合体价格扣除。</w:t>
      </w:r>
    </w:p>
    <w:p w14:paraId="4CBA3668">
      <w:pPr>
        <w:snapToGrid w:val="0"/>
        <w:spacing w:line="360" w:lineRule="auto"/>
        <w:jc w:val="center"/>
        <w:outlineLvl w:val="0"/>
        <w:rPr>
          <w:rFonts w:ascii="宋体" w:hAnsi="宋体" w:cs="宋体"/>
          <w:b/>
          <w:color w:val="auto"/>
          <w:kern w:val="0"/>
          <w:sz w:val="24"/>
          <w:highlight w:val="none"/>
        </w:rPr>
      </w:pPr>
      <w:r>
        <w:rPr>
          <w:rFonts w:hint="eastAsia" w:ascii="宋体" w:hAnsi="宋体" w:cs="宋体"/>
          <w:b/>
          <w:bCs/>
          <w:snapToGrid w:val="0"/>
          <w:color w:val="auto"/>
          <w:kern w:val="0"/>
          <w:sz w:val="36"/>
          <w:szCs w:val="36"/>
          <w:highlight w:val="none"/>
        </w:rPr>
        <w:br w:type="page"/>
      </w:r>
      <w:bookmarkStart w:id="70" w:name="_Toc10279"/>
      <w:r>
        <w:rPr>
          <w:rFonts w:hint="eastAsia" w:ascii="宋体" w:hAnsi="宋体" w:cs="宋体"/>
          <w:b/>
          <w:bCs/>
          <w:snapToGrid w:val="0"/>
          <w:color w:val="auto"/>
          <w:kern w:val="0"/>
          <w:sz w:val="32"/>
          <w:szCs w:val="32"/>
          <w:highlight w:val="none"/>
        </w:rPr>
        <w:t>第四部分  评审标准和评定方法</w:t>
      </w:r>
      <w:bookmarkEnd w:id="70"/>
    </w:p>
    <w:p w14:paraId="25EE4BE2">
      <w:pPr>
        <w:snapToGrid w:val="0"/>
        <w:spacing w:line="360" w:lineRule="auto"/>
        <w:ind w:firstLine="482" w:firstLineChars="200"/>
        <w:jc w:val="left"/>
        <w:outlineLvl w:val="1"/>
        <w:rPr>
          <w:rFonts w:ascii="宋体" w:hAnsi="宋体" w:cs="宋体"/>
          <w:b/>
          <w:color w:val="auto"/>
          <w:kern w:val="0"/>
          <w:sz w:val="24"/>
          <w:highlight w:val="none"/>
        </w:rPr>
      </w:pPr>
      <w:bookmarkStart w:id="71" w:name="_Toc14288"/>
      <w:r>
        <w:rPr>
          <w:rFonts w:hint="eastAsia" w:ascii="宋体" w:hAnsi="宋体" w:cs="宋体"/>
          <w:b/>
          <w:color w:val="auto"/>
          <w:kern w:val="0"/>
          <w:sz w:val="24"/>
          <w:highlight w:val="none"/>
        </w:rPr>
        <w:t>一、资格性审查要求</w:t>
      </w:r>
      <w:bookmarkEnd w:id="71"/>
    </w:p>
    <w:tbl>
      <w:tblPr>
        <w:tblStyle w:val="22"/>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19"/>
        <w:gridCol w:w="2085"/>
        <w:gridCol w:w="5147"/>
      </w:tblGrid>
      <w:tr w14:paraId="2D90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1" w:type="dxa"/>
            <w:vAlign w:val="center"/>
          </w:tcPr>
          <w:p w14:paraId="6AB982C7">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219" w:type="dxa"/>
            <w:vAlign w:val="center"/>
          </w:tcPr>
          <w:p w14:paraId="75CCF30C">
            <w:pPr>
              <w:spacing w:line="360" w:lineRule="auto"/>
              <w:jc w:val="center"/>
              <w:rPr>
                <w:rFonts w:ascii="宋体" w:hAnsi="宋体"/>
                <w:color w:val="auto"/>
                <w:sz w:val="24"/>
                <w:highlight w:val="none"/>
              </w:rPr>
            </w:pPr>
            <w:r>
              <w:rPr>
                <w:rFonts w:hint="eastAsia" w:ascii="宋体" w:hAnsi="宋体"/>
                <w:color w:val="auto"/>
                <w:sz w:val="24"/>
                <w:highlight w:val="none"/>
              </w:rPr>
              <w:t>类型</w:t>
            </w:r>
          </w:p>
        </w:tc>
        <w:tc>
          <w:tcPr>
            <w:tcW w:w="2085" w:type="dxa"/>
            <w:vAlign w:val="center"/>
          </w:tcPr>
          <w:p w14:paraId="077196D0">
            <w:pPr>
              <w:spacing w:line="360" w:lineRule="auto"/>
              <w:jc w:val="center"/>
              <w:rPr>
                <w:rFonts w:ascii="宋体" w:hAnsi="宋体"/>
                <w:color w:val="auto"/>
                <w:sz w:val="24"/>
                <w:highlight w:val="none"/>
              </w:rPr>
            </w:pPr>
            <w:r>
              <w:rPr>
                <w:rFonts w:hint="eastAsia" w:ascii="宋体" w:hAnsi="宋体"/>
                <w:color w:val="auto"/>
                <w:sz w:val="24"/>
                <w:highlight w:val="none"/>
              </w:rPr>
              <w:t>审查要求</w:t>
            </w:r>
          </w:p>
        </w:tc>
        <w:tc>
          <w:tcPr>
            <w:tcW w:w="5147" w:type="dxa"/>
            <w:vAlign w:val="center"/>
          </w:tcPr>
          <w:p w14:paraId="50792CE4">
            <w:pPr>
              <w:spacing w:line="360" w:lineRule="auto"/>
              <w:jc w:val="center"/>
              <w:rPr>
                <w:rFonts w:ascii="宋体" w:hAnsi="宋体"/>
                <w:color w:val="auto"/>
                <w:sz w:val="24"/>
                <w:highlight w:val="none"/>
              </w:rPr>
            </w:pPr>
            <w:r>
              <w:rPr>
                <w:rFonts w:hint="eastAsia" w:ascii="宋体" w:hAnsi="宋体"/>
                <w:color w:val="auto"/>
                <w:sz w:val="24"/>
                <w:highlight w:val="none"/>
              </w:rPr>
              <w:t>要求说明</w:t>
            </w:r>
          </w:p>
        </w:tc>
      </w:tr>
      <w:tr w14:paraId="25CD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31" w:type="dxa"/>
            <w:vAlign w:val="center"/>
          </w:tcPr>
          <w:p w14:paraId="3DCBD8FF">
            <w:pPr>
              <w:spacing w:line="360" w:lineRule="auto"/>
              <w:jc w:val="center"/>
              <w:rPr>
                <w:rFonts w:ascii="宋体" w:hAnsi="宋体"/>
                <w:color w:val="auto"/>
                <w:sz w:val="24"/>
                <w:highlight w:val="none"/>
              </w:rPr>
            </w:pPr>
            <w:r>
              <w:rPr>
                <w:rFonts w:ascii="宋体" w:hAnsi="宋体"/>
                <w:color w:val="auto"/>
                <w:sz w:val="24"/>
                <w:highlight w:val="none"/>
              </w:rPr>
              <w:t>1</w:t>
            </w:r>
          </w:p>
        </w:tc>
        <w:tc>
          <w:tcPr>
            <w:tcW w:w="1219" w:type="dxa"/>
            <w:vAlign w:val="center"/>
          </w:tcPr>
          <w:p w14:paraId="48244084">
            <w:pPr>
              <w:spacing w:line="360" w:lineRule="auto"/>
              <w:jc w:val="center"/>
              <w:rPr>
                <w:rFonts w:ascii="宋体" w:hAnsi="宋体"/>
                <w:color w:val="auto"/>
                <w:sz w:val="24"/>
                <w:highlight w:val="none"/>
              </w:rPr>
            </w:pPr>
            <w:r>
              <w:rPr>
                <w:rFonts w:hint="eastAsia" w:ascii="宋体" w:hAnsi="宋体"/>
                <w:color w:val="auto"/>
                <w:sz w:val="24"/>
                <w:highlight w:val="none"/>
              </w:rPr>
              <w:t>营业执照</w:t>
            </w:r>
          </w:p>
        </w:tc>
        <w:tc>
          <w:tcPr>
            <w:tcW w:w="2085" w:type="dxa"/>
            <w:vAlign w:val="center"/>
          </w:tcPr>
          <w:p w14:paraId="37BFB289">
            <w:pPr>
              <w:spacing w:line="360" w:lineRule="auto"/>
              <w:jc w:val="center"/>
              <w:rPr>
                <w:rFonts w:ascii="宋体" w:hAnsi="宋体"/>
                <w:color w:val="auto"/>
                <w:sz w:val="24"/>
                <w:highlight w:val="none"/>
              </w:rPr>
            </w:pPr>
            <w:r>
              <w:rPr>
                <w:rFonts w:hint="eastAsia" w:ascii="宋体" w:hAnsi="宋体"/>
                <w:color w:val="auto"/>
                <w:sz w:val="24"/>
                <w:highlight w:val="none"/>
              </w:rPr>
              <w:t>具有独立承担民事责任的能力</w:t>
            </w:r>
          </w:p>
        </w:tc>
        <w:tc>
          <w:tcPr>
            <w:tcW w:w="5147" w:type="dxa"/>
            <w:vAlign w:val="center"/>
          </w:tcPr>
          <w:p w14:paraId="2D4F445F">
            <w:pPr>
              <w:pStyle w:val="9"/>
              <w:spacing w:line="360" w:lineRule="auto"/>
              <w:rPr>
                <w:rFonts w:hint="eastAsia" w:ascii="宋体" w:hAnsi="宋体"/>
                <w:color w:val="auto"/>
                <w:sz w:val="24"/>
                <w:highlight w:val="none"/>
              </w:rPr>
            </w:pPr>
            <w:r>
              <w:rPr>
                <w:rFonts w:hint="eastAsia" w:ascii="宋体" w:hAnsi="宋体"/>
                <w:color w:val="auto"/>
                <w:sz w:val="24"/>
                <w:highlight w:val="none"/>
              </w:rPr>
              <w:t>提供供应商信用承诺书。</w:t>
            </w:r>
          </w:p>
          <w:p w14:paraId="123A32AF">
            <w:pPr>
              <w:pStyle w:val="9"/>
              <w:spacing w:line="360" w:lineRule="auto"/>
              <w:rPr>
                <w:rFonts w:ascii="宋体" w:hAnsi="宋体"/>
                <w:color w:val="auto"/>
                <w:sz w:val="24"/>
                <w:highlight w:val="none"/>
              </w:rPr>
            </w:pPr>
            <w:r>
              <w:rPr>
                <w:rFonts w:hint="eastAsia" w:ascii="宋体" w:hAnsi="宋体"/>
                <w:color w:val="auto"/>
                <w:sz w:val="24"/>
                <w:highlight w:val="none"/>
              </w:rPr>
              <w:t>以上证明材料须符合要求、有效、完整。否则，响应无效。</w:t>
            </w:r>
          </w:p>
        </w:tc>
      </w:tr>
      <w:tr w14:paraId="11CF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31" w:type="dxa"/>
            <w:vAlign w:val="center"/>
          </w:tcPr>
          <w:p w14:paraId="7436CC95">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219" w:type="dxa"/>
            <w:vAlign w:val="center"/>
          </w:tcPr>
          <w:p w14:paraId="194ACA3A">
            <w:pPr>
              <w:spacing w:line="360" w:lineRule="auto"/>
              <w:jc w:val="center"/>
              <w:rPr>
                <w:rFonts w:hint="eastAsia" w:ascii="宋体" w:hAnsi="宋体"/>
                <w:color w:val="auto"/>
                <w:sz w:val="24"/>
                <w:highlight w:val="none"/>
              </w:rPr>
            </w:pPr>
            <w:r>
              <w:rPr>
                <w:rFonts w:hint="eastAsia" w:ascii="宋体" w:hAnsi="宋体"/>
                <w:color w:val="auto"/>
                <w:sz w:val="24"/>
                <w:highlight w:val="none"/>
              </w:rPr>
              <w:t>基本资质</w:t>
            </w:r>
          </w:p>
        </w:tc>
        <w:tc>
          <w:tcPr>
            <w:tcW w:w="2085" w:type="dxa"/>
            <w:vAlign w:val="center"/>
          </w:tcPr>
          <w:p w14:paraId="5FADDFEC">
            <w:pPr>
              <w:spacing w:line="360" w:lineRule="auto"/>
              <w:jc w:val="center"/>
              <w:rPr>
                <w:rFonts w:hint="eastAsia" w:ascii="宋体" w:hAnsi="宋体"/>
                <w:color w:val="auto"/>
                <w:sz w:val="24"/>
                <w:highlight w:val="none"/>
              </w:rPr>
            </w:pPr>
            <w:r>
              <w:rPr>
                <w:rFonts w:hint="eastAsia" w:ascii="宋体" w:hAnsi="宋体"/>
                <w:color w:val="auto"/>
                <w:sz w:val="24"/>
                <w:highlight w:val="none"/>
              </w:rPr>
              <w:t>具有履行合同所必需的设备和专业技术能力</w:t>
            </w:r>
          </w:p>
        </w:tc>
        <w:tc>
          <w:tcPr>
            <w:tcW w:w="5147" w:type="dxa"/>
            <w:vAlign w:val="center"/>
          </w:tcPr>
          <w:p w14:paraId="6B0CE580">
            <w:pPr>
              <w:pStyle w:val="9"/>
              <w:spacing w:line="360" w:lineRule="auto"/>
              <w:rPr>
                <w:rFonts w:hint="eastAsia" w:ascii="宋体" w:hAnsi="宋体"/>
                <w:color w:val="auto"/>
                <w:sz w:val="24"/>
                <w:highlight w:val="none"/>
              </w:rPr>
            </w:pPr>
            <w:r>
              <w:rPr>
                <w:rFonts w:hint="eastAsia" w:ascii="宋体" w:hAnsi="宋体"/>
                <w:color w:val="auto"/>
                <w:sz w:val="24"/>
                <w:highlight w:val="none"/>
              </w:rPr>
              <w:t>提供供应商信用承诺书。</w:t>
            </w:r>
          </w:p>
          <w:p w14:paraId="35795DEB">
            <w:pPr>
              <w:pStyle w:val="9"/>
              <w:spacing w:line="360" w:lineRule="auto"/>
              <w:rPr>
                <w:rFonts w:hint="eastAsia" w:ascii="宋体" w:hAnsi="宋体"/>
                <w:color w:val="auto"/>
                <w:sz w:val="24"/>
                <w:highlight w:val="none"/>
              </w:rPr>
            </w:pPr>
            <w:r>
              <w:rPr>
                <w:rFonts w:hint="eastAsia" w:ascii="宋体" w:hAnsi="宋体"/>
                <w:color w:val="auto"/>
                <w:sz w:val="24"/>
                <w:highlight w:val="none"/>
              </w:rPr>
              <w:t>以上证明材料须符合要求、有效、完整。否则，响应无效。</w:t>
            </w:r>
          </w:p>
        </w:tc>
      </w:tr>
      <w:tr w14:paraId="6AD5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731" w:type="dxa"/>
            <w:vAlign w:val="center"/>
          </w:tcPr>
          <w:p w14:paraId="66230A62">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219" w:type="dxa"/>
            <w:vAlign w:val="center"/>
          </w:tcPr>
          <w:p w14:paraId="155A41B7">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财务报告</w:t>
            </w:r>
          </w:p>
        </w:tc>
        <w:tc>
          <w:tcPr>
            <w:tcW w:w="2085" w:type="dxa"/>
            <w:vAlign w:val="center"/>
          </w:tcPr>
          <w:p w14:paraId="26EE1A74">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具有良好的商业信誉和健全的财务会计制度</w:t>
            </w:r>
          </w:p>
        </w:tc>
        <w:tc>
          <w:tcPr>
            <w:tcW w:w="5147" w:type="dxa"/>
            <w:vAlign w:val="center"/>
          </w:tcPr>
          <w:p w14:paraId="120D89A3">
            <w:pPr>
              <w:spacing w:line="360" w:lineRule="auto"/>
              <w:rPr>
                <w:rFonts w:hint="eastAsia" w:ascii="宋体" w:hAnsi="宋体" w:eastAsia="宋体" w:cs="宋体"/>
                <w:color w:val="auto"/>
                <w:sz w:val="24"/>
              </w:rPr>
            </w:pPr>
            <w:r>
              <w:rPr>
                <w:rFonts w:hint="eastAsia" w:ascii="宋体" w:hAnsi="宋体" w:eastAsia="宋体" w:cs="宋体"/>
                <w:color w:val="auto"/>
                <w:sz w:val="24"/>
              </w:rPr>
              <w:t>提供供应商信用承诺书。</w:t>
            </w:r>
          </w:p>
          <w:p w14:paraId="2176F319">
            <w:pPr>
              <w:spacing w:line="360" w:lineRule="auto"/>
              <w:rPr>
                <w:rFonts w:ascii="宋体" w:hAnsi="宋体"/>
                <w:color w:val="auto"/>
                <w:sz w:val="24"/>
                <w:highlight w:val="none"/>
              </w:rPr>
            </w:pPr>
            <w:r>
              <w:rPr>
                <w:rFonts w:hint="eastAsia" w:ascii="宋体" w:hAnsi="宋体" w:eastAsia="宋体" w:cs="宋体"/>
                <w:color w:val="auto"/>
                <w:sz w:val="24"/>
              </w:rPr>
              <w:t>以上证明材料须符合要求、有效、完整。否则，响应无效。</w:t>
            </w:r>
          </w:p>
        </w:tc>
      </w:tr>
      <w:tr w14:paraId="33E9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31" w:type="dxa"/>
            <w:vAlign w:val="center"/>
          </w:tcPr>
          <w:p w14:paraId="1EB9C477">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1219" w:type="dxa"/>
            <w:vAlign w:val="center"/>
          </w:tcPr>
          <w:p w14:paraId="05CA7417">
            <w:pPr>
              <w:spacing w:line="360" w:lineRule="auto"/>
              <w:jc w:val="center"/>
              <w:rPr>
                <w:rFonts w:ascii="宋体" w:hAnsi="宋体"/>
                <w:color w:val="auto"/>
                <w:sz w:val="24"/>
                <w:highlight w:val="none"/>
              </w:rPr>
            </w:pPr>
            <w:r>
              <w:rPr>
                <w:rFonts w:hint="eastAsia" w:ascii="宋体" w:hAnsi="宋体"/>
                <w:color w:val="auto"/>
                <w:sz w:val="24"/>
                <w:highlight w:val="none"/>
              </w:rPr>
              <w:t>基本资质</w:t>
            </w:r>
          </w:p>
        </w:tc>
        <w:tc>
          <w:tcPr>
            <w:tcW w:w="2085" w:type="dxa"/>
            <w:vAlign w:val="center"/>
          </w:tcPr>
          <w:p w14:paraId="6F65A9CF">
            <w:pPr>
              <w:spacing w:line="360" w:lineRule="auto"/>
              <w:jc w:val="center"/>
              <w:rPr>
                <w:rFonts w:ascii="宋体" w:hAnsi="宋体"/>
                <w:color w:val="auto"/>
                <w:sz w:val="24"/>
                <w:highlight w:val="none"/>
              </w:rPr>
            </w:pPr>
            <w:r>
              <w:rPr>
                <w:rFonts w:hint="eastAsia" w:ascii="宋体" w:hAnsi="宋体"/>
                <w:color w:val="auto"/>
                <w:sz w:val="24"/>
              </w:rPr>
              <w:t>有依法缴纳税收和社会保障资金的良好记录</w:t>
            </w:r>
          </w:p>
        </w:tc>
        <w:tc>
          <w:tcPr>
            <w:tcW w:w="5147" w:type="dxa"/>
            <w:vAlign w:val="center"/>
          </w:tcPr>
          <w:p w14:paraId="6951E80D">
            <w:pPr>
              <w:spacing w:line="360" w:lineRule="auto"/>
              <w:rPr>
                <w:rFonts w:hint="eastAsia" w:ascii="宋体" w:hAnsi="宋体" w:eastAsia="宋体" w:cs="宋体"/>
                <w:color w:val="auto"/>
                <w:sz w:val="24"/>
              </w:rPr>
            </w:pPr>
            <w:r>
              <w:rPr>
                <w:rFonts w:hint="eastAsia" w:ascii="宋体" w:hAnsi="宋体" w:eastAsia="宋体" w:cs="宋体"/>
                <w:color w:val="auto"/>
                <w:sz w:val="24"/>
              </w:rPr>
              <w:t>提供供应商信用承诺书。</w:t>
            </w:r>
          </w:p>
          <w:p w14:paraId="15C17B4F">
            <w:pPr>
              <w:pStyle w:val="30"/>
              <w:spacing w:line="360" w:lineRule="auto"/>
              <w:ind w:firstLine="0" w:firstLineChars="0"/>
              <w:rPr>
                <w:rFonts w:ascii="宋体" w:hAnsi="宋体"/>
                <w:color w:val="auto"/>
                <w:sz w:val="24"/>
                <w:highlight w:val="none"/>
              </w:rPr>
            </w:pPr>
            <w:r>
              <w:rPr>
                <w:rFonts w:hint="eastAsia" w:ascii="宋体" w:hAnsi="宋体" w:eastAsia="宋体" w:cs="宋体"/>
                <w:color w:val="auto"/>
                <w:sz w:val="24"/>
              </w:rPr>
              <w:t>以上证明材料须符合要求、有效、完整。否则，响应无效。</w:t>
            </w:r>
          </w:p>
        </w:tc>
      </w:tr>
      <w:tr w14:paraId="70B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731" w:type="dxa"/>
            <w:vAlign w:val="center"/>
          </w:tcPr>
          <w:p w14:paraId="214F4F9A">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1219" w:type="dxa"/>
            <w:vAlign w:val="center"/>
          </w:tcPr>
          <w:p w14:paraId="17D96FA0">
            <w:pPr>
              <w:spacing w:line="360" w:lineRule="auto"/>
              <w:jc w:val="center"/>
              <w:rPr>
                <w:rFonts w:ascii="宋体" w:hAnsi="宋体"/>
                <w:color w:val="auto"/>
                <w:sz w:val="24"/>
                <w:highlight w:val="none"/>
              </w:rPr>
            </w:pPr>
            <w:r>
              <w:rPr>
                <w:rFonts w:hint="eastAsia" w:ascii="宋体" w:hAnsi="宋体"/>
                <w:color w:val="auto"/>
                <w:sz w:val="24"/>
                <w:highlight w:val="none"/>
              </w:rPr>
              <w:t>基本资质</w:t>
            </w:r>
          </w:p>
        </w:tc>
        <w:tc>
          <w:tcPr>
            <w:tcW w:w="2085" w:type="dxa"/>
            <w:vAlign w:val="center"/>
          </w:tcPr>
          <w:p w14:paraId="7B6EB886">
            <w:pPr>
              <w:spacing w:line="360" w:lineRule="auto"/>
              <w:jc w:val="center"/>
              <w:rPr>
                <w:rFonts w:ascii="宋体" w:hAnsi="宋体"/>
                <w:color w:val="auto"/>
                <w:sz w:val="24"/>
                <w:highlight w:val="none"/>
              </w:rPr>
            </w:pPr>
            <w:r>
              <w:rPr>
                <w:rFonts w:hint="eastAsia" w:ascii="宋体" w:hAnsi="宋体"/>
                <w:color w:val="auto"/>
                <w:sz w:val="24"/>
                <w:highlight w:val="none"/>
              </w:rPr>
              <w:t>参加政府采购活动前三年内，在经营活动中没有重大违法记录</w:t>
            </w:r>
          </w:p>
        </w:tc>
        <w:tc>
          <w:tcPr>
            <w:tcW w:w="5147" w:type="dxa"/>
            <w:vAlign w:val="center"/>
          </w:tcPr>
          <w:p w14:paraId="4F30F507">
            <w:pPr>
              <w:spacing w:line="360" w:lineRule="auto"/>
              <w:rPr>
                <w:rFonts w:hint="eastAsia" w:ascii="宋体" w:hAnsi="宋体" w:eastAsia="宋体" w:cs="宋体"/>
                <w:color w:val="auto"/>
                <w:sz w:val="24"/>
              </w:rPr>
            </w:pPr>
            <w:r>
              <w:rPr>
                <w:rFonts w:hint="eastAsia" w:ascii="宋体" w:hAnsi="宋体" w:eastAsia="宋体" w:cs="宋体"/>
                <w:color w:val="auto"/>
                <w:sz w:val="24"/>
              </w:rPr>
              <w:t>提供供应商信用承诺书。</w:t>
            </w:r>
          </w:p>
          <w:p w14:paraId="0A6CA581">
            <w:pPr>
              <w:spacing w:line="360" w:lineRule="auto"/>
              <w:jc w:val="left"/>
              <w:rPr>
                <w:rFonts w:ascii="宋体" w:hAnsi="宋体"/>
                <w:color w:val="auto"/>
                <w:sz w:val="24"/>
                <w:highlight w:val="none"/>
              </w:rPr>
            </w:pPr>
            <w:r>
              <w:rPr>
                <w:rFonts w:hint="eastAsia" w:ascii="宋体" w:hAnsi="宋体" w:eastAsia="宋体" w:cs="宋体"/>
                <w:color w:val="auto"/>
                <w:sz w:val="24"/>
              </w:rPr>
              <w:t>以上证明材料须符合要求、有效、完整。否则，响应无效。</w:t>
            </w:r>
          </w:p>
        </w:tc>
      </w:tr>
      <w:tr w14:paraId="49A2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731" w:type="dxa"/>
            <w:vAlign w:val="center"/>
          </w:tcPr>
          <w:p w14:paraId="7A7BAB06">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1219" w:type="dxa"/>
            <w:vAlign w:val="center"/>
          </w:tcPr>
          <w:p w14:paraId="5A9546FC">
            <w:pPr>
              <w:adjustRightInd w:val="0"/>
              <w:snapToGrid w:val="0"/>
              <w:spacing w:line="360" w:lineRule="auto"/>
              <w:jc w:val="center"/>
              <w:rPr>
                <w:rFonts w:ascii="宋体" w:hAnsi="宋体"/>
                <w:color w:val="auto"/>
                <w:kern w:val="0"/>
                <w:sz w:val="24"/>
                <w:highlight w:val="none"/>
              </w:rPr>
            </w:pPr>
            <w:r>
              <w:rPr>
                <w:rFonts w:ascii="宋体" w:hAnsi="宋体"/>
                <w:color w:val="auto"/>
                <w:sz w:val="24"/>
                <w:highlight w:val="none"/>
              </w:rPr>
              <w:t>基本资质</w:t>
            </w:r>
          </w:p>
        </w:tc>
        <w:tc>
          <w:tcPr>
            <w:tcW w:w="2085" w:type="dxa"/>
            <w:vAlign w:val="center"/>
          </w:tcPr>
          <w:p w14:paraId="438A5DF8">
            <w:pPr>
              <w:spacing w:line="360" w:lineRule="auto"/>
              <w:jc w:val="center"/>
              <w:rPr>
                <w:rFonts w:hint="eastAsia" w:ascii="宋体" w:hAnsi="宋体" w:eastAsia="宋体"/>
                <w:color w:val="auto"/>
                <w:sz w:val="24"/>
                <w:highlight w:val="none"/>
                <w:lang w:val="en-US" w:eastAsia="zh-CN"/>
              </w:rPr>
            </w:pPr>
            <w:r>
              <w:rPr>
                <w:rFonts w:ascii="宋体" w:hAnsi="宋体"/>
                <w:color w:val="auto"/>
                <w:sz w:val="24"/>
                <w:highlight w:val="none"/>
              </w:rPr>
              <w:t>供应商廉洁自律承诺</w:t>
            </w:r>
            <w:r>
              <w:rPr>
                <w:rFonts w:hint="eastAsia" w:ascii="宋体" w:hAnsi="宋体"/>
                <w:color w:val="auto"/>
                <w:sz w:val="24"/>
                <w:highlight w:val="none"/>
                <w:lang w:val="en-US" w:eastAsia="zh-CN"/>
              </w:rPr>
              <w:t>书</w:t>
            </w:r>
          </w:p>
        </w:tc>
        <w:tc>
          <w:tcPr>
            <w:tcW w:w="5147" w:type="dxa"/>
            <w:vAlign w:val="center"/>
          </w:tcPr>
          <w:p w14:paraId="2821F8BF">
            <w:pPr>
              <w:spacing w:line="360" w:lineRule="auto"/>
              <w:rPr>
                <w:rFonts w:hint="eastAsia" w:ascii="宋体" w:hAnsi="宋体"/>
                <w:color w:val="auto"/>
                <w:sz w:val="24"/>
                <w:highlight w:val="none"/>
              </w:rPr>
            </w:pPr>
            <w:r>
              <w:rPr>
                <w:rFonts w:hint="eastAsia" w:ascii="宋体" w:hAnsi="宋体"/>
                <w:color w:val="auto"/>
                <w:sz w:val="24"/>
                <w:highlight w:val="none"/>
              </w:rPr>
              <w:t>提供供应商廉洁自律承诺书；</w:t>
            </w:r>
          </w:p>
          <w:p w14:paraId="63C1FAB9">
            <w:pPr>
              <w:spacing w:line="360" w:lineRule="auto"/>
              <w:rPr>
                <w:rFonts w:ascii="宋体" w:hAnsi="宋体"/>
                <w:color w:val="auto"/>
                <w:sz w:val="24"/>
                <w:highlight w:val="none"/>
              </w:rPr>
            </w:pPr>
            <w:r>
              <w:rPr>
                <w:rFonts w:hint="eastAsia" w:ascii="宋体" w:hAnsi="宋体"/>
                <w:color w:val="auto"/>
                <w:sz w:val="24"/>
                <w:highlight w:val="none"/>
              </w:rPr>
              <w:t>承诺书须内容完整、签署符合要求、加盖电子CA章。否则，响应无效。</w:t>
            </w:r>
          </w:p>
        </w:tc>
      </w:tr>
      <w:tr w14:paraId="2097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1" w:type="dxa"/>
            <w:vAlign w:val="center"/>
          </w:tcPr>
          <w:p w14:paraId="438EC44C">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1219" w:type="dxa"/>
            <w:vAlign w:val="center"/>
          </w:tcPr>
          <w:p w14:paraId="2DDBD81E">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基本资质</w:t>
            </w:r>
          </w:p>
        </w:tc>
        <w:tc>
          <w:tcPr>
            <w:tcW w:w="2085" w:type="dxa"/>
            <w:vAlign w:val="center"/>
          </w:tcPr>
          <w:p w14:paraId="77D34913">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lang w:eastAsia="zh-CN"/>
              </w:rPr>
              <w:t>谈判</w:t>
            </w:r>
            <w:r>
              <w:rPr>
                <w:rFonts w:ascii="宋体" w:hAnsi="宋体"/>
                <w:color w:val="auto"/>
                <w:kern w:val="0"/>
                <w:sz w:val="24"/>
                <w:highlight w:val="none"/>
              </w:rPr>
              <w:t>保证金</w:t>
            </w:r>
          </w:p>
        </w:tc>
        <w:tc>
          <w:tcPr>
            <w:tcW w:w="5147" w:type="dxa"/>
            <w:vAlign w:val="center"/>
          </w:tcPr>
          <w:p w14:paraId="42979E94">
            <w:pPr>
              <w:snapToGrid w:val="0"/>
              <w:spacing w:line="360" w:lineRule="auto"/>
              <w:jc w:val="left"/>
              <w:rPr>
                <w:rFonts w:ascii="宋体" w:hAnsi="宋体"/>
                <w:color w:val="auto"/>
                <w:kern w:val="0"/>
                <w:sz w:val="24"/>
                <w:highlight w:val="none"/>
              </w:rPr>
            </w:pPr>
            <w:r>
              <w:rPr>
                <w:rFonts w:hint="eastAsia" w:ascii="宋体" w:hAnsi="宋体"/>
                <w:color w:val="auto"/>
                <w:kern w:val="0"/>
                <w:sz w:val="24"/>
                <w:highlight w:val="none"/>
              </w:rPr>
              <w:t>提供</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保证金提交凭据；</w:t>
            </w:r>
          </w:p>
          <w:p w14:paraId="28337A34">
            <w:pPr>
              <w:snapToGrid w:val="0"/>
              <w:spacing w:line="360" w:lineRule="auto"/>
              <w:jc w:val="left"/>
              <w:rPr>
                <w:rFonts w:ascii="宋体" w:hAnsi="宋体"/>
                <w:color w:val="auto"/>
                <w:kern w:val="0"/>
                <w:sz w:val="24"/>
                <w:highlight w:val="none"/>
              </w:rPr>
            </w:pPr>
            <w:r>
              <w:rPr>
                <w:rFonts w:hint="eastAsia" w:ascii="宋体" w:hAnsi="宋体"/>
                <w:color w:val="auto"/>
                <w:kern w:val="0"/>
                <w:sz w:val="24"/>
                <w:highlight w:val="none"/>
                <w:lang w:eastAsia="zh-CN"/>
              </w:rPr>
              <w:t>谈判</w:t>
            </w:r>
            <w:r>
              <w:rPr>
                <w:rFonts w:ascii="宋体" w:hAnsi="宋体"/>
                <w:color w:val="auto"/>
                <w:kern w:val="0"/>
                <w:sz w:val="24"/>
                <w:highlight w:val="none"/>
              </w:rPr>
              <w:t>保证金</w:t>
            </w:r>
            <w:r>
              <w:rPr>
                <w:rFonts w:hint="eastAsia" w:ascii="宋体" w:hAnsi="宋体"/>
                <w:color w:val="auto"/>
                <w:kern w:val="0"/>
                <w:sz w:val="24"/>
                <w:highlight w:val="none"/>
              </w:rPr>
              <w:t>须</w:t>
            </w:r>
            <w:r>
              <w:rPr>
                <w:rFonts w:ascii="宋体" w:hAnsi="宋体"/>
                <w:color w:val="auto"/>
                <w:kern w:val="0"/>
                <w:sz w:val="24"/>
                <w:highlight w:val="none"/>
              </w:rPr>
              <w:t>按照</w:t>
            </w:r>
            <w:r>
              <w:rPr>
                <w:rFonts w:hint="eastAsia" w:ascii="宋体" w:hAnsi="宋体"/>
                <w:color w:val="auto"/>
                <w:kern w:val="0"/>
                <w:sz w:val="24"/>
                <w:highlight w:val="none"/>
                <w:lang w:eastAsia="zh-CN"/>
              </w:rPr>
              <w:t>谈判</w:t>
            </w:r>
            <w:r>
              <w:rPr>
                <w:rFonts w:ascii="宋体" w:hAnsi="宋体"/>
                <w:color w:val="auto"/>
                <w:kern w:val="0"/>
                <w:sz w:val="24"/>
                <w:highlight w:val="none"/>
              </w:rPr>
              <w:t>文件前附表要求</w:t>
            </w:r>
            <w:r>
              <w:rPr>
                <w:rFonts w:hint="eastAsia" w:ascii="宋体" w:hAnsi="宋体"/>
                <w:color w:val="auto"/>
                <w:kern w:val="0"/>
                <w:sz w:val="24"/>
                <w:highlight w:val="none"/>
              </w:rPr>
              <w:t>在递交</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文件截止时间前足额提交、加盖</w:t>
            </w:r>
            <w:r>
              <w:rPr>
                <w:rFonts w:hint="eastAsia" w:ascii="宋体" w:hAnsi="宋体"/>
                <w:color w:val="auto"/>
                <w:sz w:val="24"/>
                <w:highlight w:val="none"/>
              </w:rPr>
              <w:t>电子CA章。否则，响应无效。</w:t>
            </w:r>
          </w:p>
        </w:tc>
      </w:tr>
      <w:tr w14:paraId="58AF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1" w:type="dxa"/>
            <w:vAlign w:val="center"/>
          </w:tcPr>
          <w:p w14:paraId="09642BD2">
            <w:pPr>
              <w:snapToGrid w:val="0"/>
              <w:spacing w:line="360" w:lineRule="auto"/>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8</w:t>
            </w:r>
          </w:p>
        </w:tc>
        <w:tc>
          <w:tcPr>
            <w:tcW w:w="1219" w:type="dxa"/>
            <w:vAlign w:val="center"/>
          </w:tcPr>
          <w:p w14:paraId="66C15BAA">
            <w:pPr>
              <w:snapToGrid w:val="0"/>
              <w:spacing w:line="360" w:lineRule="auto"/>
              <w:jc w:val="left"/>
              <w:rPr>
                <w:rFonts w:ascii="宋体" w:hAnsi="宋体"/>
                <w:color w:val="auto"/>
                <w:kern w:val="0"/>
                <w:sz w:val="24"/>
                <w:highlight w:val="none"/>
              </w:rPr>
            </w:pPr>
            <w:r>
              <w:rPr>
                <w:rFonts w:hint="eastAsia" w:ascii="宋体" w:hAnsi="宋体"/>
                <w:color w:val="auto"/>
                <w:kern w:val="0"/>
                <w:sz w:val="24"/>
                <w:highlight w:val="none"/>
              </w:rPr>
              <w:t>特定资质</w:t>
            </w:r>
          </w:p>
        </w:tc>
        <w:tc>
          <w:tcPr>
            <w:tcW w:w="2085" w:type="dxa"/>
            <w:vAlign w:val="center"/>
          </w:tcPr>
          <w:p w14:paraId="5AAD1663">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本项目要求的特定资格条件</w:t>
            </w:r>
          </w:p>
        </w:tc>
        <w:tc>
          <w:tcPr>
            <w:tcW w:w="5147" w:type="dxa"/>
            <w:vAlign w:val="center"/>
          </w:tcPr>
          <w:p w14:paraId="49A1AEC8">
            <w:pPr>
              <w:snapToGrid w:val="0"/>
              <w:spacing w:line="360" w:lineRule="auto"/>
              <w:jc w:val="left"/>
              <w:rPr>
                <w:rFonts w:ascii="宋体" w:hAnsi="宋体"/>
                <w:color w:val="auto"/>
                <w:kern w:val="0"/>
                <w:sz w:val="24"/>
                <w:highlight w:val="none"/>
              </w:rPr>
            </w:pPr>
            <w:r>
              <w:rPr>
                <w:rFonts w:hint="eastAsia" w:ascii="宋体" w:hAnsi="宋体"/>
                <w:color w:val="auto"/>
                <w:kern w:val="0"/>
                <w:sz w:val="24"/>
                <w:highlight w:val="none"/>
              </w:rPr>
              <w:t>对照供应商须知前附表规定提交相关证明文件，如本项目不要求其他特定资质条件则无需提供。</w:t>
            </w:r>
          </w:p>
          <w:p w14:paraId="2CC1F63B">
            <w:pPr>
              <w:snapToGrid w:val="0"/>
              <w:spacing w:line="360" w:lineRule="auto"/>
              <w:jc w:val="left"/>
              <w:rPr>
                <w:rFonts w:ascii="宋体" w:hAnsi="宋体"/>
                <w:color w:val="auto"/>
                <w:kern w:val="0"/>
                <w:sz w:val="24"/>
                <w:highlight w:val="none"/>
              </w:rPr>
            </w:pPr>
            <w:r>
              <w:rPr>
                <w:rFonts w:hint="eastAsia" w:ascii="宋体" w:hAnsi="宋体"/>
                <w:color w:val="auto"/>
                <w:kern w:val="0"/>
                <w:sz w:val="24"/>
                <w:highlight w:val="none"/>
              </w:rPr>
              <w:t>要求：扫描件清晰有效。</w:t>
            </w:r>
          </w:p>
        </w:tc>
      </w:tr>
      <w:tr w14:paraId="6627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1" w:type="dxa"/>
            <w:vAlign w:val="center"/>
          </w:tcPr>
          <w:p w14:paraId="2505471A">
            <w:pPr>
              <w:spacing w:line="360" w:lineRule="auto"/>
              <w:jc w:val="center"/>
              <w:rPr>
                <w:rFonts w:hint="eastAsia" w:ascii="宋体" w:hAnsi="宋体"/>
                <w:color w:val="auto"/>
                <w:kern w:val="0"/>
                <w:sz w:val="24"/>
                <w:highlight w:val="none"/>
                <w:lang w:val="en-US" w:eastAsia="zh-CN"/>
              </w:rPr>
            </w:pPr>
            <w:r>
              <w:rPr>
                <w:rFonts w:hint="eastAsia" w:ascii="宋体" w:hAnsi="宋体" w:cs="宋体"/>
                <w:color w:val="000000"/>
                <w:sz w:val="24"/>
                <w:lang w:val="en-US" w:eastAsia="zh-CN"/>
              </w:rPr>
              <w:t>9</w:t>
            </w:r>
          </w:p>
        </w:tc>
        <w:tc>
          <w:tcPr>
            <w:tcW w:w="1219" w:type="dxa"/>
            <w:vAlign w:val="center"/>
          </w:tcPr>
          <w:p w14:paraId="61474F8A">
            <w:pPr>
              <w:snapToGrid w:val="0"/>
              <w:spacing w:line="360" w:lineRule="auto"/>
              <w:jc w:val="center"/>
              <w:rPr>
                <w:rFonts w:hint="eastAsia" w:ascii="宋体" w:hAnsi="宋体"/>
                <w:color w:val="auto"/>
                <w:kern w:val="0"/>
                <w:sz w:val="24"/>
                <w:highlight w:val="none"/>
              </w:rPr>
            </w:pPr>
            <w:r>
              <w:rPr>
                <w:rFonts w:hint="eastAsia" w:ascii="宋体" w:hAnsi="宋体" w:eastAsia="宋体" w:cs="宋体"/>
                <w:color w:val="000000"/>
                <w:kern w:val="0"/>
                <w:sz w:val="24"/>
              </w:rPr>
              <w:t>采购政策</w:t>
            </w:r>
          </w:p>
        </w:tc>
        <w:tc>
          <w:tcPr>
            <w:tcW w:w="2085" w:type="dxa"/>
            <w:vAlign w:val="center"/>
          </w:tcPr>
          <w:p w14:paraId="1B92D873">
            <w:pPr>
              <w:snapToGrid w:val="0"/>
              <w:spacing w:line="360" w:lineRule="auto"/>
              <w:jc w:val="center"/>
              <w:rPr>
                <w:rFonts w:hint="eastAsia" w:ascii="宋体" w:hAnsi="宋体"/>
                <w:color w:val="auto"/>
                <w:kern w:val="0"/>
                <w:sz w:val="24"/>
                <w:highlight w:val="none"/>
              </w:rPr>
            </w:pPr>
            <w:r>
              <w:rPr>
                <w:rFonts w:hint="eastAsia" w:ascii="宋体" w:hAnsi="宋体" w:eastAsia="宋体" w:cs="宋体"/>
                <w:color w:val="000000"/>
                <w:kern w:val="0"/>
                <w:sz w:val="24"/>
              </w:rPr>
              <w:t>供应商为</w:t>
            </w:r>
            <w:r>
              <w:rPr>
                <w:rFonts w:hint="eastAsia" w:ascii="宋体" w:hAnsi="宋体" w:cs="宋体"/>
                <w:color w:val="000000"/>
                <w:kern w:val="0"/>
                <w:sz w:val="24"/>
                <w:lang w:val="en-US" w:eastAsia="zh-CN"/>
              </w:rPr>
              <w:t>中小</w:t>
            </w:r>
            <w:r>
              <w:rPr>
                <w:rFonts w:hint="eastAsia" w:ascii="宋体" w:hAnsi="宋体" w:eastAsia="宋体" w:cs="宋体"/>
                <w:color w:val="000000"/>
                <w:kern w:val="0"/>
                <w:sz w:val="24"/>
              </w:rPr>
              <w:t>企业</w:t>
            </w:r>
          </w:p>
        </w:tc>
        <w:tc>
          <w:tcPr>
            <w:tcW w:w="5147" w:type="dxa"/>
            <w:vAlign w:val="center"/>
          </w:tcPr>
          <w:p w14:paraId="050B2CE4">
            <w:pPr>
              <w:snapToGrid w:val="0"/>
              <w:spacing w:line="360" w:lineRule="auto"/>
              <w:jc w:val="both"/>
              <w:rPr>
                <w:rFonts w:hint="eastAsia" w:ascii="宋体" w:hAnsi="宋体"/>
                <w:color w:val="auto"/>
                <w:kern w:val="0"/>
                <w:sz w:val="24"/>
                <w:highlight w:val="none"/>
              </w:rPr>
            </w:pPr>
            <w:r>
              <w:rPr>
                <w:rFonts w:hint="eastAsia" w:ascii="宋体" w:hAnsi="宋体" w:eastAsia="宋体" w:cs="宋体"/>
                <w:color w:val="000000"/>
                <w:kern w:val="0"/>
                <w:sz w:val="24"/>
              </w:rPr>
              <w:t>请根据要求单独上传《中小企业声明函》，格式以采购文件要求为准</w:t>
            </w:r>
            <w:r>
              <w:rPr>
                <w:rFonts w:hint="eastAsia" w:ascii="宋体" w:hAnsi="宋体" w:eastAsia="宋体" w:cs="宋体"/>
                <w:color w:val="000000"/>
                <w:kern w:val="0"/>
                <w:sz w:val="24"/>
                <w:lang w:eastAsia="zh-CN"/>
              </w:rPr>
              <w:t>。</w:t>
            </w:r>
          </w:p>
        </w:tc>
      </w:tr>
    </w:tbl>
    <w:p w14:paraId="2F2AEEAE">
      <w:pPr>
        <w:spacing w:line="360" w:lineRule="auto"/>
        <w:jc w:val="left"/>
        <w:rPr>
          <w:rFonts w:ascii="宋体" w:hAnsi="宋体" w:cs="宋体"/>
          <w:color w:val="auto"/>
          <w:sz w:val="24"/>
          <w:highlight w:val="none"/>
        </w:rPr>
      </w:pPr>
      <w:r>
        <w:rPr>
          <w:rFonts w:hint="eastAsia" w:ascii="宋体" w:hAnsi="宋体" w:cs="宋体"/>
          <w:color w:val="auto"/>
          <w:sz w:val="24"/>
          <w:highlight w:val="none"/>
        </w:rPr>
        <w:t>说明：除上述内容外，供应商提供的其他材料，不作为资格审查的内容。</w:t>
      </w:r>
    </w:p>
    <w:p w14:paraId="735216C7">
      <w:pPr>
        <w:snapToGrid w:val="0"/>
        <w:spacing w:line="360" w:lineRule="auto"/>
        <w:ind w:firstLine="241" w:firstLineChars="100"/>
        <w:jc w:val="left"/>
        <w:outlineLvl w:val="1"/>
        <w:rPr>
          <w:rFonts w:ascii="宋体" w:hAnsi="宋体" w:cs="宋体"/>
          <w:b/>
          <w:color w:val="auto"/>
          <w:sz w:val="24"/>
          <w:highlight w:val="none"/>
        </w:rPr>
      </w:pPr>
      <w:bookmarkStart w:id="72" w:name="_Toc18309"/>
      <w:r>
        <w:rPr>
          <w:rFonts w:hint="eastAsia" w:ascii="宋体" w:hAnsi="宋体" w:cs="宋体"/>
          <w:b/>
          <w:color w:val="auto"/>
          <w:sz w:val="24"/>
          <w:highlight w:val="none"/>
        </w:rPr>
        <w:t>二、符合性审查要求</w:t>
      </w:r>
      <w:bookmarkEnd w:id="72"/>
    </w:p>
    <w:tbl>
      <w:tblPr>
        <w:tblStyle w:val="2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33"/>
        <w:gridCol w:w="2235"/>
        <w:gridCol w:w="5287"/>
      </w:tblGrid>
      <w:tr w14:paraId="309C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Align w:val="center"/>
          </w:tcPr>
          <w:p w14:paraId="30A88D02">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233" w:type="dxa"/>
            <w:vAlign w:val="center"/>
          </w:tcPr>
          <w:p w14:paraId="2ABC57DD">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类型</w:t>
            </w:r>
          </w:p>
        </w:tc>
        <w:tc>
          <w:tcPr>
            <w:tcW w:w="2235" w:type="dxa"/>
            <w:vAlign w:val="center"/>
          </w:tcPr>
          <w:p w14:paraId="217B938E">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要求</w:t>
            </w:r>
          </w:p>
        </w:tc>
        <w:tc>
          <w:tcPr>
            <w:tcW w:w="5287" w:type="dxa"/>
            <w:vAlign w:val="center"/>
          </w:tcPr>
          <w:p w14:paraId="704CFB8C">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要求说明</w:t>
            </w:r>
          </w:p>
        </w:tc>
      </w:tr>
      <w:tr w14:paraId="2AB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14:paraId="40A2083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33" w:type="dxa"/>
            <w:vAlign w:val="center"/>
          </w:tcPr>
          <w:p w14:paraId="596AE87B">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商务</w:t>
            </w:r>
          </w:p>
        </w:tc>
        <w:tc>
          <w:tcPr>
            <w:tcW w:w="2235" w:type="dxa"/>
            <w:vAlign w:val="center"/>
          </w:tcPr>
          <w:p w14:paraId="267D69E4">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对供应商提供的法定代表人（负责人）身份证明文件的符合性、完整性进行审查。</w:t>
            </w:r>
          </w:p>
        </w:tc>
        <w:tc>
          <w:tcPr>
            <w:tcW w:w="5287" w:type="dxa"/>
            <w:vAlign w:val="center"/>
          </w:tcPr>
          <w:p w14:paraId="558375AC">
            <w:pPr>
              <w:tabs>
                <w:tab w:val="left" w:pos="567"/>
              </w:tabs>
              <w:adjustRightInd w:val="0"/>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1.1提供供应商法定代表人（负责人）身份证明书；</w:t>
            </w:r>
          </w:p>
          <w:p w14:paraId="47FA12DC">
            <w:pPr>
              <w:tabs>
                <w:tab w:val="left" w:pos="567"/>
              </w:tabs>
              <w:adjustRightInd w:val="0"/>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1.2法定代表人（负责人）身份证明书须按谈判文件中提供的格式填写，并按谈判文件要求</w:t>
            </w:r>
            <w:r>
              <w:rPr>
                <w:rFonts w:hint="eastAsia" w:ascii="宋体" w:hAnsi="宋体" w:cs="宋体"/>
                <w:color w:val="auto"/>
                <w:kern w:val="0"/>
                <w:sz w:val="24"/>
                <w:highlight w:val="none"/>
                <w:lang w:val="en-US" w:eastAsia="zh-CN"/>
              </w:rPr>
              <w:t>签</w:t>
            </w:r>
            <w:r>
              <w:rPr>
                <w:rFonts w:hint="eastAsia" w:ascii="宋体" w:hAnsi="宋体" w:cs="宋体"/>
                <w:color w:val="auto"/>
                <w:kern w:val="0"/>
                <w:sz w:val="24"/>
                <w:highlight w:val="none"/>
              </w:rPr>
              <w:t>章，且内容完整、准确、真实、有效；</w:t>
            </w:r>
          </w:p>
          <w:p w14:paraId="2BADB47F">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1.3不符合以上要求的或未提供的，响应无效。</w:t>
            </w:r>
          </w:p>
        </w:tc>
      </w:tr>
      <w:tr w14:paraId="11B8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12" w:type="dxa"/>
            <w:vAlign w:val="center"/>
          </w:tcPr>
          <w:p w14:paraId="57886B66">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33" w:type="dxa"/>
            <w:vAlign w:val="center"/>
          </w:tcPr>
          <w:p w14:paraId="5EC6BEB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商务</w:t>
            </w:r>
          </w:p>
        </w:tc>
        <w:tc>
          <w:tcPr>
            <w:tcW w:w="2235" w:type="dxa"/>
            <w:vAlign w:val="center"/>
          </w:tcPr>
          <w:p w14:paraId="35D34F98">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对供应商提供的法定代表人（负责人）授权委托书</w:t>
            </w:r>
            <w:r>
              <w:rPr>
                <w:rFonts w:hint="eastAsia" w:ascii="宋体" w:hAnsi="宋体" w:cs="宋体"/>
                <w:color w:val="auto"/>
                <w:sz w:val="24"/>
                <w:highlight w:val="none"/>
              </w:rPr>
              <w:t>证明文件的符合性、完整性进行审查。</w:t>
            </w:r>
          </w:p>
          <w:p w14:paraId="4458A22A">
            <w:pPr>
              <w:spacing w:line="400" w:lineRule="exact"/>
              <w:jc w:val="center"/>
              <w:rPr>
                <w:rFonts w:ascii="宋体" w:hAnsi="宋体" w:cs="宋体"/>
                <w:color w:val="auto"/>
                <w:sz w:val="24"/>
                <w:highlight w:val="none"/>
              </w:rPr>
            </w:pPr>
          </w:p>
        </w:tc>
        <w:tc>
          <w:tcPr>
            <w:tcW w:w="5287" w:type="dxa"/>
            <w:vAlign w:val="center"/>
          </w:tcPr>
          <w:p w14:paraId="76505465">
            <w:pPr>
              <w:tabs>
                <w:tab w:val="left" w:pos="567"/>
              </w:tabs>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2.1提供法定代表人（负责人）授权委托书；</w:t>
            </w:r>
          </w:p>
          <w:p w14:paraId="301BC068">
            <w:pPr>
              <w:tabs>
                <w:tab w:val="left" w:pos="567"/>
              </w:tabs>
              <w:adjustRightInd w:val="0"/>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2.2法定代表人（负责人）授权委托书须按谈判文件中提供的格式填写，并按谈判文件要求签章，且内容完整、准确、真实、有效；</w:t>
            </w:r>
          </w:p>
          <w:p w14:paraId="58E96F55">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2.3不符合以上要求的或未提供的，响应无效。</w:t>
            </w:r>
          </w:p>
        </w:tc>
      </w:tr>
      <w:tr w14:paraId="5BC5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2" w:type="dxa"/>
            <w:vAlign w:val="center"/>
          </w:tcPr>
          <w:p w14:paraId="064AC2E0">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233" w:type="dxa"/>
            <w:vAlign w:val="center"/>
          </w:tcPr>
          <w:p w14:paraId="11512F59">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商务</w:t>
            </w:r>
          </w:p>
        </w:tc>
        <w:tc>
          <w:tcPr>
            <w:tcW w:w="2235" w:type="dxa"/>
            <w:vAlign w:val="center"/>
          </w:tcPr>
          <w:p w14:paraId="0FC3803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对供应商提供的</w:t>
            </w:r>
            <w:r>
              <w:rPr>
                <w:rFonts w:hint="eastAsia" w:ascii="宋体" w:hAnsi="宋体" w:cs="宋体"/>
                <w:color w:val="auto"/>
                <w:sz w:val="24"/>
                <w:highlight w:val="none"/>
                <w:lang w:eastAsia="zh-CN"/>
              </w:rPr>
              <w:t>响应函</w:t>
            </w:r>
            <w:r>
              <w:rPr>
                <w:rFonts w:hint="eastAsia" w:ascii="宋体" w:hAnsi="宋体" w:cs="宋体"/>
                <w:color w:val="auto"/>
                <w:sz w:val="24"/>
                <w:highlight w:val="none"/>
              </w:rPr>
              <w:t>的符合性、完整性进行审查</w:t>
            </w:r>
          </w:p>
        </w:tc>
        <w:tc>
          <w:tcPr>
            <w:tcW w:w="5287" w:type="dxa"/>
            <w:vAlign w:val="center"/>
          </w:tcPr>
          <w:p w14:paraId="35924239">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3.1提供</w:t>
            </w:r>
            <w:r>
              <w:rPr>
                <w:rFonts w:hint="eastAsia" w:ascii="宋体" w:hAnsi="宋体" w:cs="宋体"/>
                <w:color w:val="auto"/>
                <w:sz w:val="24"/>
                <w:highlight w:val="none"/>
                <w:lang w:eastAsia="zh-CN"/>
              </w:rPr>
              <w:t>响应函</w:t>
            </w:r>
            <w:r>
              <w:rPr>
                <w:rFonts w:hint="eastAsia" w:ascii="宋体" w:hAnsi="宋体" w:cs="宋体"/>
                <w:color w:val="auto"/>
                <w:sz w:val="24"/>
                <w:highlight w:val="none"/>
              </w:rPr>
              <w:t>；</w:t>
            </w:r>
          </w:p>
          <w:p w14:paraId="522A26B5">
            <w:pPr>
              <w:pStyle w:val="9"/>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eastAsia="zh-CN"/>
              </w:rPr>
              <w:t>响应函</w:t>
            </w:r>
            <w:r>
              <w:rPr>
                <w:rFonts w:hint="eastAsia" w:ascii="宋体" w:hAnsi="宋体" w:cs="宋体"/>
                <w:color w:val="auto"/>
                <w:sz w:val="24"/>
                <w:highlight w:val="none"/>
              </w:rPr>
              <w:t>须内容完整、签署符合要求、加盖电子CA章。否则，响应无效。</w:t>
            </w:r>
          </w:p>
        </w:tc>
      </w:tr>
      <w:tr w14:paraId="44AA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712" w:type="dxa"/>
            <w:vAlign w:val="center"/>
          </w:tcPr>
          <w:p w14:paraId="0732739F">
            <w:pPr>
              <w:adjustRightInd w:val="0"/>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233" w:type="dxa"/>
            <w:vAlign w:val="center"/>
          </w:tcPr>
          <w:p w14:paraId="7F183269">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商务</w:t>
            </w:r>
          </w:p>
        </w:tc>
        <w:tc>
          <w:tcPr>
            <w:tcW w:w="2235" w:type="dxa"/>
            <w:vAlign w:val="center"/>
          </w:tcPr>
          <w:p w14:paraId="3E255162">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对供应商提供的商务条款响应表的完整性、符合性进行审查</w:t>
            </w:r>
          </w:p>
        </w:tc>
        <w:tc>
          <w:tcPr>
            <w:tcW w:w="5287" w:type="dxa"/>
            <w:vAlign w:val="center"/>
          </w:tcPr>
          <w:p w14:paraId="6C84DE04">
            <w:pP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.1提供商务条款响应表；</w:t>
            </w:r>
          </w:p>
          <w:p w14:paraId="019D8270">
            <w:pP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.2响应表须内容完整、签署符合要求、加盖电子CA章。否则，响应无效。</w:t>
            </w:r>
          </w:p>
          <w:p w14:paraId="253DB594">
            <w:pP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.3对照本文件第五部分的</w:t>
            </w:r>
            <w:r>
              <w:rPr>
                <w:rFonts w:hint="eastAsia" w:ascii="宋体" w:hAnsi="宋体" w:cs="宋体"/>
                <w:color w:val="auto"/>
                <w:sz w:val="24"/>
                <w:highlight w:val="none"/>
                <w:lang w:val="en-US" w:eastAsia="zh-CN"/>
              </w:rPr>
              <w:t>商务要求</w:t>
            </w:r>
            <w:r>
              <w:rPr>
                <w:rFonts w:hint="eastAsia" w:ascii="宋体" w:hAnsi="宋体" w:cs="宋体"/>
                <w:color w:val="auto"/>
                <w:sz w:val="24"/>
                <w:highlight w:val="none"/>
              </w:rPr>
              <w:t>等对响应文件的响应情况进行审查。未全部做出实质性响应的，响应无效。需对服务要求做出承诺，未做出承诺的相应无效。</w:t>
            </w:r>
          </w:p>
        </w:tc>
      </w:tr>
      <w:tr w14:paraId="0DCF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2" w:type="dxa"/>
            <w:vAlign w:val="center"/>
          </w:tcPr>
          <w:p w14:paraId="5665C984">
            <w:pPr>
              <w:adjustRightInd w:val="0"/>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33" w:type="dxa"/>
            <w:vAlign w:val="center"/>
          </w:tcPr>
          <w:p w14:paraId="72EA668F">
            <w:pPr>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商务</w:t>
            </w:r>
          </w:p>
        </w:tc>
        <w:tc>
          <w:tcPr>
            <w:tcW w:w="2235" w:type="dxa"/>
            <w:vAlign w:val="center"/>
          </w:tcPr>
          <w:p w14:paraId="6638CD8E">
            <w:pPr>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响应文件的签署、签章</w:t>
            </w:r>
          </w:p>
        </w:tc>
        <w:tc>
          <w:tcPr>
            <w:tcW w:w="5287" w:type="dxa"/>
            <w:vAlign w:val="center"/>
          </w:tcPr>
          <w:p w14:paraId="329A89F2">
            <w:pPr>
              <w:adjustRightInd w:val="0"/>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5.1符合谈判文件的规定</w:t>
            </w:r>
          </w:p>
        </w:tc>
      </w:tr>
      <w:tr w14:paraId="6A8B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12" w:type="dxa"/>
            <w:vAlign w:val="center"/>
          </w:tcPr>
          <w:p w14:paraId="3A21CB8D">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233" w:type="dxa"/>
            <w:vAlign w:val="center"/>
          </w:tcPr>
          <w:p w14:paraId="4BEE4CC4">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w:t>
            </w:r>
          </w:p>
        </w:tc>
        <w:tc>
          <w:tcPr>
            <w:tcW w:w="2235" w:type="dxa"/>
            <w:vAlign w:val="center"/>
          </w:tcPr>
          <w:p w14:paraId="5F141334">
            <w:pPr>
              <w:adjustRightInd w:val="0"/>
              <w:snapToGrid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对供应商提供的技术规范响应及偏离表的完整性、符合性进行审查</w:t>
            </w:r>
          </w:p>
        </w:tc>
        <w:tc>
          <w:tcPr>
            <w:tcW w:w="5287" w:type="dxa"/>
            <w:vAlign w:val="center"/>
          </w:tcPr>
          <w:p w14:paraId="5B8A03BE">
            <w:pPr>
              <w:adjustRightInd w:val="0"/>
              <w:snapToGrid w:val="0"/>
              <w:spacing w:line="400" w:lineRule="exact"/>
              <w:jc w:val="left"/>
              <w:rPr>
                <w:rFonts w:ascii="宋体" w:hAnsi="宋体" w:cs="宋体"/>
                <w:color w:val="auto"/>
                <w:kern w:val="0"/>
                <w:sz w:val="24"/>
                <w:highlight w:val="none"/>
              </w:rPr>
            </w:pPr>
            <w:r>
              <w:rPr>
                <w:rFonts w:hint="eastAsia" w:ascii="宋体" w:hAnsi="宋体" w:cs="宋体"/>
                <w:color w:val="auto"/>
                <w:sz w:val="24"/>
                <w:highlight w:val="none"/>
              </w:rPr>
              <w:t>6.1提供</w:t>
            </w:r>
            <w:r>
              <w:rPr>
                <w:rFonts w:hint="eastAsia" w:ascii="宋体" w:hAnsi="宋体" w:cs="宋体"/>
                <w:color w:val="auto"/>
                <w:kern w:val="0"/>
                <w:sz w:val="24"/>
                <w:highlight w:val="none"/>
              </w:rPr>
              <w:t>技术规范响应及偏离表；</w:t>
            </w:r>
          </w:p>
          <w:p w14:paraId="673CE2D0">
            <w:pPr>
              <w:adjustRightInd w:val="0"/>
              <w:snapToGrid w:val="0"/>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6.2技术规范响应及偏离表</w:t>
            </w:r>
            <w:r>
              <w:rPr>
                <w:rFonts w:hint="eastAsia" w:ascii="宋体" w:hAnsi="宋体" w:cs="宋体"/>
                <w:color w:val="auto"/>
                <w:sz w:val="24"/>
                <w:highlight w:val="none"/>
              </w:rPr>
              <w:t>须内容完整、签署符合要求、加盖电子CA章。否则，响应无效。</w:t>
            </w:r>
          </w:p>
          <w:p w14:paraId="097AB1C6">
            <w:pP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6.3对照本谈判文件第五部分技术要求的内容对响应文件的响应情况进行审查。未对谈判文件中的技术要求内容全部做出实质性响应或谈判小组共同认定响应内容与其相关证明材料存在重大偏离的，响应无效。</w:t>
            </w:r>
          </w:p>
        </w:tc>
      </w:tr>
      <w:tr w14:paraId="4726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12" w:type="dxa"/>
            <w:vAlign w:val="center"/>
          </w:tcPr>
          <w:p w14:paraId="640C38FD">
            <w:pPr>
              <w:adjustRightInd w:val="0"/>
              <w:snapToGrid w:val="0"/>
              <w:spacing w:line="40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33" w:type="dxa"/>
            <w:vAlign w:val="center"/>
          </w:tcPr>
          <w:p w14:paraId="701829CE">
            <w:pPr>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报价</w:t>
            </w:r>
          </w:p>
        </w:tc>
        <w:tc>
          <w:tcPr>
            <w:tcW w:w="2235" w:type="dxa"/>
            <w:vAlign w:val="center"/>
          </w:tcPr>
          <w:p w14:paraId="7D128BDF">
            <w:pPr>
              <w:adjustRightInd w:val="0"/>
              <w:snapToGrid w:val="0"/>
              <w:spacing w:line="400" w:lineRule="exact"/>
              <w:jc w:val="center"/>
              <w:rPr>
                <w:rFonts w:hint="eastAsia" w:ascii="宋体" w:hAnsi="宋体" w:cs="宋体"/>
                <w:color w:val="auto"/>
                <w:kern w:val="0"/>
                <w:sz w:val="24"/>
                <w:highlight w:val="none"/>
                <w:lang w:val="en-US" w:eastAsia="zh-CN"/>
              </w:rPr>
            </w:pPr>
            <w:r>
              <w:rPr>
                <w:rFonts w:hint="eastAsia" w:ascii="宋体" w:hAnsi="宋体" w:cs="宋体"/>
                <w:color w:val="auto"/>
                <w:sz w:val="24"/>
                <w:highlight w:val="none"/>
              </w:rPr>
              <w:t>对供应商提供的谈判报价一览表的符合性、完整性进行审查。</w:t>
            </w:r>
          </w:p>
        </w:tc>
        <w:tc>
          <w:tcPr>
            <w:tcW w:w="5287" w:type="dxa"/>
            <w:vAlign w:val="center"/>
          </w:tcPr>
          <w:p w14:paraId="62DCF713">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.1提供报价一览表；</w:t>
            </w:r>
          </w:p>
          <w:p w14:paraId="6C37007E">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.2报价一览表审查报价一览表须内容完整、签署符合要求、加盖电子CA章。否则，响应无效。</w:t>
            </w:r>
          </w:p>
          <w:p w14:paraId="79C8FCB5">
            <w:pPr>
              <w:tabs>
                <w:tab w:val="left" w:pos="567"/>
              </w:tabs>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.3报价一览表存在漏项、缺项、错项；存在有超出本项目最高限价等情形</w:t>
            </w:r>
            <w:r>
              <w:rPr>
                <w:rFonts w:hint="eastAsia" w:ascii="宋体" w:hAnsi="宋体" w:cs="宋体"/>
                <w:color w:val="auto"/>
                <w:sz w:val="24"/>
                <w:highlight w:val="none"/>
                <w:lang w:eastAsia="zh-CN"/>
              </w:rPr>
              <w:t>的</w:t>
            </w:r>
            <w:r>
              <w:rPr>
                <w:rFonts w:hint="eastAsia" w:ascii="宋体" w:hAnsi="宋体" w:cs="宋体"/>
                <w:color w:val="auto"/>
                <w:sz w:val="24"/>
                <w:highlight w:val="none"/>
              </w:rPr>
              <w:t>，响应无效；</w:t>
            </w:r>
          </w:p>
          <w:p w14:paraId="6BB614F2">
            <w:pPr>
              <w:adjustRightInd w:val="0"/>
              <w:snapToGrid w:val="0"/>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.4报价有可选择或可调整的报价的，响应无效。</w:t>
            </w:r>
          </w:p>
        </w:tc>
      </w:tr>
    </w:tbl>
    <w:p w14:paraId="03DF69A9">
      <w:pPr>
        <w:snapToGrid w:val="0"/>
        <w:spacing w:line="480" w:lineRule="exact"/>
        <w:ind w:left="1080" w:hanging="1080" w:hangingChars="450"/>
        <w:jc w:val="left"/>
        <w:rPr>
          <w:rFonts w:ascii="宋体" w:hAnsi="宋体" w:cs="宋体"/>
          <w:color w:val="auto"/>
          <w:sz w:val="24"/>
          <w:highlight w:val="none"/>
        </w:rPr>
      </w:pPr>
      <w:r>
        <w:rPr>
          <w:rFonts w:hint="eastAsia" w:ascii="宋体" w:hAnsi="宋体" w:cs="宋体"/>
          <w:color w:val="auto"/>
          <w:sz w:val="24"/>
          <w:highlight w:val="none"/>
        </w:rPr>
        <w:t>说明：</w:t>
      </w:r>
    </w:p>
    <w:p w14:paraId="4F1904F2">
      <w:pPr>
        <w:snapToGrid w:val="0"/>
        <w:spacing w:line="360" w:lineRule="auto"/>
        <w:ind w:left="2" w:firstLine="420" w:firstLineChars="175"/>
        <w:jc w:val="left"/>
        <w:rPr>
          <w:rFonts w:ascii="宋体" w:hAnsi="宋体" w:cs="宋体"/>
          <w:color w:val="auto"/>
          <w:sz w:val="24"/>
          <w:highlight w:val="none"/>
        </w:rPr>
      </w:pPr>
      <w:r>
        <w:rPr>
          <w:rFonts w:hint="eastAsia" w:ascii="宋体" w:hAnsi="宋体" w:cs="宋体"/>
          <w:color w:val="auto"/>
          <w:sz w:val="24"/>
          <w:highlight w:val="none"/>
        </w:rPr>
        <w:t>1.资格性、符合性审查的内容，经谈判小组共同认定没有做出实质性响应的，将导致响应无效。</w:t>
      </w:r>
    </w:p>
    <w:p w14:paraId="71920E7B">
      <w:pPr>
        <w:pStyle w:val="9"/>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2.响应文件中项目名称、项目编号等存在前后不一致情形的，可按照谈判文件要求做出澄清；如响应文件中所涉及内容全部与谈判文件不一致，按无效响应处理。</w:t>
      </w:r>
    </w:p>
    <w:p w14:paraId="71EE2825">
      <w:pPr>
        <w:snapToGrid w:val="0"/>
        <w:spacing w:line="460" w:lineRule="exact"/>
        <w:ind w:firstLine="482" w:firstLineChars="200"/>
        <w:outlineLvl w:val="1"/>
        <w:rPr>
          <w:rFonts w:ascii="宋体" w:hAnsi="宋体" w:cs="宋体"/>
          <w:b/>
          <w:color w:val="auto"/>
          <w:sz w:val="24"/>
          <w:highlight w:val="none"/>
        </w:rPr>
      </w:pPr>
      <w:bookmarkStart w:id="73" w:name="_Toc17286"/>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、落实政府采购政策性要求的评审内容及标准</w:t>
      </w:r>
      <w:bookmarkEnd w:id="73"/>
    </w:p>
    <w:p w14:paraId="060E1628">
      <w:pPr>
        <w:snapToGrid w:val="0"/>
        <w:spacing w:line="460" w:lineRule="exact"/>
        <w:ind w:firstLine="480" w:firstLineChars="200"/>
        <w:jc w:val="left"/>
        <w:outlineLvl w:val="1"/>
        <w:rPr>
          <w:rFonts w:hint="eastAsia" w:ascii="宋体" w:hAnsi="宋体" w:cs="宋体"/>
          <w:color w:val="auto"/>
          <w:sz w:val="24"/>
          <w:highlight w:val="none"/>
        </w:rPr>
      </w:pPr>
      <w:bookmarkStart w:id="74" w:name="_Toc22677"/>
      <w:r>
        <w:rPr>
          <w:rFonts w:hint="eastAsia" w:ascii="宋体" w:hAnsi="宋体" w:cs="宋体"/>
          <w:color w:val="auto"/>
          <w:sz w:val="24"/>
          <w:highlight w:val="none"/>
        </w:rPr>
        <w:t>依据政府采购政策因素的相关规定，如果报价人所提供的货物或服务满足下述要求并经</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小组认定通过，予以考虑执行。</w:t>
      </w:r>
    </w:p>
    <w:p w14:paraId="12293B27">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1、本项目涉及正版软件的评审要求</w:t>
      </w:r>
    </w:p>
    <w:p w14:paraId="73438955">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 xml:space="preserve">本项目采购标的物涉及计算机产品或硬件产品内预装软件的，报价人需承诺投报的计算机产品预装正版操作系统，投报的硬件产品内的预装软件为正版软件。 </w:t>
      </w:r>
    </w:p>
    <w:p w14:paraId="5146A184">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 xml:space="preserve">2、涉及网络安全产品的评审要求 </w:t>
      </w:r>
    </w:p>
    <w:p w14:paraId="27C2D66F">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按照国家网信办、财政部、工信部、公安部以及国家认监委联合下发《关于调整网络安全专用产品安全管理有关事项的公告》有关要求：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网络安全产品包括：网络关键设备和网络安全专用产品。</w:t>
      </w:r>
    </w:p>
    <w:p w14:paraId="39A76EC1">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投标货物中如含有国家网信办、财政部、工信部、公安部以及国家认监委下发的《关于调整〈网络关键设备和网络安全专用产品目录〉的公告》2023年第2号文件中“网络关键设备和网络安全专用产品目录”中的产品，须提供由具备资格的机构安全认证合格或者安全检测符合要求的有效证明材料扫描件，或提供国家网信办官网发布的最新一期《网络关键设备和网络安全专用产品安全认证和安全检测结果》对应产品信息截图，否则将可能导致投标无效。</w:t>
      </w:r>
    </w:p>
    <w:p w14:paraId="0377BCDB">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（3）具备资格的机构是指列入最新一批《承担网络关键设备和网络安全专用产品安全认证和安全检测任务机构名录》的机构。</w:t>
      </w:r>
    </w:p>
    <w:p w14:paraId="1DCEDB37">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（4）所投报的网络安全产品如涉及《网络关键设备和网络安全专用产品目录》中列入的38类产品，应如实填写《政府强制采购产品明细表》（</w:t>
      </w:r>
      <w:r>
        <w:rPr>
          <w:rFonts w:hint="eastAsia" w:ascii="宋体" w:hAnsi="宋体" w:cs="宋体"/>
          <w:color w:val="auto"/>
          <w:sz w:val="24"/>
          <w:highlight w:val="none"/>
          <w:lang w:eastAsia="zh-CN"/>
        </w:rPr>
        <w:t>格式见第七部分</w:t>
      </w:r>
      <w:r>
        <w:rPr>
          <w:rFonts w:hint="eastAsia" w:ascii="宋体" w:hAnsi="宋体" w:cs="宋体"/>
          <w:color w:val="auto"/>
          <w:sz w:val="24"/>
          <w:highlight w:val="none"/>
        </w:rPr>
        <w:t>）。</w:t>
      </w:r>
    </w:p>
    <w:p w14:paraId="0074EE5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3、本项目涉及“节能产品、环境标志产品政府采购品目清单”政府强制采购产品的评审要求</w:t>
      </w:r>
    </w:p>
    <w:p w14:paraId="262DF65D">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本文件列出政府强制采购产品的，报价人必须投报“节能产品政府采购品目清单”“环境标志产品政府采购品目清单”范围内的（★项）产品，需将政府强制采购产品如实填写到《政府强制采购产品明细表》（</w:t>
      </w:r>
      <w:r>
        <w:rPr>
          <w:rFonts w:hint="eastAsia" w:ascii="宋体" w:hAnsi="宋体" w:cs="宋体"/>
          <w:color w:val="auto"/>
          <w:sz w:val="24"/>
          <w:highlight w:val="none"/>
          <w:lang w:eastAsia="zh-CN"/>
        </w:rPr>
        <w:t>格式见第七部分</w:t>
      </w:r>
      <w:r>
        <w:rPr>
          <w:rFonts w:hint="eastAsia" w:ascii="宋体" w:hAnsi="宋体" w:cs="宋体"/>
          <w:color w:val="auto"/>
          <w:sz w:val="24"/>
          <w:highlight w:val="none"/>
        </w:rPr>
        <w:t>），并提供处于有效期之内的节能产品认证证书扫描件，认证机构须为《市场监管总局关于发布参与实施政府采购节能产品、环境标志产品认证机构名录的公告》2019年第16号文件中列明的目录单位。</w:t>
      </w:r>
    </w:p>
    <w:p w14:paraId="43B0F4CC">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（2）本文件未列出政府强制采购产品的，报价人可投报“节能产品政府采购品目清单、环境标志产品政府采购品目清单”中非政府强制采购产品或其范围以外的产品。</w:t>
      </w:r>
    </w:p>
    <w:p w14:paraId="76E3C6B5">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 xml:space="preserve">4、本项目涉及非政府强制采购产品的评审要求 </w:t>
      </w:r>
    </w:p>
    <w:p w14:paraId="3662D197">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（1）投标货物有“节能产品政府采购品目清单、环境标志产品政府采购品目清单”中非政府强制采购产品的将给予适当加分。</w:t>
      </w:r>
    </w:p>
    <w:p w14:paraId="0893F10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（2）报价人须如实填写《非政府强制采购产品明细表》（</w:t>
      </w:r>
      <w:r>
        <w:rPr>
          <w:rFonts w:hint="eastAsia" w:ascii="宋体" w:hAnsi="宋体" w:cs="宋体"/>
          <w:color w:val="auto"/>
          <w:sz w:val="24"/>
          <w:highlight w:val="none"/>
          <w:lang w:eastAsia="zh-CN"/>
        </w:rPr>
        <w:t>格式见第七部分</w:t>
      </w:r>
      <w:r>
        <w:rPr>
          <w:rFonts w:hint="eastAsia" w:ascii="宋体" w:hAnsi="宋体" w:cs="宋体"/>
          <w:color w:val="auto"/>
          <w:sz w:val="24"/>
          <w:highlight w:val="none"/>
        </w:rPr>
        <w:t>），并提供处于有效期之内的节能产品、环境标志产品认证证书扫描件。</w:t>
      </w:r>
    </w:p>
    <w:p w14:paraId="26A168ED">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5、中小微企业参加本项目的评审要求</w:t>
      </w:r>
    </w:p>
    <w:p w14:paraId="5BFEE1D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根据《政府采购促进中小企业发展管理办法》（财库〔2020〕46号）、《财政部关于进一步加大政府采购支持中小企业力度的通知》财库〔2022〕19号文件规定及《山西省财政厅关于进一步加大政府采购支持中小企业力度助力扎实稳住经济的通知》（晋财购〔2022〕6号）、工信部联【2011】300号《中小企业划型标准规定》的标准如实填写《中小企业声明函》，小、微企业只有提供本企业制造的货物或提供其他小型、微企业制造的货物，或者提供由小、微企业承接的服务享受15%的价格折扣，用扣除后的价格参与评审；享受价格折扣的货物不包括使用大型企业注册商标的货物，小型、微型企业提供中型企业制造的货物的，视同为中型企业，不享受价格评审优惠。</w:t>
      </w:r>
    </w:p>
    <w:p w14:paraId="213DFF3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联合体价格折扣：本项目若允许联合体参加，联合体协议中约定，小型、微型企业的协议合同金额占到联合体协议合同金额30%以上的，给予联合体5%的价格扣除，用扣除后价格参与评审。组成联合体的小微企业与联合体内其他企业存在直接控股、管理关系的，不享受价格折扣优惠政策。</w:t>
      </w:r>
    </w:p>
    <w:p w14:paraId="3F719DEC">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3）大中型企业向中小企业分包的价格折扣：大中型企业向一家或者多家中小企业分包的，分包意向协议约定中小企业的合同份额占到合同总金额30%以上的，对大中型企业的报价给予5%折扣扣除。用扣除后的价格参加评审。</w:t>
      </w:r>
    </w:p>
    <w:p w14:paraId="74917CA4">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（4）通过享受扶持政策、价格折扣并获得政府采购合同的：中小企业不得将合同分包给大中型企业；中型企业不得将合同分包给大型企业。</w:t>
      </w:r>
    </w:p>
    <w:p w14:paraId="2197EC5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 xml:space="preserve">6、监狱企业参加本项目的评审要求 </w:t>
      </w:r>
    </w:p>
    <w:p w14:paraId="66D16B8F">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监狱企业参加投标视同小微企业，应当提供由省级以上监狱管理局、戒毒管理局(含新疆生产建设兵团)出具的属于监狱企业的证明文件。经</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小组核实有效后，对其报价给予15%的扣除。</w:t>
      </w:r>
    </w:p>
    <w:p w14:paraId="1297B44B">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7、残疾人福利性单位参加本项目的评审标准</w:t>
      </w:r>
    </w:p>
    <w:p w14:paraId="1BD0BF66">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（1）须根据财库【2017】141号《关于促进残疾人就业政府采购政策的通知》的要求，如实填写《残疾人福利性单位声明函》，残疾人福利性单位参加本项目投标时，享受15%的价格折扣，用扣除后的价格参与评审。</w:t>
      </w:r>
    </w:p>
    <w:p w14:paraId="26EA5157">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（2）享受政府采购支持政策的残疾人福利性单位应当同时满足以下条件：</w:t>
      </w:r>
    </w:p>
    <w:p w14:paraId="37DE75D7">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A.安置的残疾人占本单位在职职工人数的比例不低于25%（含25%），并且安置的残疾人人数不少于10人（含10人）；</w:t>
      </w:r>
    </w:p>
    <w:p w14:paraId="76B1E67D">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B.依法与安置的每位残疾人签订了一年以上（含一年）的劳动合同或服务协议；</w:t>
      </w:r>
    </w:p>
    <w:p w14:paraId="370F071E">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C.为安置的每位残疾人按月足额缴纳了基本养老保险、基本医疗保险、失业保险、工伤保险和生育保险等社会保险费；</w:t>
      </w:r>
    </w:p>
    <w:p w14:paraId="12B3A5B9">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D.通过银行等金融机构向安置的每位残疾人，按月支付了不低于单位所在区县适用的经省级人民政府批准的月最低工资标准的工资；</w:t>
      </w:r>
    </w:p>
    <w:p w14:paraId="186C936A">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E．提供本单位制造的货物、承担的服务（以下简称产品），或者提供其他残疾人福利性单位制造的货物（不包括使用非残疾人福利性单位注册商标的货物）。</w:t>
      </w:r>
    </w:p>
    <w:p w14:paraId="5102DB20">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348011">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（3）供应商提供的《残疾人福利性单位声明函》与事实不符的，依照《政府采购法》第七十七条第一款的规定追究法律责任。</w:t>
      </w:r>
    </w:p>
    <w:p w14:paraId="7F78B324">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4D171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8、本项目涉及创新产品、创新服务的评审要求</w:t>
      </w:r>
    </w:p>
    <w:p w14:paraId="37DF0C55">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（1）投报产品或服务属于《山西省创新产品和服务推荐清单》中创新产品或创新服务的，在评审时，享受投报产品10%的价格折扣。</w:t>
      </w:r>
    </w:p>
    <w:p w14:paraId="133AE008">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（2）投报创新产品或创新服务的，应在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中填写《创新产品或创新服务明细表》，并提供《山西省创新产品和服务推荐清单》。</w:t>
      </w:r>
    </w:p>
    <w:p w14:paraId="31773E6A">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（3）创新产品或创新服务的价格折扣政策可与其他政府采购政策叠加。</w:t>
      </w:r>
    </w:p>
    <w:p w14:paraId="58864CEA">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9、涉及商品包装和快递包装的参加本项目的评审标准</w:t>
      </w:r>
    </w:p>
    <w:p w14:paraId="3816CE0D">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本文件列出商品包装和快递包装要求的，报价人应填写商品包装和快递包装承诺函，承诺商品包装符合《商品包装政府采购需求标准（试行）》，快递包装符合《快递包装政府采购需求标准（试行）》。</w:t>
      </w:r>
    </w:p>
    <w:p w14:paraId="2C004221">
      <w:pPr>
        <w:snapToGrid w:val="0"/>
        <w:spacing w:line="460" w:lineRule="exact"/>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10、专门面向中小企业采购的项目或特定采购包，不重复执行中小企业发展、促进残疾人就业、支持监狱企业发展的价格优惠政策。同时在货物采购项目中，货物应当全部由中小企业制造，不对其中涉及的服务的承接商作出要求。</w:t>
      </w:r>
    </w:p>
    <w:p w14:paraId="1BB84211">
      <w:pPr>
        <w:snapToGrid w:val="0"/>
        <w:spacing w:line="460" w:lineRule="exact"/>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、无效报价的情形</w:t>
      </w:r>
      <w:bookmarkEnd w:id="74"/>
    </w:p>
    <w:p w14:paraId="7D165657">
      <w:pPr>
        <w:snapToGrid w:val="0"/>
        <w:spacing w:line="460" w:lineRule="exact"/>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供应商的响应文件未通过资格性、符合性审查的，不得参加谈判。</w:t>
      </w:r>
    </w:p>
    <w:p w14:paraId="000AF7FC">
      <w:pPr>
        <w:snapToGrid w:val="0"/>
        <w:spacing w:after="156" w:afterLines="50" w:line="600" w:lineRule="exact"/>
        <w:jc w:val="center"/>
        <w:rPr>
          <w:rFonts w:hint="eastAsia" w:ascii="宋体" w:hAnsi="宋体" w:cs="宋体"/>
          <w:b/>
          <w:bCs/>
          <w:color w:val="auto"/>
          <w:kern w:val="0"/>
          <w:sz w:val="28"/>
          <w:szCs w:val="28"/>
          <w:highlight w:val="none"/>
        </w:rPr>
        <w:sectPr>
          <w:footerReference r:id="rId5" w:type="default"/>
          <w:pgSz w:w="11906" w:h="16838"/>
          <w:pgMar w:top="1417" w:right="1417" w:bottom="1417" w:left="1417" w:header="851" w:footer="992" w:gutter="0"/>
          <w:pgNumType w:fmt="decimal" w:start="1"/>
          <w:cols w:space="720" w:num="1"/>
          <w:formProt w:val="1"/>
          <w:docGrid w:type="lines" w:linePitch="312" w:charSpace="0"/>
        </w:sectPr>
      </w:pPr>
    </w:p>
    <w:p w14:paraId="1306323D">
      <w:pPr>
        <w:snapToGrid w:val="0"/>
        <w:spacing w:after="156" w:afterLines="50" w:line="600" w:lineRule="exact"/>
        <w:jc w:val="center"/>
        <w:outlineLvl w:val="0"/>
        <w:rPr>
          <w:rFonts w:ascii="宋体" w:hAnsi="宋体" w:cs="宋体"/>
          <w:b/>
          <w:color w:val="auto"/>
          <w:kern w:val="0"/>
          <w:sz w:val="28"/>
          <w:szCs w:val="28"/>
          <w:highlight w:val="none"/>
        </w:rPr>
      </w:pPr>
      <w:bookmarkStart w:id="75" w:name="_Toc7909"/>
      <w:r>
        <w:rPr>
          <w:rFonts w:hint="eastAsia" w:ascii="宋体" w:hAnsi="宋体" w:cs="宋体"/>
          <w:b/>
          <w:bCs/>
          <w:color w:val="auto"/>
          <w:kern w:val="0"/>
          <w:sz w:val="28"/>
          <w:szCs w:val="28"/>
          <w:highlight w:val="none"/>
        </w:rPr>
        <w:t>第五部分  商务、技术要求</w:t>
      </w:r>
      <w:bookmarkEnd w:id="75"/>
    </w:p>
    <w:p w14:paraId="29400838">
      <w:pPr>
        <w:widowControl/>
        <w:spacing w:line="360" w:lineRule="auto"/>
        <w:ind w:firstLine="482" w:firstLineChars="200"/>
        <w:jc w:val="left"/>
        <w:outlineLvl w:val="1"/>
        <w:rPr>
          <w:rFonts w:hint="default" w:ascii="宋体" w:hAnsi="宋体" w:eastAsia="宋体" w:cs="宋体"/>
          <w:b/>
          <w:color w:val="auto"/>
          <w:kern w:val="0"/>
          <w:sz w:val="24"/>
          <w:highlight w:val="none"/>
          <w:lang w:val="en-US" w:eastAsia="zh-CN"/>
        </w:rPr>
      </w:pPr>
      <w:bookmarkStart w:id="76" w:name="_Toc6504"/>
      <w:r>
        <w:rPr>
          <w:rFonts w:hint="eastAsia" w:ascii="宋体" w:hAnsi="宋体" w:cs="宋体"/>
          <w:b/>
          <w:color w:val="auto"/>
          <w:kern w:val="0"/>
          <w:sz w:val="24"/>
          <w:highlight w:val="none"/>
        </w:rPr>
        <w:t>一、</w:t>
      </w:r>
      <w:r>
        <w:rPr>
          <w:rFonts w:hint="eastAsia" w:ascii="宋体" w:hAnsi="宋体" w:cs="宋体"/>
          <w:b/>
          <w:color w:val="auto"/>
          <w:kern w:val="0"/>
          <w:sz w:val="24"/>
          <w:highlight w:val="none"/>
          <w:lang w:val="en-US" w:eastAsia="zh-CN"/>
        </w:rPr>
        <w:t>商务要求</w:t>
      </w:r>
      <w:bookmarkEnd w:id="76"/>
    </w:p>
    <w:p w14:paraId="02A52CEF">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离石电缆厂既有建筑质量安全鉴定项目；</w:t>
      </w:r>
    </w:p>
    <w:p w14:paraId="6735DA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服务地点</w:t>
      </w:r>
      <w:r>
        <w:rPr>
          <w:rFonts w:hint="eastAsia" w:ascii="宋体" w:hAnsi="宋体" w:cs="宋体"/>
          <w:color w:val="auto"/>
          <w:sz w:val="24"/>
          <w:highlight w:val="none"/>
        </w:rPr>
        <w:t>：</w:t>
      </w:r>
      <w:r>
        <w:rPr>
          <w:rFonts w:hint="eastAsia" w:ascii="宋体" w:hAnsi="宋体" w:cs="宋体"/>
          <w:color w:val="auto"/>
          <w:sz w:val="24"/>
          <w:highlight w:val="none"/>
          <w:lang w:eastAsia="zh-CN"/>
        </w:rPr>
        <w:t>离石区；</w:t>
      </w:r>
    </w:p>
    <w:p w14:paraId="676CD17D">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合同履行期限</w:t>
      </w:r>
      <w:r>
        <w:rPr>
          <w:rFonts w:hint="eastAsia" w:ascii="宋体" w:hAnsi="宋体" w:cs="宋体"/>
          <w:color w:val="auto"/>
          <w:sz w:val="24"/>
          <w:highlight w:val="none"/>
        </w:rPr>
        <w:t>：</w:t>
      </w:r>
      <w:r>
        <w:rPr>
          <w:rFonts w:hint="eastAsia" w:ascii="宋体" w:hAnsi="宋体" w:cs="宋体"/>
          <w:color w:val="auto"/>
          <w:sz w:val="24"/>
          <w:highlight w:val="none"/>
          <w:lang w:eastAsia="zh-CN"/>
        </w:rPr>
        <w:t>自签订质量检测服务合同之日起至本项目工程竣工并出具全部检测报告止；</w:t>
      </w:r>
    </w:p>
    <w:p w14:paraId="42816847">
      <w:pPr>
        <w:pStyle w:val="25"/>
        <w:rPr>
          <w:rFonts w:hint="eastAsia" w:eastAsia="宋体"/>
          <w:color w:val="auto"/>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eastAsia="zh-CN"/>
        </w:rPr>
        <w:t>：供应商须同时具备建设行政主管部门颁发的建设工程质量检测机构资质证书(包含建筑材料及构配件、主体结构及装饰装修、钢结构、地基基础)和检验检测机构资质认定证书，并在人员、设备、资金等方面具有相应的能力，其中，投标人拟派项目负责人须具备工程类专业中级及以上职称</w:t>
      </w:r>
    </w:p>
    <w:p w14:paraId="3A9619C6">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质量标准：满足国家、行业及地方相关规范标准要求</w:t>
      </w:r>
      <w:r>
        <w:rPr>
          <w:rFonts w:hint="eastAsia" w:ascii="宋体" w:hAnsi="宋体" w:cs="宋体"/>
          <w:color w:val="auto"/>
          <w:sz w:val="24"/>
          <w:highlight w:val="none"/>
          <w:lang w:eastAsia="zh-CN"/>
        </w:rPr>
        <w:t>；</w:t>
      </w:r>
    </w:p>
    <w:p w14:paraId="380100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项目履约完成后一次性支付</w:t>
      </w:r>
      <w:r>
        <w:rPr>
          <w:rFonts w:hint="eastAsia" w:ascii="宋体" w:hAnsi="宋体" w:eastAsia="宋体" w:cs="宋体"/>
          <w:color w:val="auto"/>
          <w:sz w:val="24"/>
          <w:szCs w:val="24"/>
          <w:highlight w:val="none"/>
        </w:rPr>
        <w:t>。</w:t>
      </w:r>
    </w:p>
    <w:p w14:paraId="66487C58">
      <w:pPr>
        <w:adjustRightInd w:val="0"/>
        <w:snapToGrid w:val="0"/>
        <w:spacing w:line="500" w:lineRule="exact"/>
        <w:ind w:firstLine="482" w:firstLineChars="200"/>
        <w:outlineLvl w:val="1"/>
        <w:rPr>
          <w:rFonts w:hint="eastAsia" w:ascii="宋体" w:hAnsi="宋体" w:eastAsia="宋体" w:cs="宋体"/>
          <w:b/>
          <w:bCs/>
          <w:color w:val="auto"/>
          <w:sz w:val="24"/>
          <w:szCs w:val="24"/>
          <w:lang w:val="en-US" w:eastAsia="zh-CN"/>
        </w:rPr>
      </w:pPr>
      <w:bookmarkStart w:id="77" w:name="_Toc26548"/>
      <w:r>
        <w:rPr>
          <w:rFonts w:hint="eastAsia" w:ascii="宋体" w:hAnsi="宋体" w:eastAsia="宋体" w:cs="宋体"/>
          <w:b/>
          <w:color w:val="auto"/>
          <w:kern w:val="0"/>
          <w:sz w:val="24"/>
          <w:szCs w:val="24"/>
          <w:highlight w:val="none"/>
        </w:rPr>
        <w:t>二、</w:t>
      </w:r>
      <w:r>
        <w:rPr>
          <w:rFonts w:hint="eastAsia" w:ascii="宋体" w:hAnsi="宋体" w:eastAsia="宋体" w:cs="宋体"/>
          <w:b/>
          <w:color w:val="auto"/>
          <w:kern w:val="0"/>
          <w:sz w:val="24"/>
          <w:szCs w:val="24"/>
          <w:highlight w:val="none"/>
          <w:lang w:val="en-US" w:eastAsia="zh-CN"/>
        </w:rPr>
        <w:t>技术要求</w:t>
      </w:r>
      <w:bookmarkEnd w:id="77"/>
    </w:p>
    <w:p w14:paraId="3CC23BCA">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1、项目概况</w:t>
      </w:r>
    </w:p>
    <w:p w14:paraId="1A8A9E6C">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山西离石电缆有限公司整体搬迁及升级项目，建设规模：1、项目新建节能导线车间、轨道交通及防火电缆车间、新能源电缆车间、高分子材料车间、其他辅助车间和办公、生活等设施，建筑物占地约71744m2,新增主要工艺设备及测试仪器设备245台。</w:t>
      </w:r>
    </w:p>
    <w:p w14:paraId="1FD052B1">
      <w:pPr>
        <w:numPr>
          <w:ilvl w:val="0"/>
          <w:numId w:val="5"/>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服务内容</w:t>
      </w:r>
    </w:p>
    <w:p w14:paraId="58BDED2A">
      <w:pPr>
        <w:numPr>
          <w:ilvl w:val="0"/>
          <w:numId w:val="0"/>
        </w:numPr>
        <w:spacing w:line="360" w:lineRule="auto"/>
        <w:jc w:val="left"/>
        <w:rPr>
          <w:rFonts w:hint="default" w:ascii="宋体" w:hAnsi="宋体" w:cs="宋体"/>
          <w:color w:val="FF0000"/>
          <w:sz w:val="24"/>
          <w:highlight w:val="none"/>
          <w:lang w:val="en-US" w:eastAsia="zh-CN"/>
        </w:rPr>
      </w:pPr>
      <w:r>
        <w:rPr>
          <w:rFonts w:hint="eastAsia" w:ascii="宋体" w:hAnsi="宋体" w:cs="宋体"/>
          <w:color w:val="auto"/>
          <w:sz w:val="24"/>
          <w:highlight w:val="none"/>
          <w:lang w:val="en-US" w:eastAsia="zh-CN"/>
        </w:rPr>
        <w:t xml:space="preserve">     对离石电缆厂整体搬迁及升级项目：联合车间、新能源电缆车间、货棚、动力站房、综合楼、门卫1，现有结构进行质量安全鉴定并出具鉴定报告。</w:t>
      </w:r>
    </w:p>
    <w:p w14:paraId="442AE526">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3、具体要求</w:t>
      </w:r>
    </w:p>
    <w:p w14:paraId="708C360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（1）试验检测要求：符合相关法律法规及试验检测规范要求。</w:t>
      </w:r>
    </w:p>
    <w:p w14:paraId="62952EF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（2）检测机构应规范、准确、真实、公正地开展工作，并行使相应职能，任何单位和个人不得干预其独立、客观地开展试验检测工作。</w:t>
      </w:r>
    </w:p>
    <w:p w14:paraId="148AB80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试验检测机构须做到：保证试验检测数据真实、准确，能够客观反映工程质量；及时向采购方上报检测中发现的不合格项及异常情况，发现重大质量问题和隐患须报告质监机构；根据试验检测结果科学分析评价工程质量状况。</w:t>
      </w:r>
    </w:p>
    <w:p w14:paraId="3FCF2D73">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（4）试验检测机构应对试验检测结果承担法律责任，因出具虚假数据报告并造成质量标准降低的，将依据信用评价办法进行处理。</w:t>
      </w:r>
    </w:p>
    <w:p w14:paraId="103027F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试验检测机构要严格遵守相关廉政规定，严肃认真地开展各项试验检测工作，不准无故拖延和有意刁难，不准提出合同规定以外的任何个人要求，不准参加相关单位及个人安排的宴请、旅游等活动，不准接受相关单位及个人的钱物或其他好处，不得因行政干预与经济利益而违反有关规程或弄虚作假、修改检测数据。</w:t>
      </w:r>
    </w:p>
    <w:p w14:paraId="1011BE40">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（6）首先上报检测方案，待采购方批准后对路面工程进行质量检测，检测的项目试验检测要求应符合相关法律法规及试验检测规范要求。</w:t>
      </w:r>
    </w:p>
    <w:p w14:paraId="4C0DB5F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4、最终成果要求（具体份数按采购人要求提供）</w:t>
      </w:r>
    </w:p>
    <w:p w14:paraId="36212CD1">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成果文件必须在指定的阶段成果文件提交时间之前送达采购人指定地点，采购人清点成果文件后签发登记。成果文件通过审查后，才能进入下一阶段的工作。完成最终成果文件。</w:t>
      </w:r>
    </w:p>
    <w:p w14:paraId="0932DEA1">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成果文件有下列问题之一者无效：提交的成果文件不符合规定的成果内容和格式；未经组织单位同意而逾期送达；未盖有单位公章。</w:t>
      </w:r>
    </w:p>
    <w:p w14:paraId="3B5298BC">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6、其它要求</w:t>
      </w:r>
    </w:p>
    <w:p w14:paraId="28B7C133">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未尽事宜，以签订正式《合同》时由双方协商解决。</w:t>
      </w:r>
    </w:p>
    <w:p w14:paraId="13C75B68">
      <w:pPr>
        <w:widowControl/>
        <w:spacing w:line="360" w:lineRule="auto"/>
        <w:ind w:firstLine="803" w:firstLineChars="200"/>
        <w:rPr>
          <w:rFonts w:hint="default" w:ascii="宋体" w:hAnsi="宋体" w:eastAsia="宋体" w:cs="宋体"/>
          <w:b/>
          <w:bCs/>
          <w:color w:val="auto"/>
          <w:sz w:val="40"/>
          <w:szCs w:val="48"/>
          <w:highlight w:val="none"/>
          <w:lang w:val="en-US" w:eastAsia="zh-CN"/>
        </w:rPr>
      </w:pPr>
    </w:p>
    <w:p w14:paraId="59BCFD91">
      <w:pPr>
        <w:widowControl/>
        <w:wordWrap w:val="0"/>
        <w:snapToGrid w:val="0"/>
        <w:spacing w:after="468" w:afterLines="150"/>
        <w:jc w:val="center"/>
        <w:rPr>
          <w:rFonts w:hint="eastAsia" w:ascii="宋体" w:hAnsi="宋体" w:cs="宋体"/>
          <w:b/>
          <w:bCs/>
          <w:color w:val="auto"/>
          <w:kern w:val="0"/>
          <w:sz w:val="28"/>
          <w:szCs w:val="28"/>
          <w:highlight w:val="none"/>
        </w:rPr>
      </w:pPr>
    </w:p>
    <w:p w14:paraId="5861AD80">
      <w:pPr>
        <w:widowControl/>
        <w:wordWrap w:val="0"/>
        <w:snapToGrid w:val="0"/>
        <w:spacing w:after="468" w:afterLines="150"/>
        <w:jc w:val="center"/>
        <w:rPr>
          <w:rFonts w:hint="eastAsia" w:ascii="宋体" w:hAnsi="宋体" w:cs="宋体"/>
          <w:b/>
          <w:bCs/>
          <w:color w:val="auto"/>
          <w:kern w:val="0"/>
          <w:sz w:val="28"/>
          <w:szCs w:val="28"/>
          <w:highlight w:val="none"/>
        </w:rPr>
        <w:sectPr>
          <w:pgSz w:w="11906" w:h="16838"/>
          <w:pgMar w:top="1417" w:right="1417" w:bottom="1417" w:left="1417" w:header="851" w:footer="992" w:gutter="0"/>
          <w:pgNumType w:fmt="decimal"/>
          <w:cols w:space="720" w:num="1"/>
          <w:formProt w:val="1"/>
          <w:docGrid w:type="lines" w:linePitch="312" w:charSpace="0"/>
        </w:sectPr>
      </w:pPr>
    </w:p>
    <w:p w14:paraId="71B92626">
      <w:pPr>
        <w:widowControl/>
        <w:wordWrap w:val="0"/>
        <w:snapToGrid w:val="0"/>
        <w:spacing w:after="468" w:afterLines="150"/>
        <w:jc w:val="center"/>
        <w:outlineLvl w:val="0"/>
        <w:rPr>
          <w:rFonts w:ascii="宋体" w:hAnsi="宋体" w:cs="宋体"/>
          <w:b/>
          <w:color w:val="auto"/>
          <w:sz w:val="24"/>
          <w:highlight w:val="none"/>
          <w:u w:val="single"/>
        </w:rPr>
      </w:pPr>
      <w:bookmarkStart w:id="78" w:name="_Toc4290"/>
      <w:r>
        <w:rPr>
          <w:rFonts w:hint="eastAsia" w:ascii="宋体" w:hAnsi="宋体" w:cs="宋体"/>
          <w:b/>
          <w:bCs/>
          <w:color w:val="auto"/>
          <w:kern w:val="0"/>
          <w:sz w:val="28"/>
          <w:szCs w:val="28"/>
          <w:highlight w:val="none"/>
        </w:rPr>
        <w:t>第六部分</w:t>
      </w:r>
      <w:r>
        <w:rPr>
          <w:rFonts w:hint="eastAsia" w:ascii="宋体" w:hAnsi="宋体" w:cs="宋体"/>
          <w:b/>
          <w:color w:val="auto"/>
          <w:sz w:val="28"/>
          <w:szCs w:val="28"/>
          <w:highlight w:val="none"/>
        </w:rPr>
        <w:t xml:space="preserve">  </w:t>
      </w:r>
      <w:r>
        <w:rPr>
          <w:rFonts w:hint="eastAsia" w:ascii="宋体" w:hAnsi="宋体" w:cs="宋体"/>
          <w:b/>
          <w:bCs/>
          <w:color w:val="auto"/>
          <w:spacing w:val="20"/>
          <w:sz w:val="36"/>
          <w:szCs w:val="36"/>
          <w:highlight w:val="none"/>
        </w:rPr>
        <w:t xml:space="preserve"> </w:t>
      </w:r>
      <w:r>
        <w:rPr>
          <w:rFonts w:hint="eastAsia" w:ascii="宋体" w:hAnsi="宋体" w:cs="宋体"/>
          <w:b/>
          <w:bCs/>
          <w:color w:val="auto"/>
          <w:kern w:val="0"/>
          <w:sz w:val="28"/>
          <w:szCs w:val="28"/>
          <w:highlight w:val="none"/>
        </w:rPr>
        <w:t>政府采购合同（范本）</w:t>
      </w:r>
      <w:bookmarkEnd w:id="78"/>
    </w:p>
    <w:p w14:paraId="3E60FA61">
      <w:pPr>
        <w:pStyle w:val="8"/>
        <w:keepNext w:val="0"/>
        <w:keepLines w:val="0"/>
        <w:pageBreakBefore w:val="0"/>
        <w:widowControl w:val="0"/>
        <w:kinsoku/>
        <w:wordWrap/>
        <w:overflowPunct/>
        <w:topLinePunct w:val="0"/>
        <w:autoSpaceDE/>
        <w:autoSpaceDN/>
        <w:bidi w:val="0"/>
        <w:snapToGrid/>
        <w:spacing w:line="480" w:lineRule="exact"/>
        <w:ind w:firstLine="482" w:firstLineChars="200"/>
        <w:jc w:val="center"/>
        <w:textAlignment w:val="auto"/>
        <w:outlineLvl w:val="1"/>
        <w:rPr>
          <w:rFonts w:hint="eastAsia" w:ascii="宋体" w:hAnsi="宋体" w:eastAsia="宋体" w:cs="宋体"/>
          <w:b/>
          <w:color w:val="auto"/>
          <w:kern w:val="44"/>
          <w:sz w:val="24"/>
          <w:szCs w:val="24"/>
          <w:highlight w:val="none"/>
        </w:rPr>
      </w:pPr>
      <w:bookmarkStart w:id="79" w:name="_Toc994"/>
      <w:bookmarkStart w:id="80" w:name="_Toc20697"/>
      <w:r>
        <w:rPr>
          <w:rFonts w:hint="eastAsia" w:ascii="宋体" w:hAnsi="宋体" w:eastAsia="宋体" w:cs="宋体"/>
          <w:b/>
          <w:color w:val="auto"/>
          <w:kern w:val="44"/>
          <w:sz w:val="24"/>
          <w:szCs w:val="24"/>
          <w:highlight w:val="none"/>
        </w:rPr>
        <w:t>（以实际签订合同为准）</w:t>
      </w:r>
      <w:bookmarkEnd w:id="79"/>
      <w:bookmarkEnd w:id="80"/>
    </w:p>
    <w:p w14:paraId="6E40DE96">
      <w:pPr>
        <w:rPr>
          <w:rFonts w:hint="eastAsia" w:ascii="宋体" w:hAnsi="宋体" w:eastAsia="宋体" w:cs="宋体"/>
          <w:sz w:val="24"/>
          <w:szCs w:val="24"/>
        </w:rPr>
      </w:pPr>
    </w:p>
    <w:p w14:paraId="4FC05E0C">
      <w:pPr>
        <w:spacing w:after="120" w:afterLines="50" w:line="300" w:lineRule="auto"/>
        <w:ind w:firstLine="480" w:firstLineChars="200"/>
        <w:jc w:val="left"/>
        <w:rPr>
          <w:rFonts w:ascii="宋体" w:hAnsi="宋体"/>
          <w:sz w:val="24"/>
          <w:szCs w:val="24"/>
        </w:rPr>
      </w:pPr>
      <w:r>
        <w:rPr>
          <w:rFonts w:hint="eastAsia" w:ascii="宋体" w:hAnsi="宋体"/>
          <w:sz w:val="24"/>
          <w:szCs w:val="24"/>
        </w:rPr>
        <w:t>甲方：</w:t>
      </w:r>
    </w:p>
    <w:p w14:paraId="495C51D7">
      <w:pPr>
        <w:spacing w:after="120" w:afterLines="50" w:line="300" w:lineRule="auto"/>
        <w:ind w:firstLine="480" w:firstLineChars="200"/>
        <w:jc w:val="left"/>
        <w:rPr>
          <w:rFonts w:ascii="宋体" w:hAnsi="宋体"/>
          <w:sz w:val="24"/>
          <w:szCs w:val="24"/>
        </w:rPr>
      </w:pPr>
      <w:r>
        <w:rPr>
          <w:rFonts w:hint="eastAsia" w:ascii="宋体" w:hAnsi="宋体"/>
          <w:sz w:val="24"/>
          <w:szCs w:val="24"/>
        </w:rPr>
        <w:t>乙方：</w:t>
      </w:r>
    </w:p>
    <w:p w14:paraId="32196CAB">
      <w:pPr>
        <w:spacing w:after="120" w:afterLines="50" w:line="300" w:lineRule="auto"/>
        <w:ind w:firstLine="480" w:firstLineChars="200"/>
        <w:jc w:val="left"/>
        <w:rPr>
          <w:rFonts w:ascii="宋体" w:hAnsi="宋体"/>
          <w:sz w:val="24"/>
          <w:szCs w:val="24"/>
        </w:rPr>
      </w:pPr>
      <w:r>
        <w:rPr>
          <w:rFonts w:ascii="宋体" w:hAnsi="宋体"/>
          <w:sz w:val="24"/>
          <w:szCs w:val="24"/>
        </w:rPr>
        <w:t>根据</w:t>
      </w:r>
      <w:r>
        <w:rPr>
          <w:rFonts w:ascii="宋体" w:hAnsi="宋体"/>
          <w:sz w:val="24"/>
          <w:szCs w:val="24"/>
          <w:u w:val="single"/>
        </w:rPr>
        <w:t xml:space="preserve"> 项目名称 </w:t>
      </w:r>
      <w:r>
        <w:rPr>
          <w:rFonts w:ascii="宋体" w:hAnsi="宋体"/>
          <w:sz w:val="24"/>
          <w:szCs w:val="24"/>
        </w:rPr>
        <w:t>的采购结果，按照《中华人民共和国政府采购法》及实施条例、《中华人民共和国民法典》的规定，经双方协商，本着平等互利和诚实信用的原则，一致同意签订本合同。</w:t>
      </w:r>
    </w:p>
    <w:p w14:paraId="613FB796">
      <w:pPr>
        <w:spacing w:after="120" w:afterLines="50" w:line="300" w:lineRule="auto"/>
        <w:ind w:firstLine="480" w:firstLineChars="200"/>
        <w:jc w:val="left"/>
        <w:rPr>
          <w:rFonts w:ascii="宋体" w:hAnsi="宋体"/>
          <w:sz w:val="24"/>
          <w:szCs w:val="24"/>
        </w:rPr>
      </w:pPr>
      <w:r>
        <w:rPr>
          <w:rFonts w:ascii="宋体" w:hAnsi="宋体"/>
          <w:sz w:val="24"/>
          <w:szCs w:val="24"/>
        </w:rPr>
        <w:t>第一条 项目概况</w:t>
      </w:r>
    </w:p>
    <w:p w14:paraId="3E961EEC">
      <w:pPr>
        <w:spacing w:after="120" w:afterLines="50" w:line="300" w:lineRule="auto"/>
        <w:ind w:firstLine="480" w:firstLineChars="200"/>
        <w:jc w:val="left"/>
        <w:rPr>
          <w:rFonts w:ascii="宋体" w:hAnsi="宋体"/>
          <w:sz w:val="24"/>
          <w:szCs w:val="24"/>
        </w:rPr>
      </w:pPr>
      <w:r>
        <w:rPr>
          <w:rFonts w:hint="eastAsia" w:ascii="宋体" w:hAnsi="宋体"/>
          <w:sz w:val="24"/>
          <w:szCs w:val="24"/>
        </w:rPr>
        <w:t>项目名称：</w:t>
      </w:r>
    </w:p>
    <w:p w14:paraId="62F8702F">
      <w:pPr>
        <w:spacing w:after="120" w:afterLines="50" w:line="300" w:lineRule="auto"/>
        <w:ind w:firstLine="480" w:firstLineChars="200"/>
        <w:jc w:val="left"/>
        <w:rPr>
          <w:rFonts w:ascii="宋体" w:hAnsi="宋体"/>
          <w:sz w:val="24"/>
          <w:szCs w:val="24"/>
        </w:rPr>
      </w:pPr>
      <w:r>
        <w:rPr>
          <w:rFonts w:hint="eastAsia" w:ascii="宋体" w:hAnsi="宋体"/>
          <w:sz w:val="24"/>
          <w:szCs w:val="24"/>
        </w:rPr>
        <w:t>服务地点：</w:t>
      </w:r>
    </w:p>
    <w:p w14:paraId="5E15EEEC">
      <w:pPr>
        <w:spacing w:after="120" w:afterLines="50" w:line="300" w:lineRule="auto"/>
        <w:ind w:firstLine="480" w:firstLineChars="200"/>
        <w:jc w:val="left"/>
        <w:rPr>
          <w:rFonts w:ascii="宋体" w:hAnsi="宋体"/>
          <w:sz w:val="24"/>
          <w:szCs w:val="24"/>
        </w:rPr>
      </w:pPr>
      <w:r>
        <w:rPr>
          <w:rFonts w:hint="eastAsia" w:ascii="宋体" w:hAnsi="宋体"/>
          <w:sz w:val="24"/>
          <w:szCs w:val="24"/>
        </w:rPr>
        <w:t>第二条 服务范围及要求:</w:t>
      </w:r>
    </w:p>
    <w:p w14:paraId="11D3A593">
      <w:pPr>
        <w:spacing w:after="120" w:afterLines="50" w:line="300" w:lineRule="auto"/>
        <w:ind w:firstLine="480" w:firstLineChars="200"/>
        <w:jc w:val="left"/>
        <w:rPr>
          <w:rFonts w:ascii="宋体" w:hAnsi="宋体"/>
          <w:sz w:val="24"/>
          <w:szCs w:val="24"/>
        </w:rPr>
      </w:pPr>
      <w:r>
        <w:rPr>
          <w:rFonts w:hint="eastAsia" w:ascii="宋体" w:hAnsi="宋体"/>
          <w:sz w:val="24"/>
          <w:szCs w:val="24"/>
        </w:rPr>
        <w:t>（一）服务范围</w:t>
      </w:r>
    </w:p>
    <w:p w14:paraId="0757CE66">
      <w:pPr>
        <w:spacing w:after="120" w:afterLines="50" w:line="300" w:lineRule="auto"/>
        <w:ind w:firstLine="480" w:firstLineChars="200"/>
        <w:jc w:val="left"/>
        <w:rPr>
          <w:rFonts w:ascii="宋体" w:hAnsi="宋体"/>
          <w:sz w:val="24"/>
          <w:szCs w:val="24"/>
        </w:rPr>
      </w:pPr>
      <w:r>
        <w:rPr>
          <w:rFonts w:hint="eastAsia" w:ascii="宋体" w:hAnsi="宋体"/>
          <w:sz w:val="24"/>
          <w:szCs w:val="24"/>
        </w:rPr>
        <w:t>（二）服务要求</w:t>
      </w:r>
    </w:p>
    <w:p w14:paraId="1D7A1C42">
      <w:pPr>
        <w:spacing w:after="120" w:afterLines="50" w:line="300" w:lineRule="auto"/>
        <w:ind w:firstLine="480" w:firstLineChars="200"/>
        <w:jc w:val="left"/>
        <w:rPr>
          <w:rFonts w:hint="eastAsia" w:ascii="宋体" w:hAnsi="宋体"/>
          <w:sz w:val="24"/>
          <w:szCs w:val="24"/>
        </w:rPr>
      </w:pPr>
      <w:r>
        <w:rPr>
          <w:rFonts w:hint="eastAsia" w:ascii="宋体" w:hAnsi="宋体"/>
          <w:sz w:val="24"/>
          <w:szCs w:val="24"/>
        </w:rPr>
        <w:t>第三条 合同委托服务期限</w:t>
      </w:r>
    </w:p>
    <w:p w14:paraId="1BF88F33">
      <w:pPr>
        <w:spacing w:after="120" w:afterLines="50" w:line="300" w:lineRule="auto"/>
        <w:ind w:firstLine="480" w:firstLineChars="200"/>
        <w:jc w:val="left"/>
        <w:rPr>
          <w:rFonts w:ascii="宋体" w:hAnsi="宋体"/>
          <w:sz w:val="24"/>
          <w:szCs w:val="24"/>
        </w:rPr>
      </w:pPr>
      <w:r>
        <w:rPr>
          <w:rFonts w:hint="eastAsia" w:ascii="宋体" w:hAnsi="宋体"/>
          <w:sz w:val="24"/>
          <w:szCs w:val="24"/>
        </w:rPr>
        <w:t>第四条 合同金额及结算方式</w:t>
      </w:r>
    </w:p>
    <w:p w14:paraId="231C8EC3">
      <w:pPr>
        <w:spacing w:after="120" w:afterLines="50" w:line="300" w:lineRule="auto"/>
        <w:ind w:firstLine="480" w:firstLineChars="200"/>
        <w:jc w:val="left"/>
        <w:rPr>
          <w:rFonts w:ascii="宋体" w:hAnsi="宋体"/>
          <w:sz w:val="24"/>
          <w:szCs w:val="24"/>
        </w:rPr>
      </w:pPr>
      <w:r>
        <w:rPr>
          <w:rFonts w:hint="eastAsia" w:ascii="宋体" w:hAnsi="宋体"/>
          <w:sz w:val="24"/>
          <w:szCs w:val="24"/>
        </w:rPr>
        <w:t>（一）资金性质</w:t>
      </w:r>
    </w:p>
    <w:p w14:paraId="0450F743">
      <w:pPr>
        <w:spacing w:after="120" w:afterLines="50" w:line="300" w:lineRule="auto"/>
        <w:ind w:firstLine="480" w:firstLineChars="200"/>
        <w:jc w:val="left"/>
        <w:rPr>
          <w:rFonts w:ascii="宋体" w:hAnsi="宋体"/>
          <w:sz w:val="24"/>
          <w:szCs w:val="24"/>
        </w:rPr>
      </w:pPr>
      <w:r>
        <w:rPr>
          <w:rFonts w:hint="eastAsia" w:ascii="宋体" w:hAnsi="宋体"/>
          <w:sz w:val="24"/>
          <w:szCs w:val="24"/>
        </w:rPr>
        <w:t>（二）合同金额：</w:t>
      </w:r>
      <w:r>
        <w:rPr>
          <w:rFonts w:ascii="宋体" w:hAnsi="宋体"/>
          <w:sz w:val="24"/>
          <w:szCs w:val="24"/>
        </w:rPr>
        <w:t xml:space="preserve"> </w:t>
      </w:r>
    </w:p>
    <w:p w14:paraId="52CD9F14">
      <w:pPr>
        <w:spacing w:after="120" w:afterLines="50" w:line="300" w:lineRule="auto"/>
        <w:ind w:firstLine="480" w:firstLineChars="200"/>
        <w:jc w:val="left"/>
        <w:rPr>
          <w:rFonts w:ascii="宋体" w:hAnsi="宋体"/>
          <w:sz w:val="24"/>
          <w:szCs w:val="24"/>
        </w:rPr>
      </w:pPr>
      <w:r>
        <w:rPr>
          <w:rFonts w:hint="eastAsia" w:ascii="宋体" w:hAnsi="宋体"/>
          <w:sz w:val="24"/>
          <w:szCs w:val="24"/>
        </w:rPr>
        <w:t>合同总金额（小写）</w:t>
      </w:r>
    </w:p>
    <w:p w14:paraId="5927EBFD">
      <w:pPr>
        <w:spacing w:after="120" w:afterLines="50" w:line="300" w:lineRule="auto"/>
        <w:ind w:firstLine="480" w:firstLineChars="200"/>
        <w:jc w:val="left"/>
        <w:rPr>
          <w:rFonts w:ascii="宋体" w:hAnsi="宋体"/>
          <w:sz w:val="24"/>
          <w:szCs w:val="24"/>
        </w:rPr>
      </w:pPr>
      <w:r>
        <w:rPr>
          <w:rFonts w:hint="eastAsia" w:ascii="宋体" w:hAnsi="宋体"/>
          <w:sz w:val="24"/>
          <w:szCs w:val="24"/>
        </w:rPr>
        <w:t>合同总金额（大写）</w:t>
      </w:r>
    </w:p>
    <w:p w14:paraId="40F12214">
      <w:pPr>
        <w:spacing w:after="120" w:afterLines="50" w:line="300" w:lineRule="auto"/>
        <w:ind w:firstLine="480" w:firstLineChars="200"/>
        <w:jc w:val="left"/>
        <w:rPr>
          <w:rFonts w:ascii="宋体" w:hAnsi="宋体"/>
          <w:sz w:val="24"/>
          <w:szCs w:val="24"/>
        </w:rPr>
      </w:pPr>
      <w:r>
        <w:rPr>
          <w:rFonts w:hint="eastAsia" w:ascii="宋体" w:hAnsi="宋体"/>
          <w:sz w:val="24"/>
          <w:szCs w:val="24"/>
        </w:rPr>
        <w:t>（三）付款方式：</w:t>
      </w:r>
    </w:p>
    <w:p w14:paraId="2E0EF763">
      <w:pPr>
        <w:spacing w:after="120" w:afterLines="50" w:line="300" w:lineRule="auto"/>
        <w:ind w:firstLine="480" w:firstLineChars="200"/>
        <w:jc w:val="left"/>
        <w:rPr>
          <w:rFonts w:ascii="宋体" w:hAnsi="宋体"/>
          <w:sz w:val="24"/>
          <w:szCs w:val="24"/>
        </w:rPr>
      </w:pPr>
      <w:r>
        <w:rPr>
          <w:rFonts w:hint="eastAsia" w:ascii="宋体" w:hAnsi="宋体"/>
          <w:sz w:val="24"/>
          <w:szCs w:val="24"/>
        </w:rPr>
        <w:t>（一）甲方权利和义务</w:t>
      </w:r>
    </w:p>
    <w:p w14:paraId="01BF15B9">
      <w:pPr>
        <w:spacing w:after="120" w:afterLines="50" w:line="300" w:lineRule="auto"/>
        <w:ind w:firstLine="480" w:firstLineChars="200"/>
        <w:jc w:val="left"/>
        <w:rPr>
          <w:rFonts w:ascii="宋体" w:hAnsi="宋体"/>
          <w:sz w:val="24"/>
          <w:szCs w:val="24"/>
        </w:rPr>
      </w:pPr>
      <w:r>
        <w:rPr>
          <w:rFonts w:hint="eastAsia" w:ascii="宋体" w:hAnsi="宋体"/>
          <w:sz w:val="24"/>
          <w:szCs w:val="24"/>
        </w:rPr>
        <w:t>1、甲方有权获取乙方提供的专业化服务；</w:t>
      </w:r>
    </w:p>
    <w:p w14:paraId="61A0593B">
      <w:pPr>
        <w:spacing w:after="120" w:afterLines="50" w:line="300" w:lineRule="auto"/>
        <w:ind w:firstLine="480" w:firstLineChars="200"/>
        <w:jc w:val="left"/>
        <w:rPr>
          <w:rFonts w:ascii="宋体" w:hAnsi="宋体"/>
          <w:sz w:val="24"/>
          <w:szCs w:val="24"/>
        </w:rPr>
      </w:pPr>
      <w:r>
        <w:rPr>
          <w:rFonts w:hint="eastAsia" w:ascii="宋体" w:hAnsi="宋体"/>
          <w:sz w:val="24"/>
          <w:szCs w:val="24"/>
        </w:rPr>
        <w:t>2、甲方保证服务期间，对乙方工作给予支持，提供采购需求必须的基础工作条件；</w:t>
      </w:r>
    </w:p>
    <w:p w14:paraId="4E681C57">
      <w:pPr>
        <w:spacing w:after="120" w:afterLines="50" w:line="300" w:lineRule="auto"/>
        <w:ind w:firstLine="480" w:firstLineChars="200"/>
        <w:jc w:val="left"/>
        <w:rPr>
          <w:rFonts w:ascii="宋体" w:hAnsi="宋体"/>
          <w:sz w:val="24"/>
          <w:szCs w:val="24"/>
        </w:rPr>
      </w:pPr>
      <w:r>
        <w:rPr>
          <w:rFonts w:hint="eastAsia" w:ascii="宋体" w:hAnsi="宋体"/>
          <w:sz w:val="24"/>
          <w:szCs w:val="24"/>
        </w:rPr>
        <w:t>3、按合同要求及时向乙方支付服务费。不得以机构变动、人员更替、政策调整等为由延迟付款，不得将采购文件和合同中未规定的义务作为向投标人付款的条件。</w:t>
      </w:r>
    </w:p>
    <w:p w14:paraId="79797737">
      <w:pPr>
        <w:spacing w:after="120" w:afterLines="50" w:line="300" w:lineRule="auto"/>
        <w:ind w:firstLine="480" w:firstLineChars="200"/>
        <w:jc w:val="left"/>
        <w:rPr>
          <w:rFonts w:ascii="宋体" w:hAnsi="宋体"/>
          <w:sz w:val="24"/>
          <w:szCs w:val="24"/>
        </w:rPr>
      </w:pPr>
      <w:r>
        <w:rPr>
          <w:rFonts w:hint="eastAsia" w:ascii="宋体" w:hAnsi="宋体"/>
          <w:sz w:val="24"/>
          <w:szCs w:val="24"/>
        </w:rPr>
        <w:t>（二）乙方权利和义务</w:t>
      </w:r>
    </w:p>
    <w:p w14:paraId="79F66661">
      <w:pPr>
        <w:spacing w:after="120" w:afterLines="50" w:line="300" w:lineRule="auto"/>
        <w:ind w:firstLine="480" w:firstLineChars="200"/>
        <w:jc w:val="left"/>
        <w:rPr>
          <w:rFonts w:ascii="宋体" w:hAnsi="宋体"/>
          <w:sz w:val="24"/>
          <w:szCs w:val="24"/>
        </w:rPr>
      </w:pPr>
      <w:r>
        <w:rPr>
          <w:rFonts w:hint="eastAsia" w:ascii="宋体" w:hAnsi="宋体"/>
          <w:sz w:val="24"/>
          <w:szCs w:val="24"/>
        </w:rPr>
        <w:t>1、乙方有权要求甲方提供为完成本次服务所需的相关材料和相关信息。</w:t>
      </w:r>
    </w:p>
    <w:p w14:paraId="5F7D1074">
      <w:pPr>
        <w:spacing w:after="120" w:afterLines="50" w:line="300" w:lineRule="auto"/>
        <w:ind w:firstLine="480" w:firstLineChars="200"/>
        <w:jc w:val="left"/>
        <w:rPr>
          <w:rFonts w:ascii="宋体" w:hAnsi="宋体"/>
          <w:sz w:val="24"/>
          <w:szCs w:val="24"/>
        </w:rPr>
      </w:pPr>
      <w:r>
        <w:rPr>
          <w:rFonts w:hint="eastAsia" w:ascii="宋体" w:hAnsi="宋体"/>
          <w:sz w:val="24"/>
          <w:szCs w:val="24"/>
        </w:rPr>
        <w:t>2、按照合同约定收取服务费。</w:t>
      </w:r>
    </w:p>
    <w:p w14:paraId="3984C4BF">
      <w:pPr>
        <w:spacing w:after="120" w:afterLines="50" w:line="300" w:lineRule="auto"/>
        <w:ind w:firstLine="480" w:firstLineChars="200"/>
        <w:jc w:val="left"/>
        <w:rPr>
          <w:rFonts w:ascii="宋体" w:hAnsi="宋体"/>
          <w:sz w:val="24"/>
          <w:szCs w:val="24"/>
        </w:rPr>
      </w:pPr>
      <w:r>
        <w:rPr>
          <w:rFonts w:hint="eastAsia" w:ascii="宋体" w:hAnsi="宋体"/>
          <w:sz w:val="24"/>
          <w:szCs w:val="24"/>
        </w:rPr>
        <w:t>3、委托服务期内的任何时候，乙方保证服务质量符合相关质量标准。如果乙方提供的服务严重负偏离服务质量标准，无法满足甲方需求，且在甲方要求的期限内未能有效整改，则甲方有权单方面解除合同，并按照本合同的相关约定追究乙方违约责任。</w:t>
      </w:r>
    </w:p>
    <w:p w14:paraId="5D29ECCA">
      <w:pPr>
        <w:spacing w:after="120" w:afterLines="50" w:line="300" w:lineRule="auto"/>
        <w:ind w:firstLine="480" w:firstLineChars="200"/>
        <w:jc w:val="left"/>
        <w:rPr>
          <w:rFonts w:ascii="宋体" w:hAnsi="宋体"/>
          <w:sz w:val="24"/>
          <w:szCs w:val="24"/>
        </w:rPr>
      </w:pPr>
      <w:r>
        <w:rPr>
          <w:rFonts w:hint="eastAsia" w:ascii="宋体" w:hAnsi="宋体"/>
          <w:sz w:val="24"/>
          <w:szCs w:val="24"/>
        </w:rPr>
        <w:t>4、乙方为甲方提供服务期间，制定并执行严格的安全生产管理措施，保证甲乙方工作人员人身安全和甲方的设备设施（如有）的完好无损，如发生安全事故的，责任由乙方全部负责。</w:t>
      </w:r>
    </w:p>
    <w:p w14:paraId="50E2507D">
      <w:pPr>
        <w:spacing w:after="120" w:afterLines="50" w:line="300" w:lineRule="auto"/>
        <w:ind w:firstLine="480" w:firstLineChars="200"/>
        <w:jc w:val="left"/>
        <w:rPr>
          <w:rFonts w:ascii="宋体" w:hAnsi="宋体"/>
          <w:sz w:val="24"/>
          <w:szCs w:val="24"/>
        </w:rPr>
      </w:pPr>
      <w:r>
        <w:rPr>
          <w:rFonts w:hint="eastAsia" w:ascii="宋体" w:hAnsi="宋体"/>
          <w:sz w:val="24"/>
          <w:szCs w:val="24"/>
        </w:rPr>
        <w:t>5、乙方保证所提供的服务或其任何一部分不会侵犯任何第三方的专利权、商标权或著作权。一旦发现侵权、索赔或诉讼，乙方应承担全部责任。乙方保证提供的服务不存在危机人身及财产安全的隐患，不存在违反国家法律、法规及行业规范要求的有关安全条款，否则应承担全部法律责任。</w:t>
      </w:r>
    </w:p>
    <w:p w14:paraId="70865B8E">
      <w:pPr>
        <w:spacing w:after="120" w:afterLines="50" w:line="300" w:lineRule="auto"/>
        <w:ind w:firstLine="480" w:firstLineChars="200"/>
        <w:jc w:val="left"/>
        <w:rPr>
          <w:rFonts w:ascii="宋体" w:hAnsi="宋体"/>
          <w:sz w:val="24"/>
          <w:szCs w:val="24"/>
        </w:rPr>
      </w:pPr>
      <w:r>
        <w:rPr>
          <w:rFonts w:hint="eastAsia" w:ascii="宋体" w:hAnsi="宋体"/>
          <w:sz w:val="24"/>
          <w:szCs w:val="24"/>
        </w:rPr>
        <w:t>6、乙方不得擅自转让其应履行的合同义务。</w:t>
      </w:r>
    </w:p>
    <w:p w14:paraId="2C1AD238">
      <w:pPr>
        <w:spacing w:after="120" w:afterLines="50" w:line="300" w:lineRule="auto"/>
        <w:ind w:firstLine="480" w:firstLineChars="200"/>
        <w:jc w:val="left"/>
        <w:rPr>
          <w:rFonts w:ascii="宋体" w:hAnsi="宋体"/>
          <w:sz w:val="24"/>
          <w:szCs w:val="24"/>
        </w:rPr>
      </w:pPr>
      <w:r>
        <w:rPr>
          <w:rFonts w:hint="eastAsia" w:ascii="宋体" w:hAnsi="宋体"/>
          <w:sz w:val="24"/>
          <w:szCs w:val="24"/>
        </w:rPr>
        <w:t>第六条 知识产权归属</w:t>
      </w:r>
    </w:p>
    <w:p w14:paraId="6534F963">
      <w:pPr>
        <w:spacing w:after="120" w:afterLines="50" w:line="300" w:lineRule="auto"/>
        <w:ind w:firstLine="480" w:firstLineChars="200"/>
        <w:jc w:val="left"/>
        <w:rPr>
          <w:rFonts w:ascii="宋体" w:hAnsi="宋体"/>
          <w:sz w:val="24"/>
          <w:szCs w:val="24"/>
        </w:rPr>
      </w:pPr>
      <w:r>
        <w:rPr>
          <w:rFonts w:hint="eastAsia" w:ascii="宋体" w:hAnsi="宋体"/>
          <w:sz w:val="24"/>
          <w:szCs w:val="24"/>
        </w:rPr>
        <w:t>本合同所约定工作内容中正式成果的知识产品归甲方所有。</w:t>
      </w:r>
    </w:p>
    <w:p w14:paraId="51479817">
      <w:pPr>
        <w:spacing w:after="120" w:afterLines="50" w:line="300" w:lineRule="auto"/>
        <w:ind w:firstLine="480" w:firstLineChars="200"/>
        <w:jc w:val="left"/>
        <w:rPr>
          <w:rFonts w:ascii="宋体" w:hAnsi="宋体"/>
          <w:sz w:val="24"/>
          <w:szCs w:val="24"/>
        </w:rPr>
      </w:pPr>
      <w:r>
        <w:rPr>
          <w:rFonts w:hint="eastAsia" w:ascii="宋体" w:hAnsi="宋体"/>
          <w:sz w:val="24"/>
          <w:szCs w:val="24"/>
        </w:rPr>
        <w:t>第七条 保密条款</w:t>
      </w:r>
    </w:p>
    <w:p w14:paraId="65D2AF00">
      <w:pPr>
        <w:spacing w:after="120" w:afterLines="50" w:line="300" w:lineRule="auto"/>
        <w:ind w:firstLine="480" w:firstLineChars="200"/>
        <w:jc w:val="left"/>
        <w:rPr>
          <w:rFonts w:ascii="宋体" w:hAnsi="宋体"/>
          <w:sz w:val="24"/>
          <w:szCs w:val="24"/>
        </w:rPr>
      </w:pPr>
      <w:r>
        <w:rPr>
          <w:rFonts w:hint="eastAsia" w:ascii="宋体" w:hAnsi="宋体"/>
          <w:sz w:val="24"/>
          <w:szCs w:val="24"/>
        </w:rPr>
        <w:t>甲方按照本合同约定向乙方提供的任何资料和信息，除为履行合同约定服务需要向行政机关作出的披露外，不得用于本合同约定服务以外的任何其他用处，亦不得以任何方式向任何第三方泄漏或公开，并保证在合同约定服务履行完毕后，将所有资料和信息归还甲方。</w:t>
      </w:r>
    </w:p>
    <w:p w14:paraId="1449B815">
      <w:pPr>
        <w:spacing w:after="120" w:afterLines="50" w:line="300" w:lineRule="auto"/>
        <w:ind w:firstLine="480" w:firstLineChars="200"/>
        <w:jc w:val="left"/>
        <w:rPr>
          <w:rFonts w:hint="eastAsia" w:ascii="宋体" w:hAnsi="宋体"/>
          <w:sz w:val="24"/>
          <w:szCs w:val="24"/>
        </w:rPr>
      </w:pPr>
      <w:r>
        <w:rPr>
          <w:rFonts w:hint="eastAsia" w:ascii="宋体" w:hAnsi="宋体"/>
          <w:sz w:val="24"/>
          <w:szCs w:val="24"/>
        </w:rPr>
        <w:t>第八条 履约验收</w:t>
      </w:r>
    </w:p>
    <w:p w14:paraId="697B44BE">
      <w:pPr>
        <w:spacing w:after="120" w:afterLines="50" w:line="300" w:lineRule="auto"/>
        <w:ind w:firstLine="480" w:firstLineChars="200"/>
        <w:jc w:val="left"/>
        <w:rPr>
          <w:rFonts w:ascii="宋体" w:hAnsi="宋体"/>
          <w:sz w:val="24"/>
          <w:szCs w:val="24"/>
        </w:rPr>
      </w:pPr>
      <w:r>
        <w:rPr>
          <w:rFonts w:hint="eastAsia" w:ascii="宋体" w:hAnsi="宋体"/>
          <w:sz w:val="24"/>
          <w:szCs w:val="24"/>
        </w:rPr>
        <w:t>所有检验项目和数量涉及的报告通过相关质量安全监督部门认可。</w:t>
      </w:r>
    </w:p>
    <w:p w14:paraId="1710BC71">
      <w:pPr>
        <w:spacing w:after="120" w:afterLines="50" w:line="300" w:lineRule="auto"/>
        <w:ind w:firstLine="480" w:firstLineChars="200"/>
        <w:jc w:val="left"/>
        <w:rPr>
          <w:rFonts w:ascii="宋体" w:hAnsi="宋体"/>
          <w:sz w:val="24"/>
          <w:szCs w:val="24"/>
        </w:rPr>
      </w:pPr>
      <w:r>
        <w:rPr>
          <w:rFonts w:hint="eastAsia" w:ascii="宋体" w:hAnsi="宋体"/>
          <w:sz w:val="24"/>
          <w:szCs w:val="24"/>
        </w:rPr>
        <w:t>第九条 违约责任</w:t>
      </w:r>
    </w:p>
    <w:p w14:paraId="2F75CB4D">
      <w:pPr>
        <w:spacing w:after="120" w:afterLines="50" w:line="300" w:lineRule="auto"/>
        <w:ind w:firstLine="480" w:firstLineChars="200"/>
        <w:jc w:val="left"/>
        <w:rPr>
          <w:rFonts w:ascii="宋体" w:hAnsi="宋体"/>
          <w:sz w:val="24"/>
          <w:szCs w:val="24"/>
        </w:rPr>
      </w:pPr>
      <w:r>
        <w:rPr>
          <w:rFonts w:ascii="宋体" w:hAnsi="宋体"/>
          <w:sz w:val="24"/>
          <w:szCs w:val="24"/>
        </w:rPr>
        <w:t>1、乙方未按合同约定提供服务的，每逾期一日，向甲方赔偿违约服务款项</w:t>
      </w:r>
      <w:r>
        <w:rPr>
          <w:rFonts w:hint="eastAsia" w:ascii="宋体" w:hAnsi="宋体"/>
          <w:sz w:val="24"/>
          <w:szCs w:val="24"/>
          <w:u w:val="single"/>
        </w:rPr>
        <w:t xml:space="preserve">   </w:t>
      </w:r>
      <w:r>
        <w:rPr>
          <w:rFonts w:ascii="宋体" w:hAnsi="宋体"/>
          <w:sz w:val="24"/>
          <w:szCs w:val="24"/>
        </w:rPr>
        <w:t>%的违约金，违约金累计不超过合同总金额的</w:t>
      </w:r>
      <w:r>
        <w:rPr>
          <w:rFonts w:hint="eastAsia" w:ascii="宋体" w:hAnsi="宋体"/>
          <w:sz w:val="24"/>
          <w:szCs w:val="24"/>
          <w:u w:val="single"/>
        </w:rPr>
        <w:t xml:space="preserve">   </w:t>
      </w:r>
      <w:r>
        <w:rPr>
          <w:rFonts w:hint="eastAsia" w:ascii="宋体" w:hAnsi="宋体"/>
          <w:sz w:val="24"/>
          <w:szCs w:val="24"/>
        </w:rPr>
        <w:t>%。乙方未按合同约定提供服务累计超过</w:t>
      </w:r>
      <w:r>
        <w:rPr>
          <w:rFonts w:hint="eastAsia" w:ascii="宋体" w:hAnsi="宋体"/>
          <w:sz w:val="24"/>
          <w:szCs w:val="24"/>
          <w:u w:val="single"/>
        </w:rPr>
        <w:t xml:space="preserve">   天</w:t>
      </w:r>
      <w:r>
        <w:rPr>
          <w:rFonts w:hint="eastAsia" w:ascii="宋体" w:hAnsi="宋体"/>
          <w:sz w:val="24"/>
          <w:szCs w:val="24"/>
        </w:rPr>
        <w:t>，甲方有权解除合同并要求乙方承当甲方造成的经济损失。</w:t>
      </w:r>
    </w:p>
    <w:p w14:paraId="52B8FC60">
      <w:pPr>
        <w:spacing w:after="120" w:afterLines="50" w:line="300" w:lineRule="auto"/>
        <w:ind w:firstLine="480" w:firstLineChars="200"/>
        <w:jc w:val="left"/>
        <w:rPr>
          <w:rFonts w:ascii="宋体" w:hAnsi="宋体"/>
          <w:sz w:val="24"/>
          <w:szCs w:val="24"/>
        </w:rPr>
      </w:pPr>
      <w:r>
        <w:rPr>
          <w:rFonts w:hint="eastAsia" w:ascii="宋体" w:hAnsi="宋体"/>
          <w:sz w:val="24"/>
          <w:szCs w:val="24"/>
        </w:rPr>
        <w:t>2、在乙方服务工作范围内，如因工作未达到服务标准，由此造成的损失有乙方承担。</w:t>
      </w:r>
    </w:p>
    <w:p w14:paraId="19CB730F">
      <w:pPr>
        <w:spacing w:after="120" w:afterLines="50" w:line="300" w:lineRule="auto"/>
        <w:ind w:firstLine="480" w:firstLineChars="200"/>
        <w:jc w:val="left"/>
        <w:rPr>
          <w:rFonts w:ascii="宋体" w:hAnsi="宋体"/>
          <w:sz w:val="24"/>
          <w:szCs w:val="24"/>
        </w:rPr>
      </w:pPr>
      <w:r>
        <w:rPr>
          <w:rFonts w:hint="eastAsia" w:ascii="宋体" w:hAnsi="宋体"/>
          <w:sz w:val="24"/>
          <w:szCs w:val="24"/>
        </w:rPr>
        <w:t>3、任意一方擅自解除合同导致合同不能履行，视为违约，违约方按合同约定合同总金额的</w:t>
      </w:r>
      <w:r>
        <w:rPr>
          <w:rFonts w:hint="eastAsia" w:ascii="宋体" w:hAnsi="宋体"/>
          <w:sz w:val="24"/>
          <w:szCs w:val="24"/>
          <w:u w:val="single"/>
        </w:rPr>
        <w:t xml:space="preserve">    </w:t>
      </w:r>
      <w:r>
        <w:rPr>
          <w:rFonts w:hint="eastAsia" w:ascii="宋体" w:hAnsi="宋体"/>
          <w:sz w:val="24"/>
          <w:szCs w:val="24"/>
        </w:rPr>
        <w:t>%收取违约金并赔偿给守约方的经济损失。</w:t>
      </w:r>
    </w:p>
    <w:p w14:paraId="1A60B1D6">
      <w:pPr>
        <w:spacing w:after="120" w:afterLines="50" w:line="300" w:lineRule="auto"/>
        <w:ind w:firstLine="480" w:firstLineChars="200"/>
        <w:jc w:val="left"/>
        <w:rPr>
          <w:rFonts w:ascii="宋体" w:hAnsi="宋体"/>
          <w:sz w:val="24"/>
          <w:szCs w:val="24"/>
        </w:rPr>
      </w:pPr>
      <w:r>
        <w:rPr>
          <w:rFonts w:hint="eastAsia" w:ascii="宋体" w:hAnsi="宋体"/>
          <w:sz w:val="24"/>
          <w:szCs w:val="24"/>
        </w:rPr>
        <w:t>第十条 不可抗力</w:t>
      </w:r>
    </w:p>
    <w:p w14:paraId="414509A6">
      <w:pPr>
        <w:spacing w:after="120" w:afterLines="50" w:line="300" w:lineRule="auto"/>
        <w:ind w:firstLine="480" w:firstLineChars="200"/>
        <w:jc w:val="left"/>
        <w:rPr>
          <w:rFonts w:ascii="宋体" w:hAnsi="宋体"/>
          <w:sz w:val="24"/>
          <w:szCs w:val="24"/>
        </w:rPr>
      </w:pPr>
      <w:r>
        <w:rPr>
          <w:rFonts w:hint="eastAsia" w:ascii="宋体" w:hAnsi="宋体"/>
          <w:sz w:val="24"/>
          <w:szCs w:val="24"/>
        </w:rPr>
        <w:t>1、不可抗力是指合同当事人在签订合同时不可预见，在合同履行过程中不可避免且不能克服的自然灾害和社会性突发事件，如地震、海啸、瘟疫、骚乱、戒严、暴动、战争等。</w:t>
      </w:r>
    </w:p>
    <w:p w14:paraId="0EA75503">
      <w:pPr>
        <w:spacing w:after="120" w:afterLines="50" w:line="300" w:lineRule="auto"/>
        <w:ind w:firstLine="480" w:firstLineChars="200"/>
        <w:jc w:val="left"/>
        <w:rPr>
          <w:rFonts w:ascii="宋体" w:hAnsi="宋体"/>
          <w:sz w:val="24"/>
          <w:szCs w:val="24"/>
        </w:rPr>
      </w:pPr>
      <w:r>
        <w:rPr>
          <w:rFonts w:hint="eastAsia" w:ascii="宋体" w:hAnsi="宋体"/>
          <w:sz w:val="24"/>
          <w:szCs w:val="24"/>
        </w:rPr>
        <w:t>2、由于不可抗力的原因，而不能履行合同或延迟履行合同的一方可视不可抗力的实际影响免除部分或全部违约责任。但受不可抗力影响的一方应立即通知对方，并于不可抗力发生结束后10日内提供相关证明文件。</w:t>
      </w:r>
    </w:p>
    <w:p w14:paraId="35FFEC5B">
      <w:pPr>
        <w:spacing w:after="120" w:afterLines="50" w:line="300" w:lineRule="auto"/>
        <w:ind w:firstLine="480" w:firstLineChars="200"/>
        <w:jc w:val="left"/>
        <w:rPr>
          <w:rFonts w:ascii="宋体" w:hAnsi="宋体"/>
          <w:sz w:val="24"/>
          <w:szCs w:val="24"/>
        </w:rPr>
      </w:pPr>
      <w:r>
        <w:rPr>
          <w:rFonts w:hint="eastAsia" w:ascii="宋体" w:hAnsi="宋体"/>
          <w:sz w:val="24"/>
          <w:szCs w:val="24"/>
        </w:rPr>
        <w:t>3、由于不可抗力的原因，致使合同无法按期履行或不能履行的，所造成的的损失有双方各自承担，受不可抗力影响的一方应当采取合理的措施防止损失的扩大，否则应就扩大的损失负赔偿责任。</w:t>
      </w:r>
    </w:p>
    <w:p w14:paraId="07C628F7">
      <w:pPr>
        <w:spacing w:after="120" w:afterLines="50" w:line="300" w:lineRule="auto"/>
        <w:ind w:firstLine="480" w:firstLineChars="200"/>
        <w:jc w:val="left"/>
        <w:rPr>
          <w:rFonts w:ascii="宋体" w:hAnsi="宋体"/>
          <w:sz w:val="24"/>
          <w:szCs w:val="24"/>
        </w:rPr>
      </w:pPr>
      <w:r>
        <w:rPr>
          <w:rFonts w:hint="eastAsia" w:ascii="宋体" w:hAnsi="宋体"/>
          <w:sz w:val="24"/>
          <w:szCs w:val="24"/>
        </w:rPr>
        <w:t>第十一条 合同变更与解除</w:t>
      </w:r>
    </w:p>
    <w:p w14:paraId="58F8F738">
      <w:pPr>
        <w:spacing w:after="120" w:afterLines="50" w:line="300" w:lineRule="auto"/>
        <w:ind w:firstLine="480" w:firstLineChars="200"/>
        <w:jc w:val="left"/>
        <w:rPr>
          <w:rFonts w:ascii="宋体" w:hAnsi="宋体"/>
          <w:sz w:val="24"/>
          <w:szCs w:val="24"/>
        </w:rPr>
      </w:pPr>
      <w:r>
        <w:rPr>
          <w:rFonts w:hint="eastAsia" w:ascii="宋体" w:hAnsi="宋体"/>
          <w:sz w:val="24"/>
          <w:szCs w:val="24"/>
        </w:rPr>
        <w:t>本合同期限自签订之日起到合同终止日期。合同到期甲乙双方均未提出新的意向，合同自行终止。合作期内任何一方不得擅自停止协议，否则应负担所造成的一切损失。在下列情况发生时，甲方有权提前解除合同并就实际损失向乙方提出索赔；</w:t>
      </w:r>
    </w:p>
    <w:p w14:paraId="728FCFAF">
      <w:pPr>
        <w:spacing w:after="120" w:afterLines="50" w:line="300" w:lineRule="auto"/>
        <w:ind w:firstLine="480" w:firstLineChars="200"/>
        <w:jc w:val="left"/>
        <w:rPr>
          <w:rFonts w:ascii="宋体" w:hAnsi="宋体"/>
          <w:sz w:val="24"/>
          <w:szCs w:val="24"/>
        </w:rPr>
      </w:pPr>
      <w:r>
        <w:rPr>
          <w:rFonts w:hint="eastAsia" w:ascii="宋体" w:hAnsi="宋体"/>
          <w:sz w:val="24"/>
          <w:szCs w:val="24"/>
        </w:rPr>
        <w:t>乙方服务质量考核不合格；</w:t>
      </w:r>
    </w:p>
    <w:p w14:paraId="3B27F5D6">
      <w:pPr>
        <w:spacing w:after="120" w:afterLines="50" w:line="300" w:lineRule="auto"/>
        <w:ind w:firstLine="480" w:firstLineChars="200"/>
        <w:jc w:val="left"/>
        <w:rPr>
          <w:rFonts w:ascii="宋体" w:hAnsi="宋体"/>
          <w:sz w:val="24"/>
          <w:szCs w:val="24"/>
        </w:rPr>
      </w:pPr>
      <w:r>
        <w:rPr>
          <w:rFonts w:hint="eastAsia" w:ascii="宋体" w:hAnsi="宋体"/>
          <w:sz w:val="24"/>
          <w:szCs w:val="24"/>
        </w:rPr>
        <w:t>乙方未得到甲方同意，擅自更换服务人员。</w:t>
      </w:r>
    </w:p>
    <w:p w14:paraId="2B11795F">
      <w:pPr>
        <w:spacing w:after="120" w:afterLines="50" w:line="300" w:lineRule="auto"/>
        <w:ind w:firstLine="480" w:firstLineChars="200"/>
        <w:jc w:val="left"/>
        <w:rPr>
          <w:rFonts w:ascii="宋体" w:hAnsi="宋体"/>
          <w:sz w:val="24"/>
          <w:szCs w:val="24"/>
        </w:rPr>
      </w:pPr>
      <w:r>
        <w:rPr>
          <w:rFonts w:hint="eastAsia" w:ascii="宋体" w:hAnsi="宋体"/>
          <w:sz w:val="24"/>
          <w:szCs w:val="24"/>
        </w:rPr>
        <w:t>乙方因故需终止合同，必须提前方同意后，方可终止</w:t>
      </w:r>
    </w:p>
    <w:p w14:paraId="497D8CDC">
      <w:pPr>
        <w:spacing w:after="120" w:afterLines="50" w:line="300" w:lineRule="auto"/>
        <w:ind w:firstLine="480" w:firstLineChars="200"/>
        <w:jc w:val="left"/>
        <w:rPr>
          <w:rFonts w:ascii="宋体" w:hAnsi="宋体"/>
          <w:sz w:val="24"/>
          <w:szCs w:val="24"/>
        </w:rPr>
      </w:pPr>
      <w:r>
        <w:rPr>
          <w:rFonts w:hint="eastAsia" w:ascii="宋体" w:hAnsi="宋体"/>
          <w:sz w:val="24"/>
          <w:szCs w:val="24"/>
        </w:rPr>
        <w:t>第十二条 合同争议解决</w:t>
      </w:r>
    </w:p>
    <w:p w14:paraId="179733B8">
      <w:pPr>
        <w:spacing w:after="120" w:afterLines="50" w:line="300" w:lineRule="auto"/>
        <w:ind w:firstLine="480" w:firstLineChars="200"/>
        <w:jc w:val="left"/>
        <w:rPr>
          <w:rFonts w:ascii="宋体" w:hAnsi="宋体"/>
          <w:sz w:val="24"/>
          <w:szCs w:val="24"/>
        </w:rPr>
      </w:pPr>
      <w:r>
        <w:rPr>
          <w:rFonts w:hint="eastAsia" w:ascii="宋体" w:hAnsi="宋体"/>
          <w:sz w:val="24"/>
          <w:szCs w:val="24"/>
        </w:rPr>
        <w:t>因履行合同引起的或与本合同有关的争议，甲乙双方首先通过友好协商解决，如双方协商不能解决时，选择下列第 种方式解决：</w:t>
      </w:r>
    </w:p>
    <w:p w14:paraId="5AD65DEB">
      <w:pPr>
        <w:spacing w:after="120" w:afterLines="50" w:line="300" w:lineRule="auto"/>
        <w:ind w:firstLine="480" w:firstLineChars="200"/>
        <w:jc w:val="left"/>
        <w:rPr>
          <w:rFonts w:ascii="宋体" w:hAnsi="宋体"/>
          <w:sz w:val="24"/>
          <w:szCs w:val="24"/>
          <w:u w:val="single"/>
        </w:rPr>
      </w:pPr>
      <w:r>
        <w:rPr>
          <w:rFonts w:hint="eastAsia" w:ascii="宋体" w:hAnsi="宋体"/>
          <w:sz w:val="24"/>
          <w:szCs w:val="24"/>
        </w:rPr>
        <w:t>（1）向</w:t>
      </w:r>
      <w:r>
        <w:rPr>
          <w:rFonts w:hint="eastAsia" w:ascii="宋体" w:hAnsi="宋体"/>
          <w:sz w:val="24"/>
          <w:szCs w:val="24"/>
          <w:u w:val="single"/>
        </w:rPr>
        <w:t xml:space="preserve">       </w:t>
      </w:r>
      <w:r>
        <w:rPr>
          <w:rFonts w:hint="eastAsia" w:ascii="宋体" w:hAnsi="宋体"/>
          <w:sz w:val="24"/>
          <w:szCs w:val="24"/>
        </w:rPr>
        <w:t>仲裁委员会申请仲裁。</w:t>
      </w:r>
    </w:p>
    <w:p w14:paraId="0B47BFFE">
      <w:pPr>
        <w:spacing w:after="120" w:afterLines="50" w:line="300" w:lineRule="auto"/>
        <w:ind w:firstLine="480" w:firstLineChars="200"/>
        <w:jc w:val="left"/>
        <w:rPr>
          <w:rFonts w:ascii="宋体" w:hAnsi="宋体"/>
          <w:sz w:val="24"/>
          <w:szCs w:val="24"/>
        </w:rPr>
      </w:pPr>
      <w:r>
        <w:rPr>
          <w:rFonts w:hint="eastAsia" w:ascii="宋体" w:hAnsi="宋体"/>
          <w:sz w:val="24"/>
          <w:szCs w:val="24"/>
        </w:rPr>
        <w:t>（2）向</w:t>
      </w:r>
      <w:r>
        <w:rPr>
          <w:rFonts w:hint="eastAsia" w:ascii="宋体" w:hAnsi="宋体"/>
          <w:sz w:val="24"/>
          <w:szCs w:val="24"/>
          <w:u w:val="single"/>
        </w:rPr>
        <w:t xml:space="preserve">       </w:t>
      </w:r>
      <w:r>
        <w:rPr>
          <w:rFonts w:hint="eastAsia" w:ascii="宋体" w:hAnsi="宋体"/>
          <w:sz w:val="24"/>
          <w:szCs w:val="24"/>
        </w:rPr>
        <w:t>有管辖权的人民法院提起诉讼。</w:t>
      </w:r>
    </w:p>
    <w:p w14:paraId="09A53D2C">
      <w:pPr>
        <w:spacing w:after="120" w:afterLines="50" w:line="300" w:lineRule="auto"/>
        <w:ind w:firstLine="480" w:firstLineChars="200"/>
        <w:jc w:val="left"/>
        <w:rPr>
          <w:rFonts w:ascii="宋体" w:hAnsi="宋体"/>
          <w:sz w:val="24"/>
          <w:szCs w:val="24"/>
        </w:rPr>
      </w:pPr>
      <w:r>
        <w:rPr>
          <w:rFonts w:hint="eastAsia" w:ascii="宋体" w:hAnsi="宋体"/>
          <w:sz w:val="24"/>
          <w:szCs w:val="24"/>
        </w:rPr>
        <w:t>在起诉或仲裁期间，除正在进行的起诉或仲裁部分外，合同其他部分继续执行。</w:t>
      </w:r>
    </w:p>
    <w:p w14:paraId="081505C5">
      <w:pPr>
        <w:spacing w:after="120" w:afterLines="50" w:line="300" w:lineRule="auto"/>
        <w:ind w:firstLine="480" w:firstLineChars="200"/>
        <w:jc w:val="left"/>
        <w:rPr>
          <w:rFonts w:ascii="宋体" w:hAnsi="宋体"/>
          <w:sz w:val="24"/>
          <w:szCs w:val="24"/>
        </w:rPr>
      </w:pPr>
      <w:r>
        <w:rPr>
          <w:rFonts w:hint="eastAsia" w:ascii="宋体" w:hAnsi="宋体"/>
          <w:sz w:val="24"/>
          <w:szCs w:val="24"/>
        </w:rPr>
        <w:t>第十三条 合同生效及其他</w:t>
      </w:r>
    </w:p>
    <w:p w14:paraId="3D723E26">
      <w:pPr>
        <w:spacing w:after="120" w:afterLines="50" w:line="300" w:lineRule="auto"/>
        <w:ind w:firstLine="480" w:firstLineChars="200"/>
        <w:jc w:val="left"/>
        <w:rPr>
          <w:rFonts w:ascii="宋体" w:hAnsi="宋体"/>
          <w:sz w:val="24"/>
          <w:szCs w:val="24"/>
        </w:rPr>
      </w:pPr>
      <w:r>
        <w:rPr>
          <w:rFonts w:hint="eastAsia" w:ascii="宋体" w:hAnsi="宋体"/>
          <w:sz w:val="24"/>
          <w:szCs w:val="24"/>
        </w:rPr>
        <w:t>1、合同由甲、乙双方法定代表人或授权代表签字并加盖公章或合同专用章之日起生效。</w:t>
      </w:r>
    </w:p>
    <w:p w14:paraId="5A397F63">
      <w:pPr>
        <w:spacing w:after="120" w:afterLines="50" w:line="300" w:lineRule="auto"/>
        <w:ind w:firstLine="480" w:firstLineChars="200"/>
        <w:jc w:val="left"/>
        <w:rPr>
          <w:rFonts w:ascii="宋体" w:hAnsi="宋体"/>
          <w:sz w:val="24"/>
          <w:szCs w:val="24"/>
        </w:rPr>
      </w:pPr>
      <w:r>
        <w:rPr>
          <w:rFonts w:hint="eastAsia" w:ascii="宋体" w:hAnsi="宋体"/>
          <w:sz w:val="24"/>
          <w:szCs w:val="24"/>
        </w:rPr>
        <w:t>2、本合同一式（____）份，甲乙双方各执法律效力。</w:t>
      </w:r>
    </w:p>
    <w:p w14:paraId="105488E3">
      <w:pPr>
        <w:spacing w:after="120" w:afterLines="50" w:line="300" w:lineRule="auto"/>
        <w:ind w:firstLine="480" w:firstLineChars="200"/>
        <w:jc w:val="left"/>
        <w:rPr>
          <w:rFonts w:ascii="宋体" w:hAnsi="宋体"/>
          <w:sz w:val="24"/>
          <w:szCs w:val="24"/>
        </w:rPr>
      </w:pPr>
      <w:r>
        <w:rPr>
          <w:rFonts w:hint="eastAsia" w:ascii="宋体" w:hAnsi="宋体"/>
          <w:sz w:val="24"/>
          <w:szCs w:val="24"/>
        </w:rPr>
        <w:t>3、合同执行过程中出现的未尽事宜，双方在不违背合同和投标文件的前提下协商解决。协商结果以“纪要”形式甲乙双方签字盖章确认，作为合同附件，与合同具有同等效力。</w:t>
      </w:r>
    </w:p>
    <w:p w14:paraId="5F306355">
      <w:pPr>
        <w:spacing w:after="120" w:afterLines="50" w:line="300" w:lineRule="auto"/>
        <w:ind w:firstLine="480" w:firstLineChars="200"/>
        <w:jc w:val="left"/>
        <w:rPr>
          <w:rFonts w:ascii="宋体" w:hAnsi="宋体"/>
          <w:sz w:val="24"/>
          <w:szCs w:val="24"/>
        </w:rPr>
      </w:pPr>
      <w:r>
        <w:rPr>
          <w:rFonts w:hint="eastAsia" w:ascii="宋体" w:hAnsi="宋体"/>
          <w:sz w:val="24"/>
          <w:szCs w:val="24"/>
        </w:rPr>
        <w:t>第十四条 下列文件为本合同不可分割部分</w:t>
      </w:r>
    </w:p>
    <w:p w14:paraId="755239E0">
      <w:pPr>
        <w:spacing w:after="120" w:afterLines="50" w:line="300" w:lineRule="auto"/>
        <w:ind w:firstLine="480" w:firstLineChars="200"/>
        <w:jc w:val="left"/>
        <w:rPr>
          <w:rFonts w:ascii="宋体" w:hAnsi="宋体"/>
          <w:sz w:val="24"/>
          <w:szCs w:val="24"/>
        </w:rPr>
      </w:pPr>
      <w:r>
        <w:rPr>
          <w:rFonts w:hint="eastAsia" w:ascii="宋体" w:hAnsi="宋体"/>
          <w:sz w:val="24"/>
          <w:szCs w:val="24"/>
        </w:rPr>
        <w:t>1、中标/成交通知书</w:t>
      </w:r>
    </w:p>
    <w:p w14:paraId="00069311">
      <w:pPr>
        <w:spacing w:after="120" w:afterLines="50" w:line="300" w:lineRule="auto"/>
        <w:ind w:firstLine="480" w:firstLineChars="200"/>
        <w:jc w:val="left"/>
        <w:rPr>
          <w:rFonts w:ascii="宋体" w:hAnsi="宋体"/>
          <w:sz w:val="24"/>
          <w:szCs w:val="24"/>
        </w:rPr>
      </w:pPr>
      <w:r>
        <w:rPr>
          <w:rFonts w:hint="eastAsia" w:ascii="宋体" w:hAnsi="宋体"/>
          <w:sz w:val="24"/>
          <w:szCs w:val="24"/>
        </w:rPr>
        <w:t>2、响应文件/投标文件（含澄清或说明文件）</w:t>
      </w:r>
    </w:p>
    <w:p w14:paraId="48512870">
      <w:pPr>
        <w:spacing w:after="120" w:afterLines="50" w:line="300" w:lineRule="auto"/>
        <w:ind w:firstLine="480" w:firstLineChars="200"/>
        <w:jc w:val="left"/>
        <w:rPr>
          <w:rFonts w:ascii="宋体" w:hAnsi="宋体"/>
          <w:sz w:val="24"/>
          <w:szCs w:val="24"/>
        </w:rPr>
      </w:pPr>
      <w:r>
        <w:rPr>
          <w:rFonts w:hint="eastAsia" w:ascii="宋体" w:hAnsi="宋体"/>
          <w:sz w:val="24"/>
          <w:szCs w:val="24"/>
        </w:rPr>
        <w:t>3、采购文件（含澄清或修改文件）</w:t>
      </w:r>
    </w:p>
    <w:p w14:paraId="0B38D876">
      <w:pPr>
        <w:spacing w:after="120" w:afterLines="50" w:line="300" w:lineRule="auto"/>
        <w:ind w:firstLine="480" w:firstLineChars="200"/>
        <w:jc w:val="left"/>
        <w:rPr>
          <w:rFonts w:ascii="宋体" w:hAnsi="宋体"/>
          <w:sz w:val="24"/>
          <w:szCs w:val="24"/>
        </w:rPr>
      </w:pPr>
      <w:r>
        <w:rPr>
          <w:rFonts w:hint="eastAsia" w:ascii="宋体" w:hAnsi="宋体"/>
          <w:sz w:val="24"/>
          <w:szCs w:val="24"/>
        </w:rPr>
        <w:t>4、投标人所做的其他承诺</w:t>
      </w:r>
    </w:p>
    <w:p w14:paraId="40A0E09E">
      <w:pPr>
        <w:spacing w:after="120" w:afterLines="50" w:line="300" w:lineRule="auto"/>
        <w:ind w:firstLine="480" w:firstLineChars="200"/>
        <w:jc w:val="left"/>
        <w:rPr>
          <w:rFonts w:ascii="宋体" w:hAnsi="宋体"/>
          <w:sz w:val="24"/>
          <w:szCs w:val="24"/>
        </w:rPr>
      </w:pPr>
      <w:r>
        <w:rPr>
          <w:rFonts w:hint="eastAsia" w:ascii="宋体" w:hAnsi="宋体"/>
          <w:sz w:val="24"/>
          <w:szCs w:val="24"/>
        </w:rPr>
        <w:t>甲方（章）：                                      乙方（章）：</w:t>
      </w:r>
    </w:p>
    <w:p w14:paraId="04D8B713">
      <w:pPr>
        <w:spacing w:after="120" w:afterLines="50" w:line="300" w:lineRule="auto"/>
        <w:ind w:firstLine="480" w:firstLineChars="200"/>
        <w:jc w:val="left"/>
        <w:rPr>
          <w:rFonts w:ascii="宋体" w:hAnsi="宋体"/>
          <w:sz w:val="24"/>
          <w:szCs w:val="24"/>
        </w:rPr>
      </w:pPr>
      <w:r>
        <w:rPr>
          <w:rFonts w:hint="eastAsia" w:ascii="宋体" w:hAnsi="宋体"/>
          <w:sz w:val="24"/>
          <w:szCs w:val="24"/>
        </w:rPr>
        <w:t>法定代表人：                                     法定代表人：</w:t>
      </w:r>
    </w:p>
    <w:p w14:paraId="17540986">
      <w:pPr>
        <w:spacing w:after="120" w:afterLines="50" w:line="300" w:lineRule="auto"/>
        <w:ind w:firstLine="480" w:firstLineChars="200"/>
        <w:jc w:val="left"/>
        <w:rPr>
          <w:rFonts w:ascii="宋体" w:hAnsi="宋体"/>
          <w:sz w:val="24"/>
          <w:szCs w:val="24"/>
        </w:rPr>
      </w:pPr>
      <w:r>
        <w:rPr>
          <w:rFonts w:hint="eastAsia" w:ascii="宋体" w:hAnsi="宋体"/>
          <w:sz w:val="24"/>
          <w:szCs w:val="24"/>
        </w:rPr>
        <w:t>委托代理人：                                     委托代理人：</w:t>
      </w:r>
    </w:p>
    <w:p w14:paraId="5193DB56">
      <w:pPr>
        <w:spacing w:after="120" w:afterLines="50" w:line="300" w:lineRule="auto"/>
        <w:ind w:firstLine="480" w:firstLineChars="200"/>
        <w:jc w:val="left"/>
        <w:rPr>
          <w:rFonts w:ascii="宋体" w:hAnsi="宋体"/>
          <w:sz w:val="24"/>
          <w:szCs w:val="24"/>
        </w:rPr>
      </w:pPr>
      <w:r>
        <w:rPr>
          <w:rFonts w:hint="eastAsia" w:ascii="宋体" w:hAnsi="宋体"/>
          <w:sz w:val="24"/>
          <w:szCs w:val="24"/>
        </w:rPr>
        <w:t>地 址：                                          地 址：</w:t>
      </w:r>
    </w:p>
    <w:p w14:paraId="76C90CC6">
      <w:pPr>
        <w:spacing w:after="120" w:afterLines="50" w:line="300" w:lineRule="auto"/>
        <w:ind w:firstLine="480" w:firstLineChars="200"/>
        <w:jc w:val="left"/>
        <w:rPr>
          <w:rFonts w:ascii="宋体" w:hAnsi="宋体"/>
          <w:sz w:val="24"/>
          <w:szCs w:val="24"/>
        </w:rPr>
      </w:pPr>
      <w:r>
        <w:rPr>
          <w:rFonts w:hint="eastAsia" w:ascii="宋体" w:hAnsi="宋体"/>
          <w:sz w:val="24"/>
          <w:szCs w:val="24"/>
        </w:rPr>
        <w:t>电 话：                                          电 话：</w:t>
      </w:r>
    </w:p>
    <w:p w14:paraId="5D24AC84">
      <w:pPr>
        <w:spacing w:after="120" w:afterLines="50" w:line="300" w:lineRule="auto"/>
        <w:ind w:firstLine="480" w:firstLineChars="200"/>
        <w:jc w:val="left"/>
        <w:rPr>
          <w:rFonts w:ascii="宋体" w:hAnsi="宋体"/>
          <w:sz w:val="24"/>
          <w:szCs w:val="24"/>
        </w:rPr>
      </w:pPr>
      <w:r>
        <w:rPr>
          <w:rFonts w:hint="eastAsia" w:ascii="宋体" w:hAnsi="宋体"/>
          <w:sz w:val="24"/>
          <w:szCs w:val="24"/>
        </w:rPr>
        <w:t>开户银行：                                       开户银行：</w:t>
      </w:r>
    </w:p>
    <w:p w14:paraId="4C6732B4">
      <w:pPr>
        <w:spacing w:after="120" w:afterLines="50" w:line="300" w:lineRule="auto"/>
        <w:ind w:firstLine="480" w:firstLineChars="200"/>
        <w:jc w:val="left"/>
        <w:rPr>
          <w:rFonts w:ascii="宋体" w:hAnsi="宋体"/>
          <w:sz w:val="24"/>
          <w:szCs w:val="24"/>
        </w:rPr>
      </w:pPr>
      <w:r>
        <w:rPr>
          <w:rFonts w:hint="eastAsia" w:ascii="宋体" w:hAnsi="宋体"/>
          <w:sz w:val="24"/>
          <w:szCs w:val="24"/>
        </w:rPr>
        <w:t>账 号：                                          账 号：</w:t>
      </w:r>
    </w:p>
    <w:p w14:paraId="494A8EED">
      <w:pPr>
        <w:spacing w:after="120" w:afterLines="50" w:line="300" w:lineRule="auto"/>
        <w:ind w:firstLine="480" w:firstLineChars="200"/>
        <w:jc w:val="left"/>
        <w:rPr>
          <w:rFonts w:ascii="宋体" w:hAnsi="宋体"/>
          <w:sz w:val="24"/>
          <w:szCs w:val="24"/>
        </w:rPr>
      </w:pPr>
      <w:r>
        <w:rPr>
          <w:rFonts w:hint="eastAsia" w:ascii="宋体" w:hAnsi="宋体"/>
          <w:sz w:val="24"/>
          <w:szCs w:val="24"/>
        </w:rPr>
        <w:t xml:space="preserve">本合同的签署地：        </w:t>
      </w:r>
    </w:p>
    <w:p w14:paraId="65115FDF">
      <w:pPr>
        <w:spacing w:line="360" w:lineRule="auto"/>
        <w:ind w:firstLine="480" w:firstLineChars="200"/>
        <w:rPr>
          <w:rFonts w:hint="eastAsia" w:ascii="宋体" w:hAnsi="宋体" w:eastAsia="宋体" w:cs="宋体"/>
          <w:bCs/>
          <w:color w:val="000000"/>
          <w:sz w:val="24"/>
          <w:szCs w:val="24"/>
        </w:rPr>
      </w:pPr>
      <w:r>
        <w:rPr>
          <w:rFonts w:hint="eastAsia" w:ascii="宋体" w:hAnsi="宋体"/>
          <w:sz w:val="24"/>
          <w:szCs w:val="24"/>
        </w:rPr>
        <w:t>日期：</w:t>
      </w:r>
    </w:p>
    <w:p w14:paraId="3E32331A">
      <w:pPr>
        <w:spacing w:line="360" w:lineRule="auto"/>
        <w:rPr>
          <w:rFonts w:hint="eastAsia" w:ascii="宋体" w:hAnsi="宋体" w:eastAsia="宋体" w:cs="宋体"/>
          <w:color w:val="000000"/>
          <w:sz w:val="24"/>
          <w:szCs w:val="24"/>
        </w:rPr>
      </w:pPr>
    </w:p>
    <w:p w14:paraId="63ADE25B">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账 号：                         账 号： </w:t>
      </w:r>
    </w:p>
    <w:p w14:paraId="6C52554D">
      <w:pPr>
        <w:spacing w:line="360" w:lineRule="auto"/>
        <w:ind w:firstLine="470" w:firstLineChars="196"/>
        <w:jc w:val="left"/>
        <w:rPr>
          <w:rFonts w:ascii="宋体" w:hAnsi="宋体" w:cs="宋体"/>
          <w:b/>
          <w:color w:val="auto"/>
          <w:sz w:val="24"/>
          <w:highlight w:val="none"/>
        </w:rPr>
      </w:pPr>
      <w:r>
        <w:rPr>
          <w:rFonts w:hint="eastAsia" w:ascii="宋体" w:hAnsi="宋体" w:eastAsia="宋体" w:cs="宋体"/>
          <w:color w:val="auto"/>
          <w:kern w:val="0"/>
          <w:sz w:val="24"/>
          <w:szCs w:val="24"/>
          <w:highlight w:val="none"/>
        </w:rPr>
        <w:t>日 期：     年   月   日        日 期：     年   月   日</w:t>
      </w:r>
    </w:p>
    <w:p w14:paraId="46F2DE42">
      <w:pPr>
        <w:spacing w:line="44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376CAB25">
      <w:pPr>
        <w:snapToGrid w:val="0"/>
        <w:spacing w:line="360" w:lineRule="auto"/>
        <w:jc w:val="center"/>
        <w:outlineLvl w:val="0"/>
        <w:rPr>
          <w:rFonts w:ascii="宋体" w:hAnsi="宋体" w:cs="宋体"/>
          <w:b/>
          <w:color w:val="auto"/>
          <w:kern w:val="0"/>
          <w:sz w:val="28"/>
          <w:szCs w:val="28"/>
          <w:highlight w:val="none"/>
        </w:rPr>
      </w:pPr>
      <w:bookmarkStart w:id="81" w:name="_Toc5073"/>
      <w:r>
        <w:rPr>
          <w:rFonts w:hint="eastAsia" w:ascii="宋体" w:hAnsi="宋体" w:cs="宋体"/>
          <w:b/>
          <w:color w:val="auto"/>
          <w:kern w:val="0"/>
          <w:sz w:val="28"/>
          <w:szCs w:val="28"/>
          <w:highlight w:val="none"/>
        </w:rPr>
        <w:t>第七部分  响应文件格式</w:t>
      </w:r>
      <w:bookmarkEnd w:id="81"/>
    </w:p>
    <w:p w14:paraId="40702F07">
      <w:pPr>
        <w:snapToGrid w:val="0"/>
        <w:spacing w:line="360" w:lineRule="auto"/>
        <w:jc w:val="left"/>
        <w:rPr>
          <w:rFonts w:ascii="宋体" w:hAnsi="宋体" w:cs="宋体"/>
          <w:color w:val="auto"/>
          <w:kern w:val="0"/>
          <w:sz w:val="28"/>
          <w:highlight w:val="none"/>
        </w:rPr>
      </w:pPr>
    </w:p>
    <w:p w14:paraId="7D893B87">
      <w:pPr>
        <w:tabs>
          <w:tab w:val="left" w:pos="-737"/>
        </w:tabs>
        <w:snapToGrid w:val="0"/>
        <w:spacing w:line="360" w:lineRule="auto"/>
        <w:ind w:firstLine="180"/>
        <w:jc w:val="left"/>
        <w:outlineLvl w:val="1"/>
        <w:rPr>
          <w:rFonts w:ascii="宋体" w:hAnsi="宋体" w:cs="宋体"/>
          <w:color w:val="auto"/>
          <w:kern w:val="0"/>
          <w:sz w:val="24"/>
          <w:highlight w:val="none"/>
        </w:rPr>
      </w:pPr>
      <w:bookmarkStart w:id="82" w:name="_Toc20847"/>
      <w:r>
        <w:rPr>
          <w:rFonts w:hint="eastAsia" w:ascii="宋体" w:hAnsi="宋体" w:cs="宋体"/>
          <w:b/>
          <w:color w:val="auto"/>
          <w:kern w:val="0"/>
          <w:sz w:val="24"/>
          <w:highlight w:val="none"/>
        </w:rPr>
        <w:t>一、供应商提交响应文件须知</w:t>
      </w:r>
      <w:bookmarkEnd w:id="82"/>
    </w:p>
    <w:p w14:paraId="2C8B664B">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1．供应商应严格按照以下顺序填写，并按“政采云系统”中规定的要求，形成独立的PDF格式文件提交下述规定的全部格式文件以及其他有关资料，混乱的编排导致响应文件被误读或查找不到，后果由供应商承担。</w:t>
      </w:r>
    </w:p>
    <w:p w14:paraId="2C940086">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2．所附表格中要求回答的全部问题和信息都必须正面回答。</w:t>
      </w:r>
    </w:p>
    <w:p w14:paraId="7DD21F35">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3．本声明的签字人应保证全部声明和问题的回答是真实的和准确的。</w:t>
      </w:r>
    </w:p>
    <w:p w14:paraId="64F49656">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4．谈判小组将对供应商提交的资料并根据自己的判断，判定供应商履行合同的合格性及能力。</w:t>
      </w:r>
    </w:p>
    <w:p w14:paraId="3BA3F760">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5．供应商提交的材料将被妥善保存，但不退还。</w:t>
      </w:r>
    </w:p>
    <w:p w14:paraId="1D13A78F">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highlight w:val="none"/>
        </w:rPr>
        <w:t>6．全部文件应按供应商须知中规定的语言和要求提交。</w:t>
      </w:r>
    </w:p>
    <w:p w14:paraId="312FB3BE">
      <w:pPr>
        <w:snapToGrid w:val="0"/>
        <w:spacing w:line="360" w:lineRule="auto"/>
        <w:rPr>
          <w:rFonts w:ascii="宋体" w:hAnsi="宋体" w:cs="宋体"/>
          <w:color w:val="auto"/>
          <w:kern w:val="0"/>
          <w:sz w:val="28"/>
          <w:szCs w:val="28"/>
          <w:highlight w:val="none"/>
        </w:rPr>
      </w:pPr>
    </w:p>
    <w:p w14:paraId="5A91480B">
      <w:pPr>
        <w:ind w:right="-13" w:rightChars="-6"/>
        <w:rPr>
          <w:rFonts w:ascii="宋体" w:hAnsi="宋体" w:cs="宋体"/>
          <w:b/>
          <w:bCs/>
          <w:color w:val="auto"/>
          <w:kern w:val="0"/>
          <w:sz w:val="32"/>
          <w:szCs w:val="32"/>
          <w:highlight w:val="none"/>
        </w:rPr>
      </w:pPr>
    </w:p>
    <w:p w14:paraId="7955B757">
      <w:pPr>
        <w:ind w:right="-13" w:rightChars="-6"/>
        <w:rPr>
          <w:rFonts w:ascii="宋体" w:hAnsi="宋体" w:cs="宋体"/>
          <w:b/>
          <w:bCs/>
          <w:color w:val="auto"/>
          <w:kern w:val="0"/>
          <w:sz w:val="32"/>
          <w:szCs w:val="32"/>
          <w:highlight w:val="none"/>
        </w:rPr>
      </w:pPr>
    </w:p>
    <w:p w14:paraId="1C5243CF">
      <w:pPr>
        <w:ind w:right="-13" w:rightChars="-6"/>
        <w:rPr>
          <w:rFonts w:ascii="宋体" w:hAnsi="宋体" w:cs="宋体"/>
          <w:b/>
          <w:bCs/>
          <w:color w:val="auto"/>
          <w:kern w:val="0"/>
          <w:sz w:val="32"/>
          <w:szCs w:val="32"/>
          <w:highlight w:val="none"/>
        </w:rPr>
      </w:pPr>
    </w:p>
    <w:p w14:paraId="47DEE03F">
      <w:pPr>
        <w:ind w:right="-13" w:rightChars="-6"/>
        <w:rPr>
          <w:rFonts w:ascii="宋体" w:hAnsi="宋体" w:cs="宋体"/>
          <w:b/>
          <w:bCs/>
          <w:color w:val="auto"/>
          <w:kern w:val="0"/>
          <w:sz w:val="32"/>
          <w:szCs w:val="32"/>
          <w:highlight w:val="none"/>
        </w:rPr>
      </w:pPr>
    </w:p>
    <w:p w14:paraId="078B98B8">
      <w:pPr>
        <w:ind w:right="-13" w:rightChars="-6"/>
        <w:rPr>
          <w:rFonts w:ascii="宋体" w:hAnsi="宋体" w:cs="宋体"/>
          <w:b/>
          <w:bCs/>
          <w:color w:val="auto"/>
          <w:kern w:val="0"/>
          <w:sz w:val="32"/>
          <w:szCs w:val="32"/>
          <w:highlight w:val="none"/>
        </w:rPr>
      </w:pPr>
    </w:p>
    <w:p w14:paraId="6433BBF5">
      <w:pPr>
        <w:ind w:right="-13" w:rightChars="-6"/>
        <w:rPr>
          <w:rFonts w:ascii="宋体" w:hAnsi="宋体" w:cs="宋体"/>
          <w:b/>
          <w:bCs/>
          <w:color w:val="auto"/>
          <w:kern w:val="0"/>
          <w:sz w:val="32"/>
          <w:szCs w:val="32"/>
          <w:highlight w:val="none"/>
        </w:rPr>
      </w:pPr>
    </w:p>
    <w:p w14:paraId="33171247">
      <w:pPr>
        <w:ind w:right="-13" w:rightChars="-6"/>
        <w:rPr>
          <w:rFonts w:ascii="宋体" w:hAnsi="宋体" w:cs="宋体"/>
          <w:b/>
          <w:bCs/>
          <w:color w:val="auto"/>
          <w:kern w:val="0"/>
          <w:sz w:val="32"/>
          <w:szCs w:val="32"/>
          <w:highlight w:val="none"/>
        </w:rPr>
      </w:pPr>
    </w:p>
    <w:p w14:paraId="0B547F32">
      <w:pPr>
        <w:ind w:right="-13" w:rightChars="-6"/>
        <w:rPr>
          <w:rFonts w:ascii="宋体" w:hAnsi="宋体" w:cs="宋体"/>
          <w:b/>
          <w:bCs/>
          <w:color w:val="auto"/>
          <w:kern w:val="0"/>
          <w:sz w:val="32"/>
          <w:szCs w:val="32"/>
          <w:highlight w:val="none"/>
        </w:rPr>
      </w:pPr>
    </w:p>
    <w:p w14:paraId="4F685C06">
      <w:pPr>
        <w:ind w:right="-13" w:rightChars="-6"/>
        <w:rPr>
          <w:rFonts w:ascii="宋体" w:hAnsi="宋体" w:cs="宋体"/>
          <w:b/>
          <w:bCs/>
          <w:color w:val="auto"/>
          <w:kern w:val="0"/>
          <w:sz w:val="32"/>
          <w:szCs w:val="32"/>
          <w:highlight w:val="none"/>
        </w:rPr>
      </w:pPr>
    </w:p>
    <w:p w14:paraId="242D9EE4">
      <w:pPr>
        <w:pStyle w:val="18"/>
        <w:rPr>
          <w:rFonts w:ascii="宋体" w:hAnsi="宋体" w:cs="宋体"/>
          <w:color w:val="auto"/>
          <w:highlight w:val="none"/>
        </w:rPr>
      </w:pPr>
    </w:p>
    <w:p w14:paraId="1E4E7D47">
      <w:pPr>
        <w:ind w:right="-13" w:rightChars="-6"/>
        <w:rPr>
          <w:rFonts w:ascii="宋体" w:hAnsi="宋体" w:cs="宋体"/>
          <w:b/>
          <w:bCs/>
          <w:color w:val="auto"/>
          <w:kern w:val="0"/>
          <w:sz w:val="32"/>
          <w:szCs w:val="32"/>
          <w:highlight w:val="none"/>
        </w:rPr>
      </w:pPr>
    </w:p>
    <w:p w14:paraId="775CA8AF">
      <w:pPr>
        <w:pStyle w:val="14"/>
        <w:rPr>
          <w:rFonts w:hAnsi="宋体" w:cs="宋体"/>
          <w:color w:val="auto"/>
          <w:sz w:val="28"/>
          <w:highlight w:val="none"/>
        </w:rPr>
      </w:pPr>
    </w:p>
    <w:p w14:paraId="50C5D64A">
      <w:pPr>
        <w:rPr>
          <w:rFonts w:ascii="宋体" w:hAnsi="宋体" w:cs="宋体"/>
          <w:color w:val="auto"/>
          <w:kern w:val="0"/>
          <w:sz w:val="28"/>
          <w:highlight w:val="none"/>
        </w:rPr>
      </w:pPr>
      <w:r>
        <w:rPr>
          <w:rFonts w:hint="eastAsia" w:ascii="宋体" w:hAnsi="宋体" w:cs="宋体"/>
          <w:color w:val="auto"/>
          <w:kern w:val="0"/>
          <w:sz w:val="28"/>
          <w:highlight w:val="none"/>
        </w:rPr>
        <w:br w:type="page"/>
      </w:r>
    </w:p>
    <w:p w14:paraId="237B29A1">
      <w:pPr>
        <w:tabs>
          <w:tab w:val="left" w:pos="4000"/>
        </w:tabs>
        <w:snapToGrid w:val="0"/>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响应文件封面格式</w:t>
      </w:r>
    </w:p>
    <w:p w14:paraId="38DFE4B3">
      <w:pPr>
        <w:snapToGrid w:val="0"/>
        <w:spacing w:line="360" w:lineRule="auto"/>
        <w:jc w:val="right"/>
        <w:rPr>
          <w:rFonts w:ascii="宋体" w:hAnsi="宋体" w:cs="宋体"/>
          <w:color w:val="auto"/>
          <w:kern w:val="0"/>
          <w:sz w:val="28"/>
          <w:szCs w:val="32"/>
          <w:highlight w:val="none"/>
        </w:rPr>
      </w:pPr>
    </w:p>
    <w:p w14:paraId="69A4C0C7">
      <w:pPr>
        <w:snapToGrid w:val="0"/>
        <w:spacing w:line="360" w:lineRule="auto"/>
        <w:jc w:val="right"/>
        <w:rPr>
          <w:rFonts w:ascii="宋体" w:hAnsi="宋体" w:cs="宋体"/>
          <w:color w:val="auto"/>
          <w:kern w:val="0"/>
          <w:sz w:val="28"/>
          <w:szCs w:val="32"/>
          <w:highlight w:val="none"/>
        </w:rPr>
      </w:pPr>
    </w:p>
    <w:p w14:paraId="0DF39E93">
      <w:pPr>
        <w:pStyle w:val="5"/>
        <w:outlineLvl w:val="9"/>
        <w:rPr>
          <w:rFonts w:ascii="宋体" w:hAnsi="宋体" w:eastAsia="宋体" w:cs="宋体"/>
          <w:color w:val="auto"/>
          <w:kern w:val="0"/>
          <w:szCs w:val="32"/>
          <w:highlight w:val="none"/>
        </w:rPr>
      </w:pPr>
    </w:p>
    <w:p w14:paraId="2BF6DBC1">
      <w:pPr>
        <w:rPr>
          <w:rFonts w:ascii="宋体" w:hAnsi="宋体" w:cs="宋体"/>
          <w:color w:val="auto"/>
          <w:highlight w:val="none"/>
        </w:rPr>
      </w:pPr>
    </w:p>
    <w:p w14:paraId="1902B9B8">
      <w:pPr>
        <w:snapToGrid w:val="0"/>
        <w:spacing w:line="360" w:lineRule="auto"/>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响  应  文  件</w:t>
      </w:r>
    </w:p>
    <w:p w14:paraId="15C0D3D8">
      <w:pPr>
        <w:snapToGrid w:val="0"/>
        <w:spacing w:line="360" w:lineRule="auto"/>
        <w:jc w:val="center"/>
        <w:rPr>
          <w:rFonts w:ascii="宋体" w:hAnsi="宋体" w:cs="宋体"/>
          <w:b/>
          <w:color w:val="auto"/>
          <w:kern w:val="0"/>
          <w:sz w:val="44"/>
          <w:szCs w:val="44"/>
          <w:highlight w:val="none"/>
        </w:rPr>
      </w:pPr>
    </w:p>
    <w:p w14:paraId="0291C71A">
      <w:pPr>
        <w:snapToGrid w:val="0"/>
        <w:spacing w:line="360" w:lineRule="auto"/>
        <w:ind w:firstLine="560" w:firstLineChars="200"/>
        <w:jc w:val="left"/>
        <w:rPr>
          <w:rFonts w:ascii="宋体" w:hAnsi="宋体" w:cs="宋体"/>
          <w:color w:val="auto"/>
          <w:kern w:val="0"/>
          <w:sz w:val="28"/>
          <w:szCs w:val="30"/>
          <w:highlight w:val="none"/>
        </w:rPr>
      </w:pPr>
    </w:p>
    <w:p w14:paraId="0D817800">
      <w:pPr>
        <w:snapToGrid w:val="0"/>
        <w:spacing w:line="360" w:lineRule="auto"/>
        <w:ind w:firstLine="560" w:firstLineChars="200"/>
        <w:jc w:val="left"/>
        <w:rPr>
          <w:rFonts w:ascii="宋体" w:hAnsi="宋体" w:cs="宋体"/>
          <w:color w:val="auto"/>
          <w:kern w:val="0"/>
          <w:sz w:val="28"/>
          <w:szCs w:val="30"/>
          <w:highlight w:val="none"/>
        </w:rPr>
      </w:pPr>
      <w:r>
        <w:rPr>
          <w:rFonts w:hint="eastAsia" w:ascii="宋体" w:hAnsi="宋体" w:cs="宋体"/>
          <w:color w:val="auto"/>
          <w:kern w:val="0"/>
          <w:sz w:val="28"/>
          <w:szCs w:val="30"/>
          <w:highlight w:val="none"/>
        </w:rPr>
        <w:t>项目名称：</w:t>
      </w:r>
    </w:p>
    <w:p w14:paraId="26737F8F">
      <w:pPr>
        <w:snapToGrid w:val="0"/>
        <w:spacing w:line="360" w:lineRule="auto"/>
        <w:ind w:firstLine="560" w:firstLineChars="200"/>
        <w:jc w:val="left"/>
        <w:rPr>
          <w:rFonts w:ascii="宋体" w:hAnsi="宋体" w:cs="宋体"/>
          <w:color w:val="auto"/>
          <w:kern w:val="0"/>
          <w:sz w:val="28"/>
          <w:szCs w:val="30"/>
          <w:highlight w:val="none"/>
        </w:rPr>
      </w:pPr>
      <w:r>
        <w:rPr>
          <w:rFonts w:hint="eastAsia" w:ascii="宋体" w:hAnsi="宋体" w:cs="宋体"/>
          <w:color w:val="auto"/>
          <w:kern w:val="0"/>
          <w:sz w:val="28"/>
          <w:szCs w:val="30"/>
          <w:highlight w:val="none"/>
        </w:rPr>
        <w:t>项目编号：</w:t>
      </w:r>
    </w:p>
    <w:p w14:paraId="45B843DB">
      <w:pPr>
        <w:snapToGrid w:val="0"/>
        <w:spacing w:line="360" w:lineRule="auto"/>
        <w:ind w:firstLine="560" w:firstLineChars="200"/>
        <w:jc w:val="both"/>
        <w:rPr>
          <w:rFonts w:hint="eastAsia" w:ascii="宋体" w:hAnsi="宋体" w:eastAsia="宋体" w:cs="宋体"/>
          <w:color w:val="auto"/>
          <w:kern w:val="0"/>
          <w:sz w:val="28"/>
          <w:szCs w:val="30"/>
          <w:highlight w:val="none"/>
          <w:lang w:val="en-US" w:eastAsia="zh-CN"/>
        </w:rPr>
      </w:pPr>
    </w:p>
    <w:p w14:paraId="0E2C2382">
      <w:pPr>
        <w:pStyle w:val="18"/>
        <w:rPr>
          <w:rFonts w:ascii="宋体" w:hAnsi="宋体" w:cs="宋体"/>
          <w:color w:val="auto"/>
          <w:highlight w:val="none"/>
        </w:rPr>
      </w:pPr>
    </w:p>
    <w:p w14:paraId="20718BEC">
      <w:pPr>
        <w:pStyle w:val="18"/>
        <w:rPr>
          <w:rFonts w:ascii="宋体" w:hAnsi="宋体" w:cs="宋体"/>
          <w:color w:val="auto"/>
          <w:highlight w:val="none"/>
        </w:rPr>
      </w:pPr>
    </w:p>
    <w:p w14:paraId="3C0EC6ED">
      <w:pPr>
        <w:snapToGrid w:val="0"/>
        <w:spacing w:line="360" w:lineRule="auto"/>
        <w:jc w:val="center"/>
        <w:rPr>
          <w:rFonts w:ascii="宋体" w:hAnsi="宋体" w:cs="宋体"/>
          <w:b/>
          <w:color w:val="auto"/>
          <w:kern w:val="0"/>
          <w:sz w:val="28"/>
          <w:szCs w:val="44"/>
          <w:highlight w:val="none"/>
        </w:rPr>
      </w:pPr>
    </w:p>
    <w:p w14:paraId="2FB3B259">
      <w:pPr>
        <w:snapToGrid w:val="0"/>
        <w:spacing w:line="360" w:lineRule="auto"/>
        <w:jc w:val="left"/>
        <w:rPr>
          <w:rFonts w:ascii="宋体" w:hAnsi="宋体" w:cs="宋体"/>
          <w:color w:val="auto"/>
          <w:kern w:val="0"/>
          <w:sz w:val="28"/>
          <w:highlight w:val="none"/>
        </w:rPr>
      </w:pPr>
    </w:p>
    <w:p w14:paraId="3E7A291F">
      <w:pPr>
        <w:snapToGrid w:val="0"/>
        <w:spacing w:line="360" w:lineRule="auto"/>
        <w:jc w:val="left"/>
        <w:rPr>
          <w:rFonts w:ascii="宋体" w:hAnsi="宋体" w:cs="宋体"/>
          <w:color w:val="auto"/>
          <w:kern w:val="0"/>
          <w:sz w:val="28"/>
          <w:highlight w:val="none"/>
        </w:rPr>
      </w:pPr>
    </w:p>
    <w:p w14:paraId="530B61C4">
      <w:pPr>
        <w:snapToGrid w:val="0"/>
        <w:spacing w:line="360" w:lineRule="auto"/>
        <w:jc w:val="left"/>
        <w:rPr>
          <w:rFonts w:ascii="宋体" w:hAnsi="宋体" w:cs="宋体"/>
          <w:color w:val="auto"/>
          <w:kern w:val="0"/>
          <w:sz w:val="28"/>
          <w:highlight w:val="none"/>
        </w:rPr>
      </w:pPr>
    </w:p>
    <w:p w14:paraId="2B4A17EB">
      <w:pPr>
        <w:snapToGrid w:val="0"/>
        <w:spacing w:line="360" w:lineRule="auto"/>
        <w:jc w:val="center"/>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供应商</w:t>
      </w:r>
      <w:r>
        <w:rPr>
          <w:rFonts w:hint="eastAsia" w:ascii="宋体" w:hAnsi="宋体" w:cs="宋体"/>
          <w:color w:val="auto"/>
          <w:kern w:val="0"/>
          <w:sz w:val="30"/>
          <w:szCs w:val="30"/>
          <w:highlight w:val="none"/>
          <w:lang w:val="en-US" w:eastAsia="zh-CN"/>
        </w:rPr>
        <w:t>名称</w:t>
      </w:r>
      <w:r>
        <w:rPr>
          <w:rFonts w:hint="eastAsia" w:ascii="宋体" w:hAnsi="宋体" w:cs="宋体"/>
          <w:color w:val="auto"/>
          <w:kern w:val="0"/>
          <w:sz w:val="30"/>
          <w:szCs w:val="30"/>
          <w:highlight w:val="none"/>
        </w:rPr>
        <w:t xml:space="preserve">： </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rPr>
        <w:t>（电子公章）</w:t>
      </w:r>
    </w:p>
    <w:p w14:paraId="25EB51F8">
      <w:pPr>
        <w:snapToGrid w:val="0"/>
        <w:spacing w:line="360" w:lineRule="auto"/>
        <w:jc w:val="center"/>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法定代表人（负责人）或授权代表：：</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u w:val="single"/>
          <w:lang w:val="en-US" w:eastAsia="zh-CN"/>
        </w:rPr>
        <w:t xml:space="preserve"> </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rPr>
        <w:t>（电子章）</w:t>
      </w:r>
    </w:p>
    <w:p w14:paraId="6BA96469">
      <w:pPr>
        <w:snapToGrid w:val="0"/>
        <w:spacing w:line="360" w:lineRule="auto"/>
        <w:rPr>
          <w:rFonts w:ascii="宋体" w:hAnsi="宋体" w:cs="宋体"/>
          <w:color w:val="auto"/>
          <w:kern w:val="0"/>
          <w:sz w:val="30"/>
          <w:szCs w:val="30"/>
          <w:highlight w:val="none"/>
          <w:u w:val="single"/>
        </w:rPr>
      </w:pPr>
    </w:p>
    <w:p w14:paraId="431A0F3A">
      <w:pPr>
        <w:pStyle w:val="18"/>
        <w:rPr>
          <w:rFonts w:ascii="宋体" w:hAnsi="宋体" w:cs="宋体"/>
          <w:color w:val="auto"/>
          <w:sz w:val="30"/>
          <w:szCs w:val="30"/>
          <w:highlight w:val="none"/>
          <w:u w:val="single"/>
        </w:rPr>
      </w:pPr>
    </w:p>
    <w:p w14:paraId="236FADC8">
      <w:pPr>
        <w:snapToGrid w:val="0"/>
        <w:spacing w:line="360" w:lineRule="auto"/>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年   月   日</w:t>
      </w:r>
    </w:p>
    <w:p w14:paraId="43795858">
      <w:pPr>
        <w:spacing w:line="360" w:lineRule="auto"/>
        <w:rPr>
          <w:rFonts w:ascii="宋体" w:hAnsi="宋体" w:cs="宋体"/>
          <w:bCs/>
          <w:color w:val="auto"/>
          <w:sz w:val="24"/>
          <w:highlight w:val="none"/>
        </w:rPr>
      </w:pPr>
    </w:p>
    <w:bookmarkEnd w:id="1"/>
    <w:bookmarkEnd w:id="3"/>
    <w:p w14:paraId="24E64397">
      <w:pPr>
        <w:widowControl/>
        <w:snapToGrid w:val="0"/>
        <w:spacing w:line="300" w:lineRule="auto"/>
        <w:ind w:firstLine="964" w:firstLineChars="200"/>
        <w:jc w:val="center"/>
        <w:rPr>
          <w:rFonts w:ascii="宋体" w:hAnsi="宋体" w:cs="宋体"/>
          <w:b/>
          <w:bCs/>
          <w:color w:val="auto"/>
          <w:kern w:val="0"/>
          <w:sz w:val="48"/>
          <w:szCs w:val="48"/>
          <w:highlight w:val="none"/>
        </w:rPr>
        <w:sectPr>
          <w:pgSz w:w="11906" w:h="16838"/>
          <w:pgMar w:top="1417" w:right="1417" w:bottom="1417" w:left="1417" w:header="851" w:footer="992" w:gutter="0"/>
          <w:pgNumType w:fmt="decimal"/>
          <w:cols w:space="720" w:num="1"/>
          <w:formProt w:val="1"/>
          <w:docGrid w:type="lines" w:linePitch="312" w:charSpace="0"/>
        </w:sectPr>
      </w:pPr>
    </w:p>
    <w:p w14:paraId="199A0A6B">
      <w:pPr>
        <w:snapToGrid w:val="0"/>
        <w:spacing w:line="360" w:lineRule="auto"/>
        <w:jc w:val="left"/>
        <w:rPr>
          <w:rFonts w:ascii="宋体" w:hAnsi="宋体" w:cs="宋体"/>
          <w:b/>
          <w:color w:val="auto"/>
          <w:kern w:val="0"/>
          <w:sz w:val="36"/>
          <w:szCs w:val="36"/>
          <w:highlight w:val="none"/>
        </w:rPr>
      </w:pPr>
      <w:r>
        <w:rPr>
          <w:rFonts w:hint="eastAsia" w:ascii="宋体" w:hAnsi="宋体" w:cs="宋体"/>
          <w:bCs/>
          <w:color w:val="auto"/>
          <w:kern w:val="0"/>
          <w:sz w:val="28"/>
          <w:szCs w:val="28"/>
          <w:highlight w:val="none"/>
        </w:rPr>
        <w:t>目录格式</w:t>
      </w:r>
    </w:p>
    <w:p w14:paraId="4F3D7F60">
      <w:pPr>
        <w:spacing w:line="360" w:lineRule="auto"/>
        <w:jc w:val="center"/>
        <w:outlineLvl w:val="1"/>
        <w:rPr>
          <w:rFonts w:ascii="宋体" w:hAnsi="宋体" w:cs="宋体"/>
          <w:b/>
          <w:bCs/>
          <w:color w:val="auto"/>
          <w:sz w:val="36"/>
          <w:szCs w:val="36"/>
          <w:highlight w:val="none"/>
        </w:rPr>
      </w:pPr>
      <w:bookmarkStart w:id="83" w:name="_Toc22390"/>
      <w:r>
        <w:rPr>
          <w:rFonts w:hint="eastAsia" w:ascii="宋体" w:hAnsi="宋体" w:cs="宋体"/>
          <w:b/>
          <w:bCs/>
          <w:color w:val="auto"/>
          <w:sz w:val="36"/>
          <w:szCs w:val="36"/>
          <w:highlight w:val="none"/>
        </w:rPr>
        <w:t>目     录</w:t>
      </w:r>
      <w:bookmarkEnd w:id="83"/>
    </w:p>
    <w:p w14:paraId="2DCADEE7">
      <w:pPr>
        <w:spacing w:line="360" w:lineRule="auto"/>
        <w:jc w:val="center"/>
        <w:rPr>
          <w:rFonts w:hint="eastAsia" w:ascii="宋体" w:hAnsi="宋体" w:cs="宋体"/>
          <w:b/>
          <w:bCs/>
          <w:color w:val="auto"/>
          <w:sz w:val="30"/>
          <w:szCs w:val="30"/>
          <w:highlight w:val="none"/>
        </w:rPr>
      </w:pPr>
    </w:p>
    <w:p w14:paraId="31E1D7AB">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资格证明文件</w:t>
      </w:r>
    </w:p>
    <w:p w14:paraId="03C9544A">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default" w:ascii="宋体" w:hAnsi="宋体" w:eastAsia="宋体" w:cs="宋体"/>
          <w:color w:val="auto"/>
          <w:kern w:val="0"/>
          <w:sz w:val="24"/>
          <w:highlight w:val="none"/>
          <w:lang w:val="en-US" w:eastAsia="zh-CN"/>
        </w:rPr>
        <w:t>具有独立承担民事责任的能力……………………………………………</w:t>
      </w:r>
    </w:p>
    <w:p w14:paraId="56265546">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2．具有履行合同所必需的设备和专业技术能力……………………………</w:t>
      </w:r>
    </w:p>
    <w:p w14:paraId="4FDD481B">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3．具有良好的商业信誉和健全的财务会计制度……………………………</w:t>
      </w:r>
    </w:p>
    <w:p w14:paraId="2BF69072">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4．有依法缴纳税收和社会保障资金的良好记录……………………………</w:t>
      </w:r>
    </w:p>
    <w:p w14:paraId="1ECE5C2A">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5．参加政府采购活动前三年内，在经营活动中没有重大违法记录………</w:t>
      </w:r>
    </w:p>
    <w:p w14:paraId="2682F62F">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6. 供应商廉洁自律承诺书……………………………………………………</w:t>
      </w:r>
    </w:p>
    <w:p w14:paraId="12195404">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 xml:space="preserve">7. </w:t>
      </w:r>
      <w:r>
        <w:rPr>
          <w:rFonts w:hint="eastAsia" w:ascii="宋体" w:hAnsi="宋体" w:cs="宋体"/>
          <w:color w:val="auto"/>
          <w:kern w:val="0"/>
          <w:sz w:val="24"/>
          <w:highlight w:val="none"/>
          <w:lang w:val="en-US" w:eastAsia="zh-CN"/>
        </w:rPr>
        <w:t>谈判</w:t>
      </w:r>
      <w:r>
        <w:rPr>
          <w:rFonts w:hint="default" w:ascii="宋体" w:hAnsi="宋体" w:eastAsia="宋体" w:cs="宋体"/>
          <w:color w:val="auto"/>
          <w:kern w:val="0"/>
          <w:sz w:val="24"/>
          <w:highlight w:val="none"/>
          <w:lang w:val="en-US" w:eastAsia="zh-CN"/>
        </w:rPr>
        <w:t>保证金…………………………………………………………………</w:t>
      </w:r>
    </w:p>
    <w:p w14:paraId="2A10A485">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8. 本项目要求的其他特定资格条件…………………………………………</w:t>
      </w:r>
    </w:p>
    <w:p w14:paraId="7E4FDB69">
      <w:pPr>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9. 采购政策……………………………………………………………………</w:t>
      </w:r>
    </w:p>
    <w:p w14:paraId="3DE57DB6">
      <w:pPr>
        <w:pStyle w:val="21"/>
        <w:ind w:firstLine="0"/>
        <w:rPr>
          <w:color w:val="auto"/>
          <w:highlight w:val="none"/>
        </w:rPr>
      </w:pPr>
    </w:p>
    <w:p w14:paraId="788B6417">
      <w:pPr>
        <w:spacing w:line="44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商务、技术文件</w:t>
      </w:r>
    </w:p>
    <w:p w14:paraId="507E0B30">
      <w:pPr>
        <w:pStyle w:val="14"/>
        <w:snapToGrid w:val="0"/>
        <w:spacing w:line="360" w:lineRule="auto"/>
        <w:ind w:firstLine="480" w:firstLineChars="200"/>
        <w:jc w:val="left"/>
        <w:rPr>
          <w:rFonts w:hAnsi="宋体" w:cs="宋体"/>
          <w:color w:val="auto"/>
          <w:sz w:val="24"/>
          <w:szCs w:val="24"/>
          <w:highlight w:val="none"/>
        </w:rPr>
      </w:pPr>
    </w:p>
    <w:p w14:paraId="5DF51D23">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1．法定代表人（负责人）身份证明书………………………………………</w:t>
      </w:r>
    </w:p>
    <w:p w14:paraId="6648B2BD">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2．法定代表人（负责人）授权委托书………………………………………</w:t>
      </w:r>
    </w:p>
    <w:p w14:paraId="410F25F2">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响应函</w:t>
      </w:r>
      <w:r>
        <w:rPr>
          <w:rFonts w:hint="eastAsia" w:hAnsi="宋体" w:cs="宋体"/>
          <w:color w:val="auto"/>
          <w:sz w:val="24"/>
          <w:szCs w:val="24"/>
          <w:highlight w:val="none"/>
        </w:rPr>
        <w:t>………………………………………………………………………</w:t>
      </w:r>
    </w:p>
    <w:p w14:paraId="7731BDC2">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4．报价一览表…………………………………………………………………</w:t>
      </w:r>
    </w:p>
    <w:p w14:paraId="6A71BDB4">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5．商务技术规范响应及偏离表………………………………………………</w:t>
      </w:r>
    </w:p>
    <w:p w14:paraId="400D8BD7">
      <w:pPr>
        <w:pStyle w:val="1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6．服务方案……………………………………………………………………</w:t>
      </w:r>
    </w:p>
    <w:p w14:paraId="68EAC735">
      <w:pPr>
        <w:pStyle w:val="14"/>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lang w:val="en-US" w:eastAsia="zh-CN"/>
        </w:rPr>
        <w:t>7</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近三年同类项目案例及相关证明资料……………………………………</w:t>
      </w:r>
    </w:p>
    <w:p w14:paraId="2ED4052C">
      <w:pPr>
        <w:pStyle w:val="14"/>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供应商认为需要提供的其他商务、技术材料……………………………</w:t>
      </w:r>
    </w:p>
    <w:p w14:paraId="3E90D951">
      <w:pPr>
        <w:pStyle w:val="14"/>
        <w:snapToGrid w:val="0"/>
        <w:spacing w:line="360" w:lineRule="auto"/>
        <w:ind w:firstLine="480" w:firstLineChars="200"/>
        <w:jc w:val="left"/>
        <w:rPr>
          <w:color w:val="auto"/>
          <w:highlight w:val="none"/>
        </w:rPr>
        <w:sectPr>
          <w:pgSz w:w="11906" w:h="16838"/>
          <w:pgMar w:top="1417" w:right="1417" w:bottom="1417" w:left="1417" w:header="851" w:footer="992" w:gutter="0"/>
          <w:pgNumType w:fmt="decimal"/>
          <w:cols w:space="720" w:num="1"/>
          <w:formProt w:val="1"/>
          <w:docGrid w:type="lines" w:linePitch="312" w:charSpace="0"/>
        </w:sect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政策性要求</w:t>
      </w:r>
      <w:r>
        <w:rPr>
          <w:rFonts w:hint="eastAsia" w:ascii="宋体" w:hAnsi="宋体" w:eastAsia="宋体" w:cs="宋体"/>
          <w:color w:val="auto"/>
          <w:sz w:val="24"/>
          <w:highlight w:val="none"/>
        </w:rPr>
        <w:t>…………………………………………………………………</w:t>
      </w:r>
    </w:p>
    <w:p w14:paraId="09A03368">
      <w:pPr>
        <w:snapToGrid w:val="0"/>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资格证明文件</w:t>
      </w:r>
    </w:p>
    <w:p w14:paraId="5B53DE3E">
      <w:pPr>
        <w:snapToGrid w:val="0"/>
        <w:spacing w:line="360" w:lineRule="auto"/>
        <w:rPr>
          <w:rFonts w:ascii="宋体" w:cs="宋体"/>
          <w:b/>
          <w:color w:val="auto"/>
          <w:sz w:val="24"/>
        </w:rPr>
      </w:pPr>
      <w:r>
        <w:rPr>
          <w:rFonts w:ascii="宋体" w:hAnsi="宋体" w:cs="宋体"/>
          <w:b/>
          <w:color w:val="auto"/>
          <w:kern w:val="0"/>
          <w:sz w:val="24"/>
        </w:rPr>
        <w:t>1</w:t>
      </w:r>
      <w:r>
        <w:rPr>
          <w:rFonts w:hint="eastAsia" w:ascii="宋体" w:hAnsi="宋体" w:cs="宋体"/>
          <w:b/>
          <w:color w:val="auto"/>
          <w:kern w:val="0"/>
          <w:sz w:val="24"/>
        </w:rPr>
        <w:t>．具有独立承担民事责任的能力</w:t>
      </w:r>
    </w:p>
    <w:p w14:paraId="13567F5C">
      <w:pPr>
        <w:snapToGrid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具有独立承担民事责任的能力</w:t>
      </w:r>
      <w:r>
        <w:rPr>
          <w:rFonts w:hint="eastAsia" w:ascii="宋体" w:hAnsi="宋体" w:eastAsia="宋体" w:cs="宋体"/>
          <w:b/>
          <w:color w:val="auto"/>
          <w:sz w:val="24"/>
          <w:szCs w:val="24"/>
          <w:highlight w:val="none"/>
          <w:lang w:val="en-US" w:eastAsia="zh-CN"/>
        </w:rPr>
        <w:t>的承诺函</w:t>
      </w:r>
    </w:p>
    <w:p w14:paraId="150BE742">
      <w:pPr>
        <w:snapToGrid w:val="0"/>
        <w:spacing w:line="360" w:lineRule="auto"/>
        <w:outlineLvl w:val="9"/>
        <w:rPr>
          <w:rFonts w:hint="eastAsia" w:ascii="宋体" w:hAnsi="宋体" w:eastAsia="宋体" w:cs="宋体"/>
          <w:b/>
          <w:color w:val="auto"/>
          <w:sz w:val="24"/>
          <w:szCs w:val="24"/>
          <w:highlight w:val="none"/>
        </w:rPr>
      </w:pPr>
    </w:p>
    <w:p w14:paraId="2C5291D7">
      <w:pPr>
        <w:rPr>
          <w:rFonts w:hint="eastAsia" w:ascii="宋体" w:hAnsi="宋体" w:eastAsia="宋体" w:cs="宋体"/>
          <w:color w:val="auto"/>
          <w:sz w:val="24"/>
          <w:szCs w:val="24"/>
          <w:highlight w:val="none"/>
          <w:u w:val="single"/>
          <w:lang w:val="en-US" w:eastAsia="zh-CN"/>
        </w:rPr>
      </w:pPr>
    </w:p>
    <w:p w14:paraId="166AB085">
      <w:pPr>
        <w:shd w:val="clear"/>
        <w:snapToGrid/>
        <w:spacing w:before="0" w:beforeAutospacing="0" w:after="0" w:afterAutospacing="0" w:line="360" w:lineRule="auto"/>
        <w:jc w:val="both"/>
        <w:textAlignment w:val="baseline"/>
        <w:rPr>
          <w:rStyle w:val="26"/>
          <w:rFonts w:hint="eastAsia" w:ascii="宋体" w:hAnsi="宋体" w:eastAsia="宋体" w:cs="宋体"/>
          <w:b w:val="0"/>
          <w:i w:val="0"/>
          <w:caps w:val="0"/>
          <w:color w:val="auto"/>
          <w:spacing w:val="0"/>
          <w:w w:val="100"/>
          <w:kern w:val="2"/>
          <w:sz w:val="24"/>
          <w:szCs w:val="28"/>
          <w:highlight w:val="none"/>
          <w:u w:val="single"/>
          <w:lang w:val="en-US" w:eastAsia="zh-CN" w:bidi="ar-SA"/>
        </w:rPr>
      </w:pPr>
      <w:r>
        <w:rPr>
          <w:rStyle w:val="26"/>
          <w:rFonts w:hint="eastAsia" w:ascii="宋体" w:hAnsi="宋体" w:eastAsia="宋体" w:cs="宋体"/>
          <w:b w:val="0"/>
          <w:i w:val="0"/>
          <w:caps w:val="0"/>
          <w:color w:val="auto"/>
          <w:spacing w:val="0"/>
          <w:w w:val="100"/>
          <w:kern w:val="2"/>
          <w:sz w:val="24"/>
          <w:szCs w:val="28"/>
          <w:highlight w:val="none"/>
          <w:lang w:val="en-US" w:eastAsia="zh-CN" w:bidi="ar-SA"/>
        </w:rPr>
        <w:t>致：</w:t>
      </w:r>
      <w:r>
        <w:rPr>
          <w:rStyle w:val="26"/>
          <w:rFonts w:hint="eastAsia" w:ascii="宋体" w:hAnsi="宋体" w:eastAsia="宋体" w:cs="宋体"/>
          <w:b w:val="0"/>
          <w:i w:val="0"/>
          <w:caps w:val="0"/>
          <w:color w:val="auto"/>
          <w:spacing w:val="0"/>
          <w:w w:val="100"/>
          <w:kern w:val="2"/>
          <w:sz w:val="24"/>
          <w:szCs w:val="28"/>
          <w:highlight w:val="none"/>
          <w:u w:val="single"/>
          <w:lang w:val="en-US" w:eastAsia="zh-CN" w:bidi="ar-SA"/>
        </w:rPr>
        <w:t>（采购人名称）</w:t>
      </w:r>
    </w:p>
    <w:p w14:paraId="3287B915">
      <w:pPr>
        <w:widowControl/>
        <w:shd w:val="clear"/>
        <w:snapToGrid w:val="0"/>
        <w:spacing w:line="360" w:lineRule="auto"/>
        <w:ind w:firstLine="480" w:firstLineChars="200"/>
        <w:rPr>
          <w:rFonts w:hint="eastAsia" w:ascii="宋体" w:hAnsi="宋体" w:eastAsia="宋体" w:cs="宋体"/>
          <w:color w:val="auto"/>
          <w:sz w:val="24"/>
          <w:highlight w:val="none"/>
        </w:rPr>
      </w:pPr>
    </w:p>
    <w:p w14:paraId="64D1937B">
      <w:pPr>
        <w:widowControl/>
        <w:shd w:val="clea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本供应商现参与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文件相关规定，</w:t>
      </w:r>
      <w:r>
        <w:rPr>
          <w:rFonts w:hint="eastAsia" w:ascii="宋体" w:hAnsi="宋体" w:eastAsia="宋体" w:cs="宋体"/>
          <w:color w:val="auto"/>
          <w:sz w:val="24"/>
          <w:highlight w:val="none"/>
          <w:lang w:val="en-US" w:eastAsia="zh-CN"/>
        </w:rPr>
        <w:t>现</w:t>
      </w:r>
      <w:r>
        <w:rPr>
          <w:rFonts w:hint="eastAsia" w:ascii="宋体" w:hAnsi="宋体" w:eastAsia="宋体" w:cs="宋体"/>
          <w:color w:val="auto"/>
          <w:sz w:val="24"/>
          <w:highlight w:val="none"/>
        </w:rPr>
        <w:t>郑重承诺：我方</w:t>
      </w:r>
      <w:r>
        <w:rPr>
          <w:rFonts w:hint="eastAsia" w:ascii="宋体" w:hAnsi="宋体" w:eastAsia="宋体" w:cs="宋体"/>
          <w:color w:val="auto"/>
          <w:sz w:val="24"/>
          <w:highlight w:val="none"/>
          <w:lang w:val="en-US" w:eastAsia="zh-CN"/>
        </w:rPr>
        <w:t>具有有效的营业执照或事业单位法人证书或自然人身份证明或其他非企业组织证明文件及有效的开户许可证</w:t>
      </w:r>
      <w:r>
        <w:rPr>
          <w:rFonts w:hint="eastAsia" w:ascii="宋体" w:hAnsi="宋体" w:cs="宋体"/>
          <w:color w:val="auto"/>
          <w:sz w:val="24"/>
          <w:highlight w:val="none"/>
          <w:lang w:val="en-US" w:eastAsia="zh-CN"/>
        </w:rPr>
        <w:t>，能</w:t>
      </w:r>
      <w:r>
        <w:rPr>
          <w:rFonts w:hint="eastAsia" w:ascii="宋体" w:hAnsi="宋体" w:eastAsia="宋体" w:cs="宋体"/>
          <w:color w:val="auto"/>
          <w:sz w:val="24"/>
          <w:highlight w:val="none"/>
        </w:rPr>
        <w:t>独立承担民事责任的能力</w:t>
      </w:r>
      <w:r>
        <w:rPr>
          <w:rFonts w:hint="eastAsia" w:ascii="宋体" w:hAnsi="宋体" w:cs="宋体"/>
          <w:color w:val="auto"/>
          <w:sz w:val="24"/>
          <w:highlight w:val="none"/>
          <w:lang w:eastAsia="zh-CN"/>
        </w:rPr>
        <w:t>。</w:t>
      </w:r>
    </w:p>
    <w:p w14:paraId="32920B19">
      <w:pPr>
        <w:widowControl/>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基本信息如下：</w:t>
      </w:r>
    </w:p>
    <w:p w14:paraId="342A9324">
      <w:pPr>
        <w:widowControl/>
        <w:shd w:val="clear"/>
        <w:snapToGrid w:val="0"/>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lang w:val="en-US" w:eastAsia="zh-CN"/>
        </w:rPr>
        <w:t>名称为：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lang w:val="en-US" w:eastAsia="zh-CN"/>
        </w:rPr>
        <w:t>统一社会信用代码为：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法定代表人（负责人）为：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；营业期限为: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lang w:val="en-US" w:eastAsia="zh-CN"/>
        </w:rPr>
        <w:t>基本开户银行为：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账号为：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p>
    <w:p w14:paraId="3BE131C6">
      <w:pPr>
        <w:widowControl/>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以上承诺信息</w:t>
      </w:r>
      <w:r>
        <w:rPr>
          <w:rFonts w:hint="eastAsia" w:ascii="宋体" w:hAnsi="宋体" w:eastAsia="宋体" w:cs="宋体"/>
          <w:color w:val="auto"/>
          <w:sz w:val="24"/>
          <w:highlight w:val="none"/>
        </w:rPr>
        <w:t>如有虚假或隐瞒，我方愿意承担一切后果，并不再寻求任何旨在减轻或免除</w:t>
      </w:r>
      <w:r>
        <w:rPr>
          <w:rFonts w:hint="eastAsia" w:ascii="宋体" w:hAnsi="宋体" w:cs="宋体"/>
          <w:color w:val="auto"/>
          <w:sz w:val="24"/>
          <w:highlight w:val="none"/>
          <w:lang w:val="en-US" w:eastAsia="zh-CN"/>
        </w:rPr>
        <w:t>法律</w:t>
      </w:r>
      <w:r>
        <w:rPr>
          <w:rFonts w:hint="eastAsia" w:ascii="宋体" w:hAnsi="宋体" w:eastAsia="宋体" w:cs="宋体"/>
          <w:color w:val="auto"/>
          <w:sz w:val="24"/>
          <w:highlight w:val="none"/>
        </w:rPr>
        <w:t>责任的辩解。</w:t>
      </w:r>
    </w:p>
    <w:p w14:paraId="72520B7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特此承诺。</w:t>
      </w:r>
    </w:p>
    <w:p w14:paraId="7A8BF46A">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0DF7DFB7">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2E26098F">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7DC205AB">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53FD6BB7">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2818A9AB">
      <w:pPr>
        <w:ind w:firstLine="3369" w:firstLineChars="1404"/>
        <w:rPr>
          <w:rFonts w:hint="eastAsia" w:ascii="宋体" w:hAnsi="宋体" w:eastAsia="宋体" w:cs="宋体"/>
          <w:color w:val="auto"/>
          <w:sz w:val="24"/>
          <w:szCs w:val="24"/>
          <w:highlight w:val="none"/>
        </w:rPr>
      </w:pPr>
    </w:p>
    <w:p w14:paraId="3D76262F">
      <w:pPr>
        <w:ind w:firstLine="3369" w:firstLineChars="1404"/>
        <w:rPr>
          <w:rFonts w:hint="eastAsia" w:ascii="宋体" w:hAnsi="宋体" w:eastAsia="宋体" w:cs="宋体"/>
          <w:color w:val="auto"/>
          <w:sz w:val="24"/>
          <w:szCs w:val="24"/>
          <w:highlight w:val="none"/>
        </w:rPr>
      </w:pPr>
    </w:p>
    <w:p w14:paraId="63955FE0">
      <w:pPr>
        <w:snapToGrid w:val="0"/>
        <w:spacing w:line="48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(电子公章)</w:t>
      </w:r>
    </w:p>
    <w:p w14:paraId="3E6BC181">
      <w:pPr>
        <w:snapToGrid w:val="0"/>
        <w:spacing w:line="48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法定代表人（负责人）</w:t>
      </w:r>
      <w:r>
        <w:rPr>
          <w:rFonts w:hint="eastAsia" w:ascii="宋体" w:hAnsi="宋体" w:eastAsia="宋体" w:cs="宋体"/>
          <w:color w:val="auto"/>
          <w:kern w:val="0"/>
          <w:sz w:val="24"/>
          <w:szCs w:val="24"/>
          <w:highlight w:val="none"/>
          <w:lang w:val="en-US" w:eastAsia="zh-CN"/>
        </w:rPr>
        <w:t>或授权委托人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（电子章）  </w:t>
      </w:r>
    </w:p>
    <w:p w14:paraId="6E284988">
      <w:pPr>
        <w:snapToGrid w:val="0"/>
        <w:spacing w:line="480" w:lineRule="exact"/>
        <w:ind w:firstLine="2640" w:firstLineChars="1100"/>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日      期：</w:t>
      </w:r>
      <w:r>
        <w:rPr>
          <w:rFonts w:hint="eastAsia" w:ascii="宋体" w:hAnsi="宋体" w:eastAsia="宋体" w:cs="宋体"/>
          <w:b w:val="0"/>
          <w:bCs w:val="0"/>
          <w:color w:val="auto"/>
          <w:sz w:val="24"/>
          <w:szCs w:val="24"/>
          <w:highlight w:val="none"/>
        </w:rPr>
        <w:t>________年____月____日</w:t>
      </w:r>
    </w:p>
    <w:p w14:paraId="22FBC7BC">
      <w:pPr>
        <w:pStyle w:val="18"/>
        <w:rPr>
          <w:rFonts w:hint="eastAsia" w:ascii="宋体" w:hAnsi="宋体" w:eastAsia="宋体" w:cs="宋体"/>
          <w:color w:val="auto"/>
          <w:sz w:val="24"/>
          <w:szCs w:val="24"/>
        </w:rPr>
      </w:pPr>
    </w:p>
    <w:p w14:paraId="5EBA12CD">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b/>
          <w:color w:val="auto"/>
          <w:sz w:val="24"/>
          <w:szCs w:val="24"/>
          <w:highlight w:val="none"/>
        </w:rPr>
      </w:pPr>
    </w:p>
    <w:p w14:paraId="76BDBB4D">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b/>
          <w:color w:val="auto"/>
          <w:sz w:val="24"/>
          <w:szCs w:val="24"/>
          <w:highlight w:val="none"/>
        </w:rPr>
      </w:pPr>
    </w:p>
    <w:p w14:paraId="55ED9761">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b/>
          <w:color w:val="auto"/>
          <w:sz w:val="24"/>
          <w:szCs w:val="24"/>
          <w:highlight w:val="none"/>
        </w:rPr>
      </w:pPr>
    </w:p>
    <w:p w14:paraId="36ABAA86">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b/>
          <w:color w:val="auto"/>
          <w:sz w:val="24"/>
          <w:szCs w:val="24"/>
          <w:highlight w:val="none"/>
        </w:rPr>
      </w:pPr>
    </w:p>
    <w:p w14:paraId="2147C849">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b/>
          <w:color w:val="auto"/>
          <w:sz w:val="24"/>
          <w:szCs w:val="24"/>
          <w:highlight w:val="none"/>
        </w:rPr>
      </w:pPr>
    </w:p>
    <w:p w14:paraId="72486ADF">
      <w:pPr>
        <w:pStyle w:val="37"/>
        <w:keepNext w:val="0"/>
        <w:keepLines w:val="0"/>
        <w:widowControl w:val="0"/>
        <w:shd w:val="clear" w:color="auto" w:fill="auto"/>
        <w:bidi w:val="0"/>
        <w:spacing w:before="0" w:after="0" w:line="240" w:lineRule="auto"/>
        <w:ind w:left="0" w:right="0" w:firstLine="0"/>
        <w:jc w:val="left"/>
        <w:rPr>
          <w:rFonts w:hint="eastAsia" w:ascii="宋体" w:hAnsi="宋体" w:cs="宋体"/>
          <w:b/>
          <w:bCs/>
          <w:sz w:val="24"/>
          <w:szCs w:val="24"/>
        </w:rPr>
      </w:pPr>
      <w:r>
        <w:rPr>
          <w:rFonts w:hint="eastAsia" w:ascii="宋体" w:hAnsi="宋体" w:eastAsia="宋体" w:cs="宋体"/>
          <w:b/>
          <w:color w:val="auto"/>
          <w:sz w:val="24"/>
          <w:szCs w:val="24"/>
          <w:highlight w:val="none"/>
        </w:rPr>
        <w:t>备注：</w:t>
      </w:r>
      <w:r>
        <w:rPr>
          <w:rFonts w:hint="eastAsia" w:cs="宋体"/>
          <w:b/>
          <w:color w:val="auto"/>
          <w:sz w:val="24"/>
          <w:szCs w:val="24"/>
          <w:highlight w:val="none"/>
          <w:lang w:val="en-US" w:eastAsia="zh-CN"/>
        </w:rPr>
        <w:t>1.</w:t>
      </w:r>
      <w:r>
        <w:rPr>
          <w:rFonts w:hint="eastAsia" w:ascii="宋体" w:hAnsi="宋体" w:cs="宋体"/>
          <w:b/>
          <w:bCs/>
          <w:sz w:val="24"/>
          <w:szCs w:val="24"/>
        </w:rPr>
        <w:t>后附有效的营业执照并加盖公章</w:t>
      </w:r>
    </w:p>
    <w:p w14:paraId="4549166F">
      <w:pPr>
        <w:pStyle w:val="37"/>
        <w:keepNext w:val="0"/>
        <w:keepLines w:val="0"/>
        <w:widowControl w:val="0"/>
        <w:shd w:val="clear" w:color="auto" w:fill="auto"/>
        <w:bidi w:val="0"/>
        <w:spacing w:before="0" w:after="0" w:line="240" w:lineRule="auto"/>
        <w:ind w:left="0" w:leftChars="0" w:right="0" w:firstLine="641" w:firstLineChars="266"/>
        <w:jc w:val="left"/>
        <w:rPr>
          <w:rFonts w:hint="eastAsia" w:ascii="宋体" w:hAnsi="宋体" w:eastAsia="宋体" w:cs="宋体"/>
          <w:color w:val="auto"/>
          <w:spacing w:val="0"/>
          <w:w w:val="100"/>
          <w:position w:val="0"/>
          <w:sz w:val="24"/>
          <w:szCs w:val="24"/>
        </w:rPr>
      </w:pPr>
      <w:r>
        <w:rPr>
          <w:rFonts w:hint="eastAsia" w:ascii="宋体" w:hAnsi="宋体" w:eastAsia="宋体" w:cs="宋体"/>
          <w:b/>
          <w:color w:val="auto"/>
          <w:kern w:val="0"/>
          <w:sz w:val="24"/>
          <w:szCs w:val="24"/>
        </w:rPr>
        <w:br w:type="page"/>
      </w:r>
      <w:r>
        <w:rPr>
          <w:rFonts w:ascii="宋体" w:hAnsi="宋体" w:cs="宋体"/>
          <w:b/>
          <w:color w:val="auto"/>
          <w:sz w:val="24"/>
        </w:rPr>
        <w:t>2</w:t>
      </w:r>
      <w:r>
        <w:rPr>
          <w:rFonts w:hint="eastAsia" w:ascii="宋体" w:hAnsi="宋体" w:cs="宋体"/>
          <w:b/>
          <w:color w:val="auto"/>
          <w:sz w:val="24"/>
        </w:rPr>
        <w:t>．具有履行合同所必需的设备和专业技术能力</w:t>
      </w:r>
    </w:p>
    <w:p w14:paraId="370C6826">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pacing w:val="0"/>
          <w:w w:val="100"/>
          <w:position w:val="0"/>
          <w:sz w:val="24"/>
          <w:szCs w:val="24"/>
        </w:rPr>
      </w:pPr>
    </w:p>
    <w:p w14:paraId="084BD73A">
      <w:pPr>
        <w:pStyle w:val="4"/>
        <w:spacing w:line="480" w:lineRule="auto"/>
        <w:ind w:firstLine="361"/>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具有履行合同所必需的设备和专业技术能力的承诺函</w:t>
      </w:r>
    </w:p>
    <w:p w14:paraId="589BE01C">
      <w:pPr>
        <w:pStyle w:val="4"/>
        <w:spacing w:line="48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采购人名称</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 xml:space="preserve">  </w:t>
      </w:r>
    </w:p>
    <w:p w14:paraId="6DB3C571">
      <w:pPr>
        <w:pStyle w:val="4"/>
        <w:adjustRightInd w:val="0"/>
        <w:snapToGrid w:val="0"/>
        <w:spacing w:line="48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我方郑重声明，我方具有履行</w:t>
      </w:r>
      <w:r>
        <w:rPr>
          <w:rFonts w:hint="eastAsia" w:ascii="宋体" w:hAnsi="宋体" w:eastAsia="宋体" w:cs="宋体"/>
          <w:b w:val="0"/>
          <w:bCs w:val="0"/>
          <w:color w:val="auto"/>
          <w:sz w:val="24"/>
          <w:szCs w:val="24"/>
          <w:highlight w:val="none"/>
          <w:u w:val="single"/>
          <w:lang w:val="en-US" w:eastAsia="zh-CN"/>
        </w:rPr>
        <w:t xml:space="preserve"> （项目名称）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（项目编号）</w:t>
      </w:r>
      <w:r>
        <w:rPr>
          <w:rFonts w:hint="eastAsia" w:ascii="宋体" w:hAnsi="宋体" w:eastAsia="宋体" w:cs="宋体"/>
          <w:b w:val="0"/>
          <w:bCs w:val="0"/>
          <w:color w:val="auto"/>
          <w:sz w:val="24"/>
          <w:szCs w:val="24"/>
          <w:highlight w:val="none"/>
        </w:rPr>
        <w:t>合同所必需的设备和专业技术能力，如中标/成交，我方将按我方</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响应文件承诺，保证合同顺利履行。如有虚假或隐瞒，愿意承担一切后果。</w:t>
      </w:r>
    </w:p>
    <w:p w14:paraId="3324ABAF">
      <w:pPr>
        <w:pStyle w:val="4"/>
        <w:adjustRightInd w:val="0"/>
        <w:snapToGrid w:val="0"/>
        <w:spacing w:line="48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72AEF3A1">
      <w:pPr>
        <w:pStyle w:val="4"/>
        <w:adjustRightInd w:val="0"/>
        <w:snapToGrid w:val="0"/>
        <w:spacing w:line="480" w:lineRule="auto"/>
        <w:ind w:firstLine="3360" w:firstLineChars="14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(电子公章)</w:t>
      </w:r>
    </w:p>
    <w:p w14:paraId="50B71EF3">
      <w:pPr>
        <w:pStyle w:val="4"/>
        <w:spacing w:line="480" w:lineRule="auto"/>
        <w:ind w:firstLine="3360" w:firstLineChars="1400"/>
        <w:rPr>
          <w:rFonts w:hint="eastAsia" w:ascii="宋体" w:hAnsi="宋体" w:eastAsia="宋体" w:cs="宋体"/>
          <w:color w:val="auto"/>
          <w:spacing w:val="0"/>
          <w:w w:val="100"/>
          <w:position w:val="0"/>
          <w:sz w:val="24"/>
          <w:szCs w:val="24"/>
        </w:rPr>
      </w:pP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期：________年____月____日</w:t>
      </w:r>
    </w:p>
    <w:p w14:paraId="77EF22D3">
      <w:pPr>
        <w:pStyle w:val="3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pacing w:val="0"/>
          <w:w w:val="100"/>
          <w:position w:val="0"/>
          <w:sz w:val="24"/>
          <w:szCs w:val="24"/>
        </w:rPr>
      </w:pPr>
    </w:p>
    <w:p w14:paraId="53D981C5">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74E9AEE6">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0526F7F0">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388C9CEE">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579F8EA0">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583248C5">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1AA719F4">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127C39A9">
      <w:pPr>
        <w:pStyle w:val="37"/>
        <w:keepNext w:val="0"/>
        <w:keepLines w:val="0"/>
        <w:widowControl w:val="0"/>
        <w:shd w:val="clear" w:color="auto" w:fill="auto"/>
        <w:bidi w:val="0"/>
        <w:spacing w:before="0" w:after="0" w:line="240" w:lineRule="auto"/>
        <w:ind w:left="0" w:right="0" w:firstLine="0"/>
        <w:jc w:val="center"/>
        <w:rPr>
          <w:rFonts w:hint="eastAsia" w:ascii="宋体" w:hAnsi="宋体" w:cs="仿宋"/>
          <w:color w:val="auto"/>
          <w:sz w:val="28"/>
          <w:szCs w:val="28"/>
        </w:rPr>
      </w:pPr>
    </w:p>
    <w:p w14:paraId="47D4F2B8">
      <w:pPr>
        <w:jc w:val="both"/>
        <w:rPr>
          <w:rFonts w:hint="eastAsia" w:ascii="宋体" w:hAnsi="宋体" w:cs="宋体"/>
          <w:b/>
          <w:color w:val="auto"/>
          <w:kern w:val="0"/>
          <w:sz w:val="24"/>
          <w:szCs w:val="24"/>
          <w:lang w:val="en-US" w:eastAsia="zh-CN"/>
        </w:rPr>
      </w:pPr>
    </w:p>
    <w:p w14:paraId="6AF2F75D">
      <w:pP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br w:type="page"/>
      </w:r>
    </w:p>
    <w:p w14:paraId="3430700D">
      <w:pPr>
        <w:jc w:val="both"/>
        <w:rPr>
          <w:rFonts w:hint="eastAsia" w:ascii="宋体" w:hAnsi="宋体" w:eastAsia="宋体" w:cs="宋体"/>
          <w:b/>
          <w:color w:val="auto"/>
          <w:spacing w:val="20"/>
          <w:sz w:val="24"/>
          <w:szCs w:val="24"/>
        </w:rPr>
      </w:pPr>
      <w:r>
        <w:rPr>
          <w:rFonts w:hint="eastAsia" w:ascii="宋体" w:hAnsi="宋体" w:cs="宋体"/>
          <w:b/>
          <w:color w:val="auto"/>
          <w:kern w:val="0"/>
          <w:sz w:val="24"/>
          <w:szCs w:val="24"/>
          <w:lang w:val="en-US" w:eastAsia="zh-CN"/>
        </w:rPr>
        <w:t>3</w:t>
      </w:r>
      <w:r>
        <w:rPr>
          <w:rFonts w:hint="eastAsia" w:ascii="宋体" w:hAnsi="宋体" w:eastAsia="宋体" w:cs="宋体"/>
          <w:b/>
          <w:color w:val="auto"/>
          <w:kern w:val="0"/>
          <w:sz w:val="24"/>
          <w:szCs w:val="24"/>
        </w:rPr>
        <w:t>.具有良好的商业信誉和健全的财务会计制度</w:t>
      </w:r>
    </w:p>
    <w:p w14:paraId="45F7CE35">
      <w:pPr>
        <w:rPr>
          <w:rFonts w:hint="eastAsia" w:ascii="宋体" w:hAnsi="宋体" w:eastAsia="宋体" w:cs="宋体"/>
          <w:color w:val="auto"/>
          <w:sz w:val="24"/>
          <w:szCs w:val="24"/>
        </w:rPr>
      </w:pPr>
    </w:p>
    <w:p w14:paraId="6B91C5C2">
      <w:pPr>
        <w:pStyle w:val="18"/>
        <w:rPr>
          <w:rFonts w:hint="eastAsia" w:ascii="宋体" w:hAnsi="宋体" w:eastAsia="宋体" w:cs="宋体"/>
          <w:color w:val="auto"/>
          <w:sz w:val="24"/>
          <w:szCs w:val="24"/>
        </w:rPr>
      </w:pPr>
    </w:p>
    <w:p w14:paraId="02857733">
      <w:pPr>
        <w:adjustRightInd w:val="0"/>
        <w:snapToGrid w:val="0"/>
        <w:spacing w:line="48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具有良好的商业信誉和健全的财务会计制度的承诺函</w:t>
      </w:r>
    </w:p>
    <w:p w14:paraId="3E6BB640">
      <w:pPr>
        <w:adjustRightInd w:val="0"/>
        <w:snapToGrid w:val="0"/>
        <w:spacing w:line="48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采购人名称</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 xml:space="preserve">  </w:t>
      </w:r>
    </w:p>
    <w:p w14:paraId="5FA0397D">
      <w:pPr>
        <w:pStyle w:val="4"/>
        <w:spacing w:line="48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我方参加</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的政府采购活动，依据竞争性</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文件相关规定，郑重承诺：我方具有良好的商业信誉和健全的财务会计制度的承诺函，符合本项目竞争性</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文件规定的</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响应供应商资格要求，如中标，我方将按我方</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响应文件承诺，保证合同顺利履行。如有虚假或隐瞒，采购人可取消我方任何资格（投标/谈判/中标（成交）/签订合同），我方对此无任何异议，并愿意承担一切后果和责任。</w:t>
      </w:r>
    </w:p>
    <w:p w14:paraId="0317A460">
      <w:pPr>
        <w:pStyle w:val="4"/>
        <w:spacing w:line="48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7E164296">
      <w:pPr>
        <w:pStyle w:val="4"/>
        <w:spacing w:line="480" w:lineRule="auto"/>
        <w:ind w:firstLine="4560" w:firstLineChars="19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(电子公章)</w:t>
      </w:r>
    </w:p>
    <w:p w14:paraId="720B79A3">
      <w:pPr>
        <w:pStyle w:val="4"/>
        <w:spacing w:line="480" w:lineRule="auto"/>
        <w:ind w:firstLine="4560" w:firstLineChars="1900"/>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期：________年____月____日</w:t>
      </w:r>
    </w:p>
    <w:p w14:paraId="54642CC3">
      <w:pPr>
        <w:spacing w:line="480" w:lineRule="exact"/>
        <w:rPr>
          <w:rFonts w:hint="eastAsia" w:ascii="宋体" w:hAnsi="宋体" w:eastAsia="宋体" w:cs="宋体"/>
          <w:b/>
          <w:color w:val="auto"/>
          <w:sz w:val="24"/>
          <w:szCs w:val="24"/>
        </w:rPr>
      </w:pPr>
    </w:p>
    <w:p w14:paraId="0F891BD4">
      <w:pPr>
        <w:snapToGrid w:val="0"/>
        <w:spacing w:line="360" w:lineRule="auto"/>
        <w:rPr>
          <w:rFonts w:hint="eastAsia" w:ascii="宋体" w:hAnsi="宋体" w:eastAsia="宋体" w:cs="宋体"/>
          <w:color w:val="auto"/>
          <w:sz w:val="24"/>
          <w:szCs w:val="24"/>
        </w:rPr>
      </w:pPr>
    </w:p>
    <w:p w14:paraId="13FE283A">
      <w:pPr>
        <w:snapToGrid w:val="0"/>
        <w:spacing w:line="360" w:lineRule="auto"/>
        <w:rPr>
          <w:rFonts w:hint="eastAsia" w:ascii="宋体" w:hAnsi="宋体" w:eastAsia="宋体" w:cs="宋体"/>
          <w:color w:val="auto"/>
          <w:sz w:val="24"/>
          <w:szCs w:val="24"/>
        </w:rPr>
      </w:pPr>
    </w:p>
    <w:p w14:paraId="23EACC85">
      <w:pPr>
        <w:snapToGrid w:val="0"/>
        <w:spacing w:line="360" w:lineRule="auto"/>
        <w:rPr>
          <w:rFonts w:hint="eastAsia" w:ascii="宋体" w:hAnsi="宋体" w:eastAsia="宋体" w:cs="宋体"/>
          <w:color w:val="auto"/>
          <w:sz w:val="24"/>
          <w:szCs w:val="24"/>
        </w:rPr>
      </w:pPr>
    </w:p>
    <w:p w14:paraId="2E1A1851">
      <w:pPr>
        <w:snapToGrid w:val="0"/>
        <w:spacing w:line="360" w:lineRule="auto"/>
        <w:rPr>
          <w:rFonts w:hint="eastAsia" w:ascii="宋体" w:hAnsi="宋体" w:eastAsia="宋体" w:cs="宋体"/>
          <w:color w:val="auto"/>
          <w:sz w:val="24"/>
          <w:szCs w:val="24"/>
        </w:rPr>
      </w:pPr>
    </w:p>
    <w:p w14:paraId="063443F8">
      <w:pPr>
        <w:snapToGrid w:val="0"/>
        <w:spacing w:line="360" w:lineRule="auto"/>
        <w:rPr>
          <w:rFonts w:hint="eastAsia" w:ascii="宋体" w:hAnsi="宋体" w:eastAsia="宋体" w:cs="宋体"/>
          <w:color w:val="auto"/>
          <w:sz w:val="24"/>
          <w:szCs w:val="24"/>
        </w:rPr>
      </w:pPr>
    </w:p>
    <w:p w14:paraId="23DA167F">
      <w:pPr>
        <w:pStyle w:val="18"/>
        <w:rPr>
          <w:rFonts w:hint="eastAsia" w:ascii="宋体" w:hAnsi="宋体" w:eastAsia="宋体" w:cs="宋体"/>
          <w:color w:val="auto"/>
          <w:sz w:val="24"/>
          <w:szCs w:val="24"/>
        </w:rPr>
      </w:pPr>
    </w:p>
    <w:p w14:paraId="0E5222E7">
      <w:pPr>
        <w:snapToGrid w:val="0"/>
        <w:spacing w:line="360" w:lineRule="auto"/>
        <w:rPr>
          <w:rFonts w:hint="eastAsia" w:ascii="宋体" w:hAnsi="宋体" w:eastAsia="宋体" w:cs="宋体"/>
          <w:color w:val="auto"/>
          <w:sz w:val="24"/>
          <w:szCs w:val="24"/>
        </w:rPr>
      </w:pPr>
    </w:p>
    <w:p w14:paraId="759158DC">
      <w:pPr>
        <w:snapToGrid w:val="0"/>
        <w:spacing w:line="360" w:lineRule="auto"/>
        <w:rPr>
          <w:rFonts w:hint="eastAsia" w:ascii="宋体" w:hAnsi="宋体" w:eastAsia="宋体" w:cs="宋体"/>
          <w:color w:val="auto"/>
          <w:sz w:val="24"/>
          <w:szCs w:val="24"/>
        </w:rPr>
      </w:pPr>
    </w:p>
    <w:p w14:paraId="608FB0B8">
      <w:pPr>
        <w:snapToGrid w:val="0"/>
        <w:spacing w:line="360" w:lineRule="auto"/>
        <w:rPr>
          <w:rFonts w:hint="eastAsia" w:ascii="宋体" w:hAnsi="宋体" w:eastAsia="宋体" w:cs="宋体"/>
          <w:color w:val="auto"/>
          <w:sz w:val="24"/>
          <w:szCs w:val="24"/>
        </w:rPr>
      </w:pPr>
    </w:p>
    <w:p w14:paraId="1115D390">
      <w:pPr>
        <w:snapToGri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r>
        <w:rPr>
          <w:rFonts w:hint="eastAsia" w:ascii="宋体" w:hAnsi="宋体" w:cs="宋体"/>
          <w:b/>
          <w:color w:val="auto"/>
          <w:kern w:val="0"/>
          <w:sz w:val="24"/>
          <w:szCs w:val="24"/>
          <w:lang w:val="en-US" w:eastAsia="zh-CN"/>
        </w:rPr>
        <w:t>4</w:t>
      </w:r>
      <w:r>
        <w:rPr>
          <w:rFonts w:hint="eastAsia" w:ascii="宋体" w:hAnsi="宋体" w:eastAsia="宋体" w:cs="宋体"/>
          <w:b/>
          <w:color w:val="auto"/>
          <w:kern w:val="0"/>
          <w:sz w:val="24"/>
          <w:szCs w:val="24"/>
        </w:rPr>
        <w:t>．有依法缴纳税收和社会保障资金的良好记录</w:t>
      </w:r>
    </w:p>
    <w:p w14:paraId="05586E88">
      <w:pPr>
        <w:pStyle w:val="4"/>
        <w:spacing w:line="48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依法缴纳税收和社会保障金的承诺函</w:t>
      </w:r>
    </w:p>
    <w:p w14:paraId="1F808ED7">
      <w:pPr>
        <w:pStyle w:val="4"/>
        <w:adjustRightInd w:val="0"/>
        <w:snapToGrid w:val="0"/>
        <w:spacing w:line="48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采购人名称</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w:t>
      </w:r>
    </w:p>
    <w:p w14:paraId="05000F09">
      <w:pPr>
        <w:pStyle w:val="4"/>
        <w:adjustRightInd w:val="0"/>
        <w:snapToGrid w:val="0"/>
        <w:spacing w:line="480" w:lineRule="auto"/>
        <w:ind w:firstLine="280"/>
        <w:rPr>
          <w:rFonts w:hint="eastAsia" w:ascii="宋体" w:hAnsi="宋体" w:eastAsia="宋体" w:cs="宋体"/>
          <w:b w:val="0"/>
          <w:bCs w:val="0"/>
          <w:color w:val="auto"/>
          <w:sz w:val="24"/>
          <w:szCs w:val="24"/>
          <w:highlight w:val="none"/>
        </w:rPr>
      </w:pPr>
    </w:p>
    <w:p w14:paraId="03A23327">
      <w:pPr>
        <w:pStyle w:val="4"/>
        <w:adjustRightInd w:val="0"/>
        <w:snapToGrid w:val="0"/>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我公司郑重声明，我公司严格依法缴纳税收和社会保障金，本文件中所提供的相关材料均真实有效，不存在虚假、造假行为。如有违反，愿承担一切责任。</w:t>
      </w:r>
    </w:p>
    <w:p w14:paraId="203ED861">
      <w:pPr>
        <w:pStyle w:val="4"/>
        <w:adjustRightInd w:val="0"/>
        <w:snapToGrid w:val="0"/>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09DD0573">
      <w:pPr>
        <w:pStyle w:val="4"/>
        <w:adjustRightInd w:val="0"/>
        <w:snapToGrid w:val="0"/>
        <w:spacing w:line="480" w:lineRule="auto"/>
        <w:ind w:firstLine="3360" w:firstLineChars="14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供应商名称：___________________(电子公章)</w:t>
      </w:r>
    </w:p>
    <w:p w14:paraId="54DEAC29">
      <w:pPr>
        <w:pStyle w:val="4"/>
        <w:adjustRightInd w:val="0"/>
        <w:snapToGrid w:val="0"/>
        <w:spacing w:line="480" w:lineRule="auto"/>
        <w:ind w:firstLine="3360" w:firstLineChars="1400"/>
        <w:jc w:val="left"/>
        <w:rPr>
          <w:rFonts w:hint="eastAsia" w:ascii="宋体" w:hAnsi="宋体" w:eastAsia="宋体" w:cs="宋体"/>
          <w:b/>
          <w:color w:val="auto"/>
          <w:sz w:val="24"/>
          <w:szCs w:val="24"/>
        </w:rPr>
      </w:pP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期：________年____月____日</w:t>
      </w:r>
    </w:p>
    <w:p w14:paraId="4CCE4DD1">
      <w:pPr>
        <w:snapToGrid w:val="0"/>
        <w:spacing w:line="360" w:lineRule="auto"/>
        <w:rPr>
          <w:rFonts w:hint="eastAsia" w:ascii="宋体" w:hAnsi="宋体" w:eastAsia="宋体" w:cs="宋体"/>
          <w:b/>
          <w:color w:val="auto"/>
          <w:kern w:val="0"/>
          <w:sz w:val="24"/>
          <w:szCs w:val="24"/>
        </w:rPr>
      </w:pPr>
    </w:p>
    <w:p w14:paraId="12062FE6">
      <w:pPr>
        <w:snapToGrid w:val="0"/>
        <w:spacing w:line="360" w:lineRule="auto"/>
        <w:rPr>
          <w:rFonts w:hint="eastAsia" w:ascii="宋体" w:hAnsi="宋体" w:eastAsia="宋体" w:cs="宋体"/>
          <w:b/>
          <w:color w:val="auto"/>
          <w:kern w:val="0"/>
          <w:sz w:val="24"/>
          <w:szCs w:val="24"/>
        </w:rPr>
      </w:pPr>
    </w:p>
    <w:p w14:paraId="5BC0C32B">
      <w:pPr>
        <w:snapToGrid w:val="0"/>
        <w:spacing w:line="360" w:lineRule="auto"/>
        <w:rPr>
          <w:rFonts w:hint="eastAsia" w:ascii="宋体" w:hAnsi="宋体" w:eastAsia="宋体" w:cs="宋体"/>
          <w:b/>
          <w:color w:val="auto"/>
          <w:kern w:val="0"/>
          <w:sz w:val="24"/>
          <w:szCs w:val="24"/>
        </w:rPr>
      </w:pPr>
    </w:p>
    <w:p w14:paraId="34670C23">
      <w:pPr>
        <w:snapToGrid w:val="0"/>
        <w:spacing w:line="360" w:lineRule="auto"/>
        <w:rPr>
          <w:rFonts w:hint="eastAsia" w:ascii="宋体" w:hAnsi="宋体" w:eastAsia="宋体" w:cs="宋体"/>
          <w:b/>
          <w:color w:val="auto"/>
          <w:kern w:val="0"/>
          <w:sz w:val="24"/>
          <w:szCs w:val="24"/>
        </w:rPr>
      </w:pPr>
    </w:p>
    <w:p w14:paraId="3B1A2C44">
      <w:pPr>
        <w:snapToGrid w:val="0"/>
        <w:spacing w:line="360" w:lineRule="auto"/>
        <w:rPr>
          <w:rFonts w:hint="eastAsia" w:ascii="宋体" w:hAnsi="宋体" w:eastAsia="宋体" w:cs="宋体"/>
          <w:b/>
          <w:color w:val="auto"/>
          <w:kern w:val="0"/>
          <w:sz w:val="24"/>
          <w:szCs w:val="24"/>
        </w:rPr>
      </w:pPr>
    </w:p>
    <w:p w14:paraId="42055B4C">
      <w:pPr>
        <w:snapToGrid w:val="0"/>
        <w:spacing w:line="360" w:lineRule="auto"/>
        <w:rPr>
          <w:rFonts w:hint="eastAsia" w:ascii="宋体" w:hAnsi="宋体" w:eastAsia="宋体" w:cs="宋体"/>
          <w:b/>
          <w:color w:val="auto"/>
          <w:kern w:val="0"/>
          <w:sz w:val="24"/>
          <w:szCs w:val="24"/>
        </w:rPr>
      </w:pPr>
    </w:p>
    <w:p w14:paraId="469ECDD4">
      <w:pPr>
        <w:snapToGrid w:val="0"/>
        <w:spacing w:line="360" w:lineRule="auto"/>
        <w:rPr>
          <w:rFonts w:hint="eastAsia" w:ascii="宋体" w:hAnsi="宋体" w:eastAsia="宋体" w:cs="宋体"/>
          <w:b/>
          <w:color w:val="auto"/>
          <w:kern w:val="0"/>
          <w:sz w:val="24"/>
          <w:szCs w:val="24"/>
        </w:rPr>
      </w:pPr>
    </w:p>
    <w:p w14:paraId="2A70EA30">
      <w:pPr>
        <w:snapToGrid w:val="0"/>
        <w:spacing w:line="360" w:lineRule="auto"/>
        <w:rPr>
          <w:rFonts w:hint="eastAsia" w:ascii="宋体" w:hAnsi="宋体" w:eastAsia="宋体" w:cs="宋体"/>
          <w:b/>
          <w:color w:val="auto"/>
          <w:kern w:val="0"/>
          <w:sz w:val="24"/>
          <w:szCs w:val="24"/>
        </w:rPr>
      </w:pPr>
    </w:p>
    <w:p w14:paraId="4BB169FE">
      <w:pPr>
        <w:snapToGrid w:val="0"/>
        <w:spacing w:line="360" w:lineRule="auto"/>
        <w:rPr>
          <w:rFonts w:hint="eastAsia" w:ascii="宋体" w:hAnsi="宋体" w:eastAsia="宋体" w:cs="宋体"/>
          <w:b/>
          <w:color w:val="auto"/>
          <w:kern w:val="0"/>
          <w:sz w:val="24"/>
          <w:szCs w:val="24"/>
        </w:rPr>
      </w:pPr>
    </w:p>
    <w:p w14:paraId="51D3CDA8">
      <w:pPr>
        <w:snapToGrid w:val="0"/>
        <w:spacing w:line="360" w:lineRule="auto"/>
        <w:rPr>
          <w:rFonts w:hint="eastAsia" w:ascii="宋体" w:hAnsi="宋体" w:eastAsia="宋体" w:cs="宋体"/>
          <w:b/>
          <w:color w:val="auto"/>
          <w:kern w:val="0"/>
          <w:sz w:val="24"/>
          <w:szCs w:val="24"/>
        </w:rPr>
      </w:pPr>
    </w:p>
    <w:p w14:paraId="02BE7DA8">
      <w:pPr>
        <w:snapToGrid w:val="0"/>
        <w:spacing w:line="360" w:lineRule="auto"/>
        <w:rPr>
          <w:rFonts w:hint="eastAsia" w:ascii="宋体" w:hAnsi="宋体" w:eastAsia="宋体" w:cs="宋体"/>
          <w:b/>
          <w:color w:val="auto"/>
          <w:kern w:val="0"/>
          <w:sz w:val="24"/>
          <w:szCs w:val="24"/>
        </w:rPr>
      </w:pPr>
    </w:p>
    <w:p w14:paraId="48A0DBE2">
      <w:pPr>
        <w:snapToGrid w:val="0"/>
        <w:spacing w:line="360" w:lineRule="auto"/>
        <w:rPr>
          <w:rFonts w:hint="eastAsia" w:ascii="宋体" w:hAnsi="宋体" w:eastAsia="宋体" w:cs="宋体"/>
          <w:b/>
          <w:color w:val="auto"/>
          <w:kern w:val="0"/>
          <w:sz w:val="24"/>
          <w:szCs w:val="24"/>
        </w:rPr>
      </w:pPr>
    </w:p>
    <w:p w14:paraId="7638F988">
      <w:pPr>
        <w:snapToGrid w:val="0"/>
        <w:spacing w:line="360" w:lineRule="auto"/>
        <w:rPr>
          <w:rFonts w:hint="eastAsia" w:ascii="宋体" w:hAnsi="宋体" w:eastAsia="宋体" w:cs="宋体"/>
          <w:b/>
          <w:color w:val="auto"/>
          <w:kern w:val="0"/>
          <w:sz w:val="24"/>
          <w:szCs w:val="24"/>
        </w:rPr>
      </w:pPr>
    </w:p>
    <w:p w14:paraId="45A56783">
      <w:pPr>
        <w:snapToGri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p>
    <w:p w14:paraId="5BA370B2">
      <w:pPr>
        <w:snapToGrid w:val="0"/>
        <w:spacing w:line="360" w:lineRule="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5.参加政府采购活动前三年内，在经营活动中没有重大违法记录</w:t>
      </w:r>
    </w:p>
    <w:p w14:paraId="56A96C19">
      <w:pPr>
        <w:snapToGrid w:val="0"/>
        <w:spacing w:line="360" w:lineRule="auto"/>
        <w:rPr>
          <w:rFonts w:hint="eastAsia" w:ascii="宋体" w:hAnsi="宋体" w:eastAsia="宋体" w:cs="宋体"/>
          <w:b/>
          <w:color w:val="auto"/>
          <w:kern w:val="0"/>
          <w:sz w:val="24"/>
          <w:szCs w:val="24"/>
        </w:rPr>
      </w:pPr>
    </w:p>
    <w:p w14:paraId="357F7757">
      <w:pPr>
        <w:pStyle w:val="4"/>
        <w:spacing w:line="480" w:lineRule="auto"/>
        <w:ind w:firstLine="361"/>
        <w:jc w:val="center"/>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rPr>
        <w:t>参</w:t>
      </w:r>
      <w:r>
        <w:rPr>
          <w:rFonts w:hint="eastAsia" w:ascii="宋体" w:hAnsi="宋体" w:eastAsia="宋体" w:cs="宋体"/>
          <w:b w:val="0"/>
          <w:bCs w:val="0"/>
          <w:color w:val="auto"/>
          <w:sz w:val="24"/>
          <w:szCs w:val="24"/>
          <w:highlight w:val="none"/>
        </w:rPr>
        <w:t>加本次政府采购项目前三年内在经营活动中</w:t>
      </w:r>
    </w:p>
    <w:p w14:paraId="02F2DF66">
      <w:pPr>
        <w:pStyle w:val="4"/>
        <w:spacing w:line="480" w:lineRule="auto"/>
        <w:ind w:firstLine="361"/>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没有重大违法记录的承诺函</w:t>
      </w:r>
    </w:p>
    <w:p w14:paraId="682E2520">
      <w:pPr>
        <w:pStyle w:val="4"/>
        <w:spacing w:line="48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采购人名称</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w:t>
      </w:r>
    </w:p>
    <w:p w14:paraId="0874A918">
      <w:pPr>
        <w:pStyle w:val="4"/>
        <w:spacing w:line="480" w:lineRule="auto"/>
        <w:ind w:firstLine="2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我方</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谈判</w:t>
      </w:r>
      <w:r>
        <w:rPr>
          <w:rFonts w:hint="eastAsia" w:ascii="宋体" w:hAnsi="宋体" w:eastAsia="宋体" w:cs="宋体"/>
          <w:b w:val="0"/>
          <w:bCs w:val="0"/>
          <w:color w:val="auto"/>
          <w:sz w:val="24"/>
          <w:szCs w:val="24"/>
          <w:highlight w:val="none"/>
          <w:u w:val="single"/>
        </w:rPr>
        <w:t>响应供应商名称）</w:t>
      </w:r>
      <w:r>
        <w:rPr>
          <w:rFonts w:hint="eastAsia" w:ascii="宋体" w:hAnsi="宋体" w:eastAsia="宋体" w:cs="宋体"/>
          <w:b w:val="0"/>
          <w:bCs w:val="0"/>
          <w:color w:val="auto"/>
          <w:sz w:val="24"/>
          <w:szCs w:val="24"/>
          <w:highlight w:val="none"/>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78A12D75">
      <w:pPr>
        <w:pStyle w:val="4"/>
        <w:spacing w:line="48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特此承诺</w:t>
      </w:r>
    </w:p>
    <w:p w14:paraId="70122515">
      <w:pPr>
        <w:tabs>
          <w:tab w:val="left" w:pos="4000"/>
        </w:tabs>
        <w:snapToGrid w:val="0"/>
        <w:spacing w:line="480" w:lineRule="auto"/>
        <w:jc w:val="right"/>
        <w:rPr>
          <w:rFonts w:ascii="宋体" w:hAnsi="宋体" w:cs="宋体"/>
          <w:color w:val="auto"/>
          <w:kern w:val="0"/>
          <w:sz w:val="24"/>
        </w:rPr>
      </w:pPr>
      <w:r>
        <w:rPr>
          <w:rFonts w:hint="eastAsia" w:ascii="宋体" w:hAnsi="宋体" w:eastAsia="宋体" w:cs="宋体"/>
          <w:b w:val="0"/>
          <w:bCs w:val="0"/>
          <w:color w:val="auto"/>
          <w:sz w:val="24"/>
          <w:szCs w:val="24"/>
          <w:highlight w:val="none"/>
        </w:rPr>
        <w:t>供应商名称：_________________________</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77A25B9F">
      <w:pPr>
        <w:pStyle w:val="4"/>
        <w:spacing w:line="480" w:lineRule="auto"/>
        <w:ind w:left="0" w:leftChars="0" w:firstLine="3360" w:firstLineChars="1400"/>
        <w:jc w:val="both"/>
        <w:rPr>
          <w:rFonts w:hint="eastAsia" w:ascii="宋体" w:hAnsi="宋体" w:eastAsia="宋体" w:cs="宋体"/>
          <w:b/>
          <w:color w:val="auto"/>
          <w:kern w:val="0"/>
          <w:sz w:val="24"/>
          <w:szCs w:val="24"/>
        </w:rPr>
      </w:pP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期：________年____月____日</w:t>
      </w:r>
    </w:p>
    <w:p w14:paraId="0A024150">
      <w:pPr>
        <w:snapToGrid w:val="0"/>
        <w:spacing w:line="360" w:lineRule="auto"/>
        <w:rPr>
          <w:rFonts w:hint="eastAsia" w:ascii="宋体" w:hAnsi="宋体" w:eastAsia="宋体" w:cs="宋体"/>
          <w:b/>
          <w:color w:val="auto"/>
          <w:kern w:val="0"/>
          <w:sz w:val="24"/>
          <w:szCs w:val="24"/>
        </w:rPr>
      </w:pPr>
    </w:p>
    <w:p w14:paraId="185A8566">
      <w:pPr>
        <w:snapToGrid w:val="0"/>
        <w:spacing w:line="360" w:lineRule="auto"/>
        <w:rPr>
          <w:rFonts w:hint="eastAsia" w:ascii="宋体" w:hAnsi="宋体" w:eastAsia="宋体" w:cs="宋体"/>
          <w:b/>
          <w:color w:val="auto"/>
          <w:kern w:val="0"/>
          <w:sz w:val="24"/>
          <w:szCs w:val="24"/>
        </w:rPr>
      </w:pPr>
    </w:p>
    <w:p w14:paraId="36DF2DC0">
      <w:pPr>
        <w:snapToGrid w:val="0"/>
        <w:spacing w:line="360" w:lineRule="auto"/>
        <w:rPr>
          <w:rFonts w:hint="eastAsia" w:ascii="宋体" w:hAnsi="宋体" w:eastAsia="宋体" w:cs="宋体"/>
          <w:b/>
          <w:color w:val="auto"/>
          <w:kern w:val="0"/>
          <w:sz w:val="24"/>
          <w:szCs w:val="24"/>
        </w:rPr>
      </w:pPr>
    </w:p>
    <w:p w14:paraId="05DFBDD4">
      <w:pPr>
        <w:snapToGrid w:val="0"/>
        <w:spacing w:line="360" w:lineRule="auto"/>
        <w:rPr>
          <w:rFonts w:hint="eastAsia" w:ascii="宋体" w:hAnsi="宋体" w:eastAsia="宋体" w:cs="宋体"/>
          <w:b/>
          <w:color w:val="auto"/>
          <w:kern w:val="0"/>
          <w:sz w:val="24"/>
          <w:szCs w:val="24"/>
        </w:rPr>
      </w:pPr>
    </w:p>
    <w:p w14:paraId="6A791046">
      <w:pPr>
        <w:snapToGrid w:val="0"/>
        <w:spacing w:line="360" w:lineRule="auto"/>
        <w:rPr>
          <w:rFonts w:hint="eastAsia" w:ascii="宋体" w:hAnsi="宋体" w:eastAsia="宋体" w:cs="宋体"/>
          <w:b/>
          <w:color w:val="auto"/>
          <w:kern w:val="0"/>
          <w:sz w:val="24"/>
          <w:szCs w:val="24"/>
        </w:rPr>
      </w:pPr>
    </w:p>
    <w:p w14:paraId="2190CDC9">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br w:type="page"/>
      </w:r>
    </w:p>
    <w:p w14:paraId="68F6E650">
      <w:pPr>
        <w:snapToGrid w:val="0"/>
        <w:spacing w:line="360" w:lineRule="auto"/>
        <w:rPr>
          <w:rFonts w:hint="eastAsia" w:ascii="宋体" w:hAnsi="宋体" w:eastAsia="宋体" w:cs="宋体"/>
          <w:color w:val="auto"/>
          <w:sz w:val="24"/>
          <w:szCs w:val="24"/>
          <w:highlight w:val="cya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rPr>
        <w:t>供应商廉洁自律承诺书</w:t>
      </w:r>
    </w:p>
    <w:p w14:paraId="25590EE2">
      <w:pPr>
        <w:spacing w:before="156" w:beforeLines="50" w:after="156" w:afterLines="50" w:line="48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供应商廉洁自律承诺书</w:t>
      </w:r>
    </w:p>
    <w:p w14:paraId="57290D71">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采购人名称：</w:t>
      </w:r>
    </w:p>
    <w:p w14:paraId="26D06D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为维护本次</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工作的正常秩序，本公司特郑重承诺如下： </w:t>
      </w:r>
    </w:p>
    <w:p w14:paraId="6384AC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一、严格按照《中华人民共和国政府采购法》、《中华人民共和国政府采购法实施条例》、</w:t>
      </w:r>
      <w:r>
        <w:rPr>
          <w:rFonts w:hint="eastAsia" w:ascii="宋体" w:hAnsi="宋体" w:eastAsia="宋体" w:cs="宋体"/>
          <w:color w:val="auto"/>
          <w:kern w:val="0"/>
          <w:sz w:val="24"/>
          <w:szCs w:val="24"/>
        </w:rPr>
        <w:t>《政府采购竞争性</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采购方式管理暂行办法》</w:t>
      </w:r>
      <w:r>
        <w:rPr>
          <w:rFonts w:hint="eastAsia" w:ascii="宋体" w:hAnsi="宋体" w:eastAsia="宋体" w:cs="宋体"/>
          <w:color w:val="auto"/>
          <w:sz w:val="24"/>
          <w:szCs w:val="24"/>
        </w:rPr>
        <w:t>等有关法律法规、政策及《</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文件》的规定，规范本公司的投标行为，保证做到合法投标、正当竞争、廉洁经营。</w:t>
      </w:r>
    </w:p>
    <w:p w14:paraId="650EA8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二、本公司保证在本次投标工作中做到： </w:t>
      </w:r>
    </w:p>
    <w:p w14:paraId="1400C9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1．不与其他投标人相互串通投标、陪标，损害贵单位的合法权益； </w:t>
      </w:r>
    </w:p>
    <w:p w14:paraId="2BACFE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2．不与用户串通投标，损害学校利益或他人的合法权益；</w:t>
      </w:r>
    </w:p>
    <w:p w14:paraId="7EEF98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以向用户、采购人或者评标委员会成员行贿的手段谋取中标；（包括送礼金礼品、有价证券、购物券、回扣、佣金、咨询费、劳务费、赞助费、宣传费、支付旅游费用、报销各种消费凭证、宴请、娱乐等）；</w:t>
      </w:r>
    </w:p>
    <w:p w14:paraId="46B28D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4．不利用他人名义投标或者以其他方式弄虚作假，谋取中标；</w:t>
      </w:r>
    </w:p>
    <w:p w14:paraId="021595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5．保证不以其他任何方式扰乱本次招标工作；</w:t>
      </w:r>
    </w:p>
    <w:p w14:paraId="64FF1D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6．保证严格遵守招标会议纪律。</w:t>
      </w:r>
    </w:p>
    <w:p w14:paraId="556C5E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三、我公司承诺在本次招投标活动中，如有违反以上第二条中的行为，同意贵方按《中华人民共和国政府采购法》、《中华人民共和国政府采购法实施条例》、</w:t>
      </w:r>
      <w:r>
        <w:rPr>
          <w:rFonts w:hint="eastAsia" w:ascii="宋体" w:hAnsi="宋体" w:eastAsia="宋体" w:cs="宋体"/>
          <w:color w:val="auto"/>
          <w:kern w:val="0"/>
          <w:sz w:val="24"/>
          <w:szCs w:val="24"/>
        </w:rPr>
        <w:t>《政府采购竞争性</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采购方式管理暂行办法》</w:t>
      </w:r>
      <w:r>
        <w:rPr>
          <w:rFonts w:hint="eastAsia" w:ascii="宋体" w:hAnsi="宋体" w:eastAsia="宋体" w:cs="宋体"/>
          <w:color w:val="auto"/>
          <w:sz w:val="24"/>
          <w:szCs w:val="24"/>
        </w:rPr>
        <w:t>等有关法律法规和</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文件之规定上报省级主管部门给予进入不良信誉记录、扣除保证金等惩罚，我公司及项目参与人员完全接受。</w:t>
      </w:r>
    </w:p>
    <w:p w14:paraId="6505C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7F6087A">
      <w:pPr>
        <w:snapToGrid w:val="0"/>
        <w:spacing w:line="480" w:lineRule="exact"/>
        <w:ind w:firstLine="4080" w:firstLineChars="1700"/>
        <w:rPr>
          <w:rFonts w:hint="eastAsia" w:ascii="宋体" w:hAnsi="宋体" w:eastAsia="宋体" w:cs="宋体"/>
          <w:color w:val="auto"/>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rPr>
        <w:t>电子公章</w:t>
      </w:r>
      <w:r>
        <w:rPr>
          <w:rFonts w:hint="eastAsia" w:ascii="宋体" w:hAnsi="宋体" w:eastAsia="宋体" w:cs="宋体"/>
          <w:color w:val="auto"/>
          <w:sz w:val="24"/>
          <w:szCs w:val="24"/>
        </w:rPr>
        <w:t>）</w:t>
      </w:r>
    </w:p>
    <w:p w14:paraId="7541AAD3">
      <w:pPr>
        <w:tabs>
          <w:tab w:val="left" w:pos="3760"/>
        </w:tabs>
        <w:snapToGrid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D06E287">
      <w:pPr>
        <w:tabs>
          <w:tab w:val="left" w:pos="3760"/>
        </w:tabs>
        <w:snapToGrid w:val="0"/>
        <w:spacing w:line="480" w:lineRule="auto"/>
        <w:ind w:firstLine="1200" w:firstLineChars="5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法定代表人（负责人）或供应商授权代表：</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电子章</w:t>
      </w:r>
      <w:r>
        <w:rPr>
          <w:rFonts w:hint="eastAsia" w:ascii="宋体" w:hAnsi="宋体" w:eastAsia="宋体" w:cs="宋体"/>
          <w:color w:val="auto"/>
          <w:kern w:val="0"/>
          <w:sz w:val="24"/>
          <w:szCs w:val="24"/>
        </w:rPr>
        <w:t>)</w:t>
      </w:r>
    </w:p>
    <w:p w14:paraId="4FBD3FD5">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C6B8DDD">
      <w:pPr>
        <w:spacing w:line="48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日      期：________年____月____日</w:t>
      </w:r>
    </w:p>
    <w:p w14:paraId="38D476A4">
      <w:pPr>
        <w:pStyle w:val="38"/>
        <w:rPr>
          <w:rFonts w:hint="eastAsia" w:ascii="宋体" w:hAnsi="宋体" w:eastAsia="宋体" w:cs="宋体"/>
          <w:b/>
          <w:bCs/>
          <w:color w:val="auto"/>
          <w:sz w:val="24"/>
          <w:szCs w:val="24"/>
          <w:lang w:val="en-US" w:eastAsia="zh-CN"/>
        </w:rPr>
      </w:pPr>
    </w:p>
    <w:p w14:paraId="0D2777C0">
      <w:pPr>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br w:type="page"/>
      </w:r>
    </w:p>
    <w:p w14:paraId="738B8B3B">
      <w:pPr>
        <w:spacing w:line="360" w:lineRule="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7</w:t>
      </w:r>
      <w:r>
        <w:rPr>
          <w:rFonts w:hint="eastAsia" w:ascii="宋体" w:hAnsi="宋体" w:eastAsia="宋体" w:cs="宋体"/>
          <w:b/>
          <w:bCs/>
          <w:color w:val="auto"/>
          <w:kern w:val="0"/>
          <w:sz w:val="24"/>
          <w:szCs w:val="24"/>
          <w:lang w:val="en-US" w:eastAsia="zh-CN"/>
        </w:rPr>
        <w:t>.谈判保证金</w:t>
      </w:r>
    </w:p>
    <w:p w14:paraId="48A0CD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提供供应商基本存款账户或开户许可证扫描件及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rPr>
        <w:t>保证金交纳回单（或回执）。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保证金要求足额交纳，且从供应商的基本存款账户转出。提供的保证金交纳的账号和供应商开户行证明的账号相同（如有不同，需开户行做出书面说明）</w:t>
      </w:r>
    </w:p>
    <w:p w14:paraId="64F326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扫描件清晰有效,须加盖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公章。</w:t>
      </w:r>
    </w:p>
    <w:p w14:paraId="5506082C">
      <w:pPr>
        <w:pStyle w:val="21"/>
        <w:rPr>
          <w:rFonts w:hint="eastAsia" w:ascii="宋体" w:hAnsi="宋体" w:eastAsia="宋体" w:cs="宋体"/>
          <w:color w:val="auto"/>
          <w:sz w:val="24"/>
          <w:szCs w:val="24"/>
        </w:rPr>
      </w:pPr>
    </w:p>
    <w:p w14:paraId="6E67EA02">
      <w:pP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br w:type="page"/>
      </w:r>
    </w:p>
    <w:p w14:paraId="10B85D02">
      <w:pPr>
        <w:pStyle w:val="21"/>
        <w:ind w:left="0" w:leftChars="0" w:firstLine="0" w:firstLineChars="0"/>
        <w:rPr>
          <w:rFonts w:hint="eastAsia" w:ascii="宋体" w:hAnsi="宋体" w:eastAsia="宋体" w:cs="宋体"/>
          <w:color w:val="auto"/>
          <w:sz w:val="24"/>
          <w:szCs w:val="24"/>
        </w:rPr>
      </w:pPr>
      <w:r>
        <w:rPr>
          <w:rFonts w:hint="eastAsia" w:ascii="宋体" w:hAnsi="宋体" w:cs="宋体"/>
          <w:b/>
          <w:color w:val="auto"/>
          <w:kern w:val="0"/>
          <w:sz w:val="24"/>
          <w:szCs w:val="24"/>
          <w:lang w:val="en-US" w:eastAsia="zh-CN"/>
        </w:rPr>
        <w:t>8</w:t>
      </w:r>
      <w:r>
        <w:rPr>
          <w:rFonts w:hint="eastAsia" w:ascii="宋体" w:hAnsi="宋体" w:eastAsia="宋体" w:cs="宋体"/>
          <w:b/>
          <w:color w:val="auto"/>
          <w:kern w:val="0"/>
          <w:sz w:val="24"/>
          <w:szCs w:val="24"/>
        </w:rPr>
        <w:t>.本项目要求的特定资格条件</w:t>
      </w:r>
      <w:r>
        <w:rPr>
          <w:rFonts w:hint="eastAsia" w:ascii="宋体" w:hAnsi="宋体" w:eastAsia="宋体" w:cs="宋体"/>
          <w:color w:val="auto"/>
          <w:sz w:val="24"/>
          <w:szCs w:val="24"/>
        </w:rPr>
        <w:t>。</w:t>
      </w:r>
    </w:p>
    <w:p w14:paraId="207B26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对照商务、技术要求 “本项目的特定资格要求”规定提交相关证明文件，如本项目不要求其他特定资质条件则无需提供。</w:t>
      </w:r>
    </w:p>
    <w:p w14:paraId="6C920E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要求：扫描件清晰有效。</w:t>
      </w:r>
    </w:p>
    <w:p w14:paraId="43559173">
      <w:pPr>
        <w:spacing w:line="360" w:lineRule="auto"/>
        <w:ind w:firstLine="480" w:firstLineChars="200"/>
        <w:rPr>
          <w:rFonts w:hint="eastAsia" w:ascii="宋体" w:hAnsi="宋体" w:eastAsia="宋体" w:cs="宋体"/>
          <w:color w:val="auto"/>
          <w:sz w:val="24"/>
          <w:szCs w:val="24"/>
        </w:rPr>
      </w:pPr>
    </w:p>
    <w:p w14:paraId="1FAB6A37">
      <w:pPr>
        <w:widowControl/>
        <w:spacing w:line="330" w:lineRule="atLeast"/>
        <w:jc w:val="left"/>
        <w:rPr>
          <w:rFonts w:hint="eastAsia" w:ascii="宋体" w:hAnsi="宋体" w:eastAsia="宋体" w:cs="宋体"/>
          <w:bCs/>
          <w:color w:val="auto"/>
          <w:kern w:val="0"/>
          <w:sz w:val="24"/>
          <w:szCs w:val="24"/>
          <w:highlight w:val="green"/>
        </w:rPr>
      </w:pPr>
    </w:p>
    <w:p w14:paraId="5A7E202A">
      <w:pPr>
        <w:rPr>
          <w:rFonts w:hint="eastAsia" w:ascii="宋体" w:hAnsi="宋体"/>
          <w:b/>
          <w:bCs/>
          <w:color w:val="000000"/>
          <w:kern w:val="0"/>
          <w:sz w:val="24"/>
          <w:highlight w:val="green"/>
        </w:rPr>
      </w:pPr>
      <w:r>
        <w:rPr>
          <w:rFonts w:hint="eastAsia" w:ascii="宋体" w:hAnsi="宋体"/>
          <w:b/>
          <w:bCs/>
          <w:color w:val="000000"/>
          <w:kern w:val="0"/>
          <w:sz w:val="24"/>
          <w:highlight w:val="green"/>
        </w:rPr>
        <w:br w:type="page"/>
      </w:r>
    </w:p>
    <w:p w14:paraId="234F52C2">
      <w:pPr>
        <w:numPr>
          <w:ilvl w:val="0"/>
          <w:numId w:val="6"/>
        </w:numPr>
        <w:outlineLvl w:val="1"/>
        <w:rPr>
          <w:rFonts w:ascii="宋体" w:hAnsi="宋体" w:cs="宋体"/>
          <w:b/>
          <w:color w:val="auto"/>
          <w:sz w:val="28"/>
          <w:szCs w:val="28"/>
        </w:rPr>
      </w:pPr>
      <w:r>
        <w:rPr>
          <w:rFonts w:hint="eastAsia" w:ascii="宋体" w:hAnsi="宋体"/>
          <w:b/>
          <w:bCs/>
          <w:color w:val="000000"/>
          <w:kern w:val="0"/>
          <w:sz w:val="24"/>
          <w:highlight w:val="none"/>
        </w:rPr>
        <w:t>采购政策</w:t>
      </w:r>
    </w:p>
    <w:p w14:paraId="79783DF7">
      <w:pPr>
        <w:pStyle w:val="10"/>
      </w:pPr>
    </w:p>
    <w:p w14:paraId="0886BFBD">
      <w:pPr>
        <w:widowControl/>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中小企业声明函（工程、服务）</w:t>
      </w:r>
    </w:p>
    <w:p w14:paraId="1C2D52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本公司（联合体）郑重声明，根据《政府采购促进中小企业发展管理办法》（财库﹝2020﹞46 号）的规定，本公司（联合体）参加</w:t>
      </w:r>
      <w:r>
        <w:rPr>
          <w:rFonts w:hint="eastAsia" w:ascii="宋体" w:hAnsi="宋体" w:cs="宋体"/>
          <w:color w:val="auto"/>
          <w:spacing w:val="-8"/>
          <w:sz w:val="24"/>
          <w:u w:val="single"/>
          <w:shd w:val="clear" w:color="auto" w:fill="FFFFFF"/>
        </w:rPr>
        <w:t>（单位名称）</w:t>
      </w:r>
      <w:r>
        <w:rPr>
          <w:rFonts w:hint="eastAsia" w:ascii="宋体" w:hAnsi="宋体" w:cs="宋体"/>
          <w:color w:val="auto"/>
          <w:spacing w:val="-8"/>
          <w:sz w:val="24"/>
          <w:shd w:val="clear" w:color="auto" w:fill="FFFFFF"/>
        </w:rPr>
        <w:t>的</w:t>
      </w:r>
      <w:r>
        <w:rPr>
          <w:rFonts w:hint="eastAsia" w:ascii="宋体" w:hAnsi="宋体" w:cs="宋体"/>
          <w:color w:val="auto"/>
          <w:spacing w:val="-8"/>
          <w:sz w:val="24"/>
          <w:u w:val="single"/>
          <w:shd w:val="clear" w:color="auto" w:fill="FFFFFF"/>
        </w:rPr>
        <w:t>（项目名称）</w:t>
      </w:r>
      <w:r>
        <w:rPr>
          <w:rFonts w:hint="eastAsia" w:ascii="宋体" w:hAnsi="宋体" w:cs="宋体"/>
          <w:color w:val="auto"/>
          <w:spacing w:val="-8"/>
          <w:sz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678338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 xml:space="preserve">1. </w:t>
      </w:r>
      <w:r>
        <w:rPr>
          <w:rFonts w:hint="eastAsia" w:ascii="宋体" w:hAnsi="宋体" w:cs="宋体"/>
          <w:color w:val="auto"/>
          <w:spacing w:val="-8"/>
          <w:sz w:val="24"/>
          <w:u w:val="single"/>
          <w:shd w:val="clear" w:color="auto" w:fill="FFFFFF"/>
        </w:rPr>
        <w:t>（标的名称）</w:t>
      </w:r>
      <w:r>
        <w:rPr>
          <w:rFonts w:hint="eastAsia" w:ascii="宋体" w:hAnsi="宋体" w:cs="宋体"/>
          <w:color w:val="auto"/>
          <w:spacing w:val="-8"/>
          <w:sz w:val="24"/>
          <w:shd w:val="clear" w:color="auto" w:fill="FFFFFF"/>
        </w:rPr>
        <w:t xml:space="preserve"> ，属 于</w:t>
      </w:r>
      <w:r>
        <w:rPr>
          <w:rFonts w:hint="eastAsia" w:ascii="宋体" w:hAnsi="宋体" w:cs="宋体"/>
          <w:color w:val="auto"/>
          <w:spacing w:val="-8"/>
          <w:sz w:val="24"/>
          <w:u w:val="single"/>
          <w:shd w:val="clear" w:color="auto" w:fill="FFFFFF"/>
        </w:rPr>
        <w:t>（采购文件中明确的所属行业）</w:t>
      </w:r>
      <w:r>
        <w:rPr>
          <w:rFonts w:hint="eastAsia" w:ascii="宋体" w:hAnsi="宋体" w:cs="宋体"/>
          <w:color w:val="auto"/>
          <w:spacing w:val="-8"/>
          <w:sz w:val="24"/>
          <w:shd w:val="clear" w:color="auto" w:fill="FFFFFF"/>
        </w:rPr>
        <w:t>；承建（承接）企业为</w:t>
      </w:r>
      <w:r>
        <w:rPr>
          <w:rFonts w:hint="eastAsia" w:ascii="宋体" w:hAnsi="宋体" w:cs="宋体"/>
          <w:color w:val="auto"/>
          <w:spacing w:val="-8"/>
          <w:sz w:val="24"/>
          <w:u w:val="single"/>
          <w:shd w:val="clear" w:color="auto" w:fill="FFFFFF"/>
        </w:rPr>
        <w:t>（企业名称）</w:t>
      </w:r>
      <w:r>
        <w:rPr>
          <w:rFonts w:hint="eastAsia" w:ascii="宋体" w:hAnsi="宋体" w:cs="宋体"/>
          <w:color w:val="auto"/>
          <w:spacing w:val="-8"/>
          <w:sz w:val="24"/>
          <w:shd w:val="clear" w:color="auto" w:fill="FFFFFF"/>
        </w:rPr>
        <w:t>，从业人员</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人，营业收入为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万元，资产总额为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 ，属于（</w:t>
      </w:r>
      <w:r>
        <w:rPr>
          <w:rFonts w:hint="eastAsia" w:ascii="宋体" w:hAnsi="宋体" w:cs="宋体"/>
          <w:color w:val="auto"/>
          <w:spacing w:val="-8"/>
          <w:sz w:val="24"/>
          <w:u w:val="single"/>
          <w:shd w:val="clear" w:color="auto" w:fill="FFFFFF"/>
        </w:rPr>
        <w:t>中型企业、小型企业、微型企业</w:t>
      </w:r>
      <w:r>
        <w:rPr>
          <w:rFonts w:hint="eastAsia" w:ascii="宋体" w:hAnsi="宋体" w:cs="宋体"/>
          <w:color w:val="auto"/>
          <w:spacing w:val="-8"/>
          <w:sz w:val="24"/>
          <w:shd w:val="clear" w:color="auto" w:fill="FFFFFF"/>
        </w:rPr>
        <w:t>）；</w:t>
      </w:r>
    </w:p>
    <w:p w14:paraId="142925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 xml:space="preserve">2. </w:t>
      </w:r>
      <w:r>
        <w:rPr>
          <w:rFonts w:hint="eastAsia" w:ascii="宋体" w:hAnsi="宋体" w:cs="宋体"/>
          <w:color w:val="auto"/>
          <w:spacing w:val="-8"/>
          <w:sz w:val="24"/>
          <w:u w:val="single"/>
          <w:shd w:val="clear" w:color="auto" w:fill="FFFFFF"/>
        </w:rPr>
        <w:t>（标的名称）</w:t>
      </w:r>
      <w:r>
        <w:rPr>
          <w:rFonts w:hint="eastAsia" w:ascii="宋体" w:hAnsi="宋体" w:cs="宋体"/>
          <w:color w:val="auto"/>
          <w:spacing w:val="-8"/>
          <w:sz w:val="24"/>
          <w:shd w:val="clear" w:color="auto" w:fill="FFFFFF"/>
        </w:rPr>
        <w:t xml:space="preserve"> ，属于（</w:t>
      </w:r>
      <w:r>
        <w:rPr>
          <w:rFonts w:hint="eastAsia" w:ascii="宋体" w:hAnsi="宋体" w:cs="宋体"/>
          <w:color w:val="auto"/>
          <w:spacing w:val="-8"/>
          <w:sz w:val="24"/>
          <w:u w:val="single"/>
          <w:shd w:val="clear" w:color="auto" w:fill="FFFFFF"/>
        </w:rPr>
        <w:t>采购文件中明确的所属行业</w:t>
      </w:r>
      <w:r>
        <w:rPr>
          <w:rFonts w:hint="eastAsia" w:ascii="宋体" w:hAnsi="宋体" w:cs="宋体"/>
          <w:color w:val="auto"/>
          <w:spacing w:val="-8"/>
          <w:sz w:val="24"/>
          <w:shd w:val="clear" w:color="auto" w:fill="FFFFFF"/>
        </w:rPr>
        <w:t>）；承建（承接）企业为</w:t>
      </w:r>
      <w:r>
        <w:rPr>
          <w:rFonts w:hint="eastAsia" w:ascii="宋体" w:hAnsi="宋体" w:cs="宋体"/>
          <w:color w:val="auto"/>
          <w:spacing w:val="-8"/>
          <w:sz w:val="24"/>
          <w:u w:val="single"/>
          <w:shd w:val="clear" w:color="auto" w:fill="FFFFFF"/>
        </w:rPr>
        <w:t>（企业名称）</w:t>
      </w:r>
      <w:r>
        <w:rPr>
          <w:rFonts w:hint="eastAsia" w:ascii="宋体" w:hAnsi="宋体" w:cs="宋体"/>
          <w:color w:val="auto"/>
          <w:spacing w:val="-8"/>
          <w:sz w:val="24"/>
          <w:shd w:val="clear" w:color="auto" w:fill="FFFFFF"/>
        </w:rPr>
        <w:t>，从业人员</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人，营业收入为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万元，资产总额为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万元，属于（</w:t>
      </w:r>
      <w:r>
        <w:rPr>
          <w:rFonts w:hint="eastAsia" w:ascii="宋体" w:hAnsi="宋体" w:cs="宋体"/>
          <w:color w:val="auto"/>
          <w:spacing w:val="-8"/>
          <w:sz w:val="24"/>
          <w:u w:val="single"/>
          <w:shd w:val="clear" w:color="auto" w:fill="FFFFFF"/>
        </w:rPr>
        <w:t>中型企业、小型企业、微型企业</w:t>
      </w:r>
      <w:r>
        <w:rPr>
          <w:rFonts w:hint="eastAsia" w:ascii="宋体" w:hAnsi="宋体" w:cs="宋体"/>
          <w:color w:val="auto"/>
          <w:spacing w:val="-8"/>
          <w:sz w:val="24"/>
          <w:shd w:val="clear" w:color="auto" w:fill="FFFFFF"/>
        </w:rPr>
        <w:t>）；</w:t>
      </w:r>
    </w:p>
    <w:p w14:paraId="338F105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w:t>
      </w:r>
    </w:p>
    <w:p w14:paraId="0672964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以上企业，不属于大企业的分支机构，不存在控股股东为大企业的情形，也不存在与大企业的负责人为同一人的情形。</w:t>
      </w:r>
    </w:p>
    <w:p w14:paraId="3D7DB3D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本企业对上述声明内容的真实性负责。如有虚假，将依法承担相应责任。</w:t>
      </w:r>
    </w:p>
    <w:p w14:paraId="1166DAB3">
      <w:pPr>
        <w:spacing w:line="360" w:lineRule="auto"/>
        <w:rPr>
          <w:rFonts w:ascii="宋体" w:hAnsi="宋体" w:cs="宋体"/>
          <w:color w:val="auto"/>
          <w:spacing w:val="-8"/>
          <w:sz w:val="24"/>
          <w:shd w:val="clear" w:color="auto" w:fill="FFFFFF"/>
        </w:rPr>
      </w:pPr>
    </w:p>
    <w:p w14:paraId="6005650E">
      <w:pPr>
        <w:pStyle w:val="10"/>
      </w:pPr>
    </w:p>
    <w:p w14:paraId="652FCEF2">
      <w:pPr>
        <w:pStyle w:val="10"/>
      </w:pPr>
    </w:p>
    <w:p w14:paraId="314ED876">
      <w:pPr>
        <w:tabs>
          <w:tab w:val="left" w:pos="4000"/>
        </w:tabs>
        <w:snapToGrid w:val="0"/>
        <w:spacing w:line="480" w:lineRule="auto"/>
        <w:jc w:val="right"/>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342BDA69">
      <w:pPr>
        <w:pStyle w:val="35"/>
        <w:snapToGrid w:val="0"/>
        <w:spacing w:line="520" w:lineRule="exact"/>
        <w:ind w:left="0" w:leftChars="0" w:firstLine="3578" w:firstLineChars="1491"/>
        <w:jc w:val="both"/>
        <w:rPr>
          <w:rFonts w:cs="宋体"/>
          <w:color w:val="auto"/>
          <w:sz w:val="24"/>
          <w:szCs w:val="24"/>
        </w:rPr>
      </w:pPr>
      <w:r>
        <w:rPr>
          <w:rFonts w:hint="eastAsia" w:ascii="宋体" w:hAnsi="宋体" w:cs="宋体"/>
          <w:color w:val="auto"/>
          <w:sz w:val="24"/>
        </w:rPr>
        <w:t>日     期：________年____月____日</w:t>
      </w:r>
    </w:p>
    <w:p w14:paraId="4E64BC38">
      <w:pPr>
        <w:pageBreakBefore w:val="0"/>
        <w:widowControl w:val="0"/>
        <w:kinsoku/>
        <w:wordWrap/>
        <w:overflowPunct/>
        <w:topLinePunct w:val="0"/>
        <w:bidi w:val="0"/>
        <w:spacing w:line="360" w:lineRule="auto"/>
        <w:ind w:firstLine="442" w:firstLineChars="200"/>
        <w:jc w:val="left"/>
        <w:rPr>
          <w:rFonts w:hint="eastAsia" w:ascii="宋体" w:hAnsi="宋体" w:eastAsia="宋体" w:cs="宋体"/>
          <w:b/>
          <w:color w:val="auto"/>
          <w:sz w:val="22"/>
          <w:szCs w:val="22"/>
          <w:highlight w:val="none"/>
          <w:lang w:eastAsia="zh-CN"/>
        </w:rPr>
      </w:pPr>
    </w:p>
    <w:p w14:paraId="5AE36272">
      <w:pPr>
        <w:pageBreakBefore w:val="0"/>
        <w:widowControl w:val="0"/>
        <w:kinsoku/>
        <w:wordWrap/>
        <w:overflowPunct/>
        <w:topLinePunct w:val="0"/>
        <w:bidi w:val="0"/>
        <w:spacing w:line="360" w:lineRule="auto"/>
        <w:jc w:val="left"/>
        <w:rPr>
          <w:rFonts w:hint="eastAsia" w:ascii="宋体" w:hAnsi="宋体" w:eastAsia="宋体" w:cs="宋体"/>
          <w:b/>
          <w:color w:val="auto"/>
          <w:sz w:val="22"/>
          <w:szCs w:val="22"/>
          <w:highlight w:val="none"/>
          <w:lang w:eastAsia="zh-CN"/>
        </w:rPr>
      </w:pPr>
    </w:p>
    <w:p w14:paraId="6D17E8AB">
      <w:pPr>
        <w:pageBreakBefore w:val="0"/>
        <w:widowControl w:val="0"/>
        <w:kinsoku/>
        <w:wordWrap/>
        <w:overflowPunct/>
        <w:topLinePunct w:val="0"/>
        <w:bidi w:val="0"/>
        <w:spacing w:line="360" w:lineRule="auto"/>
        <w:ind w:firstLine="442" w:firstLineChars="200"/>
        <w:jc w:val="left"/>
        <w:rPr>
          <w:rFonts w:hint="eastAsia" w:ascii="宋体" w:hAnsi="宋体" w:eastAsia="宋体" w:cs="宋体"/>
          <w:b/>
          <w:color w:val="auto"/>
          <w:sz w:val="22"/>
          <w:szCs w:val="22"/>
          <w:highlight w:val="none"/>
          <w:lang w:eastAsia="zh-CN"/>
        </w:rPr>
      </w:pPr>
    </w:p>
    <w:p w14:paraId="476EED05">
      <w:pPr>
        <w:pageBreakBefore w:val="0"/>
        <w:widowControl w:val="0"/>
        <w:kinsoku/>
        <w:wordWrap/>
        <w:overflowPunct/>
        <w:topLinePunct w:val="0"/>
        <w:bidi w:val="0"/>
        <w:spacing w:line="360" w:lineRule="auto"/>
        <w:ind w:firstLine="442" w:firstLineChars="200"/>
        <w:jc w:val="left"/>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注：1.从业人员、营业收入、资产总额填报上一年度数据，无上一年度数据的新成立企业可不填报。</w:t>
      </w:r>
    </w:p>
    <w:p w14:paraId="5E408370">
      <w:pPr>
        <w:spacing w:line="360" w:lineRule="auto"/>
        <w:jc w:val="left"/>
        <w:rPr>
          <w:rFonts w:hint="eastAsia" w:ascii="宋体" w:hAnsi="宋体"/>
          <w:b/>
          <w:bCs/>
          <w:color w:val="000000"/>
          <w:kern w:val="0"/>
          <w:sz w:val="24"/>
          <w:highlight w:val="none"/>
          <w:lang w:val="en-US" w:eastAsia="zh-CN"/>
        </w:rPr>
      </w:pPr>
      <w:r>
        <w:rPr>
          <w:rFonts w:hint="eastAsia" w:ascii="宋体" w:hAnsi="宋体" w:eastAsia="宋体" w:cs="宋体"/>
          <w:b/>
          <w:color w:val="auto"/>
          <w:sz w:val="22"/>
          <w:szCs w:val="22"/>
          <w:highlight w:val="none"/>
          <w:lang w:val="en-US" w:eastAsia="zh-CN"/>
        </w:rPr>
        <w:t>2.报价</w:t>
      </w:r>
      <w:r>
        <w:rPr>
          <w:rFonts w:hint="eastAsia" w:ascii="宋体" w:hAnsi="宋体" w:eastAsia="宋体" w:cs="宋体"/>
          <w:b/>
          <w:color w:val="auto"/>
          <w:sz w:val="22"/>
          <w:szCs w:val="22"/>
          <w:highlight w:val="none"/>
          <w:lang w:eastAsia="zh-CN"/>
        </w:rPr>
        <w:t>单位应严格按照（工信部联企业〔2011〕300号）文件规定的划分标准准确填写《中小企业声明函》。</w:t>
      </w:r>
    </w:p>
    <w:p w14:paraId="6065910B">
      <w:pPr>
        <w:tabs>
          <w:tab w:val="left" w:pos="567"/>
        </w:tabs>
        <w:snapToGrid w:val="0"/>
        <w:spacing w:line="360" w:lineRule="auto"/>
        <w:jc w:val="center"/>
        <w:outlineLvl w:val="1"/>
        <w:rPr>
          <w:rFonts w:hint="eastAsia" w:ascii="宋体" w:hAnsi="宋体" w:cs="宋体"/>
          <w:b/>
          <w:color w:val="auto"/>
          <w:kern w:val="0"/>
          <w:sz w:val="36"/>
          <w:szCs w:val="36"/>
        </w:rPr>
      </w:pPr>
      <w:bookmarkStart w:id="84" w:name="_Toc2793"/>
      <w:r>
        <w:rPr>
          <w:rFonts w:hint="eastAsia" w:ascii="宋体" w:hAnsi="宋体" w:cs="宋体"/>
          <w:b/>
          <w:color w:val="auto"/>
          <w:kern w:val="0"/>
          <w:sz w:val="36"/>
          <w:szCs w:val="36"/>
        </w:rPr>
        <w:t>商务、技术文件</w:t>
      </w:r>
    </w:p>
    <w:p w14:paraId="0F6D0882">
      <w:pPr>
        <w:tabs>
          <w:tab w:val="left" w:pos="567"/>
        </w:tabs>
        <w:snapToGrid w:val="0"/>
        <w:spacing w:line="360" w:lineRule="auto"/>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一、法定代表人（负责人）身份证明书格式</w:t>
      </w:r>
      <w:bookmarkEnd w:id="84"/>
    </w:p>
    <w:p w14:paraId="57CEF8A4">
      <w:pPr>
        <w:snapToGrid w:val="0"/>
        <w:spacing w:line="360" w:lineRule="auto"/>
        <w:ind w:left="562" w:hanging="562" w:hangingChars="200"/>
        <w:jc w:val="center"/>
        <w:rPr>
          <w:rFonts w:ascii="宋体" w:hAnsi="宋体" w:cs="宋体"/>
          <w:b/>
          <w:color w:val="auto"/>
          <w:kern w:val="0"/>
          <w:sz w:val="28"/>
          <w:szCs w:val="28"/>
          <w:highlight w:val="none"/>
        </w:rPr>
      </w:pPr>
    </w:p>
    <w:p w14:paraId="18966CBC">
      <w:pPr>
        <w:snapToGrid w:val="0"/>
        <w:spacing w:line="360" w:lineRule="auto"/>
        <w:ind w:left="562" w:hanging="562" w:hanging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法定代表人（负责人）身份证明书 </w:t>
      </w:r>
    </w:p>
    <w:p w14:paraId="0EEB3669">
      <w:pPr>
        <w:widowControl/>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1231900</wp:posOffset>
                </wp:positionH>
                <wp:positionV relativeFrom="paragraph">
                  <wp:posOffset>193675</wp:posOffset>
                </wp:positionV>
                <wp:extent cx="41148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25pt;height:0pt;width:324pt;z-index:251663360;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njVPtUA&#10;AAAJAQAADwAAAAAAAAABACAAAAAiAAAAZHJzL2Rvd25yZXYueG1sUEsBAhQAFAAAAAgAh07iQGln&#10;BzH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单位名称：</w:t>
      </w:r>
    </w:p>
    <w:p w14:paraId="1581C4F5">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201295</wp:posOffset>
                </wp:positionV>
                <wp:extent cx="41148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85pt;height:0pt;width:324pt;z-index:251660288;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85yn&#10;1gAAAAkBAAAPAAAAAAAAAAEAIAAAACIAAABkcnMvZG93bnJldi54bWxQSwECFAAUAAAACACHTuJA&#10;qeqce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单位性质：</w:t>
      </w:r>
    </w:p>
    <w:p w14:paraId="7CDED490">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201295</wp:posOffset>
                </wp:positionV>
                <wp:extent cx="411480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85pt;height:0pt;width:324pt;z-index:251661312;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Ze&#10;1gAAAAkBAAAPAAAAAAAAAAEAIAAAACIAAABkcnMvZG93bnJldi54bWxQSwECFAAUAAAACACHTuJA&#10;D/OnP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地    址：</w:t>
      </w:r>
    </w:p>
    <w:p w14:paraId="7F871FEC">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203200</wp:posOffset>
                </wp:positionV>
                <wp:extent cx="411480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6pt;height:0pt;width:324pt;z-index:251662336;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KdpE1AAA&#10;AAkBAAAPAAAAAAAAAAEAIAAAACIAAABkcnMvZG93bnJldi54bWxQSwECFAAUAAAACACHTuJA5dnq&#10;8ukBAAC4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成立时间：               年    月    日</w:t>
      </w:r>
    </w:p>
    <w:p w14:paraId="7F76F50F">
      <w:pPr>
        <w:widowControl/>
        <w:snapToGrid w:val="0"/>
        <w:spacing w:line="360" w:lineRule="auto"/>
        <w:jc w:val="left"/>
        <w:rPr>
          <w:rFonts w:ascii="宋体" w:hAnsi="宋体" w:cs="宋体"/>
          <w:color w:val="auto"/>
          <w:kern w:val="0"/>
          <w:sz w:val="24"/>
          <w:highlight w:val="none"/>
          <w:u w:val="single"/>
        </w:rPr>
      </w:pP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193040</wp:posOffset>
                </wp:positionV>
                <wp:extent cx="411480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2pt;height:0pt;width:324pt;z-index:251664384;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K9hdUA&#10;AAAJAQAADwAAAAAAAAABACAAAAAiAAAAZHJzL2Rvd25yZXYueG1sUEsBAhQAFAAAAAgAh07iQEPA&#10;0bb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经营期限：</w:t>
      </w:r>
    </w:p>
    <w:p w14:paraId="4D1BAF4A">
      <w:pPr>
        <w:widowControl/>
        <w:snapToGrid w:val="0"/>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    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  别：</w:t>
      </w:r>
      <w:r>
        <w:rPr>
          <w:rFonts w:hint="eastAsia" w:ascii="宋体" w:hAnsi="宋体" w:cs="宋体"/>
          <w:color w:val="auto"/>
          <w:kern w:val="0"/>
          <w:sz w:val="24"/>
          <w:highlight w:val="none"/>
          <w:u w:val="single"/>
        </w:rPr>
        <w:t xml:space="preserve">         </w:t>
      </w:r>
    </w:p>
    <w:p w14:paraId="5FCAA707">
      <w:pPr>
        <w:widowControl/>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年    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  务：</w:t>
      </w:r>
      <w:r>
        <w:rPr>
          <w:rFonts w:hint="eastAsia" w:ascii="宋体" w:hAnsi="宋体" w:cs="宋体"/>
          <w:color w:val="auto"/>
          <w:kern w:val="0"/>
          <w:sz w:val="24"/>
          <w:highlight w:val="none"/>
          <w:u w:val="single"/>
        </w:rPr>
        <w:t xml:space="preserve">         </w:t>
      </w:r>
    </w:p>
    <w:p w14:paraId="28B8E789">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206375</wp:posOffset>
                </wp:positionV>
                <wp:extent cx="24003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5pt;margin-top:16.25pt;height:0pt;width:189pt;z-index:251659264;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bOCm1QAA&#10;AAgBAAAPAAAAAAAAAAEAIAAAACIAAABkcnMvZG93bnJldi54bWxQSwECFAAUAAAACACHTuJA8Wi9&#10;/u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系       （供应商名称）          的法定代表人。</w:t>
      </w:r>
    </w:p>
    <w:p w14:paraId="4E8E7028">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0AB2D8E0">
      <w:pPr>
        <w:widowControl/>
        <w:snapToGrid w:val="0"/>
        <w:spacing w:line="360" w:lineRule="auto"/>
        <w:ind w:firstLine="960" w:firstLineChars="4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特此证明。</w:t>
      </w:r>
    </w:p>
    <w:p w14:paraId="21848B43">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B4C9B2">
      <w:pPr>
        <w:snapToGrid w:val="0"/>
        <w:spacing w:line="480" w:lineRule="exact"/>
        <w:ind w:firstLine="2880" w:firstLineChars="1200"/>
        <w:rPr>
          <w:rFonts w:ascii="宋体" w:hAnsi="宋体" w:cs="宋体"/>
          <w:color w:val="auto"/>
          <w:sz w:val="24"/>
        </w:rPr>
      </w:pPr>
      <w:r>
        <w:rPr>
          <w:rFonts w:hint="eastAsia" w:ascii="宋体" w:hAnsi="宋体" w:cs="宋体"/>
          <w:color w:val="auto"/>
          <w:kern w:val="0"/>
          <w:sz w:val="24"/>
        </w:rPr>
        <w:t>供应商名称：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sz w:val="24"/>
        </w:rPr>
        <w:t>）</w:t>
      </w:r>
    </w:p>
    <w:p w14:paraId="6357E07B">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法定代表人（负责人）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kern w:val="0"/>
          <w:sz w:val="24"/>
          <w:szCs w:val="24"/>
          <w:lang w:val="en-US" w:eastAsia="zh-CN"/>
        </w:rPr>
        <w:t>电子章</w:t>
      </w:r>
      <w:r>
        <w:rPr>
          <w:rFonts w:hint="eastAsia" w:ascii="宋体" w:hAnsi="宋体" w:cs="宋体"/>
          <w:color w:val="auto"/>
          <w:sz w:val="24"/>
        </w:rPr>
        <w:t xml:space="preserve">）  </w:t>
      </w:r>
    </w:p>
    <w:p w14:paraId="0588D502">
      <w:pPr>
        <w:spacing w:line="480" w:lineRule="exact"/>
        <w:rPr>
          <w:rFonts w:ascii="宋体" w:hAnsi="宋体" w:cs="宋体"/>
          <w:color w:val="auto"/>
          <w:sz w:val="24"/>
        </w:rPr>
      </w:pPr>
      <w:r>
        <w:rPr>
          <w:rFonts w:hint="eastAsia" w:ascii="宋体" w:hAnsi="宋体" w:cs="宋体"/>
          <w:color w:val="auto"/>
          <w:sz w:val="24"/>
        </w:rPr>
        <w:t xml:space="preserve">                        日      期：</w:t>
      </w:r>
    </w:p>
    <w:p w14:paraId="2EE66377">
      <w:pPr>
        <w:spacing w:line="360" w:lineRule="auto"/>
        <w:rPr>
          <w:rFonts w:hint="eastAsia" w:ascii="宋体" w:hAnsi="宋体" w:cs="宋体"/>
          <w:color w:val="auto"/>
          <w:kern w:val="0"/>
          <w:sz w:val="24"/>
          <w:highlight w:val="none"/>
        </w:rPr>
      </w:pPr>
    </w:p>
    <w:p w14:paraId="732C344A">
      <w:pPr>
        <w:spacing w:line="360" w:lineRule="auto"/>
        <w:rPr>
          <w:rFonts w:ascii="宋体" w:hAnsi="宋体" w:cs="宋体"/>
          <w:color w:val="auto"/>
          <w:sz w:val="24"/>
          <w:highlight w:val="none"/>
        </w:rPr>
      </w:pPr>
      <w:r>
        <w:rPr>
          <w:rFonts w:hint="eastAsia" w:ascii="宋体" w:hAnsi="宋体" w:cs="宋体"/>
          <w:color w:val="auto"/>
          <w:kern w:val="0"/>
          <w:sz w:val="24"/>
          <w:highlight w:val="none"/>
        </w:rPr>
        <w:t>附法定代表人第二代身份证正反面复印件。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BE1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615" w:type="dxa"/>
          </w:tcPr>
          <w:p w14:paraId="097F043B">
            <w:pPr>
              <w:spacing w:line="360" w:lineRule="auto"/>
              <w:rPr>
                <w:rFonts w:ascii="宋体" w:hAnsi="宋体" w:cs="宋体"/>
                <w:color w:val="auto"/>
                <w:sz w:val="24"/>
                <w:highlight w:val="none"/>
              </w:rPr>
            </w:pPr>
          </w:p>
        </w:tc>
        <w:tc>
          <w:tcPr>
            <w:tcW w:w="4615" w:type="dxa"/>
          </w:tcPr>
          <w:p w14:paraId="29334160">
            <w:pPr>
              <w:spacing w:line="360" w:lineRule="auto"/>
              <w:rPr>
                <w:rFonts w:ascii="宋体" w:hAnsi="宋体" w:cs="宋体"/>
                <w:color w:val="auto"/>
                <w:sz w:val="24"/>
                <w:highlight w:val="none"/>
              </w:rPr>
            </w:pPr>
          </w:p>
        </w:tc>
      </w:tr>
    </w:tbl>
    <w:p w14:paraId="1A2E2A29">
      <w:pPr>
        <w:rPr>
          <w:rFonts w:hint="eastAsia" w:ascii="宋体" w:hAnsi="宋体" w:cs="宋体"/>
          <w:b/>
          <w:color w:val="auto"/>
          <w:kern w:val="0"/>
          <w:sz w:val="24"/>
          <w:highlight w:val="none"/>
        </w:rPr>
      </w:pPr>
      <w:bookmarkStart w:id="85" w:name="_Toc17477"/>
      <w:r>
        <w:rPr>
          <w:rFonts w:hint="eastAsia" w:ascii="宋体" w:hAnsi="宋体" w:cs="宋体"/>
          <w:b/>
          <w:color w:val="auto"/>
          <w:kern w:val="0"/>
          <w:sz w:val="24"/>
          <w:highlight w:val="none"/>
        </w:rPr>
        <w:br w:type="page"/>
      </w:r>
    </w:p>
    <w:p w14:paraId="54447C87">
      <w:pPr>
        <w:tabs>
          <w:tab w:val="left" w:pos="567"/>
        </w:tabs>
        <w:snapToGrid w:val="0"/>
        <w:spacing w:line="360" w:lineRule="auto"/>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二、法定代表人（负责人）授权委托书格式</w:t>
      </w:r>
      <w:bookmarkEnd w:id="85"/>
    </w:p>
    <w:p w14:paraId="6EC3FA3B">
      <w:pPr>
        <w:rPr>
          <w:color w:val="auto"/>
          <w:highlight w:val="none"/>
        </w:rPr>
      </w:pPr>
    </w:p>
    <w:p w14:paraId="0EF03371">
      <w:pPr>
        <w:snapToGrid w:val="0"/>
        <w:spacing w:line="360" w:lineRule="auto"/>
        <w:ind w:left="562" w:hanging="562" w:hanging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法定代表人（负责人）授权委托书</w:t>
      </w:r>
    </w:p>
    <w:p w14:paraId="239A94A8">
      <w:pPr>
        <w:widowControl/>
        <w:snapToGrid w:val="0"/>
        <w:spacing w:line="360" w:lineRule="auto"/>
        <w:jc w:val="left"/>
        <w:rPr>
          <w:rFonts w:ascii="宋体" w:hAnsi="宋体" w:cs="宋体"/>
          <w:color w:val="auto"/>
          <w:kern w:val="0"/>
          <w:sz w:val="28"/>
          <w:szCs w:val="21"/>
          <w:highlight w:val="none"/>
        </w:rPr>
      </w:pPr>
    </w:p>
    <w:p w14:paraId="6A1CDAC0">
      <w:pPr>
        <w:widowControl/>
        <w:snapToGrid w:val="0"/>
        <w:spacing w:line="52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w:t>
      </w:r>
    </w:p>
    <w:p w14:paraId="3CB9931C">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本授权书声明：注册于</w:t>
      </w:r>
      <w:r>
        <w:rPr>
          <w:rFonts w:hint="eastAsia" w:ascii="宋体" w:hAnsi="宋体" w:cs="宋体"/>
          <w:color w:val="auto"/>
          <w:kern w:val="0"/>
          <w:sz w:val="24"/>
          <w:highlight w:val="none"/>
          <w:u w:val="single"/>
        </w:rPr>
        <w:t xml:space="preserve">             （供应商住址）</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u w:val="single"/>
        </w:rPr>
        <w:t xml:space="preserve">        （法定代表人姓名、职务）</w:t>
      </w:r>
      <w:r>
        <w:rPr>
          <w:rFonts w:hint="eastAsia" w:ascii="宋体" w:hAnsi="宋体" w:cs="宋体"/>
          <w:color w:val="auto"/>
          <w:kern w:val="0"/>
          <w:sz w:val="24"/>
          <w:highlight w:val="none"/>
        </w:rPr>
        <w:t>代表本公司授权</w:t>
      </w:r>
      <w:r>
        <w:rPr>
          <w:rFonts w:hint="eastAsia" w:ascii="宋体" w:hAnsi="宋体" w:cs="宋体"/>
          <w:color w:val="auto"/>
          <w:kern w:val="0"/>
          <w:sz w:val="24"/>
          <w:highlight w:val="none"/>
          <w:u w:val="single"/>
        </w:rPr>
        <w:t xml:space="preserve">     （被授权人姓名、职务）</w:t>
      </w:r>
      <w:r>
        <w:rPr>
          <w:rFonts w:hint="eastAsia" w:ascii="宋体" w:hAnsi="宋体" w:cs="宋体"/>
          <w:color w:val="auto"/>
          <w:kern w:val="0"/>
          <w:sz w:val="24"/>
          <w:highlight w:val="none"/>
        </w:rPr>
        <w:t>为本公司的合法代理人，就贵方组织的</w:t>
      </w:r>
      <w:r>
        <w:rPr>
          <w:rFonts w:hint="eastAsia" w:ascii="宋体" w:hAnsi="宋体" w:cs="宋体"/>
          <w:color w:val="auto"/>
          <w:kern w:val="0"/>
          <w:sz w:val="24"/>
          <w:highlight w:val="none"/>
          <w:u w:val="single"/>
        </w:rPr>
        <w:t xml:space="preserve">             项目</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，以本公司名义处理一切与之有关的事务。</w:t>
      </w:r>
    </w:p>
    <w:p w14:paraId="55484DD6">
      <w:pPr>
        <w:widowControl/>
        <w:snapToGrid w:val="0"/>
        <w:spacing w:line="520" w:lineRule="exact"/>
        <w:ind w:firstLine="480"/>
        <w:jc w:val="left"/>
        <w:rPr>
          <w:rFonts w:ascii="宋体" w:hAnsi="宋体" w:cs="宋体"/>
          <w:color w:val="auto"/>
          <w:kern w:val="0"/>
          <w:sz w:val="24"/>
          <w:highlight w:val="none"/>
        </w:rPr>
      </w:pPr>
    </w:p>
    <w:p w14:paraId="7CD7E46D">
      <w:pPr>
        <w:widowControl/>
        <w:snapToGrid w:val="0"/>
        <w:spacing w:line="5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本授权书于    年  月  日起生效。</w:t>
      </w:r>
    </w:p>
    <w:p w14:paraId="743DADBA">
      <w:pPr>
        <w:widowControl/>
        <w:snapToGrid w:val="0"/>
        <w:spacing w:line="5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14:paraId="0DD698C3">
      <w:pPr>
        <w:pStyle w:val="18"/>
        <w:rPr>
          <w:rFonts w:ascii="宋体" w:hAnsi="宋体" w:cs="宋体"/>
          <w:color w:val="auto"/>
          <w:highlight w:val="none"/>
        </w:rPr>
      </w:pPr>
    </w:p>
    <w:p w14:paraId="3C68C4F6">
      <w:pPr>
        <w:widowControl/>
        <w:snapToGrid w:val="0"/>
        <w:spacing w:line="360" w:lineRule="auto"/>
        <w:rPr>
          <w:rFonts w:ascii="宋体" w:hAnsi="宋体" w:cs="宋体"/>
          <w:color w:val="auto"/>
          <w:kern w:val="0"/>
          <w:sz w:val="24"/>
          <w:highlight w:val="none"/>
        </w:rPr>
      </w:pPr>
    </w:p>
    <w:p w14:paraId="584E4F00">
      <w:pPr>
        <w:snapToGrid w:val="0"/>
        <w:spacing w:line="480" w:lineRule="auto"/>
        <w:ind w:firstLine="2880" w:firstLineChars="12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00C74A49">
      <w:pPr>
        <w:snapToGrid w:val="0"/>
        <w:spacing w:line="480" w:lineRule="auto"/>
        <w:jc w:val="center"/>
        <w:rPr>
          <w:rFonts w:ascii="宋体" w:hAnsi="宋体" w:cs="宋体"/>
          <w:color w:val="auto"/>
          <w:kern w:val="0"/>
          <w:sz w:val="24"/>
        </w:rPr>
      </w:pPr>
      <w:r>
        <w:rPr>
          <w:rFonts w:hint="eastAsia" w:ascii="宋体" w:hAnsi="宋体" w:cs="宋体"/>
          <w:color w:val="auto"/>
          <w:kern w:val="0"/>
          <w:sz w:val="24"/>
        </w:rPr>
        <w:t xml:space="preserve">                 法定代表人（负责人）：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电子章</w:t>
      </w:r>
      <w:r>
        <w:rPr>
          <w:rFonts w:hint="eastAsia" w:ascii="宋体" w:hAnsi="宋体" w:cs="宋体"/>
          <w:color w:val="auto"/>
          <w:kern w:val="0"/>
          <w:sz w:val="24"/>
        </w:rPr>
        <w:t>）</w:t>
      </w:r>
    </w:p>
    <w:p w14:paraId="38556EE0">
      <w:pPr>
        <w:widowControl/>
        <w:snapToGrid w:val="0"/>
        <w:spacing w:line="480" w:lineRule="auto"/>
        <w:jc w:val="left"/>
        <w:rPr>
          <w:rFonts w:ascii="宋体" w:hAnsi="宋体" w:cs="宋体"/>
          <w:color w:val="auto"/>
          <w:kern w:val="0"/>
          <w:sz w:val="24"/>
          <w:highlight w:val="none"/>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被授权代表：</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电子章</w:t>
      </w:r>
      <w:r>
        <w:rPr>
          <w:rFonts w:hint="eastAsia" w:ascii="宋体" w:hAnsi="宋体" w:cs="宋体"/>
          <w:color w:val="auto"/>
          <w:kern w:val="0"/>
          <w:sz w:val="24"/>
        </w:rPr>
        <w:t>）</w:t>
      </w:r>
      <w:r>
        <w:rPr>
          <w:rFonts w:hint="eastAsia" w:ascii="宋体" w:hAnsi="宋体" w:cs="宋体"/>
          <w:color w:val="auto"/>
          <w:kern w:val="0"/>
          <w:sz w:val="24"/>
          <w:highlight w:val="none"/>
        </w:rPr>
        <w:t xml:space="preserve">                                                  </w:t>
      </w:r>
    </w:p>
    <w:p w14:paraId="1ADCA3BA">
      <w:pPr>
        <w:widowControl/>
        <w:tabs>
          <w:tab w:val="left" w:pos="730"/>
        </w:tabs>
        <w:snapToGrid w:val="0"/>
        <w:spacing w:line="360" w:lineRule="auto"/>
        <w:rPr>
          <w:rFonts w:ascii="宋体" w:hAnsi="宋体" w:cs="宋体"/>
          <w:color w:val="auto"/>
          <w:kern w:val="0"/>
          <w:sz w:val="24"/>
          <w:highlight w:val="none"/>
        </w:rPr>
      </w:pPr>
    </w:p>
    <w:p w14:paraId="1EEB0CA3">
      <w:pPr>
        <w:widowControl/>
        <w:tabs>
          <w:tab w:val="left" w:pos="73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附被授权人第二代身份证正反面复印件。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0F85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tcPr>
          <w:p w14:paraId="705F85DE">
            <w:pPr>
              <w:spacing w:line="360" w:lineRule="auto"/>
              <w:rPr>
                <w:rFonts w:ascii="宋体" w:hAnsi="宋体" w:cs="宋体"/>
                <w:color w:val="auto"/>
                <w:sz w:val="24"/>
                <w:highlight w:val="none"/>
              </w:rPr>
            </w:pPr>
          </w:p>
        </w:tc>
        <w:tc>
          <w:tcPr>
            <w:tcW w:w="4615" w:type="dxa"/>
          </w:tcPr>
          <w:p w14:paraId="301ED0AA">
            <w:pPr>
              <w:spacing w:line="360" w:lineRule="auto"/>
              <w:rPr>
                <w:rFonts w:ascii="宋体" w:hAnsi="宋体" w:cs="宋体"/>
                <w:color w:val="auto"/>
                <w:sz w:val="24"/>
                <w:highlight w:val="none"/>
              </w:rPr>
            </w:pPr>
          </w:p>
        </w:tc>
      </w:tr>
    </w:tbl>
    <w:p w14:paraId="7B644227">
      <w:pPr>
        <w:widowControl/>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注：1. 除可填报项目外，对本法定代表人授权委托书的任何修改将被视为未实质性响应报价，从而导致该报价被拒绝； </w:t>
      </w:r>
    </w:p>
    <w:p w14:paraId="2861C8D4">
      <w:pPr>
        <w:widowControl/>
        <w:numPr>
          <w:ilvl w:val="0"/>
          <w:numId w:val="0"/>
        </w:numPr>
        <w:snapToGrid w:val="0"/>
        <w:spacing w:line="300" w:lineRule="auto"/>
        <w:ind w:left="0" w:leftChars="0"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szCs w:val="24"/>
          <w:lang w:val="en-US" w:eastAsia="zh-CN" w:bidi="ar-SA"/>
        </w:rPr>
        <w:t>2</w:t>
      </w:r>
      <w:r>
        <w:rPr>
          <w:rFonts w:hint="eastAsia" w:ascii="宋体" w:hAnsi="宋体" w:eastAsia="宋体" w:cs="宋体"/>
          <w:b/>
          <w:color w:val="auto"/>
          <w:kern w:val="0"/>
          <w:sz w:val="24"/>
          <w:szCs w:val="24"/>
          <w:lang w:val="en-US" w:eastAsia="zh-CN" w:bidi="ar-SA"/>
        </w:rPr>
        <w:t>.</w:t>
      </w:r>
      <w:r>
        <w:rPr>
          <w:rFonts w:hint="eastAsia" w:ascii="宋体" w:hAnsi="宋体" w:cs="宋体"/>
          <w:b/>
          <w:color w:val="auto"/>
          <w:kern w:val="0"/>
          <w:sz w:val="24"/>
          <w:highlight w:val="none"/>
        </w:rPr>
        <w:t>若供应商代表为法定代表人的可不提供</w:t>
      </w:r>
    </w:p>
    <w:p w14:paraId="2C21442C">
      <w:pPr>
        <w:widowControl/>
        <w:numPr>
          <w:ilvl w:val="0"/>
          <w:numId w:val="0"/>
        </w:numPr>
        <w:snapToGrid w:val="0"/>
        <w:spacing w:line="300" w:lineRule="auto"/>
        <w:ind w:left="0" w:leftChars="0" w:firstLine="420" w:firstLineChars="200"/>
        <w:jc w:val="left"/>
        <w:rPr>
          <w:rFonts w:ascii="宋体" w:hAnsi="宋体" w:cs="宋体"/>
          <w:color w:val="auto"/>
          <w:kern w:val="0"/>
          <w:szCs w:val="21"/>
          <w:highlight w:val="none"/>
        </w:rPr>
        <w:sectPr>
          <w:pgSz w:w="11906" w:h="16838"/>
          <w:pgMar w:top="1417" w:right="1417" w:bottom="1417" w:left="1417" w:header="851" w:footer="992" w:gutter="0"/>
          <w:pgNumType w:fmt="decimal"/>
          <w:cols w:space="720" w:num="1"/>
          <w:formProt w:val="1"/>
          <w:docGrid w:type="lines" w:linePitch="312" w:charSpace="0"/>
        </w:sectPr>
      </w:pPr>
    </w:p>
    <w:p w14:paraId="0F6F0E46">
      <w:pPr>
        <w:widowControl/>
        <w:snapToGrid w:val="0"/>
        <w:spacing w:line="300" w:lineRule="auto"/>
        <w:jc w:val="left"/>
        <w:outlineLvl w:val="1"/>
        <w:rPr>
          <w:rFonts w:ascii="宋体" w:hAnsi="宋体" w:cs="宋体"/>
          <w:b/>
          <w:bCs/>
          <w:color w:val="auto"/>
          <w:kern w:val="0"/>
          <w:sz w:val="24"/>
          <w:highlight w:val="none"/>
        </w:rPr>
      </w:pPr>
      <w:bookmarkStart w:id="86" w:name="_Toc19597"/>
      <w:r>
        <w:rPr>
          <w:rFonts w:hint="eastAsia" w:ascii="宋体" w:hAnsi="宋体" w:cs="宋体"/>
          <w:b/>
          <w:bCs/>
          <w:color w:val="auto"/>
          <w:kern w:val="0"/>
          <w:sz w:val="24"/>
          <w:highlight w:val="none"/>
        </w:rPr>
        <w:t>三、</w:t>
      </w:r>
      <w:r>
        <w:rPr>
          <w:rFonts w:hint="eastAsia" w:ascii="宋体" w:hAnsi="宋体" w:cs="宋体"/>
          <w:b/>
          <w:bCs/>
          <w:color w:val="auto"/>
          <w:kern w:val="0"/>
          <w:sz w:val="24"/>
          <w:highlight w:val="none"/>
          <w:lang w:eastAsia="zh-CN"/>
        </w:rPr>
        <w:t>响应函</w:t>
      </w:r>
      <w:r>
        <w:rPr>
          <w:rFonts w:hint="eastAsia" w:ascii="宋体" w:hAnsi="宋体" w:cs="宋体"/>
          <w:b/>
          <w:bCs/>
          <w:color w:val="auto"/>
          <w:kern w:val="0"/>
          <w:sz w:val="24"/>
          <w:highlight w:val="none"/>
        </w:rPr>
        <w:t>（格式）</w:t>
      </w:r>
      <w:bookmarkEnd w:id="86"/>
    </w:p>
    <w:p w14:paraId="12EEB252">
      <w:pPr>
        <w:spacing w:line="600" w:lineRule="exact"/>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响应函</w:t>
      </w:r>
    </w:p>
    <w:p w14:paraId="5B1FD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（采购人全称）    </w:t>
      </w:r>
      <w:r>
        <w:rPr>
          <w:rFonts w:hint="eastAsia" w:ascii="宋体" w:hAnsi="宋体" w:cs="宋体"/>
          <w:color w:val="auto"/>
          <w:sz w:val="24"/>
          <w:highlight w:val="none"/>
        </w:rPr>
        <w:t>：</w:t>
      </w:r>
    </w:p>
    <w:p w14:paraId="1FB80046">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u w:val="single"/>
        </w:rPr>
        <w:t xml:space="preserve">                </w:t>
      </w:r>
      <w:r>
        <w:rPr>
          <w:rFonts w:hint="eastAsia"/>
          <w:color w:val="auto"/>
          <w:highlight w:val="none"/>
        </w:rPr>
        <w:t>(供应商全称)授权</w:t>
      </w:r>
      <w:r>
        <w:rPr>
          <w:rFonts w:hint="eastAsia"/>
          <w:color w:val="auto"/>
          <w:highlight w:val="none"/>
          <w:u w:val="single"/>
        </w:rPr>
        <w:t xml:space="preserve">        </w:t>
      </w:r>
      <w:r>
        <w:rPr>
          <w:rFonts w:hint="eastAsia"/>
          <w:color w:val="auto"/>
          <w:highlight w:val="none"/>
        </w:rPr>
        <w:t xml:space="preserve">(供应商代表姓名) </w:t>
      </w:r>
      <w:r>
        <w:rPr>
          <w:rFonts w:hint="eastAsia"/>
          <w:color w:val="auto"/>
          <w:highlight w:val="none"/>
          <w:u w:val="single"/>
        </w:rPr>
        <w:t xml:space="preserve">           </w:t>
      </w:r>
      <w:r>
        <w:rPr>
          <w:rFonts w:hint="eastAsia"/>
          <w:color w:val="auto"/>
          <w:highlight w:val="none"/>
        </w:rPr>
        <w:t>(职务、职称)为我方代表，参加贵方组织的</w:t>
      </w:r>
      <w:r>
        <w:rPr>
          <w:rFonts w:hint="eastAsia"/>
          <w:color w:val="auto"/>
          <w:highlight w:val="none"/>
          <w:u w:val="single"/>
        </w:rPr>
        <w:t xml:space="preserve">                   </w:t>
      </w:r>
      <w:r>
        <w:rPr>
          <w:rFonts w:hint="eastAsia"/>
          <w:color w:val="auto"/>
          <w:highlight w:val="none"/>
        </w:rPr>
        <w:t>(项目名称、项目编号)谈判的有关活动，并对此项目进行报价。为此：</w:t>
      </w:r>
    </w:p>
    <w:p w14:paraId="4DD1D285">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1、我方同意在本项目谈判通知书中规定的谈判日起的有效期</w:t>
      </w:r>
      <w:r>
        <w:rPr>
          <w:rFonts w:hint="eastAsia"/>
          <w:color w:val="auto"/>
          <w:highlight w:val="none"/>
          <w:u w:val="none"/>
        </w:rPr>
        <w:t>90日历天</w:t>
      </w:r>
      <w:r>
        <w:rPr>
          <w:rFonts w:hint="eastAsia"/>
          <w:color w:val="auto"/>
          <w:highlight w:val="none"/>
        </w:rPr>
        <w:t>内遵守本报价文件中的承诺且在此期限期满之前均具有约束力。</w:t>
      </w:r>
    </w:p>
    <w:p w14:paraId="76D51810">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2、我方承诺已经具备《中华人民共和国政府采购法》中规定的参加政府采购活动的供应商应当具备的全部条件。</w:t>
      </w:r>
    </w:p>
    <w:p w14:paraId="458D716E">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3、提供谈判须知规定的全部报价文件。</w:t>
      </w:r>
    </w:p>
    <w:p w14:paraId="1C555DF0">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4、按谈判通知书要求提供和交付的货物和服务的报价详见报价一览表。</w:t>
      </w:r>
    </w:p>
    <w:p w14:paraId="6C168DA9">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5、我方承诺：完全理解最终报价超过采购预算金额时，报价将被拒绝。</w:t>
      </w:r>
    </w:p>
    <w:p w14:paraId="19D5F790">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6、保证忠实地执行双方所签订的合同，并承担合同规定的责任和义务。</w:t>
      </w:r>
    </w:p>
    <w:p w14:paraId="05BB02C6">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7、承诺完全满足和响应谈判通知书中的各项商务和技术要求，若有偏差，已在报价文件商务条款偏离表中予以明确特别说明。</w:t>
      </w:r>
    </w:p>
    <w:p w14:paraId="32676CC8">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8、保证遵守谈判通知书的规定。</w:t>
      </w:r>
    </w:p>
    <w:p w14:paraId="2BDC3C7C">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9、如果在谈判开始之日起规定的报价有效期内撤回报价，我方的保证金可被贵方不予退还。</w:t>
      </w:r>
    </w:p>
    <w:p w14:paraId="44CBD073">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10、我方完全理解贵方不一定接受最低价的报价或收到的任何报价。</w:t>
      </w:r>
    </w:p>
    <w:p w14:paraId="569C1380">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11、我方愿意向贵方提供任何与本项报价有关的数据、情况和技术资料。若贵方需要，我方愿意提供我方做出的一切承诺的证明材料。</w:t>
      </w:r>
    </w:p>
    <w:p w14:paraId="4334F572">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12、我方已详细审核全部谈判通知书，包括谈判通知书修改书（如有的话）、参考资料及有关附件，确认无误。</w:t>
      </w:r>
    </w:p>
    <w:p w14:paraId="083A79B0">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13、我方承诺：采购人若需追加采购本项目谈判通知书所列货物及相关服务的，在不改变合同其他实质性条款的前提下，按相同或更优惠的折扣率保证供货。</w:t>
      </w:r>
    </w:p>
    <w:p w14:paraId="7B751678">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14、我方承诺接受谈判通知书中《合同原则》</w:t>
      </w:r>
      <w:bookmarkStart w:id="95" w:name="_GoBack"/>
      <w:bookmarkEnd w:id="95"/>
      <w:r>
        <w:rPr>
          <w:rFonts w:hint="eastAsia"/>
          <w:color w:val="auto"/>
          <w:highlight w:val="none"/>
        </w:rPr>
        <w:t>的全部条款且无任何异议。</w:t>
      </w:r>
    </w:p>
    <w:p w14:paraId="02ADC9FB">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C3BB5C1">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（1）提供虚假材料谋取成交的；</w:t>
      </w:r>
    </w:p>
    <w:p w14:paraId="66DAB80D">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（2）采取不正当手段诋毁、排挤其他供应商的；</w:t>
      </w:r>
    </w:p>
    <w:p w14:paraId="30C932DB">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（3）与采购人、其它供应商或者采购代理机构工作人员恶意串通的；</w:t>
      </w:r>
    </w:p>
    <w:p w14:paraId="1C43DC14">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（4）向采购人、采购代理机构工作人员行贿或者提供其他不正当利益的；</w:t>
      </w:r>
    </w:p>
    <w:p w14:paraId="4C357549">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（5）在采购过程中与采购人进行协商谈判的；</w:t>
      </w:r>
    </w:p>
    <w:p w14:paraId="0D1F2BC5">
      <w:pPr>
        <w:pStyle w:val="19"/>
        <w:wordWrap/>
        <w:snapToGrid w:val="0"/>
        <w:spacing w:before="0" w:beforeAutospacing="0" w:after="0" w:afterAutospacing="0" w:line="360" w:lineRule="auto"/>
        <w:ind w:firstLine="480" w:firstLineChars="200"/>
        <w:rPr>
          <w:color w:val="auto"/>
          <w:highlight w:val="none"/>
        </w:rPr>
      </w:pPr>
      <w:r>
        <w:rPr>
          <w:rFonts w:hint="eastAsia"/>
          <w:color w:val="auto"/>
          <w:highlight w:val="none"/>
        </w:rPr>
        <w:t>（6）拒绝有关部门监督检查或提供虚假情况的。 </w:t>
      </w:r>
    </w:p>
    <w:p w14:paraId="489A04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所有有关本报价的一切往来联系方式为：</w:t>
      </w:r>
    </w:p>
    <w:p w14:paraId="16C330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cs="宋体"/>
          <w:color w:val="auto"/>
          <w:sz w:val="24"/>
          <w:highlight w:val="none"/>
        </w:rPr>
        <w:tab/>
      </w:r>
      <w:r>
        <w:rPr>
          <w:rFonts w:hint="eastAsia" w:ascii="宋体" w:hAnsi="宋体" w:cs="宋体"/>
          <w:color w:val="auto"/>
          <w:sz w:val="24"/>
          <w:highlight w:val="none"/>
        </w:rPr>
        <w:t xml:space="preserve">                           邮编：</w:t>
      </w:r>
      <w:r>
        <w:rPr>
          <w:rFonts w:hint="eastAsia" w:ascii="宋体" w:hAnsi="宋体" w:cs="宋体"/>
          <w:color w:val="auto"/>
          <w:sz w:val="24"/>
          <w:highlight w:val="none"/>
        </w:rPr>
        <w:tab/>
      </w:r>
    </w:p>
    <w:p w14:paraId="625A93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电话：</w:t>
      </w:r>
      <w:r>
        <w:rPr>
          <w:rFonts w:hint="eastAsia" w:ascii="宋体" w:hAnsi="宋体" w:cs="宋体"/>
          <w:color w:val="auto"/>
          <w:sz w:val="24"/>
          <w:highlight w:val="none"/>
        </w:rPr>
        <w:tab/>
      </w:r>
      <w:r>
        <w:rPr>
          <w:rFonts w:hint="eastAsia" w:ascii="宋体" w:hAnsi="宋体" w:cs="宋体"/>
          <w:color w:val="auto"/>
          <w:sz w:val="24"/>
          <w:highlight w:val="none"/>
        </w:rPr>
        <w:t xml:space="preserve">                           传真：</w:t>
      </w:r>
    </w:p>
    <w:p w14:paraId="527308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供应商代表姓名：</w:t>
      </w:r>
    </w:p>
    <w:p w14:paraId="246335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供应商代表联系电话：           （办公）        （移动）</w:t>
      </w:r>
    </w:p>
    <w:p w14:paraId="410CEAEF">
      <w:pPr>
        <w:numPr>
          <w:ilvl w:val="0"/>
          <w:numId w:val="7"/>
        </w:numPr>
        <w:spacing w:line="360" w:lineRule="auto"/>
        <w:ind w:left="48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mail：</w:t>
      </w:r>
    </w:p>
    <w:p w14:paraId="42AA06F7">
      <w:pPr>
        <w:numPr>
          <w:ilvl w:val="0"/>
          <w:numId w:val="0"/>
        </w:numPr>
        <w:spacing w:line="360" w:lineRule="auto"/>
        <w:ind w:left="480" w:leftChars="0"/>
        <w:rPr>
          <w:rFonts w:hint="eastAsia" w:ascii="宋体" w:hAnsi="宋体" w:cs="宋体"/>
          <w:color w:val="auto"/>
          <w:sz w:val="24"/>
          <w:highlight w:val="none"/>
        </w:rPr>
      </w:pPr>
    </w:p>
    <w:p w14:paraId="0B39C945">
      <w:pPr>
        <w:numPr>
          <w:ilvl w:val="0"/>
          <w:numId w:val="0"/>
        </w:numPr>
        <w:spacing w:line="360" w:lineRule="auto"/>
        <w:ind w:left="480" w:leftChars="0"/>
        <w:rPr>
          <w:rFonts w:hint="eastAsia" w:ascii="宋体" w:hAnsi="宋体" w:cs="宋体"/>
          <w:color w:val="auto"/>
          <w:sz w:val="24"/>
          <w:highlight w:val="none"/>
        </w:rPr>
      </w:pPr>
    </w:p>
    <w:p w14:paraId="0C34737D">
      <w:pPr>
        <w:tabs>
          <w:tab w:val="left" w:pos="4000"/>
        </w:tabs>
        <w:snapToGrid w:val="0"/>
        <w:spacing w:line="360" w:lineRule="auto"/>
        <w:jc w:val="left"/>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5209E53E">
      <w:pPr>
        <w:tabs>
          <w:tab w:val="left" w:pos="4000"/>
        </w:tabs>
        <w:snapToGrid w:val="0"/>
        <w:spacing w:line="360" w:lineRule="auto"/>
        <w:jc w:val="left"/>
        <w:rPr>
          <w:rFonts w:ascii="宋体" w:hAnsi="宋体" w:cs="宋体"/>
          <w:color w:val="auto"/>
          <w:kern w:val="0"/>
          <w:sz w:val="24"/>
        </w:rPr>
      </w:pPr>
      <w:r>
        <w:rPr>
          <w:rFonts w:hint="eastAsia" w:ascii="宋体" w:hAnsi="宋体" w:cs="宋体"/>
          <w:color w:val="auto"/>
          <w:kern w:val="0"/>
          <w:sz w:val="24"/>
        </w:rPr>
        <w:t>法定代表人（负责人）或供应商被授权代表：</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电子章</w:t>
      </w:r>
      <w:r>
        <w:rPr>
          <w:rFonts w:hint="eastAsia" w:ascii="宋体" w:hAnsi="宋体" w:cs="宋体"/>
          <w:color w:val="auto"/>
          <w:kern w:val="0"/>
          <w:sz w:val="24"/>
        </w:rPr>
        <w:t>)</w:t>
      </w:r>
    </w:p>
    <w:p w14:paraId="5CA7DC3C">
      <w:pPr>
        <w:spacing w:line="360" w:lineRule="auto"/>
        <w:jc w:val="both"/>
        <w:rPr>
          <w:rFonts w:ascii="宋体" w:hAnsi="宋体" w:cs="宋体"/>
          <w:color w:val="auto"/>
          <w:sz w:val="24"/>
          <w:highlight w:val="none"/>
        </w:rPr>
      </w:pPr>
      <w:r>
        <w:rPr>
          <w:rFonts w:hint="eastAsia" w:ascii="宋体" w:hAnsi="宋体" w:cs="宋体"/>
          <w:color w:val="auto"/>
          <w:kern w:val="0"/>
          <w:sz w:val="24"/>
        </w:rPr>
        <w:t>日　期：</w:t>
      </w:r>
    </w:p>
    <w:p w14:paraId="19C820B6">
      <w:pPr>
        <w:widowControl/>
        <w:snapToGrid w:val="0"/>
        <w:spacing w:line="600" w:lineRule="exact"/>
        <w:ind w:firstLine="480" w:firstLineChars="200"/>
        <w:jc w:val="left"/>
        <w:rPr>
          <w:rFonts w:ascii="宋体" w:hAnsi="宋体" w:cs="宋体"/>
          <w:color w:val="auto"/>
          <w:sz w:val="24"/>
          <w:highlight w:val="none"/>
        </w:rPr>
      </w:pPr>
    </w:p>
    <w:p w14:paraId="54EFF096">
      <w:pPr>
        <w:widowControl/>
        <w:snapToGrid w:val="0"/>
        <w:spacing w:line="6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除可填报项目外，对本响应函的任何修改将被视为非实质性响应报价，从而导致该报价被拒绝。</w:t>
      </w:r>
    </w:p>
    <w:p w14:paraId="728035D7">
      <w:pPr>
        <w:widowControl/>
        <w:snapToGrid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br w:type="page"/>
      </w:r>
      <w:bookmarkStart w:id="87" w:name="_Toc175644065"/>
      <w:bookmarkStart w:id="88" w:name="_Toc86202635"/>
    </w:p>
    <w:p w14:paraId="7E639A35">
      <w:pPr>
        <w:widowControl/>
        <w:snapToGrid w:val="0"/>
        <w:spacing w:line="300" w:lineRule="auto"/>
        <w:jc w:val="left"/>
        <w:rPr>
          <w:rFonts w:ascii="宋体" w:hAnsi="宋体" w:cs="宋体"/>
          <w:color w:val="auto"/>
          <w:kern w:val="0"/>
          <w:szCs w:val="21"/>
          <w:highlight w:val="none"/>
        </w:rPr>
        <w:sectPr>
          <w:pgSz w:w="11906" w:h="16838"/>
          <w:pgMar w:top="1417" w:right="1417" w:bottom="1417" w:left="1417" w:header="851" w:footer="992" w:gutter="0"/>
          <w:pgNumType w:fmt="decimal"/>
          <w:cols w:space="720" w:num="1"/>
          <w:formProt w:val="1"/>
          <w:docGrid w:type="lines" w:linePitch="312" w:charSpace="0"/>
        </w:sectPr>
      </w:pPr>
    </w:p>
    <w:bookmarkEnd w:id="87"/>
    <w:bookmarkEnd w:id="88"/>
    <w:p w14:paraId="6FEC2158">
      <w:pPr>
        <w:widowControl/>
        <w:snapToGrid w:val="0"/>
        <w:spacing w:line="300" w:lineRule="auto"/>
        <w:outlineLvl w:val="1"/>
        <w:rPr>
          <w:rFonts w:ascii="宋体" w:hAnsi="宋体" w:cs="宋体"/>
          <w:color w:val="auto"/>
          <w:sz w:val="24"/>
          <w:highlight w:val="none"/>
        </w:rPr>
      </w:pPr>
      <w:bookmarkStart w:id="89" w:name="_Toc7055"/>
      <w:bookmarkStart w:id="90" w:name="_Toc390118024"/>
      <w:r>
        <w:rPr>
          <w:rFonts w:hint="eastAsia" w:ascii="宋体" w:hAnsi="宋体" w:cs="宋体"/>
          <w:b/>
          <w:color w:val="auto"/>
          <w:sz w:val="24"/>
          <w:highlight w:val="none"/>
        </w:rPr>
        <w:t>四、报价一览表</w:t>
      </w:r>
      <w:r>
        <w:rPr>
          <w:rFonts w:hint="eastAsia" w:ascii="宋体" w:hAnsi="宋体" w:cs="宋体"/>
          <w:b/>
          <w:bCs/>
          <w:color w:val="auto"/>
          <w:sz w:val="24"/>
          <w:highlight w:val="none"/>
        </w:rPr>
        <w:t>（格式）</w:t>
      </w:r>
      <w:bookmarkEnd w:id="89"/>
    </w:p>
    <w:p w14:paraId="5AEB0A92">
      <w:pPr>
        <w:pStyle w:val="7"/>
        <w:widowControl/>
        <w:adjustRightInd w:val="0"/>
        <w:spacing w:line="360" w:lineRule="auto"/>
        <w:ind w:firstLine="0" w:firstLineChars="0"/>
        <w:jc w:val="center"/>
        <w:textAlignment w:val="baseline"/>
        <w:rPr>
          <w:rFonts w:hint="eastAsia" w:ascii="宋体" w:hAnsi="宋体" w:cs="宋体"/>
          <w:b/>
          <w:color w:val="auto"/>
          <w:sz w:val="24"/>
          <w:highlight w:val="none"/>
        </w:rPr>
      </w:pPr>
    </w:p>
    <w:p w14:paraId="3E2A9C75">
      <w:pPr>
        <w:pStyle w:val="7"/>
        <w:widowControl/>
        <w:adjustRightInd w:val="0"/>
        <w:spacing w:line="360" w:lineRule="auto"/>
        <w:ind w:firstLine="0" w:firstLineChars="0"/>
        <w:jc w:val="center"/>
        <w:textAlignment w:val="baseline"/>
        <w:rPr>
          <w:rFonts w:ascii="宋体" w:hAnsi="宋体" w:cs="宋体"/>
          <w:b/>
          <w:color w:val="auto"/>
          <w:sz w:val="24"/>
          <w:highlight w:val="none"/>
        </w:rPr>
      </w:pPr>
      <w:r>
        <w:rPr>
          <w:rFonts w:hint="eastAsia" w:ascii="宋体" w:hAnsi="宋体" w:cs="宋体"/>
          <w:b/>
          <w:color w:val="auto"/>
          <w:sz w:val="24"/>
          <w:highlight w:val="none"/>
        </w:rPr>
        <w:t xml:space="preserve"> 报价一览表</w:t>
      </w:r>
    </w:p>
    <w:p w14:paraId="765D0FB5">
      <w:pPr>
        <w:widowControl/>
        <w:snapToGrid w:val="0"/>
        <w:spacing w:line="30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                                                           </w:t>
      </w:r>
    </w:p>
    <w:p w14:paraId="6B2A5103">
      <w:pPr>
        <w:widowControl/>
        <w:snapToGrid w:val="0"/>
        <w:spacing w:line="300" w:lineRule="auto"/>
        <w:ind w:firstLine="480" w:firstLineChars="200"/>
        <w:rPr>
          <w:rFonts w:ascii="宋体" w:hAnsi="宋体" w:cs="宋体"/>
          <w:color w:val="auto"/>
          <w:sz w:val="24"/>
          <w:highlight w:val="none"/>
        </w:rPr>
      </w:pPr>
    </w:p>
    <w:p w14:paraId="37E26A63">
      <w:pPr>
        <w:widowControl/>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51F2EEDC">
      <w:pPr>
        <w:widowControl/>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p>
    <w:p w14:paraId="17E35ADB">
      <w:pPr>
        <w:widowControl/>
        <w:tabs>
          <w:tab w:val="left" w:pos="7980"/>
        </w:tabs>
        <w:snapToGrid w:val="0"/>
        <w:spacing w:line="300" w:lineRule="auto"/>
        <w:rPr>
          <w:rFonts w:ascii="宋体" w:hAnsi="宋体" w:cs="宋体"/>
          <w:color w:val="auto"/>
          <w:sz w:val="24"/>
          <w:highlight w:val="none"/>
        </w:rPr>
      </w:pPr>
    </w:p>
    <w:p w14:paraId="70836585">
      <w:pPr>
        <w:widowControl/>
        <w:snapToGrid w:val="0"/>
        <w:spacing w:line="300" w:lineRule="auto"/>
        <w:ind w:left="0" w:leftChars="0" w:firstLine="6938" w:firstLineChars="2891"/>
        <w:jc w:val="both"/>
        <w:rPr>
          <w:rStyle w:val="24"/>
          <w:rFonts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货币：人民币/元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6005"/>
      </w:tblGrid>
      <w:tr w14:paraId="2541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6675FE56">
            <w:pPr>
              <w:spacing w:line="440" w:lineRule="exact"/>
              <w:jc w:val="center"/>
              <w:rPr>
                <w:rFonts w:ascii="宋体" w:hAnsi="宋体" w:cs="仿宋"/>
                <w:color w:val="auto"/>
                <w:spacing w:val="20"/>
                <w:sz w:val="24"/>
              </w:rPr>
            </w:pPr>
            <w:r>
              <w:rPr>
                <w:rFonts w:hint="eastAsia" w:ascii="宋体" w:hAnsi="宋体" w:cs="仿宋"/>
                <w:color w:val="auto"/>
                <w:spacing w:val="20"/>
                <w:sz w:val="24"/>
              </w:rPr>
              <w:t>总报价</w:t>
            </w:r>
          </w:p>
        </w:tc>
        <w:tc>
          <w:tcPr>
            <w:tcW w:w="6005" w:type="dxa"/>
            <w:vAlign w:val="center"/>
          </w:tcPr>
          <w:p w14:paraId="3FBE89CA">
            <w:pPr>
              <w:spacing w:line="440" w:lineRule="exact"/>
              <w:rPr>
                <w:color w:val="auto"/>
              </w:rPr>
            </w:pPr>
            <w:r>
              <w:rPr>
                <w:rFonts w:hint="eastAsia" w:ascii="宋体" w:hAnsi="宋体" w:cs="仿宋"/>
                <w:color w:val="auto"/>
                <w:spacing w:val="20"/>
                <w:sz w:val="24"/>
              </w:rPr>
              <w:t>大写：</w:t>
            </w:r>
            <w:r>
              <w:rPr>
                <w:rFonts w:hint="eastAsia" w:ascii="宋体" w:hAnsi="宋体" w:cs="仿宋"/>
                <w:color w:val="auto"/>
                <w:spacing w:val="20"/>
                <w:sz w:val="24"/>
                <w:u w:val="single"/>
                <w:lang w:val="en-US" w:eastAsia="zh-CN"/>
              </w:rPr>
              <w:t xml:space="preserve">            </w:t>
            </w:r>
            <w:r>
              <w:rPr>
                <w:rFonts w:hint="eastAsia" w:ascii="宋体" w:hAnsi="宋体" w:cs="仿宋"/>
                <w:color w:val="auto"/>
                <w:spacing w:val="20"/>
                <w:sz w:val="24"/>
                <w:u w:val="none"/>
                <w:lang w:val="en-US" w:eastAsia="zh-CN"/>
              </w:rPr>
              <w:t>，</w:t>
            </w:r>
            <w:r>
              <w:rPr>
                <w:rFonts w:hint="eastAsia" w:ascii="宋体" w:hAnsi="宋体" w:cs="仿宋"/>
                <w:color w:val="auto"/>
                <w:spacing w:val="20"/>
                <w:sz w:val="24"/>
              </w:rPr>
              <w:t>小写：</w:t>
            </w:r>
            <w:r>
              <w:rPr>
                <w:rFonts w:hint="eastAsia" w:ascii="宋体" w:hAnsi="宋体" w:cs="仿宋"/>
                <w:color w:val="auto"/>
                <w:spacing w:val="20"/>
                <w:sz w:val="24"/>
                <w:u w:val="single"/>
              </w:rPr>
              <w:t xml:space="preserve">        </w:t>
            </w:r>
            <w:r>
              <w:rPr>
                <w:rFonts w:hint="eastAsia" w:ascii="宋体" w:hAnsi="宋体" w:cs="仿宋"/>
                <w:color w:val="auto"/>
                <w:spacing w:val="20"/>
                <w:sz w:val="24"/>
              </w:rPr>
              <w:t>元</w:t>
            </w:r>
          </w:p>
        </w:tc>
      </w:tr>
      <w:tr w14:paraId="075D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06AA82A1">
            <w:pPr>
              <w:spacing w:line="440" w:lineRule="exact"/>
              <w:jc w:val="center"/>
              <w:rPr>
                <w:rFonts w:ascii="宋体" w:hAnsi="宋体" w:cs="仿宋"/>
                <w:color w:val="auto"/>
                <w:spacing w:val="20"/>
                <w:sz w:val="24"/>
              </w:rPr>
            </w:pPr>
            <w:r>
              <w:rPr>
                <w:rFonts w:hint="eastAsia" w:ascii="宋体" w:hAnsi="宋体" w:cs="仿宋"/>
                <w:color w:val="auto"/>
                <w:sz w:val="24"/>
              </w:rPr>
              <w:t>合同履行期限</w:t>
            </w:r>
            <w:r>
              <w:rPr>
                <w:rFonts w:hint="eastAsia" w:ascii="宋体" w:hAnsi="宋体" w:cs="仿宋"/>
                <w:color w:val="auto"/>
                <w:spacing w:val="20"/>
                <w:sz w:val="24"/>
              </w:rPr>
              <w:t xml:space="preserve"> </w:t>
            </w:r>
          </w:p>
        </w:tc>
        <w:tc>
          <w:tcPr>
            <w:tcW w:w="6005" w:type="dxa"/>
            <w:vAlign w:val="center"/>
          </w:tcPr>
          <w:p w14:paraId="1DAD47A6">
            <w:pPr>
              <w:spacing w:line="440" w:lineRule="exact"/>
              <w:jc w:val="center"/>
              <w:rPr>
                <w:rFonts w:ascii="宋体" w:hAnsi="宋体" w:cs="仿宋"/>
                <w:bCs/>
                <w:color w:val="auto"/>
                <w:spacing w:val="20"/>
                <w:sz w:val="24"/>
                <w:u w:val="single"/>
              </w:rPr>
            </w:pPr>
          </w:p>
        </w:tc>
      </w:tr>
      <w:tr w14:paraId="7636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2EA9BE8E">
            <w:pPr>
              <w:spacing w:line="440" w:lineRule="exact"/>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项目负责人</w:t>
            </w:r>
          </w:p>
        </w:tc>
        <w:tc>
          <w:tcPr>
            <w:tcW w:w="6005" w:type="dxa"/>
            <w:vAlign w:val="center"/>
          </w:tcPr>
          <w:p w14:paraId="3A96E73A">
            <w:pPr>
              <w:spacing w:line="440" w:lineRule="exact"/>
              <w:jc w:val="center"/>
              <w:rPr>
                <w:rFonts w:ascii="宋体" w:hAnsi="宋体" w:cs="仿宋"/>
                <w:bCs/>
                <w:color w:val="auto"/>
                <w:spacing w:val="20"/>
                <w:sz w:val="24"/>
                <w:u w:val="single"/>
              </w:rPr>
            </w:pPr>
          </w:p>
        </w:tc>
      </w:tr>
      <w:tr w14:paraId="54F2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0D531FB7">
            <w:pPr>
              <w:spacing w:line="440" w:lineRule="exact"/>
              <w:jc w:val="center"/>
              <w:rPr>
                <w:rFonts w:hint="default" w:ascii="宋体" w:hAnsi="宋体" w:eastAsia="宋体" w:cs="仿宋"/>
                <w:color w:val="auto"/>
                <w:sz w:val="24"/>
                <w:lang w:val="en-US" w:eastAsia="zh-CN"/>
              </w:rPr>
            </w:pPr>
            <w:r>
              <w:rPr>
                <w:rFonts w:hint="eastAsia" w:ascii="宋体" w:hAnsi="宋体" w:cs="仿宋"/>
                <w:color w:val="auto"/>
                <w:sz w:val="24"/>
                <w:lang w:val="en-US" w:eastAsia="zh-CN"/>
              </w:rPr>
              <w:t>质量标准</w:t>
            </w:r>
          </w:p>
        </w:tc>
        <w:tc>
          <w:tcPr>
            <w:tcW w:w="6005" w:type="dxa"/>
            <w:vAlign w:val="center"/>
          </w:tcPr>
          <w:p w14:paraId="33673D52">
            <w:pPr>
              <w:spacing w:line="440" w:lineRule="exact"/>
              <w:jc w:val="center"/>
              <w:rPr>
                <w:rFonts w:ascii="宋体" w:hAnsi="宋体" w:cs="仿宋"/>
                <w:bCs/>
                <w:color w:val="auto"/>
                <w:spacing w:val="20"/>
                <w:sz w:val="24"/>
                <w:u w:val="single"/>
              </w:rPr>
            </w:pPr>
          </w:p>
        </w:tc>
      </w:tr>
      <w:tr w14:paraId="4BD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1F1121F1">
            <w:pPr>
              <w:spacing w:line="440" w:lineRule="exact"/>
              <w:jc w:val="center"/>
              <w:rPr>
                <w:rFonts w:hint="default" w:ascii="宋体" w:hAnsi="宋体" w:cs="仿宋"/>
                <w:color w:val="auto"/>
                <w:spacing w:val="20"/>
                <w:sz w:val="24"/>
                <w:lang w:val="en-US"/>
              </w:rPr>
            </w:pPr>
            <w:r>
              <w:rPr>
                <w:rFonts w:hint="eastAsia" w:ascii="宋体" w:hAnsi="宋体" w:cs="仿宋"/>
                <w:color w:val="auto"/>
                <w:sz w:val="24"/>
                <w:lang w:val="en-US" w:eastAsia="zh-CN"/>
              </w:rPr>
              <w:t>服务地点</w:t>
            </w:r>
          </w:p>
        </w:tc>
        <w:tc>
          <w:tcPr>
            <w:tcW w:w="6005" w:type="dxa"/>
            <w:vAlign w:val="center"/>
          </w:tcPr>
          <w:p w14:paraId="31A9F5B1">
            <w:pPr>
              <w:spacing w:line="440" w:lineRule="exact"/>
              <w:jc w:val="center"/>
              <w:rPr>
                <w:rFonts w:ascii="宋体" w:hAnsi="宋体" w:cs="仿宋"/>
                <w:bCs/>
                <w:color w:val="auto"/>
                <w:spacing w:val="20"/>
                <w:sz w:val="24"/>
                <w:u w:val="single"/>
              </w:rPr>
            </w:pPr>
          </w:p>
        </w:tc>
      </w:tr>
      <w:tr w14:paraId="49C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98" w:type="dxa"/>
            <w:vAlign w:val="center"/>
          </w:tcPr>
          <w:p w14:paraId="48F00F20">
            <w:pPr>
              <w:spacing w:line="440" w:lineRule="exact"/>
              <w:jc w:val="center"/>
              <w:rPr>
                <w:rFonts w:ascii="宋体" w:hAnsi="宋体" w:cs="仿宋"/>
                <w:color w:val="auto"/>
                <w:spacing w:val="20"/>
                <w:sz w:val="24"/>
              </w:rPr>
            </w:pPr>
            <w:r>
              <w:rPr>
                <w:rFonts w:hint="eastAsia" w:ascii="宋体" w:hAnsi="宋体" w:cs="仿宋"/>
                <w:color w:val="auto"/>
                <w:spacing w:val="20"/>
                <w:sz w:val="24"/>
              </w:rPr>
              <w:t>备   注</w:t>
            </w:r>
          </w:p>
        </w:tc>
        <w:tc>
          <w:tcPr>
            <w:tcW w:w="6005" w:type="dxa"/>
            <w:vAlign w:val="center"/>
          </w:tcPr>
          <w:p w14:paraId="3B75483B">
            <w:pPr>
              <w:spacing w:line="440" w:lineRule="exact"/>
              <w:jc w:val="center"/>
              <w:rPr>
                <w:rFonts w:ascii="宋体" w:hAnsi="宋体" w:cs="仿宋"/>
                <w:bCs/>
                <w:color w:val="auto"/>
                <w:spacing w:val="20"/>
                <w:sz w:val="24"/>
                <w:u w:val="single"/>
              </w:rPr>
            </w:pPr>
          </w:p>
        </w:tc>
      </w:tr>
    </w:tbl>
    <w:p w14:paraId="6A5E7211">
      <w:pPr>
        <w:spacing w:line="480" w:lineRule="auto"/>
        <w:ind w:firstLine="240" w:firstLineChars="100"/>
        <w:jc w:val="both"/>
        <w:rPr>
          <w:rFonts w:ascii="宋体" w:hAnsi="宋体" w:cs="宋体"/>
          <w:color w:val="auto"/>
          <w:sz w:val="24"/>
          <w:highlight w:val="none"/>
        </w:rPr>
      </w:pPr>
    </w:p>
    <w:p w14:paraId="51E56216">
      <w:pPr>
        <w:tabs>
          <w:tab w:val="left" w:pos="4000"/>
        </w:tabs>
        <w:snapToGrid w:val="0"/>
        <w:spacing w:line="440" w:lineRule="exact"/>
        <w:ind w:firstLine="3600" w:firstLineChars="1500"/>
        <w:rPr>
          <w:rFonts w:ascii="宋体" w:hAnsi="宋体" w:cs="仿宋"/>
          <w:color w:val="auto"/>
          <w:sz w:val="24"/>
        </w:rPr>
      </w:pPr>
      <w:r>
        <w:rPr>
          <w:rFonts w:hint="eastAsia" w:ascii="宋体" w:hAnsi="宋体" w:cs="仿宋"/>
          <w:color w:val="auto"/>
          <w:sz w:val="24"/>
        </w:rPr>
        <w:t>供应商名称：</w:t>
      </w:r>
      <w:r>
        <w:rPr>
          <w:rFonts w:hint="eastAsia" w:ascii="宋体" w:hAnsi="宋体" w:cs="仿宋"/>
          <w:color w:val="auto"/>
          <w:sz w:val="24"/>
          <w:u w:val="single"/>
        </w:rPr>
        <w:t xml:space="preserve">                      </w:t>
      </w:r>
      <w:r>
        <w:rPr>
          <w:rFonts w:hint="eastAsia" w:ascii="宋体" w:hAnsi="宋体" w:cs="仿宋"/>
          <w:color w:val="auto"/>
          <w:sz w:val="24"/>
        </w:rPr>
        <w:t>(</w:t>
      </w:r>
      <w:r>
        <w:rPr>
          <w:rFonts w:hint="eastAsia" w:ascii="宋体" w:hAnsi="宋体" w:eastAsia="宋体" w:cs="宋体"/>
          <w:color w:val="auto"/>
          <w:kern w:val="0"/>
          <w:sz w:val="24"/>
          <w:szCs w:val="24"/>
          <w:lang w:val="en-US" w:eastAsia="zh-CN"/>
        </w:rPr>
        <w:t>电子公章</w:t>
      </w:r>
      <w:r>
        <w:rPr>
          <w:rFonts w:hint="eastAsia" w:ascii="宋体" w:hAnsi="宋体" w:cs="仿宋"/>
          <w:color w:val="auto"/>
          <w:sz w:val="24"/>
        </w:rPr>
        <w:t>)</w:t>
      </w:r>
    </w:p>
    <w:p w14:paraId="6D3DAB29">
      <w:pPr>
        <w:tabs>
          <w:tab w:val="left" w:pos="4000"/>
        </w:tabs>
        <w:snapToGrid w:val="0"/>
        <w:spacing w:line="440" w:lineRule="exact"/>
        <w:ind w:firstLine="3600" w:firstLineChars="1500"/>
        <w:rPr>
          <w:rFonts w:ascii="宋体" w:hAnsi="宋体" w:cs="仿宋"/>
          <w:color w:val="auto"/>
          <w:sz w:val="24"/>
        </w:rPr>
      </w:pPr>
      <w:r>
        <w:rPr>
          <w:rFonts w:hint="eastAsia" w:ascii="宋体" w:hAnsi="宋体" w:cs="仿宋"/>
          <w:color w:val="auto"/>
          <w:sz w:val="24"/>
        </w:rPr>
        <w:t>供应商授权代表：</w:t>
      </w:r>
      <w:r>
        <w:rPr>
          <w:rFonts w:hint="eastAsia" w:ascii="宋体" w:hAnsi="宋体" w:cs="仿宋"/>
          <w:color w:val="auto"/>
          <w:sz w:val="24"/>
          <w:u w:val="single"/>
        </w:rPr>
        <w:t xml:space="preserve">            </w:t>
      </w:r>
      <w:r>
        <w:rPr>
          <w:rFonts w:hint="eastAsia" w:ascii="宋体" w:hAnsi="宋体" w:cs="仿宋"/>
          <w:color w:val="auto"/>
          <w:sz w:val="24"/>
          <w:u w:val="single"/>
          <w:lang w:val="en-US" w:eastAsia="zh-CN"/>
        </w:rPr>
        <w:t xml:space="preserve">    </w:t>
      </w:r>
      <w:r>
        <w:rPr>
          <w:rFonts w:hint="eastAsia" w:ascii="宋体" w:hAnsi="宋体" w:cs="仿宋"/>
          <w:color w:val="auto"/>
          <w:sz w:val="24"/>
          <w:u w:val="single"/>
        </w:rPr>
        <w:t xml:space="preserve">  </w:t>
      </w:r>
      <w:r>
        <w:rPr>
          <w:rFonts w:hint="eastAsia" w:ascii="宋体" w:hAnsi="宋体" w:cs="仿宋"/>
          <w:color w:val="auto"/>
          <w:sz w:val="24"/>
        </w:rPr>
        <w:t>(</w:t>
      </w:r>
      <w:r>
        <w:rPr>
          <w:rFonts w:hint="eastAsia" w:ascii="宋体" w:hAnsi="宋体" w:eastAsia="宋体" w:cs="宋体"/>
          <w:color w:val="auto"/>
          <w:kern w:val="0"/>
          <w:sz w:val="24"/>
          <w:szCs w:val="24"/>
          <w:lang w:val="en-US" w:eastAsia="zh-CN"/>
        </w:rPr>
        <w:t>电子章</w:t>
      </w:r>
      <w:r>
        <w:rPr>
          <w:rFonts w:hint="eastAsia" w:ascii="宋体" w:hAnsi="宋体" w:cs="仿宋"/>
          <w:color w:val="auto"/>
          <w:sz w:val="24"/>
        </w:rPr>
        <w:t>)</w:t>
      </w:r>
    </w:p>
    <w:p w14:paraId="066C3C2C">
      <w:pPr>
        <w:adjustRightInd w:val="0"/>
        <w:spacing w:line="480" w:lineRule="auto"/>
        <w:ind w:left="0" w:leftChars="0" w:firstLine="3578" w:firstLineChars="1491"/>
        <w:rPr>
          <w:rFonts w:hint="eastAsia" w:ascii="宋体" w:hAnsi="宋体" w:cs="宋体"/>
          <w:b/>
          <w:bCs/>
          <w:color w:val="auto"/>
          <w:sz w:val="24"/>
          <w:highlight w:val="none"/>
        </w:rPr>
      </w:pPr>
      <w:r>
        <w:rPr>
          <w:rFonts w:hint="eastAsia" w:ascii="宋体" w:hAnsi="宋体" w:cs="仿宋"/>
          <w:color w:val="auto"/>
          <w:sz w:val="24"/>
        </w:rPr>
        <w:t>日　期：</w:t>
      </w:r>
      <w:bookmarkStart w:id="91" w:name="_Toc10282"/>
    </w:p>
    <w:p w14:paraId="334D89E4">
      <w:pPr>
        <w:tabs>
          <w:tab w:val="left" w:pos="4500"/>
        </w:tabs>
        <w:spacing w:line="360" w:lineRule="auto"/>
        <w:outlineLvl w:val="1"/>
        <w:rPr>
          <w:rFonts w:hint="eastAsia" w:ascii="宋体" w:hAnsi="宋体" w:cs="宋体"/>
          <w:b/>
          <w:bCs/>
          <w:color w:val="auto"/>
          <w:sz w:val="24"/>
          <w:highlight w:val="none"/>
        </w:rPr>
      </w:pPr>
    </w:p>
    <w:p w14:paraId="044A65B3">
      <w:pPr>
        <w:rPr>
          <w:rFonts w:hint="eastAsia" w:ascii="宋体" w:hAnsi="宋体" w:eastAsia="宋体" w:cs="宋体"/>
          <w:b/>
          <w:color w:val="auto"/>
          <w:sz w:val="24"/>
          <w:szCs w:val="24"/>
          <w:highlight w:val="none"/>
        </w:rPr>
      </w:pPr>
    </w:p>
    <w:p w14:paraId="2A4D3549">
      <w:pPr>
        <w:rPr>
          <w:rFonts w:hint="eastAsia" w:ascii="宋体" w:hAnsi="宋体" w:eastAsia="宋体" w:cs="宋体"/>
          <w:b/>
          <w:color w:val="auto"/>
          <w:sz w:val="24"/>
          <w:szCs w:val="24"/>
          <w:highlight w:val="none"/>
        </w:rPr>
      </w:pPr>
    </w:p>
    <w:p w14:paraId="0CBCF38F">
      <w:pPr>
        <w:rPr>
          <w:rFonts w:hint="eastAsia" w:ascii="宋体" w:hAnsi="宋体" w:eastAsia="宋体" w:cs="宋体"/>
          <w:b/>
          <w:color w:val="auto"/>
          <w:sz w:val="24"/>
          <w:szCs w:val="24"/>
          <w:highlight w:val="none"/>
        </w:rPr>
      </w:pPr>
    </w:p>
    <w:p w14:paraId="2A13467D">
      <w:pPr>
        <w:rPr>
          <w:rFonts w:hint="eastAsia" w:ascii="宋体" w:hAnsi="宋体" w:eastAsia="宋体" w:cs="宋体"/>
          <w:b/>
          <w:color w:val="auto"/>
          <w:sz w:val="24"/>
          <w:szCs w:val="24"/>
          <w:highlight w:val="none"/>
        </w:rPr>
      </w:pPr>
    </w:p>
    <w:p w14:paraId="0404483C">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6BFFD57">
      <w:pPr>
        <w:tabs>
          <w:tab w:val="left" w:pos="4500"/>
        </w:tabs>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五、商务技术规范响应及偏离表（格式）</w:t>
      </w:r>
      <w:bookmarkEnd w:id="91"/>
    </w:p>
    <w:p w14:paraId="765400C8">
      <w:pPr>
        <w:pStyle w:val="3"/>
        <w:spacing w:before="0" w:after="0" w:line="415" w:lineRule="auto"/>
        <w:jc w:val="center"/>
        <w:outlineLvl w:val="9"/>
        <w:rPr>
          <w:rFonts w:ascii="宋体" w:hAnsi="宋体" w:eastAsia="宋体" w:cs="宋体"/>
          <w:color w:val="auto"/>
          <w:sz w:val="24"/>
          <w:szCs w:val="24"/>
          <w:highlight w:val="none"/>
        </w:rPr>
      </w:pPr>
    </w:p>
    <w:p w14:paraId="2B9156EC">
      <w:pPr>
        <w:pStyle w:val="3"/>
        <w:spacing w:before="0" w:after="0" w:line="415" w:lineRule="auto"/>
        <w:jc w:val="center"/>
        <w:rPr>
          <w:rFonts w:ascii="宋体" w:hAnsi="宋体" w:eastAsia="宋体" w:cs="宋体"/>
          <w:color w:val="auto"/>
          <w:sz w:val="24"/>
          <w:szCs w:val="24"/>
          <w:highlight w:val="none"/>
        </w:rPr>
      </w:pPr>
      <w:bookmarkStart w:id="92" w:name="_Toc16872"/>
      <w:r>
        <w:rPr>
          <w:rFonts w:hint="eastAsia" w:ascii="宋体" w:hAnsi="宋体" w:eastAsia="宋体" w:cs="宋体"/>
          <w:color w:val="auto"/>
          <w:sz w:val="24"/>
          <w:szCs w:val="24"/>
          <w:highlight w:val="none"/>
        </w:rPr>
        <w:t>商务技术规范响应及偏离表</w:t>
      </w:r>
      <w:bookmarkEnd w:id="92"/>
    </w:p>
    <w:p w14:paraId="7AF75DE4">
      <w:pPr>
        <w:widowControl/>
        <w:snapToGrid w:val="0"/>
        <w:spacing w:line="360" w:lineRule="auto"/>
        <w:rPr>
          <w:rFonts w:ascii="宋体" w:hAnsi="宋体" w:cs="宋体"/>
          <w:color w:val="auto"/>
          <w:kern w:val="0"/>
          <w:sz w:val="24"/>
          <w:highlight w:val="none"/>
        </w:rPr>
      </w:pPr>
    </w:p>
    <w:p w14:paraId="03F8DEAF">
      <w:pPr>
        <w:widowControl/>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项目名称：</w:t>
      </w:r>
    </w:p>
    <w:p w14:paraId="40D89281">
      <w:pPr>
        <w:widowControl/>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项目编号：</w:t>
      </w:r>
    </w:p>
    <w:tbl>
      <w:tblPr>
        <w:tblStyle w:val="22"/>
        <w:tblpPr w:leftFromText="180" w:rightFromText="180" w:vertAnchor="text" w:horzAnchor="page" w:tblpX="1474" w:tblpY="43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2"/>
        <w:gridCol w:w="1576"/>
        <w:gridCol w:w="2286"/>
        <w:gridCol w:w="2108"/>
        <w:gridCol w:w="1521"/>
        <w:gridCol w:w="1014"/>
      </w:tblGrid>
      <w:tr w14:paraId="0B56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6"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45B79C60">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54B462EC">
            <w:pPr>
              <w:wordWrap w:val="0"/>
              <w:topLinePunct/>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条款内容</w:t>
            </w: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36E65146">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cs="宋体"/>
                <w:color w:val="auto"/>
                <w:sz w:val="24"/>
                <w:szCs w:val="24"/>
                <w:highlight w:val="none"/>
              </w:rPr>
              <w:t>采购文件</w:t>
            </w:r>
          </w:p>
          <w:p w14:paraId="16513DF4">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规范要求</w:t>
            </w: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7CF7448D">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w:t>
            </w:r>
          </w:p>
          <w:p w14:paraId="154755DA">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对应规范</w:t>
            </w: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22B05948">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偏离情况</w:t>
            </w: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557D958B">
            <w:pPr>
              <w:wordWrap w:val="0"/>
              <w:topLinePunct/>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7E78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38AFED1D">
            <w:pPr>
              <w:wordWrap w:val="0"/>
              <w:topLinePunct/>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1C517D62">
            <w:pPr>
              <w:adjustRightInd w:val="0"/>
              <w:snapToGrid w:val="0"/>
              <w:spacing w:line="360" w:lineRule="auto"/>
              <w:jc w:val="center"/>
              <w:rPr>
                <w:rFonts w:hint="eastAsia" w:ascii="宋体" w:hAnsi="宋体" w:cs="宋体"/>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05F5F4ED">
            <w:pPr>
              <w:wordWrap w:val="0"/>
              <w:topLinePunct/>
              <w:spacing w:line="480" w:lineRule="exact"/>
              <w:jc w:val="center"/>
              <w:rPr>
                <w:rFonts w:hint="eastAsia" w:ascii="宋体" w:hAnsi="宋体" w:cs="宋体"/>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0EA57416">
            <w:pPr>
              <w:wordWrap w:val="0"/>
              <w:topLinePunct/>
              <w:spacing w:line="480" w:lineRule="exact"/>
              <w:jc w:val="center"/>
              <w:rPr>
                <w:rFonts w:hint="eastAsia" w:ascii="宋体" w:hAnsi="宋体" w:cs="宋体"/>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0A12E6C1">
            <w:pPr>
              <w:wordWrap w:val="0"/>
              <w:topLinePunct/>
              <w:spacing w:line="480" w:lineRule="exact"/>
              <w:jc w:val="center"/>
              <w:rPr>
                <w:rFonts w:hint="eastAsia" w:ascii="宋体" w:hAnsi="宋体" w:cs="宋体"/>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79FD3E57">
            <w:pPr>
              <w:wordWrap w:val="0"/>
              <w:topLinePunct/>
              <w:spacing w:line="480" w:lineRule="exact"/>
              <w:jc w:val="center"/>
              <w:rPr>
                <w:rFonts w:hint="eastAsia" w:ascii="宋体" w:hAnsi="宋体" w:cs="宋体"/>
                <w:color w:val="auto"/>
                <w:sz w:val="24"/>
                <w:szCs w:val="24"/>
                <w:highlight w:val="none"/>
              </w:rPr>
            </w:pPr>
          </w:p>
        </w:tc>
      </w:tr>
      <w:tr w14:paraId="6B43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4C34BF86">
            <w:pPr>
              <w:widowControl/>
              <w:snapToGrid w:val="0"/>
              <w:spacing w:line="400" w:lineRule="exact"/>
              <w:jc w:val="center"/>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 </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0AB26689">
            <w:pPr>
              <w:adjustRightInd w:val="0"/>
              <w:snapToGrid w:val="0"/>
              <w:spacing w:line="360" w:lineRule="auto"/>
              <w:jc w:val="center"/>
              <w:rPr>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645F5E4F">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56149D12">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78355489">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3C0E88EF">
            <w:pPr>
              <w:widowControl/>
              <w:snapToGrid w:val="0"/>
              <w:spacing w:line="400" w:lineRule="exact"/>
              <w:jc w:val="center"/>
              <w:rPr>
                <w:color w:val="auto"/>
                <w:sz w:val="24"/>
                <w:szCs w:val="24"/>
                <w:highlight w:val="none"/>
              </w:rPr>
            </w:pPr>
          </w:p>
        </w:tc>
      </w:tr>
      <w:tr w14:paraId="2D6B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1"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14EEF56B">
            <w:pPr>
              <w:widowControl/>
              <w:snapToGrid w:val="0"/>
              <w:spacing w:line="400" w:lineRule="exact"/>
              <w:jc w:val="center"/>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 </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4596667C">
            <w:pPr>
              <w:adjustRightInd w:val="0"/>
              <w:snapToGrid w:val="0"/>
              <w:spacing w:line="360" w:lineRule="auto"/>
              <w:jc w:val="center"/>
              <w:rPr>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6B613D4F">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04B1A7AD">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5BB16CF1">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3020EC6E">
            <w:pPr>
              <w:widowControl/>
              <w:snapToGrid w:val="0"/>
              <w:spacing w:line="400" w:lineRule="exact"/>
              <w:jc w:val="center"/>
              <w:rPr>
                <w:color w:val="auto"/>
                <w:sz w:val="24"/>
                <w:szCs w:val="24"/>
                <w:highlight w:val="none"/>
              </w:rPr>
            </w:pPr>
          </w:p>
        </w:tc>
      </w:tr>
      <w:tr w14:paraId="45AF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1"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08DD369D">
            <w:pPr>
              <w:widowControl/>
              <w:snapToGrid w:val="0"/>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5525DF9C">
            <w:pPr>
              <w:adjustRightInd w:val="0"/>
              <w:snapToGrid w:val="0"/>
              <w:spacing w:line="360" w:lineRule="auto"/>
              <w:jc w:val="center"/>
              <w:rPr>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684B05A0">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103C4B35">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775B3CB5">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1A6EFA83">
            <w:pPr>
              <w:widowControl/>
              <w:snapToGrid w:val="0"/>
              <w:spacing w:line="400" w:lineRule="exact"/>
              <w:jc w:val="center"/>
              <w:rPr>
                <w:color w:val="auto"/>
                <w:sz w:val="24"/>
                <w:szCs w:val="24"/>
                <w:highlight w:val="none"/>
              </w:rPr>
            </w:pPr>
          </w:p>
        </w:tc>
      </w:tr>
      <w:tr w14:paraId="52D0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1"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63CD7BF2">
            <w:pPr>
              <w:widowControl/>
              <w:snapToGrid w:val="0"/>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5</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582E62E2">
            <w:pPr>
              <w:adjustRightInd w:val="0"/>
              <w:snapToGrid w:val="0"/>
              <w:spacing w:line="360" w:lineRule="auto"/>
              <w:jc w:val="center"/>
              <w:rPr>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11BF356A">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3FE54335">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3BD4F36D">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00D9159E">
            <w:pPr>
              <w:widowControl/>
              <w:snapToGrid w:val="0"/>
              <w:spacing w:line="400" w:lineRule="exact"/>
              <w:jc w:val="center"/>
              <w:rPr>
                <w:color w:val="auto"/>
                <w:sz w:val="24"/>
                <w:szCs w:val="24"/>
                <w:highlight w:val="none"/>
              </w:rPr>
            </w:pPr>
          </w:p>
        </w:tc>
      </w:tr>
      <w:tr w14:paraId="1E3A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1"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4D1D1D12">
            <w:pPr>
              <w:widowControl/>
              <w:snapToGrid w:val="0"/>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6</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2940EE33">
            <w:pPr>
              <w:widowControl/>
              <w:snapToGrid w:val="0"/>
              <w:spacing w:line="400" w:lineRule="exact"/>
              <w:jc w:val="center"/>
              <w:rPr>
                <w:rFonts w:hint="default" w:eastAsia="宋体"/>
                <w:color w:val="auto"/>
                <w:sz w:val="24"/>
                <w:szCs w:val="24"/>
                <w:highlight w:val="none"/>
                <w:lang w:val="en-US" w:eastAsia="zh-CN"/>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359748B9">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6A555DFC">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7668C279">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3CD0F437">
            <w:pPr>
              <w:widowControl/>
              <w:snapToGrid w:val="0"/>
              <w:spacing w:line="400" w:lineRule="exact"/>
              <w:jc w:val="center"/>
              <w:rPr>
                <w:color w:val="auto"/>
                <w:sz w:val="24"/>
                <w:szCs w:val="24"/>
                <w:highlight w:val="none"/>
              </w:rPr>
            </w:pPr>
          </w:p>
        </w:tc>
      </w:tr>
      <w:tr w14:paraId="3DAD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1" w:hRule="atLeast"/>
        </w:trPr>
        <w:tc>
          <w:tcPr>
            <w:tcW w:w="572" w:type="dxa"/>
            <w:tcBorders>
              <w:top w:val="single" w:color="000000" w:sz="6" w:space="0"/>
              <w:left w:val="single" w:color="000000" w:sz="6" w:space="0"/>
              <w:bottom w:val="single" w:color="000000" w:sz="6" w:space="0"/>
              <w:right w:val="single" w:color="auto" w:sz="4" w:space="0"/>
            </w:tcBorders>
            <w:noWrap w:val="0"/>
            <w:vAlign w:val="center"/>
          </w:tcPr>
          <w:p w14:paraId="6AD4C4C5">
            <w:pPr>
              <w:widowControl/>
              <w:snapToGrid w:val="0"/>
              <w:spacing w:line="40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w:t>
            </w:r>
          </w:p>
        </w:tc>
        <w:tc>
          <w:tcPr>
            <w:tcW w:w="1576" w:type="dxa"/>
            <w:tcBorders>
              <w:top w:val="single" w:color="000000" w:sz="6" w:space="0"/>
              <w:left w:val="single" w:color="auto" w:sz="4" w:space="0"/>
              <w:bottom w:val="single" w:color="000000" w:sz="6" w:space="0"/>
              <w:right w:val="single" w:color="000000" w:sz="6" w:space="0"/>
            </w:tcBorders>
            <w:noWrap w:val="0"/>
            <w:vAlign w:val="center"/>
          </w:tcPr>
          <w:p w14:paraId="5B69FB91">
            <w:pPr>
              <w:widowControl/>
              <w:snapToGrid w:val="0"/>
              <w:spacing w:line="400" w:lineRule="exact"/>
              <w:jc w:val="center"/>
              <w:rPr>
                <w:color w:val="auto"/>
                <w:sz w:val="24"/>
                <w:szCs w:val="24"/>
                <w:highlight w:val="none"/>
              </w:rPr>
            </w:pPr>
          </w:p>
        </w:tc>
        <w:tc>
          <w:tcPr>
            <w:tcW w:w="2286" w:type="dxa"/>
            <w:tcBorders>
              <w:top w:val="single" w:color="000000" w:sz="6" w:space="0"/>
              <w:left w:val="single" w:color="000000" w:sz="6" w:space="0"/>
              <w:bottom w:val="single" w:color="000000" w:sz="6" w:space="0"/>
              <w:right w:val="single" w:color="000000" w:sz="6" w:space="0"/>
            </w:tcBorders>
            <w:noWrap w:val="0"/>
            <w:vAlign w:val="center"/>
          </w:tcPr>
          <w:p w14:paraId="088FF325">
            <w:pPr>
              <w:widowControl/>
              <w:snapToGrid w:val="0"/>
              <w:spacing w:line="400" w:lineRule="exact"/>
              <w:jc w:val="center"/>
              <w:rPr>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vAlign w:val="center"/>
          </w:tcPr>
          <w:p w14:paraId="513BA1F3">
            <w:pPr>
              <w:widowControl/>
              <w:snapToGrid w:val="0"/>
              <w:spacing w:line="400" w:lineRule="exact"/>
              <w:jc w:val="center"/>
              <w:rPr>
                <w:color w:val="auto"/>
                <w:sz w:val="24"/>
                <w:szCs w:val="24"/>
                <w:highlight w:val="none"/>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0B86AE3B">
            <w:pPr>
              <w:widowControl/>
              <w:snapToGrid w:val="0"/>
              <w:spacing w:line="400" w:lineRule="exact"/>
              <w:jc w:val="center"/>
              <w:rPr>
                <w:color w:val="auto"/>
                <w:sz w:val="24"/>
                <w:szCs w:val="24"/>
                <w:highlight w:val="none"/>
              </w:rPr>
            </w:pPr>
          </w:p>
        </w:tc>
        <w:tc>
          <w:tcPr>
            <w:tcW w:w="1014" w:type="dxa"/>
            <w:tcBorders>
              <w:top w:val="single" w:color="000000" w:sz="6" w:space="0"/>
              <w:left w:val="single" w:color="000000" w:sz="6" w:space="0"/>
              <w:bottom w:val="single" w:color="000000" w:sz="6" w:space="0"/>
              <w:right w:val="single" w:color="000000" w:sz="6" w:space="0"/>
            </w:tcBorders>
            <w:noWrap w:val="0"/>
            <w:vAlign w:val="center"/>
          </w:tcPr>
          <w:p w14:paraId="4126CBD2">
            <w:pPr>
              <w:widowControl/>
              <w:snapToGrid w:val="0"/>
              <w:spacing w:line="400" w:lineRule="exact"/>
              <w:jc w:val="center"/>
              <w:rPr>
                <w:color w:val="auto"/>
                <w:sz w:val="24"/>
                <w:szCs w:val="24"/>
                <w:highlight w:val="none"/>
              </w:rPr>
            </w:pPr>
          </w:p>
        </w:tc>
      </w:tr>
    </w:tbl>
    <w:p w14:paraId="3C5CBC1F">
      <w:pPr>
        <w:widowControl/>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注：1、根据第五部分“商务技术要求”进行填列。</w:t>
      </w:r>
    </w:p>
    <w:p w14:paraId="6A871A6B">
      <w:pPr>
        <w:widowControl/>
        <w:numPr>
          <w:ilvl w:val="0"/>
          <w:numId w:val="8"/>
        </w:num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响应情况内容较多时可在表格中标明响应内容所在页码。</w:t>
      </w:r>
    </w:p>
    <w:p w14:paraId="05B27044">
      <w:pPr>
        <w:pStyle w:val="18"/>
        <w:rPr>
          <w:rFonts w:ascii="宋体" w:hAnsi="宋体" w:cs="宋体"/>
          <w:b/>
          <w:color w:val="auto"/>
          <w:sz w:val="24"/>
          <w:szCs w:val="24"/>
          <w:highlight w:val="none"/>
        </w:rPr>
      </w:pPr>
    </w:p>
    <w:p w14:paraId="563342B6">
      <w:pPr>
        <w:pStyle w:val="18"/>
        <w:rPr>
          <w:rFonts w:ascii="宋体" w:hAnsi="宋体" w:cs="宋体"/>
          <w:b/>
          <w:color w:val="auto"/>
          <w:sz w:val="24"/>
          <w:szCs w:val="24"/>
          <w:highlight w:val="none"/>
        </w:rPr>
      </w:pPr>
    </w:p>
    <w:p w14:paraId="3E905B2C">
      <w:pPr>
        <w:tabs>
          <w:tab w:val="left" w:pos="4000"/>
        </w:tabs>
        <w:snapToGrid w:val="0"/>
        <w:spacing w:line="480" w:lineRule="auto"/>
        <w:jc w:val="left"/>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4E701FDF">
      <w:pPr>
        <w:tabs>
          <w:tab w:val="left" w:pos="4000"/>
        </w:tabs>
        <w:snapToGrid w:val="0"/>
        <w:spacing w:line="480" w:lineRule="auto"/>
        <w:jc w:val="left"/>
        <w:rPr>
          <w:rFonts w:ascii="宋体" w:hAnsi="宋体" w:cs="宋体"/>
          <w:color w:val="auto"/>
          <w:kern w:val="0"/>
          <w:sz w:val="24"/>
        </w:rPr>
      </w:pPr>
      <w:r>
        <w:rPr>
          <w:rFonts w:hint="eastAsia" w:ascii="宋体" w:hAnsi="宋体" w:cs="宋体"/>
          <w:color w:val="auto"/>
          <w:kern w:val="0"/>
          <w:sz w:val="24"/>
        </w:rPr>
        <w:t>法定代表人（负责人）或供应商被授权代表：</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电子章</w:t>
      </w:r>
      <w:r>
        <w:rPr>
          <w:rFonts w:hint="eastAsia" w:ascii="宋体" w:hAnsi="宋体" w:cs="宋体"/>
          <w:color w:val="auto"/>
          <w:kern w:val="0"/>
          <w:sz w:val="24"/>
        </w:rPr>
        <w:t>)</w:t>
      </w:r>
    </w:p>
    <w:p w14:paraId="3D0342F7">
      <w:pPr>
        <w:widowControl/>
        <w:snapToGrid w:val="0"/>
        <w:spacing w:line="360" w:lineRule="auto"/>
        <w:jc w:val="left"/>
        <w:rPr>
          <w:rFonts w:ascii="宋体" w:hAnsi="宋体" w:cs="宋体"/>
          <w:b/>
          <w:bCs/>
          <w:color w:val="auto"/>
          <w:szCs w:val="21"/>
          <w:highlight w:val="none"/>
        </w:rPr>
        <w:sectPr>
          <w:pgSz w:w="11906" w:h="16838"/>
          <w:pgMar w:top="1417" w:right="1417" w:bottom="1417" w:left="1417" w:header="851" w:footer="992" w:gutter="0"/>
          <w:pgNumType w:fmt="decimal"/>
          <w:cols w:space="720" w:num="1"/>
          <w:formProt w:val="1"/>
          <w:docGrid w:type="lines" w:linePitch="312" w:charSpace="0"/>
        </w:sectPr>
      </w:pPr>
      <w:r>
        <w:rPr>
          <w:rFonts w:hint="eastAsia" w:ascii="宋体" w:hAnsi="宋体" w:cs="宋体"/>
          <w:color w:val="auto"/>
          <w:sz w:val="24"/>
        </w:rPr>
        <w:t>日     期：</w:t>
      </w:r>
    </w:p>
    <w:p w14:paraId="3B169DFE">
      <w:pPr>
        <w:widowControl/>
        <w:adjustRightInd w:val="0"/>
        <w:snapToGrid w:val="0"/>
        <w:spacing w:line="600" w:lineRule="exact"/>
        <w:jc w:val="left"/>
        <w:rPr>
          <w:rFonts w:ascii="宋体" w:hAnsi="宋体" w:cs="仿宋"/>
          <w:b/>
          <w:bCs/>
          <w:color w:val="auto"/>
          <w:spacing w:val="20"/>
          <w:kern w:val="0"/>
          <w:sz w:val="28"/>
          <w:szCs w:val="28"/>
          <w:highlight w:val="none"/>
        </w:rPr>
      </w:pPr>
      <w:r>
        <w:rPr>
          <w:rFonts w:hint="eastAsia" w:ascii="宋体" w:hAnsi="宋体" w:cs="仿宋"/>
          <w:b/>
          <w:bCs/>
          <w:color w:val="auto"/>
          <w:spacing w:val="20"/>
          <w:kern w:val="0"/>
          <w:sz w:val="24"/>
          <w:highlight w:val="none"/>
        </w:rPr>
        <w:t>六、</w:t>
      </w:r>
      <w:r>
        <w:rPr>
          <w:rFonts w:hint="eastAsia" w:ascii="宋体" w:hAnsi="宋体" w:cs="宋体"/>
          <w:b/>
          <w:color w:val="auto"/>
          <w:kern w:val="0"/>
          <w:sz w:val="24"/>
          <w:highlight w:val="none"/>
        </w:rPr>
        <w:t>服务方案</w:t>
      </w:r>
    </w:p>
    <w:p w14:paraId="64DAB861">
      <w:pPr>
        <w:widowControl/>
        <w:tabs>
          <w:tab w:val="left" w:pos="4000"/>
        </w:tabs>
        <w:adjustRightInd w:val="0"/>
        <w:snapToGrid w:val="0"/>
        <w:spacing w:line="600" w:lineRule="exact"/>
        <w:rPr>
          <w:rFonts w:ascii="宋体" w:hAnsi="宋体" w:cs="宋体"/>
          <w:b/>
          <w:color w:val="auto"/>
          <w:kern w:val="0"/>
          <w:sz w:val="24"/>
          <w:highlight w:val="none"/>
        </w:rPr>
      </w:pPr>
    </w:p>
    <w:p w14:paraId="4DE4BD80">
      <w:pPr>
        <w:pStyle w:val="10"/>
        <w:rPr>
          <w:rFonts w:ascii="宋体" w:hAnsi="宋体" w:cs="宋体"/>
          <w:b/>
          <w:color w:val="auto"/>
          <w:kern w:val="0"/>
          <w:sz w:val="24"/>
          <w:highlight w:val="none"/>
        </w:rPr>
      </w:pPr>
    </w:p>
    <w:p w14:paraId="23F88681">
      <w:pPr>
        <w:pStyle w:val="11"/>
        <w:rPr>
          <w:rFonts w:ascii="宋体" w:hAnsi="宋体" w:cs="宋体"/>
          <w:b/>
          <w:color w:val="auto"/>
          <w:kern w:val="0"/>
          <w:sz w:val="24"/>
          <w:highlight w:val="none"/>
        </w:rPr>
      </w:pPr>
    </w:p>
    <w:p w14:paraId="551AEAD0">
      <w:pPr>
        <w:pStyle w:val="11"/>
        <w:rPr>
          <w:rFonts w:ascii="宋体" w:hAnsi="宋体" w:cs="宋体"/>
          <w:b/>
          <w:color w:val="auto"/>
          <w:kern w:val="0"/>
          <w:sz w:val="24"/>
          <w:highlight w:val="none"/>
        </w:rPr>
      </w:pPr>
    </w:p>
    <w:p w14:paraId="424E56A9">
      <w:pPr>
        <w:pStyle w:val="11"/>
        <w:rPr>
          <w:rFonts w:ascii="宋体" w:hAnsi="宋体" w:cs="宋体"/>
          <w:b/>
          <w:color w:val="auto"/>
          <w:kern w:val="0"/>
          <w:sz w:val="24"/>
          <w:highlight w:val="none"/>
        </w:rPr>
      </w:pPr>
    </w:p>
    <w:p w14:paraId="447F7DBB">
      <w:pPr>
        <w:pStyle w:val="11"/>
        <w:rPr>
          <w:rFonts w:ascii="宋体" w:hAnsi="宋体" w:cs="宋体"/>
          <w:b/>
          <w:color w:val="auto"/>
          <w:kern w:val="0"/>
          <w:sz w:val="24"/>
          <w:highlight w:val="none"/>
        </w:rPr>
      </w:pPr>
    </w:p>
    <w:p w14:paraId="53741CB3">
      <w:pPr>
        <w:pStyle w:val="11"/>
        <w:rPr>
          <w:rFonts w:ascii="宋体" w:hAnsi="宋体" w:cs="宋体"/>
          <w:b/>
          <w:color w:val="auto"/>
          <w:kern w:val="0"/>
          <w:sz w:val="24"/>
          <w:highlight w:val="none"/>
        </w:rPr>
      </w:pPr>
    </w:p>
    <w:p w14:paraId="7D39C5CC">
      <w:pPr>
        <w:pStyle w:val="11"/>
        <w:rPr>
          <w:rFonts w:ascii="宋体" w:hAnsi="宋体" w:cs="宋体"/>
          <w:b/>
          <w:color w:val="auto"/>
          <w:kern w:val="0"/>
          <w:sz w:val="24"/>
          <w:highlight w:val="none"/>
        </w:rPr>
      </w:pPr>
    </w:p>
    <w:p w14:paraId="02C1B8B5">
      <w:pPr>
        <w:pStyle w:val="11"/>
        <w:rPr>
          <w:rFonts w:ascii="宋体" w:hAnsi="宋体" w:cs="宋体"/>
          <w:b/>
          <w:color w:val="auto"/>
          <w:kern w:val="0"/>
          <w:sz w:val="24"/>
          <w:highlight w:val="none"/>
        </w:rPr>
      </w:pPr>
    </w:p>
    <w:p w14:paraId="22645AF9">
      <w:pPr>
        <w:pStyle w:val="11"/>
        <w:rPr>
          <w:rFonts w:ascii="宋体" w:hAnsi="宋体" w:cs="宋体"/>
          <w:b/>
          <w:color w:val="auto"/>
          <w:kern w:val="0"/>
          <w:sz w:val="24"/>
          <w:highlight w:val="none"/>
        </w:rPr>
      </w:pPr>
    </w:p>
    <w:p w14:paraId="7E29BA81">
      <w:pPr>
        <w:pStyle w:val="11"/>
        <w:rPr>
          <w:rFonts w:ascii="宋体" w:hAnsi="宋体" w:cs="宋体"/>
          <w:b/>
          <w:color w:val="auto"/>
          <w:kern w:val="0"/>
          <w:sz w:val="24"/>
          <w:highlight w:val="none"/>
        </w:rPr>
      </w:pPr>
    </w:p>
    <w:p w14:paraId="52341D98">
      <w:pPr>
        <w:pStyle w:val="11"/>
        <w:rPr>
          <w:rFonts w:ascii="宋体" w:hAnsi="宋体" w:cs="宋体"/>
          <w:b/>
          <w:color w:val="auto"/>
          <w:kern w:val="0"/>
          <w:sz w:val="24"/>
          <w:highlight w:val="none"/>
        </w:rPr>
      </w:pPr>
    </w:p>
    <w:p w14:paraId="10419D5D">
      <w:pPr>
        <w:pStyle w:val="11"/>
        <w:rPr>
          <w:rFonts w:ascii="宋体" w:hAnsi="宋体" w:cs="宋体"/>
          <w:b/>
          <w:color w:val="auto"/>
          <w:kern w:val="0"/>
          <w:sz w:val="24"/>
          <w:highlight w:val="none"/>
        </w:rPr>
      </w:pPr>
    </w:p>
    <w:p w14:paraId="6A212076">
      <w:pPr>
        <w:pStyle w:val="11"/>
        <w:rPr>
          <w:rFonts w:ascii="宋体" w:hAnsi="宋体" w:cs="宋体"/>
          <w:b/>
          <w:color w:val="auto"/>
          <w:kern w:val="0"/>
          <w:sz w:val="24"/>
          <w:highlight w:val="none"/>
        </w:rPr>
      </w:pPr>
    </w:p>
    <w:p w14:paraId="6CDB8AD5">
      <w:pPr>
        <w:pStyle w:val="11"/>
        <w:rPr>
          <w:rFonts w:ascii="宋体" w:hAnsi="宋体" w:cs="宋体"/>
          <w:b/>
          <w:color w:val="auto"/>
          <w:kern w:val="0"/>
          <w:sz w:val="24"/>
          <w:highlight w:val="none"/>
        </w:rPr>
      </w:pPr>
    </w:p>
    <w:p w14:paraId="5C2099F3">
      <w:pPr>
        <w:pStyle w:val="11"/>
        <w:rPr>
          <w:rFonts w:ascii="宋体" w:hAnsi="宋体" w:cs="宋体"/>
          <w:b/>
          <w:color w:val="auto"/>
          <w:kern w:val="0"/>
          <w:sz w:val="24"/>
          <w:highlight w:val="none"/>
        </w:rPr>
      </w:pPr>
    </w:p>
    <w:p w14:paraId="53AC4B78">
      <w:pPr>
        <w:pStyle w:val="11"/>
        <w:rPr>
          <w:rFonts w:ascii="宋体" w:hAnsi="宋体" w:cs="宋体"/>
          <w:b/>
          <w:color w:val="auto"/>
          <w:kern w:val="0"/>
          <w:sz w:val="24"/>
          <w:highlight w:val="none"/>
        </w:rPr>
      </w:pPr>
    </w:p>
    <w:p w14:paraId="5D6BEAEA">
      <w:pPr>
        <w:pStyle w:val="11"/>
        <w:rPr>
          <w:rFonts w:ascii="宋体" w:hAnsi="宋体" w:cs="宋体"/>
          <w:b/>
          <w:color w:val="auto"/>
          <w:kern w:val="0"/>
          <w:sz w:val="24"/>
          <w:highlight w:val="none"/>
        </w:rPr>
      </w:pPr>
    </w:p>
    <w:p w14:paraId="6E814930">
      <w:pPr>
        <w:pStyle w:val="11"/>
        <w:rPr>
          <w:rFonts w:ascii="宋体" w:hAnsi="宋体" w:cs="宋体"/>
          <w:b/>
          <w:color w:val="auto"/>
          <w:kern w:val="0"/>
          <w:sz w:val="24"/>
          <w:highlight w:val="none"/>
        </w:rPr>
      </w:pPr>
    </w:p>
    <w:p w14:paraId="0EFA8910">
      <w:pPr>
        <w:pStyle w:val="11"/>
        <w:rPr>
          <w:rFonts w:ascii="宋体" w:hAnsi="宋体" w:cs="宋体"/>
          <w:b/>
          <w:color w:val="auto"/>
          <w:kern w:val="0"/>
          <w:sz w:val="24"/>
          <w:highlight w:val="none"/>
        </w:rPr>
      </w:pPr>
    </w:p>
    <w:p w14:paraId="6BDDA54A">
      <w:pPr>
        <w:pStyle w:val="11"/>
        <w:rPr>
          <w:rFonts w:ascii="宋体" w:hAnsi="宋体" w:cs="宋体"/>
          <w:b/>
          <w:color w:val="auto"/>
          <w:kern w:val="0"/>
          <w:sz w:val="24"/>
          <w:highlight w:val="none"/>
        </w:rPr>
      </w:pPr>
    </w:p>
    <w:p w14:paraId="4B244F32">
      <w:pPr>
        <w:pStyle w:val="11"/>
        <w:rPr>
          <w:rFonts w:ascii="宋体" w:hAnsi="宋体" w:cs="宋体"/>
          <w:b/>
          <w:color w:val="auto"/>
          <w:kern w:val="0"/>
          <w:sz w:val="24"/>
          <w:highlight w:val="none"/>
        </w:rPr>
      </w:pPr>
    </w:p>
    <w:p w14:paraId="0EA693A3">
      <w:pPr>
        <w:pStyle w:val="11"/>
        <w:rPr>
          <w:rFonts w:ascii="宋体" w:hAnsi="宋体" w:cs="宋体"/>
          <w:b/>
          <w:color w:val="auto"/>
          <w:kern w:val="0"/>
          <w:sz w:val="24"/>
          <w:highlight w:val="none"/>
        </w:rPr>
      </w:pPr>
    </w:p>
    <w:p w14:paraId="47829966">
      <w:pPr>
        <w:pStyle w:val="11"/>
        <w:rPr>
          <w:rFonts w:ascii="宋体" w:hAnsi="宋体" w:cs="宋体"/>
          <w:b/>
          <w:color w:val="auto"/>
          <w:kern w:val="0"/>
          <w:sz w:val="24"/>
          <w:highlight w:val="none"/>
        </w:rPr>
      </w:pPr>
    </w:p>
    <w:p w14:paraId="00EFD058">
      <w:pPr>
        <w:pStyle w:val="11"/>
        <w:rPr>
          <w:rFonts w:ascii="宋体" w:hAnsi="宋体" w:cs="宋体"/>
          <w:b/>
          <w:color w:val="auto"/>
          <w:kern w:val="0"/>
          <w:sz w:val="24"/>
          <w:highlight w:val="none"/>
        </w:rPr>
      </w:pPr>
    </w:p>
    <w:p w14:paraId="51DA6513">
      <w:pPr>
        <w:pStyle w:val="11"/>
        <w:rPr>
          <w:rFonts w:ascii="宋体" w:hAnsi="宋体" w:cs="宋体"/>
          <w:b/>
          <w:color w:val="auto"/>
          <w:kern w:val="0"/>
          <w:sz w:val="24"/>
          <w:highlight w:val="none"/>
        </w:rPr>
      </w:pPr>
    </w:p>
    <w:p w14:paraId="4FC208B5">
      <w:pPr>
        <w:pStyle w:val="11"/>
        <w:rPr>
          <w:rFonts w:ascii="宋体" w:hAnsi="宋体" w:cs="宋体"/>
          <w:b/>
          <w:color w:val="auto"/>
          <w:kern w:val="0"/>
          <w:sz w:val="24"/>
          <w:highlight w:val="none"/>
        </w:rPr>
      </w:pPr>
    </w:p>
    <w:p w14:paraId="7D001BA5">
      <w:pPr>
        <w:pStyle w:val="11"/>
        <w:rPr>
          <w:rFonts w:ascii="宋体" w:hAnsi="宋体" w:cs="宋体"/>
          <w:b/>
          <w:color w:val="auto"/>
          <w:kern w:val="0"/>
          <w:sz w:val="24"/>
          <w:highlight w:val="none"/>
        </w:rPr>
      </w:pPr>
    </w:p>
    <w:p w14:paraId="6A5A8C3D">
      <w:pPr>
        <w:pStyle w:val="11"/>
        <w:rPr>
          <w:rFonts w:ascii="宋体" w:hAnsi="宋体" w:cs="宋体"/>
          <w:b/>
          <w:color w:val="auto"/>
          <w:kern w:val="0"/>
          <w:sz w:val="24"/>
          <w:highlight w:val="none"/>
        </w:rPr>
      </w:pPr>
    </w:p>
    <w:p w14:paraId="5AC720A2">
      <w:pPr>
        <w:pStyle w:val="11"/>
        <w:rPr>
          <w:rFonts w:ascii="宋体" w:hAnsi="宋体" w:cs="宋体"/>
          <w:b/>
          <w:color w:val="auto"/>
          <w:kern w:val="0"/>
          <w:sz w:val="24"/>
          <w:highlight w:val="none"/>
        </w:rPr>
      </w:pPr>
    </w:p>
    <w:p w14:paraId="0A3FB944">
      <w:pPr>
        <w:pStyle w:val="11"/>
        <w:rPr>
          <w:rFonts w:ascii="宋体" w:hAnsi="宋体" w:cs="宋体"/>
          <w:b/>
          <w:color w:val="auto"/>
          <w:kern w:val="0"/>
          <w:sz w:val="24"/>
          <w:highlight w:val="none"/>
        </w:rPr>
      </w:pPr>
    </w:p>
    <w:p w14:paraId="1CE888B6">
      <w:pPr>
        <w:pStyle w:val="11"/>
        <w:rPr>
          <w:rFonts w:ascii="宋体" w:hAnsi="宋体" w:cs="宋体"/>
          <w:b/>
          <w:color w:val="auto"/>
          <w:kern w:val="0"/>
          <w:sz w:val="24"/>
          <w:highlight w:val="none"/>
        </w:rPr>
      </w:pPr>
    </w:p>
    <w:p w14:paraId="31EDD548">
      <w:pPr>
        <w:pStyle w:val="11"/>
        <w:rPr>
          <w:rFonts w:ascii="宋体" w:hAnsi="宋体" w:cs="宋体"/>
          <w:b/>
          <w:color w:val="auto"/>
          <w:kern w:val="0"/>
          <w:sz w:val="24"/>
          <w:highlight w:val="none"/>
        </w:rPr>
      </w:pPr>
    </w:p>
    <w:p w14:paraId="11C00619">
      <w:pPr>
        <w:pStyle w:val="11"/>
        <w:rPr>
          <w:rFonts w:ascii="宋体" w:hAnsi="宋体" w:cs="宋体"/>
          <w:b/>
          <w:color w:val="auto"/>
          <w:kern w:val="0"/>
          <w:sz w:val="24"/>
          <w:highlight w:val="none"/>
        </w:rPr>
      </w:pPr>
    </w:p>
    <w:p w14:paraId="1B050B29">
      <w:pPr>
        <w:pStyle w:val="11"/>
        <w:rPr>
          <w:rFonts w:ascii="宋体" w:hAnsi="宋体" w:cs="宋体"/>
          <w:b/>
          <w:color w:val="auto"/>
          <w:kern w:val="0"/>
          <w:sz w:val="24"/>
          <w:highlight w:val="none"/>
        </w:rPr>
      </w:pPr>
    </w:p>
    <w:p w14:paraId="5B639DE6">
      <w:pPr>
        <w:pStyle w:val="11"/>
        <w:rPr>
          <w:rFonts w:ascii="宋体" w:hAnsi="宋体" w:cs="宋体"/>
          <w:b/>
          <w:color w:val="auto"/>
          <w:kern w:val="0"/>
          <w:sz w:val="24"/>
          <w:highlight w:val="none"/>
        </w:rPr>
      </w:pPr>
    </w:p>
    <w:p w14:paraId="605D4380">
      <w:pPr>
        <w:pStyle w:val="11"/>
        <w:rPr>
          <w:rFonts w:ascii="宋体" w:hAnsi="宋体" w:cs="宋体"/>
          <w:b/>
          <w:color w:val="auto"/>
          <w:kern w:val="0"/>
          <w:sz w:val="24"/>
          <w:highlight w:val="none"/>
        </w:rPr>
      </w:pPr>
    </w:p>
    <w:p w14:paraId="152421E3">
      <w:pPr>
        <w:pStyle w:val="11"/>
        <w:rPr>
          <w:rFonts w:ascii="宋体" w:hAnsi="宋体" w:cs="宋体"/>
          <w:b/>
          <w:color w:val="auto"/>
          <w:kern w:val="0"/>
          <w:sz w:val="24"/>
          <w:highlight w:val="none"/>
        </w:rPr>
      </w:pPr>
    </w:p>
    <w:p w14:paraId="186EC4DD">
      <w:pPr>
        <w:pStyle w:val="11"/>
        <w:rPr>
          <w:rFonts w:ascii="宋体" w:hAnsi="宋体" w:cs="宋体"/>
          <w:b/>
          <w:color w:val="auto"/>
          <w:kern w:val="0"/>
          <w:sz w:val="24"/>
          <w:highlight w:val="none"/>
        </w:rPr>
      </w:pPr>
    </w:p>
    <w:p w14:paraId="57353D4D">
      <w:pPr>
        <w:pStyle w:val="11"/>
        <w:rPr>
          <w:rFonts w:ascii="宋体" w:hAnsi="宋体" w:cs="宋体"/>
          <w:b/>
          <w:color w:val="auto"/>
          <w:kern w:val="0"/>
          <w:sz w:val="24"/>
          <w:highlight w:val="none"/>
        </w:rPr>
      </w:pPr>
    </w:p>
    <w:p w14:paraId="67979A5F">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22ACD8C3">
      <w:pPr>
        <w:pStyle w:val="18"/>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、近三年同类项目案例及相关证明资料</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579"/>
        <w:gridCol w:w="2102"/>
        <w:gridCol w:w="1448"/>
        <w:gridCol w:w="1630"/>
        <w:gridCol w:w="849"/>
      </w:tblGrid>
      <w:tr w14:paraId="579E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tcPr>
          <w:p w14:paraId="48D1308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使用单位</w:t>
            </w:r>
          </w:p>
        </w:tc>
        <w:tc>
          <w:tcPr>
            <w:tcW w:w="850" w:type="pct"/>
          </w:tcPr>
          <w:p w14:paraId="494C93E6">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1" w:type="pct"/>
          </w:tcPr>
          <w:p w14:paraId="0751148C">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779" w:type="pct"/>
          </w:tcPr>
          <w:p w14:paraId="5B8D06D4">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877" w:type="pct"/>
          </w:tcPr>
          <w:p w14:paraId="13529C3D">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57" w:type="pct"/>
          </w:tcPr>
          <w:p w14:paraId="069FF54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044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tcPr>
          <w:p w14:paraId="5F084704">
            <w:pPr>
              <w:spacing w:line="480" w:lineRule="exact"/>
              <w:rPr>
                <w:rFonts w:hint="eastAsia" w:ascii="宋体" w:hAnsi="宋体" w:eastAsia="宋体" w:cs="宋体"/>
                <w:color w:val="auto"/>
                <w:sz w:val="24"/>
                <w:highlight w:val="none"/>
              </w:rPr>
            </w:pPr>
          </w:p>
        </w:tc>
        <w:tc>
          <w:tcPr>
            <w:tcW w:w="850" w:type="pct"/>
          </w:tcPr>
          <w:p w14:paraId="10EFC250">
            <w:pPr>
              <w:spacing w:line="480" w:lineRule="exact"/>
              <w:rPr>
                <w:rFonts w:hint="eastAsia" w:ascii="宋体" w:hAnsi="宋体" w:eastAsia="宋体" w:cs="宋体"/>
                <w:color w:val="auto"/>
                <w:sz w:val="24"/>
                <w:highlight w:val="none"/>
              </w:rPr>
            </w:pPr>
          </w:p>
        </w:tc>
        <w:tc>
          <w:tcPr>
            <w:tcW w:w="1131" w:type="pct"/>
          </w:tcPr>
          <w:p w14:paraId="47E83FEC">
            <w:pPr>
              <w:spacing w:line="480" w:lineRule="exact"/>
              <w:rPr>
                <w:rFonts w:hint="eastAsia" w:ascii="宋体" w:hAnsi="宋体" w:eastAsia="宋体" w:cs="宋体"/>
                <w:color w:val="auto"/>
                <w:sz w:val="24"/>
                <w:highlight w:val="none"/>
              </w:rPr>
            </w:pPr>
          </w:p>
        </w:tc>
        <w:tc>
          <w:tcPr>
            <w:tcW w:w="779" w:type="pct"/>
          </w:tcPr>
          <w:p w14:paraId="0D6E368A">
            <w:pPr>
              <w:spacing w:line="480" w:lineRule="exact"/>
              <w:rPr>
                <w:rFonts w:hint="eastAsia" w:ascii="宋体" w:hAnsi="宋体" w:eastAsia="宋体" w:cs="宋体"/>
                <w:color w:val="auto"/>
                <w:sz w:val="24"/>
                <w:highlight w:val="none"/>
              </w:rPr>
            </w:pPr>
          </w:p>
        </w:tc>
        <w:tc>
          <w:tcPr>
            <w:tcW w:w="877" w:type="pct"/>
          </w:tcPr>
          <w:p w14:paraId="0001B07F">
            <w:pPr>
              <w:spacing w:line="480" w:lineRule="exact"/>
              <w:rPr>
                <w:rFonts w:hint="eastAsia" w:ascii="宋体" w:hAnsi="宋体" w:eastAsia="宋体" w:cs="宋体"/>
                <w:color w:val="auto"/>
                <w:sz w:val="24"/>
                <w:highlight w:val="none"/>
              </w:rPr>
            </w:pPr>
          </w:p>
        </w:tc>
        <w:tc>
          <w:tcPr>
            <w:tcW w:w="457" w:type="pct"/>
          </w:tcPr>
          <w:p w14:paraId="493C7145">
            <w:pPr>
              <w:spacing w:line="480" w:lineRule="exact"/>
              <w:rPr>
                <w:rFonts w:hint="eastAsia" w:ascii="宋体" w:hAnsi="宋体" w:eastAsia="宋体" w:cs="宋体"/>
                <w:color w:val="auto"/>
                <w:sz w:val="24"/>
                <w:highlight w:val="none"/>
              </w:rPr>
            </w:pPr>
          </w:p>
        </w:tc>
      </w:tr>
      <w:tr w14:paraId="5D70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tcPr>
          <w:p w14:paraId="237101EF">
            <w:pPr>
              <w:spacing w:line="480" w:lineRule="exact"/>
              <w:rPr>
                <w:rFonts w:hint="eastAsia" w:ascii="宋体" w:hAnsi="宋体" w:eastAsia="宋体" w:cs="宋体"/>
                <w:color w:val="auto"/>
                <w:sz w:val="24"/>
                <w:highlight w:val="none"/>
              </w:rPr>
            </w:pPr>
          </w:p>
        </w:tc>
        <w:tc>
          <w:tcPr>
            <w:tcW w:w="850" w:type="pct"/>
          </w:tcPr>
          <w:p w14:paraId="02206A8F">
            <w:pPr>
              <w:spacing w:line="480" w:lineRule="exact"/>
              <w:rPr>
                <w:rFonts w:hint="eastAsia" w:ascii="宋体" w:hAnsi="宋体" w:eastAsia="宋体" w:cs="宋体"/>
                <w:color w:val="auto"/>
                <w:sz w:val="24"/>
                <w:highlight w:val="none"/>
              </w:rPr>
            </w:pPr>
          </w:p>
        </w:tc>
        <w:tc>
          <w:tcPr>
            <w:tcW w:w="1131" w:type="pct"/>
          </w:tcPr>
          <w:p w14:paraId="2DB0DA04">
            <w:pPr>
              <w:spacing w:line="480" w:lineRule="exact"/>
              <w:rPr>
                <w:rFonts w:hint="eastAsia" w:ascii="宋体" w:hAnsi="宋体" w:eastAsia="宋体" w:cs="宋体"/>
                <w:color w:val="auto"/>
                <w:sz w:val="24"/>
                <w:highlight w:val="none"/>
              </w:rPr>
            </w:pPr>
          </w:p>
        </w:tc>
        <w:tc>
          <w:tcPr>
            <w:tcW w:w="779" w:type="pct"/>
          </w:tcPr>
          <w:p w14:paraId="5EB06FDB">
            <w:pPr>
              <w:spacing w:line="480" w:lineRule="exact"/>
              <w:rPr>
                <w:rFonts w:hint="eastAsia" w:ascii="宋体" w:hAnsi="宋体" w:eastAsia="宋体" w:cs="宋体"/>
                <w:color w:val="auto"/>
                <w:sz w:val="24"/>
                <w:highlight w:val="none"/>
              </w:rPr>
            </w:pPr>
          </w:p>
        </w:tc>
        <w:tc>
          <w:tcPr>
            <w:tcW w:w="877" w:type="pct"/>
          </w:tcPr>
          <w:p w14:paraId="0E29A800">
            <w:pPr>
              <w:spacing w:line="480" w:lineRule="exact"/>
              <w:rPr>
                <w:rFonts w:hint="eastAsia" w:ascii="宋体" w:hAnsi="宋体" w:eastAsia="宋体" w:cs="宋体"/>
                <w:color w:val="auto"/>
                <w:sz w:val="24"/>
                <w:highlight w:val="none"/>
              </w:rPr>
            </w:pPr>
          </w:p>
        </w:tc>
        <w:tc>
          <w:tcPr>
            <w:tcW w:w="457" w:type="pct"/>
          </w:tcPr>
          <w:p w14:paraId="49C6A891">
            <w:pPr>
              <w:spacing w:line="480" w:lineRule="exact"/>
              <w:rPr>
                <w:rFonts w:hint="eastAsia" w:ascii="宋体" w:hAnsi="宋体" w:eastAsia="宋体" w:cs="宋体"/>
                <w:color w:val="auto"/>
                <w:sz w:val="24"/>
                <w:highlight w:val="none"/>
              </w:rPr>
            </w:pPr>
          </w:p>
        </w:tc>
      </w:tr>
      <w:tr w14:paraId="336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2" w:type="pct"/>
          </w:tcPr>
          <w:p w14:paraId="60175DFA">
            <w:pPr>
              <w:spacing w:line="480" w:lineRule="exact"/>
              <w:rPr>
                <w:rFonts w:hint="eastAsia" w:ascii="宋体" w:hAnsi="宋体" w:eastAsia="宋体" w:cs="宋体"/>
                <w:color w:val="auto"/>
                <w:sz w:val="24"/>
                <w:highlight w:val="none"/>
              </w:rPr>
            </w:pPr>
          </w:p>
        </w:tc>
        <w:tc>
          <w:tcPr>
            <w:tcW w:w="850" w:type="pct"/>
          </w:tcPr>
          <w:p w14:paraId="7667E487">
            <w:pPr>
              <w:spacing w:line="480" w:lineRule="exact"/>
              <w:rPr>
                <w:rFonts w:hint="eastAsia" w:ascii="宋体" w:hAnsi="宋体" w:eastAsia="宋体" w:cs="宋体"/>
                <w:color w:val="auto"/>
                <w:sz w:val="24"/>
                <w:highlight w:val="none"/>
              </w:rPr>
            </w:pPr>
          </w:p>
        </w:tc>
        <w:tc>
          <w:tcPr>
            <w:tcW w:w="1131" w:type="pct"/>
          </w:tcPr>
          <w:p w14:paraId="511EA08A">
            <w:pPr>
              <w:spacing w:line="480" w:lineRule="exact"/>
              <w:rPr>
                <w:rFonts w:hint="eastAsia" w:ascii="宋体" w:hAnsi="宋体" w:eastAsia="宋体" w:cs="宋体"/>
                <w:color w:val="auto"/>
                <w:sz w:val="24"/>
                <w:highlight w:val="none"/>
              </w:rPr>
            </w:pPr>
          </w:p>
        </w:tc>
        <w:tc>
          <w:tcPr>
            <w:tcW w:w="779" w:type="pct"/>
          </w:tcPr>
          <w:p w14:paraId="6F23556D">
            <w:pPr>
              <w:spacing w:line="480" w:lineRule="exact"/>
              <w:rPr>
                <w:rFonts w:hint="eastAsia" w:ascii="宋体" w:hAnsi="宋体" w:eastAsia="宋体" w:cs="宋体"/>
                <w:color w:val="auto"/>
                <w:sz w:val="24"/>
                <w:highlight w:val="none"/>
              </w:rPr>
            </w:pPr>
          </w:p>
        </w:tc>
        <w:tc>
          <w:tcPr>
            <w:tcW w:w="877" w:type="pct"/>
          </w:tcPr>
          <w:p w14:paraId="4767E7A6">
            <w:pPr>
              <w:spacing w:line="480" w:lineRule="exact"/>
              <w:rPr>
                <w:rFonts w:hint="eastAsia" w:ascii="宋体" w:hAnsi="宋体" w:eastAsia="宋体" w:cs="宋体"/>
                <w:color w:val="auto"/>
                <w:sz w:val="24"/>
                <w:highlight w:val="none"/>
              </w:rPr>
            </w:pPr>
          </w:p>
        </w:tc>
        <w:tc>
          <w:tcPr>
            <w:tcW w:w="457" w:type="pct"/>
          </w:tcPr>
          <w:p w14:paraId="2E4009B8">
            <w:pPr>
              <w:spacing w:line="480" w:lineRule="exact"/>
              <w:rPr>
                <w:rFonts w:hint="eastAsia" w:ascii="宋体" w:hAnsi="宋体" w:eastAsia="宋体" w:cs="宋体"/>
                <w:color w:val="auto"/>
                <w:sz w:val="24"/>
                <w:highlight w:val="none"/>
              </w:rPr>
            </w:pPr>
          </w:p>
        </w:tc>
      </w:tr>
      <w:tr w14:paraId="1155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2" w:type="pct"/>
          </w:tcPr>
          <w:p w14:paraId="00E70FD2">
            <w:pPr>
              <w:spacing w:line="480" w:lineRule="exact"/>
              <w:rPr>
                <w:rFonts w:hint="eastAsia" w:ascii="宋体" w:hAnsi="宋体" w:eastAsia="宋体" w:cs="宋体"/>
                <w:color w:val="auto"/>
                <w:sz w:val="24"/>
                <w:highlight w:val="none"/>
              </w:rPr>
            </w:pPr>
          </w:p>
        </w:tc>
        <w:tc>
          <w:tcPr>
            <w:tcW w:w="850" w:type="pct"/>
          </w:tcPr>
          <w:p w14:paraId="711AD8E2">
            <w:pPr>
              <w:spacing w:line="480" w:lineRule="exact"/>
              <w:rPr>
                <w:rFonts w:hint="eastAsia" w:ascii="宋体" w:hAnsi="宋体" w:eastAsia="宋体" w:cs="宋体"/>
                <w:color w:val="auto"/>
                <w:sz w:val="24"/>
                <w:highlight w:val="none"/>
              </w:rPr>
            </w:pPr>
          </w:p>
        </w:tc>
        <w:tc>
          <w:tcPr>
            <w:tcW w:w="1131" w:type="pct"/>
          </w:tcPr>
          <w:p w14:paraId="0D74F82E">
            <w:pPr>
              <w:spacing w:line="480" w:lineRule="exact"/>
              <w:rPr>
                <w:rFonts w:hint="eastAsia" w:ascii="宋体" w:hAnsi="宋体" w:eastAsia="宋体" w:cs="宋体"/>
                <w:color w:val="auto"/>
                <w:sz w:val="24"/>
                <w:highlight w:val="none"/>
              </w:rPr>
            </w:pPr>
          </w:p>
        </w:tc>
        <w:tc>
          <w:tcPr>
            <w:tcW w:w="779" w:type="pct"/>
          </w:tcPr>
          <w:p w14:paraId="552054E0">
            <w:pPr>
              <w:spacing w:line="480" w:lineRule="exact"/>
              <w:rPr>
                <w:rFonts w:hint="eastAsia" w:ascii="宋体" w:hAnsi="宋体" w:eastAsia="宋体" w:cs="宋体"/>
                <w:color w:val="auto"/>
                <w:sz w:val="24"/>
                <w:highlight w:val="none"/>
              </w:rPr>
            </w:pPr>
          </w:p>
        </w:tc>
        <w:tc>
          <w:tcPr>
            <w:tcW w:w="877" w:type="pct"/>
          </w:tcPr>
          <w:p w14:paraId="64262139">
            <w:pPr>
              <w:spacing w:line="480" w:lineRule="exact"/>
              <w:rPr>
                <w:rFonts w:hint="eastAsia" w:ascii="宋体" w:hAnsi="宋体" w:eastAsia="宋体" w:cs="宋体"/>
                <w:color w:val="auto"/>
                <w:sz w:val="24"/>
                <w:highlight w:val="none"/>
              </w:rPr>
            </w:pPr>
          </w:p>
        </w:tc>
        <w:tc>
          <w:tcPr>
            <w:tcW w:w="457" w:type="pct"/>
          </w:tcPr>
          <w:p w14:paraId="049DEE2C">
            <w:pPr>
              <w:spacing w:line="480" w:lineRule="exact"/>
              <w:rPr>
                <w:rFonts w:hint="eastAsia" w:ascii="宋体" w:hAnsi="宋体" w:eastAsia="宋体" w:cs="宋体"/>
                <w:color w:val="auto"/>
                <w:sz w:val="24"/>
                <w:highlight w:val="none"/>
              </w:rPr>
            </w:pPr>
          </w:p>
        </w:tc>
      </w:tr>
      <w:tr w14:paraId="1CE5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2" w:type="pct"/>
          </w:tcPr>
          <w:p w14:paraId="27C5BE63">
            <w:pPr>
              <w:spacing w:line="480" w:lineRule="exact"/>
              <w:rPr>
                <w:rFonts w:hint="eastAsia" w:ascii="宋体" w:hAnsi="宋体" w:eastAsia="宋体" w:cs="宋体"/>
                <w:color w:val="auto"/>
                <w:sz w:val="24"/>
                <w:highlight w:val="none"/>
              </w:rPr>
            </w:pPr>
          </w:p>
        </w:tc>
        <w:tc>
          <w:tcPr>
            <w:tcW w:w="850" w:type="pct"/>
          </w:tcPr>
          <w:p w14:paraId="5264AD4A">
            <w:pPr>
              <w:spacing w:line="480" w:lineRule="exact"/>
              <w:rPr>
                <w:rFonts w:hint="eastAsia" w:ascii="宋体" w:hAnsi="宋体" w:eastAsia="宋体" w:cs="宋体"/>
                <w:color w:val="auto"/>
                <w:sz w:val="24"/>
                <w:highlight w:val="none"/>
              </w:rPr>
            </w:pPr>
          </w:p>
        </w:tc>
        <w:tc>
          <w:tcPr>
            <w:tcW w:w="1131" w:type="pct"/>
          </w:tcPr>
          <w:p w14:paraId="6C8D000F">
            <w:pPr>
              <w:spacing w:line="480" w:lineRule="exact"/>
              <w:rPr>
                <w:rFonts w:hint="eastAsia" w:ascii="宋体" w:hAnsi="宋体" w:eastAsia="宋体" w:cs="宋体"/>
                <w:color w:val="auto"/>
                <w:sz w:val="24"/>
                <w:highlight w:val="none"/>
              </w:rPr>
            </w:pPr>
          </w:p>
        </w:tc>
        <w:tc>
          <w:tcPr>
            <w:tcW w:w="779" w:type="pct"/>
          </w:tcPr>
          <w:p w14:paraId="1A3E2C8D">
            <w:pPr>
              <w:spacing w:line="480" w:lineRule="exact"/>
              <w:rPr>
                <w:rFonts w:hint="eastAsia" w:ascii="宋体" w:hAnsi="宋体" w:eastAsia="宋体" w:cs="宋体"/>
                <w:color w:val="auto"/>
                <w:sz w:val="24"/>
                <w:highlight w:val="none"/>
              </w:rPr>
            </w:pPr>
          </w:p>
        </w:tc>
        <w:tc>
          <w:tcPr>
            <w:tcW w:w="877" w:type="pct"/>
          </w:tcPr>
          <w:p w14:paraId="0D703D1A">
            <w:pPr>
              <w:spacing w:line="480" w:lineRule="exact"/>
              <w:rPr>
                <w:rFonts w:hint="eastAsia" w:ascii="宋体" w:hAnsi="宋体" w:eastAsia="宋体" w:cs="宋体"/>
                <w:color w:val="auto"/>
                <w:sz w:val="24"/>
                <w:highlight w:val="none"/>
              </w:rPr>
            </w:pPr>
          </w:p>
        </w:tc>
        <w:tc>
          <w:tcPr>
            <w:tcW w:w="457" w:type="pct"/>
          </w:tcPr>
          <w:p w14:paraId="382B85A3">
            <w:pPr>
              <w:spacing w:line="480" w:lineRule="exact"/>
              <w:rPr>
                <w:rFonts w:hint="eastAsia" w:ascii="宋体" w:hAnsi="宋体" w:eastAsia="宋体" w:cs="宋体"/>
                <w:color w:val="auto"/>
                <w:sz w:val="24"/>
                <w:highlight w:val="none"/>
              </w:rPr>
            </w:pPr>
          </w:p>
        </w:tc>
      </w:tr>
      <w:tr w14:paraId="3093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02" w:type="pct"/>
          </w:tcPr>
          <w:p w14:paraId="24F7764D">
            <w:pPr>
              <w:spacing w:line="480" w:lineRule="exact"/>
              <w:rPr>
                <w:rFonts w:hint="eastAsia" w:ascii="宋体" w:hAnsi="宋体" w:eastAsia="宋体" w:cs="宋体"/>
                <w:color w:val="auto"/>
                <w:sz w:val="24"/>
                <w:highlight w:val="none"/>
              </w:rPr>
            </w:pPr>
          </w:p>
        </w:tc>
        <w:tc>
          <w:tcPr>
            <w:tcW w:w="850" w:type="pct"/>
          </w:tcPr>
          <w:p w14:paraId="6C6358C1">
            <w:pPr>
              <w:spacing w:line="480" w:lineRule="exact"/>
              <w:rPr>
                <w:rFonts w:hint="eastAsia" w:ascii="宋体" w:hAnsi="宋体" w:eastAsia="宋体" w:cs="宋体"/>
                <w:color w:val="auto"/>
                <w:sz w:val="24"/>
                <w:highlight w:val="none"/>
              </w:rPr>
            </w:pPr>
          </w:p>
        </w:tc>
        <w:tc>
          <w:tcPr>
            <w:tcW w:w="1131" w:type="pct"/>
          </w:tcPr>
          <w:p w14:paraId="70288FD2">
            <w:pPr>
              <w:spacing w:line="480" w:lineRule="exact"/>
              <w:rPr>
                <w:rFonts w:hint="eastAsia" w:ascii="宋体" w:hAnsi="宋体" w:eastAsia="宋体" w:cs="宋体"/>
                <w:color w:val="auto"/>
                <w:sz w:val="24"/>
                <w:highlight w:val="none"/>
              </w:rPr>
            </w:pPr>
          </w:p>
        </w:tc>
        <w:tc>
          <w:tcPr>
            <w:tcW w:w="779" w:type="pct"/>
          </w:tcPr>
          <w:p w14:paraId="6E11D4B5">
            <w:pPr>
              <w:spacing w:line="480" w:lineRule="exact"/>
              <w:rPr>
                <w:rFonts w:hint="eastAsia" w:ascii="宋体" w:hAnsi="宋体" w:eastAsia="宋体" w:cs="宋体"/>
                <w:color w:val="auto"/>
                <w:sz w:val="24"/>
                <w:highlight w:val="none"/>
              </w:rPr>
            </w:pPr>
          </w:p>
        </w:tc>
        <w:tc>
          <w:tcPr>
            <w:tcW w:w="877" w:type="pct"/>
          </w:tcPr>
          <w:p w14:paraId="52738559">
            <w:pPr>
              <w:spacing w:line="480" w:lineRule="exact"/>
              <w:rPr>
                <w:rFonts w:hint="eastAsia" w:ascii="宋体" w:hAnsi="宋体" w:eastAsia="宋体" w:cs="宋体"/>
                <w:color w:val="auto"/>
                <w:sz w:val="24"/>
                <w:highlight w:val="none"/>
              </w:rPr>
            </w:pPr>
          </w:p>
        </w:tc>
        <w:tc>
          <w:tcPr>
            <w:tcW w:w="457" w:type="pct"/>
          </w:tcPr>
          <w:p w14:paraId="7467128A">
            <w:pPr>
              <w:spacing w:line="480" w:lineRule="exact"/>
              <w:rPr>
                <w:rFonts w:hint="eastAsia" w:ascii="宋体" w:hAnsi="宋体" w:eastAsia="宋体" w:cs="宋体"/>
                <w:color w:val="auto"/>
                <w:sz w:val="24"/>
                <w:highlight w:val="none"/>
              </w:rPr>
            </w:pPr>
          </w:p>
        </w:tc>
      </w:tr>
    </w:tbl>
    <w:p w14:paraId="0892CB40">
      <w:pPr>
        <w:pStyle w:val="1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备注： </w:t>
      </w:r>
    </w:p>
    <w:p w14:paraId="1F659D16">
      <w:pPr>
        <w:pStyle w:val="18"/>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供应商应将案例的证明材料按顺序附后。合同扫描件或影印件应提供最终用户签订的合同首页、合同金额所在页、签字盖章页。</w:t>
      </w:r>
    </w:p>
    <w:p w14:paraId="7DA522E0">
      <w:pPr>
        <w:pStyle w:val="18"/>
        <w:rPr>
          <w:rFonts w:hint="eastAsia" w:ascii="宋体" w:hAnsi="宋体" w:eastAsia="宋体" w:cs="宋体"/>
          <w:b/>
          <w:color w:val="auto"/>
          <w:sz w:val="24"/>
          <w:highlight w:val="none"/>
        </w:rPr>
      </w:pPr>
    </w:p>
    <w:p w14:paraId="104A45B9">
      <w:pPr>
        <w:pStyle w:val="18"/>
        <w:rPr>
          <w:rFonts w:hint="eastAsia" w:ascii="宋体" w:hAnsi="宋体" w:eastAsia="宋体" w:cs="宋体"/>
          <w:b/>
          <w:color w:val="auto"/>
          <w:sz w:val="24"/>
          <w:highlight w:val="none"/>
        </w:rPr>
      </w:pPr>
    </w:p>
    <w:p w14:paraId="58BB561D">
      <w:pPr>
        <w:pStyle w:val="18"/>
        <w:rPr>
          <w:rFonts w:hint="eastAsia" w:ascii="宋体" w:hAnsi="宋体" w:eastAsia="宋体" w:cs="宋体"/>
          <w:b/>
          <w:color w:val="auto"/>
          <w:sz w:val="24"/>
          <w:highlight w:val="none"/>
        </w:rPr>
      </w:pPr>
    </w:p>
    <w:p w14:paraId="1015CD62">
      <w:pPr>
        <w:rPr>
          <w:rFonts w:hint="eastAsia" w:ascii="宋体" w:hAnsi="宋体" w:eastAsia="宋体" w:cs="宋体"/>
          <w:b/>
          <w:color w:val="auto"/>
          <w:sz w:val="24"/>
          <w:highlight w:val="none"/>
        </w:rPr>
      </w:pPr>
    </w:p>
    <w:p w14:paraId="65D329F7">
      <w:pPr>
        <w:pStyle w:val="10"/>
        <w:rPr>
          <w:rFonts w:hint="eastAsia" w:ascii="宋体" w:hAnsi="宋体" w:eastAsia="宋体" w:cs="宋体"/>
          <w:b/>
          <w:color w:val="auto"/>
          <w:sz w:val="24"/>
          <w:highlight w:val="none"/>
        </w:rPr>
      </w:pPr>
    </w:p>
    <w:p w14:paraId="58E7FEB4">
      <w:pPr>
        <w:pStyle w:val="11"/>
        <w:rPr>
          <w:rFonts w:hint="eastAsia" w:ascii="宋体" w:hAnsi="宋体" w:eastAsia="宋体" w:cs="宋体"/>
          <w:b/>
          <w:color w:val="auto"/>
          <w:sz w:val="24"/>
          <w:highlight w:val="none"/>
        </w:rPr>
      </w:pPr>
    </w:p>
    <w:p w14:paraId="1C44D5B4">
      <w:pPr>
        <w:pStyle w:val="11"/>
        <w:rPr>
          <w:rFonts w:hint="eastAsia" w:ascii="宋体" w:hAnsi="宋体" w:eastAsia="宋体" w:cs="宋体"/>
          <w:b/>
          <w:color w:val="auto"/>
          <w:sz w:val="24"/>
          <w:highlight w:val="none"/>
        </w:rPr>
      </w:pPr>
    </w:p>
    <w:p w14:paraId="114E84FF">
      <w:pPr>
        <w:pStyle w:val="11"/>
        <w:rPr>
          <w:rFonts w:hint="eastAsia" w:ascii="宋体" w:hAnsi="宋体" w:eastAsia="宋体" w:cs="宋体"/>
          <w:b/>
          <w:color w:val="auto"/>
          <w:sz w:val="24"/>
          <w:highlight w:val="none"/>
        </w:rPr>
      </w:pPr>
    </w:p>
    <w:p w14:paraId="3E8D4B7E">
      <w:pPr>
        <w:pStyle w:val="11"/>
        <w:rPr>
          <w:rFonts w:hint="eastAsia" w:ascii="宋体" w:hAnsi="宋体" w:eastAsia="宋体" w:cs="宋体"/>
          <w:b/>
          <w:color w:val="auto"/>
          <w:sz w:val="24"/>
          <w:highlight w:val="none"/>
        </w:rPr>
      </w:pPr>
    </w:p>
    <w:p w14:paraId="7D3DDF88">
      <w:pPr>
        <w:pStyle w:val="11"/>
        <w:rPr>
          <w:rFonts w:hint="eastAsia" w:ascii="宋体" w:hAnsi="宋体" w:eastAsia="宋体" w:cs="宋体"/>
          <w:b/>
          <w:color w:val="auto"/>
          <w:sz w:val="24"/>
          <w:highlight w:val="none"/>
        </w:rPr>
      </w:pPr>
    </w:p>
    <w:p w14:paraId="77094519">
      <w:pPr>
        <w:pStyle w:val="11"/>
        <w:rPr>
          <w:rFonts w:hint="eastAsia" w:ascii="宋体" w:hAnsi="宋体" w:eastAsia="宋体" w:cs="宋体"/>
          <w:b/>
          <w:color w:val="auto"/>
          <w:sz w:val="24"/>
          <w:highlight w:val="none"/>
        </w:rPr>
      </w:pPr>
    </w:p>
    <w:p w14:paraId="0269EEBD">
      <w:pPr>
        <w:pStyle w:val="11"/>
        <w:rPr>
          <w:rFonts w:hint="eastAsia" w:ascii="宋体" w:hAnsi="宋体" w:eastAsia="宋体" w:cs="宋体"/>
          <w:b/>
          <w:color w:val="auto"/>
          <w:sz w:val="24"/>
          <w:highlight w:val="none"/>
        </w:rPr>
      </w:pPr>
    </w:p>
    <w:p w14:paraId="033C9749">
      <w:pPr>
        <w:pStyle w:val="11"/>
        <w:rPr>
          <w:rFonts w:hint="eastAsia" w:ascii="宋体" w:hAnsi="宋体" w:eastAsia="宋体" w:cs="宋体"/>
          <w:b/>
          <w:color w:val="auto"/>
          <w:sz w:val="24"/>
          <w:highlight w:val="none"/>
        </w:rPr>
      </w:pPr>
    </w:p>
    <w:p w14:paraId="1CE7D1A3">
      <w:pPr>
        <w:pStyle w:val="11"/>
        <w:rPr>
          <w:rFonts w:hint="eastAsia" w:ascii="宋体" w:hAnsi="宋体" w:eastAsia="宋体" w:cs="宋体"/>
          <w:b/>
          <w:color w:val="auto"/>
          <w:sz w:val="24"/>
          <w:highlight w:val="none"/>
        </w:rPr>
      </w:pPr>
    </w:p>
    <w:p w14:paraId="7D81EEE2">
      <w:pPr>
        <w:pStyle w:val="11"/>
        <w:rPr>
          <w:rFonts w:hint="eastAsia" w:ascii="宋体" w:hAnsi="宋体" w:eastAsia="宋体" w:cs="宋体"/>
          <w:b/>
          <w:color w:val="auto"/>
          <w:sz w:val="24"/>
          <w:highlight w:val="none"/>
        </w:rPr>
      </w:pPr>
    </w:p>
    <w:p w14:paraId="5CE4F7BE">
      <w:pPr>
        <w:pStyle w:val="11"/>
        <w:rPr>
          <w:rFonts w:hint="eastAsia" w:ascii="宋体" w:hAnsi="宋体" w:eastAsia="宋体" w:cs="宋体"/>
          <w:b/>
          <w:color w:val="auto"/>
          <w:sz w:val="24"/>
          <w:highlight w:val="none"/>
        </w:rPr>
      </w:pPr>
    </w:p>
    <w:p w14:paraId="6486199F">
      <w:pPr>
        <w:pStyle w:val="11"/>
        <w:rPr>
          <w:rFonts w:hint="eastAsia" w:ascii="宋体" w:hAnsi="宋体" w:eastAsia="宋体" w:cs="宋体"/>
          <w:b/>
          <w:color w:val="auto"/>
          <w:sz w:val="24"/>
          <w:highlight w:val="none"/>
        </w:rPr>
      </w:pPr>
    </w:p>
    <w:p w14:paraId="25DC635A">
      <w:pPr>
        <w:pStyle w:val="11"/>
        <w:rPr>
          <w:rFonts w:hint="eastAsia" w:ascii="宋体" w:hAnsi="宋体" w:eastAsia="宋体" w:cs="宋体"/>
          <w:b/>
          <w:color w:val="auto"/>
          <w:sz w:val="24"/>
          <w:highlight w:val="none"/>
        </w:rPr>
      </w:pPr>
    </w:p>
    <w:p w14:paraId="63E395D5">
      <w:pPr>
        <w:pStyle w:val="11"/>
        <w:rPr>
          <w:rFonts w:hint="eastAsia" w:ascii="宋体" w:hAnsi="宋体" w:eastAsia="宋体" w:cs="宋体"/>
          <w:b/>
          <w:color w:val="auto"/>
          <w:sz w:val="24"/>
          <w:highlight w:val="none"/>
        </w:rPr>
      </w:pPr>
    </w:p>
    <w:p w14:paraId="5021D276">
      <w:pPr>
        <w:pStyle w:val="11"/>
        <w:rPr>
          <w:rFonts w:hint="eastAsia" w:ascii="宋体" w:hAnsi="宋体" w:eastAsia="宋体" w:cs="宋体"/>
          <w:b/>
          <w:color w:val="auto"/>
          <w:sz w:val="24"/>
          <w:highlight w:val="none"/>
        </w:rPr>
      </w:pPr>
    </w:p>
    <w:p w14:paraId="01991895">
      <w:pPr>
        <w:pStyle w:val="11"/>
        <w:rPr>
          <w:rFonts w:hint="eastAsia" w:ascii="宋体" w:hAnsi="宋体" w:eastAsia="宋体" w:cs="宋体"/>
          <w:b/>
          <w:color w:val="auto"/>
          <w:sz w:val="24"/>
          <w:highlight w:val="none"/>
        </w:rPr>
      </w:pPr>
    </w:p>
    <w:p w14:paraId="51D58504">
      <w:pPr>
        <w:pStyle w:val="11"/>
        <w:rPr>
          <w:rFonts w:hint="eastAsia" w:ascii="宋体" w:hAnsi="宋体" w:eastAsia="宋体" w:cs="宋体"/>
          <w:b/>
          <w:color w:val="auto"/>
          <w:sz w:val="24"/>
          <w:highlight w:val="none"/>
        </w:rPr>
      </w:pPr>
    </w:p>
    <w:p w14:paraId="682065CB">
      <w:pPr>
        <w:pStyle w:val="11"/>
        <w:rPr>
          <w:rFonts w:hint="eastAsia" w:ascii="宋体" w:hAnsi="宋体" w:eastAsia="宋体" w:cs="宋体"/>
          <w:b/>
          <w:color w:val="auto"/>
          <w:sz w:val="24"/>
          <w:highlight w:val="none"/>
        </w:rPr>
      </w:pPr>
    </w:p>
    <w:p w14:paraId="3415875B">
      <w:pPr>
        <w:pStyle w:val="11"/>
        <w:rPr>
          <w:rFonts w:hint="eastAsia" w:ascii="宋体" w:hAnsi="宋体" w:eastAsia="宋体" w:cs="宋体"/>
          <w:b/>
          <w:color w:val="auto"/>
          <w:sz w:val="24"/>
          <w:highlight w:val="none"/>
        </w:rPr>
      </w:pPr>
    </w:p>
    <w:p w14:paraId="7CC409D9">
      <w:pPr>
        <w:pStyle w:val="11"/>
        <w:rPr>
          <w:rFonts w:hint="eastAsia" w:ascii="宋体" w:hAnsi="宋体" w:eastAsia="宋体" w:cs="宋体"/>
          <w:b/>
          <w:color w:val="auto"/>
          <w:sz w:val="24"/>
          <w:highlight w:val="none"/>
        </w:rPr>
      </w:pPr>
    </w:p>
    <w:p w14:paraId="3C4906CE">
      <w:pPr>
        <w:pStyle w:val="11"/>
        <w:rPr>
          <w:rFonts w:hint="eastAsia" w:ascii="宋体" w:hAnsi="宋体" w:eastAsia="宋体" w:cs="宋体"/>
          <w:b/>
          <w:color w:val="auto"/>
          <w:sz w:val="24"/>
          <w:highlight w:val="none"/>
        </w:rPr>
      </w:pPr>
    </w:p>
    <w:p w14:paraId="27B0F6F8">
      <w:pPr>
        <w:pStyle w:val="18"/>
        <w:rPr>
          <w:rFonts w:hint="eastAsia" w:ascii="宋体" w:hAnsi="宋体" w:eastAsia="宋体" w:cs="宋体"/>
          <w:b/>
          <w:color w:val="auto"/>
          <w:sz w:val="24"/>
          <w:highlight w:val="none"/>
        </w:rPr>
      </w:pPr>
    </w:p>
    <w:p w14:paraId="5DB22A43">
      <w:pPr>
        <w:widowControl/>
        <w:snapToGrid w:val="0"/>
        <w:spacing w:line="360" w:lineRule="auto"/>
        <w:jc w:val="left"/>
        <w:rPr>
          <w:rFonts w:hint="eastAsia" w:ascii="宋体" w:hAnsi="宋体" w:eastAsia="宋体" w:cs="宋体"/>
          <w:b/>
          <w:color w:val="auto"/>
          <w:sz w:val="24"/>
          <w:highlight w:val="none"/>
        </w:rPr>
      </w:pPr>
    </w:p>
    <w:p w14:paraId="4B9CFB99">
      <w:pP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4B9D14D">
      <w:pPr>
        <w:widowControl/>
        <w:numPr>
          <w:ilvl w:val="0"/>
          <w:numId w:val="0"/>
        </w:num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kern w:val="2"/>
          <w:sz w:val="24"/>
          <w:szCs w:val="24"/>
          <w:lang w:val="en-US" w:eastAsia="zh-CN" w:bidi="ar-SA"/>
        </w:rPr>
        <w:t>八、</w:t>
      </w:r>
      <w:r>
        <w:rPr>
          <w:rFonts w:hint="eastAsia" w:ascii="宋体" w:hAnsi="宋体" w:eastAsia="宋体" w:cs="宋体"/>
          <w:b/>
          <w:color w:val="auto"/>
          <w:sz w:val="24"/>
          <w:highlight w:val="none"/>
        </w:rPr>
        <w:t>供应商认为需要提供的其他商务、技术材料</w:t>
      </w:r>
    </w:p>
    <w:p w14:paraId="4BEED236">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0D5EEB47">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6ED688CD">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06471FB3">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75F6E67B">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04B3D1EC">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177B44A5">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528A4D19">
      <w:pPr>
        <w:pStyle w:val="25"/>
        <w:ind w:left="0" w:leftChars="0" w:firstLine="0" w:firstLineChars="0"/>
        <w:rPr>
          <w:rFonts w:hint="eastAsia" w:ascii="宋体" w:hAnsi="宋体" w:eastAsia="宋体" w:cs="宋体"/>
          <w:b/>
          <w:color w:val="auto"/>
          <w:sz w:val="28"/>
          <w:szCs w:val="28"/>
          <w:highlight w:val="none"/>
        </w:rPr>
      </w:pPr>
    </w:p>
    <w:p w14:paraId="18464F04">
      <w:pPr>
        <w:pStyle w:val="25"/>
        <w:ind w:left="0" w:leftChars="0" w:firstLine="0" w:firstLineChars="0"/>
        <w:rPr>
          <w:rFonts w:hint="eastAsia" w:ascii="宋体" w:hAnsi="宋体" w:eastAsia="宋体" w:cs="宋体"/>
          <w:b/>
          <w:color w:val="auto"/>
          <w:sz w:val="28"/>
          <w:szCs w:val="28"/>
          <w:highlight w:val="none"/>
        </w:rPr>
      </w:pPr>
    </w:p>
    <w:p w14:paraId="21E59BFD">
      <w:pPr>
        <w:pStyle w:val="25"/>
        <w:ind w:left="0" w:leftChars="0" w:firstLine="0" w:firstLineChars="0"/>
        <w:rPr>
          <w:rFonts w:hint="eastAsia" w:ascii="宋体" w:hAnsi="宋体" w:eastAsia="宋体" w:cs="宋体"/>
          <w:b/>
          <w:color w:val="auto"/>
          <w:sz w:val="28"/>
          <w:szCs w:val="28"/>
          <w:highlight w:val="none"/>
        </w:rPr>
      </w:pPr>
    </w:p>
    <w:p w14:paraId="7E971E59">
      <w:pPr>
        <w:pStyle w:val="25"/>
        <w:ind w:left="0" w:leftChars="0" w:firstLine="0" w:firstLineChars="0"/>
        <w:rPr>
          <w:rFonts w:hint="eastAsia" w:ascii="宋体" w:hAnsi="宋体" w:eastAsia="宋体" w:cs="宋体"/>
          <w:b/>
          <w:color w:val="auto"/>
          <w:sz w:val="28"/>
          <w:szCs w:val="28"/>
          <w:highlight w:val="none"/>
        </w:rPr>
      </w:pPr>
    </w:p>
    <w:p w14:paraId="762070A8">
      <w:pPr>
        <w:pStyle w:val="25"/>
        <w:ind w:left="0" w:leftChars="0" w:firstLine="0" w:firstLineChars="0"/>
        <w:rPr>
          <w:rFonts w:hint="eastAsia" w:ascii="宋体" w:hAnsi="宋体" w:eastAsia="宋体" w:cs="宋体"/>
          <w:b/>
          <w:color w:val="auto"/>
          <w:sz w:val="28"/>
          <w:szCs w:val="28"/>
          <w:highlight w:val="none"/>
        </w:rPr>
      </w:pPr>
    </w:p>
    <w:p w14:paraId="6DA2B623">
      <w:pPr>
        <w:pStyle w:val="25"/>
        <w:ind w:left="0" w:leftChars="0" w:firstLine="0" w:firstLineChars="0"/>
        <w:rPr>
          <w:rFonts w:hint="eastAsia" w:ascii="宋体" w:hAnsi="宋体" w:eastAsia="宋体" w:cs="宋体"/>
          <w:b/>
          <w:color w:val="auto"/>
          <w:sz w:val="28"/>
          <w:szCs w:val="28"/>
          <w:highlight w:val="none"/>
        </w:rPr>
      </w:pPr>
    </w:p>
    <w:p w14:paraId="39F2172D">
      <w:pPr>
        <w:pStyle w:val="25"/>
        <w:ind w:left="0" w:leftChars="0" w:firstLine="0" w:firstLineChars="0"/>
        <w:rPr>
          <w:rFonts w:hint="eastAsia" w:ascii="宋体" w:hAnsi="宋体" w:eastAsia="宋体" w:cs="宋体"/>
          <w:b/>
          <w:color w:val="auto"/>
          <w:sz w:val="28"/>
          <w:szCs w:val="28"/>
          <w:highlight w:val="none"/>
        </w:rPr>
      </w:pPr>
    </w:p>
    <w:p w14:paraId="29CD2E80">
      <w:pPr>
        <w:pStyle w:val="25"/>
        <w:ind w:left="0" w:leftChars="0" w:firstLine="0" w:firstLineChars="0"/>
        <w:rPr>
          <w:rFonts w:hint="eastAsia" w:ascii="宋体" w:hAnsi="宋体" w:eastAsia="宋体" w:cs="宋体"/>
          <w:b/>
          <w:color w:val="auto"/>
          <w:sz w:val="28"/>
          <w:szCs w:val="28"/>
          <w:highlight w:val="none"/>
        </w:rPr>
      </w:pPr>
    </w:p>
    <w:p w14:paraId="3B10537A">
      <w:pPr>
        <w:pStyle w:val="25"/>
        <w:ind w:left="0" w:leftChars="0" w:firstLine="0" w:firstLineChars="0"/>
        <w:rPr>
          <w:rFonts w:hint="eastAsia" w:ascii="宋体" w:hAnsi="宋体" w:eastAsia="宋体" w:cs="宋体"/>
          <w:b/>
          <w:color w:val="auto"/>
          <w:sz w:val="28"/>
          <w:szCs w:val="28"/>
          <w:highlight w:val="none"/>
        </w:rPr>
      </w:pPr>
    </w:p>
    <w:p w14:paraId="65597951">
      <w:pPr>
        <w:pStyle w:val="25"/>
        <w:ind w:left="0" w:leftChars="0" w:firstLine="0" w:firstLineChars="0"/>
        <w:rPr>
          <w:rFonts w:hint="eastAsia" w:ascii="宋体" w:hAnsi="宋体" w:eastAsia="宋体" w:cs="宋体"/>
          <w:b/>
          <w:color w:val="auto"/>
          <w:sz w:val="28"/>
          <w:szCs w:val="28"/>
          <w:highlight w:val="none"/>
        </w:rPr>
      </w:pPr>
    </w:p>
    <w:p w14:paraId="6E7095EF">
      <w:pPr>
        <w:pStyle w:val="25"/>
        <w:ind w:left="0" w:leftChars="0" w:firstLine="0" w:firstLineChars="0"/>
        <w:rPr>
          <w:rFonts w:hint="eastAsia" w:ascii="宋体" w:hAnsi="宋体" w:eastAsia="宋体" w:cs="宋体"/>
          <w:b/>
          <w:color w:val="auto"/>
          <w:sz w:val="28"/>
          <w:szCs w:val="28"/>
          <w:highlight w:val="none"/>
        </w:rPr>
      </w:pPr>
    </w:p>
    <w:p w14:paraId="5004B1DD">
      <w:pPr>
        <w:pStyle w:val="25"/>
        <w:ind w:left="0" w:leftChars="0" w:firstLine="0" w:firstLineChars="0"/>
        <w:rPr>
          <w:rFonts w:hint="eastAsia" w:ascii="宋体" w:hAnsi="宋体" w:eastAsia="宋体" w:cs="宋体"/>
          <w:b/>
          <w:color w:val="auto"/>
          <w:sz w:val="28"/>
          <w:szCs w:val="28"/>
          <w:highlight w:val="none"/>
        </w:rPr>
      </w:pPr>
    </w:p>
    <w:p w14:paraId="4AFAB258">
      <w:pPr>
        <w:pStyle w:val="25"/>
        <w:ind w:left="0" w:leftChars="0" w:firstLine="0" w:firstLineChars="0"/>
        <w:rPr>
          <w:rFonts w:hint="eastAsia" w:ascii="宋体" w:hAnsi="宋体" w:eastAsia="宋体" w:cs="宋体"/>
          <w:b/>
          <w:color w:val="auto"/>
          <w:sz w:val="28"/>
          <w:szCs w:val="28"/>
          <w:highlight w:val="none"/>
        </w:rPr>
      </w:pPr>
    </w:p>
    <w:p w14:paraId="7937E318">
      <w:pPr>
        <w:pStyle w:val="25"/>
        <w:ind w:left="0" w:leftChars="0" w:firstLine="0" w:firstLineChars="0"/>
        <w:rPr>
          <w:rFonts w:hint="eastAsia" w:ascii="宋体" w:hAnsi="宋体" w:eastAsia="宋体" w:cs="宋体"/>
          <w:b/>
          <w:color w:val="auto"/>
          <w:sz w:val="28"/>
          <w:szCs w:val="28"/>
          <w:highlight w:val="none"/>
        </w:rPr>
      </w:pPr>
    </w:p>
    <w:p w14:paraId="63FAC05B">
      <w:pPr>
        <w:pStyle w:val="25"/>
        <w:ind w:left="0" w:leftChars="0" w:firstLine="0" w:firstLineChars="0"/>
        <w:rPr>
          <w:rFonts w:hint="eastAsia" w:ascii="宋体" w:hAnsi="宋体" w:eastAsia="宋体" w:cs="宋体"/>
          <w:b/>
          <w:color w:val="auto"/>
          <w:sz w:val="28"/>
          <w:szCs w:val="28"/>
          <w:highlight w:val="none"/>
        </w:rPr>
      </w:pPr>
    </w:p>
    <w:p w14:paraId="52CE4B41">
      <w:pPr>
        <w:pStyle w:val="25"/>
        <w:ind w:left="0" w:leftChars="0" w:firstLine="0" w:firstLineChars="0"/>
        <w:rPr>
          <w:rFonts w:hint="eastAsia" w:ascii="宋体" w:hAnsi="宋体" w:eastAsia="宋体" w:cs="宋体"/>
          <w:b/>
          <w:color w:val="auto"/>
          <w:sz w:val="28"/>
          <w:szCs w:val="28"/>
          <w:highlight w:val="none"/>
        </w:rPr>
      </w:pPr>
    </w:p>
    <w:p w14:paraId="313B518C">
      <w:pPr>
        <w:pStyle w:val="25"/>
        <w:ind w:left="0" w:leftChars="0" w:firstLine="0" w:firstLineChars="0"/>
        <w:rPr>
          <w:rFonts w:hint="eastAsia" w:ascii="宋体" w:hAnsi="宋体" w:eastAsia="宋体" w:cs="宋体"/>
          <w:b/>
          <w:color w:val="auto"/>
          <w:sz w:val="28"/>
          <w:szCs w:val="28"/>
          <w:highlight w:val="none"/>
        </w:rPr>
      </w:pPr>
    </w:p>
    <w:p w14:paraId="0429602A">
      <w:pPr>
        <w:pStyle w:val="25"/>
        <w:ind w:left="0" w:leftChars="0" w:firstLine="0" w:firstLineChars="0"/>
        <w:rPr>
          <w:rFonts w:hint="eastAsia" w:ascii="宋体" w:hAnsi="宋体" w:eastAsia="宋体" w:cs="宋体"/>
          <w:b/>
          <w:color w:val="auto"/>
          <w:sz w:val="28"/>
          <w:szCs w:val="28"/>
          <w:highlight w:val="none"/>
        </w:rPr>
      </w:pPr>
    </w:p>
    <w:p w14:paraId="7193DB80">
      <w:pPr>
        <w:pStyle w:val="25"/>
        <w:ind w:left="0" w:leftChars="0" w:firstLine="0" w:firstLineChars="0"/>
        <w:rPr>
          <w:rFonts w:hint="eastAsia" w:ascii="宋体" w:hAnsi="宋体" w:eastAsia="宋体" w:cs="宋体"/>
          <w:b/>
          <w:color w:val="auto"/>
          <w:sz w:val="28"/>
          <w:szCs w:val="28"/>
          <w:highlight w:val="none"/>
        </w:rPr>
      </w:pPr>
    </w:p>
    <w:p w14:paraId="516AC6B9">
      <w:pPr>
        <w:pStyle w:val="25"/>
        <w:ind w:left="0" w:leftChars="0" w:firstLine="0" w:firstLineChars="0"/>
        <w:rPr>
          <w:rFonts w:hint="eastAsia" w:ascii="宋体" w:hAnsi="宋体" w:eastAsia="宋体" w:cs="宋体"/>
          <w:b/>
          <w:color w:val="auto"/>
          <w:sz w:val="28"/>
          <w:szCs w:val="28"/>
          <w:highlight w:val="none"/>
        </w:rPr>
      </w:pPr>
    </w:p>
    <w:p w14:paraId="7E3D7400">
      <w:pPr>
        <w:pStyle w:val="25"/>
        <w:ind w:left="0" w:leftChars="0" w:firstLine="0" w:firstLineChars="0"/>
        <w:rPr>
          <w:rFonts w:hint="eastAsia" w:ascii="宋体" w:hAnsi="宋体" w:eastAsia="宋体" w:cs="宋体"/>
          <w:b/>
          <w:color w:val="auto"/>
          <w:sz w:val="28"/>
          <w:szCs w:val="28"/>
          <w:highlight w:val="none"/>
        </w:rPr>
      </w:pPr>
    </w:p>
    <w:p w14:paraId="4CE2F9E4">
      <w:pPr>
        <w:widowControl/>
        <w:numPr>
          <w:ilvl w:val="0"/>
          <w:numId w:val="0"/>
        </w:numPr>
        <w:snapToGrid w:val="0"/>
        <w:spacing w:line="360" w:lineRule="auto"/>
        <w:jc w:val="left"/>
        <w:rPr>
          <w:rFonts w:hint="eastAsia" w:ascii="宋体" w:hAnsi="宋体" w:eastAsia="宋体" w:cs="宋体"/>
          <w:b/>
          <w:color w:val="auto"/>
          <w:sz w:val="28"/>
          <w:szCs w:val="28"/>
          <w:highlight w:val="none"/>
        </w:rPr>
      </w:pPr>
    </w:p>
    <w:p w14:paraId="169EB617">
      <w:pPr>
        <w:rPr>
          <w:rFonts w:hint="eastAsia"/>
          <w:b/>
          <w:bCs/>
          <w:color w:val="auto"/>
          <w:sz w:val="24"/>
          <w:highlight w:val="none"/>
          <w:lang w:val="en-US" w:eastAsia="zh-CN"/>
        </w:rPr>
      </w:pPr>
      <w:r>
        <w:rPr>
          <w:rFonts w:hint="eastAsia"/>
          <w:b/>
          <w:bCs/>
          <w:color w:val="auto"/>
          <w:sz w:val="24"/>
          <w:highlight w:val="none"/>
          <w:lang w:val="en-US" w:eastAsia="zh-CN"/>
        </w:rPr>
        <w:br w:type="page"/>
      </w:r>
    </w:p>
    <w:p w14:paraId="5876C656">
      <w:pPr>
        <w:spacing w:line="360" w:lineRule="auto"/>
        <w:rPr>
          <w:b/>
          <w:bCs/>
          <w:color w:val="auto"/>
          <w:sz w:val="24"/>
          <w:highlight w:val="none"/>
        </w:rPr>
      </w:pPr>
      <w:r>
        <w:rPr>
          <w:rFonts w:hint="eastAsia"/>
          <w:b/>
          <w:bCs/>
          <w:color w:val="auto"/>
          <w:sz w:val="24"/>
          <w:highlight w:val="none"/>
          <w:lang w:val="en-US" w:eastAsia="zh-CN"/>
        </w:rPr>
        <w:t>九</w:t>
      </w:r>
      <w:r>
        <w:rPr>
          <w:rFonts w:hint="eastAsia"/>
          <w:b/>
          <w:bCs/>
          <w:color w:val="auto"/>
          <w:sz w:val="24"/>
          <w:highlight w:val="none"/>
        </w:rPr>
        <w:t>、</w:t>
      </w:r>
      <w:r>
        <w:rPr>
          <w:b/>
          <w:bCs/>
          <w:color w:val="auto"/>
          <w:sz w:val="24"/>
          <w:highlight w:val="none"/>
        </w:rPr>
        <w:t>政策性要求</w:t>
      </w:r>
    </w:p>
    <w:bookmarkEnd w:id="90"/>
    <w:p w14:paraId="5DAE7420">
      <w:pPr>
        <w:tabs>
          <w:tab w:val="left" w:pos="1680"/>
        </w:tabs>
        <w:snapToGrid w:val="0"/>
        <w:spacing w:line="360" w:lineRule="auto"/>
        <w:rPr>
          <w:rFonts w:ascii="宋体" w:hAnsi="宋体" w:cs="宋体"/>
          <w:color w:val="auto"/>
          <w:sz w:val="24"/>
        </w:rPr>
      </w:pPr>
      <w:r>
        <w:rPr>
          <w:rFonts w:hint="eastAsia" w:ascii="宋体" w:hAnsi="宋体" w:cs="宋体"/>
          <w:b/>
          <w:color w:val="auto"/>
          <w:kern w:val="0"/>
          <w:sz w:val="24"/>
        </w:rPr>
        <w:t>（一）</w:t>
      </w:r>
      <w:r>
        <w:rPr>
          <w:rFonts w:hint="eastAsia" w:ascii="宋体" w:hAnsi="宋体" w:cs="宋体"/>
          <w:color w:val="auto"/>
          <w:sz w:val="24"/>
        </w:rPr>
        <w:t>环保节能产品证明材料</w:t>
      </w:r>
      <w:r>
        <w:rPr>
          <w:rFonts w:hint="eastAsia" w:ascii="宋体" w:hAnsi="宋体" w:cs="宋体"/>
          <w:b/>
          <w:color w:val="auto"/>
          <w:kern w:val="0"/>
          <w:sz w:val="24"/>
        </w:rPr>
        <w:t>（如不涉及，此函可不提供）</w:t>
      </w:r>
    </w:p>
    <w:p w14:paraId="369F9890">
      <w:pPr>
        <w:tabs>
          <w:tab w:val="left" w:pos="1680"/>
        </w:tabs>
        <w:snapToGrid w:val="0"/>
        <w:spacing w:line="360" w:lineRule="auto"/>
        <w:rPr>
          <w:rFonts w:ascii="宋体" w:hAnsi="宋体" w:cs="宋体"/>
          <w:bCs/>
          <w:color w:val="auto"/>
          <w:sz w:val="24"/>
        </w:rPr>
      </w:pPr>
      <w:r>
        <w:rPr>
          <w:rFonts w:hint="eastAsia" w:ascii="宋体" w:hAnsi="宋体" w:cs="宋体"/>
          <w:bCs/>
          <w:color w:val="auto"/>
          <w:sz w:val="24"/>
        </w:rPr>
        <w:t>（1）强制节能产品明细表格式（以包为单位分别填写，如本项目所投产品中不涉及强制节能产品，此表可不提供）</w:t>
      </w:r>
    </w:p>
    <w:p w14:paraId="2422F73D">
      <w:pPr>
        <w:tabs>
          <w:tab w:val="left" w:pos="1680"/>
        </w:tabs>
        <w:snapToGrid w:val="0"/>
        <w:spacing w:line="360" w:lineRule="exact"/>
        <w:jc w:val="center"/>
        <w:rPr>
          <w:rFonts w:ascii="宋体" w:hAnsi="宋体" w:cs="宋体"/>
          <w:b/>
          <w:color w:val="auto"/>
          <w:sz w:val="24"/>
        </w:rPr>
      </w:pPr>
      <w:r>
        <w:rPr>
          <w:rFonts w:hint="eastAsia" w:ascii="宋体" w:hAnsi="宋体" w:cs="宋体"/>
          <w:b/>
          <w:color w:val="auto"/>
          <w:sz w:val="24"/>
        </w:rPr>
        <w:t>强制节能产品明细表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62F8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4D7F8D99">
            <w:pPr>
              <w:spacing w:line="240" w:lineRule="exact"/>
              <w:jc w:val="center"/>
              <w:rPr>
                <w:rFonts w:ascii="宋体" w:hAnsi="宋体" w:cs="宋体"/>
                <w:b/>
                <w:color w:val="auto"/>
                <w:sz w:val="24"/>
              </w:rPr>
            </w:pPr>
            <w:r>
              <w:rPr>
                <w:rFonts w:hint="eastAsia" w:ascii="宋体" w:hAnsi="宋体" w:cs="宋体"/>
                <w:b/>
                <w:color w:val="auto"/>
                <w:sz w:val="24"/>
              </w:rPr>
              <w:t>包号</w:t>
            </w:r>
          </w:p>
        </w:tc>
        <w:tc>
          <w:tcPr>
            <w:tcW w:w="955" w:type="dxa"/>
            <w:vAlign w:val="center"/>
          </w:tcPr>
          <w:p w14:paraId="622F3096">
            <w:pPr>
              <w:spacing w:line="240" w:lineRule="exact"/>
              <w:jc w:val="center"/>
              <w:rPr>
                <w:rFonts w:ascii="宋体" w:hAnsi="宋体" w:cs="宋体"/>
                <w:b/>
                <w:color w:val="auto"/>
                <w:sz w:val="24"/>
              </w:rPr>
            </w:pPr>
            <w:r>
              <w:rPr>
                <w:rFonts w:hint="eastAsia" w:ascii="宋体" w:hAnsi="宋体" w:cs="宋体"/>
                <w:b/>
                <w:color w:val="auto"/>
                <w:sz w:val="24"/>
              </w:rPr>
              <w:t>产品名称</w:t>
            </w:r>
          </w:p>
        </w:tc>
        <w:tc>
          <w:tcPr>
            <w:tcW w:w="955" w:type="dxa"/>
            <w:vAlign w:val="center"/>
          </w:tcPr>
          <w:p w14:paraId="36C5902A">
            <w:pPr>
              <w:spacing w:line="240" w:lineRule="exact"/>
              <w:jc w:val="center"/>
              <w:rPr>
                <w:rFonts w:ascii="宋体" w:hAnsi="宋体" w:cs="宋体"/>
                <w:b/>
                <w:color w:val="auto"/>
                <w:sz w:val="24"/>
              </w:rPr>
            </w:pPr>
            <w:r>
              <w:rPr>
                <w:rFonts w:hint="eastAsia" w:ascii="宋体" w:hAnsi="宋体" w:cs="宋体"/>
                <w:b/>
                <w:color w:val="auto"/>
                <w:sz w:val="24"/>
              </w:rPr>
              <w:t>制造商</w:t>
            </w:r>
          </w:p>
        </w:tc>
        <w:tc>
          <w:tcPr>
            <w:tcW w:w="955" w:type="dxa"/>
            <w:vAlign w:val="center"/>
          </w:tcPr>
          <w:p w14:paraId="76C53AF9">
            <w:pPr>
              <w:spacing w:line="240" w:lineRule="exact"/>
              <w:jc w:val="center"/>
              <w:rPr>
                <w:rFonts w:ascii="宋体" w:hAnsi="宋体" w:cs="宋体"/>
                <w:b/>
                <w:color w:val="auto"/>
                <w:sz w:val="24"/>
              </w:rPr>
            </w:pPr>
            <w:r>
              <w:rPr>
                <w:rFonts w:hint="eastAsia" w:ascii="宋体" w:hAnsi="宋体" w:cs="宋体"/>
                <w:b/>
                <w:color w:val="auto"/>
                <w:sz w:val="24"/>
              </w:rPr>
              <w:t>产品型号</w:t>
            </w:r>
          </w:p>
        </w:tc>
        <w:tc>
          <w:tcPr>
            <w:tcW w:w="1637" w:type="dxa"/>
            <w:vAlign w:val="center"/>
          </w:tcPr>
          <w:p w14:paraId="2E1081CB">
            <w:pPr>
              <w:spacing w:line="240" w:lineRule="exact"/>
              <w:jc w:val="center"/>
              <w:rPr>
                <w:rFonts w:ascii="宋体" w:hAnsi="宋体" w:cs="宋体"/>
                <w:b/>
                <w:color w:val="auto"/>
                <w:sz w:val="24"/>
              </w:rPr>
            </w:pPr>
            <w:r>
              <w:rPr>
                <w:rFonts w:hint="eastAsia" w:ascii="宋体" w:hAnsi="宋体" w:cs="宋体"/>
                <w:b/>
                <w:color w:val="auto"/>
                <w:sz w:val="24"/>
              </w:rPr>
              <w:t>节能产品认证证书号</w:t>
            </w:r>
          </w:p>
        </w:tc>
        <w:tc>
          <w:tcPr>
            <w:tcW w:w="1860" w:type="dxa"/>
            <w:vAlign w:val="center"/>
          </w:tcPr>
          <w:p w14:paraId="7B924DDC">
            <w:pPr>
              <w:spacing w:line="240" w:lineRule="exact"/>
              <w:jc w:val="center"/>
              <w:rPr>
                <w:rFonts w:ascii="宋体" w:hAnsi="宋体" w:cs="宋体"/>
                <w:b/>
                <w:color w:val="auto"/>
                <w:sz w:val="24"/>
              </w:rPr>
            </w:pPr>
            <w:r>
              <w:rPr>
                <w:rFonts w:hint="eastAsia" w:ascii="宋体" w:hAnsi="宋体" w:cs="宋体"/>
                <w:b/>
                <w:color w:val="auto"/>
                <w:sz w:val="24"/>
              </w:rPr>
              <w:t>认证证书有效截止日期</w:t>
            </w:r>
          </w:p>
        </w:tc>
        <w:tc>
          <w:tcPr>
            <w:tcW w:w="1850" w:type="dxa"/>
            <w:vAlign w:val="center"/>
          </w:tcPr>
          <w:p w14:paraId="49B74A02">
            <w:pPr>
              <w:spacing w:line="240" w:lineRule="exact"/>
              <w:jc w:val="center"/>
              <w:rPr>
                <w:rFonts w:ascii="宋体" w:hAnsi="宋体" w:cs="宋体"/>
                <w:b/>
                <w:color w:val="auto"/>
                <w:sz w:val="24"/>
              </w:rPr>
            </w:pPr>
            <w:r>
              <w:rPr>
                <w:rFonts w:hint="eastAsia" w:ascii="宋体" w:hAnsi="宋体" w:cs="宋体"/>
                <w:b/>
                <w:color w:val="auto"/>
                <w:sz w:val="24"/>
              </w:rPr>
              <w:t>认证机构名录</w:t>
            </w:r>
          </w:p>
        </w:tc>
      </w:tr>
      <w:tr w14:paraId="4D3D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4AF67514">
            <w:pPr>
              <w:spacing w:line="360" w:lineRule="exact"/>
              <w:rPr>
                <w:rFonts w:ascii="宋体" w:hAnsi="宋体" w:cs="宋体"/>
                <w:b/>
                <w:color w:val="auto"/>
                <w:sz w:val="24"/>
              </w:rPr>
            </w:pPr>
          </w:p>
        </w:tc>
        <w:tc>
          <w:tcPr>
            <w:tcW w:w="955" w:type="dxa"/>
          </w:tcPr>
          <w:p w14:paraId="289670EF">
            <w:pPr>
              <w:spacing w:line="360" w:lineRule="exact"/>
              <w:rPr>
                <w:rFonts w:ascii="宋体" w:hAnsi="宋体" w:cs="宋体"/>
                <w:b/>
                <w:color w:val="auto"/>
                <w:sz w:val="24"/>
              </w:rPr>
            </w:pPr>
          </w:p>
        </w:tc>
        <w:tc>
          <w:tcPr>
            <w:tcW w:w="955" w:type="dxa"/>
          </w:tcPr>
          <w:p w14:paraId="5B40FFBB">
            <w:pPr>
              <w:spacing w:line="360" w:lineRule="exact"/>
              <w:rPr>
                <w:rFonts w:ascii="宋体" w:hAnsi="宋体" w:cs="宋体"/>
                <w:b/>
                <w:color w:val="auto"/>
                <w:sz w:val="24"/>
              </w:rPr>
            </w:pPr>
          </w:p>
        </w:tc>
        <w:tc>
          <w:tcPr>
            <w:tcW w:w="955" w:type="dxa"/>
          </w:tcPr>
          <w:p w14:paraId="34B768B2">
            <w:pPr>
              <w:spacing w:line="360" w:lineRule="exact"/>
              <w:rPr>
                <w:rFonts w:ascii="宋体" w:hAnsi="宋体" w:cs="宋体"/>
                <w:b/>
                <w:color w:val="auto"/>
                <w:sz w:val="24"/>
              </w:rPr>
            </w:pPr>
          </w:p>
        </w:tc>
        <w:tc>
          <w:tcPr>
            <w:tcW w:w="1637" w:type="dxa"/>
          </w:tcPr>
          <w:p w14:paraId="7270FBE3">
            <w:pPr>
              <w:spacing w:line="360" w:lineRule="exact"/>
              <w:rPr>
                <w:rFonts w:ascii="宋体" w:hAnsi="宋体" w:cs="宋体"/>
                <w:b/>
                <w:color w:val="auto"/>
                <w:sz w:val="24"/>
              </w:rPr>
            </w:pPr>
          </w:p>
        </w:tc>
        <w:tc>
          <w:tcPr>
            <w:tcW w:w="1860" w:type="dxa"/>
          </w:tcPr>
          <w:p w14:paraId="04433AFC">
            <w:pPr>
              <w:spacing w:line="360" w:lineRule="exact"/>
              <w:rPr>
                <w:rFonts w:ascii="宋体" w:hAnsi="宋体" w:cs="宋体"/>
                <w:b/>
                <w:color w:val="auto"/>
                <w:sz w:val="24"/>
              </w:rPr>
            </w:pPr>
          </w:p>
        </w:tc>
        <w:tc>
          <w:tcPr>
            <w:tcW w:w="1850" w:type="dxa"/>
          </w:tcPr>
          <w:p w14:paraId="5E17AAFD">
            <w:pPr>
              <w:spacing w:line="360" w:lineRule="exact"/>
              <w:rPr>
                <w:rFonts w:ascii="宋体" w:hAnsi="宋体" w:cs="宋体"/>
                <w:b/>
                <w:color w:val="auto"/>
                <w:sz w:val="24"/>
              </w:rPr>
            </w:pPr>
          </w:p>
        </w:tc>
      </w:tr>
      <w:tr w14:paraId="3DF3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41F9A466">
            <w:pPr>
              <w:spacing w:line="360" w:lineRule="exact"/>
              <w:rPr>
                <w:rFonts w:ascii="宋体" w:hAnsi="宋体" w:cs="宋体"/>
                <w:b/>
                <w:color w:val="auto"/>
                <w:sz w:val="24"/>
              </w:rPr>
            </w:pPr>
          </w:p>
        </w:tc>
        <w:tc>
          <w:tcPr>
            <w:tcW w:w="955" w:type="dxa"/>
          </w:tcPr>
          <w:p w14:paraId="44C56F67">
            <w:pPr>
              <w:spacing w:line="360" w:lineRule="exact"/>
              <w:rPr>
                <w:rFonts w:ascii="宋体" w:hAnsi="宋体" w:cs="宋体"/>
                <w:b/>
                <w:color w:val="auto"/>
                <w:sz w:val="24"/>
              </w:rPr>
            </w:pPr>
          </w:p>
        </w:tc>
        <w:tc>
          <w:tcPr>
            <w:tcW w:w="955" w:type="dxa"/>
          </w:tcPr>
          <w:p w14:paraId="5BC807E9">
            <w:pPr>
              <w:spacing w:line="360" w:lineRule="exact"/>
              <w:rPr>
                <w:rFonts w:ascii="宋体" w:hAnsi="宋体" w:cs="宋体"/>
                <w:b/>
                <w:color w:val="auto"/>
                <w:sz w:val="24"/>
              </w:rPr>
            </w:pPr>
          </w:p>
        </w:tc>
        <w:tc>
          <w:tcPr>
            <w:tcW w:w="955" w:type="dxa"/>
          </w:tcPr>
          <w:p w14:paraId="004611B2">
            <w:pPr>
              <w:spacing w:line="360" w:lineRule="exact"/>
              <w:rPr>
                <w:rFonts w:ascii="宋体" w:hAnsi="宋体" w:cs="宋体"/>
                <w:b/>
                <w:color w:val="auto"/>
                <w:sz w:val="24"/>
              </w:rPr>
            </w:pPr>
          </w:p>
        </w:tc>
        <w:tc>
          <w:tcPr>
            <w:tcW w:w="1637" w:type="dxa"/>
          </w:tcPr>
          <w:p w14:paraId="1BF4487B">
            <w:pPr>
              <w:spacing w:line="360" w:lineRule="exact"/>
              <w:rPr>
                <w:rFonts w:ascii="宋体" w:hAnsi="宋体" w:cs="宋体"/>
                <w:b/>
                <w:color w:val="auto"/>
                <w:sz w:val="24"/>
              </w:rPr>
            </w:pPr>
          </w:p>
        </w:tc>
        <w:tc>
          <w:tcPr>
            <w:tcW w:w="1860" w:type="dxa"/>
          </w:tcPr>
          <w:p w14:paraId="48CBC581">
            <w:pPr>
              <w:spacing w:line="360" w:lineRule="exact"/>
              <w:rPr>
                <w:rFonts w:ascii="宋体" w:hAnsi="宋体" w:cs="宋体"/>
                <w:b/>
                <w:color w:val="auto"/>
                <w:sz w:val="24"/>
              </w:rPr>
            </w:pPr>
          </w:p>
        </w:tc>
        <w:tc>
          <w:tcPr>
            <w:tcW w:w="1850" w:type="dxa"/>
          </w:tcPr>
          <w:p w14:paraId="636AD370">
            <w:pPr>
              <w:spacing w:line="360" w:lineRule="exact"/>
              <w:rPr>
                <w:rFonts w:ascii="宋体" w:hAnsi="宋体" w:cs="宋体"/>
                <w:b/>
                <w:color w:val="auto"/>
                <w:sz w:val="24"/>
              </w:rPr>
            </w:pPr>
          </w:p>
        </w:tc>
      </w:tr>
      <w:tr w14:paraId="4843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tcPr>
          <w:p w14:paraId="39B0975C">
            <w:pPr>
              <w:spacing w:line="360" w:lineRule="exact"/>
              <w:rPr>
                <w:rFonts w:ascii="宋体" w:hAnsi="宋体" w:cs="宋体"/>
                <w:b/>
                <w:color w:val="auto"/>
                <w:sz w:val="24"/>
              </w:rPr>
            </w:pPr>
          </w:p>
        </w:tc>
        <w:tc>
          <w:tcPr>
            <w:tcW w:w="955" w:type="dxa"/>
          </w:tcPr>
          <w:p w14:paraId="771CFC3F">
            <w:pPr>
              <w:spacing w:line="360" w:lineRule="exact"/>
              <w:rPr>
                <w:rFonts w:ascii="宋体" w:hAnsi="宋体" w:cs="宋体"/>
                <w:b/>
                <w:color w:val="auto"/>
                <w:sz w:val="24"/>
              </w:rPr>
            </w:pPr>
          </w:p>
        </w:tc>
        <w:tc>
          <w:tcPr>
            <w:tcW w:w="955" w:type="dxa"/>
          </w:tcPr>
          <w:p w14:paraId="32C78F02">
            <w:pPr>
              <w:spacing w:line="360" w:lineRule="exact"/>
              <w:rPr>
                <w:rFonts w:ascii="宋体" w:hAnsi="宋体" w:cs="宋体"/>
                <w:b/>
                <w:color w:val="auto"/>
                <w:sz w:val="24"/>
              </w:rPr>
            </w:pPr>
          </w:p>
        </w:tc>
        <w:tc>
          <w:tcPr>
            <w:tcW w:w="955" w:type="dxa"/>
          </w:tcPr>
          <w:p w14:paraId="3F6A40F9">
            <w:pPr>
              <w:spacing w:line="360" w:lineRule="exact"/>
              <w:rPr>
                <w:rFonts w:ascii="宋体" w:hAnsi="宋体" w:cs="宋体"/>
                <w:b/>
                <w:color w:val="auto"/>
                <w:sz w:val="24"/>
              </w:rPr>
            </w:pPr>
          </w:p>
        </w:tc>
        <w:tc>
          <w:tcPr>
            <w:tcW w:w="1637" w:type="dxa"/>
          </w:tcPr>
          <w:p w14:paraId="575152B7">
            <w:pPr>
              <w:spacing w:line="360" w:lineRule="exact"/>
              <w:rPr>
                <w:rFonts w:ascii="宋体" w:hAnsi="宋体" w:cs="宋体"/>
                <w:b/>
                <w:color w:val="auto"/>
                <w:sz w:val="24"/>
              </w:rPr>
            </w:pPr>
          </w:p>
        </w:tc>
        <w:tc>
          <w:tcPr>
            <w:tcW w:w="1860" w:type="dxa"/>
          </w:tcPr>
          <w:p w14:paraId="140C4FD4">
            <w:pPr>
              <w:spacing w:line="360" w:lineRule="exact"/>
              <w:rPr>
                <w:rFonts w:ascii="宋体" w:hAnsi="宋体" w:cs="宋体"/>
                <w:b/>
                <w:color w:val="auto"/>
                <w:sz w:val="24"/>
              </w:rPr>
            </w:pPr>
          </w:p>
        </w:tc>
        <w:tc>
          <w:tcPr>
            <w:tcW w:w="1850" w:type="dxa"/>
          </w:tcPr>
          <w:p w14:paraId="6912675C">
            <w:pPr>
              <w:spacing w:line="360" w:lineRule="exact"/>
              <w:rPr>
                <w:rFonts w:ascii="宋体" w:hAnsi="宋体" w:cs="宋体"/>
                <w:b/>
                <w:color w:val="auto"/>
                <w:sz w:val="24"/>
              </w:rPr>
            </w:pPr>
          </w:p>
        </w:tc>
      </w:tr>
    </w:tbl>
    <w:p w14:paraId="575DCDC3">
      <w:pPr>
        <w:spacing w:line="360" w:lineRule="auto"/>
        <w:ind w:firstLine="480" w:firstLineChars="200"/>
        <w:jc w:val="left"/>
        <w:rPr>
          <w:rFonts w:ascii="宋体" w:hAnsi="宋体" w:cs="宋体"/>
          <w:color w:val="auto"/>
          <w:sz w:val="24"/>
        </w:rPr>
      </w:pPr>
      <w:r>
        <w:rPr>
          <w:rFonts w:hint="eastAsia" w:ascii="宋体" w:hAnsi="宋体" w:cs="宋体"/>
          <w:color w:val="auto"/>
          <w:sz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6F2F1364">
      <w:pPr>
        <w:tabs>
          <w:tab w:val="left" w:pos="1680"/>
        </w:tabs>
        <w:snapToGrid w:val="0"/>
        <w:spacing w:line="360" w:lineRule="auto"/>
        <w:rPr>
          <w:rFonts w:ascii="宋体" w:hAnsi="宋体" w:cs="宋体"/>
          <w:bCs/>
          <w:color w:val="auto"/>
          <w:sz w:val="24"/>
        </w:rPr>
      </w:pPr>
    </w:p>
    <w:p w14:paraId="3ABD519E">
      <w:pPr>
        <w:tabs>
          <w:tab w:val="left" w:pos="1680"/>
        </w:tabs>
        <w:snapToGrid w:val="0"/>
        <w:spacing w:line="360" w:lineRule="auto"/>
        <w:rPr>
          <w:rFonts w:ascii="宋体" w:hAnsi="宋体" w:cs="宋体"/>
          <w:bCs/>
          <w:color w:val="auto"/>
          <w:sz w:val="24"/>
        </w:rPr>
      </w:pPr>
    </w:p>
    <w:p w14:paraId="486AD9F9">
      <w:pPr>
        <w:tabs>
          <w:tab w:val="left" w:pos="1680"/>
        </w:tabs>
        <w:snapToGrid w:val="0"/>
        <w:spacing w:line="360" w:lineRule="exact"/>
        <w:rPr>
          <w:rFonts w:ascii="宋体" w:hAnsi="宋体" w:cs="宋体"/>
          <w:bCs/>
          <w:color w:val="auto"/>
          <w:sz w:val="24"/>
        </w:rPr>
      </w:pPr>
    </w:p>
    <w:p w14:paraId="0532D9BF">
      <w:pPr>
        <w:tabs>
          <w:tab w:val="left" w:pos="1680"/>
        </w:tabs>
        <w:snapToGrid w:val="0"/>
        <w:spacing w:line="360" w:lineRule="auto"/>
        <w:rPr>
          <w:rFonts w:ascii="宋体" w:hAnsi="宋体" w:cs="宋体"/>
          <w:bCs/>
          <w:color w:val="auto"/>
          <w:sz w:val="24"/>
        </w:rPr>
      </w:pPr>
    </w:p>
    <w:p w14:paraId="79B33923">
      <w:pPr>
        <w:snapToGrid w:val="0"/>
        <w:spacing w:line="360" w:lineRule="auto"/>
        <w:jc w:val="left"/>
        <w:rPr>
          <w:rFonts w:ascii="宋体" w:hAnsi="宋体" w:cs="宋体"/>
          <w:color w:val="auto"/>
          <w:sz w:val="24"/>
        </w:rPr>
      </w:pPr>
      <w:r>
        <w:rPr>
          <w:rFonts w:hint="eastAsia" w:ascii="宋体" w:hAnsi="宋体" w:cs="宋体"/>
          <w:color w:val="auto"/>
          <w:sz w:val="24"/>
        </w:rPr>
        <w:t>注：</w:t>
      </w:r>
    </w:p>
    <w:p w14:paraId="58D7CEE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1．采购货物中如含有强制节能产品的，须如实填写强制节能产品明细表；</w:t>
      </w:r>
    </w:p>
    <w:p w14:paraId="78F35B6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 提供所投产品获得国家确定的认证机构出具的、处于有效期之内的产品认证证书。</w:t>
      </w:r>
    </w:p>
    <w:p w14:paraId="5A173A9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投标货物中如含有《网络关键设备和网络安全专用产品目录》中的产品，须提供具备资格的机构出具的安全认证合格或者安全检测符合要求的相关证明材料扫描件或复印件。具备资格的机构是指列入《承担网络关键设备和网络安全专用产品安全认证和安全检测任务机构名录》的机构。</w:t>
      </w:r>
    </w:p>
    <w:p w14:paraId="57C094A6">
      <w:pPr>
        <w:tabs>
          <w:tab w:val="left" w:pos="1680"/>
        </w:tabs>
        <w:snapToGrid w:val="0"/>
        <w:spacing w:line="360" w:lineRule="auto"/>
        <w:rPr>
          <w:rFonts w:ascii="宋体" w:hAnsi="宋体" w:cs="宋体"/>
          <w:bCs/>
          <w:color w:val="auto"/>
          <w:sz w:val="24"/>
        </w:rPr>
      </w:pPr>
    </w:p>
    <w:p w14:paraId="65A92418">
      <w:pPr>
        <w:tabs>
          <w:tab w:val="left" w:pos="1680"/>
        </w:tabs>
        <w:snapToGrid w:val="0"/>
        <w:spacing w:line="360" w:lineRule="exact"/>
        <w:rPr>
          <w:rFonts w:ascii="宋体" w:hAnsi="宋体" w:cs="宋体"/>
          <w:bCs/>
          <w:color w:val="auto"/>
          <w:sz w:val="24"/>
        </w:rPr>
      </w:pPr>
    </w:p>
    <w:p w14:paraId="70475D45">
      <w:pPr>
        <w:tabs>
          <w:tab w:val="left" w:pos="1680"/>
        </w:tabs>
        <w:snapToGrid w:val="0"/>
        <w:spacing w:line="360" w:lineRule="exact"/>
        <w:rPr>
          <w:rFonts w:ascii="宋体" w:hAnsi="宋体" w:cs="宋体"/>
          <w:bCs/>
          <w:color w:val="auto"/>
          <w:sz w:val="24"/>
        </w:rPr>
      </w:pPr>
    </w:p>
    <w:p w14:paraId="09F04255">
      <w:pPr>
        <w:pStyle w:val="6"/>
        <w:rPr>
          <w:rFonts w:ascii="宋体" w:hAnsi="宋体"/>
          <w:color w:val="auto"/>
        </w:rPr>
      </w:pPr>
    </w:p>
    <w:p w14:paraId="223F40D0">
      <w:pPr>
        <w:pStyle w:val="9"/>
        <w:rPr>
          <w:rFonts w:ascii="宋体" w:hAnsi="宋体" w:cs="宋体"/>
          <w:bCs/>
          <w:color w:val="auto"/>
          <w:sz w:val="24"/>
        </w:rPr>
      </w:pPr>
    </w:p>
    <w:p w14:paraId="0F8BD3DE">
      <w:pPr>
        <w:rPr>
          <w:rFonts w:hint="eastAsia" w:ascii="宋体" w:hAnsi="宋体" w:cs="宋体"/>
          <w:b/>
          <w:color w:val="auto"/>
          <w:sz w:val="24"/>
        </w:rPr>
      </w:pPr>
      <w:r>
        <w:rPr>
          <w:rFonts w:hint="eastAsia" w:ascii="宋体" w:hAnsi="宋体" w:cs="宋体"/>
          <w:b/>
          <w:color w:val="auto"/>
          <w:sz w:val="24"/>
        </w:rPr>
        <w:br w:type="page"/>
      </w:r>
    </w:p>
    <w:p w14:paraId="5D10311D">
      <w:pPr>
        <w:spacing w:line="480" w:lineRule="exact"/>
        <w:rPr>
          <w:rFonts w:ascii="宋体" w:hAnsi="宋体" w:cs="宋体"/>
          <w:b/>
          <w:color w:val="auto"/>
          <w:sz w:val="24"/>
        </w:rPr>
      </w:pPr>
      <w:r>
        <w:rPr>
          <w:rFonts w:hint="eastAsia" w:ascii="宋体" w:hAnsi="宋体" w:cs="宋体"/>
          <w:b/>
          <w:color w:val="auto"/>
          <w:sz w:val="24"/>
        </w:rPr>
        <w:t>（二）正版软件承诺格式</w:t>
      </w:r>
      <w:r>
        <w:rPr>
          <w:rFonts w:hint="eastAsia" w:ascii="宋体" w:hAnsi="宋体" w:cs="宋体"/>
          <w:b/>
          <w:color w:val="auto"/>
          <w:kern w:val="0"/>
          <w:sz w:val="24"/>
        </w:rPr>
        <w:t>（如不涉及，此函可不提供）</w:t>
      </w:r>
    </w:p>
    <w:p w14:paraId="0ACBE802">
      <w:pPr>
        <w:spacing w:line="480" w:lineRule="exact"/>
        <w:jc w:val="center"/>
        <w:rPr>
          <w:rFonts w:ascii="宋体" w:hAnsi="宋体" w:cs="宋体"/>
          <w:b/>
          <w:color w:val="auto"/>
          <w:sz w:val="24"/>
        </w:rPr>
      </w:pPr>
      <w:r>
        <w:rPr>
          <w:rFonts w:hint="eastAsia" w:ascii="宋体" w:hAnsi="宋体" w:cs="宋体"/>
          <w:b/>
          <w:color w:val="auto"/>
          <w:sz w:val="24"/>
        </w:rPr>
        <w:t>正版软件承诺</w:t>
      </w:r>
    </w:p>
    <w:p w14:paraId="7E64832C">
      <w:pPr>
        <w:widowControl/>
        <w:snapToGrid w:val="0"/>
        <w:spacing w:line="360" w:lineRule="auto"/>
        <w:jc w:val="left"/>
        <w:rPr>
          <w:rFonts w:ascii="宋体" w:hAnsi="宋体" w:cs="宋体"/>
          <w:color w:val="auto"/>
          <w:kern w:val="0"/>
          <w:sz w:val="24"/>
          <w:u w:val="single"/>
        </w:rPr>
      </w:pPr>
    </w:p>
    <w:p w14:paraId="0795ECAB">
      <w:pPr>
        <w:spacing w:line="360" w:lineRule="auto"/>
        <w:rPr>
          <w:rFonts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kern w:val="0"/>
          <w:sz w:val="24"/>
          <w:u w:val="single"/>
        </w:rPr>
        <w:t>采购代理机构名称</w:t>
      </w:r>
      <w:r>
        <w:rPr>
          <w:rFonts w:hint="eastAsia" w:ascii="宋体" w:hAnsi="宋体" w:cs="宋体"/>
          <w:color w:val="auto"/>
          <w:sz w:val="24"/>
          <w:u w:val="single"/>
        </w:rPr>
        <w:t xml:space="preserve">  ：</w:t>
      </w:r>
    </w:p>
    <w:p w14:paraId="298EC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本供应商现参与</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）的采购活动，本公司承诺投报的计算机产品预装正版操作系统，投报的硬件产品内的预装软件为正版软件。</w:t>
      </w:r>
    </w:p>
    <w:p w14:paraId="20A594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如上述声明不真实，愿意按照政府采购有关法律法规的规定接受处罚。</w:t>
      </w:r>
    </w:p>
    <w:p w14:paraId="41B7D2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特此声明</w:t>
      </w:r>
    </w:p>
    <w:p w14:paraId="1DEA72DA">
      <w:pPr>
        <w:snapToGrid w:val="0"/>
        <w:spacing w:line="520" w:lineRule="exact"/>
        <w:rPr>
          <w:rFonts w:ascii="宋体" w:hAnsi="宋体" w:cs="宋体"/>
          <w:color w:val="auto"/>
          <w:sz w:val="24"/>
        </w:rPr>
      </w:pPr>
    </w:p>
    <w:p w14:paraId="7A5526C3">
      <w:pPr>
        <w:snapToGrid w:val="0"/>
        <w:spacing w:line="480" w:lineRule="exact"/>
        <w:rPr>
          <w:rFonts w:ascii="宋体" w:hAnsi="宋体" w:cs="宋体"/>
          <w:color w:val="auto"/>
          <w:sz w:val="24"/>
        </w:rPr>
      </w:pPr>
    </w:p>
    <w:p w14:paraId="027302CA">
      <w:pPr>
        <w:snapToGrid w:val="0"/>
        <w:spacing w:line="480" w:lineRule="exact"/>
        <w:rPr>
          <w:rFonts w:ascii="宋体" w:hAnsi="宋体" w:cs="宋体"/>
          <w:color w:val="auto"/>
          <w:sz w:val="24"/>
        </w:rPr>
      </w:pPr>
    </w:p>
    <w:p w14:paraId="0A026712">
      <w:pPr>
        <w:snapToGrid w:val="0"/>
        <w:spacing w:line="480" w:lineRule="exact"/>
        <w:rPr>
          <w:rFonts w:ascii="宋体" w:hAnsi="宋体" w:cs="宋体"/>
          <w:color w:val="auto"/>
          <w:sz w:val="24"/>
        </w:rPr>
      </w:pPr>
    </w:p>
    <w:p w14:paraId="374143FF">
      <w:pPr>
        <w:tabs>
          <w:tab w:val="left" w:pos="4000"/>
        </w:tabs>
        <w:snapToGrid w:val="0"/>
        <w:spacing w:line="480" w:lineRule="auto"/>
        <w:jc w:val="right"/>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49B47DDA">
      <w:pPr>
        <w:tabs>
          <w:tab w:val="left" w:pos="4000"/>
        </w:tabs>
        <w:snapToGrid w:val="0"/>
        <w:spacing w:line="480" w:lineRule="auto"/>
        <w:jc w:val="left"/>
        <w:rPr>
          <w:rFonts w:ascii="宋体" w:hAnsi="宋体" w:cs="宋体"/>
          <w:color w:val="auto"/>
          <w:kern w:val="0"/>
          <w:sz w:val="24"/>
        </w:rPr>
      </w:pPr>
    </w:p>
    <w:p w14:paraId="7E5088C3">
      <w:pPr>
        <w:spacing w:line="480" w:lineRule="exact"/>
        <w:ind w:firstLine="4560" w:firstLineChars="1900"/>
        <w:rPr>
          <w:rFonts w:ascii="宋体" w:hAnsi="宋体" w:cs="宋体"/>
          <w:b/>
          <w:color w:val="auto"/>
          <w:sz w:val="24"/>
        </w:rPr>
      </w:pPr>
      <w:r>
        <w:rPr>
          <w:rFonts w:hint="eastAsia" w:ascii="宋体" w:hAnsi="宋体" w:cs="宋体"/>
          <w:color w:val="auto"/>
          <w:sz w:val="24"/>
        </w:rPr>
        <w:t>日     期：</w:t>
      </w:r>
    </w:p>
    <w:p w14:paraId="1EFC296D">
      <w:pPr>
        <w:widowControl/>
        <w:snapToGrid w:val="0"/>
        <w:spacing w:line="360" w:lineRule="auto"/>
        <w:jc w:val="left"/>
        <w:rPr>
          <w:rFonts w:ascii="宋体" w:hAnsi="宋体" w:cs="宋体"/>
          <w:b/>
          <w:color w:val="auto"/>
          <w:kern w:val="0"/>
          <w:sz w:val="24"/>
        </w:rPr>
      </w:pPr>
    </w:p>
    <w:p w14:paraId="1E792C9D">
      <w:pPr>
        <w:widowControl/>
        <w:snapToGrid w:val="0"/>
        <w:spacing w:line="360" w:lineRule="auto"/>
        <w:jc w:val="left"/>
        <w:rPr>
          <w:rFonts w:ascii="宋体" w:hAnsi="宋体" w:cs="宋体"/>
          <w:b/>
          <w:color w:val="auto"/>
          <w:kern w:val="0"/>
          <w:sz w:val="24"/>
        </w:rPr>
      </w:pPr>
    </w:p>
    <w:p w14:paraId="4A3E82E4">
      <w:pPr>
        <w:pStyle w:val="4"/>
        <w:rPr>
          <w:rFonts w:ascii="宋体" w:hAnsi="宋体" w:cs="宋体"/>
          <w:color w:val="auto"/>
        </w:rPr>
      </w:pPr>
    </w:p>
    <w:p w14:paraId="5E1F7EB6">
      <w:pPr>
        <w:rPr>
          <w:rFonts w:ascii="宋体" w:hAnsi="宋体" w:cs="宋体"/>
          <w:b/>
          <w:color w:val="auto"/>
          <w:kern w:val="0"/>
          <w:sz w:val="24"/>
        </w:rPr>
      </w:pPr>
    </w:p>
    <w:p w14:paraId="3FFBD50A">
      <w:pPr>
        <w:pStyle w:val="4"/>
        <w:rPr>
          <w:rFonts w:ascii="宋体" w:hAnsi="宋体" w:cs="宋体"/>
          <w:color w:val="auto"/>
        </w:rPr>
      </w:pPr>
    </w:p>
    <w:p w14:paraId="54ABFF68">
      <w:pPr>
        <w:rPr>
          <w:rFonts w:ascii="宋体" w:hAnsi="宋体" w:cs="宋体"/>
          <w:b/>
          <w:color w:val="auto"/>
          <w:kern w:val="0"/>
          <w:sz w:val="24"/>
        </w:rPr>
      </w:pPr>
    </w:p>
    <w:p w14:paraId="785F8D95">
      <w:pPr>
        <w:pStyle w:val="4"/>
        <w:rPr>
          <w:rFonts w:ascii="宋体" w:hAnsi="宋体" w:cs="宋体"/>
          <w:color w:val="auto"/>
        </w:rPr>
      </w:pPr>
    </w:p>
    <w:p w14:paraId="1B10C2F8">
      <w:pPr>
        <w:rPr>
          <w:rFonts w:ascii="宋体" w:hAnsi="宋体" w:cs="宋体"/>
          <w:b/>
          <w:color w:val="auto"/>
          <w:kern w:val="0"/>
          <w:sz w:val="24"/>
        </w:rPr>
      </w:pPr>
    </w:p>
    <w:p w14:paraId="3B356749">
      <w:pPr>
        <w:pStyle w:val="4"/>
        <w:rPr>
          <w:rFonts w:ascii="宋体" w:hAnsi="宋体" w:cs="宋体"/>
          <w:color w:val="auto"/>
        </w:rPr>
      </w:pPr>
    </w:p>
    <w:p w14:paraId="188B2F14">
      <w:pPr>
        <w:rPr>
          <w:rFonts w:ascii="宋体" w:hAnsi="宋体" w:cs="宋体"/>
          <w:b/>
          <w:color w:val="auto"/>
          <w:kern w:val="0"/>
          <w:sz w:val="24"/>
        </w:rPr>
      </w:pPr>
    </w:p>
    <w:p w14:paraId="3E24CBBF">
      <w:pPr>
        <w:widowControl/>
        <w:snapToGrid w:val="0"/>
        <w:spacing w:line="360" w:lineRule="auto"/>
        <w:jc w:val="left"/>
        <w:rPr>
          <w:rFonts w:hint="eastAsia" w:ascii="宋体" w:hAnsi="宋体" w:cs="宋体"/>
          <w:b/>
          <w:color w:val="auto"/>
          <w:kern w:val="0"/>
          <w:sz w:val="24"/>
        </w:rPr>
      </w:pPr>
    </w:p>
    <w:p w14:paraId="5A1DD55C">
      <w:pPr>
        <w:widowControl/>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（三）中小企业声明及证明文件材料</w:t>
      </w:r>
    </w:p>
    <w:p w14:paraId="37748130">
      <w:pPr>
        <w:widowControl/>
        <w:snapToGrid w:val="0"/>
        <w:spacing w:line="360" w:lineRule="auto"/>
        <w:jc w:val="center"/>
        <w:rPr>
          <w:rFonts w:ascii="宋体" w:hAnsi="宋体" w:cs="宋体"/>
          <w:b/>
          <w:color w:val="auto"/>
          <w:sz w:val="28"/>
          <w:szCs w:val="28"/>
        </w:rPr>
      </w:pPr>
    </w:p>
    <w:p w14:paraId="14E03DA4">
      <w:pPr>
        <w:widowControl/>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中小企业声明函（工程、服务）</w:t>
      </w:r>
    </w:p>
    <w:p w14:paraId="393304E3">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本公司（联合体）郑重声明，根据《政府采购促进中小企业发展管理办法》（财库﹝2020﹞46 号）的规定，本公司（联合体）参加</w:t>
      </w:r>
      <w:r>
        <w:rPr>
          <w:rFonts w:hint="eastAsia" w:ascii="宋体" w:hAnsi="宋体" w:cs="宋体"/>
          <w:color w:val="auto"/>
          <w:spacing w:val="-8"/>
          <w:sz w:val="24"/>
          <w:u w:val="single"/>
          <w:shd w:val="clear" w:color="auto" w:fill="FFFFFF"/>
        </w:rPr>
        <w:t>（单位名称）</w:t>
      </w:r>
      <w:r>
        <w:rPr>
          <w:rFonts w:hint="eastAsia" w:ascii="宋体" w:hAnsi="宋体" w:cs="宋体"/>
          <w:color w:val="auto"/>
          <w:spacing w:val="-8"/>
          <w:sz w:val="24"/>
          <w:shd w:val="clear" w:color="auto" w:fill="FFFFFF"/>
        </w:rPr>
        <w:t>的</w:t>
      </w:r>
      <w:r>
        <w:rPr>
          <w:rFonts w:hint="eastAsia" w:ascii="宋体" w:hAnsi="宋体" w:cs="宋体"/>
          <w:color w:val="auto"/>
          <w:spacing w:val="-8"/>
          <w:sz w:val="24"/>
          <w:u w:val="single"/>
          <w:shd w:val="clear" w:color="auto" w:fill="FFFFFF"/>
        </w:rPr>
        <w:t>（项目名称）</w:t>
      </w:r>
      <w:r>
        <w:rPr>
          <w:rFonts w:hint="eastAsia" w:ascii="宋体" w:hAnsi="宋体" w:cs="宋体"/>
          <w:color w:val="auto"/>
          <w:spacing w:val="-8"/>
          <w:sz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29DF4596">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 xml:space="preserve">1. </w:t>
      </w:r>
      <w:r>
        <w:rPr>
          <w:rFonts w:hint="eastAsia" w:ascii="宋体" w:hAnsi="宋体" w:cs="宋体"/>
          <w:color w:val="auto"/>
          <w:spacing w:val="-8"/>
          <w:sz w:val="24"/>
          <w:u w:val="single"/>
          <w:shd w:val="clear" w:color="auto" w:fill="FFFFFF"/>
        </w:rPr>
        <w:t>（标的名称）</w:t>
      </w:r>
      <w:r>
        <w:rPr>
          <w:rFonts w:hint="eastAsia" w:ascii="宋体" w:hAnsi="宋体" w:cs="宋体"/>
          <w:color w:val="auto"/>
          <w:spacing w:val="-8"/>
          <w:sz w:val="24"/>
          <w:shd w:val="clear" w:color="auto" w:fill="FFFFFF"/>
        </w:rPr>
        <w:t xml:space="preserve"> ，属 于</w:t>
      </w:r>
      <w:r>
        <w:rPr>
          <w:rFonts w:hint="eastAsia" w:ascii="宋体" w:hAnsi="宋体" w:cs="宋体"/>
          <w:color w:val="auto"/>
          <w:spacing w:val="-8"/>
          <w:sz w:val="24"/>
          <w:u w:val="single"/>
          <w:shd w:val="clear" w:color="auto" w:fill="FFFFFF"/>
        </w:rPr>
        <w:t>（采购文件中明确的所属行业）</w:t>
      </w:r>
      <w:r>
        <w:rPr>
          <w:rFonts w:hint="eastAsia" w:ascii="宋体" w:hAnsi="宋体" w:cs="宋体"/>
          <w:color w:val="auto"/>
          <w:spacing w:val="-8"/>
          <w:sz w:val="24"/>
          <w:shd w:val="clear" w:color="auto" w:fill="FFFFFF"/>
        </w:rPr>
        <w:t>；承建（承接）企业为</w:t>
      </w:r>
      <w:r>
        <w:rPr>
          <w:rFonts w:hint="eastAsia" w:ascii="宋体" w:hAnsi="宋体" w:cs="宋体"/>
          <w:color w:val="auto"/>
          <w:spacing w:val="-8"/>
          <w:sz w:val="24"/>
          <w:u w:val="single"/>
          <w:shd w:val="clear" w:color="auto" w:fill="FFFFFF"/>
        </w:rPr>
        <w:t>（企业名称）</w:t>
      </w:r>
      <w:r>
        <w:rPr>
          <w:rFonts w:hint="eastAsia" w:ascii="宋体" w:hAnsi="宋体" w:cs="宋体"/>
          <w:color w:val="auto"/>
          <w:spacing w:val="-8"/>
          <w:sz w:val="24"/>
          <w:shd w:val="clear" w:color="auto" w:fill="FFFFFF"/>
        </w:rPr>
        <w:t>，从业人员</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人，营业收入为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万元，资产总额为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 ，属于（</w:t>
      </w:r>
      <w:r>
        <w:rPr>
          <w:rFonts w:hint="eastAsia" w:ascii="宋体" w:hAnsi="宋体" w:cs="宋体"/>
          <w:color w:val="auto"/>
          <w:spacing w:val="-8"/>
          <w:sz w:val="24"/>
          <w:u w:val="single"/>
          <w:shd w:val="clear" w:color="auto" w:fill="FFFFFF"/>
        </w:rPr>
        <w:t>中型企业、小型企业、微型企业</w:t>
      </w:r>
      <w:r>
        <w:rPr>
          <w:rFonts w:hint="eastAsia" w:ascii="宋体" w:hAnsi="宋体" w:cs="宋体"/>
          <w:color w:val="auto"/>
          <w:spacing w:val="-8"/>
          <w:sz w:val="24"/>
          <w:shd w:val="clear" w:color="auto" w:fill="FFFFFF"/>
        </w:rPr>
        <w:t>）；</w:t>
      </w:r>
    </w:p>
    <w:p w14:paraId="7EE02AEA">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 xml:space="preserve">2. </w:t>
      </w:r>
      <w:r>
        <w:rPr>
          <w:rFonts w:hint="eastAsia" w:ascii="宋体" w:hAnsi="宋体" w:cs="宋体"/>
          <w:color w:val="auto"/>
          <w:spacing w:val="-8"/>
          <w:sz w:val="24"/>
          <w:u w:val="single"/>
          <w:shd w:val="clear" w:color="auto" w:fill="FFFFFF"/>
        </w:rPr>
        <w:t>（标的名称）</w:t>
      </w:r>
      <w:r>
        <w:rPr>
          <w:rFonts w:hint="eastAsia" w:ascii="宋体" w:hAnsi="宋体" w:cs="宋体"/>
          <w:color w:val="auto"/>
          <w:spacing w:val="-8"/>
          <w:sz w:val="24"/>
          <w:shd w:val="clear" w:color="auto" w:fill="FFFFFF"/>
        </w:rPr>
        <w:t xml:space="preserve"> ，属于（</w:t>
      </w:r>
      <w:r>
        <w:rPr>
          <w:rFonts w:hint="eastAsia" w:ascii="宋体" w:hAnsi="宋体" w:cs="宋体"/>
          <w:color w:val="auto"/>
          <w:spacing w:val="-8"/>
          <w:sz w:val="24"/>
          <w:u w:val="single"/>
          <w:shd w:val="clear" w:color="auto" w:fill="FFFFFF"/>
        </w:rPr>
        <w:t>采购文件中明确的所属行业</w:t>
      </w:r>
      <w:r>
        <w:rPr>
          <w:rFonts w:hint="eastAsia" w:ascii="宋体" w:hAnsi="宋体" w:cs="宋体"/>
          <w:color w:val="auto"/>
          <w:spacing w:val="-8"/>
          <w:sz w:val="24"/>
          <w:shd w:val="clear" w:color="auto" w:fill="FFFFFF"/>
        </w:rPr>
        <w:t>）；承建（承接）企业为</w:t>
      </w:r>
      <w:r>
        <w:rPr>
          <w:rFonts w:hint="eastAsia" w:ascii="宋体" w:hAnsi="宋体" w:cs="宋体"/>
          <w:color w:val="auto"/>
          <w:spacing w:val="-8"/>
          <w:sz w:val="24"/>
          <w:u w:val="single"/>
          <w:shd w:val="clear" w:color="auto" w:fill="FFFFFF"/>
        </w:rPr>
        <w:t>（企业名称）</w:t>
      </w:r>
      <w:r>
        <w:rPr>
          <w:rFonts w:hint="eastAsia" w:ascii="宋体" w:hAnsi="宋体" w:cs="宋体"/>
          <w:color w:val="auto"/>
          <w:spacing w:val="-8"/>
          <w:sz w:val="24"/>
          <w:shd w:val="clear" w:color="auto" w:fill="FFFFFF"/>
        </w:rPr>
        <w:t>，从业人员</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人，营业收入为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万元，资产总额为</w:t>
      </w:r>
      <w:r>
        <w:rPr>
          <w:rFonts w:hint="eastAsia" w:ascii="宋体" w:hAnsi="宋体" w:cs="宋体"/>
          <w:color w:val="auto"/>
          <w:spacing w:val="-8"/>
          <w:sz w:val="24"/>
          <w:u w:val="single"/>
          <w:shd w:val="clear" w:color="auto" w:fill="FFFFFF"/>
        </w:rPr>
        <w:t xml:space="preserve">      </w:t>
      </w:r>
      <w:r>
        <w:rPr>
          <w:rFonts w:hint="eastAsia" w:ascii="宋体" w:hAnsi="宋体" w:cs="宋体"/>
          <w:color w:val="auto"/>
          <w:spacing w:val="-8"/>
          <w:sz w:val="24"/>
          <w:shd w:val="clear" w:color="auto" w:fill="FFFFFF"/>
        </w:rPr>
        <w:t>万元，属于（</w:t>
      </w:r>
      <w:r>
        <w:rPr>
          <w:rFonts w:hint="eastAsia" w:ascii="宋体" w:hAnsi="宋体" w:cs="宋体"/>
          <w:color w:val="auto"/>
          <w:spacing w:val="-8"/>
          <w:sz w:val="24"/>
          <w:u w:val="single"/>
          <w:shd w:val="clear" w:color="auto" w:fill="FFFFFF"/>
        </w:rPr>
        <w:t>中型企业、小型企业、微型企业</w:t>
      </w:r>
      <w:r>
        <w:rPr>
          <w:rFonts w:hint="eastAsia" w:ascii="宋体" w:hAnsi="宋体" w:cs="宋体"/>
          <w:color w:val="auto"/>
          <w:spacing w:val="-8"/>
          <w:sz w:val="24"/>
          <w:shd w:val="clear" w:color="auto" w:fill="FFFFFF"/>
        </w:rPr>
        <w:t>）；</w:t>
      </w:r>
    </w:p>
    <w:p w14:paraId="0860BB2A">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w:t>
      </w:r>
    </w:p>
    <w:p w14:paraId="7F28EACC">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以上企业，不属于大企业的分支机构，不存在控股股东为大企业的情形，也不存在与大企业的负责人为同一人的情形。</w:t>
      </w:r>
    </w:p>
    <w:p w14:paraId="2948DC55">
      <w:pPr>
        <w:spacing w:line="480" w:lineRule="auto"/>
        <w:ind w:firstLine="448" w:firstLineChars="200"/>
        <w:rPr>
          <w:rFonts w:ascii="宋体" w:hAnsi="宋体" w:cs="宋体"/>
          <w:color w:val="auto"/>
          <w:spacing w:val="-8"/>
          <w:sz w:val="24"/>
          <w:shd w:val="clear" w:color="auto" w:fill="FFFFFF"/>
        </w:rPr>
      </w:pPr>
      <w:r>
        <w:rPr>
          <w:rFonts w:hint="eastAsia" w:ascii="宋体" w:hAnsi="宋体" w:cs="宋体"/>
          <w:color w:val="auto"/>
          <w:spacing w:val="-8"/>
          <w:sz w:val="24"/>
          <w:shd w:val="clear" w:color="auto" w:fill="FFFFFF"/>
        </w:rPr>
        <w:t>本企业对上述声明内容的真实性负责。如有虚假，将依法承担相应责任。</w:t>
      </w:r>
    </w:p>
    <w:p w14:paraId="4A08F465">
      <w:pPr>
        <w:spacing w:line="360" w:lineRule="auto"/>
        <w:rPr>
          <w:rFonts w:ascii="宋体" w:hAnsi="宋体" w:cs="宋体"/>
          <w:color w:val="auto"/>
          <w:spacing w:val="-8"/>
          <w:sz w:val="24"/>
          <w:shd w:val="clear" w:color="auto" w:fill="FFFFFF"/>
        </w:rPr>
      </w:pPr>
    </w:p>
    <w:p w14:paraId="405D2DEF">
      <w:pPr>
        <w:tabs>
          <w:tab w:val="left" w:pos="4000"/>
        </w:tabs>
        <w:snapToGrid w:val="0"/>
        <w:spacing w:line="480" w:lineRule="auto"/>
        <w:jc w:val="right"/>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eastAsia="宋体" w:cs="宋体"/>
          <w:color w:val="auto"/>
          <w:kern w:val="0"/>
          <w:sz w:val="24"/>
          <w:szCs w:val="24"/>
          <w:lang w:val="en-US" w:eastAsia="zh-CN"/>
        </w:rPr>
        <w:t>电子公章</w:t>
      </w:r>
      <w:r>
        <w:rPr>
          <w:rFonts w:hint="eastAsia" w:ascii="宋体" w:hAnsi="宋体" w:cs="宋体"/>
          <w:color w:val="auto"/>
          <w:kern w:val="0"/>
          <w:sz w:val="24"/>
        </w:rPr>
        <w:t>)</w:t>
      </w:r>
    </w:p>
    <w:p w14:paraId="6BA90744">
      <w:pPr>
        <w:tabs>
          <w:tab w:val="left" w:pos="4000"/>
        </w:tabs>
        <w:snapToGrid w:val="0"/>
        <w:spacing w:line="480" w:lineRule="auto"/>
        <w:jc w:val="left"/>
        <w:rPr>
          <w:rFonts w:ascii="宋体" w:hAnsi="宋体" w:cs="宋体"/>
          <w:color w:val="auto"/>
          <w:kern w:val="0"/>
          <w:sz w:val="24"/>
        </w:rPr>
      </w:pPr>
    </w:p>
    <w:p w14:paraId="735A9C5F">
      <w:pPr>
        <w:pStyle w:val="35"/>
        <w:snapToGrid w:val="0"/>
        <w:spacing w:line="520" w:lineRule="exact"/>
        <w:ind w:firstLine="5520" w:firstLineChars="2300"/>
        <w:jc w:val="both"/>
        <w:rPr>
          <w:rFonts w:cs="宋体"/>
          <w:color w:val="auto"/>
          <w:sz w:val="24"/>
          <w:szCs w:val="24"/>
        </w:rPr>
      </w:pPr>
      <w:r>
        <w:rPr>
          <w:rFonts w:hint="eastAsia" w:ascii="宋体" w:hAnsi="宋体" w:cs="宋体"/>
          <w:color w:val="auto"/>
          <w:sz w:val="24"/>
        </w:rPr>
        <w:t>日     期：</w:t>
      </w:r>
    </w:p>
    <w:p w14:paraId="13217134">
      <w:pPr>
        <w:spacing w:line="360" w:lineRule="auto"/>
        <w:jc w:val="left"/>
        <w:rPr>
          <w:rFonts w:ascii="宋体" w:hAnsi="宋体" w:cs="宋体"/>
          <w:b/>
          <w:color w:val="auto"/>
          <w:sz w:val="24"/>
        </w:rPr>
      </w:pPr>
    </w:p>
    <w:p w14:paraId="3E487AD4">
      <w:pPr>
        <w:spacing w:line="360" w:lineRule="auto"/>
        <w:jc w:val="left"/>
        <w:rPr>
          <w:rFonts w:ascii="宋体" w:hAnsi="宋体" w:cs="宋体"/>
          <w:b/>
          <w:color w:val="auto"/>
          <w:sz w:val="24"/>
        </w:rPr>
      </w:pPr>
    </w:p>
    <w:p w14:paraId="09C58CC1">
      <w:pPr>
        <w:rPr>
          <w:rFonts w:hint="eastAsia" w:ascii="宋体" w:hAnsi="宋体" w:cs="宋体"/>
          <w:b/>
          <w:color w:val="auto"/>
          <w:sz w:val="24"/>
        </w:rPr>
      </w:pPr>
      <w:r>
        <w:rPr>
          <w:rFonts w:hint="eastAsia" w:ascii="宋体" w:hAnsi="宋体" w:cs="宋体"/>
          <w:b/>
          <w:color w:val="auto"/>
          <w:sz w:val="24"/>
        </w:rPr>
        <w:br w:type="page"/>
      </w:r>
    </w:p>
    <w:p w14:paraId="0C4D4598">
      <w:pPr>
        <w:spacing w:line="360" w:lineRule="auto"/>
        <w:jc w:val="left"/>
        <w:rPr>
          <w:rFonts w:ascii="宋体" w:hAnsi="宋体" w:cs="宋体"/>
          <w:b/>
          <w:color w:val="auto"/>
          <w:spacing w:val="6"/>
          <w:sz w:val="24"/>
        </w:rPr>
      </w:pPr>
      <w:r>
        <w:rPr>
          <w:rFonts w:hint="eastAsia" w:ascii="宋体" w:hAnsi="宋体" w:cs="宋体"/>
          <w:b/>
          <w:color w:val="auto"/>
          <w:sz w:val="24"/>
        </w:rPr>
        <w:t>（四）</w:t>
      </w:r>
      <w:r>
        <w:rPr>
          <w:rFonts w:hint="eastAsia" w:ascii="宋体" w:hAnsi="宋体" w:cs="宋体"/>
          <w:b/>
          <w:color w:val="auto"/>
          <w:spacing w:val="6"/>
          <w:sz w:val="24"/>
        </w:rPr>
        <w:t>残疾人福利性单位声明函</w:t>
      </w:r>
      <w:r>
        <w:rPr>
          <w:rFonts w:hint="eastAsia" w:ascii="宋体" w:hAnsi="宋体" w:cs="宋体"/>
          <w:b/>
          <w:color w:val="auto"/>
          <w:sz w:val="24"/>
        </w:rPr>
        <w:t>格式</w:t>
      </w:r>
      <w:r>
        <w:rPr>
          <w:rFonts w:hint="eastAsia" w:ascii="宋体" w:hAnsi="宋体" w:cs="宋体"/>
          <w:b/>
          <w:color w:val="auto"/>
          <w:kern w:val="0"/>
          <w:sz w:val="24"/>
        </w:rPr>
        <w:t>（如不涉及，此函可不提供）</w:t>
      </w:r>
    </w:p>
    <w:p w14:paraId="21B9B94E">
      <w:pPr>
        <w:spacing w:line="360" w:lineRule="auto"/>
        <w:jc w:val="center"/>
        <w:rPr>
          <w:rFonts w:ascii="宋体" w:hAnsi="宋体" w:cs="宋体"/>
          <w:b/>
          <w:color w:val="auto"/>
          <w:spacing w:val="6"/>
          <w:sz w:val="24"/>
        </w:rPr>
      </w:pPr>
    </w:p>
    <w:p w14:paraId="7F231606">
      <w:pPr>
        <w:spacing w:line="360" w:lineRule="auto"/>
        <w:jc w:val="center"/>
        <w:rPr>
          <w:rFonts w:ascii="宋体" w:hAnsi="宋体" w:cs="宋体"/>
          <w:b/>
          <w:color w:val="auto"/>
          <w:sz w:val="24"/>
        </w:rPr>
      </w:pPr>
      <w:r>
        <w:rPr>
          <w:rFonts w:hint="eastAsia" w:ascii="宋体" w:hAnsi="宋体" w:cs="宋体"/>
          <w:b/>
          <w:color w:val="auto"/>
          <w:spacing w:val="6"/>
          <w:sz w:val="24"/>
        </w:rPr>
        <w:t>残疾人福利性单位声明函</w:t>
      </w:r>
    </w:p>
    <w:p w14:paraId="422C9691">
      <w:pPr>
        <w:tabs>
          <w:tab w:val="left" w:pos="1680"/>
        </w:tabs>
        <w:snapToGrid w:val="0"/>
        <w:spacing w:line="360" w:lineRule="auto"/>
        <w:jc w:val="center"/>
        <w:rPr>
          <w:rFonts w:ascii="宋体" w:hAnsi="宋体" w:cs="宋体"/>
          <w:b/>
          <w:color w:val="auto"/>
          <w:sz w:val="24"/>
        </w:rPr>
      </w:pPr>
    </w:p>
    <w:p w14:paraId="5EBFFE3F">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1005A99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DC8FE7B">
      <w:pPr>
        <w:spacing w:line="360" w:lineRule="auto"/>
        <w:ind w:firstLine="504" w:firstLineChars="200"/>
        <w:rPr>
          <w:rFonts w:ascii="宋体" w:hAnsi="宋体" w:cs="宋体"/>
          <w:color w:val="auto"/>
          <w:spacing w:val="6"/>
          <w:sz w:val="24"/>
        </w:rPr>
      </w:pPr>
    </w:p>
    <w:p w14:paraId="1A9A61DA">
      <w:pPr>
        <w:spacing w:line="360" w:lineRule="auto"/>
        <w:ind w:firstLine="504" w:firstLineChars="200"/>
        <w:rPr>
          <w:rFonts w:ascii="宋体" w:hAnsi="宋体" w:cs="宋体"/>
          <w:color w:val="auto"/>
          <w:spacing w:val="6"/>
          <w:sz w:val="24"/>
        </w:rPr>
      </w:pPr>
    </w:p>
    <w:p w14:paraId="3838FBA3">
      <w:pPr>
        <w:pStyle w:val="35"/>
        <w:snapToGrid w:val="0"/>
        <w:spacing w:line="360" w:lineRule="auto"/>
        <w:ind w:firstLine="4320" w:firstLineChars="1800"/>
        <w:rPr>
          <w:rFonts w:cs="宋体"/>
          <w:color w:val="auto"/>
          <w:sz w:val="24"/>
          <w:szCs w:val="24"/>
        </w:rPr>
      </w:pPr>
      <w:r>
        <w:rPr>
          <w:rFonts w:hint="eastAsia" w:cs="宋体"/>
          <w:color w:val="auto"/>
          <w:sz w:val="24"/>
          <w:szCs w:val="24"/>
        </w:rPr>
        <w:t xml:space="preserve"> 供应商名称：</w:t>
      </w:r>
      <w:r>
        <w:rPr>
          <w:rFonts w:hint="eastAsia" w:cs="宋体"/>
          <w:color w:val="auto"/>
          <w:sz w:val="24"/>
          <w:szCs w:val="24"/>
          <w:u w:val="single"/>
        </w:rPr>
        <w:t xml:space="preserve">             </w:t>
      </w:r>
      <w:r>
        <w:rPr>
          <w:rFonts w:hint="eastAsia" w:cs="宋体"/>
          <w:color w:val="auto"/>
          <w:sz w:val="24"/>
          <w:szCs w:val="24"/>
          <w:u w:val="none"/>
          <w:lang w:eastAsia="zh-CN"/>
        </w:rPr>
        <w:t>（</w:t>
      </w:r>
      <w:r>
        <w:rPr>
          <w:rFonts w:hint="eastAsia" w:cs="宋体"/>
          <w:color w:val="auto"/>
          <w:sz w:val="24"/>
          <w:szCs w:val="24"/>
          <w:u w:val="none"/>
        </w:rPr>
        <w:t>电子公章</w:t>
      </w:r>
      <w:r>
        <w:rPr>
          <w:rFonts w:hint="eastAsia" w:cs="宋体"/>
          <w:color w:val="auto"/>
          <w:sz w:val="24"/>
          <w:szCs w:val="24"/>
          <w:u w:val="none"/>
          <w:lang w:eastAsia="zh-CN"/>
        </w:rPr>
        <w:t>）</w:t>
      </w:r>
    </w:p>
    <w:p w14:paraId="73CE165E">
      <w:pPr>
        <w:spacing w:line="360" w:lineRule="auto"/>
        <w:ind w:left="0" w:leftChars="0" w:firstLine="4838" w:firstLineChars="2016"/>
        <w:rPr>
          <w:rFonts w:ascii="宋体" w:hAnsi="宋体" w:cs="宋体"/>
          <w:b/>
          <w:color w:val="auto"/>
          <w:sz w:val="24"/>
        </w:rPr>
      </w:pPr>
      <w:r>
        <w:rPr>
          <w:rFonts w:hint="eastAsia" w:ascii="宋体" w:hAnsi="宋体" w:cs="宋体"/>
          <w:color w:val="auto"/>
          <w:sz w:val="24"/>
        </w:rPr>
        <w:t>日 期：</w:t>
      </w:r>
    </w:p>
    <w:p w14:paraId="36BA52B8">
      <w:pPr>
        <w:spacing w:line="360" w:lineRule="auto"/>
        <w:rPr>
          <w:rFonts w:ascii="宋体" w:hAnsi="宋体" w:cs="宋体"/>
          <w:b/>
          <w:color w:val="auto"/>
          <w:sz w:val="24"/>
        </w:rPr>
      </w:pPr>
    </w:p>
    <w:p w14:paraId="089AF1E0">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注：成交供应商为残疾人福利性单位的，代理机构随中标结果同时公告其《残疾人福利性单位声明函》</w:t>
      </w:r>
    </w:p>
    <w:p w14:paraId="79E30E3E">
      <w:pPr>
        <w:pStyle w:val="14"/>
        <w:rPr>
          <w:rFonts w:hAnsi="宋体" w:cs="宋体"/>
          <w:b/>
          <w:color w:val="auto"/>
          <w:sz w:val="24"/>
        </w:rPr>
      </w:pPr>
    </w:p>
    <w:p w14:paraId="340AA8DB">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br w:type="page"/>
      </w:r>
    </w:p>
    <w:p w14:paraId="421EA9F7">
      <w:pPr>
        <w:keepLines w:val="0"/>
        <w:pageBreakBefore w:val="0"/>
        <w:widowControl w:val="0"/>
        <w:numPr>
          <w:ilvl w:val="0"/>
          <w:numId w:val="0"/>
        </w:numPr>
        <w:kinsoku/>
        <w:wordWrap/>
        <w:overflowPunct/>
        <w:topLinePunct w:val="0"/>
        <w:bidi w:val="0"/>
        <w:spacing w:after="156" w:afterLines="50"/>
        <w:jc w:val="left"/>
        <w:outlineLvl w:val="1"/>
        <w:rPr>
          <w:rFonts w:hint="eastAsia" w:ascii="宋体" w:hAnsi="宋体" w:cs="宋体"/>
          <w:b/>
          <w:color w:val="auto"/>
          <w:kern w:val="0"/>
          <w:sz w:val="24"/>
        </w:rPr>
      </w:pPr>
      <w:r>
        <w:rPr>
          <w:rFonts w:hint="eastAsia" w:ascii="宋体" w:hAnsi="宋体" w:eastAsia="宋体" w:cs="宋体"/>
          <w:b/>
          <w:color w:val="auto"/>
          <w:kern w:val="0"/>
          <w:sz w:val="24"/>
          <w:szCs w:val="24"/>
          <w:lang w:val="en-US" w:eastAsia="zh-CN" w:bidi="ar-SA"/>
        </w:rPr>
        <w:t>（</w:t>
      </w:r>
      <w:r>
        <w:rPr>
          <w:rFonts w:hint="eastAsia" w:ascii="宋体" w:hAnsi="宋体" w:cs="宋体"/>
          <w:b/>
          <w:color w:val="auto"/>
          <w:kern w:val="0"/>
          <w:sz w:val="24"/>
          <w:szCs w:val="24"/>
          <w:lang w:val="en-US" w:eastAsia="zh-CN" w:bidi="ar-SA"/>
        </w:rPr>
        <w:t>五</w:t>
      </w:r>
      <w:r>
        <w:rPr>
          <w:rFonts w:hint="eastAsia" w:ascii="宋体" w:hAnsi="宋体" w:eastAsia="宋体" w:cs="宋体"/>
          <w:b/>
          <w:color w:val="auto"/>
          <w:kern w:val="0"/>
          <w:sz w:val="24"/>
          <w:szCs w:val="24"/>
          <w:lang w:val="en-US" w:eastAsia="zh-CN" w:bidi="ar-SA"/>
        </w:rPr>
        <w:t>）</w:t>
      </w:r>
      <w:bookmarkStart w:id="93" w:name="_Toc8628"/>
      <w:r>
        <w:rPr>
          <w:rFonts w:hint="eastAsia" w:ascii="宋体" w:hAnsi="宋体" w:cs="宋体"/>
          <w:b/>
          <w:color w:val="auto"/>
          <w:spacing w:val="6"/>
          <w:sz w:val="24"/>
        </w:rPr>
        <w:t>监狱企业声明</w:t>
      </w:r>
      <w:r>
        <w:rPr>
          <w:rFonts w:hint="eastAsia" w:ascii="宋体" w:hAnsi="宋体" w:cs="宋体"/>
          <w:b/>
          <w:color w:val="auto"/>
          <w:sz w:val="24"/>
        </w:rPr>
        <w:t>格式</w:t>
      </w:r>
      <w:r>
        <w:rPr>
          <w:rFonts w:hint="eastAsia" w:ascii="宋体" w:hAnsi="宋体" w:cs="宋体"/>
          <w:b/>
          <w:color w:val="auto"/>
          <w:kern w:val="0"/>
          <w:sz w:val="24"/>
        </w:rPr>
        <w:t>（如不涉及，此函可不提供）</w:t>
      </w:r>
    </w:p>
    <w:p w14:paraId="1BF4A2B5">
      <w:pPr>
        <w:spacing w:line="360" w:lineRule="auto"/>
        <w:jc w:val="center"/>
        <w:rPr>
          <w:rFonts w:hint="eastAsia" w:ascii="宋体" w:hAnsi="宋体" w:eastAsia="宋体" w:cs="宋体"/>
          <w:b/>
          <w:color w:val="auto"/>
          <w:spacing w:val="6"/>
          <w:sz w:val="24"/>
          <w:lang w:val="en-US" w:eastAsia="zh-CN"/>
        </w:rPr>
      </w:pPr>
    </w:p>
    <w:p w14:paraId="7DEBB5FF">
      <w:pPr>
        <w:spacing w:line="360" w:lineRule="auto"/>
        <w:jc w:val="center"/>
        <w:rPr>
          <w:rFonts w:hint="eastAsia" w:ascii="宋体" w:hAnsi="宋体" w:eastAsia="宋体" w:cs="宋体"/>
          <w:b/>
          <w:bCs/>
          <w:color w:val="auto"/>
          <w:spacing w:val="6"/>
          <w:kern w:val="0"/>
          <w:sz w:val="32"/>
          <w:szCs w:val="32"/>
          <w:highlight w:val="none"/>
          <w:lang w:val="en-US" w:eastAsia="zh-CN"/>
        </w:rPr>
      </w:pPr>
      <w:r>
        <w:rPr>
          <w:rFonts w:hint="eastAsia" w:ascii="宋体" w:hAnsi="宋体" w:eastAsia="宋体" w:cs="宋体"/>
          <w:b/>
          <w:color w:val="auto"/>
          <w:spacing w:val="6"/>
          <w:sz w:val="24"/>
          <w:lang w:val="en-US" w:eastAsia="zh-CN"/>
        </w:rPr>
        <w:t>监狱企业声明</w:t>
      </w:r>
      <w:bookmarkEnd w:id="93"/>
    </w:p>
    <w:p w14:paraId="009F4807">
      <w:pPr>
        <w:keepLines w:val="0"/>
        <w:pageBreakBefore w:val="0"/>
        <w:widowControl w:val="0"/>
        <w:tabs>
          <w:tab w:val="left" w:pos="4000"/>
        </w:tabs>
        <w:kinsoku/>
        <w:overflowPunct/>
        <w:topLinePunct w:val="0"/>
        <w:bidi w:val="0"/>
        <w:snapToGrid w:val="0"/>
        <w:spacing w:line="360" w:lineRule="auto"/>
        <w:rPr>
          <w:rFonts w:hint="eastAsia" w:ascii="仿宋" w:hAnsi="仿宋" w:eastAsia="仿宋" w:cs="仿宋"/>
          <w:color w:val="auto"/>
          <w:highlight w:val="none"/>
        </w:rPr>
      </w:pPr>
    </w:p>
    <w:p w14:paraId="4A72E6E2">
      <w:pPr>
        <w:keepLines w:val="0"/>
        <w:pageBreakBefore w:val="0"/>
        <w:widowControl w:val="0"/>
        <w:shd w:val="clear" w:color="auto" w:fill="FFFFFF"/>
        <w:kinsoku/>
        <w:overflowPunct/>
        <w:topLinePunct w:val="0"/>
        <w:bidi w:val="0"/>
        <w:snapToGrid w:val="0"/>
        <w:spacing w:line="48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本单位郑重声明，根据《财政部、司法部关于政府采购支持监狱企业发展有关问题的通知》(财库(2014)68号)的规定，本单位为符合条件的政府采购支持的监狱企业，且本单位参加</w:t>
      </w:r>
      <w:r>
        <w:rPr>
          <w:rFonts w:hint="eastAsia" w:ascii="宋体" w:hAnsi="宋体" w:eastAsia="宋体" w:cs="宋体"/>
          <w:color w:val="auto"/>
          <w:spacing w:val="10"/>
          <w:kern w:val="0"/>
          <w:sz w:val="24"/>
          <w:szCs w:val="24"/>
          <w:highlight w:val="none"/>
        </w:rPr>
        <w:t>______</w:t>
      </w:r>
      <w:r>
        <w:rPr>
          <w:rFonts w:hint="eastAsia" w:ascii="宋体" w:hAnsi="宋体" w:eastAsia="宋体" w:cs="宋体"/>
          <w:color w:val="auto"/>
          <w:sz w:val="24"/>
          <w:szCs w:val="24"/>
          <w:lang w:val="en-US" w:eastAsia="zh-CN"/>
        </w:rPr>
        <w:t>单位的</w:t>
      </w:r>
      <w:r>
        <w:rPr>
          <w:rFonts w:hint="eastAsia" w:ascii="宋体" w:hAnsi="宋体" w:eastAsia="宋体" w:cs="宋体"/>
          <w:color w:val="auto"/>
          <w:spacing w:val="10"/>
          <w:kern w:val="0"/>
          <w:sz w:val="24"/>
          <w:szCs w:val="24"/>
          <w:highlight w:val="none"/>
        </w:rPr>
        <w:t>______</w:t>
      </w:r>
      <w:r>
        <w:rPr>
          <w:rFonts w:hint="eastAsia" w:ascii="宋体" w:hAnsi="宋体" w:eastAsia="宋体" w:cs="宋体"/>
          <w:color w:val="auto"/>
          <w:sz w:val="24"/>
          <w:szCs w:val="24"/>
          <w:lang w:val="en-US" w:eastAsia="zh-CN"/>
        </w:rPr>
        <w:t>项</w:t>
      </w:r>
      <w:r>
        <w:rPr>
          <w:rFonts w:hint="eastAsia" w:ascii="宋体" w:hAnsi="宋体" w:eastAsia="宋体" w:cs="宋体"/>
          <w:color w:val="auto"/>
          <w:sz w:val="24"/>
          <w:lang w:val="en-US" w:eastAsia="zh-CN"/>
        </w:rPr>
        <w:t>目采购活动提供服务。</w:t>
      </w:r>
    </w:p>
    <w:p w14:paraId="6292A13B">
      <w:pPr>
        <w:keepLines w:val="0"/>
        <w:pageBreakBefore w:val="0"/>
        <w:widowControl w:val="0"/>
        <w:shd w:val="clear" w:color="auto" w:fill="FFFFFF"/>
        <w:kinsoku/>
        <w:overflowPunct/>
        <w:topLinePunct w:val="0"/>
        <w:bidi w:val="0"/>
        <w:snapToGrid w:val="0"/>
        <w:spacing w:line="48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本单位对上述声明的真实性负责。如有虚假，将依法承担相应责任。</w:t>
      </w:r>
    </w:p>
    <w:p w14:paraId="71D557EF">
      <w:pPr>
        <w:keepLines w:val="0"/>
        <w:pageBreakBefore w:val="0"/>
        <w:widowControl w:val="0"/>
        <w:kinsoku/>
        <w:overflowPunct/>
        <w:topLinePunct w:val="0"/>
        <w:bidi w:val="0"/>
        <w:snapToGrid w:val="0"/>
        <w:spacing w:line="420" w:lineRule="exact"/>
        <w:jc w:val="center"/>
        <w:rPr>
          <w:rFonts w:hint="eastAsia" w:ascii="仿宋" w:hAnsi="仿宋" w:eastAsia="仿宋" w:cs="仿宋"/>
          <w:b/>
          <w:bCs/>
          <w:color w:val="auto"/>
          <w:spacing w:val="10"/>
          <w:kern w:val="0"/>
          <w:sz w:val="32"/>
          <w:szCs w:val="32"/>
          <w:highlight w:val="none"/>
        </w:rPr>
      </w:pPr>
    </w:p>
    <w:p w14:paraId="0C9FA642">
      <w:pPr>
        <w:keepLines w:val="0"/>
        <w:pageBreakBefore w:val="0"/>
        <w:widowControl w:val="0"/>
        <w:kinsoku/>
        <w:overflowPunct/>
        <w:topLinePunct w:val="0"/>
        <w:bidi w:val="0"/>
        <w:snapToGrid w:val="0"/>
        <w:spacing w:line="480" w:lineRule="auto"/>
        <w:jc w:val="left"/>
        <w:rPr>
          <w:rFonts w:hint="eastAsia" w:ascii="仿宋" w:hAnsi="仿宋" w:eastAsia="仿宋" w:cs="仿宋"/>
          <w:color w:val="auto"/>
          <w:spacing w:val="10"/>
          <w:kern w:val="0"/>
          <w:sz w:val="28"/>
          <w:szCs w:val="28"/>
          <w:highlight w:val="none"/>
        </w:rPr>
      </w:pPr>
    </w:p>
    <w:p w14:paraId="20651324">
      <w:pPr>
        <w:pStyle w:val="35"/>
        <w:snapToGrid w:val="0"/>
        <w:spacing w:line="360" w:lineRule="auto"/>
        <w:ind w:firstLine="4320" w:firstLineChars="1800"/>
        <w:rPr>
          <w:rFonts w:cs="宋体"/>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u w:val="none"/>
          <w:lang w:eastAsia="zh-CN"/>
        </w:rPr>
        <w:t>（</w:t>
      </w:r>
      <w:r>
        <w:rPr>
          <w:rFonts w:hint="eastAsia" w:cs="宋体"/>
          <w:color w:val="auto"/>
          <w:sz w:val="24"/>
          <w:szCs w:val="24"/>
          <w:u w:val="none"/>
        </w:rPr>
        <w:t>电子公章</w:t>
      </w:r>
      <w:r>
        <w:rPr>
          <w:rFonts w:hint="eastAsia" w:cs="宋体"/>
          <w:color w:val="auto"/>
          <w:sz w:val="24"/>
          <w:szCs w:val="24"/>
          <w:u w:val="none"/>
          <w:lang w:eastAsia="zh-CN"/>
        </w:rPr>
        <w:t>）</w:t>
      </w:r>
    </w:p>
    <w:p w14:paraId="218F37B9">
      <w:pPr>
        <w:keepLines w:val="0"/>
        <w:pageBreakBefore w:val="0"/>
        <w:widowControl w:val="0"/>
        <w:tabs>
          <w:tab w:val="left" w:pos="4000"/>
        </w:tabs>
        <w:kinsoku/>
        <w:overflowPunct/>
        <w:topLinePunct w:val="0"/>
        <w:bidi w:val="0"/>
        <w:snapToGrid w:val="0"/>
        <w:spacing w:line="360" w:lineRule="auto"/>
        <w:ind w:firstLine="4560" w:firstLineChars="1900"/>
        <w:rPr>
          <w:rFonts w:hint="eastAsia" w:ascii="仿宋" w:hAnsi="仿宋" w:eastAsia="仿宋" w:cs="仿宋"/>
          <w:color w:val="auto"/>
          <w:spacing w:val="20"/>
          <w:kern w:val="0"/>
          <w:sz w:val="28"/>
          <w:szCs w:val="28"/>
          <w:highlight w:val="none"/>
        </w:rPr>
      </w:pPr>
      <w:r>
        <w:rPr>
          <w:rFonts w:hint="eastAsia" w:ascii="宋体" w:hAnsi="宋体" w:cs="宋体"/>
          <w:color w:val="auto"/>
          <w:sz w:val="24"/>
        </w:rPr>
        <w:t>日 期：</w:t>
      </w:r>
      <w:r>
        <w:rPr>
          <w:rFonts w:hint="eastAsia" w:ascii="仿宋" w:hAnsi="仿宋" w:eastAsia="仿宋" w:cs="仿宋"/>
          <w:color w:val="auto"/>
          <w:spacing w:val="20"/>
          <w:kern w:val="0"/>
          <w:sz w:val="28"/>
          <w:szCs w:val="28"/>
          <w:highlight w:val="none"/>
        </w:rPr>
        <w:t xml:space="preserve"> </w:t>
      </w:r>
    </w:p>
    <w:p w14:paraId="31C79833">
      <w:pPr>
        <w:keepLines w:val="0"/>
        <w:pageBreakBefore w:val="0"/>
        <w:widowControl w:val="0"/>
        <w:kinsoku/>
        <w:overflowPunct/>
        <w:topLinePunct w:val="0"/>
        <w:bidi w:val="0"/>
        <w:snapToGrid w:val="0"/>
        <w:spacing w:line="420" w:lineRule="exact"/>
        <w:jc w:val="center"/>
        <w:rPr>
          <w:rFonts w:hint="eastAsia" w:ascii="仿宋" w:hAnsi="仿宋" w:eastAsia="仿宋" w:cs="仿宋"/>
          <w:b/>
          <w:bCs/>
          <w:color w:val="auto"/>
          <w:spacing w:val="10"/>
          <w:kern w:val="0"/>
          <w:sz w:val="32"/>
          <w:szCs w:val="32"/>
          <w:highlight w:val="none"/>
        </w:rPr>
      </w:pPr>
    </w:p>
    <w:p w14:paraId="3EE6C875">
      <w:pPr>
        <w:keepLines w:val="0"/>
        <w:pageBreakBefore w:val="0"/>
        <w:widowControl w:val="0"/>
        <w:kinsoku/>
        <w:overflowPunct/>
        <w:topLinePunct w:val="0"/>
        <w:bidi w:val="0"/>
        <w:snapToGrid w:val="0"/>
        <w:spacing w:line="420" w:lineRule="exact"/>
        <w:jc w:val="center"/>
        <w:rPr>
          <w:rFonts w:hint="eastAsia" w:ascii="仿宋" w:hAnsi="仿宋" w:eastAsia="仿宋" w:cs="仿宋"/>
          <w:b/>
          <w:bCs/>
          <w:color w:val="auto"/>
          <w:spacing w:val="10"/>
          <w:kern w:val="0"/>
          <w:sz w:val="32"/>
          <w:szCs w:val="32"/>
          <w:highlight w:val="none"/>
        </w:rPr>
      </w:pPr>
    </w:p>
    <w:p w14:paraId="1219DD0C">
      <w:pPr>
        <w:keepLines w:val="0"/>
        <w:pageBreakBefore w:val="0"/>
        <w:widowControl w:val="0"/>
        <w:kinsoku/>
        <w:overflowPunct/>
        <w:topLinePunct w:val="0"/>
        <w:bidi w:val="0"/>
        <w:snapToGrid w:val="0"/>
        <w:spacing w:line="420" w:lineRule="exact"/>
        <w:jc w:val="center"/>
        <w:rPr>
          <w:rFonts w:hint="eastAsia" w:ascii="仿宋" w:hAnsi="仿宋" w:eastAsia="仿宋" w:cs="仿宋"/>
          <w:b/>
          <w:bCs/>
          <w:color w:val="auto"/>
          <w:spacing w:val="10"/>
          <w:kern w:val="0"/>
          <w:sz w:val="32"/>
          <w:szCs w:val="32"/>
          <w:highlight w:val="none"/>
        </w:rPr>
      </w:pPr>
    </w:p>
    <w:p w14:paraId="69BE1830">
      <w:pPr>
        <w:keepLines w:val="0"/>
        <w:pageBreakBefore w:val="0"/>
        <w:widowControl w:val="0"/>
        <w:kinsoku/>
        <w:overflowPunct/>
        <w:topLinePunct w:val="0"/>
        <w:bidi w:val="0"/>
        <w:snapToGrid w:val="0"/>
        <w:spacing w:line="420" w:lineRule="exact"/>
        <w:jc w:val="center"/>
        <w:rPr>
          <w:rFonts w:hint="eastAsia" w:ascii="仿宋" w:hAnsi="仿宋" w:eastAsia="仿宋" w:cs="仿宋"/>
          <w:b/>
          <w:bCs/>
          <w:color w:val="auto"/>
          <w:spacing w:val="10"/>
          <w:kern w:val="0"/>
          <w:sz w:val="32"/>
          <w:szCs w:val="32"/>
          <w:highlight w:val="none"/>
        </w:rPr>
      </w:pPr>
    </w:p>
    <w:p w14:paraId="6A2CC863">
      <w:pPr>
        <w:pStyle w:val="8"/>
        <w:keepLines w:val="0"/>
        <w:pageBreakBefore w:val="0"/>
        <w:widowControl w:val="0"/>
        <w:kinsoku/>
        <w:overflowPunct/>
        <w:topLinePunct w:val="0"/>
        <w:bidi w:val="0"/>
        <w:rPr>
          <w:rFonts w:hint="eastAsia" w:ascii="仿宋" w:hAnsi="仿宋" w:eastAsia="仿宋" w:cs="仿宋"/>
          <w:b/>
          <w:bCs/>
          <w:color w:val="auto"/>
          <w:spacing w:val="10"/>
          <w:kern w:val="0"/>
          <w:sz w:val="32"/>
          <w:szCs w:val="32"/>
          <w:highlight w:val="none"/>
        </w:rPr>
      </w:pPr>
    </w:p>
    <w:p w14:paraId="316AB035">
      <w:pPr>
        <w:rPr>
          <w:rFonts w:hint="eastAsia" w:ascii="仿宋" w:hAnsi="仿宋" w:eastAsia="仿宋" w:cs="仿宋"/>
          <w:b/>
          <w:bCs/>
          <w:color w:val="auto"/>
          <w:spacing w:val="10"/>
          <w:kern w:val="0"/>
          <w:sz w:val="32"/>
          <w:szCs w:val="32"/>
          <w:highlight w:val="none"/>
        </w:rPr>
      </w:pPr>
    </w:p>
    <w:p w14:paraId="3A5CE388">
      <w:pPr>
        <w:spacing w:line="360" w:lineRule="auto"/>
        <w:ind w:firstLine="482" w:firstLineChars="200"/>
        <w:rPr>
          <w:rFonts w:hint="eastAsia" w:ascii="宋体" w:hAnsi="宋体" w:eastAsia="宋体" w:cs="宋体"/>
          <w:b/>
          <w:color w:val="auto"/>
          <w:sz w:val="24"/>
        </w:rPr>
      </w:pPr>
    </w:p>
    <w:p w14:paraId="4B1E186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注：报价单位</w:t>
      </w:r>
      <w:r>
        <w:rPr>
          <w:rFonts w:hint="eastAsia" w:ascii="宋体" w:hAnsi="宋体" w:eastAsia="宋体" w:cs="宋体"/>
          <w:b/>
          <w:color w:val="auto"/>
          <w:sz w:val="24"/>
          <w:lang w:eastAsia="zh-CN"/>
        </w:rPr>
        <w:t>应</w:t>
      </w:r>
      <w:r>
        <w:rPr>
          <w:rFonts w:hint="eastAsia" w:ascii="宋体" w:hAnsi="宋体" w:eastAsia="宋体" w:cs="宋体"/>
          <w:b/>
          <w:color w:val="auto"/>
          <w:sz w:val="24"/>
        </w:rPr>
        <w:t>对《监狱企业声明》的真实性负责。在</w:t>
      </w:r>
      <w:r>
        <w:rPr>
          <w:rFonts w:hint="eastAsia" w:ascii="宋体" w:hAnsi="宋体" w:eastAsia="宋体" w:cs="宋体"/>
          <w:b/>
          <w:color w:val="auto"/>
          <w:sz w:val="24"/>
          <w:lang w:val="en-US" w:eastAsia="zh-CN"/>
        </w:rPr>
        <w:t>报价</w:t>
      </w:r>
      <w:r>
        <w:rPr>
          <w:rFonts w:hint="eastAsia" w:ascii="宋体" w:hAnsi="宋体" w:eastAsia="宋体" w:cs="宋体"/>
          <w:b/>
          <w:color w:val="auto"/>
          <w:sz w:val="24"/>
        </w:rPr>
        <w:t>时须提供由省级以上监狱管理局、戒毒管理局（含新疆生产建设兵团）出具的属于监狱企业的证明文件。</w:t>
      </w:r>
    </w:p>
    <w:p w14:paraId="66B5DDC7">
      <w:pPr>
        <w:rPr>
          <w:rFonts w:hint="eastAsia" w:ascii="宋体" w:hAnsi="宋体" w:cs="宋体"/>
          <w:b/>
          <w:color w:val="auto"/>
          <w:kern w:val="0"/>
          <w:sz w:val="24"/>
          <w:highlight w:val="cyan"/>
        </w:rPr>
      </w:pPr>
      <w:r>
        <w:rPr>
          <w:rFonts w:hint="eastAsia" w:ascii="宋体" w:hAnsi="宋体" w:cs="宋体"/>
          <w:b/>
          <w:color w:val="auto"/>
          <w:kern w:val="0"/>
          <w:sz w:val="24"/>
          <w:highlight w:val="cyan"/>
        </w:rPr>
        <w:br w:type="page"/>
      </w:r>
    </w:p>
    <w:p w14:paraId="405164F2">
      <w:pPr>
        <w:widowControl/>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）联合体协议书格式（如有）</w:t>
      </w:r>
    </w:p>
    <w:p w14:paraId="43EF6D10">
      <w:pPr>
        <w:widowControl/>
        <w:snapToGrid w:val="0"/>
        <w:spacing w:line="360" w:lineRule="auto"/>
        <w:rPr>
          <w:rFonts w:ascii="宋体" w:hAnsi="宋体" w:cs="宋体"/>
          <w:b/>
          <w:color w:val="auto"/>
          <w:sz w:val="28"/>
          <w:szCs w:val="28"/>
        </w:rPr>
      </w:pPr>
    </w:p>
    <w:p w14:paraId="0343EFA7">
      <w:pPr>
        <w:spacing w:line="300" w:lineRule="exact"/>
        <w:jc w:val="center"/>
        <w:rPr>
          <w:rFonts w:ascii="宋体" w:hAnsi="宋体" w:cs="宋体"/>
          <w:b/>
          <w:color w:val="auto"/>
          <w:sz w:val="24"/>
        </w:rPr>
      </w:pPr>
    </w:p>
    <w:p w14:paraId="4ECE96B7">
      <w:pPr>
        <w:snapToGrid w:val="0"/>
        <w:spacing w:line="360" w:lineRule="auto"/>
        <w:jc w:val="center"/>
        <w:outlineLvl w:val="1"/>
        <w:rPr>
          <w:rFonts w:hint="eastAsia" w:ascii="宋体" w:hAnsi="宋体" w:eastAsia="宋体" w:cs="宋体"/>
          <w:b/>
          <w:color w:val="auto"/>
          <w:spacing w:val="11"/>
          <w:kern w:val="0"/>
          <w:sz w:val="24"/>
          <w:szCs w:val="24"/>
          <w:highlight w:val="none"/>
          <w:lang w:eastAsia="zh-CN"/>
        </w:rPr>
      </w:pPr>
      <w:r>
        <w:rPr>
          <w:rFonts w:hint="eastAsia" w:ascii="宋体" w:hAnsi="宋体" w:eastAsia="宋体" w:cs="宋体"/>
          <w:b/>
          <w:color w:val="auto"/>
          <w:spacing w:val="11"/>
          <w:kern w:val="0"/>
          <w:sz w:val="24"/>
          <w:szCs w:val="24"/>
          <w:highlight w:val="none"/>
        </w:rPr>
        <w:t>联合体协议书</w:t>
      </w:r>
      <w:r>
        <w:rPr>
          <w:rFonts w:hint="eastAsia" w:ascii="宋体" w:hAnsi="宋体" w:eastAsia="宋体" w:cs="宋体"/>
          <w:b/>
          <w:color w:val="auto"/>
          <w:spacing w:val="11"/>
          <w:kern w:val="0"/>
          <w:sz w:val="24"/>
          <w:szCs w:val="24"/>
          <w:highlight w:val="none"/>
          <w:lang w:eastAsia="zh-CN"/>
        </w:rPr>
        <w:t>（</w:t>
      </w:r>
      <w:r>
        <w:rPr>
          <w:rFonts w:hint="eastAsia" w:ascii="宋体" w:hAnsi="宋体" w:eastAsia="宋体" w:cs="宋体"/>
          <w:b/>
          <w:color w:val="auto"/>
          <w:spacing w:val="11"/>
          <w:kern w:val="0"/>
          <w:sz w:val="24"/>
          <w:szCs w:val="24"/>
          <w:highlight w:val="none"/>
          <w:lang w:val="en-US" w:eastAsia="zh-CN"/>
        </w:rPr>
        <w:t>如有</w:t>
      </w:r>
      <w:r>
        <w:rPr>
          <w:rFonts w:hint="eastAsia" w:ascii="宋体" w:hAnsi="宋体" w:eastAsia="宋体" w:cs="宋体"/>
          <w:b/>
          <w:color w:val="auto"/>
          <w:spacing w:val="11"/>
          <w:kern w:val="0"/>
          <w:sz w:val="24"/>
          <w:szCs w:val="24"/>
          <w:highlight w:val="none"/>
          <w:lang w:eastAsia="zh-CN"/>
        </w:rPr>
        <w:t>）</w:t>
      </w:r>
    </w:p>
    <w:p w14:paraId="27A3E45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牵头人名称：</w:t>
      </w:r>
      <w:r>
        <w:rPr>
          <w:rFonts w:hint="eastAsia" w:ascii="宋体" w:hAnsi="宋体" w:eastAsia="宋体" w:cs="宋体"/>
          <w:bCs/>
          <w:color w:val="auto"/>
          <w:sz w:val="24"/>
          <w:szCs w:val="24"/>
          <w:highlight w:val="none"/>
          <w:u w:val="single"/>
        </w:rPr>
        <w:t xml:space="preserve">                                                  </w:t>
      </w:r>
    </w:p>
    <w:p w14:paraId="0FE24941">
      <w:pPr>
        <w:adjustRightInd w:val="0"/>
        <w:snapToGrid w:val="0"/>
        <w:spacing w:line="360" w:lineRule="auto"/>
        <w:rPr>
          <w:rFonts w:hint="eastAsia" w:ascii="宋体" w:hAnsi="宋体" w:eastAsia="宋体" w:cs="宋体"/>
          <w:bCs/>
          <w:color w:val="auto"/>
          <w:sz w:val="24"/>
          <w:szCs w:val="24"/>
          <w:highlight w:val="none"/>
        </w:rPr>
      </w:pPr>
      <w:bookmarkStart w:id="94" w:name="_Toc490210356"/>
      <w:r>
        <w:rPr>
          <w:rFonts w:hint="eastAsia" w:ascii="宋体" w:hAnsi="宋体" w:eastAsia="宋体" w:cs="宋体"/>
          <w:bCs/>
          <w:color w:val="auto"/>
          <w:sz w:val="24"/>
          <w:szCs w:val="24"/>
          <w:highlight w:val="none"/>
        </w:rPr>
        <w:t>法定代表人：</w:t>
      </w:r>
      <w:bookmarkEnd w:id="94"/>
      <w:r>
        <w:rPr>
          <w:rFonts w:hint="eastAsia" w:ascii="宋体" w:hAnsi="宋体" w:eastAsia="宋体" w:cs="宋体"/>
          <w:bCs/>
          <w:color w:val="auto"/>
          <w:sz w:val="24"/>
          <w:szCs w:val="24"/>
          <w:highlight w:val="none"/>
          <w:u w:val="single"/>
        </w:rPr>
        <w:t xml:space="preserve">                                                  </w:t>
      </w:r>
    </w:p>
    <w:p w14:paraId="71345A1B">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法定住所：</w:t>
      </w:r>
      <w:r>
        <w:rPr>
          <w:rFonts w:hint="eastAsia" w:ascii="宋体" w:hAnsi="宋体" w:eastAsia="宋体" w:cs="宋体"/>
          <w:bCs/>
          <w:color w:val="auto"/>
          <w:sz w:val="24"/>
          <w:szCs w:val="24"/>
          <w:highlight w:val="none"/>
          <w:u w:val="single"/>
        </w:rPr>
        <w:t xml:space="preserve">                                                    </w:t>
      </w:r>
    </w:p>
    <w:p w14:paraId="2EF9091D">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cs="宋体"/>
          <w:bCs/>
          <w:color w:val="auto"/>
          <w:sz w:val="24"/>
          <w:szCs w:val="24"/>
          <w:highlight w:val="none"/>
          <w:lang w:eastAsia="zh-CN"/>
        </w:rPr>
        <w:t>成员</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w:t>
      </w:r>
    </w:p>
    <w:p w14:paraId="571D8E73">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p>
    <w:p w14:paraId="276EEB91">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法定住所：</w:t>
      </w:r>
      <w:r>
        <w:rPr>
          <w:rFonts w:hint="eastAsia" w:ascii="宋体" w:hAnsi="宋体" w:eastAsia="宋体" w:cs="宋体"/>
          <w:bCs/>
          <w:color w:val="auto"/>
          <w:sz w:val="24"/>
          <w:szCs w:val="24"/>
          <w:highlight w:val="none"/>
          <w:u w:val="single"/>
        </w:rPr>
        <w:t xml:space="preserve">                                                    </w:t>
      </w:r>
    </w:p>
    <w:p w14:paraId="0A5CDBBD">
      <w:pPr>
        <w:adjustRightInd w:val="0"/>
        <w:snapToGrid w:val="0"/>
        <w:spacing w:line="360" w:lineRule="auto"/>
        <w:ind w:firstLine="489" w:firstLineChars="20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7BDC02F">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鉴于上述各成员单位经过友好协商，自愿组成</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（联合体名称）联合体，共同参加 </w:t>
      </w:r>
      <w:r>
        <w:rPr>
          <w:rFonts w:hint="eastAsia" w:ascii="宋体" w:hAnsi="宋体" w:eastAsia="宋体" w:cs="宋体"/>
          <w:bCs/>
          <w:color w:val="auto"/>
          <w:sz w:val="24"/>
          <w:szCs w:val="24"/>
          <w:highlight w:val="none"/>
          <w:u w:val="single"/>
        </w:rPr>
        <w:t xml:space="preserve"> （采购人名称）</w:t>
      </w:r>
      <w:r>
        <w:rPr>
          <w:rFonts w:hint="eastAsia" w:ascii="宋体" w:hAnsi="宋体" w:eastAsia="宋体" w:cs="宋体"/>
          <w:bCs/>
          <w:color w:val="auto"/>
          <w:sz w:val="24"/>
          <w:szCs w:val="24"/>
          <w:highlight w:val="none"/>
        </w:rPr>
        <w:t>（以下简称采购人）</w:t>
      </w:r>
      <w:r>
        <w:rPr>
          <w:rFonts w:hint="eastAsia" w:ascii="宋体" w:hAnsi="宋体" w:eastAsia="宋体" w:cs="宋体"/>
          <w:bCs/>
          <w:color w:val="auto"/>
          <w:sz w:val="24"/>
          <w:szCs w:val="24"/>
          <w:highlight w:val="none"/>
          <w:u w:val="single"/>
        </w:rPr>
        <w:t xml:space="preserve"> （项目名称）</w:t>
      </w:r>
      <w:r>
        <w:rPr>
          <w:rFonts w:hint="eastAsia" w:ascii="宋体" w:hAnsi="宋体" w:eastAsia="宋体" w:cs="宋体"/>
          <w:bCs/>
          <w:color w:val="auto"/>
          <w:sz w:val="24"/>
          <w:szCs w:val="24"/>
          <w:highlight w:val="none"/>
        </w:rPr>
        <w:t>的投标并争取赢得本项目合同原则（以下简称合同）。现就联合体投标事宜订立如下协议：</w:t>
      </w:r>
    </w:p>
    <w:p w14:paraId="06DBD9E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（某成员单位名称）为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（联合体名称）牵头人。</w:t>
      </w:r>
    </w:p>
    <w:p w14:paraId="058813E2">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2．在本项目投标阶段，联合体牵头人合法代表联合体各成员负责本项目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编制活动，代表联合体提交和接收相关的资料、信息及指示，并处理与投标和中标有关的一切事务；联合体中标后，联合体牵头人负责合同订立和合同实施阶段的主办、组织和协调工作。</w:t>
      </w:r>
    </w:p>
    <w:p w14:paraId="6FEDBD6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3．联合体将严格按照</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的各项要求，递交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，履行投标义务和中标后的合同，共同承担合同规定的一切义务和责任，联合体各成员单位按照内部职责的部分，承担各自所负的责任和风险，并向采购人承担连带责任。</w:t>
      </w:r>
    </w:p>
    <w:p w14:paraId="08FB9029">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4．联合体各成员单位内部的职责分工如下：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。按照本条上述分工，联合体成员单位各自所承担的合同工作量比例如下：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3E2D4D2">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5．投标工作和联合体在中标后项目实施过程中的有关费用按各自承担的工作量分摊。</w:t>
      </w:r>
    </w:p>
    <w:p w14:paraId="1E551102">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6．联合体中标后，本联合体协议是合同的附件，对联合体各成员单位有合同约束力。</w:t>
      </w:r>
    </w:p>
    <w:p w14:paraId="0B87691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7．本协议书自签署之日起生效，联合体未中标或者中标时合同履行完毕后自动失效。</w:t>
      </w:r>
    </w:p>
    <w:p w14:paraId="4D81E90B">
      <w:pPr>
        <w:adjustRightInd w:val="0"/>
        <w:snapToGrid w:val="0"/>
        <w:spacing w:line="480" w:lineRule="auto"/>
        <w:ind w:firstLine="240" w:firstLineChars="100"/>
        <w:jc w:val="right"/>
        <w:rPr>
          <w:rFonts w:hint="eastAsia" w:ascii="宋体" w:hAnsi="宋体" w:eastAsia="宋体" w:cs="宋体"/>
          <w:bCs/>
          <w:color w:val="auto"/>
          <w:sz w:val="24"/>
          <w:szCs w:val="24"/>
          <w:highlight w:val="none"/>
        </w:rPr>
      </w:pPr>
    </w:p>
    <w:p w14:paraId="6BEB76A8">
      <w:pPr>
        <w:adjustRightInd w:val="0"/>
        <w:snapToGrid w:val="0"/>
        <w:spacing w:line="480" w:lineRule="auto"/>
        <w:ind w:firstLine="2160" w:firstLineChars="9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牵头人名称：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pacing w:val="20"/>
          <w:kern w:val="0"/>
          <w:sz w:val="24"/>
          <w:szCs w:val="24"/>
          <w:highlight w:val="none"/>
          <w:lang w:eastAsia="zh-CN"/>
        </w:rPr>
        <w:t>电子公章</w:t>
      </w:r>
      <w:r>
        <w:rPr>
          <w:rFonts w:hint="eastAsia" w:ascii="宋体" w:hAnsi="宋体" w:eastAsia="宋体" w:cs="宋体"/>
          <w:bCs/>
          <w:color w:val="auto"/>
          <w:sz w:val="24"/>
          <w:szCs w:val="24"/>
          <w:highlight w:val="none"/>
        </w:rPr>
        <w:t>）</w:t>
      </w:r>
    </w:p>
    <w:p w14:paraId="35CA4790">
      <w:pPr>
        <w:adjustRightInd w:val="0"/>
        <w:snapToGrid w:val="0"/>
        <w:spacing w:line="480" w:lineRule="auto"/>
        <w:ind w:firstLine="2160" w:firstLineChars="9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w:t>
      </w:r>
      <w:r>
        <w:rPr>
          <w:rFonts w:hint="eastAsia" w:ascii="宋体" w:hAnsi="宋体" w:eastAsia="宋体" w:cs="宋体"/>
          <w:color w:val="auto"/>
          <w:kern w:val="0"/>
          <w:sz w:val="24"/>
          <w:szCs w:val="24"/>
          <w:highlight w:val="none"/>
        </w:rPr>
        <w:t>授权代表</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电子章</w:t>
      </w:r>
      <w:r>
        <w:rPr>
          <w:rFonts w:hint="eastAsia" w:ascii="宋体" w:hAnsi="宋体" w:eastAsia="宋体" w:cs="宋体"/>
          <w:bCs/>
          <w:color w:val="auto"/>
          <w:sz w:val="24"/>
          <w:szCs w:val="24"/>
          <w:highlight w:val="none"/>
        </w:rPr>
        <w:t>）</w:t>
      </w:r>
    </w:p>
    <w:p w14:paraId="065F3DDD">
      <w:pPr>
        <w:adjustRightInd w:val="0"/>
        <w:snapToGrid w:val="0"/>
        <w:spacing w:line="480" w:lineRule="auto"/>
        <w:ind w:firstLine="2160" w:firstLineChars="900"/>
        <w:rPr>
          <w:rFonts w:hint="eastAsia" w:ascii="宋体" w:hAnsi="宋体" w:eastAsia="宋体" w:cs="宋体"/>
          <w:bCs/>
          <w:color w:val="auto"/>
          <w:sz w:val="24"/>
          <w:szCs w:val="24"/>
          <w:highlight w:val="none"/>
        </w:rPr>
      </w:pPr>
    </w:p>
    <w:p w14:paraId="4E298042">
      <w:pPr>
        <w:adjustRightInd w:val="0"/>
        <w:snapToGrid w:val="0"/>
        <w:spacing w:line="480" w:lineRule="auto"/>
        <w:ind w:firstLine="2160" w:firstLineChars="9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成员一</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pacing w:val="20"/>
          <w:kern w:val="0"/>
          <w:sz w:val="24"/>
          <w:szCs w:val="24"/>
          <w:highlight w:val="none"/>
          <w:lang w:eastAsia="zh-CN"/>
        </w:rPr>
        <w:t>电子公章</w:t>
      </w:r>
      <w:r>
        <w:rPr>
          <w:rFonts w:hint="eastAsia" w:ascii="宋体" w:hAnsi="宋体" w:eastAsia="宋体" w:cs="宋体"/>
          <w:bCs/>
          <w:color w:val="auto"/>
          <w:sz w:val="24"/>
          <w:szCs w:val="24"/>
          <w:highlight w:val="none"/>
        </w:rPr>
        <w:t>）</w:t>
      </w:r>
    </w:p>
    <w:p w14:paraId="165DACEB">
      <w:pPr>
        <w:adjustRightInd w:val="0"/>
        <w:snapToGrid w:val="0"/>
        <w:spacing w:line="480" w:lineRule="auto"/>
        <w:ind w:firstLine="2160" w:firstLineChars="9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w:t>
      </w:r>
      <w:r>
        <w:rPr>
          <w:rFonts w:hint="eastAsia" w:ascii="宋体" w:hAnsi="宋体" w:eastAsia="宋体" w:cs="宋体"/>
          <w:color w:val="auto"/>
          <w:kern w:val="0"/>
          <w:sz w:val="24"/>
          <w:szCs w:val="24"/>
          <w:highlight w:val="none"/>
        </w:rPr>
        <w:t>授权代表</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电子章</w:t>
      </w:r>
      <w:r>
        <w:rPr>
          <w:rFonts w:hint="eastAsia" w:ascii="宋体" w:hAnsi="宋体" w:eastAsia="宋体" w:cs="宋体"/>
          <w:bCs/>
          <w:color w:val="auto"/>
          <w:sz w:val="24"/>
          <w:szCs w:val="24"/>
          <w:highlight w:val="none"/>
        </w:rPr>
        <w:t>）</w:t>
      </w:r>
    </w:p>
    <w:p w14:paraId="1DDD5B45">
      <w:pPr>
        <w:snapToGrid w:val="0"/>
        <w:spacing w:line="480" w:lineRule="auto"/>
        <w:ind w:firstLine="2160" w:firstLineChars="90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666B6525">
      <w:pPr>
        <w:pStyle w:val="3"/>
        <w:rPr>
          <w:rFonts w:hint="eastAsia" w:ascii="宋体" w:hAnsi="宋体" w:eastAsia="宋体" w:cs="宋体"/>
          <w:color w:val="auto"/>
          <w:sz w:val="24"/>
          <w:szCs w:val="24"/>
          <w:highlight w:val="none"/>
        </w:rPr>
      </w:pPr>
    </w:p>
    <w:p w14:paraId="1F7950F1">
      <w:pPr>
        <w:snapToGrid w:val="0"/>
        <w:spacing w:line="480" w:lineRule="auto"/>
        <w:ind w:firstLine="2160" w:firstLineChars="900"/>
        <w:outlineLvl w:val="1"/>
        <w:rPr>
          <w:rFonts w:hint="eastAsia" w:ascii="宋体" w:hAnsi="宋体" w:eastAsia="宋体" w:cs="宋体"/>
          <w:b/>
          <w:color w:val="auto"/>
          <w:spacing w:val="11"/>
          <w:kern w:val="0"/>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58693E13">
      <w:pPr>
        <w:snapToGrid w:val="0"/>
        <w:spacing w:line="360" w:lineRule="auto"/>
        <w:jc w:val="center"/>
        <w:outlineLvl w:val="1"/>
        <w:rPr>
          <w:rFonts w:hint="eastAsia" w:ascii="宋体" w:hAnsi="宋体" w:eastAsia="宋体" w:cs="宋体"/>
          <w:b/>
          <w:color w:val="auto"/>
          <w:spacing w:val="11"/>
          <w:kern w:val="0"/>
          <w:sz w:val="24"/>
          <w:szCs w:val="24"/>
          <w:highlight w:val="none"/>
        </w:rPr>
      </w:pPr>
    </w:p>
    <w:p w14:paraId="7228775A">
      <w:pPr>
        <w:rPr>
          <w:rFonts w:hint="eastAsia" w:ascii="宋体" w:hAnsi="宋体" w:eastAsia="宋体" w:cs="宋体"/>
          <w:b/>
          <w:color w:val="auto"/>
          <w:spacing w:val="11"/>
          <w:kern w:val="0"/>
          <w:sz w:val="24"/>
          <w:szCs w:val="24"/>
          <w:highlight w:val="none"/>
        </w:rPr>
      </w:pPr>
    </w:p>
    <w:p w14:paraId="3AE7858E">
      <w:pPr>
        <w:pStyle w:val="3"/>
        <w:rPr>
          <w:rFonts w:hint="eastAsia" w:ascii="宋体" w:hAnsi="宋体" w:eastAsia="宋体" w:cs="宋体"/>
          <w:color w:val="auto"/>
          <w:spacing w:val="11"/>
          <w:sz w:val="24"/>
          <w:szCs w:val="24"/>
          <w:highlight w:val="none"/>
        </w:rPr>
      </w:pPr>
    </w:p>
    <w:p w14:paraId="1A6C04BE">
      <w:pPr>
        <w:pStyle w:val="20"/>
        <w:rPr>
          <w:rFonts w:hint="eastAsia" w:ascii="宋体" w:hAnsi="宋体" w:eastAsia="宋体" w:cs="宋体"/>
          <w:b/>
          <w:color w:val="auto"/>
          <w:spacing w:val="11"/>
          <w:kern w:val="0"/>
          <w:sz w:val="24"/>
          <w:szCs w:val="24"/>
          <w:highlight w:val="none"/>
        </w:rPr>
      </w:pPr>
    </w:p>
    <w:p w14:paraId="720CF4A7">
      <w:pPr>
        <w:snapToGrid w:val="0"/>
        <w:spacing w:line="360" w:lineRule="auto"/>
        <w:jc w:val="center"/>
        <w:outlineLvl w:val="1"/>
        <w:rPr>
          <w:rFonts w:hint="eastAsia" w:ascii="宋体" w:hAnsi="宋体" w:eastAsia="宋体" w:cs="宋体"/>
          <w:b/>
          <w:color w:val="auto"/>
          <w:spacing w:val="11"/>
          <w:kern w:val="0"/>
          <w:sz w:val="24"/>
          <w:szCs w:val="24"/>
          <w:highlight w:val="none"/>
        </w:rPr>
      </w:pPr>
    </w:p>
    <w:p w14:paraId="4FBF1547">
      <w:pPr>
        <w:pStyle w:val="25"/>
        <w:rPr>
          <w:rFonts w:hint="eastAsia" w:ascii="宋体" w:hAnsi="宋体" w:eastAsia="宋体" w:cs="宋体"/>
          <w:b/>
          <w:color w:val="auto"/>
          <w:spacing w:val="11"/>
          <w:kern w:val="0"/>
          <w:sz w:val="24"/>
          <w:szCs w:val="24"/>
          <w:highlight w:val="none"/>
        </w:rPr>
      </w:pPr>
    </w:p>
    <w:p w14:paraId="2F905650">
      <w:pPr>
        <w:pStyle w:val="25"/>
        <w:rPr>
          <w:rFonts w:hint="eastAsia" w:ascii="宋体" w:hAnsi="宋体" w:eastAsia="宋体" w:cs="宋体"/>
          <w:b/>
          <w:color w:val="auto"/>
          <w:spacing w:val="11"/>
          <w:kern w:val="0"/>
          <w:sz w:val="24"/>
          <w:szCs w:val="24"/>
          <w:highlight w:val="none"/>
        </w:rPr>
      </w:pPr>
    </w:p>
    <w:p w14:paraId="5B655A41">
      <w:pPr>
        <w:pStyle w:val="25"/>
        <w:rPr>
          <w:rFonts w:hint="eastAsia" w:ascii="宋体" w:hAnsi="宋体" w:eastAsia="宋体" w:cs="宋体"/>
          <w:b/>
          <w:color w:val="auto"/>
          <w:spacing w:val="11"/>
          <w:kern w:val="0"/>
          <w:sz w:val="24"/>
          <w:szCs w:val="24"/>
          <w:highlight w:val="none"/>
        </w:rPr>
      </w:pPr>
    </w:p>
    <w:p w14:paraId="34D7F33A">
      <w:pPr>
        <w:pStyle w:val="25"/>
        <w:rPr>
          <w:rFonts w:hint="eastAsia" w:ascii="宋体" w:hAnsi="宋体" w:eastAsia="宋体" w:cs="宋体"/>
          <w:b/>
          <w:color w:val="auto"/>
          <w:spacing w:val="11"/>
          <w:kern w:val="0"/>
          <w:sz w:val="24"/>
          <w:szCs w:val="24"/>
          <w:highlight w:val="none"/>
        </w:rPr>
      </w:pPr>
    </w:p>
    <w:p w14:paraId="0BC4C994">
      <w:pPr>
        <w:pStyle w:val="25"/>
        <w:rPr>
          <w:rFonts w:hint="eastAsia" w:ascii="宋体" w:hAnsi="宋体" w:eastAsia="宋体" w:cs="宋体"/>
          <w:b/>
          <w:color w:val="auto"/>
          <w:spacing w:val="11"/>
          <w:kern w:val="0"/>
          <w:sz w:val="24"/>
          <w:szCs w:val="24"/>
          <w:highlight w:val="none"/>
        </w:rPr>
      </w:pPr>
    </w:p>
    <w:p w14:paraId="69DFE0CE">
      <w:pPr>
        <w:pStyle w:val="25"/>
        <w:rPr>
          <w:rFonts w:hint="eastAsia" w:ascii="宋体" w:hAnsi="宋体" w:eastAsia="宋体" w:cs="宋体"/>
          <w:b/>
          <w:color w:val="auto"/>
          <w:spacing w:val="11"/>
          <w:kern w:val="0"/>
          <w:sz w:val="24"/>
          <w:szCs w:val="24"/>
          <w:highlight w:val="none"/>
        </w:rPr>
      </w:pPr>
    </w:p>
    <w:p w14:paraId="67D93F5C">
      <w:pPr>
        <w:pStyle w:val="25"/>
        <w:rPr>
          <w:rFonts w:hint="eastAsia" w:ascii="宋体" w:hAnsi="宋体" w:eastAsia="宋体" w:cs="宋体"/>
          <w:b/>
          <w:color w:val="auto"/>
          <w:spacing w:val="11"/>
          <w:kern w:val="0"/>
          <w:sz w:val="24"/>
          <w:szCs w:val="24"/>
          <w:highlight w:val="none"/>
        </w:rPr>
      </w:pPr>
    </w:p>
    <w:p w14:paraId="40C420AB">
      <w:pPr>
        <w:pStyle w:val="25"/>
        <w:rPr>
          <w:rFonts w:hint="eastAsia" w:ascii="宋体" w:hAnsi="宋体" w:eastAsia="宋体" w:cs="宋体"/>
          <w:b/>
          <w:color w:val="auto"/>
          <w:spacing w:val="11"/>
          <w:kern w:val="0"/>
          <w:sz w:val="24"/>
          <w:szCs w:val="24"/>
          <w:highlight w:val="none"/>
        </w:rPr>
      </w:pPr>
    </w:p>
    <w:p w14:paraId="1726CA92">
      <w:pPr>
        <w:pStyle w:val="25"/>
        <w:ind w:left="0" w:leftChars="0" w:firstLine="0" w:firstLineChars="0"/>
        <w:rPr>
          <w:rFonts w:hint="eastAsia" w:ascii="宋体" w:hAnsi="宋体" w:eastAsia="宋体" w:cs="宋体"/>
          <w:b/>
          <w:color w:val="auto"/>
          <w:spacing w:val="11"/>
          <w:kern w:val="0"/>
          <w:sz w:val="24"/>
          <w:szCs w:val="24"/>
          <w:highlight w:val="none"/>
        </w:rPr>
      </w:pPr>
    </w:p>
    <w:p w14:paraId="702161DC">
      <w:pPr>
        <w:rPr>
          <w:rFonts w:hint="eastAsia" w:ascii="宋体" w:hAnsi="宋体" w:eastAsia="宋体" w:cs="宋体"/>
          <w:sz w:val="24"/>
          <w:szCs w:val="24"/>
        </w:rPr>
      </w:pPr>
    </w:p>
    <w:sectPr>
      <w:pgSz w:w="11906" w:h="16838"/>
      <w:pgMar w:top="1417" w:right="1417" w:bottom="1417" w:left="1417" w:header="851" w:footer="992" w:gutter="0"/>
      <w:pgNumType w:fmt="decimal"/>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DB2E">
    <w:pPr>
      <w:pStyle w:val="16"/>
      <w:tabs>
        <w:tab w:val="left" w:pos="3495"/>
        <w:tab w:val="center" w:pos="4320"/>
        <w:tab w:val="center" w:pos="4595"/>
        <w:tab w:val="left" w:pos="7658"/>
      </w:tabs>
      <w:jc w:val="left"/>
      <w:rPr>
        <w:rFonts w:hint="eastAsia" w:ascii="仿宋_GB2312" w:eastAsia="仿宋_GB2312"/>
        <w:sz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33020</wp:posOffset>
              </wp:positionV>
              <wp:extent cx="5796280" cy="9525"/>
              <wp:effectExtent l="0" t="0" r="0" b="0"/>
              <wp:wrapNone/>
              <wp:docPr id="11" name="直接连接符 11"/>
              <wp:cNvGraphicFramePr/>
              <a:graphic xmlns:a="http://schemas.openxmlformats.org/drawingml/2006/main">
                <a:graphicData uri="http://schemas.microsoft.com/office/word/2010/wordprocessingShape">
                  <wps:wsp>
                    <wps:cNvCnPr/>
                    <wps:spPr>
                      <a:xfrm>
                        <a:off x="1146810" y="9754870"/>
                        <a:ext cx="5796280" cy="9525"/>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2.6pt;height:0.75pt;width:456.4pt;z-index:251665408;mso-width-relative:page;mso-height-relative:page;" filled="f" stroked="t" coordsize="21600,21600" o:gfxdata="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83Nc1gAAAAYBAAAPAAAAAAAAAAEAIAAAACIAAABkcnMvZG93bnJldi54bWxQSwECFAAU&#10;AAAACACHTuJAlU9wyfMBAADDAwAADgAAAAAAAAABACAAAAAlAQAAZHJzL2Uyb0RvYy54bWxQSwUG&#10;AAAAAAYABgBZAQAAigUAAAAA&#10;">
              <v:fill on="f" focussize="0,0"/>
              <v:stroke weight="1pt" color="#000000 [3213]" miterlimit="8" joinstyle="miter"/>
              <v:imagedata o:title=""/>
              <o:lock v:ext="edit" aspectratio="f"/>
            </v:line>
          </w:pict>
        </mc:Fallback>
      </mc:AlternateContent>
    </w:r>
  </w:p>
  <w:p w14:paraId="589733A8">
    <w:pPr>
      <w:pStyle w:val="16"/>
      <w:tabs>
        <w:tab w:val="left" w:pos="5276"/>
        <w:tab w:val="clear" w:pos="4153"/>
      </w:tabs>
      <w:jc w:val="both"/>
      <w:rPr>
        <w:rFonts w:hint="eastAsia" w:ascii="楷体" w:hAnsi="楷体" w:eastAsia="楷体"/>
        <w:sz w:val="21"/>
        <w:lang w:eastAsia="zh-CN"/>
      </w:rPr>
    </w:pPr>
    <w:r>
      <w:rPr>
        <w:rFonts w:hint="eastAsia" w:ascii="楷体" w:hAnsi="楷体" w:eastAsia="楷体"/>
        <w:sz w:val="21"/>
        <w:lang w:eastAsia="zh-CN"/>
      </w:rPr>
      <w:t>山西锦秀诚信项目咨询有限公司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59B8">
    <w:pPr>
      <w:pStyle w:val="16"/>
      <w:tabs>
        <w:tab w:val="left" w:pos="3495"/>
        <w:tab w:val="center" w:pos="4320"/>
      </w:tabs>
      <w:jc w:val="center"/>
      <w:rPr>
        <w:rFonts w:hint="eastAsia" w:ascii="仿宋_GB2312" w:eastAsia="仿宋_GB2312"/>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DCFE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5DCFEB">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32DED32B">
    <w:pPr>
      <w:pStyle w:val="16"/>
      <w:jc w:val="both"/>
      <w:rPr>
        <w:rFonts w:hint="eastAsia" w:ascii="楷体" w:hAnsi="楷体" w:eastAsia="楷体"/>
        <w:sz w:val="21"/>
        <w:lang w:eastAsia="zh-CN"/>
      </w:rPr>
    </w:pPr>
    <w:r>
      <w:rPr>
        <w:rFonts w:hint="eastAsia" w:ascii="楷体" w:hAnsi="楷体" w:eastAsia="楷体"/>
        <w:sz w:val="21"/>
        <w:lang w:eastAsia="zh-CN"/>
      </w:rPr>
      <w:t>山西锦秀诚信项目咨询有限公司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0883">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CCFE"/>
    <w:multiLevelType w:val="singleLevel"/>
    <w:tmpl w:val="8A2FCCFE"/>
    <w:lvl w:ilvl="0" w:tentative="0">
      <w:start w:val="6"/>
      <w:numFmt w:val="decimal"/>
      <w:suff w:val="space"/>
      <w:lvlText w:val="%1."/>
      <w:lvlJc w:val="left"/>
    </w:lvl>
  </w:abstractNum>
  <w:abstractNum w:abstractNumId="1">
    <w:nsid w:val="A8A83239"/>
    <w:multiLevelType w:val="singleLevel"/>
    <w:tmpl w:val="A8A83239"/>
    <w:lvl w:ilvl="0" w:tentative="0">
      <w:start w:val="5"/>
      <w:numFmt w:val="chineseCounting"/>
      <w:suff w:val="nothing"/>
      <w:lvlText w:val="%1、"/>
      <w:lvlJc w:val="left"/>
      <w:rPr>
        <w:rFonts w:hint="eastAsia"/>
      </w:rPr>
    </w:lvl>
  </w:abstractNum>
  <w:abstractNum w:abstractNumId="2">
    <w:nsid w:val="BF1899F5"/>
    <w:multiLevelType w:val="singleLevel"/>
    <w:tmpl w:val="BF1899F5"/>
    <w:lvl w:ilvl="0" w:tentative="0">
      <w:start w:val="9"/>
      <w:numFmt w:val="decimal"/>
      <w:lvlText w:val="%1."/>
      <w:lvlJc w:val="left"/>
      <w:pPr>
        <w:tabs>
          <w:tab w:val="left" w:pos="312"/>
        </w:tabs>
      </w:pPr>
    </w:lvl>
  </w:abstractNum>
  <w:abstractNum w:abstractNumId="3">
    <w:nsid w:val="CC90A3CD"/>
    <w:multiLevelType w:val="singleLevel"/>
    <w:tmpl w:val="CC90A3CD"/>
    <w:lvl w:ilvl="0" w:tentative="0">
      <w:start w:val="1"/>
      <w:numFmt w:val="decimal"/>
      <w:pStyle w:val="15"/>
      <w:lvlText w:val="%1."/>
      <w:lvlJc w:val="left"/>
      <w:pPr>
        <w:tabs>
          <w:tab w:val="left" w:pos="2040"/>
        </w:tabs>
        <w:ind w:left="2040" w:hanging="360"/>
      </w:pPr>
    </w:lvl>
  </w:abstractNum>
  <w:abstractNum w:abstractNumId="4">
    <w:nsid w:val="D7246F01"/>
    <w:multiLevelType w:val="singleLevel"/>
    <w:tmpl w:val="D7246F01"/>
    <w:lvl w:ilvl="0" w:tentative="0">
      <w:start w:val="2"/>
      <w:numFmt w:val="decimal"/>
      <w:suff w:val="nothing"/>
      <w:lvlText w:val="%1、"/>
      <w:lvlJc w:val="left"/>
    </w:lvl>
  </w:abstractNum>
  <w:abstractNum w:abstractNumId="5">
    <w:nsid w:val="E1ABED72"/>
    <w:multiLevelType w:val="singleLevel"/>
    <w:tmpl w:val="E1ABED72"/>
    <w:lvl w:ilvl="0" w:tentative="0">
      <w:start w:val="2"/>
      <w:numFmt w:val="decimal"/>
      <w:suff w:val="nothing"/>
      <w:lvlText w:val="%1、"/>
      <w:lvlJc w:val="left"/>
    </w:lvl>
  </w:abstractNum>
  <w:abstractNum w:abstractNumId="6">
    <w:nsid w:val="FC06471C"/>
    <w:multiLevelType w:val="singleLevel"/>
    <w:tmpl w:val="FC06471C"/>
    <w:lvl w:ilvl="0" w:tentative="0">
      <w:start w:val="8"/>
      <w:numFmt w:val="decimal"/>
      <w:suff w:val="nothing"/>
      <w:lvlText w:val="%1、"/>
      <w:lvlJc w:val="left"/>
    </w:lvl>
  </w:abstractNum>
  <w:abstractNum w:abstractNumId="7">
    <w:nsid w:val="2F0D5584"/>
    <w:multiLevelType w:val="singleLevel"/>
    <w:tmpl w:val="2F0D5584"/>
    <w:lvl w:ilvl="0" w:tentative="0">
      <w:start w:val="5"/>
      <w:numFmt w:val="upperLetter"/>
      <w:suff w:val="nothing"/>
      <w:lvlText w:val="%1-"/>
      <w:lvlJc w:val="left"/>
      <w:pPr>
        <w:ind w:left="480" w:leftChars="0" w:firstLine="0" w:firstLineChars="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WI5YzlkNDFjZDM2MmM4Y2Y0ZWQ2MTI0NmU3YjgifQ=="/>
  </w:docVars>
  <w:rsids>
    <w:rsidRoot w:val="0F5D36DF"/>
    <w:rsid w:val="009224FE"/>
    <w:rsid w:val="01176EA7"/>
    <w:rsid w:val="03084859"/>
    <w:rsid w:val="04763EE5"/>
    <w:rsid w:val="05AD7DDA"/>
    <w:rsid w:val="069A035E"/>
    <w:rsid w:val="06F65718"/>
    <w:rsid w:val="085259A8"/>
    <w:rsid w:val="08CC16B1"/>
    <w:rsid w:val="0D234CD0"/>
    <w:rsid w:val="0F177709"/>
    <w:rsid w:val="0F5D36DF"/>
    <w:rsid w:val="0FBA5BF2"/>
    <w:rsid w:val="10135594"/>
    <w:rsid w:val="10572E1C"/>
    <w:rsid w:val="11A333D3"/>
    <w:rsid w:val="12DE2568"/>
    <w:rsid w:val="131E40C5"/>
    <w:rsid w:val="15F15AC1"/>
    <w:rsid w:val="18E4369C"/>
    <w:rsid w:val="1A9D7FC6"/>
    <w:rsid w:val="1B2129A5"/>
    <w:rsid w:val="1C6E5776"/>
    <w:rsid w:val="1E207910"/>
    <w:rsid w:val="1FC906EB"/>
    <w:rsid w:val="23EC2B8F"/>
    <w:rsid w:val="24100B9E"/>
    <w:rsid w:val="255D282B"/>
    <w:rsid w:val="272950BB"/>
    <w:rsid w:val="276E3BC3"/>
    <w:rsid w:val="29B50E88"/>
    <w:rsid w:val="2BD17D33"/>
    <w:rsid w:val="2C792E17"/>
    <w:rsid w:val="2D4F33A1"/>
    <w:rsid w:val="2DE51610"/>
    <w:rsid w:val="2EA43279"/>
    <w:rsid w:val="2F5C3B54"/>
    <w:rsid w:val="31CA6E10"/>
    <w:rsid w:val="33DC5E42"/>
    <w:rsid w:val="342D1F6B"/>
    <w:rsid w:val="35724091"/>
    <w:rsid w:val="375A6BCB"/>
    <w:rsid w:val="3FED48A7"/>
    <w:rsid w:val="40410F5A"/>
    <w:rsid w:val="422A2199"/>
    <w:rsid w:val="44FF0DB1"/>
    <w:rsid w:val="461E76C2"/>
    <w:rsid w:val="47134FE8"/>
    <w:rsid w:val="491C0CEA"/>
    <w:rsid w:val="4A8835F7"/>
    <w:rsid w:val="4D027691"/>
    <w:rsid w:val="522D3402"/>
    <w:rsid w:val="562A416B"/>
    <w:rsid w:val="56420037"/>
    <w:rsid w:val="570C427A"/>
    <w:rsid w:val="587A4D28"/>
    <w:rsid w:val="5BA109BC"/>
    <w:rsid w:val="5C0276AD"/>
    <w:rsid w:val="5FCC673D"/>
    <w:rsid w:val="610A2B60"/>
    <w:rsid w:val="613B2165"/>
    <w:rsid w:val="63AB062A"/>
    <w:rsid w:val="65D8712E"/>
    <w:rsid w:val="66521231"/>
    <w:rsid w:val="67FF2CF3"/>
    <w:rsid w:val="6B081BD7"/>
    <w:rsid w:val="6D657A9C"/>
    <w:rsid w:val="6D7C4051"/>
    <w:rsid w:val="6D885538"/>
    <w:rsid w:val="6E4D3977"/>
    <w:rsid w:val="6F865AA7"/>
    <w:rsid w:val="71AF28D4"/>
    <w:rsid w:val="72925E51"/>
    <w:rsid w:val="73053CF5"/>
    <w:rsid w:val="75B0079E"/>
    <w:rsid w:val="7A4939F2"/>
    <w:rsid w:val="7D4A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autoRedefine/>
    <w:qFormat/>
    <w:uiPriority w:val="9"/>
    <w:pPr>
      <w:keepNext/>
      <w:keepLines/>
      <w:adjustRightInd w:val="0"/>
      <w:spacing w:before="260" w:after="260" w:line="416" w:lineRule="atLeast"/>
      <w:outlineLvl w:val="2"/>
    </w:pPr>
    <w:rPr>
      <w:b/>
      <w:kern w:val="0"/>
      <w:sz w:val="24"/>
      <w:szCs w:val="20"/>
    </w:rPr>
  </w:style>
  <w:style w:type="paragraph" w:styleId="5">
    <w:name w:val="heading 4"/>
    <w:basedOn w:val="1"/>
    <w:next w:val="1"/>
    <w:autoRedefine/>
    <w:unhideWhenUsed/>
    <w:qFormat/>
    <w:uiPriority w:val="0"/>
    <w:pPr>
      <w:keepNext/>
      <w:keepLines/>
      <w:spacing w:before="280" w:after="290" w:line="376"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80" w:leftChars="200"/>
      <w:jc w:val="left"/>
    </w:pPr>
    <w:rPr>
      <w:rFonts w:ascii="DFKai-SB" w:eastAsia="DFKai-SB"/>
      <w:sz w:val="28"/>
      <w:lang w:eastAsia="zh-TW"/>
    </w:rPr>
  </w:style>
  <w:style w:type="paragraph" w:styleId="7">
    <w:name w:val="Normal Indent"/>
    <w:basedOn w:val="1"/>
    <w:autoRedefine/>
    <w:unhideWhenUsed/>
    <w:qFormat/>
    <w:uiPriority w:val="99"/>
    <w:pPr>
      <w:ind w:firstLine="420" w:firstLineChars="200"/>
    </w:pPr>
    <w:rPr>
      <w:kern w:val="0"/>
      <w:sz w:val="20"/>
    </w:rPr>
  </w:style>
  <w:style w:type="paragraph" w:styleId="8">
    <w:name w:val="toa heading"/>
    <w:basedOn w:val="1"/>
    <w:next w:val="1"/>
    <w:autoRedefine/>
    <w:qFormat/>
    <w:uiPriority w:val="0"/>
    <w:pPr>
      <w:spacing w:before="120"/>
    </w:pPr>
    <w:rPr>
      <w:rFonts w:ascii="Arial" w:hAnsi="Arial" w:eastAsia="宋体" w:cs="Arial"/>
      <w:sz w:val="24"/>
    </w:rPr>
  </w:style>
  <w:style w:type="paragraph" w:styleId="9">
    <w:name w:val="annotation text"/>
    <w:basedOn w:val="1"/>
    <w:next w:val="1"/>
    <w:autoRedefine/>
    <w:unhideWhenUsed/>
    <w:qFormat/>
    <w:uiPriority w:val="0"/>
    <w:pPr>
      <w:jc w:val="left"/>
    </w:pPr>
    <w:rPr>
      <w:kern w:val="0"/>
      <w:sz w:val="20"/>
    </w:rPr>
  </w:style>
  <w:style w:type="paragraph" w:styleId="10">
    <w:name w:val="Body Text"/>
    <w:basedOn w:val="1"/>
    <w:next w:val="11"/>
    <w:autoRedefine/>
    <w:qFormat/>
    <w:uiPriority w:val="0"/>
    <w:pPr>
      <w:adjustRightInd w:val="0"/>
      <w:spacing w:line="360" w:lineRule="auto"/>
      <w:jc w:val="left"/>
      <w:textAlignment w:val="baseline"/>
    </w:pPr>
    <w:rPr>
      <w:kern w:val="0"/>
    </w:rPr>
  </w:style>
  <w:style w:type="paragraph" w:customStyle="1" w:styleId="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Body Text Indent"/>
    <w:basedOn w:val="1"/>
    <w:next w:val="13"/>
    <w:autoRedefine/>
    <w:qFormat/>
    <w:uiPriority w:val="0"/>
    <w:pPr>
      <w:spacing w:after="120"/>
      <w:ind w:left="420" w:leftChars="200"/>
    </w:pPr>
  </w:style>
  <w:style w:type="paragraph" w:styleId="13">
    <w:name w:val="envelope return"/>
    <w:basedOn w:val="1"/>
    <w:autoRedefine/>
    <w:unhideWhenUsed/>
    <w:qFormat/>
    <w:uiPriority w:val="99"/>
    <w:pPr>
      <w:snapToGrid w:val="0"/>
    </w:pPr>
    <w:rPr>
      <w:rFonts w:ascii="Arial" w:hAnsi="Arial"/>
    </w:rPr>
  </w:style>
  <w:style w:type="paragraph" w:styleId="14">
    <w:name w:val="Plain Text"/>
    <w:basedOn w:val="1"/>
    <w:next w:val="15"/>
    <w:autoRedefine/>
    <w:unhideWhenUsed/>
    <w:qFormat/>
    <w:uiPriority w:val="0"/>
    <w:rPr>
      <w:rFonts w:ascii="宋体" w:hAnsi="Courier New"/>
      <w:kern w:val="0"/>
      <w:sz w:val="20"/>
      <w:szCs w:val="21"/>
    </w:rPr>
  </w:style>
  <w:style w:type="paragraph" w:styleId="15">
    <w:name w:val="List Number 5"/>
    <w:basedOn w:val="1"/>
    <w:autoRedefine/>
    <w:qFormat/>
    <w:uiPriority w:val="0"/>
    <w:pPr>
      <w:numPr>
        <w:ilvl w:val="0"/>
        <w:numId w:val="1"/>
      </w:numPr>
    </w:pPr>
  </w:style>
  <w:style w:type="paragraph" w:styleId="16">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20"/>
    </w:rPr>
  </w:style>
  <w:style w:type="paragraph" w:styleId="18">
    <w:name w:val="HTML Preformatted"/>
    <w:basedOn w:val="1"/>
    <w:next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9">
    <w:name w:val="Normal (Web)"/>
    <w:basedOn w:val="1"/>
    <w:next w:val="1"/>
    <w:autoRedefine/>
    <w:qFormat/>
    <w:uiPriority w:val="99"/>
    <w:pPr>
      <w:widowControl/>
      <w:wordWrap w:val="0"/>
      <w:spacing w:before="100" w:beforeAutospacing="1" w:after="100" w:afterAutospacing="1"/>
      <w:jc w:val="left"/>
    </w:pPr>
    <w:rPr>
      <w:rFonts w:ascii="宋体" w:hAnsi="宋体" w:cs="宋体"/>
      <w:kern w:val="0"/>
      <w:sz w:val="24"/>
    </w:rPr>
  </w:style>
  <w:style w:type="paragraph" w:styleId="20">
    <w:name w:val="Body Text First Indent"/>
    <w:basedOn w:val="10"/>
    <w:autoRedefine/>
    <w:unhideWhenUsed/>
    <w:qFormat/>
    <w:uiPriority w:val="0"/>
    <w:pPr>
      <w:spacing w:line="351" w:lineRule="atLeast"/>
      <w:ind w:firstLine="420" w:firstLineChars="100"/>
      <w:jc w:val="center"/>
    </w:pPr>
    <w:rPr>
      <w:color w:val="000000"/>
      <w:sz w:val="72"/>
    </w:rPr>
  </w:style>
  <w:style w:type="paragraph" w:styleId="21">
    <w:name w:val="Body Text First Indent 2"/>
    <w:basedOn w:val="12"/>
    <w:next w:val="11"/>
    <w:autoRedefine/>
    <w:qFormat/>
    <w:uiPriority w:val="0"/>
    <w:pPr>
      <w:ind w:left="0" w:leftChars="0" w:firstLine="210"/>
    </w:pPr>
  </w:style>
  <w:style w:type="character" w:styleId="24">
    <w:name w:val="Strong"/>
    <w:autoRedefine/>
    <w:qFormat/>
    <w:uiPriority w:val="0"/>
    <w:rPr>
      <w:b/>
      <w:bCs/>
    </w:rPr>
  </w:style>
  <w:style w:type="paragraph" w:customStyle="1" w:styleId="2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6">
    <w:name w:val="NormalCharacter"/>
    <w:link w:val="27"/>
    <w:autoRedefine/>
    <w:qFormat/>
    <w:locked/>
    <w:uiPriority w:val="0"/>
  </w:style>
  <w:style w:type="paragraph" w:customStyle="1" w:styleId="27">
    <w:name w:val="UserStyle_1"/>
    <w:basedOn w:val="1"/>
    <w:link w:val="26"/>
    <w:autoRedefine/>
    <w:qFormat/>
    <w:uiPriority w:val="0"/>
    <w:pPr>
      <w:jc w:val="both"/>
      <w:textAlignment w:val="baseline"/>
    </w:p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列出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1">
    <w:name w:val="列出段落2"/>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2">
    <w:name w:val="样式 标题 2 + 宋体 五号 非加粗 黑色"/>
    <w:autoRedefine/>
    <w:qFormat/>
    <w:uiPriority w:val="0"/>
    <w:pPr>
      <w:keepNext/>
      <w:keepLines/>
      <w:widowControl w:val="0"/>
      <w:spacing w:before="260" w:after="260" w:line="416" w:lineRule="atLeast"/>
      <w:jc w:val="both"/>
      <w:outlineLvl w:val="1"/>
    </w:pPr>
    <w:rPr>
      <w:rFonts w:ascii="宋体" w:hAnsi="宋体" w:eastAsia="宋体" w:cs="Times New Roman"/>
      <w:color w:val="000000"/>
      <w:kern w:val="2"/>
      <w:sz w:val="21"/>
      <w:szCs w:val="32"/>
      <w:lang w:val="en-US" w:eastAsia="zh-CN" w:bidi="ar-SA"/>
    </w:rPr>
  </w:style>
  <w:style w:type="paragraph" w:customStyle="1" w:styleId="33">
    <w:name w:val="2级正文"/>
    <w:autoRedefine/>
    <w:qFormat/>
    <w:uiPriority w:val="0"/>
    <w:pPr>
      <w:widowControl w:val="0"/>
      <w:ind w:left="721" w:hanging="420"/>
    </w:pPr>
    <w:rPr>
      <w:rFonts w:ascii="宋体" w:hAnsi="宋体" w:eastAsia="宋体" w:cs="宋体"/>
      <w:kern w:val="2"/>
      <w:sz w:val="21"/>
      <w:szCs w:val="21"/>
      <w:lang w:val="en-US" w:eastAsia="zh-CN" w:bidi="ar-SA"/>
    </w:rPr>
  </w:style>
  <w:style w:type="paragraph" w:customStyle="1" w:styleId="34">
    <w:name w:val="样式 标题 1 + 四号 居中 段前: 12 磅 段后: 12 磅 行距: 单倍行距"/>
    <w:autoRedefine/>
    <w:qFormat/>
    <w:uiPriority w:val="0"/>
    <w:pPr>
      <w:keepNext/>
      <w:keepLines/>
      <w:widowControl w:val="0"/>
      <w:spacing w:before="240" w:after="240"/>
      <w:jc w:val="center"/>
      <w:outlineLvl w:val="0"/>
    </w:pPr>
    <w:rPr>
      <w:rFonts w:ascii="Times New Roman" w:hAnsi="Times New Roman" w:eastAsia="宋体" w:cs="宋体"/>
      <w:b/>
      <w:bCs/>
      <w:kern w:val="44"/>
      <w:sz w:val="28"/>
      <w:lang w:val="en-US" w:eastAsia="zh-CN" w:bidi="ar-SA"/>
    </w:rPr>
  </w:style>
  <w:style w:type="paragraph" w:customStyle="1" w:styleId="35">
    <w:name w:val="样式1"/>
    <w:autoRedefine/>
    <w:qFormat/>
    <w:uiPriority w:val="0"/>
    <w:pPr>
      <w:widowControl w:val="0"/>
      <w:jc w:val="center"/>
    </w:pPr>
    <w:rPr>
      <w:rFonts w:ascii="宋体" w:hAnsi="宋体" w:eastAsia="宋体" w:cs="Times New Roman"/>
      <w:kern w:val="2"/>
      <w:sz w:val="30"/>
      <w:szCs w:val="28"/>
      <w:lang w:val="en-US" w:eastAsia="zh-CN" w:bidi="ar-SA"/>
    </w:rPr>
  </w:style>
  <w:style w:type="paragraph" w:customStyle="1" w:styleId="36">
    <w:name w:val="_Style 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7">
    <w:name w:val="Body text|1"/>
    <w:basedOn w:val="1"/>
    <w:autoRedefine/>
    <w:qFormat/>
    <w:uiPriority w:val="0"/>
    <w:pPr>
      <w:widowControl w:val="0"/>
      <w:shd w:val="clear" w:color="auto" w:fill="auto"/>
      <w:spacing w:line="406" w:lineRule="auto"/>
      <w:ind w:firstLine="400"/>
    </w:pPr>
    <w:rPr>
      <w:rFonts w:ascii="宋体" w:hAnsi="宋体" w:eastAsia="宋体" w:cs="宋体"/>
      <w:color w:val="232322"/>
      <w:sz w:val="34"/>
      <w:szCs w:val="34"/>
      <w:u w:val="none"/>
      <w:shd w:val="clear" w:color="auto" w:fill="auto"/>
      <w:lang w:val="zh-TW" w:eastAsia="zh-TW" w:bidi="zh-TW"/>
    </w:rPr>
  </w:style>
  <w:style w:type="paragraph" w:customStyle="1" w:styleId="38">
    <w:name w:val="Style1"/>
    <w:basedOn w:val="1"/>
    <w:autoRedefine/>
    <w:qFormat/>
    <w:uiPriority w:val="99"/>
    <w:pPr>
      <w:tabs>
        <w:tab w:val="left" w:pos="-720"/>
      </w:tabs>
      <w:spacing w:after="120"/>
    </w:pPr>
    <w:rPr>
      <w:spacing w:val="-3"/>
      <w:sz w:val="24"/>
      <w:szCs w:val="20"/>
      <w:lang w:val="en-AU" w:eastAsia="en-US"/>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styleId="4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21562</Words>
  <Characters>23011</Characters>
  <Lines>0</Lines>
  <Paragraphs>0</Paragraphs>
  <TotalTime>57</TotalTime>
  <ScaleCrop>false</ScaleCrop>
  <LinksUpToDate>false</LinksUpToDate>
  <CharactersWithSpaces>23169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2025-06-23T08:31:00Z</dcterms:created>
  <dc:creator>H</dc:creator>
  <cp:lastModifiedBy>H</cp:lastModifiedBy>
  <dcterms:modified xsi:type="dcterms:W3CDTF">2025-07-28T01:54:26Z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E0E4974466EB4152A8CEEF74D2E025B9_13</vt:lpwstr>
  </property>
  <property fmtid="{D5CDD505-2E9C-101B-9397-08002B2CF9AE}" pid="4" name="KSOTemplateDocerSaveRecord">
    <vt:lpwstr>eyJoZGlkIjoiY2NhNDE2MTM3NjM5YzZkY2U1ZDZiMzEyNTQwNjk0MGQiLCJ1c2VySWQiOiI1MDQ4MjE0ODUifQ==</vt:lpwstr>
  </property>
</Properties>
</file>