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7771F">
      <w:pPr>
        <w:wordWrap w:val="0"/>
        <w:topLinePunct/>
        <w:spacing w:line="360" w:lineRule="auto"/>
        <w:jc w:val="center"/>
        <w:rPr>
          <w:rFonts w:hint="eastAsia" w:ascii="宋体" w:hAnsi="宋体" w:cs="宋体"/>
          <w:color w:val="auto"/>
          <w:highlight w:val="none"/>
        </w:rPr>
      </w:pPr>
      <w:bookmarkStart w:id="0" w:name="_Toc31784"/>
      <w:bookmarkStart w:id="1" w:name="_Toc10467"/>
      <w:bookmarkStart w:id="2" w:name="_Toc13415"/>
      <w:bookmarkStart w:id="3" w:name="_Toc12296"/>
      <w:r>
        <w:rPr>
          <w:rFonts w:hint="eastAsia" w:cs="宋体"/>
          <w:b/>
          <w:bCs/>
          <w:color w:val="auto"/>
          <w:spacing w:val="20"/>
          <w:sz w:val="56"/>
          <w:szCs w:val="56"/>
          <w:highlight w:val="none"/>
          <w:lang w:eastAsia="zh-CN"/>
        </w:rPr>
        <w:t>2025年财政衔接资金息县交通基础设施提升项目</w:t>
      </w:r>
    </w:p>
    <w:p w14:paraId="3CE8249F">
      <w:pPr>
        <w:wordWrap w:val="0"/>
        <w:topLinePunct/>
        <w:spacing w:line="360" w:lineRule="auto"/>
        <w:rPr>
          <w:rFonts w:hint="eastAsia" w:ascii="宋体" w:hAnsi="宋体" w:cs="宋体"/>
          <w:color w:val="auto"/>
          <w:highlight w:val="none"/>
        </w:rPr>
      </w:pPr>
    </w:p>
    <w:p w14:paraId="65D7F5A2">
      <w:pPr>
        <w:wordWrap w:val="0"/>
        <w:topLinePunct/>
        <w:adjustRightInd w:val="0"/>
        <w:snapToGrid w:val="0"/>
        <w:spacing w:line="360" w:lineRule="auto"/>
        <w:jc w:val="center"/>
        <w:rPr>
          <w:rFonts w:hint="eastAsia" w:ascii="宋体" w:hAnsi="宋体" w:cs="宋体"/>
          <w:b/>
          <w:color w:val="auto"/>
          <w:spacing w:val="28"/>
          <w:kern w:val="0"/>
          <w:sz w:val="60"/>
          <w:szCs w:val="60"/>
          <w:highlight w:val="none"/>
        </w:rPr>
      </w:pPr>
    </w:p>
    <w:p w14:paraId="1C2EC5D7">
      <w:pPr>
        <w:wordWrap w:val="0"/>
        <w:topLinePunct/>
        <w:adjustRightInd w:val="0"/>
        <w:snapToGrid w:val="0"/>
        <w:spacing w:line="240" w:lineRule="auto"/>
        <w:jc w:val="center"/>
        <w:rPr>
          <w:rFonts w:hint="eastAsia" w:ascii="宋体" w:hAnsi="宋体" w:cs="宋体"/>
          <w:b/>
          <w:color w:val="auto"/>
          <w:spacing w:val="28"/>
          <w:kern w:val="0"/>
          <w:sz w:val="90"/>
          <w:szCs w:val="90"/>
          <w:highlight w:val="none"/>
        </w:rPr>
      </w:pPr>
    </w:p>
    <w:p w14:paraId="1B7307DA">
      <w:pPr>
        <w:wordWrap w:val="0"/>
        <w:topLinePunct/>
        <w:adjustRightInd w:val="0"/>
        <w:snapToGrid w:val="0"/>
        <w:spacing w:line="240" w:lineRule="auto"/>
        <w:jc w:val="center"/>
        <w:rPr>
          <w:rFonts w:hint="eastAsia" w:ascii="宋体" w:hAnsi="宋体" w:cs="宋体"/>
          <w:b/>
          <w:color w:val="auto"/>
          <w:spacing w:val="28"/>
          <w:kern w:val="0"/>
          <w:sz w:val="90"/>
          <w:szCs w:val="90"/>
          <w:highlight w:val="none"/>
        </w:rPr>
      </w:pPr>
      <w:r>
        <w:rPr>
          <w:rFonts w:hint="eastAsia" w:ascii="宋体" w:hAnsi="宋体" w:cs="宋体"/>
          <w:b/>
          <w:color w:val="auto"/>
          <w:spacing w:val="28"/>
          <w:kern w:val="0"/>
          <w:sz w:val="90"/>
          <w:szCs w:val="90"/>
          <w:highlight w:val="none"/>
          <w:lang w:val="en-US" w:eastAsia="zh-CN"/>
        </w:rPr>
        <w:t xml:space="preserve">监 理 </w:t>
      </w:r>
      <w:r>
        <w:rPr>
          <w:rFonts w:hint="eastAsia" w:ascii="宋体" w:hAnsi="宋体" w:cs="宋体"/>
          <w:b/>
          <w:color w:val="auto"/>
          <w:spacing w:val="28"/>
          <w:kern w:val="0"/>
          <w:sz w:val="90"/>
          <w:szCs w:val="90"/>
          <w:highlight w:val="none"/>
        </w:rPr>
        <w:t>招 标 文 件</w:t>
      </w:r>
    </w:p>
    <w:p w14:paraId="430AD4C5">
      <w:pPr>
        <w:pStyle w:val="44"/>
        <w:jc w:val="center"/>
        <w:rPr>
          <w:rFonts w:hint="eastAsia" w:ascii="宋体" w:hAnsi="宋体" w:eastAsia="宋体" w:cs="宋体"/>
          <w:b/>
          <w:color w:val="auto"/>
          <w:sz w:val="28"/>
          <w:szCs w:val="28"/>
          <w:highlight w:val="none"/>
        </w:rPr>
      </w:pPr>
    </w:p>
    <w:p w14:paraId="562B6303">
      <w:pPr>
        <w:pStyle w:val="44"/>
        <w:jc w:val="center"/>
        <w:rPr>
          <w:rFonts w:hint="eastAsia" w:ascii="宋体" w:hAnsi="宋体" w:eastAsia="宋体" w:cs="宋体"/>
          <w:b/>
          <w:color w:val="auto"/>
          <w:sz w:val="28"/>
          <w:szCs w:val="28"/>
          <w:highlight w:val="none"/>
        </w:rPr>
      </w:pPr>
    </w:p>
    <w:p w14:paraId="73ED597A">
      <w:pPr>
        <w:pStyle w:val="44"/>
        <w:rPr>
          <w:rFonts w:hint="eastAsia"/>
          <w:color w:val="auto"/>
          <w:highlight w:val="none"/>
        </w:rPr>
      </w:pPr>
    </w:p>
    <w:p w14:paraId="35EB58C2">
      <w:pPr>
        <w:wordWrap w:val="0"/>
        <w:topLinePunct/>
        <w:adjustRightInd w:val="0"/>
        <w:snapToGrid w:val="0"/>
        <w:spacing w:line="360" w:lineRule="auto"/>
        <w:ind w:firstLine="1200" w:firstLineChars="500"/>
        <w:rPr>
          <w:rFonts w:hint="eastAsia" w:ascii="宋体" w:hAnsi="宋体" w:cs="宋体"/>
          <w:b/>
          <w:color w:val="auto"/>
          <w:kern w:val="0"/>
          <w:sz w:val="24"/>
          <w:highlight w:val="none"/>
        </w:rPr>
      </w:pPr>
      <w:r>
        <w:rPr>
          <w:rFonts w:hint="eastAsia" w:ascii="宋体" w:hAnsi="宋体" w:cs="宋体"/>
          <w:color w:val="auto"/>
          <w:kern w:val="0"/>
          <w:sz w:val="24"/>
          <w:highlight w:val="none"/>
          <w:lang w:bidi="ar"/>
        </w:rPr>
        <w:t xml:space="preserve">      </w:t>
      </w:r>
    </w:p>
    <w:p w14:paraId="1028034B">
      <w:pPr>
        <w:wordWrap w:val="0"/>
        <w:topLinePunct/>
        <w:spacing w:line="360" w:lineRule="auto"/>
        <w:rPr>
          <w:rFonts w:hint="eastAsia" w:ascii="宋体" w:hAnsi="宋体" w:cs="宋体"/>
          <w:b/>
          <w:bCs/>
          <w:color w:val="auto"/>
          <w:sz w:val="32"/>
          <w:szCs w:val="32"/>
          <w:highlight w:val="none"/>
        </w:rPr>
      </w:pPr>
    </w:p>
    <w:p w14:paraId="3D09CF21">
      <w:pPr>
        <w:pStyle w:val="28"/>
        <w:rPr>
          <w:rFonts w:hint="eastAsia" w:ascii="宋体" w:hAnsi="宋体" w:cs="宋体"/>
          <w:b/>
          <w:bCs/>
          <w:color w:val="auto"/>
          <w:sz w:val="32"/>
          <w:szCs w:val="32"/>
          <w:highlight w:val="none"/>
        </w:rPr>
      </w:pPr>
    </w:p>
    <w:p w14:paraId="75518023">
      <w:pPr>
        <w:wordWrap w:val="0"/>
        <w:topLinePunct/>
        <w:spacing w:line="360" w:lineRule="auto"/>
        <w:rPr>
          <w:rFonts w:hint="eastAsia" w:ascii="宋体" w:hAnsi="宋体" w:cs="宋体"/>
          <w:b/>
          <w:bCs/>
          <w:color w:val="auto"/>
          <w:sz w:val="32"/>
          <w:szCs w:val="32"/>
          <w:highlight w:val="none"/>
        </w:rPr>
      </w:pPr>
      <w:bookmarkStart w:id="4" w:name="_Toc31236"/>
      <w:bookmarkStart w:id="5" w:name="_Toc27623"/>
      <w:bookmarkStart w:id="6" w:name="_Toc1734"/>
    </w:p>
    <w:p w14:paraId="2FC01EE5">
      <w:pPr>
        <w:wordWrap w:val="0"/>
        <w:topLinePunct/>
        <w:spacing w:line="360" w:lineRule="auto"/>
        <w:rPr>
          <w:rFonts w:hint="eastAsia" w:ascii="宋体" w:hAnsi="宋体" w:cs="宋体"/>
          <w:b/>
          <w:bCs/>
          <w:color w:val="auto"/>
          <w:sz w:val="32"/>
          <w:szCs w:val="32"/>
          <w:highlight w:val="none"/>
        </w:rPr>
      </w:pPr>
    </w:p>
    <w:bookmarkEnd w:id="4"/>
    <w:bookmarkEnd w:id="5"/>
    <w:bookmarkEnd w:id="6"/>
    <w:p w14:paraId="57911379">
      <w:pPr>
        <w:keepNext w:val="0"/>
        <w:keepLines w:val="0"/>
        <w:pageBreakBefore w:val="0"/>
        <w:widowControl w:val="0"/>
        <w:kinsoku/>
        <w:wordWrap/>
        <w:overflowPunct/>
        <w:topLinePunct w:val="0"/>
        <w:autoSpaceDE/>
        <w:autoSpaceDN/>
        <w:bidi w:val="0"/>
        <w:adjustRightInd/>
        <w:snapToGrid/>
        <w:spacing w:before="120" w:after="157" w:afterLines="50" w:line="360" w:lineRule="auto"/>
        <w:ind w:firstLine="1807" w:firstLineChars="500"/>
        <w:jc w:val="both"/>
        <w:textAlignment w:val="auto"/>
        <w:rPr>
          <w:rFonts w:hint="eastAsia"/>
          <w:b/>
          <w:bCs/>
          <w:color w:val="auto"/>
          <w:sz w:val="36"/>
          <w:szCs w:val="36"/>
          <w:lang w:eastAsia="zh-CN"/>
        </w:rPr>
      </w:pPr>
      <w:r>
        <w:rPr>
          <w:rFonts w:hint="eastAsia"/>
          <w:b/>
          <w:bCs/>
          <w:color w:val="auto"/>
          <w:sz w:val="36"/>
          <w:szCs w:val="36"/>
        </w:rPr>
        <w:t>招</w:t>
      </w:r>
      <w:r>
        <w:rPr>
          <w:rFonts w:hint="eastAsia"/>
          <w:b/>
          <w:bCs/>
          <w:color w:val="auto"/>
          <w:sz w:val="36"/>
          <w:szCs w:val="36"/>
          <w:lang w:val="en-US" w:eastAsia="zh-CN"/>
        </w:rPr>
        <w:t xml:space="preserve">   </w:t>
      </w:r>
      <w:r>
        <w:rPr>
          <w:rFonts w:hint="eastAsia"/>
          <w:b/>
          <w:bCs/>
          <w:color w:val="auto"/>
          <w:sz w:val="36"/>
          <w:szCs w:val="36"/>
        </w:rPr>
        <w:t>标</w:t>
      </w:r>
      <w:r>
        <w:rPr>
          <w:rFonts w:hint="eastAsia"/>
          <w:b/>
          <w:bCs/>
          <w:color w:val="auto"/>
          <w:sz w:val="36"/>
          <w:szCs w:val="36"/>
          <w:lang w:val="en-US" w:eastAsia="zh-CN"/>
        </w:rPr>
        <w:t xml:space="preserve">   </w:t>
      </w:r>
      <w:r>
        <w:rPr>
          <w:rFonts w:hint="eastAsia"/>
          <w:b/>
          <w:bCs/>
          <w:color w:val="auto"/>
          <w:sz w:val="36"/>
          <w:szCs w:val="36"/>
        </w:rPr>
        <w:t>人：</w:t>
      </w:r>
      <w:r>
        <w:rPr>
          <w:rFonts w:hint="eastAsia"/>
          <w:b/>
          <w:bCs/>
          <w:color w:val="auto"/>
          <w:sz w:val="36"/>
          <w:szCs w:val="36"/>
          <w:lang w:eastAsia="zh-CN"/>
        </w:rPr>
        <w:t>息县交通运输局</w:t>
      </w:r>
    </w:p>
    <w:p w14:paraId="41097BBB">
      <w:pPr>
        <w:keepNext w:val="0"/>
        <w:keepLines w:val="0"/>
        <w:pageBreakBefore w:val="0"/>
        <w:widowControl w:val="0"/>
        <w:kinsoku/>
        <w:wordWrap/>
        <w:overflowPunct/>
        <w:topLinePunct w:val="0"/>
        <w:autoSpaceDE/>
        <w:autoSpaceDN/>
        <w:bidi w:val="0"/>
        <w:adjustRightInd/>
        <w:snapToGrid/>
        <w:spacing w:before="120" w:after="157" w:afterLines="50"/>
        <w:ind w:firstLine="1807" w:firstLineChars="500"/>
        <w:jc w:val="both"/>
        <w:textAlignment w:val="auto"/>
        <w:rPr>
          <w:rFonts w:hint="eastAsia"/>
          <w:b/>
          <w:bCs/>
          <w:color w:val="auto"/>
          <w:sz w:val="36"/>
          <w:szCs w:val="36"/>
          <w:lang w:val="en-US" w:eastAsia="zh-CN"/>
        </w:rPr>
      </w:pPr>
      <w:r>
        <w:rPr>
          <w:rFonts w:hint="eastAsia"/>
          <w:b/>
          <w:bCs/>
          <w:color w:val="auto"/>
          <w:sz w:val="36"/>
          <w:szCs w:val="36"/>
        </w:rPr>
        <w:t>招标代理机构：</w:t>
      </w:r>
      <w:r>
        <w:rPr>
          <w:rFonts w:hint="eastAsia"/>
          <w:b/>
          <w:bCs/>
          <w:color w:val="auto"/>
          <w:sz w:val="36"/>
          <w:szCs w:val="36"/>
          <w:lang w:val="en-US" w:eastAsia="zh-CN"/>
        </w:rPr>
        <w:t>河南兆捷工程管理有限公司</w:t>
      </w:r>
    </w:p>
    <w:p w14:paraId="4B5B8074">
      <w:pPr>
        <w:keepNext w:val="0"/>
        <w:keepLines w:val="0"/>
        <w:pageBreakBefore w:val="0"/>
        <w:widowControl w:val="0"/>
        <w:kinsoku/>
        <w:wordWrap/>
        <w:overflowPunct/>
        <w:topLinePunct w:val="0"/>
        <w:autoSpaceDE/>
        <w:autoSpaceDN/>
        <w:bidi w:val="0"/>
        <w:adjustRightInd/>
        <w:snapToGrid/>
        <w:spacing w:before="120" w:after="157" w:afterLines="50" w:line="360" w:lineRule="auto"/>
        <w:ind w:firstLine="1807" w:firstLineChars="500"/>
        <w:jc w:val="both"/>
        <w:textAlignment w:val="auto"/>
        <w:rPr>
          <w:rFonts w:hint="eastAsia" w:cs="Times New Roman"/>
          <w:b/>
          <w:bCs/>
          <w:color w:val="auto"/>
          <w:sz w:val="36"/>
          <w:szCs w:val="36"/>
          <w:lang w:eastAsia="zh-CN"/>
        </w:rPr>
        <w:sectPr>
          <w:headerReference r:id="rId5" w:type="default"/>
          <w:pgSz w:w="11906" w:h="16838"/>
          <w:pgMar w:top="1440" w:right="1247" w:bottom="1440" w:left="1247" w:header="850" w:footer="850" w:gutter="0"/>
          <w:pgNumType w:fmt="decimal" w:start="0"/>
          <w:cols w:space="720" w:num="1"/>
          <w:rtlGutter w:val="0"/>
          <w:docGrid w:type="lines" w:linePitch="317" w:charSpace="0"/>
        </w:sectPr>
      </w:pPr>
      <w:r>
        <w:rPr>
          <w:rFonts w:hint="eastAsia" w:cs="Times New Roman"/>
          <w:b/>
          <w:bCs/>
          <w:color w:val="auto"/>
          <w:sz w:val="36"/>
          <w:szCs w:val="36"/>
          <w:lang w:eastAsia="zh-CN"/>
        </w:rPr>
        <w:t xml:space="preserve">日      </w:t>
      </w:r>
      <w:r>
        <w:rPr>
          <w:rFonts w:hint="eastAsia" w:cs="Times New Roman"/>
          <w:b/>
          <w:bCs/>
          <w:color w:val="auto"/>
          <w:sz w:val="36"/>
          <w:szCs w:val="36"/>
          <w:lang w:val="en-US" w:eastAsia="zh-CN"/>
        </w:rPr>
        <w:t xml:space="preserve">  </w:t>
      </w:r>
      <w:r>
        <w:rPr>
          <w:rFonts w:hint="eastAsia" w:cs="Times New Roman"/>
          <w:b/>
          <w:bCs/>
          <w:color w:val="auto"/>
          <w:sz w:val="36"/>
          <w:szCs w:val="36"/>
          <w:lang w:eastAsia="zh-CN"/>
        </w:rPr>
        <w:t>期：二〇二五年</w:t>
      </w:r>
      <w:r>
        <w:rPr>
          <w:rFonts w:hint="eastAsia" w:cs="Times New Roman"/>
          <w:b/>
          <w:bCs/>
          <w:color w:val="auto"/>
          <w:sz w:val="36"/>
          <w:szCs w:val="36"/>
          <w:lang w:val="en-US" w:eastAsia="zh-CN"/>
        </w:rPr>
        <w:t>十一</w:t>
      </w:r>
      <w:r>
        <w:rPr>
          <w:rFonts w:hint="eastAsia" w:cs="Times New Roman"/>
          <w:b/>
          <w:bCs/>
          <w:color w:val="auto"/>
          <w:sz w:val="36"/>
          <w:szCs w:val="36"/>
          <w:lang w:eastAsia="zh-CN"/>
        </w:rPr>
        <w:t>月</w:t>
      </w:r>
    </w:p>
    <w:p w14:paraId="7FA0C46B">
      <w:pPr>
        <w:rPr>
          <w:rFonts w:hint="eastAsia"/>
          <w:color w:val="auto"/>
        </w:rPr>
      </w:pPr>
    </w:p>
    <w:p w14:paraId="12F1D465">
      <w:pPr>
        <w:pStyle w:val="2"/>
        <w:bidi w:val="0"/>
        <w:jc w:val="left"/>
        <w:rPr>
          <w:rFonts w:hint="eastAsia"/>
          <w:color w:val="auto"/>
        </w:rPr>
      </w:pPr>
      <w:r>
        <w:rPr>
          <w:rFonts w:hint="eastAsia"/>
          <w:color w:val="auto"/>
        </w:rPr>
        <w:t>无范本电子招投标特别提示</w:t>
      </w:r>
      <w:bookmarkEnd w:id="0"/>
      <w:bookmarkEnd w:id="1"/>
    </w:p>
    <w:p w14:paraId="45E9217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一、投标人（供应商）注册</w:t>
      </w:r>
    </w:p>
    <w:p w14:paraId="5EBDFC9A">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凡有意参加本项目的投标人（供应商），请</w:t>
      </w:r>
      <w:r>
        <w:rPr>
          <w:rFonts w:hint="eastAsia" w:ascii="宋体" w:hAnsi="宋体" w:cs="宋体"/>
          <w:color w:val="auto"/>
          <w:sz w:val="21"/>
          <w:szCs w:val="21"/>
          <w:highlight w:val="none"/>
          <w:lang w:eastAsia="zh-CN"/>
        </w:rPr>
        <w:t>登录</w:t>
      </w:r>
      <w:r>
        <w:rPr>
          <w:rFonts w:hint="eastAsia" w:ascii="宋体" w:hAnsi="宋体" w:cs="宋体"/>
          <w:color w:val="auto"/>
          <w:sz w:val="21"/>
          <w:szCs w:val="21"/>
          <w:highlight w:val="none"/>
        </w:rPr>
        <w:t>“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7A1383A5">
      <w:pPr>
        <w:keepNext w:val="0"/>
        <w:keepLines w:val="0"/>
        <w:pageBreakBefore w:val="0"/>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二、办理CA数字证书</w:t>
      </w:r>
    </w:p>
    <w:p w14:paraId="7BA5D994">
      <w:pPr>
        <w:keepNext w:val="0"/>
        <w:keepLines w:val="0"/>
        <w:pageBreakBefore w:val="0"/>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eastAsia="宋体" w:cs="宋体"/>
          <w:bCs/>
          <w:color w:val="auto"/>
          <w:sz w:val="21"/>
          <w:szCs w:val="21"/>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75ADA4C5">
      <w:pPr>
        <w:keepNext w:val="0"/>
        <w:keepLines w:val="0"/>
        <w:pageBreakBefore w:val="0"/>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三、招标（采购）文件获取方式</w:t>
      </w:r>
    </w:p>
    <w:p w14:paraId="2967FD87">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投标人（供应商）凭CA数字证书</w:t>
      </w:r>
      <w:r>
        <w:rPr>
          <w:rFonts w:hint="eastAsia" w:ascii="宋体" w:hAnsi="宋体" w:cs="宋体"/>
          <w:color w:val="auto"/>
          <w:sz w:val="21"/>
          <w:szCs w:val="21"/>
          <w:highlight w:val="none"/>
          <w:lang w:eastAsia="zh-CN"/>
        </w:rPr>
        <w:t>登录</w:t>
      </w:r>
      <w:r>
        <w:rPr>
          <w:rFonts w:hint="eastAsia" w:ascii="宋体" w:hAnsi="宋体" w:cs="宋体"/>
          <w:color w:val="auto"/>
          <w:sz w:val="21"/>
          <w:szCs w:val="21"/>
          <w:highlight w:val="none"/>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51F22BED">
      <w:pPr>
        <w:keepNext w:val="0"/>
        <w:keepLines w:val="0"/>
        <w:pageBreakBefore w:val="0"/>
        <w:tabs>
          <w:tab w:val="left" w:pos="0"/>
        </w:tabs>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四、投标（响应）文件制作</w:t>
      </w:r>
    </w:p>
    <w:p w14:paraId="0E7ABF76">
      <w:pPr>
        <w:keepNext w:val="0"/>
        <w:keepLines w:val="0"/>
        <w:pageBreakBefore w:val="0"/>
        <w:tabs>
          <w:tab w:val="left" w:pos="0"/>
        </w:tabs>
        <w:kinsoku/>
        <w:wordWrap/>
        <w:overflowPunct/>
        <w:topLinePunct w:val="0"/>
        <w:autoSpaceDE/>
        <w:autoSpaceDN/>
        <w:bidi w:val="0"/>
        <w:spacing w:line="336"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投标（响应）文件应使用信阳市公共资源交易系统投标文件制作专用工具软件编制，投标（响应）文件格式为“*.XYTF”。</w:t>
      </w:r>
    </w:p>
    <w:p w14:paraId="4F9A85D6">
      <w:pPr>
        <w:keepNext w:val="0"/>
        <w:keepLines w:val="0"/>
        <w:pageBreakBefore w:val="0"/>
        <w:tabs>
          <w:tab w:val="left" w:pos="0"/>
        </w:tabs>
        <w:kinsoku/>
        <w:wordWrap/>
        <w:overflowPunct/>
        <w:topLinePunct w:val="0"/>
        <w:autoSpaceDE/>
        <w:autoSpaceDN/>
        <w:bidi w:val="0"/>
        <w:spacing w:line="336"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投标人（供应商）须在投标（响应）文件递交截止时间前制作并提交。</w:t>
      </w:r>
    </w:p>
    <w:p w14:paraId="66DC2F8F">
      <w:pPr>
        <w:pStyle w:val="12"/>
        <w:keepNext w:val="0"/>
        <w:keepLines w:val="0"/>
        <w:pageBreakBefore w:val="0"/>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u w:val="double"/>
        </w:rPr>
        <w:t>五、投标（响应）文件的签字和盖章要求</w:t>
      </w:r>
    </w:p>
    <w:p w14:paraId="3B19F587">
      <w:pPr>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1、投标文件（响应）格式中所有要求投标人（供应商）加盖公章的地方都须加盖投标人（供应商）的 CA 印章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联合体投标的，加盖联合体牵头人CA印章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63CE5338">
      <w:pPr>
        <w:keepNext w:val="0"/>
        <w:keepLines w:val="0"/>
        <w:pageBreakBefore w:val="0"/>
        <w:kinsoku/>
        <w:wordWrap/>
        <w:overflowPunct/>
        <w:topLinePunct w:val="0"/>
        <w:autoSpaceDE/>
        <w:autoSpaceDN/>
        <w:bidi w:val="0"/>
        <w:adjustRightInd w:val="0"/>
        <w:snapToGrid w:val="0"/>
        <w:spacing w:line="336" w:lineRule="auto"/>
        <w:ind w:left="-126" w:leftChars="-60" w:firstLine="525" w:firstLineChars="250"/>
        <w:jc w:val="left"/>
        <w:textAlignment w:val="auto"/>
        <w:rPr>
          <w:rFonts w:hint="eastAsia" w:ascii="宋体" w:hAnsi="宋体" w:cs="宋体"/>
          <w:b/>
          <w:bCs/>
          <w:color w:val="auto"/>
          <w:sz w:val="21"/>
          <w:szCs w:val="21"/>
          <w:highlight w:val="none"/>
        </w:rPr>
      </w:pPr>
      <w:r>
        <w:rPr>
          <w:rFonts w:hint="eastAsia" w:ascii="宋体" w:hAnsi="宋体" w:cs="宋体"/>
          <w:color w:val="auto"/>
          <w:sz w:val="21"/>
          <w:szCs w:val="21"/>
          <w:highlight w:val="none"/>
        </w:rPr>
        <w:t>2、投标文件（响应）格式中所有要求法定代表人或其委托代理人签字或盖章的地方</w:t>
      </w:r>
      <w:r>
        <w:rPr>
          <w:rFonts w:hint="eastAsia" w:ascii="宋体" w:hAnsi="宋体" w:cs="宋体"/>
          <w:b/>
          <w:bCs/>
          <w:color w:val="auto"/>
          <w:sz w:val="21"/>
          <w:szCs w:val="21"/>
          <w:highlight w:val="none"/>
        </w:rPr>
        <w:t>（不含授权委托书委托人签字）</w:t>
      </w:r>
      <w:r>
        <w:rPr>
          <w:rFonts w:hint="eastAsia" w:ascii="宋体" w:hAnsi="宋体" w:cs="宋体"/>
          <w:color w:val="auto"/>
          <w:sz w:val="21"/>
          <w:szCs w:val="21"/>
          <w:highlight w:val="none"/>
        </w:rPr>
        <w:t>都须加盖法定代表人</w:t>
      </w:r>
      <w:r>
        <w:rPr>
          <w:rFonts w:hint="eastAsia" w:ascii="宋体" w:hAnsi="宋体" w:cs="宋体"/>
          <w:b/>
          <w:bCs/>
          <w:color w:val="auto"/>
          <w:sz w:val="21"/>
          <w:szCs w:val="21"/>
          <w:highlight w:val="none"/>
        </w:rPr>
        <w:t>CA 印章。</w:t>
      </w:r>
    </w:p>
    <w:p w14:paraId="74FD9998">
      <w:pPr>
        <w:pStyle w:val="12"/>
        <w:keepNext w:val="0"/>
        <w:keepLines w:val="0"/>
        <w:pageBreakBefore w:val="0"/>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六、投标文件份数</w:t>
      </w:r>
    </w:p>
    <w:p w14:paraId="5E0FFDD7">
      <w:pPr>
        <w:keepNext w:val="0"/>
        <w:keepLines w:val="0"/>
        <w:pageBreakBefore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加密的电子投标（响应）文件壹份（*.XYTF 格式，在会员系统指定位置上传</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0C940C9B">
      <w:pPr>
        <w:pStyle w:val="12"/>
        <w:keepNext w:val="0"/>
        <w:keepLines w:val="0"/>
        <w:pageBreakBefore w:val="0"/>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七、投标（响应）文件的递交</w:t>
      </w:r>
    </w:p>
    <w:p w14:paraId="20DE3AEE">
      <w:pPr>
        <w:keepNext w:val="0"/>
        <w:keepLines w:val="0"/>
        <w:pageBreakBefore w:val="0"/>
        <w:kinsoku/>
        <w:wordWrap/>
        <w:overflowPunct/>
        <w:topLinePunct w:val="0"/>
        <w:autoSpaceDE/>
        <w:autoSpaceDN/>
        <w:bidi w:val="0"/>
        <w:adjustRightInd w:val="0"/>
        <w:snapToGrid w:val="0"/>
        <w:spacing w:line="336"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1、电子投标（响应）文件的递交</w:t>
      </w:r>
    </w:p>
    <w:p w14:paraId="630FDDCF">
      <w:pPr>
        <w:keepNext w:val="0"/>
        <w:keepLines w:val="0"/>
        <w:pageBreakBefore w:val="0"/>
        <w:kinsoku/>
        <w:wordWrap/>
        <w:overflowPunct/>
        <w:topLinePunct w:val="0"/>
        <w:autoSpaceDE/>
        <w:autoSpaceDN/>
        <w:bidi w:val="0"/>
        <w:spacing w:line="336"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628B5C33">
      <w:pPr>
        <w:keepNext w:val="0"/>
        <w:keepLines w:val="0"/>
        <w:pageBreakBefore w:val="0"/>
        <w:kinsoku/>
        <w:wordWrap/>
        <w:overflowPunct/>
        <w:topLinePunct w:val="0"/>
        <w:autoSpaceDE/>
        <w:autoSpaceDN/>
        <w:bidi w:val="0"/>
        <w:spacing w:line="336"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2、除电子投标（响应）文件外，不再接受任何纸质文件、资料原件等。</w:t>
      </w:r>
    </w:p>
    <w:p w14:paraId="51FACB8D">
      <w:pPr>
        <w:keepNext w:val="0"/>
        <w:keepLines w:val="0"/>
        <w:pageBreakBefore w:val="0"/>
        <w:kinsoku/>
        <w:wordWrap/>
        <w:overflowPunct/>
        <w:topLinePunct w:val="0"/>
        <w:autoSpaceDE/>
        <w:autoSpaceDN/>
        <w:bidi w:val="0"/>
        <w:spacing w:line="336" w:lineRule="auto"/>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八、澄清与变更</w:t>
      </w:r>
    </w:p>
    <w:p w14:paraId="08020610">
      <w:pPr>
        <w:keepNext w:val="0"/>
        <w:keepLines w:val="0"/>
        <w:pageBreakBefore w:val="0"/>
        <w:kinsoku/>
        <w:wordWrap/>
        <w:overflowPunct/>
        <w:topLinePunct w:val="0"/>
        <w:autoSpaceDE/>
        <w:autoSpaceDN/>
        <w:bidi w:val="0"/>
        <w:spacing w:line="336"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1FCB417F">
      <w:pPr>
        <w:keepNext w:val="0"/>
        <w:keepLines w:val="0"/>
        <w:pageBreakBefore w:val="0"/>
        <w:widowControl/>
        <w:kinsoku/>
        <w:wordWrap/>
        <w:overflowPunct/>
        <w:topLinePunct w:val="0"/>
        <w:autoSpaceDE/>
        <w:autoSpaceDN/>
        <w:bidi w:val="0"/>
        <w:spacing w:line="336" w:lineRule="auto"/>
        <w:jc w:val="left"/>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 xml:space="preserve">九、其他注意事项 </w:t>
      </w:r>
    </w:p>
    <w:p w14:paraId="6D6BA25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auto"/>
          <w:sz w:val="21"/>
          <w:szCs w:val="21"/>
          <w:highlight w:val="none"/>
          <w:u w:val="double"/>
        </w:rPr>
      </w:pPr>
      <w:r>
        <w:rPr>
          <w:rFonts w:hint="eastAsia" w:ascii="宋体" w:hAnsi="宋体" w:cs="宋体"/>
          <w:b w:val="0"/>
          <w:bCs w:val="0"/>
          <w:color w:val="auto"/>
          <w:sz w:val="21"/>
          <w:szCs w:val="21"/>
          <w:highlight w:val="none"/>
          <w:u w:val="double"/>
        </w:rPr>
        <w:t>1、投标人（供应商）编制投标（响应）文件时，涉及营业执照、资质、业绩、获奖、人员、财务、 社保、纳税、各类证书等内容，</w:t>
      </w:r>
      <w:r>
        <w:rPr>
          <w:rFonts w:hint="eastAsia" w:ascii="宋体" w:hAnsi="宋体" w:cs="宋体"/>
          <w:b/>
          <w:bCs/>
          <w:color w:val="auto"/>
          <w:sz w:val="21"/>
          <w:szCs w:val="21"/>
          <w:highlight w:val="none"/>
          <w:u w:val="double"/>
        </w:rPr>
        <w:t>须扫描编制在投标（响应）文件内，同时须上传至信阳市公共资源交易中心诚信库。评委评审时，必须核对投标人（供应商）诚信库信息，未在诚信库中登记的上述内容，不得作为评标（或评审）依据。</w:t>
      </w:r>
      <w:r>
        <w:rPr>
          <w:rFonts w:hint="eastAsia" w:ascii="宋体" w:hAnsi="宋体" w:cs="宋体"/>
          <w:b w:val="0"/>
          <w:bCs w:val="0"/>
          <w:color w:val="auto"/>
          <w:sz w:val="21"/>
          <w:szCs w:val="21"/>
          <w:highlight w:val="none"/>
          <w:u w:val="double"/>
        </w:rPr>
        <w:t>投标人（供应商）应及时在投标（响应）截止时间前对主体诚信库的相关内容进行补充、 更新，过期更改的诚信库信息不作为本项目评审依据。</w:t>
      </w:r>
    </w:p>
    <w:p w14:paraId="0B403343">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联合体投标时，联合体各成员单位编制投标（响应）文件时，各成员单位应分别按招标项目所对应资质完善诚信库信息，涉及的营业执照、资质、业绩、获奖、人员、财务、社保、纳税、各类证书等内容上传诚信库后，将相应内容编制在投标（响应）文件中。</w:t>
      </w:r>
    </w:p>
    <w:p w14:paraId="0C9C2D3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bCs/>
          <w:color w:val="auto"/>
          <w:sz w:val="21"/>
          <w:szCs w:val="21"/>
          <w:highlight w:val="none"/>
          <w:u w:val="double"/>
        </w:rPr>
      </w:pPr>
      <w:r>
        <w:rPr>
          <w:rFonts w:hint="eastAsia" w:ascii="宋体" w:hAnsi="宋体" w:cs="宋体"/>
          <w:b w:val="0"/>
          <w:bCs w:val="0"/>
          <w:color w:val="auto"/>
          <w:sz w:val="21"/>
          <w:szCs w:val="21"/>
          <w:highlight w:val="none"/>
          <w:u w:val="double"/>
          <w:lang w:val="en-US" w:eastAsia="zh-CN"/>
        </w:rPr>
        <w:t>2</w:t>
      </w:r>
      <w:r>
        <w:rPr>
          <w:rFonts w:hint="eastAsia" w:ascii="宋体" w:hAnsi="宋体" w:cs="宋体"/>
          <w:b w:val="0"/>
          <w:bCs w:val="0"/>
          <w:color w:val="auto"/>
          <w:sz w:val="21"/>
          <w:szCs w:val="21"/>
          <w:highlight w:val="none"/>
          <w:u w:val="double"/>
        </w:rPr>
        <w:t>、投标文件中的扫描件，每张一般控制在500kb内,生成的加密电子投标文件一般不要超过50MB。</w:t>
      </w:r>
    </w:p>
    <w:p w14:paraId="3DC4867B">
      <w:pPr>
        <w:keepNext w:val="0"/>
        <w:keepLines w:val="0"/>
        <w:pageBreakBefore w:val="0"/>
        <w:widowControl/>
        <w:kinsoku/>
        <w:wordWrap/>
        <w:overflowPunct/>
        <w:topLinePunct w:val="0"/>
        <w:autoSpaceDE/>
        <w:autoSpaceDN/>
        <w:bidi w:val="0"/>
        <w:spacing w:line="336" w:lineRule="auto"/>
        <w:jc w:val="left"/>
        <w:textAlignment w:val="auto"/>
        <w:rPr>
          <w:rFonts w:hint="eastAsia" w:ascii="宋体" w:hAnsi="宋体" w:cs="宋体"/>
          <w:b/>
          <w:bCs/>
          <w:color w:val="auto"/>
          <w:sz w:val="21"/>
          <w:szCs w:val="21"/>
          <w:highlight w:val="none"/>
          <w:u w:val="double"/>
        </w:rPr>
      </w:pPr>
      <w:r>
        <w:rPr>
          <w:rFonts w:hint="eastAsia" w:ascii="宋体" w:hAnsi="宋体" w:cs="宋体"/>
          <w:b/>
          <w:bCs/>
          <w:color w:val="auto"/>
          <w:sz w:val="21"/>
          <w:szCs w:val="21"/>
          <w:highlight w:val="none"/>
          <w:u w:val="double"/>
        </w:rPr>
        <w:t>十、特别提醒</w:t>
      </w:r>
    </w:p>
    <w:p w14:paraId="63EA34CA">
      <w:pPr>
        <w:pStyle w:val="48"/>
        <w:tabs>
          <w:tab w:val="right" w:leader="dot" w:pos="9240"/>
        </w:tabs>
        <w:spacing w:line="48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招标（响应）文件与此内容不符的，以此内容为准。</w:t>
      </w:r>
    </w:p>
    <w:p w14:paraId="0AD09D0A">
      <w:pPr>
        <w:bidi w:val="0"/>
        <w:rPr>
          <w:color w:val="auto"/>
        </w:rPr>
      </w:pPr>
    </w:p>
    <w:p w14:paraId="03ECDDF6">
      <w:pPr>
        <w:bidi w:val="0"/>
        <w:rPr>
          <w:color w:val="auto"/>
        </w:rPr>
      </w:pPr>
    </w:p>
    <w:p w14:paraId="7CA3CC3A">
      <w:pPr>
        <w:bidi w:val="0"/>
        <w:rPr>
          <w:color w:val="auto"/>
        </w:rPr>
      </w:pPr>
    </w:p>
    <w:p w14:paraId="4EC9F247">
      <w:pPr>
        <w:bidi w:val="0"/>
        <w:rPr>
          <w:color w:val="auto"/>
        </w:rPr>
      </w:pPr>
    </w:p>
    <w:bookmarkEnd w:id="2"/>
    <w:bookmarkEnd w:id="3"/>
    <w:p w14:paraId="2DAB3DC2">
      <w:pPr>
        <w:bidi w:val="0"/>
        <w:rPr>
          <w:color w:val="auto"/>
        </w:rPr>
      </w:pPr>
    </w:p>
    <w:p w14:paraId="41B10247">
      <w:pPr>
        <w:pStyle w:val="27"/>
        <w:rPr>
          <w:color w:val="auto"/>
        </w:rPr>
      </w:pPr>
    </w:p>
    <w:p w14:paraId="33BA028A">
      <w:pPr>
        <w:pStyle w:val="28"/>
        <w:rPr>
          <w:color w:val="auto"/>
        </w:rPr>
      </w:pPr>
    </w:p>
    <w:p w14:paraId="3A8085BB">
      <w:pPr>
        <w:rPr>
          <w:color w:val="auto"/>
        </w:rPr>
      </w:pPr>
    </w:p>
    <w:p w14:paraId="6A15C1BE">
      <w:pPr>
        <w:pStyle w:val="27"/>
        <w:rPr>
          <w:color w:val="auto"/>
        </w:rPr>
      </w:pPr>
    </w:p>
    <w:p w14:paraId="700CCAE1">
      <w:pPr>
        <w:pStyle w:val="28"/>
        <w:rPr>
          <w:color w:val="auto"/>
        </w:rPr>
      </w:pPr>
    </w:p>
    <w:p w14:paraId="6213312E">
      <w:pPr>
        <w:rPr>
          <w:color w:val="auto"/>
        </w:rPr>
      </w:pPr>
    </w:p>
    <w:p w14:paraId="07F81A5A">
      <w:pPr>
        <w:rPr>
          <w:color w:val="auto"/>
        </w:rPr>
      </w:pPr>
      <w:r>
        <w:rPr>
          <w:color w:val="auto"/>
        </w:rPr>
        <w:br w:type="page"/>
      </w:r>
    </w:p>
    <w:p w14:paraId="2B7B7CE6">
      <w:pPr>
        <w:pStyle w:val="2"/>
        <w:bidi w:val="0"/>
        <w:rPr>
          <w:rFonts w:hint="default"/>
          <w:color w:val="auto"/>
          <w:lang w:val="en-US" w:eastAsia="zh-CN"/>
        </w:rPr>
      </w:pPr>
      <w:r>
        <w:rPr>
          <w:rFonts w:hint="eastAsia"/>
          <w:color w:val="auto"/>
          <w:lang w:val="en-US" w:eastAsia="zh-CN"/>
        </w:rPr>
        <w:t>目 录</w:t>
      </w:r>
    </w:p>
    <w:p w14:paraId="2AE63346">
      <w:pPr>
        <w:bidi w:val="0"/>
        <w:rPr>
          <w:color w:val="auto"/>
        </w:rPr>
      </w:pPr>
    </w:p>
    <w:p w14:paraId="517FB837">
      <w:pPr>
        <w:bidi w:val="0"/>
        <w:rPr>
          <w:color w:val="auto"/>
        </w:rPr>
      </w:pPr>
    </w:p>
    <w:p w14:paraId="18A03DCE">
      <w:pPr>
        <w:pStyle w:val="23"/>
        <w:tabs>
          <w:tab w:val="right" w:leader="dot" w:pos="8310"/>
        </w:tabs>
        <w:rPr>
          <w:color w:val="auto"/>
        </w:rPr>
      </w:pPr>
      <w:r>
        <w:rPr>
          <w:color w:val="auto"/>
        </w:rPr>
        <w:fldChar w:fldCharType="begin"/>
      </w:r>
      <w:r>
        <w:rPr>
          <w:color w:val="auto"/>
        </w:rPr>
        <w:instrText xml:space="preserve">TOC \o "1-1" \h \u </w:instrText>
      </w:r>
      <w:r>
        <w:rPr>
          <w:color w:val="auto"/>
        </w:rPr>
        <w:fldChar w:fldCharType="separate"/>
      </w:r>
    </w:p>
    <w:p w14:paraId="1095C25B">
      <w:pPr>
        <w:pStyle w:val="23"/>
        <w:tabs>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_Toc10467 </w:instrText>
      </w:r>
      <w:r>
        <w:rPr>
          <w:color w:val="auto"/>
          <w:sz w:val="24"/>
          <w:szCs w:val="24"/>
        </w:rPr>
        <w:fldChar w:fldCharType="separate"/>
      </w:r>
      <w:r>
        <w:rPr>
          <w:rFonts w:hint="eastAsia"/>
          <w:color w:val="auto"/>
          <w:sz w:val="24"/>
          <w:szCs w:val="24"/>
        </w:rPr>
        <w:t>无范本电子招投标特别提示</w:t>
      </w:r>
      <w:r>
        <w:rPr>
          <w:color w:val="auto"/>
          <w:sz w:val="24"/>
          <w:szCs w:val="24"/>
        </w:rPr>
        <w:tab/>
      </w:r>
      <w:r>
        <w:rPr>
          <w:color w:val="auto"/>
          <w:sz w:val="24"/>
          <w:szCs w:val="24"/>
        </w:rPr>
        <w:fldChar w:fldCharType="begin"/>
      </w:r>
      <w:r>
        <w:rPr>
          <w:color w:val="auto"/>
          <w:sz w:val="24"/>
          <w:szCs w:val="24"/>
        </w:rPr>
        <w:instrText xml:space="preserve"> PAGEREF _Toc10467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14:paraId="621F3072">
      <w:pPr>
        <w:pStyle w:val="23"/>
        <w:tabs>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_Toc8584 </w:instrText>
      </w:r>
      <w:r>
        <w:rPr>
          <w:color w:val="auto"/>
          <w:sz w:val="24"/>
          <w:szCs w:val="24"/>
        </w:rPr>
        <w:fldChar w:fldCharType="separate"/>
      </w:r>
      <w:r>
        <w:rPr>
          <w:rFonts w:hint="eastAsia"/>
          <w:color w:val="auto"/>
          <w:sz w:val="24"/>
          <w:szCs w:val="24"/>
        </w:rPr>
        <w:t>第一章  招标公告</w:t>
      </w:r>
      <w:r>
        <w:rPr>
          <w:color w:val="auto"/>
          <w:sz w:val="24"/>
          <w:szCs w:val="24"/>
        </w:rPr>
        <w:tab/>
      </w:r>
      <w:r>
        <w:rPr>
          <w:rFonts w:hint="eastAsia"/>
          <w:color w:val="auto"/>
          <w:sz w:val="24"/>
          <w:szCs w:val="24"/>
          <w:lang w:val="en-US" w:eastAsia="zh-CN"/>
        </w:rPr>
        <w:t>5</w:t>
      </w:r>
      <w:r>
        <w:rPr>
          <w:color w:val="auto"/>
          <w:sz w:val="24"/>
          <w:szCs w:val="24"/>
        </w:rPr>
        <w:fldChar w:fldCharType="end"/>
      </w:r>
    </w:p>
    <w:p w14:paraId="17665918">
      <w:pPr>
        <w:pStyle w:val="23"/>
        <w:tabs>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_Toc2938 </w:instrText>
      </w:r>
      <w:r>
        <w:rPr>
          <w:color w:val="auto"/>
          <w:sz w:val="24"/>
          <w:szCs w:val="24"/>
        </w:rPr>
        <w:fldChar w:fldCharType="separate"/>
      </w:r>
      <w:r>
        <w:rPr>
          <w:rFonts w:hint="eastAsia"/>
          <w:color w:val="auto"/>
          <w:sz w:val="24"/>
          <w:szCs w:val="24"/>
        </w:rPr>
        <w:t>第二章  投标人须知</w:t>
      </w:r>
      <w:r>
        <w:rPr>
          <w:color w:val="auto"/>
          <w:sz w:val="24"/>
          <w:szCs w:val="24"/>
        </w:rPr>
        <w:tab/>
      </w:r>
      <w:r>
        <w:rPr>
          <w:color w:val="auto"/>
          <w:sz w:val="24"/>
          <w:szCs w:val="24"/>
        </w:rPr>
        <w:fldChar w:fldCharType="begin"/>
      </w:r>
      <w:r>
        <w:rPr>
          <w:color w:val="auto"/>
          <w:sz w:val="24"/>
          <w:szCs w:val="24"/>
        </w:rPr>
        <w:instrText xml:space="preserve"> PAGEREF _Toc2938 \h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fldChar w:fldCharType="end"/>
      </w:r>
    </w:p>
    <w:p w14:paraId="02E18AE1">
      <w:pPr>
        <w:pStyle w:val="23"/>
        <w:tabs>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_Toc9650 </w:instrText>
      </w:r>
      <w:r>
        <w:rPr>
          <w:color w:val="auto"/>
          <w:sz w:val="24"/>
          <w:szCs w:val="24"/>
        </w:rPr>
        <w:fldChar w:fldCharType="separate"/>
      </w:r>
      <w:r>
        <w:rPr>
          <w:rFonts w:hint="eastAsia"/>
          <w:color w:val="auto"/>
          <w:sz w:val="24"/>
          <w:szCs w:val="24"/>
        </w:rPr>
        <w:t>第三章  评标办法</w:t>
      </w:r>
      <w:r>
        <w:rPr>
          <w:color w:val="auto"/>
          <w:sz w:val="24"/>
          <w:szCs w:val="24"/>
        </w:rPr>
        <w:tab/>
      </w:r>
      <w:r>
        <w:rPr>
          <w:color w:val="auto"/>
          <w:sz w:val="24"/>
          <w:szCs w:val="24"/>
        </w:rPr>
        <w:fldChar w:fldCharType="begin"/>
      </w:r>
      <w:r>
        <w:rPr>
          <w:color w:val="auto"/>
          <w:sz w:val="24"/>
          <w:szCs w:val="24"/>
        </w:rPr>
        <w:instrText xml:space="preserve"> PAGEREF _Toc9650 \h </w:instrText>
      </w:r>
      <w:r>
        <w:rPr>
          <w:color w:val="auto"/>
          <w:sz w:val="24"/>
          <w:szCs w:val="24"/>
        </w:rPr>
        <w:fldChar w:fldCharType="separate"/>
      </w:r>
      <w:r>
        <w:rPr>
          <w:color w:val="auto"/>
          <w:sz w:val="24"/>
          <w:szCs w:val="24"/>
        </w:rPr>
        <w:t>23</w:t>
      </w:r>
      <w:r>
        <w:rPr>
          <w:color w:val="auto"/>
          <w:sz w:val="24"/>
          <w:szCs w:val="24"/>
        </w:rPr>
        <w:fldChar w:fldCharType="end"/>
      </w:r>
      <w:r>
        <w:rPr>
          <w:color w:val="auto"/>
          <w:sz w:val="24"/>
          <w:szCs w:val="24"/>
        </w:rPr>
        <w:fldChar w:fldCharType="end"/>
      </w:r>
    </w:p>
    <w:p w14:paraId="25F2B0A8">
      <w:pPr>
        <w:pStyle w:val="23"/>
        <w:tabs>
          <w:tab w:val="right" w:leader="dot" w:pos="8310"/>
        </w:tabs>
        <w:spacing w:line="480" w:lineRule="auto"/>
        <w:rPr>
          <w:rFonts w:hint="eastAsia" w:eastAsia="宋体"/>
          <w:color w:val="auto"/>
          <w:lang w:val="en-US" w:eastAsia="zh-CN"/>
        </w:rPr>
      </w:pPr>
      <w:r>
        <w:rPr>
          <w:color w:val="auto"/>
          <w:sz w:val="24"/>
          <w:szCs w:val="24"/>
        </w:rPr>
        <w:fldChar w:fldCharType="begin"/>
      </w:r>
      <w:r>
        <w:rPr>
          <w:color w:val="auto"/>
          <w:sz w:val="24"/>
          <w:szCs w:val="24"/>
        </w:rPr>
        <w:instrText xml:space="preserve"> HYPERLINK \l _Toc5075 </w:instrText>
      </w:r>
      <w:r>
        <w:rPr>
          <w:color w:val="auto"/>
          <w:sz w:val="24"/>
          <w:szCs w:val="24"/>
        </w:rPr>
        <w:fldChar w:fldCharType="separate"/>
      </w:r>
      <w:r>
        <w:rPr>
          <w:rFonts w:hint="eastAsia"/>
          <w:color w:val="auto"/>
          <w:sz w:val="24"/>
          <w:szCs w:val="24"/>
        </w:rPr>
        <w:t>第四章  定标办法（票决法）</w:t>
      </w:r>
      <w:r>
        <w:rPr>
          <w:color w:val="auto"/>
          <w:sz w:val="24"/>
          <w:szCs w:val="24"/>
        </w:rPr>
        <w:tab/>
      </w:r>
      <w:r>
        <w:rPr>
          <w:rFonts w:hint="eastAsia"/>
          <w:color w:val="auto"/>
          <w:sz w:val="24"/>
          <w:szCs w:val="24"/>
          <w:lang w:val="en-US" w:eastAsia="zh-CN"/>
        </w:rPr>
        <w:t>3</w:t>
      </w:r>
      <w:r>
        <w:rPr>
          <w:color w:val="auto"/>
          <w:sz w:val="24"/>
          <w:szCs w:val="24"/>
        </w:rPr>
        <w:fldChar w:fldCharType="end"/>
      </w:r>
      <w:r>
        <w:rPr>
          <w:rFonts w:hint="eastAsia"/>
          <w:color w:val="auto"/>
          <w:sz w:val="24"/>
          <w:szCs w:val="24"/>
          <w:lang w:val="en-US" w:eastAsia="zh-CN"/>
        </w:rPr>
        <w:t>4</w:t>
      </w:r>
    </w:p>
    <w:p w14:paraId="162FC8AF">
      <w:pPr>
        <w:pStyle w:val="23"/>
        <w:tabs>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_Toc5075 </w:instrText>
      </w:r>
      <w:r>
        <w:rPr>
          <w:color w:val="auto"/>
          <w:sz w:val="24"/>
          <w:szCs w:val="24"/>
        </w:rPr>
        <w:fldChar w:fldCharType="separate"/>
      </w:r>
      <w:r>
        <w:rPr>
          <w:rFonts w:hint="eastAsia"/>
          <w:color w:val="auto"/>
          <w:sz w:val="24"/>
          <w:szCs w:val="24"/>
        </w:rPr>
        <w:t>第</w:t>
      </w:r>
      <w:r>
        <w:rPr>
          <w:rFonts w:hint="eastAsia"/>
          <w:color w:val="auto"/>
          <w:sz w:val="24"/>
          <w:szCs w:val="24"/>
          <w:lang w:val="en-US" w:eastAsia="zh-CN"/>
        </w:rPr>
        <w:t>五</w:t>
      </w:r>
      <w:r>
        <w:rPr>
          <w:rFonts w:hint="eastAsia"/>
          <w:color w:val="auto"/>
          <w:sz w:val="24"/>
          <w:szCs w:val="24"/>
        </w:rPr>
        <w:t>章  合同条款及格式</w:t>
      </w:r>
      <w:r>
        <w:rPr>
          <w:color w:val="auto"/>
          <w:sz w:val="24"/>
          <w:szCs w:val="24"/>
        </w:rPr>
        <w:tab/>
      </w:r>
      <w:r>
        <w:rPr>
          <w:color w:val="auto"/>
          <w:sz w:val="24"/>
          <w:szCs w:val="24"/>
        </w:rPr>
        <w:fldChar w:fldCharType="begin"/>
      </w:r>
      <w:r>
        <w:rPr>
          <w:color w:val="auto"/>
          <w:sz w:val="24"/>
          <w:szCs w:val="24"/>
        </w:rPr>
        <w:instrText xml:space="preserve"> PAGEREF _Toc5075 \h </w:instrText>
      </w:r>
      <w:r>
        <w:rPr>
          <w:color w:val="auto"/>
          <w:sz w:val="24"/>
          <w:szCs w:val="24"/>
        </w:rPr>
        <w:fldChar w:fldCharType="separate"/>
      </w:r>
      <w:r>
        <w:rPr>
          <w:color w:val="auto"/>
          <w:sz w:val="24"/>
          <w:szCs w:val="24"/>
        </w:rPr>
        <w:t>44</w:t>
      </w:r>
      <w:r>
        <w:rPr>
          <w:color w:val="auto"/>
          <w:sz w:val="24"/>
          <w:szCs w:val="24"/>
        </w:rPr>
        <w:fldChar w:fldCharType="end"/>
      </w:r>
      <w:r>
        <w:rPr>
          <w:color w:val="auto"/>
          <w:sz w:val="24"/>
          <w:szCs w:val="24"/>
        </w:rPr>
        <w:fldChar w:fldCharType="end"/>
      </w:r>
    </w:p>
    <w:p w14:paraId="4B7C8541">
      <w:pPr>
        <w:pStyle w:val="23"/>
        <w:tabs>
          <w:tab w:val="right" w:pos="3200"/>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_Toc1090 </w:instrText>
      </w:r>
      <w:r>
        <w:rPr>
          <w:color w:val="auto"/>
          <w:sz w:val="24"/>
          <w:szCs w:val="24"/>
        </w:rPr>
        <w:fldChar w:fldCharType="separate"/>
      </w:r>
      <w:r>
        <w:rPr>
          <w:color w:val="auto"/>
          <w:sz w:val="24"/>
          <w:szCs w:val="24"/>
        </w:rPr>
        <w:t>第</w:t>
      </w:r>
      <w:r>
        <w:rPr>
          <w:rFonts w:hint="eastAsia"/>
          <w:color w:val="auto"/>
          <w:sz w:val="24"/>
          <w:szCs w:val="24"/>
          <w:lang w:val="en-US" w:eastAsia="zh-CN"/>
        </w:rPr>
        <w:t>六</w:t>
      </w:r>
      <w:r>
        <w:rPr>
          <w:color w:val="auto"/>
          <w:sz w:val="24"/>
          <w:szCs w:val="24"/>
        </w:rPr>
        <w:t>章</w:t>
      </w:r>
      <w:r>
        <w:rPr>
          <w:color w:val="auto"/>
          <w:sz w:val="24"/>
          <w:szCs w:val="24"/>
        </w:rPr>
        <w:tab/>
      </w:r>
      <w:r>
        <w:rPr>
          <w:rFonts w:hint="eastAsia"/>
          <w:color w:val="auto"/>
          <w:sz w:val="24"/>
          <w:szCs w:val="24"/>
        </w:rPr>
        <w:t xml:space="preserve"> </w:t>
      </w:r>
      <w:r>
        <w:rPr>
          <w:color w:val="auto"/>
          <w:sz w:val="24"/>
          <w:szCs w:val="24"/>
        </w:rPr>
        <w:t>委托监理的范围和监理工作主要内容</w:t>
      </w:r>
      <w:r>
        <w:rPr>
          <w:color w:val="auto"/>
          <w:sz w:val="24"/>
          <w:szCs w:val="24"/>
        </w:rPr>
        <w:tab/>
      </w:r>
      <w:r>
        <w:rPr>
          <w:color w:val="auto"/>
          <w:sz w:val="24"/>
          <w:szCs w:val="24"/>
        </w:rPr>
        <w:fldChar w:fldCharType="begin"/>
      </w:r>
      <w:r>
        <w:rPr>
          <w:color w:val="auto"/>
          <w:sz w:val="24"/>
          <w:szCs w:val="24"/>
        </w:rPr>
        <w:instrText xml:space="preserve"> PAGEREF _Toc1090 \h </w:instrText>
      </w:r>
      <w:r>
        <w:rPr>
          <w:color w:val="auto"/>
          <w:sz w:val="24"/>
          <w:szCs w:val="24"/>
        </w:rPr>
        <w:fldChar w:fldCharType="separate"/>
      </w:r>
      <w:r>
        <w:rPr>
          <w:color w:val="auto"/>
          <w:sz w:val="24"/>
          <w:szCs w:val="24"/>
        </w:rPr>
        <w:t>62</w:t>
      </w:r>
      <w:r>
        <w:rPr>
          <w:color w:val="auto"/>
          <w:sz w:val="24"/>
          <w:szCs w:val="24"/>
        </w:rPr>
        <w:fldChar w:fldCharType="end"/>
      </w:r>
      <w:r>
        <w:rPr>
          <w:color w:val="auto"/>
          <w:sz w:val="24"/>
          <w:szCs w:val="24"/>
        </w:rPr>
        <w:fldChar w:fldCharType="end"/>
      </w:r>
    </w:p>
    <w:p w14:paraId="275098EE">
      <w:pPr>
        <w:pStyle w:val="23"/>
        <w:tabs>
          <w:tab w:val="right" w:leader="dot" w:pos="8310"/>
        </w:tabs>
        <w:spacing w:line="480" w:lineRule="auto"/>
        <w:rPr>
          <w:color w:val="auto"/>
          <w:sz w:val="24"/>
          <w:szCs w:val="24"/>
        </w:rPr>
      </w:pPr>
      <w:r>
        <w:rPr>
          <w:color w:val="auto"/>
          <w:sz w:val="24"/>
          <w:szCs w:val="24"/>
        </w:rPr>
        <w:fldChar w:fldCharType="begin"/>
      </w:r>
      <w:r>
        <w:rPr>
          <w:color w:val="auto"/>
          <w:sz w:val="24"/>
          <w:szCs w:val="24"/>
        </w:rPr>
        <w:instrText xml:space="preserve"> HYPERLINK \l _Toc28403 </w:instrText>
      </w:r>
      <w:r>
        <w:rPr>
          <w:color w:val="auto"/>
          <w:sz w:val="24"/>
          <w:szCs w:val="24"/>
        </w:rPr>
        <w:fldChar w:fldCharType="separate"/>
      </w:r>
      <w:r>
        <w:rPr>
          <w:rFonts w:hint="eastAsia"/>
          <w:color w:val="auto"/>
          <w:sz w:val="24"/>
          <w:szCs w:val="24"/>
          <w:lang w:val="en-US" w:eastAsia="zh-CN"/>
        </w:rPr>
        <w:t xml:space="preserve">第七章  </w:t>
      </w:r>
      <w:r>
        <w:rPr>
          <w:color w:val="auto"/>
          <w:sz w:val="24"/>
          <w:szCs w:val="24"/>
        </w:rPr>
        <w:t>投标文件格式</w:t>
      </w:r>
      <w:r>
        <w:rPr>
          <w:color w:val="auto"/>
          <w:sz w:val="24"/>
          <w:szCs w:val="24"/>
        </w:rPr>
        <w:tab/>
      </w:r>
      <w:r>
        <w:rPr>
          <w:color w:val="auto"/>
          <w:sz w:val="24"/>
          <w:szCs w:val="24"/>
        </w:rPr>
        <w:fldChar w:fldCharType="begin"/>
      </w:r>
      <w:r>
        <w:rPr>
          <w:color w:val="auto"/>
          <w:sz w:val="24"/>
          <w:szCs w:val="24"/>
        </w:rPr>
        <w:instrText xml:space="preserve"> PAGEREF _Toc28403 \h </w:instrText>
      </w:r>
      <w:r>
        <w:rPr>
          <w:color w:val="auto"/>
          <w:sz w:val="24"/>
          <w:szCs w:val="24"/>
        </w:rPr>
        <w:fldChar w:fldCharType="separate"/>
      </w:r>
      <w:r>
        <w:rPr>
          <w:color w:val="auto"/>
          <w:sz w:val="24"/>
          <w:szCs w:val="24"/>
        </w:rPr>
        <w:t>63</w:t>
      </w:r>
      <w:r>
        <w:rPr>
          <w:color w:val="auto"/>
          <w:sz w:val="24"/>
          <w:szCs w:val="24"/>
        </w:rPr>
        <w:fldChar w:fldCharType="end"/>
      </w:r>
      <w:r>
        <w:rPr>
          <w:color w:val="auto"/>
          <w:sz w:val="24"/>
          <w:szCs w:val="24"/>
        </w:rPr>
        <w:fldChar w:fldCharType="end"/>
      </w:r>
    </w:p>
    <w:p w14:paraId="778A31E8">
      <w:pPr>
        <w:bidi w:val="0"/>
        <w:rPr>
          <w:color w:val="auto"/>
        </w:rPr>
      </w:pPr>
      <w:r>
        <w:rPr>
          <w:color w:val="auto"/>
        </w:rPr>
        <w:fldChar w:fldCharType="end"/>
      </w:r>
    </w:p>
    <w:p w14:paraId="1DA6613C">
      <w:pPr>
        <w:bidi w:val="0"/>
        <w:rPr>
          <w:color w:val="auto"/>
        </w:rPr>
      </w:pPr>
    </w:p>
    <w:p w14:paraId="42099753">
      <w:pPr>
        <w:bidi w:val="0"/>
        <w:rPr>
          <w:color w:val="auto"/>
        </w:rPr>
      </w:pPr>
    </w:p>
    <w:p w14:paraId="0B35669C">
      <w:pPr>
        <w:pStyle w:val="27"/>
        <w:rPr>
          <w:color w:val="auto"/>
        </w:rPr>
      </w:pPr>
    </w:p>
    <w:p w14:paraId="152C33DA">
      <w:pPr>
        <w:pStyle w:val="28"/>
        <w:rPr>
          <w:color w:val="auto"/>
        </w:rPr>
      </w:pPr>
    </w:p>
    <w:p w14:paraId="4D9C98FE">
      <w:pPr>
        <w:rPr>
          <w:color w:val="auto"/>
        </w:rPr>
      </w:pPr>
    </w:p>
    <w:p w14:paraId="39A1B007">
      <w:pPr>
        <w:pStyle w:val="27"/>
        <w:rPr>
          <w:color w:val="auto"/>
        </w:rPr>
      </w:pPr>
    </w:p>
    <w:p w14:paraId="73683679">
      <w:pPr>
        <w:pStyle w:val="28"/>
        <w:rPr>
          <w:color w:val="auto"/>
        </w:rPr>
      </w:pPr>
    </w:p>
    <w:p w14:paraId="56D1E97D">
      <w:pPr>
        <w:rPr>
          <w:color w:val="auto"/>
        </w:rPr>
      </w:pPr>
    </w:p>
    <w:p w14:paraId="19ACCC2D">
      <w:pPr>
        <w:pStyle w:val="27"/>
        <w:rPr>
          <w:color w:val="auto"/>
        </w:rPr>
      </w:pPr>
    </w:p>
    <w:p w14:paraId="6835B9AD">
      <w:pPr>
        <w:pStyle w:val="28"/>
        <w:rPr>
          <w:color w:val="auto"/>
        </w:rPr>
      </w:pPr>
    </w:p>
    <w:p w14:paraId="057566E0">
      <w:pPr>
        <w:rPr>
          <w:color w:val="auto"/>
        </w:rPr>
      </w:pPr>
    </w:p>
    <w:p w14:paraId="4EF17F72">
      <w:pPr>
        <w:pStyle w:val="27"/>
        <w:rPr>
          <w:color w:val="auto"/>
        </w:rPr>
      </w:pPr>
    </w:p>
    <w:p w14:paraId="7089335E">
      <w:pPr>
        <w:pStyle w:val="28"/>
        <w:rPr>
          <w:color w:val="auto"/>
        </w:rPr>
      </w:pPr>
    </w:p>
    <w:p w14:paraId="11CC9D62">
      <w:pPr>
        <w:bidi w:val="0"/>
        <w:rPr>
          <w:color w:val="auto"/>
        </w:rPr>
        <w:sectPr>
          <w:headerReference r:id="rId6" w:type="default"/>
          <w:footerReference r:id="rId7" w:type="default"/>
          <w:pgSz w:w="11910" w:h="16840"/>
          <w:pgMar w:top="1440" w:right="1349" w:bottom="1440" w:left="1349" w:header="872" w:footer="835" w:gutter="0"/>
          <w:pgBorders>
            <w:top w:val="none" w:sz="0" w:space="0"/>
            <w:left w:val="none" w:sz="0" w:space="0"/>
            <w:bottom w:val="none" w:sz="0" w:space="0"/>
            <w:right w:val="none" w:sz="0" w:space="0"/>
          </w:pgBorders>
          <w:pgNumType w:fmt="decimal"/>
          <w:cols w:space="720" w:num="1"/>
        </w:sectPr>
      </w:pPr>
    </w:p>
    <w:p w14:paraId="1CB45209">
      <w:pPr>
        <w:pStyle w:val="2"/>
        <w:bidi w:val="0"/>
        <w:jc w:val="center"/>
        <w:rPr>
          <w:rFonts w:hint="eastAsia"/>
          <w:color w:val="auto"/>
          <w:lang w:val="en-US" w:eastAsia="zh-CN"/>
        </w:rPr>
      </w:pPr>
      <w:bookmarkStart w:id="7" w:name="_Toc28628"/>
      <w:bookmarkStart w:id="8" w:name="_Toc30248"/>
      <w:bookmarkStart w:id="9" w:name="_Toc2938"/>
      <w:bookmarkStart w:id="10" w:name="_Toc12661"/>
      <w:r>
        <w:rPr>
          <w:rFonts w:hint="eastAsia"/>
          <w:color w:val="auto"/>
          <w:lang w:val="en-US" w:eastAsia="zh-CN"/>
        </w:rPr>
        <w:t>第一章 招标公告</w:t>
      </w:r>
      <w:bookmarkEnd w:id="7"/>
    </w:p>
    <w:p w14:paraId="1BC8B4C4">
      <w:pPr>
        <w:pStyle w:val="3"/>
        <w:bidi w:val="0"/>
        <w:rPr>
          <w:rFonts w:hint="eastAsia"/>
          <w:color w:val="auto"/>
          <w:lang w:val="en-US" w:eastAsia="zh-CN"/>
        </w:rPr>
      </w:pPr>
      <w:bookmarkStart w:id="11" w:name="_Toc18395"/>
      <w:r>
        <w:rPr>
          <w:rFonts w:hint="eastAsia"/>
          <w:color w:val="auto"/>
          <w:lang w:val="en-US" w:eastAsia="zh-CN"/>
        </w:rPr>
        <w:t xml:space="preserve">2025年财政衔接资金息县交通基础设施提升项目  </w:t>
      </w:r>
    </w:p>
    <w:p w14:paraId="3C1B9350">
      <w:pPr>
        <w:pStyle w:val="3"/>
        <w:bidi w:val="0"/>
        <w:rPr>
          <w:rFonts w:hint="eastAsia"/>
          <w:color w:val="auto"/>
        </w:rPr>
      </w:pPr>
      <w:bookmarkStart w:id="12" w:name="_Toc26525"/>
      <w:r>
        <w:rPr>
          <w:rFonts w:hint="eastAsia"/>
          <w:color w:val="auto"/>
        </w:rPr>
        <w:t>招标公告</w:t>
      </w:r>
      <w:bookmarkEnd w:id="11"/>
      <w:bookmarkEnd w:id="12"/>
    </w:p>
    <w:p w14:paraId="790E7F15">
      <w:pPr>
        <w:pStyle w:val="3"/>
        <w:keepNext w:val="0"/>
        <w:keepLines w:val="0"/>
        <w:widowControl/>
        <w:tabs>
          <w:tab w:val="left" w:pos="1548"/>
        </w:tabs>
        <w:wordWrap w:val="0"/>
        <w:topLinePunct/>
        <w:spacing w:before="0" w:after="0" w:line="360" w:lineRule="auto"/>
        <w:jc w:val="left"/>
        <w:rPr>
          <w:rFonts w:hint="eastAsia" w:ascii="宋体" w:hAnsi="宋体" w:eastAsia="宋体" w:cs="宋体"/>
          <w:color w:val="auto"/>
          <w:kern w:val="1"/>
          <w:sz w:val="21"/>
          <w:szCs w:val="21"/>
          <w:highlight w:val="none"/>
        </w:rPr>
      </w:pPr>
      <w:bookmarkStart w:id="13" w:name="_Toc6276"/>
      <w:bookmarkStart w:id="14" w:name="_Toc4103"/>
      <w:bookmarkStart w:id="15" w:name="_Toc17522"/>
      <w:bookmarkStart w:id="16" w:name="_Toc570"/>
      <w:bookmarkStart w:id="17" w:name="_Toc15164"/>
      <w:bookmarkStart w:id="18" w:name="_Toc1525"/>
      <w:bookmarkStart w:id="19" w:name="_Toc27802"/>
      <w:bookmarkStart w:id="20" w:name="_Toc2477"/>
      <w:r>
        <w:rPr>
          <w:rFonts w:hint="eastAsia" w:ascii="宋体" w:hAnsi="宋体" w:eastAsia="宋体" w:cs="宋体"/>
          <w:color w:val="auto"/>
          <w:kern w:val="1"/>
          <w:sz w:val="21"/>
          <w:szCs w:val="21"/>
          <w:highlight w:val="none"/>
        </w:rPr>
        <w:t>一、招标条件</w:t>
      </w:r>
      <w:bookmarkEnd w:id="13"/>
      <w:bookmarkEnd w:id="14"/>
      <w:bookmarkEnd w:id="15"/>
      <w:bookmarkEnd w:id="16"/>
      <w:bookmarkEnd w:id="17"/>
      <w:bookmarkEnd w:id="18"/>
      <w:bookmarkEnd w:id="19"/>
      <w:bookmarkEnd w:id="20"/>
    </w:p>
    <w:p w14:paraId="632D0F8D">
      <w:pPr>
        <w:wordWrap w:val="0"/>
        <w:topLinePunct/>
        <w:spacing w:line="360" w:lineRule="auto"/>
        <w:ind w:firstLine="420" w:firstLineChars="200"/>
        <w:jc w:val="left"/>
        <w:rPr>
          <w:rFonts w:hint="eastAsia" w:ascii="宋体" w:hAnsi="宋体" w:cs="宋体"/>
          <w:b/>
          <w:bCs/>
          <w:color w:val="auto"/>
          <w:szCs w:val="21"/>
          <w:highlight w:val="none"/>
        </w:rPr>
      </w:pPr>
      <w:bookmarkStart w:id="21" w:name="_Toc179632529"/>
      <w:bookmarkStart w:id="22" w:name="_Toc144974481"/>
      <w:bookmarkStart w:id="23" w:name="_Toc152045513"/>
      <w:bookmarkStart w:id="24" w:name="_Toc152042289"/>
      <w:bookmarkStart w:id="25" w:name="_Toc226"/>
      <w:bookmarkStart w:id="26" w:name="_Toc29667"/>
      <w:bookmarkStart w:id="27" w:name="_Toc9475"/>
      <w:bookmarkStart w:id="28" w:name="_Toc1063"/>
      <w:bookmarkStart w:id="29" w:name="_Toc21928"/>
      <w:bookmarkStart w:id="30" w:name="_Toc9215"/>
      <w:bookmarkStart w:id="31" w:name="_Toc21568"/>
      <w:r>
        <w:rPr>
          <w:rFonts w:hint="eastAsia"/>
          <w:color w:val="auto"/>
        </w:rPr>
        <w:t>本招标项目</w:t>
      </w:r>
      <w:r>
        <w:rPr>
          <w:rFonts w:hint="eastAsia"/>
          <w:color w:val="auto"/>
          <w:u w:val="single"/>
          <w:lang w:val="en-US" w:eastAsia="zh-CN"/>
        </w:rPr>
        <w:t xml:space="preserve">2025年财政衔接资金息县交通基础设施提升项目  </w:t>
      </w:r>
      <w:r>
        <w:rPr>
          <w:rFonts w:hint="eastAsia"/>
          <w:color w:val="auto"/>
        </w:rPr>
        <w:t>已由</w:t>
      </w:r>
      <w:r>
        <w:rPr>
          <w:rFonts w:hint="eastAsia"/>
          <w:color w:val="auto"/>
          <w:u w:val="single"/>
          <w:lang w:val="en-US" w:eastAsia="zh-CN"/>
        </w:rPr>
        <w:t>息县发展和改革委员会</w:t>
      </w:r>
      <w:r>
        <w:rPr>
          <w:rFonts w:hint="eastAsia" w:ascii="宋体" w:hAnsi="宋体" w:cs="宋体"/>
          <w:color w:val="auto"/>
          <w:szCs w:val="21"/>
          <w:u w:val="none"/>
        </w:rPr>
        <w:t>以</w:t>
      </w:r>
      <w:r>
        <w:rPr>
          <w:rFonts w:hint="eastAsia" w:cs="宋体"/>
          <w:color w:val="auto"/>
          <w:szCs w:val="21"/>
          <w:u w:val="single"/>
          <w:lang w:val="en-US" w:eastAsia="zh-CN"/>
        </w:rPr>
        <w:t>息发改审批（2025）109号</w:t>
      </w:r>
      <w:r>
        <w:rPr>
          <w:rFonts w:hint="eastAsia"/>
          <w:color w:val="auto"/>
        </w:rPr>
        <w:t>批准建设，投资项目统一代码</w:t>
      </w:r>
      <w:r>
        <w:rPr>
          <w:rFonts w:hint="eastAsia"/>
          <w:color w:val="auto"/>
          <w:lang w:eastAsia="zh-CN"/>
        </w:rPr>
        <w:t>：</w:t>
      </w:r>
      <w:r>
        <w:rPr>
          <w:rFonts w:hint="eastAsia"/>
          <w:color w:val="auto"/>
          <w:u w:val="single"/>
          <w:lang w:eastAsia="zh-CN"/>
        </w:rPr>
        <w:t>2511-411528-04-01-181148</w:t>
      </w:r>
      <w:r>
        <w:rPr>
          <w:rFonts w:hint="eastAsia"/>
          <w:color w:val="auto"/>
          <w:lang w:eastAsia="zh-CN"/>
        </w:rPr>
        <w:t>，</w:t>
      </w:r>
      <w:r>
        <w:rPr>
          <w:rFonts w:hint="eastAsia"/>
          <w:color w:val="auto"/>
        </w:rPr>
        <w:t>招标人为</w:t>
      </w:r>
      <w:r>
        <w:rPr>
          <w:rFonts w:hint="eastAsia"/>
          <w:color w:val="auto"/>
          <w:u w:val="single"/>
          <w:lang w:eastAsia="zh-CN"/>
        </w:rPr>
        <w:t>息县交通运输局</w:t>
      </w:r>
      <w:r>
        <w:rPr>
          <w:rFonts w:hint="eastAsia"/>
          <w:color w:val="auto"/>
        </w:rPr>
        <w:t>，建设资金</w:t>
      </w:r>
      <w:r>
        <w:rPr>
          <w:rFonts w:hint="eastAsia"/>
          <w:color w:val="auto"/>
          <w:u w:val="single"/>
        </w:rPr>
        <w:t xml:space="preserve"> </w:t>
      </w:r>
      <w:r>
        <w:rPr>
          <w:rFonts w:hint="eastAsia"/>
          <w:color w:val="auto"/>
          <w:highlight w:val="none"/>
          <w:u w:val="single"/>
          <w:lang w:val="en-US" w:eastAsia="zh-CN"/>
        </w:rPr>
        <w:t>财政衔接资金</w:t>
      </w:r>
      <w:r>
        <w:rPr>
          <w:rFonts w:hint="eastAsia"/>
          <w:color w:val="auto"/>
        </w:rPr>
        <w:t>，</w:t>
      </w:r>
      <w:r>
        <w:rPr>
          <w:rFonts w:hint="eastAsia"/>
          <w:color w:val="auto"/>
          <w:lang w:val="en-US" w:eastAsia="zh-CN"/>
        </w:rPr>
        <w:t>资金已落实，</w:t>
      </w:r>
      <w:r>
        <w:rPr>
          <w:rFonts w:hint="eastAsia"/>
          <w:color w:val="auto"/>
        </w:rPr>
        <w:t>项目出资比例为</w:t>
      </w:r>
      <w:r>
        <w:rPr>
          <w:rFonts w:hint="eastAsia"/>
          <w:color w:val="auto"/>
          <w:u w:val="single"/>
        </w:rPr>
        <w:t xml:space="preserve"> 100% </w:t>
      </w:r>
      <w:r>
        <w:rPr>
          <w:rFonts w:hint="eastAsia"/>
          <w:color w:val="auto"/>
        </w:rPr>
        <w:t>。项目已具备招标条件，现对该项目的</w:t>
      </w:r>
      <w:r>
        <w:rPr>
          <w:rFonts w:hint="eastAsia"/>
          <w:color w:val="auto"/>
          <w:u w:val="single"/>
        </w:rPr>
        <w:t xml:space="preserve"> 施工</w:t>
      </w:r>
      <w:r>
        <w:rPr>
          <w:rFonts w:hint="eastAsia"/>
          <w:color w:val="auto"/>
          <w:u w:val="single"/>
          <w:lang w:eastAsia="zh-CN"/>
        </w:rPr>
        <w:t>、</w:t>
      </w:r>
      <w:r>
        <w:rPr>
          <w:rFonts w:hint="eastAsia"/>
          <w:color w:val="auto"/>
          <w:u w:val="single"/>
          <w:lang w:val="en-US" w:eastAsia="zh-CN"/>
        </w:rPr>
        <w:t>监理</w:t>
      </w:r>
      <w:r>
        <w:rPr>
          <w:rFonts w:hint="eastAsia"/>
          <w:color w:val="auto"/>
          <w:u w:val="single"/>
        </w:rPr>
        <w:t xml:space="preserve"> </w:t>
      </w:r>
      <w:r>
        <w:rPr>
          <w:rFonts w:hint="eastAsia"/>
          <w:color w:val="auto"/>
        </w:rPr>
        <w:t>进行公开招标。</w:t>
      </w:r>
      <w:r>
        <w:rPr>
          <w:rFonts w:hint="eastAsia"/>
          <w:b/>
          <w:bCs/>
          <w:color w:val="auto"/>
        </w:rPr>
        <w:t>本次招投标实行全流程电子招投标。</w:t>
      </w:r>
    </w:p>
    <w:bookmarkEnd w:id="21"/>
    <w:bookmarkEnd w:id="22"/>
    <w:bookmarkEnd w:id="23"/>
    <w:bookmarkEnd w:id="24"/>
    <w:p w14:paraId="4EA9BBB6">
      <w:pPr>
        <w:wordWrap w:val="0"/>
        <w:topLinePunct/>
        <w:spacing w:line="360" w:lineRule="auto"/>
        <w:jc w:val="left"/>
        <w:outlineLvl w:val="1"/>
        <w:rPr>
          <w:rFonts w:hint="eastAsia" w:ascii="宋体" w:hAnsi="宋体" w:cs="宋体"/>
          <w:b/>
          <w:bCs/>
          <w:color w:val="auto"/>
          <w:kern w:val="1"/>
          <w:szCs w:val="21"/>
          <w:highlight w:val="none"/>
        </w:rPr>
      </w:pPr>
      <w:bookmarkStart w:id="32" w:name="_Toc32296"/>
      <w:r>
        <w:rPr>
          <w:rFonts w:hint="eastAsia" w:ascii="宋体" w:hAnsi="宋体" w:cs="宋体"/>
          <w:b/>
          <w:bCs/>
          <w:color w:val="auto"/>
          <w:kern w:val="1"/>
          <w:szCs w:val="21"/>
          <w:highlight w:val="none"/>
        </w:rPr>
        <w:t>二、项目概况与招标内容</w:t>
      </w:r>
      <w:bookmarkEnd w:id="25"/>
      <w:bookmarkEnd w:id="26"/>
      <w:bookmarkEnd w:id="27"/>
      <w:bookmarkEnd w:id="28"/>
      <w:bookmarkEnd w:id="29"/>
      <w:bookmarkEnd w:id="30"/>
      <w:bookmarkEnd w:id="31"/>
      <w:bookmarkEnd w:id="32"/>
    </w:p>
    <w:p w14:paraId="4128E6B5">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2.1项目名称：</w:t>
      </w:r>
      <w:r>
        <w:rPr>
          <w:rFonts w:hint="eastAsia" w:cs="宋体"/>
          <w:color w:val="auto"/>
          <w:lang w:val="en-US" w:eastAsia="zh-CN"/>
        </w:rPr>
        <w:t xml:space="preserve">2025年财政衔接资金息县交通基础设施提升项目  </w:t>
      </w:r>
    </w:p>
    <w:p w14:paraId="3375B112">
      <w:pPr>
        <w:pStyle w:val="9"/>
        <w:bidi w:val="0"/>
        <w:rPr>
          <w:rFonts w:hint="default"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2</w:t>
      </w:r>
      <w:r>
        <w:rPr>
          <w:rFonts w:hint="eastAsia" w:ascii="宋体" w:hAnsi="宋体" w:eastAsia="宋体" w:cs="宋体"/>
          <w:color w:val="auto"/>
          <w:lang w:val="en-US" w:eastAsia="zh-CN"/>
        </w:rPr>
        <w:t>建设地点：</w:t>
      </w:r>
      <w:r>
        <w:rPr>
          <w:rFonts w:hint="eastAsia" w:cs="宋体"/>
          <w:color w:val="auto"/>
          <w:lang w:val="en-US" w:eastAsia="zh-CN"/>
        </w:rPr>
        <w:t>息县境内</w:t>
      </w:r>
    </w:p>
    <w:p w14:paraId="3658B5CC">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3项目</w:t>
      </w:r>
      <w:r>
        <w:rPr>
          <w:rFonts w:hint="eastAsia" w:ascii="宋体" w:hAnsi="宋体" w:eastAsia="宋体" w:cs="宋体"/>
          <w:color w:val="auto"/>
          <w:lang w:val="en-US" w:eastAsia="zh-CN"/>
        </w:rPr>
        <w:t>总投资：</w:t>
      </w:r>
      <w:r>
        <w:rPr>
          <w:rFonts w:hint="eastAsia" w:cs="宋体"/>
          <w:color w:val="auto"/>
          <w:lang w:val="en-US" w:eastAsia="zh-CN"/>
        </w:rPr>
        <w:t>8306512.00</w:t>
      </w:r>
      <w:r>
        <w:rPr>
          <w:rFonts w:hint="eastAsia" w:ascii="宋体" w:hAnsi="宋体" w:eastAsia="宋体" w:cs="宋体"/>
          <w:color w:val="auto"/>
          <w:lang w:val="en-US" w:eastAsia="zh-CN"/>
        </w:rPr>
        <w:t>元</w:t>
      </w:r>
    </w:p>
    <w:p w14:paraId="23D152D8">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4</w:t>
      </w:r>
      <w:r>
        <w:rPr>
          <w:rFonts w:hint="eastAsia" w:ascii="宋体" w:hAnsi="宋体" w:eastAsia="宋体" w:cs="宋体"/>
          <w:color w:val="auto"/>
          <w:lang w:val="en-US" w:eastAsia="zh-CN"/>
        </w:rPr>
        <w:t>项目建设内容：本工程主要内容为项目路线全长7.971公里，包含6条道路、1座桥梁、1个渡口安防设施，拟采用三级/四级公路标准，设计速度30/20千米/时，全线采用沥青混凝土路面或水泥混凝土路面，设计车辆荷载为公路一Ⅱ级，桥涵设计洪水频率为1/25，主线沥青混凝土路面33987.5平方米，水泥混凝土路面9422.6平方米，碎石化处理3384.7平方米，平面交叉15处。</w:t>
      </w:r>
    </w:p>
    <w:p w14:paraId="75CF21E1">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2.5 招标范围：</w:t>
      </w:r>
      <w:r>
        <w:rPr>
          <w:rFonts w:hint="eastAsia" w:cs="宋体"/>
          <w:color w:val="auto"/>
          <w:lang w:val="en-US" w:eastAsia="zh-CN"/>
        </w:rPr>
        <w:t>一标段：</w:t>
      </w:r>
      <w:r>
        <w:rPr>
          <w:rFonts w:hint="eastAsia" w:ascii="宋体" w:hAnsi="宋体" w:eastAsia="宋体" w:cs="宋体"/>
          <w:color w:val="auto"/>
          <w:lang w:val="en-US" w:eastAsia="zh-CN"/>
        </w:rPr>
        <w:t>施工图所示范围及工程量清单中所含全部内容；</w:t>
      </w:r>
    </w:p>
    <w:p w14:paraId="61B52592">
      <w:pPr>
        <w:pStyle w:val="7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1890" w:firstLineChars="900"/>
        <w:textAlignment w:val="auto"/>
        <w:rPr>
          <w:rFonts w:hint="eastAsia"/>
          <w:color w:val="auto"/>
          <w:lang w:val="en-US" w:eastAsia="zh-CN"/>
        </w:rPr>
      </w:pPr>
      <w:r>
        <w:rPr>
          <w:rFonts w:hint="eastAsia" w:ascii="宋体" w:hAnsi="宋体" w:eastAsia="宋体" w:cs="宋体"/>
          <w:color w:val="auto"/>
          <w:kern w:val="2"/>
          <w:sz w:val="21"/>
          <w:szCs w:val="21"/>
          <w:lang w:val="en-US" w:eastAsia="zh-CN" w:bidi="ar-SA"/>
        </w:rPr>
        <w:t>二标段：本项目施工及质量保修期的全过程监理；</w:t>
      </w:r>
    </w:p>
    <w:p w14:paraId="1C94B4F2">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2.6 计划工期：</w:t>
      </w:r>
      <w:r>
        <w:rPr>
          <w:rFonts w:hint="eastAsia" w:cs="宋体"/>
          <w:color w:val="auto"/>
          <w:lang w:val="en-US" w:eastAsia="zh-CN"/>
        </w:rPr>
        <w:t>一标段：60日历天</w:t>
      </w:r>
      <w:r>
        <w:rPr>
          <w:rFonts w:hint="eastAsia" w:ascii="宋体" w:hAnsi="宋体" w:eastAsia="宋体" w:cs="宋体"/>
          <w:color w:val="auto"/>
          <w:lang w:val="en-US" w:eastAsia="zh-CN"/>
        </w:rPr>
        <w:t>；</w:t>
      </w:r>
    </w:p>
    <w:p w14:paraId="76B25035">
      <w:pPr>
        <w:pStyle w:val="7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1890" w:firstLineChars="900"/>
        <w:textAlignment w:val="auto"/>
        <w:rPr>
          <w:rFonts w:hint="eastAsia"/>
          <w:color w:val="auto"/>
          <w:lang w:val="en-US" w:eastAsia="zh-CN"/>
        </w:rPr>
      </w:pPr>
      <w:r>
        <w:rPr>
          <w:rFonts w:hint="eastAsia" w:ascii="宋体" w:hAnsi="宋体" w:eastAsia="宋体" w:cs="宋体"/>
          <w:color w:val="auto"/>
          <w:kern w:val="2"/>
          <w:sz w:val="21"/>
          <w:szCs w:val="21"/>
          <w:lang w:val="en-US" w:eastAsia="zh-CN" w:bidi="ar-SA"/>
        </w:rPr>
        <w:t>二标段：同本项目施工期及保修期</w:t>
      </w:r>
    </w:p>
    <w:p w14:paraId="0CD959A7">
      <w:pPr>
        <w:pStyle w:val="7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w:t>
      </w:r>
      <w:r>
        <w:rPr>
          <w:rFonts w:hint="eastAsia" w:cs="宋体"/>
          <w:color w:val="auto"/>
          <w:lang w:val="en-US" w:eastAsia="zh-CN"/>
        </w:rPr>
        <w:t>7</w:t>
      </w:r>
      <w:r>
        <w:rPr>
          <w:rFonts w:hint="eastAsia" w:ascii="宋体" w:hAnsi="宋体" w:eastAsia="宋体" w:cs="宋体"/>
          <w:color w:val="auto"/>
          <w:lang w:val="en-US" w:eastAsia="zh-CN"/>
        </w:rPr>
        <w:t>质量要求：</w:t>
      </w:r>
      <w:r>
        <w:rPr>
          <w:rFonts w:hint="eastAsia" w:ascii="宋体" w:hAnsi="宋体" w:eastAsia="宋体" w:cs="宋体"/>
          <w:color w:val="auto"/>
          <w:kern w:val="2"/>
          <w:sz w:val="21"/>
          <w:szCs w:val="21"/>
          <w:lang w:val="en-US" w:eastAsia="zh-CN" w:bidi="ar-SA"/>
        </w:rPr>
        <w:t>一标段：达到国家现行有关施工质量验收规范合格标准；</w:t>
      </w:r>
    </w:p>
    <w:p w14:paraId="5A41E919">
      <w:pPr>
        <w:pStyle w:val="7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2100" w:firstLineChars="10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二标段：按照《建设工程监理规范》及现行相关规范对本工程实施监理，并通过相关部门的质量验收合格标准;</w:t>
      </w:r>
    </w:p>
    <w:p w14:paraId="2E6AAB35">
      <w:pPr>
        <w:pStyle w:val="9"/>
        <w:bidi w:val="0"/>
        <w:rPr>
          <w:rFonts w:hint="eastAsia" w:ascii="宋体" w:hAnsi="宋体" w:eastAsia="宋体" w:cs="宋体"/>
          <w:color w:val="auto"/>
          <w:lang w:val="en-US" w:eastAsia="zh-CN"/>
        </w:rPr>
      </w:pPr>
      <w:r>
        <w:rPr>
          <w:rFonts w:hint="eastAsia" w:cs="宋体"/>
          <w:color w:val="auto"/>
          <w:lang w:val="en-US" w:eastAsia="zh-CN"/>
        </w:rPr>
        <w:t>2.8</w:t>
      </w:r>
      <w:r>
        <w:rPr>
          <w:rFonts w:hint="eastAsia" w:ascii="宋体" w:hAnsi="宋体" w:eastAsia="宋体" w:cs="宋体"/>
          <w:color w:val="auto"/>
          <w:lang w:val="en-US" w:eastAsia="zh-CN"/>
        </w:rPr>
        <w:t>标段划分：本次招标划分为</w:t>
      </w:r>
      <w:r>
        <w:rPr>
          <w:rFonts w:hint="eastAsia" w:cs="宋体"/>
          <w:color w:val="auto"/>
          <w:lang w:val="en-US" w:eastAsia="zh-CN"/>
        </w:rPr>
        <w:t>2</w:t>
      </w:r>
      <w:r>
        <w:rPr>
          <w:rFonts w:hint="eastAsia" w:ascii="宋体" w:hAnsi="宋体" w:eastAsia="宋体" w:cs="宋体"/>
          <w:color w:val="auto"/>
          <w:lang w:val="en-US" w:eastAsia="zh-CN"/>
        </w:rPr>
        <w:t>个标段。</w:t>
      </w:r>
      <w:r>
        <w:rPr>
          <w:rFonts w:hint="eastAsia" w:ascii="宋体" w:hAnsi="宋体" w:eastAsia="宋体" w:cs="宋体"/>
          <w:color w:val="auto"/>
          <w:kern w:val="2"/>
          <w:sz w:val="21"/>
          <w:szCs w:val="21"/>
          <w:lang w:val="en-US" w:eastAsia="zh-CN" w:bidi="ar-SA"/>
        </w:rPr>
        <w:t>一标段：施工；二标段：监理</w:t>
      </w:r>
    </w:p>
    <w:p w14:paraId="3FC833E5">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9</w:t>
      </w:r>
      <w:r>
        <w:rPr>
          <w:rFonts w:hint="eastAsia" w:ascii="宋体" w:hAnsi="宋体" w:eastAsia="宋体" w:cs="宋体"/>
          <w:color w:val="auto"/>
          <w:lang w:val="en-US" w:eastAsia="zh-CN"/>
        </w:rPr>
        <w:t>本项目实行资格后审。</w:t>
      </w:r>
    </w:p>
    <w:p w14:paraId="2E54ACAC">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10</w:t>
      </w:r>
      <w:r>
        <w:rPr>
          <w:rFonts w:hint="eastAsia" w:ascii="宋体" w:hAnsi="宋体" w:eastAsia="宋体" w:cs="宋体"/>
          <w:color w:val="auto"/>
          <w:lang w:val="en-US" w:eastAsia="zh-CN"/>
        </w:rPr>
        <w:t>评标和定标方法：评定分离，采用“合格制+定性评审+综合评审”评审的方式；定标方法：“票决法”。</w:t>
      </w:r>
    </w:p>
    <w:p w14:paraId="12E2057F">
      <w:pPr>
        <w:pStyle w:val="77"/>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20" w:firstLineChars="200"/>
        <w:textAlignment w:val="auto"/>
        <w:rPr>
          <w:rFonts w:hint="default"/>
          <w:color w:val="auto"/>
          <w:lang w:val="en-US" w:eastAsia="zh-CN"/>
        </w:rPr>
      </w:pPr>
      <w:r>
        <w:rPr>
          <w:rFonts w:hint="eastAsia" w:ascii="宋体" w:hAnsi="宋体" w:eastAsia="宋体" w:cs="宋体"/>
          <w:color w:val="auto"/>
          <w:kern w:val="2"/>
          <w:sz w:val="21"/>
          <w:szCs w:val="21"/>
          <w:lang w:val="en-US" w:eastAsia="zh-CN" w:bidi="ar-SA"/>
        </w:rPr>
        <w:t>2.1</w:t>
      </w:r>
      <w:r>
        <w:rPr>
          <w:rFonts w:hint="eastAsia"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本次招投标实行全流程电子招投标，实行远程异地评标。</w:t>
      </w:r>
    </w:p>
    <w:p w14:paraId="75ADEDAC">
      <w:pPr>
        <w:numPr>
          <w:ilvl w:val="0"/>
          <w:numId w:val="1"/>
        </w:numPr>
        <w:wordWrap w:val="0"/>
        <w:topLinePunct/>
        <w:spacing w:line="360" w:lineRule="auto"/>
        <w:jc w:val="left"/>
        <w:outlineLvl w:val="1"/>
        <w:rPr>
          <w:rFonts w:hint="eastAsia" w:ascii="宋体" w:hAnsi="宋体" w:cs="宋体"/>
          <w:b/>
          <w:bCs/>
          <w:color w:val="auto"/>
          <w:kern w:val="1"/>
          <w:szCs w:val="21"/>
          <w:highlight w:val="none"/>
        </w:rPr>
      </w:pPr>
      <w:bookmarkStart w:id="33" w:name="_Toc26553"/>
      <w:bookmarkStart w:id="34" w:name="_Toc20852"/>
      <w:bookmarkStart w:id="35" w:name="_Toc18082"/>
      <w:bookmarkStart w:id="36" w:name="_Toc29534"/>
      <w:bookmarkStart w:id="37" w:name="_Toc15746"/>
      <w:bookmarkStart w:id="38" w:name="_Toc31507"/>
      <w:bookmarkStart w:id="39" w:name="_Toc9813"/>
      <w:bookmarkStart w:id="40" w:name="_Toc30162"/>
      <w:r>
        <w:rPr>
          <w:rFonts w:hint="eastAsia" w:ascii="宋体" w:hAnsi="宋体" w:cs="宋体"/>
          <w:b/>
          <w:bCs/>
          <w:color w:val="auto"/>
          <w:kern w:val="1"/>
          <w:szCs w:val="21"/>
          <w:highlight w:val="none"/>
        </w:rPr>
        <w:t>投标人资格要求</w:t>
      </w:r>
      <w:bookmarkEnd w:id="33"/>
      <w:bookmarkEnd w:id="34"/>
      <w:bookmarkEnd w:id="35"/>
      <w:bookmarkEnd w:id="36"/>
      <w:bookmarkEnd w:id="37"/>
      <w:bookmarkEnd w:id="38"/>
      <w:bookmarkEnd w:id="39"/>
      <w:bookmarkEnd w:id="40"/>
      <w:bookmarkStart w:id="41" w:name="_Toc152045515"/>
      <w:bookmarkStart w:id="42" w:name="_Toc179632531"/>
      <w:bookmarkStart w:id="43" w:name="_Toc152042291"/>
      <w:bookmarkStart w:id="44" w:name="_Toc144974483"/>
    </w:p>
    <w:bookmarkEnd w:id="41"/>
    <w:bookmarkEnd w:id="42"/>
    <w:bookmarkEnd w:id="43"/>
    <w:bookmarkEnd w:id="44"/>
    <w:p w14:paraId="30A3EC0A">
      <w:pPr>
        <w:pStyle w:val="77"/>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22" w:firstLineChars="200"/>
        <w:jc w:val="both"/>
        <w:textAlignment w:val="auto"/>
        <w:rPr>
          <w:rFonts w:hint="eastAsia" w:ascii="宋体" w:hAnsi="宋体" w:eastAsia="宋体" w:cs="宋体"/>
          <w:b/>
          <w:color w:val="auto"/>
          <w:sz w:val="21"/>
          <w:szCs w:val="21"/>
          <w:shd w:val="clear" w:color="auto" w:fill="FFFFFF"/>
          <w:lang w:val="en-US" w:eastAsia="zh-CN"/>
        </w:rPr>
      </w:pPr>
      <w:bookmarkStart w:id="45" w:name="_Toc5946"/>
      <w:bookmarkStart w:id="46" w:name="_Toc29055"/>
      <w:bookmarkStart w:id="47" w:name="_Toc15717"/>
      <w:bookmarkStart w:id="48" w:name="_Toc10473"/>
      <w:r>
        <w:rPr>
          <w:rFonts w:hint="eastAsia" w:ascii="宋体" w:hAnsi="宋体" w:eastAsia="宋体" w:cs="宋体"/>
          <w:b/>
          <w:color w:val="auto"/>
          <w:sz w:val="21"/>
          <w:szCs w:val="21"/>
          <w:shd w:val="clear" w:color="auto" w:fill="FFFFFF"/>
          <w:lang w:val="en-US" w:eastAsia="zh-CN"/>
        </w:rPr>
        <w:t>3.1一标段（施工标段）</w:t>
      </w:r>
    </w:p>
    <w:p w14:paraId="68BAF7D3">
      <w:pPr>
        <w:pStyle w:val="9"/>
        <w:bidi w:val="0"/>
        <w:rPr>
          <w:rFonts w:hint="eastAsia"/>
          <w:color w:val="auto"/>
        </w:rPr>
      </w:pPr>
      <w:r>
        <w:rPr>
          <w:rFonts w:hint="eastAsia"/>
          <w:color w:val="auto"/>
        </w:rPr>
        <w:t>3.</w:t>
      </w:r>
      <w:r>
        <w:rPr>
          <w:rFonts w:hint="eastAsia"/>
          <w:color w:val="auto"/>
          <w:lang w:val="en-US" w:eastAsia="zh-CN"/>
        </w:rPr>
        <w:t xml:space="preserve">1.1 </w:t>
      </w:r>
      <w:r>
        <w:rPr>
          <w:rFonts w:hint="eastAsia"/>
          <w:color w:val="auto"/>
        </w:rPr>
        <w:t>投标人具有有效合格的企业营业执照；</w:t>
      </w:r>
    </w:p>
    <w:p w14:paraId="6824A062">
      <w:pPr>
        <w:pStyle w:val="9"/>
        <w:bidi w:val="0"/>
        <w:rPr>
          <w:rFonts w:hint="eastAsia"/>
          <w:color w:val="auto"/>
          <w:lang w:val="en-US" w:eastAsia="zh-CN"/>
        </w:rPr>
      </w:pPr>
      <w:r>
        <w:rPr>
          <w:rFonts w:hint="eastAsia"/>
          <w:color w:val="auto"/>
          <w:lang w:val="en-US" w:eastAsia="zh-CN"/>
        </w:rPr>
        <w:t>3.1.2 投标人须具备建设行政主管部门颁发的公路工程施工总承包叁级及以上资质，并且安全生产许可证在有效期内，并在人员、设备、资金等方面具有相应的施工能力。</w:t>
      </w:r>
    </w:p>
    <w:p w14:paraId="03F40BAD">
      <w:pPr>
        <w:pStyle w:val="9"/>
        <w:bidi w:val="0"/>
        <w:rPr>
          <w:rFonts w:hint="eastAsia"/>
          <w:color w:val="auto"/>
        </w:rPr>
      </w:pPr>
      <w:r>
        <w:rPr>
          <w:rFonts w:hint="eastAsia"/>
          <w:color w:val="auto"/>
        </w:rPr>
        <w:t>3.</w:t>
      </w:r>
      <w:r>
        <w:rPr>
          <w:rFonts w:hint="eastAsia"/>
          <w:color w:val="auto"/>
          <w:lang w:val="en-US" w:eastAsia="zh-CN"/>
        </w:rPr>
        <w:t>1</w:t>
      </w:r>
      <w:r>
        <w:rPr>
          <w:rFonts w:hint="eastAsia"/>
          <w:color w:val="auto"/>
        </w:rPr>
        <w:t>.</w:t>
      </w:r>
      <w:r>
        <w:rPr>
          <w:rFonts w:hint="eastAsia"/>
          <w:color w:val="auto"/>
          <w:lang w:val="en-US" w:eastAsia="zh-CN"/>
        </w:rPr>
        <w:t>3</w:t>
      </w:r>
      <w:r>
        <w:rPr>
          <w:rFonts w:hint="eastAsia"/>
          <w:color w:val="auto"/>
        </w:rPr>
        <w:t>项目经理：</w:t>
      </w:r>
      <w:r>
        <w:rPr>
          <w:rFonts w:hint="eastAsia"/>
          <w:color w:val="auto"/>
          <w:lang w:val="en-US" w:eastAsia="zh-CN"/>
        </w:rPr>
        <w:t>拟派项目经理须具备公路工程专业二级及以上（不含临时建造师）注册建造师执业资格和有效的安全生产考核合格证，且不得担任其他在建建设工程项目的项目经理。</w:t>
      </w:r>
      <w:r>
        <w:rPr>
          <w:rFonts w:hint="eastAsia"/>
          <w:color w:val="auto"/>
        </w:rPr>
        <w:t>企业应出具项目经理无在建工程承诺书；应提供劳动合同及2025年1月以来任意</w:t>
      </w:r>
      <w:r>
        <w:rPr>
          <w:rFonts w:hint="eastAsia"/>
          <w:color w:val="auto"/>
          <w:lang w:val="en-US" w:eastAsia="zh-CN"/>
        </w:rPr>
        <w:t>3</w:t>
      </w:r>
      <w:r>
        <w:rPr>
          <w:rFonts w:hint="eastAsia"/>
          <w:color w:val="auto"/>
        </w:rPr>
        <w:t>个月的社保缴纳证明（以劳动和社会保障部门的网络查询结果为准）；</w:t>
      </w:r>
    </w:p>
    <w:p w14:paraId="19DD4A7D">
      <w:pPr>
        <w:pStyle w:val="9"/>
        <w:bidi w:val="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3.2二标段（监理标段）：</w:t>
      </w:r>
    </w:p>
    <w:p w14:paraId="6BB4A8B2">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3.2.1具有有效的营业执照；</w:t>
      </w:r>
    </w:p>
    <w:p w14:paraId="571FFBD7">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3.2.2投标人须具备公路工程监理乙级及以上资质或工程监理综合资质；并在人员、设备、资金等方面具有相应的监理能力；</w:t>
      </w:r>
    </w:p>
    <w:p w14:paraId="0BFB4D6B">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3.2.3项目总监理工程师须具有公路工程专业国家注册监理工程师资格（以上人员须提供相关证件及与本单位签订的正式劳动合同和单位为其缴纳的2025年1月以来任意3个月的社保证明）</w:t>
      </w:r>
    </w:p>
    <w:p w14:paraId="4A0B690B">
      <w:pPr>
        <w:pStyle w:val="9"/>
        <w:bidi w:val="0"/>
        <w:rPr>
          <w:rFonts w:hint="default" w:ascii="宋体" w:hAnsi="宋体" w:eastAsia="宋体" w:cs="宋体"/>
          <w:color w:val="auto"/>
          <w:lang w:val="en-US" w:eastAsia="zh-CN"/>
        </w:rPr>
      </w:pPr>
      <w:r>
        <w:rPr>
          <w:rFonts w:hint="eastAsia" w:ascii="宋体" w:hAnsi="宋体" w:eastAsia="宋体" w:cs="宋体"/>
          <w:b/>
          <w:bCs/>
          <w:color w:val="auto"/>
          <w:lang w:val="en-US" w:eastAsia="zh-CN"/>
        </w:rPr>
        <w:t>3.3财务要求：</w:t>
      </w:r>
      <w:r>
        <w:rPr>
          <w:rFonts w:hint="eastAsia" w:ascii="宋体" w:hAnsi="宋体" w:eastAsia="宋体" w:cs="宋体"/>
          <w:color w:val="auto"/>
          <w:lang w:val="en-US" w:eastAsia="zh-CN"/>
        </w:rPr>
        <w:t xml:space="preserve">财务运行状况良好，财务没有被接管、冻结、破产状态（提供财务状况良好说明书，格式自拟），提供 2023 年度或 2024 年度经第三方审计的财务审计报告，于2025年01月01日以后成立的须提供成立日期以后得企业财务报表或由其基本账户出具的招标公告发布日期之后的银行资信证明。 </w:t>
      </w:r>
    </w:p>
    <w:p w14:paraId="4ADA55DB">
      <w:pPr>
        <w:pStyle w:val="9"/>
        <w:bidi w:val="0"/>
        <w:rPr>
          <w:rFonts w:hint="eastAsia"/>
          <w:color w:val="auto"/>
          <w:lang w:val="en-US" w:eastAsia="zh-CN"/>
        </w:rPr>
      </w:pPr>
      <w:r>
        <w:rPr>
          <w:rFonts w:hint="eastAsia"/>
          <w:b/>
          <w:bCs/>
          <w:color w:val="auto"/>
        </w:rPr>
        <w:t>3.</w:t>
      </w:r>
      <w:r>
        <w:rPr>
          <w:rFonts w:hint="eastAsia"/>
          <w:b/>
          <w:bCs/>
          <w:color w:val="auto"/>
          <w:lang w:val="en-US" w:eastAsia="zh-CN"/>
        </w:rPr>
        <w:t>4</w:t>
      </w:r>
      <w:r>
        <w:rPr>
          <w:rFonts w:hint="eastAsia"/>
          <w:b/>
          <w:bCs/>
          <w:color w:val="auto"/>
        </w:rPr>
        <w:t>信誉要求</w:t>
      </w:r>
      <w:r>
        <w:rPr>
          <w:rFonts w:hint="eastAsia"/>
          <w:color w:val="auto"/>
          <w:lang w:eastAsia="zh-CN"/>
        </w:rPr>
        <w:t>：</w:t>
      </w:r>
      <w:r>
        <w:rPr>
          <w:rFonts w:hint="eastAsia" w:ascii="宋体" w:hAnsi="宋体" w:cs="宋体"/>
          <w:color w:val="auto"/>
          <w:szCs w:val="21"/>
          <w:highlight w:val="none"/>
        </w:rPr>
        <w:t>（执行《关于在招标投标活动中对失信被执行人实施联合惩戒的通知》法（2016）285号文件）：投标人在“信用中国”网站（www.creditchina.gov.cn）上（跳转至“中国执行信息公开网”网站（zxgk.court.gov.cn）），没有被列为失信被执行人。</w:t>
      </w:r>
    </w:p>
    <w:p w14:paraId="638C953E">
      <w:pPr>
        <w:pStyle w:val="9"/>
        <w:bidi w:val="0"/>
        <w:rPr>
          <w:color w:val="auto"/>
        </w:rPr>
      </w:pPr>
      <w:r>
        <w:rPr>
          <w:rFonts w:hint="eastAsia"/>
          <w:b/>
          <w:bCs/>
          <w:color w:val="auto"/>
          <w:lang w:val="en-US" w:eastAsia="zh-CN"/>
        </w:rPr>
        <w:t>3.5 其他要求：</w:t>
      </w:r>
      <w:r>
        <w:rPr>
          <w:rFonts w:hint="eastAsia"/>
          <w:color w:val="auto"/>
          <w:lang w:val="en-US" w:eastAsia="zh-CN"/>
        </w:rPr>
        <w:t xml:space="preserve"> </w:t>
      </w:r>
    </w:p>
    <w:p w14:paraId="53AC6F14">
      <w:pPr>
        <w:pStyle w:val="9"/>
        <w:bidi w:val="0"/>
        <w:rPr>
          <w:color w:val="auto"/>
        </w:rPr>
      </w:pPr>
      <w:r>
        <w:rPr>
          <w:rFonts w:hint="eastAsia"/>
          <w:color w:val="auto"/>
          <w:lang w:val="en-US" w:eastAsia="zh-CN"/>
        </w:rPr>
        <w:t xml:space="preserve">3.5.1 单位负责人为同一个人或者存在控股、管理关系的不同单位，不得同时参加投标（以“国家企业信用信息公示系统”查询为准，查询内容须包含公司基本信息、股东信息或投资人信息）。 </w:t>
      </w:r>
    </w:p>
    <w:p w14:paraId="28AD519B">
      <w:pPr>
        <w:pStyle w:val="9"/>
        <w:bidi w:val="0"/>
        <w:rPr>
          <w:color w:val="auto"/>
        </w:rPr>
      </w:pPr>
      <w:r>
        <w:rPr>
          <w:rFonts w:hint="eastAsia"/>
          <w:color w:val="auto"/>
          <w:lang w:val="en-US" w:eastAsia="zh-CN"/>
        </w:rPr>
        <w:t>3.5.2 根据《河南省住房和城乡建设厅关于进一步规范建设工程企业资质管理的通知》豫建行规(2024)7 号文件规定，被全国或河南省建筑市场监管公共服务平台标注为资质异常的，不能使用标注异常资质承揽本工程，具体要求详见通知内容（提供全国或河南省建筑市场监管公共服务平台查询证明），查询时间为招标公告发布之日后，投标截止时间前，查询结果需显示网页时间，并将查询结果做在投标文件中。</w:t>
      </w:r>
    </w:p>
    <w:p w14:paraId="16EC551F">
      <w:pPr>
        <w:pStyle w:val="9"/>
        <w:bidi w:val="0"/>
        <w:rPr>
          <w:color w:val="auto"/>
        </w:rPr>
      </w:pPr>
      <w:r>
        <w:rPr>
          <w:rFonts w:hint="eastAsia"/>
          <w:b/>
          <w:bCs/>
          <w:color w:val="auto"/>
          <w:lang w:val="en-US" w:eastAsia="zh-CN"/>
        </w:rPr>
        <w:t xml:space="preserve">3.6 </w:t>
      </w:r>
      <w:r>
        <w:rPr>
          <w:rFonts w:hint="eastAsia"/>
          <w:color w:val="auto"/>
          <w:lang w:val="en-US" w:eastAsia="zh-CN"/>
        </w:rPr>
        <w:t>本次招标不接受联合体投标。</w:t>
      </w:r>
    </w:p>
    <w:p w14:paraId="1BA8FB60">
      <w:pPr>
        <w:wordWrap w:val="0"/>
        <w:topLinePunct/>
        <w:spacing w:line="360" w:lineRule="auto"/>
        <w:ind w:firstLine="422" w:firstLineChars="200"/>
        <w:jc w:val="left"/>
        <w:outlineLvl w:val="1"/>
        <w:rPr>
          <w:rFonts w:hint="eastAsia" w:ascii="宋体" w:hAnsi="宋体" w:cs="宋体"/>
          <w:color w:val="auto"/>
          <w:szCs w:val="21"/>
          <w:highlight w:val="none"/>
        </w:rPr>
      </w:pPr>
      <w:bookmarkStart w:id="49" w:name="_Toc13255"/>
      <w:bookmarkStart w:id="50" w:name="_Toc23812"/>
      <w:bookmarkStart w:id="51" w:name="_Toc23018"/>
      <w:bookmarkStart w:id="52" w:name="_Toc20260"/>
      <w:r>
        <w:rPr>
          <w:rFonts w:hint="eastAsia" w:ascii="宋体" w:hAnsi="宋体" w:cs="宋体"/>
          <w:b/>
          <w:color w:val="auto"/>
          <w:szCs w:val="21"/>
          <w:highlight w:val="none"/>
        </w:rPr>
        <w:t>四、</w:t>
      </w:r>
      <w:r>
        <w:rPr>
          <w:rFonts w:hint="eastAsia" w:ascii="宋体" w:hAnsi="宋体" w:cs="宋体"/>
          <w:b/>
          <w:bCs/>
          <w:color w:val="auto"/>
          <w:szCs w:val="21"/>
          <w:highlight w:val="none"/>
        </w:rPr>
        <w:t>招标文件的获取</w:t>
      </w:r>
      <w:bookmarkEnd w:id="45"/>
      <w:bookmarkEnd w:id="46"/>
      <w:bookmarkEnd w:id="47"/>
      <w:bookmarkEnd w:id="48"/>
      <w:bookmarkEnd w:id="49"/>
      <w:bookmarkEnd w:id="50"/>
      <w:bookmarkEnd w:id="51"/>
      <w:bookmarkEnd w:id="52"/>
    </w:p>
    <w:p w14:paraId="7DB5999D">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4.1企业诚信库注册</w:t>
      </w:r>
    </w:p>
    <w:p w14:paraId="1C70542D">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凡有意参加本项目的投标人，请登录“信阳市公共资源交易中心（https://ggzyjy.xinyang.gov.cn/）”网站进行交易主体自主注册，按网站公告通知有关要求填报企业信息并上传有关原件扫描件，不需携带原件到信阳市公共资源交易中心进行审核。    </w:t>
      </w:r>
    </w:p>
    <w:p w14:paraId="68B17027">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4.2办理CA数字证书</w:t>
      </w:r>
    </w:p>
    <w:p w14:paraId="17C894BD">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8BC64ED">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4.3招标文件获取方式</w:t>
      </w:r>
    </w:p>
    <w:p w14:paraId="4A131541">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https://ggzyjy.xinyang.gov.cn/)”网站下载中心栏目内下载或招标文件领取页面下载）。</w:t>
      </w:r>
    </w:p>
    <w:p w14:paraId="58267BDA">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4.4招标文件的下载时间： </w:t>
      </w:r>
      <w:r>
        <w:rPr>
          <w:rFonts w:hint="eastAsia" w:ascii="宋体" w:hAnsi="宋体" w:eastAsia="宋体" w:cs="宋体"/>
          <w:color w:val="auto"/>
          <w:lang w:val="en-US" w:eastAsia="zh-CN"/>
        </w:rPr>
        <w:t>2025年</w:t>
      </w:r>
      <w:r>
        <w:rPr>
          <w:rFonts w:hint="eastAsia" w:cs="宋体"/>
          <w:color w:val="auto"/>
          <w:lang w:val="en-US" w:eastAsia="zh-CN"/>
        </w:rPr>
        <w:t xml:space="preserve">  </w:t>
      </w:r>
      <w:r>
        <w:rPr>
          <w:rFonts w:hint="eastAsia" w:ascii="宋体" w:hAnsi="宋体" w:eastAsia="宋体" w:cs="宋体"/>
          <w:color w:val="auto"/>
          <w:lang w:val="en-US" w:eastAsia="zh-CN"/>
        </w:rPr>
        <w:t>月</w:t>
      </w:r>
      <w:r>
        <w:rPr>
          <w:rFonts w:hint="eastAsia" w:cs="宋体"/>
          <w:color w:val="auto"/>
          <w:lang w:val="en-US" w:eastAsia="zh-CN"/>
        </w:rPr>
        <w:t xml:space="preserve">  </w:t>
      </w:r>
      <w:r>
        <w:rPr>
          <w:rFonts w:hint="eastAsia" w:ascii="宋体" w:hAnsi="宋体" w:eastAsia="宋体" w:cs="宋体"/>
          <w:color w:val="auto"/>
          <w:lang w:val="en-US" w:eastAsia="zh-CN"/>
        </w:rPr>
        <w:t>日至 2025年</w:t>
      </w:r>
      <w:r>
        <w:rPr>
          <w:rFonts w:hint="eastAsia" w:cs="宋体"/>
          <w:color w:val="auto"/>
          <w:lang w:val="en-US" w:eastAsia="zh-CN"/>
        </w:rPr>
        <w:t xml:space="preserve"> </w:t>
      </w:r>
      <w:r>
        <w:rPr>
          <w:rFonts w:hint="eastAsia" w:ascii="宋体" w:hAnsi="宋体" w:eastAsia="宋体" w:cs="宋体"/>
          <w:color w:val="auto"/>
          <w:lang w:val="en-US" w:eastAsia="zh-CN"/>
        </w:rPr>
        <w:t>月</w:t>
      </w:r>
      <w:r>
        <w:rPr>
          <w:rFonts w:hint="eastAsia" w:cs="宋体"/>
          <w:color w:val="auto"/>
          <w:lang w:val="en-US" w:eastAsia="zh-CN"/>
        </w:rPr>
        <w:t xml:space="preserve"> </w:t>
      </w:r>
      <w:r>
        <w:rPr>
          <w:rFonts w:hint="eastAsia" w:ascii="宋体" w:hAnsi="宋体" w:eastAsia="宋体" w:cs="宋体"/>
          <w:color w:val="auto"/>
          <w:lang w:val="en-US" w:eastAsia="zh-CN"/>
        </w:rPr>
        <w:t>日。</w:t>
      </w:r>
    </w:p>
    <w:p w14:paraId="1EAD09D1">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4.5招标文件售价：0元/份。请投标人下载招标文件后，及时关注系统业务菜单（“</w:t>
      </w:r>
      <w:bookmarkStart w:id="401" w:name="_GoBack"/>
      <w:bookmarkEnd w:id="401"/>
      <w:r>
        <w:rPr>
          <w:rFonts w:hint="eastAsia" w:ascii="宋体" w:hAnsi="宋体" w:eastAsia="宋体" w:cs="宋体"/>
          <w:color w:val="auto"/>
          <w:lang w:val="en-US" w:eastAsia="zh-CN"/>
        </w:rPr>
        <w:t>答疑澄清文件领取”，“控制价文件领取”）内该项目是否有新的答疑澄清文件或控制价文件。如有请直接下载，不再另行通知。</w:t>
      </w:r>
    </w:p>
    <w:p w14:paraId="2FF27618">
      <w:pPr>
        <w:tabs>
          <w:tab w:val="left" w:pos="369"/>
        </w:tabs>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53" w:name="_Toc23275"/>
      <w:bookmarkStart w:id="54" w:name="_Toc8233"/>
      <w:bookmarkStart w:id="55" w:name="_Toc6941"/>
      <w:bookmarkStart w:id="56" w:name="_Toc17327"/>
      <w:bookmarkStart w:id="57" w:name="_Toc11561"/>
      <w:bookmarkStart w:id="58" w:name="_Toc23010"/>
      <w:bookmarkStart w:id="59" w:name="_Toc23557"/>
      <w:bookmarkStart w:id="60" w:name="_Toc549"/>
      <w:r>
        <w:rPr>
          <w:rFonts w:hint="eastAsia" w:ascii="宋体" w:hAnsi="宋体" w:cs="宋体"/>
          <w:b/>
          <w:bCs/>
          <w:color w:val="auto"/>
          <w:szCs w:val="21"/>
          <w:highlight w:val="none"/>
        </w:rPr>
        <w:t>五、投标文件的递交</w:t>
      </w:r>
      <w:bookmarkEnd w:id="53"/>
      <w:bookmarkEnd w:id="54"/>
      <w:bookmarkEnd w:id="55"/>
      <w:bookmarkEnd w:id="56"/>
      <w:bookmarkEnd w:id="57"/>
      <w:bookmarkEnd w:id="58"/>
      <w:bookmarkEnd w:id="59"/>
      <w:bookmarkEnd w:id="60"/>
    </w:p>
    <w:p w14:paraId="45214325">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5.1投标文件递交的截止时间：</w:t>
      </w:r>
      <w:r>
        <w:rPr>
          <w:rFonts w:hint="eastAsia" w:ascii="宋体" w:hAnsi="宋体" w:eastAsia="宋体" w:cs="宋体"/>
          <w:color w:val="auto"/>
          <w:lang w:val="en-US" w:eastAsia="zh-CN"/>
        </w:rPr>
        <w:t>2025 年</w:t>
      </w:r>
      <w:r>
        <w:rPr>
          <w:rFonts w:hint="eastAsia" w:cs="宋体"/>
          <w:color w:val="auto"/>
          <w:lang w:val="en-US" w:eastAsia="zh-CN"/>
        </w:rPr>
        <w:t xml:space="preserve">  </w:t>
      </w:r>
      <w:r>
        <w:rPr>
          <w:rFonts w:hint="eastAsia" w:ascii="宋体" w:hAnsi="宋体" w:eastAsia="宋体" w:cs="宋体"/>
          <w:color w:val="auto"/>
          <w:lang w:val="en-US" w:eastAsia="zh-CN"/>
        </w:rPr>
        <w:t>月</w:t>
      </w:r>
      <w:r>
        <w:rPr>
          <w:rFonts w:hint="eastAsia" w:cs="宋体"/>
          <w:color w:val="auto"/>
          <w:lang w:val="en-US" w:eastAsia="zh-CN"/>
        </w:rPr>
        <w:t xml:space="preserve">  </w:t>
      </w:r>
      <w:r>
        <w:rPr>
          <w:rFonts w:hint="eastAsia" w:ascii="宋体" w:hAnsi="宋体" w:eastAsia="宋体" w:cs="宋体"/>
          <w:color w:val="auto"/>
          <w:lang w:val="en-US" w:eastAsia="zh-CN"/>
        </w:rPr>
        <w:t xml:space="preserve">日 09 时 </w:t>
      </w:r>
      <w:r>
        <w:rPr>
          <w:rFonts w:hint="eastAsia" w:cs="宋体"/>
          <w:color w:val="auto"/>
          <w:lang w:val="en-US" w:eastAsia="zh-CN"/>
        </w:rPr>
        <w:t>30</w:t>
      </w:r>
      <w:r>
        <w:rPr>
          <w:rFonts w:hint="eastAsia" w:ascii="宋体" w:hAnsi="宋体" w:eastAsia="宋体" w:cs="宋体"/>
          <w:color w:val="auto"/>
          <w:lang w:val="en-US" w:eastAsia="zh-CN"/>
        </w:rPr>
        <w:t xml:space="preserve"> 分</w:t>
      </w:r>
      <w:r>
        <w:rPr>
          <w:rFonts w:hint="eastAsia" w:ascii="宋体" w:hAnsi="宋体" w:eastAsia="宋体" w:cs="宋体"/>
          <w:color w:val="auto"/>
          <w:lang w:val="en-US" w:eastAsia="zh-CN"/>
        </w:rPr>
        <w:t xml:space="preserve">。 </w:t>
      </w:r>
    </w:p>
    <w:p w14:paraId="7F41E896">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5.2投标人必须在投标截止时间前通过信阳市公共资源交易中心电子招投标系统上传电子投标文件(.XYTF 格式)。上传的电子投标文件应使用投标人 CA 数字证书认证并加密。</w:t>
      </w:r>
    </w:p>
    <w:p w14:paraId="1A4FBE3E">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5.3加密电子投标文件逾期上传的招标人不予受理。 </w:t>
      </w:r>
    </w:p>
    <w:p w14:paraId="1A661613">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5.4开标地点：全国公共资源交易平台（河南省·息县）不见面开标大厅   </w:t>
      </w:r>
    </w:p>
    <w:p w14:paraId="7D23BE22">
      <w:pPr>
        <w:pStyle w:val="9"/>
        <w:bidi w:val="0"/>
        <w:rPr>
          <w:rFonts w:hint="eastAsia" w:ascii="宋体" w:hAnsi="宋体" w:eastAsia="宋体" w:cs="宋体"/>
          <w:color w:val="auto"/>
          <w:lang w:val="en-US" w:eastAsia="zh-CN"/>
        </w:rPr>
      </w:pPr>
      <w:bookmarkStart w:id="61" w:name="_Toc18030"/>
      <w:bookmarkStart w:id="62" w:name="_Toc4026"/>
      <w:r>
        <w:rPr>
          <w:rFonts w:hint="eastAsia" w:ascii="宋体" w:hAnsi="宋体" w:eastAsia="宋体" w:cs="宋体"/>
          <w:color w:val="auto"/>
          <w:lang w:val="en-US" w:eastAsia="zh-CN"/>
        </w:rPr>
        <w:t>本项目采用“不见面开标”交易方式，不见面开标大厅网址为 https://ggzyjy.xinyang.gov.cn/BidOpening，投标人无需寄送和递交非加密的电子投标文件，无需到现场参加开标会议，无需到达现场提交原件资料。</w:t>
      </w:r>
    </w:p>
    <w:p w14:paraId="7355E983">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投标人应当在投标截止时间前，使用投标人CA数字证书登录不见面开标大厅，在线签到并准时参加开标活动，并在规定时间内完成投标文件解密、答疑澄清等。 </w:t>
      </w:r>
    </w:p>
    <w:p w14:paraId="6F98A58F">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逾期解密或者没有准时在线参加开标活动导致的一切后果投标人自行承担。 </w:t>
      </w:r>
    </w:p>
    <w:p w14:paraId="543B0DBD">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不见面开标服务的具体事宜，请查阅信阳市公共资源交易中心网站首页—下载中心—信阳市不见面开标大厅系统操作手册 。 </w:t>
      </w:r>
    </w:p>
    <w:p w14:paraId="784E59E1">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特别提示：投标人在线签到时，应如实准确的填写授权委托人的联系电话，开标当天请务必保证电话保持畅通。  </w:t>
      </w:r>
    </w:p>
    <w:p w14:paraId="2CBA3795">
      <w:pPr>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63" w:name="_Toc12142"/>
      <w:bookmarkStart w:id="64" w:name="_Toc22218"/>
      <w:bookmarkStart w:id="65" w:name="_Toc26374"/>
      <w:bookmarkStart w:id="66" w:name="_Toc1899"/>
      <w:bookmarkStart w:id="67" w:name="_Toc31051"/>
      <w:bookmarkStart w:id="68" w:name="_Toc4442"/>
      <w:r>
        <w:rPr>
          <w:rFonts w:hint="eastAsia" w:ascii="宋体" w:hAnsi="宋体" w:cs="宋体"/>
          <w:b/>
          <w:bCs/>
          <w:color w:val="auto"/>
          <w:szCs w:val="21"/>
          <w:highlight w:val="none"/>
        </w:rPr>
        <w:t>六、发布公告的媒介</w:t>
      </w:r>
      <w:bookmarkEnd w:id="61"/>
      <w:bookmarkEnd w:id="62"/>
      <w:bookmarkEnd w:id="63"/>
      <w:bookmarkEnd w:id="64"/>
      <w:bookmarkEnd w:id="65"/>
      <w:bookmarkEnd w:id="66"/>
      <w:bookmarkEnd w:id="67"/>
      <w:bookmarkEnd w:id="68"/>
    </w:p>
    <w:p w14:paraId="1E6674A2">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本次招标公告同时在《中国招标投标公共服务平台》、《全国公共资源交易平台（河南省·</w:t>
      </w:r>
      <w:r>
        <w:rPr>
          <w:rFonts w:hint="eastAsia" w:cs="宋体"/>
          <w:color w:val="auto"/>
          <w:lang w:val="en-US" w:eastAsia="zh-CN"/>
        </w:rPr>
        <w:t>息县</w:t>
      </w:r>
      <w:r>
        <w:rPr>
          <w:rFonts w:hint="eastAsia" w:ascii="宋体" w:hAnsi="宋体" w:eastAsia="宋体" w:cs="宋体"/>
          <w:color w:val="auto"/>
          <w:lang w:val="en-US" w:eastAsia="zh-CN"/>
        </w:rPr>
        <w:t>）》上发布。</w:t>
      </w:r>
    </w:p>
    <w:p w14:paraId="5B91E7DE">
      <w:pPr>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69" w:name="_Toc1224"/>
      <w:bookmarkStart w:id="70" w:name="_Toc30745"/>
      <w:bookmarkStart w:id="71" w:name="_Toc22808"/>
      <w:bookmarkStart w:id="72" w:name="_Toc20215"/>
      <w:bookmarkStart w:id="73" w:name="_Toc27413"/>
      <w:bookmarkStart w:id="74" w:name="_Toc18445"/>
      <w:bookmarkStart w:id="75" w:name="_Toc9837"/>
      <w:bookmarkStart w:id="76" w:name="_Toc31753"/>
      <w:r>
        <w:rPr>
          <w:rFonts w:hint="eastAsia" w:ascii="宋体" w:hAnsi="宋体" w:cs="宋体"/>
          <w:b/>
          <w:bCs/>
          <w:color w:val="auto"/>
          <w:szCs w:val="21"/>
          <w:highlight w:val="none"/>
        </w:rPr>
        <w:t>七、其他注意事项</w:t>
      </w:r>
      <w:bookmarkEnd w:id="69"/>
      <w:bookmarkEnd w:id="70"/>
      <w:bookmarkEnd w:id="71"/>
      <w:bookmarkEnd w:id="72"/>
      <w:bookmarkEnd w:id="73"/>
      <w:bookmarkEnd w:id="74"/>
      <w:bookmarkEnd w:id="75"/>
      <w:bookmarkEnd w:id="76"/>
      <w:r>
        <w:rPr>
          <w:rFonts w:hint="eastAsia" w:ascii="宋体" w:hAnsi="宋体" w:cs="宋体"/>
          <w:b/>
          <w:bCs/>
          <w:color w:val="auto"/>
          <w:szCs w:val="21"/>
          <w:highlight w:val="none"/>
        </w:rPr>
        <w:t xml:space="preserve"> </w:t>
      </w:r>
    </w:p>
    <w:p w14:paraId="18C04FDB">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7.1投标人编制投标文件时，涉及营业执照、资质、业绩、获奖、人员、财务、 社保、纳税、各类证书等内容，须扫描编制在投标文件内，同时须上传至信阳市公共资源交易中心诚信库。评委评审时，必须核对投标人诚信库信息，未在诚信库中登记的上述内容，不得作为评标（或评审）依据。投标人应及时在投标截止时间前对主体诚信库的相关内容进行补充、更新。</w:t>
      </w:r>
    </w:p>
    <w:p w14:paraId="147C7E66">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7.2本项目评标结果公示时，同时公示中标候选人诚信库信息，接受社会监督。因入库信息不合法、不真实、不清晰、不准确、不完整、无效、错误或信息处于编辑中、待验证状态等对交易活动所造成的一切后果，由信息提供主体自行负责。</w:t>
      </w:r>
    </w:p>
    <w:p w14:paraId="4B412E66">
      <w:pPr>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77" w:name="_Toc15624"/>
      <w:bookmarkStart w:id="78" w:name="_Toc32114"/>
      <w:bookmarkStart w:id="79" w:name="_Toc24085"/>
      <w:bookmarkStart w:id="80" w:name="_Toc15569"/>
      <w:bookmarkStart w:id="81" w:name="_Toc2879"/>
      <w:bookmarkStart w:id="82" w:name="_Toc6446"/>
      <w:bookmarkStart w:id="83" w:name="_Toc16959"/>
      <w:bookmarkStart w:id="84" w:name="_Toc15593"/>
      <w:r>
        <w:rPr>
          <w:rFonts w:hint="eastAsia" w:ascii="宋体" w:hAnsi="宋体" w:cs="宋体"/>
          <w:b/>
          <w:bCs/>
          <w:color w:val="auto"/>
          <w:szCs w:val="21"/>
          <w:highlight w:val="none"/>
        </w:rPr>
        <w:t>八、联系方式</w:t>
      </w:r>
      <w:bookmarkEnd w:id="77"/>
      <w:bookmarkEnd w:id="78"/>
      <w:bookmarkEnd w:id="79"/>
      <w:bookmarkEnd w:id="80"/>
      <w:bookmarkEnd w:id="81"/>
      <w:bookmarkEnd w:id="82"/>
      <w:bookmarkEnd w:id="83"/>
      <w:bookmarkEnd w:id="84"/>
    </w:p>
    <w:p w14:paraId="5C03C52C">
      <w:pPr>
        <w:pStyle w:val="9"/>
        <w:bidi w:val="0"/>
        <w:rPr>
          <w:rFonts w:hint="eastAsia"/>
          <w:color w:val="auto"/>
          <w:lang w:val="en-US" w:eastAsia="zh-CN"/>
        </w:rPr>
      </w:pPr>
      <w:r>
        <w:rPr>
          <w:rFonts w:hint="eastAsia"/>
          <w:color w:val="auto"/>
          <w:lang w:val="en-US" w:eastAsia="zh-CN"/>
        </w:rPr>
        <w:t>招标人：息县交通运输局</w:t>
      </w:r>
    </w:p>
    <w:p w14:paraId="75B4A0DF">
      <w:pPr>
        <w:pStyle w:val="9"/>
        <w:bidi w:val="0"/>
        <w:rPr>
          <w:rFonts w:hint="eastAsia"/>
          <w:color w:val="auto"/>
          <w:lang w:val="en-US" w:eastAsia="zh-CN"/>
        </w:rPr>
      </w:pPr>
      <w:r>
        <w:rPr>
          <w:rFonts w:hint="eastAsia"/>
          <w:color w:val="auto"/>
          <w:lang w:val="en-US" w:eastAsia="zh-CN"/>
        </w:rPr>
        <w:t>地址：息县息州大道中段316号</w:t>
      </w:r>
    </w:p>
    <w:p w14:paraId="00AE8A5A">
      <w:pPr>
        <w:pStyle w:val="9"/>
        <w:bidi w:val="0"/>
        <w:rPr>
          <w:rFonts w:hint="eastAsia"/>
          <w:color w:val="auto"/>
          <w:lang w:val="en-US" w:eastAsia="zh-CN"/>
        </w:rPr>
      </w:pPr>
      <w:r>
        <w:rPr>
          <w:rFonts w:hint="eastAsia"/>
          <w:color w:val="auto"/>
          <w:lang w:val="en-US" w:eastAsia="zh-CN"/>
        </w:rPr>
        <w:t>联系人：汪伟</w:t>
      </w:r>
    </w:p>
    <w:p w14:paraId="47BB3906">
      <w:pPr>
        <w:pStyle w:val="9"/>
        <w:bidi w:val="0"/>
        <w:rPr>
          <w:rFonts w:hint="eastAsia"/>
          <w:color w:val="auto"/>
          <w:lang w:val="en-US" w:eastAsia="zh-CN"/>
        </w:rPr>
      </w:pPr>
      <w:r>
        <w:rPr>
          <w:rFonts w:hint="eastAsia"/>
          <w:color w:val="auto"/>
          <w:lang w:val="en-US" w:eastAsia="zh-CN"/>
        </w:rPr>
        <w:t>电话：13782937766</w:t>
      </w:r>
    </w:p>
    <w:p w14:paraId="765A51ED">
      <w:pPr>
        <w:pStyle w:val="9"/>
        <w:bidi w:val="0"/>
        <w:rPr>
          <w:rFonts w:hint="eastAsia"/>
          <w:color w:val="auto"/>
          <w:lang w:val="en-US" w:eastAsia="zh-CN"/>
        </w:rPr>
      </w:pPr>
      <w:r>
        <w:rPr>
          <w:rFonts w:hint="eastAsia"/>
          <w:color w:val="auto"/>
          <w:lang w:val="en-US" w:eastAsia="zh-CN"/>
        </w:rPr>
        <w:t>代理机构：河南兆捷工程管理有限公司</w:t>
      </w:r>
    </w:p>
    <w:p w14:paraId="2F8BB9B5">
      <w:pPr>
        <w:pStyle w:val="9"/>
        <w:bidi w:val="0"/>
        <w:rPr>
          <w:rFonts w:hint="eastAsia"/>
          <w:color w:val="auto"/>
          <w:lang w:val="en-US" w:eastAsia="zh-CN"/>
        </w:rPr>
      </w:pPr>
      <w:r>
        <w:rPr>
          <w:rFonts w:hint="eastAsia"/>
          <w:color w:val="auto"/>
          <w:lang w:val="en-US" w:eastAsia="zh-CN"/>
        </w:rPr>
        <w:t>地    址：漯河市市辖区经济技术开发区珠江路11号永利新苑东区3号楼1503</w:t>
      </w:r>
    </w:p>
    <w:p w14:paraId="585D12E8">
      <w:pPr>
        <w:pStyle w:val="9"/>
        <w:bidi w:val="0"/>
        <w:rPr>
          <w:rFonts w:hint="eastAsia"/>
          <w:color w:val="auto"/>
          <w:lang w:val="en-US" w:eastAsia="zh-CN"/>
        </w:rPr>
      </w:pPr>
      <w:r>
        <w:rPr>
          <w:rFonts w:hint="eastAsia"/>
          <w:color w:val="auto"/>
          <w:lang w:val="en-US" w:eastAsia="zh-CN"/>
        </w:rPr>
        <w:t xml:space="preserve">联 系 人：杨冉         </w:t>
      </w:r>
    </w:p>
    <w:p w14:paraId="7E5FDD98">
      <w:pPr>
        <w:pStyle w:val="9"/>
        <w:bidi w:val="0"/>
        <w:rPr>
          <w:rFonts w:hint="default"/>
          <w:color w:val="auto"/>
          <w:lang w:val="en-US" w:eastAsia="zh-CN"/>
        </w:rPr>
      </w:pPr>
      <w:r>
        <w:rPr>
          <w:rFonts w:hint="eastAsia"/>
          <w:color w:val="auto"/>
          <w:lang w:val="en-US" w:eastAsia="zh-CN"/>
        </w:rPr>
        <w:t>联系电话：15239576068</w:t>
      </w:r>
    </w:p>
    <w:p w14:paraId="1672527D">
      <w:pPr>
        <w:pStyle w:val="9"/>
        <w:bidi w:val="0"/>
        <w:rPr>
          <w:rFonts w:hint="eastAsia"/>
          <w:color w:val="auto"/>
          <w:lang w:val="en-US" w:eastAsia="zh-CN"/>
        </w:rPr>
      </w:pPr>
      <w:r>
        <w:rPr>
          <w:rFonts w:hint="eastAsia"/>
          <w:color w:val="auto"/>
          <w:lang w:val="en-US" w:eastAsia="zh-CN"/>
        </w:rPr>
        <w:t>监督部门：息县发展和改革委员会</w:t>
      </w:r>
    </w:p>
    <w:p w14:paraId="15AFF314">
      <w:pPr>
        <w:pStyle w:val="9"/>
        <w:bidi w:val="0"/>
        <w:rPr>
          <w:rFonts w:hint="eastAsia"/>
          <w:color w:val="auto"/>
          <w:lang w:val="en-US" w:eastAsia="zh-CN"/>
        </w:rPr>
      </w:pPr>
      <w:r>
        <w:rPr>
          <w:rFonts w:hint="eastAsia"/>
          <w:color w:val="auto"/>
          <w:lang w:val="en-US" w:eastAsia="zh-CN"/>
        </w:rPr>
        <w:t>联系电话：0376-5956618</w:t>
      </w:r>
    </w:p>
    <w:p w14:paraId="1754F05A">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受理异议单位：息县交通运输局</w:t>
      </w:r>
    </w:p>
    <w:p w14:paraId="30C95BC6">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地址：息县息州大道中段316号</w:t>
      </w:r>
    </w:p>
    <w:p w14:paraId="3C94E30F">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联系人：汪伟</w:t>
      </w:r>
    </w:p>
    <w:p w14:paraId="044E31DA">
      <w:pPr>
        <w:pStyle w:val="9"/>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电话：13782937766</w:t>
      </w:r>
    </w:p>
    <w:p w14:paraId="581CF693">
      <w:pPr>
        <w:bidi w:val="0"/>
        <w:rPr>
          <w:rFonts w:hint="eastAsia"/>
          <w:color w:val="auto"/>
        </w:rPr>
      </w:pPr>
    </w:p>
    <w:p w14:paraId="5B4B0F8C">
      <w:pPr>
        <w:wordWrap w:val="0"/>
        <w:topLinePunct/>
        <w:spacing w:line="360" w:lineRule="auto"/>
        <w:jc w:val="both"/>
        <w:outlineLvl w:val="0"/>
        <w:rPr>
          <w:rFonts w:hint="eastAsia" w:ascii="宋体" w:hAnsi="宋体" w:cs="宋体"/>
          <w:b/>
          <w:bCs/>
          <w:color w:val="auto"/>
          <w:kern w:val="1"/>
          <w:sz w:val="36"/>
          <w:szCs w:val="36"/>
          <w:highlight w:val="none"/>
        </w:rPr>
        <w:sectPr>
          <w:pgSz w:w="11906" w:h="16838"/>
          <w:pgMar w:top="1440" w:right="1247" w:bottom="1440" w:left="1247" w:header="850" w:footer="850" w:gutter="0"/>
          <w:pgNumType w:fmt="numberInDash"/>
          <w:cols w:space="720" w:num="1"/>
          <w:rtlGutter w:val="0"/>
          <w:docGrid w:type="lines" w:linePitch="317" w:charSpace="0"/>
        </w:sectPr>
      </w:pPr>
    </w:p>
    <w:p w14:paraId="11005F00">
      <w:pPr>
        <w:pStyle w:val="2"/>
        <w:bidi w:val="0"/>
        <w:rPr>
          <w:color w:val="auto"/>
        </w:rPr>
      </w:pPr>
      <w:r>
        <w:rPr>
          <w:rFonts w:hint="eastAsia"/>
          <w:color w:val="auto"/>
        </w:rPr>
        <w:t>第二章  投标人须知</w:t>
      </w:r>
      <w:bookmarkEnd w:id="8"/>
      <w:bookmarkEnd w:id="9"/>
      <w:bookmarkEnd w:id="10"/>
    </w:p>
    <w:p w14:paraId="041F08BB">
      <w:pPr>
        <w:pStyle w:val="3"/>
        <w:bidi w:val="0"/>
        <w:rPr>
          <w:color w:val="auto"/>
        </w:rPr>
      </w:pPr>
      <w:bookmarkStart w:id="85" w:name="_Toc10496"/>
      <w:bookmarkStart w:id="86" w:name="_Toc11407"/>
      <w:r>
        <w:rPr>
          <w:color w:val="auto"/>
        </w:rPr>
        <w:t>投标人须知前附表</w:t>
      </w:r>
      <w:bookmarkEnd w:id="85"/>
      <w:bookmarkEnd w:id="86"/>
      <w:r>
        <w:rPr>
          <w:color w:val="auto"/>
        </w:rPr>
        <w:t xml:space="preserve"> </w:t>
      </w:r>
    </w:p>
    <w:tbl>
      <w:tblPr>
        <w:tblStyle w:val="29"/>
        <w:tblW w:w="96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35"/>
        <w:gridCol w:w="1212"/>
        <w:gridCol w:w="1270"/>
        <w:gridCol w:w="5670"/>
      </w:tblGrid>
      <w:tr w14:paraId="5D7B6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40" w:type="dxa"/>
            <w:tcBorders>
              <w:tl2br w:val="nil"/>
              <w:tr2bl w:val="nil"/>
            </w:tcBorders>
            <w:vAlign w:val="center"/>
          </w:tcPr>
          <w:p w14:paraId="1DF099F9">
            <w:pPr>
              <w:bidi w:val="0"/>
              <w:spacing w:line="240" w:lineRule="auto"/>
              <w:jc w:val="center"/>
              <w:rPr>
                <w:b/>
                <w:bCs/>
                <w:color w:val="auto"/>
              </w:rPr>
            </w:pPr>
            <w:r>
              <w:rPr>
                <w:rFonts w:hint="eastAsia"/>
                <w:b/>
                <w:bCs/>
                <w:color w:val="auto"/>
              </w:rPr>
              <w:t>条款号</w:t>
            </w:r>
          </w:p>
        </w:tc>
        <w:tc>
          <w:tcPr>
            <w:tcW w:w="1647" w:type="dxa"/>
            <w:gridSpan w:val="2"/>
            <w:tcBorders>
              <w:tl2br w:val="nil"/>
              <w:tr2bl w:val="nil"/>
            </w:tcBorders>
            <w:vAlign w:val="center"/>
          </w:tcPr>
          <w:p w14:paraId="1932FDFD">
            <w:pPr>
              <w:bidi w:val="0"/>
              <w:spacing w:line="240" w:lineRule="auto"/>
              <w:jc w:val="center"/>
              <w:rPr>
                <w:b/>
                <w:bCs/>
                <w:color w:val="auto"/>
              </w:rPr>
            </w:pPr>
            <w:r>
              <w:rPr>
                <w:rFonts w:hint="eastAsia"/>
                <w:b/>
                <w:bCs/>
                <w:color w:val="auto"/>
              </w:rPr>
              <w:t>条 款 名 称</w:t>
            </w:r>
          </w:p>
        </w:tc>
        <w:tc>
          <w:tcPr>
            <w:tcW w:w="6940" w:type="dxa"/>
            <w:gridSpan w:val="2"/>
            <w:tcBorders>
              <w:tl2br w:val="nil"/>
              <w:tr2bl w:val="nil"/>
            </w:tcBorders>
            <w:vAlign w:val="center"/>
          </w:tcPr>
          <w:p w14:paraId="5C0BD864">
            <w:pPr>
              <w:bidi w:val="0"/>
              <w:spacing w:line="240" w:lineRule="auto"/>
              <w:jc w:val="center"/>
              <w:rPr>
                <w:b/>
                <w:bCs/>
                <w:color w:val="auto"/>
              </w:rPr>
            </w:pPr>
            <w:r>
              <w:rPr>
                <w:rFonts w:hint="eastAsia"/>
                <w:b/>
                <w:bCs/>
                <w:color w:val="auto"/>
              </w:rPr>
              <w:t>编 列 内 容</w:t>
            </w:r>
          </w:p>
        </w:tc>
      </w:tr>
      <w:tr w14:paraId="550E9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1A415BD3">
            <w:pPr>
              <w:bidi w:val="0"/>
              <w:spacing w:line="240" w:lineRule="auto"/>
              <w:jc w:val="center"/>
              <w:rPr>
                <w:color w:val="auto"/>
              </w:rPr>
            </w:pPr>
            <w:r>
              <w:rPr>
                <w:rFonts w:hint="eastAsia"/>
                <w:color w:val="auto"/>
              </w:rPr>
              <w:t>1.1.2</w:t>
            </w:r>
          </w:p>
        </w:tc>
        <w:tc>
          <w:tcPr>
            <w:tcW w:w="1647" w:type="dxa"/>
            <w:gridSpan w:val="2"/>
            <w:tcBorders>
              <w:tl2br w:val="nil"/>
              <w:tr2bl w:val="nil"/>
            </w:tcBorders>
            <w:vAlign w:val="center"/>
          </w:tcPr>
          <w:p w14:paraId="2ABEDAED">
            <w:pPr>
              <w:bidi w:val="0"/>
              <w:spacing w:line="240" w:lineRule="auto"/>
              <w:jc w:val="center"/>
              <w:rPr>
                <w:color w:val="auto"/>
              </w:rPr>
            </w:pPr>
            <w:r>
              <w:rPr>
                <w:rFonts w:hint="eastAsia"/>
                <w:color w:val="auto"/>
              </w:rPr>
              <w:t>招标人</w:t>
            </w:r>
          </w:p>
        </w:tc>
        <w:tc>
          <w:tcPr>
            <w:tcW w:w="6940" w:type="dxa"/>
            <w:gridSpan w:val="2"/>
            <w:tcBorders>
              <w:tl2br w:val="nil"/>
              <w:tr2bl w:val="nil"/>
            </w:tcBorders>
            <w:vAlign w:val="center"/>
          </w:tcPr>
          <w:p w14:paraId="6370394B">
            <w:pPr>
              <w:keepNext w:val="0"/>
              <w:keepLines w:val="0"/>
              <w:pageBreakBefore w:val="0"/>
              <w:kinsoku/>
              <w:wordWrap w:val="0"/>
              <w:overflowPunct/>
              <w:topLinePunct/>
              <w:autoSpaceDE/>
              <w:autoSpaceDN/>
              <w:bidi w:val="0"/>
              <w:adjustRightInd w:val="0"/>
              <w:snapToGrid w:val="0"/>
              <w:spacing w:line="240" w:lineRule="auto"/>
              <w:jc w:val="both"/>
              <w:textAlignment w:val="auto"/>
              <w:rPr>
                <w:rFonts w:hint="eastAsia"/>
                <w:color w:val="auto"/>
                <w:lang w:val="en-US" w:eastAsia="zh-CN"/>
              </w:rPr>
            </w:pPr>
            <w:r>
              <w:rPr>
                <w:rFonts w:hint="eastAsia"/>
                <w:color w:val="auto"/>
                <w:lang w:val="en-US" w:eastAsia="zh-CN"/>
              </w:rPr>
              <w:t>招标人：息县交通运输局</w:t>
            </w:r>
          </w:p>
          <w:p w14:paraId="0D5AC0E3">
            <w:pPr>
              <w:keepNext w:val="0"/>
              <w:keepLines w:val="0"/>
              <w:pageBreakBefore w:val="0"/>
              <w:kinsoku/>
              <w:wordWrap w:val="0"/>
              <w:overflowPunct/>
              <w:topLinePunct/>
              <w:autoSpaceDE/>
              <w:autoSpaceDN/>
              <w:bidi w:val="0"/>
              <w:adjustRightInd w:val="0"/>
              <w:snapToGrid w:val="0"/>
              <w:spacing w:line="240" w:lineRule="auto"/>
              <w:jc w:val="both"/>
              <w:textAlignment w:val="auto"/>
              <w:rPr>
                <w:rFonts w:hint="eastAsia"/>
                <w:color w:val="auto"/>
                <w:lang w:val="en-US" w:eastAsia="zh-CN"/>
              </w:rPr>
            </w:pPr>
            <w:r>
              <w:rPr>
                <w:rFonts w:hint="eastAsia"/>
                <w:color w:val="auto"/>
                <w:lang w:val="en-US" w:eastAsia="zh-CN"/>
              </w:rPr>
              <w:t>地址：息县息州大道中段316号</w:t>
            </w:r>
          </w:p>
          <w:p w14:paraId="6A61B872">
            <w:pPr>
              <w:keepNext w:val="0"/>
              <w:keepLines w:val="0"/>
              <w:pageBreakBefore w:val="0"/>
              <w:kinsoku/>
              <w:wordWrap w:val="0"/>
              <w:overflowPunct/>
              <w:topLinePunct/>
              <w:autoSpaceDE/>
              <w:autoSpaceDN/>
              <w:bidi w:val="0"/>
              <w:adjustRightInd w:val="0"/>
              <w:snapToGrid w:val="0"/>
              <w:spacing w:line="240" w:lineRule="auto"/>
              <w:jc w:val="both"/>
              <w:textAlignment w:val="auto"/>
              <w:rPr>
                <w:rFonts w:hint="eastAsia"/>
                <w:color w:val="auto"/>
                <w:lang w:val="en-US" w:eastAsia="zh-CN"/>
              </w:rPr>
            </w:pPr>
            <w:r>
              <w:rPr>
                <w:rFonts w:hint="eastAsia"/>
                <w:color w:val="auto"/>
                <w:lang w:val="en-US" w:eastAsia="zh-CN"/>
              </w:rPr>
              <w:t>联系人：汪伟</w:t>
            </w:r>
          </w:p>
          <w:p w14:paraId="01C726E0">
            <w:pPr>
              <w:keepNext w:val="0"/>
              <w:keepLines w:val="0"/>
              <w:pageBreakBefore w:val="0"/>
              <w:kinsoku/>
              <w:wordWrap w:val="0"/>
              <w:overflowPunct/>
              <w:topLinePunct/>
              <w:autoSpaceDE/>
              <w:autoSpaceDN/>
              <w:bidi w:val="0"/>
              <w:adjustRightInd w:val="0"/>
              <w:snapToGrid w:val="0"/>
              <w:spacing w:line="240" w:lineRule="auto"/>
              <w:jc w:val="both"/>
              <w:textAlignment w:val="auto"/>
              <w:rPr>
                <w:color w:val="auto"/>
              </w:rPr>
            </w:pPr>
            <w:r>
              <w:rPr>
                <w:rFonts w:hint="eastAsia"/>
                <w:color w:val="auto"/>
                <w:lang w:val="en-US" w:eastAsia="zh-CN"/>
              </w:rPr>
              <w:t>电话：13782937766</w:t>
            </w:r>
          </w:p>
        </w:tc>
      </w:tr>
      <w:tr w14:paraId="375957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4EEB3BA1">
            <w:pPr>
              <w:bidi w:val="0"/>
              <w:spacing w:line="240" w:lineRule="auto"/>
              <w:jc w:val="center"/>
              <w:rPr>
                <w:color w:val="auto"/>
              </w:rPr>
            </w:pPr>
            <w:r>
              <w:rPr>
                <w:rFonts w:hint="eastAsia"/>
                <w:color w:val="auto"/>
              </w:rPr>
              <w:t>1.1.3</w:t>
            </w:r>
          </w:p>
        </w:tc>
        <w:tc>
          <w:tcPr>
            <w:tcW w:w="1647" w:type="dxa"/>
            <w:gridSpan w:val="2"/>
            <w:tcBorders>
              <w:tl2br w:val="nil"/>
              <w:tr2bl w:val="nil"/>
            </w:tcBorders>
            <w:vAlign w:val="center"/>
          </w:tcPr>
          <w:p w14:paraId="71C6FAC8">
            <w:pPr>
              <w:bidi w:val="0"/>
              <w:spacing w:line="240" w:lineRule="auto"/>
              <w:jc w:val="center"/>
              <w:rPr>
                <w:color w:val="auto"/>
              </w:rPr>
            </w:pPr>
            <w:r>
              <w:rPr>
                <w:rFonts w:hint="eastAsia"/>
                <w:color w:val="auto"/>
              </w:rPr>
              <w:t>招标代理机构</w:t>
            </w:r>
          </w:p>
        </w:tc>
        <w:tc>
          <w:tcPr>
            <w:tcW w:w="6940" w:type="dxa"/>
            <w:gridSpan w:val="2"/>
            <w:tcBorders>
              <w:tl2br w:val="nil"/>
              <w:tr2bl w:val="nil"/>
            </w:tcBorders>
            <w:vAlign w:val="center"/>
          </w:tcPr>
          <w:p w14:paraId="2A347617">
            <w:pPr>
              <w:keepNext w:val="0"/>
              <w:keepLines w:val="0"/>
              <w:pageBreakBefore w:val="0"/>
              <w:kinsoku/>
              <w:wordWrap w:val="0"/>
              <w:overflowPunct/>
              <w:topLinePunct/>
              <w:autoSpaceDE/>
              <w:autoSpaceDN/>
              <w:bidi w:val="0"/>
              <w:adjustRightInd w:val="0"/>
              <w:snapToGrid w:val="0"/>
              <w:spacing w:line="240" w:lineRule="auto"/>
              <w:jc w:val="both"/>
              <w:textAlignment w:val="auto"/>
              <w:rPr>
                <w:rFonts w:hint="eastAsia"/>
                <w:color w:val="auto"/>
                <w:lang w:val="en-US" w:eastAsia="zh-CN"/>
              </w:rPr>
            </w:pPr>
            <w:r>
              <w:rPr>
                <w:rFonts w:hint="eastAsia"/>
                <w:color w:val="auto"/>
                <w:lang w:val="en-US" w:eastAsia="zh-CN"/>
              </w:rPr>
              <w:t>代理机构：河南兆捷工程管理有限公司</w:t>
            </w:r>
          </w:p>
          <w:p w14:paraId="543D6244">
            <w:pPr>
              <w:keepNext w:val="0"/>
              <w:keepLines w:val="0"/>
              <w:pageBreakBefore w:val="0"/>
              <w:kinsoku/>
              <w:wordWrap w:val="0"/>
              <w:overflowPunct/>
              <w:topLinePunct/>
              <w:autoSpaceDE/>
              <w:autoSpaceDN/>
              <w:bidi w:val="0"/>
              <w:adjustRightInd w:val="0"/>
              <w:snapToGrid w:val="0"/>
              <w:spacing w:line="240" w:lineRule="auto"/>
              <w:jc w:val="both"/>
              <w:textAlignment w:val="auto"/>
              <w:rPr>
                <w:rFonts w:hint="eastAsia"/>
                <w:color w:val="auto"/>
                <w:lang w:val="en-US" w:eastAsia="zh-CN"/>
              </w:rPr>
            </w:pPr>
            <w:r>
              <w:rPr>
                <w:rFonts w:hint="eastAsia"/>
                <w:color w:val="auto"/>
                <w:lang w:val="en-US" w:eastAsia="zh-CN"/>
              </w:rPr>
              <w:t>地    址：漯河市市辖区经济技术开发区珠江路11号永利新苑东区3号楼1503</w:t>
            </w:r>
          </w:p>
          <w:p w14:paraId="2165C919">
            <w:pPr>
              <w:keepNext w:val="0"/>
              <w:keepLines w:val="0"/>
              <w:pageBreakBefore w:val="0"/>
              <w:kinsoku/>
              <w:wordWrap w:val="0"/>
              <w:overflowPunct/>
              <w:topLinePunct/>
              <w:autoSpaceDE/>
              <w:autoSpaceDN/>
              <w:bidi w:val="0"/>
              <w:adjustRightInd w:val="0"/>
              <w:snapToGrid w:val="0"/>
              <w:spacing w:line="240" w:lineRule="auto"/>
              <w:jc w:val="both"/>
              <w:textAlignment w:val="auto"/>
              <w:rPr>
                <w:rFonts w:hint="eastAsia"/>
                <w:color w:val="auto"/>
                <w:lang w:val="en-US" w:eastAsia="zh-CN"/>
              </w:rPr>
            </w:pPr>
            <w:r>
              <w:rPr>
                <w:rFonts w:hint="eastAsia"/>
                <w:color w:val="auto"/>
                <w:lang w:val="en-US" w:eastAsia="zh-CN"/>
              </w:rPr>
              <w:t xml:space="preserve">联 系 人：杨冉         </w:t>
            </w:r>
          </w:p>
          <w:p w14:paraId="166D5FE4">
            <w:pPr>
              <w:keepNext w:val="0"/>
              <w:keepLines w:val="0"/>
              <w:pageBreakBefore w:val="0"/>
              <w:kinsoku/>
              <w:wordWrap w:val="0"/>
              <w:overflowPunct/>
              <w:topLinePunct/>
              <w:autoSpaceDE/>
              <w:autoSpaceDN/>
              <w:bidi w:val="0"/>
              <w:adjustRightInd w:val="0"/>
              <w:snapToGrid w:val="0"/>
              <w:spacing w:line="240" w:lineRule="auto"/>
              <w:jc w:val="both"/>
              <w:textAlignment w:val="auto"/>
              <w:rPr>
                <w:color w:val="auto"/>
              </w:rPr>
            </w:pPr>
            <w:r>
              <w:rPr>
                <w:rFonts w:hint="eastAsia"/>
                <w:color w:val="auto"/>
                <w:lang w:val="en-US" w:eastAsia="zh-CN"/>
              </w:rPr>
              <w:t>联系电话：15239576068</w:t>
            </w:r>
          </w:p>
        </w:tc>
      </w:tr>
      <w:tr w14:paraId="6CC9D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40" w:type="dxa"/>
            <w:tcBorders>
              <w:tl2br w:val="nil"/>
              <w:tr2bl w:val="nil"/>
            </w:tcBorders>
            <w:vAlign w:val="center"/>
          </w:tcPr>
          <w:p w14:paraId="5783D503">
            <w:pPr>
              <w:bidi w:val="0"/>
              <w:spacing w:line="240" w:lineRule="auto"/>
              <w:jc w:val="center"/>
              <w:rPr>
                <w:color w:val="auto"/>
              </w:rPr>
            </w:pPr>
            <w:r>
              <w:rPr>
                <w:rFonts w:hint="eastAsia"/>
                <w:color w:val="auto"/>
              </w:rPr>
              <w:t>1.1.4</w:t>
            </w:r>
          </w:p>
        </w:tc>
        <w:tc>
          <w:tcPr>
            <w:tcW w:w="1647" w:type="dxa"/>
            <w:gridSpan w:val="2"/>
            <w:tcBorders>
              <w:tl2br w:val="nil"/>
              <w:tr2bl w:val="nil"/>
            </w:tcBorders>
            <w:vAlign w:val="center"/>
          </w:tcPr>
          <w:p w14:paraId="3D54A55B">
            <w:pPr>
              <w:bidi w:val="0"/>
              <w:spacing w:line="240" w:lineRule="auto"/>
              <w:jc w:val="center"/>
              <w:rPr>
                <w:color w:val="auto"/>
              </w:rPr>
            </w:pPr>
            <w:r>
              <w:rPr>
                <w:rFonts w:hint="eastAsia"/>
                <w:color w:val="auto"/>
              </w:rPr>
              <w:t>项目名称</w:t>
            </w:r>
          </w:p>
        </w:tc>
        <w:tc>
          <w:tcPr>
            <w:tcW w:w="6940" w:type="dxa"/>
            <w:gridSpan w:val="2"/>
            <w:tcBorders>
              <w:tl2br w:val="nil"/>
              <w:tr2bl w:val="nil"/>
            </w:tcBorders>
            <w:vAlign w:val="center"/>
          </w:tcPr>
          <w:p w14:paraId="4AD3B5CD">
            <w:pPr>
              <w:keepNext w:val="0"/>
              <w:keepLines w:val="0"/>
              <w:pageBreakBefore w:val="0"/>
              <w:kinsoku/>
              <w:wordWrap w:val="0"/>
              <w:overflowPunct/>
              <w:topLinePunct/>
              <w:autoSpaceDE/>
              <w:autoSpaceDN/>
              <w:bidi w:val="0"/>
              <w:adjustRightInd w:val="0"/>
              <w:snapToGrid w:val="0"/>
              <w:spacing w:line="240" w:lineRule="auto"/>
              <w:textAlignment w:val="auto"/>
              <w:rPr>
                <w:color w:val="auto"/>
              </w:rPr>
            </w:pPr>
            <w:r>
              <w:rPr>
                <w:rFonts w:hint="eastAsia" w:asciiTheme="minorEastAsia" w:hAnsiTheme="minorEastAsia" w:eastAsiaTheme="minorEastAsia" w:cstheme="minorEastAsia"/>
                <w:color w:val="auto"/>
                <w:szCs w:val="21"/>
                <w:highlight w:val="none"/>
                <w:lang w:eastAsia="zh-CN"/>
              </w:rPr>
              <w:t xml:space="preserve">2025年财政衔接资金息县交通基础设施提升项目 </w:t>
            </w:r>
          </w:p>
        </w:tc>
      </w:tr>
      <w:tr w14:paraId="0E0A4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40" w:type="dxa"/>
            <w:tcBorders>
              <w:tl2br w:val="nil"/>
              <w:tr2bl w:val="nil"/>
            </w:tcBorders>
            <w:vAlign w:val="center"/>
          </w:tcPr>
          <w:p w14:paraId="361FB3B6">
            <w:pPr>
              <w:bidi w:val="0"/>
              <w:spacing w:line="240" w:lineRule="auto"/>
              <w:jc w:val="center"/>
              <w:rPr>
                <w:color w:val="auto"/>
              </w:rPr>
            </w:pPr>
            <w:r>
              <w:rPr>
                <w:rFonts w:hint="eastAsia"/>
                <w:color w:val="auto"/>
              </w:rPr>
              <w:t>1.1.5</w:t>
            </w:r>
          </w:p>
        </w:tc>
        <w:tc>
          <w:tcPr>
            <w:tcW w:w="1647" w:type="dxa"/>
            <w:gridSpan w:val="2"/>
            <w:tcBorders>
              <w:tl2br w:val="nil"/>
              <w:tr2bl w:val="nil"/>
            </w:tcBorders>
            <w:vAlign w:val="center"/>
          </w:tcPr>
          <w:p w14:paraId="52223302">
            <w:pPr>
              <w:bidi w:val="0"/>
              <w:spacing w:line="240" w:lineRule="auto"/>
              <w:jc w:val="center"/>
              <w:rPr>
                <w:color w:val="auto"/>
              </w:rPr>
            </w:pPr>
            <w:r>
              <w:rPr>
                <w:rFonts w:hint="eastAsia"/>
                <w:color w:val="auto"/>
              </w:rPr>
              <w:t>建设地点</w:t>
            </w:r>
          </w:p>
        </w:tc>
        <w:tc>
          <w:tcPr>
            <w:tcW w:w="6940" w:type="dxa"/>
            <w:gridSpan w:val="2"/>
            <w:tcBorders>
              <w:tl2br w:val="nil"/>
              <w:tr2bl w:val="nil"/>
            </w:tcBorders>
            <w:vAlign w:val="center"/>
          </w:tcPr>
          <w:p w14:paraId="5C200F2C">
            <w:pPr>
              <w:wordWrap w:val="0"/>
              <w:topLinePunct/>
              <w:spacing w:line="240" w:lineRule="auto"/>
              <w:jc w:val="left"/>
              <w:rPr>
                <w:rFonts w:hint="eastAsia"/>
                <w:color w:val="auto"/>
                <w:lang w:eastAsia="zh-CN"/>
              </w:rPr>
            </w:pPr>
            <w:r>
              <w:rPr>
                <w:rFonts w:hint="eastAsia" w:asciiTheme="minorEastAsia" w:hAnsiTheme="minorEastAsia" w:eastAsiaTheme="minorEastAsia" w:cstheme="minorEastAsia"/>
                <w:color w:val="auto"/>
                <w:szCs w:val="21"/>
                <w:highlight w:val="none"/>
                <w:lang w:val="en-US" w:eastAsia="zh-CN"/>
              </w:rPr>
              <w:t>息县境内</w:t>
            </w:r>
          </w:p>
        </w:tc>
      </w:tr>
      <w:tr w14:paraId="1593D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0" w:type="dxa"/>
            <w:tcBorders>
              <w:tl2br w:val="nil"/>
              <w:tr2bl w:val="nil"/>
            </w:tcBorders>
            <w:vAlign w:val="center"/>
          </w:tcPr>
          <w:p w14:paraId="67D6CFCC">
            <w:pPr>
              <w:bidi w:val="0"/>
              <w:spacing w:line="240" w:lineRule="auto"/>
              <w:jc w:val="center"/>
              <w:rPr>
                <w:color w:val="auto"/>
              </w:rPr>
            </w:pPr>
            <w:r>
              <w:rPr>
                <w:rFonts w:hint="eastAsia"/>
                <w:color w:val="auto"/>
              </w:rPr>
              <w:t>1.2.1</w:t>
            </w:r>
          </w:p>
        </w:tc>
        <w:tc>
          <w:tcPr>
            <w:tcW w:w="1647" w:type="dxa"/>
            <w:gridSpan w:val="2"/>
            <w:tcBorders>
              <w:tl2br w:val="nil"/>
              <w:tr2bl w:val="nil"/>
            </w:tcBorders>
            <w:vAlign w:val="center"/>
          </w:tcPr>
          <w:p w14:paraId="26933E85">
            <w:pPr>
              <w:bidi w:val="0"/>
              <w:spacing w:line="240" w:lineRule="auto"/>
              <w:jc w:val="center"/>
              <w:rPr>
                <w:color w:val="auto"/>
              </w:rPr>
            </w:pPr>
            <w:r>
              <w:rPr>
                <w:rFonts w:hint="eastAsia"/>
                <w:color w:val="auto"/>
              </w:rPr>
              <w:t>资金来源</w:t>
            </w:r>
          </w:p>
        </w:tc>
        <w:tc>
          <w:tcPr>
            <w:tcW w:w="6940" w:type="dxa"/>
            <w:gridSpan w:val="2"/>
            <w:tcBorders>
              <w:tl2br w:val="nil"/>
              <w:tr2bl w:val="nil"/>
            </w:tcBorders>
            <w:vAlign w:val="center"/>
          </w:tcPr>
          <w:p w14:paraId="2E72ED29">
            <w:pPr>
              <w:keepNext w:val="0"/>
              <w:keepLines w:val="0"/>
              <w:pageBreakBefore w:val="0"/>
              <w:kinsoku/>
              <w:wordWrap w:val="0"/>
              <w:overflowPunct/>
              <w:topLinePunct/>
              <w:autoSpaceDE/>
              <w:autoSpaceDN/>
              <w:bidi w:val="0"/>
              <w:spacing w:line="240" w:lineRule="auto"/>
              <w:jc w:val="left"/>
              <w:textAlignment w:val="auto"/>
              <w:rPr>
                <w:rFonts w:hint="default"/>
                <w:color w:val="auto"/>
                <w:lang w:val="en-US" w:eastAsia="zh-CN"/>
              </w:rPr>
            </w:pPr>
            <w:r>
              <w:rPr>
                <w:rFonts w:hint="default"/>
                <w:color w:val="auto"/>
                <w:lang w:val="en-US" w:eastAsia="zh-CN"/>
              </w:rPr>
              <w:t>财政衔接资金</w:t>
            </w:r>
          </w:p>
        </w:tc>
      </w:tr>
      <w:tr w14:paraId="20CF0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0" w:type="dxa"/>
            <w:tcBorders>
              <w:tl2br w:val="nil"/>
              <w:tr2bl w:val="nil"/>
            </w:tcBorders>
            <w:vAlign w:val="center"/>
          </w:tcPr>
          <w:p w14:paraId="431A8FED">
            <w:pPr>
              <w:bidi w:val="0"/>
              <w:spacing w:line="240" w:lineRule="auto"/>
              <w:jc w:val="center"/>
              <w:rPr>
                <w:color w:val="auto"/>
              </w:rPr>
            </w:pPr>
            <w:r>
              <w:rPr>
                <w:rFonts w:hint="eastAsia"/>
                <w:color w:val="auto"/>
              </w:rPr>
              <w:t>1.2.2</w:t>
            </w:r>
          </w:p>
        </w:tc>
        <w:tc>
          <w:tcPr>
            <w:tcW w:w="1647" w:type="dxa"/>
            <w:gridSpan w:val="2"/>
            <w:tcBorders>
              <w:tl2br w:val="nil"/>
              <w:tr2bl w:val="nil"/>
            </w:tcBorders>
            <w:vAlign w:val="center"/>
          </w:tcPr>
          <w:p w14:paraId="4534EA27">
            <w:pPr>
              <w:bidi w:val="0"/>
              <w:spacing w:line="240" w:lineRule="auto"/>
              <w:jc w:val="center"/>
              <w:rPr>
                <w:color w:val="auto"/>
              </w:rPr>
            </w:pPr>
            <w:r>
              <w:rPr>
                <w:rFonts w:hint="eastAsia"/>
                <w:color w:val="auto"/>
              </w:rPr>
              <w:t>出资比例</w:t>
            </w:r>
          </w:p>
        </w:tc>
        <w:tc>
          <w:tcPr>
            <w:tcW w:w="6940" w:type="dxa"/>
            <w:gridSpan w:val="2"/>
            <w:tcBorders>
              <w:tl2br w:val="nil"/>
              <w:tr2bl w:val="nil"/>
            </w:tcBorders>
            <w:vAlign w:val="center"/>
          </w:tcPr>
          <w:p w14:paraId="3C1B1A60">
            <w:pPr>
              <w:keepNext w:val="0"/>
              <w:keepLines w:val="0"/>
              <w:pageBreakBefore w:val="0"/>
              <w:kinsoku/>
              <w:wordWrap w:val="0"/>
              <w:overflowPunct/>
              <w:topLinePunct/>
              <w:autoSpaceDE/>
              <w:autoSpaceDN/>
              <w:bidi w:val="0"/>
              <w:adjustRightInd w:val="0"/>
              <w:snapToGrid w:val="0"/>
              <w:spacing w:line="240" w:lineRule="auto"/>
              <w:jc w:val="left"/>
              <w:textAlignment w:val="auto"/>
              <w:rPr>
                <w:rFonts w:hint="eastAsia"/>
                <w:color w:val="auto"/>
                <w:lang w:eastAsia="zh-CN"/>
              </w:rPr>
            </w:pPr>
            <w:r>
              <w:rPr>
                <w:rFonts w:hint="eastAsia" w:asciiTheme="minorEastAsia" w:hAnsiTheme="minorEastAsia" w:eastAsiaTheme="minorEastAsia" w:cstheme="minorEastAsia"/>
                <w:color w:val="auto"/>
                <w:szCs w:val="21"/>
                <w:highlight w:val="none"/>
              </w:rPr>
              <w:t>/</w:t>
            </w:r>
          </w:p>
        </w:tc>
      </w:tr>
      <w:tr w14:paraId="6775B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40" w:type="dxa"/>
            <w:tcBorders>
              <w:tl2br w:val="nil"/>
              <w:tr2bl w:val="nil"/>
            </w:tcBorders>
            <w:vAlign w:val="center"/>
          </w:tcPr>
          <w:p w14:paraId="6037C932">
            <w:pPr>
              <w:bidi w:val="0"/>
              <w:spacing w:line="240" w:lineRule="auto"/>
              <w:jc w:val="center"/>
              <w:rPr>
                <w:color w:val="auto"/>
              </w:rPr>
            </w:pPr>
            <w:r>
              <w:rPr>
                <w:rFonts w:hint="eastAsia"/>
                <w:color w:val="auto"/>
              </w:rPr>
              <w:t>1.2.3</w:t>
            </w:r>
          </w:p>
        </w:tc>
        <w:tc>
          <w:tcPr>
            <w:tcW w:w="1647" w:type="dxa"/>
            <w:gridSpan w:val="2"/>
            <w:tcBorders>
              <w:tl2br w:val="nil"/>
              <w:tr2bl w:val="nil"/>
            </w:tcBorders>
            <w:vAlign w:val="center"/>
          </w:tcPr>
          <w:p w14:paraId="4655D8AE">
            <w:pPr>
              <w:bidi w:val="0"/>
              <w:spacing w:line="240" w:lineRule="auto"/>
              <w:jc w:val="center"/>
              <w:rPr>
                <w:color w:val="auto"/>
              </w:rPr>
            </w:pPr>
            <w:r>
              <w:rPr>
                <w:rFonts w:hint="eastAsia"/>
                <w:color w:val="auto"/>
              </w:rPr>
              <w:t>资金落实情况</w:t>
            </w:r>
          </w:p>
        </w:tc>
        <w:tc>
          <w:tcPr>
            <w:tcW w:w="6940" w:type="dxa"/>
            <w:gridSpan w:val="2"/>
            <w:tcBorders>
              <w:tl2br w:val="nil"/>
              <w:tr2bl w:val="nil"/>
            </w:tcBorders>
            <w:vAlign w:val="center"/>
          </w:tcPr>
          <w:p w14:paraId="57EC8510">
            <w:pPr>
              <w:keepNext w:val="0"/>
              <w:keepLines w:val="0"/>
              <w:pageBreakBefore w:val="0"/>
              <w:kinsoku/>
              <w:wordWrap w:val="0"/>
              <w:overflowPunct/>
              <w:topLinePunct/>
              <w:autoSpaceDE/>
              <w:autoSpaceDN/>
              <w:bidi w:val="0"/>
              <w:adjustRightInd w:val="0"/>
              <w:snapToGrid w:val="0"/>
              <w:spacing w:line="240" w:lineRule="auto"/>
              <w:jc w:val="left"/>
              <w:textAlignment w:val="auto"/>
              <w:rPr>
                <w:color w:val="auto"/>
              </w:rPr>
            </w:pPr>
            <w:r>
              <w:rPr>
                <w:rFonts w:hint="eastAsia" w:asciiTheme="minorEastAsia" w:hAnsiTheme="minorEastAsia" w:eastAsiaTheme="minorEastAsia" w:cstheme="minorEastAsia"/>
                <w:color w:val="auto"/>
                <w:szCs w:val="21"/>
                <w:highlight w:val="none"/>
              </w:rPr>
              <w:t>已落实</w:t>
            </w:r>
          </w:p>
        </w:tc>
      </w:tr>
      <w:tr w14:paraId="420E1F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40" w:type="dxa"/>
            <w:tcBorders>
              <w:tl2br w:val="nil"/>
              <w:tr2bl w:val="nil"/>
            </w:tcBorders>
            <w:vAlign w:val="center"/>
          </w:tcPr>
          <w:p w14:paraId="5082EF74">
            <w:pPr>
              <w:bidi w:val="0"/>
              <w:spacing w:line="240" w:lineRule="auto"/>
              <w:jc w:val="center"/>
              <w:rPr>
                <w:color w:val="auto"/>
              </w:rPr>
            </w:pPr>
            <w:r>
              <w:rPr>
                <w:rFonts w:hint="eastAsia"/>
                <w:color w:val="auto"/>
              </w:rPr>
              <w:t>1.3.1</w:t>
            </w:r>
          </w:p>
        </w:tc>
        <w:tc>
          <w:tcPr>
            <w:tcW w:w="1647" w:type="dxa"/>
            <w:gridSpan w:val="2"/>
            <w:tcBorders>
              <w:tl2br w:val="nil"/>
              <w:tr2bl w:val="nil"/>
            </w:tcBorders>
            <w:vAlign w:val="center"/>
          </w:tcPr>
          <w:p w14:paraId="1CFE7DEB">
            <w:pPr>
              <w:bidi w:val="0"/>
              <w:spacing w:line="240" w:lineRule="auto"/>
              <w:jc w:val="center"/>
              <w:rPr>
                <w:color w:val="auto"/>
              </w:rPr>
            </w:pPr>
            <w:r>
              <w:rPr>
                <w:rFonts w:hint="eastAsia"/>
                <w:color w:val="auto"/>
              </w:rPr>
              <w:t>招标范围</w:t>
            </w:r>
          </w:p>
        </w:tc>
        <w:tc>
          <w:tcPr>
            <w:tcW w:w="6940" w:type="dxa"/>
            <w:gridSpan w:val="2"/>
            <w:tcBorders>
              <w:tl2br w:val="nil"/>
              <w:tr2bl w:val="nil"/>
            </w:tcBorders>
            <w:vAlign w:val="center"/>
          </w:tcPr>
          <w:p w14:paraId="0595EB24">
            <w:pPr>
              <w:bidi w:val="0"/>
              <w:spacing w:line="240" w:lineRule="auto"/>
              <w:rPr>
                <w:color w:val="auto"/>
              </w:rPr>
            </w:pPr>
            <w:r>
              <w:rPr>
                <w:rFonts w:hint="eastAsia" w:ascii="宋体" w:hAnsi="宋体" w:eastAsia="宋体" w:cs="宋体"/>
                <w:color w:val="auto"/>
                <w:highlight w:val="none"/>
                <w:lang w:val="en-US" w:eastAsia="zh-CN"/>
              </w:rPr>
              <w:t>本项目施工及质量保修期的全过程监理；</w:t>
            </w:r>
          </w:p>
        </w:tc>
      </w:tr>
      <w:tr w14:paraId="3ED04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40" w:type="dxa"/>
            <w:tcBorders>
              <w:tl2br w:val="nil"/>
              <w:tr2bl w:val="nil"/>
            </w:tcBorders>
            <w:vAlign w:val="center"/>
          </w:tcPr>
          <w:p w14:paraId="53383441">
            <w:pPr>
              <w:bidi w:val="0"/>
              <w:spacing w:line="240" w:lineRule="auto"/>
              <w:jc w:val="center"/>
              <w:rPr>
                <w:color w:val="auto"/>
              </w:rPr>
            </w:pPr>
            <w:r>
              <w:rPr>
                <w:rFonts w:hint="eastAsia"/>
                <w:color w:val="auto"/>
              </w:rPr>
              <w:t>1.3.2</w:t>
            </w:r>
          </w:p>
        </w:tc>
        <w:tc>
          <w:tcPr>
            <w:tcW w:w="1647" w:type="dxa"/>
            <w:gridSpan w:val="2"/>
            <w:tcBorders>
              <w:tl2br w:val="nil"/>
              <w:tr2bl w:val="nil"/>
            </w:tcBorders>
            <w:vAlign w:val="center"/>
          </w:tcPr>
          <w:p w14:paraId="763CFD91">
            <w:pPr>
              <w:bidi w:val="0"/>
              <w:spacing w:line="240" w:lineRule="auto"/>
              <w:jc w:val="center"/>
              <w:rPr>
                <w:color w:val="auto"/>
              </w:rPr>
            </w:pPr>
            <w:r>
              <w:rPr>
                <w:rFonts w:hint="eastAsia"/>
                <w:color w:val="auto"/>
                <w:lang w:eastAsia="zh-CN"/>
              </w:rPr>
              <w:t>监理服务期限</w:t>
            </w:r>
          </w:p>
        </w:tc>
        <w:tc>
          <w:tcPr>
            <w:tcW w:w="6940" w:type="dxa"/>
            <w:gridSpan w:val="2"/>
            <w:tcBorders>
              <w:tl2br w:val="nil"/>
              <w:tr2bl w:val="nil"/>
            </w:tcBorders>
            <w:vAlign w:val="center"/>
          </w:tcPr>
          <w:p w14:paraId="1FE217CA">
            <w:pPr>
              <w:bidi w:val="0"/>
              <w:spacing w:line="240" w:lineRule="auto"/>
              <w:rPr>
                <w:color w:val="auto"/>
              </w:rPr>
            </w:pPr>
            <w:r>
              <w:rPr>
                <w:rFonts w:hint="eastAsia" w:asciiTheme="minorEastAsia" w:hAnsiTheme="minorEastAsia" w:eastAsiaTheme="minorEastAsia" w:cstheme="minorEastAsia"/>
                <w:color w:val="auto"/>
                <w:szCs w:val="21"/>
                <w:highlight w:val="none"/>
                <w:lang w:val="en-US" w:eastAsia="zh-CN"/>
              </w:rPr>
              <w:t>同本项目施工期及保修期</w:t>
            </w:r>
          </w:p>
        </w:tc>
      </w:tr>
      <w:tr w14:paraId="2FBB2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0" w:type="dxa"/>
            <w:tcBorders>
              <w:tl2br w:val="nil"/>
              <w:tr2bl w:val="nil"/>
            </w:tcBorders>
            <w:vAlign w:val="center"/>
          </w:tcPr>
          <w:p w14:paraId="3C02FAA2">
            <w:pPr>
              <w:bidi w:val="0"/>
              <w:spacing w:line="240" w:lineRule="auto"/>
              <w:jc w:val="center"/>
              <w:rPr>
                <w:color w:val="auto"/>
              </w:rPr>
            </w:pPr>
            <w:r>
              <w:rPr>
                <w:rFonts w:hint="eastAsia"/>
                <w:color w:val="auto"/>
              </w:rPr>
              <w:t>1.3.3</w:t>
            </w:r>
          </w:p>
        </w:tc>
        <w:tc>
          <w:tcPr>
            <w:tcW w:w="1647" w:type="dxa"/>
            <w:gridSpan w:val="2"/>
            <w:tcBorders>
              <w:tl2br w:val="nil"/>
              <w:tr2bl w:val="nil"/>
            </w:tcBorders>
            <w:vAlign w:val="center"/>
          </w:tcPr>
          <w:p w14:paraId="31AC9958">
            <w:pPr>
              <w:bidi w:val="0"/>
              <w:spacing w:line="240" w:lineRule="auto"/>
              <w:jc w:val="center"/>
              <w:rPr>
                <w:color w:val="auto"/>
              </w:rPr>
            </w:pPr>
            <w:r>
              <w:rPr>
                <w:rFonts w:hint="eastAsia"/>
                <w:color w:val="auto"/>
              </w:rPr>
              <w:t>质量要求</w:t>
            </w:r>
          </w:p>
        </w:tc>
        <w:tc>
          <w:tcPr>
            <w:tcW w:w="6940" w:type="dxa"/>
            <w:gridSpan w:val="2"/>
            <w:tcBorders>
              <w:tl2br w:val="nil"/>
              <w:tr2bl w:val="nil"/>
            </w:tcBorders>
            <w:vAlign w:val="center"/>
          </w:tcPr>
          <w:p w14:paraId="3B0B328D">
            <w:pPr>
              <w:bidi w:val="0"/>
              <w:spacing w:line="240" w:lineRule="auto"/>
              <w:rPr>
                <w:color w:val="auto"/>
              </w:rPr>
            </w:pPr>
            <w:r>
              <w:rPr>
                <w:rFonts w:hint="eastAsia" w:asciiTheme="minorEastAsia" w:hAnsiTheme="minorEastAsia" w:eastAsiaTheme="minorEastAsia" w:cstheme="minorEastAsia"/>
                <w:color w:val="auto"/>
                <w:szCs w:val="21"/>
                <w:highlight w:val="none"/>
                <w:lang w:val="en-US" w:eastAsia="zh-CN"/>
              </w:rPr>
              <w:t>确保工程按质按量完成，达到国家验收标准</w:t>
            </w:r>
          </w:p>
        </w:tc>
      </w:tr>
      <w:tr w14:paraId="4FC4B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0" w:type="dxa"/>
            <w:tcBorders>
              <w:tl2br w:val="nil"/>
              <w:tr2bl w:val="nil"/>
            </w:tcBorders>
            <w:vAlign w:val="center"/>
          </w:tcPr>
          <w:p w14:paraId="24A1F1AC">
            <w:pPr>
              <w:bidi w:val="0"/>
              <w:spacing w:line="240" w:lineRule="auto"/>
              <w:jc w:val="center"/>
              <w:rPr>
                <w:color w:val="auto"/>
              </w:rPr>
            </w:pPr>
            <w:r>
              <w:rPr>
                <w:rFonts w:hint="eastAsia"/>
                <w:color w:val="auto"/>
              </w:rPr>
              <w:t>1.3.4</w:t>
            </w:r>
          </w:p>
        </w:tc>
        <w:tc>
          <w:tcPr>
            <w:tcW w:w="1647" w:type="dxa"/>
            <w:gridSpan w:val="2"/>
            <w:tcBorders>
              <w:tl2br w:val="nil"/>
              <w:tr2bl w:val="nil"/>
            </w:tcBorders>
            <w:vAlign w:val="center"/>
          </w:tcPr>
          <w:p w14:paraId="24FF1F35">
            <w:pPr>
              <w:bidi w:val="0"/>
              <w:spacing w:line="240" w:lineRule="auto"/>
              <w:jc w:val="center"/>
              <w:rPr>
                <w:color w:val="auto"/>
              </w:rPr>
            </w:pPr>
            <w:r>
              <w:rPr>
                <w:rFonts w:hint="eastAsia"/>
                <w:color w:val="auto"/>
              </w:rPr>
              <w:t>资格审查方式</w:t>
            </w:r>
          </w:p>
        </w:tc>
        <w:tc>
          <w:tcPr>
            <w:tcW w:w="6940" w:type="dxa"/>
            <w:gridSpan w:val="2"/>
            <w:tcBorders>
              <w:tl2br w:val="nil"/>
              <w:tr2bl w:val="nil"/>
            </w:tcBorders>
            <w:vAlign w:val="center"/>
          </w:tcPr>
          <w:p w14:paraId="22B9E871">
            <w:pPr>
              <w:bidi w:val="0"/>
              <w:spacing w:line="240" w:lineRule="auto"/>
              <w:rPr>
                <w:color w:val="auto"/>
              </w:rPr>
            </w:pPr>
            <w:r>
              <w:rPr>
                <w:rFonts w:hint="eastAsia"/>
                <w:color w:val="auto"/>
              </w:rPr>
              <w:t>资格后审</w:t>
            </w:r>
          </w:p>
        </w:tc>
      </w:tr>
      <w:tr w14:paraId="3B206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62ECC468">
            <w:pPr>
              <w:bidi w:val="0"/>
              <w:spacing w:line="240" w:lineRule="auto"/>
              <w:jc w:val="center"/>
              <w:rPr>
                <w:color w:val="auto"/>
              </w:rPr>
            </w:pPr>
            <w:r>
              <w:rPr>
                <w:rFonts w:hint="eastAsia"/>
                <w:color w:val="auto"/>
              </w:rPr>
              <w:t>1.4.1</w:t>
            </w:r>
          </w:p>
        </w:tc>
        <w:tc>
          <w:tcPr>
            <w:tcW w:w="1647" w:type="dxa"/>
            <w:gridSpan w:val="2"/>
            <w:tcBorders>
              <w:tl2br w:val="nil"/>
              <w:tr2bl w:val="nil"/>
            </w:tcBorders>
            <w:vAlign w:val="center"/>
          </w:tcPr>
          <w:p w14:paraId="6D4E57E5">
            <w:pPr>
              <w:bidi w:val="0"/>
              <w:spacing w:line="240" w:lineRule="auto"/>
              <w:jc w:val="center"/>
              <w:rPr>
                <w:color w:val="auto"/>
              </w:rPr>
            </w:pPr>
            <w:r>
              <w:rPr>
                <w:rFonts w:hint="eastAsia"/>
                <w:color w:val="auto"/>
              </w:rPr>
              <w:t>投标人资质条件、</w:t>
            </w:r>
          </w:p>
          <w:p w14:paraId="3D407B87">
            <w:pPr>
              <w:bidi w:val="0"/>
              <w:spacing w:line="240" w:lineRule="auto"/>
              <w:jc w:val="center"/>
              <w:rPr>
                <w:color w:val="auto"/>
              </w:rPr>
            </w:pPr>
            <w:r>
              <w:rPr>
                <w:rFonts w:hint="eastAsia"/>
                <w:color w:val="auto"/>
              </w:rPr>
              <w:t>能力和信誉</w:t>
            </w:r>
          </w:p>
        </w:tc>
        <w:tc>
          <w:tcPr>
            <w:tcW w:w="6940" w:type="dxa"/>
            <w:gridSpan w:val="2"/>
            <w:tcBorders>
              <w:tl2br w:val="nil"/>
              <w:tr2bl w:val="nil"/>
            </w:tcBorders>
            <w:vAlign w:val="center"/>
          </w:tcPr>
          <w:p w14:paraId="33354574">
            <w:pPr>
              <w:bidi w:val="0"/>
              <w:spacing w:line="240" w:lineRule="auto"/>
              <w:jc w:val="left"/>
              <w:rPr>
                <w:rFonts w:hint="default" w:eastAsia="宋体"/>
                <w:color w:val="auto"/>
                <w:lang w:val="en-US" w:eastAsia="zh-CN"/>
              </w:rPr>
            </w:pPr>
            <w:r>
              <w:rPr>
                <w:rFonts w:hint="eastAsia"/>
                <w:color w:val="auto"/>
                <w:lang w:val="en-US" w:eastAsia="zh-CN"/>
              </w:rPr>
              <w:t>同第一章招标公告“三、投标人资格要求”</w:t>
            </w:r>
          </w:p>
        </w:tc>
      </w:tr>
      <w:tr w14:paraId="337CB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4276FCB1">
            <w:pPr>
              <w:bidi w:val="0"/>
              <w:spacing w:line="240" w:lineRule="auto"/>
              <w:jc w:val="center"/>
              <w:rPr>
                <w:color w:val="auto"/>
              </w:rPr>
            </w:pPr>
            <w:r>
              <w:rPr>
                <w:rFonts w:hint="eastAsia"/>
                <w:color w:val="auto"/>
              </w:rPr>
              <w:t>1.4.2</w:t>
            </w:r>
          </w:p>
        </w:tc>
        <w:tc>
          <w:tcPr>
            <w:tcW w:w="1647" w:type="dxa"/>
            <w:gridSpan w:val="2"/>
            <w:tcBorders>
              <w:tl2br w:val="nil"/>
              <w:tr2bl w:val="nil"/>
            </w:tcBorders>
            <w:vAlign w:val="center"/>
          </w:tcPr>
          <w:p w14:paraId="600CED2A">
            <w:pPr>
              <w:bidi w:val="0"/>
              <w:spacing w:line="240" w:lineRule="auto"/>
              <w:jc w:val="center"/>
              <w:rPr>
                <w:color w:val="auto"/>
              </w:rPr>
            </w:pPr>
            <w:r>
              <w:rPr>
                <w:rFonts w:hint="eastAsia"/>
                <w:color w:val="auto"/>
              </w:rPr>
              <w:t>是否接受联合体投标</w:t>
            </w:r>
          </w:p>
        </w:tc>
        <w:tc>
          <w:tcPr>
            <w:tcW w:w="6940" w:type="dxa"/>
            <w:gridSpan w:val="2"/>
            <w:tcBorders>
              <w:tl2br w:val="nil"/>
              <w:tr2bl w:val="nil"/>
            </w:tcBorders>
            <w:vAlign w:val="center"/>
          </w:tcPr>
          <w:p w14:paraId="7AC8EE6B">
            <w:pPr>
              <w:bidi w:val="0"/>
              <w:spacing w:line="240" w:lineRule="auto"/>
              <w:rPr>
                <w:color w:val="auto"/>
              </w:rPr>
            </w:pPr>
            <w:r>
              <w:rPr>
                <w:rFonts w:hint="eastAsia"/>
                <w:color w:val="auto"/>
              </w:rPr>
              <w:t>☑ 不接受</w:t>
            </w:r>
          </w:p>
          <w:p w14:paraId="57B668CA">
            <w:pPr>
              <w:bidi w:val="0"/>
              <w:spacing w:line="240" w:lineRule="auto"/>
              <w:rPr>
                <w:color w:val="auto"/>
              </w:rPr>
            </w:pPr>
            <w:r>
              <w:rPr>
                <w:rFonts w:hint="eastAsia"/>
                <w:color w:val="auto"/>
              </w:rPr>
              <w:t>□ 接受，应满足下列要求：</w:t>
            </w:r>
          </w:p>
          <w:p w14:paraId="714FF0C7">
            <w:pPr>
              <w:bidi w:val="0"/>
              <w:spacing w:line="240" w:lineRule="auto"/>
              <w:rPr>
                <w:color w:val="auto"/>
              </w:rPr>
            </w:pPr>
            <w:r>
              <w:rPr>
                <w:rFonts w:hint="eastAsia"/>
                <w:color w:val="auto"/>
              </w:rPr>
              <w:t>联合体资质按照联合体协议约定的分工认定。</w:t>
            </w:r>
          </w:p>
        </w:tc>
      </w:tr>
      <w:tr w14:paraId="43265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37341B53">
            <w:pPr>
              <w:bidi w:val="0"/>
              <w:spacing w:line="240" w:lineRule="auto"/>
              <w:jc w:val="center"/>
              <w:rPr>
                <w:rFonts w:hint="eastAsia"/>
                <w:color w:val="auto"/>
              </w:rPr>
            </w:pPr>
            <w:r>
              <w:rPr>
                <w:rFonts w:hint="eastAsia"/>
                <w:color w:val="auto"/>
              </w:rPr>
              <w:t>1.5</w:t>
            </w:r>
          </w:p>
        </w:tc>
        <w:tc>
          <w:tcPr>
            <w:tcW w:w="1647" w:type="dxa"/>
            <w:gridSpan w:val="2"/>
            <w:tcBorders>
              <w:tl2br w:val="nil"/>
              <w:tr2bl w:val="nil"/>
            </w:tcBorders>
            <w:vAlign w:val="center"/>
          </w:tcPr>
          <w:p w14:paraId="02AEF30A">
            <w:pPr>
              <w:bidi w:val="0"/>
              <w:spacing w:line="240" w:lineRule="auto"/>
              <w:jc w:val="center"/>
              <w:rPr>
                <w:rFonts w:hint="eastAsia"/>
                <w:color w:val="auto"/>
              </w:rPr>
            </w:pPr>
            <w:r>
              <w:rPr>
                <w:rFonts w:hint="eastAsia"/>
                <w:color w:val="auto"/>
              </w:rPr>
              <w:t>费用承担</w:t>
            </w:r>
          </w:p>
        </w:tc>
        <w:tc>
          <w:tcPr>
            <w:tcW w:w="6940" w:type="dxa"/>
            <w:gridSpan w:val="2"/>
            <w:tcBorders>
              <w:tl2br w:val="nil"/>
              <w:tr2bl w:val="nil"/>
            </w:tcBorders>
            <w:vAlign w:val="center"/>
          </w:tcPr>
          <w:p w14:paraId="0FD7024C">
            <w:pPr>
              <w:bidi w:val="0"/>
              <w:spacing w:line="240" w:lineRule="auto"/>
              <w:rPr>
                <w:rFonts w:hint="eastAsia"/>
                <w:color w:val="auto"/>
              </w:rPr>
            </w:pPr>
            <w:r>
              <w:rPr>
                <w:rFonts w:hint="eastAsia"/>
                <w:color w:val="auto"/>
              </w:rPr>
              <w:t>不补偿</w:t>
            </w:r>
          </w:p>
        </w:tc>
      </w:tr>
      <w:tr w14:paraId="10CFE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20668E2">
            <w:pPr>
              <w:bidi w:val="0"/>
              <w:spacing w:line="240" w:lineRule="auto"/>
              <w:jc w:val="center"/>
              <w:rPr>
                <w:color w:val="auto"/>
              </w:rPr>
            </w:pPr>
            <w:r>
              <w:rPr>
                <w:rFonts w:hint="eastAsia"/>
                <w:color w:val="auto"/>
              </w:rPr>
              <w:t>1.9</w:t>
            </w:r>
          </w:p>
        </w:tc>
        <w:tc>
          <w:tcPr>
            <w:tcW w:w="1647" w:type="dxa"/>
            <w:gridSpan w:val="2"/>
            <w:tcBorders>
              <w:tl2br w:val="nil"/>
              <w:tr2bl w:val="nil"/>
            </w:tcBorders>
            <w:vAlign w:val="center"/>
          </w:tcPr>
          <w:p w14:paraId="1190F385">
            <w:pPr>
              <w:bidi w:val="0"/>
              <w:spacing w:line="240" w:lineRule="auto"/>
              <w:jc w:val="center"/>
              <w:rPr>
                <w:color w:val="auto"/>
              </w:rPr>
            </w:pPr>
            <w:r>
              <w:rPr>
                <w:rFonts w:hint="eastAsia"/>
                <w:color w:val="auto"/>
              </w:rPr>
              <w:t>踏勘现场</w:t>
            </w:r>
          </w:p>
        </w:tc>
        <w:tc>
          <w:tcPr>
            <w:tcW w:w="6940" w:type="dxa"/>
            <w:gridSpan w:val="2"/>
            <w:tcBorders>
              <w:tl2br w:val="nil"/>
              <w:tr2bl w:val="nil"/>
            </w:tcBorders>
            <w:vAlign w:val="center"/>
          </w:tcPr>
          <w:p w14:paraId="4DF23BEB">
            <w:pPr>
              <w:bidi w:val="0"/>
              <w:spacing w:line="240" w:lineRule="auto"/>
              <w:rPr>
                <w:color w:val="auto"/>
              </w:rPr>
            </w:pPr>
            <w:r>
              <w:rPr>
                <w:rFonts w:hint="eastAsia"/>
                <w:color w:val="auto"/>
              </w:rPr>
              <w:t>☑ 不组织</w:t>
            </w:r>
          </w:p>
          <w:p w14:paraId="57D4D7A2">
            <w:pPr>
              <w:bidi w:val="0"/>
              <w:spacing w:line="240" w:lineRule="auto"/>
              <w:rPr>
                <w:color w:val="auto"/>
              </w:rPr>
            </w:pPr>
            <w:r>
              <w:rPr>
                <w:rFonts w:hint="eastAsia"/>
                <w:color w:val="auto"/>
              </w:rPr>
              <w:t>□ 组织，踏勘时间：</w:t>
            </w:r>
          </w:p>
          <w:p w14:paraId="68A72088">
            <w:pPr>
              <w:bidi w:val="0"/>
              <w:spacing w:line="240" w:lineRule="auto"/>
              <w:rPr>
                <w:color w:val="auto"/>
              </w:rPr>
            </w:pPr>
            <w:r>
              <w:rPr>
                <w:rFonts w:hint="eastAsia"/>
                <w:color w:val="auto"/>
              </w:rPr>
              <w:t xml:space="preserve">         踏勘集中地点：</w:t>
            </w:r>
          </w:p>
        </w:tc>
      </w:tr>
      <w:tr w14:paraId="05084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19FA2450">
            <w:pPr>
              <w:bidi w:val="0"/>
              <w:spacing w:line="240" w:lineRule="auto"/>
              <w:jc w:val="center"/>
              <w:rPr>
                <w:rFonts w:hint="eastAsia"/>
                <w:color w:val="auto"/>
              </w:rPr>
            </w:pPr>
            <w:r>
              <w:rPr>
                <w:rFonts w:hint="eastAsia"/>
                <w:color w:val="auto"/>
              </w:rPr>
              <w:t>1.10</w:t>
            </w:r>
          </w:p>
        </w:tc>
        <w:tc>
          <w:tcPr>
            <w:tcW w:w="1647" w:type="dxa"/>
            <w:gridSpan w:val="2"/>
            <w:tcBorders>
              <w:tl2br w:val="nil"/>
              <w:tr2bl w:val="nil"/>
            </w:tcBorders>
            <w:vAlign w:val="center"/>
          </w:tcPr>
          <w:p w14:paraId="6200B8F5">
            <w:pPr>
              <w:bidi w:val="0"/>
              <w:spacing w:line="240" w:lineRule="auto"/>
              <w:jc w:val="center"/>
              <w:rPr>
                <w:rFonts w:hint="eastAsia"/>
                <w:color w:val="auto"/>
              </w:rPr>
            </w:pPr>
            <w:r>
              <w:rPr>
                <w:rFonts w:hint="eastAsia"/>
                <w:color w:val="auto"/>
              </w:rPr>
              <w:t>投标预备会</w:t>
            </w:r>
          </w:p>
        </w:tc>
        <w:tc>
          <w:tcPr>
            <w:tcW w:w="6940" w:type="dxa"/>
            <w:gridSpan w:val="2"/>
            <w:tcBorders>
              <w:tl2br w:val="nil"/>
              <w:tr2bl w:val="nil"/>
            </w:tcBorders>
            <w:vAlign w:val="center"/>
          </w:tcPr>
          <w:p w14:paraId="15CA627B">
            <w:pPr>
              <w:bidi w:val="0"/>
              <w:spacing w:line="240" w:lineRule="auto"/>
              <w:rPr>
                <w:rFonts w:hint="eastAsia"/>
                <w:color w:val="auto"/>
              </w:rPr>
            </w:pPr>
            <w:r>
              <w:rPr>
                <w:rFonts w:hint="eastAsia"/>
                <w:color w:val="auto"/>
              </w:rPr>
              <w:t xml:space="preserve">不召开 </w:t>
            </w:r>
          </w:p>
        </w:tc>
      </w:tr>
      <w:tr w14:paraId="04F9F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66C2117B">
            <w:pPr>
              <w:bidi w:val="0"/>
              <w:spacing w:line="240" w:lineRule="auto"/>
              <w:jc w:val="center"/>
              <w:rPr>
                <w:rFonts w:hint="eastAsia" w:eastAsia="宋体"/>
                <w:color w:val="auto"/>
                <w:lang w:eastAsia="zh-CN"/>
              </w:rPr>
            </w:pPr>
            <w:r>
              <w:rPr>
                <w:rFonts w:hint="eastAsia"/>
                <w:color w:val="auto"/>
              </w:rPr>
              <w:t>1.1</w:t>
            </w:r>
            <w:r>
              <w:rPr>
                <w:rFonts w:hint="eastAsia"/>
                <w:color w:val="auto"/>
                <w:lang w:val="en-US" w:eastAsia="zh-CN"/>
              </w:rPr>
              <w:t>1</w:t>
            </w:r>
          </w:p>
        </w:tc>
        <w:tc>
          <w:tcPr>
            <w:tcW w:w="1647" w:type="dxa"/>
            <w:gridSpan w:val="2"/>
            <w:tcBorders>
              <w:tl2br w:val="nil"/>
              <w:tr2bl w:val="nil"/>
            </w:tcBorders>
            <w:vAlign w:val="center"/>
          </w:tcPr>
          <w:p w14:paraId="5279C33F">
            <w:pPr>
              <w:bidi w:val="0"/>
              <w:spacing w:line="240" w:lineRule="auto"/>
              <w:jc w:val="center"/>
              <w:rPr>
                <w:color w:val="auto"/>
              </w:rPr>
            </w:pPr>
            <w:r>
              <w:rPr>
                <w:rFonts w:hint="eastAsia"/>
                <w:color w:val="auto"/>
              </w:rPr>
              <w:t>分  包</w:t>
            </w:r>
          </w:p>
        </w:tc>
        <w:tc>
          <w:tcPr>
            <w:tcW w:w="6940" w:type="dxa"/>
            <w:gridSpan w:val="2"/>
            <w:tcBorders>
              <w:tl2br w:val="nil"/>
              <w:tr2bl w:val="nil"/>
            </w:tcBorders>
            <w:vAlign w:val="center"/>
          </w:tcPr>
          <w:p w14:paraId="37096D1F">
            <w:pPr>
              <w:bidi w:val="0"/>
              <w:spacing w:line="240" w:lineRule="auto"/>
              <w:rPr>
                <w:color w:val="auto"/>
              </w:rPr>
            </w:pPr>
            <w:r>
              <w:rPr>
                <w:rFonts w:hint="eastAsia"/>
                <w:color w:val="auto"/>
              </w:rPr>
              <w:t>☑ 不允许</w:t>
            </w:r>
          </w:p>
          <w:p w14:paraId="7F5027D6">
            <w:pPr>
              <w:bidi w:val="0"/>
              <w:spacing w:line="240" w:lineRule="auto"/>
              <w:rPr>
                <w:color w:val="auto"/>
              </w:rPr>
            </w:pPr>
            <w:r>
              <w:rPr>
                <w:rFonts w:hint="eastAsia"/>
                <w:color w:val="auto"/>
              </w:rPr>
              <w:t>□ 允许，分包内容要求：</w:t>
            </w:r>
          </w:p>
          <w:p w14:paraId="66128C95">
            <w:pPr>
              <w:bidi w:val="0"/>
              <w:spacing w:line="240" w:lineRule="auto"/>
              <w:rPr>
                <w:color w:val="auto"/>
              </w:rPr>
            </w:pPr>
            <w:r>
              <w:rPr>
                <w:rFonts w:hint="eastAsia"/>
                <w:color w:val="auto"/>
              </w:rPr>
              <w:t xml:space="preserve">         分包金额要求：</w:t>
            </w:r>
          </w:p>
          <w:p w14:paraId="21AAC522">
            <w:pPr>
              <w:bidi w:val="0"/>
              <w:spacing w:line="240" w:lineRule="auto"/>
              <w:rPr>
                <w:color w:val="auto"/>
              </w:rPr>
            </w:pPr>
            <w:r>
              <w:rPr>
                <w:rFonts w:hint="eastAsia"/>
                <w:color w:val="auto"/>
              </w:rPr>
              <w:t xml:space="preserve">         接受分包的第三人资质要求：</w:t>
            </w:r>
          </w:p>
        </w:tc>
      </w:tr>
      <w:tr w14:paraId="6D572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10637D6E">
            <w:pPr>
              <w:bidi w:val="0"/>
              <w:spacing w:line="240" w:lineRule="auto"/>
              <w:jc w:val="center"/>
              <w:rPr>
                <w:rFonts w:hint="eastAsia" w:eastAsia="宋体"/>
                <w:color w:val="auto"/>
                <w:lang w:eastAsia="zh-CN"/>
              </w:rPr>
            </w:pPr>
            <w:r>
              <w:rPr>
                <w:rFonts w:hint="eastAsia"/>
                <w:color w:val="auto"/>
              </w:rPr>
              <w:t>1.1</w:t>
            </w:r>
            <w:r>
              <w:rPr>
                <w:rFonts w:hint="eastAsia"/>
                <w:color w:val="auto"/>
                <w:lang w:val="en-US" w:eastAsia="zh-CN"/>
              </w:rPr>
              <w:t>2</w:t>
            </w:r>
          </w:p>
        </w:tc>
        <w:tc>
          <w:tcPr>
            <w:tcW w:w="1647" w:type="dxa"/>
            <w:gridSpan w:val="2"/>
            <w:tcBorders>
              <w:tl2br w:val="nil"/>
              <w:tr2bl w:val="nil"/>
            </w:tcBorders>
            <w:vAlign w:val="center"/>
          </w:tcPr>
          <w:p w14:paraId="55992F3C">
            <w:pPr>
              <w:bidi w:val="0"/>
              <w:spacing w:line="240" w:lineRule="auto"/>
              <w:jc w:val="center"/>
              <w:rPr>
                <w:color w:val="auto"/>
              </w:rPr>
            </w:pPr>
            <w:r>
              <w:rPr>
                <w:rFonts w:hint="eastAsia"/>
                <w:color w:val="auto"/>
              </w:rPr>
              <w:t>偏  离</w:t>
            </w:r>
          </w:p>
        </w:tc>
        <w:tc>
          <w:tcPr>
            <w:tcW w:w="6940" w:type="dxa"/>
            <w:gridSpan w:val="2"/>
            <w:tcBorders>
              <w:tl2br w:val="nil"/>
              <w:tr2bl w:val="nil"/>
            </w:tcBorders>
            <w:vAlign w:val="center"/>
          </w:tcPr>
          <w:p w14:paraId="2E4A859E">
            <w:pPr>
              <w:bidi w:val="0"/>
              <w:spacing w:line="240" w:lineRule="auto"/>
              <w:rPr>
                <w:color w:val="auto"/>
              </w:rPr>
            </w:pPr>
            <w:r>
              <w:rPr>
                <w:rFonts w:hint="eastAsia"/>
                <w:color w:val="auto"/>
              </w:rPr>
              <w:t>不允许</w:t>
            </w:r>
          </w:p>
        </w:tc>
      </w:tr>
      <w:tr w14:paraId="7D60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6C85853A">
            <w:pPr>
              <w:bidi w:val="0"/>
              <w:spacing w:line="240" w:lineRule="auto"/>
              <w:jc w:val="center"/>
              <w:rPr>
                <w:color w:val="auto"/>
              </w:rPr>
            </w:pPr>
            <w:r>
              <w:rPr>
                <w:rFonts w:hint="eastAsia"/>
                <w:color w:val="auto"/>
              </w:rPr>
              <w:t>2.1</w:t>
            </w:r>
          </w:p>
        </w:tc>
        <w:tc>
          <w:tcPr>
            <w:tcW w:w="1647" w:type="dxa"/>
            <w:gridSpan w:val="2"/>
            <w:tcBorders>
              <w:tl2br w:val="nil"/>
              <w:tr2bl w:val="nil"/>
            </w:tcBorders>
            <w:vAlign w:val="center"/>
          </w:tcPr>
          <w:p w14:paraId="321A9CE3">
            <w:pPr>
              <w:bidi w:val="0"/>
              <w:spacing w:line="240" w:lineRule="auto"/>
              <w:jc w:val="center"/>
              <w:rPr>
                <w:color w:val="auto"/>
              </w:rPr>
            </w:pPr>
            <w:r>
              <w:rPr>
                <w:rFonts w:hint="eastAsia"/>
                <w:color w:val="auto"/>
              </w:rPr>
              <w:t>构成招标文件的其他材料</w:t>
            </w:r>
          </w:p>
        </w:tc>
        <w:tc>
          <w:tcPr>
            <w:tcW w:w="6940" w:type="dxa"/>
            <w:gridSpan w:val="2"/>
            <w:tcBorders>
              <w:tl2br w:val="nil"/>
              <w:tr2bl w:val="nil"/>
            </w:tcBorders>
            <w:vAlign w:val="center"/>
          </w:tcPr>
          <w:p w14:paraId="0FB23892">
            <w:pPr>
              <w:bidi w:val="0"/>
              <w:spacing w:line="240" w:lineRule="auto"/>
              <w:rPr>
                <w:color w:val="auto"/>
              </w:rPr>
            </w:pPr>
            <w:r>
              <w:rPr>
                <w:rFonts w:hint="eastAsia"/>
                <w:color w:val="auto"/>
              </w:rPr>
              <w:t>根据本章第2.2款和第2.3款对招标文件所作的澄清、修改，构成招标文件的组成部分。</w:t>
            </w:r>
          </w:p>
        </w:tc>
      </w:tr>
      <w:tr w14:paraId="5AF1C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44A140BC">
            <w:pPr>
              <w:bidi w:val="0"/>
              <w:spacing w:line="240" w:lineRule="auto"/>
              <w:jc w:val="center"/>
              <w:rPr>
                <w:color w:val="auto"/>
              </w:rPr>
            </w:pPr>
            <w:r>
              <w:rPr>
                <w:rFonts w:hint="eastAsia"/>
                <w:color w:val="auto"/>
              </w:rPr>
              <w:t>2.2.1</w:t>
            </w:r>
          </w:p>
        </w:tc>
        <w:tc>
          <w:tcPr>
            <w:tcW w:w="1647" w:type="dxa"/>
            <w:gridSpan w:val="2"/>
            <w:tcBorders>
              <w:tl2br w:val="nil"/>
              <w:tr2bl w:val="nil"/>
            </w:tcBorders>
            <w:vAlign w:val="center"/>
          </w:tcPr>
          <w:p w14:paraId="4A4873E3">
            <w:pPr>
              <w:bidi w:val="0"/>
              <w:spacing w:line="240" w:lineRule="auto"/>
              <w:jc w:val="center"/>
              <w:rPr>
                <w:color w:val="auto"/>
              </w:rPr>
            </w:pPr>
            <w:r>
              <w:rPr>
                <w:rFonts w:hint="eastAsia"/>
                <w:color w:val="auto"/>
              </w:rPr>
              <w:t>投标人提出问题的</w:t>
            </w:r>
          </w:p>
          <w:p w14:paraId="5E3EA39E">
            <w:pPr>
              <w:bidi w:val="0"/>
              <w:spacing w:line="240" w:lineRule="auto"/>
              <w:jc w:val="center"/>
              <w:rPr>
                <w:color w:val="auto"/>
              </w:rPr>
            </w:pPr>
            <w:r>
              <w:rPr>
                <w:rFonts w:hint="eastAsia"/>
                <w:color w:val="auto"/>
              </w:rPr>
              <w:t>截止时间</w:t>
            </w:r>
          </w:p>
        </w:tc>
        <w:tc>
          <w:tcPr>
            <w:tcW w:w="6940" w:type="dxa"/>
            <w:gridSpan w:val="2"/>
            <w:tcBorders>
              <w:tl2br w:val="nil"/>
              <w:tr2bl w:val="nil"/>
            </w:tcBorders>
            <w:vAlign w:val="center"/>
          </w:tcPr>
          <w:p w14:paraId="12792FAA">
            <w:pPr>
              <w:bidi w:val="0"/>
              <w:spacing w:line="240" w:lineRule="auto"/>
              <w:rPr>
                <w:color w:val="auto"/>
              </w:rPr>
            </w:pPr>
            <w:r>
              <w:rPr>
                <w:rFonts w:hint="eastAsia"/>
                <w:color w:val="auto"/>
              </w:rPr>
              <w:t>提交投标文件截止时间10日前</w:t>
            </w:r>
          </w:p>
        </w:tc>
      </w:tr>
      <w:tr w14:paraId="39350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3942763D">
            <w:pPr>
              <w:bidi w:val="0"/>
              <w:spacing w:line="240" w:lineRule="auto"/>
              <w:jc w:val="center"/>
              <w:rPr>
                <w:color w:val="auto"/>
              </w:rPr>
            </w:pPr>
            <w:r>
              <w:rPr>
                <w:rFonts w:hint="eastAsia"/>
                <w:color w:val="auto"/>
              </w:rPr>
              <w:t>2.2.2</w:t>
            </w:r>
          </w:p>
        </w:tc>
        <w:tc>
          <w:tcPr>
            <w:tcW w:w="1647" w:type="dxa"/>
            <w:gridSpan w:val="2"/>
            <w:tcBorders>
              <w:tl2br w:val="nil"/>
              <w:tr2bl w:val="nil"/>
            </w:tcBorders>
            <w:vAlign w:val="center"/>
          </w:tcPr>
          <w:p w14:paraId="77943F7C">
            <w:pPr>
              <w:bidi w:val="0"/>
              <w:spacing w:line="240" w:lineRule="auto"/>
              <w:jc w:val="center"/>
              <w:rPr>
                <w:color w:val="auto"/>
              </w:rPr>
            </w:pPr>
            <w:r>
              <w:rPr>
                <w:rFonts w:hint="eastAsia"/>
                <w:color w:val="auto"/>
              </w:rPr>
              <w:t>投标截止时间</w:t>
            </w:r>
          </w:p>
        </w:tc>
        <w:tc>
          <w:tcPr>
            <w:tcW w:w="6940" w:type="dxa"/>
            <w:gridSpan w:val="2"/>
            <w:tcBorders>
              <w:tl2br w:val="nil"/>
              <w:tr2bl w:val="nil"/>
            </w:tcBorders>
            <w:vAlign w:val="center"/>
          </w:tcPr>
          <w:p w14:paraId="0265CB5E">
            <w:pPr>
              <w:bidi w:val="0"/>
              <w:spacing w:line="240" w:lineRule="auto"/>
              <w:rPr>
                <w:color w:val="auto"/>
              </w:rPr>
            </w:pPr>
            <w:r>
              <w:rPr>
                <w:rFonts w:hint="eastAsia"/>
                <w:color w:val="auto"/>
              </w:rPr>
              <w:t>详见招标公告</w:t>
            </w:r>
          </w:p>
        </w:tc>
      </w:tr>
      <w:tr w14:paraId="2C261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7D3BD767">
            <w:pPr>
              <w:bidi w:val="0"/>
              <w:spacing w:line="240" w:lineRule="auto"/>
              <w:jc w:val="center"/>
              <w:rPr>
                <w:color w:val="auto"/>
              </w:rPr>
            </w:pPr>
            <w:r>
              <w:rPr>
                <w:rFonts w:hint="eastAsia"/>
                <w:color w:val="auto"/>
              </w:rPr>
              <w:t>2.3</w:t>
            </w:r>
          </w:p>
        </w:tc>
        <w:tc>
          <w:tcPr>
            <w:tcW w:w="1647" w:type="dxa"/>
            <w:gridSpan w:val="2"/>
            <w:tcBorders>
              <w:tl2br w:val="nil"/>
              <w:tr2bl w:val="nil"/>
            </w:tcBorders>
            <w:vAlign w:val="center"/>
          </w:tcPr>
          <w:p w14:paraId="2F22A040">
            <w:pPr>
              <w:bidi w:val="0"/>
              <w:spacing w:line="240" w:lineRule="auto"/>
              <w:jc w:val="center"/>
              <w:rPr>
                <w:color w:val="auto"/>
              </w:rPr>
            </w:pPr>
            <w:r>
              <w:rPr>
                <w:rFonts w:hint="eastAsia"/>
                <w:color w:val="auto"/>
              </w:rPr>
              <w:t>招标人澄清的时间</w:t>
            </w:r>
          </w:p>
        </w:tc>
        <w:tc>
          <w:tcPr>
            <w:tcW w:w="6940" w:type="dxa"/>
            <w:gridSpan w:val="2"/>
            <w:tcBorders>
              <w:tl2br w:val="nil"/>
              <w:tr2bl w:val="nil"/>
            </w:tcBorders>
            <w:vAlign w:val="center"/>
          </w:tcPr>
          <w:p w14:paraId="473D1321">
            <w:pPr>
              <w:bidi w:val="0"/>
              <w:spacing w:line="240" w:lineRule="auto"/>
              <w:rPr>
                <w:color w:val="auto"/>
              </w:rPr>
            </w:pPr>
            <w:r>
              <w:rPr>
                <w:rFonts w:hint="eastAsia"/>
                <w:color w:val="auto"/>
              </w:rPr>
              <w:t>提交投标文件截止时间15日前</w:t>
            </w:r>
          </w:p>
        </w:tc>
      </w:tr>
      <w:tr w14:paraId="7E4F5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EA9738C">
            <w:pPr>
              <w:bidi w:val="0"/>
              <w:spacing w:line="240" w:lineRule="auto"/>
              <w:jc w:val="center"/>
              <w:rPr>
                <w:color w:val="auto"/>
              </w:rPr>
            </w:pPr>
            <w:r>
              <w:rPr>
                <w:rFonts w:hint="eastAsia"/>
                <w:color w:val="auto"/>
              </w:rPr>
              <w:t>3.3.1</w:t>
            </w:r>
          </w:p>
        </w:tc>
        <w:tc>
          <w:tcPr>
            <w:tcW w:w="1647" w:type="dxa"/>
            <w:gridSpan w:val="2"/>
            <w:tcBorders>
              <w:tl2br w:val="nil"/>
              <w:tr2bl w:val="nil"/>
            </w:tcBorders>
            <w:vAlign w:val="center"/>
          </w:tcPr>
          <w:p w14:paraId="4B538E63">
            <w:pPr>
              <w:bidi w:val="0"/>
              <w:spacing w:line="240" w:lineRule="auto"/>
              <w:jc w:val="center"/>
              <w:rPr>
                <w:color w:val="auto"/>
              </w:rPr>
            </w:pPr>
            <w:r>
              <w:rPr>
                <w:rFonts w:hint="eastAsia"/>
                <w:color w:val="auto"/>
              </w:rPr>
              <w:t>投标有效期</w:t>
            </w:r>
          </w:p>
        </w:tc>
        <w:tc>
          <w:tcPr>
            <w:tcW w:w="6940" w:type="dxa"/>
            <w:gridSpan w:val="2"/>
            <w:tcBorders>
              <w:tl2br w:val="nil"/>
              <w:tr2bl w:val="nil"/>
            </w:tcBorders>
            <w:vAlign w:val="center"/>
          </w:tcPr>
          <w:p w14:paraId="484A11CA">
            <w:pPr>
              <w:bidi w:val="0"/>
              <w:spacing w:line="240" w:lineRule="auto"/>
              <w:rPr>
                <w:color w:val="auto"/>
              </w:rPr>
            </w:pPr>
            <w:r>
              <w:rPr>
                <w:rFonts w:hint="eastAsia"/>
                <w:color w:val="auto"/>
              </w:rPr>
              <w:t>60天</w:t>
            </w:r>
          </w:p>
        </w:tc>
      </w:tr>
      <w:tr w14:paraId="15728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2503D8DC">
            <w:pPr>
              <w:bidi w:val="0"/>
              <w:spacing w:line="240" w:lineRule="auto"/>
              <w:jc w:val="center"/>
              <w:rPr>
                <w:color w:val="auto"/>
              </w:rPr>
            </w:pPr>
            <w:r>
              <w:rPr>
                <w:rFonts w:hint="eastAsia"/>
                <w:color w:val="auto"/>
              </w:rPr>
              <w:t>3.4.1</w:t>
            </w:r>
          </w:p>
        </w:tc>
        <w:tc>
          <w:tcPr>
            <w:tcW w:w="1647" w:type="dxa"/>
            <w:gridSpan w:val="2"/>
            <w:tcBorders>
              <w:tl2br w:val="nil"/>
              <w:tr2bl w:val="nil"/>
            </w:tcBorders>
            <w:vAlign w:val="center"/>
          </w:tcPr>
          <w:p w14:paraId="277C1BF1">
            <w:pPr>
              <w:bidi w:val="0"/>
              <w:spacing w:line="240" w:lineRule="auto"/>
              <w:jc w:val="center"/>
              <w:rPr>
                <w:color w:val="auto"/>
              </w:rPr>
            </w:pPr>
            <w:r>
              <w:rPr>
                <w:rFonts w:hint="eastAsia"/>
                <w:color w:val="auto"/>
              </w:rPr>
              <w:t>投标保证金</w:t>
            </w:r>
          </w:p>
        </w:tc>
        <w:tc>
          <w:tcPr>
            <w:tcW w:w="6940" w:type="dxa"/>
            <w:gridSpan w:val="2"/>
            <w:tcBorders>
              <w:tl2br w:val="nil"/>
              <w:tr2bl w:val="nil"/>
            </w:tcBorders>
            <w:vAlign w:val="center"/>
          </w:tcPr>
          <w:p w14:paraId="03EFC384">
            <w:pPr>
              <w:bidi w:val="0"/>
              <w:spacing w:line="240" w:lineRule="auto"/>
              <w:rPr>
                <w:color w:val="auto"/>
              </w:rPr>
            </w:pPr>
            <w:r>
              <w:rPr>
                <w:rFonts w:hint="eastAsia"/>
                <w:color w:val="auto"/>
                <w:lang w:val="en-US" w:eastAsia="zh-CN"/>
              </w:rPr>
              <w:t>无（（说明：为响应国家发展改革委、广电总局等13个部门近日联合印发的“发改法规［2023］27号文《关于完善招标投标交易担保制度进一步降低招标投标交易成本的通知》”的文件精神，本项目免收投标保证金。）</w:t>
            </w:r>
          </w:p>
        </w:tc>
      </w:tr>
      <w:tr w14:paraId="18509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601C2A00">
            <w:pPr>
              <w:bidi w:val="0"/>
              <w:spacing w:line="240" w:lineRule="auto"/>
              <w:jc w:val="center"/>
              <w:rPr>
                <w:color w:val="auto"/>
              </w:rPr>
            </w:pPr>
            <w:r>
              <w:rPr>
                <w:rFonts w:hint="eastAsia"/>
                <w:color w:val="auto"/>
              </w:rPr>
              <w:t>3.5.1</w:t>
            </w:r>
          </w:p>
        </w:tc>
        <w:tc>
          <w:tcPr>
            <w:tcW w:w="1647" w:type="dxa"/>
            <w:gridSpan w:val="2"/>
            <w:tcBorders>
              <w:tl2br w:val="nil"/>
              <w:tr2bl w:val="nil"/>
            </w:tcBorders>
            <w:vAlign w:val="center"/>
          </w:tcPr>
          <w:p w14:paraId="735344D0">
            <w:pPr>
              <w:bidi w:val="0"/>
              <w:spacing w:line="240" w:lineRule="auto"/>
              <w:jc w:val="center"/>
              <w:rPr>
                <w:color w:val="auto"/>
              </w:rPr>
            </w:pPr>
            <w:r>
              <w:rPr>
                <w:rFonts w:hint="eastAsia"/>
                <w:color w:val="auto"/>
              </w:rPr>
              <w:t>近年财务状况的年份要求</w:t>
            </w:r>
          </w:p>
        </w:tc>
        <w:tc>
          <w:tcPr>
            <w:tcW w:w="6940" w:type="dxa"/>
            <w:gridSpan w:val="2"/>
            <w:tcBorders>
              <w:tl2br w:val="nil"/>
              <w:tr2bl w:val="nil"/>
            </w:tcBorders>
            <w:vAlign w:val="center"/>
          </w:tcPr>
          <w:p w14:paraId="311742E9">
            <w:pPr>
              <w:bidi w:val="0"/>
              <w:spacing w:line="240" w:lineRule="auto"/>
              <w:rPr>
                <w:rFonts w:hint="default" w:eastAsia="宋体"/>
                <w:color w:val="auto"/>
                <w:lang w:val="en-US" w:eastAsia="zh-CN"/>
              </w:rPr>
            </w:pPr>
            <w:r>
              <w:rPr>
                <w:rFonts w:hint="eastAsia"/>
                <w:color w:val="auto"/>
              </w:rPr>
              <w:t>202</w:t>
            </w:r>
            <w:r>
              <w:rPr>
                <w:rFonts w:hint="eastAsia"/>
                <w:color w:val="auto"/>
                <w:lang w:val="en-US" w:eastAsia="zh-CN"/>
              </w:rPr>
              <w:t>3</w:t>
            </w:r>
            <w:r>
              <w:rPr>
                <w:rFonts w:hint="eastAsia"/>
                <w:color w:val="auto"/>
              </w:rPr>
              <w:t>年度</w:t>
            </w:r>
            <w:r>
              <w:rPr>
                <w:rFonts w:hint="eastAsia"/>
                <w:color w:val="auto"/>
                <w:lang w:val="en-US" w:eastAsia="zh-CN"/>
              </w:rPr>
              <w:t>或2024年度</w:t>
            </w:r>
          </w:p>
        </w:tc>
      </w:tr>
      <w:tr w14:paraId="6FBE3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E02B959">
            <w:pPr>
              <w:bidi w:val="0"/>
              <w:spacing w:line="240" w:lineRule="auto"/>
              <w:jc w:val="center"/>
              <w:rPr>
                <w:color w:val="auto"/>
              </w:rPr>
            </w:pPr>
            <w:r>
              <w:rPr>
                <w:rFonts w:hint="eastAsia"/>
                <w:color w:val="auto"/>
              </w:rPr>
              <w:t>3.5.1</w:t>
            </w:r>
          </w:p>
        </w:tc>
        <w:tc>
          <w:tcPr>
            <w:tcW w:w="1647" w:type="dxa"/>
            <w:gridSpan w:val="2"/>
            <w:tcBorders>
              <w:tl2br w:val="nil"/>
              <w:tr2bl w:val="nil"/>
            </w:tcBorders>
            <w:vAlign w:val="center"/>
          </w:tcPr>
          <w:p w14:paraId="44A5ACAF">
            <w:pPr>
              <w:bidi w:val="0"/>
              <w:spacing w:line="240" w:lineRule="auto"/>
              <w:jc w:val="center"/>
              <w:rPr>
                <w:color w:val="auto"/>
              </w:rPr>
            </w:pPr>
            <w:r>
              <w:rPr>
                <w:rFonts w:hint="eastAsia"/>
                <w:color w:val="auto"/>
              </w:rPr>
              <w:t>近年完成的类似项目的年份要求</w:t>
            </w:r>
          </w:p>
        </w:tc>
        <w:tc>
          <w:tcPr>
            <w:tcW w:w="6940" w:type="dxa"/>
            <w:gridSpan w:val="2"/>
            <w:tcBorders>
              <w:tl2br w:val="nil"/>
              <w:tr2bl w:val="nil"/>
            </w:tcBorders>
            <w:vAlign w:val="center"/>
          </w:tcPr>
          <w:p w14:paraId="301598F5">
            <w:pPr>
              <w:bidi w:val="0"/>
              <w:spacing w:line="240" w:lineRule="auto"/>
              <w:rPr>
                <w:rFonts w:hint="default" w:eastAsia="宋体"/>
                <w:color w:val="auto"/>
                <w:lang w:val="en-US" w:eastAsia="zh-CN"/>
              </w:rPr>
            </w:pPr>
            <w:r>
              <w:rPr>
                <w:rFonts w:hint="eastAsia" w:ascii="宋体" w:hAnsi="宋体" w:cs="宋体"/>
                <w:color w:val="auto"/>
                <w:szCs w:val="21"/>
              </w:rPr>
              <w:t>20</w:t>
            </w:r>
            <w:r>
              <w:rPr>
                <w:rFonts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年</w:t>
            </w:r>
            <w:r>
              <w:rPr>
                <w:rFonts w:ascii="宋体" w:hAnsi="宋体" w:cs="宋体"/>
                <w:color w:val="auto"/>
                <w:szCs w:val="21"/>
              </w:rPr>
              <w:t>1</w:t>
            </w:r>
            <w:r>
              <w:rPr>
                <w:rFonts w:hint="eastAsia" w:cs="宋体"/>
                <w:color w:val="auto"/>
                <w:szCs w:val="21"/>
                <w:lang w:val="en-US" w:eastAsia="zh-CN"/>
              </w:rPr>
              <w:t>0</w:t>
            </w:r>
            <w:r>
              <w:rPr>
                <w:rFonts w:hint="eastAsia" w:ascii="宋体" w:hAnsi="宋体" w:cs="宋体"/>
                <w:color w:val="auto"/>
                <w:szCs w:val="21"/>
              </w:rPr>
              <w:t>月1日以来</w:t>
            </w:r>
          </w:p>
        </w:tc>
      </w:tr>
      <w:tr w14:paraId="36698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E9E2E5C">
            <w:pPr>
              <w:bidi w:val="0"/>
              <w:spacing w:line="240" w:lineRule="auto"/>
              <w:jc w:val="center"/>
              <w:rPr>
                <w:color w:val="auto"/>
              </w:rPr>
            </w:pPr>
            <w:r>
              <w:rPr>
                <w:rFonts w:hint="eastAsia"/>
                <w:color w:val="auto"/>
              </w:rPr>
              <w:t>3.6</w:t>
            </w:r>
          </w:p>
        </w:tc>
        <w:tc>
          <w:tcPr>
            <w:tcW w:w="1647" w:type="dxa"/>
            <w:gridSpan w:val="2"/>
            <w:tcBorders>
              <w:tl2br w:val="nil"/>
              <w:tr2bl w:val="nil"/>
            </w:tcBorders>
            <w:vAlign w:val="center"/>
          </w:tcPr>
          <w:p w14:paraId="14846285">
            <w:pPr>
              <w:bidi w:val="0"/>
              <w:spacing w:line="240" w:lineRule="auto"/>
              <w:jc w:val="center"/>
              <w:rPr>
                <w:color w:val="auto"/>
              </w:rPr>
            </w:pPr>
            <w:r>
              <w:rPr>
                <w:rFonts w:hint="eastAsia"/>
                <w:color w:val="auto"/>
              </w:rPr>
              <w:t>是否允许递交备选投标方案</w:t>
            </w:r>
          </w:p>
        </w:tc>
        <w:tc>
          <w:tcPr>
            <w:tcW w:w="6940" w:type="dxa"/>
            <w:gridSpan w:val="2"/>
            <w:tcBorders>
              <w:tl2br w:val="nil"/>
              <w:tr2bl w:val="nil"/>
            </w:tcBorders>
            <w:vAlign w:val="center"/>
          </w:tcPr>
          <w:p w14:paraId="129AF45A">
            <w:pPr>
              <w:bidi w:val="0"/>
              <w:spacing w:line="240" w:lineRule="auto"/>
              <w:rPr>
                <w:color w:val="auto"/>
              </w:rPr>
            </w:pPr>
            <w:r>
              <w:rPr>
                <w:rFonts w:hint="eastAsia"/>
                <w:color w:val="auto"/>
              </w:rPr>
              <w:t>不允许</w:t>
            </w:r>
          </w:p>
        </w:tc>
      </w:tr>
      <w:tr w14:paraId="56E2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04DE3AC">
            <w:pPr>
              <w:bidi w:val="0"/>
              <w:spacing w:line="240" w:lineRule="auto"/>
              <w:jc w:val="center"/>
              <w:rPr>
                <w:color w:val="auto"/>
              </w:rPr>
            </w:pPr>
            <w:r>
              <w:rPr>
                <w:rFonts w:hint="eastAsia"/>
                <w:color w:val="auto"/>
              </w:rPr>
              <w:t>3.7.1</w:t>
            </w:r>
          </w:p>
        </w:tc>
        <w:tc>
          <w:tcPr>
            <w:tcW w:w="1647" w:type="dxa"/>
            <w:gridSpan w:val="2"/>
            <w:tcBorders>
              <w:tl2br w:val="nil"/>
              <w:tr2bl w:val="nil"/>
            </w:tcBorders>
            <w:vAlign w:val="center"/>
          </w:tcPr>
          <w:p w14:paraId="62CEC9E0">
            <w:pPr>
              <w:bidi w:val="0"/>
              <w:spacing w:line="240" w:lineRule="auto"/>
              <w:jc w:val="center"/>
              <w:rPr>
                <w:color w:val="auto"/>
              </w:rPr>
            </w:pPr>
            <w:r>
              <w:rPr>
                <w:rFonts w:hint="eastAsia"/>
                <w:color w:val="auto"/>
              </w:rPr>
              <w:t>电子投标文件格式</w:t>
            </w:r>
          </w:p>
        </w:tc>
        <w:tc>
          <w:tcPr>
            <w:tcW w:w="6940" w:type="dxa"/>
            <w:gridSpan w:val="2"/>
            <w:tcBorders>
              <w:tl2br w:val="nil"/>
              <w:tr2bl w:val="nil"/>
            </w:tcBorders>
            <w:vAlign w:val="center"/>
          </w:tcPr>
          <w:p w14:paraId="5DEED017">
            <w:pPr>
              <w:bidi w:val="0"/>
              <w:spacing w:line="240" w:lineRule="auto"/>
              <w:rPr>
                <w:color w:val="auto"/>
              </w:rPr>
            </w:pPr>
            <w:r>
              <w:rPr>
                <w:rFonts w:hint="eastAsia"/>
                <w:color w:val="auto"/>
              </w:rPr>
              <w:t>电子投标文件格式文件必须使用信阳市公共资源交易系统指定的投标文件制作工具进行制作。投标文件格式为“*.XYTF”</w:t>
            </w:r>
          </w:p>
        </w:tc>
      </w:tr>
      <w:tr w14:paraId="0B698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3F818317">
            <w:pPr>
              <w:bidi w:val="0"/>
              <w:spacing w:line="240" w:lineRule="auto"/>
              <w:jc w:val="center"/>
              <w:rPr>
                <w:color w:val="auto"/>
              </w:rPr>
            </w:pPr>
            <w:r>
              <w:rPr>
                <w:rFonts w:hint="eastAsia"/>
                <w:color w:val="auto"/>
              </w:rPr>
              <w:t>3.7.3</w:t>
            </w:r>
          </w:p>
        </w:tc>
        <w:tc>
          <w:tcPr>
            <w:tcW w:w="1647" w:type="dxa"/>
            <w:gridSpan w:val="2"/>
            <w:tcBorders>
              <w:tl2br w:val="nil"/>
              <w:tr2bl w:val="nil"/>
            </w:tcBorders>
            <w:vAlign w:val="center"/>
          </w:tcPr>
          <w:p w14:paraId="126CAA13">
            <w:pPr>
              <w:bidi w:val="0"/>
              <w:spacing w:line="240" w:lineRule="auto"/>
              <w:jc w:val="center"/>
              <w:rPr>
                <w:color w:val="auto"/>
              </w:rPr>
            </w:pPr>
            <w:r>
              <w:rPr>
                <w:rFonts w:hint="eastAsia"/>
                <w:color w:val="auto"/>
              </w:rPr>
              <w:t>签字和盖章要求</w:t>
            </w:r>
          </w:p>
        </w:tc>
        <w:tc>
          <w:tcPr>
            <w:tcW w:w="6940" w:type="dxa"/>
            <w:gridSpan w:val="2"/>
            <w:tcBorders>
              <w:tl2br w:val="nil"/>
              <w:tr2bl w:val="nil"/>
            </w:tcBorders>
            <w:vAlign w:val="center"/>
          </w:tcPr>
          <w:p w14:paraId="19CE95D9">
            <w:pPr>
              <w:bidi w:val="0"/>
              <w:spacing w:line="240" w:lineRule="auto"/>
              <w:rPr>
                <w:color w:val="auto"/>
              </w:rPr>
            </w:pPr>
            <w:r>
              <w:rPr>
                <w:rFonts w:hint="eastAsia"/>
                <w:color w:val="auto"/>
              </w:rPr>
              <w:t>1、签字和盖章的要求应符合第六章投标文件格式相应要求；</w:t>
            </w:r>
          </w:p>
          <w:p w14:paraId="0AA7B5C5">
            <w:pPr>
              <w:bidi w:val="0"/>
              <w:spacing w:line="240" w:lineRule="auto"/>
              <w:rPr>
                <w:color w:val="auto"/>
              </w:rPr>
            </w:pPr>
            <w:r>
              <w:rPr>
                <w:rFonts w:hint="eastAsia"/>
                <w:color w:val="auto"/>
              </w:rPr>
              <w:t>2、投标文件格式中所有要求法定代表人或其委托代理人签字或盖章的地方都须加盖法定代表人或其委托代理人的CA 印章。</w:t>
            </w:r>
          </w:p>
        </w:tc>
      </w:tr>
      <w:tr w14:paraId="6794D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43AEF3D2">
            <w:pPr>
              <w:bidi w:val="0"/>
              <w:spacing w:line="240" w:lineRule="auto"/>
              <w:jc w:val="center"/>
              <w:rPr>
                <w:color w:val="auto"/>
              </w:rPr>
            </w:pPr>
            <w:r>
              <w:rPr>
                <w:rFonts w:hint="eastAsia"/>
                <w:color w:val="auto"/>
              </w:rPr>
              <w:t>3.7</w:t>
            </w:r>
          </w:p>
        </w:tc>
        <w:tc>
          <w:tcPr>
            <w:tcW w:w="1647" w:type="dxa"/>
            <w:gridSpan w:val="2"/>
            <w:tcBorders>
              <w:tl2br w:val="nil"/>
              <w:tr2bl w:val="nil"/>
            </w:tcBorders>
            <w:vAlign w:val="center"/>
          </w:tcPr>
          <w:p w14:paraId="5E65C4E5">
            <w:pPr>
              <w:bidi w:val="0"/>
              <w:spacing w:line="240" w:lineRule="auto"/>
              <w:jc w:val="center"/>
              <w:rPr>
                <w:color w:val="auto"/>
              </w:rPr>
            </w:pPr>
            <w:r>
              <w:rPr>
                <w:rFonts w:hint="eastAsia"/>
                <w:color w:val="auto"/>
              </w:rPr>
              <w:t>投标文件份数</w:t>
            </w:r>
          </w:p>
        </w:tc>
        <w:tc>
          <w:tcPr>
            <w:tcW w:w="6940" w:type="dxa"/>
            <w:gridSpan w:val="2"/>
            <w:tcBorders>
              <w:tl2br w:val="nil"/>
              <w:tr2bl w:val="nil"/>
            </w:tcBorders>
            <w:vAlign w:val="center"/>
          </w:tcPr>
          <w:p w14:paraId="39774B38">
            <w:pPr>
              <w:bidi w:val="0"/>
              <w:spacing w:line="240" w:lineRule="auto"/>
              <w:rPr>
                <w:color w:val="auto"/>
              </w:rPr>
            </w:pPr>
            <w:r>
              <w:rPr>
                <w:rFonts w:hint="eastAsia"/>
                <w:color w:val="auto"/>
              </w:rPr>
              <w:t>加密的电子投标文件壹份（*.XYTF 格式，在会员系统指定位置上传）</w:t>
            </w:r>
          </w:p>
        </w:tc>
      </w:tr>
      <w:tr w14:paraId="61DC2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71A5BFEB">
            <w:pPr>
              <w:bidi w:val="0"/>
              <w:spacing w:line="240" w:lineRule="auto"/>
              <w:jc w:val="center"/>
              <w:rPr>
                <w:color w:val="auto"/>
              </w:rPr>
            </w:pPr>
            <w:r>
              <w:rPr>
                <w:rFonts w:hint="eastAsia"/>
                <w:color w:val="auto"/>
              </w:rPr>
              <w:t>4.2</w:t>
            </w:r>
          </w:p>
        </w:tc>
        <w:tc>
          <w:tcPr>
            <w:tcW w:w="1647" w:type="dxa"/>
            <w:gridSpan w:val="2"/>
            <w:tcBorders>
              <w:tl2br w:val="nil"/>
              <w:tr2bl w:val="nil"/>
            </w:tcBorders>
            <w:vAlign w:val="center"/>
          </w:tcPr>
          <w:p w14:paraId="1256F3C6">
            <w:pPr>
              <w:bidi w:val="0"/>
              <w:spacing w:line="240" w:lineRule="auto"/>
              <w:jc w:val="center"/>
              <w:rPr>
                <w:color w:val="auto"/>
              </w:rPr>
            </w:pPr>
            <w:r>
              <w:rPr>
                <w:rFonts w:hint="eastAsia"/>
                <w:color w:val="auto"/>
              </w:rPr>
              <w:t>投标文件的递交</w:t>
            </w:r>
          </w:p>
        </w:tc>
        <w:tc>
          <w:tcPr>
            <w:tcW w:w="6940" w:type="dxa"/>
            <w:gridSpan w:val="2"/>
            <w:tcBorders>
              <w:tl2br w:val="nil"/>
              <w:tr2bl w:val="nil"/>
            </w:tcBorders>
            <w:vAlign w:val="center"/>
          </w:tcPr>
          <w:p w14:paraId="7F102FAF">
            <w:pPr>
              <w:bidi w:val="0"/>
              <w:spacing w:line="240" w:lineRule="auto"/>
              <w:rPr>
                <w:rFonts w:hint="eastAsia"/>
                <w:color w:val="auto"/>
              </w:rPr>
            </w:pPr>
            <w:r>
              <w:rPr>
                <w:rFonts w:hint="eastAsia"/>
                <w:color w:val="auto"/>
              </w:rPr>
              <w:t>1、电子投标文件的递交</w:t>
            </w:r>
          </w:p>
          <w:p w14:paraId="0A1E4E3C">
            <w:pPr>
              <w:bidi w:val="0"/>
              <w:spacing w:line="240" w:lineRule="auto"/>
              <w:rPr>
                <w:rFonts w:hint="eastAsia"/>
                <w:color w:val="auto"/>
              </w:rPr>
            </w:pPr>
            <w:r>
              <w:rPr>
                <w:rFonts w:hint="eastAsia"/>
                <w:color w:val="auto"/>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7FE31A9E">
            <w:pPr>
              <w:bidi w:val="0"/>
              <w:spacing w:line="240" w:lineRule="auto"/>
              <w:rPr>
                <w:color w:val="auto"/>
              </w:rPr>
            </w:pPr>
            <w:r>
              <w:rPr>
                <w:rFonts w:hint="eastAsia"/>
                <w:color w:val="auto"/>
              </w:rPr>
              <w:t xml:space="preserve">2、本项目采用“不见面开标”交易方式，不见面开标大厅网址为 </w:t>
            </w:r>
            <w:r>
              <w:rPr>
                <w:rFonts w:hint="eastAsia"/>
                <w:color w:val="auto"/>
              </w:rPr>
              <w:fldChar w:fldCharType="begin"/>
            </w:r>
            <w:r>
              <w:rPr>
                <w:rFonts w:hint="eastAsia"/>
                <w:color w:val="auto"/>
              </w:rPr>
              <w:instrText xml:space="preserve"> HYPERLINK "http://117.158.91.68:8095/xxhy，投标人无需寄送和递交非加密的电子投标文件，无需到现场参加开标会议，无需到达现场提交原件资料。" </w:instrText>
            </w:r>
            <w:r>
              <w:rPr>
                <w:rFonts w:hint="eastAsia"/>
                <w:color w:val="auto"/>
              </w:rPr>
              <w:fldChar w:fldCharType="separate"/>
            </w:r>
            <w:r>
              <w:rPr>
                <w:rFonts w:hint="eastAsia"/>
                <w:color w:val="auto"/>
                <w:lang w:val="en-US" w:eastAsia="zh-CN"/>
              </w:rPr>
              <w:t>https://ggzyjy.xinyang.gov.cn/BidOpening</w:t>
            </w:r>
            <w:r>
              <w:rPr>
                <w:rFonts w:hint="eastAsia"/>
                <w:color w:val="auto"/>
              </w:rPr>
              <w:t>，投标人无需寄送和递交非加密的电子投标文件，无需到现场参加开标会议，无需到达现场提交原件资料。</w:t>
            </w:r>
            <w:r>
              <w:rPr>
                <w:rFonts w:hint="eastAsia"/>
                <w:color w:val="auto"/>
              </w:rPr>
              <w:fldChar w:fldCharType="end"/>
            </w:r>
          </w:p>
        </w:tc>
      </w:tr>
      <w:tr w14:paraId="79153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258E6F17">
            <w:pPr>
              <w:bidi w:val="0"/>
              <w:spacing w:line="240" w:lineRule="auto"/>
              <w:jc w:val="center"/>
              <w:rPr>
                <w:color w:val="auto"/>
              </w:rPr>
            </w:pPr>
            <w:r>
              <w:rPr>
                <w:rFonts w:hint="eastAsia"/>
                <w:color w:val="auto"/>
              </w:rPr>
              <w:t>5.1</w:t>
            </w:r>
          </w:p>
        </w:tc>
        <w:tc>
          <w:tcPr>
            <w:tcW w:w="1647" w:type="dxa"/>
            <w:gridSpan w:val="2"/>
            <w:tcBorders>
              <w:tl2br w:val="nil"/>
              <w:tr2bl w:val="nil"/>
            </w:tcBorders>
            <w:vAlign w:val="center"/>
          </w:tcPr>
          <w:p w14:paraId="77EE8A32">
            <w:pPr>
              <w:bidi w:val="0"/>
              <w:spacing w:line="240" w:lineRule="auto"/>
              <w:jc w:val="center"/>
              <w:rPr>
                <w:color w:val="auto"/>
              </w:rPr>
            </w:pPr>
            <w:r>
              <w:rPr>
                <w:rFonts w:hint="eastAsia"/>
                <w:color w:val="auto"/>
              </w:rPr>
              <w:t>开标时间和地点</w:t>
            </w:r>
          </w:p>
        </w:tc>
        <w:tc>
          <w:tcPr>
            <w:tcW w:w="6940" w:type="dxa"/>
            <w:gridSpan w:val="2"/>
            <w:tcBorders>
              <w:tl2br w:val="nil"/>
              <w:tr2bl w:val="nil"/>
            </w:tcBorders>
            <w:vAlign w:val="center"/>
          </w:tcPr>
          <w:p w14:paraId="19A2433B">
            <w:pPr>
              <w:bidi w:val="0"/>
              <w:rPr>
                <w:rFonts w:hint="eastAsia"/>
                <w:color w:val="auto"/>
              </w:rPr>
            </w:pPr>
            <w:r>
              <w:rPr>
                <w:rFonts w:hint="eastAsia"/>
                <w:color w:val="auto"/>
              </w:rPr>
              <w:t>开标时间：同投标截止时间</w:t>
            </w:r>
          </w:p>
          <w:p w14:paraId="46E1591C">
            <w:pPr>
              <w:bidi w:val="0"/>
              <w:spacing w:line="240" w:lineRule="auto"/>
              <w:ind w:left="420" w:hanging="420" w:hangingChars="200"/>
              <w:rPr>
                <w:rFonts w:hint="default" w:eastAsia="宋体"/>
                <w:color w:val="auto"/>
                <w:lang w:val="en-US" w:eastAsia="zh-CN"/>
              </w:rPr>
            </w:pPr>
            <w:r>
              <w:rPr>
                <w:rFonts w:hint="eastAsia"/>
                <w:color w:val="auto"/>
              </w:rPr>
              <w:t xml:space="preserve">开标地点：全国公共资源交易平台（河南省·息县）不见面开标大厅 </w:t>
            </w:r>
          </w:p>
        </w:tc>
      </w:tr>
      <w:tr w14:paraId="4875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1188D821">
            <w:pPr>
              <w:bidi w:val="0"/>
              <w:spacing w:line="240" w:lineRule="auto"/>
              <w:jc w:val="center"/>
              <w:rPr>
                <w:color w:val="auto"/>
              </w:rPr>
            </w:pPr>
            <w:r>
              <w:rPr>
                <w:rFonts w:hint="eastAsia"/>
                <w:color w:val="auto"/>
              </w:rPr>
              <w:t>6.1.1</w:t>
            </w:r>
          </w:p>
        </w:tc>
        <w:tc>
          <w:tcPr>
            <w:tcW w:w="1647" w:type="dxa"/>
            <w:gridSpan w:val="2"/>
            <w:tcBorders>
              <w:tl2br w:val="nil"/>
              <w:tr2bl w:val="nil"/>
            </w:tcBorders>
            <w:vAlign w:val="center"/>
          </w:tcPr>
          <w:p w14:paraId="5A7F70CE">
            <w:pPr>
              <w:bidi w:val="0"/>
              <w:spacing w:line="240" w:lineRule="auto"/>
              <w:jc w:val="center"/>
              <w:rPr>
                <w:color w:val="auto"/>
              </w:rPr>
            </w:pPr>
            <w:r>
              <w:rPr>
                <w:rFonts w:hint="eastAsia"/>
                <w:color w:val="auto"/>
              </w:rPr>
              <w:t>评标委员会的组建</w:t>
            </w:r>
          </w:p>
        </w:tc>
        <w:tc>
          <w:tcPr>
            <w:tcW w:w="6940" w:type="dxa"/>
            <w:gridSpan w:val="2"/>
            <w:tcBorders>
              <w:tl2br w:val="nil"/>
              <w:tr2bl w:val="nil"/>
            </w:tcBorders>
            <w:vAlign w:val="center"/>
          </w:tcPr>
          <w:p w14:paraId="7F065DF8">
            <w:pPr>
              <w:bidi w:val="0"/>
              <w:spacing w:line="240" w:lineRule="auto"/>
              <w:rPr>
                <w:rFonts w:hint="eastAsia"/>
                <w:color w:val="auto"/>
              </w:rPr>
            </w:pPr>
            <w:r>
              <w:rPr>
                <w:rFonts w:hint="eastAsia"/>
                <w:color w:val="auto"/>
              </w:rPr>
              <w:t>评标委员会构成：</w:t>
            </w:r>
            <w:r>
              <w:rPr>
                <w:rFonts w:hint="eastAsia"/>
                <w:color w:val="auto"/>
                <w:lang w:val="en-US" w:eastAsia="zh-CN"/>
              </w:rPr>
              <w:t>5</w:t>
            </w:r>
            <w:r>
              <w:rPr>
                <w:rFonts w:hint="eastAsia"/>
                <w:color w:val="auto"/>
              </w:rPr>
              <w:t>人；</w:t>
            </w:r>
          </w:p>
          <w:p w14:paraId="5CBD3E3D">
            <w:pPr>
              <w:bidi w:val="0"/>
              <w:spacing w:line="240" w:lineRule="auto"/>
              <w:rPr>
                <w:rFonts w:hint="eastAsia"/>
                <w:color w:val="auto"/>
              </w:rPr>
            </w:pPr>
            <w:r>
              <w:rPr>
                <w:rFonts w:hint="eastAsia"/>
                <w:color w:val="auto"/>
              </w:rPr>
              <w:t>其中业主评委</w:t>
            </w:r>
            <w:r>
              <w:rPr>
                <w:rFonts w:hint="eastAsia"/>
                <w:color w:val="auto"/>
                <w:lang w:val="en-US" w:eastAsia="zh-CN"/>
              </w:rPr>
              <w:t>1</w:t>
            </w:r>
            <w:r>
              <w:rPr>
                <w:rFonts w:hint="eastAsia"/>
                <w:color w:val="auto"/>
              </w:rPr>
              <w:softHyphen/>
            </w:r>
            <w:r>
              <w:rPr>
                <w:rFonts w:hint="eastAsia"/>
                <w:color w:val="auto"/>
              </w:rPr>
              <w:t xml:space="preserve">人，评标专家 </w:t>
            </w:r>
            <w:r>
              <w:rPr>
                <w:rFonts w:hint="eastAsia"/>
                <w:color w:val="auto"/>
                <w:lang w:val="en-US" w:eastAsia="zh-CN"/>
              </w:rPr>
              <w:t>4</w:t>
            </w:r>
            <w:r>
              <w:rPr>
                <w:rFonts w:hint="eastAsia"/>
                <w:color w:val="auto"/>
              </w:rPr>
              <w:t>人；</w:t>
            </w:r>
          </w:p>
          <w:p w14:paraId="01E25635">
            <w:pPr>
              <w:bidi w:val="0"/>
              <w:spacing w:line="240" w:lineRule="auto"/>
              <w:rPr>
                <w:rFonts w:hint="eastAsia"/>
                <w:color w:val="auto"/>
              </w:rPr>
            </w:pPr>
            <w:r>
              <w:rPr>
                <w:rFonts w:hint="eastAsia"/>
                <w:color w:val="auto"/>
              </w:rPr>
              <w:t>评标专家确定方式：</w:t>
            </w:r>
          </w:p>
          <w:p w14:paraId="417BFAE1">
            <w:pPr>
              <w:bidi w:val="0"/>
              <w:spacing w:line="240" w:lineRule="auto"/>
              <w:rPr>
                <w:color w:val="auto"/>
              </w:rPr>
            </w:pP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 xml:space="preserve">从河南省综合评标专家库中随机抽取方式确定。         </w:t>
            </w:r>
          </w:p>
        </w:tc>
      </w:tr>
      <w:tr w14:paraId="5F8BF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325D438B">
            <w:pPr>
              <w:bidi w:val="0"/>
              <w:spacing w:line="240" w:lineRule="auto"/>
              <w:jc w:val="center"/>
              <w:rPr>
                <w:color w:val="auto"/>
              </w:rPr>
            </w:pPr>
            <w:r>
              <w:rPr>
                <w:rFonts w:hint="eastAsia"/>
                <w:color w:val="auto"/>
              </w:rPr>
              <w:t>6.3</w:t>
            </w:r>
          </w:p>
        </w:tc>
        <w:tc>
          <w:tcPr>
            <w:tcW w:w="1647" w:type="dxa"/>
            <w:gridSpan w:val="2"/>
            <w:tcBorders>
              <w:tl2br w:val="nil"/>
              <w:tr2bl w:val="nil"/>
            </w:tcBorders>
            <w:vAlign w:val="center"/>
          </w:tcPr>
          <w:p w14:paraId="5E30BD69">
            <w:pPr>
              <w:bidi w:val="0"/>
              <w:spacing w:line="240" w:lineRule="auto"/>
              <w:jc w:val="center"/>
              <w:rPr>
                <w:color w:val="auto"/>
              </w:rPr>
            </w:pPr>
            <w:r>
              <w:rPr>
                <w:rFonts w:hint="eastAsia"/>
                <w:color w:val="auto"/>
              </w:rPr>
              <w:t>本次评标采用的评标方法</w:t>
            </w:r>
          </w:p>
        </w:tc>
        <w:tc>
          <w:tcPr>
            <w:tcW w:w="6940" w:type="dxa"/>
            <w:gridSpan w:val="2"/>
            <w:tcBorders>
              <w:tl2br w:val="nil"/>
              <w:tr2bl w:val="nil"/>
            </w:tcBorders>
            <w:vAlign w:val="center"/>
          </w:tcPr>
          <w:p w14:paraId="4FA59B23">
            <w:pPr>
              <w:bidi w:val="0"/>
              <w:spacing w:line="240" w:lineRule="auto"/>
              <w:rPr>
                <w:color w:val="auto"/>
              </w:rPr>
            </w:pPr>
            <w:r>
              <w:rPr>
                <w:rFonts w:hint="eastAsia"/>
                <w:color w:val="auto"/>
              </w:rPr>
              <w:t xml:space="preserve">本项目采用评定分离方式确定中标人，由评标委员会按照“第三章”评标办法对投标文件进行审查，从有效投标人中向招标人推荐一定数量的中标候选人，并出具评审报告。     </w:t>
            </w:r>
          </w:p>
        </w:tc>
      </w:tr>
      <w:tr w14:paraId="1F1F1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07EF6D71">
            <w:pPr>
              <w:bidi w:val="0"/>
              <w:spacing w:line="240" w:lineRule="auto"/>
              <w:jc w:val="center"/>
              <w:rPr>
                <w:color w:val="auto"/>
              </w:rPr>
            </w:pPr>
            <w:r>
              <w:rPr>
                <w:rFonts w:hint="eastAsia"/>
                <w:color w:val="auto"/>
              </w:rPr>
              <w:t>6.3</w:t>
            </w:r>
          </w:p>
        </w:tc>
        <w:tc>
          <w:tcPr>
            <w:tcW w:w="1647" w:type="dxa"/>
            <w:gridSpan w:val="2"/>
            <w:tcBorders>
              <w:tl2br w:val="nil"/>
              <w:tr2bl w:val="nil"/>
            </w:tcBorders>
            <w:vAlign w:val="center"/>
          </w:tcPr>
          <w:p w14:paraId="4B167EC1">
            <w:pPr>
              <w:bidi w:val="0"/>
              <w:spacing w:line="240" w:lineRule="auto"/>
              <w:jc w:val="center"/>
              <w:rPr>
                <w:color w:val="auto"/>
              </w:rPr>
            </w:pPr>
            <w:r>
              <w:rPr>
                <w:rFonts w:hint="eastAsia"/>
                <w:color w:val="auto"/>
              </w:rPr>
              <w:t>评标方式</w:t>
            </w:r>
          </w:p>
        </w:tc>
        <w:tc>
          <w:tcPr>
            <w:tcW w:w="6940" w:type="dxa"/>
            <w:gridSpan w:val="2"/>
            <w:tcBorders>
              <w:tl2br w:val="nil"/>
              <w:tr2bl w:val="nil"/>
            </w:tcBorders>
            <w:vAlign w:val="center"/>
          </w:tcPr>
          <w:p w14:paraId="065B5239">
            <w:pPr>
              <w:bidi w:val="0"/>
              <w:spacing w:line="240" w:lineRule="auto"/>
              <w:rPr>
                <w:color w:val="auto"/>
              </w:rPr>
            </w:pPr>
            <w:r>
              <w:rPr>
                <w:rFonts w:hint="eastAsia"/>
                <w:color w:val="auto"/>
              </w:rPr>
              <w:t>☑网络电子评标(默认)</w:t>
            </w:r>
          </w:p>
          <w:p w14:paraId="410275FE">
            <w:pPr>
              <w:bidi w:val="0"/>
              <w:spacing w:line="240" w:lineRule="auto"/>
              <w:rPr>
                <w:color w:val="auto"/>
              </w:rPr>
            </w:pPr>
            <w:r>
              <w:rPr>
                <w:rFonts w:hint="eastAsia"/>
                <w:color w:val="auto"/>
              </w:rPr>
              <w:t>□纸质评标</w:t>
            </w:r>
          </w:p>
        </w:tc>
      </w:tr>
      <w:tr w14:paraId="1DEB0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B00E6EA">
            <w:pPr>
              <w:bidi w:val="0"/>
              <w:spacing w:line="240" w:lineRule="auto"/>
              <w:jc w:val="center"/>
              <w:rPr>
                <w:color w:val="auto"/>
              </w:rPr>
            </w:pPr>
            <w:r>
              <w:rPr>
                <w:rFonts w:hint="eastAsia"/>
                <w:color w:val="auto"/>
              </w:rPr>
              <w:t>7.1</w:t>
            </w:r>
          </w:p>
        </w:tc>
        <w:tc>
          <w:tcPr>
            <w:tcW w:w="1647" w:type="dxa"/>
            <w:gridSpan w:val="2"/>
            <w:tcBorders>
              <w:tl2br w:val="nil"/>
              <w:tr2bl w:val="nil"/>
            </w:tcBorders>
            <w:vAlign w:val="center"/>
          </w:tcPr>
          <w:p w14:paraId="2587AAE3">
            <w:pPr>
              <w:adjustRightInd w:val="0"/>
              <w:snapToGrid w:val="0"/>
              <w:spacing w:line="240" w:lineRule="auto"/>
              <w:jc w:val="center"/>
              <w:rPr>
                <w:color w:val="auto"/>
              </w:rPr>
            </w:pPr>
            <w:r>
              <w:rPr>
                <w:rFonts w:hint="eastAsia" w:ascii="宋体" w:hAnsi="宋体" w:cs="宋体"/>
                <w:color w:val="auto"/>
                <w:szCs w:val="21"/>
              </w:rPr>
              <w:t>推荐中标候选人</w:t>
            </w:r>
          </w:p>
        </w:tc>
        <w:tc>
          <w:tcPr>
            <w:tcW w:w="6940" w:type="dxa"/>
            <w:gridSpan w:val="2"/>
            <w:tcBorders>
              <w:tl2br w:val="nil"/>
              <w:tr2bl w:val="nil"/>
            </w:tcBorders>
            <w:vAlign w:val="center"/>
          </w:tcPr>
          <w:p w14:paraId="0BB37FCB">
            <w:pPr>
              <w:wordWrap w:val="0"/>
              <w:adjustRightInd w:val="0"/>
              <w:snapToGrid w:val="0"/>
              <w:spacing w:line="240" w:lineRule="auto"/>
              <w:ind w:firstLine="420" w:firstLineChars="200"/>
              <w:rPr>
                <w:rFonts w:hint="eastAsia" w:ascii="宋体" w:hAnsi="宋体" w:cs="宋体"/>
                <w:color w:val="auto"/>
                <w:szCs w:val="21"/>
              </w:rPr>
            </w:pPr>
            <w:r>
              <w:rPr>
                <w:rFonts w:hint="eastAsia" w:ascii="宋体" w:hAnsi="宋体" w:cs="宋体"/>
                <w:color w:val="auto"/>
                <w:szCs w:val="21"/>
              </w:rPr>
              <w:t>评标委员会否决不合格投标后，确定有效投标人，对有效投标人的投标文件进行评标，出具评标报告。评标采用定性评审方式，不对投标文件打分。有效投标人不足3家时，应当重新招标；有效投标人数量为3至10家时，全部入围中标候选人；有效投标人数量为10家(不含10家)以上时，按照择优原则进行评标，差额推荐中标候选人，推荐中标候选人数量不少于10家。</w:t>
            </w:r>
          </w:p>
          <w:p w14:paraId="7898C544">
            <w:pPr>
              <w:wordWrap w:val="0"/>
              <w:adjustRightInd w:val="0"/>
              <w:snapToGrid w:val="0"/>
              <w:spacing w:line="240" w:lineRule="auto"/>
              <w:ind w:firstLine="420" w:firstLineChars="200"/>
              <w:rPr>
                <w:rFonts w:hint="eastAsia" w:ascii="宋体" w:hAnsi="宋体" w:cs="宋体"/>
                <w:color w:val="auto"/>
                <w:szCs w:val="21"/>
              </w:rPr>
            </w:pPr>
            <w:r>
              <w:rPr>
                <w:rFonts w:hint="eastAsia" w:ascii="宋体" w:hAnsi="宋体" w:cs="宋体"/>
                <w:color w:val="auto"/>
                <w:szCs w:val="21"/>
              </w:rPr>
              <w:t>经评标委员会评审，符合招标文件要求的有效投标人：</w:t>
            </w:r>
          </w:p>
          <w:p w14:paraId="2A7629EF">
            <w:pPr>
              <w:wordWrap w:val="0"/>
              <w:adjustRightInd w:val="0"/>
              <w:snapToGrid w:val="0"/>
              <w:spacing w:line="240" w:lineRule="auto"/>
              <w:ind w:firstLine="420" w:firstLineChars="200"/>
              <w:rPr>
                <w:rFonts w:hint="eastAsia" w:ascii="宋体" w:hAnsi="宋体" w:cs="宋体"/>
                <w:color w:val="auto"/>
                <w:szCs w:val="21"/>
              </w:rPr>
            </w:pPr>
            <w:r>
              <w:rPr>
                <w:rFonts w:hint="eastAsia" w:ascii="宋体" w:hAnsi="宋体" w:cs="宋体"/>
                <w:color w:val="auto"/>
                <w:szCs w:val="21"/>
              </w:rPr>
              <w:t>1、少于3家时，应重新招标；</w:t>
            </w:r>
          </w:p>
          <w:p w14:paraId="3DC4E5E0">
            <w:pPr>
              <w:wordWrap w:val="0"/>
              <w:adjustRightInd w:val="0"/>
              <w:snapToGrid w:val="0"/>
              <w:spacing w:line="240" w:lineRule="auto"/>
              <w:ind w:firstLine="420" w:firstLineChars="200"/>
              <w:rPr>
                <w:rFonts w:hint="eastAsia" w:ascii="宋体" w:hAnsi="宋体" w:cs="宋体"/>
                <w:color w:val="auto"/>
                <w:szCs w:val="21"/>
              </w:rPr>
            </w:pPr>
            <w:r>
              <w:rPr>
                <w:rFonts w:hint="eastAsia" w:ascii="宋体" w:hAnsi="宋体" w:cs="宋体"/>
                <w:color w:val="auto"/>
                <w:szCs w:val="21"/>
              </w:rPr>
              <w:t>2、3家至10家时，应全部推荐为中标候选人；</w:t>
            </w:r>
          </w:p>
          <w:p w14:paraId="36D2C22A">
            <w:pPr>
              <w:wordWrap w:val="0"/>
              <w:adjustRightInd w:val="0"/>
              <w:snapToGrid w:val="0"/>
              <w:spacing w:line="240" w:lineRule="auto"/>
              <w:ind w:firstLine="420" w:firstLineChars="200"/>
              <w:rPr>
                <w:rFonts w:hint="eastAsia" w:ascii="宋体" w:hAnsi="宋体" w:cs="宋体"/>
                <w:color w:val="auto"/>
                <w:szCs w:val="21"/>
              </w:rPr>
            </w:pPr>
            <w:r>
              <w:rPr>
                <w:rFonts w:hint="eastAsia" w:ascii="宋体" w:hAnsi="宋体" w:cs="宋体"/>
                <w:color w:val="auto"/>
                <w:szCs w:val="21"/>
              </w:rPr>
              <w:t>3、大于10家时，中标候选人推荐：</w:t>
            </w:r>
            <w:r>
              <w:rPr>
                <w:rFonts w:hint="eastAsia" w:ascii="宋体" w:hAnsi="宋体" w:eastAsia="宋体" w:cs="宋体"/>
                <w:color w:val="auto"/>
                <w:sz w:val="21"/>
                <w:szCs w:val="21"/>
                <w:highlight w:val="none"/>
                <w:u w:val="single"/>
                <w:lang w:eastAsia="zh-CN"/>
              </w:rPr>
              <w:t>按照第三章评标办法的</w:t>
            </w:r>
            <w:r>
              <w:rPr>
                <w:rFonts w:hint="eastAsia" w:ascii="宋体" w:hAnsi="宋体" w:cs="宋体"/>
                <w:color w:val="auto"/>
                <w:sz w:val="21"/>
                <w:szCs w:val="21"/>
                <w:highlight w:val="none"/>
                <w:u w:val="single"/>
                <w:lang w:val="en-US" w:eastAsia="zh-CN"/>
              </w:rPr>
              <w:t>详细评审办法综合各投标人所有评审因素采取定性评审择优推荐10家</w:t>
            </w:r>
            <w:r>
              <w:rPr>
                <w:rFonts w:hint="eastAsia" w:ascii="宋体" w:hAnsi="宋体" w:eastAsia="宋体" w:cs="宋体"/>
                <w:color w:val="auto"/>
                <w:sz w:val="21"/>
                <w:szCs w:val="21"/>
                <w:highlight w:val="none"/>
                <w:lang w:eastAsia="zh-CN"/>
              </w:rPr>
              <w:t>。</w:t>
            </w:r>
          </w:p>
          <w:p w14:paraId="1C1053E3">
            <w:pPr>
              <w:wordWrap w:val="0"/>
              <w:adjustRightInd w:val="0"/>
              <w:snapToGrid w:val="0"/>
              <w:spacing w:line="240" w:lineRule="auto"/>
              <w:ind w:firstLine="420" w:firstLineChars="200"/>
              <w:rPr>
                <w:rFonts w:hint="eastAsia" w:eastAsia="宋体"/>
                <w:color w:val="auto"/>
                <w:lang w:val="en-US" w:eastAsia="zh-CN"/>
              </w:rPr>
            </w:pPr>
            <w:r>
              <w:rPr>
                <w:rFonts w:hint="eastAsia" w:ascii="宋体" w:hAnsi="宋体" w:cs="宋体"/>
                <w:color w:val="auto"/>
                <w:szCs w:val="21"/>
              </w:rPr>
              <w:t>评标报告还应当载明每个中标候选人的特点、优势、缺点、风险等评审情况和推荐理由，并对技术、质量、安全、工期的控制能力等提供技术咨询建议，供定标委员会参考。</w:t>
            </w:r>
          </w:p>
        </w:tc>
      </w:tr>
      <w:tr w14:paraId="62394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shd w:val="clear" w:color="auto" w:fill="auto"/>
            <w:vAlign w:val="center"/>
          </w:tcPr>
          <w:p w14:paraId="5E79A507">
            <w:pPr>
              <w:wordWrap w:val="0"/>
              <w:topLinePunct/>
              <w:adjustRightInd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7.</w:t>
            </w:r>
            <w:r>
              <w:rPr>
                <w:rFonts w:hint="eastAsia" w:cs="宋体"/>
                <w:color w:val="auto"/>
                <w:szCs w:val="21"/>
                <w:lang w:val="en-US" w:eastAsia="zh-CN"/>
              </w:rPr>
              <w:t>2</w:t>
            </w:r>
          </w:p>
        </w:tc>
        <w:tc>
          <w:tcPr>
            <w:tcW w:w="1647" w:type="dxa"/>
            <w:gridSpan w:val="2"/>
            <w:tcBorders>
              <w:tl2br w:val="nil"/>
              <w:tr2bl w:val="nil"/>
            </w:tcBorders>
            <w:shd w:val="clear" w:color="auto" w:fill="auto"/>
            <w:vAlign w:val="center"/>
          </w:tcPr>
          <w:p w14:paraId="7A6182FB">
            <w:pPr>
              <w:spacing w:line="240" w:lineRule="auto"/>
              <w:jc w:val="center"/>
              <w:rPr>
                <w:rFonts w:hint="eastAsia" w:ascii="宋体" w:hAnsi="宋体" w:eastAsia="宋体" w:cs="宋体"/>
                <w:color w:val="auto"/>
                <w:kern w:val="2"/>
                <w:sz w:val="21"/>
                <w:szCs w:val="21"/>
                <w:lang w:val="en-US" w:eastAsia="zh-CN" w:bidi="ar-SA"/>
              </w:rPr>
            </w:pPr>
            <w:r>
              <w:rPr>
                <w:rFonts w:hint="eastAsia"/>
                <w:color w:val="auto"/>
                <w:szCs w:val="21"/>
              </w:rPr>
              <w:t>定标委员会的组建</w:t>
            </w:r>
          </w:p>
        </w:tc>
        <w:tc>
          <w:tcPr>
            <w:tcW w:w="6940" w:type="dxa"/>
            <w:gridSpan w:val="2"/>
            <w:tcBorders>
              <w:tl2br w:val="nil"/>
              <w:tr2bl w:val="nil"/>
            </w:tcBorders>
            <w:shd w:val="clear" w:color="auto" w:fill="auto"/>
            <w:vAlign w:val="center"/>
          </w:tcPr>
          <w:p w14:paraId="078FB109">
            <w:pPr>
              <w:widowControl/>
              <w:spacing w:line="240" w:lineRule="auto"/>
              <w:jc w:val="left"/>
              <w:rPr>
                <w:color w:val="auto"/>
                <w:szCs w:val="21"/>
              </w:rPr>
            </w:pPr>
            <w:r>
              <w:rPr>
                <w:rFonts w:hint="eastAsia" w:ascii="宋体" w:hAnsi="宋体" w:cs="宋体"/>
                <w:color w:val="auto"/>
                <w:kern w:val="0"/>
                <w:szCs w:val="21"/>
                <w:lang w:bidi="ar"/>
              </w:rPr>
              <w:t xml:space="preserve">定标委员会成员数量为 5 人及以上单数，本单位成员不得低于成员总数的五分之三。定标委员会组长由招标人确定，原则上由招标人的法定代表人、主要负责人或分管负责人担任，其他成员由招标人负责项目且业务熟练的工作人员担任，或从招标人上下级单位或受招标人委托的专业人员中产生。 </w:t>
            </w:r>
          </w:p>
          <w:p w14:paraId="5B28CF27">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lang w:bidi="ar"/>
              </w:rPr>
              <w:t>定标委员会成员与中标候选人有利害关系的应当主动申请回避。</w:t>
            </w:r>
          </w:p>
        </w:tc>
      </w:tr>
      <w:tr w14:paraId="10902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7214C790">
            <w:pPr>
              <w:bidi w:val="0"/>
              <w:spacing w:line="240" w:lineRule="auto"/>
              <w:jc w:val="center"/>
              <w:rPr>
                <w:color w:val="auto"/>
              </w:rPr>
            </w:pPr>
            <w:r>
              <w:rPr>
                <w:rFonts w:hint="eastAsia"/>
                <w:color w:val="auto"/>
              </w:rPr>
              <w:t>7.3.1</w:t>
            </w:r>
          </w:p>
        </w:tc>
        <w:tc>
          <w:tcPr>
            <w:tcW w:w="1647" w:type="dxa"/>
            <w:gridSpan w:val="2"/>
            <w:tcBorders>
              <w:tl2br w:val="nil"/>
              <w:tr2bl w:val="nil"/>
            </w:tcBorders>
            <w:vAlign w:val="center"/>
          </w:tcPr>
          <w:p w14:paraId="6B2D50E8">
            <w:pPr>
              <w:bidi w:val="0"/>
              <w:spacing w:line="240" w:lineRule="auto"/>
              <w:jc w:val="center"/>
              <w:rPr>
                <w:color w:val="auto"/>
              </w:rPr>
            </w:pPr>
            <w:r>
              <w:rPr>
                <w:rFonts w:hint="eastAsia"/>
                <w:color w:val="auto"/>
              </w:rPr>
              <w:t>履约担保</w:t>
            </w:r>
          </w:p>
        </w:tc>
        <w:tc>
          <w:tcPr>
            <w:tcW w:w="6940" w:type="dxa"/>
            <w:gridSpan w:val="2"/>
            <w:tcBorders>
              <w:tl2br w:val="nil"/>
              <w:tr2bl w:val="nil"/>
            </w:tcBorders>
            <w:vAlign w:val="center"/>
          </w:tcPr>
          <w:p w14:paraId="0A31F0A9">
            <w:pPr>
              <w:bidi w:val="0"/>
              <w:spacing w:line="240" w:lineRule="auto"/>
              <w:rPr>
                <w:rFonts w:hint="default"/>
                <w:color w:val="auto"/>
                <w:lang w:val="en-US" w:eastAsia="zh-CN"/>
              </w:rPr>
            </w:pPr>
            <w:r>
              <w:rPr>
                <w:rFonts w:hint="default"/>
                <w:color w:val="auto"/>
                <w:lang w:val="en-US" w:eastAsia="zh-CN"/>
              </w:rPr>
              <w:t>履约担保的形式：</w:t>
            </w:r>
            <w:r>
              <w:rPr>
                <w:rFonts w:hint="eastAsia"/>
                <w:color w:val="auto"/>
                <w:lang w:val="en-US" w:eastAsia="zh-CN"/>
              </w:rPr>
              <w:t>/</w:t>
            </w:r>
          </w:p>
          <w:p w14:paraId="29774380">
            <w:pPr>
              <w:bidi w:val="0"/>
              <w:spacing w:line="240" w:lineRule="auto"/>
              <w:rPr>
                <w:color w:val="auto"/>
              </w:rPr>
            </w:pPr>
            <w:r>
              <w:rPr>
                <w:rFonts w:hint="default"/>
                <w:color w:val="auto"/>
                <w:lang w:val="en-US" w:eastAsia="zh-CN"/>
              </w:rPr>
              <w:t>履约担保的金额：</w:t>
            </w:r>
            <w:r>
              <w:rPr>
                <w:rFonts w:hint="eastAsia"/>
                <w:color w:val="auto"/>
                <w:lang w:val="en-US" w:eastAsia="zh-CN"/>
              </w:rPr>
              <w:t>/</w:t>
            </w:r>
          </w:p>
        </w:tc>
      </w:tr>
      <w:tr w14:paraId="76BF2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627" w:type="dxa"/>
            <w:gridSpan w:val="5"/>
            <w:tcBorders>
              <w:tl2br w:val="nil"/>
              <w:tr2bl w:val="nil"/>
            </w:tcBorders>
            <w:vAlign w:val="center"/>
          </w:tcPr>
          <w:p w14:paraId="63B17456">
            <w:pPr>
              <w:bidi w:val="0"/>
              <w:spacing w:line="240" w:lineRule="auto"/>
              <w:rPr>
                <w:color w:val="auto"/>
              </w:rPr>
            </w:pPr>
            <w:r>
              <w:rPr>
                <w:rFonts w:hint="eastAsia"/>
                <w:color w:val="auto"/>
              </w:rPr>
              <w:t>10. 需要补充的其他内容</w:t>
            </w:r>
          </w:p>
        </w:tc>
      </w:tr>
      <w:tr w14:paraId="4877E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3136D907">
            <w:pPr>
              <w:bidi w:val="0"/>
              <w:spacing w:line="240" w:lineRule="auto"/>
              <w:rPr>
                <w:color w:val="auto"/>
              </w:rPr>
            </w:pPr>
            <w:r>
              <w:rPr>
                <w:rFonts w:hint="eastAsia"/>
                <w:color w:val="auto"/>
              </w:rPr>
              <w:t>10.1 词语定义</w:t>
            </w:r>
          </w:p>
        </w:tc>
      </w:tr>
      <w:tr w14:paraId="7FB24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40" w:type="dxa"/>
            <w:tcBorders>
              <w:tl2br w:val="nil"/>
              <w:tr2bl w:val="nil"/>
            </w:tcBorders>
            <w:vAlign w:val="center"/>
          </w:tcPr>
          <w:p w14:paraId="630ACE87">
            <w:pPr>
              <w:bidi w:val="0"/>
              <w:spacing w:line="240" w:lineRule="auto"/>
              <w:jc w:val="center"/>
              <w:rPr>
                <w:color w:val="auto"/>
              </w:rPr>
            </w:pPr>
            <w:r>
              <w:rPr>
                <w:rFonts w:hint="eastAsia"/>
                <w:color w:val="auto"/>
              </w:rPr>
              <w:t>10.1.1</w:t>
            </w:r>
          </w:p>
        </w:tc>
        <w:tc>
          <w:tcPr>
            <w:tcW w:w="2917" w:type="dxa"/>
            <w:gridSpan w:val="3"/>
            <w:tcBorders>
              <w:tl2br w:val="nil"/>
              <w:tr2bl w:val="nil"/>
            </w:tcBorders>
            <w:vAlign w:val="center"/>
          </w:tcPr>
          <w:p w14:paraId="72ED8D09">
            <w:pPr>
              <w:bidi w:val="0"/>
              <w:spacing w:line="240" w:lineRule="auto"/>
              <w:jc w:val="center"/>
              <w:rPr>
                <w:color w:val="auto"/>
              </w:rPr>
            </w:pPr>
            <w:r>
              <w:rPr>
                <w:rFonts w:hint="eastAsia"/>
                <w:color w:val="auto"/>
              </w:rPr>
              <w:t>类似项目</w:t>
            </w:r>
          </w:p>
        </w:tc>
        <w:tc>
          <w:tcPr>
            <w:tcW w:w="5670" w:type="dxa"/>
            <w:tcBorders>
              <w:tl2br w:val="nil"/>
              <w:tr2bl w:val="nil"/>
            </w:tcBorders>
            <w:vAlign w:val="center"/>
          </w:tcPr>
          <w:p w14:paraId="4CF62849">
            <w:pPr>
              <w:bidi w:val="0"/>
              <w:spacing w:line="240" w:lineRule="auto"/>
              <w:rPr>
                <w:rFonts w:hint="default"/>
                <w:color w:val="auto"/>
                <w:lang w:val="en-US" w:eastAsia="zh-CN"/>
              </w:rPr>
            </w:pPr>
            <w:r>
              <w:rPr>
                <w:rFonts w:hint="eastAsia"/>
                <w:color w:val="auto"/>
              </w:rPr>
              <w:t>类似项目是指：</w:t>
            </w:r>
            <w:r>
              <w:rPr>
                <w:rFonts w:hint="eastAsia" w:cs="宋体"/>
                <w:color w:val="auto"/>
                <w:szCs w:val="21"/>
                <w:lang w:val="en-US" w:eastAsia="zh-CN"/>
              </w:rPr>
              <w:t>公路</w:t>
            </w:r>
            <w:r>
              <w:rPr>
                <w:rFonts w:hint="eastAsia" w:ascii="宋体" w:hAnsi="宋体" w:cs="宋体"/>
                <w:color w:val="auto"/>
                <w:szCs w:val="21"/>
              </w:rPr>
              <w:t>工程监理项目</w:t>
            </w:r>
          </w:p>
        </w:tc>
      </w:tr>
      <w:tr w14:paraId="66A26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579D9CDB">
            <w:pPr>
              <w:bidi w:val="0"/>
              <w:spacing w:line="240" w:lineRule="auto"/>
              <w:jc w:val="center"/>
              <w:rPr>
                <w:color w:val="auto"/>
              </w:rPr>
            </w:pPr>
            <w:r>
              <w:rPr>
                <w:rFonts w:hint="eastAsia"/>
                <w:color w:val="auto"/>
              </w:rPr>
              <w:t>10.1.2</w:t>
            </w:r>
          </w:p>
        </w:tc>
        <w:tc>
          <w:tcPr>
            <w:tcW w:w="1647" w:type="dxa"/>
            <w:gridSpan w:val="2"/>
            <w:tcBorders>
              <w:tl2br w:val="nil"/>
              <w:tr2bl w:val="nil"/>
            </w:tcBorders>
            <w:vAlign w:val="center"/>
          </w:tcPr>
          <w:p w14:paraId="5B055769">
            <w:pPr>
              <w:bidi w:val="0"/>
              <w:spacing w:line="240" w:lineRule="auto"/>
              <w:jc w:val="center"/>
              <w:rPr>
                <w:color w:val="auto"/>
              </w:rPr>
            </w:pPr>
            <w:r>
              <w:rPr>
                <w:rFonts w:hint="eastAsia"/>
                <w:color w:val="auto"/>
              </w:rPr>
              <w:t>不良行为记录</w:t>
            </w:r>
          </w:p>
        </w:tc>
        <w:tc>
          <w:tcPr>
            <w:tcW w:w="6940" w:type="dxa"/>
            <w:gridSpan w:val="2"/>
            <w:tcBorders>
              <w:tl2br w:val="nil"/>
              <w:tr2bl w:val="nil"/>
            </w:tcBorders>
            <w:vAlign w:val="center"/>
          </w:tcPr>
          <w:p w14:paraId="3D67FC71">
            <w:pPr>
              <w:bidi w:val="0"/>
              <w:spacing w:line="240" w:lineRule="auto"/>
              <w:rPr>
                <w:color w:val="auto"/>
              </w:rPr>
            </w:pPr>
            <w:r>
              <w:rPr>
                <w:rFonts w:hint="eastAsia"/>
                <w:color w:val="auto"/>
              </w:rPr>
              <w:t>不良行为记录是指：建筑市场各方主体在工程建设过程中违反有关工程建设的法律、法规、规章或强制性标准和执业行为规范，经县级以上建设行政主管部门或其委托的执法监督机构查实和行政处罚，形成的不良行为记录，且在行政处罚期内。</w:t>
            </w:r>
          </w:p>
        </w:tc>
      </w:tr>
      <w:tr w14:paraId="1C463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27" w:type="dxa"/>
            <w:gridSpan w:val="5"/>
            <w:tcBorders>
              <w:tl2br w:val="nil"/>
              <w:tr2bl w:val="nil"/>
            </w:tcBorders>
            <w:vAlign w:val="center"/>
          </w:tcPr>
          <w:p w14:paraId="7671E774">
            <w:pPr>
              <w:bidi w:val="0"/>
              <w:spacing w:line="240" w:lineRule="auto"/>
              <w:rPr>
                <w:color w:val="auto"/>
              </w:rPr>
            </w:pPr>
            <w:r>
              <w:rPr>
                <w:rFonts w:hint="eastAsia"/>
                <w:color w:val="auto"/>
              </w:rPr>
              <w:t>10.2  最高投标限价</w:t>
            </w:r>
          </w:p>
        </w:tc>
      </w:tr>
      <w:tr w14:paraId="18F22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40" w:type="dxa"/>
            <w:tcBorders>
              <w:tl2br w:val="nil"/>
              <w:tr2bl w:val="nil"/>
            </w:tcBorders>
            <w:vAlign w:val="center"/>
          </w:tcPr>
          <w:p w14:paraId="74FD18A0">
            <w:pPr>
              <w:bidi w:val="0"/>
              <w:spacing w:line="240" w:lineRule="auto"/>
              <w:jc w:val="center"/>
              <w:rPr>
                <w:color w:val="auto"/>
              </w:rPr>
            </w:pPr>
          </w:p>
        </w:tc>
        <w:tc>
          <w:tcPr>
            <w:tcW w:w="1647" w:type="dxa"/>
            <w:gridSpan w:val="2"/>
            <w:tcBorders>
              <w:tl2br w:val="nil"/>
              <w:tr2bl w:val="nil"/>
            </w:tcBorders>
            <w:vAlign w:val="center"/>
          </w:tcPr>
          <w:p w14:paraId="5D81373F">
            <w:pPr>
              <w:bidi w:val="0"/>
              <w:spacing w:line="240" w:lineRule="auto"/>
              <w:jc w:val="center"/>
              <w:rPr>
                <w:color w:val="auto"/>
                <w:highlight w:val="none"/>
              </w:rPr>
            </w:pPr>
            <w:r>
              <w:rPr>
                <w:rFonts w:hint="eastAsia"/>
                <w:color w:val="auto"/>
                <w:highlight w:val="none"/>
              </w:rPr>
              <w:t>最高投标限价</w:t>
            </w:r>
          </w:p>
        </w:tc>
        <w:tc>
          <w:tcPr>
            <w:tcW w:w="6940" w:type="dxa"/>
            <w:gridSpan w:val="2"/>
            <w:tcBorders>
              <w:tl2br w:val="nil"/>
              <w:tr2bl w:val="nil"/>
            </w:tcBorders>
            <w:vAlign w:val="center"/>
          </w:tcPr>
          <w:p w14:paraId="422C0009">
            <w:pPr>
              <w:bidi w:val="0"/>
              <w:rPr>
                <w:rFonts w:hint="eastAsia"/>
                <w:color w:val="auto"/>
                <w:lang w:val="en-US" w:eastAsia="zh-CN"/>
              </w:rPr>
            </w:pPr>
            <w:r>
              <w:rPr>
                <w:rFonts w:hint="eastAsia"/>
                <w:color w:val="auto"/>
              </w:rPr>
              <w:t>□ 不设</w:t>
            </w:r>
            <w:r>
              <w:rPr>
                <w:rFonts w:hint="eastAsia"/>
                <w:color w:val="auto"/>
                <w:lang w:val="en-US" w:eastAsia="zh-CN"/>
              </w:rPr>
              <w:t>招标控制价</w:t>
            </w:r>
          </w:p>
          <w:p w14:paraId="6D0F66EA">
            <w:pPr>
              <w:bidi w:val="0"/>
              <w:spacing w:line="240" w:lineRule="auto"/>
              <w:rPr>
                <w:rFonts w:hint="default"/>
                <w:color w:val="auto"/>
                <w:highlight w:val="none"/>
                <w:lang w:val="en-US" w:eastAsia="zh-CN"/>
              </w:rPr>
            </w:pPr>
            <w:r>
              <w:rPr>
                <w:rFonts w:hint="eastAsia"/>
                <w:color w:val="auto"/>
              </w:rPr>
              <w:t>☑ 设</w:t>
            </w:r>
            <w:r>
              <w:rPr>
                <w:rFonts w:hint="eastAsia"/>
                <w:color w:val="auto"/>
                <w:lang w:val="en-US" w:eastAsia="zh-CN"/>
              </w:rPr>
              <w:t>招标控制价</w:t>
            </w:r>
            <w:r>
              <w:rPr>
                <w:rFonts w:hint="eastAsia"/>
                <w:color w:val="auto"/>
              </w:rPr>
              <w:t>，</w:t>
            </w:r>
            <w:r>
              <w:rPr>
                <w:rFonts w:hint="eastAsia"/>
                <w:color w:val="auto"/>
                <w:lang w:val="en-US" w:eastAsia="zh-CN"/>
              </w:rPr>
              <w:t>招标控制价</w:t>
            </w:r>
            <w:r>
              <w:rPr>
                <w:rFonts w:hint="eastAsia"/>
                <w:color w:val="auto"/>
              </w:rPr>
              <w:t>为：</w:t>
            </w:r>
            <w:r>
              <w:rPr>
                <w:rFonts w:hint="eastAsia" w:cs="宋体"/>
                <w:color w:val="auto"/>
                <w:lang w:val="en-US" w:eastAsia="zh-CN"/>
              </w:rPr>
              <w:t>99678.00</w:t>
            </w:r>
            <w:r>
              <w:rPr>
                <w:rFonts w:hint="eastAsia" w:ascii="宋体" w:hAnsi="宋体" w:eastAsia="宋体" w:cs="宋体"/>
                <w:color w:val="auto"/>
                <w:lang w:val="en-US" w:eastAsia="zh-CN"/>
              </w:rPr>
              <w:t>元</w:t>
            </w:r>
          </w:p>
        </w:tc>
      </w:tr>
      <w:tr w14:paraId="0B044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78F4A8F3">
            <w:pPr>
              <w:bidi w:val="0"/>
              <w:spacing w:line="240" w:lineRule="auto"/>
              <w:rPr>
                <w:color w:val="auto"/>
              </w:rPr>
            </w:pPr>
            <w:r>
              <w:rPr>
                <w:rFonts w:hint="eastAsia"/>
                <w:color w:val="auto"/>
              </w:rPr>
              <w:t>10.5 中标公示</w:t>
            </w:r>
          </w:p>
        </w:tc>
      </w:tr>
      <w:tr w14:paraId="1E29F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1EC57834">
            <w:pPr>
              <w:bidi w:val="0"/>
              <w:spacing w:line="240" w:lineRule="auto"/>
              <w:rPr>
                <w:color w:val="auto"/>
              </w:rPr>
            </w:pPr>
          </w:p>
        </w:tc>
        <w:tc>
          <w:tcPr>
            <w:tcW w:w="8152" w:type="dxa"/>
            <w:gridSpan w:val="3"/>
            <w:tcBorders>
              <w:tl2br w:val="nil"/>
              <w:tr2bl w:val="nil"/>
            </w:tcBorders>
            <w:vAlign w:val="center"/>
          </w:tcPr>
          <w:p w14:paraId="5B5928F3">
            <w:pPr>
              <w:bidi w:val="0"/>
              <w:spacing w:line="240" w:lineRule="auto"/>
              <w:rPr>
                <w:color w:val="auto"/>
              </w:rPr>
            </w:pPr>
            <w:r>
              <w:rPr>
                <w:rFonts w:hint="eastAsia"/>
                <w:color w:val="auto"/>
              </w:rPr>
              <w:t>在中标通知书发出前，招标人将中标候选人的情况在本招标项目招标公告发布的同一媒介予以公示，公示期不少于3日。</w:t>
            </w:r>
          </w:p>
        </w:tc>
      </w:tr>
      <w:tr w14:paraId="1477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562622D2">
            <w:pPr>
              <w:bidi w:val="0"/>
              <w:spacing w:line="240" w:lineRule="auto"/>
              <w:rPr>
                <w:color w:val="auto"/>
              </w:rPr>
            </w:pPr>
            <w:r>
              <w:rPr>
                <w:rFonts w:hint="eastAsia"/>
                <w:color w:val="auto"/>
              </w:rPr>
              <w:t>10.6  知识产权</w:t>
            </w:r>
          </w:p>
        </w:tc>
      </w:tr>
      <w:tr w14:paraId="6D3D3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475" w:type="dxa"/>
            <w:gridSpan w:val="2"/>
            <w:tcBorders>
              <w:tl2br w:val="nil"/>
              <w:tr2bl w:val="nil"/>
            </w:tcBorders>
            <w:vAlign w:val="center"/>
          </w:tcPr>
          <w:p w14:paraId="03B338D1">
            <w:pPr>
              <w:bidi w:val="0"/>
              <w:spacing w:line="240" w:lineRule="auto"/>
              <w:rPr>
                <w:color w:val="auto"/>
              </w:rPr>
            </w:pPr>
          </w:p>
        </w:tc>
        <w:tc>
          <w:tcPr>
            <w:tcW w:w="8152" w:type="dxa"/>
            <w:gridSpan w:val="3"/>
            <w:tcBorders>
              <w:tl2br w:val="nil"/>
              <w:tr2bl w:val="nil"/>
            </w:tcBorders>
            <w:vAlign w:val="center"/>
          </w:tcPr>
          <w:p w14:paraId="5ECCB13F">
            <w:pPr>
              <w:bidi w:val="0"/>
              <w:spacing w:line="240" w:lineRule="auto"/>
              <w:rPr>
                <w:color w:val="auto"/>
              </w:rPr>
            </w:pPr>
            <w:r>
              <w:rPr>
                <w:rFonts w:hint="eastAsia"/>
                <w:color w:val="auto"/>
              </w:rPr>
              <w:t>构成本招标文件各个组成部分的文件，未经招标人同意，投标人不得擅自复印和用于非本招标项目所需的其他目的。招标人全部或者部分使用未中标人投标文件中的技术成果或技术方案时，需征得其书面同意，并不得擅自复印或提供给第三人。</w:t>
            </w:r>
          </w:p>
        </w:tc>
      </w:tr>
      <w:tr w14:paraId="35282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26A1EFF8">
            <w:pPr>
              <w:bidi w:val="0"/>
              <w:spacing w:line="240" w:lineRule="auto"/>
              <w:rPr>
                <w:color w:val="auto"/>
              </w:rPr>
            </w:pPr>
            <w:r>
              <w:rPr>
                <w:rFonts w:hint="eastAsia"/>
                <w:color w:val="auto"/>
              </w:rPr>
              <w:t>10.7  重新招标的其他情形</w:t>
            </w:r>
          </w:p>
        </w:tc>
      </w:tr>
      <w:tr w14:paraId="32566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00566D2F">
            <w:pPr>
              <w:bidi w:val="0"/>
              <w:spacing w:line="240" w:lineRule="auto"/>
              <w:rPr>
                <w:color w:val="auto"/>
              </w:rPr>
            </w:pPr>
          </w:p>
        </w:tc>
        <w:tc>
          <w:tcPr>
            <w:tcW w:w="8152" w:type="dxa"/>
            <w:gridSpan w:val="3"/>
            <w:tcBorders>
              <w:tl2br w:val="nil"/>
              <w:tr2bl w:val="nil"/>
            </w:tcBorders>
            <w:vAlign w:val="center"/>
          </w:tcPr>
          <w:p w14:paraId="22CF33CF">
            <w:pPr>
              <w:bidi w:val="0"/>
              <w:spacing w:line="240" w:lineRule="auto"/>
              <w:rPr>
                <w:color w:val="auto"/>
              </w:rPr>
            </w:pPr>
            <w:r>
              <w:rPr>
                <w:rFonts w:hint="eastAsia"/>
                <w:color w:val="auto"/>
              </w:rPr>
              <w:t>除投标人须知正文第8条规定的情形外，除非已经产生中标候选人，在投标有效期内同意延长投标有效期的投标人少于三个的，招标人应当依法重新招标。</w:t>
            </w:r>
          </w:p>
        </w:tc>
      </w:tr>
      <w:tr w14:paraId="600A2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3D4634B0">
            <w:pPr>
              <w:bidi w:val="0"/>
              <w:spacing w:line="240" w:lineRule="auto"/>
              <w:rPr>
                <w:color w:val="auto"/>
              </w:rPr>
            </w:pPr>
            <w:r>
              <w:rPr>
                <w:rFonts w:hint="eastAsia"/>
                <w:color w:val="auto"/>
              </w:rPr>
              <w:t>10.8  同义词语</w:t>
            </w:r>
          </w:p>
        </w:tc>
      </w:tr>
      <w:tr w14:paraId="55913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7396CF76">
            <w:pPr>
              <w:bidi w:val="0"/>
              <w:spacing w:line="240" w:lineRule="auto"/>
              <w:rPr>
                <w:color w:val="auto"/>
              </w:rPr>
            </w:pPr>
          </w:p>
        </w:tc>
        <w:tc>
          <w:tcPr>
            <w:tcW w:w="8152" w:type="dxa"/>
            <w:gridSpan w:val="3"/>
            <w:tcBorders>
              <w:tl2br w:val="nil"/>
              <w:tr2bl w:val="nil"/>
            </w:tcBorders>
            <w:vAlign w:val="center"/>
          </w:tcPr>
          <w:p w14:paraId="5EE6A871">
            <w:pPr>
              <w:bidi w:val="0"/>
              <w:spacing w:line="240" w:lineRule="auto"/>
              <w:rPr>
                <w:color w:val="auto"/>
              </w:rPr>
            </w:pPr>
            <w:r>
              <w:rPr>
                <w:rFonts w:hint="eastAsia"/>
                <w:color w:val="auto"/>
              </w:rPr>
              <w:t>构成招标文件组成部分的“通用合同条款”、“专用合同条款”、“技术标准和要求”和“工程量清单”等章节中出现的措辞“发包人”和“承包人”，在招标投标阶段应当分别按“招标人”和“投标人”进行理解。</w:t>
            </w:r>
          </w:p>
        </w:tc>
      </w:tr>
      <w:tr w14:paraId="40E3B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0286C195">
            <w:pPr>
              <w:bidi w:val="0"/>
              <w:spacing w:line="240" w:lineRule="auto"/>
              <w:rPr>
                <w:color w:val="auto"/>
              </w:rPr>
            </w:pPr>
            <w:r>
              <w:rPr>
                <w:rFonts w:hint="eastAsia"/>
                <w:color w:val="auto"/>
              </w:rPr>
              <w:t>10.9  监  督</w:t>
            </w:r>
          </w:p>
        </w:tc>
      </w:tr>
      <w:tr w14:paraId="443CF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6DBDDD62">
            <w:pPr>
              <w:bidi w:val="0"/>
              <w:spacing w:line="240" w:lineRule="auto"/>
              <w:rPr>
                <w:color w:val="auto"/>
              </w:rPr>
            </w:pPr>
          </w:p>
        </w:tc>
        <w:tc>
          <w:tcPr>
            <w:tcW w:w="8152" w:type="dxa"/>
            <w:gridSpan w:val="3"/>
            <w:tcBorders>
              <w:tl2br w:val="nil"/>
              <w:tr2bl w:val="nil"/>
            </w:tcBorders>
            <w:vAlign w:val="center"/>
          </w:tcPr>
          <w:p w14:paraId="320ACC42">
            <w:pPr>
              <w:bidi w:val="0"/>
              <w:rPr>
                <w:rFonts w:hint="eastAsia"/>
                <w:color w:val="auto"/>
              </w:rPr>
            </w:pPr>
            <w:r>
              <w:rPr>
                <w:rFonts w:hint="eastAsia"/>
                <w:color w:val="auto"/>
              </w:rPr>
              <w:t>本项目的招标投标活动及其相关当事人应当接受有管辖权的行政监督部门依法实施的监督。</w:t>
            </w:r>
          </w:p>
          <w:p w14:paraId="583CBABD">
            <w:pPr>
              <w:bidi w:val="0"/>
              <w:rPr>
                <w:rFonts w:hint="eastAsia"/>
                <w:color w:val="auto"/>
                <w:lang w:val="en-US" w:eastAsia="zh-CN"/>
              </w:rPr>
            </w:pPr>
            <w:r>
              <w:rPr>
                <w:rFonts w:hint="eastAsia"/>
                <w:color w:val="auto"/>
                <w:lang w:val="en-US" w:eastAsia="zh-CN"/>
              </w:rPr>
              <w:t>监督部门：息县发展和改革委员会</w:t>
            </w:r>
          </w:p>
          <w:p w14:paraId="45BE080D">
            <w:pPr>
              <w:bidi w:val="0"/>
              <w:spacing w:line="240" w:lineRule="auto"/>
              <w:rPr>
                <w:color w:val="auto"/>
              </w:rPr>
            </w:pPr>
            <w:r>
              <w:rPr>
                <w:rFonts w:hint="eastAsia"/>
                <w:color w:val="auto"/>
                <w:lang w:val="en-US" w:eastAsia="zh-CN"/>
              </w:rPr>
              <w:t>联系电话：0376-5956618</w:t>
            </w:r>
          </w:p>
        </w:tc>
      </w:tr>
      <w:tr w14:paraId="32781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27" w:type="dxa"/>
            <w:gridSpan w:val="5"/>
            <w:tcBorders>
              <w:tl2br w:val="nil"/>
              <w:tr2bl w:val="nil"/>
            </w:tcBorders>
            <w:vAlign w:val="center"/>
          </w:tcPr>
          <w:p w14:paraId="6F5A121F">
            <w:pPr>
              <w:bidi w:val="0"/>
              <w:spacing w:line="240" w:lineRule="auto"/>
              <w:rPr>
                <w:color w:val="auto"/>
              </w:rPr>
            </w:pPr>
            <w:r>
              <w:rPr>
                <w:rFonts w:hint="eastAsia"/>
                <w:color w:val="auto"/>
              </w:rPr>
              <w:t>10.1</w:t>
            </w:r>
            <w:r>
              <w:rPr>
                <w:rFonts w:hint="eastAsia"/>
                <w:color w:val="auto"/>
                <w:lang w:val="en-US" w:eastAsia="zh-CN"/>
              </w:rPr>
              <w:t>0</w:t>
            </w:r>
            <w:r>
              <w:rPr>
                <w:rFonts w:hint="eastAsia"/>
                <w:color w:val="auto"/>
              </w:rPr>
              <w:t xml:space="preserve"> 解释权</w:t>
            </w:r>
          </w:p>
        </w:tc>
      </w:tr>
      <w:tr w14:paraId="1297A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479B2264">
            <w:pPr>
              <w:bidi w:val="0"/>
              <w:spacing w:line="240" w:lineRule="auto"/>
              <w:rPr>
                <w:color w:val="auto"/>
              </w:rPr>
            </w:pPr>
          </w:p>
        </w:tc>
        <w:tc>
          <w:tcPr>
            <w:tcW w:w="8152" w:type="dxa"/>
            <w:gridSpan w:val="3"/>
            <w:tcBorders>
              <w:tl2br w:val="nil"/>
              <w:tr2bl w:val="nil"/>
            </w:tcBorders>
            <w:vAlign w:val="center"/>
          </w:tcPr>
          <w:p w14:paraId="67E98516">
            <w:pPr>
              <w:bidi w:val="0"/>
              <w:spacing w:line="240" w:lineRule="auto"/>
              <w:rPr>
                <w:color w:val="auto"/>
              </w:rPr>
            </w:pPr>
            <w:r>
              <w:rPr>
                <w:rFonts w:hint="eastAsia"/>
                <w:color w:val="auto"/>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51FCE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627" w:type="dxa"/>
            <w:gridSpan w:val="5"/>
            <w:tcBorders>
              <w:tl2br w:val="nil"/>
              <w:tr2bl w:val="nil"/>
            </w:tcBorders>
            <w:vAlign w:val="center"/>
          </w:tcPr>
          <w:p w14:paraId="6679A896">
            <w:pPr>
              <w:bidi w:val="0"/>
              <w:spacing w:line="240" w:lineRule="auto"/>
              <w:rPr>
                <w:color w:val="auto"/>
              </w:rPr>
            </w:pPr>
            <w:r>
              <w:rPr>
                <w:rFonts w:hint="eastAsia"/>
                <w:color w:val="auto"/>
              </w:rPr>
              <w:t>10.1</w:t>
            </w:r>
            <w:r>
              <w:rPr>
                <w:rFonts w:hint="eastAsia"/>
                <w:color w:val="auto"/>
                <w:lang w:val="en-US" w:eastAsia="zh-CN"/>
              </w:rPr>
              <w:t>1</w:t>
            </w:r>
            <w:r>
              <w:rPr>
                <w:rFonts w:hint="eastAsia"/>
                <w:color w:val="auto"/>
              </w:rPr>
              <w:t xml:space="preserve">   异议</w:t>
            </w:r>
          </w:p>
        </w:tc>
      </w:tr>
      <w:tr w14:paraId="5B1A2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567CB150">
            <w:pPr>
              <w:bidi w:val="0"/>
              <w:spacing w:line="240" w:lineRule="auto"/>
              <w:rPr>
                <w:color w:val="auto"/>
              </w:rPr>
            </w:pPr>
          </w:p>
        </w:tc>
        <w:tc>
          <w:tcPr>
            <w:tcW w:w="8152" w:type="dxa"/>
            <w:gridSpan w:val="3"/>
            <w:tcBorders>
              <w:tl2br w:val="nil"/>
              <w:tr2bl w:val="nil"/>
            </w:tcBorders>
            <w:vAlign w:val="center"/>
          </w:tcPr>
          <w:p w14:paraId="6DE5C924">
            <w:pPr>
              <w:bidi w:val="0"/>
              <w:spacing w:line="240" w:lineRule="auto"/>
              <w:rPr>
                <w:color w:val="auto"/>
              </w:rPr>
            </w:pPr>
            <w:r>
              <w:rPr>
                <w:rFonts w:hint="eastAsia"/>
                <w:color w:val="auto"/>
              </w:rPr>
              <w:t>投标人或者其他利害关系人对招标文件有异议的，应当在投标截止时间10日前提出。招标人应当自收到异议之日起3日内作出答复；作出答复前，应当暂停招标投标活动。</w:t>
            </w:r>
          </w:p>
          <w:p w14:paraId="1063A76B">
            <w:pPr>
              <w:bidi w:val="0"/>
              <w:spacing w:line="240" w:lineRule="auto"/>
              <w:rPr>
                <w:color w:val="auto"/>
              </w:rPr>
            </w:pPr>
            <w:r>
              <w:rPr>
                <w:rFonts w:hint="eastAsia"/>
                <w:color w:val="auto"/>
              </w:rPr>
              <w:t>投标人对开标有异议的，应当在开标现场提出，招标人应当当场作出答复，并制作记录。</w:t>
            </w:r>
          </w:p>
          <w:p w14:paraId="27DA6C00">
            <w:pPr>
              <w:bidi w:val="0"/>
              <w:spacing w:line="240" w:lineRule="auto"/>
              <w:rPr>
                <w:color w:val="auto"/>
              </w:rPr>
            </w:pPr>
            <w:r>
              <w:rPr>
                <w:rFonts w:hint="eastAsia"/>
                <w:color w:val="auto"/>
              </w:rPr>
              <w:t>投标人或者其他利害关系人对依法必须进行招标的项目的评标结果有异议的，应当在中标候选人公示期间提出。招标人应当自收到异议之日起3日内作出答复；作出答复前，应当暂停招标投标活动。</w:t>
            </w:r>
          </w:p>
        </w:tc>
      </w:tr>
      <w:tr w14:paraId="79C92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27" w:type="dxa"/>
            <w:gridSpan w:val="5"/>
            <w:tcBorders>
              <w:tl2br w:val="nil"/>
              <w:tr2bl w:val="nil"/>
            </w:tcBorders>
            <w:vAlign w:val="center"/>
          </w:tcPr>
          <w:p w14:paraId="5F2315F6">
            <w:pPr>
              <w:bidi w:val="0"/>
              <w:spacing w:line="240" w:lineRule="auto"/>
              <w:rPr>
                <w:color w:val="auto"/>
              </w:rPr>
            </w:pPr>
            <w:r>
              <w:rPr>
                <w:rFonts w:hint="eastAsia"/>
                <w:color w:val="auto"/>
              </w:rPr>
              <w:t>10.1</w:t>
            </w:r>
            <w:r>
              <w:rPr>
                <w:rFonts w:hint="eastAsia"/>
                <w:color w:val="auto"/>
                <w:lang w:val="en-US" w:eastAsia="zh-CN"/>
              </w:rPr>
              <w:t>2</w:t>
            </w:r>
            <w:r>
              <w:rPr>
                <w:rFonts w:hint="eastAsia"/>
                <w:color w:val="auto"/>
              </w:rPr>
              <w:t xml:space="preserve">  招标人补充的其他内容</w:t>
            </w:r>
          </w:p>
        </w:tc>
      </w:tr>
      <w:tr w14:paraId="29EEF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vAlign w:val="center"/>
          </w:tcPr>
          <w:p w14:paraId="15AC9947">
            <w:pPr>
              <w:bidi w:val="0"/>
              <w:spacing w:line="240" w:lineRule="auto"/>
              <w:rPr>
                <w:color w:val="auto"/>
              </w:rPr>
            </w:pPr>
            <w:r>
              <w:rPr>
                <w:rFonts w:hint="eastAsia"/>
                <w:color w:val="auto"/>
              </w:rPr>
              <w:t xml:space="preserve">  其他内容 </w:t>
            </w:r>
          </w:p>
        </w:tc>
        <w:tc>
          <w:tcPr>
            <w:tcW w:w="8152" w:type="dxa"/>
            <w:gridSpan w:val="3"/>
            <w:tcBorders>
              <w:tl2br w:val="nil"/>
              <w:tr2bl w:val="nil"/>
            </w:tcBorders>
            <w:vAlign w:val="center"/>
          </w:tcPr>
          <w:p w14:paraId="565E2D0E">
            <w:pPr>
              <w:bidi w:val="0"/>
              <w:spacing w:line="240" w:lineRule="auto"/>
              <w:rPr>
                <w:color w:val="auto"/>
              </w:rPr>
            </w:pPr>
            <w:r>
              <w:rPr>
                <w:rFonts w:hint="eastAsia" w:ascii="宋体" w:hAnsi="宋体" w:eastAsia="宋体" w:cs="宋体"/>
                <w:color w:val="auto"/>
                <w:kern w:val="2"/>
                <w:sz w:val="21"/>
                <w:szCs w:val="21"/>
                <w:highlight w:val="none"/>
                <w:lang w:val="en-US" w:eastAsia="zh-CN" w:bidi="ar-SA"/>
              </w:rPr>
              <w:t>依据河南省住房和城乡建设厅《关于进一步规范建设工程企业资质管理的通知》规定，建筑业企业不能使用标注异常资质承揽新的工程。</w:t>
            </w:r>
          </w:p>
        </w:tc>
      </w:tr>
      <w:tr w14:paraId="3DD5E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5" w:type="dxa"/>
            <w:gridSpan w:val="2"/>
            <w:tcBorders>
              <w:tl2br w:val="nil"/>
              <w:tr2bl w:val="nil"/>
            </w:tcBorders>
            <w:shd w:val="clear" w:color="auto" w:fill="auto"/>
            <w:vAlign w:val="center"/>
          </w:tcPr>
          <w:p w14:paraId="1DE58823">
            <w:pPr>
              <w:wordWrap w:val="0"/>
              <w:topLinePunct/>
              <w:adjustRightInd w:val="0"/>
              <w:snapToGrid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10.12.</w:t>
            </w:r>
            <w:r>
              <w:rPr>
                <w:rFonts w:hint="eastAsia" w:cs="宋体"/>
                <w:color w:val="auto"/>
                <w:szCs w:val="21"/>
                <w:lang w:val="en-US" w:eastAsia="zh-CN"/>
              </w:rPr>
              <w:t>1</w:t>
            </w:r>
          </w:p>
        </w:tc>
        <w:tc>
          <w:tcPr>
            <w:tcW w:w="8152" w:type="dxa"/>
            <w:gridSpan w:val="3"/>
            <w:tcBorders>
              <w:tl2br w:val="nil"/>
              <w:tr2bl w:val="nil"/>
            </w:tcBorders>
            <w:shd w:val="clear" w:color="auto" w:fill="auto"/>
            <w:vAlign w:val="center"/>
          </w:tcPr>
          <w:p w14:paraId="5F464FA6">
            <w:pPr>
              <w:pStyle w:val="27"/>
              <w:wordWrap w:val="0"/>
              <w:topLinePunct/>
              <w:spacing w:line="240" w:lineRule="auto"/>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招标代理服务费：</w:t>
            </w:r>
            <w:r>
              <w:rPr>
                <w:rFonts w:hint="eastAsia" w:ascii="宋体" w:hAnsi="宋体" w:eastAsia="宋体" w:cs="宋体"/>
                <w:color w:val="auto"/>
                <w:sz w:val="21"/>
                <w:szCs w:val="21"/>
                <w:lang w:val="en-US" w:eastAsia="zh-CN"/>
              </w:rPr>
              <w:t>本项目招标代理服务费参照《河南省招标代理服务收费指导意见》豫招协【2023】002号文件的标准收取代理费用。</w:t>
            </w:r>
          </w:p>
        </w:tc>
      </w:tr>
    </w:tbl>
    <w:p w14:paraId="3AC41D4C">
      <w:pPr>
        <w:pStyle w:val="5"/>
        <w:bidi w:val="0"/>
        <w:rPr>
          <w:color w:val="auto"/>
        </w:rPr>
      </w:pPr>
      <w:bookmarkStart w:id="87" w:name="_Toc15481"/>
      <w:bookmarkStart w:id="88" w:name="_Toc3027"/>
      <w:r>
        <w:rPr>
          <w:rFonts w:hint="eastAsia"/>
          <w:color w:val="auto"/>
        </w:rPr>
        <w:t>1</w:t>
      </w:r>
      <w:r>
        <w:rPr>
          <w:rFonts w:hint="eastAsia"/>
          <w:color w:val="auto"/>
          <w:lang w:val="en-US" w:eastAsia="zh-CN"/>
        </w:rPr>
        <w:t>.</w:t>
      </w:r>
      <w:r>
        <w:rPr>
          <w:rFonts w:hint="eastAsia"/>
          <w:color w:val="auto"/>
        </w:rPr>
        <w:t>总则</w:t>
      </w:r>
      <w:bookmarkEnd w:id="87"/>
      <w:bookmarkEnd w:id="88"/>
    </w:p>
    <w:p w14:paraId="3E3F49ED">
      <w:pPr>
        <w:pStyle w:val="6"/>
        <w:bidi w:val="0"/>
        <w:rPr>
          <w:color w:val="auto"/>
        </w:rPr>
      </w:pPr>
      <w:bookmarkStart w:id="89" w:name="_Toc4745"/>
      <w:r>
        <w:rPr>
          <w:rFonts w:hint="eastAsia"/>
          <w:color w:val="auto"/>
        </w:rPr>
        <w:t>1.1</w:t>
      </w:r>
      <w:r>
        <w:rPr>
          <w:rFonts w:hint="eastAsia"/>
          <w:color w:val="auto"/>
          <w:lang w:val="en-US" w:eastAsia="zh-CN"/>
        </w:rPr>
        <w:t xml:space="preserve"> </w:t>
      </w:r>
      <w:r>
        <w:rPr>
          <w:rFonts w:hint="eastAsia"/>
          <w:color w:val="auto"/>
        </w:rPr>
        <w:t>项目概况</w:t>
      </w:r>
      <w:bookmarkEnd w:id="89"/>
      <w:r>
        <w:rPr>
          <w:rFonts w:hint="eastAsia"/>
          <w:color w:val="auto"/>
        </w:rPr>
        <w:t xml:space="preserve">  </w:t>
      </w:r>
    </w:p>
    <w:p w14:paraId="69C20CFD">
      <w:pPr>
        <w:pStyle w:val="9"/>
        <w:bidi w:val="0"/>
        <w:rPr>
          <w:rFonts w:hint="eastAsia"/>
          <w:color w:val="auto"/>
        </w:rPr>
      </w:pPr>
      <w:r>
        <w:rPr>
          <w:rFonts w:hint="eastAsia"/>
          <w:color w:val="auto"/>
        </w:rPr>
        <w:t>1.1.1</w:t>
      </w:r>
      <w:r>
        <w:rPr>
          <w:color w:val="auto"/>
        </w:rPr>
        <w:t>根据《中华人民共和国招标投标法》、《中华人民共和国招标投标法实施条例》等有关法律、法规和规章的规定</w:t>
      </w:r>
      <w:r>
        <w:rPr>
          <w:rFonts w:hint="eastAsia"/>
          <w:color w:val="auto"/>
        </w:rPr>
        <w:t>，本招标项目已具备招标条件，现对本项目进行国内公开招标。</w:t>
      </w:r>
    </w:p>
    <w:p w14:paraId="44DE0C25">
      <w:pPr>
        <w:pStyle w:val="9"/>
        <w:bidi w:val="0"/>
        <w:rPr>
          <w:rFonts w:hint="eastAsia"/>
          <w:color w:val="auto"/>
        </w:rPr>
      </w:pPr>
      <w:r>
        <w:rPr>
          <w:rFonts w:hint="eastAsia"/>
          <w:color w:val="auto"/>
        </w:rPr>
        <w:t>1.1.2本招标项目招标人：见投标人须知前附表。</w:t>
      </w:r>
    </w:p>
    <w:p w14:paraId="331A4F00">
      <w:pPr>
        <w:pStyle w:val="9"/>
        <w:bidi w:val="0"/>
        <w:rPr>
          <w:rFonts w:hint="eastAsia"/>
          <w:color w:val="auto"/>
        </w:rPr>
      </w:pPr>
      <w:r>
        <w:rPr>
          <w:rFonts w:hint="eastAsia"/>
          <w:color w:val="auto"/>
        </w:rPr>
        <w:t>1.1.3本招标项目招标代理机构：见投标人须知前附表。</w:t>
      </w:r>
    </w:p>
    <w:p w14:paraId="590A1199">
      <w:pPr>
        <w:pStyle w:val="9"/>
        <w:bidi w:val="0"/>
        <w:rPr>
          <w:rFonts w:hint="eastAsia"/>
          <w:color w:val="auto"/>
        </w:rPr>
      </w:pPr>
      <w:r>
        <w:rPr>
          <w:rFonts w:hint="eastAsia"/>
          <w:color w:val="auto"/>
        </w:rPr>
        <w:t>1.1.4本招标项目名称：见投标人须知前附表。</w:t>
      </w:r>
    </w:p>
    <w:p w14:paraId="148C5317">
      <w:pPr>
        <w:pStyle w:val="9"/>
        <w:bidi w:val="0"/>
        <w:rPr>
          <w:color w:val="auto"/>
        </w:rPr>
      </w:pPr>
      <w:r>
        <w:rPr>
          <w:rFonts w:hint="eastAsia"/>
          <w:color w:val="auto"/>
        </w:rPr>
        <w:t>1.1.5本招标项目建设地点：见投标人须知前附表。</w:t>
      </w:r>
    </w:p>
    <w:p w14:paraId="3D0F4382">
      <w:pPr>
        <w:pStyle w:val="6"/>
        <w:bidi w:val="0"/>
        <w:rPr>
          <w:color w:val="auto"/>
        </w:rPr>
      </w:pPr>
      <w:bookmarkStart w:id="90" w:name="_Toc19731"/>
      <w:r>
        <w:rPr>
          <w:rFonts w:hint="eastAsia"/>
          <w:color w:val="auto"/>
        </w:rPr>
        <w:t>1.2</w:t>
      </w:r>
      <w:r>
        <w:rPr>
          <w:rFonts w:hint="eastAsia"/>
          <w:color w:val="auto"/>
          <w:lang w:val="en-US" w:eastAsia="zh-CN"/>
        </w:rPr>
        <w:t xml:space="preserve"> </w:t>
      </w:r>
      <w:r>
        <w:rPr>
          <w:rFonts w:hint="eastAsia"/>
          <w:color w:val="auto"/>
        </w:rPr>
        <w:t>资金来源和落实情况</w:t>
      </w:r>
      <w:bookmarkEnd w:id="90"/>
      <w:r>
        <w:rPr>
          <w:rFonts w:hint="eastAsia"/>
          <w:color w:val="auto"/>
        </w:rPr>
        <w:t xml:space="preserve">  </w:t>
      </w:r>
    </w:p>
    <w:p w14:paraId="29C81371">
      <w:pPr>
        <w:pStyle w:val="9"/>
        <w:bidi w:val="0"/>
        <w:rPr>
          <w:color w:val="auto"/>
        </w:rPr>
      </w:pPr>
      <w:r>
        <w:rPr>
          <w:rFonts w:hint="eastAsia"/>
          <w:color w:val="auto"/>
        </w:rPr>
        <w:t>1.2.1本招标项目的资金来源：见投标人须知前附表。</w:t>
      </w:r>
    </w:p>
    <w:p w14:paraId="623C7935">
      <w:pPr>
        <w:pStyle w:val="9"/>
        <w:bidi w:val="0"/>
        <w:rPr>
          <w:color w:val="auto"/>
        </w:rPr>
      </w:pPr>
      <w:r>
        <w:rPr>
          <w:rFonts w:hint="eastAsia"/>
          <w:color w:val="auto"/>
        </w:rPr>
        <w:t xml:space="preserve">1.2.2 本招标项目的出资比例：见投标人须知前附表。   </w:t>
      </w:r>
    </w:p>
    <w:p w14:paraId="1B2D28EB">
      <w:pPr>
        <w:pStyle w:val="9"/>
        <w:bidi w:val="0"/>
        <w:rPr>
          <w:color w:val="auto"/>
        </w:rPr>
      </w:pPr>
      <w:r>
        <w:rPr>
          <w:rFonts w:hint="eastAsia"/>
          <w:color w:val="auto"/>
        </w:rPr>
        <w:t xml:space="preserve">1.2.3本招标项目的投资额：见投标人须知前附表。  </w:t>
      </w:r>
    </w:p>
    <w:p w14:paraId="08D17541">
      <w:pPr>
        <w:pStyle w:val="6"/>
        <w:bidi w:val="0"/>
        <w:rPr>
          <w:color w:val="auto"/>
        </w:rPr>
      </w:pPr>
      <w:bookmarkStart w:id="91" w:name="_Toc15586"/>
      <w:r>
        <w:rPr>
          <w:rFonts w:hint="eastAsia"/>
          <w:color w:val="auto"/>
        </w:rPr>
        <w:t>1.3</w:t>
      </w:r>
      <w:r>
        <w:rPr>
          <w:rFonts w:hint="eastAsia"/>
          <w:color w:val="auto"/>
          <w:lang w:val="en-US" w:eastAsia="zh-CN"/>
        </w:rPr>
        <w:t xml:space="preserve"> </w:t>
      </w:r>
      <w:r>
        <w:rPr>
          <w:rFonts w:hint="eastAsia"/>
          <w:color w:val="auto"/>
        </w:rPr>
        <w:t>招标范围、监理服务期限和质量要求</w:t>
      </w:r>
      <w:bookmarkEnd w:id="91"/>
      <w:r>
        <w:rPr>
          <w:rFonts w:hint="eastAsia"/>
          <w:color w:val="auto"/>
        </w:rPr>
        <w:t xml:space="preserve">  </w:t>
      </w:r>
    </w:p>
    <w:p w14:paraId="01316E3C">
      <w:pPr>
        <w:spacing w:line="400" w:lineRule="atLeast"/>
        <w:ind w:firstLine="420" w:firstLineChars="200"/>
        <w:rPr>
          <w:color w:val="auto"/>
          <w:highlight w:val="none"/>
        </w:rPr>
      </w:pPr>
      <w:r>
        <w:rPr>
          <w:rFonts w:hint="eastAsia"/>
          <w:color w:val="auto"/>
          <w:highlight w:val="none"/>
        </w:rPr>
        <w:t xml:space="preserve">1.3.1本次招标范围：见投标人须知前附表。  </w:t>
      </w:r>
    </w:p>
    <w:p w14:paraId="09FF490A">
      <w:pPr>
        <w:spacing w:line="400" w:lineRule="atLeast"/>
        <w:ind w:firstLine="420" w:firstLineChars="200"/>
        <w:rPr>
          <w:color w:val="auto"/>
          <w:highlight w:val="none"/>
        </w:rPr>
      </w:pPr>
      <w:r>
        <w:rPr>
          <w:rFonts w:hint="eastAsia"/>
          <w:color w:val="auto"/>
          <w:highlight w:val="none"/>
        </w:rPr>
        <w:t xml:space="preserve">1.3.2本次招标工期：见投标人须知前附表。  </w:t>
      </w:r>
    </w:p>
    <w:p w14:paraId="2C92608A">
      <w:pPr>
        <w:spacing w:line="400" w:lineRule="atLeast"/>
        <w:ind w:firstLine="420" w:firstLineChars="200"/>
        <w:rPr>
          <w:color w:val="auto"/>
          <w:highlight w:val="none"/>
        </w:rPr>
      </w:pPr>
      <w:r>
        <w:rPr>
          <w:rFonts w:hint="eastAsia"/>
          <w:color w:val="auto"/>
          <w:highlight w:val="none"/>
        </w:rPr>
        <w:t>1.3.3本次招标质量要求：见投标人须知前附表。</w:t>
      </w:r>
    </w:p>
    <w:p w14:paraId="193DEA47">
      <w:pPr>
        <w:pStyle w:val="6"/>
        <w:bidi w:val="0"/>
        <w:rPr>
          <w:color w:val="auto"/>
        </w:rPr>
      </w:pPr>
      <w:bookmarkStart w:id="92" w:name="_Toc11491"/>
      <w:r>
        <w:rPr>
          <w:rFonts w:hint="eastAsia"/>
          <w:color w:val="auto"/>
        </w:rPr>
        <w:t>1.4</w:t>
      </w:r>
      <w:r>
        <w:rPr>
          <w:rFonts w:hint="eastAsia"/>
          <w:color w:val="auto"/>
          <w:lang w:val="en-US" w:eastAsia="zh-CN"/>
        </w:rPr>
        <w:t xml:space="preserve"> </w:t>
      </w:r>
      <w:r>
        <w:rPr>
          <w:rFonts w:hint="eastAsia"/>
          <w:color w:val="auto"/>
        </w:rPr>
        <w:t>投标人资格要求</w:t>
      </w:r>
      <w:bookmarkEnd w:id="92"/>
      <w:r>
        <w:rPr>
          <w:rFonts w:hint="eastAsia"/>
          <w:color w:val="auto"/>
        </w:rPr>
        <w:t xml:space="preserve">  </w:t>
      </w:r>
    </w:p>
    <w:p w14:paraId="1EEB0921">
      <w:pPr>
        <w:pStyle w:val="9"/>
        <w:bidi w:val="0"/>
        <w:rPr>
          <w:color w:val="auto"/>
        </w:rPr>
      </w:pPr>
      <w:r>
        <w:rPr>
          <w:rFonts w:hint="eastAsia"/>
          <w:color w:val="auto"/>
        </w:rPr>
        <w:t xml:space="preserve">1.4.1投标人应具备承担本招标项目监理的资质条件、能力和信誉。  </w:t>
      </w:r>
    </w:p>
    <w:p w14:paraId="2EA45CA0">
      <w:pPr>
        <w:pStyle w:val="9"/>
        <w:bidi w:val="0"/>
        <w:rPr>
          <w:color w:val="auto"/>
        </w:rPr>
      </w:pPr>
      <w:r>
        <w:rPr>
          <w:rFonts w:hint="eastAsia"/>
          <w:color w:val="auto"/>
        </w:rPr>
        <w:t>（1）营业执照：见投标人须知前附表；</w:t>
      </w:r>
    </w:p>
    <w:p w14:paraId="6038A081">
      <w:pPr>
        <w:pStyle w:val="9"/>
        <w:bidi w:val="0"/>
        <w:rPr>
          <w:color w:val="auto"/>
        </w:rPr>
      </w:pPr>
      <w:r>
        <w:rPr>
          <w:rFonts w:hint="eastAsia"/>
          <w:color w:val="auto"/>
        </w:rPr>
        <w:t>（2）资质要求：见投标人须知前附表；</w:t>
      </w:r>
    </w:p>
    <w:p w14:paraId="18E98A0D">
      <w:pPr>
        <w:pStyle w:val="9"/>
        <w:bidi w:val="0"/>
        <w:rPr>
          <w:color w:val="auto"/>
        </w:rPr>
      </w:pPr>
      <w:r>
        <w:rPr>
          <w:rFonts w:hint="eastAsia"/>
          <w:color w:val="auto"/>
        </w:rPr>
        <w:t>（3）项目总监要求：见投标人须知前附表；</w:t>
      </w:r>
    </w:p>
    <w:p w14:paraId="52D85702">
      <w:pPr>
        <w:pStyle w:val="9"/>
        <w:bidi w:val="0"/>
        <w:rPr>
          <w:rFonts w:hint="default" w:ascii="宋体" w:hAnsi="宋体" w:eastAsia="宋体" w:cs="宋体"/>
          <w:color w:val="auto"/>
        </w:rPr>
      </w:pPr>
      <w:r>
        <w:rPr>
          <w:rFonts w:hint="eastAsia" w:ascii="宋体" w:hAnsi="宋体" w:eastAsia="宋体" w:cs="宋体"/>
          <w:color w:val="auto"/>
        </w:rPr>
        <w:t>（4）财务要求：见投标人须知前附表；</w:t>
      </w:r>
    </w:p>
    <w:p w14:paraId="59E8676B">
      <w:pPr>
        <w:pStyle w:val="9"/>
        <w:bidi w:val="0"/>
        <w:rPr>
          <w:color w:val="auto"/>
        </w:rPr>
      </w:pPr>
      <w:r>
        <w:rPr>
          <w:rFonts w:hint="eastAsia"/>
          <w:color w:val="auto"/>
        </w:rPr>
        <w:t>（</w:t>
      </w:r>
      <w:r>
        <w:rPr>
          <w:rFonts w:hint="eastAsia"/>
          <w:color w:val="auto"/>
          <w:lang w:val="en-US" w:eastAsia="zh-CN"/>
        </w:rPr>
        <w:t>5</w:t>
      </w:r>
      <w:r>
        <w:rPr>
          <w:rFonts w:hint="eastAsia"/>
          <w:color w:val="auto"/>
        </w:rPr>
        <w:t>）信誉要求：见投标人须知前附表；</w:t>
      </w:r>
    </w:p>
    <w:p w14:paraId="6ECB04D2">
      <w:pPr>
        <w:pStyle w:val="9"/>
        <w:bidi w:val="0"/>
        <w:rPr>
          <w:color w:val="auto"/>
        </w:rPr>
      </w:pPr>
      <w:r>
        <w:rPr>
          <w:rFonts w:hint="eastAsia"/>
          <w:color w:val="auto"/>
        </w:rPr>
        <w:t>（</w:t>
      </w:r>
      <w:r>
        <w:rPr>
          <w:rFonts w:hint="eastAsia"/>
          <w:color w:val="auto"/>
          <w:lang w:val="en-US" w:eastAsia="zh-CN"/>
        </w:rPr>
        <w:t>6</w:t>
      </w:r>
      <w:r>
        <w:rPr>
          <w:rFonts w:hint="eastAsia"/>
          <w:color w:val="auto"/>
        </w:rPr>
        <w:t>）其它要求：见投标人须知前附表；</w:t>
      </w:r>
    </w:p>
    <w:p w14:paraId="610A299B">
      <w:pPr>
        <w:pStyle w:val="9"/>
        <w:bidi w:val="0"/>
        <w:rPr>
          <w:color w:val="auto"/>
        </w:rPr>
      </w:pPr>
      <w:r>
        <w:rPr>
          <w:rFonts w:hint="eastAsia"/>
          <w:color w:val="auto"/>
        </w:rPr>
        <w:t xml:space="preserve">1.4.2投标人不得存在下列情形之一： </w:t>
      </w:r>
    </w:p>
    <w:p w14:paraId="4838CD87">
      <w:pPr>
        <w:pStyle w:val="9"/>
        <w:bidi w:val="0"/>
        <w:rPr>
          <w:color w:val="auto"/>
        </w:rPr>
      </w:pPr>
      <w:r>
        <w:rPr>
          <w:rFonts w:hint="eastAsia"/>
          <w:color w:val="auto"/>
        </w:rPr>
        <w:t xml:space="preserve">（1）为招标人不具有独立法人资格的附属机构（单位）； </w:t>
      </w:r>
    </w:p>
    <w:p w14:paraId="3415E24D">
      <w:pPr>
        <w:pStyle w:val="9"/>
        <w:bidi w:val="0"/>
        <w:rPr>
          <w:color w:val="auto"/>
        </w:rPr>
      </w:pPr>
      <w:r>
        <w:rPr>
          <w:rFonts w:hint="eastAsia"/>
          <w:color w:val="auto"/>
        </w:rPr>
        <w:t xml:space="preserve">（2）为本标段前期准备提供设计或咨询服务的； </w:t>
      </w:r>
    </w:p>
    <w:p w14:paraId="23D64AB1">
      <w:pPr>
        <w:pStyle w:val="9"/>
        <w:bidi w:val="0"/>
        <w:rPr>
          <w:color w:val="auto"/>
        </w:rPr>
      </w:pPr>
      <w:r>
        <w:rPr>
          <w:rFonts w:hint="eastAsia"/>
          <w:color w:val="auto"/>
        </w:rPr>
        <w:t>（3）为本标段的监理人；</w:t>
      </w:r>
    </w:p>
    <w:p w14:paraId="10660B88">
      <w:pPr>
        <w:pStyle w:val="9"/>
        <w:bidi w:val="0"/>
        <w:rPr>
          <w:color w:val="auto"/>
        </w:rPr>
      </w:pPr>
      <w:r>
        <w:rPr>
          <w:rFonts w:hint="eastAsia"/>
          <w:color w:val="auto"/>
        </w:rPr>
        <w:t xml:space="preserve">（4）为本标段的代建人； </w:t>
      </w:r>
    </w:p>
    <w:p w14:paraId="62796F1A">
      <w:pPr>
        <w:pStyle w:val="9"/>
        <w:bidi w:val="0"/>
        <w:rPr>
          <w:color w:val="auto"/>
        </w:rPr>
      </w:pPr>
      <w:r>
        <w:rPr>
          <w:rFonts w:hint="eastAsia"/>
          <w:color w:val="auto"/>
        </w:rPr>
        <w:t xml:space="preserve">（5）为本标段提供招标代理服务的； </w:t>
      </w:r>
    </w:p>
    <w:p w14:paraId="3D1B73A0">
      <w:pPr>
        <w:pStyle w:val="9"/>
        <w:bidi w:val="0"/>
        <w:rPr>
          <w:color w:val="auto"/>
        </w:rPr>
      </w:pPr>
      <w:r>
        <w:rPr>
          <w:rFonts w:hint="eastAsia"/>
          <w:color w:val="auto"/>
        </w:rPr>
        <w:t>（6）与本标段的监理人或代建人或招标代理机构同为一个法定代表人的；</w:t>
      </w:r>
    </w:p>
    <w:p w14:paraId="379495B9">
      <w:pPr>
        <w:pStyle w:val="9"/>
        <w:bidi w:val="0"/>
        <w:rPr>
          <w:color w:val="auto"/>
        </w:rPr>
      </w:pPr>
      <w:r>
        <w:rPr>
          <w:rFonts w:hint="eastAsia"/>
          <w:color w:val="auto"/>
        </w:rPr>
        <w:t>（7）与本标段的监理人或代建人或招标代理机构相互控股或参股的；</w:t>
      </w:r>
    </w:p>
    <w:p w14:paraId="1F87F728">
      <w:pPr>
        <w:pStyle w:val="9"/>
        <w:bidi w:val="0"/>
        <w:rPr>
          <w:color w:val="auto"/>
        </w:rPr>
      </w:pPr>
      <w:r>
        <w:rPr>
          <w:rFonts w:hint="eastAsia"/>
          <w:color w:val="auto"/>
        </w:rPr>
        <w:t>（8）与本标段的监理人或代建人或招标代理机构相互任职或工作的；</w:t>
      </w:r>
    </w:p>
    <w:p w14:paraId="4F20C618">
      <w:pPr>
        <w:pStyle w:val="9"/>
        <w:bidi w:val="0"/>
        <w:rPr>
          <w:color w:val="auto"/>
        </w:rPr>
      </w:pPr>
      <w:r>
        <w:rPr>
          <w:rFonts w:hint="eastAsia"/>
          <w:color w:val="auto"/>
        </w:rPr>
        <w:t xml:space="preserve">（9）被责令停业的； </w:t>
      </w:r>
    </w:p>
    <w:p w14:paraId="674F2A13">
      <w:pPr>
        <w:pStyle w:val="9"/>
        <w:bidi w:val="0"/>
        <w:rPr>
          <w:color w:val="auto"/>
        </w:rPr>
      </w:pPr>
      <w:r>
        <w:rPr>
          <w:rFonts w:hint="eastAsia"/>
          <w:color w:val="auto"/>
        </w:rPr>
        <w:t xml:space="preserve">（10）被暂停或取消投标资格的； </w:t>
      </w:r>
    </w:p>
    <w:p w14:paraId="206EBD75">
      <w:pPr>
        <w:pStyle w:val="9"/>
        <w:bidi w:val="0"/>
        <w:rPr>
          <w:color w:val="auto"/>
        </w:rPr>
      </w:pPr>
      <w:r>
        <w:rPr>
          <w:rFonts w:hint="eastAsia"/>
          <w:color w:val="auto"/>
        </w:rPr>
        <w:t>（11）财产被接管或冻结的；</w:t>
      </w:r>
    </w:p>
    <w:p w14:paraId="67392CBD">
      <w:pPr>
        <w:pStyle w:val="9"/>
        <w:bidi w:val="0"/>
        <w:rPr>
          <w:color w:val="auto"/>
        </w:rPr>
      </w:pPr>
      <w:r>
        <w:rPr>
          <w:rFonts w:hint="eastAsia"/>
          <w:color w:val="auto"/>
        </w:rPr>
        <w:t xml:space="preserve">（12）在最近三年内有骗取中标或严重违约或重大工程质量问题的。 </w:t>
      </w:r>
    </w:p>
    <w:p w14:paraId="27A2B5D1">
      <w:pPr>
        <w:pStyle w:val="6"/>
        <w:bidi w:val="0"/>
        <w:rPr>
          <w:color w:val="auto"/>
        </w:rPr>
      </w:pPr>
      <w:bookmarkStart w:id="93" w:name="_Toc1416"/>
      <w:r>
        <w:rPr>
          <w:rFonts w:hint="eastAsia"/>
          <w:color w:val="auto"/>
        </w:rPr>
        <w:t>1.5费用承担</w:t>
      </w:r>
      <w:bookmarkEnd w:id="93"/>
      <w:r>
        <w:rPr>
          <w:rFonts w:hint="eastAsia"/>
          <w:color w:val="auto"/>
        </w:rPr>
        <w:t xml:space="preserve">  </w:t>
      </w:r>
    </w:p>
    <w:p w14:paraId="22CD26BA">
      <w:pPr>
        <w:pStyle w:val="9"/>
        <w:bidi w:val="0"/>
        <w:rPr>
          <w:color w:val="auto"/>
        </w:rPr>
      </w:pPr>
      <w:r>
        <w:rPr>
          <w:rFonts w:hint="eastAsia"/>
          <w:color w:val="auto"/>
        </w:rPr>
        <w:t>投标人准备和参加投标活动发生的费用自理。</w:t>
      </w:r>
    </w:p>
    <w:p w14:paraId="28D15616">
      <w:pPr>
        <w:pStyle w:val="6"/>
        <w:bidi w:val="0"/>
        <w:rPr>
          <w:color w:val="auto"/>
        </w:rPr>
      </w:pPr>
      <w:bookmarkStart w:id="94" w:name="_Toc3276"/>
      <w:r>
        <w:rPr>
          <w:rFonts w:hint="eastAsia"/>
          <w:color w:val="auto"/>
        </w:rPr>
        <w:t>1.6保密</w:t>
      </w:r>
      <w:bookmarkEnd w:id="94"/>
      <w:r>
        <w:rPr>
          <w:rFonts w:hint="eastAsia"/>
          <w:color w:val="auto"/>
        </w:rPr>
        <w:t xml:space="preserve">  </w:t>
      </w:r>
    </w:p>
    <w:p w14:paraId="1BFEA677">
      <w:pPr>
        <w:pStyle w:val="9"/>
        <w:bidi w:val="0"/>
        <w:rPr>
          <w:rFonts w:hint="eastAsia" w:ascii="宋体" w:hAnsi="宋体" w:eastAsia="宋体" w:cs="宋体"/>
          <w:color w:val="auto"/>
        </w:rPr>
      </w:pPr>
      <w:r>
        <w:rPr>
          <w:rFonts w:hint="eastAsia" w:ascii="宋体" w:hAnsi="宋体" w:eastAsia="宋体" w:cs="宋体"/>
          <w:color w:val="auto"/>
        </w:rPr>
        <w:t>参与招标投标活动的各方应对招标文件和投标文件中的商业和技术等秘密保密，违者应对由此造成的后果承担法律责任。</w:t>
      </w:r>
    </w:p>
    <w:p w14:paraId="27A0E9F9">
      <w:pPr>
        <w:pStyle w:val="6"/>
        <w:bidi w:val="0"/>
        <w:rPr>
          <w:rFonts w:hint="eastAsia" w:ascii="宋体" w:hAnsi="宋体" w:eastAsia="宋体" w:cs="宋体"/>
          <w:color w:val="auto"/>
        </w:rPr>
      </w:pPr>
      <w:bookmarkStart w:id="95" w:name="_Toc25042"/>
      <w:r>
        <w:rPr>
          <w:rFonts w:hint="eastAsia" w:ascii="宋体" w:hAnsi="宋体" w:eastAsia="宋体" w:cs="宋体"/>
          <w:color w:val="auto"/>
        </w:rPr>
        <w:t>1.7语言文字</w:t>
      </w:r>
      <w:bookmarkEnd w:id="95"/>
      <w:r>
        <w:rPr>
          <w:rFonts w:hint="eastAsia" w:ascii="宋体" w:hAnsi="宋体" w:eastAsia="宋体" w:cs="宋体"/>
          <w:color w:val="auto"/>
        </w:rPr>
        <w:t xml:space="preserve">  </w:t>
      </w:r>
    </w:p>
    <w:p w14:paraId="5AFF0B36">
      <w:pPr>
        <w:pStyle w:val="9"/>
        <w:bidi w:val="0"/>
        <w:rPr>
          <w:rFonts w:hint="eastAsia" w:ascii="宋体" w:hAnsi="宋体" w:eastAsia="宋体" w:cs="宋体"/>
          <w:color w:val="auto"/>
        </w:rPr>
      </w:pPr>
      <w:r>
        <w:rPr>
          <w:rFonts w:hint="eastAsia" w:ascii="宋体" w:hAnsi="宋体" w:eastAsia="宋体" w:cs="宋体"/>
          <w:color w:val="auto"/>
        </w:rPr>
        <w:t xml:space="preserve">除专用术语外，与招标投标有关的语言均使用中文。必要时专用术语应附有中文注释。  </w:t>
      </w:r>
    </w:p>
    <w:p w14:paraId="6023F3C0">
      <w:pPr>
        <w:pStyle w:val="6"/>
        <w:bidi w:val="0"/>
        <w:rPr>
          <w:rFonts w:hint="eastAsia" w:ascii="宋体" w:hAnsi="宋体" w:eastAsia="宋体" w:cs="宋体"/>
          <w:color w:val="auto"/>
        </w:rPr>
      </w:pPr>
      <w:bookmarkStart w:id="96" w:name="_Toc1788"/>
      <w:r>
        <w:rPr>
          <w:rFonts w:hint="eastAsia" w:ascii="宋体" w:hAnsi="宋体" w:eastAsia="宋体" w:cs="宋体"/>
          <w:color w:val="auto"/>
        </w:rPr>
        <w:t>1.8计量单位</w:t>
      </w:r>
      <w:bookmarkEnd w:id="96"/>
      <w:r>
        <w:rPr>
          <w:rFonts w:hint="eastAsia" w:ascii="宋体" w:hAnsi="宋体" w:eastAsia="宋体" w:cs="宋体"/>
          <w:color w:val="auto"/>
        </w:rPr>
        <w:t xml:space="preserve">  </w:t>
      </w:r>
    </w:p>
    <w:p w14:paraId="5C9ECCCC">
      <w:pPr>
        <w:pStyle w:val="9"/>
        <w:bidi w:val="0"/>
        <w:rPr>
          <w:rFonts w:hint="eastAsia" w:ascii="宋体" w:hAnsi="宋体" w:eastAsia="宋体" w:cs="宋体"/>
          <w:color w:val="auto"/>
        </w:rPr>
      </w:pPr>
      <w:r>
        <w:rPr>
          <w:rFonts w:hint="eastAsia" w:ascii="宋体" w:hAnsi="宋体" w:eastAsia="宋体" w:cs="宋体"/>
          <w:color w:val="auto"/>
        </w:rPr>
        <w:t>所有计量均采用中华人民共和国法定计量单位。</w:t>
      </w:r>
    </w:p>
    <w:p w14:paraId="541D9D90">
      <w:pPr>
        <w:pStyle w:val="6"/>
        <w:bidi w:val="0"/>
        <w:rPr>
          <w:rFonts w:hint="eastAsia" w:ascii="宋体" w:hAnsi="宋体" w:eastAsia="宋体" w:cs="宋体"/>
          <w:color w:val="auto"/>
        </w:rPr>
      </w:pPr>
      <w:bookmarkStart w:id="97" w:name="_Toc15548"/>
      <w:r>
        <w:rPr>
          <w:rFonts w:hint="eastAsia" w:ascii="宋体" w:hAnsi="宋体" w:eastAsia="宋体" w:cs="宋体"/>
          <w:color w:val="auto"/>
        </w:rPr>
        <w:t>1.9</w:t>
      </w:r>
      <w:r>
        <w:rPr>
          <w:rFonts w:hint="eastAsia" w:ascii="宋体" w:hAnsi="宋体" w:eastAsia="宋体" w:cs="宋体"/>
          <w:color w:val="auto"/>
        </w:rPr>
        <w:tab/>
      </w:r>
      <w:r>
        <w:rPr>
          <w:rFonts w:hint="eastAsia" w:ascii="宋体" w:hAnsi="宋体" w:eastAsia="宋体" w:cs="宋体"/>
          <w:color w:val="auto"/>
        </w:rPr>
        <w:t>踏勘现场</w:t>
      </w:r>
      <w:bookmarkEnd w:id="97"/>
      <w:r>
        <w:rPr>
          <w:rFonts w:hint="eastAsia" w:ascii="宋体" w:hAnsi="宋体" w:eastAsia="宋体" w:cs="宋体"/>
          <w:color w:val="auto"/>
        </w:rPr>
        <w:t xml:space="preserve"> </w:t>
      </w:r>
    </w:p>
    <w:p w14:paraId="3FEAADAE">
      <w:pPr>
        <w:pStyle w:val="9"/>
        <w:bidi w:val="0"/>
        <w:rPr>
          <w:rFonts w:hint="eastAsia" w:ascii="宋体" w:hAnsi="宋体" w:eastAsia="宋体" w:cs="宋体"/>
          <w:color w:val="auto"/>
        </w:rPr>
      </w:pPr>
      <w:r>
        <w:rPr>
          <w:rFonts w:hint="eastAsia" w:ascii="宋体" w:hAnsi="宋体" w:eastAsia="宋体" w:cs="宋体"/>
          <w:color w:val="auto"/>
        </w:rPr>
        <w:t>不组织</w:t>
      </w:r>
    </w:p>
    <w:p w14:paraId="097D07FE">
      <w:pPr>
        <w:pStyle w:val="6"/>
        <w:bidi w:val="0"/>
        <w:rPr>
          <w:rFonts w:hint="eastAsia" w:ascii="宋体" w:hAnsi="宋体" w:eastAsia="宋体" w:cs="宋体"/>
          <w:color w:val="auto"/>
        </w:rPr>
      </w:pPr>
      <w:bookmarkStart w:id="98" w:name="_Toc13814"/>
      <w:r>
        <w:rPr>
          <w:rFonts w:hint="eastAsia" w:ascii="宋体" w:hAnsi="宋体" w:eastAsia="宋体" w:cs="宋体"/>
          <w:color w:val="auto"/>
        </w:rPr>
        <w:t>1.10投标预备会</w:t>
      </w:r>
      <w:bookmarkEnd w:id="98"/>
      <w:r>
        <w:rPr>
          <w:rFonts w:hint="eastAsia" w:ascii="宋体" w:hAnsi="宋体" w:eastAsia="宋体" w:cs="宋体"/>
          <w:color w:val="auto"/>
        </w:rPr>
        <w:t xml:space="preserve">  </w:t>
      </w:r>
    </w:p>
    <w:p w14:paraId="29DAADA8">
      <w:pPr>
        <w:pStyle w:val="9"/>
        <w:bidi w:val="0"/>
        <w:rPr>
          <w:rFonts w:hint="eastAsia" w:ascii="宋体" w:hAnsi="宋体" w:eastAsia="宋体" w:cs="宋体"/>
          <w:color w:val="auto"/>
        </w:rPr>
      </w:pPr>
      <w:r>
        <w:rPr>
          <w:rFonts w:hint="eastAsia" w:ascii="宋体" w:hAnsi="宋体" w:eastAsia="宋体" w:cs="宋体"/>
          <w:color w:val="auto"/>
        </w:rPr>
        <w:t>1.10.1本次招标不召开投标预备会。</w:t>
      </w:r>
    </w:p>
    <w:p w14:paraId="7B3C92AF">
      <w:pPr>
        <w:pStyle w:val="9"/>
        <w:bidi w:val="0"/>
        <w:rPr>
          <w:rFonts w:hint="eastAsia" w:ascii="宋体" w:hAnsi="宋体" w:eastAsia="宋体" w:cs="宋体"/>
          <w:color w:val="auto"/>
        </w:rPr>
      </w:pPr>
      <w:r>
        <w:rPr>
          <w:rFonts w:hint="eastAsia" w:ascii="宋体" w:hAnsi="宋体" w:eastAsia="宋体" w:cs="宋体"/>
          <w:color w:val="auto"/>
        </w:rPr>
        <w:t xml:space="preserve">1.10.2投标人应在投标人须知前附表规定的时间前，以书面形式将提出的问题送达招标代理人，以便招标人澄清。 </w:t>
      </w:r>
    </w:p>
    <w:p w14:paraId="7DE5AF6A">
      <w:pPr>
        <w:pStyle w:val="9"/>
        <w:bidi w:val="0"/>
        <w:rPr>
          <w:rFonts w:hint="eastAsia" w:ascii="宋体" w:hAnsi="宋体" w:eastAsia="宋体" w:cs="宋体"/>
          <w:color w:val="auto"/>
        </w:rPr>
      </w:pPr>
      <w:r>
        <w:rPr>
          <w:rFonts w:hint="eastAsia" w:ascii="宋体" w:hAnsi="宋体" w:eastAsia="宋体" w:cs="宋体"/>
          <w:color w:val="auto"/>
        </w:rPr>
        <w:t xml:space="preserve">1.10.3招标人在投标人须知前附表规定的时间内，将对投标人所提问题的澄清，以书面方式通知所有购买招标文件的投标人。该澄清内容为招标文件的组成部分。 </w:t>
      </w:r>
    </w:p>
    <w:p w14:paraId="218D1961">
      <w:pPr>
        <w:pStyle w:val="6"/>
        <w:bidi w:val="0"/>
        <w:rPr>
          <w:rFonts w:hint="eastAsia" w:ascii="宋体" w:hAnsi="宋体" w:eastAsia="宋体" w:cs="宋体"/>
          <w:color w:val="auto"/>
        </w:rPr>
      </w:pPr>
      <w:bookmarkStart w:id="99" w:name="_Toc7242"/>
      <w:r>
        <w:rPr>
          <w:rFonts w:hint="eastAsia" w:ascii="宋体" w:hAnsi="宋体" w:eastAsia="宋体" w:cs="宋体"/>
          <w:color w:val="auto"/>
        </w:rPr>
        <w:t>1.11分包</w:t>
      </w:r>
      <w:bookmarkEnd w:id="99"/>
      <w:r>
        <w:rPr>
          <w:rFonts w:hint="eastAsia" w:ascii="宋体" w:hAnsi="宋体" w:eastAsia="宋体" w:cs="宋体"/>
          <w:color w:val="auto"/>
        </w:rPr>
        <w:t xml:space="preserve">  </w:t>
      </w:r>
    </w:p>
    <w:p w14:paraId="0706AF5D">
      <w:pPr>
        <w:pStyle w:val="9"/>
        <w:bidi w:val="0"/>
        <w:rPr>
          <w:rFonts w:hint="eastAsia" w:ascii="宋体" w:hAnsi="宋体" w:eastAsia="宋体" w:cs="宋体"/>
          <w:color w:val="auto"/>
        </w:rPr>
      </w:pPr>
      <w:r>
        <w:rPr>
          <w:rFonts w:hint="eastAsia" w:ascii="宋体" w:hAnsi="宋体" w:eastAsia="宋体" w:cs="宋体"/>
          <w:color w:val="auto"/>
        </w:rPr>
        <w:t>不允许。</w:t>
      </w:r>
    </w:p>
    <w:p w14:paraId="3DC5D962">
      <w:pPr>
        <w:pStyle w:val="6"/>
        <w:bidi w:val="0"/>
        <w:rPr>
          <w:rFonts w:hint="eastAsia" w:ascii="宋体" w:hAnsi="宋体" w:eastAsia="宋体" w:cs="宋体"/>
          <w:color w:val="auto"/>
        </w:rPr>
      </w:pPr>
      <w:bookmarkStart w:id="100" w:name="_Toc20213"/>
      <w:r>
        <w:rPr>
          <w:rFonts w:hint="eastAsia" w:ascii="宋体" w:hAnsi="宋体" w:eastAsia="宋体" w:cs="宋体"/>
          <w:color w:val="auto"/>
        </w:rPr>
        <w:t>1.12偏离</w:t>
      </w:r>
      <w:bookmarkEnd w:id="100"/>
      <w:r>
        <w:rPr>
          <w:rFonts w:hint="eastAsia" w:ascii="宋体" w:hAnsi="宋体" w:eastAsia="宋体" w:cs="宋体"/>
          <w:color w:val="auto"/>
        </w:rPr>
        <w:t xml:space="preserve"> </w:t>
      </w:r>
    </w:p>
    <w:p w14:paraId="656F6ECD">
      <w:pPr>
        <w:pStyle w:val="9"/>
        <w:bidi w:val="0"/>
        <w:rPr>
          <w:rFonts w:hint="eastAsia" w:ascii="宋体" w:hAnsi="宋体" w:eastAsia="宋体" w:cs="宋体"/>
          <w:color w:val="auto"/>
        </w:rPr>
      </w:pPr>
      <w:r>
        <w:rPr>
          <w:rFonts w:hint="eastAsia" w:ascii="宋体" w:hAnsi="宋体" w:eastAsia="宋体" w:cs="宋体"/>
          <w:color w:val="auto"/>
        </w:rPr>
        <w:t>不允许。</w:t>
      </w:r>
    </w:p>
    <w:p w14:paraId="34D20099">
      <w:pPr>
        <w:pStyle w:val="5"/>
        <w:bidi w:val="0"/>
        <w:rPr>
          <w:rFonts w:hint="eastAsia"/>
          <w:color w:val="auto"/>
        </w:rPr>
      </w:pPr>
      <w:bookmarkStart w:id="101" w:name="_Toc13041"/>
      <w:bookmarkStart w:id="102" w:name="_Toc31667"/>
      <w:r>
        <w:rPr>
          <w:rFonts w:hint="eastAsia"/>
          <w:color w:val="auto"/>
        </w:rPr>
        <w:t>2</w:t>
      </w:r>
      <w:r>
        <w:rPr>
          <w:rFonts w:hint="eastAsia"/>
          <w:color w:val="auto"/>
          <w:lang w:val="en-US" w:eastAsia="zh-CN"/>
        </w:rPr>
        <w:t>.</w:t>
      </w:r>
      <w:r>
        <w:rPr>
          <w:rFonts w:hint="eastAsia"/>
          <w:color w:val="auto"/>
        </w:rPr>
        <w:t>招标文件</w:t>
      </w:r>
      <w:bookmarkEnd w:id="101"/>
      <w:bookmarkEnd w:id="102"/>
    </w:p>
    <w:p w14:paraId="78B7C334">
      <w:pPr>
        <w:pStyle w:val="6"/>
        <w:bidi w:val="0"/>
        <w:rPr>
          <w:rFonts w:hint="eastAsia" w:ascii="宋体" w:hAnsi="宋体" w:eastAsia="宋体" w:cs="宋体"/>
          <w:color w:val="auto"/>
        </w:rPr>
      </w:pPr>
      <w:bookmarkStart w:id="103" w:name="_Toc19511"/>
      <w:r>
        <w:rPr>
          <w:rFonts w:hint="eastAsia" w:ascii="宋体" w:hAnsi="宋体" w:eastAsia="宋体" w:cs="宋体"/>
          <w:color w:val="auto"/>
        </w:rPr>
        <w:t>2.1招标文件的组成</w:t>
      </w:r>
    </w:p>
    <w:p w14:paraId="49042132">
      <w:pPr>
        <w:pStyle w:val="9"/>
        <w:bidi w:val="0"/>
        <w:rPr>
          <w:rFonts w:hint="eastAsia" w:ascii="宋体" w:hAnsi="宋体" w:eastAsia="宋体" w:cs="宋体"/>
          <w:color w:val="auto"/>
        </w:rPr>
      </w:pPr>
      <w:r>
        <w:rPr>
          <w:rFonts w:hint="eastAsia" w:ascii="宋体" w:hAnsi="宋体" w:eastAsia="宋体" w:cs="宋体"/>
          <w:color w:val="auto"/>
        </w:rPr>
        <w:t>本招标文件包括：</w:t>
      </w:r>
      <w:bookmarkEnd w:id="103"/>
    </w:p>
    <w:p w14:paraId="66E34ED1">
      <w:pPr>
        <w:pStyle w:val="9"/>
        <w:bidi w:val="0"/>
        <w:rPr>
          <w:rFonts w:hint="eastAsia" w:ascii="宋体" w:hAnsi="宋体" w:eastAsia="宋体" w:cs="宋体"/>
          <w:color w:val="auto"/>
        </w:rPr>
      </w:pPr>
      <w:r>
        <w:rPr>
          <w:rFonts w:hint="eastAsia" w:ascii="宋体" w:hAnsi="宋体" w:eastAsia="宋体" w:cs="宋体"/>
          <w:color w:val="auto"/>
        </w:rPr>
        <w:t xml:space="preserve">（1）招标公告； </w:t>
      </w:r>
    </w:p>
    <w:p w14:paraId="7325A272">
      <w:pPr>
        <w:pStyle w:val="9"/>
        <w:bidi w:val="0"/>
        <w:rPr>
          <w:rFonts w:hint="eastAsia" w:ascii="宋体" w:hAnsi="宋体" w:eastAsia="宋体" w:cs="宋体"/>
          <w:color w:val="auto"/>
        </w:rPr>
      </w:pPr>
      <w:r>
        <w:rPr>
          <w:rFonts w:hint="eastAsia" w:ascii="宋体" w:hAnsi="宋体" w:eastAsia="宋体" w:cs="宋体"/>
          <w:color w:val="auto"/>
        </w:rPr>
        <w:t xml:space="preserve">（2）投标人须知；  </w:t>
      </w:r>
    </w:p>
    <w:p w14:paraId="64EEE219">
      <w:pPr>
        <w:pStyle w:val="9"/>
        <w:bidi w:val="0"/>
        <w:rPr>
          <w:rFonts w:hint="eastAsia" w:ascii="宋体" w:hAnsi="宋体" w:eastAsia="宋体" w:cs="宋体"/>
          <w:color w:val="auto"/>
        </w:rPr>
      </w:pPr>
      <w:r>
        <w:rPr>
          <w:rFonts w:hint="eastAsia" w:ascii="宋体" w:hAnsi="宋体" w:eastAsia="宋体" w:cs="宋体"/>
          <w:color w:val="auto"/>
        </w:rPr>
        <w:t xml:space="preserve">（3）评标办法；  </w:t>
      </w:r>
    </w:p>
    <w:p w14:paraId="1B220110">
      <w:pPr>
        <w:pStyle w:val="9"/>
        <w:bidi w:val="0"/>
        <w:rPr>
          <w:rFonts w:hint="eastAsia" w:ascii="宋体" w:hAnsi="宋体" w:eastAsia="宋体" w:cs="宋体"/>
          <w:color w:val="auto"/>
        </w:rPr>
      </w:pPr>
      <w:r>
        <w:rPr>
          <w:rFonts w:hint="eastAsia" w:ascii="宋体" w:hAnsi="宋体" w:eastAsia="宋体" w:cs="宋体"/>
          <w:color w:val="auto"/>
        </w:rPr>
        <w:t xml:space="preserve">（4）合同条款及格式；    </w:t>
      </w:r>
    </w:p>
    <w:p w14:paraId="6908CB31">
      <w:pPr>
        <w:pStyle w:val="9"/>
        <w:bidi w:val="0"/>
        <w:rPr>
          <w:rFonts w:hint="eastAsia" w:ascii="宋体" w:hAnsi="宋体" w:eastAsia="宋体" w:cs="宋体"/>
          <w:color w:val="auto"/>
        </w:rPr>
      </w:pPr>
      <w:r>
        <w:rPr>
          <w:rFonts w:hint="eastAsia" w:ascii="宋体" w:hAnsi="宋体" w:eastAsia="宋体" w:cs="宋体"/>
          <w:color w:val="auto"/>
        </w:rPr>
        <w:t xml:space="preserve">（5）委托监理的范围和监理工作主要内容 </w:t>
      </w:r>
    </w:p>
    <w:p w14:paraId="7B10A2AB">
      <w:pPr>
        <w:pStyle w:val="9"/>
        <w:bidi w:val="0"/>
        <w:rPr>
          <w:rFonts w:hint="eastAsia" w:ascii="宋体" w:hAnsi="宋体" w:eastAsia="宋体" w:cs="宋体"/>
          <w:color w:val="auto"/>
        </w:rPr>
      </w:pPr>
      <w:r>
        <w:rPr>
          <w:rFonts w:hint="eastAsia" w:ascii="宋体" w:hAnsi="宋体" w:eastAsia="宋体" w:cs="宋体"/>
          <w:color w:val="auto"/>
        </w:rPr>
        <w:t xml:space="preserve">（6）投标文件格式；  </w:t>
      </w:r>
    </w:p>
    <w:p w14:paraId="7642A218">
      <w:pPr>
        <w:pStyle w:val="9"/>
        <w:bidi w:val="0"/>
        <w:rPr>
          <w:rFonts w:hint="eastAsia" w:ascii="宋体" w:hAnsi="宋体" w:eastAsia="宋体" w:cs="宋体"/>
          <w:color w:val="auto"/>
        </w:rPr>
      </w:pPr>
      <w:r>
        <w:rPr>
          <w:rFonts w:hint="eastAsia" w:ascii="宋体" w:hAnsi="宋体" w:eastAsia="宋体" w:cs="宋体"/>
          <w:color w:val="auto"/>
        </w:rPr>
        <w:t xml:space="preserve">（7）投标人须知前附表规定的其他材料。  </w:t>
      </w:r>
    </w:p>
    <w:p w14:paraId="30D15662">
      <w:pPr>
        <w:pStyle w:val="9"/>
        <w:bidi w:val="0"/>
        <w:rPr>
          <w:rFonts w:hint="eastAsia" w:ascii="宋体" w:hAnsi="宋体" w:eastAsia="宋体" w:cs="宋体"/>
          <w:color w:val="auto"/>
        </w:rPr>
      </w:pPr>
      <w:r>
        <w:rPr>
          <w:rFonts w:hint="eastAsia" w:ascii="宋体" w:hAnsi="宋体" w:eastAsia="宋体" w:cs="宋体"/>
          <w:color w:val="auto"/>
        </w:rPr>
        <w:t xml:space="preserve">根据本章第 1.10 款、第 2.2 款和第 2.3 款对招标文件所作的澄清、修改， 构成招标文件的组成部分。  </w:t>
      </w:r>
    </w:p>
    <w:p w14:paraId="181F3D2E">
      <w:pPr>
        <w:pStyle w:val="6"/>
        <w:bidi w:val="0"/>
        <w:rPr>
          <w:rFonts w:hint="eastAsia" w:ascii="宋体" w:hAnsi="宋体" w:eastAsia="宋体" w:cs="宋体"/>
          <w:color w:val="auto"/>
        </w:rPr>
      </w:pPr>
      <w:bookmarkStart w:id="104" w:name="_Toc17701"/>
      <w:r>
        <w:rPr>
          <w:rFonts w:hint="eastAsia" w:ascii="宋体" w:hAnsi="宋体" w:eastAsia="宋体" w:cs="宋体"/>
          <w:color w:val="auto"/>
        </w:rPr>
        <w:t>2.2招标文件的澄清</w:t>
      </w:r>
      <w:bookmarkEnd w:id="104"/>
      <w:r>
        <w:rPr>
          <w:rFonts w:hint="eastAsia" w:ascii="宋体" w:hAnsi="宋体" w:eastAsia="宋体" w:cs="宋体"/>
          <w:color w:val="auto"/>
        </w:rPr>
        <w:t xml:space="preserve">  </w:t>
      </w:r>
    </w:p>
    <w:p w14:paraId="572D40A7">
      <w:pPr>
        <w:pStyle w:val="9"/>
        <w:bidi w:val="0"/>
        <w:rPr>
          <w:color w:val="auto"/>
        </w:rPr>
      </w:pPr>
      <w:r>
        <w:rPr>
          <w:rFonts w:hint="eastAsia"/>
          <w:color w:val="auto"/>
        </w:rPr>
        <w:t>2.2.1投标人应仔细阅读和检查招标文件的全部内容。如发现缺页或附件不全，应及时向招标人提出，以便补齐。如有疑问，应在投标人须知前附表规定的时间前以书面形式（包括信函、电报、传真等可以有形表现所载内容的形式，下同），要求招标人对招标文件予以澄清。</w:t>
      </w:r>
    </w:p>
    <w:p w14:paraId="2280AB51">
      <w:pPr>
        <w:pStyle w:val="9"/>
        <w:bidi w:val="0"/>
        <w:rPr>
          <w:color w:val="auto"/>
        </w:rPr>
      </w:pPr>
      <w:r>
        <w:rPr>
          <w:rFonts w:hint="eastAsia"/>
          <w:color w:val="auto"/>
        </w:rPr>
        <w:t>2.2.2 招标文件的澄清将在投标人须知前附表规定的投标截止时间15天前在信阳市公共资源交易系统“变更公告”或“答疑文件”将澄清内容予以发布，但不指明澄清问题的来源。如果澄清的内容可能影响投标文件编制且发出的时间距投标截止时间不足15天，相应延长投标截止时间。</w:t>
      </w:r>
    </w:p>
    <w:p w14:paraId="4B885045">
      <w:pPr>
        <w:pStyle w:val="9"/>
        <w:bidi w:val="0"/>
        <w:rPr>
          <w:color w:val="auto"/>
        </w:rPr>
      </w:pPr>
      <w:r>
        <w:rPr>
          <w:rFonts w:hint="eastAsia"/>
          <w:color w:val="auto"/>
        </w:rPr>
        <w:t>2.2.3投标人应在投标文件递交截止时间前及时查看澄清内容，因投标人未及时查看而造成的后果自负。</w:t>
      </w:r>
    </w:p>
    <w:p w14:paraId="4FDD579B">
      <w:pPr>
        <w:pStyle w:val="6"/>
        <w:bidi w:val="0"/>
        <w:rPr>
          <w:rFonts w:hint="eastAsia" w:ascii="宋体" w:hAnsi="宋体" w:eastAsia="宋体" w:cs="宋体"/>
          <w:color w:val="auto"/>
        </w:rPr>
      </w:pPr>
      <w:bookmarkStart w:id="105" w:name="_Toc3786"/>
      <w:r>
        <w:rPr>
          <w:rFonts w:hint="eastAsia" w:ascii="宋体" w:hAnsi="宋体" w:eastAsia="宋体" w:cs="宋体"/>
          <w:color w:val="auto"/>
        </w:rPr>
        <w:t>2.3招标文件的修改</w:t>
      </w:r>
      <w:bookmarkEnd w:id="105"/>
      <w:r>
        <w:rPr>
          <w:rFonts w:hint="eastAsia" w:ascii="宋体" w:hAnsi="宋体" w:eastAsia="宋体" w:cs="宋体"/>
          <w:color w:val="auto"/>
        </w:rPr>
        <w:t xml:space="preserve">  </w:t>
      </w:r>
    </w:p>
    <w:p w14:paraId="585E474B">
      <w:pPr>
        <w:spacing w:line="400" w:lineRule="atLeast"/>
        <w:ind w:firstLine="420" w:firstLineChars="200"/>
        <w:rPr>
          <w:color w:val="auto"/>
          <w:highlight w:val="none"/>
        </w:rPr>
      </w:pPr>
      <w:r>
        <w:rPr>
          <w:rFonts w:hint="eastAsia"/>
          <w:color w:val="auto"/>
          <w:highlight w:val="none"/>
        </w:rPr>
        <w:t>2.3.1 在投标截止时间15天前，招标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3B0FA0AF">
      <w:pPr>
        <w:spacing w:line="400" w:lineRule="atLeast"/>
        <w:ind w:firstLine="420" w:firstLineChars="200"/>
        <w:rPr>
          <w:color w:val="auto"/>
          <w:highlight w:val="none"/>
        </w:rPr>
      </w:pPr>
      <w:r>
        <w:rPr>
          <w:rFonts w:hint="eastAsia"/>
          <w:color w:val="auto"/>
          <w:highlight w:val="none"/>
        </w:rPr>
        <w:t>当招标文件的澄清、修改、补充等在同一内容的表述上不一致时，以最后在信阳市公共资源交易系统发出的文件为准。</w:t>
      </w:r>
    </w:p>
    <w:p w14:paraId="5AB9941A">
      <w:pPr>
        <w:spacing w:line="400" w:lineRule="atLeast"/>
        <w:ind w:firstLine="420" w:firstLineChars="200"/>
        <w:rPr>
          <w:color w:val="auto"/>
        </w:rPr>
      </w:pPr>
      <w:r>
        <w:rPr>
          <w:rFonts w:hint="eastAsia"/>
          <w:color w:val="auto"/>
          <w:highlight w:val="none"/>
        </w:rPr>
        <w:t>投标人应在投标文件递交截止时间前及时查看修改内容，因投标人未及时查看而造成的后果自负。</w:t>
      </w:r>
    </w:p>
    <w:p w14:paraId="670E1F32">
      <w:pPr>
        <w:pStyle w:val="5"/>
        <w:bidi w:val="0"/>
        <w:rPr>
          <w:rFonts w:hint="eastAsia"/>
          <w:color w:val="auto"/>
        </w:rPr>
      </w:pPr>
      <w:bookmarkStart w:id="106" w:name="_Toc19587"/>
      <w:bookmarkStart w:id="107" w:name="_Toc22855"/>
      <w:r>
        <w:rPr>
          <w:rFonts w:hint="eastAsia"/>
          <w:color w:val="auto"/>
        </w:rPr>
        <w:t>3.投标文件</w:t>
      </w:r>
      <w:bookmarkEnd w:id="106"/>
      <w:bookmarkEnd w:id="107"/>
      <w:r>
        <w:rPr>
          <w:rFonts w:hint="eastAsia"/>
          <w:color w:val="auto"/>
        </w:rPr>
        <w:t xml:space="preserve">  </w:t>
      </w:r>
    </w:p>
    <w:p w14:paraId="02C50E7E">
      <w:pPr>
        <w:pStyle w:val="6"/>
        <w:bidi w:val="0"/>
        <w:rPr>
          <w:rFonts w:hint="eastAsia" w:ascii="宋体" w:hAnsi="宋体" w:eastAsia="宋体" w:cs="宋体"/>
          <w:color w:val="auto"/>
        </w:rPr>
      </w:pPr>
      <w:bookmarkStart w:id="108" w:name="_Toc23439"/>
      <w:r>
        <w:rPr>
          <w:rFonts w:hint="eastAsia" w:ascii="宋体" w:hAnsi="宋体" w:eastAsia="宋体" w:cs="宋体"/>
          <w:color w:val="auto"/>
        </w:rPr>
        <w:t>3.1投标文件的组成</w:t>
      </w:r>
      <w:bookmarkEnd w:id="108"/>
    </w:p>
    <w:p w14:paraId="04F10A7A">
      <w:pPr>
        <w:spacing w:line="400" w:lineRule="atLeast"/>
        <w:ind w:firstLine="420" w:firstLineChars="200"/>
        <w:rPr>
          <w:color w:val="auto"/>
          <w:highlight w:val="none"/>
        </w:rPr>
      </w:pPr>
      <w:r>
        <w:rPr>
          <w:rFonts w:hint="eastAsia"/>
          <w:color w:val="auto"/>
          <w:highlight w:val="none"/>
        </w:rPr>
        <w:t xml:space="preserve">3.1.1 投标文件应包括下列内容：  </w:t>
      </w:r>
    </w:p>
    <w:p w14:paraId="3FC868C5">
      <w:pPr>
        <w:spacing w:line="400" w:lineRule="atLeast"/>
        <w:ind w:firstLine="420" w:firstLineChars="200"/>
        <w:rPr>
          <w:color w:val="auto"/>
          <w:highlight w:val="none"/>
        </w:rPr>
      </w:pPr>
      <w:r>
        <w:rPr>
          <w:rFonts w:hint="eastAsia"/>
          <w:color w:val="auto"/>
          <w:highlight w:val="none"/>
        </w:rPr>
        <w:t>（1）投标函及投标函附录；</w:t>
      </w:r>
    </w:p>
    <w:p w14:paraId="64258162">
      <w:pPr>
        <w:spacing w:line="400" w:lineRule="atLeast"/>
        <w:ind w:firstLine="420" w:firstLineChars="200"/>
        <w:rPr>
          <w:color w:val="auto"/>
          <w:highlight w:val="none"/>
        </w:rPr>
      </w:pPr>
      <w:r>
        <w:rPr>
          <w:rFonts w:hint="eastAsia"/>
          <w:color w:val="auto"/>
          <w:highlight w:val="none"/>
        </w:rPr>
        <w:t>（2）法定代表人身份证明或附有法定代表人身份证明的授权委托书；</w:t>
      </w:r>
    </w:p>
    <w:p w14:paraId="3FB4E6DB">
      <w:pPr>
        <w:spacing w:line="400" w:lineRule="atLeas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）监理大纲；</w:t>
      </w:r>
    </w:p>
    <w:p w14:paraId="16DF2B60">
      <w:pPr>
        <w:spacing w:line="400" w:lineRule="atLeast"/>
        <w:ind w:firstLine="420" w:firstLineChars="200"/>
        <w:rPr>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lang w:val="en-US" w:eastAsia="zh-CN"/>
        </w:rPr>
        <w:t>项目管理机构；</w:t>
      </w:r>
      <w:r>
        <w:rPr>
          <w:rFonts w:hint="eastAsia"/>
          <w:color w:val="auto"/>
          <w:highlight w:val="none"/>
        </w:rPr>
        <w:t xml:space="preserve"> </w:t>
      </w:r>
    </w:p>
    <w:p w14:paraId="481616DC">
      <w:pPr>
        <w:spacing w:line="400" w:lineRule="atLeast"/>
        <w:ind w:firstLine="420" w:firstLineChars="20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）资格审查资料；</w:t>
      </w:r>
    </w:p>
    <w:p w14:paraId="460C896D">
      <w:pPr>
        <w:spacing w:line="400" w:lineRule="atLeast"/>
        <w:ind w:firstLine="420" w:firstLineChars="20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 xml:space="preserve">）其他资料； </w:t>
      </w:r>
    </w:p>
    <w:p w14:paraId="6E64E8EC">
      <w:pPr>
        <w:pStyle w:val="6"/>
        <w:bidi w:val="0"/>
        <w:rPr>
          <w:rFonts w:hint="eastAsia" w:ascii="宋体" w:hAnsi="宋体" w:eastAsia="宋体" w:cs="宋体"/>
          <w:color w:val="auto"/>
        </w:rPr>
      </w:pPr>
      <w:bookmarkStart w:id="109" w:name="_Toc19766"/>
      <w:r>
        <w:rPr>
          <w:rFonts w:hint="eastAsia" w:ascii="宋体" w:hAnsi="宋体" w:eastAsia="宋体" w:cs="宋体"/>
          <w:color w:val="auto"/>
        </w:rPr>
        <w:t>3.2投标报价</w:t>
      </w:r>
      <w:bookmarkEnd w:id="109"/>
    </w:p>
    <w:p w14:paraId="555EF0C8">
      <w:pPr>
        <w:pStyle w:val="9"/>
        <w:bidi w:val="0"/>
        <w:rPr>
          <w:rFonts w:hint="eastAsia" w:ascii="宋体" w:hAnsi="宋体" w:eastAsia="宋体" w:cs="宋体"/>
          <w:color w:val="auto"/>
        </w:rPr>
      </w:pPr>
      <w:r>
        <w:rPr>
          <w:rFonts w:hint="eastAsia" w:ascii="宋体" w:hAnsi="宋体" w:eastAsia="宋体" w:cs="宋体"/>
          <w:color w:val="auto"/>
        </w:rPr>
        <w:t>3.2.1招标人认为投标报价是投标人完成全部工程监理所需全部费用；投标人可酌情合理报价；</w:t>
      </w:r>
    </w:p>
    <w:p w14:paraId="0194C01F">
      <w:pPr>
        <w:pStyle w:val="9"/>
        <w:bidi w:val="0"/>
        <w:rPr>
          <w:rFonts w:hint="eastAsia" w:ascii="宋体" w:hAnsi="宋体" w:eastAsia="宋体" w:cs="宋体"/>
          <w:color w:val="auto"/>
        </w:rPr>
      </w:pPr>
      <w:r>
        <w:rPr>
          <w:rFonts w:hint="eastAsia" w:ascii="宋体" w:hAnsi="宋体" w:eastAsia="宋体" w:cs="宋体"/>
          <w:color w:val="auto"/>
        </w:rPr>
        <w:t>3.2.2 投标人的监理酬金是在监理服务期内，投标人按合同规定的范围所提供全部服务所需的费用。</w:t>
      </w:r>
    </w:p>
    <w:p w14:paraId="4D136A29">
      <w:pPr>
        <w:pStyle w:val="9"/>
        <w:bidi w:val="0"/>
        <w:rPr>
          <w:rFonts w:hint="eastAsia" w:ascii="宋体" w:hAnsi="宋体" w:eastAsia="宋体" w:cs="宋体"/>
          <w:color w:val="auto"/>
        </w:rPr>
      </w:pPr>
      <w:r>
        <w:rPr>
          <w:rFonts w:hint="eastAsia" w:ascii="宋体" w:hAnsi="宋体" w:eastAsia="宋体" w:cs="宋体"/>
          <w:color w:val="auto"/>
        </w:rPr>
        <w:t>3.2.3 投标人在报价时应考虑监理期间的物价上涨、政策性调整等诸多因素以及由此引起的费用变动并计入报价。</w:t>
      </w:r>
    </w:p>
    <w:p w14:paraId="2042A3DF">
      <w:pPr>
        <w:pStyle w:val="9"/>
        <w:bidi w:val="0"/>
        <w:rPr>
          <w:rFonts w:hint="eastAsia" w:ascii="宋体" w:hAnsi="宋体" w:eastAsia="宋体" w:cs="宋体"/>
          <w:color w:val="auto"/>
        </w:rPr>
      </w:pPr>
      <w:r>
        <w:rPr>
          <w:rFonts w:hint="eastAsia" w:ascii="宋体" w:hAnsi="宋体" w:eastAsia="宋体" w:cs="宋体"/>
          <w:color w:val="auto"/>
        </w:rPr>
        <w:t>3.2.4 投标人只能提交一个报价，招标人不接受任何选择报价。</w:t>
      </w:r>
    </w:p>
    <w:p w14:paraId="479F1ADC">
      <w:pPr>
        <w:pStyle w:val="6"/>
        <w:bidi w:val="0"/>
        <w:rPr>
          <w:rFonts w:hint="eastAsia" w:ascii="宋体" w:hAnsi="宋体" w:eastAsia="宋体" w:cs="宋体"/>
          <w:color w:val="auto"/>
        </w:rPr>
      </w:pPr>
      <w:bookmarkStart w:id="110" w:name="_Toc30097"/>
      <w:r>
        <w:rPr>
          <w:rFonts w:hint="eastAsia" w:ascii="宋体" w:hAnsi="宋体" w:eastAsia="宋体" w:cs="宋体"/>
          <w:color w:val="auto"/>
        </w:rPr>
        <w:t>3.3投标有效期</w:t>
      </w:r>
      <w:bookmarkEnd w:id="110"/>
    </w:p>
    <w:p w14:paraId="15140573">
      <w:pPr>
        <w:pStyle w:val="9"/>
        <w:bidi w:val="0"/>
        <w:rPr>
          <w:color w:val="auto"/>
        </w:rPr>
      </w:pPr>
      <w:r>
        <w:rPr>
          <w:rFonts w:hint="eastAsia"/>
          <w:color w:val="auto"/>
        </w:rPr>
        <w:t>3.3.1 在投标人须知前附表规定的投标有效期内，投标人撤销投标文件的，应承担招标文件和法律规定的责任。</w:t>
      </w:r>
    </w:p>
    <w:p w14:paraId="6E595F1F">
      <w:pPr>
        <w:pStyle w:val="9"/>
        <w:bidi w:val="0"/>
        <w:rPr>
          <w:color w:val="auto"/>
        </w:rPr>
      </w:pPr>
      <w:r>
        <w:rPr>
          <w:rFonts w:hint="eastAsia"/>
          <w:color w:val="auto"/>
        </w:rPr>
        <w:t>3.3.2 出现特殊情况需要延长投标有效期的，招标人以书面形式通知所有投标人延长投标有效期。投标人应予以书面答复，但不得要求或被允许修改其投标文件；投标人拒绝延长的，其投标失效。</w:t>
      </w:r>
    </w:p>
    <w:p w14:paraId="54E42419">
      <w:pPr>
        <w:pStyle w:val="6"/>
        <w:bidi w:val="0"/>
        <w:rPr>
          <w:rFonts w:hint="eastAsia" w:ascii="宋体" w:hAnsi="宋体" w:eastAsia="宋体" w:cs="宋体"/>
          <w:color w:val="auto"/>
        </w:rPr>
      </w:pPr>
      <w:bookmarkStart w:id="111" w:name="_Toc14206"/>
      <w:r>
        <w:rPr>
          <w:rFonts w:hint="eastAsia" w:ascii="宋体" w:hAnsi="宋体" w:eastAsia="宋体" w:cs="宋体"/>
          <w:color w:val="auto"/>
        </w:rPr>
        <w:t>3.4 投标保证金</w:t>
      </w:r>
      <w:bookmarkEnd w:id="111"/>
    </w:p>
    <w:p w14:paraId="136DFE12">
      <w:pPr>
        <w:pStyle w:val="9"/>
        <w:bidi w:val="0"/>
        <w:rPr>
          <w:rFonts w:hint="eastAsia"/>
          <w:color w:val="auto"/>
          <w:lang w:eastAsia="zh-CN"/>
        </w:rPr>
      </w:pPr>
      <w:bookmarkStart w:id="112" w:name="_Toc26600"/>
      <w:r>
        <w:rPr>
          <w:rFonts w:hint="eastAsia"/>
          <w:color w:val="auto"/>
          <w:lang w:eastAsia="zh-CN"/>
        </w:rPr>
        <w:t>无</w:t>
      </w:r>
    </w:p>
    <w:p w14:paraId="66F139C2">
      <w:pPr>
        <w:pStyle w:val="6"/>
        <w:bidi w:val="0"/>
        <w:rPr>
          <w:rFonts w:hint="eastAsia" w:ascii="宋体" w:hAnsi="宋体" w:eastAsia="宋体" w:cs="宋体"/>
          <w:color w:val="auto"/>
        </w:rPr>
      </w:pPr>
      <w:r>
        <w:rPr>
          <w:rFonts w:hint="eastAsia" w:ascii="宋体" w:hAnsi="宋体" w:eastAsia="宋体" w:cs="宋体"/>
          <w:color w:val="auto"/>
        </w:rPr>
        <w:t>3.5 资格审查资料</w:t>
      </w:r>
      <w:bookmarkEnd w:id="112"/>
    </w:p>
    <w:p w14:paraId="0324CA51">
      <w:pPr>
        <w:pStyle w:val="9"/>
        <w:bidi w:val="0"/>
        <w:rPr>
          <w:rFonts w:hint="eastAsia" w:ascii="宋体" w:hAnsi="宋体" w:eastAsia="宋体" w:cs="宋体"/>
          <w:color w:val="auto"/>
        </w:rPr>
      </w:pPr>
      <w:r>
        <w:rPr>
          <w:rFonts w:hint="eastAsia" w:ascii="宋体" w:hAnsi="宋体" w:eastAsia="宋体" w:cs="宋体"/>
          <w:color w:val="auto"/>
        </w:rPr>
        <w:t>3.5.1应按照投标人须知前附表1.4.1要求对投标企业资质条件、信誉要求、项目总监资格及其他要求提供相关证明材料。</w:t>
      </w:r>
    </w:p>
    <w:p w14:paraId="6C05A604">
      <w:pPr>
        <w:pStyle w:val="6"/>
        <w:bidi w:val="0"/>
        <w:rPr>
          <w:rFonts w:hint="eastAsia" w:ascii="宋体" w:hAnsi="宋体" w:eastAsia="宋体" w:cs="宋体"/>
          <w:color w:val="auto"/>
        </w:rPr>
      </w:pPr>
      <w:bookmarkStart w:id="113" w:name="_Toc16011"/>
      <w:r>
        <w:rPr>
          <w:rFonts w:hint="eastAsia" w:ascii="宋体" w:hAnsi="宋体" w:eastAsia="宋体" w:cs="宋体"/>
          <w:color w:val="auto"/>
        </w:rPr>
        <w:t>3.6 备选投标方案</w:t>
      </w:r>
      <w:bookmarkEnd w:id="113"/>
      <w:r>
        <w:rPr>
          <w:rFonts w:hint="eastAsia" w:ascii="宋体" w:hAnsi="宋体" w:eastAsia="宋体" w:cs="宋体"/>
          <w:color w:val="auto"/>
        </w:rPr>
        <w:t xml:space="preserve"> </w:t>
      </w:r>
    </w:p>
    <w:p w14:paraId="466FB613">
      <w:pPr>
        <w:pStyle w:val="9"/>
        <w:bidi w:val="0"/>
        <w:rPr>
          <w:rFonts w:hint="eastAsia" w:ascii="宋体" w:hAnsi="宋体" w:eastAsia="宋体" w:cs="宋体"/>
          <w:color w:val="auto"/>
        </w:rPr>
      </w:pPr>
      <w:r>
        <w:rPr>
          <w:rFonts w:hint="eastAsia" w:ascii="宋体" w:hAnsi="宋体" w:eastAsia="宋体" w:cs="宋体"/>
          <w:color w:va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B450877">
      <w:pPr>
        <w:pStyle w:val="6"/>
        <w:bidi w:val="0"/>
        <w:rPr>
          <w:rFonts w:hint="eastAsia" w:ascii="宋体" w:hAnsi="宋体" w:eastAsia="宋体" w:cs="宋体"/>
          <w:color w:val="auto"/>
        </w:rPr>
      </w:pPr>
      <w:bookmarkStart w:id="114" w:name="_Toc25520"/>
      <w:r>
        <w:rPr>
          <w:rFonts w:hint="eastAsia" w:ascii="宋体" w:hAnsi="宋体" w:eastAsia="宋体" w:cs="宋体"/>
          <w:color w:val="auto"/>
        </w:rPr>
        <w:t>3.7 投标文件的编制</w:t>
      </w:r>
      <w:bookmarkEnd w:id="114"/>
    </w:p>
    <w:p w14:paraId="395F281B">
      <w:pPr>
        <w:pStyle w:val="9"/>
        <w:bidi w:val="0"/>
        <w:rPr>
          <w:rFonts w:hint="eastAsia" w:ascii="宋体" w:hAnsi="宋体" w:eastAsia="宋体" w:cs="宋体"/>
          <w:color w:val="auto"/>
        </w:rPr>
      </w:pPr>
      <w:r>
        <w:rPr>
          <w:rFonts w:hint="eastAsia" w:ascii="宋体" w:hAnsi="宋体" w:eastAsia="宋体" w:cs="宋体"/>
          <w:color w:val="auto"/>
        </w:rPr>
        <w:t>3.7.1投标文件应按第</w:t>
      </w:r>
      <w:r>
        <w:rPr>
          <w:rFonts w:hint="eastAsia" w:cs="宋体"/>
          <w:color w:val="auto"/>
          <w:lang w:val="en-US" w:eastAsia="zh-CN"/>
        </w:rPr>
        <w:t>七</w:t>
      </w:r>
      <w:r>
        <w:rPr>
          <w:rFonts w:hint="eastAsia" w:ascii="宋体" w:hAnsi="宋体" w:eastAsia="宋体" w:cs="宋体"/>
          <w:color w:val="auto"/>
        </w:rPr>
        <w:t>章“投标文件格式”使用信阳市公共资源交易系统投标文件制作专用工具软件编制，投标文件格式为“*.XYTF”。其中，投标函附录在满足招标文件实质性要求的基础上，可以提出比招标文件要求更有利于招标人的承诺。</w:t>
      </w:r>
    </w:p>
    <w:p w14:paraId="56C2FE5F">
      <w:pPr>
        <w:pStyle w:val="9"/>
        <w:bidi w:val="0"/>
        <w:rPr>
          <w:rFonts w:hint="eastAsia" w:ascii="宋体" w:hAnsi="宋体" w:eastAsia="宋体" w:cs="宋体"/>
          <w:color w:val="auto"/>
        </w:rPr>
      </w:pPr>
      <w:r>
        <w:rPr>
          <w:rFonts w:hint="eastAsia" w:ascii="宋体" w:hAnsi="宋体" w:eastAsia="宋体" w:cs="宋体"/>
          <w:color w:val="auto"/>
        </w:rPr>
        <w:t>3.7.2 投标文件应当对招标文件有关服务期限、投标有效期、质量要求、发包人要求、招标范围等实质性内容作出响应。</w:t>
      </w:r>
    </w:p>
    <w:p w14:paraId="5718B830">
      <w:pPr>
        <w:pStyle w:val="9"/>
        <w:bidi w:val="0"/>
        <w:rPr>
          <w:rFonts w:hint="eastAsia" w:ascii="宋体" w:hAnsi="宋体" w:eastAsia="宋体" w:cs="宋体"/>
          <w:color w:val="auto"/>
        </w:rPr>
      </w:pPr>
      <w:r>
        <w:rPr>
          <w:rFonts w:hint="eastAsia" w:ascii="宋体" w:hAnsi="宋体" w:eastAsia="宋体" w:cs="宋体"/>
          <w:color w:val="auto"/>
        </w:rPr>
        <w:t>3.7.3投标文件应编制目录，电子投标文件签字或盖章的具体要求见投标人须知前附表。如委托代理人电子签章的，电子投标文件应附法定代表人电子签名的授权委托书。</w:t>
      </w:r>
    </w:p>
    <w:p w14:paraId="016D4084">
      <w:pPr>
        <w:pStyle w:val="9"/>
        <w:bidi w:val="0"/>
        <w:rPr>
          <w:rFonts w:hint="eastAsia" w:ascii="宋体" w:hAnsi="宋体" w:eastAsia="宋体" w:cs="宋体"/>
          <w:b/>
          <w:bCs/>
          <w:color w:val="auto"/>
        </w:rPr>
      </w:pPr>
      <w:r>
        <w:rPr>
          <w:rFonts w:hint="eastAsia" w:ascii="宋体" w:hAnsi="宋体" w:eastAsia="宋体" w:cs="宋体"/>
          <w:b/>
          <w:bCs/>
          <w:color w:val="auto"/>
        </w:rPr>
        <w:t>3.7.4投标人编制投标文件时，涉及营业执照、资质、业绩、获奖、人员、财务、 社保、纳税、各类证书等内容，必须在信阳市公共资源交易中心诚信库中登记。未在诚信库中登记的上述内容，不得作为评标（或评审）依据。投标人应及时在投标截止时间前对主体诚信库的相关内容进行补充、 更新。</w:t>
      </w:r>
    </w:p>
    <w:p w14:paraId="202D97A4">
      <w:pPr>
        <w:pStyle w:val="5"/>
        <w:bidi w:val="0"/>
        <w:rPr>
          <w:rFonts w:hint="eastAsia"/>
          <w:color w:val="auto"/>
        </w:rPr>
      </w:pPr>
      <w:bookmarkStart w:id="115" w:name="_Toc5892"/>
      <w:bookmarkStart w:id="116" w:name="_Toc5682"/>
      <w:r>
        <w:rPr>
          <w:rFonts w:hint="eastAsia"/>
          <w:color w:val="auto"/>
        </w:rPr>
        <w:t>4.投标</w:t>
      </w:r>
      <w:bookmarkEnd w:id="115"/>
      <w:bookmarkEnd w:id="116"/>
      <w:r>
        <w:rPr>
          <w:rFonts w:hint="eastAsia"/>
          <w:color w:val="auto"/>
        </w:rPr>
        <w:t xml:space="preserve">  </w:t>
      </w:r>
    </w:p>
    <w:p w14:paraId="46AC4143">
      <w:pPr>
        <w:pStyle w:val="6"/>
        <w:bidi w:val="0"/>
        <w:rPr>
          <w:rFonts w:hint="eastAsia" w:ascii="宋体" w:hAnsi="宋体" w:eastAsia="宋体" w:cs="宋体"/>
          <w:color w:val="auto"/>
        </w:rPr>
      </w:pPr>
      <w:bookmarkStart w:id="117" w:name="_Toc31470"/>
      <w:r>
        <w:rPr>
          <w:rFonts w:hint="eastAsia" w:ascii="宋体" w:hAnsi="宋体" w:eastAsia="宋体" w:cs="宋体"/>
          <w:color w:val="auto"/>
        </w:rPr>
        <w:t>4.1投标文件的密封和标记</w:t>
      </w:r>
      <w:bookmarkEnd w:id="117"/>
      <w:r>
        <w:rPr>
          <w:rFonts w:hint="eastAsia" w:ascii="宋体" w:hAnsi="宋体" w:eastAsia="宋体" w:cs="宋体"/>
          <w:color w:val="auto"/>
        </w:rPr>
        <w:t xml:space="preserve">  </w:t>
      </w:r>
    </w:p>
    <w:p w14:paraId="6FAE4FA4">
      <w:pPr>
        <w:pStyle w:val="9"/>
        <w:bidi w:val="0"/>
        <w:rPr>
          <w:rFonts w:hint="eastAsia" w:ascii="宋体" w:hAnsi="宋体" w:eastAsia="宋体" w:cs="宋体"/>
          <w:color w:val="auto"/>
        </w:rPr>
      </w:pPr>
      <w:r>
        <w:rPr>
          <w:rFonts w:hint="eastAsia" w:ascii="宋体" w:hAnsi="宋体" w:eastAsia="宋体" w:cs="宋体"/>
          <w:color w:val="auto"/>
        </w:rPr>
        <w:t>4.1.1 上传的电子投标文件应使用投标人数字证书认证并加密。未按要求加密的电子投</w:t>
      </w:r>
    </w:p>
    <w:p w14:paraId="6432BE74">
      <w:pPr>
        <w:pStyle w:val="9"/>
        <w:bidi w:val="0"/>
        <w:rPr>
          <w:rFonts w:hint="eastAsia" w:ascii="宋体" w:hAnsi="宋体" w:eastAsia="宋体" w:cs="宋体"/>
          <w:color w:val="auto"/>
        </w:rPr>
      </w:pPr>
      <w:r>
        <w:rPr>
          <w:rFonts w:hint="eastAsia" w:ascii="宋体" w:hAnsi="宋体" w:eastAsia="宋体" w:cs="宋体"/>
          <w:color w:val="auto"/>
        </w:rPr>
        <w:t>标文件，招标人不予受理。</w:t>
      </w:r>
    </w:p>
    <w:p w14:paraId="5064166F">
      <w:pPr>
        <w:pStyle w:val="6"/>
        <w:bidi w:val="0"/>
        <w:rPr>
          <w:rFonts w:hint="eastAsia" w:ascii="宋体" w:hAnsi="宋体" w:eastAsia="宋体" w:cs="宋体"/>
          <w:color w:val="auto"/>
        </w:rPr>
      </w:pPr>
      <w:bookmarkStart w:id="118" w:name="_Toc25330"/>
      <w:r>
        <w:rPr>
          <w:rFonts w:hint="eastAsia" w:ascii="宋体" w:hAnsi="宋体" w:eastAsia="宋体" w:cs="宋体"/>
          <w:color w:val="auto"/>
        </w:rPr>
        <w:t>4.2投标文件的递交</w:t>
      </w:r>
      <w:bookmarkEnd w:id="118"/>
      <w:r>
        <w:rPr>
          <w:rFonts w:hint="eastAsia" w:ascii="宋体" w:hAnsi="宋体" w:eastAsia="宋体" w:cs="宋体"/>
          <w:color w:val="auto"/>
        </w:rPr>
        <w:t xml:space="preserve">  </w:t>
      </w:r>
    </w:p>
    <w:p w14:paraId="44550925">
      <w:pPr>
        <w:pStyle w:val="9"/>
        <w:bidi w:val="0"/>
        <w:rPr>
          <w:rFonts w:hint="eastAsia" w:ascii="宋体" w:hAnsi="宋体" w:eastAsia="宋体" w:cs="宋体"/>
          <w:color w:val="auto"/>
        </w:rPr>
      </w:pPr>
      <w:r>
        <w:rPr>
          <w:rFonts w:hint="eastAsia" w:ascii="宋体" w:hAnsi="宋体" w:eastAsia="宋体" w:cs="宋体"/>
          <w:color w:val="auto"/>
        </w:rPr>
        <w:t>4.2.1 电子投标文件上传件的递交要求详见第二章“投标人须知前附表”。</w:t>
      </w:r>
    </w:p>
    <w:p w14:paraId="51B145AD">
      <w:pPr>
        <w:pStyle w:val="9"/>
        <w:bidi w:val="0"/>
        <w:rPr>
          <w:rFonts w:hint="eastAsia" w:ascii="宋体" w:hAnsi="宋体" w:eastAsia="宋体" w:cs="宋体"/>
          <w:color w:val="auto"/>
        </w:rPr>
      </w:pPr>
      <w:r>
        <w:rPr>
          <w:rFonts w:hint="eastAsia" w:ascii="宋体" w:hAnsi="宋体" w:eastAsia="宋体" w:cs="宋体"/>
          <w:color w:val="auto"/>
        </w:rPr>
        <w:t>4.2.2 逾期上传的投标文件，招标人不予受理。</w:t>
      </w:r>
    </w:p>
    <w:p w14:paraId="5F1A1BBF">
      <w:pPr>
        <w:pStyle w:val="9"/>
        <w:bidi w:val="0"/>
        <w:rPr>
          <w:rFonts w:hint="eastAsia" w:ascii="宋体" w:hAnsi="宋体" w:eastAsia="宋体" w:cs="宋体"/>
          <w:b/>
          <w:bCs/>
          <w:color w:val="auto"/>
        </w:rPr>
      </w:pPr>
      <w:r>
        <w:rPr>
          <w:rFonts w:hint="eastAsia" w:ascii="宋体" w:hAnsi="宋体" w:eastAsia="宋体" w:cs="宋体"/>
          <w:b/>
          <w:bCs/>
          <w:color w:val="auto"/>
        </w:rPr>
        <w:t>4.2.3投标人因信阳市电子招投标交易平台问题无法上传电子投标文件时，请在工作时间与交易中心联系。</w:t>
      </w:r>
    </w:p>
    <w:p w14:paraId="1054C174">
      <w:pPr>
        <w:pStyle w:val="6"/>
        <w:bidi w:val="0"/>
        <w:rPr>
          <w:rFonts w:hint="eastAsia" w:ascii="宋体" w:hAnsi="宋体" w:eastAsia="宋体" w:cs="宋体"/>
          <w:color w:val="auto"/>
        </w:rPr>
      </w:pPr>
      <w:bookmarkStart w:id="119" w:name="_Toc1870"/>
      <w:r>
        <w:rPr>
          <w:rFonts w:hint="eastAsia" w:ascii="宋体" w:hAnsi="宋体" w:eastAsia="宋体" w:cs="宋体"/>
          <w:color w:val="auto"/>
        </w:rPr>
        <w:t>4.3投标文件的修改与撤回</w:t>
      </w:r>
      <w:bookmarkEnd w:id="119"/>
      <w:r>
        <w:rPr>
          <w:rFonts w:hint="eastAsia" w:ascii="宋体" w:hAnsi="宋体" w:eastAsia="宋体" w:cs="宋体"/>
          <w:color w:val="auto"/>
        </w:rPr>
        <w:t xml:space="preserve">  </w:t>
      </w:r>
    </w:p>
    <w:p w14:paraId="7C960ACA">
      <w:pPr>
        <w:pStyle w:val="9"/>
        <w:bidi w:val="0"/>
        <w:rPr>
          <w:rFonts w:hint="eastAsia" w:ascii="宋体" w:hAnsi="宋体" w:eastAsia="宋体" w:cs="宋体"/>
          <w:color w:val="auto"/>
        </w:rPr>
      </w:pPr>
      <w:r>
        <w:rPr>
          <w:rFonts w:hint="eastAsia" w:ascii="宋体" w:hAnsi="宋体" w:eastAsia="宋体" w:cs="宋体"/>
          <w:color w:val="auto"/>
        </w:rPr>
        <w:t>4.3.1 在本章第2.2.2项规定的投标截止时间前，投标人可以多次修改或撤回已递交的投标文件，</w:t>
      </w:r>
      <w:r>
        <w:rPr>
          <w:rFonts w:hint="eastAsia" w:ascii="宋体" w:hAnsi="宋体" w:eastAsia="宋体" w:cs="宋体"/>
          <w:b/>
          <w:bCs/>
          <w:color w:val="auto"/>
        </w:rPr>
        <w:t>最终投标文件以投标截止时间前完成上传至信阳市公共资源交易中心交易系统最后一份投标文件为准。</w:t>
      </w:r>
    </w:p>
    <w:p w14:paraId="61E0E709">
      <w:pPr>
        <w:pStyle w:val="9"/>
        <w:bidi w:val="0"/>
        <w:rPr>
          <w:rFonts w:hint="eastAsia" w:ascii="宋体" w:hAnsi="宋体" w:eastAsia="宋体" w:cs="宋体"/>
          <w:color w:val="auto"/>
        </w:rPr>
      </w:pPr>
      <w:r>
        <w:rPr>
          <w:rFonts w:hint="eastAsia" w:ascii="宋体" w:hAnsi="宋体" w:eastAsia="宋体" w:cs="宋体"/>
          <w:color w:val="auto"/>
        </w:rPr>
        <w:t>4.3.2修改的投标文件应按照本章第3条、第4条规定进行编制和递交。</w:t>
      </w:r>
    </w:p>
    <w:p w14:paraId="0991C748">
      <w:pPr>
        <w:pStyle w:val="5"/>
        <w:bidi w:val="0"/>
        <w:rPr>
          <w:rFonts w:hint="eastAsia"/>
          <w:color w:val="auto"/>
        </w:rPr>
      </w:pPr>
      <w:bookmarkStart w:id="120" w:name="_Toc10286"/>
      <w:bookmarkStart w:id="121" w:name="_Toc32239"/>
      <w:r>
        <w:rPr>
          <w:rFonts w:hint="eastAsia"/>
          <w:color w:val="auto"/>
        </w:rPr>
        <w:t>5.开标</w:t>
      </w:r>
      <w:bookmarkEnd w:id="120"/>
      <w:bookmarkEnd w:id="121"/>
      <w:r>
        <w:rPr>
          <w:rFonts w:hint="eastAsia"/>
          <w:color w:val="auto"/>
        </w:rPr>
        <w:t xml:space="preserve">  </w:t>
      </w:r>
    </w:p>
    <w:p w14:paraId="6D18D051">
      <w:pPr>
        <w:pStyle w:val="6"/>
        <w:bidi w:val="0"/>
        <w:rPr>
          <w:rFonts w:hint="eastAsia" w:ascii="宋体" w:hAnsi="宋体" w:eastAsia="宋体" w:cs="宋体"/>
          <w:color w:val="auto"/>
        </w:rPr>
      </w:pPr>
      <w:bookmarkStart w:id="122" w:name="_Toc17440"/>
      <w:r>
        <w:rPr>
          <w:rFonts w:hint="eastAsia" w:ascii="宋体" w:hAnsi="宋体" w:eastAsia="宋体" w:cs="宋体"/>
          <w:color w:val="auto"/>
        </w:rPr>
        <w:t>5.1开标时间和地点</w:t>
      </w:r>
      <w:bookmarkEnd w:id="122"/>
      <w:r>
        <w:rPr>
          <w:rFonts w:hint="eastAsia" w:ascii="宋体" w:hAnsi="宋体" w:eastAsia="宋体" w:cs="宋体"/>
          <w:color w:val="auto"/>
        </w:rPr>
        <w:t xml:space="preserve">  </w:t>
      </w:r>
    </w:p>
    <w:p w14:paraId="3317370B">
      <w:pPr>
        <w:pStyle w:val="9"/>
        <w:bidi w:val="0"/>
        <w:rPr>
          <w:color w:val="auto"/>
        </w:rPr>
      </w:pPr>
      <w:r>
        <w:rPr>
          <w:rFonts w:hint="eastAsia"/>
          <w:color w:val="auto"/>
        </w:rPr>
        <w:t>5.1.1 招标人在本章规定的投标截止时间（开标时间）和投标人须知前附表规定的地点开标。</w:t>
      </w:r>
    </w:p>
    <w:p w14:paraId="4D01DF29">
      <w:pPr>
        <w:pStyle w:val="9"/>
        <w:bidi w:val="0"/>
        <w:rPr>
          <w:color w:val="auto"/>
        </w:rPr>
      </w:pPr>
      <w:r>
        <w:rPr>
          <w:rFonts w:hint="eastAsia"/>
          <w:color w:val="auto"/>
        </w:rPr>
        <w:t xml:space="preserve">5.1.2本项目采用“不见面开标”交易方式，不见面开标大厅网址为 </w:t>
      </w:r>
      <w:r>
        <w:rPr>
          <w:rFonts w:hint="eastAsia"/>
          <w:color w:val="auto"/>
          <w:u w:val="none"/>
        </w:rPr>
        <w:t>https://ggzyjy.xinyang.gov.cn/BidOpening，投标人无需寄送和递交非加密的电子投标文件，无需到现场参加开标会议，无需到达现场提交原件资料。</w:t>
      </w:r>
    </w:p>
    <w:p w14:paraId="643EE386">
      <w:pPr>
        <w:pStyle w:val="9"/>
        <w:bidi w:val="0"/>
        <w:rPr>
          <w:color w:val="auto"/>
        </w:rPr>
      </w:pPr>
      <w:r>
        <w:rPr>
          <w:rFonts w:hint="eastAsia"/>
          <w:color w:val="auto"/>
        </w:rPr>
        <w:t>投标人应当在投标截止时间前，使用投标人CA数字证书登录不见面开标大厅，在线签到并准时参加开标活动，并在规定时间内完成投标文件解密、答疑澄清等。</w:t>
      </w:r>
    </w:p>
    <w:p w14:paraId="2E058208">
      <w:pPr>
        <w:pStyle w:val="9"/>
        <w:bidi w:val="0"/>
        <w:rPr>
          <w:color w:val="auto"/>
        </w:rPr>
      </w:pPr>
      <w:r>
        <w:rPr>
          <w:rFonts w:hint="eastAsia"/>
          <w:color w:val="auto"/>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4B3B25A0">
      <w:pPr>
        <w:pStyle w:val="9"/>
        <w:bidi w:val="0"/>
        <w:rPr>
          <w:color w:val="auto"/>
        </w:rPr>
      </w:pPr>
      <w:r>
        <w:rPr>
          <w:rFonts w:hint="eastAsia"/>
          <w:color w:val="auto"/>
        </w:rPr>
        <w:t>不见面开标服务的具体事宜，请查阅信阳市公共资源交易中心网站首页—下载中心—信阳市不见面开标大厅系统操作手册 。</w:t>
      </w:r>
    </w:p>
    <w:p w14:paraId="4006DF73">
      <w:pPr>
        <w:pStyle w:val="9"/>
        <w:bidi w:val="0"/>
        <w:rPr>
          <w:rFonts w:hint="eastAsia"/>
          <w:color w:val="auto"/>
        </w:rPr>
      </w:pPr>
      <w:r>
        <w:rPr>
          <w:rFonts w:hint="eastAsia"/>
          <w:color w:val="auto"/>
        </w:rPr>
        <w:t>开标过程中，投标人如有异议，须在开标结束前通过系统提出，否则视同认可开标记录。开标结束后，对开标记录的任何异议不再接受。</w:t>
      </w:r>
    </w:p>
    <w:p w14:paraId="1BB319FA">
      <w:pPr>
        <w:pStyle w:val="5"/>
        <w:bidi w:val="0"/>
        <w:rPr>
          <w:rFonts w:hint="eastAsia"/>
          <w:color w:val="auto"/>
        </w:rPr>
      </w:pPr>
      <w:bookmarkStart w:id="123" w:name="_Toc13245"/>
      <w:bookmarkStart w:id="124" w:name="_Toc31478"/>
      <w:r>
        <w:rPr>
          <w:rFonts w:hint="eastAsia"/>
          <w:color w:val="auto"/>
        </w:rPr>
        <w:t>6.评标</w:t>
      </w:r>
      <w:bookmarkEnd w:id="123"/>
      <w:bookmarkEnd w:id="124"/>
      <w:r>
        <w:rPr>
          <w:rFonts w:hint="eastAsia"/>
          <w:color w:val="auto"/>
        </w:rPr>
        <w:t xml:space="preserve">  </w:t>
      </w:r>
    </w:p>
    <w:p w14:paraId="6A0CC8F0">
      <w:pPr>
        <w:pStyle w:val="6"/>
        <w:bidi w:val="0"/>
        <w:rPr>
          <w:rFonts w:hint="eastAsia" w:ascii="宋体" w:hAnsi="宋体" w:eastAsia="宋体" w:cs="宋体"/>
          <w:color w:val="auto"/>
        </w:rPr>
      </w:pPr>
      <w:bookmarkStart w:id="125" w:name="_Toc7431"/>
      <w:r>
        <w:rPr>
          <w:rFonts w:hint="eastAsia" w:ascii="宋体" w:hAnsi="宋体" w:eastAsia="宋体" w:cs="宋体"/>
          <w:color w:val="auto"/>
        </w:rPr>
        <w:t>6.1评标委员会</w:t>
      </w:r>
      <w:bookmarkEnd w:id="125"/>
      <w:r>
        <w:rPr>
          <w:rFonts w:hint="eastAsia" w:ascii="宋体" w:hAnsi="宋体" w:eastAsia="宋体" w:cs="宋体"/>
          <w:color w:val="auto"/>
        </w:rPr>
        <w:t xml:space="preserve">  </w:t>
      </w:r>
    </w:p>
    <w:p w14:paraId="65C66107">
      <w:pPr>
        <w:pStyle w:val="9"/>
        <w:bidi w:val="0"/>
        <w:rPr>
          <w:rFonts w:hint="eastAsia" w:ascii="宋体" w:hAnsi="宋体" w:eastAsia="宋体" w:cs="宋体"/>
          <w:color w:val="auto"/>
        </w:rPr>
      </w:pPr>
      <w:r>
        <w:rPr>
          <w:rFonts w:hint="eastAsia" w:ascii="宋体" w:hAnsi="宋体" w:eastAsia="宋体" w:cs="宋体"/>
          <w:color w:val="auto"/>
        </w:rPr>
        <w:t>6.1.1评标由招标人依法组建的评标委员会负责。评标委员会由有关技术、经济等方面的专家组成。评标委员会成员人数以及技术、经济等方面专家的确定方式见投标人须知前附表。</w:t>
      </w:r>
    </w:p>
    <w:p w14:paraId="211DCC22">
      <w:pPr>
        <w:pStyle w:val="9"/>
        <w:bidi w:val="0"/>
        <w:rPr>
          <w:rFonts w:hint="eastAsia" w:ascii="宋体" w:hAnsi="宋体" w:eastAsia="宋体" w:cs="宋体"/>
          <w:color w:val="auto"/>
        </w:rPr>
      </w:pPr>
      <w:r>
        <w:rPr>
          <w:rFonts w:hint="eastAsia" w:ascii="宋体" w:hAnsi="宋体" w:eastAsia="宋体" w:cs="宋体"/>
          <w:color w:val="auto"/>
        </w:rPr>
        <w:t>6.1.2评标委员会成员有下列情形之一的，应当回避：</w:t>
      </w:r>
    </w:p>
    <w:p w14:paraId="6ACF780B">
      <w:pPr>
        <w:pStyle w:val="9"/>
        <w:bidi w:val="0"/>
        <w:rPr>
          <w:rFonts w:hint="eastAsia" w:ascii="宋体" w:hAnsi="宋体" w:eastAsia="宋体" w:cs="宋体"/>
          <w:color w:val="auto"/>
        </w:rPr>
      </w:pPr>
      <w:r>
        <w:rPr>
          <w:rFonts w:hint="eastAsia" w:ascii="宋体" w:hAnsi="宋体" w:eastAsia="宋体" w:cs="宋体"/>
          <w:color w:val="auto"/>
        </w:rPr>
        <w:t>（1）投标人或投标人主要负责人的近亲属；</w:t>
      </w:r>
    </w:p>
    <w:p w14:paraId="1F099AB0">
      <w:pPr>
        <w:pStyle w:val="9"/>
        <w:bidi w:val="0"/>
        <w:rPr>
          <w:rFonts w:hint="eastAsia" w:ascii="宋体" w:hAnsi="宋体" w:eastAsia="宋体" w:cs="宋体"/>
          <w:color w:val="auto"/>
        </w:rPr>
      </w:pPr>
      <w:r>
        <w:rPr>
          <w:rFonts w:hint="eastAsia" w:ascii="宋体" w:hAnsi="宋体" w:eastAsia="宋体" w:cs="宋体"/>
          <w:color w:val="auto"/>
        </w:rPr>
        <w:t>（2）项目主管部门或者行政监督部门的人员；</w:t>
      </w:r>
    </w:p>
    <w:p w14:paraId="01BE98EA">
      <w:pPr>
        <w:pStyle w:val="9"/>
        <w:bidi w:val="0"/>
        <w:rPr>
          <w:rFonts w:hint="eastAsia" w:ascii="宋体" w:hAnsi="宋体" w:eastAsia="宋体" w:cs="宋体"/>
          <w:color w:val="auto"/>
        </w:rPr>
      </w:pPr>
      <w:r>
        <w:rPr>
          <w:rFonts w:hint="eastAsia" w:ascii="宋体" w:hAnsi="宋体" w:eastAsia="宋体" w:cs="宋体"/>
          <w:color w:val="auto"/>
        </w:rPr>
        <w:t>（3）与投标人有经济利益关系，可能影响对投标公正评审的；</w:t>
      </w:r>
    </w:p>
    <w:p w14:paraId="664529FF">
      <w:pPr>
        <w:pStyle w:val="9"/>
        <w:bidi w:val="0"/>
        <w:rPr>
          <w:rFonts w:hint="eastAsia"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14:paraId="4BD15141">
      <w:pPr>
        <w:pStyle w:val="9"/>
        <w:bidi w:val="0"/>
        <w:rPr>
          <w:rFonts w:hint="eastAsia" w:ascii="宋体" w:hAnsi="宋体" w:eastAsia="宋体" w:cs="宋体"/>
          <w:color w:val="auto"/>
        </w:rPr>
      </w:pPr>
      <w:r>
        <w:rPr>
          <w:rFonts w:hint="eastAsia" w:ascii="宋体" w:hAnsi="宋体" w:eastAsia="宋体" w:cs="宋体"/>
          <w:color w:val="auto"/>
        </w:rPr>
        <w:t>（5）“信用中国”网站（www.creditchina,gov,cn）记录为失信被执行人的。</w:t>
      </w:r>
    </w:p>
    <w:p w14:paraId="1BD2B3BB">
      <w:pPr>
        <w:pStyle w:val="9"/>
        <w:bidi w:val="0"/>
        <w:rPr>
          <w:rFonts w:hint="eastAsia" w:ascii="宋体" w:hAnsi="宋体" w:eastAsia="宋体" w:cs="宋体"/>
          <w:color w:val="auto"/>
        </w:rPr>
      </w:pPr>
      <w:r>
        <w:rPr>
          <w:rFonts w:hint="eastAsia" w:ascii="宋体" w:hAnsi="宋体" w:eastAsia="宋体" w:cs="宋体"/>
          <w:color w:val="auto"/>
        </w:rPr>
        <w:t>6.1.3评标过程中，评标委员会成员有回避事由、擅离职守或者因健康等原因不能继续评标的，招标人有权更换。被更换的评标委员会成员作出的评审结论无效，由更换后的评标委员会成员重新进行评审。</w:t>
      </w:r>
    </w:p>
    <w:p w14:paraId="09ADD0D3">
      <w:pPr>
        <w:pStyle w:val="6"/>
        <w:bidi w:val="0"/>
        <w:rPr>
          <w:rFonts w:hint="eastAsia" w:ascii="宋体" w:hAnsi="宋体" w:eastAsia="宋体" w:cs="宋体"/>
          <w:color w:val="auto"/>
        </w:rPr>
      </w:pPr>
      <w:bookmarkStart w:id="126" w:name="_Toc31928"/>
      <w:r>
        <w:rPr>
          <w:rFonts w:hint="eastAsia" w:ascii="宋体" w:hAnsi="宋体" w:eastAsia="宋体" w:cs="宋体"/>
          <w:color w:val="auto"/>
        </w:rPr>
        <w:t>6.2 评标原则</w:t>
      </w:r>
      <w:bookmarkEnd w:id="126"/>
      <w:r>
        <w:rPr>
          <w:rFonts w:hint="eastAsia" w:ascii="宋体" w:hAnsi="宋体" w:eastAsia="宋体" w:cs="宋体"/>
          <w:color w:val="auto"/>
        </w:rPr>
        <w:tab/>
      </w:r>
    </w:p>
    <w:p w14:paraId="518DA406">
      <w:pPr>
        <w:pStyle w:val="9"/>
        <w:bidi w:val="0"/>
        <w:rPr>
          <w:rFonts w:hint="eastAsia" w:ascii="宋体" w:hAnsi="宋体" w:eastAsia="宋体" w:cs="宋体"/>
          <w:color w:val="auto"/>
        </w:rPr>
      </w:pPr>
      <w:r>
        <w:rPr>
          <w:rFonts w:hint="eastAsia" w:ascii="宋体" w:hAnsi="宋体" w:eastAsia="宋体" w:cs="宋体"/>
          <w:color w:val="auto"/>
        </w:rPr>
        <w:t>评标活动遵循公平、公正、科学和择优的原则。</w:t>
      </w:r>
    </w:p>
    <w:p w14:paraId="27BC977E">
      <w:pPr>
        <w:pStyle w:val="6"/>
        <w:bidi w:val="0"/>
        <w:rPr>
          <w:rFonts w:hint="eastAsia" w:ascii="宋体" w:hAnsi="宋体" w:eastAsia="宋体" w:cs="宋体"/>
          <w:color w:val="auto"/>
        </w:rPr>
      </w:pPr>
      <w:bookmarkStart w:id="127" w:name="_Toc32551"/>
      <w:r>
        <w:rPr>
          <w:rFonts w:hint="eastAsia" w:ascii="宋体" w:hAnsi="宋体" w:eastAsia="宋体" w:cs="宋体"/>
          <w:color w:val="auto"/>
        </w:rPr>
        <w:t>6.3 评标</w:t>
      </w:r>
      <w:bookmarkEnd w:id="127"/>
    </w:p>
    <w:p w14:paraId="1D87EE23">
      <w:pPr>
        <w:pStyle w:val="9"/>
        <w:bidi w:val="0"/>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en-US" w:eastAsia="zh-CN"/>
        </w:rPr>
        <w:t>.3.1评标委员会按照第三章“评标办法”规定的方法、评审因素、标准和程序对投标</w:t>
      </w:r>
      <w:r>
        <w:rPr>
          <w:rFonts w:hint="eastAsia" w:ascii="宋体" w:hAnsi="宋体" w:eastAsia="宋体" w:cs="宋体"/>
          <w:color w:val="auto"/>
        </w:rPr>
        <w:t>文件进行评审。第三章“评标办法”没有规定的方法、评审因素和标准，不作为评标依据。</w:t>
      </w:r>
    </w:p>
    <w:p w14:paraId="26AE106E">
      <w:pPr>
        <w:pStyle w:val="5"/>
        <w:bidi w:val="0"/>
        <w:rPr>
          <w:rFonts w:hint="eastAsia"/>
          <w:color w:val="auto"/>
        </w:rPr>
      </w:pPr>
      <w:bookmarkStart w:id="128" w:name="_Toc32666"/>
      <w:bookmarkStart w:id="129" w:name="_Toc516822643"/>
      <w:bookmarkStart w:id="130" w:name="_Toc30403"/>
      <w:r>
        <w:rPr>
          <w:rFonts w:hint="eastAsia"/>
          <w:color w:val="auto"/>
        </w:rPr>
        <w:t xml:space="preserve">7. </w:t>
      </w:r>
      <w:r>
        <w:rPr>
          <w:rFonts w:hint="eastAsia"/>
          <w:color w:val="auto"/>
          <w:lang w:val="en-US" w:eastAsia="zh-CN"/>
        </w:rPr>
        <w:t>定标与</w:t>
      </w:r>
      <w:r>
        <w:rPr>
          <w:rFonts w:hint="eastAsia"/>
          <w:color w:val="auto"/>
        </w:rPr>
        <w:t>合同授予</w:t>
      </w:r>
      <w:bookmarkEnd w:id="128"/>
      <w:bookmarkEnd w:id="129"/>
      <w:bookmarkEnd w:id="130"/>
    </w:p>
    <w:p w14:paraId="3B7A71AA">
      <w:pPr>
        <w:pStyle w:val="6"/>
        <w:bidi w:val="0"/>
        <w:rPr>
          <w:rFonts w:hint="eastAsia" w:ascii="宋体" w:hAnsi="宋体" w:eastAsia="宋体" w:cs="宋体"/>
          <w:color w:val="auto"/>
          <w:lang w:eastAsia="zh-CN"/>
        </w:rPr>
      </w:pPr>
      <w:bookmarkStart w:id="131" w:name="_Toc10468"/>
      <w:r>
        <w:rPr>
          <w:rFonts w:hint="eastAsia" w:ascii="宋体" w:hAnsi="宋体" w:eastAsia="宋体" w:cs="宋体"/>
          <w:color w:val="auto"/>
        </w:rPr>
        <w:t>7.1 定标</w:t>
      </w:r>
      <w:bookmarkEnd w:id="131"/>
      <w:r>
        <w:rPr>
          <w:rFonts w:hint="eastAsia" w:cs="宋体"/>
          <w:color w:val="auto"/>
          <w:lang w:val="en-US" w:eastAsia="zh-CN"/>
        </w:rPr>
        <w:t>委员会</w:t>
      </w:r>
    </w:p>
    <w:p w14:paraId="1BB899CB">
      <w:pPr>
        <w:pStyle w:val="9"/>
        <w:bidi w:val="0"/>
        <w:rPr>
          <w:rFonts w:hint="eastAsia" w:ascii="宋体" w:hAnsi="宋体" w:eastAsia="宋体" w:cs="宋体"/>
          <w:color w:val="auto"/>
        </w:rPr>
      </w:pPr>
      <w:r>
        <w:rPr>
          <w:rFonts w:hint="eastAsia" w:ascii="宋体" w:hAnsi="宋体" w:eastAsia="宋体" w:cs="宋体"/>
          <w:color w:val="auto"/>
        </w:rPr>
        <w:t>定标委员会负责定标。定标委员会按照第四章“定标办法”规定的规则组建，定标委员会构成人数见投标人须知前附表。</w:t>
      </w:r>
    </w:p>
    <w:p w14:paraId="746E009C">
      <w:pPr>
        <w:pStyle w:val="9"/>
        <w:bidi w:val="0"/>
        <w:rPr>
          <w:rFonts w:hint="eastAsia" w:ascii="宋体" w:hAnsi="宋体" w:eastAsia="宋体" w:cs="宋体"/>
          <w:color w:val="auto"/>
        </w:rPr>
      </w:pPr>
      <w:r>
        <w:rPr>
          <w:rFonts w:hint="eastAsia" w:ascii="宋体" w:hAnsi="宋体" w:eastAsia="宋体" w:cs="宋体"/>
          <w:color w:val="auto"/>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p w14:paraId="684BA91F">
      <w:pPr>
        <w:pStyle w:val="6"/>
        <w:bidi w:val="0"/>
        <w:rPr>
          <w:rFonts w:hint="eastAsia" w:ascii="宋体" w:hAnsi="宋体" w:eastAsia="宋体" w:cs="宋体"/>
          <w:color w:val="auto"/>
        </w:rPr>
      </w:pPr>
      <w:r>
        <w:rPr>
          <w:rFonts w:hint="eastAsia" w:ascii="宋体" w:hAnsi="宋体" w:eastAsia="宋体" w:cs="宋体"/>
          <w:color w:val="auto"/>
        </w:rPr>
        <w:t>7.2核查办法</w:t>
      </w:r>
    </w:p>
    <w:p w14:paraId="3341F254">
      <w:pPr>
        <w:pStyle w:val="9"/>
        <w:bidi w:val="0"/>
        <w:rPr>
          <w:rFonts w:hint="eastAsia" w:ascii="宋体" w:hAnsi="宋体" w:eastAsia="宋体" w:cs="宋体"/>
          <w:color w:val="auto"/>
        </w:rPr>
      </w:pPr>
      <w:r>
        <w:rPr>
          <w:rFonts w:hint="eastAsia" w:ascii="宋体" w:hAnsi="宋体" w:eastAsia="宋体" w:cs="宋体"/>
          <w:color w:val="auto"/>
        </w:rPr>
        <w:t>7.2.1 核查内容：详见第四章“定标办法”。</w:t>
      </w:r>
    </w:p>
    <w:p w14:paraId="511C30CE">
      <w:pPr>
        <w:pStyle w:val="9"/>
        <w:bidi w:val="0"/>
        <w:rPr>
          <w:rFonts w:hint="eastAsia" w:ascii="宋体" w:hAnsi="宋体" w:eastAsia="宋体" w:cs="宋体"/>
          <w:color w:val="auto"/>
        </w:rPr>
      </w:pPr>
      <w:r>
        <w:rPr>
          <w:rFonts w:hint="eastAsia" w:ascii="宋体" w:hAnsi="宋体" w:eastAsia="宋体" w:cs="宋体"/>
          <w:color w:val="auto"/>
        </w:rPr>
        <w:t>7.2.2 核查方式：详见第四章“定标办法”。</w:t>
      </w:r>
    </w:p>
    <w:p w14:paraId="5DA7568A">
      <w:pPr>
        <w:pStyle w:val="9"/>
        <w:bidi w:val="0"/>
        <w:rPr>
          <w:rFonts w:hint="eastAsia" w:ascii="宋体" w:hAnsi="宋体" w:eastAsia="宋体" w:cs="宋体"/>
          <w:color w:val="auto"/>
        </w:rPr>
      </w:pPr>
      <w:r>
        <w:rPr>
          <w:rFonts w:hint="eastAsia" w:ascii="宋体" w:hAnsi="宋体" w:eastAsia="宋体" w:cs="宋体"/>
          <w:color w:val="auto"/>
        </w:rPr>
        <w:t>7.2.3 核查应在定标会议前进行，第四章“定标办法”没有规定的核查方法、内容，不作为定标依据。</w:t>
      </w:r>
    </w:p>
    <w:p w14:paraId="2C04DEA9">
      <w:pPr>
        <w:pStyle w:val="9"/>
        <w:bidi w:val="0"/>
        <w:rPr>
          <w:rFonts w:hint="eastAsia" w:ascii="宋体" w:hAnsi="宋体" w:eastAsia="宋体" w:cs="宋体"/>
          <w:color w:val="auto"/>
        </w:rPr>
      </w:pPr>
      <w:r>
        <w:rPr>
          <w:rFonts w:hint="eastAsia" w:ascii="宋体" w:hAnsi="宋体" w:eastAsia="宋体" w:cs="宋体"/>
          <w:color w:val="auto"/>
        </w:rPr>
        <w:t>7.2.4核查应形成核查报告。核查报告在定标会议前应保密。</w:t>
      </w:r>
    </w:p>
    <w:p w14:paraId="6805E088">
      <w:pPr>
        <w:pStyle w:val="6"/>
        <w:bidi w:val="0"/>
        <w:rPr>
          <w:rFonts w:hint="eastAsia" w:ascii="宋体" w:hAnsi="宋体" w:eastAsia="宋体" w:cs="宋体"/>
          <w:color w:val="auto"/>
        </w:rPr>
      </w:pPr>
      <w:r>
        <w:rPr>
          <w:rFonts w:hint="eastAsia" w:ascii="宋体" w:hAnsi="宋体" w:eastAsia="宋体" w:cs="宋体"/>
          <w:color w:val="auto"/>
        </w:rPr>
        <w:t>7.3定标办法</w:t>
      </w:r>
    </w:p>
    <w:p w14:paraId="772C2070">
      <w:pPr>
        <w:pStyle w:val="9"/>
        <w:bidi w:val="0"/>
        <w:rPr>
          <w:rFonts w:hint="eastAsia" w:ascii="宋体" w:hAnsi="宋体" w:eastAsia="宋体" w:cs="宋体"/>
          <w:color w:val="auto"/>
        </w:rPr>
      </w:pPr>
      <w:r>
        <w:rPr>
          <w:rFonts w:hint="eastAsia" w:ascii="宋体" w:hAnsi="宋体" w:eastAsia="宋体" w:cs="宋体"/>
          <w:color w:val="auto"/>
        </w:rPr>
        <w:t>7.3.1定标方法具体见投标须知前附表。</w:t>
      </w:r>
    </w:p>
    <w:p w14:paraId="7B8BB533">
      <w:pPr>
        <w:pStyle w:val="9"/>
        <w:bidi w:val="0"/>
        <w:rPr>
          <w:rFonts w:hint="eastAsia" w:ascii="宋体" w:hAnsi="宋体" w:eastAsia="宋体" w:cs="宋体"/>
          <w:color w:val="auto"/>
        </w:rPr>
      </w:pPr>
      <w:r>
        <w:rPr>
          <w:rFonts w:hint="eastAsia" w:ascii="宋体" w:hAnsi="宋体" w:eastAsia="宋体" w:cs="宋体"/>
          <w:color w:val="auto"/>
        </w:rPr>
        <w:t>7.3.2定标委员会按照第四章“定标办法”规定的方法、规则、标准和程序在中标候选人中定标，确定中标人。第四章“定标办法”没有规定的方法、规则、标准，不作为定标依据。</w:t>
      </w:r>
    </w:p>
    <w:p w14:paraId="798E90DC">
      <w:pPr>
        <w:pStyle w:val="6"/>
        <w:bidi w:val="0"/>
        <w:rPr>
          <w:rFonts w:hint="eastAsia" w:ascii="宋体" w:hAnsi="宋体" w:eastAsia="宋体" w:cs="宋体"/>
          <w:color w:val="auto"/>
        </w:rPr>
      </w:pPr>
      <w:r>
        <w:rPr>
          <w:rFonts w:hint="eastAsia" w:ascii="宋体" w:hAnsi="宋体" w:eastAsia="宋体" w:cs="宋体"/>
          <w:color w:val="auto"/>
        </w:rPr>
        <w:t>7.4中标结果公告</w:t>
      </w:r>
    </w:p>
    <w:p w14:paraId="4D3F126E">
      <w:pPr>
        <w:pStyle w:val="9"/>
        <w:bidi w:val="0"/>
        <w:rPr>
          <w:rFonts w:hint="eastAsia" w:ascii="宋体" w:hAnsi="宋体" w:eastAsia="宋体" w:cs="宋体"/>
          <w:color w:val="auto"/>
        </w:rPr>
      </w:pPr>
      <w:r>
        <w:rPr>
          <w:rFonts w:hint="eastAsia" w:ascii="宋体" w:hAnsi="宋体" w:eastAsia="宋体" w:cs="宋体"/>
          <w:color w:val="auto"/>
        </w:rPr>
        <w:t>招标人应当在定标工作完成后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对中标结果公示有异议的，应当在公示期内向招标人提出。</w:t>
      </w:r>
    </w:p>
    <w:p w14:paraId="5E719A38">
      <w:pPr>
        <w:pStyle w:val="6"/>
        <w:bidi w:val="0"/>
        <w:rPr>
          <w:rFonts w:hint="eastAsia" w:ascii="宋体" w:hAnsi="宋体" w:eastAsia="宋体" w:cs="宋体"/>
          <w:color w:val="auto"/>
        </w:rPr>
      </w:pPr>
      <w:bookmarkStart w:id="132" w:name="_Toc18072"/>
      <w:r>
        <w:rPr>
          <w:rFonts w:hint="eastAsia" w:ascii="宋体" w:hAnsi="宋体" w:eastAsia="宋体" w:cs="宋体"/>
          <w:color w:val="auto"/>
        </w:rPr>
        <w:t>7.</w:t>
      </w:r>
      <w:r>
        <w:rPr>
          <w:rFonts w:hint="eastAsia" w:cs="宋体"/>
          <w:color w:val="auto"/>
          <w:lang w:val="en-US" w:eastAsia="zh-CN"/>
        </w:rPr>
        <w:t>5</w:t>
      </w:r>
      <w:r>
        <w:rPr>
          <w:rFonts w:hint="eastAsia" w:ascii="宋体" w:hAnsi="宋体" w:eastAsia="宋体" w:cs="宋体"/>
          <w:color w:val="auto"/>
        </w:rPr>
        <w:t>中标通知</w:t>
      </w:r>
      <w:bookmarkEnd w:id="132"/>
    </w:p>
    <w:p w14:paraId="0DF7186B">
      <w:pPr>
        <w:pStyle w:val="9"/>
        <w:bidi w:val="0"/>
        <w:rPr>
          <w:rFonts w:hint="eastAsia" w:ascii="宋体" w:hAnsi="宋体" w:eastAsia="宋体" w:cs="宋体"/>
          <w:color w:val="auto"/>
        </w:rPr>
      </w:pPr>
      <w:r>
        <w:rPr>
          <w:rFonts w:hint="eastAsia" w:ascii="宋体" w:hAnsi="宋体" w:eastAsia="宋体" w:cs="宋体"/>
          <w:color w:val="auto"/>
        </w:rPr>
        <w:t>在本章第3.3款规定的投标有效期内，招标人向中标人发出中标通知书，同时将中标结果通知未中标的投标人。</w:t>
      </w:r>
    </w:p>
    <w:p w14:paraId="170C8BD5">
      <w:pPr>
        <w:pStyle w:val="6"/>
        <w:bidi w:val="0"/>
        <w:rPr>
          <w:rFonts w:hint="eastAsia" w:ascii="宋体" w:hAnsi="宋体" w:eastAsia="宋体" w:cs="宋体"/>
          <w:color w:val="auto"/>
        </w:rPr>
      </w:pPr>
      <w:bookmarkStart w:id="133" w:name="_Toc5223"/>
      <w:r>
        <w:rPr>
          <w:rFonts w:hint="eastAsia" w:ascii="宋体" w:hAnsi="宋体" w:eastAsia="宋体" w:cs="宋体"/>
          <w:color w:val="auto"/>
        </w:rPr>
        <w:t>7.</w:t>
      </w:r>
      <w:r>
        <w:rPr>
          <w:rFonts w:hint="eastAsia" w:cs="宋体"/>
          <w:color w:val="auto"/>
          <w:lang w:val="en-US" w:eastAsia="zh-CN"/>
        </w:rPr>
        <w:t>6</w:t>
      </w:r>
      <w:r>
        <w:rPr>
          <w:rFonts w:hint="eastAsia" w:ascii="宋体" w:hAnsi="宋体" w:eastAsia="宋体" w:cs="宋体"/>
          <w:color w:val="auto"/>
        </w:rPr>
        <w:t xml:space="preserve"> 履约担保：</w:t>
      </w:r>
      <w:bookmarkEnd w:id="133"/>
    </w:p>
    <w:p w14:paraId="4D25C493">
      <w:pPr>
        <w:pStyle w:val="9"/>
        <w:bidi w:val="0"/>
        <w:rPr>
          <w:rFonts w:hint="eastAsia" w:ascii="宋体" w:hAnsi="宋体" w:eastAsia="宋体" w:cs="宋体"/>
          <w:color w:val="auto"/>
        </w:rPr>
      </w:pPr>
      <w:r>
        <w:rPr>
          <w:rFonts w:hint="eastAsia" w:ascii="宋体" w:hAnsi="宋体" w:eastAsia="宋体" w:cs="宋体"/>
          <w:color w:val="auto"/>
        </w:rPr>
        <w:t>本项目不需要提供。　</w:t>
      </w:r>
    </w:p>
    <w:p w14:paraId="54A026BF">
      <w:pPr>
        <w:pStyle w:val="6"/>
        <w:bidi w:val="0"/>
        <w:rPr>
          <w:rFonts w:hint="eastAsia" w:ascii="宋体" w:hAnsi="宋体" w:eastAsia="宋体" w:cs="宋体"/>
          <w:color w:val="auto"/>
        </w:rPr>
      </w:pPr>
      <w:bookmarkStart w:id="134" w:name="_Toc11431"/>
      <w:r>
        <w:rPr>
          <w:rFonts w:hint="eastAsia" w:ascii="宋体" w:hAnsi="宋体" w:eastAsia="宋体" w:cs="宋体"/>
          <w:color w:val="auto"/>
        </w:rPr>
        <w:t>7.</w:t>
      </w:r>
      <w:r>
        <w:rPr>
          <w:rFonts w:hint="eastAsia" w:cs="宋体"/>
          <w:color w:val="auto"/>
          <w:lang w:val="en-US" w:eastAsia="zh-CN"/>
        </w:rPr>
        <w:t>7</w:t>
      </w:r>
      <w:r>
        <w:rPr>
          <w:rFonts w:hint="eastAsia" w:ascii="宋体" w:hAnsi="宋体" w:eastAsia="宋体" w:cs="宋体"/>
          <w:color w:val="auto"/>
        </w:rPr>
        <w:t>签订合同</w:t>
      </w:r>
      <w:bookmarkEnd w:id="134"/>
    </w:p>
    <w:p w14:paraId="21B62133">
      <w:pPr>
        <w:pStyle w:val="9"/>
        <w:bidi w:val="0"/>
        <w:rPr>
          <w:rFonts w:hint="eastAsia" w:ascii="宋体" w:hAnsi="宋体" w:eastAsia="宋体" w:cs="宋体"/>
          <w:color w:val="auto"/>
          <w:lang w:eastAsia="zh-CN"/>
        </w:rPr>
      </w:pPr>
      <w:r>
        <w:rPr>
          <w:rFonts w:hint="eastAsia" w:ascii="宋体" w:hAnsi="宋体" w:eastAsia="宋体" w:cs="宋体"/>
          <w:color w:val="auto"/>
        </w:rPr>
        <w:t>7.4.1招标人和中标人应当自中标通知书发出之日起30天内，根据招标文件和中标人的投标文件订立书面合同并由中标人上传交易系统中。中标人无正当理由拒签合同的，招标人取消其中标资格</w:t>
      </w:r>
      <w:r>
        <w:rPr>
          <w:rFonts w:hint="eastAsia" w:ascii="宋体" w:hAnsi="宋体" w:eastAsia="宋体" w:cs="宋体"/>
          <w:color w:val="auto"/>
          <w:lang w:eastAsia="zh-CN"/>
        </w:rPr>
        <w:t>。</w:t>
      </w:r>
    </w:p>
    <w:p w14:paraId="0228C147">
      <w:pPr>
        <w:pStyle w:val="9"/>
        <w:bidi w:val="0"/>
        <w:rPr>
          <w:rFonts w:hint="eastAsia" w:ascii="宋体" w:hAnsi="宋体" w:eastAsia="宋体" w:cs="宋体"/>
          <w:color w:val="auto"/>
        </w:rPr>
      </w:pPr>
      <w:r>
        <w:rPr>
          <w:rFonts w:hint="eastAsia" w:ascii="宋体" w:hAnsi="宋体" w:eastAsia="宋体" w:cs="宋体"/>
          <w:color w:val="auto"/>
        </w:rPr>
        <w:t xml:space="preserve">7.4.2 发出中标通知书后，招标人无正当理由拒签合同的，给中标人造成损失的，还应当赔偿损失。 </w:t>
      </w:r>
    </w:p>
    <w:p w14:paraId="4856AD31">
      <w:pPr>
        <w:pStyle w:val="5"/>
        <w:bidi w:val="0"/>
        <w:rPr>
          <w:rFonts w:hint="eastAsia"/>
          <w:color w:val="auto"/>
        </w:rPr>
      </w:pPr>
      <w:bookmarkStart w:id="135" w:name="_Toc29994"/>
      <w:bookmarkStart w:id="136" w:name="_Toc516822644"/>
      <w:bookmarkStart w:id="137" w:name="_Toc15242"/>
      <w:r>
        <w:rPr>
          <w:rFonts w:hint="eastAsia"/>
          <w:color w:val="auto"/>
        </w:rPr>
        <w:t>8. 重新招标和不再招标</w:t>
      </w:r>
      <w:bookmarkEnd w:id="135"/>
      <w:bookmarkEnd w:id="136"/>
      <w:bookmarkEnd w:id="137"/>
    </w:p>
    <w:p w14:paraId="5F6CFABA">
      <w:pPr>
        <w:pStyle w:val="6"/>
        <w:bidi w:val="0"/>
        <w:rPr>
          <w:rFonts w:hint="eastAsia" w:ascii="宋体" w:hAnsi="宋体" w:eastAsia="宋体" w:cs="宋体"/>
          <w:color w:val="auto"/>
        </w:rPr>
      </w:pPr>
      <w:bookmarkStart w:id="138" w:name="_Toc12780"/>
      <w:r>
        <w:rPr>
          <w:rFonts w:hint="eastAsia" w:ascii="宋体" w:hAnsi="宋体" w:eastAsia="宋体" w:cs="宋体"/>
          <w:color w:val="auto"/>
        </w:rPr>
        <w:t>8.1 重新招标</w:t>
      </w:r>
      <w:bookmarkEnd w:id="138"/>
    </w:p>
    <w:p w14:paraId="018D82CD">
      <w:pPr>
        <w:pStyle w:val="9"/>
        <w:bidi w:val="0"/>
        <w:rPr>
          <w:rFonts w:hint="eastAsia" w:ascii="宋体" w:hAnsi="宋体" w:eastAsia="宋体" w:cs="宋体"/>
          <w:color w:val="auto"/>
        </w:rPr>
      </w:pPr>
      <w:r>
        <w:rPr>
          <w:rFonts w:hint="eastAsia" w:ascii="宋体" w:hAnsi="宋体" w:eastAsia="宋体" w:cs="宋体"/>
          <w:color w:val="auto"/>
        </w:rPr>
        <w:t>有下列情形之一的，招标人将重新招标：</w:t>
      </w:r>
    </w:p>
    <w:p w14:paraId="2BAAEC39">
      <w:pPr>
        <w:pStyle w:val="9"/>
        <w:bidi w:val="0"/>
        <w:rPr>
          <w:rFonts w:hint="eastAsia" w:ascii="宋体" w:hAnsi="宋体" w:eastAsia="宋体" w:cs="宋体"/>
          <w:color w:val="auto"/>
        </w:rPr>
      </w:pPr>
      <w:r>
        <w:rPr>
          <w:rFonts w:hint="eastAsia" w:ascii="宋体" w:hAnsi="宋体" w:eastAsia="宋体" w:cs="宋体"/>
          <w:color w:val="auto"/>
        </w:rPr>
        <w:t>（1）投标截止时间止，投标人少于3个的；</w:t>
      </w:r>
    </w:p>
    <w:p w14:paraId="60450AA5">
      <w:pPr>
        <w:pStyle w:val="9"/>
        <w:bidi w:val="0"/>
        <w:rPr>
          <w:rFonts w:hint="eastAsia" w:ascii="宋体" w:hAnsi="宋体" w:eastAsia="宋体" w:cs="宋体"/>
          <w:color w:val="auto"/>
        </w:rPr>
      </w:pPr>
      <w:r>
        <w:rPr>
          <w:rFonts w:hint="eastAsia" w:ascii="宋体" w:hAnsi="宋体" w:eastAsia="宋体" w:cs="宋体"/>
          <w:color w:val="auto"/>
        </w:rPr>
        <w:t>（2）经评标委员会评审后否决所有投标的。</w:t>
      </w:r>
    </w:p>
    <w:p w14:paraId="6F242FD7">
      <w:pPr>
        <w:pStyle w:val="6"/>
        <w:bidi w:val="0"/>
        <w:rPr>
          <w:rFonts w:hint="eastAsia" w:ascii="宋体" w:hAnsi="宋体" w:eastAsia="宋体" w:cs="宋体"/>
          <w:color w:val="auto"/>
        </w:rPr>
      </w:pPr>
      <w:bookmarkStart w:id="139" w:name="_Toc10197"/>
      <w:r>
        <w:rPr>
          <w:rFonts w:hint="eastAsia" w:ascii="宋体" w:hAnsi="宋体" w:eastAsia="宋体" w:cs="宋体"/>
          <w:color w:val="auto"/>
        </w:rPr>
        <w:t>8.2 不再招标</w:t>
      </w:r>
      <w:bookmarkEnd w:id="139"/>
    </w:p>
    <w:p w14:paraId="2886C239">
      <w:pPr>
        <w:pStyle w:val="9"/>
        <w:bidi w:val="0"/>
        <w:rPr>
          <w:rFonts w:hint="eastAsia" w:ascii="宋体" w:hAnsi="宋体" w:eastAsia="宋体" w:cs="宋体"/>
          <w:color w:val="auto"/>
        </w:rPr>
      </w:pPr>
      <w:r>
        <w:rPr>
          <w:rFonts w:hint="eastAsia" w:ascii="宋体" w:hAnsi="宋体" w:eastAsia="宋体" w:cs="宋体"/>
          <w:color w:val="auto"/>
        </w:rPr>
        <w:t>重新招标后投标人仍少于3个或者所有投标被否决的，属于必须审批或核准的工程建设项目，经原审批或核准部门批准后不再进行招标。</w:t>
      </w:r>
    </w:p>
    <w:p w14:paraId="6F6BF129">
      <w:pPr>
        <w:pStyle w:val="6"/>
        <w:bidi w:val="0"/>
        <w:rPr>
          <w:rFonts w:hint="eastAsia" w:ascii="宋体" w:hAnsi="宋体" w:eastAsia="宋体" w:cs="宋体"/>
          <w:color w:val="auto"/>
        </w:rPr>
      </w:pPr>
      <w:bookmarkStart w:id="140" w:name="_Toc23219"/>
      <w:bookmarkStart w:id="141" w:name="_Toc13405"/>
      <w:bookmarkStart w:id="142" w:name="_Toc516822645"/>
      <w:r>
        <w:rPr>
          <w:rFonts w:hint="eastAsia" w:ascii="宋体" w:hAnsi="宋体" w:eastAsia="宋体" w:cs="宋体"/>
          <w:color w:val="auto"/>
        </w:rPr>
        <w:t>9. 纪律和监督</w:t>
      </w:r>
      <w:bookmarkEnd w:id="140"/>
      <w:bookmarkEnd w:id="141"/>
      <w:bookmarkEnd w:id="142"/>
    </w:p>
    <w:p w14:paraId="548CD00C">
      <w:pPr>
        <w:pStyle w:val="6"/>
        <w:bidi w:val="0"/>
        <w:rPr>
          <w:rFonts w:hint="eastAsia" w:ascii="宋体" w:hAnsi="宋体" w:eastAsia="宋体" w:cs="宋体"/>
          <w:color w:val="auto"/>
        </w:rPr>
      </w:pPr>
      <w:bookmarkStart w:id="143" w:name="_Toc6065"/>
      <w:r>
        <w:rPr>
          <w:rFonts w:hint="eastAsia" w:ascii="宋体" w:hAnsi="宋体" w:eastAsia="宋体" w:cs="宋体"/>
          <w:color w:val="auto"/>
        </w:rPr>
        <w:t>9.1 对招标人的纪律要求</w:t>
      </w:r>
      <w:bookmarkEnd w:id="143"/>
    </w:p>
    <w:p w14:paraId="370BA8A0">
      <w:pPr>
        <w:pStyle w:val="9"/>
        <w:bidi w:val="0"/>
        <w:rPr>
          <w:rFonts w:hint="eastAsia" w:ascii="宋体" w:hAnsi="宋体" w:eastAsia="宋体" w:cs="宋体"/>
          <w:color w:val="auto"/>
        </w:rPr>
      </w:pPr>
      <w:r>
        <w:rPr>
          <w:rFonts w:hint="eastAsia" w:ascii="宋体" w:hAnsi="宋体" w:eastAsia="宋体" w:cs="宋体"/>
          <w:color w:val="auto"/>
        </w:rPr>
        <w:t>招标人不得泄漏招标投标活动中应当保密的情况和资料，不得与投标人串通损害国家利益、社会公共利益或者他人合法权益。</w:t>
      </w:r>
    </w:p>
    <w:p w14:paraId="49BCD895">
      <w:pPr>
        <w:pStyle w:val="6"/>
        <w:bidi w:val="0"/>
        <w:rPr>
          <w:rFonts w:hint="eastAsia" w:ascii="宋体" w:hAnsi="宋体" w:eastAsia="宋体" w:cs="宋体"/>
          <w:color w:val="auto"/>
        </w:rPr>
      </w:pPr>
      <w:bookmarkStart w:id="144" w:name="_Toc6110"/>
      <w:r>
        <w:rPr>
          <w:rFonts w:hint="eastAsia" w:ascii="宋体" w:hAnsi="宋体" w:eastAsia="宋体" w:cs="宋体"/>
          <w:color w:val="auto"/>
        </w:rPr>
        <w:t>9.2 对投标人的纪律要求</w:t>
      </w:r>
      <w:bookmarkEnd w:id="144"/>
    </w:p>
    <w:p w14:paraId="26FE0E49">
      <w:pPr>
        <w:pStyle w:val="9"/>
        <w:bidi w:val="0"/>
        <w:rPr>
          <w:rFonts w:hint="eastAsia" w:ascii="宋体" w:hAnsi="宋体" w:eastAsia="宋体" w:cs="宋体"/>
          <w:color w:val="auto"/>
        </w:rPr>
      </w:pPr>
      <w:r>
        <w:rPr>
          <w:rFonts w:hint="eastAsia" w:ascii="宋体" w:hAnsi="宋体" w:eastAsia="宋体" w:cs="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92138E">
      <w:pPr>
        <w:pStyle w:val="6"/>
        <w:bidi w:val="0"/>
        <w:rPr>
          <w:rFonts w:hint="eastAsia" w:ascii="宋体" w:hAnsi="宋体" w:eastAsia="宋体" w:cs="宋体"/>
          <w:color w:val="auto"/>
        </w:rPr>
      </w:pPr>
      <w:bookmarkStart w:id="145" w:name="_Toc2568"/>
      <w:r>
        <w:rPr>
          <w:rFonts w:hint="eastAsia" w:ascii="宋体" w:hAnsi="宋体" w:eastAsia="宋体" w:cs="宋体"/>
          <w:color w:val="auto"/>
        </w:rPr>
        <w:t>9.3 对评标委员会成员的纪律要求</w:t>
      </w:r>
      <w:bookmarkEnd w:id="145"/>
    </w:p>
    <w:p w14:paraId="6B936D2D">
      <w:pPr>
        <w:pStyle w:val="9"/>
        <w:bidi w:val="0"/>
        <w:rPr>
          <w:rFonts w:hint="eastAsia" w:ascii="宋体" w:hAnsi="宋体" w:eastAsia="宋体" w:cs="宋体"/>
          <w:color w:val="auto"/>
        </w:rPr>
      </w:pPr>
      <w:r>
        <w:rPr>
          <w:rFonts w:hint="eastAsia" w:ascii="宋体" w:hAnsi="宋体" w:eastAsia="宋体" w:cs="宋体"/>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58B039F">
      <w:pPr>
        <w:pStyle w:val="6"/>
        <w:bidi w:val="0"/>
        <w:rPr>
          <w:rFonts w:hint="eastAsia" w:ascii="宋体" w:hAnsi="宋体" w:eastAsia="宋体" w:cs="宋体"/>
          <w:color w:val="auto"/>
        </w:rPr>
      </w:pPr>
      <w:bookmarkStart w:id="146" w:name="_Toc18409"/>
      <w:r>
        <w:rPr>
          <w:rFonts w:hint="eastAsia" w:ascii="宋体" w:hAnsi="宋体" w:eastAsia="宋体" w:cs="宋体"/>
          <w:color w:val="auto"/>
        </w:rPr>
        <w:t>9.4 对与评标活动有关的工作人员的纪律要求</w:t>
      </w:r>
      <w:bookmarkEnd w:id="146"/>
    </w:p>
    <w:p w14:paraId="6A5982B3">
      <w:pPr>
        <w:pStyle w:val="9"/>
        <w:bidi w:val="0"/>
        <w:rPr>
          <w:rFonts w:hint="eastAsia" w:ascii="宋体" w:hAnsi="宋体" w:eastAsia="宋体" w:cs="宋体"/>
          <w:color w:val="auto"/>
        </w:rPr>
      </w:pPr>
      <w:r>
        <w:rPr>
          <w:rFonts w:hint="eastAsia" w:ascii="宋体" w:hAnsi="宋体" w:eastAsia="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DCACBF9">
      <w:pPr>
        <w:pStyle w:val="6"/>
        <w:bidi w:val="0"/>
        <w:rPr>
          <w:rFonts w:hint="eastAsia" w:ascii="宋体" w:hAnsi="宋体" w:eastAsia="宋体" w:cs="宋体"/>
          <w:color w:val="auto"/>
        </w:rPr>
      </w:pPr>
      <w:bookmarkStart w:id="147" w:name="_Toc19416"/>
      <w:r>
        <w:rPr>
          <w:rFonts w:hint="eastAsia" w:ascii="宋体" w:hAnsi="宋体" w:eastAsia="宋体" w:cs="宋体"/>
          <w:color w:val="auto"/>
        </w:rPr>
        <w:t>9.5 投诉</w:t>
      </w:r>
      <w:bookmarkEnd w:id="147"/>
    </w:p>
    <w:p w14:paraId="3BDAAE5F">
      <w:pPr>
        <w:pStyle w:val="9"/>
        <w:bidi w:val="0"/>
        <w:rPr>
          <w:rFonts w:hint="eastAsia" w:ascii="宋体" w:hAnsi="宋体" w:eastAsia="宋体" w:cs="宋体"/>
          <w:color w:val="auto"/>
        </w:rPr>
      </w:pPr>
      <w:r>
        <w:rPr>
          <w:rFonts w:hint="eastAsia" w:ascii="宋体" w:hAnsi="宋体" w:eastAsia="宋体" w:cs="宋体"/>
          <w:color w:val="auto"/>
        </w:rPr>
        <w:t>投标人和其他利害关系人认为本次招标活动违反法律、法规和规章规定的，有权向有关行政监督部门投诉。</w:t>
      </w:r>
    </w:p>
    <w:p w14:paraId="4AEB9AEA">
      <w:pPr>
        <w:pStyle w:val="6"/>
        <w:bidi w:val="0"/>
        <w:rPr>
          <w:rFonts w:hint="eastAsia" w:ascii="宋体" w:hAnsi="宋体" w:eastAsia="宋体" w:cs="宋体"/>
          <w:color w:val="auto"/>
        </w:rPr>
      </w:pPr>
      <w:bookmarkStart w:id="148" w:name="_Toc516822646"/>
      <w:bookmarkStart w:id="149" w:name="_Toc22338"/>
      <w:bookmarkStart w:id="150" w:name="_Toc9559"/>
      <w:r>
        <w:rPr>
          <w:rFonts w:hint="eastAsia" w:ascii="宋体" w:hAnsi="宋体" w:eastAsia="宋体" w:cs="宋体"/>
          <w:color w:val="auto"/>
        </w:rPr>
        <w:t>10. 需要补充的其他内容</w:t>
      </w:r>
      <w:bookmarkEnd w:id="148"/>
      <w:bookmarkEnd w:id="149"/>
      <w:bookmarkEnd w:id="150"/>
    </w:p>
    <w:p w14:paraId="15DD92F6">
      <w:pPr>
        <w:pStyle w:val="9"/>
        <w:bidi w:val="0"/>
        <w:rPr>
          <w:rFonts w:hint="eastAsia" w:ascii="宋体" w:hAnsi="宋体" w:eastAsia="宋体" w:cs="宋体"/>
          <w:color w:val="auto"/>
        </w:rPr>
      </w:pPr>
      <w:r>
        <w:rPr>
          <w:rFonts w:hint="eastAsia" w:ascii="宋体" w:hAnsi="宋体" w:eastAsia="宋体" w:cs="宋体"/>
          <w:color w:val="auto"/>
        </w:rPr>
        <w:t>需要补充的其他内容：见投标人须知前附表。</w:t>
      </w:r>
    </w:p>
    <w:p w14:paraId="373C4CF7">
      <w:pPr>
        <w:rPr>
          <w:rFonts w:hint="eastAsia"/>
          <w:color w:val="auto"/>
        </w:rPr>
      </w:pPr>
      <w:bookmarkStart w:id="151" w:name="_Toc16274"/>
      <w:r>
        <w:rPr>
          <w:rFonts w:hint="eastAsia"/>
          <w:color w:val="auto"/>
        </w:rPr>
        <w:br w:type="page"/>
      </w:r>
    </w:p>
    <w:p w14:paraId="4799D7F2">
      <w:pPr>
        <w:pStyle w:val="5"/>
        <w:bidi w:val="0"/>
        <w:rPr>
          <w:color w:val="auto"/>
        </w:rPr>
      </w:pPr>
      <w:r>
        <w:rPr>
          <w:rFonts w:hint="eastAsia"/>
          <w:color w:val="auto"/>
        </w:rPr>
        <w:t>附件一：开标记录表</w:t>
      </w:r>
      <w:bookmarkEnd w:id="151"/>
    </w:p>
    <w:p w14:paraId="2C78F2CA">
      <w:pPr>
        <w:spacing w:before="240" w:beforeLines="100" w:after="240" w:afterLines="100" w:line="400" w:lineRule="exact"/>
        <w:ind w:firstLine="1120" w:firstLineChars="400"/>
        <w:rPr>
          <w:rFonts w:ascii="宋体" w:hAnsi="宋体"/>
          <w:color w:val="auto"/>
          <w:sz w:val="28"/>
          <w:highlight w:val="none"/>
        </w:rPr>
      </w:pPr>
      <w:r>
        <w:rPr>
          <w:rFonts w:hint="eastAsia" w:ascii="宋体" w:hAnsi="宋体"/>
          <w:color w:val="auto"/>
          <w:sz w:val="28"/>
          <w:highlight w:val="none"/>
          <w:u w:val="single"/>
        </w:rPr>
        <w:t xml:space="preserve">         </w:t>
      </w:r>
      <w:r>
        <w:rPr>
          <w:rFonts w:hint="eastAsia" w:ascii="宋体" w:hAnsi="宋体"/>
          <w:color w:val="auto"/>
          <w:sz w:val="28"/>
          <w:highlight w:val="none"/>
        </w:rPr>
        <w:t>（项目名称）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标段</w:t>
      </w:r>
      <w:r>
        <w:rPr>
          <w:rFonts w:hint="eastAsia" w:ascii="宋体" w:hAnsi="宋体"/>
          <w:color w:val="auto"/>
          <w:sz w:val="28"/>
          <w:highlight w:val="none"/>
        </w:rPr>
        <w:t>开标记录表</w:t>
      </w:r>
    </w:p>
    <w:p w14:paraId="52091755">
      <w:pPr>
        <w:spacing w:line="400" w:lineRule="exact"/>
        <w:ind w:firstLine="120" w:firstLineChars="50"/>
        <w:rPr>
          <w:rFonts w:ascii="宋体" w:hAnsi="宋体"/>
          <w:color w:val="auto"/>
          <w:highlight w:val="none"/>
        </w:rPr>
      </w:pPr>
      <w:r>
        <w:rPr>
          <w:rFonts w:hint="eastAsia" w:ascii="宋体" w:hAnsi="宋体"/>
          <w:color w:val="auto"/>
          <w:sz w:val="24"/>
          <w:highlight w:val="none"/>
        </w:rPr>
        <w:t>开标时间</w:t>
      </w:r>
      <w:r>
        <w:rPr>
          <w:rFonts w:hint="eastAsia" w:ascii="宋体" w:hAnsi="宋体"/>
          <w:color w:val="auto"/>
          <w:highlight w:val="none"/>
        </w:rPr>
        <w:t>：</w:t>
      </w:r>
      <w:r>
        <w:rPr>
          <w:rFonts w:hint="eastAsia" w:ascii="宋体" w:hAnsi="宋体"/>
          <w:color w:val="auto"/>
          <w:sz w:val="28"/>
          <w:highlight w:val="none"/>
          <w:u w:val="single"/>
        </w:rPr>
        <w:t xml:space="preserve">   </w:t>
      </w:r>
      <w:r>
        <w:rPr>
          <w:rFonts w:hint="eastAsia" w:ascii="宋体" w:hAnsi="宋体"/>
          <w:color w:val="auto"/>
          <w:highlight w:val="none"/>
        </w:rPr>
        <w:t xml:space="preserve">年 </w:t>
      </w:r>
      <w:r>
        <w:rPr>
          <w:rFonts w:hint="eastAsia" w:ascii="宋体" w:hAnsi="宋体"/>
          <w:color w:val="auto"/>
          <w:sz w:val="28"/>
          <w:highlight w:val="none"/>
          <w:u w:val="single"/>
        </w:rPr>
        <w:t xml:space="preserve">   </w:t>
      </w:r>
      <w:r>
        <w:rPr>
          <w:rFonts w:hint="eastAsia" w:ascii="宋体" w:hAnsi="宋体"/>
          <w:color w:val="auto"/>
          <w:highlight w:val="none"/>
        </w:rPr>
        <w:t xml:space="preserve"> 月</w:t>
      </w:r>
      <w:r>
        <w:rPr>
          <w:rFonts w:hint="eastAsia" w:ascii="宋体" w:hAnsi="宋体"/>
          <w:color w:val="auto"/>
          <w:sz w:val="28"/>
          <w:highlight w:val="none"/>
          <w:u w:val="single"/>
        </w:rPr>
        <w:t xml:space="preserve">   </w:t>
      </w:r>
      <w:r>
        <w:rPr>
          <w:rFonts w:hint="eastAsia" w:ascii="宋体" w:hAnsi="宋体"/>
          <w:color w:val="auto"/>
          <w:highlight w:val="none"/>
        </w:rPr>
        <w:t xml:space="preserve">  日 </w:t>
      </w:r>
      <w:r>
        <w:rPr>
          <w:rFonts w:hint="eastAsia" w:ascii="宋体" w:hAnsi="宋体"/>
          <w:color w:val="auto"/>
          <w:sz w:val="28"/>
          <w:highlight w:val="none"/>
          <w:u w:val="single"/>
        </w:rPr>
        <w:t xml:space="preserve">   </w:t>
      </w:r>
      <w:r>
        <w:rPr>
          <w:rFonts w:hint="eastAsia" w:ascii="宋体" w:hAnsi="宋体"/>
          <w:color w:val="auto"/>
          <w:highlight w:val="none"/>
        </w:rPr>
        <w:t xml:space="preserve"> 时</w:t>
      </w:r>
      <w:r>
        <w:rPr>
          <w:rFonts w:hint="eastAsia" w:ascii="宋体" w:hAnsi="宋体"/>
          <w:color w:val="auto"/>
          <w:sz w:val="28"/>
          <w:highlight w:val="none"/>
          <w:u w:val="single"/>
        </w:rPr>
        <w:t xml:space="preserve">   </w:t>
      </w:r>
      <w:r>
        <w:rPr>
          <w:rFonts w:hint="eastAsia" w:ascii="宋体" w:hAnsi="宋体"/>
          <w:color w:val="auto"/>
          <w:highlight w:val="none"/>
        </w:rPr>
        <w:t xml:space="preserve">  分</w:t>
      </w:r>
    </w:p>
    <w:p w14:paraId="54EDAA5A">
      <w:pPr>
        <w:spacing w:line="400" w:lineRule="exact"/>
        <w:ind w:firstLine="120" w:firstLineChars="50"/>
        <w:rPr>
          <w:rFonts w:ascii="宋体" w:hAnsi="宋体"/>
          <w:color w:val="auto"/>
          <w:sz w:val="24"/>
          <w:highlight w:val="none"/>
        </w:rPr>
      </w:pPr>
      <w:r>
        <w:rPr>
          <w:rFonts w:hint="eastAsia" w:ascii="宋体" w:hAnsi="宋体"/>
          <w:color w:val="auto"/>
          <w:sz w:val="24"/>
          <w:highlight w:val="none"/>
        </w:rPr>
        <w:t>开标地点</w:t>
      </w:r>
      <w:r>
        <w:rPr>
          <w:rFonts w:hint="eastAsia" w:ascii="宋体" w:hAnsi="宋体"/>
          <w:color w:val="auto"/>
          <w:highlight w:val="none"/>
        </w:rPr>
        <w:t>：</w:t>
      </w:r>
      <w:r>
        <w:rPr>
          <w:rFonts w:hint="eastAsia" w:ascii="宋体" w:hAnsi="宋体"/>
          <w:color w:val="auto"/>
          <w:sz w:val="28"/>
          <w:highlight w:val="none"/>
          <w:u w:val="single"/>
        </w:rPr>
        <w:t xml:space="preserve">                            </w:t>
      </w:r>
    </w:p>
    <w:p w14:paraId="29A29161">
      <w:pPr>
        <w:spacing w:line="400" w:lineRule="exact"/>
        <w:ind w:firstLine="120" w:firstLineChars="50"/>
        <w:rPr>
          <w:rFonts w:ascii="宋体" w:hAnsi="宋体"/>
          <w:color w:val="auto"/>
          <w:sz w:val="24"/>
          <w:highlight w:val="none"/>
        </w:rPr>
      </w:pPr>
      <w:r>
        <w:rPr>
          <w:rFonts w:hint="eastAsia" w:ascii="宋体" w:hAnsi="宋体"/>
          <w:color w:val="auto"/>
          <w:sz w:val="24"/>
          <w:highlight w:val="none"/>
        </w:rPr>
        <w:t>（一）唱标记录</w:t>
      </w:r>
    </w:p>
    <w:tbl>
      <w:tblPr>
        <w:tblStyle w:val="29"/>
        <w:tblW w:w="843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91"/>
        <w:gridCol w:w="1645"/>
        <w:gridCol w:w="1308"/>
        <w:gridCol w:w="885"/>
        <w:gridCol w:w="887"/>
        <w:gridCol w:w="887"/>
        <w:gridCol w:w="945"/>
      </w:tblGrid>
      <w:tr w14:paraId="6C37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88" w:type="dxa"/>
            <w:tcMar>
              <w:left w:w="28" w:type="dxa"/>
              <w:right w:w="28" w:type="dxa"/>
            </w:tcMar>
            <w:vAlign w:val="center"/>
          </w:tcPr>
          <w:p w14:paraId="41181047">
            <w:pPr>
              <w:jc w:val="center"/>
              <w:rPr>
                <w:rFonts w:ascii="宋体" w:hAnsi="宋体"/>
                <w:color w:val="auto"/>
                <w:highlight w:val="none"/>
              </w:rPr>
            </w:pPr>
            <w:r>
              <w:rPr>
                <w:rFonts w:hint="eastAsia" w:ascii="宋体" w:hAnsi="宋体"/>
                <w:color w:val="auto"/>
                <w:highlight w:val="none"/>
              </w:rPr>
              <w:t>序号</w:t>
            </w:r>
          </w:p>
        </w:tc>
        <w:tc>
          <w:tcPr>
            <w:tcW w:w="1091" w:type="dxa"/>
            <w:tcMar>
              <w:left w:w="28" w:type="dxa"/>
              <w:right w:w="28" w:type="dxa"/>
            </w:tcMar>
            <w:vAlign w:val="center"/>
          </w:tcPr>
          <w:p w14:paraId="783F49CC">
            <w:pPr>
              <w:jc w:val="center"/>
              <w:rPr>
                <w:rFonts w:ascii="宋体" w:hAnsi="宋体"/>
                <w:color w:val="auto"/>
                <w:highlight w:val="none"/>
              </w:rPr>
            </w:pPr>
            <w:r>
              <w:rPr>
                <w:rFonts w:hint="eastAsia" w:ascii="宋体" w:hAnsi="宋体"/>
                <w:color w:val="auto"/>
                <w:highlight w:val="none"/>
              </w:rPr>
              <w:t>投标人</w:t>
            </w:r>
          </w:p>
        </w:tc>
        <w:tc>
          <w:tcPr>
            <w:tcW w:w="1645" w:type="dxa"/>
            <w:tcMar>
              <w:left w:w="28" w:type="dxa"/>
              <w:right w:w="28" w:type="dxa"/>
            </w:tcMar>
            <w:vAlign w:val="center"/>
          </w:tcPr>
          <w:p w14:paraId="6513DA99">
            <w:pPr>
              <w:jc w:val="center"/>
              <w:rPr>
                <w:rFonts w:ascii="宋体" w:hAnsi="宋体"/>
                <w:color w:val="auto"/>
                <w:highlight w:val="none"/>
              </w:rPr>
            </w:pPr>
            <w:r>
              <w:rPr>
                <w:rFonts w:hint="eastAsia" w:ascii="宋体" w:hAnsi="宋体"/>
                <w:color w:val="auto"/>
                <w:highlight w:val="none"/>
              </w:rPr>
              <w:t>投标报价</w:t>
            </w:r>
          </w:p>
        </w:tc>
        <w:tc>
          <w:tcPr>
            <w:tcW w:w="1308" w:type="dxa"/>
            <w:tcMar>
              <w:left w:w="28" w:type="dxa"/>
              <w:right w:w="28" w:type="dxa"/>
            </w:tcMar>
            <w:vAlign w:val="center"/>
          </w:tcPr>
          <w:p w14:paraId="5C88B950">
            <w:pPr>
              <w:jc w:val="center"/>
              <w:rPr>
                <w:rFonts w:ascii="宋体" w:hAnsi="宋体"/>
                <w:color w:val="auto"/>
                <w:highlight w:val="none"/>
              </w:rPr>
            </w:pPr>
            <w:r>
              <w:rPr>
                <w:rFonts w:hint="eastAsia" w:ascii="宋体" w:hAnsi="宋体"/>
                <w:color w:val="auto"/>
                <w:highlight w:val="none"/>
              </w:rPr>
              <w:t>质量目标</w:t>
            </w:r>
          </w:p>
        </w:tc>
        <w:tc>
          <w:tcPr>
            <w:tcW w:w="885" w:type="dxa"/>
            <w:tcMar>
              <w:left w:w="28" w:type="dxa"/>
              <w:right w:w="28" w:type="dxa"/>
            </w:tcMar>
            <w:vAlign w:val="center"/>
          </w:tcPr>
          <w:p w14:paraId="05FCD3DC">
            <w:pPr>
              <w:jc w:val="center"/>
              <w:rPr>
                <w:rFonts w:hint="eastAsia" w:ascii="宋体" w:hAnsi="宋体" w:eastAsia="宋体"/>
                <w:color w:val="auto"/>
                <w:highlight w:val="none"/>
                <w:lang w:eastAsia="zh-CN"/>
              </w:rPr>
            </w:pPr>
            <w:r>
              <w:rPr>
                <w:rFonts w:hint="eastAsia" w:ascii="宋体" w:hAnsi="宋体"/>
                <w:color w:val="auto"/>
                <w:highlight w:val="none"/>
                <w:lang w:eastAsia="zh-CN"/>
              </w:rPr>
              <w:t>工期</w:t>
            </w:r>
          </w:p>
        </w:tc>
        <w:tc>
          <w:tcPr>
            <w:tcW w:w="887" w:type="dxa"/>
            <w:tcMar>
              <w:left w:w="28" w:type="dxa"/>
              <w:right w:w="28" w:type="dxa"/>
            </w:tcMar>
          </w:tcPr>
          <w:p w14:paraId="4F553021">
            <w:pPr>
              <w:jc w:val="center"/>
              <w:rPr>
                <w:rFonts w:ascii="宋体" w:hAnsi="宋体"/>
                <w:color w:val="auto"/>
                <w:highlight w:val="none"/>
              </w:rPr>
            </w:pPr>
            <w:r>
              <w:rPr>
                <w:rFonts w:hint="eastAsia" w:ascii="宋体" w:hAnsi="宋体"/>
                <w:color w:val="auto"/>
                <w:highlight w:val="none"/>
              </w:rPr>
              <w:t>项目总监理工程师</w:t>
            </w:r>
          </w:p>
        </w:tc>
        <w:tc>
          <w:tcPr>
            <w:tcW w:w="887" w:type="dxa"/>
            <w:tcMar>
              <w:left w:w="28" w:type="dxa"/>
              <w:right w:w="28" w:type="dxa"/>
            </w:tcMar>
            <w:vAlign w:val="center"/>
          </w:tcPr>
          <w:p w14:paraId="3A489D24">
            <w:pPr>
              <w:jc w:val="center"/>
              <w:rPr>
                <w:rFonts w:ascii="宋体" w:hAnsi="宋体"/>
                <w:color w:val="auto"/>
                <w:highlight w:val="none"/>
              </w:rPr>
            </w:pPr>
            <w:r>
              <w:rPr>
                <w:rFonts w:hint="eastAsia" w:ascii="宋体" w:hAnsi="宋体"/>
                <w:color w:val="auto"/>
                <w:highlight w:val="none"/>
              </w:rPr>
              <w:t>签名</w:t>
            </w:r>
          </w:p>
        </w:tc>
        <w:tc>
          <w:tcPr>
            <w:tcW w:w="945" w:type="dxa"/>
            <w:tcMar>
              <w:left w:w="28" w:type="dxa"/>
              <w:right w:w="28" w:type="dxa"/>
            </w:tcMar>
            <w:vAlign w:val="center"/>
          </w:tcPr>
          <w:p w14:paraId="07DA3080">
            <w:pPr>
              <w:jc w:val="center"/>
              <w:rPr>
                <w:rFonts w:ascii="宋体" w:hAnsi="宋体"/>
                <w:color w:val="auto"/>
                <w:highlight w:val="none"/>
              </w:rPr>
            </w:pPr>
            <w:r>
              <w:rPr>
                <w:rFonts w:hint="eastAsia" w:ascii="宋体" w:hAnsi="宋体"/>
                <w:color w:val="auto"/>
                <w:highlight w:val="none"/>
              </w:rPr>
              <w:t>备注</w:t>
            </w:r>
          </w:p>
        </w:tc>
      </w:tr>
      <w:tr w14:paraId="23DE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8" w:type="dxa"/>
            <w:tcMar>
              <w:left w:w="28" w:type="dxa"/>
              <w:right w:w="28" w:type="dxa"/>
            </w:tcMar>
            <w:vAlign w:val="center"/>
          </w:tcPr>
          <w:p w14:paraId="49B93522">
            <w:pPr>
              <w:jc w:val="center"/>
              <w:rPr>
                <w:rFonts w:ascii="宋体" w:hAnsi="宋体"/>
                <w:color w:val="auto"/>
                <w:highlight w:val="none"/>
              </w:rPr>
            </w:pPr>
          </w:p>
        </w:tc>
        <w:tc>
          <w:tcPr>
            <w:tcW w:w="1091" w:type="dxa"/>
            <w:tcMar>
              <w:left w:w="28" w:type="dxa"/>
              <w:right w:w="28" w:type="dxa"/>
            </w:tcMar>
            <w:vAlign w:val="center"/>
          </w:tcPr>
          <w:p w14:paraId="5A5FAB29">
            <w:pPr>
              <w:jc w:val="center"/>
              <w:rPr>
                <w:rFonts w:ascii="宋体" w:hAnsi="宋体"/>
                <w:color w:val="auto"/>
                <w:highlight w:val="none"/>
              </w:rPr>
            </w:pPr>
          </w:p>
        </w:tc>
        <w:tc>
          <w:tcPr>
            <w:tcW w:w="1645" w:type="dxa"/>
            <w:tcMar>
              <w:left w:w="28" w:type="dxa"/>
              <w:right w:w="28" w:type="dxa"/>
            </w:tcMar>
            <w:vAlign w:val="center"/>
          </w:tcPr>
          <w:p w14:paraId="69C65956">
            <w:pPr>
              <w:jc w:val="center"/>
              <w:rPr>
                <w:rFonts w:ascii="宋体" w:hAnsi="宋体"/>
                <w:color w:val="auto"/>
                <w:highlight w:val="none"/>
              </w:rPr>
            </w:pPr>
          </w:p>
        </w:tc>
        <w:tc>
          <w:tcPr>
            <w:tcW w:w="1308" w:type="dxa"/>
            <w:tcMar>
              <w:left w:w="28" w:type="dxa"/>
              <w:right w:w="28" w:type="dxa"/>
            </w:tcMar>
            <w:vAlign w:val="center"/>
          </w:tcPr>
          <w:p w14:paraId="7D5A2F58">
            <w:pPr>
              <w:jc w:val="center"/>
              <w:rPr>
                <w:rFonts w:ascii="宋体" w:hAnsi="宋体"/>
                <w:color w:val="auto"/>
                <w:highlight w:val="none"/>
              </w:rPr>
            </w:pPr>
          </w:p>
        </w:tc>
        <w:tc>
          <w:tcPr>
            <w:tcW w:w="885" w:type="dxa"/>
            <w:tcMar>
              <w:left w:w="28" w:type="dxa"/>
              <w:right w:w="28" w:type="dxa"/>
            </w:tcMar>
            <w:vAlign w:val="center"/>
          </w:tcPr>
          <w:p w14:paraId="00F8BD11">
            <w:pPr>
              <w:jc w:val="center"/>
              <w:rPr>
                <w:rFonts w:ascii="宋体" w:hAnsi="宋体"/>
                <w:color w:val="auto"/>
                <w:highlight w:val="none"/>
              </w:rPr>
            </w:pPr>
          </w:p>
        </w:tc>
        <w:tc>
          <w:tcPr>
            <w:tcW w:w="887" w:type="dxa"/>
            <w:tcMar>
              <w:left w:w="28" w:type="dxa"/>
              <w:right w:w="28" w:type="dxa"/>
            </w:tcMar>
          </w:tcPr>
          <w:p w14:paraId="182A1814">
            <w:pPr>
              <w:jc w:val="center"/>
              <w:rPr>
                <w:rFonts w:ascii="宋体" w:hAnsi="宋体"/>
                <w:color w:val="auto"/>
                <w:highlight w:val="none"/>
              </w:rPr>
            </w:pPr>
          </w:p>
        </w:tc>
        <w:tc>
          <w:tcPr>
            <w:tcW w:w="887" w:type="dxa"/>
            <w:tcMar>
              <w:left w:w="28" w:type="dxa"/>
              <w:right w:w="28" w:type="dxa"/>
            </w:tcMar>
            <w:vAlign w:val="center"/>
          </w:tcPr>
          <w:p w14:paraId="5B9F1C5E">
            <w:pPr>
              <w:jc w:val="center"/>
              <w:rPr>
                <w:rFonts w:ascii="宋体" w:hAnsi="宋体"/>
                <w:color w:val="auto"/>
                <w:highlight w:val="none"/>
              </w:rPr>
            </w:pPr>
          </w:p>
        </w:tc>
        <w:tc>
          <w:tcPr>
            <w:tcW w:w="945" w:type="dxa"/>
            <w:tcMar>
              <w:left w:w="28" w:type="dxa"/>
              <w:right w:w="28" w:type="dxa"/>
            </w:tcMar>
            <w:vAlign w:val="center"/>
          </w:tcPr>
          <w:p w14:paraId="6477ECBA">
            <w:pPr>
              <w:jc w:val="center"/>
              <w:rPr>
                <w:rFonts w:ascii="宋体" w:hAnsi="宋体"/>
                <w:color w:val="auto"/>
                <w:highlight w:val="none"/>
              </w:rPr>
            </w:pPr>
          </w:p>
        </w:tc>
      </w:tr>
      <w:tr w14:paraId="550E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8" w:type="dxa"/>
            <w:tcMar>
              <w:left w:w="28" w:type="dxa"/>
              <w:right w:w="28" w:type="dxa"/>
            </w:tcMar>
            <w:vAlign w:val="center"/>
          </w:tcPr>
          <w:p w14:paraId="7AFB4D81">
            <w:pPr>
              <w:spacing w:line="400" w:lineRule="exact"/>
              <w:jc w:val="center"/>
              <w:rPr>
                <w:rFonts w:ascii="宋体" w:hAnsi="宋体"/>
                <w:color w:val="auto"/>
                <w:highlight w:val="none"/>
              </w:rPr>
            </w:pPr>
          </w:p>
        </w:tc>
        <w:tc>
          <w:tcPr>
            <w:tcW w:w="1091" w:type="dxa"/>
            <w:tcMar>
              <w:left w:w="28" w:type="dxa"/>
              <w:right w:w="28" w:type="dxa"/>
            </w:tcMar>
            <w:vAlign w:val="center"/>
          </w:tcPr>
          <w:p w14:paraId="1DD0A469">
            <w:pPr>
              <w:spacing w:line="400" w:lineRule="exact"/>
              <w:jc w:val="center"/>
              <w:rPr>
                <w:rFonts w:ascii="宋体" w:hAnsi="宋体"/>
                <w:color w:val="auto"/>
                <w:highlight w:val="none"/>
              </w:rPr>
            </w:pPr>
          </w:p>
        </w:tc>
        <w:tc>
          <w:tcPr>
            <w:tcW w:w="1645" w:type="dxa"/>
            <w:tcMar>
              <w:left w:w="28" w:type="dxa"/>
              <w:right w:w="28" w:type="dxa"/>
            </w:tcMar>
            <w:vAlign w:val="center"/>
          </w:tcPr>
          <w:p w14:paraId="57953EA8">
            <w:pPr>
              <w:spacing w:line="400" w:lineRule="exact"/>
              <w:jc w:val="center"/>
              <w:rPr>
                <w:rFonts w:ascii="宋体" w:hAnsi="宋体"/>
                <w:color w:val="auto"/>
                <w:highlight w:val="none"/>
              </w:rPr>
            </w:pPr>
          </w:p>
        </w:tc>
        <w:tc>
          <w:tcPr>
            <w:tcW w:w="1308" w:type="dxa"/>
            <w:tcMar>
              <w:left w:w="28" w:type="dxa"/>
              <w:right w:w="28" w:type="dxa"/>
            </w:tcMar>
            <w:vAlign w:val="center"/>
          </w:tcPr>
          <w:p w14:paraId="519718E6">
            <w:pPr>
              <w:spacing w:line="400" w:lineRule="exact"/>
              <w:jc w:val="center"/>
              <w:rPr>
                <w:rFonts w:ascii="宋体" w:hAnsi="宋体"/>
                <w:color w:val="auto"/>
                <w:highlight w:val="none"/>
              </w:rPr>
            </w:pPr>
          </w:p>
        </w:tc>
        <w:tc>
          <w:tcPr>
            <w:tcW w:w="885" w:type="dxa"/>
            <w:tcMar>
              <w:left w:w="28" w:type="dxa"/>
              <w:right w:w="28" w:type="dxa"/>
            </w:tcMar>
            <w:vAlign w:val="center"/>
          </w:tcPr>
          <w:p w14:paraId="646C4B8F">
            <w:pPr>
              <w:spacing w:line="400" w:lineRule="exact"/>
              <w:jc w:val="center"/>
              <w:rPr>
                <w:rFonts w:ascii="宋体" w:hAnsi="宋体"/>
                <w:color w:val="auto"/>
                <w:highlight w:val="none"/>
              </w:rPr>
            </w:pPr>
          </w:p>
        </w:tc>
        <w:tc>
          <w:tcPr>
            <w:tcW w:w="887" w:type="dxa"/>
            <w:tcMar>
              <w:left w:w="28" w:type="dxa"/>
              <w:right w:w="28" w:type="dxa"/>
            </w:tcMar>
          </w:tcPr>
          <w:p w14:paraId="789DA753">
            <w:pPr>
              <w:spacing w:line="400" w:lineRule="exact"/>
              <w:jc w:val="center"/>
              <w:rPr>
                <w:rFonts w:ascii="宋体" w:hAnsi="宋体"/>
                <w:color w:val="auto"/>
                <w:highlight w:val="none"/>
              </w:rPr>
            </w:pPr>
          </w:p>
        </w:tc>
        <w:tc>
          <w:tcPr>
            <w:tcW w:w="887" w:type="dxa"/>
            <w:tcMar>
              <w:left w:w="28" w:type="dxa"/>
              <w:right w:w="28" w:type="dxa"/>
            </w:tcMar>
            <w:vAlign w:val="center"/>
          </w:tcPr>
          <w:p w14:paraId="5FC73C02">
            <w:pPr>
              <w:spacing w:line="400" w:lineRule="exact"/>
              <w:jc w:val="center"/>
              <w:rPr>
                <w:rFonts w:ascii="宋体" w:hAnsi="宋体"/>
                <w:color w:val="auto"/>
                <w:highlight w:val="none"/>
              </w:rPr>
            </w:pPr>
          </w:p>
        </w:tc>
        <w:tc>
          <w:tcPr>
            <w:tcW w:w="945" w:type="dxa"/>
            <w:tcMar>
              <w:left w:w="28" w:type="dxa"/>
              <w:right w:w="28" w:type="dxa"/>
            </w:tcMar>
            <w:vAlign w:val="center"/>
          </w:tcPr>
          <w:p w14:paraId="3BD4E397">
            <w:pPr>
              <w:spacing w:line="400" w:lineRule="exact"/>
              <w:jc w:val="center"/>
              <w:rPr>
                <w:rFonts w:ascii="宋体" w:hAnsi="宋体"/>
                <w:color w:val="auto"/>
                <w:highlight w:val="none"/>
              </w:rPr>
            </w:pPr>
          </w:p>
        </w:tc>
      </w:tr>
      <w:tr w14:paraId="1F30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88" w:type="dxa"/>
            <w:tcMar>
              <w:left w:w="28" w:type="dxa"/>
              <w:right w:w="28" w:type="dxa"/>
            </w:tcMar>
            <w:vAlign w:val="center"/>
          </w:tcPr>
          <w:p w14:paraId="710504C0">
            <w:pPr>
              <w:spacing w:line="400" w:lineRule="exact"/>
              <w:jc w:val="center"/>
              <w:rPr>
                <w:rFonts w:ascii="宋体" w:hAnsi="宋体"/>
                <w:color w:val="auto"/>
                <w:highlight w:val="none"/>
              </w:rPr>
            </w:pPr>
          </w:p>
        </w:tc>
        <w:tc>
          <w:tcPr>
            <w:tcW w:w="1091" w:type="dxa"/>
            <w:tcMar>
              <w:left w:w="28" w:type="dxa"/>
              <w:right w:w="28" w:type="dxa"/>
            </w:tcMar>
            <w:vAlign w:val="center"/>
          </w:tcPr>
          <w:p w14:paraId="3E8910C1">
            <w:pPr>
              <w:spacing w:line="400" w:lineRule="exact"/>
              <w:jc w:val="center"/>
              <w:rPr>
                <w:rFonts w:ascii="宋体" w:hAnsi="宋体"/>
                <w:color w:val="auto"/>
                <w:highlight w:val="none"/>
              </w:rPr>
            </w:pPr>
          </w:p>
        </w:tc>
        <w:tc>
          <w:tcPr>
            <w:tcW w:w="1645" w:type="dxa"/>
            <w:tcMar>
              <w:left w:w="28" w:type="dxa"/>
              <w:right w:w="28" w:type="dxa"/>
            </w:tcMar>
            <w:vAlign w:val="center"/>
          </w:tcPr>
          <w:p w14:paraId="76FBCAC0">
            <w:pPr>
              <w:spacing w:line="400" w:lineRule="exact"/>
              <w:jc w:val="center"/>
              <w:rPr>
                <w:rFonts w:ascii="宋体" w:hAnsi="宋体"/>
                <w:color w:val="auto"/>
                <w:highlight w:val="none"/>
              </w:rPr>
            </w:pPr>
          </w:p>
        </w:tc>
        <w:tc>
          <w:tcPr>
            <w:tcW w:w="1308" w:type="dxa"/>
            <w:tcMar>
              <w:left w:w="28" w:type="dxa"/>
              <w:right w:w="28" w:type="dxa"/>
            </w:tcMar>
            <w:vAlign w:val="center"/>
          </w:tcPr>
          <w:p w14:paraId="1AFE90CA">
            <w:pPr>
              <w:spacing w:line="400" w:lineRule="exact"/>
              <w:jc w:val="center"/>
              <w:rPr>
                <w:rFonts w:ascii="宋体" w:hAnsi="宋体"/>
                <w:color w:val="auto"/>
                <w:highlight w:val="none"/>
              </w:rPr>
            </w:pPr>
          </w:p>
        </w:tc>
        <w:tc>
          <w:tcPr>
            <w:tcW w:w="885" w:type="dxa"/>
            <w:tcMar>
              <w:left w:w="28" w:type="dxa"/>
              <w:right w:w="28" w:type="dxa"/>
            </w:tcMar>
            <w:vAlign w:val="center"/>
          </w:tcPr>
          <w:p w14:paraId="20D33190">
            <w:pPr>
              <w:spacing w:line="400" w:lineRule="exact"/>
              <w:jc w:val="center"/>
              <w:rPr>
                <w:rFonts w:ascii="宋体" w:hAnsi="宋体"/>
                <w:color w:val="auto"/>
                <w:highlight w:val="none"/>
              </w:rPr>
            </w:pPr>
          </w:p>
        </w:tc>
        <w:tc>
          <w:tcPr>
            <w:tcW w:w="887" w:type="dxa"/>
            <w:tcMar>
              <w:left w:w="28" w:type="dxa"/>
              <w:right w:w="28" w:type="dxa"/>
            </w:tcMar>
          </w:tcPr>
          <w:p w14:paraId="7D83C5B2">
            <w:pPr>
              <w:spacing w:line="400" w:lineRule="exact"/>
              <w:jc w:val="center"/>
              <w:rPr>
                <w:rFonts w:ascii="宋体" w:hAnsi="宋体"/>
                <w:color w:val="auto"/>
                <w:highlight w:val="none"/>
              </w:rPr>
            </w:pPr>
          </w:p>
        </w:tc>
        <w:tc>
          <w:tcPr>
            <w:tcW w:w="887" w:type="dxa"/>
            <w:tcMar>
              <w:left w:w="28" w:type="dxa"/>
              <w:right w:w="28" w:type="dxa"/>
            </w:tcMar>
            <w:vAlign w:val="center"/>
          </w:tcPr>
          <w:p w14:paraId="6A56B1EF">
            <w:pPr>
              <w:spacing w:line="400" w:lineRule="exact"/>
              <w:jc w:val="center"/>
              <w:rPr>
                <w:rFonts w:ascii="宋体" w:hAnsi="宋体"/>
                <w:color w:val="auto"/>
                <w:highlight w:val="none"/>
              </w:rPr>
            </w:pPr>
          </w:p>
        </w:tc>
        <w:tc>
          <w:tcPr>
            <w:tcW w:w="945" w:type="dxa"/>
            <w:tcMar>
              <w:left w:w="28" w:type="dxa"/>
              <w:right w:w="28" w:type="dxa"/>
            </w:tcMar>
            <w:vAlign w:val="center"/>
          </w:tcPr>
          <w:p w14:paraId="0CDADFFB">
            <w:pPr>
              <w:spacing w:line="400" w:lineRule="exact"/>
              <w:jc w:val="center"/>
              <w:rPr>
                <w:rFonts w:ascii="宋体" w:hAnsi="宋体"/>
                <w:color w:val="auto"/>
                <w:highlight w:val="none"/>
              </w:rPr>
            </w:pPr>
          </w:p>
        </w:tc>
      </w:tr>
      <w:tr w14:paraId="1446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8" w:type="dxa"/>
            <w:tcMar>
              <w:left w:w="28" w:type="dxa"/>
              <w:right w:w="28" w:type="dxa"/>
            </w:tcMar>
            <w:vAlign w:val="center"/>
          </w:tcPr>
          <w:p w14:paraId="2EA5D353">
            <w:pPr>
              <w:spacing w:line="400" w:lineRule="exact"/>
              <w:jc w:val="center"/>
              <w:rPr>
                <w:rFonts w:ascii="宋体" w:hAnsi="宋体"/>
                <w:color w:val="auto"/>
                <w:highlight w:val="none"/>
              </w:rPr>
            </w:pPr>
          </w:p>
        </w:tc>
        <w:tc>
          <w:tcPr>
            <w:tcW w:w="1091" w:type="dxa"/>
            <w:tcMar>
              <w:left w:w="28" w:type="dxa"/>
              <w:right w:w="28" w:type="dxa"/>
            </w:tcMar>
            <w:vAlign w:val="center"/>
          </w:tcPr>
          <w:p w14:paraId="3334EB5A">
            <w:pPr>
              <w:spacing w:line="400" w:lineRule="exact"/>
              <w:jc w:val="center"/>
              <w:rPr>
                <w:rFonts w:ascii="宋体" w:hAnsi="宋体"/>
                <w:color w:val="auto"/>
                <w:highlight w:val="none"/>
              </w:rPr>
            </w:pPr>
          </w:p>
        </w:tc>
        <w:tc>
          <w:tcPr>
            <w:tcW w:w="1645" w:type="dxa"/>
            <w:tcMar>
              <w:left w:w="28" w:type="dxa"/>
              <w:right w:w="28" w:type="dxa"/>
            </w:tcMar>
            <w:vAlign w:val="center"/>
          </w:tcPr>
          <w:p w14:paraId="2225A803">
            <w:pPr>
              <w:spacing w:line="400" w:lineRule="exact"/>
              <w:jc w:val="center"/>
              <w:rPr>
                <w:rFonts w:ascii="宋体" w:hAnsi="宋体"/>
                <w:color w:val="auto"/>
                <w:highlight w:val="none"/>
              </w:rPr>
            </w:pPr>
          </w:p>
        </w:tc>
        <w:tc>
          <w:tcPr>
            <w:tcW w:w="1308" w:type="dxa"/>
            <w:tcMar>
              <w:left w:w="28" w:type="dxa"/>
              <w:right w:w="28" w:type="dxa"/>
            </w:tcMar>
            <w:vAlign w:val="center"/>
          </w:tcPr>
          <w:p w14:paraId="40DDEE89">
            <w:pPr>
              <w:spacing w:line="400" w:lineRule="exact"/>
              <w:jc w:val="center"/>
              <w:rPr>
                <w:rFonts w:ascii="宋体" w:hAnsi="宋体"/>
                <w:color w:val="auto"/>
                <w:highlight w:val="none"/>
              </w:rPr>
            </w:pPr>
          </w:p>
        </w:tc>
        <w:tc>
          <w:tcPr>
            <w:tcW w:w="885" w:type="dxa"/>
            <w:tcMar>
              <w:left w:w="28" w:type="dxa"/>
              <w:right w:w="28" w:type="dxa"/>
            </w:tcMar>
            <w:vAlign w:val="center"/>
          </w:tcPr>
          <w:p w14:paraId="16499325">
            <w:pPr>
              <w:spacing w:line="400" w:lineRule="exact"/>
              <w:jc w:val="center"/>
              <w:rPr>
                <w:rFonts w:ascii="宋体" w:hAnsi="宋体"/>
                <w:color w:val="auto"/>
                <w:highlight w:val="none"/>
              </w:rPr>
            </w:pPr>
          </w:p>
        </w:tc>
        <w:tc>
          <w:tcPr>
            <w:tcW w:w="887" w:type="dxa"/>
            <w:tcMar>
              <w:left w:w="28" w:type="dxa"/>
              <w:right w:w="28" w:type="dxa"/>
            </w:tcMar>
          </w:tcPr>
          <w:p w14:paraId="7A97BC4D">
            <w:pPr>
              <w:spacing w:line="400" w:lineRule="exact"/>
              <w:jc w:val="center"/>
              <w:rPr>
                <w:rFonts w:ascii="宋体" w:hAnsi="宋体"/>
                <w:color w:val="auto"/>
                <w:highlight w:val="none"/>
              </w:rPr>
            </w:pPr>
          </w:p>
        </w:tc>
        <w:tc>
          <w:tcPr>
            <w:tcW w:w="887" w:type="dxa"/>
            <w:tcMar>
              <w:left w:w="28" w:type="dxa"/>
              <w:right w:w="28" w:type="dxa"/>
            </w:tcMar>
            <w:vAlign w:val="center"/>
          </w:tcPr>
          <w:p w14:paraId="26893D8A">
            <w:pPr>
              <w:spacing w:line="400" w:lineRule="exact"/>
              <w:jc w:val="center"/>
              <w:rPr>
                <w:rFonts w:ascii="宋体" w:hAnsi="宋体"/>
                <w:color w:val="auto"/>
                <w:highlight w:val="none"/>
              </w:rPr>
            </w:pPr>
          </w:p>
        </w:tc>
        <w:tc>
          <w:tcPr>
            <w:tcW w:w="945" w:type="dxa"/>
            <w:tcMar>
              <w:left w:w="28" w:type="dxa"/>
              <w:right w:w="28" w:type="dxa"/>
            </w:tcMar>
            <w:vAlign w:val="center"/>
          </w:tcPr>
          <w:p w14:paraId="01A837C7">
            <w:pPr>
              <w:spacing w:line="400" w:lineRule="exact"/>
              <w:jc w:val="center"/>
              <w:rPr>
                <w:rFonts w:ascii="宋体" w:hAnsi="宋体"/>
                <w:color w:val="auto"/>
                <w:highlight w:val="none"/>
              </w:rPr>
            </w:pPr>
          </w:p>
        </w:tc>
      </w:tr>
      <w:tr w14:paraId="6368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88" w:type="dxa"/>
            <w:tcMar>
              <w:left w:w="28" w:type="dxa"/>
              <w:right w:w="28" w:type="dxa"/>
            </w:tcMar>
            <w:vAlign w:val="center"/>
          </w:tcPr>
          <w:p w14:paraId="65DB3F45">
            <w:pPr>
              <w:spacing w:line="400" w:lineRule="exact"/>
              <w:jc w:val="center"/>
              <w:rPr>
                <w:rFonts w:ascii="宋体" w:hAnsi="宋体"/>
                <w:color w:val="auto"/>
                <w:highlight w:val="none"/>
              </w:rPr>
            </w:pPr>
          </w:p>
        </w:tc>
        <w:tc>
          <w:tcPr>
            <w:tcW w:w="1091" w:type="dxa"/>
            <w:tcMar>
              <w:left w:w="28" w:type="dxa"/>
              <w:right w:w="28" w:type="dxa"/>
            </w:tcMar>
            <w:vAlign w:val="center"/>
          </w:tcPr>
          <w:p w14:paraId="42FE0009">
            <w:pPr>
              <w:spacing w:line="400" w:lineRule="exact"/>
              <w:jc w:val="center"/>
              <w:rPr>
                <w:rFonts w:ascii="宋体" w:hAnsi="宋体"/>
                <w:color w:val="auto"/>
                <w:highlight w:val="none"/>
              </w:rPr>
            </w:pPr>
          </w:p>
        </w:tc>
        <w:tc>
          <w:tcPr>
            <w:tcW w:w="1645" w:type="dxa"/>
            <w:tcMar>
              <w:left w:w="28" w:type="dxa"/>
              <w:right w:w="28" w:type="dxa"/>
            </w:tcMar>
            <w:vAlign w:val="center"/>
          </w:tcPr>
          <w:p w14:paraId="057AA8F4">
            <w:pPr>
              <w:spacing w:line="400" w:lineRule="exact"/>
              <w:jc w:val="center"/>
              <w:rPr>
                <w:rFonts w:ascii="宋体" w:hAnsi="宋体"/>
                <w:color w:val="auto"/>
                <w:highlight w:val="none"/>
              </w:rPr>
            </w:pPr>
          </w:p>
        </w:tc>
        <w:tc>
          <w:tcPr>
            <w:tcW w:w="1308" w:type="dxa"/>
            <w:tcMar>
              <w:left w:w="28" w:type="dxa"/>
              <w:right w:w="28" w:type="dxa"/>
            </w:tcMar>
            <w:vAlign w:val="center"/>
          </w:tcPr>
          <w:p w14:paraId="13B253B5">
            <w:pPr>
              <w:spacing w:line="400" w:lineRule="exact"/>
              <w:jc w:val="center"/>
              <w:rPr>
                <w:rFonts w:ascii="宋体" w:hAnsi="宋体"/>
                <w:color w:val="auto"/>
                <w:highlight w:val="none"/>
              </w:rPr>
            </w:pPr>
          </w:p>
        </w:tc>
        <w:tc>
          <w:tcPr>
            <w:tcW w:w="885" w:type="dxa"/>
            <w:tcMar>
              <w:left w:w="28" w:type="dxa"/>
              <w:right w:w="28" w:type="dxa"/>
            </w:tcMar>
            <w:vAlign w:val="center"/>
          </w:tcPr>
          <w:p w14:paraId="36B4AD5D">
            <w:pPr>
              <w:spacing w:line="400" w:lineRule="exact"/>
              <w:jc w:val="center"/>
              <w:rPr>
                <w:rFonts w:ascii="宋体" w:hAnsi="宋体"/>
                <w:color w:val="auto"/>
                <w:highlight w:val="none"/>
              </w:rPr>
            </w:pPr>
          </w:p>
        </w:tc>
        <w:tc>
          <w:tcPr>
            <w:tcW w:w="887" w:type="dxa"/>
            <w:tcMar>
              <w:left w:w="28" w:type="dxa"/>
              <w:right w:w="28" w:type="dxa"/>
            </w:tcMar>
          </w:tcPr>
          <w:p w14:paraId="002E34C9">
            <w:pPr>
              <w:spacing w:line="400" w:lineRule="exact"/>
              <w:jc w:val="center"/>
              <w:rPr>
                <w:rFonts w:ascii="宋体" w:hAnsi="宋体"/>
                <w:color w:val="auto"/>
                <w:highlight w:val="none"/>
              </w:rPr>
            </w:pPr>
          </w:p>
        </w:tc>
        <w:tc>
          <w:tcPr>
            <w:tcW w:w="887" w:type="dxa"/>
            <w:tcMar>
              <w:left w:w="28" w:type="dxa"/>
              <w:right w:w="28" w:type="dxa"/>
            </w:tcMar>
            <w:vAlign w:val="center"/>
          </w:tcPr>
          <w:p w14:paraId="67DFCED2">
            <w:pPr>
              <w:spacing w:line="400" w:lineRule="exact"/>
              <w:jc w:val="center"/>
              <w:rPr>
                <w:rFonts w:ascii="宋体" w:hAnsi="宋体"/>
                <w:color w:val="auto"/>
                <w:highlight w:val="none"/>
              </w:rPr>
            </w:pPr>
          </w:p>
        </w:tc>
        <w:tc>
          <w:tcPr>
            <w:tcW w:w="945" w:type="dxa"/>
            <w:tcMar>
              <w:left w:w="28" w:type="dxa"/>
              <w:right w:w="28" w:type="dxa"/>
            </w:tcMar>
            <w:vAlign w:val="center"/>
          </w:tcPr>
          <w:p w14:paraId="17B639B3">
            <w:pPr>
              <w:spacing w:line="400" w:lineRule="exact"/>
              <w:jc w:val="center"/>
              <w:rPr>
                <w:rFonts w:ascii="宋体" w:hAnsi="宋体"/>
                <w:color w:val="auto"/>
                <w:highlight w:val="none"/>
              </w:rPr>
            </w:pPr>
          </w:p>
        </w:tc>
      </w:tr>
      <w:tr w14:paraId="360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8" w:type="dxa"/>
            <w:tcMar>
              <w:left w:w="28" w:type="dxa"/>
              <w:right w:w="28" w:type="dxa"/>
            </w:tcMar>
            <w:vAlign w:val="center"/>
          </w:tcPr>
          <w:p w14:paraId="5F8E1228">
            <w:pPr>
              <w:spacing w:line="400" w:lineRule="exact"/>
              <w:jc w:val="center"/>
              <w:rPr>
                <w:rFonts w:ascii="宋体" w:hAnsi="宋体"/>
                <w:color w:val="auto"/>
                <w:highlight w:val="none"/>
              </w:rPr>
            </w:pPr>
          </w:p>
        </w:tc>
        <w:tc>
          <w:tcPr>
            <w:tcW w:w="1091" w:type="dxa"/>
            <w:tcMar>
              <w:left w:w="28" w:type="dxa"/>
              <w:right w:w="28" w:type="dxa"/>
            </w:tcMar>
            <w:vAlign w:val="center"/>
          </w:tcPr>
          <w:p w14:paraId="45F4D188">
            <w:pPr>
              <w:spacing w:line="400" w:lineRule="exact"/>
              <w:jc w:val="center"/>
              <w:rPr>
                <w:rFonts w:ascii="宋体" w:hAnsi="宋体"/>
                <w:color w:val="auto"/>
                <w:highlight w:val="none"/>
              </w:rPr>
            </w:pPr>
          </w:p>
        </w:tc>
        <w:tc>
          <w:tcPr>
            <w:tcW w:w="1645" w:type="dxa"/>
            <w:tcMar>
              <w:left w:w="28" w:type="dxa"/>
              <w:right w:w="28" w:type="dxa"/>
            </w:tcMar>
            <w:vAlign w:val="center"/>
          </w:tcPr>
          <w:p w14:paraId="52E0F5F6">
            <w:pPr>
              <w:spacing w:line="400" w:lineRule="exact"/>
              <w:jc w:val="center"/>
              <w:rPr>
                <w:rFonts w:ascii="宋体" w:hAnsi="宋体"/>
                <w:color w:val="auto"/>
                <w:highlight w:val="none"/>
              </w:rPr>
            </w:pPr>
          </w:p>
        </w:tc>
        <w:tc>
          <w:tcPr>
            <w:tcW w:w="1308" w:type="dxa"/>
            <w:tcMar>
              <w:left w:w="28" w:type="dxa"/>
              <w:right w:w="28" w:type="dxa"/>
            </w:tcMar>
            <w:vAlign w:val="center"/>
          </w:tcPr>
          <w:p w14:paraId="7FD63411">
            <w:pPr>
              <w:spacing w:line="400" w:lineRule="exact"/>
              <w:jc w:val="center"/>
              <w:rPr>
                <w:rFonts w:ascii="宋体" w:hAnsi="宋体"/>
                <w:color w:val="auto"/>
                <w:highlight w:val="none"/>
              </w:rPr>
            </w:pPr>
          </w:p>
        </w:tc>
        <w:tc>
          <w:tcPr>
            <w:tcW w:w="885" w:type="dxa"/>
            <w:tcMar>
              <w:left w:w="28" w:type="dxa"/>
              <w:right w:w="28" w:type="dxa"/>
            </w:tcMar>
            <w:vAlign w:val="center"/>
          </w:tcPr>
          <w:p w14:paraId="3EBF6F13">
            <w:pPr>
              <w:spacing w:line="400" w:lineRule="exact"/>
              <w:jc w:val="center"/>
              <w:rPr>
                <w:rFonts w:ascii="宋体" w:hAnsi="宋体"/>
                <w:color w:val="auto"/>
                <w:highlight w:val="none"/>
              </w:rPr>
            </w:pPr>
          </w:p>
        </w:tc>
        <w:tc>
          <w:tcPr>
            <w:tcW w:w="887" w:type="dxa"/>
            <w:tcMar>
              <w:left w:w="28" w:type="dxa"/>
              <w:right w:w="28" w:type="dxa"/>
            </w:tcMar>
          </w:tcPr>
          <w:p w14:paraId="70A517B7">
            <w:pPr>
              <w:spacing w:line="400" w:lineRule="exact"/>
              <w:jc w:val="center"/>
              <w:rPr>
                <w:rFonts w:ascii="宋体" w:hAnsi="宋体"/>
                <w:color w:val="auto"/>
                <w:highlight w:val="none"/>
              </w:rPr>
            </w:pPr>
          </w:p>
        </w:tc>
        <w:tc>
          <w:tcPr>
            <w:tcW w:w="887" w:type="dxa"/>
            <w:tcMar>
              <w:left w:w="28" w:type="dxa"/>
              <w:right w:w="28" w:type="dxa"/>
            </w:tcMar>
            <w:vAlign w:val="center"/>
          </w:tcPr>
          <w:p w14:paraId="14CA8190">
            <w:pPr>
              <w:spacing w:line="400" w:lineRule="exact"/>
              <w:jc w:val="center"/>
              <w:rPr>
                <w:rFonts w:ascii="宋体" w:hAnsi="宋体"/>
                <w:color w:val="auto"/>
                <w:highlight w:val="none"/>
              </w:rPr>
            </w:pPr>
          </w:p>
        </w:tc>
        <w:tc>
          <w:tcPr>
            <w:tcW w:w="945" w:type="dxa"/>
            <w:tcMar>
              <w:left w:w="28" w:type="dxa"/>
              <w:right w:w="28" w:type="dxa"/>
            </w:tcMar>
            <w:vAlign w:val="center"/>
          </w:tcPr>
          <w:p w14:paraId="3E8A94D3">
            <w:pPr>
              <w:spacing w:line="400" w:lineRule="exact"/>
              <w:jc w:val="center"/>
              <w:rPr>
                <w:rFonts w:ascii="宋体" w:hAnsi="宋体"/>
                <w:color w:val="auto"/>
                <w:highlight w:val="none"/>
              </w:rPr>
            </w:pPr>
          </w:p>
        </w:tc>
      </w:tr>
      <w:tr w14:paraId="36D0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88" w:type="dxa"/>
            <w:tcMar>
              <w:left w:w="28" w:type="dxa"/>
              <w:right w:w="28" w:type="dxa"/>
            </w:tcMar>
            <w:vAlign w:val="center"/>
          </w:tcPr>
          <w:p w14:paraId="1BE3900C">
            <w:pPr>
              <w:spacing w:line="400" w:lineRule="exact"/>
              <w:jc w:val="center"/>
              <w:rPr>
                <w:rFonts w:ascii="宋体" w:hAnsi="宋体"/>
                <w:color w:val="auto"/>
                <w:highlight w:val="none"/>
              </w:rPr>
            </w:pPr>
          </w:p>
        </w:tc>
        <w:tc>
          <w:tcPr>
            <w:tcW w:w="1091" w:type="dxa"/>
            <w:tcMar>
              <w:left w:w="28" w:type="dxa"/>
              <w:right w:w="28" w:type="dxa"/>
            </w:tcMar>
            <w:vAlign w:val="center"/>
          </w:tcPr>
          <w:p w14:paraId="1EEE874F">
            <w:pPr>
              <w:spacing w:line="400" w:lineRule="exact"/>
              <w:jc w:val="center"/>
              <w:rPr>
                <w:rFonts w:ascii="宋体" w:hAnsi="宋体"/>
                <w:color w:val="auto"/>
                <w:highlight w:val="none"/>
              </w:rPr>
            </w:pPr>
          </w:p>
        </w:tc>
        <w:tc>
          <w:tcPr>
            <w:tcW w:w="1645" w:type="dxa"/>
            <w:tcMar>
              <w:left w:w="28" w:type="dxa"/>
              <w:right w:w="28" w:type="dxa"/>
            </w:tcMar>
            <w:vAlign w:val="center"/>
          </w:tcPr>
          <w:p w14:paraId="4D0594E4">
            <w:pPr>
              <w:spacing w:line="400" w:lineRule="exact"/>
              <w:jc w:val="center"/>
              <w:rPr>
                <w:rFonts w:ascii="宋体" w:hAnsi="宋体"/>
                <w:color w:val="auto"/>
                <w:highlight w:val="none"/>
              </w:rPr>
            </w:pPr>
          </w:p>
        </w:tc>
        <w:tc>
          <w:tcPr>
            <w:tcW w:w="1308" w:type="dxa"/>
            <w:tcMar>
              <w:left w:w="28" w:type="dxa"/>
              <w:right w:w="28" w:type="dxa"/>
            </w:tcMar>
            <w:vAlign w:val="center"/>
          </w:tcPr>
          <w:p w14:paraId="1503DA73">
            <w:pPr>
              <w:spacing w:line="400" w:lineRule="exact"/>
              <w:jc w:val="center"/>
              <w:rPr>
                <w:rFonts w:ascii="宋体" w:hAnsi="宋体"/>
                <w:color w:val="auto"/>
                <w:highlight w:val="none"/>
              </w:rPr>
            </w:pPr>
          </w:p>
        </w:tc>
        <w:tc>
          <w:tcPr>
            <w:tcW w:w="885" w:type="dxa"/>
            <w:tcMar>
              <w:left w:w="28" w:type="dxa"/>
              <w:right w:w="28" w:type="dxa"/>
            </w:tcMar>
            <w:vAlign w:val="center"/>
          </w:tcPr>
          <w:p w14:paraId="1FFC788F">
            <w:pPr>
              <w:spacing w:line="400" w:lineRule="exact"/>
              <w:jc w:val="center"/>
              <w:rPr>
                <w:rFonts w:ascii="宋体" w:hAnsi="宋体"/>
                <w:color w:val="auto"/>
                <w:highlight w:val="none"/>
              </w:rPr>
            </w:pPr>
          </w:p>
        </w:tc>
        <w:tc>
          <w:tcPr>
            <w:tcW w:w="887" w:type="dxa"/>
            <w:tcMar>
              <w:left w:w="28" w:type="dxa"/>
              <w:right w:w="28" w:type="dxa"/>
            </w:tcMar>
          </w:tcPr>
          <w:p w14:paraId="60A8E893">
            <w:pPr>
              <w:spacing w:line="400" w:lineRule="exact"/>
              <w:jc w:val="center"/>
              <w:rPr>
                <w:rFonts w:ascii="宋体" w:hAnsi="宋体"/>
                <w:color w:val="auto"/>
                <w:highlight w:val="none"/>
              </w:rPr>
            </w:pPr>
          </w:p>
        </w:tc>
        <w:tc>
          <w:tcPr>
            <w:tcW w:w="887" w:type="dxa"/>
            <w:tcMar>
              <w:left w:w="28" w:type="dxa"/>
              <w:right w:w="28" w:type="dxa"/>
            </w:tcMar>
            <w:vAlign w:val="center"/>
          </w:tcPr>
          <w:p w14:paraId="089C0EF1">
            <w:pPr>
              <w:spacing w:line="400" w:lineRule="exact"/>
              <w:jc w:val="center"/>
              <w:rPr>
                <w:rFonts w:ascii="宋体" w:hAnsi="宋体"/>
                <w:color w:val="auto"/>
                <w:highlight w:val="none"/>
              </w:rPr>
            </w:pPr>
          </w:p>
        </w:tc>
        <w:tc>
          <w:tcPr>
            <w:tcW w:w="945" w:type="dxa"/>
            <w:tcMar>
              <w:left w:w="28" w:type="dxa"/>
              <w:right w:w="28" w:type="dxa"/>
            </w:tcMar>
            <w:vAlign w:val="center"/>
          </w:tcPr>
          <w:p w14:paraId="45B9A486">
            <w:pPr>
              <w:spacing w:line="400" w:lineRule="exact"/>
              <w:jc w:val="center"/>
              <w:rPr>
                <w:rFonts w:ascii="宋体" w:hAnsi="宋体"/>
                <w:color w:val="auto"/>
                <w:highlight w:val="none"/>
              </w:rPr>
            </w:pPr>
          </w:p>
        </w:tc>
      </w:tr>
      <w:tr w14:paraId="220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88" w:type="dxa"/>
            <w:tcMar>
              <w:left w:w="28" w:type="dxa"/>
              <w:right w:w="28" w:type="dxa"/>
            </w:tcMar>
            <w:vAlign w:val="center"/>
          </w:tcPr>
          <w:p w14:paraId="18ACEA12">
            <w:pPr>
              <w:spacing w:line="400" w:lineRule="exact"/>
              <w:jc w:val="center"/>
              <w:rPr>
                <w:rFonts w:ascii="宋体" w:hAnsi="宋体"/>
                <w:color w:val="auto"/>
                <w:highlight w:val="none"/>
              </w:rPr>
            </w:pPr>
          </w:p>
        </w:tc>
        <w:tc>
          <w:tcPr>
            <w:tcW w:w="1091" w:type="dxa"/>
            <w:tcMar>
              <w:left w:w="28" w:type="dxa"/>
              <w:right w:w="28" w:type="dxa"/>
            </w:tcMar>
            <w:vAlign w:val="center"/>
          </w:tcPr>
          <w:p w14:paraId="1FFF5D2E">
            <w:pPr>
              <w:spacing w:line="400" w:lineRule="exact"/>
              <w:jc w:val="center"/>
              <w:rPr>
                <w:rFonts w:ascii="宋体" w:hAnsi="宋体"/>
                <w:color w:val="auto"/>
                <w:highlight w:val="none"/>
              </w:rPr>
            </w:pPr>
          </w:p>
        </w:tc>
        <w:tc>
          <w:tcPr>
            <w:tcW w:w="1645" w:type="dxa"/>
            <w:tcMar>
              <w:left w:w="28" w:type="dxa"/>
              <w:right w:w="28" w:type="dxa"/>
            </w:tcMar>
            <w:vAlign w:val="center"/>
          </w:tcPr>
          <w:p w14:paraId="18E42FFF">
            <w:pPr>
              <w:spacing w:line="400" w:lineRule="exact"/>
              <w:jc w:val="center"/>
              <w:rPr>
                <w:rFonts w:ascii="宋体" w:hAnsi="宋体"/>
                <w:color w:val="auto"/>
                <w:highlight w:val="none"/>
              </w:rPr>
            </w:pPr>
          </w:p>
        </w:tc>
        <w:tc>
          <w:tcPr>
            <w:tcW w:w="1308" w:type="dxa"/>
            <w:tcMar>
              <w:left w:w="28" w:type="dxa"/>
              <w:right w:w="28" w:type="dxa"/>
            </w:tcMar>
            <w:vAlign w:val="center"/>
          </w:tcPr>
          <w:p w14:paraId="138BCADC">
            <w:pPr>
              <w:spacing w:line="400" w:lineRule="exact"/>
              <w:jc w:val="center"/>
              <w:rPr>
                <w:rFonts w:ascii="宋体" w:hAnsi="宋体"/>
                <w:color w:val="auto"/>
                <w:highlight w:val="none"/>
              </w:rPr>
            </w:pPr>
          </w:p>
        </w:tc>
        <w:tc>
          <w:tcPr>
            <w:tcW w:w="885" w:type="dxa"/>
            <w:tcMar>
              <w:left w:w="28" w:type="dxa"/>
              <w:right w:w="28" w:type="dxa"/>
            </w:tcMar>
            <w:vAlign w:val="center"/>
          </w:tcPr>
          <w:p w14:paraId="54F09336">
            <w:pPr>
              <w:spacing w:line="400" w:lineRule="exact"/>
              <w:jc w:val="center"/>
              <w:rPr>
                <w:rFonts w:ascii="宋体" w:hAnsi="宋体"/>
                <w:color w:val="auto"/>
                <w:highlight w:val="none"/>
              </w:rPr>
            </w:pPr>
          </w:p>
        </w:tc>
        <w:tc>
          <w:tcPr>
            <w:tcW w:w="887" w:type="dxa"/>
            <w:tcMar>
              <w:left w:w="28" w:type="dxa"/>
              <w:right w:w="28" w:type="dxa"/>
            </w:tcMar>
          </w:tcPr>
          <w:p w14:paraId="0567C912">
            <w:pPr>
              <w:spacing w:line="400" w:lineRule="exact"/>
              <w:jc w:val="center"/>
              <w:rPr>
                <w:rFonts w:ascii="宋体" w:hAnsi="宋体"/>
                <w:color w:val="auto"/>
                <w:highlight w:val="none"/>
              </w:rPr>
            </w:pPr>
          </w:p>
        </w:tc>
        <w:tc>
          <w:tcPr>
            <w:tcW w:w="887" w:type="dxa"/>
            <w:tcMar>
              <w:left w:w="28" w:type="dxa"/>
              <w:right w:w="28" w:type="dxa"/>
            </w:tcMar>
            <w:vAlign w:val="center"/>
          </w:tcPr>
          <w:p w14:paraId="333D5AC4">
            <w:pPr>
              <w:spacing w:line="400" w:lineRule="exact"/>
              <w:jc w:val="center"/>
              <w:rPr>
                <w:rFonts w:ascii="宋体" w:hAnsi="宋体"/>
                <w:color w:val="auto"/>
                <w:highlight w:val="none"/>
              </w:rPr>
            </w:pPr>
          </w:p>
        </w:tc>
        <w:tc>
          <w:tcPr>
            <w:tcW w:w="945" w:type="dxa"/>
            <w:tcMar>
              <w:left w:w="28" w:type="dxa"/>
              <w:right w:w="28" w:type="dxa"/>
            </w:tcMar>
            <w:vAlign w:val="center"/>
          </w:tcPr>
          <w:p w14:paraId="6CE77CAE">
            <w:pPr>
              <w:spacing w:line="400" w:lineRule="exact"/>
              <w:jc w:val="center"/>
              <w:rPr>
                <w:rFonts w:ascii="宋体" w:hAnsi="宋体"/>
                <w:color w:val="auto"/>
                <w:highlight w:val="none"/>
              </w:rPr>
            </w:pPr>
          </w:p>
        </w:tc>
      </w:tr>
      <w:tr w14:paraId="71F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88" w:type="dxa"/>
            <w:tcMar>
              <w:left w:w="28" w:type="dxa"/>
              <w:right w:w="28" w:type="dxa"/>
            </w:tcMar>
            <w:vAlign w:val="center"/>
          </w:tcPr>
          <w:p w14:paraId="1D5D809A">
            <w:pPr>
              <w:spacing w:line="400" w:lineRule="exact"/>
              <w:jc w:val="center"/>
              <w:rPr>
                <w:rFonts w:ascii="宋体" w:hAnsi="宋体"/>
                <w:color w:val="auto"/>
                <w:highlight w:val="none"/>
              </w:rPr>
            </w:pPr>
          </w:p>
        </w:tc>
        <w:tc>
          <w:tcPr>
            <w:tcW w:w="1091" w:type="dxa"/>
            <w:tcMar>
              <w:left w:w="28" w:type="dxa"/>
              <w:right w:w="28" w:type="dxa"/>
            </w:tcMar>
            <w:vAlign w:val="center"/>
          </w:tcPr>
          <w:p w14:paraId="2204AD57">
            <w:pPr>
              <w:spacing w:line="400" w:lineRule="exact"/>
              <w:jc w:val="center"/>
              <w:rPr>
                <w:rFonts w:ascii="宋体" w:hAnsi="宋体"/>
                <w:color w:val="auto"/>
                <w:highlight w:val="none"/>
              </w:rPr>
            </w:pPr>
          </w:p>
        </w:tc>
        <w:tc>
          <w:tcPr>
            <w:tcW w:w="1645" w:type="dxa"/>
            <w:tcMar>
              <w:left w:w="28" w:type="dxa"/>
              <w:right w:w="28" w:type="dxa"/>
            </w:tcMar>
            <w:vAlign w:val="center"/>
          </w:tcPr>
          <w:p w14:paraId="74ECB59B">
            <w:pPr>
              <w:spacing w:line="400" w:lineRule="exact"/>
              <w:jc w:val="center"/>
              <w:rPr>
                <w:rFonts w:ascii="宋体" w:hAnsi="宋体"/>
                <w:color w:val="auto"/>
                <w:highlight w:val="none"/>
              </w:rPr>
            </w:pPr>
          </w:p>
        </w:tc>
        <w:tc>
          <w:tcPr>
            <w:tcW w:w="1308" w:type="dxa"/>
            <w:tcMar>
              <w:left w:w="28" w:type="dxa"/>
              <w:right w:w="28" w:type="dxa"/>
            </w:tcMar>
            <w:vAlign w:val="center"/>
          </w:tcPr>
          <w:p w14:paraId="4905FB43">
            <w:pPr>
              <w:spacing w:line="400" w:lineRule="exact"/>
              <w:jc w:val="center"/>
              <w:rPr>
                <w:rFonts w:ascii="宋体" w:hAnsi="宋体"/>
                <w:color w:val="auto"/>
                <w:highlight w:val="none"/>
              </w:rPr>
            </w:pPr>
          </w:p>
        </w:tc>
        <w:tc>
          <w:tcPr>
            <w:tcW w:w="885" w:type="dxa"/>
            <w:tcMar>
              <w:left w:w="28" w:type="dxa"/>
              <w:right w:w="28" w:type="dxa"/>
            </w:tcMar>
            <w:vAlign w:val="center"/>
          </w:tcPr>
          <w:p w14:paraId="3B155BB4">
            <w:pPr>
              <w:spacing w:line="400" w:lineRule="exact"/>
              <w:jc w:val="center"/>
              <w:rPr>
                <w:rFonts w:ascii="宋体" w:hAnsi="宋体"/>
                <w:color w:val="auto"/>
                <w:highlight w:val="none"/>
              </w:rPr>
            </w:pPr>
          </w:p>
        </w:tc>
        <w:tc>
          <w:tcPr>
            <w:tcW w:w="887" w:type="dxa"/>
            <w:tcMar>
              <w:left w:w="28" w:type="dxa"/>
              <w:right w:w="28" w:type="dxa"/>
            </w:tcMar>
          </w:tcPr>
          <w:p w14:paraId="482F5DCD">
            <w:pPr>
              <w:spacing w:line="400" w:lineRule="exact"/>
              <w:jc w:val="center"/>
              <w:rPr>
                <w:rFonts w:ascii="宋体" w:hAnsi="宋体"/>
                <w:color w:val="auto"/>
                <w:highlight w:val="none"/>
              </w:rPr>
            </w:pPr>
          </w:p>
        </w:tc>
        <w:tc>
          <w:tcPr>
            <w:tcW w:w="887" w:type="dxa"/>
            <w:tcMar>
              <w:left w:w="28" w:type="dxa"/>
              <w:right w:w="28" w:type="dxa"/>
            </w:tcMar>
            <w:vAlign w:val="center"/>
          </w:tcPr>
          <w:p w14:paraId="06C31EC9">
            <w:pPr>
              <w:spacing w:line="400" w:lineRule="exact"/>
              <w:jc w:val="center"/>
              <w:rPr>
                <w:rFonts w:ascii="宋体" w:hAnsi="宋体"/>
                <w:color w:val="auto"/>
                <w:highlight w:val="none"/>
              </w:rPr>
            </w:pPr>
          </w:p>
        </w:tc>
        <w:tc>
          <w:tcPr>
            <w:tcW w:w="945" w:type="dxa"/>
            <w:tcMar>
              <w:left w:w="28" w:type="dxa"/>
              <w:right w:w="28" w:type="dxa"/>
            </w:tcMar>
            <w:vAlign w:val="center"/>
          </w:tcPr>
          <w:p w14:paraId="585043C7">
            <w:pPr>
              <w:spacing w:line="400" w:lineRule="exact"/>
              <w:jc w:val="center"/>
              <w:rPr>
                <w:rFonts w:ascii="宋体" w:hAnsi="宋体"/>
                <w:color w:val="auto"/>
                <w:highlight w:val="none"/>
              </w:rPr>
            </w:pPr>
          </w:p>
        </w:tc>
      </w:tr>
      <w:tr w14:paraId="596E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6557" w:type="dxa"/>
          <w:trHeight w:val="464" w:hRule="atLeast"/>
        </w:trPr>
        <w:tc>
          <w:tcPr>
            <w:tcW w:w="1879" w:type="dxa"/>
            <w:gridSpan w:val="2"/>
            <w:tcMar>
              <w:left w:w="28" w:type="dxa"/>
              <w:right w:w="28" w:type="dxa"/>
            </w:tcMar>
            <w:vAlign w:val="center"/>
          </w:tcPr>
          <w:p w14:paraId="7651457D">
            <w:pPr>
              <w:pStyle w:val="63"/>
              <w:ind w:left="107"/>
              <w:jc w:val="center"/>
              <w:rPr>
                <w:rFonts w:ascii="宋体" w:hAnsi="宋体"/>
                <w:color w:val="auto"/>
                <w:highlight w:val="none"/>
              </w:rPr>
            </w:pPr>
            <w:r>
              <w:rPr>
                <w:rFonts w:hint="eastAsia"/>
                <w:color w:val="auto"/>
                <w:sz w:val="24"/>
                <w:highlight w:val="none"/>
              </w:rPr>
              <w:t>标底/拦标价</w:t>
            </w:r>
          </w:p>
        </w:tc>
      </w:tr>
    </w:tbl>
    <w:p w14:paraId="59FFF9AC">
      <w:pPr>
        <w:numPr>
          <w:ilvl w:val="0"/>
          <w:numId w:val="2"/>
        </w:numPr>
        <w:spacing w:line="400" w:lineRule="exact"/>
        <w:rPr>
          <w:color w:val="auto"/>
          <w:highlight w:val="none"/>
        </w:rPr>
      </w:pPr>
      <w:r>
        <w:rPr>
          <w:rFonts w:hint="eastAsia" w:ascii="宋体" w:hAnsi="宋体"/>
          <w:color w:val="auto"/>
          <w:sz w:val="24"/>
          <w:highlight w:val="none"/>
        </w:rPr>
        <w:t>开标过程中的其他事项记录</w:t>
      </w:r>
    </w:p>
    <w:p w14:paraId="54AADFE6">
      <w:pPr>
        <w:spacing w:line="400" w:lineRule="exact"/>
        <w:rPr>
          <w:rFonts w:ascii="宋体" w:hAnsi="宋体"/>
          <w:color w:val="auto"/>
          <w:highlight w:val="none"/>
          <w:u w:val="single"/>
        </w:rPr>
      </w:pPr>
      <w:r>
        <w:rPr>
          <w:rFonts w:hint="eastAsia" w:ascii="宋体" w:hAnsi="宋体"/>
          <w:color w:val="auto"/>
          <w:sz w:val="28"/>
          <w:highlight w:val="none"/>
          <w:u w:val="single"/>
        </w:rPr>
        <w:t xml:space="preserve">                                                   </w:t>
      </w:r>
    </w:p>
    <w:p w14:paraId="3A96E141">
      <w:pPr>
        <w:spacing w:line="400" w:lineRule="exact"/>
        <w:rPr>
          <w:rFonts w:ascii="宋体" w:hAnsi="宋体"/>
          <w:color w:val="auto"/>
          <w:highlight w:val="none"/>
          <w:u w:val="single"/>
        </w:rPr>
      </w:pPr>
    </w:p>
    <w:p w14:paraId="6923EDAF">
      <w:pPr>
        <w:spacing w:line="400" w:lineRule="exact"/>
        <w:rPr>
          <w:rFonts w:ascii="宋体" w:hAnsi="宋体"/>
          <w:color w:val="auto"/>
          <w:highlight w:val="none"/>
        </w:rPr>
      </w:pPr>
      <w:r>
        <w:rPr>
          <w:rFonts w:hint="eastAsia" w:ascii="宋体" w:hAnsi="宋体"/>
          <w:color w:val="auto"/>
          <w:sz w:val="24"/>
          <w:highlight w:val="none"/>
        </w:rPr>
        <w:t>（三）出席开标会的单位和人员（附签到表）</w:t>
      </w:r>
    </w:p>
    <w:p w14:paraId="1C61E505">
      <w:pPr>
        <w:spacing w:line="400" w:lineRule="exact"/>
        <w:rPr>
          <w:rFonts w:ascii="宋体" w:hAnsi="宋体"/>
          <w:color w:val="auto"/>
          <w:highlight w:val="none"/>
        </w:rPr>
      </w:pPr>
    </w:p>
    <w:p w14:paraId="43D23A6D">
      <w:pPr>
        <w:spacing w:line="400" w:lineRule="exact"/>
        <w:rPr>
          <w:rFonts w:ascii="宋体" w:hAnsi="宋体"/>
          <w:color w:val="auto"/>
          <w:highlight w:val="none"/>
          <w:u w:val="single"/>
        </w:rPr>
      </w:pPr>
      <w:r>
        <w:rPr>
          <w:rFonts w:hint="eastAsia" w:ascii="宋体" w:hAnsi="宋体"/>
          <w:color w:val="auto"/>
          <w:sz w:val="24"/>
          <w:highlight w:val="none"/>
        </w:rPr>
        <w:t>招标人代表</w:t>
      </w:r>
      <w:r>
        <w:rPr>
          <w:rFonts w:hint="eastAsia" w:ascii="宋体" w:hAnsi="宋体"/>
          <w:color w:val="auto"/>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rPr>
        <w:t>记录人</w:t>
      </w:r>
      <w:r>
        <w:rPr>
          <w:rFonts w:hint="eastAsia" w:ascii="宋体" w:hAnsi="宋体"/>
          <w:color w:val="auto"/>
          <w:highlight w:val="none"/>
        </w:rPr>
        <w:t>：</w:t>
      </w:r>
      <w:r>
        <w:rPr>
          <w:rFonts w:hint="eastAsia" w:ascii="宋体" w:hAnsi="宋体"/>
          <w:color w:val="auto"/>
          <w:sz w:val="28"/>
          <w:highlight w:val="none"/>
          <w:u w:val="single"/>
        </w:rPr>
        <w:t xml:space="preserve">        </w:t>
      </w:r>
      <w:r>
        <w:rPr>
          <w:rFonts w:hint="eastAsia" w:ascii="宋体" w:hAnsi="宋体"/>
          <w:color w:val="auto"/>
          <w:sz w:val="24"/>
          <w:highlight w:val="none"/>
        </w:rPr>
        <w:t>监标人</w:t>
      </w:r>
      <w:r>
        <w:rPr>
          <w:rFonts w:hint="eastAsia" w:ascii="宋体" w:hAnsi="宋体"/>
          <w:color w:val="auto"/>
          <w:highlight w:val="none"/>
        </w:rPr>
        <w:t>：</w:t>
      </w:r>
      <w:r>
        <w:rPr>
          <w:rFonts w:hint="eastAsia" w:ascii="宋体" w:hAnsi="宋体"/>
          <w:color w:val="auto"/>
          <w:sz w:val="28"/>
          <w:highlight w:val="none"/>
          <w:u w:val="single"/>
        </w:rPr>
        <w:t xml:space="preserve">        </w:t>
      </w:r>
    </w:p>
    <w:p w14:paraId="3D1D8EEA">
      <w:pPr>
        <w:spacing w:line="400" w:lineRule="exact"/>
        <w:rPr>
          <w:rFonts w:ascii="宋体" w:hAnsi="宋体"/>
          <w:color w:val="auto"/>
          <w:highlight w:val="none"/>
        </w:rPr>
      </w:pPr>
    </w:p>
    <w:p w14:paraId="325BF25B">
      <w:pPr>
        <w:spacing w:line="400" w:lineRule="exact"/>
        <w:jc w:val="right"/>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highlight w:val="none"/>
        </w:rPr>
        <w:t>年</w:t>
      </w:r>
      <w:r>
        <w:rPr>
          <w:rFonts w:hint="eastAsia" w:ascii="宋体" w:hAnsi="宋体"/>
          <w:color w:val="auto"/>
          <w:sz w:val="28"/>
          <w:highlight w:val="none"/>
          <w:u w:val="single"/>
        </w:rPr>
        <w:t xml:space="preserve">   </w:t>
      </w:r>
      <w:r>
        <w:rPr>
          <w:rFonts w:hint="eastAsia" w:ascii="宋体" w:hAnsi="宋体"/>
          <w:color w:val="auto"/>
          <w:highlight w:val="none"/>
        </w:rPr>
        <w:t>月</w:t>
      </w:r>
      <w:r>
        <w:rPr>
          <w:rFonts w:hint="eastAsia" w:ascii="宋体" w:hAnsi="宋体"/>
          <w:color w:val="auto"/>
          <w:sz w:val="28"/>
          <w:highlight w:val="none"/>
          <w:u w:val="single"/>
        </w:rPr>
        <w:t xml:space="preserve">   </w:t>
      </w:r>
      <w:r>
        <w:rPr>
          <w:rFonts w:hint="eastAsia" w:ascii="宋体" w:hAnsi="宋体"/>
          <w:color w:val="auto"/>
          <w:highlight w:val="none"/>
        </w:rPr>
        <w:t>日</w:t>
      </w:r>
    </w:p>
    <w:p w14:paraId="74972C0D">
      <w:pPr>
        <w:pStyle w:val="44"/>
        <w:rPr>
          <w:color w:val="auto"/>
          <w:highlight w:val="none"/>
        </w:rPr>
      </w:pPr>
    </w:p>
    <w:p w14:paraId="02DDCB96">
      <w:pPr>
        <w:pStyle w:val="44"/>
        <w:rPr>
          <w:color w:val="auto"/>
          <w:highlight w:val="none"/>
        </w:rPr>
      </w:pPr>
    </w:p>
    <w:p w14:paraId="65CD9765">
      <w:pPr>
        <w:pStyle w:val="44"/>
        <w:rPr>
          <w:color w:val="auto"/>
          <w:highlight w:val="none"/>
        </w:rPr>
      </w:pPr>
    </w:p>
    <w:p w14:paraId="666D9546">
      <w:pPr>
        <w:pStyle w:val="5"/>
        <w:bidi w:val="0"/>
        <w:rPr>
          <w:color w:val="auto"/>
        </w:rPr>
      </w:pPr>
      <w:bookmarkStart w:id="152" w:name="_Toc13930"/>
      <w:r>
        <w:rPr>
          <w:rFonts w:hint="eastAsia"/>
          <w:color w:val="auto"/>
        </w:rPr>
        <w:t>附件二：问题澄清通知</w:t>
      </w:r>
      <w:bookmarkEnd w:id="152"/>
    </w:p>
    <w:p w14:paraId="5980674E">
      <w:pPr>
        <w:spacing w:before="240" w:beforeLines="100" w:after="240" w:afterLines="100" w:line="400" w:lineRule="exact"/>
        <w:jc w:val="center"/>
        <w:rPr>
          <w:rFonts w:ascii="宋体" w:hAnsi="宋体"/>
          <w:color w:val="auto"/>
          <w:sz w:val="28"/>
          <w:highlight w:val="none"/>
        </w:rPr>
      </w:pPr>
      <w:r>
        <w:rPr>
          <w:rFonts w:hint="eastAsia" w:ascii="宋体" w:hAnsi="宋体"/>
          <w:color w:val="auto"/>
          <w:sz w:val="28"/>
          <w:highlight w:val="none"/>
        </w:rPr>
        <w:t>问 题 澄 清 通 知</w:t>
      </w:r>
    </w:p>
    <w:p w14:paraId="7A0ED32F">
      <w:pPr>
        <w:spacing w:line="400" w:lineRule="exact"/>
        <w:ind w:firstLine="5355" w:firstLineChars="2550"/>
        <w:rPr>
          <w:rFonts w:ascii="宋体" w:hAnsi="宋体"/>
          <w:color w:val="auto"/>
          <w:highlight w:val="none"/>
          <w:u w:val="single"/>
        </w:rPr>
      </w:pPr>
      <w:r>
        <w:rPr>
          <w:rFonts w:hint="eastAsia" w:ascii="宋体" w:hAnsi="宋体"/>
          <w:color w:val="auto"/>
          <w:highlight w:val="none"/>
        </w:rPr>
        <w:t>编号：</w:t>
      </w:r>
    </w:p>
    <w:p w14:paraId="4A01E0B7">
      <w:pPr>
        <w:spacing w:line="480" w:lineRule="exact"/>
        <w:rPr>
          <w:rFonts w:ascii="宋体" w:hAnsi="宋体"/>
          <w:color w:val="auto"/>
          <w:highlight w:val="none"/>
          <w:u w:val="single"/>
        </w:rPr>
      </w:pPr>
    </w:p>
    <w:p w14:paraId="2D0AE529">
      <w:pPr>
        <w:spacing w:line="360" w:lineRule="auto"/>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highlight w:val="none"/>
        </w:rPr>
        <w:t>（投标人名称）：</w:t>
      </w:r>
    </w:p>
    <w:p w14:paraId="75E3C771">
      <w:pPr>
        <w:spacing w:line="360" w:lineRule="auto"/>
        <w:ind w:firstLine="560" w:firstLineChars="200"/>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标段招标的评标委员会，对你方的投标文件进行了仔细的审查，现需你方于</w:t>
      </w:r>
      <w:r>
        <w:rPr>
          <w:rFonts w:hint="eastAsia" w:ascii="宋体" w:hAnsi="宋体"/>
          <w:color w:val="auto"/>
          <w:sz w:val="28"/>
          <w:highlight w:val="none"/>
          <w:u w:val="single"/>
        </w:rPr>
        <w:t xml:space="preserve">   </w:t>
      </w:r>
      <w:r>
        <w:rPr>
          <w:rFonts w:hint="eastAsia" w:ascii="宋体" w:hAnsi="宋体"/>
          <w:color w:val="auto"/>
          <w:highlight w:val="none"/>
        </w:rPr>
        <w:t>年</w:t>
      </w:r>
      <w:r>
        <w:rPr>
          <w:rFonts w:hint="eastAsia" w:ascii="宋体" w:hAnsi="宋体"/>
          <w:color w:val="auto"/>
          <w:sz w:val="28"/>
          <w:highlight w:val="none"/>
          <w:u w:val="single"/>
        </w:rPr>
        <w:t xml:space="preserve">   </w:t>
      </w:r>
      <w:r>
        <w:rPr>
          <w:rFonts w:hint="eastAsia" w:ascii="宋体" w:hAnsi="宋体"/>
          <w:color w:val="auto"/>
          <w:highlight w:val="none"/>
        </w:rPr>
        <w:t>月</w:t>
      </w:r>
      <w:r>
        <w:rPr>
          <w:rFonts w:hint="eastAsia" w:ascii="宋体" w:hAnsi="宋体"/>
          <w:color w:val="auto"/>
          <w:sz w:val="28"/>
          <w:highlight w:val="none"/>
          <w:u w:val="single"/>
        </w:rPr>
        <w:t xml:space="preserve">   </w:t>
      </w:r>
      <w:r>
        <w:rPr>
          <w:rFonts w:hint="eastAsia" w:ascii="宋体" w:hAnsi="宋体"/>
          <w:color w:val="auto"/>
          <w:highlight w:val="none"/>
        </w:rPr>
        <w:t>日时分前对以下问题予以澄清、说明或者补正：</w:t>
      </w:r>
    </w:p>
    <w:p w14:paraId="23A11071">
      <w:pPr>
        <w:spacing w:line="360" w:lineRule="auto"/>
        <w:ind w:firstLine="420" w:firstLineChars="200"/>
        <w:rPr>
          <w:rFonts w:ascii="宋体" w:hAnsi="宋体"/>
          <w:color w:val="auto"/>
          <w:highlight w:val="none"/>
        </w:rPr>
      </w:pPr>
      <w:r>
        <w:rPr>
          <w:rFonts w:hint="eastAsia" w:ascii="宋体" w:hAnsi="宋体"/>
          <w:color w:val="auto"/>
          <w:highlight w:val="none"/>
        </w:rPr>
        <w:t>1、</w:t>
      </w:r>
    </w:p>
    <w:p w14:paraId="3939C2AE">
      <w:pPr>
        <w:spacing w:line="360" w:lineRule="auto"/>
        <w:ind w:firstLine="420" w:firstLineChars="200"/>
        <w:rPr>
          <w:rFonts w:ascii="宋体" w:hAnsi="宋体"/>
          <w:color w:val="auto"/>
          <w:highlight w:val="none"/>
        </w:rPr>
      </w:pPr>
      <w:r>
        <w:rPr>
          <w:rFonts w:hint="eastAsia" w:ascii="宋体" w:hAnsi="宋体"/>
          <w:color w:val="auto"/>
          <w:highlight w:val="none"/>
        </w:rPr>
        <w:t>2、</w:t>
      </w:r>
    </w:p>
    <w:p w14:paraId="3E09E7D4">
      <w:pPr>
        <w:spacing w:line="360" w:lineRule="auto"/>
        <w:ind w:firstLine="420" w:firstLineChars="200"/>
        <w:rPr>
          <w:rFonts w:ascii="宋体" w:hAnsi="宋体"/>
          <w:color w:val="auto"/>
          <w:highlight w:val="none"/>
        </w:rPr>
      </w:pPr>
      <w:r>
        <w:rPr>
          <w:rFonts w:hint="eastAsia" w:ascii="宋体" w:hAnsi="宋体"/>
          <w:color w:val="auto"/>
          <w:highlight w:val="none"/>
        </w:rPr>
        <w:t>3、</w:t>
      </w:r>
    </w:p>
    <w:p w14:paraId="1B83722B">
      <w:pPr>
        <w:spacing w:line="360" w:lineRule="auto"/>
        <w:rPr>
          <w:rFonts w:ascii="宋体" w:hAnsi="宋体"/>
          <w:color w:val="auto"/>
          <w:highlight w:val="none"/>
        </w:rPr>
      </w:pPr>
    </w:p>
    <w:p w14:paraId="04376A5A">
      <w:pPr>
        <w:spacing w:line="360" w:lineRule="auto"/>
        <w:rPr>
          <w:rFonts w:ascii="宋体" w:hAnsi="宋体"/>
          <w:color w:val="auto"/>
          <w:highlight w:val="none"/>
        </w:rPr>
      </w:pPr>
    </w:p>
    <w:p w14:paraId="4FE32952">
      <w:pPr>
        <w:spacing w:line="360" w:lineRule="auto"/>
        <w:rPr>
          <w:rFonts w:ascii="宋体" w:hAnsi="宋体"/>
          <w:color w:val="auto"/>
          <w:highlight w:val="none"/>
        </w:rPr>
      </w:pPr>
    </w:p>
    <w:p w14:paraId="12B484C0">
      <w:pPr>
        <w:spacing w:line="360" w:lineRule="auto"/>
        <w:rPr>
          <w:rFonts w:ascii="宋体" w:hAnsi="宋体"/>
          <w:color w:val="auto"/>
          <w:highlight w:val="none"/>
        </w:rPr>
      </w:pPr>
    </w:p>
    <w:p w14:paraId="4E660BA7">
      <w:pPr>
        <w:spacing w:line="360" w:lineRule="auto"/>
        <w:rPr>
          <w:rFonts w:ascii="宋体" w:hAnsi="宋体"/>
          <w:color w:val="auto"/>
          <w:highlight w:val="none"/>
        </w:rPr>
      </w:pPr>
    </w:p>
    <w:p w14:paraId="20ADADFB">
      <w:pPr>
        <w:spacing w:line="360" w:lineRule="auto"/>
        <w:ind w:firstLine="3570" w:firstLineChars="170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sz w:val="28"/>
          <w:highlight w:val="none"/>
          <w:u w:val="single"/>
        </w:rPr>
        <w:t xml:space="preserve">     </w:t>
      </w:r>
      <w:r>
        <w:rPr>
          <w:rFonts w:hint="eastAsia" w:ascii="宋体" w:hAnsi="宋体"/>
          <w:color w:val="auto"/>
          <w:highlight w:val="none"/>
        </w:rPr>
        <w:t xml:space="preserve">（项目名称）评标委员会 </w:t>
      </w:r>
    </w:p>
    <w:p w14:paraId="16A83A2F">
      <w:pPr>
        <w:spacing w:line="360" w:lineRule="auto"/>
        <w:ind w:firstLine="6160" w:firstLineChars="2200"/>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highlight w:val="none"/>
        </w:rPr>
        <w:t xml:space="preserve">年 </w:t>
      </w:r>
      <w:r>
        <w:rPr>
          <w:rFonts w:hint="eastAsia" w:ascii="宋体" w:hAnsi="宋体"/>
          <w:color w:val="auto"/>
          <w:sz w:val="28"/>
          <w:highlight w:val="none"/>
          <w:u w:val="single"/>
        </w:rPr>
        <w:t xml:space="preserve">  </w:t>
      </w:r>
      <w:r>
        <w:rPr>
          <w:rFonts w:hint="eastAsia" w:ascii="宋体" w:hAnsi="宋体"/>
          <w:color w:val="auto"/>
          <w:highlight w:val="none"/>
        </w:rPr>
        <w:t xml:space="preserve"> 月</w:t>
      </w:r>
      <w:r>
        <w:rPr>
          <w:rFonts w:hint="eastAsia" w:ascii="宋体" w:hAnsi="宋体"/>
          <w:color w:val="auto"/>
          <w:sz w:val="28"/>
          <w:highlight w:val="none"/>
          <w:u w:val="single"/>
        </w:rPr>
        <w:t xml:space="preserve">   </w:t>
      </w:r>
      <w:r>
        <w:rPr>
          <w:rFonts w:hint="eastAsia" w:ascii="宋体" w:hAnsi="宋体"/>
          <w:color w:val="auto"/>
          <w:highlight w:val="none"/>
        </w:rPr>
        <w:t>日</w:t>
      </w:r>
    </w:p>
    <w:p w14:paraId="0CBAED41">
      <w:pPr>
        <w:spacing w:line="360" w:lineRule="auto"/>
        <w:rPr>
          <w:rFonts w:ascii="宋体" w:hAnsi="宋体"/>
          <w:color w:val="auto"/>
          <w:highlight w:val="none"/>
        </w:rPr>
      </w:pPr>
    </w:p>
    <w:p w14:paraId="49B98FC7">
      <w:pPr>
        <w:pStyle w:val="27"/>
        <w:ind w:firstLine="210"/>
        <w:rPr>
          <w:rFonts w:ascii="宋体" w:hAnsi="宋体"/>
          <w:color w:val="auto"/>
          <w:highlight w:val="none"/>
        </w:rPr>
      </w:pPr>
    </w:p>
    <w:p w14:paraId="2E65EB65">
      <w:pPr>
        <w:pStyle w:val="28"/>
        <w:ind w:firstLine="560"/>
        <w:rPr>
          <w:rFonts w:ascii="宋体" w:hAnsi="宋体"/>
          <w:color w:val="auto"/>
          <w:highlight w:val="none"/>
        </w:rPr>
      </w:pPr>
    </w:p>
    <w:p w14:paraId="54AA0915">
      <w:pPr>
        <w:rPr>
          <w:rFonts w:ascii="宋体" w:hAnsi="宋体"/>
          <w:color w:val="auto"/>
          <w:highlight w:val="none"/>
        </w:rPr>
      </w:pPr>
    </w:p>
    <w:p w14:paraId="3124950F">
      <w:pPr>
        <w:pStyle w:val="44"/>
        <w:rPr>
          <w:rFonts w:ascii="宋体" w:hAnsi="宋体"/>
          <w:color w:val="auto"/>
          <w:highlight w:val="none"/>
        </w:rPr>
      </w:pPr>
    </w:p>
    <w:p w14:paraId="43321F40">
      <w:pPr>
        <w:pStyle w:val="44"/>
        <w:rPr>
          <w:rFonts w:ascii="宋体" w:hAnsi="宋体"/>
          <w:color w:val="auto"/>
          <w:highlight w:val="none"/>
        </w:rPr>
      </w:pPr>
    </w:p>
    <w:p w14:paraId="1F937B6F">
      <w:pPr>
        <w:rPr>
          <w:rFonts w:ascii="宋体" w:hAnsi="宋体"/>
          <w:color w:val="auto"/>
          <w:highlight w:val="none"/>
        </w:rPr>
      </w:pPr>
    </w:p>
    <w:p w14:paraId="63B9EC30">
      <w:pPr>
        <w:pStyle w:val="27"/>
        <w:ind w:firstLine="210"/>
        <w:rPr>
          <w:rFonts w:ascii="宋体" w:hAnsi="宋体"/>
          <w:color w:val="auto"/>
          <w:highlight w:val="none"/>
        </w:rPr>
      </w:pPr>
    </w:p>
    <w:p w14:paraId="49B48905">
      <w:pPr>
        <w:pStyle w:val="28"/>
        <w:ind w:firstLine="560"/>
        <w:rPr>
          <w:color w:val="auto"/>
          <w:highlight w:val="none"/>
        </w:rPr>
      </w:pPr>
    </w:p>
    <w:p w14:paraId="098FC13D">
      <w:pPr>
        <w:spacing w:line="360" w:lineRule="auto"/>
        <w:rPr>
          <w:rFonts w:ascii="宋体" w:hAnsi="宋体"/>
          <w:color w:val="auto"/>
          <w:highlight w:val="none"/>
        </w:rPr>
      </w:pPr>
    </w:p>
    <w:p w14:paraId="1C90FF26">
      <w:pPr>
        <w:pStyle w:val="12"/>
        <w:rPr>
          <w:color w:val="auto"/>
          <w:highlight w:val="none"/>
        </w:rPr>
      </w:pPr>
    </w:p>
    <w:p w14:paraId="07C0F685">
      <w:pPr>
        <w:pStyle w:val="12"/>
        <w:rPr>
          <w:color w:val="auto"/>
          <w:highlight w:val="none"/>
        </w:rPr>
      </w:pPr>
    </w:p>
    <w:p w14:paraId="47E83639">
      <w:pPr>
        <w:pStyle w:val="12"/>
        <w:rPr>
          <w:color w:val="auto"/>
          <w:highlight w:val="none"/>
        </w:rPr>
      </w:pPr>
    </w:p>
    <w:p w14:paraId="452FC358">
      <w:pPr>
        <w:pStyle w:val="5"/>
        <w:bidi w:val="0"/>
        <w:rPr>
          <w:color w:val="auto"/>
        </w:rPr>
      </w:pPr>
      <w:bookmarkStart w:id="153" w:name="_Toc5175"/>
      <w:r>
        <w:rPr>
          <w:rFonts w:hint="eastAsia"/>
          <w:color w:val="auto"/>
        </w:rPr>
        <w:t>附件三：问题的澄清</w:t>
      </w:r>
      <w:bookmarkEnd w:id="153"/>
    </w:p>
    <w:p w14:paraId="6CA5DF91">
      <w:pPr>
        <w:spacing w:before="240" w:beforeLines="100" w:after="240" w:afterLines="100" w:line="480" w:lineRule="exact"/>
        <w:jc w:val="center"/>
        <w:rPr>
          <w:rFonts w:ascii="宋体" w:hAnsi="宋体"/>
          <w:color w:val="auto"/>
          <w:sz w:val="28"/>
          <w:highlight w:val="none"/>
        </w:rPr>
      </w:pPr>
      <w:r>
        <w:rPr>
          <w:rFonts w:hint="eastAsia" w:ascii="宋体" w:hAnsi="宋体"/>
          <w:color w:val="auto"/>
          <w:sz w:val="28"/>
          <w:highlight w:val="none"/>
        </w:rPr>
        <w:t>问题的澄清、说明或补正</w:t>
      </w:r>
    </w:p>
    <w:p w14:paraId="0D96EE26">
      <w:pPr>
        <w:spacing w:line="400" w:lineRule="exact"/>
        <w:ind w:firstLine="5355" w:firstLineChars="2550"/>
        <w:rPr>
          <w:rFonts w:ascii="宋体" w:hAnsi="宋体"/>
          <w:color w:val="auto"/>
          <w:highlight w:val="none"/>
          <w:u w:val="single"/>
        </w:rPr>
      </w:pPr>
      <w:r>
        <w:rPr>
          <w:rFonts w:hint="eastAsia" w:ascii="宋体" w:hAnsi="宋体"/>
          <w:color w:val="auto"/>
          <w:highlight w:val="none"/>
        </w:rPr>
        <w:t>编号：</w:t>
      </w:r>
      <w:r>
        <w:rPr>
          <w:rFonts w:hint="eastAsia" w:ascii="宋体" w:hAnsi="宋体"/>
          <w:color w:val="auto"/>
          <w:sz w:val="28"/>
          <w:highlight w:val="none"/>
          <w:u w:val="single"/>
        </w:rPr>
        <w:t xml:space="preserve">                       </w:t>
      </w:r>
    </w:p>
    <w:p w14:paraId="1B655331">
      <w:pPr>
        <w:spacing w:line="480" w:lineRule="exact"/>
        <w:rPr>
          <w:rFonts w:ascii="宋体" w:hAnsi="宋体"/>
          <w:color w:val="auto"/>
          <w:highlight w:val="none"/>
        </w:rPr>
      </w:pPr>
    </w:p>
    <w:p w14:paraId="670E2F99">
      <w:pPr>
        <w:spacing w:line="360" w:lineRule="auto"/>
        <w:rPr>
          <w:rFonts w:ascii="宋体" w:hAnsi="宋体"/>
          <w:color w:val="auto"/>
          <w:highlight w:val="none"/>
        </w:rPr>
      </w:pPr>
      <w:r>
        <w:rPr>
          <w:rFonts w:hint="eastAsia" w:ascii="宋体" w:hAnsi="宋体"/>
          <w:color w:val="auto"/>
          <w:sz w:val="28"/>
          <w:highlight w:val="none"/>
          <w:u w:val="single"/>
        </w:rPr>
        <w:t xml:space="preserve">     </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标段招标评标委员会：</w:t>
      </w:r>
    </w:p>
    <w:p w14:paraId="56D08A7D">
      <w:pPr>
        <w:spacing w:line="360" w:lineRule="auto"/>
        <w:ind w:firstLine="420" w:firstLineChars="200"/>
        <w:rPr>
          <w:rFonts w:ascii="宋体" w:hAnsi="宋体"/>
          <w:color w:val="auto"/>
          <w:highlight w:val="none"/>
        </w:rPr>
      </w:pPr>
      <w:r>
        <w:rPr>
          <w:rFonts w:hint="eastAsia" w:ascii="宋体" w:hAnsi="宋体"/>
          <w:color w:val="auto"/>
          <w:highlight w:val="none"/>
        </w:rPr>
        <w:t>问题澄清通知（编号：</w:t>
      </w:r>
      <w:r>
        <w:rPr>
          <w:rFonts w:hint="eastAsia" w:ascii="宋体" w:hAnsi="宋体"/>
          <w:color w:val="auto"/>
          <w:sz w:val="28"/>
          <w:highlight w:val="none"/>
          <w:u w:val="single"/>
        </w:rPr>
        <w:t xml:space="preserve">        </w:t>
      </w:r>
      <w:r>
        <w:rPr>
          <w:rFonts w:hint="eastAsia" w:ascii="宋体" w:hAnsi="宋体"/>
          <w:color w:val="auto"/>
          <w:highlight w:val="none"/>
        </w:rPr>
        <w:t>）已收悉，现澄清、说明或者补正如下：</w:t>
      </w:r>
    </w:p>
    <w:p w14:paraId="0B7BE147">
      <w:pPr>
        <w:spacing w:line="360" w:lineRule="auto"/>
        <w:ind w:firstLine="420" w:firstLineChars="200"/>
        <w:rPr>
          <w:rFonts w:ascii="宋体" w:hAnsi="宋体"/>
          <w:color w:val="auto"/>
          <w:highlight w:val="none"/>
        </w:rPr>
      </w:pPr>
      <w:r>
        <w:rPr>
          <w:rFonts w:hint="eastAsia" w:ascii="宋体" w:hAnsi="宋体"/>
          <w:color w:val="auto"/>
          <w:highlight w:val="none"/>
        </w:rPr>
        <w:t>1.</w:t>
      </w:r>
    </w:p>
    <w:p w14:paraId="435D3CDA">
      <w:pPr>
        <w:spacing w:line="360" w:lineRule="auto"/>
        <w:ind w:firstLine="420" w:firstLineChars="200"/>
        <w:rPr>
          <w:rFonts w:ascii="宋体" w:hAnsi="宋体"/>
          <w:color w:val="auto"/>
          <w:highlight w:val="none"/>
        </w:rPr>
      </w:pPr>
      <w:r>
        <w:rPr>
          <w:rFonts w:hint="eastAsia" w:ascii="宋体" w:hAnsi="宋体"/>
          <w:color w:val="auto"/>
          <w:highlight w:val="none"/>
        </w:rPr>
        <w:t>2.</w:t>
      </w:r>
    </w:p>
    <w:p w14:paraId="5F6956C7">
      <w:pPr>
        <w:spacing w:line="360" w:lineRule="auto"/>
        <w:ind w:firstLine="420" w:firstLineChars="200"/>
        <w:rPr>
          <w:rFonts w:ascii="宋体" w:hAnsi="宋体"/>
          <w:color w:val="auto"/>
          <w:highlight w:val="none"/>
        </w:rPr>
      </w:pPr>
    </w:p>
    <w:p w14:paraId="4B192658">
      <w:pPr>
        <w:spacing w:line="360" w:lineRule="auto"/>
        <w:ind w:firstLine="420" w:firstLineChars="200"/>
        <w:rPr>
          <w:rFonts w:ascii="宋体" w:hAnsi="宋体"/>
          <w:color w:val="auto"/>
          <w:highlight w:val="none"/>
        </w:rPr>
      </w:pPr>
      <w:r>
        <w:rPr>
          <w:rFonts w:hint="eastAsia" w:ascii="宋体" w:hAnsi="宋体"/>
          <w:color w:val="auto"/>
          <w:highlight w:val="none"/>
        </w:rPr>
        <w:t>……</w:t>
      </w:r>
    </w:p>
    <w:p w14:paraId="4A01B16B">
      <w:pPr>
        <w:spacing w:line="360" w:lineRule="auto"/>
        <w:ind w:firstLine="420" w:firstLineChars="200"/>
        <w:rPr>
          <w:rFonts w:ascii="宋体" w:hAnsi="宋体"/>
          <w:color w:val="auto"/>
          <w:highlight w:val="none"/>
        </w:rPr>
      </w:pPr>
    </w:p>
    <w:p w14:paraId="5C2126FD">
      <w:pPr>
        <w:spacing w:line="360" w:lineRule="auto"/>
        <w:ind w:firstLine="420" w:firstLineChars="200"/>
        <w:rPr>
          <w:rFonts w:ascii="宋体" w:hAnsi="宋体"/>
          <w:color w:val="auto"/>
          <w:highlight w:val="none"/>
        </w:rPr>
      </w:pPr>
    </w:p>
    <w:p w14:paraId="29A4D916">
      <w:pPr>
        <w:spacing w:line="360" w:lineRule="auto"/>
        <w:ind w:firstLine="420" w:firstLineChars="200"/>
        <w:rPr>
          <w:rFonts w:ascii="宋体" w:hAnsi="宋体"/>
          <w:color w:val="auto"/>
          <w:highlight w:val="none"/>
        </w:rPr>
      </w:pPr>
    </w:p>
    <w:p w14:paraId="60DD307B">
      <w:pPr>
        <w:spacing w:line="360" w:lineRule="auto"/>
        <w:ind w:firstLine="420" w:firstLineChars="200"/>
        <w:rPr>
          <w:rFonts w:ascii="宋体" w:hAnsi="宋体"/>
          <w:color w:val="auto"/>
          <w:highlight w:val="none"/>
        </w:rPr>
      </w:pPr>
    </w:p>
    <w:p w14:paraId="6E2A5E0C">
      <w:pPr>
        <w:spacing w:line="360" w:lineRule="auto"/>
        <w:ind w:firstLine="420" w:firstLineChars="200"/>
        <w:rPr>
          <w:rFonts w:ascii="宋体" w:hAnsi="宋体"/>
          <w:color w:val="auto"/>
          <w:highlight w:val="none"/>
        </w:rPr>
      </w:pPr>
    </w:p>
    <w:p w14:paraId="3C8FEBE4">
      <w:pPr>
        <w:spacing w:line="360" w:lineRule="auto"/>
        <w:ind w:firstLine="420" w:firstLineChars="200"/>
        <w:rPr>
          <w:rFonts w:ascii="宋体" w:hAnsi="宋体"/>
          <w:color w:val="auto"/>
          <w:highlight w:val="none"/>
        </w:rPr>
      </w:pPr>
    </w:p>
    <w:p w14:paraId="47F5527B">
      <w:pPr>
        <w:wordWrap w:val="0"/>
        <w:spacing w:line="360" w:lineRule="auto"/>
        <w:ind w:firstLine="420" w:firstLineChars="200"/>
        <w:jc w:val="right"/>
        <w:rPr>
          <w:rFonts w:ascii="宋体" w:hAnsi="宋体"/>
          <w:color w:val="auto"/>
          <w:highlight w:val="none"/>
        </w:rPr>
      </w:pPr>
      <w:r>
        <w:rPr>
          <w:rFonts w:hint="eastAsia" w:ascii="宋体" w:hAnsi="宋体"/>
          <w:color w:val="auto"/>
          <w:highlight w:val="none"/>
        </w:rPr>
        <w:t>投标人：</w:t>
      </w:r>
      <w:r>
        <w:rPr>
          <w:rFonts w:hint="eastAsia" w:ascii="宋体" w:hAnsi="宋体"/>
          <w:color w:val="auto"/>
          <w:sz w:val="28"/>
          <w:highlight w:val="none"/>
          <w:u w:val="single"/>
        </w:rPr>
        <w:t xml:space="preserve">            </w:t>
      </w:r>
      <w:r>
        <w:rPr>
          <w:rFonts w:hint="eastAsia" w:ascii="宋体" w:hAnsi="宋体"/>
          <w:color w:val="auto"/>
          <w:highlight w:val="none"/>
        </w:rPr>
        <w:t xml:space="preserve">（盖单位电子签章） </w:t>
      </w:r>
    </w:p>
    <w:p w14:paraId="2428E88D">
      <w:pPr>
        <w:wordWrap w:val="0"/>
        <w:spacing w:before="120" w:beforeLines="50" w:after="120" w:afterLines="50" w:line="360" w:lineRule="auto"/>
        <w:ind w:right="210"/>
        <w:jc w:val="right"/>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sz w:val="28"/>
          <w:highlight w:val="none"/>
          <w:u w:val="single"/>
        </w:rPr>
        <w:t xml:space="preserve">         </w:t>
      </w:r>
      <w:r>
        <w:rPr>
          <w:rFonts w:hint="eastAsia" w:ascii="宋体" w:hAnsi="宋体"/>
          <w:color w:val="auto"/>
          <w:highlight w:val="none"/>
        </w:rPr>
        <w:t>（电子签章）</w:t>
      </w:r>
    </w:p>
    <w:p w14:paraId="234B68B8">
      <w:pPr>
        <w:jc w:val="right"/>
        <w:rPr>
          <w:b/>
          <w:bCs/>
          <w:color w:val="auto"/>
          <w:sz w:val="36"/>
          <w:szCs w:val="36"/>
          <w:highlight w:val="none"/>
        </w:rPr>
      </w:pPr>
      <w:r>
        <w:rPr>
          <w:rFonts w:hint="eastAsia" w:ascii="宋体" w:hAnsi="宋体"/>
          <w:color w:val="auto"/>
          <w:sz w:val="28"/>
          <w:highlight w:val="none"/>
          <w:u w:val="single"/>
        </w:rPr>
        <w:t xml:space="preserve">   </w:t>
      </w:r>
      <w:r>
        <w:rPr>
          <w:rFonts w:hint="eastAsia" w:ascii="宋体" w:hAnsi="宋体"/>
          <w:color w:val="auto"/>
          <w:highlight w:val="none"/>
        </w:rPr>
        <w:t xml:space="preserve">年 </w:t>
      </w:r>
      <w:r>
        <w:rPr>
          <w:rFonts w:hint="eastAsia" w:ascii="宋体" w:hAnsi="宋体"/>
          <w:color w:val="auto"/>
          <w:sz w:val="28"/>
          <w:highlight w:val="none"/>
          <w:u w:val="single"/>
        </w:rPr>
        <w:t xml:space="preserve">   </w:t>
      </w:r>
      <w:r>
        <w:rPr>
          <w:rFonts w:hint="eastAsia" w:ascii="宋体" w:hAnsi="宋体"/>
          <w:color w:val="auto"/>
          <w:highlight w:val="none"/>
        </w:rPr>
        <w:t xml:space="preserve"> 月  </w:t>
      </w:r>
      <w:r>
        <w:rPr>
          <w:rFonts w:hint="eastAsia" w:ascii="宋体" w:hAnsi="宋体"/>
          <w:color w:val="auto"/>
          <w:sz w:val="28"/>
          <w:highlight w:val="none"/>
          <w:u w:val="single"/>
        </w:rPr>
        <w:t xml:space="preserve">   </w:t>
      </w:r>
      <w:r>
        <w:rPr>
          <w:rFonts w:hint="eastAsia" w:ascii="宋体" w:hAnsi="宋体"/>
          <w:color w:val="auto"/>
          <w:highlight w:val="none"/>
        </w:rPr>
        <w:t>日</w:t>
      </w:r>
    </w:p>
    <w:p w14:paraId="34EB13B3">
      <w:pPr>
        <w:bidi w:val="0"/>
        <w:rPr>
          <w:color w:val="auto"/>
          <w:highlight w:val="none"/>
        </w:rPr>
      </w:pPr>
      <w:bookmarkStart w:id="154" w:name="_Toc10716"/>
    </w:p>
    <w:p w14:paraId="7EAC6269">
      <w:pPr>
        <w:bidi w:val="0"/>
        <w:rPr>
          <w:color w:val="auto"/>
          <w:highlight w:val="none"/>
        </w:rPr>
      </w:pPr>
    </w:p>
    <w:p w14:paraId="5E7D50DC">
      <w:pPr>
        <w:bidi w:val="0"/>
        <w:rPr>
          <w:color w:val="auto"/>
          <w:highlight w:val="none"/>
        </w:rPr>
      </w:pPr>
    </w:p>
    <w:p w14:paraId="45AC00EB">
      <w:pPr>
        <w:bidi w:val="0"/>
        <w:rPr>
          <w:color w:val="auto"/>
          <w:highlight w:val="none"/>
        </w:rPr>
      </w:pPr>
    </w:p>
    <w:p w14:paraId="57B968A0">
      <w:pPr>
        <w:bidi w:val="0"/>
        <w:rPr>
          <w:color w:val="auto"/>
          <w:highlight w:val="none"/>
        </w:rPr>
      </w:pPr>
    </w:p>
    <w:p w14:paraId="26AAB3C8">
      <w:pPr>
        <w:bidi w:val="0"/>
        <w:rPr>
          <w:color w:val="auto"/>
          <w:highlight w:val="none"/>
        </w:rPr>
      </w:pPr>
    </w:p>
    <w:p w14:paraId="1EAE0B15">
      <w:pPr>
        <w:bidi w:val="0"/>
        <w:rPr>
          <w:color w:val="auto"/>
          <w:highlight w:val="none"/>
        </w:rPr>
      </w:pPr>
    </w:p>
    <w:p w14:paraId="454C595B">
      <w:pPr>
        <w:bidi w:val="0"/>
        <w:rPr>
          <w:color w:val="auto"/>
          <w:highlight w:val="none"/>
        </w:rPr>
      </w:pPr>
    </w:p>
    <w:p w14:paraId="1FF8296E">
      <w:pPr>
        <w:bidi w:val="0"/>
        <w:rPr>
          <w:color w:val="auto"/>
          <w:highlight w:val="none"/>
        </w:rPr>
      </w:pPr>
    </w:p>
    <w:p w14:paraId="6CDA1481">
      <w:pPr>
        <w:pStyle w:val="28"/>
        <w:ind w:left="0" w:leftChars="0" w:firstLine="0" w:firstLineChars="0"/>
        <w:rPr>
          <w:color w:val="auto"/>
          <w:highlight w:val="none"/>
        </w:rPr>
      </w:pPr>
    </w:p>
    <w:p w14:paraId="39E93532">
      <w:pPr>
        <w:pStyle w:val="2"/>
        <w:bidi w:val="0"/>
        <w:rPr>
          <w:color w:val="auto"/>
        </w:rPr>
      </w:pPr>
      <w:bookmarkStart w:id="155" w:name="_Toc9650"/>
      <w:bookmarkStart w:id="156" w:name="_Toc32446"/>
      <w:r>
        <w:rPr>
          <w:rFonts w:hint="eastAsia"/>
          <w:color w:val="auto"/>
        </w:rPr>
        <w:t>第三章  评标办法</w:t>
      </w:r>
      <w:bookmarkEnd w:id="154"/>
      <w:bookmarkEnd w:id="155"/>
      <w:bookmarkEnd w:id="156"/>
      <w:bookmarkStart w:id="157" w:name="_Toc152042376"/>
      <w:bookmarkStart w:id="158" w:name="_Toc152045599"/>
      <w:bookmarkStart w:id="159" w:name="_Toc144974566"/>
      <w:bookmarkStart w:id="160" w:name="_Toc247527624"/>
      <w:bookmarkStart w:id="161" w:name="_Toc247514023"/>
      <w:r>
        <w:rPr>
          <w:rFonts w:hint="eastAsia"/>
          <w:color w:val="auto"/>
        </w:rPr>
        <w:t>（合格制+定性评审）</w:t>
      </w:r>
    </w:p>
    <w:bookmarkEnd w:id="157"/>
    <w:bookmarkEnd w:id="158"/>
    <w:bookmarkEnd w:id="159"/>
    <w:bookmarkEnd w:id="160"/>
    <w:bookmarkEnd w:id="161"/>
    <w:p w14:paraId="001EFCA4">
      <w:pPr>
        <w:pStyle w:val="3"/>
        <w:bidi w:val="0"/>
        <w:rPr>
          <w:color w:val="auto"/>
        </w:rPr>
      </w:pPr>
      <w:bookmarkStart w:id="162" w:name="_Toc11371"/>
      <w:bookmarkStart w:id="163" w:name="_Toc4752"/>
      <w:r>
        <w:rPr>
          <w:rFonts w:hint="eastAsia"/>
          <w:color w:val="auto"/>
        </w:rPr>
        <w:t>评标办法前附表</w:t>
      </w:r>
      <w:bookmarkEnd w:id="162"/>
      <w:bookmarkEnd w:id="163"/>
    </w:p>
    <w:tbl>
      <w:tblPr>
        <w:tblStyle w:val="29"/>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52"/>
        <w:gridCol w:w="1845"/>
        <w:gridCol w:w="5829"/>
      </w:tblGrid>
      <w:tr w14:paraId="0575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09" w:type="dxa"/>
            <w:gridSpan w:val="2"/>
            <w:vAlign w:val="center"/>
          </w:tcPr>
          <w:p w14:paraId="62EF3676">
            <w:pPr>
              <w:bidi w:val="0"/>
              <w:jc w:val="center"/>
              <w:rPr>
                <w:b/>
                <w:bCs/>
                <w:color w:val="auto"/>
              </w:rPr>
            </w:pPr>
            <w:bookmarkStart w:id="164" w:name="_Toc514412441"/>
            <w:bookmarkStart w:id="165" w:name="_Toc9370"/>
            <w:bookmarkStart w:id="166" w:name="_Toc24431"/>
            <w:r>
              <w:rPr>
                <w:rFonts w:hint="eastAsia"/>
                <w:b/>
                <w:bCs/>
                <w:color w:val="auto"/>
              </w:rPr>
              <w:t>条款号</w:t>
            </w:r>
          </w:p>
        </w:tc>
        <w:tc>
          <w:tcPr>
            <w:tcW w:w="1845" w:type="dxa"/>
            <w:vAlign w:val="center"/>
          </w:tcPr>
          <w:p w14:paraId="6B533754">
            <w:pPr>
              <w:bidi w:val="0"/>
              <w:jc w:val="center"/>
              <w:rPr>
                <w:b/>
                <w:bCs/>
                <w:color w:val="auto"/>
              </w:rPr>
            </w:pPr>
            <w:r>
              <w:rPr>
                <w:rFonts w:hint="eastAsia"/>
                <w:b/>
                <w:bCs/>
                <w:color w:val="auto"/>
              </w:rPr>
              <w:t>评审因素</w:t>
            </w:r>
          </w:p>
        </w:tc>
        <w:tc>
          <w:tcPr>
            <w:tcW w:w="5829" w:type="dxa"/>
            <w:vAlign w:val="center"/>
          </w:tcPr>
          <w:p w14:paraId="2A6337F4">
            <w:pPr>
              <w:bidi w:val="0"/>
              <w:jc w:val="center"/>
              <w:rPr>
                <w:b/>
                <w:bCs/>
                <w:color w:val="auto"/>
              </w:rPr>
            </w:pPr>
            <w:r>
              <w:rPr>
                <w:rFonts w:hint="eastAsia"/>
                <w:b/>
                <w:bCs/>
                <w:color w:val="auto"/>
              </w:rPr>
              <w:t>评审标准</w:t>
            </w:r>
          </w:p>
        </w:tc>
      </w:tr>
      <w:tr w14:paraId="0FD1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restart"/>
            <w:vAlign w:val="center"/>
          </w:tcPr>
          <w:p w14:paraId="6CEBE8AE">
            <w:pPr>
              <w:bidi w:val="0"/>
              <w:jc w:val="center"/>
              <w:rPr>
                <w:color w:val="auto"/>
              </w:rPr>
            </w:pPr>
            <w:r>
              <w:rPr>
                <w:rFonts w:hint="eastAsia"/>
                <w:color w:val="auto"/>
              </w:rPr>
              <w:t>2.1.1</w:t>
            </w:r>
          </w:p>
        </w:tc>
        <w:tc>
          <w:tcPr>
            <w:tcW w:w="952" w:type="dxa"/>
            <w:vMerge w:val="restart"/>
            <w:vAlign w:val="center"/>
          </w:tcPr>
          <w:p w14:paraId="7B8C6965">
            <w:pPr>
              <w:bidi w:val="0"/>
              <w:jc w:val="center"/>
              <w:rPr>
                <w:color w:val="auto"/>
              </w:rPr>
            </w:pPr>
            <w:r>
              <w:rPr>
                <w:rFonts w:hint="eastAsia"/>
                <w:color w:val="auto"/>
              </w:rPr>
              <w:t>形式评审标准</w:t>
            </w:r>
          </w:p>
        </w:tc>
        <w:tc>
          <w:tcPr>
            <w:tcW w:w="1845" w:type="dxa"/>
            <w:vAlign w:val="center"/>
          </w:tcPr>
          <w:p w14:paraId="0989840B">
            <w:pPr>
              <w:bidi w:val="0"/>
              <w:jc w:val="center"/>
              <w:rPr>
                <w:color w:val="auto"/>
              </w:rPr>
            </w:pPr>
            <w:r>
              <w:rPr>
                <w:rFonts w:hint="eastAsia"/>
                <w:color w:val="auto"/>
              </w:rPr>
              <w:t>投标人名称</w:t>
            </w:r>
          </w:p>
        </w:tc>
        <w:tc>
          <w:tcPr>
            <w:tcW w:w="5829" w:type="dxa"/>
            <w:vAlign w:val="center"/>
          </w:tcPr>
          <w:p w14:paraId="633579EF">
            <w:pPr>
              <w:bidi w:val="0"/>
              <w:rPr>
                <w:color w:val="auto"/>
              </w:rPr>
            </w:pPr>
            <w:r>
              <w:rPr>
                <w:rFonts w:hint="eastAsia"/>
                <w:color w:val="auto"/>
              </w:rPr>
              <w:t>与营业执照、资质证书一致</w:t>
            </w:r>
          </w:p>
        </w:tc>
      </w:tr>
      <w:tr w14:paraId="73DF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43E064E2">
            <w:pPr>
              <w:bidi w:val="0"/>
              <w:jc w:val="center"/>
              <w:rPr>
                <w:color w:val="auto"/>
              </w:rPr>
            </w:pPr>
          </w:p>
        </w:tc>
        <w:tc>
          <w:tcPr>
            <w:tcW w:w="952" w:type="dxa"/>
            <w:vMerge w:val="continue"/>
            <w:vAlign w:val="center"/>
          </w:tcPr>
          <w:p w14:paraId="3C8AA2C4">
            <w:pPr>
              <w:bidi w:val="0"/>
              <w:jc w:val="center"/>
              <w:rPr>
                <w:color w:val="auto"/>
              </w:rPr>
            </w:pPr>
          </w:p>
        </w:tc>
        <w:tc>
          <w:tcPr>
            <w:tcW w:w="1845" w:type="dxa"/>
            <w:vAlign w:val="center"/>
          </w:tcPr>
          <w:p w14:paraId="201E4B25">
            <w:pPr>
              <w:bidi w:val="0"/>
              <w:jc w:val="center"/>
              <w:rPr>
                <w:color w:val="auto"/>
              </w:rPr>
            </w:pPr>
            <w:r>
              <w:rPr>
                <w:rFonts w:hint="eastAsia"/>
                <w:color w:val="auto"/>
              </w:rPr>
              <w:t>投标函签字盖章</w:t>
            </w:r>
          </w:p>
        </w:tc>
        <w:tc>
          <w:tcPr>
            <w:tcW w:w="5829" w:type="dxa"/>
            <w:vAlign w:val="center"/>
          </w:tcPr>
          <w:p w14:paraId="338066B5">
            <w:pPr>
              <w:bidi w:val="0"/>
              <w:rPr>
                <w:color w:val="auto"/>
              </w:rPr>
            </w:pPr>
            <w:r>
              <w:rPr>
                <w:rFonts w:hint="eastAsia"/>
                <w:color w:val="auto"/>
              </w:rPr>
              <w:t>有法定代表人或其委托代理人电子签名并加盖单位电子签章</w:t>
            </w:r>
          </w:p>
        </w:tc>
      </w:tr>
      <w:tr w14:paraId="0189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27575F74">
            <w:pPr>
              <w:bidi w:val="0"/>
              <w:jc w:val="center"/>
              <w:rPr>
                <w:color w:val="auto"/>
              </w:rPr>
            </w:pPr>
          </w:p>
        </w:tc>
        <w:tc>
          <w:tcPr>
            <w:tcW w:w="952" w:type="dxa"/>
            <w:vMerge w:val="continue"/>
            <w:vAlign w:val="center"/>
          </w:tcPr>
          <w:p w14:paraId="08432F72">
            <w:pPr>
              <w:bidi w:val="0"/>
              <w:jc w:val="center"/>
              <w:rPr>
                <w:color w:val="auto"/>
              </w:rPr>
            </w:pPr>
          </w:p>
        </w:tc>
        <w:tc>
          <w:tcPr>
            <w:tcW w:w="1845" w:type="dxa"/>
            <w:vAlign w:val="center"/>
          </w:tcPr>
          <w:p w14:paraId="26448C3A">
            <w:pPr>
              <w:bidi w:val="0"/>
              <w:jc w:val="center"/>
              <w:rPr>
                <w:color w:val="auto"/>
              </w:rPr>
            </w:pPr>
            <w:r>
              <w:rPr>
                <w:rFonts w:hint="eastAsia"/>
                <w:color w:val="auto"/>
              </w:rPr>
              <w:t>投标文件格式</w:t>
            </w:r>
          </w:p>
        </w:tc>
        <w:tc>
          <w:tcPr>
            <w:tcW w:w="5829" w:type="dxa"/>
            <w:vAlign w:val="center"/>
          </w:tcPr>
          <w:p w14:paraId="6C2772D9">
            <w:pPr>
              <w:bidi w:val="0"/>
              <w:rPr>
                <w:color w:val="auto"/>
              </w:rPr>
            </w:pPr>
            <w:r>
              <w:rPr>
                <w:rFonts w:hint="eastAsia"/>
                <w:color w:val="auto"/>
              </w:rPr>
              <w:t>符合第六章“投标文件格式”的要求</w:t>
            </w:r>
          </w:p>
        </w:tc>
      </w:tr>
      <w:tr w14:paraId="21F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57" w:type="dxa"/>
            <w:vMerge w:val="continue"/>
            <w:vAlign w:val="center"/>
          </w:tcPr>
          <w:p w14:paraId="69116B08">
            <w:pPr>
              <w:bidi w:val="0"/>
              <w:jc w:val="center"/>
              <w:rPr>
                <w:color w:val="auto"/>
              </w:rPr>
            </w:pPr>
          </w:p>
        </w:tc>
        <w:tc>
          <w:tcPr>
            <w:tcW w:w="952" w:type="dxa"/>
            <w:vMerge w:val="continue"/>
            <w:vAlign w:val="center"/>
          </w:tcPr>
          <w:p w14:paraId="1DCD32A7">
            <w:pPr>
              <w:bidi w:val="0"/>
              <w:jc w:val="center"/>
              <w:rPr>
                <w:color w:val="auto"/>
              </w:rPr>
            </w:pPr>
          </w:p>
        </w:tc>
        <w:tc>
          <w:tcPr>
            <w:tcW w:w="1845" w:type="dxa"/>
            <w:vAlign w:val="center"/>
          </w:tcPr>
          <w:p w14:paraId="1054B094">
            <w:pPr>
              <w:bidi w:val="0"/>
              <w:jc w:val="center"/>
              <w:rPr>
                <w:color w:val="auto"/>
              </w:rPr>
            </w:pPr>
            <w:r>
              <w:rPr>
                <w:rFonts w:hint="eastAsia"/>
                <w:color w:val="auto"/>
              </w:rPr>
              <w:t>报价唯一</w:t>
            </w:r>
          </w:p>
        </w:tc>
        <w:tc>
          <w:tcPr>
            <w:tcW w:w="5829" w:type="dxa"/>
            <w:vAlign w:val="center"/>
          </w:tcPr>
          <w:p w14:paraId="2724D907">
            <w:pPr>
              <w:bidi w:val="0"/>
              <w:rPr>
                <w:color w:val="auto"/>
              </w:rPr>
            </w:pPr>
            <w:r>
              <w:rPr>
                <w:rFonts w:hint="eastAsia"/>
                <w:color w:val="auto"/>
              </w:rPr>
              <w:t>只能有一个有效报价</w:t>
            </w:r>
          </w:p>
        </w:tc>
      </w:tr>
      <w:tr w14:paraId="6430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7" w:type="dxa"/>
            <w:vMerge w:val="restart"/>
            <w:vAlign w:val="center"/>
          </w:tcPr>
          <w:p w14:paraId="0F64C024">
            <w:pPr>
              <w:bidi w:val="0"/>
              <w:jc w:val="center"/>
              <w:rPr>
                <w:color w:val="auto"/>
              </w:rPr>
            </w:pPr>
            <w:r>
              <w:rPr>
                <w:rFonts w:hint="eastAsia"/>
                <w:color w:val="auto"/>
              </w:rPr>
              <w:t>2.1.2</w:t>
            </w:r>
          </w:p>
        </w:tc>
        <w:tc>
          <w:tcPr>
            <w:tcW w:w="952" w:type="dxa"/>
            <w:vMerge w:val="restart"/>
            <w:vAlign w:val="center"/>
          </w:tcPr>
          <w:p w14:paraId="24412CED">
            <w:pPr>
              <w:bidi w:val="0"/>
              <w:jc w:val="center"/>
              <w:rPr>
                <w:color w:val="auto"/>
              </w:rPr>
            </w:pPr>
            <w:r>
              <w:rPr>
                <w:rFonts w:hint="eastAsia"/>
                <w:color w:val="auto"/>
              </w:rPr>
              <w:t>资格评审标准</w:t>
            </w:r>
          </w:p>
        </w:tc>
        <w:tc>
          <w:tcPr>
            <w:tcW w:w="1845" w:type="dxa"/>
            <w:vAlign w:val="center"/>
          </w:tcPr>
          <w:p w14:paraId="28DCCE9E">
            <w:pPr>
              <w:bidi w:val="0"/>
              <w:jc w:val="center"/>
              <w:rPr>
                <w:color w:val="auto"/>
              </w:rPr>
            </w:pPr>
            <w:r>
              <w:rPr>
                <w:rFonts w:hint="eastAsia"/>
                <w:color w:val="auto"/>
              </w:rPr>
              <w:t>营业执照</w:t>
            </w:r>
          </w:p>
        </w:tc>
        <w:tc>
          <w:tcPr>
            <w:tcW w:w="5829" w:type="dxa"/>
            <w:vAlign w:val="center"/>
          </w:tcPr>
          <w:p w14:paraId="6579721B">
            <w:pPr>
              <w:bidi w:val="0"/>
              <w:rPr>
                <w:color w:val="auto"/>
              </w:rPr>
            </w:pPr>
            <w:r>
              <w:rPr>
                <w:rFonts w:hint="eastAsia"/>
                <w:color w:val="auto"/>
              </w:rPr>
              <w:t>符合第二章“投标人须知前附表”第1.4.1项规定</w:t>
            </w:r>
          </w:p>
        </w:tc>
      </w:tr>
      <w:tr w14:paraId="0911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57" w:type="dxa"/>
            <w:vMerge w:val="continue"/>
            <w:vAlign w:val="center"/>
          </w:tcPr>
          <w:p w14:paraId="2BE4A20F">
            <w:pPr>
              <w:bidi w:val="0"/>
              <w:jc w:val="center"/>
              <w:rPr>
                <w:color w:val="auto"/>
              </w:rPr>
            </w:pPr>
          </w:p>
        </w:tc>
        <w:tc>
          <w:tcPr>
            <w:tcW w:w="952" w:type="dxa"/>
            <w:vMerge w:val="continue"/>
            <w:vAlign w:val="center"/>
          </w:tcPr>
          <w:p w14:paraId="2A01AD6A">
            <w:pPr>
              <w:bidi w:val="0"/>
              <w:jc w:val="center"/>
              <w:rPr>
                <w:color w:val="auto"/>
              </w:rPr>
            </w:pPr>
          </w:p>
        </w:tc>
        <w:tc>
          <w:tcPr>
            <w:tcW w:w="1845" w:type="dxa"/>
            <w:vAlign w:val="center"/>
          </w:tcPr>
          <w:p w14:paraId="4A8F7441">
            <w:pPr>
              <w:bidi w:val="0"/>
              <w:jc w:val="center"/>
              <w:rPr>
                <w:color w:val="auto"/>
              </w:rPr>
            </w:pPr>
            <w:r>
              <w:rPr>
                <w:rFonts w:hint="eastAsia"/>
                <w:color w:val="auto"/>
              </w:rPr>
              <w:t>企业资质</w:t>
            </w:r>
          </w:p>
        </w:tc>
        <w:tc>
          <w:tcPr>
            <w:tcW w:w="5829" w:type="dxa"/>
            <w:vAlign w:val="center"/>
          </w:tcPr>
          <w:p w14:paraId="31234326">
            <w:pPr>
              <w:bidi w:val="0"/>
              <w:rPr>
                <w:color w:val="auto"/>
              </w:rPr>
            </w:pPr>
            <w:r>
              <w:rPr>
                <w:rFonts w:hint="eastAsia"/>
                <w:color w:val="auto"/>
              </w:rPr>
              <w:t>符合第二章“投标人须知前附表”第1.4.1项规定</w:t>
            </w:r>
          </w:p>
        </w:tc>
      </w:tr>
      <w:tr w14:paraId="34CA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57" w:type="dxa"/>
            <w:vMerge w:val="continue"/>
            <w:vAlign w:val="center"/>
          </w:tcPr>
          <w:p w14:paraId="20260EC5">
            <w:pPr>
              <w:bidi w:val="0"/>
              <w:jc w:val="center"/>
              <w:rPr>
                <w:color w:val="auto"/>
              </w:rPr>
            </w:pPr>
          </w:p>
        </w:tc>
        <w:tc>
          <w:tcPr>
            <w:tcW w:w="952" w:type="dxa"/>
            <w:vMerge w:val="continue"/>
            <w:vAlign w:val="center"/>
          </w:tcPr>
          <w:p w14:paraId="14CAF12F">
            <w:pPr>
              <w:bidi w:val="0"/>
              <w:jc w:val="center"/>
              <w:rPr>
                <w:color w:val="auto"/>
              </w:rPr>
            </w:pPr>
          </w:p>
        </w:tc>
        <w:tc>
          <w:tcPr>
            <w:tcW w:w="1845" w:type="dxa"/>
            <w:vAlign w:val="center"/>
          </w:tcPr>
          <w:p w14:paraId="54DDF486">
            <w:pPr>
              <w:bidi w:val="0"/>
              <w:jc w:val="center"/>
              <w:rPr>
                <w:color w:val="auto"/>
              </w:rPr>
            </w:pPr>
            <w:r>
              <w:rPr>
                <w:rFonts w:hint="eastAsia"/>
                <w:color w:val="auto"/>
              </w:rPr>
              <w:t>项目总监</w:t>
            </w:r>
          </w:p>
        </w:tc>
        <w:tc>
          <w:tcPr>
            <w:tcW w:w="5829" w:type="dxa"/>
            <w:vAlign w:val="center"/>
          </w:tcPr>
          <w:p w14:paraId="3CDBC72F">
            <w:pPr>
              <w:bidi w:val="0"/>
              <w:rPr>
                <w:color w:val="auto"/>
              </w:rPr>
            </w:pPr>
            <w:r>
              <w:rPr>
                <w:rFonts w:hint="eastAsia"/>
                <w:color w:val="auto"/>
              </w:rPr>
              <w:t>符合第二章“投标人须知前附表”第1.4.1项规定</w:t>
            </w:r>
          </w:p>
        </w:tc>
      </w:tr>
      <w:tr w14:paraId="469E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7" w:type="dxa"/>
            <w:vMerge w:val="continue"/>
            <w:vAlign w:val="center"/>
          </w:tcPr>
          <w:p w14:paraId="7AA6FF81">
            <w:pPr>
              <w:bidi w:val="0"/>
              <w:jc w:val="center"/>
              <w:rPr>
                <w:color w:val="auto"/>
              </w:rPr>
            </w:pPr>
          </w:p>
        </w:tc>
        <w:tc>
          <w:tcPr>
            <w:tcW w:w="952" w:type="dxa"/>
            <w:vMerge w:val="continue"/>
            <w:vAlign w:val="center"/>
          </w:tcPr>
          <w:p w14:paraId="33EB0188">
            <w:pPr>
              <w:bidi w:val="0"/>
              <w:jc w:val="center"/>
              <w:rPr>
                <w:color w:val="auto"/>
              </w:rPr>
            </w:pPr>
          </w:p>
        </w:tc>
        <w:tc>
          <w:tcPr>
            <w:tcW w:w="1845" w:type="dxa"/>
            <w:vAlign w:val="center"/>
          </w:tcPr>
          <w:p w14:paraId="77624BE2">
            <w:pPr>
              <w:bidi w:val="0"/>
              <w:jc w:val="center"/>
              <w:rPr>
                <w:color w:val="auto"/>
              </w:rPr>
            </w:pPr>
            <w:r>
              <w:rPr>
                <w:rFonts w:hint="eastAsia"/>
                <w:color w:val="auto"/>
              </w:rPr>
              <w:t>信誉要求</w:t>
            </w:r>
          </w:p>
        </w:tc>
        <w:tc>
          <w:tcPr>
            <w:tcW w:w="5829" w:type="dxa"/>
            <w:vAlign w:val="center"/>
          </w:tcPr>
          <w:p w14:paraId="0DEC5D4F">
            <w:pPr>
              <w:bidi w:val="0"/>
              <w:rPr>
                <w:color w:val="auto"/>
              </w:rPr>
            </w:pPr>
            <w:r>
              <w:rPr>
                <w:rFonts w:hint="eastAsia"/>
                <w:color w:val="auto"/>
              </w:rPr>
              <w:t>符合第二章“投标人须知前附表”第1.4.1项规定</w:t>
            </w:r>
          </w:p>
        </w:tc>
      </w:tr>
      <w:tr w14:paraId="2634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57" w:type="dxa"/>
            <w:vMerge w:val="continue"/>
            <w:vAlign w:val="center"/>
          </w:tcPr>
          <w:p w14:paraId="7F7ADBD1">
            <w:pPr>
              <w:bidi w:val="0"/>
              <w:jc w:val="center"/>
              <w:rPr>
                <w:color w:val="auto"/>
              </w:rPr>
            </w:pPr>
          </w:p>
        </w:tc>
        <w:tc>
          <w:tcPr>
            <w:tcW w:w="952" w:type="dxa"/>
            <w:vMerge w:val="continue"/>
            <w:vAlign w:val="center"/>
          </w:tcPr>
          <w:p w14:paraId="6343E8F5">
            <w:pPr>
              <w:bidi w:val="0"/>
              <w:jc w:val="center"/>
              <w:rPr>
                <w:color w:val="auto"/>
              </w:rPr>
            </w:pPr>
          </w:p>
        </w:tc>
        <w:tc>
          <w:tcPr>
            <w:tcW w:w="1845" w:type="dxa"/>
            <w:vAlign w:val="center"/>
          </w:tcPr>
          <w:p w14:paraId="07454DE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color w:val="auto"/>
              </w:rPr>
            </w:pPr>
            <w:r>
              <w:rPr>
                <w:rFonts w:hint="eastAsia" w:ascii="宋体" w:hAnsi="宋体" w:eastAsia="宋体" w:cs="宋体"/>
                <w:color w:val="auto"/>
                <w:sz w:val="21"/>
                <w:szCs w:val="21"/>
                <w:lang w:val="en-US" w:eastAsia="zh-CN"/>
              </w:rPr>
              <w:t>其他</w:t>
            </w:r>
            <w:r>
              <w:rPr>
                <w:rFonts w:hint="eastAsia" w:ascii="宋体" w:hAnsi="宋体" w:eastAsia="宋体" w:cs="宋体"/>
                <w:color w:val="auto"/>
                <w:sz w:val="21"/>
                <w:szCs w:val="21"/>
                <w:lang w:eastAsia="zh-CN"/>
              </w:rPr>
              <w:t>要求</w:t>
            </w:r>
          </w:p>
        </w:tc>
        <w:tc>
          <w:tcPr>
            <w:tcW w:w="5829" w:type="dxa"/>
            <w:vAlign w:val="center"/>
          </w:tcPr>
          <w:p w14:paraId="1E85DCBE">
            <w:pPr>
              <w:bidi w:val="0"/>
              <w:rPr>
                <w:rFonts w:hint="eastAsia"/>
                <w:color w:val="auto"/>
              </w:rPr>
            </w:pPr>
            <w:r>
              <w:rPr>
                <w:rFonts w:hint="eastAsia"/>
                <w:color w:val="auto"/>
              </w:rPr>
              <w:t>符合第二章“投标人须知前附表”第1.4.1项规定</w:t>
            </w:r>
          </w:p>
        </w:tc>
      </w:tr>
      <w:tr w14:paraId="174F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restart"/>
            <w:vAlign w:val="center"/>
          </w:tcPr>
          <w:p w14:paraId="12CBEA1F">
            <w:pPr>
              <w:bidi w:val="0"/>
              <w:jc w:val="center"/>
              <w:rPr>
                <w:color w:val="auto"/>
              </w:rPr>
            </w:pPr>
          </w:p>
          <w:p w14:paraId="03A39ED8">
            <w:pPr>
              <w:bidi w:val="0"/>
              <w:jc w:val="center"/>
              <w:rPr>
                <w:color w:val="auto"/>
              </w:rPr>
            </w:pPr>
            <w:r>
              <w:rPr>
                <w:rFonts w:hint="eastAsia"/>
                <w:color w:val="auto"/>
              </w:rPr>
              <w:t>2.1.3</w:t>
            </w:r>
          </w:p>
        </w:tc>
        <w:tc>
          <w:tcPr>
            <w:tcW w:w="952" w:type="dxa"/>
            <w:vMerge w:val="restart"/>
            <w:vAlign w:val="center"/>
          </w:tcPr>
          <w:p w14:paraId="6C18400C">
            <w:pPr>
              <w:bidi w:val="0"/>
              <w:jc w:val="center"/>
              <w:rPr>
                <w:color w:val="auto"/>
              </w:rPr>
            </w:pPr>
          </w:p>
          <w:p w14:paraId="7B4B11A3">
            <w:pPr>
              <w:bidi w:val="0"/>
              <w:jc w:val="center"/>
              <w:rPr>
                <w:color w:val="auto"/>
              </w:rPr>
            </w:pPr>
            <w:r>
              <w:rPr>
                <w:rFonts w:hint="eastAsia"/>
                <w:color w:val="auto"/>
              </w:rPr>
              <w:t>响应性评审标准</w:t>
            </w:r>
          </w:p>
        </w:tc>
        <w:tc>
          <w:tcPr>
            <w:tcW w:w="1845" w:type="dxa"/>
            <w:vAlign w:val="center"/>
          </w:tcPr>
          <w:p w14:paraId="2D7C6BDD">
            <w:pPr>
              <w:bidi w:val="0"/>
              <w:jc w:val="center"/>
              <w:rPr>
                <w:rFonts w:hint="eastAsia"/>
                <w:color w:val="auto"/>
              </w:rPr>
            </w:pPr>
            <w:r>
              <w:rPr>
                <w:rFonts w:hint="eastAsia"/>
                <w:color w:val="auto"/>
              </w:rPr>
              <w:t>是否存在严重失信主体</w:t>
            </w:r>
          </w:p>
        </w:tc>
        <w:tc>
          <w:tcPr>
            <w:tcW w:w="5829" w:type="dxa"/>
            <w:vAlign w:val="center"/>
          </w:tcPr>
          <w:p w14:paraId="30403017">
            <w:pPr>
              <w:bidi w:val="0"/>
              <w:rPr>
                <w:rFonts w:hint="eastAsia"/>
                <w:color w:val="auto"/>
              </w:rPr>
            </w:pPr>
            <w:r>
              <w:rPr>
                <w:rFonts w:hint="eastAsia"/>
                <w:color w:val="auto"/>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6263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14669C7C">
            <w:pPr>
              <w:bidi w:val="0"/>
              <w:jc w:val="center"/>
              <w:rPr>
                <w:color w:val="auto"/>
              </w:rPr>
            </w:pPr>
          </w:p>
        </w:tc>
        <w:tc>
          <w:tcPr>
            <w:tcW w:w="952" w:type="dxa"/>
            <w:vMerge w:val="continue"/>
            <w:vAlign w:val="center"/>
          </w:tcPr>
          <w:p w14:paraId="29DB1F3E">
            <w:pPr>
              <w:bidi w:val="0"/>
              <w:jc w:val="center"/>
              <w:rPr>
                <w:color w:val="auto"/>
              </w:rPr>
            </w:pPr>
          </w:p>
        </w:tc>
        <w:tc>
          <w:tcPr>
            <w:tcW w:w="1845" w:type="dxa"/>
            <w:vAlign w:val="center"/>
          </w:tcPr>
          <w:p w14:paraId="163D3B62">
            <w:pPr>
              <w:bidi w:val="0"/>
              <w:jc w:val="center"/>
              <w:rPr>
                <w:color w:val="auto"/>
              </w:rPr>
            </w:pPr>
            <w:r>
              <w:rPr>
                <w:rFonts w:hint="eastAsia"/>
                <w:color w:val="auto"/>
              </w:rPr>
              <w:t>投标内容</w:t>
            </w:r>
          </w:p>
        </w:tc>
        <w:tc>
          <w:tcPr>
            <w:tcW w:w="5829" w:type="dxa"/>
            <w:vAlign w:val="center"/>
          </w:tcPr>
          <w:p w14:paraId="041F88F7">
            <w:pPr>
              <w:bidi w:val="0"/>
              <w:rPr>
                <w:color w:val="auto"/>
              </w:rPr>
            </w:pPr>
            <w:r>
              <w:rPr>
                <w:rFonts w:hint="eastAsia"/>
                <w:color w:val="auto"/>
              </w:rPr>
              <w:t>符合第二章“投标人须知前附表”第1.3.1项规定</w:t>
            </w:r>
          </w:p>
        </w:tc>
      </w:tr>
      <w:tr w14:paraId="0E44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57A266E9">
            <w:pPr>
              <w:bidi w:val="0"/>
              <w:jc w:val="center"/>
              <w:rPr>
                <w:color w:val="auto"/>
              </w:rPr>
            </w:pPr>
          </w:p>
        </w:tc>
        <w:tc>
          <w:tcPr>
            <w:tcW w:w="952" w:type="dxa"/>
            <w:vMerge w:val="continue"/>
            <w:vAlign w:val="center"/>
          </w:tcPr>
          <w:p w14:paraId="51E46DE6">
            <w:pPr>
              <w:bidi w:val="0"/>
              <w:jc w:val="center"/>
              <w:rPr>
                <w:color w:val="auto"/>
              </w:rPr>
            </w:pPr>
          </w:p>
        </w:tc>
        <w:tc>
          <w:tcPr>
            <w:tcW w:w="1845" w:type="dxa"/>
            <w:vAlign w:val="center"/>
          </w:tcPr>
          <w:p w14:paraId="5524F13A">
            <w:pPr>
              <w:bidi w:val="0"/>
              <w:jc w:val="center"/>
              <w:rPr>
                <w:color w:val="auto"/>
              </w:rPr>
            </w:pPr>
            <w:r>
              <w:rPr>
                <w:rFonts w:hint="eastAsia"/>
                <w:color w:val="auto"/>
                <w:lang w:eastAsia="zh-CN"/>
              </w:rPr>
              <w:t>监理服务期限</w:t>
            </w:r>
          </w:p>
        </w:tc>
        <w:tc>
          <w:tcPr>
            <w:tcW w:w="5829" w:type="dxa"/>
            <w:vAlign w:val="center"/>
          </w:tcPr>
          <w:p w14:paraId="40EB67BB">
            <w:pPr>
              <w:bidi w:val="0"/>
              <w:rPr>
                <w:color w:val="auto"/>
              </w:rPr>
            </w:pPr>
            <w:r>
              <w:rPr>
                <w:rFonts w:hint="eastAsia"/>
                <w:color w:val="auto"/>
              </w:rPr>
              <w:t>符合第二章“投标人须知前附表”第1.3.2项规定</w:t>
            </w:r>
          </w:p>
        </w:tc>
      </w:tr>
      <w:tr w14:paraId="441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4330DE45">
            <w:pPr>
              <w:bidi w:val="0"/>
              <w:jc w:val="center"/>
              <w:rPr>
                <w:color w:val="auto"/>
              </w:rPr>
            </w:pPr>
          </w:p>
        </w:tc>
        <w:tc>
          <w:tcPr>
            <w:tcW w:w="952" w:type="dxa"/>
            <w:vMerge w:val="continue"/>
            <w:vAlign w:val="center"/>
          </w:tcPr>
          <w:p w14:paraId="269814D1">
            <w:pPr>
              <w:bidi w:val="0"/>
              <w:jc w:val="center"/>
              <w:rPr>
                <w:color w:val="auto"/>
              </w:rPr>
            </w:pPr>
          </w:p>
        </w:tc>
        <w:tc>
          <w:tcPr>
            <w:tcW w:w="1845" w:type="dxa"/>
            <w:vAlign w:val="center"/>
          </w:tcPr>
          <w:p w14:paraId="5F3DB695">
            <w:pPr>
              <w:bidi w:val="0"/>
              <w:jc w:val="center"/>
              <w:rPr>
                <w:color w:val="auto"/>
              </w:rPr>
            </w:pPr>
            <w:r>
              <w:rPr>
                <w:rFonts w:hint="eastAsia"/>
                <w:color w:val="auto"/>
              </w:rPr>
              <w:t>质量要求</w:t>
            </w:r>
          </w:p>
        </w:tc>
        <w:tc>
          <w:tcPr>
            <w:tcW w:w="5829" w:type="dxa"/>
            <w:vAlign w:val="center"/>
          </w:tcPr>
          <w:p w14:paraId="0277A829">
            <w:pPr>
              <w:bidi w:val="0"/>
              <w:rPr>
                <w:color w:val="auto"/>
              </w:rPr>
            </w:pPr>
            <w:r>
              <w:rPr>
                <w:rFonts w:hint="eastAsia"/>
                <w:color w:val="auto"/>
              </w:rPr>
              <w:t>符合第二章“投标人须知前附表”第1.3.3项规定</w:t>
            </w:r>
          </w:p>
        </w:tc>
      </w:tr>
      <w:tr w14:paraId="26D7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69C39622">
            <w:pPr>
              <w:bidi w:val="0"/>
              <w:jc w:val="center"/>
              <w:rPr>
                <w:color w:val="auto"/>
              </w:rPr>
            </w:pPr>
          </w:p>
        </w:tc>
        <w:tc>
          <w:tcPr>
            <w:tcW w:w="952" w:type="dxa"/>
            <w:vMerge w:val="continue"/>
            <w:vAlign w:val="center"/>
          </w:tcPr>
          <w:p w14:paraId="68F4E2BF">
            <w:pPr>
              <w:bidi w:val="0"/>
              <w:jc w:val="center"/>
              <w:rPr>
                <w:color w:val="auto"/>
              </w:rPr>
            </w:pPr>
          </w:p>
        </w:tc>
        <w:tc>
          <w:tcPr>
            <w:tcW w:w="1845" w:type="dxa"/>
            <w:vAlign w:val="center"/>
          </w:tcPr>
          <w:p w14:paraId="45B59781">
            <w:pPr>
              <w:bidi w:val="0"/>
              <w:jc w:val="center"/>
              <w:rPr>
                <w:color w:val="auto"/>
              </w:rPr>
            </w:pPr>
            <w:r>
              <w:rPr>
                <w:rFonts w:hint="eastAsia"/>
                <w:color w:val="auto"/>
              </w:rPr>
              <w:t>投标有效期</w:t>
            </w:r>
          </w:p>
        </w:tc>
        <w:tc>
          <w:tcPr>
            <w:tcW w:w="5829" w:type="dxa"/>
            <w:vAlign w:val="center"/>
          </w:tcPr>
          <w:p w14:paraId="65D1F6F5">
            <w:pPr>
              <w:bidi w:val="0"/>
              <w:rPr>
                <w:color w:val="auto"/>
              </w:rPr>
            </w:pPr>
            <w:r>
              <w:rPr>
                <w:rFonts w:hint="eastAsia"/>
                <w:color w:val="auto"/>
              </w:rPr>
              <w:t>符合第二章“投标人须知前附表”第3.3.1项规定</w:t>
            </w:r>
          </w:p>
        </w:tc>
      </w:tr>
      <w:tr w14:paraId="39C0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3F6B9EED">
            <w:pPr>
              <w:bidi w:val="0"/>
              <w:jc w:val="center"/>
              <w:rPr>
                <w:color w:val="auto"/>
              </w:rPr>
            </w:pPr>
          </w:p>
        </w:tc>
        <w:tc>
          <w:tcPr>
            <w:tcW w:w="952" w:type="dxa"/>
            <w:vMerge w:val="continue"/>
            <w:vAlign w:val="center"/>
          </w:tcPr>
          <w:p w14:paraId="4E026174">
            <w:pPr>
              <w:bidi w:val="0"/>
              <w:jc w:val="center"/>
              <w:rPr>
                <w:color w:val="auto"/>
              </w:rPr>
            </w:pPr>
          </w:p>
        </w:tc>
        <w:tc>
          <w:tcPr>
            <w:tcW w:w="1845" w:type="dxa"/>
            <w:vAlign w:val="center"/>
          </w:tcPr>
          <w:p w14:paraId="38CE03F0">
            <w:pPr>
              <w:bidi w:val="0"/>
              <w:jc w:val="center"/>
              <w:rPr>
                <w:color w:val="auto"/>
              </w:rPr>
            </w:pPr>
            <w:r>
              <w:rPr>
                <w:rFonts w:hint="eastAsia"/>
                <w:color w:val="auto"/>
              </w:rPr>
              <w:t>投标报价</w:t>
            </w:r>
          </w:p>
        </w:tc>
        <w:tc>
          <w:tcPr>
            <w:tcW w:w="5829" w:type="dxa"/>
            <w:vAlign w:val="center"/>
          </w:tcPr>
          <w:p w14:paraId="5F313167">
            <w:pPr>
              <w:bidi w:val="0"/>
              <w:rPr>
                <w:color w:val="auto"/>
              </w:rPr>
            </w:pPr>
            <w:r>
              <w:rPr>
                <w:rFonts w:hint="eastAsia"/>
                <w:color w:val="auto"/>
              </w:rPr>
              <w:t>低于（含等于）第二章“投标人须知”前附表第10.2款载明的最高投标限价。</w:t>
            </w:r>
          </w:p>
        </w:tc>
      </w:tr>
      <w:tr w14:paraId="657C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383" w:type="dxa"/>
            <w:gridSpan w:val="4"/>
            <w:vAlign w:val="center"/>
          </w:tcPr>
          <w:p w14:paraId="2C53F6A6">
            <w:pPr>
              <w:bidi w:val="0"/>
              <w:jc w:val="center"/>
              <w:rPr>
                <w:rFonts w:hint="eastAsia"/>
                <w:color w:val="auto"/>
              </w:rPr>
            </w:pPr>
            <w:r>
              <w:rPr>
                <w:rFonts w:hint="eastAsia" w:ascii="宋体" w:hAnsi="宋体" w:cs="宋体"/>
                <w:b/>
                <w:bCs/>
                <w:color w:val="auto"/>
                <w:szCs w:val="21"/>
              </w:rPr>
              <w:t>以上初步评审内容有任意一项不通过，不得进入下一评审环节</w:t>
            </w:r>
          </w:p>
        </w:tc>
      </w:tr>
      <w:tr w14:paraId="707F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9" w:type="dxa"/>
            <w:gridSpan w:val="2"/>
            <w:shd w:val="clear" w:color="auto" w:fill="auto"/>
            <w:vAlign w:val="center"/>
          </w:tcPr>
          <w:p w14:paraId="1B343AE9">
            <w:pPr>
              <w:wordWrap w:val="0"/>
              <w:topLinePunct/>
              <w:adjustRightInd w:val="0"/>
              <w:snapToGrid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kern w:val="0"/>
                <w:szCs w:val="21"/>
                <w:lang w:bidi="ar"/>
              </w:rPr>
              <w:t>1.3</w:t>
            </w:r>
          </w:p>
        </w:tc>
        <w:tc>
          <w:tcPr>
            <w:tcW w:w="1845" w:type="dxa"/>
            <w:shd w:val="clear" w:color="auto" w:fill="auto"/>
            <w:vAlign w:val="center"/>
          </w:tcPr>
          <w:p w14:paraId="14658E20">
            <w:pPr>
              <w:wordWrap w:val="0"/>
              <w:topLinePunct/>
              <w:adjustRightInd w:val="0"/>
              <w:snapToGrid w:val="0"/>
              <w:spacing w:line="400" w:lineRule="exact"/>
              <w:jc w:val="center"/>
              <w:rPr>
                <w:rFonts w:hint="eastAsia" w:ascii="宋体" w:hAnsi="宋体" w:eastAsia="宋体" w:cs="宋体"/>
                <w:color w:val="auto"/>
                <w:kern w:val="2"/>
                <w:sz w:val="21"/>
                <w:szCs w:val="21"/>
                <w:lang w:val="en-US" w:eastAsia="zh-CN" w:bidi="ar-SA"/>
              </w:rPr>
            </w:pPr>
            <w:r>
              <w:rPr>
                <w:rFonts w:hint="eastAsia"/>
                <w:color w:val="auto"/>
                <w:szCs w:val="21"/>
              </w:rPr>
              <w:t>推荐中标候选人</w:t>
            </w:r>
          </w:p>
        </w:tc>
        <w:tc>
          <w:tcPr>
            <w:tcW w:w="5829" w:type="dxa"/>
            <w:shd w:val="clear" w:color="auto" w:fill="auto"/>
            <w:vAlign w:val="center"/>
          </w:tcPr>
          <w:p w14:paraId="2B5A50C3">
            <w:pPr>
              <w:spacing w:line="400" w:lineRule="exact"/>
              <w:rPr>
                <w:rFonts w:hint="eastAsia" w:ascii="宋体" w:hAnsi="宋体" w:cs="宋体"/>
                <w:color w:val="auto"/>
                <w:szCs w:val="21"/>
              </w:rPr>
            </w:pPr>
            <w:r>
              <w:rPr>
                <w:rFonts w:hint="eastAsia" w:ascii="宋体" w:hAnsi="宋体" w:cs="宋体"/>
                <w:b/>
                <w:bCs/>
                <w:color w:val="auto"/>
                <w:szCs w:val="21"/>
              </w:rPr>
              <w:t>一、本项目评标办法采用定性评审</w:t>
            </w:r>
          </w:p>
          <w:p w14:paraId="6C5B8124">
            <w:pPr>
              <w:spacing w:line="400" w:lineRule="exact"/>
              <w:rPr>
                <w:rFonts w:hint="eastAsia" w:ascii="宋体" w:hAnsi="宋体" w:cs="宋体"/>
                <w:color w:val="auto"/>
                <w:szCs w:val="21"/>
              </w:rPr>
            </w:pPr>
            <w:r>
              <w:rPr>
                <w:rFonts w:hint="eastAsia" w:ascii="宋体" w:hAnsi="宋体" w:cs="宋体"/>
                <w:color w:val="auto"/>
                <w:szCs w:val="21"/>
              </w:rPr>
              <w:t>1、合格制评审：评标委员会推荐所有</w:t>
            </w:r>
            <w:r>
              <w:rPr>
                <w:rFonts w:hint="eastAsia" w:asciiTheme="minorEastAsia" w:hAnsiTheme="minorEastAsia" w:eastAsiaTheme="minorEastAsia" w:cstheme="minorEastAsia"/>
                <w:color w:val="auto"/>
                <w:szCs w:val="21"/>
              </w:rPr>
              <w:t>通过初步评审、详细评审的合格有效投标人</w:t>
            </w:r>
            <w:r>
              <w:rPr>
                <w:rFonts w:hint="eastAsia" w:ascii="宋体" w:hAnsi="宋体" w:cs="宋体"/>
                <w:color w:val="auto"/>
                <w:szCs w:val="21"/>
              </w:rPr>
              <w:t>进入中标候选人名单。（有效投标人数量为3至10家时）</w:t>
            </w:r>
          </w:p>
          <w:p w14:paraId="6E7B4B31">
            <w:pPr>
              <w:spacing w:line="400" w:lineRule="exact"/>
              <w:rPr>
                <w:rFonts w:hint="eastAsia" w:ascii="宋体" w:hAnsi="宋体" w:cs="宋体"/>
                <w:color w:val="auto"/>
                <w:szCs w:val="21"/>
              </w:rPr>
            </w:pPr>
            <w:r>
              <w:rPr>
                <w:rFonts w:hint="eastAsia" w:ascii="宋体" w:hAnsi="宋体" w:cs="宋体"/>
                <w:color w:val="auto"/>
                <w:szCs w:val="21"/>
              </w:rPr>
              <w:t>2、定性评审：评标委员会依据详细评审办法综合各有效投标人所有评审因素采取定性评审择优推荐10家以上中标候选人名单。（有效投标人10家（不含10家）以上时）</w:t>
            </w:r>
          </w:p>
          <w:p w14:paraId="646F71D2">
            <w:pPr>
              <w:spacing w:line="400" w:lineRule="exact"/>
              <w:rPr>
                <w:rFonts w:hint="eastAsia" w:ascii="宋体" w:hAnsi="宋体" w:cs="宋体"/>
                <w:b/>
                <w:bCs/>
                <w:color w:val="auto"/>
                <w:szCs w:val="21"/>
              </w:rPr>
            </w:pPr>
            <w:r>
              <w:rPr>
                <w:rFonts w:hint="eastAsia" w:ascii="宋体" w:hAnsi="宋体" w:cs="宋体"/>
                <w:b/>
                <w:bCs/>
                <w:color w:val="auto"/>
                <w:szCs w:val="21"/>
              </w:rPr>
              <w:t>二、推荐中标候选人数量</w:t>
            </w:r>
          </w:p>
          <w:p w14:paraId="6FEB72B5">
            <w:pPr>
              <w:spacing w:line="400" w:lineRule="exact"/>
              <w:rPr>
                <w:rFonts w:hint="eastAsia" w:ascii="宋体" w:hAnsi="宋体" w:cs="宋体"/>
                <w:color w:val="auto"/>
                <w:szCs w:val="21"/>
              </w:rPr>
            </w:pPr>
            <w:r>
              <w:rPr>
                <w:rFonts w:hint="eastAsia" w:asciiTheme="minorEastAsia" w:hAnsiTheme="minorEastAsia" w:eastAsiaTheme="minorEastAsia" w:cstheme="minorEastAsia"/>
                <w:color w:val="auto"/>
                <w:szCs w:val="21"/>
              </w:rPr>
              <w:t>通过初步评审、详细评审的合格有效投标人</w:t>
            </w:r>
            <w:r>
              <w:rPr>
                <w:rFonts w:hint="eastAsia" w:ascii="宋体" w:hAnsi="宋体" w:cs="宋体"/>
                <w:color w:val="auto"/>
                <w:szCs w:val="21"/>
              </w:rPr>
              <w:t>数量为X，中标候选人数量为Y。</w:t>
            </w:r>
          </w:p>
          <w:p w14:paraId="409C12EA">
            <w:pPr>
              <w:spacing w:line="400" w:lineRule="exact"/>
              <w:rPr>
                <w:rFonts w:hint="eastAsia" w:ascii="宋体" w:hAnsi="宋体" w:cs="宋体"/>
                <w:color w:val="auto"/>
                <w:szCs w:val="21"/>
              </w:rPr>
            </w:pPr>
            <w:r>
              <w:rPr>
                <w:rFonts w:hint="eastAsia" w:ascii="宋体" w:hAnsi="宋体" w:cs="宋体"/>
                <w:color w:val="auto"/>
                <w:szCs w:val="21"/>
              </w:rPr>
              <w:t>1、当X＜3家时，应重新招标；</w:t>
            </w:r>
          </w:p>
          <w:p w14:paraId="344497DF">
            <w:pPr>
              <w:spacing w:line="400" w:lineRule="exact"/>
              <w:rPr>
                <w:rFonts w:hint="eastAsia" w:ascii="宋体" w:hAnsi="宋体" w:cs="宋体"/>
                <w:color w:val="auto"/>
                <w:szCs w:val="21"/>
              </w:rPr>
            </w:pPr>
            <w:r>
              <w:rPr>
                <w:rFonts w:hint="eastAsia" w:ascii="宋体" w:hAnsi="宋体" w:cs="宋体"/>
                <w:color w:val="auto"/>
                <w:szCs w:val="21"/>
              </w:rPr>
              <w:t>2、当3≤X≤10时，应全部推荐为中标候选人；</w:t>
            </w:r>
          </w:p>
          <w:p w14:paraId="379BC0C0">
            <w:pPr>
              <w:spacing w:line="400" w:lineRule="exact"/>
              <w:rPr>
                <w:rFonts w:hint="eastAsia" w:ascii="宋体" w:hAnsi="宋体" w:cs="宋体"/>
                <w:color w:val="auto"/>
                <w:szCs w:val="21"/>
              </w:rPr>
            </w:pPr>
            <w:r>
              <w:rPr>
                <w:rFonts w:hint="eastAsia" w:ascii="宋体" w:hAnsi="宋体" w:cs="宋体"/>
                <w:color w:val="auto"/>
                <w:szCs w:val="21"/>
              </w:rPr>
              <w:t>3、当10＜X时，中标候选人推荐数量按如下方式确定：</w:t>
            </w:r>
          </w:p>
          <w:p w14:paraId="4B4F5E7D">
            <w:pPr>
              <w:spacing w:line="400" w:lineRule="exact"/>
              <w:rPr>
                <w:rFonts w:hint="eastAsia" w:ascii="宋体" w:hAnsi="宋体" w:cs="宋体"/>
                <w:color w:val="auto"/>
                <w:szCs w:val="21"/>
              </w:rPr>
            </w:pPr>
            <w:r>
              <w:rPr>
                <w:rFonts w:hint="eastAsia" w:ascii="宋体" w:hAnsi="宋体" w:eastAsia="宋体" w:cs="宋体"/>
                <w:color w:val="auto"/>
                <w:sz w:val="21"/>
                <w:szCs w:val="21"/>
              </w:rPr>
              <w:t>当10＜X时，Y取10家。</w:t>
            </w:r>
          </w:p>
          <w:p w14:paraId="77E40ED2">
            <w:pPr>
              <w:spacing w:line="400" w:lineRule="exact"/>
              <w:rPr>
                <w:rFonts w:hint="eastAsia" w:ascii="宋体" w:hAnsi="宋体" w:cs="宋体"/>
                <w:b/>
                <w:bCs/>
                <w:color w:val="auto"/>
                <w:szCs w:val="21"/>
              </w:rPr>
            </w:pPr>
            <w:r>
              <w:rPr>
                <w:rFonts w:hint="eastAsia" w:ascii="宋体" w:hAnsi="宋体" w:cs="宋体"/>
                <w:b/>
                <w:bCs/>
                <w:color w:val="auto"/>
                <w:szCs w:val="21"/>
              </w:rPr>
              <w:t>三、推荐中标候选人办法</w:t>
            </w:r>
          </w:p>
          <w:p w14:paraId="6FA90684">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1、当X≤Y时，按合格制评审推荐中标候选人。</w:t>
            </w:r>
          </w:p>
          <w:p w14:paraId="738DE7BF">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2、当X＞Y时，按</w:t>
            </w:r>
            <w:r>
              <w:rPr>
                <w:rFonts w:hint="eastAsia" w:ascii="宋体" w:hAnsi="宋体" w:cs="宋体"/>
                <w:color w:val="auto"/>
                <w:sz w:val="21"/>
                <w:szCs w:val="21"/>
                <w:lang w:val="en-US" w:eastAsia="zh-CN"/>
              </w:rPr>
              <w:t>定性评审择优</w:t>
            </w:r>
            <w:r>
              <w:rPr>
                <w:rFonts w:hint="eastAsia" w:ascii="宋体" w:hAnsi="宋体" w:eastAsia="宋体" w:cs="宋体"/>
                <w:color w:val="auto"/>
                <w:sz w:val="21"/>
                <w:szCs w:val="21"/>
              </w:rPr>
              <w:t>推荐中标候选人。</w:t>
            </w:r>
          </w:p>
          <w:p w14:paraId="100D2C2D">
            <w:pPr>
              <w:spacing w:line="400" w:lineRule="exact"/>
              <w:rPr>
                <w:rFonts w:hint="eastAsia" w:ascii="宋体" w:hAnsi="宋体" w:cs="宋体"/>
                <w:b/>
                <w:bCs/>
                <w:color w:val="auto"/>
                <w:szCs w:val="21"/>
              </w:rPr>
            </w:pPr>
            <w:r>
              <w:rPr>
                <w:rFonts w:hint="eastAsia" w:cs="宋体"/>
                <w:color w:val="auto"/>
                <w:szCs w:val="21"/>
                <w:lang w:val="en-US" w:eastAsia="zh-CN"/>
              </w:rPr>
              <w:t>3、</w:t>
            </w:r>
            <w:r>
              <w:rPr>
                <w:rFonts w:hint="eastAsia" w:ascii="宋体" w:hAnsi="宋体" w:cs="宋体"/>
                <w:color w:val="auto"/>
                <w:szCs w:val="21"/>
              </w:rPr>
              <w:t>无论采用何种方式推荐中标候选人都应对所有有效投标人进行详细评审。评标采用定性评审方式，不对投标文件打分。</w:t>
            </w:r>
          </w:p>
          <w:p w14:paraId="1BA16EF6">
            <w:pPr>
              <w:spacing w:line="400" w:lineRule="exact"/>
              <w:rPr>
                <w:rFonts w:hint="eastAsia" w:ascii="宋体" w:hAnsi="宋体" w:cs="宋体"/>
                <w:b/>
                <w:bCs/>
                <w:color w:val="auto"/>
                <w:szCs w:val="21"/>
              </w:rPr>
            </w:pPr>
            <w:r>
              <w:rPr>
                <w:rFonts w:hint="eastAsia" w:ascii="宋体" w:hAnsi="宋体" w:cs="宋体"/>
                <w:b/>
                <w:bCs/>
                <w:color w:val="auto"/>
                <w:szCs w:val="21"/>
              </w:rPr>
              <w:t>四、推荐中标候选人的要求</w:t>
            </w:r>
          </w:p>
          <w:p w14:paraId="5F5897D5">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评标委员会推荐中标候选人时须在评标报告中载明该中标候选人的特点、优势、缺点、风险和推荐理由，并对中标候选人技术、质量、安全、工期的控制能力等提供技术咨询建议，供定标委员会参考。</w:t>
            </w:r>
          </w:p>
        </w:tc>
      </w:tr>
      <w:tr w14:paraId="54BC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09" w:type="dxa"/>
            <w:gridSpan w:val="2"/>
            <w:vAlign w:val="center"/>
          </w:tcPr>
          <w:p w14:paraId="08C73C13">
            <w:pPr>
              <w:bidi w:val="0"/>
              <w:jc w:val="center"/>
              <w:rPr>
                <w:b/>
                <w:bCs/>
                <w:color w:val="auto"/>
              </w:rPr>
            </w:pPr>
            <w:r>
              <w:rPr>
                <w:rFonts w:hint="eastAsia"/>
                <w:b/>
                <w:bCs/>
                <w:color w:val="auto"/>
              </w:rPr>
              <w:t>条款号</w:t>
            </w:r>
          </w:p>
        </w:tc>
        <w:tc>
          <w:tcPr>
            <w:tcW w:w="1845" w:type="dxa"/>
            <w:vAlign w:val="center"/>
          </w:tcPr>
          <w:p w14:paraId="07A85B35">
            <w:pPr>
              <w:bidi w:val="0"/>
              <w:jc w:val="center"/>
              <w:rPr>
                <w:b/>
                <w:bCs/>
                <w:color w:val="auto"/>
              </w:rPr>
            </w:pPr>
            <w:r>
              <w:rPr>
                <w:rFonts w:hint="eastAsia"/>
                <w:b/>
                <w:bCs/>
                <w:color w:val="auto"/>
              </w:rPr>
              <w:t>评分因素</w:t>
            </w:r>
          </w:p>
        </w:tc>
        <w:tc>
          <w:tcPr>
            <w:tcW w:w="5829" w:type="dxa"/>
            <w:vAlign w:val="center"/>
          </w:tcPr>
          <w:p w14:paraId="25A68826">
            <w:pPr>
              <w:bidi w:val="0"/>
              <w:jc w:val="center"/>
              <w:rPr>
                <w:b/>
                <w:bCs/>
                <w:color w:val="auto"/>
              </w:rPr>
            </w:pPr>
            <w:r>
              <w:rPr>
                <w:rFonts w:hint="eastAsia"/>
                <w:b/>
                <w:bCs/>
                <w:color w:val="auto"/>
              </w:rPr>
              <w:t>评分标准</w:t>
            </w:r>
          </w:p>
        </w:tc>
      </w:tr>
      <w:tr w14:paraId="25FE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9" w:type="dxa"/>
            <w:gridSpan w:val="2"/>
            <w:vAlign w:val="center"/>
          </w:tcPr>
          <w:p w14:paraId="0340CF79">
            <w:pPr>
              <w:wordWrap w:val="0"/>
              <w:topLinePunct/>
              <w:adjustRightInd w:val="0"/>
              <w:snapToGrid w:val="0"/>
              <w:spacing w:line="400" w:lineRule="exact"/>
              <w:jc w:val="center"/>
              <w:rPr>
                <w:color w:val="auto"/>
              </w:rPr>
            </w:pPr>
            <w:r>
              <w:rPr>
                <w:rFonts w:hint="eastAsia" w:ascii="宋体" w:hAnsi="宋体" w:cs="宋体"/>
                <w:color w:val="auto"/>
                <w:szCs w:val="21"/>
              </w:rPr>
              <w:t>2.2.1</w:t>
            </w:r>
          </w:p>
        </w:tc>
        <w:tc>
          <w:tcPr>
            <w:tcW w:w="1845" w:type="dxa"/>
            <w:vAlign w:val="center"/>
          </w:tcPr>
          <w:p w14:paraId="1E23CDB7">
            <w:pPr>
              <w:wordWrap w:val="0"/>
              <w:topLinePunct/>
              <w:adjustRightInd w:val="0"/>
              <w:snapToGrid w:val="0"/>
              <w:spacing w:line="400" w:lineRule="exact"/>
              <w:jc w:val="center"/>
              <w:rPr>
                <w:color w:val="auto"/>
              </w:rPr>
            </w:pPr>
            <w:r>
              <w:rPr>
                <w:rFonts w:hint="eastAsia" w:ascii="宋体" w:hAnsi="宋体" w:cs="宋体"/>
                <w:color w:val="auto"/>
                <w:szCs w:val="21"/>
              </w:rPr>
              <w:t>商务标评审（投标报价）标准</w:t>
            </w:r>
          </w:p>
        </w:tc>
        <w:tc>
          <w:tcPr>
            <w:tcW w:w="5829" w:type="dxa"/>
            <w:vAlign w:val="center"/>
          </w:tcPr>
          <w:p w14:paraId="01FB19BF">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（1）商务标评审采用合格制。</w:t>
            </w:r>
          </w:p>
          <w:p w14:paraId="120DDFF1">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（2）评审内容主要包括实质性内容是否响应招标文件（即投标报价应根据招标文件详细列明各分项报价）、是否可能低于成本或者影响履约的异常低价投标情况。</w:t>
            </w:r>
          </w:p>
          <w:p w14:paraId="3B536A74">
            <w:pPr>
              <w:adjustRightInd w:val="0"/>
              <w:snapToGrid w:val="0"/>
              <w:spacing w:line="400" w:lineRule="exact"/>
              <w:rPr>
                <w:color w:val="auto"/>
              </w:rPr>
            </w:pPr>
            <w:r>
              <w:rPr>
                <w:rFonts w:hint="eastAsia" w:asciiTheme="minorEastAsia" w:hAnsiTheme="minorEastAsia" w:eastAsiaTheme="minorEastAsia" w:cstheme="minorEastAsia"/>
                <w:color w:val="auto"/>
                <w:szCs w:val="21"/>
              </w:rPr>
              <w:t>（3）除投标报价低于成本或者影响履约的异常低价投标和未按招标文件要求进行报价情形，其投标报价评审等级为“不合格”外，投标报价文件出现其他情形的，均不得评定为“不合格”，评标委员会应列出报价组成不合理、签订合同前应注意和澄清的事项，供定标委员会参考。</w:t>
            </w:r>
            <w:r>
              <w:rPr>
                <w:rFonts w:hint="eastAsia" w:asciiTheme="minorEastAsia" w:hAnsiTheme="minorEastAsia" w:eastAsiaTheme="minorEastAsia" w:cstheme="minorEastAsia"/>
                <w:b/>
                <w:bCs/>
                <w:color w:val="auto"/>
                <w:szCs w:val="21"/>
                <w:u w:val="single"/>
              </w:rPr>
              <w:t>（评标电子系统内“不合格”选择“不通过”，“合格”选择“通过”）</w:t>
            </w:r>
          </w:p>
        </w:tc>
      </w:tr>
      <w:tr w14:paraId="2B2D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restart"/>
            <w:vAlign w:val="center"/>
          </w:tcPr>
          <w:p w14:paraId="6F61E8C1">
            <w:pPr>
              <w:bidi w:val="0"/>
              <w:jc w:val="center"/>
              <w:rPr>
                <w:color w:val="auto"/>
              </w:rPr>
            </w:pPr>
            <w:r>
              <w:rPr>
                <w:rFonts w:hint="eastAsia"/>
                <w:color w:val="auto"/>
              </w:rPr>
              <w:t>2.2.</w:t>
            </w:r>
            <w:r>
              <w:rPr>
                <w:rFonts w:hint="eastAsia"/>
                <w:color w:val="auto"/>
                <w:lang w:val="en-US" w:eastAsia="zh-CN"/>
              </w:rPr>
              <w:t>2</w:t>
            </w:r>
            <w:r>
              <w:rPr>
                <w:rFonts w:hint="eastAsia"/>
                <w:color w:val="auto"/>
              </w:rPr>
              <w:t>（2）</w:t>
            </w:r>
          </w:p>
        </w:tc>
        <w:tc>
          <w:tcPr>
            <w:tcW w:w="952" w:type="dxa"/>
            <w:vMerge w:val="restart"/>
            <w:vAlign w:val="center"/>
          </w:tcPr>
          <w:p w14:paraId="0B775166">
            <w:pPr>
              <w:bidi w:val="0"/>
              <w:jc w:val="center"/>
              <w:rPr>
                <w:color w:val="auto"/>
              </w:rPr>
            </w:pPr>
            <w:r>
              <w:rPr>
                <w:color w:val="auto"/>
              </w:rPr>
              <w:t>技术标</w:t>
            </w:r>
          </w:p>
          <w:p w14:paraId="7144D775">
            <w:pPr>
              <w:bidi w:val="0"/>
              <w:jc w:val="center"/>
              <w:rPr>
                <w:color w:val="auto"/>
              </w:rPr>
            </w:pPr>
          </w:p>
        </w:tc>
        <w:tc>
          <w:tcPr>
            <w:tcW w:w="1845" w:type="dxa"/>
            <w:vMerge w:val="restart"/>
            <w:vAlign w:val="center"/>
          </w:tcPr>
          <w:p w14:paraId="4B56F99A">
            <w:pPr>
              <w:bidi w:val="0"/>
              <w:jc w:val="center"/>
              <w:rPr>
                <w:color w:val="auto"/>
              </w:rPr>
            </w:pPr>
            <w:r>
              <w:rPr>
                <w:rFonts w:hint="eastAsia"/>
                <w:color w:val="auto"/>
              </w:rPr>
              <w:t>监理大纲评分标准</w:t>
            </w:r>
          </w:p>
        </w:tc>
        <w:tc>
          <w:tcPr>
            <w:tcW w:w="5829" w:type="dxa"/>
            <w:vAlign w:val="center"/>
          </w:tcPr>
          <w:p w14:paraId="0DBDB097">
            <w:pPr>
              <w:ind w:left="0" w:leftChars="0" w:firstLine="0" w:firstLineChars="0"/>
              <w:jc w:val="center"/>
              <w:rPr>
                <w:color w:val="auto"/>
              </w:rPr>
            </w:pPr>
            <w:r>
              <w:rPr>
                <w:rFonts w:hint="eastAsia" w:ascii="宋体" w:hAnsi="宋体" w:eastAsia="宋体" w:cs="宋体"/>
                <w:color w:val="auto"/>
                <w:szCs w:val="21"/>
                <w:lang w:val="en-US" w:eastAsia="zh-CN"/>
              </w:rPr>
              <w:t>监理工作程序、方法和制度</w:t>
            </w:r>
          </w:p>
        </w:tc>
      </w:tr>
      <w:tr w14:paraId="5477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4962A58B">
            <w:pPr>
              <w:bidi w:val="0"/>
              <w:rPr>
                <w:color w:val="auto"/>
              </w:rPr>
            </w:pPr>
          </w:p>
        </w:tc>
        <w:tc>
          <w:tcPr>
            <w:tcW w:w="952" w:type="dxa"/>
            <w:vMerge w:val="continue"/>
            <w:vAlign w:val="center"/>
          </w:tcPr>
          <w:p w14:paraId="0375F2BA">
            <w:pPr>
              <w:bidi w:val="0"/>
              <w:rPr>
                <w:color w:val="auto"/>
              </w:rPr>
            </w:pPr>
          </w:p>
        </w:tc>
        <w:tc>
          <w:tcPr>
            <w:tcW w:w="1845" w:type="dxa"/>
            <w:vMerge w:val="continue"/>
            <w:vAlign w:val="center"/>
          </w:tcPr>
          <w:p w14:paraId="30BA4AB0">
            <w:pPr>
              <w:bidi w:val="0"/>
              <w:rPr>
                <w:color w:val="auto"/>
              </w:rPr>
            </w:pPr>
          </w:p>
        </w:tc>
        <w:tc>
          <w:tcPr>
            <w:tcW w:w="5829" w:type="dxa"/>
            <w:vAlign w:val="center"/>
          </w:tcPr>
          <w:p w14:paraId="11FDB2B4">
            <w:pPr>
              <w:ind w:left="0" w:leftChars="0" w:firstLine="0" w:firstLineChars="0"/>
              <w:jc w:val="center"/>
              <w:rPr>
                <w:color w:val="auto"/>
              </w:rPr>
            </w:pPr>
            <w:r>
              <w:rPr>
                <w:rFonts w:hint="eastAsia" w:ascii="宋体" w:hAnsi="宋体" w:eastAsia="宋体" w:cs="宋体"/>
                <w:color w:val="auto"/>
                <w:szCs w:val="21"/>
                <w:lang w:val="en-US" w:eastAsia="zh-CN"/>
              </w:rPr>
              <w:t>保证旁站监理措施</w:t>
            </w:r>
          </w:p>
        </w:tc>
      </w:tr>
      <w:tr w14:paraId="78FD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0361873C">
            <w:pPr>
              <w:bidi w:val="0"/>
              <w:rPr>
                <w:color w:val="auto"/>
              </w:rPr>
            </w:pPr>
          </w:p>
        </w:tc>
        <w:tc>
          <w:tcPr>
            <w:tcW w:w="952" w:type="dxa"/>
            <w:vMerge w:val="continue"/>
            <w:vAlign w:val="center"/>
          </w:tcPr>
          <w:p w14:paraId="5F91E7C2">
            <w:pPr>
              <w:bidi w:val="0"/>
              <w:rPr>
                <w:color w:val="auto"/>
              </w:rPr>
            </w:pPr>
          </w:p>
        </w:tc>
        <w:tc>
          <w:tcPr>
            <w:tcW w:w="1845" w:type="dxa"/>
            <w:vMerge w:val="continue"/>
            <w:vAlign w:val="center"/>
          </w:tcPr>
          <w:p w14:paraId="292344C2">
            <w:pPr>
              <w:bidi w:val="0"/>
              <w:rPr>
                <w:color w:val="auto"/>
              </w:rPr>
            </w:pPr>
          </w:p>
        </w:tc>
        <w:tc>
          <w:tcPr>
            <w:tcW w:w="5829" w:type="dxa"/>
            <w:vAlign w:val="center"/>
          </w:tcPr>
          <w:p w14:paraId="719853B4">
            <w:pPr>
              <w:ind w:left="0" w:leftChars="0" w:firstLine="0" w:firstLineChars="0"/>
              <w:jc w:val="center"/>
              <w:rPr>
                <w:color w:val="auto"/>
              </w:rPr>
            </w:pPr>
            <w:r>
              <w:rPr>
                <w:rFonts w:hint="eastAsia" w:ascii="宋体" w:hAnsi="宋体" w:eastAsia="宋体" w:cs="宋体"/>
                <w:color w:val="auto"/>
                <w:szCs w:val="21"/>
                <w:lang w:val="en-US" w:eastAsia="zh-CN"/>
              </w:rPr>
              <w:t>进度控制的措施和方法</w:t>
            </w:r>
          </w:p>
        </w:tc>
      </w:tr>
      <w:tr w14:paraId="7F79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74E42CB8">
            <w:pPr>
              <w:bidi w:val="0"/>
              <w:rPr>
                <w:color w:val="auto"/>
              </w:rPr>
            </w:pPr>
          </w:p>
        </w:tc>
        <w:tc>
          <w:tcPr>
            <w:tcW w:w="952" w:type="dxa"/>
            <w:vMerge w:val="continue"/>
            <w:vAlign w:val="center"/>
          </w:tcPr>
          <w:p w14:paraId="69F1A922">
            <w:pPr>
              <w:bidi w:val="0"/>
              <w:rPr>
                <w:color w:val="auto"/>
              </w:rPr>
            </w:pPr>
          </w:p>
        </w:tc>
        <w:tc>
          <w:tcPr>
            <w:tcW w:w="1845" w:type="dxa"/>
            <w:vMerge w:val="continue"/>
            <w:vAlign w:val="center"/>
          </w:tcPr>
          <w:p w14:paraId="02AE41F9">
            <w:pPr>
              <w:bidi w:val="0"/>
              <w:rPr>
                <w:color w:val="auto"/>
              </w:rPr>
            </w:pPr>
          </w:p>
        </w:tc>
        <w:tc>
          <w:tcPr>
            <w:tcW w:w="5829" w:type="dxa"/>
            <w:vAlign w:val="center"/>
          </w:tcPr>
          <w:p w14:paraId="690A22EC">
            <w:pPr>
              <w:ind w:left="0" w:leftChars="0" w:firstLine="0" w:firstLineChars="0"/>
              <w:jc w:val="center"/>
              <w:rPr>
                <w:color w:val="auto"/>
              </w:rPr>
            </w:pPr>
            <w:r>
              <w:rPr>
                <w:rFonts w:hint="eastAsia" w:ascii="宋体" w:hAnsi="宋体" w:eastAsia="宋体" w:cs="宋体"/>
                <w:color w:val="auto"/>
              </w:rPr>
              <w:t>质量控制</w:t>
            </w:r>
            <w:r>
              <w:rPr>
                <w:rFonts w:hint="eastAsia" w:ascii="宋体" w:hAnsi="宋体" w:eastAsia="宋体" w:cs="宋体"/>
                <w:color w:val="auto"/>
                <w:lang w:eastAsia="zh-CN"/>
              </w:rPr>
              <w:t>的</w:t>
            </w:r>
            <w:r>
              <w:rPr>
                <w:rFonts w:hint="eastAsia" w:ascii="宋体" w:hAnsi="宋体" w:eastAsia="宋体" w:cs="宋体"/>
                <w:color w:val="auto"/>
              </w:rPr>
              <w:t>措施</w:t>
            </w:r>
            <w:r>
              <w:rPr>
                <w:rFonts w:hint="eastAsia" w:ascii="宋体" w:hAnsi="宋体" w:eastAsia="宋体" w:cs="宋体"/>
                <w:color w:val="auto"/>
                <w:lang w:eastAsia="zh-CN"/>
              </w:rPr>
              <w:t>和方法</w:t>
            </w:r>
          </w:p>
        </w:tc>
      </w:tr>
      <w:tr w14:paraId="21F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6186CBF5">
            <w:pPr>
              <w:bidi w:val="0"/>
              <w:rPr>
                <w:color w:val="auto"/>
              </w:rPr>
            </w:pPr>
          </w:p>
        </w:tc>
        <w:tc>
          <w:tcPr>
            <w:tcW w:w="952" w:type="dxa"/>
            <w:vMerge w:val="continue"/>
            <w:vAlign w:val="center"/>
          </w:tcPr>
          <w:p w14:paraId="3D1DAE3F">
            <w:pPr>
              <w:bidi w:val="0"/>
              <w:rPr>
                <w:color w:val="auto"/>
              </w:rPr>
            </w:pPr>
          </w:p>
        </w:tc>
        <w:tc>
          <w:tcPr>
            <w:tcW w:w="1845" w:type="dxa"/>
            <w:vMerge w:val="continue"/>
            <w:vAlign w:val="center"/>
          </w:tcPr>
          <w:p w14:paraId="024EC09D">
            <w:pPr>
              <w:bidi w:val="0"/>
              <w:rPr>
                <w:color w:val="auto"/>
              </w:rPr>
            </w:pPr>
          </w:p>
        </w:tc>
        <w:tc>
          <w:tcPr>
            <w:tcW w:w="5829" w:type="dxa"/>
            <w:vAlign w:val="center"/>
          </w:tcPr>
          <w:p w14:paraId="558E04E0">
            <w:pPr>
              <w:ind w:left="0" w:leftChars="0" w:firstLine="0" w:firstLineChars="0"/>
              <w:jc w:val="center"/>
              <w:rPr>
                <w:color w:val="auto"/>
              </w:rPr>
            </w:pPr>
            <w:r>
              <w:rPr>
                <w:rFonts w:hint="eastAsia" w:ascii="宋体" w:hAnsi="宋体" w:eastAsia="宋体" w:cs="宋体"/>
                <w:color w:val="auto"/>
              </w:rPr>
              <w:t>投资控制</w:t>
            </w:r>
            <w:r>
              <w:rPr>
                <w:rFonts w:hint="eastAsia" w:ascii="宋体" w:hAnsi="宋体" w:eastAsia="宋体" w:cs="宋体"/>
                <w:color w:val="auto"/>
                <w:lang w:eastAsia="zh-CN"/>
              </w:rPr>
              <w:t>的</w:t>
            </w:r>
            <w:r>
              <w:rPr>
                <w:rFonts w:hint="eastAsia" w:ascii="宋体" w:hAnsi="宋体" w:eastAsia="宋体" w:cs="宋体"/>
                <w:color w:val="auto"/>
              </w:rPr>
              <w:t>措施</w:t>
            </w:r>
            <w:r>
              <w:rPr>
                <w:rFonts w:hint="eastAsia" w:ascii="宋体" w:hAnsi="宋体" w:eastAsia="宋体" w:cs="宋体"/>
                <w:color w:val="auto"/>
                <w:lang w:eastAsia="zh-CN"/>
              </w:rPr>
              <w:t>和方法</w:t>
            </w:r>
          </w:p>
        </w:tc>
      </w:tr>
      <w:tr w14:paraId="011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676F460C">
            <w:pPr>
              <w:bidi w:val="0"/>
              <w:rPr>
                <w:color w:val="auto"/>
              </w:rPr>
            </w:pPr>
          </w:p>
        </w:tc>
        <w:tc>
          <w:tcPr>
            <w:tcW w:w="952" w:type="dxa"/>
            <w:vMerge w:val="continue"/>
            <w:vAlign w:val="center"/>
          </w:tcPr>
          <w:p w14:paraId="2D583202">
            <w:pPr>
              <w:bidi w:val="0"/>
              <w:rPr>
                <w:color w:val="auto"/>
              </w:rPr>
            </w:pPr>
          </w:p>
        </w:tc>
        <w:tc>
          <w:tcPr>
            <w:tcW w:w="1845" w:type="dxa"/>
            <w:vMerge w:val="continue"/>
            <w:vAlign w:val="center"/>
          </w:tcPr>
          <w:p w14:paraId="424142F9">
            <w:pPr>
              <w:bidi w:val="0"/>
              <w:rPr>
                <w:color w:val="auto"/>
              </w:rPr>
            </w:pPr>
          </w:p>
        </w:tc>
        <w:tc>
          <w:tcPr>
            <w:tcW w:w="5829" w:type="dxa"/>
            <w:vAlign w:val="center"/>
          </w:tcPr>
          <w:p w14:paraId="670EDEB7">
            <w:pPr>
              <w:ind w:left="0" w:leftChars="0" w:firstLine="0" w:firstLineChars="0"/>
              <w:jc w:val="center"/>
              <w:rPr>
                <w:color w:val="auto"/>
              </w:rPr>
            </w:pPr>
            <w:r>
              <w:rPr>
                <w:rFonts w:hint="eastAsia" w:ascii="宋体" w:hAnsi="宋体" w:eastAsia="宋体" w:cs="宋体"/>
                <w:color w:val="auto"/>
                <w:lang w:eastAsia="zh-CN"/>
              </w:rPr>
              <w:t>文明、安全控制的</w:t>
            </w:r>
            <w:r>
              <w:rPr>
                <w:rFonts w:hint="eastAsia" w:ascii="宋体" w:hAnsi="宋体" w:eastAsia="宋体" w:cs="宋体"/>
                <w:color w:val="auto"/>
              </w:rPr>
              <w:t>措施</w:t>
            </w:r>
            <w:r>
              <w:rPr>
                <w:rFonts w:hint="eastAsia" w:ascii="宋体" w:hAnsi="宋体" w:eastAsia="宋体" w:cs="宋体"/>
                <w:color w:val="auto"/>
                <w:lang w:eastAsia="zh-CN"/>
              </w:rPr>
              <w:t>和方法</w:t>
            </w:r>
          </w:p>
        </w:tc>
      </w:tr>
      <w:tr w14:paraId="64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750788F9">
            <w:pPr>
              <w:bidi w:val="0"/>
              <w:rPr>
                <w:color w:val="auto"/>
              </w:rPr>
            </w:pPr>
          </w:p>
        </w:tc>
        <w:tc>
          <w:tcPr>
            <w:tcW w:w="952" w:type="dxa"/>
            <w:vMerge w:val="continue"/>
            <w:vAlign w:val="center"/>
          </w:tcPr>
          <w:p w14:paraId="15DAAEA7">
            <w:pPr>
              <w:bidi w:val="0"/>
              <w:rPr>
                <w:color w:val="auto"/>
              </w:rPr>
            </w:pPr>
          </w:p>
        </w:tc>
        <w:tc>
          <w:tcPr>
            <w:tcW w:w="1845" w:type="dxa"/>
            <w:vMerge w:val="continue"/>
            <w:vAlign w:val="center"/>
          </w:tcPr>
          <w:p w14:paraId="0814F017">
            <w:pPr>
              <w:bidi w:val="0"/>
              <w:rPr>
                <w:color w:val="auto"/>
              </w:rPr>
            </w:pPr>
          </w:p>
        </w:tc>
        <w:tc>
          <w:tcPr>
            <w:tcW w:w="5829" w:type="dxa"/>
            <w:vAlign w:val="center"/>
          </w:tcPr>
          <w:p w14:paraId="34C67836">
            <w:pPr>
              <w:ind w:left="0" w:leftChars="0" w:firstLine="0" w:firstLineChars="0"/>
              <w:jc w:val="center"/>
              <w:rPr>
                <w:color w:val="auto"/>
              </w:rPr>
            </w:pPr>
            <w:r>
              <w:rPr>
                <w:rFonts w:hint="eastAsia" w:ascii="宋体" w:hAnsi="宋体" w:eastAsia="宋体" w:cs="宋体"/>
                <w:color w:val="auto"/>
                <w:lang w:eastAsia="zh-CN"/>
              </w:rPr>
              <w:t>现场工作</w:t>
            </w:r>
            <w:r>
              <w:rPr>
                <w:rFonts w:hint="eastAsia" w:ascii="宋体" w:hAnsi="宋体" w:eastAsia="宋体" w:cs="宋体"/>
                <w:color w:val="auto"/>
              </w:rPr>
              <w:t>协调</w:t>
            </w:r>
            <w:r>
              <w:rPr>
                <w:rFonts w:hint="eastAsia" w:ascii="宋体" w:hAnsi="宋体" w:eastAsia="宋体" w:cs="宋体"/>
                <w:color w:val="auto"/>
                <w:lang w:eastAsia="zh-CN"/>
              </w:rPr>
              <w:t>的</w:t>
            </w:r>
            <w:r>
              <w:rPr>
                <w:rFonts w:hint="eastAsia" w:ascii="宋体" w:hAnsi="宋体" w:eastAsia="宋体" w:cs="宋体"/>
                <w:color w:val="auto"/>
              </w:rPr>
              <w:t>措施</w:t>
            </w:r>
            <w:r>
              <w:rPr>
                <w:rFonts w:hint="eastAsia" w:ascii="宋体" w:hAnsi="宋体" w:eastAsia="宋体" w:cs="宋体"/>
                <w:color w:val="auto"/>
                <w:lang w:eastAsia="zh-CN"/>
              </w:rPr>
              <w:t>和方法</w:t>
            </w:r>
          </w:p>
        </w:tc>
      </w:tr>
      <w:tr w14:paraId="3F7B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71D28ED1">
            <w:pPr>
              <w:bidi w:val="0"/>
              <w:rPr>
                <w:color w:val="auto"/>
              </w:rPr>
            </w:pPr>
          </w:p>
        </w:tc>
        <w:tc>
          <w:tcPr>
            <w:tcW w:w="952" w:type="dxa"/>
            <w:vMerge w:val="continue"/>
            <w:vAlign w:val="center"/>
          </w:tcPr>
          <w:p w14:paraId="7CC888ED">
            <w:pPr>
              <w:bidi w:val="0"/>
              <w:rPr>
                <w:color w:val="auto"/>
              </w:rPr>
            </w:pPr>
          </w:p>
        </w:tc>
        <w:tc>
          <w:tcPr>
            <w:tcW w:w="1845" w:type="dxa"/>
            <w:vMerge w:val="continue"/>
            <w:vAlign w:val="center"/>
          </w:tcPr>
          <w:p w14:paraId="23A050E4">
            <w:pPr>
              <w:bidi w:val="0"/>
              <w:rPr>
                <w:color w:val="auto"/>
              </w:rPr>
            </w:pPr>
          </w:p>
        </w:tc>
        <w:tc>
          <w:tcPr>
            <w:tcW w:w="5829" w:type="dxa"/>
            <w:vAlign w:val="center"/>
          </w:tcPr>
          <w:p w14:paraId="5197CAEE">
            <w:pPr>
              <w:ind w:left="0" w:leftChars="0" w:firstLine="0" w:firstLineChars="0"/>
              <w:jc w:val="center"/>
              <w:rPr>
                <w:color w:val="auto"/>
              </w:rPr>
            </w:pPr>
            <w:r>
              <w:rPr>
                <w:rFonts w:hint="eastAsia" w:ascii="宋体" w:hAnsi="宋体" w:eastAsia="宋体" w:cs="宋体"/>
                <w:color w:val="auto"/>
                <w:szCs w:val="21"/>
                <w:lang w:val="en-US" w:eastAsia="zh-CN"/>
              </w:rPr>
              <w:t>合同、信息管理方案</w:t>
            </w:r>
          </w:p>
        </w:tc>
      </w:tr>
      <w:tr w14:paraId="549E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1040FC46">
            <w:pPr>
              <w:bidi w:val="0"/>
              <w:rPr>
                <w:color w:val="auto"/>
              </w:rPr>
            </w:pPr>
          </w:p>
        </w:tc>
        <w:tc>
          <w:tcPr>
            <w:tcW w:w="952" w:type="dxa"/>
            <w:vMerge w:val="continue"/>
            <w:vAlign w:val="center"/>
          </w:tcPr>
          <w:p w14:paraId="404AC266">
            <w:pPr>
              <w:bidi w:val="0"/>
              <w:rPr>
                <w:color w:val="auto"/>
              </w:rPr>
            </w:pPr>
          </w:p>
        </w:tc>
        <w:tc>
          <w:tcPr>
            <w:tcW w:w="1845" w:type="dxa"/>
            <w:vMerge w:val="continue"/>
            <w:vAlign w:val="center"/>
          </w:tcPr>
          <w:p w14:paraId="00481E16">
            <w:pPr>
              <w:bidi w:val="0"/>
              <w:rPr>
                <w:color w:val="auto"/>
              </w:rPr>
            </w:pPr>
          </w:p>
        </w:tc>
        <w:tc>
          <w:tcPr>
            <w:tcW w:w="5829" w:type="dxa"/>
            <w:vAlign w:val="center"/>
          </w:tcPr>
          <w:p w14:paraId="4B133040">
            <w:pPr>
              <w:ind w:left="0" w:leftChars="0" w:firstLine="0" w:firstLineChars="0"/>
              <w:jc w:val="center"/>
              <w:rPr>
                <w:color w:val="auto"/>
              </w:rPr>
            </w:pPr>
            <w:r>
              <w:rPr>
                <w:rFonts w:hint="eastAsia" w:ascii="宋体" w:hAnsi="宋体" w:eastAsia="宋体" w:cs="宋体"/>
                <w:color w:val="auto"/>
                <w:szCs w:val="21"/>
                <w:lang w:val="en-US" w:eastAsia="zh-CN"/>
              </w:rPr>
              <w:t>竣工验收阶段工程监理方案</w:t>
            </w:r>
          </w:p>
        </w:tc>
      </w:tr>
      <w:tr w14:paraId="52B1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55148F20">
            <w:pPr>
              <w:bidi w:val="0"/>
              <w:rPr>
                <w:color w:val="auto"/>
              </w:rPr>
            </w:pPr>
          </w:p>
        </w:tc>
        <w:tc>
          <w:tcPr>
            <w:tcW w:w="952" w:type="dxa"/>
            <w:vMerge w:val="continue"/>
            <w:vAlign w:val="center"/>
          </w:tcPr>
          <w:p w14:paraId="7F095E71">
            <w:pPr>
              <w:bidi w:val="0"/>
              <w:rPr>
                <w:color w:val="auto"/>
              </w:rPr>
            </w:pPr>
          </w:p>
        </w:tc>
        <w:tc>
          <w:tcPr>
            <w:tcW w:w="1845" w:type="dxa"/>
            <w:vMerge w:val="continue"/>
            <w:vAlign w:val="center"/>
          </w:tcPr>
          <w:p w14:paraId="24A8CF46">
            <w:pPr>
              <w:bidi w:val="0"/>
              <w:rPr>
                <w:color w:val="auto"/>
              </w:rPr>
            </w:pPr>
          </w:p>
        </w:tc>
        <w:tc>
          <w:tcPr>
            <w:tcW w:w="5829" w:type="dxa"/>
            <w:vAlign w:val="center"/>
          </w:tcPr>
          <w:p w14:paraId="017A9DC3">
            <w:pPr>
              <w:ind w:left="0" w:leftChars="0" w:firstLine="0" w:firstLineChars="0"/>
              <w:jc w:val="center"/>
              <w:rPr>
                <w:color w:val="auto"/>
              </w:rPr>
            </w:pPr>
            <w:r>
              <w:rPr>
                <w:rFonts w:hint="eastAsia" w:ascii="宋体" w:hAnsi="宋体" w:eastAsia="宋体" w:cs="宋体"/>
                <w:color w:val="auto"/>
                <w:szCs w:val="21"/>
                <w:lang w:val="en-US" w:eastAsia="zh-CN"/>
              </w:rPr>
              <w:t>保修阶段工程监理方案</w:t>
            </w:r>
          </w:p>
        </w:tc>
      </w:tr>
      <w:tr w14:paraId="3936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continue"/>
            <w:vAlign w:val="center"/>
          </w:tcPr>
          <w:p w14:paraId="3EB7524F">
            <w:pPr>
              <w:bidi w:val="0"/>
              <w:rPr>
                <w:color w:val="auto"/>
              </w:rPr>
            </w:pPr>
          </w:p>
        </w:tc>
        <w:tc>
          <w:tcPr>
            <w:tcW w:w="952" w:type="dxa"/>
            <w:vMerge w:val="continue"/>
            <w:vAlign w:val="center"/>
          </w:tcPr>
          <w:p w14:paraId="2E3AD48A">
            <w:pPr>
              <w:bidi w:val="0"/>
              <w:rPr>
                <w:color w:val="auto"/>
              </w:rPr>
            </w:pPr>
          </w:p>
        </w:tc>
        <w:tc>
          <w:tcPr>
            <w:tcW w:w="1845" w:type="dxa"/>
            <w:vMerge w:val="continue"/>
            <w:vAlign w:val="center"/>
          </w:tcPr>
          <w:p w14:paraId="57520B1C">
            <w:pPr>
              <w:bidi w:val="0"/>
              <w:rPr>
                <w:color w:val="auto"/>
              </w:rPr>
            </w:pPr>
          </w:p>
        </w:tc>
        <w:tc>
          <w:tcPr>
            <w:tcW w:w="5829" w:type="dxa"/>
            <w:vAlign w:val="center"/>
          </w:tcPr>
          <w:p w14:paraId="39185311">
            <w:pPr>
              <w:bidi w:val="0"/>
              <w:rPr>
                <w:rFonts w:hint="eastAsia" w:eastAsia="宋体"/>
                <w:color w:val="auto"/>
                <w:lang w:eastAsia="zh-CN"/>
              </w:rPr>
            </w:pPr>
            <w:r>
              <w:rPr>
                <w:rFonts w:hint="eastAsia"/>
                <w:color w:val="auto"/>
                <w:lang w:val="en-US" w:eastAsia="zh-CN"/>
              </w:rPr>
              <w:t>以上</w:t>
            </w:r>
            <w:r>
              <w:rPr>
                <w:color w:val="auto"/>
              </w:rPr>
              <w:t>内容</w:t>
            </w:r>
            <w:r>
              <w:rPr>
                <w:rFonts w:hint="eastAsia"/>
                <w:color w:val="auto"/>
              </w:rPr>
              <w:t>若缺项或经半数以上评委确认该项不符合要求的应判为“不合格”，不存在前述情形的应判为“合格”。</w:t>
            </w:r>
          </w:p>
        </w:tc>
      </w:tr>
      <w:tr w14:paraId="7BAE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vMerge w:val="restart"/>
            <w:vAlign w:val="center"/>
          </w:tcPr>
          <w:p w14:paraId="48CCEC14">
            <w:pPr>
              <w:bidi w:val="0"/>
              <w:jc w:val="center"/>
              <w:rPr>
                <w:color w:val="auto"/>
              </w:rPr>
            </w:pPr>
            <w:r>
              <w:rPr>
                <w:rFonts w:hint="eastAsia"/>
                <w:color w:val="auto"/>
              </w:rPr>
              <w:t>2.2.</w:t>
            </w:r>
            <w:r>
              <w:rPr>
                <w:rFonts w:hint="eastAsia"/>
                <w:color w:val="auto"/>
                <w:lang w:val="en-US" w:eastAsia="zh-CN"/>
              </w:rPr>
              <w:t>3</w:t>
            </w:r>
            <w:r>
              <w:rPr>
                <w:rFonts w:hint="eastAsia"/>
                <w:color w:val="auto"/>
              </w:rPr>
              <w:t>（3）</w:t>
            </w:r>
          </w:p>
        </w:tc>
        <w:tc>
          <w:tcPr>
            <w:tcW w:w="952" w:type="dxa"/>
            <w:vMerge w:val="restart"/>
            <w:vAlign w:val="center"/>
          </w:tcPr>
          <w:p w14:paraId="24206079">
            <w:pPr>
              <w:bidi w:val="0"/>
              <w:jc w:val="center"/>
              <w:rPr>
                <w:color w:val="auto"/>
              </w:rPr>
            </w:pPr>
            <w:r>
              <w:rPr>
                <w:rFonts w:hint="eastAsia"/>
                <w:color w:val="auto"/>
              </w:rPr>
              <w:t>综合标</w:t>
            </w:r>
          </w:p>
          <w:p w14:paraId="57BA09F6">
            <w:pPr>
              <w:bidi w:val="0"/>
              <w:jc w:val="center"/>
              <w:rPr>
                <w:color w:val="auto"/>
              </w:rPr>
            </w:pPr>
          </w:p>
        </w:tc>
        <w:tc>
          <w:tcPr>
            <w:tcW w:w="1845" w:type="dxa"/>
            <w:shd w:val="clear" w:color="auto" w:fill="auto"/>
            <w:vAlign w:val="center"/>
          </w:tcPr>
          <w:p w14:paraId="7295D45B">
            <w:pPr>
              <w:pStyle w:val="63"/>
              <w:spacing w:before="1" w:line="360" w:lineRule="auto"/>
              <w:ind w:right="31" w:righ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rPr>
              <w:t>企业业绩</w:t>
            </w:r>
          </w:p>
        </w:tc>
        <w:tc>
          <w:tcPr>
            <w:tcW w:w="5829" w:type="dxa"/>
            <w:shd w:val="clear" w:color="auto" w:fill="auto"/>
            <w:vAlign w:val="center"/>
          </w:tcPr>
          <w:p w14:paraId="65AD0B33">
            <w:pPr>
              <w:spacing w:line="400" w:lineRule="exact"/>
              <w:rPr>
                <w:rFonts w:hint="eastAsia" w:ascii="宋体" w:hAnsi="宋体" w:cs="宋体"/>
                <w:color w:val="auto"/>
                <w:szCs w:val="21"/>
              </w:rPr>
            </w:pPr>
            <w:r>
              <w:rPr>
                <w:rFonts w:hint="eastAsia" w:ascii="宋体" w:hAnsi="宋体" w:cs="宋体"/>
                <w:color w:val="auto"/>
                <w:szCs w:val="21"/>
              </w:rPr>
              <w:t>投标人</w:t>
            </w:r>
            <w:r>
              <w:rPr>
                <w:rFonts w:hint="eastAsia" w:cs="宋体"/>
                <w:color w:val="auto"/>
                <w:szCs w:val="21"/>
                <w:lang w:val="en-US" w:eastAsia="zh-CN"/>
              </w:rPr>
              <w:t>提供</w:t>
            </w:r>
            <w:r>
              <w:rPr>
                <w:rFonts w:hint="eastAsia" w:ascii="宋体" w:hAnsi="宋体" w:cs="宋体"/>
                <w:color w:val="auto"/>
                <w:szCs w:val="21"/>
              </w:rPr>
              <w:t>自20</w:t>
            </w:r>
            <w:r>
              <w:rPr>
                <w:rFonts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年</w:t>
            </w:r>
            <w:r>
              <w:rPr>
                <w:rFonts w:ascii="宋体" w:hAnsi="宋体" w:cs="宋体"/>
                <w:color w:val="auto"/>
                <w:szCs w:val="21"/>
              </w:rPr>
              <w:t>1</w:t>
            </w:r>
            <w:r>
              <w:rPr>
                <w:rFonts w:hint="eastAsia" w:cs="宋体"/>
                <w:color w:val="auto"/>
                <w:szCs w:val="21"/>
                <w:lang w:val="en-US" w:eastAsia="zh-CN"/>
              </w:rPr>
              <w:t>0</w:t>
            </w:r>
            <w:r>
              <w:rPr>
                <w:rFonts w:hint="eastAsia" w:ascii="宋体" w:hAnsi="宋体" w:cs="宋体"/>
                <w:color w:val="auto"/>
                <w:szCs w:val="21"/>
              </w:rPr>
              <w:t>月1日以来承担过</w:t>
            </w:r>
            <w:r>
              <w:rPr>
                <w:rFonts w:hint="eastAsia" w:ascii="宋体" w:hAnsi="宋体" w:cs="宋体"/>
                <w:color w:val="auto"/>
                <w:szCs w:val="21"/>
                <w:lang w:val="en-US" w:eastAsia="zh-CN"/>
              </w:rPr>
              <w:t>类似</w:t>
            </w:r>
            <w:r>
              <w:rPr>
                <w:rFonts w:hint="eastAsia" w:cs="宋体"/>
                <w:color w:val="auto"/>
                <w:szCs w:val="21"/>
                <w:lang w:val="en-US" w:eastAsia="zh-CN"/>
              </w:rPr>
              <w:t>公路</w:t>
            </w:r>
            <w:r>
              <w:rPr>
                <w:rFonts w:hint="eastAsia" w:ascii="宋体" w:hAnsi="宋体" w:cs="宋体"/>
                <w:color w:val="auto"/>
                <w:szCs w:val="21"/>
              </w:rPr>
              <w:t>工程监理项目。</w:t>
            </w:r>
          </w:p>
          <w:p w14:paraId="499E73B1">
            <w:pPr>
              <w:widowControl/>
              <w:spacing w:line="400" w:lineRule="exact"/>
              <w:jc w:val="left"/>
              <w:rPr>
                <w:rFonts w:hint="eastAsia" w:ascii="宋体" w:hAnsi="宋体" w:eastAsia="宋体" w:cs="宋体"/>
                <w:color w:val="auto"/>
                <w:kern w:val="2"/>
                <w:sz w:val="24"/>
                <w:szCs w:val="21"/>
                <w:lang w:val="en-US" w:eastAsia="zh-CN" w:bidi="ar-SA"/>
              </w:rPr>
            </w:pPr>
            <w:r>
              <w:rPr>
                <w:rFonts w:hint="eastAsia" w:ascii="宋体" w:hAnsi="宋体" w:cs="宋体"/>
                <w:color w:val="auto"/>
                <w:szCs w:val="21"/>
              </w:rPr>
              <w:t>注：须同时提供合同协议书，以合同签订日期为准</w:t>
            </w:r>
            <w:r>
              <w:rPr>
                <w:rFonts w:hint="eastAsia" w:cs="宋体"/>
                <w:color w:val="auto"/>
                <w:szCs w:val="21"/>
                <w:lang w:eastAsia="zh-CN"/>
              </w:rPr>
              <w:t>。不提供、证明资料不齐全的视为不合格。</w:t>
            </w:r>
          </w:p>
        </w:tc>
      </w:tr>
      <w:tr w14:paraId="37AE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7" w:type="dxa"/>
            <w:vMerge w:val="continue"/>
            <w:vAlign w:val="center"/>
          </w:tcPr>
          <w:p w14:paraId="7ED20382">
            <w:pPr>
              <w:bidi w:val="0"/>
              <w:jc w:val="center"/>
              <w:rPr>
                <w:color w:val="auto"/>
              </w:rPr>
            </w:pPr>
          </w:p>
        </w:tc>
        <w:tc>
          <w:tcPr>
            <w:tcW w:w="952" w:type="dxa"/>
            <w:vMerge w:val="continue"/>
            <w:vAlign w:val="center"/>
          </w:tcPr>
          <w:p w14:paraId="44AFDEF1">
            <w:pPr>
              <w:bidi w:val="0"/>
              <w:jc w:val="center"/>
              <w:rPr>
                <w:color w:val="auto"/>
              </w:rPr>
            </w:pPr>
          </w:p>
        </w:tc>
        <w:tc>
          <w:tcPr>
            <w:tcW w:w="1845" w:type="dxa"/>
            <w:shd w:val="clear" w:color="auto" w:fill="auto"/>
            <w:vAlign w:val="center"/>
          </w:tcPr>
          <w:p w14:paraId="28D9C661">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优惠承诺</w:t>
            </w:r>
          </w:p>
        </w:tc>
        <w:tc>
          <w:tcPr>
            <w:tcW w:w="5829" w:type="dxa"/>
            <w:shd w:val="clear" w:color="auto" w:fill="auto"/>
            <w:vAlign w:val="center"/>
          </w:tcPr>
          <w:p w14:paraId="6BEA9638">
            <w:pPr>
              <w:widowControl/>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投标人具有书面符合实际情况的关于缺陷责任期服务的优惠承诺</w:t>
            </w:r>
            <w:r>
              <w:rPr>
                <w:rFonts w:hint="eastAsia" w:cs="宋体"/>
                <w:color w:val="auto"/>
                <w:szCs w:val="21"/>
                <w:lang w:eastAsia="zh-CN"/>
              </w:rPr>
              <w:t>。</w:t>
            </w:r>
            <w:r>
              <w:rPr>
                <w:rFonts w:hint="eastAsia" w:ascii="宋体" w:hAnsi="宋体" w:cs="宋体"/>
                <w:color w:val="auto"/>
                <w:szCs w:val="21"/>
              </w:rPr>
              <w:t>若缺项或经半数以上评委确认该项不符合要求的应判为“不合格”，不存在前述情形的应判为“合格”。</w:t>
            </w:r>
          </w:p>
        </w:tc>
      </w:tr>
      <w:tr w14:paraId="781D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757" w:type="dxa"/>
            <w:vMerge w:val="continue"/>
            <w:vAlign w:val="center"/>
          </w:tcPr>
          <w:p w14:paraId="0CE5246A">
            <w:pPr>
              <w:bidi w:val="0"/>
              <w:jc w:val="center"/>
              <w:rPr>
                <w:color w:val="auto"/>
              </w:rPr>
            </w:pPr>
          </w:p>
        </w:tc>
        <w:tc>
          <w:tcPr>
            <w:tcW w:w="952" w:type="dxa"/>
            <w:vMerge w:val="continue"/>
            <w:vAlign w:val="center"/>
          </w:tcPr>
          <w:p w14:paraId="2C4B53D0">
            <w:pPr>
              <w:bidi w:val="0"/>
              <w:jc w:val="center"/>
              <w:rPr>
                <w:color w:val="auto"/>
              </w:rPr>
            </w:pPr>
          </w:p>
        </w:tc>
        <w:tc>
          <w:tcPr>
            <w:tcW w:w="1845" w:type="dxa"/>
            <w:shd w:val="clear" w:color="auto" w:fill="auto"/>
            <w:vAlign w:val="center"/>
          </w:tcPr>
          <w:p w14:paraId="2FC6380D">
            <w:pPr>
              <w:pStyle w:val="63"/>
              <w:spacing w:before="1" w:line="360" w:lineRule="auto"/>
              <w:ind w:right="31" w:rightChars="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rPr>
              <w:t>服务承诺</w:t>
            </w:r>
          </w:p>
        </w:tc>
        <w:tc>
          <w:tcPr>
            <w:tcW w:w="5829" w:type="dxa"/>
            <w:shd w:val="clear" w:color="auto" w:fill="auto"/>
            <w:vAlign w:val="center"/>
          </w:tcPr>
          <w:p w14:paraId="3934ABFE">
            <w:pPr>
              <w:pStyle w:val="63"/>
              <w:spacing w:before="1" w:line="360" w:lineRule="auto"/>
              <w:ind w:right="130"/>
              <w:rPr>
                <w:rFonts w:hint="eastAsia" w:ascii="宋体" w:hAnsi="宋体" w:eastAsia="宋体" w:cs="宋体"/>
                <w:color w:val="auto"/>
                <w:szCs w:val="21"/>
                <w:lang w:eastAsia="zh-CN"/>
              </w:rPr>
            </w:pPr>
            <w:r>
              <w:rPr>
                <w:rFonts w:hint="eastAsia" w:ascii="宋体" w:hAnsi="宋体" w:cs="宋体"/>
                <w:color w:val="auto"/>
                <w:szCs w:val="21"/>
              </w:rPr>
              <w:t>投标人具有书面符合实际情况的</w:t>
            </w:r>
            <w:r>
              <w:rPr>
                <w:rFonts w:hint="eastAsia" w:cs="宋体"/>
                <w:color w:val="auto"/>
                <w:szCs w:val="21"/>
                <w:lang w:eastAsia="zh-CN"/>
              </w:rPr>
              <w:t>：</w:t>
            </w:r>
          </w:p>
          <w:p w14:paraId="027C47E3">
            <w:pPr>
              <w:pStyle w:val="63"/>
              <w:spacing w:before="1" w:line="360" w:lineRule="auto"/>
              <w:ind w:right="130"/>
              <w:rPr>
                <w:rFonts w:hint="eastAsia" w:ascii="宋体" w:hAnsi="宋体" w:cs="宋体"/>
                <w:color w:val="auto"/>
                <w:szCs w:val="21"/>
              </w:rPr>
            </w:pPr>
            <w:r>
              <w:rPr>
                <w:rFonts w:hint="eastAsia" w:ascii="宋体" w:hAnsi="宋体" w:cs="宋体"/>
                <w:color w:val="auto"/>
                <w:szCs w:val="21"/>
              </w:rPr>
              <w:t>1.与监理工作相关的协调工作承诺；</w:t>
            </w:r>
          </w:p>
          <w:p w14:paraId="5E1A78F6">
            <w:pPr>
              <w:pStyle w:val="63"/>
              <w:spacing w:before="1" w:line="360" w:lineRule="auto"/>
              <w:ind w:right="130"/>
              <w:rPr>
                <w:rFonts w:hint="eastAsia" w:ascii="宋体" w:hAnsi="宋体" w:cs="宋体"/>
                <w:color w:val="auto"/>
                <w:szCs w:val="21"/>
              </w:rPr>
            </w:pPr>
            <w:r>
              <w:rPr>
                <w:rFonts w:hint="eastAsia" w:ascii="宋体" w:hAnsi="宋体" w:cs="宋体"/>
                <w:color w:val="auto"/>
                <w:szCs w:val="21"/>
              </w:rPr>
              <w:t>2.协调合同纠纷的承诺；</w:t>
            </w:r>
          </w:p>
          <w:p w14:paraId="4D39FACC">
            <w:pPr>
              <w:pStyle w:val="63"/>
              <w:spacing w:before="1" w:line="360" w:lineRule="auto"/>
              <w:ind w:right="130"/>
              <w:rPr>
                <w:rFonts w:hint="eastAsia" w:ascii="宋体" w:hAnsi="宋体" w:cs="宋体"/>
                <w:color w:val="auto"/>
                <w:szCs w:val="21"/>
              </w:rPr>
            </w:pPr>
            <w:r>
              <w:rPr>
                <w:rFonts w:hint="eastAsia" w:ascii="宋体" w:hAnsi="宋体" w:cs="宋体"/>
                <w:color w:val="auto"/>
                <w:szCs w:val="21"/>
              </w:rPr>
              <w:t>3.保修期间服务承诺；</w:t>
            </w:r>
          </w:p>
          <w:p w14:paraId="5DCF9DE5">
            <w:pPr>
              <w:pStyle w:val="63"/>
              <w:spacing w:before="1" w:line="360" w:lineRule="auto"/>
              <w:ind w:right="130"/>
              <w:rPr>
                <w:rFonts w:ascii="宋体" w:hAnsi="宋体" w:cs="宋体"/>
                <w:color w:val="auto"/>
                <w:szCs w:val="21"/>
              </w:rPr>
            </w:pPr>
            <w:r>
              <w:rPr>
                <w:rFonts w:hint="eastAsia" w:ascii="宋体" w:hAnsi="宋体" w:cs="宋体"/>
                <w:color w:val="auto"/>
                <w:szCs w:val="21"/>
              </w:rPr>
              <w:t>4.为业主排忧解难的服务承诺。</w:t>
            </w:r>
          </w:p>
          <w:p w14:paraId="18D4AA66">
            <w:pPr>
              <w:pStyle w:val="63"/>
              <w:spacing w:before="1" w:line="360" w:lineRule="auto"/>
              <w:ind w:right="130" w:rightChars="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若缺项或经半数以上评委确认该项不符合要求的应判为“不合格”，不存在前述情形的应判为“合格”。</w:t>
            </w:r>
          </w:p>
        </w:tc>
      </w:tr>
      <w:tr w14:paraId="7E33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7" w:type="dxa"/>
            <w:vMerge w:val="continue"/>
            <w:vAlign w:val="center"/>
          </w:tcPr>
          <w:p w14:paraId="6000BFD3">
            <w:pPr>
              <w:bidi w:val="0"/>
              <w:jc w:val="center"/>
              <w:rPr>
                <w:color w:val="auto"/>
              </w:rPr>
            </w:pPr>
          </w:p>
        </w:tc>
        <w:tc>
          <w:tcPr>
            <w:tcW w:w="952" w:type="dxa"/>
            <w:vMerge w:val="continue"/>
            <w:vAlign w:val="center"/>
          </w:tcPr>
          <w:p w14:paraId="72EEF469">
            <w:pPr>
              <w:bidi w:val="0"/>
              <w:jc w:val="center"/>
              <w:rPr>
                <w:color w:val="auto"/>
              </w:rPr>
            </w:pPr>
          </w:p>
        </w:tc>
        <w:tc>
          <w:tcPr>
            <w:tcW w:w="1845" w:type="dxa"/>
            <w:shd w:val="clear" w:color="auto" w:fill="auto"/>
            <w:vAlign w:val="center"/>
          </w:tcPr>
          <w:p w14:paraId="131D8DBB">
            <w:pPr>
              <w:pStyle w:val="63"/>
              <w:spacing w:before="1" w:line="360" w:lineRule="auto"/>
              <w:ind w:right="31"/>
              <w:jc w:val="center"/>
              <w:rPr>
                <w:rFonts w:hint="eastAsia" w:ascii="宋体" w:hAnsi="宋体" w:cs="宋体"/>
                <w:color w:val="auto"/>
              </w:rPr>
            </w:pPr>
            <w:r>
              <w:rPr>
                <w:rFonts w:hint="eastAsia" w:ascii="宋体" w:hAnsi="宋体" w:cs="宋体"/>
                <w:color w:val="auto"/>
              </w:rPr>
              <w:t>其他实质性承诺</w:t>
            </w:r>
          </w:p>
          <w:p w14:paraId="38A5268A">
            <w:pPr>
              <w:pStyle w:val="63"/>
              <w:spacing w:before="1" w:line="360" w:lineRule="auto"/>
              <w:ind w:right="31" w:rightChars="0"/>
              <w:jc w:val="center"/>
              <w:rPr>
                <w:rFonts w:hint="eastAsia" w:ascii="宋体" w:hAnsi="宋体" w:eastAsia="宋体" w:cs="宋体"/>
                <w:color w:val="auto"/>
                <w:kern w:val="2"/>
                <w:sz w:val="21"/>
                <w:szCs w:val="21"/>
                <w:lang w:val="en-US" w:eastAsia="zh-CN" w:bidi="ar-SA"/>
              </w:rPr>
            </w:pPr>
          </w:p>
        </w:tc>
        <w:tc>
          <w:tcPr>
            <w:tcW w:w="5829" w:type="dxa"/>
            <w:shd w:val="clear" w:color="auto" w:fill="auto"/>
            <w:vAlign w:val="center"/>
          </w:tcPr>
          <w:p w14:paraId="4114EFA5">
            <w:pPr>
              <w:pStyle w:val="63"/>
              <w:spacing w:before="1" w:line="360" w:lineRule="auto"/>
              <w:ind w:right="130" w:rightChars="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投标人具有书面符合实际情况的：针对提高项目质量、缩短工期、减少投资、减少对周边环境影响、提高项目综合效益等方面的合理化建议。若缺项或经半数以上评委确认该项不符合要求的应判为“不合格”，不存在前述情形的应判为“合格”。</w:t>
            </w:r>
          </w:p>
        </w:tc>
      </w:tr>
      <w:tr w14:paraId="29E3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7" w:type="dxa"/>
            <w:shd w:val="clear" w:color="auto" w:fill="auto"/>
            <w:vAlign w:val="center"/>
          </w:tcPr>
          <w:p w14:paraId="41147664">
            <w:pPr>
              <w:wordWrap w:val="0"/>
              <w:topLinePunct/>
              <w:adjustRightInd w:val="0"/>
              <w:snapToGrid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2.2.4</w:t>
            </w:r>
          </w:p>
        </w:tc>
        <w:tc>
          <w:tcPr>
            <w:tcW w:w="2797" w:type="dxa"/>
            <w:gridSpan w:val="2"/>
            <w:shd w:val="clear" w:color="auto" w:fill="auto"/>
            <w:vAlign w:val="center"/>
          </w:tcPr>
          <w:p w14:paraId="143150AA">
            <w:pPr>
              <w:adjustRightInd w:val="0"/>
              <w:snapToGrid w:val="0"/>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推荐的中标候选人定性评审评标结论</w:t>
            </w:r>
          </w:p>
        </w:tc>
        <w:tc>
          <w:tcPr>
            <w:tcW w:w="5829" w:type="dxa"/>
            <w:shd w:val="clear" w:color="auto" w:fill="auto"/>
            <w:vAlign w:val="center"/>
          </w:tcPr>
          <w:p w14:paraId="1B36BFCF">
            <w:pPr>
              <w:adjustRightInd w:val="0"/>
              <w:snapToGrid w:val="0"/>
              <w:spacing w:line="400" w:lineRule="exact"/>
              <w:rPr>
                <w:rFonts w:hint="eastAsia" w:ascii="宋体" w:hAnsi="宋体" w:cs="宋体"/>
                <w:b/>
                <w:bCs/>
                <w:color w:val="auto"/>
                <w:szCs w:val="21"/>
              </w:rPr>
            </w:pPr>
            <w:r>
              <w:rPr>
                <w:rFonts w:hint="eastAsia" w:ascii="宋体" w:hAnsi="宋体" w:cs="宋体"/>
                <w:b/>
                <w:bCs/>
                <w:color w:val="auto"/>
                <w:szCs w:val="21"/>
              </w:rPr>
              <w:t>1、投标人投标文件中商务标、技术标、综合标详细评审中有任意一项判为“不合格”的，不得推荐为中标候选人</w:t>
            </w:r>
            <w:r>
              <w:rPr>
                <w:rFonts w:hint="eastAsia" w:ascii="宋体" w:hAnsi="宋体" w:cs="宋体"/>
                <w:b/>
                <w:bCs/>
                <w:color w:val="auto"/>
                <w:szCs w:val="21"/>
                <w:lang w:val="en-US" w:eastAsia="zh-CN"/>
              </w:rPr>
              <w:t>并在评标系统内作废标处理</w:t>
            </w:r>
            <w:r>
              <w:rPr>
                <w:rFonts w:hint="eastAsia" w:ascii="宋体" w:hAnsi="宋体" w:cs="宋体"/>
                <w:b/>
                <w:bCs/>
                <w:color w:val="auto"/>
                <w:szCs w:val="21"/>
              </w:rPr>
              <w:t>。</w:t>
            </w:r>
          </w:p>
          <w:p w14:paraId="63D37E5B">
            <w:pPr>
              <w:adjustRightInd w:val="0"/>
              <w:snapToGrid w:val="0"/>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b/>
                <w:bCs/>
                <w:color w:val="auto"/>
                <w:szCs w:val="21"/>
              </w:rPr>
              <w:t>2、评标委员会对各有效投标人的商务标、技术标及综合标详细评审后，出具“推荐的中标候选人定性评审评标结论”（由评委组长综合评标委员会成员意见，将结论写在公共资源交易系统“其他情况说明”栏内，形成评标报告），供定标委员会参考。</w:t>
            </w:r>
          </w:p>
        </w:tc>
      </w:tr>
      <w:bookmarkEnd w:id="164"/>
      <w:bookmarkEnd w:id="165"/>
      <w:bookmarkEnd w:id="166"/>
    </w:tbl>
    <w:p w14:paraId="2D773CE0">
      <w:pPr>
        <w:pStyle w:val="44"/>
        <w:rPr>
          <w:color w:val="auto"/>
          <w:highlight w:val="none"/>
        </w:rPr>
      </w:pPr>
    </w:p>
    <w:p w14:paraId="43556D0E">
      <w:pPr>
        <w:pStyle w:val="5"/>
        <w:bidi w:val="0"/>
        <w:rPr>
          <w:color w:val="auto"/>
        </w:rPr>
      </w:pPr>
      <w:bookmarkStart w:id="167" w:name="_Toc32600"/>
      <w:bookmarkStart w:id="168" w:name="_Toc31765"/>
      <w:r>
        <w:rPr>
          <w:rFonts w:hint="eastAsia"/>
          <w:color w:val="auto"/>
        </w:rPr>
        <w:t>1. 评标方法</w:t>
      </w:r>
      <w:bookmarkEnd w:id="167"/>
      <w:bookmarkEnd w:id="168"/>
    </w:p>
    <w:p w14:paraId="3630ADF4">
      <w:pPr>
        <w:pStyle w:val="3"/>
        <w:wordWrap w:val="0"/>
        <w:topLinePunct/>
        <w:adjustRightInd w:val="0"/>
        <w:snapToGrid w:val="0"/>
        <w:spacing w:before="0" w:after="0"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次评标采用合格制+定性评审的方式。评标委员会对通过初步评审、详细评审的合格有效投标人，采用定性评审方式指出投标文件中的特点、优势和存在的缺点、风险，并对技术、质量、安全、工期的控制能力等技术咨询建议等，择优推荐招标文件规定数量的不排序中标候选人名单。</w:t>
      </w:r>
    </w:p>
    <w:p w14:paraId="3C2A4D67">
      <w:pPr>
        <w:pStyle w:val="3"/>
        <w:wordWrap w:val="0"/>
        <w:topLinePunct/>
        <w:adjustRightInd w:val="0"/>
        <w:snapToGrid w:val="0"/>
        <w:spacing w:before="0" w:after="0" w:line="360" w:lineRule="auto"/>
        <w:ind w:firstLine="420" w:firstLineChars="200"/>
        <w:jc w:val="left"/>
        <w:rPr>
          <w:rFonts w:hint="eastAsia" w:asciiTheme="minorEastAsia" w:hAnsiTheme="minorEastAsia" w:eastAsiaTheme="minorEastAsia" w:cstheme="minorEastAsia"/>
          <w:b w:val="0"/>
          <w:bCs w:val="0"/>
          <w:color w:val="auto"/>
          <w:sz w:val="21"/>
          <w:szCs w:val="21"/>
        </w:rPr>
      </w:pPr>
      <w:bookmarkStart w:id="169" w:name="_Toc24072"/>
      <w:bookmarkStart w:id="170" w:name="_Toc11143"/>
      <w:r>
        <w:rPr>
          <w:rFonts w:hint="eastAsia" w:asciiTheme="minorEastAsia" w:hAnsiTheme="minorEastAsia" w:eastAsiaTheme="minorEastAsia" w:cstheme="minorEastAsia"/>
          <w:b w:val="0"/>
          <w:bCs w:val="0"/>
          <w:color w:val="auto"/>
          <w:sz w:val="21"/>
          <w:szCs w:val="21"/>
        </w:rPr>
        <w:t>1.2评标委员会按照招标文件规定数量的推荐不排序中标候选人名单。</w:t>
      </w:r>
      <w:bookmarkEnd w:id="169"/>
      <w:bookmarkEnd w:id="170"/>
    </w:p>
    <w:p w14:paraId="06BCBF37">
      <w:pPr>
        <w:pStyle w:val="3"/>
        <w:wordWrap w:val="0"/>
        <w:topLinePunct/>
        <w:adjustRightInd w:val="0"/>
        <w:snapToGrid w:val="0"/>
        <w:spacing w:before="0" w:after="0" w:line="360" w:lineRule="auto"/>
        <w:ind w:firstLine="420" w:firstLineChars="200"/>
        <w:jc w:val="left"/>
        <w:rPr>
          <w:rFonts w:hint="eastAsia"/>
          <w:color w:val="auto"/>
        </w:rPr>
      </w:pPr>
      <w:bookmarkStart w:id="171" w:name="_Toc29918"/>
      <w:bookmarkStart w:id="172" w:name="_Toc30695"/>
      <w:r>
        <w:rPr>
          <w:rFonts w:hint="eastAsia" w:asciiTheme="minorEastAsia" w:hAnsiTheme="minorEastAsia" w:eastAsiaTheme="minorEastAsia" w:cstheme="minorEastAsia"/>
          <w:b w:val="0"/>
          <w:bCs w:val="0"/>
          <w:color w:val="auto"/>
          <w:sz w:val="21"/>
          <w:szCs w:val="21"/>
        </w:rPr>
        <w:t>1.3推荐中标候选人标准：见推荐中标候选人办法前附表。</w:t>
      </w:r>
      <w:bookmarkEnd w:id="171"/>
      <w:bookmarkEnd w:id="172"/>
    </w:p>
    <w:p w14:paraId="050E589A">
      <w:pPr>
        <w:pStyle w:val="5"/>
        <w:bidi w:val="0"/>
        <w:rPr>
          <w:rFonts w:hint="eastAsia" w:ascii="宋体" w:hAnsi="宋体" w:eastAsia="宋体" w:cs="宋体"/>
          <w:color w:val="auto"/>
        </w:rPr>
      </w:pPr>
      <w:bookmarkStart w:id="173" w:name="_Toc32258"/>
      <w:bookmarkStart w:id="174" w:name="_Toc152042378"/>
      <w:bookmarkStart w:id="175" w:name="_Toc12295"/>
      <w:bookmarkStart w:id="176" w:name="_Toc247527626"/>
      <w:bookmarkStart w:id="177" w:name="_Toc144974568"/>
      <w:bookmarkStart w:id="178" w:name="_Toc247514025"/>
      <w:bookmarkStart w:id="179" w:name="_Toc15301"/>
      <w:bookmarkStart w:id="180" w:name="_Toc152045601"/>
      <w:bookmarkStart w:id="181" w:name="_Toc12842"/>
      <w:bookmarkStart w:id="182" w:name="_Toc6390"/>
      <w:bookmarkStart w:id="183" w:name="_Toc300835011"/>
      <w:r>
        <w:rPr>
          <w:rFonts w:hint="eastAsia" w:ascii="宋体" w:hAnsi="宋体" w:eastAsia="宋体" w:cs="宋体"/>
          <w:color w:val="auto"/>
        </w:rPr>
        <w:t>2. 评审标准</w:t>
      </w:r>
      <w:bookmarkEnd w:id="173"/>
      <w:bookmarkEnd w:id="174"/>
      <w:bookmarkEnd w:id="175"/>
      <w:bookmarkEnd w:id="176"/>
      <w:bookmarkEnd w:id="177"/>
      <w:bookmarkEnd w:id="178"/>
      <w:bookmarkEnd w:id="179"/>
      <w:bookmarkEnd w:id="180"/>
      <w:bookmarkEnd w:id="181"/>
      <w:bookmarkEnd w:id="182"/>
      <w:bookmarkEnd w:id="183"/>
    </w:p>
    <w:p w14:paraId="056DBD41">
      <w:pPr>
        <w:pStyle w:val="6"/>
        <w:bidi w:val="0"/>
        <w:rPr>
          <w:rFonts w:hint="eastAsia"/>
          <w:color w:val="auto"/>
        </w:rPr>
      </w:pPr>
      <w:bookmarkStart w:id="184" w:name="_Toc152045602"/>
      <w:bookmarkStart w:id="185" w:name="_Toc6433"/>
      <w:bookmarkStart w:id="186" w:name="_Toc23170"/>
      <w:bookmarkStart w:id="187" w:name="_Toc5885"/>
      <w:bookmarkStart w:id="188" w:name="_Toc152042379"/>
      <w:bookmarkStart w:id="189" w:name="_Toc247514026"/>
      <w:bookmarkStart w:id="190" w:name="_Toc25134"/>
      <w:bookmarkStart w:id="191" w:name="_Toc144974569"/>
      <w:bookmarkStart w:id="192" w:name="_Toc300835012"/>
      <w:bookmarkStart w:id="193" w:name="_Toc247527627"/>
      <w:r>
        <w:rPr>
          <w:rFonts w:hint="eastAsia"/>
          <w:color w:val="auto"/>
        </w:rPr>
        <w:t>2.1 初步评审标准</w:t>
      </w:r>
      <w:bookmarkEnd w:id="184"/>
      <w:bookmarkEnd w:id="185"/>
      <w:bookmarkEnd w:id="186"/>
      <w:bookmarkEnd w:id="187"/>
      <w:bookmarkEnd w:id="188"/>
      <w:bookmarkEnd w:id="189"/>
      <w:bookmarkEnd w:id="190"/>
      <w:bookmarkEnd w:id="191"/>
      <w:bookmarkEnd w:id="192"/>
      <w:bookmarkEnd w:id="193"/>
    </w:p>
    <w:p w14:paraId="4FBD7F6F">
      <w:pPr>
        <w:pStyle w:val="9"/>
        <w:bidi w:val="0"/>
        <w:rPr>
          <w:rFonts w:hint="eastAsia" w:ascii="宋体" w:hAnsi="宋体" w:eastAsia="宋体" w:cs="宋体"/>
          <w:color w:val="auto"/>
        </w:rPr>
      </w:pPr>
      <w:r>
        <w:rPr>
          <w:rFonts w:hint="eastAsia" w:ascii="宋体" w:hAnsi="宋体" w:eastAsia="宋体" w:cs="宋体"/>
          <w:color w:val="auto"/>
        </w:rPr>
        <w:t>2.1.1 形式评审标准：见评标办法前附表。</w:t>
      </w:r>
    </w:p>
    <w:p w14:paraId="2DF20AC9">
      <w:pPr>
        <w:pStyle w:val="9"/>
        <w:bidi w:val="0"/>
        <w:rPr>
          <w:rFonts w:hint="eastAsia" w:ascii="宋体" w:hAnsi="宋体" w:eastAsia="宋体" w:cs="宋体"/>
          <w:color w:val="auto"/>
        </w:rPr>
      </w:pPr>
      <w:r>
        <w:rPr>
          <w:rFonts w:hint="eastAsia" w:ascii="宋体" w:hAnsi="宋体" w:eastAsia="宋体" w:cs="宋体"/>
          <w:color w:val="auto"/>
        </w:rPr>
        <w:t>2.1.2 资格评审标准：见评标办法前附表。</w:t>
      </w:r>
    </w:p>
    <w:p w14:paraId="086764F4">
      <w:pPr>
        <w:pStyle w:val="9"/>
        <w:bidi w:val="0"/>
        <w:rPr>
          <w:rFonts w:hint="eastAsia" w:ascii="宋体" w:hAnsi="宋体" w:eastAsia="宋体" w:cs="宋体"/>
          <w:color w:val="auto"/>
        </w:rPr>
      </w:pPr>
      <w:r>
        <w:rPr>
          <w:rFonts w:hint="eastAsia" w:ascii="宋体" w:hAnsi="宋体" w:eastAsia="宋体" w:cs="宋体"/>
          <w:color w:val="auto"/>
        </w:rPr>
        <w:t>2.1.3 响应性评审标准：见评标办法前附表。</w:t>
      </w:r>
    </w:p>
    <w:p w14:paraId="3470B7A3">
      <w:pPr>
        <w:pStyle w:val="6"/>
        <w:bidi w:val="0"/>
        <w:rPr>
          <w:rFonts w:hint="eastAsia" w:asciiTheme="minorEastAsia" w:hAnsiTheme="minorEastAsia" w:eastAsiaTheme="minorEastAsia" w:cstheme="minorEastAsia"/>
          <w:color w:val="auto"/>
          <w:szCs w:val="21"/>
        </w:rPr>
      </w:pPr>
      <w:bookmarkStart w:id="194" w:name="_Toc19522"/>
      <w:bookmarkStart w:id="195" w:name="_Toc152042380"/>
      <w:bookmarkStart w:id="196" w:name="_Toc300835013"/>
      <w:bookmarkStart w:id="197" w:name="_Toc25216"/>
      <w:bookmarkStart w:id="198" w:name="_Toc28715"/>
      <w:bookmarkStart w:id="199" w:name="_Toc152045603"/>
      <w:bookmarkStart w:id="200" w:name="_Toc144974570"/>
      <w:bookmarkStart w:id="201" w:name="_Toc247527628"/>
      <w:bookmarkStart w:id="202" w:name="_Toc247514027"/>
      <w:bookmarkStart w:id="203" w:name="_Toc27005"/>
      <w:r>
        <w:rPr>
          <w:rFonts w:hint="eastAsia"/>
          <w:color w:val="auto"/>
        </w:rPr>
        <w:t xml:space="preserve">2.2 </w:t>
      </w:r>
      <w:bookmarkEnd w:id="194"/>
      <w:bookmarkEnd w:id="195"/>
      <w:bookmarkEnd w:id="196"/>
      <w:bookmarkEnd w:id="197"/>
      <w:bookmarkEnd w:id="198"/>
      <w:bookmarkEnd w:id="199"/>
      <w:bookmarkEnd w:id="200"/>
      <w:bookmarkEnd w:id="201"/>
      <w:bookmarkEnd w:id="202"/>
      <w:bookmarkEnd w:id="203"/>
      <w:r>
        <w:rPr>
          <w:rFonts w:hint="eastAsia"/>
          <w:color w:val="auto"/>
          <w:lang w:val="en-US" w:eastAsia="zh-CN"/>
        </w:rPr>
        <w:t>详细评审</w:t>
      </w:r>
      <w:bookmarkStart w:id="204" w:name="_Toc13940"/>
      <w:bookmarkStart w:id="205" w:name="_Toc28819"/>
      <w:bookmarkStart w:id="206" w:name="_Toc18175"/>
      <w:bookmarkStart w:id="207" w:name="_Toc13066"/>
      <w:bookmarkStart w:id="208" w:name="_Toc152045604"/>
      <w:bookmarkStart w:id="209" w:name="_Toc7907"/>
      <w:bookmarkStart w:id="210" w:name="_Toc247527629"/>
      <w:bookmarkStart w:id="211" w:name="_Toc152042381"/>
      <w:bookmarkStart w:id="212" w:name="_Toc300835014"/>
      <w:bookmarkStart w:id="213" w:name="_Toc247514028"/>
      <w:bookmarkStart w:id="214" w:name="_Toc144974571"/>
    </w:p>
    <w:p w14:paraId="568BC667">
      <w:pPr>
        <w:pStyle w:val="9"/>
        <w:bidi w:val="0"/>
        <w:rPr>
          <w:rFonts w:hint="eastAsia" w:ascii="宋体" w:hAnsi="宋体" w:eastAsia="宋体" w:cs="宋体"/>
          <w:color w:val="auto"/>
        </w:rPr>
      </w:pPr>
      <w:r>
        <w:rPr>
          <w:rFonts w:hint="eastAsia" w:ascii="宋体" w:hAnsi="宋体" w:eastAsia="宋体" w:cs="宋体"/>
          <w:color w:val="auto"/>
        </w:rPr>
        <w:t>2.2.1商务标评审。商务标采用合格制。评审内容主要包括实质性内容是否响应招标文件（即投标报价应根据招标文件详细列明各分项报价）、是否可能低于成本或者影响履约的异常低价投标情况。具体详见评标办法前附表。</w:t>
      </w:r>
    </w:p>
    <w:p w14:paraId="32D96896">
      <w:pPr>
        <w:pStyle w:val="9"/>
        <w:bidi w:val="0"/>
        <w:rPr>
          <w:rFonts w:hint="eastAsia" w:ascii="宋体" w:hAnsi="宋体" w:eastAsia="宋体" w:cs="宋体"/>
          <w:color w:val="auto"/>
        </w:rPr>
      </w:pPr>
      <w:r>
        <w:rPr>
          <w:rFonts w:hint="eastAsia" w:ascii="宋体" w:hAnsi="宋体" w:eastAsia="宋体" w:cs="宋体"/>
          <w:color w:val="auto"/>
        </w:rPr>
        <w:t>2.2.2 技术标评审。技术标评审采用合格制。对投标文件出现违反招标文件实质性要求或国家强制性条文标准的情形，评审结论应判为"不合格"。不存在前述情形的技术标评审结论为"合格"，具体详见评标办法前附表。</w:t>
      </w:r>
    </w:p>
    <w:p w14:paraId="20299961">
      <w:pPr>
        <w:pStyle w:val="9"/>
        <w:bidi w:val="0"/>
        <w:rPr>
          <w:rFonts w:hint="eastAsia" w:ascii="宋体" w:hAnsi="宋体" w:eastAsia="宋体" w:cs="宋体"/>
          <w:color w:val="auto"/>
        </w:rPr>
      </w:pPr>
      <w:r>
        <w:rPr>
          <w:rFonts w:hint="eastAsia" w:ascii="宋体" w:hAnsi="宋体" w:eastAsia="宋体" w:cs="宋体"/>
          <w:color w:val="auto"/>
        </w:rPr>
        <w:t>2.2.3 综合标评审。综合标评审采用合格制。按照投标文件实质性要求不符合，评审结论应判为"不合格"。符合综合标要求的评审结论为"合格"，具体详见评标办法前附表。</w:t>
      </w:r>
    </w:p>
    <w:p w14:paraId="515F4D5A">
      <w:pPr>
        <w:pStyle w:val="9"/>
        <w:bidi w:val="0"/>
        <w:rPr>
          <w:rFonts w:hint="eastAsia" w:asciiTheme="minorEastAsia" w:hAnsiTheme="minorEastAsia" w:eastAsiaTheme="minorEastAsia" w:cstheme="minorEastAsia"/>
          <w:color w:val="auto"/>
          <w:szCs w:val="21"/>
        </w:rPr>
      </w:pPr>
      <w:r>
        <w:rPr>
          <w:rFonts w:hint="eastAsia" w:ascii="宋体" w:hAnsi="宋体" w:eastAsia="宋体" w:cs="宋体"/>
          <w:color w:val="auto"/>
        </w:rPr>
        <w:t>2.2.4推荐的中标候选人定性评审评标</w:t>
      </w:r>
      <w:r>
        <w:rPr>
          <w:rFonts w:hint="eastAsia" w:ascii="宋体" w:hAnsi="宋体" w:cs="宋体"/>
          <w:color w:val="auto"/>
          <w:szCs w:val="21"/>
        </w:rPr>
        <w:t>结论：</w:t>
      </w:r>
      <w:r>
        <w:rPr>
          <w:rFonts w:hint="eastAsia" w:asciiTheme="minorEastAsia" w:hAnsiTheme="minorEastAsia" w:eastAsiaTheme="minorEastAsia" w:cstheme="minorEastAsia"/>
          <w:color w:val="auto"/>
          <w:szCs w:val="21"/>
        </w:rPr>
        <w:t>具体详见评标办法前附表。</w:t>
      </w:r>
    </w:p>
    <w:p w14:paraId="25E6B0D8">
      <w:pPr>
        <w:pStyle w:val="5"/>
        <w:bidi w:val="0"/>
        <w:rPr>
          <w:rFonts w:hint="eastAsia" w:ascii="宋体" w:hAnsi="宋体" w:eastAsia="宋体" w:cs="宋体"/>
          <w:color w:val="auto"/>
        </w:rPr>
      </w:pPr>
      <w:r>
        <w:rPr>
          <w:rFonts w:hint="eastAsia" w:ascii="宋体" w:hAnsi="宋体" w:eastAsia="宋体" w:cs="宋体"/>
          <w:color w:val="auto"/>
        </w:rPr>
        <w:t>3. 评标程序</w:t>
      </w:r>
      <w:bookmarkEnd w:id="204"/>
      <w:bookmarkEnd w:id="205"/>
      <w:bookmarkEnd w:id="206"/>
      <w:bookmarkEnd w:id="207"/>
      <w:bookmarkEnd w:id="208"/>
      <w:bookmarkEnd w:id="209"/>
      <w:bookmarkEnd w:id="210"/>
      <w:bookmarkEnd w:id="211"/>
      <w:bookmarkEnd w:id="212"/>
      <w:bookmarkEnd w:id="213"/>
      <w:bookmarkEnd w:id="214"/>
    </w:p>
    <w:p w14:paraId="6D6BBBB1">
      <w:pPr>
        <w:pStyle w:val="6"/>
        <w:bidi w:val="0"/>
        <w:rPr>
          <w:rFonts w:hint="eastAsia"/>
          <w:color w:val="auto"/>
        </w:rPr>
      </w:pPr>
      <w:bookmarkStart w:id="215" w:name="_Toc28499"/>
      <w:bookmarkStart w:id="216" w:name="_Toc30167"/>
      <w:bookmarkStart w:id="217" w:name="_Toc144974572"/>
      <w:bookmarkStart w:id="218" w:name="_Toc12313"/>
      <w:bookmarkStart w:id="219" w:name="_Toc300835015"/>
      <w:bookmarkStart w:id="220" w:name="_Toc247514029"/>
      <w:bookmarkStart w:id="221" w:name="_Toc152042382"/>
      <w:bookmarkStart w:id="222" w:name="_Toc247527630"/>
      <w:bookmarkStart w:id="223" w:name="_Toc152045605"/>
      <w:bookmarkStart w:id="224" w:name="_Toc23708"/>
      <w:r>
        <w:rPr>
          <w:rFonts w:hint="eastAsia"/>
          <w:color w:val="auto"/>
        </w:rPr>
        <w:t>3.1 初步评审</w:t>
      </w:r>
      <w:bookmarkEnd w:id="215"/>
      <w:bookmarkEnd w:id="216"/>
      <w:bookmarkEnd w:id="217"/>
      <w:bookmarkEnd w:id="218"/>
      <w:bookmarkEnd w:id="219"/>
      <w:bookmarkEnd w:id="220"/>
      <w:bookmarkEnd w:id="221"/>
      <w:bookmarkEnd w:id="222"/>
      <w:bookmarkEnd w:id="223"/>
      <w:bookmarkEnd w:id="224"/>
    </w:p>
    <w:p w14:paraId="5B99D541">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bookmarkStart w:id="225" w:name="_Toc152042384"/>
      <w:bookmarkStart w:id="226" w:name="_Toc247527631"/>
      <w:bookmarkStart w:id="227" w:name="_Toc8006"/>
      <w:bookmarkStart w:id="228" w:name="_Toc7944"/>
      <w:bookmarkStart w:id="229" w:name="_Toc144974573"/>
      <w:bookmarkStart w:id="230" w:name="_Toc152045606"/>
      <w:bookmarkStart w:id="231" w:name="_Toc14801"/>
      <w:bookmarkStart w:id="232" w:name="_Toc24030"/>
      <w:bookmarkStart w:id="233" w:name="_Toc300835016"/>
      <w:bookmarkStart w:id="234" w:name="_Toc247514030"/>
      <w:r>
        <w:rPr>
          <w:rFonts w:hint="eastAsia" w:asciiTheme="minorEastAsia" w:hAnsiTheme="minorEastAsia" w:eastAsiaTheme="minorEastAsia" w:cstheme="minorEastAsia"/>
          <w:color w:val="auto"/>
          <w:szCs w:val="21"/>
        </w:rPr>
        <w:t>3.1.1 评标委员会依据本章第2.1款规定的标准对投标文件进行初步评审。有一项不符合评审标准的，作废标处理。</w:t>
      </w:r>
    </w:p>
    <w:p w14:paraId="249B6FAA">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3.1.2 投标人有以下情形之一的，其投标作废标处理：</w:t>
      </w:r>
    </w:p>
    <w:p w14:paraId="10A32E9F">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（1）第二章“投标人须知”第1.4.3项规定的任何一种情形的；</w:t>
      </w:r>
    </w:p>
    <w:p w14:paraId="4D6E69F6">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（2）在形式评审、资格评审、响应性评审中，评标委员会认定投标人的投标不符合评标办法前附表中规定的任何一项评审标准的。</w:t>
      </w:r>
    </w:p>
    <w:p w14:paraId="63A64C12">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（3）未按招标文件规定编制各项报价的。</w:t>
      </w:r>
    </w:p>
    <w:p w14:paraId="01F4EDF3">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（4）串通投标或弄虚作假或有其他违法行为的。</w:t>
      </w:r>
    </w:p>
    <w:p w14:paraId="544B2AA5">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（5）不按评标委员会要求澄清、说明或补正的。</w:t>
      </w:r>
    </w:p>
    <w:p w14:paraId="51EA1942">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（6）投标文件没有对招标文件的实质性要求和条件作出响应。</w:t>
      </w:r>
    </w:p>
    <w:p w14:paraId="33B6C3F6">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3.1.3投标报价有算术错误的，评标委员会按以下原则对投标报价进行修正，修正的价格经投标人确认后具有约束力。投标人不接受修正价格的，其投标作废标处理。</w:t>
      </w:r>
    </w:p>
    <w:p w14:paraId="14C7A76C">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（1）投标文件中的大写金额与小写金额不一致的，以大写金额为准；</w:t>
      </w:r>
    </w:p>
    <w:p w14:paraId="223BEF6E">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（2）总价金额与依据单价计算出的结果不一致的，以单价金额为准修正总价，但单价金额小数点有明显错误的除外。</w:t>
      </w:r>
    </w:p>
    <w:p w14:paraId="4742564C">
      <w:pPr>
        <w:pStyle w:val="6"/>
        <w:bidi w:val="0"/>
        <w:rPr>
          <w:rFonts w:hint="eastAsia" w:ascii="宋体" w:hAnsi="宋体" w:eastAsia="宋体" w:cs="宋体"/>
          <w:color w:val="auto"/>
        </w:rPr>
      </w:pPr>
      <w:r>
        <w:rPr>
          <w:rFonts w:hint="eastAsia" w:ascii="宋体" w:hAnsi="宋体" w:eastAsia="宋体" w:cs="宋体"/>
          <w:color w:val="auto"/>
        </w:rPr>
        <w:t>3.2 详细评审</w:t>
      </w:r>
      <w:bookmarkEnd w:id="225"/>
      <w:bookmarkEnd w:id="226"/>
      <w:bookmarkEnd w:id="227"/>
      <w:bookmarkEnd w:id="228"/>
      <w:bookmarkEnd w:id="229"/>
      <w:bookmarkEnd w:id="230"/>
      <w:bookmarkEnd w:id="231"/>
      <w:bookmarkEnd w:id="232"/>
      <w:bookmarkEnd w:id="233"/>
      <w:bookmarkEnd w:id="234"/>
    </w:p>
    <w:p w14:paraId="09428E0E">
      <w:pPr>
        <w:pStyle w:val="4"/>
        <w:wordWrap w:val="0"/>
        <w:topLinePunct/>
        <w:adjustRightInd w:val="0"/>
        <w:snapToGrid w:val="0"/>
        <w:spacing w:before="0" w:after="0" w:line="360" w:lineRule="auto"/>
        <w:ind w:firstLine="420" w:firstLineChars="200"/>
        <w:jc w:val="left"/>
        <w:rPr>
          <w:rFonts w:hint="eastAsia" w:asciiTheme="minorEastAsia" w:hAnsiTheme="minorEastAsia" w:eastAsiaTheme="minorEastAsia" w:cstheme="minorEastAsia"/>
          <w:b w:val="0"/>
          <w:bCs w:val="0"/>
          <w:color w:val="auto"/>
          <w:sz w:val="21"/>
          <w:szCs w:val="21"/>
        </w:rPr>
      </w:pPr>
      <w:bookmarkStart w:id="235" w:name="_Toc144974575"/>
      <w:bookmarkStart w:id="236" w:name="_Toc7547"/>
      <w:bookmarkStart w:id="237" w:name="_Toc247514031"/>
      <w:bookmarkStart w:id="238" w:name="_Toc300835017"/>
      <w:bookmarkStart w:id="239" w:name="_Toc13137"/>
      <w:bookmarkStart w:id="240" w:name="_Toc152042385"/>
      <w:bookmarkStart w:id="241" w:name="_Toc152045607"/>
      <w:bookmarkStart w:id="242" w:name="_Toc247527632"/>
      <w:bookmarkStart w:id="243" w:name="_Toc14961"/>
      <w:r>
        <w:rPr>
          <w:rFonts w:hint="eastAsia" w:asciiTheme="minorEastAsia" w:hAnsiTheme="minorEastAsia" w:eastAsiaTheme="minorEastAsia" w:cstheme="minorEastAsia"/>
          <w:b w:val="0"/>
          <w:bCs w:val="0"/>
          <w:color w:val="auto"/>
          <w:sz w:val="21"/>
          <w:szCs w:val="21"/>
        </w:rPr>
        <w:t>3.2.1 评标委员会按本章第2.2款规定的评审标准进行评审，并对每一评审合格的投标人提出明确的评标结论。</w:t>
      </w:r>
    </w:p>
    <w:p w14:paraId="68D5A571">
      <w:pPr>
        <w:pStyle w:val="4"/>
        <w:wordWrap w:val="0"/>
        <w:topLinePunct/>
        <w:adjustRightInd w:val="0"/>
        <w:snapToGrid w:val="0"/>
        <w:spacing w:before="0" w:after="0"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3.2.2评标委员会对满足招标文件实质要求的投标文件，根据招标文件规定确定并推荐中标候选人。</w:t>
      </w:r>
    </w:p>
    <w:p w14:paraId="50BE0175">
      <w:pPr>
        <w:pStyle w:val="4"/>
        <w:wordWrap w:val="0"/>
        <w:topLinePunct/>
        <w:adjustRightInd w:val="0"/>
        <w:snapToGrid w:val="0"/>
        <w:spacing w:before="0" w:after="0" w:line="360" w:lineRule="auto"/>
        <w:ind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3.2.3评标委员会完成评审后，应当向招标人提交评标报告，并对每一评审合格的投标人提出明确的评标结论，评标结论应当有具体详实的评价内容，针对每个中标候选人应当有辨识度。</w:t>
      </w:r>
    </w:p>
    <w:p w14:paraId="3D5ED1D1">
      <w:pPr>
        <w:pStyle w:val="4"/>
        <w:wordWrap w:val="0"/>
        <w:topLinePunct/>
        <w:adjustRightInd w:val="0"/>
        <w:snapToGrid w:val="0"/>
        <w:spacing w:before="0" w:after="0" w:line="360" w:lineRule="auto"/>
        <w:ind w:firstLine="420" w:firstLineChars="200"/>
        <w:jc w:val="left"/>
        <w:rPr>
          <w:rFonts w:hint="eastAsia" w:ascii="宋体" w:hAnsi="宋体" w:eastAsia="宋体" w:cs="宋体"/>
          <w:color w:val="auto"/>
        </w:rPr>
      </w:pPr>
      <w:r>
        <w:rPr>
          <w:rFonts w:hint="eastAsia" w:asciiTheme="minorEastAsia" w:hAnsiTheme="minorEastAsia" w:eastAsiaTheme="minorEastAsia" w:cstheme="minorEastAsia"/>
          <w:b w:val="0"/>
          <w:bCs w:val="0"/>
          <w:color w:val="auto"/>
          <w:sz w:val="21"/>
          <w:szCs w:val="21"/>
        </w:rPr>
        <w:t>3.2.4评标报告应当载明每个中标候选人的特点、优势、缺点、风险等评审情况和推荐理由，并对技术、质量、安全、工期的控制能力等提供技术咨询建议，供定标委员会参考。</w:t>
      </w:r>
    </w:p>
    <w:p w14:paraId="0101A492">
      <w:pPr>
        <w:pStyle w:val="6"/>
        <w:bidi w:val="0"/>
        <w:rPr>
          <w:rFonts w:hint="eastAsia" w:ascii="宋体" w:hAnsi="宋体" w:eastAsia="宋体" w:cs="宋体"/>
          <w:color w:val="auto"/>
        </w:rPr>
      </w:pPr>
      <w:bookmarkStart w:id="244" w:name="_Toc9811"/>
      <w:r>
        <w:rPr>
          <w:rFonts w:hint="eastAsia" w:ascii="宋体" w:hAnsi="宋体" w:eastAsia="宋体" w:cs="宋体"/>
          <w:color w:val="auto"/>
        </w:rPr>
        <w:t>3.3 投标文件的澄清</w:t>
      </w:r>
      <w:bookmarkEnd w:id="235"/>
      <w:r>
        <w:rPr>
          <w:rFonts w:hint="eastAsia" w:ascii="宋体" w:hAnsi="宋体" w:eastAsia="宋体" w:cs="宋体"/>
          <w:color w:val="auto"/>
        </w:rPr>
        <w:t>和补正</w:t>
      </w:r>
      <w:bookmarkEnd w:id="236"/>
      <w:bookmarkEnd w:id="237"/>
      <w:bookmarkEnd w:id="238"/>
      <w:bookmarkEnd w:id="239"/>
      <w:bookmarkEnd w:id="240"/>
      <w:bookmarkEnd w:id="241"/>
      <w:bookmarkEnd w:id="242"/>
      <w:bookmarkEnd w:id="243"/>
      <w:bookmarkEnd w:id="244"/>
    </w:p>
    <w:p w14:paraId="7796CFFC">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3.3.1在评标过程中，评标委员会可以要求投标人对所提交投标文件中不明确的内容进行澄清或说明，或者对细微偏差进行补正。评标委员会不接受投标人主动提出的澄清、说明或补正。</w:t>
      </w:r>
    </w:p>
    <w:p w14:paraId="2D4F91DC">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3.3.2 澄清、说明和补正不得改变投标文件的实质性内容（算术性错误修正的除外）。投标人的澄清、说明和补正属于投标文件的组成部分。</w:t>
      </w:r>
    </w:p>
    <w:p w14:paraId="14711DDD">
      <w:pPr>
        <w:adjustRightInd w:val="0"/>
        <w:snapToGrid w:val="0"/>
        <w:spacing w:line="360" w:lineRule="auto"/>
        <w:ind w:firstLine="420" w:firstLineChars="200"/>
        <w:rPr>
          <w:rFonts w:hint="eastAsia" w:ascii="宋体" w:hAnsi="宋体" w:eastAsia="宋体" w:cs="宋体"/>
          <w:color w:val="auto"/>
        </w:rPr>
      </w:pPr>
      <w:r>
        <w:rPr>
          <w:rFonts w:hint="eastAsia" w:asciiTheme="minorEastAsia" w:hAnsiTheme="minorEastAsia" w:eastAsiaTheme="minorEastAsia" w:cstheme="minorEastAsia"/>
          <w:color w:val="auto"/>
          <w:szCs w:val="21"/>
        </w:rPr>
        <w:t>3.3.3 评标委员会对投标人提交的澄清、说明或补正有疑问的，可以要求投标人进一步澄清、说明或补正，直至满足评标委员会的要求。</w:t>
      </w:r>
    </w:p>
    <w:p w14:paraId="501F7F01">
      <w:pPr>
        <w:pStyle w:val="6"/>
        <w:bidi w:val="0"/>
        <w:rPr>
          <w:rFonts w:hint="eastAsia" w:ascii="宋体" w:hAnsi="宋体" w:eastAsia="宋体" w:cs="宋体"/>
          <w:color w:val="auto"/>
        </w:rPr>
      </w:pPr>
      <w:bookmarkStart w:id="245" w:name="_Toc300835018"/>
      <w:bookmarkStart w:id="246" w:name="_Toc152042386"/>
      <w:bookmarkStart w:id="247" w:name="_Toc15483"/>
      <w:bookmarkStart w:id="248" w:name="_Toc247514032"/>
      <w:bookmarkStart w:id="249" w:name="_Toc152045608"/>
      <w:bookmarkStart w:id="250" w:name="_Toc247527633"/>
      <w:bookmarkStart w:id="251" w:name="_Toc30936"/>
      <w:bookmarkStart w:id="252" w:name="_Toc144974576"/>
      <w:bookmarkStart w:id="253" w:name="_Toc32708"/>
      <w:bookmarkStart w:id="254" w:name="_Toc4537"/>
      <w:r>
        <w:rPr>
          <w:rFonts w:hint="eastAsia" w:ascii="宋体" w:hAnsi="宋体" w:eastAsia="宋体" w:cs="宋体"/>
          <w:color w:val="auto"/>
        </w:rPr>
        <w:t>3.4 评标结果</w:t>
      </w:r>
      <w:bookmarkEnd w:id="245"/>
      <w:bookmarkEnd w:id="246"/>
      <w:bookmarkEnd w:id="247"/>
      <w:bookmarkEnd w:id="248"/>
      <w:bookmarkEnd w:id="249"/>
      <w:bookmarkEnd w:id="250"/>
      <w:bookmarkEnd w:id="251"/>
      <w:bookmarkEnd w:id="252"/>
      <w:bookmarkEnd w:id="253"/>
      <w:bookmarkEnd w:id="254"/>
    </w:p>
    <w:p w14:paraId="048DAD31">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bookmarkStart w:id="255" w:name="_Toc28362"/>
      <w:r>
        <w:rPr>
          <w:rFonts w:hint="eastAsia" w:asciiTheme="minorEastAsia" w:hAnsiTheme="minorEastAsia" w:eastAsiaTheme="minorEastAsia" w:cstheme="minorEastAsia"/>
          <w:color w:val="auto"/>
          <w:szCs w:val="21"/>
        </w:rPr>
        <w:t>3.4.1评标完成后，评标委员会应当向招标人出具书面评标报告，推荐中标候选人，</w:t>
      </w:r>
      <w:r>
        <w:rPr>
          <w:rFonts w:hint="eastAsia" w:ascii="宋体" w:hAnsi="宋体" w:cs="宋体"/>
          <w:color w:val="auto"/>
          <w:szCs w:val="21"/>
          <w:u w:val="single"/>
        </w:rPr>
        <w:t>“推荐的中标候选人定性评审评标结论”由评委组长综合评标委员会成员意见，将结论写在“其他情况说明”里面，供定标委员会参考。</w:t>
      </w:r>
    </w:p>
    <w:p w14:paraId="497EDCF0">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3.4.2 招标人应当自收到评审报告之日起3日内对评审结果（中标候选人）进行公示，公示期不少于3日。中标候选人公示应当载明所有投标人情况、推荐的中标候选人情况（包括项目投标信息、管理人员信息、业绩信息等）、否决投标情况及原因、异议方式、监督电话及投诉方式等内容。</w:t>
      </w:r>
    </w:p>
    <w:p w14:paraId="46D665BA">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招标人对评审结果有异议的，应当依照法定程序组织原评标委员会进行复审，并形成复审报告。招标人不得擅自改变评标委员会评审结果。</w:t>
      </w:r>
    </w:p>
    <w:p w14:paraId="39E32ABE">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投标人或者其他利害关系人对评审结果有异议的，应当在中标候选人公示期间提出。招标人应当自收到异议之日起3日内作出答复。作出答复前，应当暂停招投标活动。。</w:t>
      </w:r>
    </w:p>
    <w:p w14:paraId="3D9819F5">
      <w:pPr>
        <w:pStyle w:val="6"/>
        <w:bidi w:val="0"/>
        <w:rPr>
          <w:rFonts w:hint="eastAsia" w:ascii="宋体" w:hAnsi="宋体" w:eastAsia="宋体" w:cs="宋体"/>
          <w:color w:val="auto"/>
        </w:rPr>
      </w:pPr>
      <w:r>
        <w:rPr>
          <w:rFonts w:hint="eastAsia" w:ascii="宋体" w:hAnsi="宋体" w:eastAsia="宋体" w:cs="宋体"/>
          <w:color w:val="auto"/>
        </w:rPr>
        <w:t>3.5特殊情况的处置程序</w:t>
      </w:r>
      <w:bookmarkEnd w:id="255"/>
    </w:p>
    <w:p w14:paraId="6D795011">
      <w:pPr>
        <w:wordWrap w:val="0"/>
        <w:topLinePunct/>
        <w:adjustRightInd w:val="0"/>
        <w:snapToGrid w:val="0"/>
        <w:spacing w:line="360" w:lineRule="auto"/>
        <w:ind w:firstLine="422"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3.5.1关于评标活动暂停</w:t>
      </w:r>
    </w:p>
    <w:p w14:paraId="5F83AE01">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3.5.1.1评标委员会应当执行连续评标的原则，按评标办法中规定的程序、内容、方法、标准完成全部评标工作。只有发生不可抗力导致评标工作无法继续时，评标活动方可暂停。</w:t>
      </w:r>
    </w:p>
    <w:p w14:paraId="2C9F887A">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3.5.1.2发生评标暂停情况时，评标委员会应当封存全部投标文件和评标记录，待不可抗力的影响结束且具备继续评标的条件时，由原评标委员会继续评标。</w:t>
      </w:r>
    </w:p>
    <w:p w14:paraId="7463ED65">
      <w:pPr>
        <w:wordWrap w:val="0"/>
        <w:topLinePunct/>
        <w:adjustRightInd w:val="0"/>
        <w:snapToGrid w:val="0"/>
        <w:spacing w:line="360" w:lineRule="auto"/>
        <w:ind w:firstLine="422"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3.5.2关于评标中途更换评委</w:t>
      </w:r>
    </w:p>
    <w:p w14:paraId="561DC798">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3.6.2.1  除非发生下列情况之一，评标委员会成员不得在评标中途更换：</w:t>
      </w:r>
    </w:p>
    <w:p w14:paraId="076C630F">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 因不可抗拒的客观原因，不能到场或需在评标中途退出评标活动。</w:t>
      </w:r>
    </w:p>
    <w:p w14:paraId="4E02AC07">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根据法律法规规定，某个或某几个评标委员会成员需要回避。</w:t>
      </w:r>
    </w:p>
    <w:p w14:paraId="4F2856A1">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3.5.2.2退出评标的评标委员会成员，其已完成的评标行为无效。由招标人根据本招标文件规定的评标委员会成员生产方式另行确定替代者进行评标。</w:t>
      </w:r>
    </w:p>
    <w:p w14:paraId="43AD71A5">
      <w:pPr>
        <w:wordWrap w:val="0"/>
        <w:topLinePunct/>
        <w:adjustRightInd w:val="0"/>
        <w:snapToGrid w:val="0"/>
        <w:spacing w:line="360" w:lineRule="auto"/>
        <w:ind w:firstLine="422"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3.5.3  记名投票</w:t>
      </w:r>
    </w:p>
    <w:p w14:paraId="19614208">
      <w:pPr>
        <w:wordWrap w:val="0"/>
        <w:topLinePunct/>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在任何评标环节中，需评标委员会就某项定性的评审结论做出表决的，由评标委员会全体成员按照少数服从多数的原则，以记名投票方式表决</w:t>
      </w:r>
    </w:p>
    <w:p w14:paraId="00E13ADC">
      <w:pPr>
        <w:pStyle w:val="4"/>
        <w:spacing w:line="240" w:lineRule="auto"/>
        <w:ind w:firstLine="0" w:firstLineChars="0"/>
        <w:rPr>
          <w:rFonts w:hint="eastAsia" w:ascii="宋体" w:hAnsi="宋体" w:eastAsia="宋体" w:cs="宋体"/>
          <w:color w:val="auto"/>
          <w:sz w:val="24"/>
          <w:szCs w:val="24"/>
        </w:rPr>
      </w:pPr>
      <w:bookmarkStart w:id="256" w:name="_Toc183793087"/>
    </w:p>
    <w:p w14:paraId="23F22F5D">
      <w:pPr>
        <w:pStyle w:val="4"/>
        <w:spacing w:line="240" w:lineRule="auto"/>
        <w:ind w:firstLine="0" w:firstLineChars="0"/>
        <w:rPr>
          <w:rFonts w:hint="eastAsia" w:ascii="宋体" w:hAnsi="宋体" w:eastAsia="宋体" w:cs="宋体"/>
          <w:color w:val="auto"/>
          <w:sz w:val="24"/>
          <w:szCs w:val="24"/>
        </w:rPr>
      </w:pPr>
    </w:p>
    <w:p w14:paraId="36B5E2E4">
      <w:pPr>
        <w:rPr>
          <w:rFonts w:hint="eastAsia" w:ascii="宋体" w:hAnsi="宋体" w:eastAsia="宋体" w:cs="宋体"/>
          <w:color w:val="auto"/>
          <w:sz w:val="24"/>
          <w:szCs w:val="24"/>
        </w:rPr>
      </w:pPr>
    </w:p>
    <w:p w14:paraId="5464AF8B">
      <w:pPr>
        <w:rPr>
          <w:rFonts w:hint="eastAsia" w:ascii="宋体" w:hAnsi="宋体" w:eastAsia="宋体" w:cs="宋体"/>
          <w:color w:val="auto"/>
          <w:sz w:val="24"/>
          <w:szCs w:val="24"/>
        </w:rPr>
      </w:pPr>
    </w:p>
    <w:p w14:paraId="06472ECF">
      <w:pPr>
        <w:rPr>
          <w:rFonts w:hint="eastAsia" w:ascii="宋体" w:hAnsi="宋体" w:eastAsia="宋体" w:cs="宋体"/>
          <w:color w:val="auto"/>
          <w:sz w:val="24"/>
          <w:szCs w:val="24"/>
        </w:rPr>
      </w:pPr>
    </w:p>
    <w:p w14:paraId="640A558F">
      <w:pPr>
        <w:rPr>
          <w:rFonts w:hint="eastAsia" w:ascii="宋体" w:hAnsi="宋体" w:eastAsia="宋体" w:cs="宋体"/>
          <w:color w:val="auto"/>
          <w:sz w:val="24"/>
          <w:szCs w:val="24"/>
        </w:rPr>
      </w:pPr>
    </w:p>
    <w:p w14:paraId="0FF9DE89">
      <w:pPr>
        <w:rPr>
          <w:rFonts w:hint="eastAsia" w:ascii="宋体" w:hAnsi="宋体" w:eastAsia="宋体" w:cs="宋体"/>
          <w:color w:val="auto"/>
          <w:sz w:val="24"/>
          <w:szCs w:val="24"/>
        </w:rPr>
      </w:pPr>
    </w:p>
    <w:p w14:paraId="4CD306EB">
      <w:pPr>
        <w:rPr>
          <w:rFonts w:hint="eastAsia" w:ascii="宋体" w:hAnsi="宋体" w:eastAsia="宋体" w:cs="宋体"/>
          <w:color w:val="auto"/>
          <w:sz w:val="24"/>
          <w:szCs w:val="24"/>
        </w:rPr>
      </w:pPr>
    </w:p>
    <w:p w14:paraId="15D39B03">
      <w:pPr>
        <w:rPr>
          <w:rFonts w:hint="eastAsia" w:ascii="宋体" w:hAnsi="宋体" w:eastAsia="宋体" w:cs="宋体"/>
          <w:color w:val="auto"/>
          <w:sz w:val="24"/>
          <w:szCs w:val="24"/>
        </w:rPr>
      </w:pPr>
    </w:p>
    <w:p w14:paraId="66FDFE5D">
      <w:pPr>
        <w:rPr>
          <w:rFonts w:hint="eastAsia" w:ascii="宋体" w:hAnsi="宋体" w:eastAsia="宋体" w:cs="宋体"/>
          <w:color w:val="auto"/>
          <w:sz w:val="24"/>
          <w:szCs w:val="24"/>
        </w:rPr>
      </w:pPr>
    </w:p>
    <w:p w14:paraId="658FB547">
      <w:pPr>
        <w:rPr>
          <w:rFonts w:hint="eastAsia" w:ascii="宋体" w:hAnsi="宋体" w:eastAsia="宋体" w:cs="宋体"/>
          <w:color w:val="auto"/>
          <w:sz w:val="24"/>
          <w:szCs w:val="24"/>
        </w:rPr>
      </w:pPr>
    </w:p>
    <w:p w14:paraId="68E498C8">
      <w:pPr>
        <w:rPr>
          <w:rFonts w:hint="eastAsia" w:ascii="宋体" w:hAnsi="宋体" w:eastAsia="宋体" w:cs="宋体"/>
          <w:color w:val="auto"/>
          <w:sz w:val="24"/>
          <w:szCs w:val="24"/>
        </w:rPr>
      </w:pPr>
    </w:p>
    <w:p w14:paraId="196BCCE9">
      <w:pPr>
        <w:rPr>
          <w:rFonts w:hint="eastAsia" w:ascii="宋体" w:hAnsi="宋体" w:eastAsia="宋体" w:cs="宋体"/>
          <w:color w:val="auto"/>
          <w:sz w:val="24"/>
          <w:szCs w:val="24"/>
        </w:rPr>
      </w:pPr>
    </w:p>
    <w:p w14:paraId="4B34BA4B">
      <w:pPr>
        <w:rPr>
          <w:rFonts w:hint="eastAsia" w:ascii="宋体" w:hAnsi="宋体" w:eastAsia="宋体" w:cs="宋体"/>
          <w:color w:val="auto"/>
          <w:sz w:val="24"/>
          <w:szCs w:val="24"/>
        </w:rPr>
      </w:pPr>
    </w:p>
    <w:p w14:paraId="745CC309">
      <w:pPr>
        <w:rPr>
          <w:rFonts w:hint="eastAsia" w:ascii="宋体" w:hAnsi="宋体" w:eastAsia="宋体" w:cs="宋体"/>
          <w:color w:val="auto"/>
          <w:sz w:val="24"/>
          <w:szCs w:val="24"/>
        </w:rPr>
      </w:pPr>
    </w:p>
    <w:p w14:paraId="65008AAF">
      <w:pPr>
        <w:rPr>
          <w:rFonts w:hint="eastAsia" w:ascii="宋体" w:hAnsi="宋体" w:eastAsia="宋体" w:cs="宋体"/>
          <w:color w:val="auto"/>
          <w:sz w:val="24"/>
          <w:szCs w:val="24"/>
        </w:rPr>
      </w:pPr>
    </w:p>
    <w:p w14:paraId="213F60B1">
      <w:pPr>
        <w:rPr>
          <w:rFonts w:hint="eastAsia" w:ascii="宋体" w:hAnsi="宋体" w:eastAsia="宋体" w:cs="宋体"/>
          <w:color w:val="auto"/>
          <w:sz w:val="24"/>
          <w:szCs w:val="24"/>
        </w:rPr>
      </w:pPr>
    </w:p>
    <w:p w14:paraId="6202E9A8">
      <w:pPr>
        <w:rPr>
          <w:rFonts w:hint="eastAsia" w:ascii="宋体" w:hAnsi="宋体" w:eastAsia="宋体" w:cs="宋体"/>
          <w:color w:val="auto"/>
          <w:sz w:val="24"/>
          <w:szCs w:val="24"/>
        </w:rPr>
      </w:pPr>
    </w:p>
    <w:p w14:paraId="6AAD6D83">
      <w:pPr>
        <w:rPr>
          <w:rFonts w:hint="eastAsia" w:ascii="宋体" w:hAnsi="宋体" w:eastAsia="宋体" w:cs="宋体"/>
          <w:color w:val="auto"/>
          <w:sz w:val="24"/>
          <w:szCs w:val="24"/>
        </w:rPr>
      </w:pPr>
    </w:p>
    <w:p w14:paraId="2DC3D7A5">
      <w:pPr>
        <w:rPr>
          <w:rFonts w:hint="eastAsia" w:ascii="宋体" w:hAnsi="宋体" w:eastAsia="宋体" w:cs="宋体"/>
          <w:color w:val="auto"/>
          <w:sz w:val="24"/>
          <w:szCs w:val="24"/>
        </w:rPr>
      </w:pPr>
    </w:p>
    <w:p w14:paraId="4EA4BB3B">
      <w:pPr>
        <w:pStyle w:val="4"/>
        <w:spacing w:line="240" w:lineRule="auto"/>
        <w:ind w:firstLine="0" w:firstLineChars="0"/>
        <w:jc w:val="both"/>
        <w:rPr>
          <w:rFonts w:hint="eastAsia" w:ascii="宋体" w:hAnsi="宋体" w:eastAsia="宋体" w:cs="宋体"/>
          <w:color w:val="auto"/>
          <w:sz w:val="24"/>
          <w:szCs w:val="24"/>
        </w:rPr>
      </w:pPr>
    </w:p>
    <w:p w14:paraId="2C454BFD">
      <w:pPr>
        <w:rPr>
          <w:rFonts w:hint="eastAsia"/>
          <w:color w:val="auto"/>
        </w:rPr>
      </w:pPr>
    </w:p>
    <w:p w14:paraId="4DFB2E94">
      <w:pPr>
        <w:pStyle w:val="4"/>
        <w:spacing w:line="240" w:lineRule="auto"/>
        <w:ind w:firstLine="0" w:firstLineChars="0"/>
        <w:jc w:val="left"/>
        <w:rPr>
          <w:rFonts w:hint="eastAsia" w:ascii="宋体" w:hAnsi="宋体" w:eastAsia="宋体" w:cs="宋体"/>
          <w:color w:val="auto"/>
          <w:sz w:val="24"/>
          <w:szCs w:val="24"/>
        </w:rPr>
      </w:pPr>
    </w:p>
    <w:p w14:paraId="67A7E05D">
      <w:pPr>
        <w:pStyle w:val="4"/>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：废标条件</w:t>
      </w:r>
      <w:bookmarkEnd w:id="256"/>
    </w:p>
    <w:p w14:paraId="7384D9B5">
      <w:pPr>
        <w:pStyle w:val="5"/>
        <w:spacing w:line="460" w:lineRule="exact"/>
        <w:jc w:val="center"/>
        <w:rPr>
          <w:rFonts w:hint="eastAsia" w:ascii="宋体" w:hAnsi="宋体" w:eastAsia="宋体" w:cs="宋体"/>
          <w:b/>
          <w:color w:val="auto"/>
        </w:rPr>
      </w:pPr>
      <w:r>
        <w:rPr>
          <w:rFonts w:hint="eastAsia" w:ascii="宋体" w:hAnsi="宋体" w:eastAsia="宋体" w:cs="宋体"/>
          <w:b/>
          <w:color w:val="auto"/>
        </w:rPr>
        <w:t>废  标  条  件</w:t>
      </w:r>
    </w:p>
    <w:p w14:paraId="243DB57D">
      <w:pPr>
        <w:pStyle w:val="6"/>
        <w:spacing w:line="460" w:lineRule="exact"/>
        <w:ind w:firstLine="422"/>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0. 总  则</w:t>
      </w:r>
    </w:p>
    <w:p w14:paraId="727E472C">
      <w:pPr>
        <w:spacing w:line="460" w:lineRule="exact"/>
        <w:rPr>
          <w:rFonts w:hint="eastAsia" w:ascii="宋体" w:hAnsi="宋体" w:eastAsia="宋体" w:cs="宋体"/>
          <w:color w:val="auto"/>
        </w:rPr>
      </w:pPr>
      <w:r>
        <w:rPr>
          <w:rFonts w:hint="eastAsia" w:ascii="宋体" w:hAnsi="宋体" w:eastAsia="宋体" w:cs="宋体"/>
          <w:color w:val="auto"/>
        </w:rPr>
        <w:t>本附件所集中列示的废标条件，是根据《中华人民共和国招标投标法》、《中华人民共和国招标投标法实施条例》、《评标委员会和评标方法暂行规定》、《标准施工招标文件》等法律法规、行政规章、规范性文件相关规定，将评标委员会应当否决其投标的情形进行归纳、细化，是对第二章“投标人须知”和第三章正文部分所规定的否决投标的总结和补充，也是第三章“评标办法”的组成部分。除以下情形外，投标文件的其他任何情形均不得作否决投标处理。招标文件中有关否决投标条款的阐述与本附件不一致的，以本附件内容为准。评标委员会在附件</w:t>
      </w:r>
      <w:r>
        <w:rPr>
          <w:rFonts w:hint="eastAsia" w:ascii="宋体" w:hAnsi="宋体" w:cs="宋体"/>
          <w:color w:val="auto"/>
          <w:lang w:val="en-US" w:eastAsia="zh-CN"/>
        </w:rPr>
        <w:t>A</w:t>
      </w:r>
      <w:r>
        <w:rPr>
          <w:rFonts w:hint="eastAsia" w:ascii="宋体" w:hAnsi="宋体" w:eastAsia="宋体" w:cs="宋体"/>
          <w:color w:val="auto"/>
        </w:rPr>
        <w:t>外否决投标文件的，视为未按照招标文件规定的方法、评审因素、标准和程序进行评审。</w:t>
      </w:r>
    </w:p>
    <w:p w14:paraId="4DE3356B">
      <w:pPr>
        <w:pStyle w:val="6"/>
        <w:spacing w:line="460" w:lineRule="exact"/>
        <w:ind w:firstLine="422"/>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 废标条件</w:t>
      </w:r>
    </w:p>
    <w:p w14:paraId="6102248F">
      <w:pPr>
        <w:spacing w:line="460" w:lineRule="exact"/>
        <w:rPr>
          <w:rFonts w:hint="eastAsia" w:ascii="宋体" w:hAnsi="宋体" w:eastAsia="宋体" w:cs="宋体"/>
          <w:color w:val="auto"/>
        </w:rPr>
      </w:pPr>
      <w:r>
        <w:rPr>
          <w:rFonts w:hint="eastAsia" w:ascii="宋体" w:hAnsi="宋体" w:eastAsia="宋体" w:cs="宋体"/>
          <w:color w:val="auto"/>
        </w:rPr>
        <w:t>投标人或其投标文件有下列情形之一的，其投标作废标处理：</w:t>
      </w:r>
    </w:p>
    <w:p w14:paraId="2F4D4FC9">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1.1有第二章“投标人须知”正文部分第1.4.3项规定的任何一种情形的。</w:t>
      </w:r>
    </w:p>
    <w:p w14:paraId="530533C8">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（1）为招标人不具有独立法人资格的附属机构（单位）； </w:t>
      </w:r>
    </w:p>
    <w:p w14:paraId="5DA97C33">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（2）为本招标项目前期准备提供设计或咨询服务的； </w:t>
      </w:r>
    </w:p>
    <w:p w14:paraId="25D37FA4">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（3）为本招标项目的施工人；</w:t>
      </w:r>
    </w:p>
    <w:p w14:paraId="0FC1D03A">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（4）为本招标项目的代建人； </w:t>
      </w:r>
    </w:p>
    <w:p w14:paraId="22D39D06">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（5）为本招标项目提供招标代理服务的； </w:t>
      </w:r>
    </w:p>
    <w:p w14:paraId="3DA8170A">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（6）与本招标项目的施工人或代建人或招标代理机构同为一个法定代表人的；</w:t>
      </w:r>
    </w:p>
    <w:p w14:paraId="19E64096">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（7）与本招标项目的施工人或代建人或招标代理机构相互控股或参股的；</w:t>
      </w:r>
    </w:p>
    <w:p w14:paraId="5347D254">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（8）与本招标项目的施工人或代建人或招标代理机构相互任职或工作的；</w:t>
      </w:r>
    </w:p>
    <w:p w14:paraId="0767DA48">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（9）被责令停业的； </w:t>
      </w:r>
    </w:p>
    <w:p w14:paraId="41DAFE6A">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（10）被暂停或取消投标资格的； </w:t>
      </w:r>
    </w:p>
    <w:p w14:paraId="6AFC1FC8">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（11）财产被接管或冻结的；</w:t>
      </w:r>
    </w:p>
    <w:p w14:paraId="4398BBB7">
      <w:pPr>
        <w:spacing w:line="4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（12）在最近三年内有骗取中标或严重违约或重大工程质量问题的。</w:t>
      </w:r>
    </w:p>
    <w:p w14:paraId="35DDC957">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1.2有串通投标或弄虚作假或有其他违法行为的。</w:t>
      </w:r>
    </w:p>
    <w:p w14:paraId="5B75E5F2">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1.3不按评标委员会要求澄清、说明或补正的。</w:t>
      </w:r>
    </w:p>
    <w:p w14:paraId="5755AB75">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1.4在形式评审、资格评审、响应性评审中，评标委员会认定投标人的投标不符合评标办法前附表中规定的任何一项评审标准的。</w:t>
      </w:r>
    </w:p>
    <w:p w14:paraId="332D28E4">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w:t>
      </w:r>
      <w:r>
        <w:rPr>
          <w:rFonts w:hint="eastAsia" w:ascii="宋体" w:hAnsi="宋体" w:cs="宋体"/>
          <w:color w:val="auto"/>
          <w:lang w:val="en-US" w:eastAsia="zh-CN"/>
        </w:rPr>
        <w:t>5</w:t>
      </w:r>
      <w:r>
        <w:rPr>
          <w:rFonts w:hint="eastAsia" w:ascii="宋体" w:hAnsi="宋体" w:eastAsia="宋体" w:cs="宋体"/>
          <w:color w:val="auto"/>
        </w:rPr>
        <w:t>投标报价有算术错误的，评标委员会按以下原则对投标报价进行修正，修正的价格经投标人确认后具有约束力。投标人不接受修正价格的，其投标作废标处理。</w:t>
      </w:r>
    </w:p>
    <w:p w14:paraId="7E9DB642">
      <w:pPr>
        <w:spacing w:line="460" w:lineRule="exact"/>
        <w:rPr>
          <w:rFonts w:hint="eastAsia" w:ascii="宋体" w:hAnsi="宋体" w:eastAsia="宋体" w:cs="宋体"/>
          <w:color w:val="auto"/>
        </w:rPr>
      </w:pPr>
      <w:r>
        <w:rPr>
          <w:rFonts w:hint="eastAsia" w:ascii="宋体" w:hAnsi="宋体" w:eastAsia="宋体" w:cs="宋体"/>
          <w:color w:val="auto"/>
        </w:rPr>
        <w:t>（1）投标文件中的大写金额与小写金额不一致的，以大写金额为准；</w:t>
      </w:r>
    </w:p>
    <w:p w14:paraId="70C032A9">
      <w:pPr>
        <w:spacing w:line="460" w:lineRule="exact"/>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4E4175E8">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w:t>
      </w:r>
      <w:r>
        <w:rPr>
          <w:rFonts w:hint="eastAsia" w:ascii="宋体" w:hAnsi="宋体" w:cs="宋体"/>
          <w:color w:val="auto"/>
          <w:lang w:val="en-US" w:eastAsia="zh-CN"/>
        </w:rPr>
        <w:t>6</w:t>
      </w:r>
      <w:r>
        <w:rPr>
          <w:rFonts w:hint="eastAsia" w:ascii="宋体" w:hAnsi="宋体" w:eastAsia="宋体" w:cs="宋体"/>
          <w:color w:val="auto"/>
        </w:rPr>
        <w:t>投标报价高于招标控制价或评标委员会认定投标人以低于成本报价竞标的。</w:t>
      </w:r>
    </w:p>
    <w:p w14:paraId="1DDCF975">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w:t>
      </w:r>
      <w:r>
        <w:rPr>
          <w:rFonts w:hint="eastAsia" w:ascii="宋体" w:hAnsi="宋体" w:cs="宋体"/>
          <w:color w:val="auto"/>
          <w:lang w:val="en-US" w:eastAsia="zh-CN"/>
        </w:rPr>
        <w:t>7</w:t>
      </w:r>
      <w:r>
        <w:rPr>
          <w:rFonts w:hint="eastAsia" w:ascii="宋体" w:hAnsi="宋体" w:eastAsia="宋体" w:cs="宋体"/>
          <w:color w:val="auto"/>
        </w:rPr>
        <w:t>投标人提交的投标文件电子版格式不符合第二章“投标人须知前附表”3.7.1项规定的。</w:t>
      </w:r>
    </w:p>
    <w:p w14:paraId="47922FD2">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w:t>
      </w:r>
      <w:r>
        <w:rPr>
          <w:rFonts w:hint="eastAsia" w:ascii="宋体" w:hAnsi="宋体" w:cs="宋体"/>
          <w:color w:val="auto"/>
          <w:lang w:val="en-US" w:eastAsia="zh-CN"/>
        </w:rPr>
        <w:t>8</w:t>
      </w:r>
      <w:r>
        <w:rPr>
          <w:rFonts w:hint="eastAsia" w:ascii="宋体" w:hAnsi="宋体" w:eastAsia="宋体" w:cs="宋体"/>
          <w:color w:val="auto"/>
        </w:rPr>
        <w:t>不同投标人使用同一台计算机编制投标文件的。</w:t>
      </w:r>
    </w:p>
    <w:p w14:paraId="1B6FC20D">
      <w:pPr>
        <w:spacing w:line="460" w:lineRule="exact"/>
        <w:rPr>
          <w:rFonts w:hint="eastAsia" w:ascii="宋体" w:hAnsi="宋体" w:eastAsia="宋体" w:cs="宋体"/>
          <w:color w:val="auto"/>
        </w:rPr>
      </w:pPr>
      <w:r>
        <w:rPr>
          <w:rFonts w:hint="eastAsia" w:ascii="宋体" w:hAnsi="宋体" w:eastAsia="宋体" w:cs="宋体"/>
          <w:color w:val="auto"/>
          <w:lang w:val="en-US" w:eastAsia="zh-CN"/>
        </w:rPr>
        <w:t>A</w:t>
      </w:r>
      <w:r>
        <w:rPr>
          <w:rFonts w:hint="eastAsia" w:ascii="宋体" w:hAnsi="宋体" w:eastAsia="宋体" w:cs="宋体"/>
          <w:color w:val="auto"/>
        </w:rPr>
        <w:t>1.</w:t>
      </w:r>
      <w:r>
        <w:rPr>
          <w:rFonts w:hint="eastAsia" w:ascii="宋体" w:hAnsi="宋体" w:cs="宋体"/>
          <w:color w:val="auto"/>
          <w:lang w:val="en-US" w:eastAsia="zh-CN"/>
        </w:rPr>
        <w:t>9</w:t>
      </w:r>
      <w:r>
        <w:rPr>
          <w:rFonts w:hint="eastAsia" w:ascii="宋体" w:hAnsi="宋体" w:eastAsia="宋体" w:cs="宋体"/>
          <w:color w:val="auto"/>
        </w:rPr>
        <w:t>投标文件没有对招标文件的实质性要求和条件作出响应。</w:t>
      </w:r>
    </w:p>
    <w:p w14:paraId="1062AA8E">
      <w:pPr>
        <w:spacing w:line="460" w:lineRule="exact"/>
        <w:rPr>
          <w:rFonts w:hint="eastAsia" w:ascii="宋体" w:hAnsi="宋体" w:eastAsia="宋体" w:cs="宋体"/>
          <w:color w:val="auto"/>
        </w:rPr>
      </w:pPr>
      <w:r>
        <w:rPr>
          <w:rFonts w:hint="eastAsia" w:ascii="宋体" w:hAnsi="宋体" w:eastAsia="宋体" w:cs="宋体"/>
          <w:color w:val="auto"/>
        </w:rPr>
        <w:t>……</w:t>
      </w:r>
    </w:p>
    <w:p w14:paraId="68484DB5">
      <w:pPr>
        <w:spacing w:line="460" w:lineRule="exact"/>
        <w:rPr>
          <w:rFonts w:hint="eastAsia" w:ascii="宋体" w:hAnsi="宋体" w:eastAsia="宋体" w:cs="宋体"/>
          <w:color w:val="auto"/>
        </w:rPr>
      </w:pPr>
      <w:r>
        <w:rPr>
          <w:rFonts w:hint="eastAsia" w:ascii="宋体" w:hAnsi="宋体" w:eastAsia="宋体" w:cs="宋体"/>
          <w:color w:val="auto"/>
        </w:rPr>
        <w:t>备注：如果工程所在地管理规定要求评标委员会对判定为废标的投标文件说明废标情况的，应增加“废标情况说明表”格式，废标情况说明应当对照招标文件规定的废标条件以及投标文件存在的具体问题。</w:t>
      </w:r>
    </w:p>
    <w:p w14:paraId="536FCCFE">
      <w:pPr>
        <w:rPr>
          <w:rFonts w:hint="eastAsia" w:ascii="宋体" w:hAnsi="宋体" w:cs="宋体"/>
          <w:color w:val="auto"/>
        </w:rPr>
      </w:pPr>
      <w:r>
        <w:rPr>
          <w:rFonts w:hint="eastAsia" w:ascii="宋体" w:hAnsi="宋体" w:cs="宋体"/>
          <w:color w:val="auto"/>
        </w:rPr>
        <w:br w:type="page"/>
      </w:r>
    </w:p>
    <w:p w14:paraId="1FA27245">
      <w:pPr>
        <w:pStyle w:val="2"/>
        <w:wordWrap w:val="0"/>
        <w:topLinePunct/>
        <w:spacing w:before="100" w:after="100" w:line="360" w:lineRule="auto"/>
        <w:jc w:val="center"/>
        <w:rPr>
          <w:rFonts w:hint="eastAsia" w:cs="宋体"/>
          <w:b/>
          <w:bCs/>
          <w:color w:val="auto"/>
          <w:sz w:val="32"/>
          <w:szCs w:val="32"/>
        </w:rPr>
      </w:pPr>
      <w:r>
        <w:rPr>
          <w:rFonts w:hint="eastAsia" w:cs="宋体"/>
          <w:b/>
          <w:bCs/>
          <w:color w:val="auto"/>
          <w:sz w:val="32"/>
          <w:szCs w:val="32"/>
        </w:rPr>
        <w:t xml:space="preserve"> </w:t>
      </w:r>
      <w:bookmarkStart w:id="257" w:name="_Toc4532"/>
      <w:bookmarkStart w:id="258" w:name="_Toc22005"/>
      <w:bookmarkStart w:id="259" w:name="_Toc19217"/>
      <w:r>
        <w:rPr>
          <w:rFonts w:hint="eastAsia" w:cs="宋体"/>
          <w:b/>
          <w:bCs/>
          <w:color w:val="auto"/>
          <w:sz w:val="32"/>
          <w:szCs w:val="32"/>
        </w:rPr>
        <w:t>第四章   定标办法（票决法）</w:t>
      </w:r>
      <w:bookmarkEnd w:id="257"/>
      <w:bookmarkEnd w:id="258"/>
      <w:bookmarkEnd w:id="259"/>
    </w:p>
    <w:p w14:paraId="281261F8">
      <w:pPr>
        <w:pStyle w:val="3"/>
        <w:spacing w:before="100" w:after="100"/>
        <w:jc w:val="center"/>
        <w:rPr>
          <w:rFonts w:hint="eastAsia" w:ascii="宋体" w:hAnsi="宋体" w:eastAsia="宋体" w:cs="宋体"/>
          <w:color w:val="auto"/>
          <w:lang w:val="zh-CN"/>
        </w:rPr>
      </w:pPr>
      <w:bookmarkStart w:id="260" w:name="_Toc30093"/>
      <w:bookmarkStart w:id="261" w:name="_Toc23724"/>
      <w:bookmarkStart w:id="262" w:name="_Toc183793089"/>
      <w:r>
        <w:rPr>
          <w:rFonts w:hint="eastAsia" w:ascii="宋体" w:hAnsi="宋体" w:eastAsia="宋体" w:cs="宋体"/>
          <w:color w:val="auto"/>
          <w:lang w:val="zh-CN"/>
        </w:rPr>
        <w:t>定标办法前附表</w:t>
      </w:r>
      <w:bookmarkEnd w:id="260"/>
      <w:bookmarkEnd w:id="261"/>
      <w:bookmarkEnd w:id="262"/>
    </w:p>
    <w:tbl>
      <w:tblPr>
        <w:tblStyle w:val="29"/>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050"/>
        <w:gridCol w:w="2490"/>
        <w:gridCol w:w="5807"/>
      </w:tblGrid>
      <w:tr w14:paraId="54EF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4" w:type="dxa"/>
            <w:tcBorders>
              <w:bottom w:val="single" w:color="000000" w:sz="6" w:space="0"/>
              <w:right w:val="single" w:color="000000" w:sz="6" w:space="0"/>
            </w:tcBorders>
            <w:vAlign w:val="center"/>
          </w:tcPr>
          <w:p w14:paraId="38225DE0">
            <w:pPr>
              <w:spacing w:line="400" w:lineRule="exact"/>
              <w:jc w:val="center"/>
              <w:rPr>
                <w:rFonts w:hint="eastAsia" w:ascii="宋体" w:hAnsi="宋体" w:cs="宋体"/>
                <w:b/>
                <w:bCs/>
                <w:color w:val="auto"/>
              </w:rPr>
            </w:pPr>
            <w:r>
              <w:rPr>
                <w:rFonts w:hint="eastAsia" w:ascii="宋体" w:hAnsi="宋体" w:cs="宋体"/>
                <w:b/>
                <w:bCs/>
                <w:color w:val="auto"/>
              </w:rPr>
              <w:t>项号</w:t>
            </w:r>
          </w:p>
        </w:tc>
        <w:tc>
          <w:tcPr>
            <w:tcW w:w="1050" w:type="dxa"/>
            <w:tcBorders>
              <w:left w:val="single" w:color="000000" w:sz="6" w:space="0"/>
              <w:bottom w:val="single" w:color="000000" w:sz="6" w:space="0"/>
              <w:right w:val="single" w:color="000000" w:sz="6" w:space="0"/>
            </w:tcBorders>
            <w:vAlign w:val="center"/>
          </w:tcPr>
          <w:p w14:paraId="50F6DDDA">
            <w:pPr>
              <w:spacing w:line="400" w:lineRule="exact"/>
              <w:jc w:val="center"/>
              <w:rPr>
                <w:rFonts w:hint="eastAsia" w:ascii="宋体" w:hAnsi="宋体" w:cs="宋体"/>
                <w:b/>
                <w:bCs/>
                <w:color w:val="auto"/>
              </w:rPr>
            </w:pPr>
            <w:r>
              <w:rPr>
                <w:rFonts w:hint="eastAsia" w:ascii="宋体" w:hAnsi="宋体" w:cs="宋体"/>
                <w:b/>
                <w:bCs/>
                <w:color w:val="auto"/>
              </w:rPr>
              <w:t>条款号</w:t>
            </w:r>
          </w:p>
        </w:tc>
        <w:tc>
          <w:tcPr>
            <w:tcW w:w="2490" w:type="dxa"/>
            <w:tcBorders>
              <w:left w:val="single" w:color="000000" w:sz="6" w:space="0"/>
              <w:bottom w:val="single" w:color="000000" w:sz="6" w:space="0"/>
              <w:right w:val="single" w:color="000000" w:sz="6" w:space="0"/>
            </w:tcBorders>
            <w:vAlign w:val="center"/>
          </w:tcPr>
          <w:p w14:paraId="347BCBAC">
            <w:pPr>
              <w:spacing w:line="400" w:lineRule="exact"/>
              <w:jc w:val="center"/>
              <w:rPr>
                <w:rFonts w:hint="eastAsia" w:ascii="宋体" w:hAnsi="宋体" w:cs="宋体"/>
                <w:b/>
                <w:bCs/>
                <w:color w:val="auto"/>
              </w:rPr>
            </w:pPr>
            <w:r>
              <w:rPr>
                <w:rFonts w:hint="eastAsia" w:ascii="宋体" w:hAnsi="宋体" w:cs="宋体"/>
                <w:b/>
                <w:bCs/>
                <w:color w:val="auto"/>
              </w:rPr>
              <w:t>定标名称</w:t>
            </w:r>
          </w:p>
        </w:tc>
        <w:tc>
          <w:tcPr>
            <w:tcW w:w="5807" w:type="dxa"/>
            <w:tcBorders>
              <w:left w:val="single" w:color="000000" w:sz="6" w:space="0"/>
              <w:bottom w:val="single" w:color="000000" w:sz="6" w:space="0"/>
            </w:tcBorders>
            <w:vAlign w:val="center"/>
          </w:tcPr>
          <w:p w14:paraId="68222690">
            <w:pPr>
              <w:spacing w:line="400" w:lineRule="exact"/>
              <w:jc w:val="center"/>
              <w:rPr>
                <w:rFonts w:hint="eastAsia" w:ascii="宋体" w:hAnsi="宋体" w:cs="宋体"/>
                <w:b/>
                <w:bCs/>
                <w:color w:val="auto"/>
              </w:rPr>
            </w:pPr>
            <w:r>
              <w:rPr>
                <w:rFonts w:hint="eastAsia" w:ascii="宋体" w:hAnsi="宋体" w:cs="宋体"/>
                <w:b/>
                <w:bCs/>
                <w:color w:val="auto"/>
              </w:rPr>
              <w:t>编列内容</w:t>
            </w:r>
          </w:p>
        </w:tc>
      </w:tr>
      <w:tr w14:paraId="1D667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071" w:type="dxa"/>
            <w:gridSpan w:val="4"/>
            <w:tcBorders>
              <w:top w:val="single" w:color="000000" w:sz="6" w:space="0"/>
              <w:bottom w:val="single" w:color="000000" w:sz="6" w:space="0"/>
            </w:tcBorders>
            <w:vAlign w:val="center"/>
          </w:tcPr>
          <w:p w14:paraId="483FCB89">
            <w:pPr>
              <w:spacing w:line="400" w:lineRule="exact"/>
              <w:jc w:val="center"/>
              <w:rPr>
                <w:rFonts w:hint="eastAsia" w:ascii="宋体" w:hAnsi="宋体" w:cs="宋体"/>
                <w:b/>
                <w:bCs/>
                <w:color w:val="auto"/>
              </w:rPr>
            </w:pPr>
            <w:r>
              <w:rPr>
                <w:rFonts w:hint="eastAsia" w:ascii="宋体" w:hAnsi="宋体" w:cs="宋体"/>
                <w:b/>
                <w:bCs/>
                <w:color w:val="auto"/>
              </w:rPr>
              <w:t>（一）定标方案</w:t>
            </w:r>
          </w:p>
        </w:tc>
      </w:tr>
      <w:tr w14:paraId="12FE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auto" w:sz="4" w:space="0"/>
              <w:right w:val="single" w:color="000000" w:sz="6" w:space="0"/>
            </w:tcBorders>
            <w:vAlign w:val="center"/>
          </w:tcPr>
          <w:p w14:paraId="27D39AB5">
            <w:pPr>
              <w:spacing w:line="400" w:lineRule="exact"/>
              <w:jc w:val="center"/>
              <w:rPr>
                <w:rFonts w:hint="eastAsia" w:ascii="宋体" w:hAnsi="宋体" w:cs="宋体"/>
                <w:color w:val="auto"/>
              </w:rPr>
            </w:pPr>
            <w:r>
              <w:rPr>
                <w:rFonts w:hint="eastAsia" w:ascii="宋体" w:hAnsi="宋体" w:cs="宋体"/>
                <w:color w:val="auto"/>
              </w:rPr>
              <w:t>1</w:t>
            </w:r>
          </w:p>
        </w:tc>
        <w:tc>
          <w:tcPr>
            <w:tcW w:w="1050" w:type="dxa"/>
            <w:tcBorders>
              <w:top w:val="single" w:color="000000" w:sz="6" w:space="0"/>
              <w:left w:val="single" w:color="000000" w:sz="6" w:space="0"/>
              <w:bottom w:val="single" w:color="auto" w:sz="4" w:space="0"/>
              <w:right w:val="single" w:color="000000" w:sz="6" w:space="0"/>
            </w:tcBorders>
            <w:vAlign w:val="center"/>
          </w:tcPr>
          <w:p w14:paraId="084801EE">
            <w:pPr>
              <w:spacing w:line="400" w:lineRule="exact"/>
              <w:jc w:val="center"/>
              <w:rPr>
                <w:rFonts w:hint="eastAsia" w:ascii="宋体" w:hAnsi="宋体" w:cs="宋体"/>
                <w:color w:val="auto"/>
              </w:rPr>
            </w:pPr>
            <w:r>
              <w:rPr>
                <w:rFonts w:hint="eastAsia" w:ascii="宋体" w:hAnsi="宋体" w:cs="宋体"/>
                <w:color w:val="auto"/>
              </w:rPr>
              <w:t>1.1</w:t>
            </w:r>
          </w:p>
        </w:tc>
        <w:tc>
          <w:tcPr>
            <w:tcW w:w="8297" w:type="dxa"/>
            <w:gridSpan w:val="2"/>
            <w:tcBorders>
              <w:top w:val="single" w:color="000000" w:sz="6" w:space="0"/>
              <w:left w:val="single" w:color="000000" w:sz="6" w:space="0"/>
              <w:bottom w:val="single" w:color="auto" w:sz="4" w:space="0"/>
            </w:tcBorders>
            <w:vAlign w:val="center"/>
          </w:tcPr>
          <w:p w14:paraId="699273D8">
            <w:pPr>
              <w:spacing w:line="400" w:lineRule="exact"/>
              <w:rPr>
                <w:rFonts w:hint="eastAsia" w:ascii="宋体" w:hAnsi="宋体" w:cs="宋体"/>
                <w:color w:val="auto"/>
              </w:rPr>
            </w:pPr>
            <w:r>
              <w:rPr>
                <w:rFonts w:hint="eastAsia" w:ascii="宋体" w:hAnsi="宋体" w:cs="宋体"/>
                <w:color w:val="auto"/>
              </w:rPr>
              <w:t>招标人要强化责任意识、法治意识、廉洁意识，依法依规认真编制项目实施方案，落实“评定分离”要求，要切实履行主体责任，将“评定分离”纳入本单位“三重一大”审议事项范围，对整个招标和定标过程负责。</w:t>
            </w:r>
          </w:p>
          <w:p w14:paraId="17A7C196">
            <w:pPr>
              <w:spacing w:line="400" w:lineRule="exact"/>
              <w:rPr>
                <w:rFonts w:hint="eastAsia" w:ascii="宋体" w:hAnsi="宋体" w:cs="宋体"/>
                <w:color w:val="auto"/>
              </w:rPr>
            </w:pPr>
            <w:r>
              <w:rPr>
                <w:rFonts w:hint="eastAsia" w:ascii="宋体" w:hAnsi="宋体" w:cs="宋体"/>
                <w:color w:val="auto"/>
              </w:rPr>
              <w:t>☑已落实 □未落实</w:t>
            </w:r>
          </w:p>
        </w:tc>
      </w:tr>
      <w:tr w14:paraId="2DFEE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auto" w:sz="4" w:space="0"/>
              <w:bottom w:val="single" w:color="000000" w:sz="6" w:space="0"/>
              <w:right w:val="single" w:color="000000" w:sz="6" w:space="0"/>
            </w:tcBorders>
            <w:vAlign w:val="center"/>
          </w:tcPr>
          <w:p w14:paraId="6BFC5263">
            <w:pPr>
              <w:spacing w:line="400" w:lineRule="exact"/>
              <w:jc w:val="center"/>
              <w:rPr>
                <w:rFonts w:hint="eastAsia" w:ascii="宋体" w:hAnsi="宋体" w:cs="宋体"/>
                <w:color w:val="auto"/>
              </w:rPr>
            </w:pPr>
            <w:r>
              <w:rPr>
                <w:rFonts w:hint="eastAsia" w:ascii="宋体" w:hAnsi="宋体" w:cs="宋体"/>
                <w:color w:val="auto"/>
              </w:rPr>
              <w:t>2</w:t>
            </w:r>
          </w:p>
        </w:tc>
        <w:tc>
          <w:tcPr>
            <w:tcW w:w="1050" w:type="dxa"/>
            <w:tcBorders>
              <w:top w:val="single" w:color="auto" w:sz="4" w:space="0"/>
              <w:left w:val="single" w:color="000000" w:sz="6" w:space="0"/>
              <w:bottom w:val="single" w:color="000000" w:sz="6" w:space="0"/>
              <w:right w:val="single" w:color="000000" w:sz="6" w:space="0"/>
            </w:tcBorders>
            <w:vAlign w:val="center"/>
          </w:tcPr>
          <w:p w14:paraId="26D960BC">
            <w:pPr>
              <w:spacing w:line="400" w:lineRule="exact"/>
              <w:jc w:val="center"/>
              <w:rPr>
                <w:rFonts w:hint="eastAsia" w:ascii="宋体" w:hAnsi="宋体" w:cs="宋体"/>
                <w:color w:val="auto"/>
              </w:rPr>
            </w:pPr>
            <w:r>
              <w:rPr>
                <w:rFonts w:hint="eastAsia" w:ascii="宋体" w:hAnsi="宋体" w:cs="宋体"/>
                <w:color w:val="auto"/>
              </w:rPr>
              <w:t>1.2</w:t>
            </w:r>
          </w:p>
        </w:tc>
        <w:tc>
          <w:tcPr>
            <w:tcW w:w="8297" w:type="dxa"/>
            <w:gridSpan w:val="2"/>
            <w:tcBorders>
              <w:top w:val="single" w:color="auto" w:sz="4" w:space="0"/>
              <w:left w:val="single" w:color="000000" w:sz="6" w:space="0"/>
              <w:bottom w:val="single" w:color="000000" w:sz="6" w:space="0"/>
            </w:tcBorders>
            <w:vAlign w:val="center"/>
          </w:tcPr>
          <w:p w14:paraId="54E0BDE7">
            <w:pPr>
              <w:spacing w:line="400" w:lineRule="exact"/>
              <w:rPr>
                <w:rFonts w:hint="eastAsia" w:ascii="宋体" w:hAnsi="宋体" w:cs="宋体"/>
                <w:color w:val="auto"/>
              </w:rPr>
            </w:pPr>
            <w:r>
              <w:rPr>
                <w:rFonts w:hint="eastAsia" w:ascii="宋体" w:hAnsi="宋体" w:cs="宋体"/>
                <w:color w:val="auto"/>
              </w:rPr>
              <w:t>招标人应当在中标候选人公示前审查评标委员会提交的书面评标报告，发现异常情形的，依照法定程序复核，确认存在问题的，依照法定程序予以纠正。</w:t>
            </w:r>
          </w:p>
        </w:tc>
      </w:tr>
      <w:tr w14:paraId="74AC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auto" w:sz="4" w:space="0"/>
              <w:bottom w:val="single" w:color="000000" w:sz="6" w:space="0"/>
            </w:tcBorders>
            <w:vAlign w:val="center"/>
          </w:tcPr>
          <w:p w14:paraId="104E7DD0">
            <w:pPr>
              <w:spacing w:line="400" w:lineRule="exact"/>
              <w:jc w:val="center"/>
              <w:rPr>
                <w:rFonts w:hint="eastAsia" w:ascii="宋体" w:hAnsi="宋体" w:cs="宋体"/>
                <w:color w:val="auto"/>
              </w:rPr>
            </w:pPr>
            <w:r>
              <w:rPr>
                <w:rFonts w:hint="eastAsia" w:ascii="宋体" w:hAnsi="宋体" w:cs="宋体"/>
                <w:b/>
                <w:bCs/>
                <w:color w:val="auto"/>
                <w:lang w:eastAsia="zh-CN"/>
              </w:rPr>
              <w:t>（</w:t>
            </w:r>
            <w:r>
              <w:rPr>
                <w:rFonts w:hint="eastAsia" w:ascii="宋体" w:hAnsi="宋体" w:cs="宋体"/>
                <w:b/>
                <w:bCs/>
                <w:color w:val="auto"/>
                <w:lang w:val="en-US" w:eastAsia="zh-CN"/>
              </w:rPr>
              <w:t>二</w:t>
            </w:r>
            <w:r>
              <w:rPr>
                <w:rFonts w:hint="eastAsia" w:ascii="宋体" w:hAnsi="宋体" w:cs="宋体"/>
                <w:b/>
                <w:bCs/>
                <w:color w:val="auto"/>
                <w:lang w:eastAsia="zh-CN"/>
              </w:rPr>
              <w:t>）</w:t>
            </w:r>
            <w:r>
              <w:rPr>
                <w:rFonts w:hint="eastAsia" w:ascii="宋体" w:hAnsi="宋体" w:cs="宋体"/>
                <w:b/>
                <w:bCs/>
                <w:color w:val="auto"/>
                <w:lang w:val="en-US" w:eastAsia="zh-CN"/>
              </w:rPr>
              <w:t>定标核查</w:t>
            </w:r>
          </w:p>
        </w:tc>
      </w:tr>
      <w:tr w14:paraId="36AA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147C797">
            <w:pPr>
              <w:spacing w:line="400" w:lineRule="exact"/>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1050" w:type="dxa"/>
            <w:tcBorders>
              <w:top w:val="single" w:color="000000" w:sz="6" w:space="0"/>
              <w:left w:val="single" w:color="000000" w:sz="6" w:space="0"/>
              <w:bottom w:val="single" w:color="000000" w:sz="6" w:space="0"/>
              <w:right w:val="single" w:color="000000" w:sz="6" w:space="0"/>
            </w:tcBorders>
            <w:vAlign w:val="center"/>
          </w:tcPr>
          <w:p w14:paraId="60BB6904">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8297" w:type="dxa"/>
            <w:gridSpan w:val="2"/>
            <w:tcBorders>
              <w:top w:val="single" w:color="000000" w:sz="6" w:space="0"/>
              <w:left w:val="single" w:color="000000" w:sz="6" w:space="0"/>
              <w:bottom w:val="single" w:color="000000" w:sz="6" w:space="0"/>
            </w:tcBorders>
            <w:vAlign w:val="center"/>
          </w:tcPr>
          <w:p w14:paraId="779DD5FE">
            <w:pPr>
              <w:spacing w:line="400" w:lineRule="exact"/>
              <w:rPr>
                <w:rFonts w:hint="eastAsia" w:ascii="宋体" w:hAnsi="宋体" w:cs="宋体"/>
                <w:color w:val="auto"/>
              </w:rPr>
            </w:pPr>
            <w:r>
              <w:rPr>
                <w:rFonts w:hint="eastAsia" w:ascii="宋体" w:hAnsi="宋体" w:cs="宋体"/>
                <w:color w:val="auto"/>
              </w:rPr>
              <w:t>定标委员会应当首先对中标候选人进行核查:形成核查报告，核查报告在定标会议召开前应当保密。相关核查内容和方式应当在招标文件中载明，</w:t>
            </w:r>
            <w:r>
              <w:rPr>
                <w:rFonts w:hint="eastAsia" w:ascii="宋体" w:hAnsi="宋体" w:cs="宋体"/>
                <w:b/>
                <w:bCs/>
                <w:color w:val="auto"/>
                <w:u w:val="single"/>
              </w:rPr>
              <w:t>核查内容包括信用信息、履约能力（具体核查内容见本表1.4项）、是否采取考察或质询方式（不采取）以及招标人认为其他需要核查的内容（无）。</w:t>
            </w:r>
            <w:r>
              <w:rPr>
                <w:rFonts w:hint="eastAsia" w:ascii="宋体" w:hAnsi="宋体" w:cs="宋体"/>
                <w:color w:val="auto"/>
              </w:rPr>
              <w:t>核查需要进行考察或质询的，应当在招标文件中明确考察或质询内容。</w:t>
            </w:r>
          </w:p>
          <w:p w14:paraId="2F36D089">
            <w:pPr>
              <w:spacing w:line="400" w:lineRule="exact"/>
              <w:rPr>
                <w:rFonts w:hint="eastAsia" w:ascii="宋体" w:hAnsi="宋体" w:cs="宋体"/>
                <w:color w:val="auto"/>
              </w:rPr>
            </w:pPr>
            <w:r>
              <w:rPr>
                <w:rFonts w:hint="eastAsia" w:ascii="宋体" w:hAnsi="宋体" w:cs="宋体"/>
                <w:color w:val="auto"/>
              </w:rPr>
              <w:t>核查内容不得设置不合理限制和隐性壁垒。招标文件中没有规定的核查标准和方法不得作为定标核查的依据，不得在定标过程中新增定标条件和要求。</w:t>
            </w:r>
          </w:p>
          <w:p w14:paraId="5BF99050">
            <w:pPr>
              <w:spacing w:line="400" w:lineRule="exact"/>
              <w:rPr>
                <w:rFonts w:hint="eastAsia" w:ascii="宋体" w:hAnsi="宋体" w:cs="宋体"/>
                <w:color w:val="auto"/>
              </w:rPr>
            </w:pPr>
            <w:r>
              <w:rPr>
                <w:rFonts w:hint="eastAsia" w:ascii="宋体" w:hAnsi="宋体" w:cs="宋体"/>
                <w:color w:val="auto"/>
              </w:rPr>
              <w:t>定标委员会经核查发现中标候选人确有弄虚作假、围标串标等情形的，应当否决相应中标候选人的中标资格，并及时向行政监督部门报告。</w:t>
            </w:r>
          </w:p>
        </w:tc>
      </w:tr>
      <w:tr w14:paraId="355C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restart"/>
            <w:tcBorders>
              <w:top w:val="single" w:color="000000" w:sz="6" w:space="0"/>
              <w:right w:val="single" w:color="000000" w:sz="6" w:space="0"/>
            </w:tcBorders>
            <w:vAlign w:val="center"/>
          </w:tcPr>
          <w:p w14:paraId="7793F2CC">
            <w:pPr>
              <w:spacing w:line="400" w:lineRule="exact"/>
              <w:jc w:val="center"/>
              <w:rPr>
                <w:rFonts w:hint="eastAsia" w:ascii="宋体" w:hAnsi="宋体" w:cs="宋体"/>
                <w:color w:val="auto"/>
              </w:rPr>
            </w:pPr>
            <w:r>
              <w:rPr>
                <w:rFonts w:hint="eastAsia" w:ascii="宋体" w:hAnsi="宋体" w:cs="宋体"/>
                <w:color w:val="auto"/>
              </w:rPr>
              <w:t>3</w:t>
            </w:r>
          </w:p>
        </w:tc>
        <w:tc>
          <w:tcPr>
            <w:tcW w:w="1050" w:type="dxa"/>
            <w:vMerge w:val="restart"/>
            <w:tcBorders>
              <w:top w:val="single" w:color="000000" w:sz="6" w:space="0"/>
              <w:left w:val="single" w:color="000000" w:sz="6" w:space="0"/>
              <w:right w:val="single" w:color="000000" w:sz="6" w:space="0"/>
            </w:tcBorders>
            <w:vAlign w:val="center"/>
          </w:tcPr>
          <w:p w14:paraId="13DF3F32">
            <w:pPr>
              <w:spacing w:line="400" w:lineRule="exact"/>
              <w:jc w:val="center"/>
              <w:rPr>
                <w:rFonts w:hint="eastAsia" w:ascii="宋体" w:hAnsi="宋体" w:cs="宋体"/>
                <w:color w:val="auto"/>
                <w:highlight w:val="cyan"/>
              </w:rPr>
            </w:pPr>
            <w:r>
              <w:rPr>
                <w:rFonts w:hint="eastAsia" w:ascii="宋体" w:hAnsi="宋体" w:cs="宋体"/>
                <w:color w:val="auto"/>
              </w:rPr>
              <w:t>1.4</w:t>
            </w:r>
          </w:p>
        </w:tc>
        <w:tc>
          <w:tcPr>
            <w:tcW w:w="8297" w:type="dxa"/>
            <w:gridSpan w:val="2"/>
            <w:tcBorders>
              <w:top w:val="single" w:color="000000" w:sz="6" w:space="0"/>
              <w:left w:val="single" w:color="000000" w:sz="6" w:space="0"/>
              <w:bottom w:val="single" w:color="auto" w:sz="4" w:space="0"/>
            </w:tcBorders>
            <w:vAlign w:val="center"/>
          </w:tcPr>
          <w:p w14:paraId="1B5928D9">
            <w:pPr>
              <w:spacing w:line="400" w:lineRule="exact"/>
              <w:rPr>
                <w:rFonts w:hint="eastAsia" w:ascii="宋体" w:hAnsi="宋体" w:cs="宋体"/>
                <w:b/>
                <w:bCs/>
                <w:color w:val="auto"/>
                <w:u w:val="single"/>
              </w:rPr>
            </w:pPr>
            <w:r>
              <w:rPr>
                <w:rFonts w:hint="eastAsia" w:ascii="宋体" w:hAnsi="宋体" w:cs="宋体"/>
                <w:b/>
                <w:bCs/>
                <w:color w:val="auto"/>
                <w:u w:val="single"/>
              </w:rPr>
              <w:t>定标委员会将对中标候选人进行定标核查。核查内容包括：</w:t>
            </w:r>
          </w:p>
          <w:p w14:paraId="37F2CADB">
            <w:pPr>
              <w:spacing w:line="400" w:lineRule="exact"/>
              <w:rPr>
                <w:rFonts w:hint="eastAsia" w:ascii="宋体" w:hAnsi="宋体" w:cs="宋体"/>
                <w:color w:val="auto"/>
              </w:rPr>
            </w:pPr>
            <w:r>
              <w:rPr>
                <w:rFonts w:hint="eastAsia" w:ascii="宋体" w:hAnsi="宋体" w:cs="宋体"/>
                <w:color w:val="auto"/>
              </w:rPr>
              <w:t>1、企业信用信息：</w:t>
            </w:r>
          </w:p>
          <w:p w14:paraId="10B3E0C8">
            <w:pPr>
              <w:spacing w:line="400" w:lineRule="exact"/>
              <w:rPr>
                <w:rFonts w:hint="eastAsia" w:ascii="宋体" w:hAnsi="宋体" w:cs="宋体"/>
                <w:color w:val="auto"/>
              </w:rPr>
            </w:pPr>
            <w:r>
              <w:rPr>
                <w:rFonts w:hint="eastAsia" w:ascii="宋体" w:hAnsi="宋体" w:cs="宋体"/>
                <w:color w:val="auto"/>
              </w:rPr>
              <w:t>被列入失信被执行人、 重大税收违法失信主体（查询渠道“信用中国”网站或“中国执行信息公开网”）的投标人，拒绝其参与本项目投标（查询对象包括：企业）；</w:t>
            </w:r>
          </w:p>
          <w:p w14:paraId="1134003B">
            <w:pPr>
              <w:spacing w:line="400" w:lineRule="exact"/>
              <w:rPr>
                <w:rFonts w:hint="eastAsia" w:ascii="宋体" w:hAnsi="宋体" w:cs="宋体"/>
                <w:color w:val="auto"/>
              </w:rPr>
            </w:pPr>
            <w:r>
              <w:rPr>
                <w:rFonts w:hint="eastAsia" w:ascii="宋体" w:hAnsi="宋体" w:cs="宋体"/>
                <w:color w:val="auto"/>
              </w:rPr>
              <w:t>2、履约能力：</w:t>
            </w:r>
          </w:p>
          <w:p w14:paraId="6D6C8EB9">
            <w:pPr>
              <w:spacing w:line="400" w:lineRule="exact"/>
              <w:rPr>
                <w:rFonts w:hint="eastAsia" w:ascii="宋体" w:hAnsi="宋体" w:cs="宋体"/>
                <w:color w:val="auto"/>
              </w:rPr>
            </w:pPr>
            <w:r>
              <w:rPr>
                <w:rFonts w:hint="eastAsia" w:ascii="宋体" w:hAnsi="宋体" w:cs="宋体"/>
                <w:color w:val="auto"/>
              </w:rPr>
              <w:t xml:space="preserve">①营业执照：符合第二章“投标人须知前附表”第1.4.1项规定； </w:t>
            </w:r>
          </w:p>
          <w:p w14:paraId="435DCDCF">
            <w:pPr>
              <w:spacing w:line="400" w:lineRule="exact"/>
              <w:rPr>
                <w:rFonts w:hint="eastAsia" w:ascii="宋体" w:hAnsi="宋体" w:cs="宋体"/>
                <w:color w:val="auto"/>
              </w:rPr>
            </w:pPr>
            <w:r>
              <w:rPr>
                <w:rFonts w:hint="eastAsia" w:ascii="宋体" w:hAnsi="宋体" w:cs="宋体"/>
                <w:color w:val="auto"/>
              </w:rPr>
              <w:t>②企业资质：符合第二章“投标人须知前附表”第1.4.1项规定；</w:t>
            </w:r>
          </w:p>
          <w:p w14:paraId="6B08AC00">
            <w:pPr>
              <w:spacing w:line="400" w:lineRule="exact"/>
              <w:rPr>
                <w:rFonts w:hint="eastAsia" w:ascii="宋体" w:hAnsi="宋体" w:cs="宋体"/>
                <w:color w:val="auto"/>
              </w:rPr>
            </w:pPr>
            <w:r>
              <w:rPr>
                <w:rFonts w:hint="eastAsia" w:ascii="宋体" w:hAnsi="宋体" w:cs="宋体"/>
                <w:color w:val="auto"/>
              </w:rPr>
              <w:t>③拟派人员要求：符合第二章“投标人须知前附表”第1.4.1项规定；</w:t>
            </w:r>
          </w:p>
          <w:p w14:paraId="54648652">
            <w:pPr>
              <w:spacing w:line="400" w:lineRule="exact"/>
              <w:rPr>
                <w:rFonts w:hint="eastAsia" w:ascii="宋体" w:hAnsi="宋体" w:cs="宋体"/>
                <w:color w:val="auto"/>
              </w:rPr>
            </w:pPr>
            <w:r>
              <w:rPr>
                <w:rFonts w:hint="eastAsia" w:ascii="宋体" w:hAnsi="宋体" w:cs="宋体"/>
                <w:color w:val="auto"/>
              </w:rPr>
              <w:t xml:space="preserve">④财务状况：符合第二章“投标人须知前附表”第1.4.1项规定； </w:t>
            </w:r>
          </w:p>
          <w:p w14:paraId="479E76ED">
            <w:pPr>
              <w:spacing w:line="400" w:lineRule="exact"/>
              <w:rPr>
                <w:rFonts w:hint="eastAsia" w:ascii="宋体" w:hAnsi="宋体" w:cs="宋体"/>
                <w:color w:val="auto"/>
              </w:rPr>
            </w:pPr>
            <w:r>
              <w:rPr>
                <w:rFonts w:hint="eastAsia" w:ascii="宋体" w:hAnsi="宋体" w:cs="宋体"/>
                <w:color w:val="auto"/>
              </w:rPr>
              <w:t>3、招标人认为需要核查及核评的其他内容：/</w:t>
            </w:r>
          </w:p>
        </w:tc>
      </w:tr>
      <w:tr w14:paraId="7091A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vMerge w:val="continue"/>
            <w:tcBorders>
              <w:bottom w:val="single" w:color="000000" w:sz="6" w:space="0"/>
              <w:right w:val="single" w:color="000000" w:sz="6" w:space="0"/>
            </w:tcBorders>
            <w:vAlign w:val="center"/>
          </w:tcPr>
          <w:p w14:paraId="551E70D6">
            <w:pPr>
              <w:spacing w:line="400" w:lineRule="exact"/>
              <w:jc w:val="center"/>
              <w:rPr>
                <w:rFonts w:hint="eastAsia" w:ascii="宋体" w:hAnsi="宋体" w:cs="宋体"/>
                <w:color w:val="auto"/>
              </w:rPr>
            </w:pPr>
          </w:p>
        </w:tc>
        <w:tc>
          <w:tcPr>
            <w:tcW w:w="1050" w:type="dxa"/>
            <w:vMerge w:val="continue"/>
            <w:tcBorders>
              <w:left w:val="single" w:color="000000" w:sz="6" w:space="0"/>
              <w:bottom w:val="single" w:color="000000" w:sz="6" w:space="0"/>
              <w:right w:val="single" w:color="000000" w:sz="6" w:space="0"/>
            </w:tcBorders>
            <w:vAlign w:val="center"/>
          </w:tcPr>
          <w:p w14:paraId="427857B5">
            <w:pPr>
              <w:spacing w:line="400" w:lineRule="exact"/>
              <w:jc w:val="center"/>
              <w:rPr>
                <w:rFonts w:hint="eastAsia" w:ascii="宋体" w:hAnsi="宋体" w:cs="宋体"/>
                <w:color w:val="auto"/>
                <w:highlight w:val="cyan"/>
              </w:rPr>
            </w:pPr>
          </w:p>
        </w:tc>
        <w:tc>
          <w:tcPr>
            <w:tcW w:w="8297" w:type="dxa"/>
            <w:gridSpan w:val="2"/>
            <w:tcBorders>
              <w:top w:val="single" w:color="auto" w:sz="4" w:space="0"/>
              <w:left w:val="single" w:color="000000" w:sz="6" w:space="0"/>
              <w:bottom w:val="single" w:color="000000" w:sz="6" w:space="0"/>
            </w:tcBorders>
            <w:vAlign w:val="center"/>
          </w:tcPr>
          <w:p w14:paraId="3D7C0EB7">
            <w:pPr>
              <w:spacing w:line="400" w:lineRule="exact"/>
              <w:rPr>
                <w:rFonts w:hint="eastAsia" w:ascii="宋体" w:hAnsi="宋体" w:cs="宋体"/>
                <w:b/>
                <w:bCs/>
                <w:color w:val="auto"/>
              </w:rPr>
            </w:pPr>
            <w:r>
              <w:rPr>
                <w:rFonts w:hint="eastAsia" w:ascii="宋体" w:hAnsi="宋体" w:cs="宋体"/>
                <w:b/>
                <w:bCs/>
                <w:color w:val="auto"/>
              </w:rPr>
              <w:t>核查方式：</w:t>
            </w:r>
            <w:r>
              <w:rPr>
                <w:rFonts w:hint="eastAsia" w:ascii="宋体" w:hAnsi="宋体" w:cs="宋体"/>
                <w:b/>
                <w:bCs/>
                <w:color w:val="auto"/>
                <w:u w:val="single"/>
              </w:rPr>
              <w:t>核查会议现场核查各中标候选人的投标文件中包含的各核查内容；</w:t>
            </w:r>
          </w:p>
          <w:p w14:paraId="4EEB960B">
            <w:pPr>
              <w:spacing w:line="400" w:lineRule="exact"/>
              <w:rPr>
                <w:b/>
                <w:bCs/>
                <w:color w:val="auto"/>
              </w:rPr>
            </w:pPr>
            <w:r>
              <w:rPr>
                <w:rFonts w:hint="eastAsia"/>
                <w:b/>
                <w:bCs/>
                <w:color w:val="auto"/>
              </w:rPr>
              <w:t>其他核查方式：</w:t>
            </w:r>
            <w:r>
              <w:rPr>
                <w:rFonts w:hint="eastAsia"/>
                <w:color w:val="auto"/>
                <w:u w:val="single"/>
              </w:rPr>
              <w:t>定标委员会可以采用考核或质询的方式进行核查</w:t>
            </w:r>
          </w:p>
          <w:p w14:paraId="75ED96B1">
            <w:pPr>
              <w:spacing w:line="400" w:lineRule="exact"/>
              <w:rPr>
                <w:rFonts w:hint="eastAsia" w:ascii="宋体" w:hAnsi="宋体" w:cs="宋体"/>
                <w:color w:val="auto"/>
              </w:rPr>
            </w:pPr>
            <w:r>
              <w:rPr>
                <w:rFonts w:hint="eastAsia"/>
                <w:color w:val="auto"/>
              </w:rPr>
              <w:t xml:space="preserve">□组  织       </w:t>
            </w:r>
            <w:r>
              <w:rPr>
                <w:rFonts w:hint="eastAsia"/>
                <w:color w:val="auto"/>
              </w:rPr>
              <w:sym w:font="Wingdings 2" w:char="0052"/>
            </w:r>
            <w:r>
              <w:rPr>
                <w:rFonts w:hint="eastAsia"/>
                <w:color w:val="auto"/>
              </w:rPr>
              <w:t>不组织</w:t>
            </w:r>
          </w:p>
        </w:tc>
      </w:tr>
      <w:tr w14:paraId="5B003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638A40E3">
            <w:pPr>
              <w:spacing w:line="400" w:lineRule="exact"/>
              <w:jc w:val="center"/>
              <w:rPr>
                <w:rFonts w:hint="eastAsia" w:ascii="宋体" w:hAnsi="宋体" w:cs="宋体"/>
                <w:color w:val="auto"/>
              </w:rPr>
            </w:pPr>
            <w:r>
              <w:rPr>
                <w:rFonts w:hint="eastAsia" w:ascii="宋体" w:hAnsi="宋体" w:cs="宋体"/>
                <w:b/>
                <w:bCs/>
                <w:color w:val="auto"/>
              </w:rPr>
              <w:t>（</w:t>
            </w:r>
            <w:r>
              <w:rPr>
                <w:rFonts w:hint="eastAsia" w:ascii="宋体" w:hAnsi="宋体" w:cs="宋体"/>
                <w:b/>
                <w:bCs/>
                <w:color w:val="auto"/>
                <w:lang w:val="en-US" w:eastAsia="zh-CN"/>
              </w:rPr>
              <w:t>三</w:t>
            </w:r>
            <w:r>
              <w:rPr>
                <w:rFonts w:hint="eastAsia" w:ascii="宋体" w:hAnsi="宋体" w:cs="宋体"/>
                <w:b/>
                <w:bCs/>
                <w:color w:val="auto"/>
              </w:rPr>
              <w:t>）定标原则</w:t>
            </w:r>
          </w:p>
        </w:tc>
      </w:tr>
      <w:tr w14:paraId="691E8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724" w:type="dxa"/>
            <w:tcBorders>
              <w:top w:val="single" w:color="000000" w:sz="6" w:space="0"/>
              <w:bottom w:val="single" w:color="000000" w:sz="6" w:space="0"/>
              <w:right w:val="single" w:color="000000" w:sz="6" w:space="0"/>
            </w:tcBorders>
            <w:vAlign w:val="center"/>
          </w:tcPr>
          <w:p w14:paraId="3CC79CEF">
            <w:pPr>
              <w:spacing w:line="400" w:lineRule="exact"/>
              <w:jc w:val="center"/>
              <w:rPr>
                <w:rFonts w:hint="eastAsia" w:ascii="宋体" w:hAnsi="宋体" w:cs="宋体"/>
                <w:color w:val="auto"/>
              </w:rPr>
            </w:pPr>
            <w:r>
              <w:rPr>
                <w:rFonts w:hint="eastAsia" w:ascii="宋体" w:hAnsi="宋体" w:cs="宋体"/>
                <w:color w:val="auto"/>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0DAC5030">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3.1</w:t>
            </w:r>
          </w:p>
        </w:tc>
        <w:tc>
          <w:tcPr>
            <w:tcW w:w="8297" w:type="dxa"/>
            <w:gridSpan w:val="2"/>
            <w:tcBorders>
              <w:top w:val="single" w:color="000000" w:sz="6" w:space="0"/>
              <w:left w:val="single" w:color="000000" w:sz="6" w:space="0"/>
              <w:bottom w:val="single" w:color="000000" w:sz="6" w:space="0"/>
            </w:tcBorders>
            <w:vAlign w:val="center"/>
          </w:tcPr>
          <w:p w14:paraId="292C2A2B">
            <w:pPr>
              <w:spacing w:line="400" w:lineRule="exact"/>
              <w:jc w:val="center"/>
              <w:rPr>
                <w:rFonts w:hint="eastAsia" w:ascii="宋体" w:hAnsi="宋体" w:cs="宋体"/>
                <w:color w:val="auto"/>
              </w:rPr>
            </w:pPr>
            <w:r>
              <w:rPr>
                <w:rFonts w:hint="eastAsia" w:ascii="宋体" w:hAnsi="宋体" w:cs="宋体"/>
                <w:color w:val="auto"/>
              </w:rPr>
              <w:t>“评定分离”应遵循公开透明、择优竞价、科学规范、廉洁高效的原则</w:t>
            </w:r>
          </w:p>
        </w:tc>
      </w:tr>
      <w:tr w14:paraId="39EE1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55CCCC84">
            <w:pPr>
              <w:spacing w:line="400" w:lineRule="exact"/>
              <w:jc w:val="center"/>
              <w:rPr>
                <w:rFonts w:hint="eastAsia" w:ascii="宋体" w:hAnsi="宋体" w:cs="宋体"/>
                <w:color w:val="auto"/>
              </w:rPr>
            </w:pPr>
            <w:r>
              <w:rPr>
                <w:rFonts w:hint="eastAsia" w:ascii="宋体" w:hAnsi="宋体" w:cs="宋体"/>
                <w:b/>
                <w:bCs/>
                <w:color w:val="auto"/>
              </w:rPr>
              <w:t>（</w:t>
            </w:r>
            <w:r>
              <w:rPr>
                <w:rFonts w:hint="eastAsia" w:ascii="宋体" w:hAnsi="宋体" w:cs="宋体"/>
                <w:b/>
                <w:bCs/>
                <w:color w:val="auto"/>
                <w:lang w:val="en-US" w:eastAsia="zh-CN"/>
              </w:rPr>
              <w:t>四</w:t>
            </w:r>
            <w:r>
              <w:rPr>
                <w:rFonts w:hint="eastAsia" w:ascii="宋体" w:hAnsi="宋体" w:cs="宋体"/>
                <w:b/>
                <w:bCs/>
                <w:color w:val="auto"/>
              </w:rPr>
              <w:t>）定标方法</w:t>
            </w:r>
          </w:p>
        </w:tc>
      </w:tr>
      <w:tr w14:paraId="45EF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77838D55">
            <w:pPr>
              <w:spacing w:line="400" w:lineRule="exact"/>
              <w:jc w:val="center"/>
              <w:rPr>
                <w:rFonts w:hint="eastAsia" w:ascii="宋体" w:hAnsi="宋体" w:cs="宋体"/>
                <w:color w:val="auto"/>
              </w:rPr>
            </w:pPr>
            <w:r>
              <w:rPr>
                <w:rFonts w:hint="eastAsia" w:ascii="宋体" w:hAnsi="宋体" w:cs="宋体"/>
                <w:color w:val="auto"/>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29FFFDBE">
            <w:pPr>
              <w:spacing w:line="400" w:lineRule="exact"/>
              <w:jc w:val="center"/>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183F1E27">
            <w:pPr>
              <w:spacing w:line="400" w:lineRule="exact"/>
              <w:jc w:val="center"/>
              <w:rPr>
                <w:rFonts w:hint="eastAsia" w:ascii="宋体" w:hAnsi="宋体" w:cs="宋体"/>
                <w:color w:val="auto"/>
              </w:rPr>
            </w:pPr>
            <w:r>
              <w:rPr>
                <w:rFonts w:hint="eastAsia" w:ascii="宋体" w:hAnsi="宋体" w:cs="宋体"/>
                <w:color w:val="auto"/>
              </w:rPr>
              <w:t>定标方法</w:t>
            </w:r>
          </w:p>
        </w:tc>
        <w:tc>
          <w:tcPr>
            <w:tcW w:w="5807" w:type="dxa"/>
            <w:tcBorders>
              <w:top w:val="single" w:color="000000" w:sz="6" w:space="0"/>
              <w:left w:val="single" w:color="000000" w:sz="6" w:space="0"/>
              <w:bottom w:val="single" w:color="000000" w:sz="6" w:space="0"/>
            </w:tcBorders>
            <w:vAlign w:val="center"/>
          </w:tcPr>
          <w:p w14:paraId="533E1B44">
            <w:pPr>
              <w:wordWrap w:val="0"/>
              <w:adjustRightInd w:val="0"/>
              <w:snapToGrid w:val="0"/>
              <w:spacing w:line="360" w:lineRule="auto"/>
              <w:rPr>
                <w:rFonts w:hint="eastAsia" w:ascii="宋体" w:hAnsi="宋体" w:cs="宋体"/>
                <w:color w:val="auto"/>
                <w:szCs w:val="21"/>
              </w:rPr>
            </w:pPr>
            <w:r>
              <w:rPr>
                <w:rFonts w:hint="eastAsia" w:ascii="宋体" w:hAnsi="宋体" w:cs="宋体"/>
                <w:color w:val="auto"/>
                <w:szCs w:val="21"/>
              </w:rPr>
              <w:t xml:space="preserve">□ 核查随机法  </w:t>
            </w:r>
          </w:p>
          <w:p w14:paraId="5663D5E0">
            <w:pPr>
              <w:pStyle w:val="27"/>
              <w:adjustRightInd w:val="0"/>
              <w:snapToGrid w:val="0"/>
              <w:spacing w:line="360" w:lineRule="auto"/>
              <w:ind w:firstLine="0" w:firstLineChars="0"/>
              <w:rPr>
                <w:rFonts w:ascii="宋体" w:hAnsi="宋体" w:cs="宋体"/>
                <w:color w:val="auto"/>
                <w:szCs w:val="21"/>
              </w:rPr>
            </w:pPr>
            <w:r>
              <w:rPr>
                <w:rFonts w:ascii="宋体" w:hAnsi="宋体" w:cs="宋体"/>
                <w:color w:val="auto"/>
                <w:szCs w:val="21"/>
              </w:rPr>
              <w:t>☑ 票决法</w:t>
            </w:r>
          </w:p>
          <w:p w14:paraId="4200AC6F">
            <w:pPr>
              <w:wordWrap w:val="0"/>
              <w:adjustRightInd w:val="0"/>
              <w:snapToGrid w:val="0"/>
              <w:spacing w:line="360" w:lineRule="auto"/>
              <w:rPr>
                <w:rFonts w:hint="eastAsia" w:ascii="宋体" w:hAnsi="宋体" w:cs="宋体"/>
                <w:color w:val="auto"/>
                <w:szCs w:val="21"/>
              </w:rPr>
            </w:pPr>
            <w:r>
              <w:rPr>
                <w:rFonts w:hint="eastAsia" w:ascii="宋体" w:hAnsi="宋体" w:cs="宋体"/>
                <w:color w:val="auto"/>
                <w:szCs w:val="21"/>
              </w:rPr>
              <w:t>□ 集体议事法</w:t>
            </w:r>
          </w:p>
          <w:p w14:paraId="1FE91B4C">
            <w:pPr>
              <w:adjustRightInd w:val="0"/>
              <w:snapToGrid w:val="0"/>
              <w:spacing w:line="360" w:lineRule="auto"/>
              <w:rPr>
                <w:rFonts w:hint="eastAsia" w:ascii="宋体" w:hAnsi="宋体" w:cs="宋体"/>
                <w:color w:val="auto"/>
              </w:rPr>
            </w:pPr>
            <w:r>
              <w:rPr>
                <w:rFonts w:hint="eastAsia" w:ascii="宋体" w:hAnsi="宋体" w:cs="宋体"/>
                <w:color w:val="auto"/>
                <w:szCs w:val="21"/>
              </w:rPr>
              <w:t>□ 其他方法</w:t>
            </w:r>
          </w:p>
        </w:tc>
      </w:tr>
      <w:tr w14:paraId="6F468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644BC44A">
            <w:pPr>
              <w:spacing w:line="400" w:lineRule="exact"/>
              <w:jc w:val="center"/>
              <w:rPr>
                <w:rFonts w:hint="eastAsia" w:ascii="宋体" w:hAnsi="宋体" w:cs="宋体"/>
                <w:color w:val="auto"/>
              </w:rPr>
            </w:pPr>
            <w:r>
              <w:rPr>
                <w:rFonts w:hint="eastAsia" w:ascii="宋体" w:hAnsi="宋体" w:cs="宋体"/>
                <w:color w:val="auto"/>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7D1FB996">
            <w:pPr>
              <w:spacing w:line="400" w:lineRule="exact"/>
              <w:jc w:val="center"/>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rPr>
              <w:t>.1.2</w:t>
            </w:r>
          </w:p>
        </w:tc>
        <w:tc>
          <w:tcPr>
            <w:tcW w:w="2490" w:type="dxa"/>
            <w:tcBorders>
              <w:top w:val="single" w:color="000000" w:sz="6" w:space="0"/>
              <w:left w:val="single" w:color="000000" w:sz="6" w:space="0"/>
              <w:bottom w:val="single" w:color="000000" w:sz="6" w:space="0"/>
              <w:right w:val="single" w:color="000000" w:sz="6" w:space="0"/>
            </w:tcBorders>
            <w:vAlign w:val="center"/>
          </w:tcPr>
          <w:p w14:paraId="3C76E7AD">
            <w:pPr>
              <w:spacing w:line="400" w:lineRule="exact"/>
              <w:jc w:val="center"/>
              <w:rPr>
                <w:rFonts w:hint="eastAsia" w:ascii="宋体" w:hAnsi="宋体" w:cs="宋体"/>
                <w:color w:val="auto"/>
              </w:rPr>
            </w:pPr>
            <w:r>
              <w:rPr>
                <w:rFonts w:hint="eastAsia" w:ascii="宋体" w:hAnsi="宋体" w:cs="宋体"/>
                <w:color w:val="auto"/>
              </w:rPr>
              <w:t>票决法</w:t>
            </w:r>
          </w:p>
        </w:tc>
        <w:tc>
          <w:tcPr>
            <w:tcW w:w="5807" w:type="dxa"/>
            <w:tcBorders>
              <w:top w:val="single" w:color="000000" w:sz="6" w:space="0"/>
              <w:left w:val="single" w:color="000000" w:sz="6" w:space="0"/>
              <w:bottom w:val="single" w:color="000000" w:sz="6" w:space="0"/>
            </w:tcBorders>
          </w:tcPr>
          <w:p w14:paraId="544D8874">
            <w:pPr>
              <w:spacing w:line="400" w:lineRule="exact"/>
              <w:rPr>
                <w:rFonts w:hint="eastAsia" w:ascii="宋体" w:hAnsi="宋体" w:cs="宋体"/>
                <w:color w:val="auto"/>
              </w:rPr>
            </w:pPr>
            <w:r>
              <w:rPr>
                <w:rFonts w:hint="eastAsia" w:ascii="宋体" w:hAnsi="宋体" w:cs="宋体"/>
                <w:color w:val="auto"/>
              </w:rPr>
              <w:t>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tc>
      </w:tr>
      <w:tr w14:paraId="322F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0071" w:type="dxa"/>
            <w:gridSpan w:val="4"/>
            <w:tcBorders>
              <w:top w:val="single" w:color="000000" w:sz="6" w:space="0"/>
              <w:bottom w:val="single" w:color="000000" w:sz="6" w:space="0"/>
            </w:tcBorders>
            <w:vAlign w:val="center"/>
          </w:tcPr>
          <w:p w14:paraId="5DC9B7FF">
            <w:pPr>
              <w:spacing w:line="400" w:lineRule="exact"/>
              <w:jc w:val="center"/>
              <w:rPr>
                <w:rFonts w:hint="eastAsia" w:ascii="宋体" w:hAnsi="宋体" w:cs="宋体"/>
                <w:color w:val="auto"/>
              </w:rPr>
            </w:pPr>
            <w:r>
              <w:rPr>
                <w:rFonts w:hint="eastAsia" w:ascii="宋体" w:hAnsi="宋体" w:cs="宋体"/>
                <w:b/>
                <w:bCs/>
                <w:color w:val="auto"/>
              </w:rPr>
              <w:t>（</w:t>
            </w:r>
            <w:r>
              <w:rPr>
                <w:rFonts w:hint="eastAsia" w:ascii="宋体" w:hAnsi="宋体" w:cs="宋体"/>
                <w:b/>
                <w:bCs/>
                <w:color w:val="auto"/>
                <w:lang w:val="en-US" w:eastAsia="zh-CN"/>
              </w:rPr>
              <w:t>五</w:t>
            </w:r>
            <w:r>
              <w:rPr>
                <w:rFonts w:hint="eastAsia" w:ascii="宋体" w:hAnsi="宋体" w:cs="宋体"/>
                <w:b/>
                <w:bCs/>
                <w:color w:val="auto"/>
              </w:rPr>
              <w:t>）定标因素</w:t>
            </w:r>
          </w:p>
        </w:tc>
      </w:tr>
      <w:tr w14:paraId="73050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D11441E">
            <w:pPr>
              <w:spacing w:line="400" w:lineRule="exact"/>
              <w:jc w:val="center"/>
              <w:rPr>
                <w:rFonts w:hint="eastAsia" w:ascii="宋体" w:hAnsi="宋体" w:cs="宋体"/>
                <w:b/>
                <w:bCs/>
                <w:color w:val="auto"/>
              </w:rPr>
            </w:pPr>
            <w:r>
              <w:rPr>
                <w:rFonts w:hint="eastAsia" w:ascii="宋体" w:hAnsi="宋体" w:cs="宋体"/>
                <w:b/>
                <w:bCs/>
                <w:color w:val="auto"/>
              </w:rPr>
              <w:t>7</w:t>
            </w:r>
          </w:p>
        </w:tc>
        <w:tc>
          <w:tcPr>
            <w:tcW w:w="1050" w:type="dxa"/>
            <w:tcBorders>
              <w:top w:val="single" w:color="000000" w:sz="6" w:space="0"/>
              <w:left w:val="single" w:color="000000" w:sz="6" w:space="0"/>
              <w:bottom w:val="single" w:color="000000" w:sz="6" w:space="0"/>
              <w:right w:val="single" w:color="000000" w:sz="6" w:space="0"/>
            </w:tcBorders>
            <w:vAlign w:val="center"/>
          </w:tcPr>
          <w:p w14:paraId="451EA7CF">
            <w:pPr>
              <w:spacing w:line="400" w:lineRule="exact"/>
              <w:jc w:val="center"/>
              <w:rPr>
                <w:rFonts w:hint="default" w:ascii="宋体" w:hAnsi="宋体" w:eastAsia="宋体" w:cs="宋体"/>
                <w:b/>
                <w:bCs/>
                <w:color w:val="auto"/>
                <w:lang w:val="en-US" w:eastAsia="zh-CN"/>
              </w:rPr>
            </w:pPr>
            <w:r>
              <w:rPr>
                <w:rFonts w:hint="eastAsia" w:ascii="宋体" w:hAnsi="宋体" w:cs="宋体"/>
                <w:b/>
                <w:bCs/>
                <w:color w:val="auto"/>
                <w:lang w:val="en-US" w:eastAsia="zh-CN"/>
              </w:rPr>
              <w:t>5.2</w:t>
            </w:r>
          </w:p>
        </w:tc>
        <w:tc>
          <w:tcPr>
            <w:tcW w:w="2490" w:type="dxa"/>
            <w:tcBorders>
              <w:top w:val="single" w:color="000000" w:sz="6" w:space="0"/>
              <w:left w:val="single" w:color="000000" w:sz="6" w:space="0"/>
              <w:bottom w:val="single" w:color="000000" w:sz="6" w:space="0"/>
              <w:right w:val="single" w:color="000000" w:sz="6" w:space="0"/>
            </w:tcBorders>
            <w:vAlign w:val="center"/>
          </w:tcPr>
          <w:p w14:paraId="178DB8E4">
            <w:pPr>
              <w:spacing w:line="400" w:lineRule="exact"/>
              <w:jc w:val="center"/>
              <w:rPr>
                <w:rFonts w:hint="eastAsia" w:ascii="宋体" w:hAnsi="宋体" w:cs="宋体"/>
                <w:b/>
                <w:bCs/>
                <w:color w:val="auto"/>
                <w:highlight w:val="yellow"/>
              </w:rPr>
            </w:pPr>
            <w:r>
              <w:rPr>
                <w:rFonts w:hint="eastAsia" w:ascii="宋体" w:hAnsi="宋体" w:cs="宋体"/>
                <w:b/>
                <w:bCs/>
                <w:color w:val="auto"/>
              </w:rPr>
              <w:t>定标因素</w:t>
            </w:r>
          </w:p>
        </w:tc>
        <w:tc>
          <w:tcPr>
            <w:tcW w:w="5807" w:type="dxa"/>
            <w:tcBorders>
              <w:top w:val="single" w:color="000000" w:sz="6" w:space="0"/>
              <w:left w:val="single" w:color="000000" w:sz="6" w:space="0"/>
              <w:bottom w:val="single" w:color="000000" w:sz="6" w:space="0"/>
            </w:tcBorders>
          </w:tcPr>
          <w:p w14:paraId="1A4869CF">
            <w:pPr>
              <w:spacing w:line="400" w:lineRule="exact"/>
              <w:rPr>
                <w:rFonts w:hint="eastAsia" w:ascii="宋体" w:hAnsi="宋体" w:cs="宋体"/>
                <w:b/>
                <w:bCs/>
                <w:color w:val="auto"/>
                <w:u w:val="single"/>
              </w:rPr>
            </w:pPr>
            <w:r>
              <w:rPr>
                <w:rFonts w:hint="eastAsia" w:ascii="宋体" w:hAnsi="宋体" w:cs="宋体"/>
                <w:b/>
                <w:bCs/>
                <w:color w:val="auto"/>
                <w:u w:val="single"/>
              </w:rPr>
              <w:t>工</w:t>
            </w:r>
            <w:r>
              <w:rPr>
                <w:rFonts w:hint="eastAsia" w:cs="宋体"/>
                <w:b/>
                <w:bCs/>
                <w:color w:val="auto"/>
                <w:u w:val="single"/>
                <w:lang w:val="en-US" w:eastAsia="zh-CN"/>
              </w:rPr>
              <w:t>监理</w:t>
            </w:r>
            <w:r>
              <w:rPr>
                <w:rFonts w:hint="eastAsia" w:ascii="宋体" w:hAnsi="宋体" w:cs="宋体"/>
                <w:b/>
                <w:bCs/>
                <w:color w:val="auto"/>
                <w:u w:val="single"/>
              </w:rPr>
              <w:t>招标重点考量：</w:t>
            </w:r>
          </w:p>
          <w:p w14:paraId="7AFEFA50">
            <w:pPr>
              <w:spacing w:line="400" w:lineRule="exact"/>
              <w:rPr>
                <w:rFonts w:hint="eastAsia" w:ascii="宋体" w:hAnsi="宋体" w:cs="宋体"/>
                <w:color w:val="auto"/>
                <w:u w:val="single"/>
              </w:rPr>
            </w:pPr>
            <w:r>
              <w:rPr>
                <w:rFonts w:hint="eastAsia" w:ascii="宋体" w:hAnsi="宋体" w:cs="宋体"/>
                <w:color w:val="auto"/>
                <w:u w:val="single"/>
              </w:rPr>
              <w:t>评标委员会的评审结论（推荐的中标候选人定性评审评标结论表）</w:t>
            </w:r>
          </w:p>
          <w:p w14:paraId="680CFE6E">
            <w:pPr>
              <w:spacing w:line="400" w:lineRule="exact"/>
              <w:rPr>
                <w:rFonts w:hint="eastAsia" w:ascii="宋体" w:hAnsi="宋体" w:cs="宋体"/>
                <w:color w:val="auto"/>
                <w:u w:val="single"/>
              </w:rPr>
            </w:pPr>
            <w:r>
              <w:rPr>
                <w:rFonts w:hint="eastAsia" w:ascii="宋体" w:hAnsi="宋体" w:cs="宋体"/>
                <w:color w:val="auto"/>
                <w:u w:val="single"/>
              </w:rPr>
              <w:t>价格因素（商务标）</w:t>
            </w:r>
          </w:p>
          <w:p w14:paraId="2DB29A63">
            <w:pPr>
              <w:spacing w:line="400" w:lineRule="exact"/>
              <w:rPr>
                <w:rFonts w:hint="eastAsia" w:ascii="宋体" w:hAnsi="宋体" w:cs="宋体"/>
                <w:color w:val="auto"/>
                <w:u w:val="single"/>
              </w:rPr>
            </w:pPr>
            <w:r>
              <w:rPr>
                <w:rFonts w:hint="eastAsia" w:ascii="宋体" w:hAnsi="宋体" w:cs="宋体"/>
                <w:color w:val="auto"/>
                <w:u w:val="single"/>
              </w:rPr>
              <w:t>企业实力/企业综合实力（企业资质、项目</w:t>
            </w:r>
            <w:r>
              <w:rPr>
                <w:rFonts w:hint="eastAsia" w:cs="宋体"/>
                <w:color w:val="auto"/>
                <w:u w:val="single"/>
                <w:lang w:val="en-US" w:eastAsia="zh-CN"/>
              </w:rPr>
              <w:t>总监</w:t>
            </w:r>
            <w:r>
              <w:rPr>
                <w:rFonts w:hint="eastAsia" w:ascii="宋体" w:hAnsi="宋体" w:cs="宋体"/>
                <w:color w:val="auto"/>
                <w:u w:val="single"/>
              </w:rPr>
              <w:t>、</w:t>
            </w:r>
            <w:r>
              <w:rPr>
                <w:rFonts w:hint="eastAsia" w:cs="宋体"/>
                <w:color w:val="auto"/>
                <w:u w:val="single"/>
                <w:lang w:val="en-US" w:eastAsia="zh-CN"/>
              </w:rPr>
              <w:t>企业业绩、荣誉</w:t>
            </w:r>
            <w:r>
              <w:rPr>
                <w:rFonts w:hint="eastAsia" w:ascii="宋体" w:hAnsi="宋体" w:cs="宋体"/>
                <w:color w:val="auto"/>
                <w:u w:val="single"/>
              </w:rPr>
              <w:t>、财务要求等）</w:t>
            </w:r>
          </w:p>
          <w:p w14:paraId="4D528E01">
            <w:pPr>
              <w:spacing w:line="400" w:lineRule="exact"/>
              <w:rPr>
                <w:rFonts w:hint="eastAsia" w:ascii="宋体" w:hAnsi="宋体" w:cs="宋体"/>
                <w:color w:val="auto"/>
                <w:u w:val="single"/>
              </w:rPr>
            </w:pPr>
            <w:r>
              <w:rPr>
                <w:rFonts w:hint="eastAsia" w:ascii="宋体" w:hAnsi="宋体" w:cs="宋体"/>
                <w:color w:val="auto"/>
                <w:u w:val="single"/>
              </w:rPr>
              <w:t>企业信誉/信用信息（信用信息查询）</w:t>
            </w:r>
          </w:p>
          <w:p w14:paraId="0527486D">
            <w:pPr>
              <w:spacing w:line="400" w:lineRule="exact"/>
              <w:rPr>
                <w:rFonts w:hint="eastAsia" w:ascii="宋体" w:hAnsi="宋体" w:cs="宋体"/>
                <w:color w:val="auto"/>
                <w:u w:val="single"/>
              </w:rPr>
            </w:pPr>
            <w:r>
              <w:rPr>
                <w:rFonts w:hint="eastAsia" w:ascii="宋体" w:hAnsi="宋体" w:cs="宋体"/>
                <w:color w:val="auto"/>
                <w:u w:val="single"/>
              </w:rPr>
              <w:t>投标方案/</w:t>
            </w:r>
            <w:r>
              <w:rPr>
                <w:rFonts w:hint="eastAsia" w:cs="宋体"/>
                <w:color w:val="auto"/>
                <w:u w:val="single"/>
                <w:lang w:val="en-US" w:eastAsia="zh-CN"/>
              </w:rPr>
              <w:t>监理大纲</w:t>
            </w:r>
            <w:r>
              <w:rPr>
                <w:rFonts w:hint="eastAsia" w:ascii="宋体" w:hAnsi="宋体" w:cs="宋体"/>
                <w:color w:val="auto"/>
                <w:u w:val="single"/>
              </w:rPr>
              <w:t>（</w:t>
            </w:r>
            <w:r>
              <w:rPr>
                <w:rFonts w:hint="eastAsia" w:cs="宋体"/>
                <w:color w:val="auto"/>
                <w:u w:val="single"/>
                <w:lang w:val="en-US" w:eastAsia="zh-CN"/>
              </w:rPr>
              <w:t>监理大纲</w:t>
            </w:r>
            <w:r>
              <w:rPr>
                <w:rFonts w:hint="eastAsia" w:ascii="宋体" w:hAnsi="宋体" w:cs="宋体"/>
                <w:color w:val="auto"/>
                <w:u w:val="single"/>
              </w:rPr>
              <w:t>）</w:t>
            </w:r>
          </w:p>
          <w:p w14:paraId="6E455E01">
            <w:pPr>
              <w:spacing w:line="400" w:lineRule="exact"/>
              <w:rPr>
                <w:rFonts w:hint="eastAsia" w:ascii="宋体" w:hAnsi="宋体" w:cs="宋体"/>
                <w:color w:val="auto"/>
                <w:lang w:val="zh-CN"/>
              </w:rPr>
            </w:pPr>
            <w:r>
              <w:rPr>
                <w:rFonts w:hint="eastAsia" w:cs="宋体"/>
                <w:color w:val="auto"/>
                <w:u w:val="single"/>
                <w:lang w:val="en-US" w:eastAsia="zh-CN"/>
              </w:rPr>
              <w:t>承诺</w:t>
            </w:r>
            <w:r>
              <w:rPr>
                <w:rFonts w:hint="eastAsia" w:ascii="宋体" w:hAnsi="宋体" w:cs="宋体"/>
                <w:color w:val="auto"/>
                <w:u w:val="single"/>
              </w:rPr>
              <w:t>（</w:t>
            </w:r>
            <w:r>
              <w:rPr>
                <w:rFonts w:hint="eastAsia" w:cs="宋体"/>
                <w:color w:val="auto"/>
                <w:u w:val="single"/>
                <w:lang w:val="en-US" w:eastAsia="zh-CN"/>
              </w:rPr>
              <w:t>优惠承诺、服务承诺以及其他实质性承诺</w:t>
            </w:r>
            <w:r>
              <w:rPr>
                <w:rFonts w:hint="eastAsia" w:ascii="宋体" w:hAnsi="宋体" w:cs="宋体"/>
                <w:color w:val="auto"/>
                <w:u w:val="single"/>
              </w:rPr>
              <w:t>）</w:t>
            </w:r>
          </w:p>
        </w:tc>
      </w:tr>
      <w:tr w14:paraId="1EFF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071" w:type="dxa"/>
            <w:gridSpan w:val="4"/>
            <w:tcBorders>
              <w:top w:val="single" w:color="000000" w:sz="6" w:space="0"/>
              <w:bottom w:val="single" w:color="000000" w:sz="6" w:space="0"/>
            </w:tcBorders>
            <w:vAlign w:val="center"/>
          </w:tcPr>
          <w:p w14:paraId="12DD0DBF">
            <w:pPr>
              <w:spacing w:line="400" w:lineRule="exact"/>
              <w:jc w:val="center"/>
              <w:rPr>
                <w:rFonts w:hint="eastAsia" w:ascii="宋体" w:hAnsi="宋体" w:cs="宋体"/>
                <w:color w:val="auto"/>
              </w:rPr>
            </w:pPr>
            <w:r>
              <w:rPr>
                <w:rFonts w:hint="eastAsia" w:ascii="宋体" w:hAnsi="宋体" w:cs="宋体"/>
                <w:b/>
                <w:bCs/>
                <w:color w:val="auto"/>
              </w:rPr>
              <w:t>（</w:t>
            </w:r>
            <w:r>
              <w:rPr>
                <w:rFonts w:hint="eastAsia" w:ascii="宋体" w:hAnsi="宋体" w:cs="宋体"/>
                <w:b/>
                <w:bCs/>
                <w:color w:val="auto"/>
                <w:lang w:val="en-US" w:eastAsia="zh-CN"/>
              </w:rPr>
              <w:t>六</w:t>
            </w:r>
            <w:r>
              <w:rPr>
                <w:rFonts w:hint="eastAsia" w:ascii="宋体" w:hAnsi="宋体" w:cs="宋体"/>
                <w:b/>
                <w:bCs/>
                <w:color w:val="auto"/>
              </w:rPr>
              <w:t>）定标委员会的组建</w:t>
            </w:r>
          </w:p>
        </w:tc>
      </w:tr>
      <w:tr w14:paraId="495A5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527CA430">
            <w:pPr>
              <w:spacing w:line="400" w:lineRule="exact"/>
              <w:jc w:val="center"/>
              <w:rPr>
                <w:rFonts w:hint="eastAsia" w:ascii="宋体" w:hAnsi="宋体" w:cs="宋体"/>
                <w:color w:val="auto"/>
              </w:rPr>
            </w:pPr>
            <w:r>
              <w:rPr>
                <w:rFonts w:hint="eastAsia" w:ascii="宋体" w:hAnsi="宋体" w:cs="宋体"/>
                <w:color w:val="auto"/>
              </w:rPr>
              <w:t>8</w:t>
            </w:r>
          </w:p>
        </w:tc>
        <w:tc>
          <w:tcPr>
            <w:tcW w:w="1050" w:type="dxa"/>
            <w:tcBorders>
              <w:top w:val="single" w:color="000000" w:sz="6" w:space="0"/>
              <w:left w:val="single" w:color="000000" w:sz="6" w:space="0"/>
              <w:bottom w:val="single" w:color="000000" w:sz="6" w:space="0"/>
              <w:right w:val="single" w:color="000000" w:sz="6" w:space="0"/>
            </w:tcBorders>
            <w:vAlign w:val="center"/>
          </w:tcPr>
          <w:p w14:paraId="78BE6195">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6.1</w:t>
            </w:r>
          </w:p>
        </w:tc>
        <w:tc>
          <w:tcPr>
            <w:tcW w:w="8297" w:type="dxa"/>
            <w:gridSpan w:val="2"/>
            <w:tcBorders>
              <w:top w:val="single" w:color="000000" w:sz="6" w:space="0"/>
              <w:left w:val="single" w:color="000000" w:sz="6" w:space="0"/>
              <w:bottom w:val="single" w:color="000000" w:sz="6" w:space="0"/>
            </w:tcBorders>
          </w:tcPr>
          <w:p w14:paraId="3EED5BE5">
            <w:pPr>
              <w:spacing w:line="400" w:lineRule="exact"/>
              <w:rPr>
                <w:rFonts w:hint="eastAsia" w:ascii="宋体" w:hAnsi="宋体" w:cs="宋体"/>
                <w:color w:val="auto"/>
              </w:rPr>
            </w:pPr>
            <w:r>
              <w:rPr>
                <w:rFonts w:hint="eastAsia" w:ascii="宋体" w:hAnsi="宋体" w:cs="宋体"/>
                <w:color w:val="auto"/>
              </w:rPr>
              <w:t>招标人组建定标委员会，负责对中标候选人进行核查和组织召开定标会议。定标工作由定标委员会独立完成，定标委员会成员数量为5人，招标人单位成员不得低于成员总数的五分之三。定标委员会组长由招标人确定原则上由招标人的法定代表人、主要负责人或分管负责人担任，其他成员可由招标人自行选定。定标委员会成员与中标候选人利害关系的应当主动申请回避。定标委员会名单在中标结果确定前应当保密定标委员会应当对定标过程保密，对所提出的定标意见承担个人责任，不得私下与投标人或者其他利害关系人接触。</w:t>
            </w:r>
          </w:p>
        </w:tc>
      </w:tr>
      <w:tr w14:paraId="05AFE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4CB5A121">
            <w:pPr>
              <w:spacing w:line="400" w:lineRule="exact"/>
              <w:jc w:val="center"/>
              <w:rPr>
                <w:rFonts w:hint="eastAsia" w:ascii="宋体" w:hAnsi="宋体" w:cs="宋体"/>
                <w:color w:val="auto"/>
              </w:rPr>
            </w:pPr>
            <w:r>
              <w:rPr>
                <w:rFonts w:hint="eastAsia" w:ascii="宋体" w:hAnsi="宋体" w:cs="宋体"/>
                <w:color w:val="auto"/>
              </w:rPr>
              <w:t>9</w:t>
            </w:r>
          </w:p>
        </w:tc>
        <w:tc>
          <w:tcPr>
            <w:tcW w:w="1050" w:type="dxa"/>
            <w:tcBorders>
              <w:top w:val="single" w:color="000000" w:sz="6" w:space="0"/>
              <w:left w:val="single" w:color="000000" w:sz="6" w:space="0"/>
              <w:bottom w:val="single" w:color="000000" w:sz="6" w:space="0"/>
              <w:right w:val="single" w:color="000000" w:sz="6" w:space="0"/>
            </w:tcBorders>
            <w:vAlign w:val="center"/>
          </w:tcPr>
          <w:p w14:paraId="481D0A57">
            <w:pPr>
              <w:spacing w:line="40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6.2</w:t>
            </w:r>
          </w:p>
        </w:tc>
        <w:tc>
          <w:tcPr>
            <w:tcW w:w="2490" w:type="dxa"/>
            <w:tcBorders>
              <w:top w:val="single" w:color="000000" w:sz="6" w:space="0"/>
              <w:left w:val="single" w:color="000000" w:sz="6" w:space="0"/>
              <w:bottom w:val="single" w:color="000000" w:sz="6" w:space="0"/>
              <w:right w:val="single" w:color="000000" w:sz="6" w:space="0"/>
            </w:tcBorders>
            <w:vAlign w:val="center"/>
          </w:tcPr>
          <w:p w14:paraId="086EFF2F">
            <w:pPr>
              <w:spacing w:line="400" w:lineRule="exact"/>
              <w:jc w:val="center"/>
              <w:rPr>
                <w:rFonts w:hint="eastAsia" w:ascii="宋体" w:hAnsi="宋体" w:cs="宋体"/>
                <w:color w:val="auto"/>
              </w:rPr>
            </w:pPr>
            <w:r>
              <w:rPr>
                <w:rFonts w:hint="eastAsia" w:ascii="宋体" w:hAnsi="宋体" w:cs="宋体"/>
                <w:color w:val="auto"/>
              </w:rPr>
              <w:t>定标委员会的人数</w:t>
            </w:r>
          </w:p>
        </w:tc>
        <w:tc>
          <w:tcPr>
            <w:tcW w:w="5807" w:type="dxa"/>
            <w:tcBorders>
              <w:top w:val="single" w:color="000000" w:sz="6" w:space="0"/>
              <w:left w:val="single" w:color="000000" w:sz="6" w:space="0"/>
              <w:bottom w:val="single" w:color="000000" w:sz="6" w:space="0"/>
            </w:tcBorders>
            <w:vAlign w:val="center"/>
          </w:tcPr>
          <w:p w14:paraId="04D4B8A6">
            <w:pPr>
              <w:spacing w:line="400" w:lineRule="exact"/>
              <w:rPr>
                <w:rFonts w:hint="eastAsia" w:ascii="宋体" w:hAnsi="宋体" w:cs="宋体"/>
                <w:color w:val="auto"/>
              </w:rPr>
            </w:pPr>
            <w:r>
              <w:rPr>
                <w:rFonts w:hint="eastAsia" w:ascii="宋体" w:hAnsi="宋体" w:cs="宋体"/>
                <w:color w:val="auto"/>
              </w:rPr>
              <w:t>见投标人须知前附表</w:t>
            </w:r>
          </w:p>
        </w:tc>
      </w:tr>
      <w:tr w14:paraId="3FF95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0071" w:type="dxa"/>
            <w:gridSpan w:val="4"/>
            <w:tcBorders>
              <w:top w:val="single" w:color="000000" w:sz="6" w:space="0"/>
              <w:bottom w:val="single" w:color="000000" w:sz="6" w:space="0"/>
            </w:tcBorders>
            <w:vAlign w:val="center"/>
          </w:tcPr>
          <w:p w14:paraId="4AF0A375">
            <w:pPr>
              <w:spacing w:line="400" w:lineRule="exact"/>
              <w:jc w:val="center"/>
              <w:rPr>
                <w:rFonts w:hint="eastAsia" w:ascii="宋体" w:hAnsi="宋体" w:cs="宋体"/>
                <w:color w:val="auto"/>
              </w:rPr>
            </w:pPr>
            <w:r>
              <w:rPr>
                <w:rFonts w:hint="eastAsia" w:ascii="宋体" w:hAnsi="宋体" w:cs="宋体"/>
                <w:b/>
                <w:bCs/>
                <w:color w:val="auto"/>
              </w:rPr>
              <w:t>（</w:t>
            </w:r>
            <w:r>
              <w:rPr>
                <w:rFonts w:hint="eastAsia" w:ascii="宋体" w:hAnsi="宋体" w:cs="宋体"/>
                <w:b/>
                <w:bCs/>
                <w:color w:val="auto"/>
                <w:lang w:val="en-US" w:eastAsia="zh-CN"/>
              </w:rPr>
              <w:t>七</w:t>
            </w:r>
            <w:r>
              <w:rPr>
                <w:rFonts w:hint="eastAsia" w:ascii="宋体" w:hAnsi="宋体" w:cs="宋体"/>
                <w:b/>
                <w:bCs/>
                <w:color w:val="auto"/>
              </w:rPr>
              <w:t>）定标会议主要议程</w:t>
            </w:r>
          </w:p>
        </w:tc>
      </w:tr>
      <w:tr w14:paraId="2EEC5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7E3F1EA1">
            <w:pPr>
              <w:spacing w:line="400" w:lineRule="exact"/>
              <w:jc w:val="center"/>
              <w:rPr>
                <w:rFonts w:hint="eastAsia" w:ascii="宋体" w:hAnsi="宋体" w:cs="宋体"/>
                <w:color w:val="auto"/>
              </w:rPr>
            </w:pPr>
            <w:r>
              <w:rPr>
                <w:rFonts w:hint="eastAsia" w:ascii="宋体" w:hAnsi="宋体" w:cs="宋体"/>
                <w:color w:val="auto"/>
              </w:rPr>
              <w:t>10</w:t>
            </w:r>
          </w:p>
        </w:tc>
        <w:tc>
          <w:tcPr>
            <w:tcW w:w="1050" w:type="dxa"/>
            <w:tcBorders>
              <w:top w:val="single" w:color="000000" w:sz="6" w:space="0"/>
              <w:left w:val="single" w:color="000000" w:sz="6" w:space="0"/>
              <w:bottom w:val="single" w:color="000000" w:sz="6" w:space="0"/>
              <w:right w:val="single" w:color="000000" w:sz="6" w:space="0"/>
            </w:tcBorders>
            <w:vAlign w:val="center"/>
          </w:tcPr>
          <w:p w14:paraId="7B2E4BB1">
            <w:pPr>
              <w:spacing w:line="400" w:lineRule="exact"/>
              <w:jc w:val="center"/>
              <w:rPr>
                <w:rFonts w:hint="eastAsia" w:ascii="宋体" w:hAnsi="宋体" w:cs="宋体"/>
                <w:color w:val="auto"/>
              </w:rPr>
            </w:pPr>
            <w:r>
              <w:rPr>
                <w:rFonts w:hint="eastAsia" w:ascii="宋体" w:hAnsi="宋体" w:cs="宋体"/>
                <w:color w:val="auto"/>
                <w:lang w:val="en-US" w:eastAsia="zh-CN"/>
              </w:rPr>
              <w:t>7</w:t>
            </w:r>
            <w:r>
              <w:rPr>
                <w:rFonts w:hint="eastAsia" w:ascii="宋体" w:hAnsi="宋体" w:cs="宋体"/>
                <w:color w:val="auto"/>
              </w:rPr>
              <w:t>.1</w:t>
            </w:r>
          </w:p>
        </w:tc>
        <w:tc>
          <w:tcPr>
            <w:tcW w:w="2490" w:type="dxa"/>
            <w:tcBorders>
              <w:top w:val="single" w:color="000000" w:sz="6" w:space="0"/>
              <w:left w:val="single" w:color="000000" w:sz="6" w:space="0"/>
              <w:bottom w:val="single" w:color="000000" w:sz="6" w:space="0"/>
              <w:right w:val="single" w:color="000000" w:sz="6" w:space="0"/>
            </w:tcBorders>
            <w:vAlign w:val="center"/>
          </w:tcPr>
          <w:p w14:paraId="0DA09158">
            <w:pPr>
              <w:spacing w:line="400" w:lineRule="exact"/>
              <w:jc w:val="center"/>
              <w:rPr>
                <w:rFonts w:hint="eastAsia" w:ascii="宋体" w:hAnsi="宋体" w:cs="宋体"/>
                <w:color w:val="auto"/>
              </w:rPr>
            </w:pPr>
            <w:r>
              <w:rPr>
                <w:rFonts w:hint="eastAsia" w:ascii="宋体" w:hAnsi="宋体" w:cs="宋体"/>
                <w:color w:val="auto"/>
              </w:rPr>
              <w:t>定标时间</w:t>
            </w:r>
          </w:p>
        </w:tc>
        <w:tc>
          <w:tcPr>
            <w:tcW w:w="5807" w:type="dxa"/>
            <w:tcBorders>
              <w:top w:val="single" w:color="000000" w:sz="6" w:space="0"/>
              <w:left w:val="single" w:color="000000" w:sz="6" w:space="0"/>
              <w:bottom w:val="single" w:color="000000" w:sz="6" w:space="0"/>
            </w:tcBorders>
            <w:vAlign w:val="center"/>
          </w:tcPr>
          <w:p w14:paraId="32DC7407">
            <w:pPr>
              <w:spacing w:line="400" w:lineRule="exact"/>
              <w:rPr>
                <w:rFonts w:hint="eastAsia" w:ascii="宋体" w:hAnsi="宋体" w:cs="宋体"/>
                <w:color w:val="auto"/>
              </w:rPr>
            </w:pPr>
            <w:r>
              <w:rPr>
                <w:rFonts w:hint="eastAsia" w:ascii="宋体" w:hAnsi="宋体" w:cs="宋体"/>
                <w:color w:val="auto"/>
              </w:rPr>
              <w:t>招标人应当在收到评标报告后10日内完成定标工作，定标过程包括核查、定标会议两个阶段。定标会议在公共资源交易中心按流程进行，应当对定标会议过程全程进行音视频记录，并存档备查。</w:t>
            </w:r>
          </w:p>
          <w:p w14:paraId="312F188A">
            <w:pPr>
              <w:spacing w:line="400" w:lineRule="exact"/>
              <w:rPr>
                <w:rFonts w:hint="eastAsia" w:ascii="宋体" w:hAnsi="宋体" w:cs="宋体"/>
                <w:color w:val="auto"/>
              </w:rPr>
            </w:pPr>
            <w:r>
              <w:rPr>
                <w:rFonts w:hint="eastAsia" w:ascii="宋体" w:hAnsi="宋体" w:cs="宋体"/>
                <w:color w:val="auto"/>
              </w:rPr>
              <w:t>招标人不能按时完成定标工作的，应当通过公共资源交易平台发布延期原因和最终定标时间。</w:t>
            </w:r>
          </w:p>
        </w:tc>
      </w:tr>
      <w:tr w14:paraId="3AD8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73A31F07">
            <w:pPr>
              <w:spacing w:line="400" w:lineRule="exact"/>
              <w:jc w:val="center"/>
              <w:rPr>
                <w:rFonts w:hint="eastAsia" w:ascii="宋体" w:hAnsi="宋体" w:cs="宋体"/>
                <w:color w:val="auto"/>
              </w:rPr>
            </w:pPr>
            <w:r>
              <w:rPr>
                <w:rFonts w:hint="eastAsia" w:ascii="宋体" w:hAnsi="宋体" w:cs="宋体"/>
                <w:color w:val="auto"/>
              </w:rPr>
              <w:t>11</w:t>
            </w:r>
          </w:p>
        </w:tc>
        <w:tc>
          <w:tcPr>
            <w:tcW w:w="1050" w:type="dxa"/>
            <w:tcBorders>
              <w:top w:val="single" w:color="000000" w:sz="6" w:space="0"/>
              <w:left w:val="single" w:color="000000" w:sz="6" w:space="0"/>
              <w:bottom w:val="single" w:color="000000" w:sz="6" w:space="0"/>
              <w:right w:val="single" w:color="000000" w:sz="6" w:space="0"/>
            </w:tcBorders>
            <w:vAlign w:val="center"/>
          </w:tcPr>
          <w:p w14:paraId="3E264C09">
            <w:pPr>
              <w:spacing w:line="400" w:lineRule="exact"/>
              <w:jc w:val="center"/>
              <w:rPr>
                <w:rFonts w:hint="eastAsia" w:ascii="宋体" w:hAnsi="宋体" w:cs="宋体"/>
                <w:color w:val="auto"/>
              </w:rPr>
            </w:pPr>
            <w:r>
              <w:rPr>
                <w:rFonts w:hint="eastAsia" w:ascii="宋体" w:hAnsi="宋体" w:cs="宋体"/>
                <w:color w:val="auto"/>
                <w:lang w:val="en-US" w:eastAsia="zh-CN"/>
              </w:rPr>
              <w:t>7</w:t>
            </w:r>
            <w:r>
              <w:rPr>
                <w:rFonts w:hint="eastAsia" w:ascii="宋体" w:hAnsi="宋体" w:cs="宋体"/>
                <w:color w:val="auto"/>
              </w:rPr>
              <w:t>.2</w:t>
            </w:r>
          </w:p>
        </w:tc>
        <w:tc>
          <w:tcPr>
            <w:tcW w:w="2490" w:type="dxa"/>
            <w:tcBorders>
              <w:top w:val="single" w:color="000000" w:sz="6" w:space="0"/>
              <w:left w:val="single" w:color="000000" w:sz="6" w:space="0"/>
              <w:bottom w:val="single" w:color="000000" w:sz="6" w:space="0"/>
              <w:right w:val="single" w:color="000000" w:sz="6" w:space="0"/>
            </w:tcBorders>
            <w:vAlign w:val="center"/>
          </w:tcPr>
          <w:p w14:paraId="24AD499F">
            <w:pPr>
              <w:spacing w:line="400" w:lineRule="exact"/>
              <w:jc w:val="center"/>
              <w:rPr>
                <w:rFonts w:hint="eastAsia" w:ascii="宋体" w:hAnsi="宋体" w:cs="宋体"/>
                <w:color w:val="auto"/>
              </w:rPr>
            </w:pPr>
            <w:r>
              <w:rPr>
                <w:rFonts w:hint="eastAsia" w:ascii="宋体" w:hAnsi="宋体" w:cs="宋体"/>
                <w:color w:val="auto"/>
              </w:rPr>
              <w:t>定标会议主要议程</w:t>
            </w:r>
          </w:p>
        </w:tc>
        <w:tc>
          <w:tcPr>
            <w:tcW w:w="5807" w:type="dxa"/>
            <w:tcBorders>
              <w:top w:val="single" w:color="000000" w:sz="6" w:space="0"/>
              <w:left w:val="single" w:color="000000" w:sz="6" w:space="0"/>
              <w:bottom w:val="single" w:color="000000" w:sz="6" w:space="0"/>
            </w:tcBorders>
            <w:vAlign w:val="center"/>
          </w:tcPr>
          <w:p w14:paraId="4D41FEC0">
            <w:pPr>
              <w:spacing w:line="400" w:lineRule="exact"/>
              <w:rPr>
                <w:rFonts w:hint="eastAsia" w:ascii="宋体" w:hAnsi="宋体" w:cs="宋体"/>
                <w:color w:val="auto"/>
              </w:rPr>
            </w:pPr>
            <w:r>
              <w:rPr>
                <w:rFonts w:hint="eastAsia" w:ascii="宋体" w:hAnsi="宋体" w:cs="宋体"/>
                <w:color w:val="auto"/>
              </w:rPr>
              <w:t>见本章7定标会议主要议程</w:t>
            </w:r>
          </w:p>
        </w:tc>
      </w:tr>
      <w:tr w14:paraId="28B3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F6CA4F0">
            <w:pPr>
              <w:spacing w:line="400" w:lineRule="exact"/>
              <w:jc w:val="center"/>
              <w:rPr>
                <w:rFonts w:hint="eastAsia" w:ascii="宋体" w:hAnsi="宋体" w:cs="宋体"/>
                <w:color w:val="auto"/>
              </w:rPr>
            </w:pPr>
            <w:r>
              <w:rPr>
                <w:rFonts w:hint="eastAsia" w:ascii="宋体" w:hAnsi="宋体" w:cs="宋体"/>
                <w:color w:val="auto"/>
              </w:rPr>
              <w:t>12</w:t>
            </w:r>
          </w:p>
        </w:tc>
        <w:tc>
          <w:tcPr>
            <w:tcW w:w="1050" w:type="dxa"/>
            <w:tcBorders>
              <w:top w:val="single" w:color="000000" w:sz="6" w:space="0"/>
              <w:left w:val="single" w:color="000000" w:sz="6" w:space="0"/>
              <w:bottom w:val="single" w:color="000000" w:sz="6" w:space="0"/>
              <w:right w:val="single" w:color="000000" w:sz="6" w:space="0"/>
            </w:tcBorders>
            <w:vAlign w:val="center"/>
          </w:tcPr>
          <w:p w14:paraId="3087FF0A">
            <w:pPr>
              <w:spacing w:line="400" w:lineRule="exact"/>
              <w:jc w:val="center"/>
              <w:rPr>
                <w:rFonts w:hint="eastAsia" w:ascii="宋体" w:hAnsi="宋体" w:cs="宋体"/>
                <w:color w:val="auto"/>
              </w:rPr>
            </w:pPr>
            <w:r>
              <w:rPr>
                <w:rFonts w:hint="eastAsia" w:ascii="宋体" w:hAnsi="宋体" w:cs="宋体"/>
                <w:color w:val="auto"/>
                <w:lang w:val="en-US" w:eastAsia="zh-CN"/>
              </w:rPr>
              <w:t>7</w:t>
            </w:r>
            <w:r>
              <w:rPr>
                <w:rFonts w:hint="eastAsia" w:ascii="宋体" w:hAnsi="宋体" w:cs="宋体"/>
                <w:color w:val="auto"/>
              </w:rPr>
              <w:t>.3</w:t>
            </w:r>
          </w:p>
        </w:tc>
        <w:tc>
          <w:tcPr>
            <w:tcW w:w="2490" w:type="dxa"/>
            <w:tcBorders>
              <w:top w:val="single" w:color="000000" w:sz="6" w:space="0"/>
              <w:left w:val="single" w:color="000000" w:sz="6" w:space="0"/>
              <w:bottom w:val="single" w:color="000000" w:sz="6" w:space="0"/>
              <w:right w:val="single" w:color="000000" w:sz="6" w:space="0"/>
            </w:tcBorders>
            <w:vAlign w:val="center"/>
          </w:tcPr>
          <w:p w14:paraId="2A8C4A9E">
            <w:pPr>
              <w:spacing w:line="400" w:lineRule="exact"/>
              <w:jc w:val="center"/>
              <w:rPr>
                <w:rFonts w:hint="eastAsia" w:ascii="宋体" w:hAnsi="宋体" w:cs="宋体"/>
                <w:color w:val="auto"/>
              </w:rPr>
            </w:pPr>
            <w:r>
              <w:rPr>
                <w:rFonts w:hint="eastAsia" w:ascii="宋体" w:hAnsi="宋体" w:cs="宋体"/>
                <w:color w:val="auto"/>
              </w:rPr>
              <w:t>定标报告编写</w:t>
            </w:r>
          </w:p>
        </w:tc>
        <w:tc>
          <w:tcPr>
            <w:tcW w:w="5807" w:type="dxa"/>
            <w:tcBorders>
              <w:top w:val="single" w:color="000000" w:sz="6" w:space="0"/>
              <w:left w:val="single" w:color="000000" w:sz="6" w:space="0"/>
              <w:bottom w:val="single" w:color="000000" w:sz="6" w:space="0"/>
            </w:tcBorders>
          </w:tcPr>
          <w:p w14:paraId="574D72B4">
            <w:pPr>
              <w:spacing w:line="400" w:lineRule="exact"/>
              <w:rPr>
                <w:rFonts w:hint="eastAsia" w:ascii="宋体" w:hAnsi="宋体" w:cs="宋体"/>
                <w:color w:val="auto"/>
              </w:rPr>
            </w:pPr>
            <w:r>
              <w:rPr>
                <w:rFonts w:hint="eastAsia" w:ascii="宋体" w:hAnsi="宋体" w:cs="宋体"/>
                <w:color w:val="auto"/>
              </w:rPr>
              <w:t>定标报告应当包括定标时间、定标地点、定标委员会成员名单、定标方法、定标理由、定标结果等内容</w:t>
            </w:r>
          </w:p>
        </w:tc>
      </w:tr>
      <w:tr w14:paraId="30CF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1" w:type="dxa"/>
            <w:gridSpan w:val="4"/>
            <w:tcBorders>
              <w:top w:val="single" w:color="000000" w:sz="6" w:space="0"/>
              <w:bottom w:val="single" w:color="000000" w:sz="6" w:space="0"/>
            </w:tcBorders>
            <w:vAlign w:val="center"/>
          </w:tcPr>
          <w:p w14:paraId="1F586061">
            <w:pPr>
              <w:spacing w:line="400" w:lineRule="exact"/>
              <w:jc w:val="center"/>
              <w:rPr>
                <w:rFonts w:hint="eastAsia" w:ascii="宋体" w:hAnsi="宋体" w:cs="宋体"/>
                <w:color w:val="auto"/>
              </w:rPr>
            </w:pPr>
            <w:r>
              <w:rPr>
                <w:rFonts w:hint="eastAsia" w:ascii="宋体" w:hAnsi="宋体" w:cs="宋体"/>
                <w:b/>
                <w:bCs/>
                <w:color w:val="auto"/>
              </w:rPr>
              <w:t>（八）中标结果公告</w:t>
            </w:r>
          </w:p>
        </w:tc>
      </w:tr>
      <w:tr w14:paraId="568C7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F900492">
            <w:pPr>
              <w:spacing w:line="400" w:lineRule="exact"/>
              <w:jc w:val="center"/>
              <w:rPr>
                <w:rFonts w:hint="eastAsia" w:ascii="宋体" w:hAnsi="宋体" w:cs="宋体"/>
                <w:color w:val="auto"/>
              </w:rPr>
            </w:pPr>
            <w:r>
              <w:rPr>
                <w:rFonts w:hint="eastAsia" w:ascii="宋体" w:hAnsi="宋体" w:cs="宋体"/>
                <w:color w:val="auto"/>
              </w:rPr>
              <w:t>13</w:t>
            </w:r>
          </w:p>
        </w:tc>
        <w:tc>
          <w:tcPr>
            <w:tcW w:w="1050" w:type="dxa"/>
            <w:tcBorders>
              <w:top w:val="single" w:color="000000" w:sz="6" w:space="0"/>
              <w:left w:val="single" w:color="000000" w:sz="6" w:space="0"/>
              <w:bottom w:val="single" w:color="000000" w:sz="6" w:space="0"/>
              <w:right w:val="single" w:color="000000" w:sz="6" w:space="0"/>
            </w:tcBorders>
            <w:vAlign w:val="center"/>
          </w:tcPr>
          <w:p w14:paraId="1A42DDF0">
            <w:pPr>
              <w:spacing w:line="400" w:lineRule="exact"/>
              <w:jc w:val="center"/>
              <w:rPr>
                <w:rFonts w:hint="eastAsia" w:ascii="宋体" w:hAnsi="宋体" w:eastAsia="宋体" w:cs="宋体"/>
                <w:color w:val="auto"/>
                <w:lang w:eastAsia="zh-CN"/>
              </w:rPr>
            </w:pPr>
            <w:r>
              <w:rPr>
                <w:rFonts w:hint="eastAsia" w:ascii="宋体" w:hAnsi="宋体" w:cs="宋体"/>
                <w:color w:val="auto"/>
                <w:lang w:val="en-US" w:eastAsia="zh-CN"/>
              </w:rPr>
              <w:t>8</w:t>
            </w:r>
          </w:p>
        </w:tc>
        <w:tc>
          <w:tcPr>
            <w:tcW w:w="2490" w:type="dxa"/>
            <w:tcBorders>
              <w:top w:val="single" w:color="000000" w:sz="6" w:space="0"/>
              <w:left w:val="single" w:color="000000" w:sz="6" w:space="0"/>
              <w:bottom w:val="single" w:color="000000" w:sz="6" w:space="0"/>
              <w:right w:val="single" w:color="000000" w:sz="6" w:space="0"/>
            </w:tcBorders>
            <w:vAlign w:val="center"/>
          </w:tcPr>
          <w:p w14:paraId="2E371CEC">
            <w:pPr>
              <w:spacing w:line="400" w:lineRule="exact"/>
              <w:jc w:val="center"/>
              <w:rPr>
                <w:rFonts w:hint="eastAsia" w:ascii="宋体" w:hAnsi="宋体" w:cs="宋体"/>
                <w:color w:val="auto"/>
              </w:rPr>
            </w:pPr>
            <w:r>
              <w:rPr>
                <w:rFonts w:hint="eastAsia" w:ascii="宋体" w:hAnsi="宋体" w:cs="宋体"/>
                <w:color w:val="auto"/>
              </w:rPr>
              <w:t>中标结果公告</w:t>
            </w:r>
          </w:p>
        </w:tc>
        <w:tc>
          <w:tcPr>
            <w:tcW w:w="5807" w:type="dxa"/>
            <w:tcBorders>
              <w:top w:val="single" w:color="000000" w:sz="6" w:space="0"/>
              <w:left w:val="single" w:color="000000" w:sz="6" w:space="0"/>
              <w:bottom w:val="single" w:color="000000" w:sz="6" w:space="0"/>
            </w:tcBorders>
          </w:tcPr>
          <w:p w14:paraId="10EBBBC8">
            <w:pPr>
              <w:spacing w:line="400" w:lineRule="exact"/>
              <w:rPr>
                <w:rFonts w:hint="eastAsia" w:ascii="宋体" w:hAnsi="宋体" w:cs="宋体"/>
                <w:color w:val="auto"/>
              </w:rPr>
            </w:pPr>
            <w:r>
              <w:rPr>
                <w:rFonts w:hint="eastAsia" w:ascii="宋体" w:hAnsi="宋体" w:cs="宋体"/>
                <w:color w:val="auto"/>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p>
        </w:tc>
      </w:tr>
      <w:tr w14:paraId="7581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71" w:type="dxa"/>
            <w:gridSpan w:val="4"/>
            <w:tcBorders>
              <w:top w:val="single" w:color="000000" w:sz="6" w:space="0"/>
              <w:bottom w:val="single" w:color="000000" w:sz="6" w:space="0"/>
            </w:tcBorders>
            <w:vAlign w:val="center"/>
          </w:tcPr>
          <w:p w14:paraId="087771D6">
            <w:pPr>
              <w:spacing w:line="400" w:lineRule="exact"/>
              <w:jc w:val="center"/>
              <w:rPr>
                <w:rFonts w:hint="eastAsia" w:ascii="宋体" w:hAnsi="宋体" w:cs="宋体"/>
                <w:color w:val="auto"/>
              </w:rPr>
            </w:pPr>
            <w:r>
              <w:rPr>
                <w:rFonts w:hint="eastAsia" w:ascii="宋体" w:hAnsi="宋体" w:cs="宋体"/>
                <w:b/>
                <w:bCs/>
                <w:color w:val="auto"/>
                <w:lang w:val="zh-CN"/>
              </w:rPr>
              <w:t>（</w:t>
            </w:r>
            <w:r>
              <w:rPr>
                <w:rFonts w:hint="eastAsia" w:ascii="宋体" w:hAnsi="宋体" w:cs="宋体"/>
                <w:b/>
                <w:bCs/>
                <w:color w:val="auto"/>
              </w:rPr>
              <w:t>九</w:t>
            </w:r>
            <w:r>
              <w:rPr>
                <w:rFonts w:hint="eastAsia" w:ascii="宋体" w:hAnsi="宋体" w:cs="宋体"/>
                <w:b/>
                <w:bCs/>
                <w:color w:val="auto"/>
                <w:lang w:val="zh-CN"/>
              </w:rPr>
              <w:t>）</w:t>
            </w:r>
            <w:r>
              <w:rPr>
                <w:rFonts w:hint="eastAsia" w:ascii="宋体" w:hAnsi="宋体" w:cs="宋体"/>
                <w:b/>
                <w:bCs/>
                <w:color w:val="auto"/>
              </w:rPr>
              <w:t>重新定标</w:t>
            </w:r>
          </w:p>
        </w:tc>
      </w:tr>
      <w:tr w14:paraId="3750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07031B51">
            <w:pPr>
              <w:spacing w:line="400" w:lineRule="exact"/>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4</w:t>
            </w:r>
          </w:p>
        </w:tc>
        <w:tc>
          <w:tcPr>
            <w:tcW w:w="1050" w:type="dxa"/>
            <w:tcBorders>
              <w:top w:val="single" w:color="000000" w:sz="6" w:space="0"/>
              <w:left w:val="single" w:color="000000" w:sz="6" w:space="0"/>
              <w:bottom w:val="single" w:color="000000" w:sz="6" w:space="0"/>
              <w:right w:val="single" w:color="000000" w:sz="6" w:space="0"/>
            </w:tcBorders>
            <w:vAlign w:val="center"/>
          </w:tcPr>
          <w:p w14:paraId="32C9F67F">
            <w:pPr>
              <w:spacing w:line="400" w:lineRule="exact"/>
              <w:jc w:val="center"/>
              <w:rPr>
                <w:rFonts w:hint="eastAsia" w:ascii="宋体" w:hAnsi="宋体" w:eastAsia="宋体" w:cs="宋体"/>
                <w:color w:val="auto"/>
                <w:lang w:eastAsia="zh-CN"/>
              </w:rPr>
            </w:pPr>
            <w:r>
              <w:rPr>
                <w:rFonts w:hint="eastAsia" w:ascii="宋体" w:hAnsi="宋体" w:cs="宋体"/>
                <w:color w:val="auto"/>
              </w:rPr>
              <w:t>9.</w:t>
            </w:r>
            <w:r>
              <w:rPr>
                <w:rFonts w:hint="eastAsia" w:ascii="宋体" w:hAnsi="宋体" w:cs="宋体"/>
                <w:color w:val="auto"/>
                <w:lang w:val="en-US" w:eastAsia="zh-CN"/>
              </w:rPr>
              <w:t>3</w:t>
            </w:r>
          </w:p>
        </w:tc>
        <w:tc>
          <w:tcPr>
            <w:tcW w:w="2490" w:type="dxa"/>
            <w:tcBorders>
              <w:top w:val="single" w:color="000000" w:sz="6" w:space="0"/>
              <w:left w:val="single" w:color="000000" w:sz="6" w:space="0"/>
              <w:bottom w:val="single" w:color="000000" w:sz="6" w:space="0"/>
              <w:right w:val="single" w:color="000000" w:sz="6" w:space="0"/>
            </w:tcBorders>
            <w:vAlign w:val="center"/>
          </w:tcPr>
          <w:p w14:paraId="2CB06888">
            <w:pPr>
              <w:spacing w:line="400" w:lineRule="exact"/>
              <w:jc w:val="center"/>
              <w:rPr>
                <w:rFonts w:hint="eastAsia" w:ascii="宋体" w:hAnsi="宋体" w:cs="宋体"/>
                <w:color w:val="auto"/>
              </w:rPr>
            </w:pPr>
            <w:r>
              <w:rPr>
                <w:rFonts w:hint="eastAsia" w:ascii="宋体" w:hAnsi="宋体" w:cs="宋体"/>
                <w:color w:val="auto"/>
              </w:rPr>
              <w:t>重新定标的情形</w:t>
            </w:r>
          </w:p>
        </w:tc>
        <w:tc>
          <w:tcPr>
            <w:tcW w:w="5807" w:type="dxa"/>
            <w:tcBorders>
              <w:top w:val="single" w:color="000000" w:sz="6" w:space="0"/>
              <w:left w:val="single" w:color="000000" w:sz="6" w:space="0"/>
              <w:bottom w:val="single" w:color="000000" w:sz="6" w:space="0"/>
            </w:tcBorders>
          </w:tcPr>
          <w:p w14:paraId="2363B7D4">
            <w:pPr>
              <w:spacing w:line="400" w:lineRule="exact"/>
              <w:rPr>
                <w:rFonts w:hint="eastAsia" w:ascii="宋体" w:hAnsi="宋体" w:cs="宋体"/>
                <w:color w:val="auto"/>
              </w:rPr>
            </w:pPr>
            <w:r>
              <w:rPr>
                <w:rFonts w:hint="eastAsia" w:ascii="宋体" w:hAnsi="宋体" w:cs="宋体"/>
                <w:color w:val="auto"/>
              </w:rPr>
              <w:t xml:space="preserve"> 对中标人放弃中标、不可抗力不能履行合同、不符合投标或中标条件、被查实存在影响中标结果的违法行为等情形，招标人可以由原定标委员会在调整后的中标候选人中重新确定中标人，也可以重新组织招标。</w:t>
            </w:r>
          </w:p>
          <w:p w14:paraId="2459DFE6">
            <w:pPr>
              <w:spacing w:line="400" w:lineRule="exact"/>
              <w:rPr>
                <w:rFonts w:hint="eastAsia" w:ascii="宋体" w:hAnsi="宋体" w:cs="宋体"/>
                <w:color w:val="auto"/>
              </w:rPr>
            </w:pPr>
            <w:r>
              <w:rPr>
                <w:rFonts w:hint="eastAsia" w:ascii="宋体" w:hAnsi="宋体" w:cs="宋体"/>
                <w:color w:val="auto"/>
              </w:rPr>
              <w:t>对中标人以非正当理由放弃中标或被依法依规取消中标资格的，招标人应当移交有关行政监督部门依法依规进行处理。</w:t>
            </w:r>
          </w:p>
          <w:p w14:paraId="02108E94">
            <w:pPr>
              <w:spacing w:line="400" w:lineRule="exact"/>
              <w:rPr>
                <w:rFonts w:hint="eastAsia" w:ascii="宋体" w:hAnsi="宋体" w:cs="宋体"/>
                <w:color w:val="auto"/>
              </w:rPr>
            </w:pPr>
            <w:r>
              <w:rPr>
                <w:rFonts w:hint="eastAsia" w:ascii="宋体" w:hAnsi="宋体" w:cs="宋体"/>
                <w:color w:val="auto"/>
              </w:rPr>
              <w:t>定标后有下列情形之一的，应当重新定标。</w:t>
            </w:r>
          </w:p>
          <w:p w14:paraId="2F315544">
            <w:pPr>
              <w:spacing w:line="400" w:lineRule="exact"/>
              <w:rPr>
                <w:rFonts w:hint="eastAsia" w:ascii="宋体" w:hAnsi="宋体" w:cs="宋体"/>
                <w:color w:val="auto"/>
              </w:rPr>
            </w:pPr>
            <w:r>
              <w:rPr>
                <w:rFonts w:hint="eastAsia" w:ascii="宋体" w:hAnsi="宋体" w:cs="宋体"/>
                <w:color w:val="auto"/>
              </w:rPr>
              <w:t>（一）定标委员会未按定标办法公正履职的；</w:t>
            </w:r>
          </w:p>
          <w:p w14:paraId="1304FAB3">
            <w:pPr>
              <w:spacing w:line="400" w:lineRule="exact"/>
              <w:rPr>
                <w:rFonts w:hint="eastAsia" w:ascii="宋体" w:hAnsi="宋体" w:cs="宋体"/>
                <w:color w:val="auto"/>
              </w:rPr>
            </w:pPr>
            <w:r>
              <w:rPr>
                <w:rFonts w:hint="eastAsia" w:ascii="宋体" w:hAnsi="宋体" w:cs="宋体"/>
                <w:color w:val="auto"/>
              </w:rPr>
              <w:t>(二)定标委员会成员与中标候选人有利害关系且未回避的；</w:t>
            </w:r>
          </w:p>
          <w:p w14:paraId="15A810CE">
            <w:pPr>
              <w:spacing w:line="400" w:lineRule="exact"/>
              <w:rPr>
                <w:rFonts w:hint="eastAsia" w:ascii="宋体" w:hAnsi="宋体" w:cs="宋体"/>
                <w:color w:val="auto"/>
              </w:rPr>
            </w:pPr>
            <w:r>
              <w:rPr>
                <w:rFonts w:hint="eastAsia" w:ascii="宋体" w:hAnsi="宋体" w:cs="宋体"/>
                <w:color w:val="auto"/>
              </w:rPr>
              <w:t>(三)招标文件规定的其他情形。</w:t>
            </w:r>
          </w:p>
        </w:tc>
      </w:tr>
      <w:tr w14:paraId="4265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071" w:type="dxa"/>
            <w:gridSpan w:val="4"/>
            <w:tcBorders>
              <w:top w:val="single" w:color="000000" w:sz="6" w:space="0"/>
              <w:bottom w:val="single" w:color="000000" w:sz="6" w:space="0"/>
            </w:tcBorders>
            <w:vAlign w:val="center"/>
          </w:tcPr>
          <w:p w14:paraId="1993A45C">
            <w:pPr>
              <w:spacing w:line="400" w:lineRule="exact"/>
              <w:jc w:val="center"/>
              <w:rPr>
                <w:rFonts w:hint="eastAsia" w:ascii="宋体" w:hAnsi="宋体" w:cs="宋体"/>
                <w:color w:val="auto"/>
              </w:rPr>
            </w:pPr>
            <w:r>
              <w:rPr>
                <w:rFonts w:hint="eastAsia" w:ascii="宋体" w:hAnsi="宋体" w:cs="宋体"/>
                <w:b/>
                <w:bCs/>
                <w:color w:val="auto"/>
              </w:rPr>
              <w:t>（十）监督</w:t>
            </w:r>
          </w:p>
        </w:tc>
      </w:tr>
      <w:tr w14:paraId="5CB3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20517839">
            <w:pPr>
              <w:spacing w:line="400" w:lineRule="exact"/>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5</w:t>
            </w:r>
          </w:p>
        </w:tc>
        <w:tc>
          <w:tcPr>
            <w:tcW w:w="1050" w:type="dxa"/>
            <w:tcBorders>
              <w:top w:val="single" w:color="000000" w:sz="6" w:space="0"/>
              <w:left w:val="single" w:color="000000" w:sz="6" w:space="0"/>
              <w:bottom w:val="single" w:color="000000" w:sz="6" w:space="0"/>
              <w:right w:val="single" w:color="000000" w:sz="6" w:space="0"/>
            </w:tcBorders>
            <w:vAlign w:val="center"/>
          </w:tcPr>
          <w:p w14:paraId="0CB6CD4A">
            <w:pPr>
              <w:spacing w:line="400" w:lineRule="exact"/>
              <w:jc w:val="center"/>
              <w:rPr>
                <w:rFonts w:hint="eastAsia" w:ascii="宋体" w:hAnsi="宋体" w:cs="宋体"/>
                <w:color w:val="auto"/>
              </w:rPr>
            </w:pPr>
            <w:r>
              <w:rPr>
                <w:rFonts w:hint="eastAsia" w:ascii="宋体" w:hAnsi="宋体" w:cs="宋体"/>
                <w:color w:val="auto"/>
              </w:rPr>
              <w:t>10.1</w:t>
            </w:r>
          </w:p>
        </w:tc>
        <w:tc>
          <w:tcPr>
            <w:tcW w:w="2490" w:type="dxa"/>
            <w:tcBorders>
              <w:top w:val="single" w:color="000000" w:sz="6" w:space="0"/>
              <w:left w:val="single" w:color="000000" w:sz="6" w:space="0"/>
              <w:bottom w:val="single" w:color="000000" w:sz="6" w:space="0"/>
              <w:right w:val="single" w:color="000000" w:sz="6" w:space="0"/>
            </w:tcBorders>
            <w:vAlign w:val="center"/>
          </w:tcPr>
          <w:p w14:paraId="47FCC8F2">
            <w:pPr>
              <w:spacing w:line="400" w:lineRule="exact"/>
              <w:jc w:val="center"/>
              <w:rPr>
                <w:rFonts w:hint="eastAsia" w:ascii="宋体" w:hAnsi="宋体" w:cs="宋体"/>
                <w:color w:val="auto"/>
              </w:rPr>
            </w:pPr>
            <w:r>
              <w:rPr>
                <w:rFonts w:hint="eastAsia" w:ascii="宋体" w:hAnsi="宋体" w:cs="宋体"/>
                <w:color w:val="auto"/>
              </w:rPr>
              <w:t>定标监督</w:t>
            </w:r>
          </w:p>
        </w:tc>
        <w:tc>
          <w:tcPr>
            <w:tcW w:w="5807" w:type="dxa"/>
            <w:tcBorders>
              <w:top w:val="single" w:color="000000" w:sz="6" w:space="0"/>
              <w:left w:val="single" w:color="000000" w:sz="6" w:space="0"/>
              <w:bottom w:val="single" w:color="000000" w:sz="6" w:space="0"/>
            </w:tcBorders>
            <w:vAlign w:val="center"/>
          </w:tcPr>
          <w:p w14:paraId="0B070DBC">
            <w:pPr>
              <w:spacing w:line="400" w:lineRule="exact"/>
              <w:rPr>
                <w:rFonts w:hint="eastAsia" w:ascii="宋体" w:hAnsi="宋体" w:cs="宋体"/>
                <w:color w:val="auto"/>
              </w:rPr>
            </w:pPr>
            <w:r>
              <w:rPr>
                <w:rFonts w:hint="eastAsia" w:ascii="宋体" w:hAnsi="宋体" w:cs="宋体"/>
                <w:color w:val="auto"/>
              </w:rPr>
              <w:t>定标会议在公共资源交易中心按流程进行，应当对定标会议过程全程进行音视频记录，并存档备查。</w:t>
            </w:r>
          </w:p>
        </w:tc>
      </w:tr>
      <w:tr w14:paraId="76B3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10071" w:type="dxa"/>
            <w:gridSpan w:val="4"/>
            <w:tcBorders>
              <w:top w:val="single" w:color="000000" w:sz="6" w:space="0"/>
              <w:bottom w:val="single" w:color="000000" w:sz="6" w:space="0"/>
            </w:tcBorders>
            <w:vAlign w:val="center"/>
          </w:tcPr>
          <w:p w14:paraId="1026A40D">
            <w:pPr>
              <w:spacing w:line="400" w:lineRule="exact"/>
              <w:jc w:val="center"/>
              <w:rPr>
                <w:rFonts w:hint="eastAsia" w:ascii="宋体" w:hAnsi="宋体" w:cs="宋体"/>
                <w:color w:val="auto"/>
              </w:rPr>
            </w:pPr>
            <w:r>
              <w:rPr>
                <w:rFonts w:hint="eastAsia" w:ascii="宋体" w:hAnsi="宋体" w:cs="宋体"/>
                <w:b/>
                <w:bCs/>
                <w:color w:val="auto"/>
              </w:rPr>
              <w:t>（十一）异议</w:t>
            </w:r>
          </w:p>
        </w:tc>
      </w:tr>
      <w:tr w14:paraId="13E1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4" w:type="dxa"/>
            <w:tcBorders>
              <w:top w:val="single" w:color="000000" w:sz="6" w:space="0"/>
              <w:bottom w:val="single" w:color="000000" w:sz="6" w:space="0"/>
              <w:right w:val="single" w:color="000000" w:sz="6" w:space="0"/>
            </w:tcBorders>
            <w:vAlign w:val="center"/>
          </w:tcPr>
          <w:p w14:paraId="1655280B">
            <w:pPr>
              <w:spacing w:line="400" w:lineRule="exact"/>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6</w:t>
            </w:r>
          </w:p>
        </w:tc>
        <w:tc>
          <w:tcPr>
            <w:tcW w:w="1050" w:type="dxa"/>
            <w:tcBorders>
              <w:top w:val="single" w:color="000000" w:sz="6" w:space="0"/>
              <w:left w:val="single" w:color="000000" w:sz="6" w:space="0"/>
              <w:bottom w:val="single" w:color="000000" w:sz="6" w:space="0"/>
              <w:right w:val="single" w:color="000000" w:sz="6" w:space="0"/>
            </w:tcBorders>
            <w:vAlign w:val="center"/>
          </w:tcPr>
          <w:p w14:paraId="57288BC0">
            <w:pPr>
              <w:spacing w:line="400" w:lineRule="exact"/>
              <w:jc w:val="center"/>
              <w:rPr>
                <w:rFonts w:hint="eastAsia" w:ascii="宋体" w:hAnsi="宋体" w:cs="宋体"/>
                <w:color w:val="auto"/>
              </w:rPr>
            </w:pPr>
            <w:r>
              <w:rPr>
                <w:rFonts w:hint="eastAsia" w:ascii="宋体" w:hAnsi="宋体" w:cs="宋体"/>
                <w:color w:val="auto"/>
              </w:rPr>
              <w:t>11.1</w:t>
            </w:r>
          </w:p>
        </w:tc>
        <w:tc>
          <w:tcPr>
            <w:tcW w:w="2490" w:type="dxa"/>
            <w:tcBorders>
              <w:top w:val="single" w:color="000000" w:sz="6" w:space="0"/>
              <w:left w:val="single" w:color="000000" w:sz="6" w:space="0"/>
              <w:bottom w:val="single" w:color="000000" w:sz="6" w:space="0"/>
              <w:right w:val="single" w:color="000000" w:sz="6" w:space="0"/>
            </w:tcBorders>
            <w:vAlign w:val="center"/>
          </w:tcPr>
          <w:p w14:paraId="6FA9F218">
            <w:pPr>
              <w:spacing w:line="400" w:lineRule="exact"/>
              <w:jc w:val="center"/>
              <w:rPr>
                <w:rFonts w:hint="eastAsia" w:ascii="宋体" w:hAnsi="宋体" w:cs="宋体"/>
                <w:color w:val="auto"/>
              </w:rPr>
            </w:pPr>
            <w:r>
              <w:rPr>
                <w:rFonts w:hint="eastAsia" w:ascii="宋体" w:hAnsi="宋体" w:cs="宋体"/>
                <w:color w:val="auto"/>
              </w:rPr>
              <w:t>异议</w:t>
            </w:r>
          </w:p>
        </w:tc>
        <w:tc>
          <w:tcPr>
            <w:tcW w:w="5807" w:type="dxa"/>
            <w:tcBorders>
              <w:top w:val="single" w:color="000000" w:sz="6" w:space="0"/>
              <w:left w:val="single" w:color="000000" w:sz="6" w:space="0"/>
              <w:bottom w:val="single" w:color="000000" w:sz="6" w:space="0"/>
            </w:tcBorders>
            <w:vAlign w:val="center"/>
          </w:tcPr>
          <w:p w14:paraId="4926BE99">
            <w:pPr>
              <w:spacing w:line="400" w:lineRule="exact"/>
              <w:rPr>
                <w:rFonts w:hint="eastAsia" w:ascii="宋体" w:hAnsi="宋体" w:cs="宋体"/>
                <w:color w:val="auto"/>
              </w:rPr>
            </w:pPr>
            <w:r>
              <w:rPr>
                <w:rFonts w:hint="eastAsia" w:ascii="宋体" w:hAnsi="宋体" w:cs="宋体"/>
                <w:color w:val="auto"/>
              </w:rPr>
              <w:t>招标人不承诺将合同授予投标报价最低的投标人</w:t>
            </w:r>
          </w:p>
        </w:tc>
      </w:tr>
      <w:tr w14:paraId="2053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071" w:type="dxa"/>
            <w:gridSpan w:val="4"/>
            <w:tcBorders>
              <w:top w:val="single" w:color="000000" w:sz="6" w:space="0"/>
              <w:bottom w:val="single" w:color="000000" w:sz="6" w:space="0"/>
            </w:tcBorders>
            <w:vAlign w:val="center"/>
          </w:tcPr>
          <w:p w14:paraId="69BCE992">
            <w:pPr>
              <w:spacing w:line="400" w:lineRule="exact"/>
              <w:rPr>
                <w:rFonts w:hint="eastAsia" w:ascii="宋体" w:hAnsi="宋体" w:cs="宋体"/>
                <w:color w:val="auto"/>
              </w:rPr>
            </w:pPr>
            <w:r>
              <w:rPr>
                <w:rFonts w:hint="eastAsia" w:ascii="宋体" w:hAnsi="宋体" w:cs="宋体"/>
                <w:bCs/>
                <w:color w:val="auto"/>
                <w:szCs w:val="21"/>
              </w:rPr>
              <w:t>本次定标办法的制定依据《中华人民共和国招标投标法》、《河南省政府投资工程建设项目招标投标“评定分离”管理办法（试行）》、《信阳市政府投资工程建设项目招标投标“评定分离”规范指引(试行)》、信阳市住房和城乡建设局关于印发《信阳市房屋建筑和市政基础设施工程招标投标“评定分离”实施细则(试行)》的通知等相关法律法规；</w:t>
            </w:r>
          </w:p>
        </w:tc>
      </w:tr>
    </w:tbl>
    <w:p w14:paraId="0E20AF49">
      <w:pPr>
        <w:rPr>
          <w:rFonts w:hint="eastAsia" w:ascii="宋体" w:hAnsi="宋体" w:cs="宋体"/>
          <w:color w:val="auto"/>
          <w:lang w:val="zh-CN"/>
        </w:rPr>
      </w:pPr>
      <w:r>
        <w:rPr>
          <w:rFonts w:hint="eastAsia" w:ascii="宋体" w:hAnsi="宋体" w:cs="宋体"/>
          <w:color w:val="auto"/>
          <w:lang w:val="zh-CN"/>
        </w:rPr>
        <w:br w:type="page"/>
      </w:r>
    </w:p>
    <w:p w14:paraId="2617E892">
      <w:pPr>
        <w:pStyle w:val="3"/>
        <w:jc w:val="center"/>
        <w:rPr>
          <w:rFonts w:hint="eastAsia" w:ascii="宋体" w:hAnsi="宋体" w:eastAsia="宋体" w:cs="宋体"/>
          <w:color w:val="auto"/>
          <w:lang w:val="zh-CN"/>
        </w:rPr>
      </w:pPr>
      <w:bookmarkStart w:id="263" w:name="_Toc4246"/>
      <w:bookmarkStart w:id="264" w:name="_Toc183793090"/>
      <w:bookmarkStart w:id="265" w:name="_Toc27560"/>
      <w:r>
        <w:rPr>
          <w:rFonts w:hint="eastAsia" w:ascii="宋体" w:hAnsi="宋体" w:eastAsia="宋体" w:cs="宋体"/>
          <w:color w:val="auto"/>
          <w:lang w:val="zh-CN"/>
        </w:rPr>
        <w:t>定标办法正文</w:t>
      </w:r>
      <w:bookmarkEnd w:id="263"/>
      <w:bookmarkEnd w:id="264"/>
      <w:bookmarkEnd w:id="265"/>
    </w:p>
    <w:p w14:paraId="3E04C0EC">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lang w:val="zh-CN"/>
        </w:rPr>
      </w:pPr>
      <w:bookmarkStart w:id="266" w:name="_Toc183793091"/>
      <w:bookmarkStart w:id="267" w:name="_Toc17085"/>
      <w:bookmarkStart w:id="268" w:name="_Toc27772"/>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zh-CN"/>
        </w:rPr>
        <w:t>.定标</w:t>
      </w:r>
      <w:bookmarkEnd w:id="266"/>
      <w:r>
        <w:rPr>
          <w:rFonts w:hint="eastAsia" w:asciiTheme="minorEastAsia" w:hAnsiTheme="minorEastAsia" w:eastAsiaTheme="minorEastAsia" w:cstheme="minorEastAsia"/>
          <w:color w:val="auto"/>
          <w:sz w:val="21"/>
          <w:szCs w:val="21"/>
        </w:rPr>
        <w:t>办法</w:t>
      </w:r>
      <w:bookmarkEnd w:id="267"/>
      <w:bookmarkEnd w:id="268"/>
    </w:p>
    <w:p w14:paraId="65083385">
      <w:pPr>
        <w:spacing w:line="360" w:lineRule="auto"/>
        <w:ind w:firstLine="420" w:firstLineChars="20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1.1本次定标办法的制定依据下列文件进行：</w:t>
      </w:r>
    </w:p>
    <w:p w14:paraId="06D292F7">
      <w:pPr>
        <w:spacing w:line="360" w:lineRule="auto"/>
        <w:ind w:firstLine="420" w:firstLineChars="20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《中华人民共和国招标投标法》 ；</w:t>
      </w:r>
    </w:p>
    <w:p w14:paraId="4AE410C4">
      <w:pPr>
        <w:spacing w:line="360" w:lineRule="auto"/>
        <w:ind w:firstLine="420" w:firstLineChars="20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《河南省政府投资工程建设项目招标投标“评定分离”管理办法（试行）》 ；</w:t>
      </w:r>
    </w:p>
    <w:p w14:paraId="6DDB408B">
      <w:pPr>
        <w:spacing w:line="360" w:lineRule="auto"/>
        <w:ind w:firstLine="420" w:firstLineChars="20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《信阳市政府投资工程建设项目招标投标“评定分离”规范指引（试行）》 ；</w:t>
      </w:r>
    </w:p>
    <w:p w14:paraId="70EFD853">
      <w:pPr>
        <w:spacing w:line="360" w:lineRule="auto"/>
        <w:ind w:firstLine="420" w:firstLineChars="20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信阳市住房和城乡建设局关于印发《信阳市房屋建筑和市政基础设施工程招标投标“评定分离”实施细则(试行)》的通知</w:t>
      </w:r>
    </w:p>
    <w:p w14:paraId="607F618A">
      <w:pPr>
        <w:spacing w:line="360" w:lineRule="auto"/>
        <w:ind w:firstLine="420" w:firstLineChars="200"/>
        <w:rPr>
          <w:rFonts w:hint="eastAsia" w:asciiTheme="minorEastAsia" w:hAnsiTheme="minorEastAsia" w:eastAsiaTheme="minorEastAsia" w:cstheme="minorEastAsia"/>
          <w:color w:val="auto"/>
          <w:szCs w:val="21"/>
          <w:lang w:val="zh-CN"/>
        </w:rPr>
      </w:pPr>
      <w:r>
        <w:rPr>
          <w:rFonts w:hint="eastAsia" w:asciiTheme="minorEastAsia" w:hAnsiTheme="minorEastAsia" w:eastAsiaTheme="minorEastAsia" w:cstheme="minorEastAsia"/>
          <w:color w:val="auto"/>
          <w:szCs w:val="21"/>
          <w:lang w:val="zh-CN"/>
        </w:rPr>
        <w:t>本项目招标文件。</w:t>
      </w:r>
    </w:p>
    <w:p w14:paraId="2EC0AD30">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lang w:val="zh-CN"/>
        </w:rPr>
      </w:pPr>
      <w:bookmarkStart w:id="269" w:name="_Toc1971"/>
      <w:bookmarkStart w:id="270" w:name="_Toc161666664"/>
      <w:bookmarkStart w:id="271" w:name="_Toc13586"/>
      <w:bookmarkStart w:id="272" w:name="_Toc10225"/>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zh-CN"/>
        </w:rPr>
        <w:t>.定标</w:t>
      </w:r>
      <w:bookmarkEnd w:id="269"/>
      <w:bookmarkEnd w:id="270"/>
      <w:r>
        <w:rPr>
          <w:rFonts w:hint="eastAsia" w:asciiTheme="minorEastAsia" w:hAnsiTheme="minorEastAsia" w:eastAsiaTheme="minorEastAsia" w:cstheme="minorEastAsia"/>
          <w:color w:val="auto"/>
          <w:sz w:val="21"/>
          <w:szCs w:val="21"/>
          <w:lang w:val="zh-CN"/>
        </w:rPr>
        <w:t>核查</w:t>
      </w:r>
      <w:bookmarkEnd w:id="271"/>
      <w:bookmarkEnd w:id="272"/>
    </w:p>
    <w:p w14:paraId="5FCF7252">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2.1定标委员会应当首先对中标候选人进行核查:形成核查报告，核查报告在定标会议召开前应当保密。相关核查内容和方式应当在招标文件中载明，</w:t>
      </w:r>
      <w:r>
        <w:rPr>
          <w:rFonts w:hint="eastAsia" w:asciiTheme="minorEastAsia" w:hAnsiTheme="minorEastAsia" w:eastAsiaTheme="minorEastAsia" w:cstheme="minorEastAsia"/>
          <w:b/>
          <w:bCs/>
          <w:color w:val="auto"/>
          <w:szCs w:val="21"/>
          <w:u w:val="single"/>
        </w:rPr>
        <w:t>核查内容包括信用信息、履约能力（具体核查内容见“定标办法前附表”1.4项）、是否采取考察或质询方式（不采取）以及招标人认为其他需要核查的内容（无）。</w:t>
      </w:r>
      <w:r>
        <w:rPr>
          <w:rFonts w:hint="eastAsia" w:asciiTheme="minorEastAsia" w:hAnsiTheme="minorEastAsia" w:eastAsiaTheme="minorEastAsia" w:cstheme="minorEastAsia"/>
          <w:color w:val="auto"/>
          <w:szCs w:val="21"/>
        </w:rPr>
        <w:t>核查需要进行考察或质询的，应当在招标文件中明确考察或质询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63F33C7B">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lang w:val="zh-CN"/>
        </w:rPr>
      </w:pPr>
      <w:bookmarkStart w:id="273" w:name="_Toc183793092"/>
      <w:bookmarkStart w:id="274" w:name="_Toc15567"/>
      <w:bookmarkStart w:id="275" w:name="_Toc13579"/>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zh-CN"/>
        </w:rPr>
        <w:t>定标原则</w:t>
      </w:r>
      <w:bookmarkEnd w:id="273"/>
      <w:bookmarkEnd w:id="274"/>
      <w:bookmarkEnd w:id="275"/>
    </w:p>
    <w:p w14:paraId="0781012F">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“评定分离”应遵循公开透明、择优竞价、科学规范、廉洁高效的原则</w:t>
      </w:r>
    </w:p>
    <w:p w14:paraId="2280CB3C">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lang w:val="zh-CN"/>
        </w:rPr>
      </w:pPr>
      <w:bookmarkStart w:id="276" w:name="_Toc2183"/>
      <w:bookmarkStart w:id="277" w:name="_Toc183793093"/>
      <w:bookmarkStart w:id="278" w:name="_Toc30992"/>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zh-CN"/>
        </w:rPr>
        <w:t>.定标</w:t>
      </w:r>
      <w:r>
        <w:rPr>
          <w:rFonts w:hint="eastAsia" w:asciiTheme="minorEastAsia" w:hAnsiTheme="minorEastAsia" w:eastAsiaTheme="minorEastAsia" w:cstheme="minorEastAsia"/>
          <w:color w:val="auto"/>
          <w:sz w:val="21"/>
          <w:szCs w:val="21"/>
        </w:rPr>
        <w:t>方法</w:t>
      </w:r>
      <w:bookmarkEnd w:id="276"/>
      <w:bookmarkEnd w:id="277"/>
      <w:bookmarkEnd w:id="278"/>
    </w:p>
    <w:p w14:paraId="539B8B14">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szCs w:val="21"/>
          <w:lang w:val="zh-CN"/>
        </w:rPr>
        <w:t>.</w:t>
      </w:r>
      <w:r>
        <w:rPr>
          <w:rFonts w:hint="eastAsia" w:asciiTheme="minorEastAsia" w:hAnsiTheme="minorEastAsia" w:eastAsiaTheme="minorEastAsia" w:cstheme="minorEastAsia"/>
          <w:color w:val="auto"/>
          <w:szCs w:val="21"/>
        </w:rPr>
        <w:t>1采用“评定分离”的，招标人可以采用下列定标方法在评标委员会推荐的中标候选人中确定中标人，具体细则应在招标文件中明确：</w:t>
      </w:r>
    </w:p>
    <w:p w14:paraId="7C07FFE3">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4.1.1核查随机法。定标委员会在通过核查的中标候选人中按照随机选取方式确定中标人。</w:t>
      </w:r>
    </w:p>
    <w:p w14:paraId="585110A9">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票决法。定标委员会在通过核查的中标候选人中，以投票方式确定中标人。定标委员会成员独立行使投票权，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2245047C">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4.1.3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1C928B28">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4.1.4其他方法。</w:t>
      </w:r>
      <w:bookmarkStart w:id="279" w:name="_Toc183793094"/>
      <w:r>
        <w:rPr>
          <w:rFonts w:hint="eastAsia" w:asciiTheme="minorEastAsia" w:hAnsiTheme="minorEastAsia" w:eastAsiaTheme="minorEastAsia" w:cstheme="minorEastAsia"/>
          <w:color w:val="auto"/>
          <w:szCs w:val="21"/>
        </w:rPr>
        <w:t>招标人可结合项目特点和自身实际，本着公平公正的原则，确定其他定标方法，并在招标文件中明确。</w:t>
      </w:r>
    </w:p>
    <w:p w14:paraId="2D6F20D5">
      <w:pPr>
        <w:spacing w:line="360" w:lineRule="auto"/>
        <w:ind w:firstLine="422" w:firstLineChars="200"/>
        <w:outlineLvl w:val="1"/>
        <w:rPr>
          <w:rFonts w:hint="eastAsia" w:asciiTheme="minorEastAsia" w:hAnsiTheme="minorEastAsia" w:eastAsiaTheme="minorEastAsia" w:cstheme="minorEastAsia"/>
          <w:b/>
          <w:bCs/>
          <w:color w:val="auto"/>
          <w:szCs w:val="21"/>
        </w:rPr>
      </w:pPr>
      <w:bookmarkStart w:id="280" w:name="_Toc8723"/>
      <w:r>
        <w:rPr>
          <w:rFonts w:hint="eastAsia" w:asciiTheme="minorEastAsia" w:hAnsiTheme="minorEastAsia" w:eastAsiaTheme="minorEastAsia" w:cstheme="minorEastAsia"/>
          <w:b/>
          <w:bCs/>
          <w:color w:val="auto"/>
          <w:szCs w:val="21"/>
        </w:rPr>
        <w:t>5</w:t>
      </w:r>
      <w:r>
        <w:rPr>
          <w:rFonts w:hint="eastAsia" w:asciiTheme="minorEastAsia" w:hAnsiTheme="minorEastAsia" w:eastAsiaTheme="minorEastAsia" w:cstheme="minorEastAsia"/>
          <w:b/>
          <w:bCs/>
          <w:color w:val="auto"/>
          <w:szCs w:val="21"/>
          <w:lang w:val="zh-CN"/>
        </w:rPr>
        <w:t>.</w:t>
      </w:r>
      <w:r>
        <w:rPr>
          <w:rFonts w:hint="eastAsia" w:asciiTheme="minorEastAsia" w:hAnsiTheme="minorEastAsia" w:eastAsiaTheme="minorEastAsia" w:cstheme="minorEastAsia"/>
          <w:b/>
          <w:bCs/>
          <w:color w:val="auto"/>
          <w:szCs w:val="21"/>
        </w:rPr>
        <w:t>定标因素</w:t>
      </w:r>
      <w:bookmarkEnd w:id="279"/>
      <w:bookmarkEnd w:id="280"/>
    </w:p>
    <w:p w14:paraId="4B312B0A">
      <w:pPr>
        <w:spacing w:line="360" w:lineRule="auto"/>
        <w:ind w:firstLine="420" w:firstLineChars="200"/>
        <w:rPr>
          <w:rFonts w:hint="eastAsia" w:asciiTheme="minorEastAsia" w:hAnsiTheme="minorEastAsia" w:eastAsiaTheme="minorEastAsia" w:cstheme="minorEastAsia"/>
          <w:color w:val="auto"/>
          <w:szCs w:val="21"/>
        </w:rPr>
      </w:pPr>
      <w:bookmarkStart w:id="281" w:name="_Toc183793095"/>
      <w:r>
        <w:rPr>
          <w:rFonts w:hint="eastAsia" w:asciiTheme="minorEastAsia" w:hAnsiTheme="minorEastAsia" w:eastAsiaTheme="minorEastAsia" w:cstheme="minorEastAsia"/>
          <w:color w:val="auto"/>
          <w:szCs w:val="21"/>
        </w:rPr>
        <w:t>5.1采用“评定分离”的，招标人应当根据招标项目的特点，客观、准确、科学、合理的选择定标因素，不得存在排斥投标人的情形。</w:t>
      </w:r>
    </w:p>
    <w:p w14:paraId="011CEF4A">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5.2定标因素：见定标办法前附表。</w:t>
      </w:r>
    </w:p>
    <w:p w14:paraId="2CCFCC94">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rPr>
      </w:pPr>
      <w:bookmarkStart w:id="282" w:name="_Toc19177"/>
      <w:bookmarkStart w:id="283" w:name="_Toc17699"/>
      <w:r>
        <w:rPr>
          <w:rFonts w:hint="eastAsia" w:asciiTheme="minorEastAsia" w:hAnsiTheme="minorEastAsia" w:eastAsiaTheme="minorEastAsia" w:cstheme="minorEastAsia"/>
          <w:color w:val="auto"/>
          <w:sz w:val="21"/>
          <w:szCs w:val="21"/>
        </w:rPr>
        <w:t>6.定标委员会的组建</w:t>
      </w:r>
      <w:bookmarkEnd w:id="281"/>
      <w:bookmarkEnd w:id="282"/>
      <w:bookmarkEnd w:id="283"/>
    </w:p>
    <w:p w14:paraId="50D43B83">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人组建定标委员会，负责对中标候选人进行核查和组织召开定标会议。定标工作由定标委员会独立完成，定标委员会成员数量为5人，招标人单位成员不得低于成员总数的五分之三。定标委员会组长由招标人确定原则上由招标人的法定代表人、主要负责人或分管负责人担任，其他成员可由招标人自行选定。定标委员会成员与中标候选人利害关系的应当主动申请回避。定标委员会名单在中标结果确定前应当保密定标委员会应当对定标过程保密，对所提出的定标意见承担个人责任，不得私下与投标人或者其他利害关系人接触。</w:t>
      </w:r>
    </w:p>
    <w:p w14:paraId="444FCD36">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rPr>
      </w:pPr>
      <w:bookmarkStart w:id="284" w:name="_Toc1464"/>
      <w:bookmarkStart w:id="285" w:name="_Toc6995"/>
      <w:bookmarkStart w:id="286" w:name="_Toc183793096"/>
      <w:r>
        <w:rPr>
          <w:rFonts w:hint="eastAsia" w:asciiTheme="minorEastAsia" w:hAnsiTheme="minorEastAsia" w:eastAsiaTheme="minorEastAsia" w:cstheme="minorEastAsia"/>
          <w:color w:val="auto"/>
          <w:sz w:val="21"/>
          <w:szCs w:val="21"/>
        </w:rPr>
        <w:t>7.定标会议主要议程</w:t>
      </w:r>
      <w:bookmarkEnd w:id="284"/>
      <w:bookmarkEnd w:id="285"/>
      <w:bookmarkEnd w:id="286"/>
    </w:p>
    <w:p w14:paraId="5F5D2157">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招标人应当在收到评标报告后10日内完成定标工作，定标过程包括核查、定标会议两个阶段。定标会议由定标委员会负责组织，在公共资源交易中心定标场所内进行，并全程录音录像，招标人与代理机构要保存好录音录像等书面或影音资料。</w:t>
      </w:r>
    </w:p>
    <w:p w14:paraId="79C4E7C9">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招标人不能按时完成定标工作的，应当通过公共资源交易平台发布延期原因和最终定标时间。</w:t>
      </w:r>
    </w:p>
    <w:p w14:paraId="3790CE4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7.2定标会议主要议程如下：</w:t>
      </w:r>
    </w:p>
    <w:p w14:paraId="39498E80">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定标会议由招标人或招标代理机构主持，按照招标文件中载明的定标办法（核查随机法、票决法、集体议事法或其他方法）进行。</w:t>
      </w:r>
    </w:p>
    <w:p w14:paraId="513F1B6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（1）核查随机法</w:t>
      </w:r>
    </w:p>
    <w:p w14:paraId="0C7F662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①主持人首先介绍参会人员、项目开评标过程及评标委员会推荐定标候选人情况；定标委员会组长宣读承诺书、核查报告。</w:t>
      </w:r>
    </w:p>
    <w:p w14:paraId="16A7FB0C">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②现场监督人员对抽取箱和号码球进行检查，检查无异常后，定标候选人随机抽取号码球确定号码，定标委员会组长随机抽取号码球确定中标号码，两球号码一致即为中标候选人。</w:t>
      </w:r>
    </w:p>
    <w:p w14:paraId="41DB9113">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③招标代理机构填写中标候选人信息，定标委员会组长宣布中标候选人。</w:t>
      </w:r>
    </w:p>
    <w:p w14:paraId="02EE5FE7">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（2）票决法</w:t>
      </w:r>
    </w:p>
    <w:p w14:paraId="7A0BAC27">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①主持人首先介绍参会人员、项目开评标过程及评标委员会推荐定标候选人情况；定标委员会组长宣读承诺书、核查报告。</w:t>
      </w:r>
    </w:p>
    <w:p w14:paraId="39502D98">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现场监督人员检查投票箱，检查无异常后，招标代理机构人员向定标委员会成员发放选票，定标委员会成员实名制投票，并写明投票理由，代理机构人员收回选票、现场唱票、统计票数，每人投票支持一个中标候选人，得票最多且过半数的确定为中标人。中标候选人得票数出现并列时，可再次投票。没有中标候选人得票过半数的，先剔除得票数最少的中标候选人后再次投票，直至产生得票过半数的确定为中标人。票决采用记名方式，并注明投票理由。</w:t>
      </w:r>
    </w:p>
    <w:p w14:paraId="20153C2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③定标委员会组长宣布中标候选人，招标代理机构人员出具《定标报告》。</w:t>
      </w:r>
    </w:p>
    <w:p w14:paraId="43C287C5">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（3）集体议事法</w:t>
      </w:r>
    </w:p>
    <w:p w14:paraId="2833C56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①主持人首先介绍参会人员、项目开评标过程及评标委员会推荐定标候选人情况；定标委员会组长宣读承诺书、核查报告。</w:t>
      </w:r>
    </w:p>
    <w:p w14:paraId="6269D47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②定标委员会成员集体商议，各自对通过核查的中标候选人发表意见，定标委员会组长综合各成员意见确定中标人。会议记录员对所有定标委员会成员的意见作书面记录，并由定标委员会成员签字确认。</w:t>
      </w:r>
    </w:p>
    <w:p w14:paraId="4D923F03">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③定标委员会组长宣布中标候选人，招标代理机构人员出具《定标报告》。</w:t>
      </w:r>
    </w:p>
    <w:p w14:paraId="063CA5AE">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rPr>
      </w:pPr>
      <w:bookmarkStart w:id="287" w:name="_Toc26137"/>
      <w:bookmarkStart w:id="288" w:name="_Toc19860"/>
      <w:bookmarkStart w:id="289" w:name="_Toc183793097"/>
      <w:r>
        <w:rPr>
          <w:rFonts w:hint="eastAsia" w:asciiTheme="minorEastAsia" w:hAnsiTheme="minorEastAsia" w:eastAsiaTheme="minorEastAsia" w:cstheme="minorEastAsia"/>
          <w:color w:val="auto"/>
          <w:sz w:val="21"/>
          <w:szCs w:val="21"/>
        </w:rPr>
        <w:t>8.中标结果公告</w:t>
      </w:r>
      <w:bookmarkEnd w:id="287"/>
      <w:bookmarkEnd w:id="288"/>
      <w:bookmarkEnd w:id="289"/>
    </w:p>
    <w:p w14:paraId="01383929">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人应当在定标工作完成后3日内发布中标结果公示，公示期不少于3日。中标结果公示应当载明定标时间、定标地点、定标方法、中标人名称、中标价格、项目负责人等信息，中标候选人的核查、考察、比较优势，核查未通过的中标候选人名单和原因以及异议和投诉渠道等内容。</w:t>
      </w:r>
      <w:bookmarkStart w:id="290" w:name="_Toc183793098"/>
    </w:p>
    <w:bookmarkEnd w:id="290"/>
    <w:p w14:paraId="6FE31B15">
      <w:pPr>
        <w:spacing w:line="360" w:lineRule="auto"/>
        <w:ind w:firstLine="422" w:firstLineChars="200"/>
        <w:outlineLvl w:val="1"/>
        <w:rPr>
          <w:rFonts w:hint="eastAsia" w:asciiTheme="minorEastAsia" w:hAnsiTheme="minorEastAsia" w:eastAsiaTheme="minorEastAsia" w:cstheme="minorEastAsia"/>
          <w:b/>
          <w:bCs/>
          <w:color w:val="auto"/>
          <w:szCs w:val="21"/>
        </w:rPr>
      </w:pPr>
      <w:bookmarkStart w:id="291" w:name="_Toc32659"/>
      <w:bookmarkStart w:id="292" w:name="_Toc183793099"/>
      <w:r>
        <w:rPr>
          <w:rFonts w:hint="eastAsia" w:asciiTheme="minorEastAsia" w:hAnsiTheme="minorEastAsia" w:eastAsiaTheme="minorEastAsia" w:cstheme="minorEastAsia"/>
          <w:b/>
          <w:bCs/>
          <w:color w:val="auto"/>
          <w:szCs w:val="21"/>
        </w:rPr>
        <w:t>9.重新定标</w:t>
      </w:r>
      <w:bookmarkEnd w:id="291"/>
      <w:bookmarkEnd w:id="292"/>
      <w:bookmarkStart w:id="293" w:name="_Toc183793100"/>
    </w:p>
    <w:p w14:paraId="162C1C3D">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9.1对中标人放弃中标、不可抗力不能履行合同、不符合投标或中标条件、被查实存在影响中标结果的违法行为等情形，招标人可以由原定标委员会在调整后的中标候选人中重新确定中标人，也可以重新组织招标。</w:t>
      </w:r>
    </w:p>
    <w:p w14:paraId="4D4C67CA">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9.2对中标人以非正当理由放弃中标或被依法依规取消中标资格的，招标人应当移交有关行政监督部门依法依规进行处理。</w:t>
      </w:r>
    </w:p>
    <w:p w14:paraId="3220AE2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9.3定标后有下列情形之一的，应当重新定标。</w:t>
      </w:r>
    </w:p>
    <w:p w14:paraId="7C60803F">
      <w:pPr>
        <w:numPr>
          <w:ilvl w:val="0"/>
          <w:numId w:val="3"/>
        </w:num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定标委员会未按定标办法公正履职的；</w:t>
      </w:r>
    </w:p>
    <w:p w14:paraId="4F64135C">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（二）定标委员会成员与中标候选人有利害关系且未回避的；</w:t>
      </w:r>
    </w:p>
    <w:p w14:paraId="04292B3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（三）招标文件规定的其他情形。</w:t>
      </w:r>
    </w:p>
    <w:p w14:paraId="164A24C7">
      <w:pPr>
        <w:spacing w:line="360" w:lineRule="auto"/>
        <w:ind w:firstLine="422" w:firstLineChars="200"/>
        <w:outlineLvl w:val="1"/>
        <w:rPr>
          <w:rFonts w:hint="eastAsia" w:asciiTheme="minorEastAsia" w:hAnsiTheme="minorEastAsia" w:eastAsiaTheme="minorEastAsia" w:cstheme="minorEastAsia"/>
          <w:b/>
          <w:bCs/>
          <w:color w:val="auto"/>
          <w:szCs w:val="21"/>
        </w:rPr>
      </w:pPr>
      <w:bookmarkStart w:id="294" w:name="_Toc6597"/>
      <w:r>
        <w:rPr>
          <w:rFonts w:hint="eastAsia" w:asciiTheme="minorEastAsia" w:hAnsiTheme="minorEastAsia" w:eastAsiaTheme="minorEastAsia" w:cstheme="minorEastAsia"/>
          <w:b/>
          <w:bCs/>
          <w:color w:val="auto"/>
          <w:szCs w:val="21"/>
        </w:rPr>
        <w:t>10. 监督</w:t>
      </w:r>
      <w:bookmarkEnd w:id="293"/>
      <w:bookmarkEnd w:id="294"/>
      <w:bookmarkStart w:id="295" w:name="_Toc183793101"/>
    </w:p>
    <w:p w14:paraId="7900B2BA">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10.1定标会议在公共资源交易中心按流程进行，应当对定标会议过程全程进行音视频记录，并存档备查。</w:t>
      </w:r>
    </w:p>
    <w:p w14:paraId="54DA2EEE">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10.2各级行政监督部门应当按照招标投标活动监管职责分工对政府投资工程建设项目招标投标“评定分离”工作实施监督，依法依规处理投诉和查处违法违规行为。</w:t>
      </w:r>
    </w:p>
    <w:p w14:paraId="0192E915">
      <w:pPr>
        <w:pStyle w:val="4"/>
        <w:spacing w:before="0" w:after="0" w:line="360" w:lineRule="auto"/>
        <w:ind w:firstLine="420" w:firstLineChars="200"/>
        <w:jc w:val="left"/>
        <w:rPr>
          <w:rFonts w:hint="eastAsia" w:asciiTheme="minorEastAsia" w:hAnsiTheme="minorEastAsia" w:eastAsiaTheme="minorEastAsia" w:cstheme="minorEastAsia"/>
          <w:b w:val="0"/>
          <w:bCs w:val="0"/>
          <w:color w:val="auto"/>
          <w:sz w:val="21"/>
          <w:szCs w:val="21"/>
        </w:rPr>
      </w:pPr>
      <w:bookmarkStart w:id="296" w:name="_Toc3707"/>
      <w:r>
        <w:rPr>
          <w:rFonts w:hint="eastAsia" w:asciiTheme="minorEastAsia" w:hAnsiTheme="minorEastAsia" w:eastAsiaTheme="minorEastAsia" w:cstheme="minorEastAsia"/>
          <w:b w:val="0"/>
          <w:bCs w:val="0"/>
          <w:color w:val="auto"/>
          <w:sz w:val="21"/>
          <w:szCs w:val="21"/>
        </w:rPr>
        <w:t>10.3其他未尽事宜按国家有关法律法规执行。</w:t>
      </w:r>
      <w:bookmarkEnd w:id="296"/>
    </w:p>
    <w:p w14:paraId="728CF625">
      <w:pPr>
        <w:pStyle w:val="3"/>
        <w:spacing w:before="0" w:after="0" w:line="360" w:lineRule="auto"/>
        <w:ind w:firstLine="422" w:firstLineChars="200"/>
        <w:jc w:val="left"/>
        <w:rPr>
          <w:rFonts w:hint="eastAsia" w:asciiTheme="minorEastAsia" w:hAnsiTheme="minorEastAsia" w:eastAsiaTheme="minorEastAsia" w:cstheme="minorEastAsia"/>
          <w:color w:val="auto"/>
          <w:sz w:val="21"/>
          <w:szCs w:val="21"/>
        </w:rPr>
      </w:pPr>
      <w:bookmarkStart w:id="297" w:name="_Toc23375"/>
      <w:bookmarkStart w:id="298" w:name="_Toc1269"/>
      <w:r>
        <w:rPr>
          <w:rFonts w:hint="eastAsia" w:asciiTheme="minorEastAsia" w:hAnsiTheme="minorEastAsia" w:eastAsiaTheme="minorEastAsia" w:cstheme="minorEastAsia"/>
          <w:color w:val="auto"/>
          <w:sz w:val="21"/>
          <w:szCs w:val="21"/>
        </w:rPr>
        <w:t>11. 异议</w:t>
      </w:r>
      <w:bookmarkEnd w:id="295"/>
      <w:bookmarkEnd w:id="297"/>
      <w:bookmarkEnd w:id="298"/>
    </w:p>
    <w:p w14:paraId="77E65D13">
      <w:pPr>
        <w:spacing w:line="360" w:lineRule="auto"/>
        <w:ind w:firstLine="420" w:firstLineChars="200"/>
        <w:rPr>
          <w:rFonts w:hint="eastAsia" w:ascii="宋体" w:hAnsi="宋体" w:cs="宋体"/>
          <w:color w:val="auto"/>
        </w:rPr>
      </w:pPr>
      <w:r>
        <w:rPr>
          <w:rFonts w:hint="eastAsia" w:asciiTheme="minorEastAsia" w:hAnsiTheme="minorEastAsia" w:eastAsiaTheme="minorEastAsia" w:cstheme="minorEastAsia"/>
          <w:color w:val="auto"/>
          <w:szCs w:val="21"/>
        </w:rPr>
        <w:t>11.1招标人不承诺将合同授予投标报价最低的投标人。</w:t>
      </w:r>
    </w:p>
    <w:p w14:paraId="5E88E050">
      <w:pPr>
        <w:pStyle w:val="4"/>
        <w:spacing w:line="240" w:lineRule="auto"/>
        <w:rPr>
          <w:rFonts w:hint="eastAsia" w:ascii="宋体" w:hAnsi="宋体" w:cs="宋体"/>
          <w:color w:val="auto"/>
          <w:szCs w:val="21"/>
        </w:rPr>
      </w:pPr>
      <w:bookmarkStart w:id="299" w:name="六、相关参考表式及评审因素设定"/>
      <w:bookmarkEnd w:id="299"/>
      <w:bookmarkStart w:id="300" w:name="_TOC_250027"/>
      <w:bookmarkEnd w:id="300"/>
      <w:bookmarkStart w:id="301" w:name="五、签订合同"/>
      <w:bookmarkEnd w:id="301"/>
      <w:bookmarkStart w:id="302" w:name="_bookmark61"/>
      <w:bookmarkEnd w:id="302"/>
      <w:bookmarkStart w:id="303" w:name="_bookmark62"/>
      <w:bookmarkEnd w:id="303"/>
      <w:r>
        <w:rPr>
          <w:rFonts w:hint="eastAsia" w:ascii="宋体" w:hAnsi="宋体" w:cs="宋体"/>
          <w:color w:val="auto"/>
          <w:szCs w:val="21"/>
        </w:rPr>
        <w:br w:type="page"/>
      </w:r>
      <w:bookmarkStart w:id="304" w:name="_Toc161666674"/>
      <w:bookmarkStart w:id="305" w:name="_Hlk206760426"/>
    </w:p>
    <w:p w14:paraId="0AE82303">
      <w:pPr>
        <w:pStyle w:val="4"/>
        <w:spacing w:line="240" w:lineRule="auto"/>
        <w:jc w:val="both"/>
        <w:rPr>
          <w:rFonts w:hint="eastAsia" w:ascii="宋体" w:hAnsi="宋体" w:cs="宋体"/>
          <w:color w:val="auto"/>
          <w:szCs w:val="21"/>
        </w:rPr>
      </w:pPr>
      <w:bookmarkStart w:id="306" w:name="_Toc11797"/>
      <w:r>
        <w:rPr>
          <w:rFonts w:hint="eastAsia" w:ascii="宋体" w:hAnsi="宋体" w:cs="宋体"/>
          <w:color w:val="auto"/>
          <w:sz w:val="24"/>
          <w:szCs w:val="22"/>
        </w:rPr>
        <w:t>附件1：</w:t>
      </w:r>
      <w:bookmarkEnd w:id="306"/>
    </w:p>
    <w:p w14:paraId="645469A9">
      <w:pPr>
        <w:pStyle w:val="4"/>
        <w:spacing w:line="240" w:lineRule="auto"/>
        <w:jc w:val="center"/>
        <w:rPr>
          <w:rFonts w:hint="eastAsia" w:ascii="宋体" w:hAnsi="宋体" w:cs="宋体"/>
          <w:color w:val="auto"/>
          <w:sz w:val="24"/>
          <w:szCs w:val="22"/>
        </w:rPr>
      </w:pPr>
      <w:bookmarkStart w:id="307" w:name="_Toc15031"/>
      <w:r>
        <w:rPr>
          <w:rFonts w:hint="eastAsia" w:ascii="宋体" w:hAnsi="宋体" w:cs="宋体"/>
          <w:color w:val="auto"/>
          <w:sz w:val="24"/>
          <w:szCs w:val="22"/>
        </w:rPr>
        <w:t>定标委员会组建情况登记表</w:t>
      </w:r>
      <w:bookmarkEnd w:id="307"/>
    </w:p>
    <w:p w14:paraId="0230C683">
      <w:pPr>
        <w:pStyle w:val="4"/>
        <w:spacing w:line="240" w:lineRule="auto"/>
        <w:rPr>
          <w:rFonts w:hint="eastAsia" w:ascii="宋体" w:hAnsi="宋体" w:cs="宋体"/>
          <w:color w:val="auto"/>
          <w:szCs w:val="21"/>
        </w:rPr>
      </w:pPr>
    </w:p>
    <w:tbl>
      <w:tblPr>
        <w:tblStyle w:val="29"/>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03"/>
        <w:gridCol w:w="2371"/>
        <w:gridCol w:w="1534"/>
        <w:gridCol w:w="1626"/>
        <w:gridCol w:w="1560"/>
      </w:tblGrid>
      <w:tr w14:paraId="701B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579E0C4C">
            <w:pPr>
              <w:spacing w:line="300" w:lineRule="exact"/>
              <w:jc w:val="center"/>
              <w:rPr>
                <w:rFonts w:hint="eastAsia" w:ascii="宋体" w:hAnsi="宋体" w:cs="宋体"/>
                <w:color w:val="auto"/>
                <w:szCs w:val="21"/>
              </w:rPr>
            </w:pPr>
            <w:r>
              <w:rPr>
                <w:rFonts w:hint="eastAsia" w:ascii="宋体" w:hAnsi="宋体" w:cs="宋体"/>
                <w:color w:val="auto"/>
                <w:szCs w:val="21"/>
              </w:rPr>
              <w:t>招标人</w:t>
            </w:r>
          </w:p>
        </w:tc>
        <w:tc>
          <w:tcPr>
            <w:tcW w:w="7091" w:type="dxa"/>
            <w:gridSpan w:val="4"/>
            <w:tcBorders>
              <w:top w:val="single" w:color="auto" w:sz="4" w:space="0"/>
              <w:left w:val="nil"/>
              <w:bottom w:val="single" w:color="auto" w:sz="4" w:space="0"/>
              <w:right w:val="single" w:color="auto" w:sz="4" w:space="0"/>
            </w:tcBorders>
            <w:vAlign w:val="center"/>
          </w:tcPr>
          <w:p w14:paraId="5FA77714">
            <w:pPr>
              <w:spacing w:line="300" w:lineRule="exact"/>
              <w:jc w:val="center"/>
              <w:rPr>
                <w:rFonts w:hint="eastAsia" w:ascii="宋体" w:hAnsi="宋体" w:cs="宋体"/>
                <w:color w:val="auto"/>
                <w:szCs w:val="21"/>
              </w:rPr>
            </w:pPr>
          </w:p>
        </w:tc>
      </w:tr>
      <w:tr w14:paraId="6743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675594F4">
            <w:pPr>
              <w:spacing w:line="300" w:lineRule="exact"/>
              <w:jc w:val="center"/>
              <w:rPr>
                <w:rFonts w:hint="eastAsia" w:ascii="宋体" w:hAnsi="宋体" w:cs="宋体"/>
                <w:color w:val="auto"/>
                <w:szCs w:val="21"/>
              </w:rPr>
            </w:pPr>
            <w:r>
              <w:rPr>
                <w:rFonts w:hint="eastAsia" w:ascii="宋体" w:hAnsi="宋体" w:cs="宋体"/>
                <w:color w:val="auto"/>
                <w:szCs w:val="21"/>
              </w:rPr>
              <w:t>招标代理机构</w:t>
            </w:r>
          </w:p>
        </w:tc>
        <w:tc>
          <w:tcPr>
            <w:tcW w:w="7091" w:type="dxa"/>
            <w:gridSpan w:val="4"/>
            <w:tcBorders>
              <w:top w:val="single" w:color="auto" w:sz="4" w:space="0"/>
              <w:left w:val="nil"/>
              <w:bottom w:val="single" w:color="auto" w:sz="4" w:space="0"/>
              <w:right w:val="single" w:color="auto" w:sz="4" w:space="0"/>
            </w:tcBorders>
            <w:vAlign w:val="center"/>
          </w:tcPr>
          <w:p w14:paraId="1D216A1D">
            <w:pPr>
              <w:spacing w:line="300" w:lineRule="exact"/>
              <w:jc w:val="center"/>
              <w:rPr>
                <w:rFonts w:hint="eastAsia" w:ascii="宋体" w:hAnsi="宋体" w:cs="宋体"/>
                <w:color w:val="auto"/>
                <w:szCs w:val="21"/>
              </w:rPr>
            </w:pPr>
          </w:p>
        </w:tc>
      </w:tr>
      <w:tr w14:paraId="75D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7871837F">
            <w:pPr>
              <w:spacing w:line="300" w:lineRule="exact"/>
              <w:jc w:val="center"/>
              <w:rPr>
                <w:rFonts w:hint="eastAsia" w:ascii="宋体" w:hAnsi="宋体" w:cs="宋体"/>
                <w:color w:val="auto"/>
                <w:szCs w:val="21"/>
              </w:rPr>
            </w:pPr>
            <w:r>
              <w:rPr>
                <w:rFonts w:hint="eastAsia" w:ascii="宋体" w:hAnsi="宋体" w:cs="宋体"/>
                <w:color w:val="auto"/>
                <w:szCs w:val="21"/>
              </w:rPr>
              <w:t>招标项目名称</w:t>
            </w:r>
          </w:p>
        </w:tc>
        <w:tc>
          <w:tcPr>
            <w:tcW w:w="7091" w:type="dxa"/>
            <w:gridSpan w:val="4"/>
            <w:tcBorders>
              <w:top w:val="single" w:color="auto" w:sz="4" w:space="0"/>
              <w:left w:val="nil"/>
              <w:bottom w:val="single" w:color="auto" w:sz="4" w:space="0"/>
              <w:right w:val="single" w:color="auto" w:sz="4" w:space="0"/>
            </w:tcBorders>
            <w:vAlign w:val="center"/>
          </w:tcPr>
          <w:p w14:paraId="4FD31F7E">
            <w:pPr>
              <w:spacing w:line="300" w:lineRule="exact"/>
              <w:jc w:val="center"/>
              <w:rPr>
                <w:rFonts w:hint="eastAsia" w:ascii="宋体" w:hAnsi="宋体" w:cs="宋体"/>
                <w:color w:val="auto"/>
                <w:szCs w:val="21"/>
              </w:rPr>
            </w:pPr>
          </w:p>
        </w:tc>
      </w:tr>
      <w:tr w14:paraId="7A13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5F3FDE5A">
            <w:pPr>
              <w:spacing w:line="300" w:lineRule="exact"/>
              <w:jc w:val="center"/>
              <w:rPr>
                <w:rFonts w:hint="eastAsia" w:ascii="宋体" w:hAnsi="宋体" w:cs="宋体"/>
                <w:color w:val="auto"/>
                <w:szCs w:val="21"/>
              </w:rPr>
            </w:pPr>
            <w:r>
              <w:rPr>
                <w:rFonts w:hint="eastAsia" w:ascii="宋体" w:hAnsi="宋体" w:cs="宋体"/>
                <w:color w:val="auto"/>
                <w:szCs w:val="21"/>
              </w:rPr>
              <w:t>定标时间</w:t>
            </w:r>
          </w:p>
        </w:tc>
        <w:tc>
          <w:tcPr>
            <w:tcW w:w="7091" w:type="dxa"/>
            <w:gridSpan w:val="4"/>
            <w:tcBorders>
              <w:top w:val="single" w:color="auto" w:sz="4" w:space="0"/>
              <w:left w:val="nil"/>
              <w:bottom w:val="single" w:color="auto" w:sz="4" w:space="0"/>
              <w:right w:val="single" w:color="auto" w:sz="4" w:space="0"/>
            </w:tcBorders>
            <w:vAlign w:val="center"/>
          </w:tcPr>
          <w:p w14:paraId="11630E7D">
            <w:pPr>
              <w:spacing w:line="300" w:lineRule="exact"/>
              <w:jc w:val="center"/>
              <w:rPr>
                <w:rFonts w:hint="eastAsia" w:ascii="宋体" w:hAnsi="宋体" w:cs="宋体"/>
                <w:color w:val="auto"/>
                <w:szCs w:val="21"/>
              </w:rPr>
            </w:pPr>
          </w:p>
        </w:tc>
      </w:tr>
      <w:tr w14:paraId="7DEA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1588E732">
            <w:pPr>
              <w:spacing w:line="300" w:lineRule="exact"/>
              <w:jc w:val="center"/>
              <w:rPr>
                <w:rFonts w:hint="eastAsia" w:ascii="宋体" w:hAnsi="宋体" w:cs="宋体"/>
                <w:color w:val="auto"/>
                <w:szCs w:val="21"/>
              </w:rPr>
            </w:pPr>
            <w:r>
              <w:rPr>
                <w:rFonts w:hint="eastAsia" w:ascii="宋体" w:hAnsi="宋体" w:cs="宋体"/>
                <w:color w:val="auto"/>
                <w:szCs w:val="21"/>
              </w:rPr>
              <w:t>招标文件要求</w:t>
            </w:r>
          </w:p>
        </w:tc>
        <w:tc>
          <w:tcPr>
            <w:tcW w:w="7091" w:type="dxa"/>
            <w:gridSpan w:val="4"/>
            <w:tcBorders>
              <w:top w:val="single" w:color="auto" w:sz="4" w:space="0"/>
              <w:left w:val="nil"/>
              <w:bottom w:val="single" w:color="auto" w:sz="4" w:space="0"/>
              <w:right w:val="single" w:color="auto" w:sz="4" w:space="0"/>
            </w:tcBorders>
            <w:vAlign w:val="center"/>
          </w:tcPr>
          <w:p w14:paraId="52731342">
            <w:pPr>
              <w:spacing w:line="300" w:lineRule="exact"/>
              <w:jc w:val="center"/>
              <w:rPr>
                <w:rFonts w:hint="eastAsia" w:ascii="宋体" w:hAnsi="宋体" w:cs="宋体"/>
                <w:color w:val="auto"/>
                <w:szCs w:val="21"/>
              </w:rPr>
            </w:pPr>
          </w:p>
        </w:tc>
      </w:tr>
      <w:tr w14:paraId="41E6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72" w:type="dxa"/>
            <w:gridSpan w:val="2"/>
            <w:tcBorders>
              <w:top w:val="single" w:color="auto" w:sz="4" w:space="0"/>
              <w:left w:val="single" w:color="auto" w:sz="4" w:space="0"/>
              <w:bottom w:val="single" w:color="auto" w:sz="4" w:space="0"/>
              <w:right w:val="single" w:color="auto" w:sz="4" w:space="0"/>
            </w:tcBorders>
            <w:vAlign w:val="center"/>
          </w:tcPr>
          <w:p w14:paraId="4144DEA0">
            <w:pPr>
              <w:spacing w:line="300" w:lineRule="exact"/>
              <w:jc w:val="center"/>
              <w:rPr>
                <w:rFonts w:hint="eastAsia" w:ascii="宋体" w:hAnsi="宋体" w:cs="宋体"/>
                <w:color w:val="auto"/>
                <w:szCs w:val="21"/>
              </w:rPr>
            </w:pPr>
            <w:r>
              <w:rPr>
                <w:rFonts w:hint="eastAsia" w:ascii="宋体" w:hAnsi="宋体" w:cs="宋体"/>
                <w:color w:val="auto"/>
                <w:szCs w:val="21"/>
              </w:rPr>
              <w:t>其他要求</w:t>
            </w:r>
          </w:p>
        </w:tc>
        <w:tc>
          <w:tcPr>
            <w:tcW w:w="7091" w:type="dxa"/>
            <w:gridSpan w:val="4"/>
            <w:tcBorders>
              <w:top w:val="single" w:color="auto" w:sz="4" w:space="0"/>
              <w:left w:val="nil"/>
              <w:bottom w:val="single" w:color="auto" w:sz="4" w:space="0"/>
              <w:right w:val="single" w:color="auto" w:sz="4" w:space="0"/>
            </w:tcBorders>
            <w:vAlign w:val="center"/>
          </w:tcPr>
          <w:p w14:paraId="10CDDAF4">
            <w:pPr>
              <w:spacing w:line="300" w:lineRule="exact"/>
              <w:jc w:val="center"/>
              <w:rPr>
                <w:rFonts w:hint="eastAsia" w:ascii="宋体" w:hAnsi="宋体" w:cs="宋体"/>
                <w:color w:val="auto"/>
                <w:szCs w:val="21"/>
              </w:rPr>
            </w:pPr>
          </w:p>
        </w:tc>
      </w:tr>
      <w:tr w14:paraId="1504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063" w:type="dxa"/>
            <w:gridSpan w:val="6"/>
            <w:tcBorders>
              <w:top w:val="single" w:color="auto" w:sz="4" w:space="0"/>
              <w:left w:val="single" w:color="auto" w:sz="4" w:space="0"/>
              <w:bottom w:val="single" w:color="auto" w:sz="4" w:space="0"/>
              <w:right w:val="single" w:color="auto" w:sz="4" w:space="0"/>
            </w:tcBorders>
            <w:vAlign w:val="center"/>
          </w:tcPr>
          <w:p w14:paraId="7281F2DF">
            <w:pPr>
              <w:spacing w:line="300" w:lineRule="exact"/>
              <w:jc w:val="center"/>
              <w:rPr>
                <w:rFonts w:hint="eastAsia" w:ascii="宋体" w:hAnsi="宋体" w:cs="宋体"/>
                <w:color w:val="auto"/>
                <w:szCs w:val="21"/>
              </w:rPr>
            </w:pPr>
            <w:r>
              <w:rPr>
                <w:rFonts w:hint="eastAsia" w:ascii="宋体" w:hAnsi="宋体" w:cs="宋体"/>
                <w:color w:val="auto"/>
                <w:szCs w:val="21"/>
              </w:rPr>
              <w:t>定标委员会成员情况</w:t>
            </w:r>
          </w:p>
        </w:tc>
      </w:tr>
      <w:tr w14:paraId="1A60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A50D287">
            <w:pPr>
              <w:spacing w:line="300" w:lineRule="exact"/>
              <w:jc w:val="center"/>
              <w:rPr>
                <w:rFonts w:hint="eastAsia" w:ascii="宋体" w:hAnsi="宋体" w:cs="宋体"/>
                <w:color w:val="auto"/>
                <w:szCs w:val="21"/>
              </w:rPr>
            </w:pPr>
            <w:r>
              <w:rPr>
                <w:rFonts w:hint="eastAsia" w:ascii="宋体" w:hAnsi="宋体" w:cs="宋体"/>
                <w:color w:val="auto"/>
                <w:szCs w:val="21"/>
              </w:rPr>
              <w:t>序号</w:t>
            </w:r>
          </w:p>
        </w:tc>
        <w:tc>
          <w:tcPr>
            <w:tcW w:w="1203" w:type="dxa"/>
            <w:tcBorders>
              <w:top w:val="single" w:color="auto" w:sz="4" w:space="0"/>
              <w:left w:val="nil"/>
              <w:bottom w:val="single" w:color="auto" w:sz="4" w:space="0"/>
              <w:right w:val="single" w:color="auto" w:sz="4" w:space="0"/>
            </w:tcBorders>
            <w:vAlign w:val="center"/>
          </w:tcPr>
          <w:p w14:paraId="5A3E6969">
            <w:pPr>
              <w:spacing w:line="300" w:lineRule="exact"/>
              <w:jc w:val="center"/>
              <w:rPr>
                <w:rFonts w:hint="eastAsia" w:ascii="宋体" w:hAnsi="宋体" w:cs="宋体"/>
                <w:color w:val="auto"/>
                <w:szCs w:val="21"/>
              </w:rPr>
            </w:pPr>
            <w:r>
              <w:rPr>
                <w:rFonts w:hint="eastAsia" w:ascii="宋体" w:hAnsi="宋体" w:cs="宋体"/>
                <w:color w:val="auto"/>
                <w:szCs w:val="21"/>
              </w:rPr>
              <w:t>姓名</w:t>
            </w:r>
          </w:p>
        </w:tc>
        <w:tc>
          <w:tcPr>
            <w:tcW w:w="2371" w:type="dxa"/>
            <w:tcBorders>
              <w:top w:val="single" w:color="auto" w:sz="4" w:space="0"/>
              <w:left w:val="nil"/>
              <w:bottom w:val="single" w:color="auto" w:sz="4" w:space="0"/>
              <w:right w:val="single" w:color="auto" w:sz="4" w:space="0"/>
            </w:tcBorders>
            <w:vAlign w:val="center"/>
          </w:tcPr>
          <w:p w14:paraId="464D1AE6">
            <w:pPr>
              <w:spacing w:line="300" w:lineRule="exact"/>
              <w:jc w:val="center"/>
              <w:rPr>
                <w:rFonts w:hint="eastAsia" w:ascii="宋体" w:hAnsi="宋体" w:cs="宋体"/>
                <w:color w:val="auto"/>
                <w:szCs w:val="21"/>
              </w:rPr>
            </w:pPr>
            <w:r>
              <w:rPr>
                <w:rFonts w:hint="eastAsia" w:ascii="宋体" w:hAnsi="宋体" w:cs="宋体"/>
                <w:color w:val="auto"/>
                <w:szCs w:val="21"/>
              </w:rPr>
              <w:t>工作单位及职务</w:t>
            </w:r>
          </w:p>
        </w:tc>
        <w:tc>
          <w:tcPr>
            <w:tcW w:w="1534" w:type="dxa"/>
            <w:tcBorders>
              <w:top w:val="single" w:color="auto" w:sz="4" w:space="0"/>
              <w:left w:val="nil"/>
              <w:bottom w:val="single" w:color="auto" w:sz="4" w:space="0"/>
              <w:right w:val="single" w:color="auto" w:sz="4" w:space="0"/>
            </w:tcBorders>
            <w:vAlign w:val="center"/>
          </w:tcPr>
          <w:p w14:paraId="481C1121">
            <w:pPr>
              <w:spacing w:line="300" w:lineRule="exact"/>
              <w:jc w:val="center"/>
              <w:rPr>
                <w:rFonts w:hint="eastAsia" w:ascii="宋体" w:hAnsi="宋体" w:cs="宋体"/>
                <w:color w:val="auto"/>
                <w:szCs w:val="21"/>
              </w:rPr>
            </w:pPr>
            <w:r>
              <w:rPr>
                <w:rFonts w:hint="eastAsia" w:ascii="宋体" w:hAnsi="宋体" w:cs="宋体"/>
                <w:color w:val="auto"/>
                <w:szCs w:val="21"/>
              </w:rPr>
              <w:t>联系电话</w:t>
            </w:r>
          </w:p>
        </w:tc>
        <w:tc>
          <w:tcPr>
            <w:tcW w:w="1626" w:type="dxa"/>
            <w:tcBorders>
              <w:top w:val="single" w:color="auto" w:sz="4" w:space="0"/>
              <w:left w:val="nil"/>
              <w:bottom w:val="single" w:color="auto" w:sz="4" w:space="0"/>
              <w:right w:val="single" w:color="auto" w:sz="4" w:space="0"/>
            </w:tcBorders>
            <w:vAlign w:val="center"/>
          </w:tcPr>
          <w:p w14:paraId="06294664">
            <w:pPr>
              <w:spacing w:line="300" w:lineRule="exact"/>
              <w:jc w:val="center"/>
              <w:rPr>
                <w:rFonts w:hint="eastAsia" w:ascii="宋体" w:hAnsi="宋体" w:cs="宋体"/>
                <w:color w:val="auto"/>
                <w:szCs w:val="21"/>
              </w:rPr>
            </w:pPr>
            <w:r>
              <w:rPr>
                <w:rFonts w:hint="eastAsia" w:ascii="宋体" w:hAnsi="宋体" w:cs="宋体"/>
                <w:color w:val="auto"/>
                <w:szCs w:val="21"/>
              </w:rPr>
              <w:t>签名</w:t>
            </w:r>
          </w:p>
        </w:tc>
        <w:tc>
          <w:tcPr>
            <w:tcW w:w="1560" w:type="dxa"/>
            <w:tcBorders>
              <w:top w:val="single" w:color="auto" w:sz="4" w:space="0"/>
              <w:left w:val="nil"/>
              <w:bottom w:val="single" w:color="auto" w:sz="4" w:space="0"/>
              <w:right w:val="single" w:color="auto" w:sz="4" w:space="0"/>
            </w:tcBorders>
            <w:vAlign w:val="center"/>
          </w:tcPr>
          <w:p w14:paraId="23B1EB0E">
            <w:pPr>
              <w:spacing w:line="300" w:lineRule="exact"/>
              <w:jc w:val="center"/>
              <w:rPr>
                <w:rFonts w:hint="eastAsia" w:ascii="宋体" w:hAnsi="宋体" w:cs="宋体"/>
                <w:color w:val="auto"/>
                <w:szCs w:val="21"/>
              </w:rPr>
            </w:pPr>
            <w:r>
              <w:rPr>
                <w:rFonts w:hint="eastAsia" w:ascii="宋体" w:hAnsi="宋体" w:cs="宋体"/>
                <w:color w:val="auto"/>
                <w:szCs w:val="21"/>
              </w:rPr>
              <w:t>备注</w:t>
            </w:r>
          </w:p>
        </w:tc>
      </w:tr>
      <w:tr w14:paraId="3DBD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CF4DFB7">
            <w:pPr>
              <w:jc w:val="center"/>
              <w:rPr>
                <w:rFonts w:hint="eastAsia" w:ascii="宋体" w:hAnsi="宋体" w:cs="宋体"/>
                <w:color w:val="auto"/>
                <w:szCs w:val="21"/>
              </w:rPr>
            </w:pPr>
            <w:r>
              <w:rPr>
                <w:rFonts w:hint="eastAsia" w:ascii="宋体" w:hAnsi="宋体" w:cs="宋体"/>
                <w:color w:val="auto"/>
                <w:szCs w:val="21"/>
              </w:rPr>
              <w:t>1</w:t>
            </w:r>
          </w:p>
        </w:tc>
        <w:tc>
          <w:tcPr>
            <w:tcW w:w="1203" w:type="dxa"/>
            <w:tcBorders>
              <w:top w:val="single" w:color="auto" w:sz="4" w:space="0"/>
              <w:left w:val="nil"/>
              <w:bottom w:val="single" w:color="auto" w:sz="4" w:space="0"/>
              <w:right w:val="single" w:color="auto" w:sz="4" w:space="0"/>
            </w:tcBorders>
            <w:vAlign w:val="center"/>
          </w:tcPr>
          <w:p w14:paraId="3B1918A2">
            <w:pPr>
              <w:spacing w:line="300" w:lineRule="exact"/>
              <w:jc w:val="center"/>
              <w:rPr>
                <w:rFonts w:hint="eastAsia" w:ascii="宋体" w:hAnsi="宋体" w:cs="宋体"/>
                <w:color w:val="auto"/>
                <w:szCs w:val="21"/>
              </w:rPr>
            </w:pPr>
          </w:p>
        </w:tc>
        <w:tc>
          <w:tcPr>
            <w:tcW w:w="2371" w:type="dxa"/>
            <w:tcBorders>
              <w:top w:val="single" w:color="auto" w:sz="4" w:space="0"/>
              <w:left w:val="nil"/>
              <w:bottom w:val="single" w:color="auto" w:sz="4" w:space="0"/>
              <w:right w:val="single" w:color="auto" w:sz="4" w:space="0"/>
            </w:tcBorders>
            <w:vAlign w:val="center"/>
          </w:tcPr>
          <w:p w14:paraId="56C28F77">
            <w:pPr>
              <w:spacing w:line="300" w:lineRule="exact"/>
              <w:jc w:val="center"/>
              <w:rPr>
                <w:rFonts w:hint="eastAsia" w:ascii="宋体" w:hAnsi="宋体" w:cs="宋体"/>
                <w:color w:val="auto"/>
                <w:szCs w:val="21"/>
              </w:rPr>
            </w:pPr>
          </w:p>
        </w:tc>
        <w:tc>
          <w:tcPr>
            <w:tcW w:w="1534" w:type="dxa"/>
            <w:tcBorders>
              <w:top w:val="single" w:color="auto" w:sz="4" w:space="0"/>
              <w:left w:val="nil"/>
              <w:bottom w:val="single" w:color="auto" w:sz="4" w:space="0"/>
              <w:right w:val="single" w:color="auto" w:sz="4" w:space="0"/>
            </w:tcBorders>
            <w:vAlign w:val="center"/>
          </w:tcPr>
          <w:p w14:paraId="68CCD04B">
            <w:pPr>
              <w:spacing w:line="300" w:lineRule="exact"/>
              <w:jc w:val="center"/>
              <w:rPr>
                <w:rFonts w:hint="eastAsia" w:ascii="宋体" w:hAnsi="宋体" w:cs="宋体"/>
                <w:color w:val="auto"/>
                <w:szCs w:val="21"/>
              </w:rPr>
            </w:pPr>
          </w:p>
        </w:tc>
        <w:tc>
          <w:tcPr>
            <w:tcW w:w="1626" w:type="dxa"/>
            <w:tcBorders>
              <w:top w:val="single" w:color="auto" w:sz="4" w:space="0"/>
              <w:left w:val="nil"/>
              <w:bottom w:val="single" w:color="auto" w:sz="4" w:space="0"/>
              <w:right w:val="single" w:color="auto" w:sz="4" w:space="0"/>
            </w:tcBorders>
            <w:vAlign w:val="center"/>
          </w:tcPr>
          <w:p w14:paraId="2577F2E6">
            <w:pPr>
              <w:spacing w:line="300" w:lineRule="exact"/>
              <w:jc w:val="center"/>
              <w:rPr>
                <w:rFonts w:hint="eastAsia" w:ascii="宋体" w:hAnsi="宋体" w:cs="宋体"/>
                <w:color w:val="auto"/>
                <w:szCs w:val="21"/>
              </w:rPr>
            </w:pPr>
          </w:p>
        </w:tc>
        <w:tc>
          <w:tcPr>
            <w:tcW w:w="1560" w:type="dxa"/>
            <w:tcBorders>
              <w:top w:val="single" w:color="auto" w:sz="4" w:space="0"/>
              <w:left w:val="nil"/>
              <w:bottom w:val="single" w:color="auto" w:sz="4" w:space="0"/>
              <w:right w:val="single" w:color="auto" w:sz="4" w:space="0"/>
            </w:tcBorders>
            <w:vAlign w:val="center"/>
          </w:tcPr>
          <w:p w14:paraId="777458FD">
            <w:pPr>
              <w:spacing w:line="300" w:lineRule="exact"/>
              <w:jc w:val="center"/>
              <w:rPr>
                <w:rFonts w:hint="eastAsia" w:ascii="宋体" w:hAnsi="宋体" w:cs="宋体"/>
                <w:color w:val="auto"/>
                <w:szCs w:val="21"/>
              </w:rPr>
            </w:pPr>
          </w:p>
        </w:tc>
      </w:tr>
      <w:tr w14:paraId="69F4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A9D3CFF">
            <w:pPr>
              <w:jc w:val="center"/>
              <w:rPr>
                <w:rFonts w:hint="eastAsia" w:ascii="宋体" w:hAnsi="宋体" w:cs="宋体"/>
                <w:color w:val="auto"/>
                <w:szCs w:val="21"/>
              </w:rPr>
            </w:pPr>
            <w:r>
              <w:rPr>
                <w:rFonts w:hint="eastAsia" w:ascii="宋体" w:hAnsi="宋体" w:cs="宋体"/>
                <w:color w:val="auto"/>
                <w:szCs w:val="21"/>
              </w:rPr>
              <w:t>2</w:t>
            </w:r>
          </w:p>
        </w:tc>
        <w:tc>
          <w:tcPr>
            <w:tcW w:w="1203" w:type="dxa"/>
            <w:tcBorders>
              <w:top w:val="single" w:color="auto" w:sz="4" w:space="0"/>
              <w:left w:val="nil"/>
              <w:bottom w:val="single" w:color="auto" w:sz="4" w:space="0"/>
              <w:right w:val="single" w:color="auto" w:sz="4" w:space="0"/>
            </w:tcBorders>
            <w:vAlign w:val="center"/>
          </w:tcPr>
          <w:p w14:paraId="141564CC">
            <w:pPr>
              <w:spacing w:line="300" w:lineRule="exact"/>
              <w:jc w:val="center"/>
              <w:rPr>
                <w:rFonts w:hint="eastAsia" w:ascii="宋体" w:hAnsi="宋体" w:cs="宋体"/>
                <w:color w:val="auto"/>
                <w:szCs w:val="21"/>
              </w:rPr>
            </w:pPr>
          </w:p>
        </w:tc>
        <w:tc>
          <w:tcPr>
            <w:tcW w:w="2371" w:type="dxa"/>
            <w:tcBorders>
              <w:top w:val="single" w:color="auto" w:sz="4" w:space="0"/>
              <w:left w:val="nil"/>
              <w:bottom w:val="single" w:color="auto" w:sz="4" w:space="0"/>
              <w:right w:val="single" w:color="auto" w:sz="4" w:space="0"/>
            </w:tcBorders>
            <w:vAlign w:val="center"/>
          </w:tcPr>
          <w:p w14:paraId="16FCEA65">
            <w:pPr>
              <w:spacing w:line="300" w:lineRule="exact"/>
              <w:jc w:val="center"/>
              <w:rPr>
                <w:rFonts w:hint="eastAsia" w:ascii="宋体" w:hAnsi="宋体" w:cs="宋体"/>
                <w:color w:val="auto"/>
                <w:szCs w:val="21"/>
              </w:rPr>
            </w:pPr>
          </w:p>
        </w:tc>
        <w:tc>
          <w:tcPr>
            <w:tcW w:w="1534" w:type="dxa"/>
            <w:tcBorders>
              <w:top w:val="single" w:color="auto" w:sz="4" w:space="0"/>
              <w:left w:val="nil"/>
              <w:bottom w:val="single" w:color="auto" w:sz="4" w:space="0"/>
              <w:right w:val="single" w:color="auto" w:sz="4" w:space="0"/>
            </w:tcBorders>
            <w:vAlign w:val="center"/>
          </w:tcPr>
          <w:p w14:paraId="45E76C09">
            <w:pPr>
              <w:spacing w:line="300" w:lineRule="exact"/>
              <w:jc w:val="center"/>
              <w:rPr>
                <w:rFonts w:hint="eastAsia" w:ascii="宋体" w:hAnsi="宋体" w:cs="宋体"/>
                <w:color w:val="auto"/>
                <w:szCs w:val="21"/>
              </w:rPr>
            </w:pPr>
          </w:p>
        </w:tc>
        <w:tc>
          <w:tcPr>
            <w:tcW w:w="1626" w:type="dxa"/>
            <w:tcBorders>
              <w:top w:val="single" w:color="auto" w:sz="4" w:space="0"/>
              <w:left w:val="nil"/>
              <w:bottom w:val="single" w:color="auto" w:sz="4" w:space="0"/>
              <w:right w:val="single" w:color="auto" w:sz="4" w:space="0"/>
            </w:tcBorders>
            <w:vAlign w:val="center"/>
          </w:tcPr>
          <w:p w14:paraId="7171E1BC">
            <w:pPr>
              <w:spacing w:line="300" w:lineRule="exact"/>
              <w:jc w:val="center"/>
              <w:rPr>
                <w:rFonts w:hint="eastAsia" w:ascii="宋体" w:hAnsi="宋体" w:cs="宋体"/>
                <w:color w:val="auto"/>
                <w:szCs w:val="21"/>
              </w:rPr>
            </w:pPr>
          </w:p>
        </w:tc>
        <w:tc>
          <w:tcPr>
            <w:tcW w:w="1560" w:type="dxa"/>
            <w:tcBorders>
              <w:top w:val="single" w:color="auto" w:sz="4" w:space="0"/>
              <w:left w:val="nil"/>
              <w:bottom w:val="single" w:color="auto" w:sz="4" w:space="0"/>
              <w:right w:val="single" w:color="auto" w:sz="4" w:space="0"/>
            </w:tcBorders>
            <w:vAlign w:val="center"/>
          </w:tcPr>
          <w:p w14:paraId="288CE4E3">
            <w:pPr>
              <w:spacing w:line="300" w:lineRule="exact"/>
              <w:jc w:val="center"/>
              <w:rPr>
                <w:rFonts w:hint="eastAsia" w:ascii="宋体" w:hAnsi="宋体" w:cs="宋体"/>
                <w:color w:val="auto"/>
                <w:szCs w:val="21"/>
              </w:rPr>
            </w:pPr>
          </w:p>
        </w:tc>
      </w:tr>
      <w:tr w14:paraId="18FB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641FAA1">
            <w:pPr>
              <w:jc w:val="center"/>
              <w:rPr>
                <w:rFonts w:hint="eastAsia" w:ascii="宋体" w:hAnsi="宋体" w:cs="宋体"/>
                <w:color w:val="auto"/>
                <w:szCs w:val="21"/>
              </w:rPr>
            </w:pPr>
            <w:r>
              <w:rPr>
                <w:rFonts w:hint="eastAsia" w:ascii="宋体" w:hAnsi="宋体" w:cs="宋体"/>
                <w:color w:val="auto"/>
                <w:szCs w:val="21"/>
              </w:rPr>
              <w:t>3</w:t>
            </w:r>
          </w:p>
        </w:tc>
        <w:tc>
          <w:tcPr>
            <w:tcW w:w="1203" w:type="dxa"/>
            <w:tcBorders>
              <w:top w:val="single" w:color="auto" w:sz="4" w:space="0"/>
              <w:left w:val="nil"/>
              <w:bottom w:val="single" w:color="auto" w:sz="4" w:space="0"/>
              <w:right w:val="single" w:color="auto" w:sz="4" w:space="0"/>
            </w:tcBorders>
            <w:vAlign w:val="center"/>
          </w:tcPr>
          <w:p w14:paraId="2E0334EF">
            <w:pPr>
              <w:spacing w:line="300" w:lineRule="exact"/>
              <w:jc w:val="center"/>
              <w:rPr>
                <w:rFonts w:hint="eastAsia" w:ascii="宋体" w:hAnsi="宋体" w:cs="宋体"/>
                <w:color w:val="auto"/>
                <w:szCs w:val="21"/>
              </w:rPr>
            </w:pPr>
          </w:p>
        </w:tc>
        <w:tc>
          <w:tcPr>
            <w:tcW w:w="2371" w:type="dxa"/>
            <w:tcBorders>
              <w:top w:val="single" w:color="auto" w:sz="4" w:space="0"/>
              <w:left w:val="nil"/>
              <w:bottom w:val="single" w:color="auto" w:sz="4" w:space="0"/>
              <w:right w:val="single" w:color="auto" w:sz="4" w:space="0"/>
            </w:tcBorders>
            <w:vAlign w:val="center"/>
          </w:tcPr>
          <w:p w14:paraId="4CA16758">
            <w:pPr>
              <w:spacing w:line="300" w:lineRule="exact"/>
              <w:jc w:val="center"/>
              <w:rPr>
                <w:rFonts w:hint="eastAsia" w:ascii="宋体" w:hAnsi="宋体" w:cs="宋体"/>
                <w:color w:val="auto"/>
                <w:szCs w:val="21"/>
              </w:rPr>
            </w:pPr>
          </w:p>
        </w:tc>
        <w:tc>
          <w:tcPr>
            <w:tcW w:w="1534" w:type="dxa"/>
            <w:tcBorders>
              <w:top w:val="single" w:color="auto" w:sz="4" w:space="0"/>
              <w:left w:val="nil"/>
              <w:bottom w:val="single" w:color="auto" w:sz="4" w:space="0"/>
              <w:right w:val="single" w:color="auto" w:sz="4" w:space="0"/>
            </w:tcBorders>
            <w:vAlign w:val="center"/>
          </w:tcPr>
          <w:p w14:paraId="7C800FDC">
            <w:pPr>
              <w:spacing w:line="300" w:lineRule="exact"/>
              <w:jc w:val="center"/>
              <w:rPr>
                <w:rFonts w:hint="eastAsia" w:ascii="宋体" w:hAnsi="宋体" w:cs="宋体"/>
                <w:color w:val="auto"/>
                <w:szCs w:val="21"/>
              </w:rPr>
            </w:pPr>
          </w:p>
        </w:tc>
        <w:tc>
          <w:tcPr>
            <w:tcW w:w="1626" w:type="dxa"/>
            <w:tcBorders>
              <w:top w:val="single" w:color="auto" w:sz="4" w:space="0"/>
              <w:left w:val="nil"/>
              <w:bottom w:val="single" w:color="auto" w:sz="4" w:space="0"/>
              <w:right w:val="single" w:color="auto" w:sz="4" w:space="0"/>
            </w:tcBorders>
            <w:vAlign w:val="center"/>
          </w:tcPr>
          <w:p w14:paraId="76D47400">
            <w:pPr>
              <w:spacing w:line="300" w:lineRule="exact"/>
              <w:jc w:val="center"/>
              <w:rPr>
                <w:rFonts w:hint="eastAsia" w:ascii="宋体" w:hAnsi="宋体" w:cs="宋体"/>
                <w:color w:val="auto"/>
                <w:szCs w:val="21"/>
              </w:rPr>
            </w:pPr>
          </w:p>
        </w:tc>
        <w:tc>
          <w:tcPr>
            <w:tcW w:w="1560" w:type="dxa"/>
            <w:tcBorders>
              <w:top w:val="single" w:color="auto" w:sz="4" w:space="0"/>
              <w:left w:val="nil"/>
              <w:bottom w:val="single" w:color="auto" w:sz="4" w:space="0"/>
              <w:right w:val="single" w:color="auto" w:sz="4" w:space="0"/>
            </w:tcBorders>
            <w:vAlign w:val="center"/>
          </w:tcPr>
          <w:p w14:paraId="2F53B356">
            <w:pPr>
              <w:spacing w:line="300" w:lineRule="exact"/>
              <w:jc w:val="center"/>
              <w:rPr>
                <w:rFonts w:hint="eastAsia" w:ascii="宋体" w:hAnsi="宋体" w:cs="宋体"/>
                <w:color w:val="auto"/>
                <w:szCs w:val="21"/>
              </w:rPr>
            </w:pPr>
          </w:p>
        </w:tc>
      </w:tr>
      <w:tr w14:paraId="3A30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88191D5">
            <w:pPr>
              <w:jc w:val="center"/>
              <w:rPr>
                <w:rFonts w:hint="eastAsia" w:ascii="宋体" w:hAnsi="宋体" w:cs="宋体"/>
                <w:color w:val="auto"/>
                <w:szCs w:val="21"/>
              </w:rPr>
            </w:pPr>
            <w:r>
              <w:rPr>
                <w:rFonts w:hint="eastAsia" w:ascii="宋体" w:hAnsi="宋体" w:cs="宋体"/>
                <w:color w:val="auto"/>
                <w:szCs w:val="21"/>
              </w:rPr>
              <w:t>4</w:t>
            </w:r>
          </w:p>
        </w:tc>
        <w:tc>
          <w:tcPr>
            <w:tcW w:w="1203" w:type="dxa"/>
            <w:tcBorders>
              <w:top w:val="single" w:color="auto" w:sz="4" w:space="0"/>
              <w:left w:val="nil"/>
              <w:bottom w:val="single" w:color="auto" w:sz="4" w:space="0"/>
              <w:right w:val="single" w:color="auto" w:sz="4" w:space="0"/>
            </w:tcBorders>
            <w:vAlign w:val="center"/>
          </w:tcPr>
          <w:p w14:paraId="57C5CE13">
            <w:pPr>
              <w:spacing w:line="300" w:lineRule="exact"/>
              <w:jc w:val="center"/>
              <w:rPr>
                <w:rFonts w:hint="eastAsia" w:ascii="宋体" w:hAnsi="宋体" w:cs="宋体"/>
                <w:color w:val="auto"/>
                <w:szCs w:val="21"/>
              </w:rPr>
            </w:pPr>
          </w:p>
        </w:tc>
        <w:tc>
          <w:tcPr>
            <w:tcW w:w="2371" w:type="dxa"/>
            <w:tcBorders>
              <w:top w:val="single" w:color="auto" w:sz="4" w:space="0"/>
              <w:left w:val="nil"/>
              <w:bottom w:val="single" w:color="auto" w:sz="4" w:space="0"/>
              <w:right w:val="single" w:color="auto" w:sz="4" w:space="0"/>
            </w:tcBorders>
            <w:vAlign w:val="center"/>
          </w:tcPr>
          <w:p w14:paraId="4EE9DBFD">
            <w:pPr>
              <w:spacing w:line="300" w:lineRule="exact"/>
              <w:jc w:val="center"/>
              <w:rPr>
                <w:rFonts w:hint="eastAsia" w:ascii="宋体" w:hAnsi="宋体" w:cs="宋体"/>
                <w:color w:val="auto"/>
                <w:szCs w:val="21"/>
              </w:rPr>
            </w:pPr>
          </w:p>
        </w:tc>
        <w:tc>
          <w:tcPr>
            <w:tcW w:w="1534" w:type="dxa"/>
            <w:tcBorders>
              <w:top w:val="single" w:color="auto" w:sz="4" w:space="0"/>
              <w:left w:val="nil"/>
              <w:bottom w:val="single" w:color="auto" w:sz="4" w:space="0"/>
              <w:right w:val="single" w:color="auto" w:sz="4" w:space="0"/>
            </w:tcBorders>
            <w:vAlign w:val="center"/>
          </w:tcPr>
          <w:p w14:paraId="4B9731EF">
            <w:pPr>
              <w:spacing w:line="300" w:lineRule="exact"/>
              <w:jc w:val="center"/>
              <w:rPr>
                <w:rFonts w:hint="eastAsia" w:ascii="宋体" w:hAnsi="宋体" w:cs="宋体"/>
                <w:color w:val="auto"/>
                <w:szCs w:val="21"/>
              </w:rPr>
            </w:pPr>
          </w:p>
        </w:tc>
        <w:tc>
          <w:tcPr>
            <w:tcW w:w="1626" w:type="dxa"/>
            <w:tcBorders>
              <w:top w:val="single" w:color="auto" w:sz="4" w:space="0"/>
              <w:left w:val="nil"/>
              <w:bottom w:val="single" w:color="auto" w:sz="4" w:space="0"/>
              <w:right w:val="single" w:color="auto" w:sz="4" w:space="0"/>
            </w:tcBorders>
            <w:vAlign w:val="center"/>
          </w:tcPr>
          <w:p w14:paraId="1CA1C0EF">
            <w:pPr>
              <w:spacing w:line="300" w:lineRule="exact"/>
              <w:jc w:val="center"/>
              <w:rPr>
                <w:rFonts w:hint="eastAsia" w:ascii="宋体" w:hAnsi="宋体" w:cs="宋体"/>
                <w:color w:val="auto"/>
                <w:szCs w:val="21"/>
              </w:rPr>
            </w:pPr>
          </w:p>
        </w:tc>
        <w:tc>
          <w:tcPr>
            <w:tcW w:w="1560" w:type="dxa"/>
            <w:tcBorders>
              <w:top w:val="single" w:color="auto" w:sz="4" w:space="0"/>
              <w:left w:val="nil"/>
              <w:bottom w:val="single" w:color="auto" w:sz="4" w:space="0"/>
              <w:right w:val="single" w:color="auto" w:sz="4" w:space="0"/>
            </w:tcBorders>
            <w:vAlign w:val="center"/>
          </w:tcPr>
          <w:p w14:paraId="6448F94D">
            <w:pPr>
              <w:spacing w:line="300" w:lineRule="exact"/>
              <w:jc w:val="center"/>
              <w:rPr>
                <w:rFonts w:hint="eastAsia" w:ascii="宋体" w:hAnsi="宋体" w:cs="宋体"/>
                <w:color w:val="auto"/>
                <w:szCs w:val="21"/>
              </w:rPr>
            </w:pPr>
          </w:p>
        </w:tc>
      </w:tr>
      <w:tr w14:paraId="43FE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9E51927">
            <w:pPr>
              <w:jc w:val="center"/>
              <w:rPr>
                <w:rFonts w:hint="eastAsia" w:ascii="宋体" w:hAnsi="宋体" w:cs="宋体"/>
                <w:color w:val="auto"/>
                <w:szCs w:val="21"/>
              </w:rPr>
            </w:pPr>
            <w:r>
              <w:rPr>
                <w:rFonts w:hint="eastAsia" w:ascii="宋体" w:hAnsi="宋体" w:cs="宋体"/>
                <w:color w:val="auto"/>
                <w:szCs w:val="21"/>
              </w:rPr>
              <w:t>5</w:t>
            </w:r>
          </w:p>
        </w:tc>
        <w:tc>
          <w:tcPr>
            <w:tcW w:w="1203" w:type="dxa"/>
            <w:tcBorders>
              <w:top w:val="single" w:color="auto" w:sz="4" w:space="0"/>
              <w:left w:val="nil"/>
              <w:bottom w:val="single" w:color="auto" w:sz="4" w:space="0"/>
              <w:right w:val="single" w:color="auto" w:sz="4" w:space="0"/>
            </w:tcBorders>
            <w:vAlign w:val="center"/>
          </w:tcPr>
          <w:p w14:paraId="53BF6CA2">
            <w:pPr>
              <w:spacing w:line="300" w:lineRule="exact"/>
              <w:jc w:val="center"/>
              <w:rPr>
                <w:rFonts w:hint="eastAsia" w:ascii="宋体" w:hAnsi="宋体" w:cs="宋体"/>
                <w:color w:val="auto"/>
                <w:szCs w:val="21"/>
              </w:rPr>
            </w:pPr>
          </w:p>
        </w:tc>
        <w:tc>
          <w:tcPr>
            <w:tcW w:w="2371" w:type="dxa"/>
            <w:tcBorders>
              <w:top w:val="single" w:color="auto" w:sz="4" w:space="0"/>
              <w:left w:val="nil"/>
              <w:bottom w:val="single" w:color="auto" w:sz="4" w:space="0"/>
              <w:right w:val="single" w:color="auto" w:sz="4" w:space="0"/>
            </w:tcBorders>
            <w:vAlign w:val="center"/>
          </w:tcPr>
          <w:p w14:paraId="4D9274CA">
            <w:pPr>
              <w:spacing w:line="300" w:lineRule="exact"/>
              <w:jc w:val="center"/>
              <w:rPr>
                <w:rFonts w:hint="eastAsia" w:ascii="宋体" w:hAnsi="宋体" w:cs="宋体"/>
                <w:color w:val="auto"/>
                <w:szCs w:val="21"/>
              </w:rPr>
            </w:pPr>
          </w:p>
        </w:tc>
        <w:tc>
          <w:tcPr>
            <w:tcW w:w="1534" w:type="dxa"/>
            <w:tcBorders>
              <w:top w:val="single" w:color="auto" w:sz="4" w:space="0"/>
              <w:left w:val="nil"/>
              <w:bottom w:val="single" w:color="auto" w:sz="4" w:space="0"/>
              <w:right w:val="single" w:color="auto" w:sz="4" w:space="0"/>
            </w:tcBorders>
            <w:vAlign w:val="center"/>
          </w:tcPr>
          <w:p w14:paraId="3BD8C0CF">
            <w:pPr>
              <w:spacing w:line="300" w:lineRule="exact"/>
              <w:jc w:val="center"/>
              <w:rPr>
                <w:rFonts w:hint="eastAsia" w:ascii="宋体" w:hAnsi="宋体" w:cs="宋体"/>
                <w:color w:val="auto"/>
                <w:szCs w:val="21"/>
              </w:rPr>
            </w:pPr>
          </w:p>
        </w:tc>
        <w:tc>
          <w:tcPr>
            <w:tcW w:w="1626" w:type="dxa"/>
            <w:tcBorders>
              <w:top w:val="single" w:color="auto" w:sz="4" w:space="0"/>
              <w:left w:val="nil"/>
              <w:bottom w:val="single" w:color="auto" w:sz="4" w:space="0"/>
              <w:right w:val="single" w:color="auto" w:sz="4" w:space="0"/>
            </w:tcBorders>
            <w:vAlign w:val="center"/>
          </w:tcPr>
          <w:p w14:paraId="1EF0429E">
            <w:pPr>
              <w:spacing w:line="300" w:lineRule="exact"/>
              <w:jc w:val="center"/>
              <w:rPr>
                <w:rFonts w:hint="eastAsia" w:ascii="宋体" w:hAnsi="宋体" w:cs="宋体"/>
                <w:color w:val="auto"/>
                <w:szCs w:val="21"/>
              </w:rPr>
            </w:pPr>
          </w:p>
        </w:tc>
        <w:tc>
          <w:tcPr>
            <w:tcW w:w="1560" w:type="dxa"/>
            <w:tcBorders>
              <w:top w:val="single" w:color="auto" w:sz="4" w:space="0"/>
              <w:left w:val="nil"/>
              <w:bottom w:val="single" w:color="auto" w:sz="4" w:space="0"/>
              <w:right w:val="single" w:color="auto" w:sz="4" w:space="0"/>
            </w:tcBorders>
            <w:vAlign w:val="center"/>
          </w:tcPr>
          <w:p w14:paraId="1F099D6A">
            <w:pPr>
              <w:spacing w:line="300" w:lineRule="exact"/>
              <w:jc w:val="center"/>
              <w:rPr>
                <w:rFonts w:hint="eastAsia" w:ascii="宋体" w:hAnsi="宋体" w:cs="宋体"/>
                <w:color w:val="auto"/>
                <w:szCs w:val="21"/>
              </w:rPr>
            </w:pPr>
          </w:p>
        </w:tc>
      </w:tr>
      <w:tr w14:paraId="7834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063" w:type="dxa"/>
            <w:gridSpan w:val="6"/>
            <w:tcBorders>
              <w:top w:val="single" w:color="auto" w:sz="4" w:space="0"/>
              <w:left w:val="single" w:color="auto" w:sz="4" w:space="0"/>
              <w:bottom w:val="single" w:color="auto" w:sz="4" w:space="0"/>
              <w:right w:val="single" w:color="auto" w:sz="4" w:space="0"/>
            </w:tcBorders>
            <w:vAlign w:val="center"/>
          </w:tcPr>
          <w:p w14:paraId="02A8EB82">
            <w:pPr>
              <w:spacing w:line="300" w:lineRule="exact"/>
              <w:rPr>
                <w:rFonts w:hint="eastAsia" w:ascii="宋体" w:hAnsi="宋体" w:cs="宋体"/>
                <w:color w:val="auto"/>
                <w:szCs w:val="21"/>
              </w:rPr>
            </w:pPr>
            <w:r>
              <w:rPr>
                <w:rFonts w:hint="eastAsia" w:ascii="宋体" w:hAnsi="宋体" w:cs="宋体"/>
                <w:color w:val="auto"/>
                <w:szCs w:val="21"/>
              </w:rPr>
              <w:t>招标代理机构（签字/时间）：</w:t>
            </w:r>
          </w:p>
        </w:tc>
      </w:tr>
      <w:tr w14:paraId="5536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063" w:type="dxa"/>
            <w:gridSpan w:val="6"/>
            <w:tcBorders>
              <w:top w:val="single" w:color="auto" w:sz="4" w:space="0"/>
              <w:left w:val="single" w:color="auto" w:sz="4" w:space="0"/>
              <w:bottom w:val="single" w:color="auto" w:sz="4" w:space="0"/>
              <w:right w:val="single" w:color="auto" w:sz="4" w:space="0"/>
            </w:tcBorders>
            <w:vAlign w:val="center"/>
          </w:tcPr>
          <w:p w14:paraId="6040B6B5">
            <w:pPr>
              <w:spacing w:line="300" w:lineRule="exact"/>
              <w:rPr>
                <w:rFonts w:hint="eastAsia" w:ascii="宋体" w:hAnsi="宋体" w:cs="宋体"/>
                <w:color w:val="auto"/>
                <w:szCs w:val="21"/>
              </w:rPr>
            </w:pPr>
            <w:r>
              <w:rPr>
                <w:rFonts w:hint="eastAsia" w:ascii="宋体" w:hAnsi="宋体" w:cs="宋体"/>
                <w:color w:val="auto"/>
                <w:szCs w:val="21"/>
              </w:rPr>
              <w:t>监督人员（签字/时间）：</w:t>
            </w:r>
          </w:p>
        </w:tc>
      </w:tr>
    </w:tbl>
    <w:p w14:paraId="0B32E1DF">
      <w:pPr>
        <w:rPr>
          <w:color w:val="auto"/>
        </w:rPr>
      </w:pPr>
    </w:p>
    <w:p w14:paraId="1208AECC">
      <w:pPr>
        <w:rPr>
          <w:rFonts w:hint="eastAsia" w:ascii="宋体" w:hAnsi="宋体" w:cs="宋体"/>
          <w:color w:val="auto"/>
          <w:sz w:val="24"/>
        </w:rPr>
      </w:pPr>
      <w:bookmarkStart w:id="308" w:name="_Toc13246"/>
      <w:r>
        <w:rPr>
          <w:rFonts w:hint="eastAsia" w:ascii="宋体" w:hAnsi="宋体" w:cs="宋体"/>
          <w:color w:val="auto"/>
          <w:sz w:val="24"/>
        </w:rPr>
        <w:br w:type="page"/>
      </w:r>
    </w:p>
    <w:p w14:paraId="6264DDC0">
      <w:pPr>
        <w:pStyle w:val="4"/>
        <w:spacing w:line="240" w:lineRule="auto"/>
        <w:jc w:val="both"/>
        <w:rPr>
          <w:rFonts w:hint="eastAsia" w:ascii="宋体" w:hAnsi="宋体" w:cs="宋体"/>
          <w:color w:val="auto"/>
          <w:sz w:val="21"/>
          <w:szCs w:val="21"/>
        </w:rPr>
      </w:pPr>
      <w:r>
        <w:rPr>
          <w:rFonts w:hint="eastAsia" w:ascii="宋体" w:hAnsi="宋体" w:cs="宋体"/>
          <w:color w:val="auto"/>
          <w:sz w:val="24"/>
          <w:szCs w:val="24"/>
        </w:rPr>
        <w:t>附件</w:t>
      </w:r>
      <w:bookmarkEnd w:id="304"/>
      <w:r>
        <w:rPr>
          <w:rFonts w:hint="eastAsia" w:ascii="宋体" w:hAnsi="宋体" w:cs="宋体"/>
          <w:color w:val="auto"/>
          <w:sz w:val="24"/>
          <w:szCs w:val="24"/>
        </w:rPr>
        <w:t>2：</w:t>
      </w:r>
      <w:bookmarkEnd w:id="308"/>
    </w:p>
    <w:bookmarkEnd w:id="305"/>
    <w:p w14:paraId="21739084">
      <w:pPr>
        <w:pStyle w:val="5"/>
        <w:spacing w:line="24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核查报告</w:t>
      </w:r>
    </w:p>
    <w:tbl>
      <w:tblPr>
        <w:tblStyle w:val="30"/>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330"/>
        <w:gridCol w:w="1926"/>
        <w:gridCol w:w="2247"/>
      </w:tblGrid>
      <w:tr w14:paraId="5DD4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Align w:val="center"/>
          </w:tcPr>
          <w:p w14:paraId="7A72A91D">
            <w:pPr>
              <w:widowControl/>
              <w:jc w:val="center"/>
              <w:rPr>
                <w:rFonts w:hint="eastAsia" w:ascii="宋体" w:hAnsi="宋体" w:cs="宋体"/>
                <w:color w:val="auto"/>
              </w:rPr>
            </w:pPr>
            <w:r>
              <w:rPr>
                <w:rFonts w:hint="eastAsia" w:ascii="宋体" w:hAnsi="宋体" w:cs="宋体"/>
                <w:color w:val="auto"/>
              </w:rPr>
              <w:t>项目名称</w:t>
            </w:r>
          </w:p>
        </w:tc>
        <w:tc>
          <w:tcPr>
            <w:tcW w:w="7503" w:type="dxa"/>
            <w:gridSpan w:val="3"/>
            <w:vAlign w:val="center"/>
          </w:tcPr>
          <w:p w14:paraId="5AD7426E">
            <w:pPr>
              <w:rPr>
                <w:rFonts w:hint="eastAsia" w:ascii="宋体" w:hAnsi="宋体" w:cs="宋体"/>
                <w:color w:val="auto"/>
              </w:rPr>
            </w:pPr>
          </w:p>
        </w:tc>
      </w:tr>
      <w:tr w14:paraId="0016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09" w:type="dxa"/>
            <w:vAlign w:val="center"/>
          </w:tcPr>
          <w:p w14:paraId="3A0E2C3A">
            <w:pPr>
              <w:widowControl/>
              <w:jc w:val="center"/>
              <w:rPr>
                <w:rFonts w:hint="eastAsia" w:ascii="宋体" w:hAnsi="宋体" w:cs="宋体"/>
                <w:color w:val="auto"/>
              </w:rPr>
            </w:pPr>
            <w:r>
              <w:rPr>
                <w:rFonts w:hint="eastAsia" w:ascii="宋体" w:hAnsi="宋体" w:cs="宋体"/>
                <w:color w:val="auto"/>
              </w:rPr>
              <w:t>日期</w:t>
            </w:r>
          </w:p>
        </w:tc>
        <w:tc>
          <w:tcPr>
            <w:tcW w:w="7503" w:type="dxa"/>
            <w:gridSpan w:val="3"/>
            <w:vAlign w:val="center"/>
          </w:tcPr>
          <w:p w14:paraId="64A767CE">
            <w:pPr>
              <w:rPr>
                <w:rFonts w:hint="eastAsia" w:ascii="宋体" w:hAnsi="宋体" w:cs="宋体"/>
                <w:color w:val="auto"/>
              </w:rPr>
            </w:pPr>
          </w:p>
        </w:tc>
      </w:tr>
      <w:tr w14:paraId="34B6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9" w:hRule="atLeast"/>
        </w:trPr>
        <w:tc>
          <w:tcPr>
            <w:tcW w:w="1809" w:type="dxa"/>
            <w:vAlign w:val="center"/>
          </w:tcPr>
          <w:p w14:paraId="015A231D">
            <w:pPr>
              <w:widowControl/>
              <w:jc w:val="center"/>
              <w:rPr>
                <w:rFonts w:hint="eastAsia" w:ascii="宋体" w:hAnsi="宋体" w:cs="宋体"/>
                <w:color w:val="auto"/>
              </w:rPr>
            </w:pPr>
            <w:r>
              <w:rPr>
                <w:rFonts w:hint="eastAsia" w:ascii="宋体" w:hAnsi="宋体" w:cs="宋体"/>
                <w:color w:val="auto"/>
              </w:rPr>
              <w:t>核查内容</w:t>
            </w:r>
          </w:p>
        </w:tc>
        <w:tc>
          <w:tcPr>
            <w:tcW w:w="7503" w:type="dxa"/>
            <w:gridSpan w:val="3"/>
            <w:vAlign w:val="center"/>
          </w:tcPr>
          <w:p w14:paraId="1F51B471">
            <w:pPr>
              <w:rPr>
                <w:rFonts w:hint="eastAsia" w:ascii="宋体" w:hAnsi="宋体" w:cs="宋体"/>
                <w:color w:val="auto"/>
              </w:rPr>
            </w:pPr>
          </w:p>
        </w:tc>
      </w:tr>
      <w:tr w14:paraId="39DC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restart"/>
            <w:vAlign w:val="center"/>
          </w:tcPr>
          <w:p w14:paraId="03FFA930">
            <w:pPr>
              <w:widowControl/>
              <w:jc w:val="center"/>
              <w:rPr>
                <w:rFonts w:hint="eastAsia" w:ascii="宋体" w:hAnsi="宋体" w:cs="宋体"/>
                <w:color w:val="auto"/>
              </w:rPr>
            </w:pPr>
            <w:r>
              <w:rPr>
                <w:rFonts w:hint="eastAsia" w:ascii="宋体" w:hAnsi="宋体" w:cs="宋体"/>
                <w:color w:val="auto"/>
              </w:rPr>
              <w:t>核查结果</w:t>
            </w:r>
          </w:p>
        </w:tc>
        <w:tc>
          <w:tcPr>
            <w:tcW w:w="3330" w:type="dxa"/>
            <w:vAlign w:val="center"/>
          </w:tcPr>
          <w:p w14:paraId="233E8003">
            <w:pPr>
              <w:jc w:val="center"/>
              <w:rPr>
                <w:rFonts w:hint="eastAsia" w:ascii="宋体" w:hAnsi="宋体" w:cs="宋体"/>
                <w:color w:val="auto"/>
              </w:rPr>
            </w:pPr>
            <w:r>
              <w:rPr>
                <w:rFonts w:hint="eastAsia" w:ascii="宋体" w:hAnsi="宋体" w:cs="宋体"/>
                <w:color w:val="auto"/>
              </w:rPr>
              <w:t>中标候选人名单</w:t>
            </w:r>
          </w:p>
        </w:tc>
        <w:tc>
          <w:tcPr>
            <w:tcW w:w="1926" w:type="dxa"/>
            <w:vAlign w:val="center"/>
          </w:tcPr>
          <w:p w14:paraId="54B816D1">
            <w:pPr>
              <w:jc w:val="center"/>
              <w:rPr>
                <w:rFonts w:hint="eastAsia" w:ascii="宋体" w:hAnsi="宋体" w:cs="宋体"/>
                <w:color w:val="auto"/>
              </w:rPr>
            </w:pPr>
            <w:r>
              <w:rPr>
                <w:rFonts w:hint="eastAsia" w:ascii="宋体" w:hAnsi="宋体" w:cs="宋体"/>
                <w:color w:val="auto"/>
              </w:rPr>
              <w:t>合格（是/否）</w:t>
            </w:r>
          </w:p>
        </w:tc>
        <w:tc>
          <w:tcPr>
            <w:tcW w:w="2247" w:type="dxa"/>
            <w:vAlign w:val="center"/>
          </w:tcPr>
          <w:p w14:paraId="4E43D13A">
            <w:pPr>
              <w:jc w:val="center"/>
              <w:rPr>
                <w:rFonts w:hint="eastAsia" w:ascii="宋体" w:hAnsi="宋体" w:cs="宋体"/>
                <w:color w:val="auto"/>
              </w:rPr>
            </w:pPr>
            <w:r>
              <w:rPr>
                <w:rFonts w:hint="eastAsia" w:ascii="宋体" w:hAnsi="宋体" w:cs="宋体"/>
                <w:color w:val="auto"/>
              </w:rPr>
              <w:t>不合格理由</w:t>
            </w:r>
          </w:p>
        </w:tc>
      </w:tr>
      <w:tr w14:paraId="0B6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vAlign w:val="center"/>
          </w:tcPr>
          <w:p w14:paraId="798F7884">
            <w:pPr>
              <w:widowControl/>
              <w:jc w:val="center"/>
              <w:rPr>
                <w:rFonts w:hint="eastAsia" w:ascii="宋体" w:hAnsi="宋体" w:cs="宋体"/>
                <w:color w:val="auto"/>
              </w:rPr>
            </w:pPr>
          </w:p>
        </w:tc>
        <w:tc>
          <w:tcPr>
            <w:tcW w:w="3330" w:type="dxa"/>
            <w:vAlign w:val="center"/>
          </w:tcPr>
          <w:p w14:paraId="22B5A3C2">
            <w:pPr>
              <w:rPr>
                <w:rFonts w:hint="eastAsia" w:ascii="宋体" w:hAnsi="宋体" w:cs="宋体"/>
                <w:color w:val="auto"/>
              </w:rPr>
            </w:pPr>
          </w:p>
        </w:tc>
        <w:tc>
          <w:tcPr>
            <w:tcW w:w="1926" w:type="dxa"/>
            <w:vAlign w:val="center"/>
          </w:tcPr>
          <w:p w14:paraId="6608BAE9">
            <w:pPr>
              <w:rPr>
                <w:rFonts w:hint="eastAsia" w:ascii="宋体" w:hAnsi="宋体" w:cs="宋体"/>
                <w:color w:val="auto"/>
              </w:rPr>
            </w:pPr>
          </w:p>
        </w:tc>
        <w:tc>
          <w:tcPr>
            <w:tcW w:w="2247" w:type="dxa"/>
            <w:vAlign w:val="center"/>
          </w:tcPr>
          <w:p w14:paraId="16705DA3">
            <w:pPr>
              <w:rPr>
                <w:rFonts w:hint="eastAsia" w:ascii="宋体" w:hAnsi="宋体" w:cs="宋体"/>
                <w:color w:val="auto"/>
              </w:rPr>
            </w:pPr>
          </w:p>
        </w:tc>
      </w:tr>
      <w:tr w14:paraId="791D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9" w:type="dxa"/>
            <w:vMerge w:val="continue"/>
            <w:vAlign w:val="center"/>
          </w:tcPr>
          <w:p w14:paraId="40AE079F">
            <w:pPr>
              <w:widowControl/>
              <w:jc w:val="center"/>
              <w:rPr>
                <w:rFonts w:hint="eastAsia" w:ascii="宋体" w:hAnsi="宋体" w:cs="宋体"/>
                <w:color w:val="auto"/>
              </w:rPr>
            </w:pPr>
          </w:p>
        </w:tc>
        <w:tc>
          <w:tcPr>
            <w:tcW w:w="3330" w:type="dxa"/>
            <w:vAlign w:val="center"/>
          </w:tcPr>
          <w:p w14:paraId="1E99FA32">
            <w:pPr>
              <w:rPr>
                <w:rFonts w:hint="eastAsia" w:ascii="宋体" w:hAnsi="宋体" w:cs="宋体"/>
                <w:color w:val="auto"/>
              </w:rPr>
            </w:pPr>
          </w:p>
        </w:tc>
        <w:tc>
          <w:tcPr>
            <w:tcW w:w="1926" w:type="dxa"/>
            <w:vAlign w:val="center"/>
          </w:tcPr>
          <w:p w14:paraId="507E7DEE">
            <w:pPr>
              <w:rPr>
                <w:rFonts w:hint="eastAsia" w:ascii="宋体" w:hAnsi="宋体" w:cs="宋体"/>
                <w:color w:val="auto"/>
              </w:rPr>
            </w:pPr>
          </w:p>
        </w:tc>
        <w:tc>
          <w:tcPr>
            <w:tcW w:w="2247" w:type="dxa"/>
            <w:vAlign w:val="center"/>
          </w:tcPr>
          <w:p w14:paraId="6EB58DB8">
            <w:pPr>
              <w:rPr>
                <w:rFonts w:hint="eastAsia" w:ascii="宋体" w:hAnsi="宋体" w:cs="宋体"/>
                <w:color w:val="auto"/>
              </w:rPr>
            </w:pPr>
          </w:p>
        </w:tc>
      </w:tr>
      <w:tr w14:paraId="22BF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09" w:type="dxa"/>
            <w:vMerge w:val="continue"/>
            <w:vAlign w:val="center"/>
          </w:tcPr>
          <w:p w14:paraId="31FB30B7">
            <w:pPr>
              <w:widowControl/>
              <w:jc w:val="center"/>
              <w:rPr>
                <w:rFonts w:hint="eastAsia" w:ascii="宋体" w:hAnsi="宋体" w:cs="宋体"/>
                <w:color w:val="auto"/>
              </w:rPr>
            </w:pPr>
          </w:p>
        </w:tc>
        <w:tc>
          <w:tcPr>
            <w:tcW w:w="3330" w:type="dxa"/>
            <w:vAlign w:val="center"/>
          </w:tcPr>
          <w:p w14:paraId="0C2B1772">
            <w:pPr>
              <w:rPr>
                <w:rFonts w:hint="eastAsia" w:ascii="宋体" w:hAnsi="宋体" w:cs="宋体"/>
                <w:color w:val="auto"/>
              </w:rPr>
            </w:pPr>
          </w:p>
        </w:tc>
        <w:tc>
          <w:tcPr>
            <w:tcW w:w="1926" w:type="dxa"/>
            <w:vAlign w:val="center"/>
          </w:tcPr>
          <w:p w14:paraId="3B3125E5">
            <w:pPr>
              <w:rPr>
                <w:rFonts w:hint="eastAsia" w:ascii="宋体" w:hAnsi="宋体" w:cs="宋体"/>
                <w:color w:val="auto"/>
              </w:rPr>
            </w:pPr>
          </w:p>
        </w:tc>
        <w:tc>
          <w:tcPr>
            <w:tcW w:w="2247" w:type="dxa"/>
            <w:vAlign w:val="center"/>
          </w:tcPr>
          <w:p w14:paraId="54F82664">
            <w:pPr>
              <w:rPr>
                <w:rFonts w:hint="eastAsia" w:ascii="宋体" w:hAnsi="宋体" w:cs="宋体"/>
                <w:color w:val="auto"/>
              </w:rPr>
            </w:pPr>
          </w:p>
        </w:tc>
      </w:tr>
      <w:tr w14:paraId="79E5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9" w:type="dxa"/>
            <w:vAlign w:val="center"/>
          </w:tcPr>
          <w:p w14:paraId="618123DA">
            <w:pPr>
              <w:jc w:val="center"/>
              <w:rPr>
                <w:rFonts w:hint="eastAsia" w:ascii="宋体" w:hAnsi="宋体" w:cs="宋体"/>
                <w:color w:val="auto"/>
              </w:rPr>
            </w:pPr>
            <w:r>
              <w:rPr>
                <w:rFonts w:hint="eastAsia" w:ascii="宋体" w:hAnsi="宋体" w:cs="宋体"/>
                <w:color w:val="auto"/>
              </w:rPr>
              <w:t>定标委员会签字</w:t>
            </w:r>
          </w:p>
        </w:tc>
        <w:tc>
          <w:tcPr>
            <w:tcW w:w="7503" w:type="dxa"/>
            <w:gridSpan w:val="3"/>
            <w:vAlign w:val="center"/>
          </w:tcPr>
          <w:p w14:paraId="1E6DC109">
            <w:pPr>
              <w:rPr>
                <w:rFonts w:hint="eastAsia" w:ascii="宋体" w:hAnsi="宋体" w:cs="宋体"/>
                <w:color w:val="auto"/>
              </w:rPr>
            </w:pPr>
          </w:p>
          <w:p w14:paraId="29E026CF">
            <w:pPr>
              <w:rPr>
                <w:rFonts w:hint="eastAsia" w:ascii="宋体" w:hAnsi="宋体" w:cs="宋体"/>
                <w:color w:val="auto"/>
              </w:rPr>
            </w:pPr>
          </w:p>
        </w:tc>
      </w:tr>
    </w:tbl>
    <w:p w14:paraId="5FFF48A3">
      <w:pPr>
        <w:rPr>
          <w:rFonts w:hint="eastAsia" w:ascii="宋体" w:hAnsi="宋体" w:cs="宋体"/>
          <w:color w:val="auto"/>
          <w:sz w:val="32"/>
          <w:szCs w:val="32"/>
        </w:rPr>
      </w:pPr>
      <w:r>
        <w:rPr>
          <w:rFonts w:hint="eastAsia" w:ascii="宋体" w:hAnsi="宋体" w:cs="宋体"/>
          <w:color w:val="auto"/>
          <w:sz w:val="32"/>
          <w:szCs w:val="32"/>
        </w:rPr>
        <w:br w:type="page"/>
      </w:r>
    </w:p>
    <w:p w14:paraId="67BF7826">
      <w:pPr>
        <w:pStyle w:val="4"/>
        <w:spacing w:line="240" w:lineRule="auto"/>
        <w:jc w:val="both"/>
        <w:rPr>
          <w:rFonts w:hint="eastAsia" w:ascii="宋体" w:hAnsi="宋体" w:cs="宋体"/>
          <w:color w:val="auto"/>
          <w:sz w:val="24"/>
          <w:szCs w:val="24"/>
        </w:rPr>
      </w:pPr>
      <w:bookmarkStart w:id="309" w:name="_Toc1809"/>
      <w:r>
        <w:rPr>
          <w:rFonts w:hint="eastAsia" w:ascii="宋体" w:hAnsi="宋体" w:cs="宋体"/>
          <w:color w:val="auto"/>
          <w:sz w:val="24"/>
          <w:szCs w:val="24"/>
        </w:rPr>
        <w:t>附件3：</w:t>
      </w:r>
      <w:bookmarkEnd w:id="309"/>
      <w:r>
        <w:rPr>
          <w:rFonts w:hint="eastAsia" w:ascii="宋体" w:hAnsi="宋体" w:cs="宋体"/>
          <w:color w:val="auto"/>
          <w:sz w:val="24"/>
          <w:szCs w:val="24"/>
        </w:rPr>
        <w:t xml:space="preserve">                          </w:t>
      </w:r>
    </w:p>
    <w:p w14:paraId="3E14BEED">
      <w:pPr>
        <w:pStyle w:val="4"/>
        <w:spacing w:line="240" w:lineRule="auto"/>
        <w:jc w:val="center"/>
        <w:rPr>
          <w:rFonts w:hint="eastAsia" w:ascii="宋体" w:hAnsi="宋体" w:cs="宋体"/>
          <w:color w:val="auto"/>
          <w:sz w:val="24"/>
          <w:szCs w:val="24"/>
        </w:rPr>
      </w:pPr>
      <w:bookmarkStart w:id="310" w:name="_Toc16463"/>
      <w:r>
        <w:rPr>
          <w:rFonts w:hint="eastAsia" w:ascii="宋体" w:hAnsi="宋体" w:cs="宋体"/>
          <w:color w:val="auto"/>
          <w:sz w:val="24"/>
          <w:szCs w:val="24"/>
        </w:rPr>
        <w:t>承诺书</w:t>
      </w:r>
      <w:bookmarkEnd w:id="310"/>
    </w:p>
    <w:p w14:paraId="62FEC224">
      <w:pPr>
        <w:spacing w:line="400" w:lineRule="exact"/>
        <w:rPr>
          <w:rFonts w:hint="eastAsia" w:ascii="宋体" w:hAnsi="宋体" w:cs="宋体"/>
          <w:color w:val="auto"/>
        </w:rPr>
      </w:pPr>
    </w:p>
    <w:p w14:paraId="57D11171">
      <w:pPr>
        <w:spacing w:line="500" w:lineRule="exact"/>
        <w:ind w:firstLine="420" w:firstLineChars="200"/>
        <w:rPr>
          <w:rFonts w:hint="eastAsia" w:ascii="宋体" w:hAnsi="宋体" w:cs="宋体"/>
          <w:color w:val="auto"/>
        </w:rPr>
      </w:pPr>
      <w:r>
        <w:rPr>
          <w:rFonts w:hint="eastAsia" w:ascii="宋体" w:hAnsi="宋体" w:cs="宋体"/>
          <w:color w:val="auto"/>
        </w:rPr>
        <w:t>我自愿担任本项目的定标委员会成员，在此郑重承诺：</w:t>
      </w:r>
    </w:p>
    <w:p w14:paraId="04186691">
      <w:pPr>
        <w:spacing w:line="500" w:lineRule="exact"/>
        <w:ind w:firstLine="420" w:firstLineChars="200"/>
        <w:rPr>
          <w:rFonts w:hint="eastAsia" w:ascii="宋体" w:hAnsi="宋体" w:cs="宋体"/>
          <w:color w:val="auto"/>
        </w:rPr>
      </w:pPr>
      <w:r>
        <w:rPr>
          <w:rFonts w:hint="eastAsia" w:ascii="宋体" w:hAnsi="宋体" w:cs="宋体"/>
          <w:color w:val="auto"/>
        </w:rPr>
        <w:t>1.严格遵守《中华人民共和国招标投标法》《中华人民共和国保守国家秘密法》等相关法律及有关部门关于招投标的法规、规章，维护国家利益、公共利益和他人利益。</w:t>
      </w:r>
    </w:p>
    <w:p w14:paraId="2E04685D">
      <w:pPr>
        <w:spacing w:line="500" w:lineRule="exact"/>
        <w:ind w:firstLine="420" w:firstLineChars="200"/>
        <w:rPr>
          <w:rFonts w:hint="eastAsia" w:ascii="宋体" w:hAnsi="宋体" w:cs="宋体"/>
          <w:color w:val="auto"/>
        </w:rPr>
      </w:pPr>
      <w:r>
        <w:rPr>
          <w:rFonts w:hint="eastAsia" w:ascii="宋体" w:hAnsi="宋体" w:cs="宋体"/>
          <w:color w:val="auto"/>
        </w:rPr>
        <w:t>2.客观公正地履行职责，遵守职业道德，独立、负责地为本项目提供真实、可靠合理的定标意见，并对提出的评审意见承担个人责任。</w:t>
      </w:r>
    </w:p>
    <w:p w14:paraId="5911276E">
      <w:pPr>
        <w:spacing w:line="500" w:lineRule="exact"/>
        <w:ind w:firstLine="420" w:firstLineChars="200"/>
        <w:rPr>
          <w:rFonts w:hint="eastAsia" w:ascii="宋体" w:hAnsi="宋体" w:cs="宋体"/>
          <w:color w:val="auto"/>
        </w:rPr>
      </w:pPr>
      <w:r>
        <w:rPr>
          <w:rFonts w:hint="eastAsia" w:ascii="宋体" w:hAnsi="宋体" w:cs="宋体"/>
          <w:color w:val="auto"/>
        </w:rPr>
        <w:t>3.履行相关保密义务，不透露定标委员会成员名单、中标人推荐以及与定标有关的其他情况，保守定标过程中所有商业秘密。</w:t>
      </w:r>
    </w:p>
    <w:p w14:paraId="38D35895">
      <w:pPr>
        <w:spacing w:line="500" w:lineRule="exact"/>
        <w:ind w:firstLine="420" w:firstLineChars="200"/>
        <w:rPr>
          <w:rFonts w:hint="eastAsia" w:ascii="宋体" w:hAnsi="宋体" w:cs="宋体"/>
          <w:color w:val="auto"/>
        </w:rPr>
      </w:pPr>
      <w:r>
        <w:rPr>
          <w:rFonts w:hint="eastAsia" w:ascii="宋体" w:hAnsi="宋体" w:cs="宋体"/>
          <w:color w:val="auto"/>
        </w:rPr>
        <w:t>4.遵守定标纪律，不私下接触投标人或者其他利害关系人，不收受他人的财物或者其他好处，自觉抵制定标过程中一切不正当要求。</w:t>
      </w:r>
    </w:p>
    <w:p w14:paraId="2EC7ECF4">
      <w:pPr>
        <w:spacing w:line="500" w:lineRule="exact"/>
        <w:ind w:firstLine="420" w:firstLineChars="200"/>
        <w:rPr>
          <w:rFonts w:hint="eastAsia" w:ascii="宋体" w:hAnsi="宋体" w:cs="宋体"/>
          <w:color w:val="auto"/>
        </w:rPr>
      </w:pPr>
      <w:r>
        <w:rPr>
          <w:rFonts w:hint="eastAsia" w:ascii="宋体" w:hAnsi="宋体" w:cs="宋体"/>
          <w:color w:val="auto"/>
        </w:rPr>
        <w:t>5.严格遵守定标委员会成员回避制度，当发现自己与投标人有隶属关系、合作经营关系以及其他利益关系时，绝不隐瞒，主动回避。</w:t>
      </w:r>
    </w:p>
    <w:p w14:paraId="7F850F46">
      <w:pPr>
        <w:spacing w:line="500" w:lineRule="exact"/>
        <w:ind w:firstLine="420" w:firstLineChars="200"/>
        <w:rPr>
          <w:rFonts w:hint="eastAsia" w:ascii="宋体" w:hAnsi="宋体" w:cs="宋体"/>
          <w:color w:val="auto"/>
        </w:rPr>
      </w:pPr>
      <w:r>
        <w:rPr>
          <w:rFonts w:hint="eastAsia" w:ascii="宋体" w:hAnsi="宋体" w:cs="宋体"/>
          <w:color w:val="auto"/>
        </w:rPr>
        <w:t>6.自觉抵制招投标违法违规行为，积极配合有关部门的调查取证工作。</w:t>
      </w:r>
    </w:p>
    <w:p w14:paraId="7D7C2EA3">
      <w:pPr>
        <w:spacing w:line="500" w:lineRule="exact"/>
        <w:ind w:firstLine="420" w:firstLineChars="200"/>
        <w:rPr>
          <w:rFonts w:hint="eastAsia" w:ascii="宋体" w:hAnsi="宋体" w:cs="宋体"/>
          <w:color w:val="auto"/>
        </w:rPr>
      </w:pPr>
      <w:r>
        <w:rPr>
          <w:rFonts w:hint="eastAsia" w:ascii="宋体" w:hAnsi="宋体" w:cs="宋体"/>
          <w:color w:val="auto"/>
        </w:rPr>
        <w:t>7.自觉服从监督部门的监督和管理。</w:t>
      </w:r>
    </w:p>
    <w:p w14:paraId="0F108647">
      <w:pPr>
        <w:spacing w:line="500" w:lineRule="exact"/>
        <w:ind w:firstLine="420" w:firstLineChars="200"/>
        <w:rPr>
          <w:rFonts w:hint="eastAsia" w:ascii="宋体" w:hAnsi="宋体" w:cs="宋体"/>
          <w:color w:val="auto"/>
        </w:rPr>
      </w:pPr>
      <w:r>
        <w:rPr>
          <w:rFonts w:hint="eastAsia" w:ascii="宋体" w:hAnsi="宋体" w:cs="宋体"/>
          <w:color w:val="auto"/>
        </w:rPr>
        <w:t>以上承诺如有违反，本人愿接受有关行政机关依法做出的任何处理。</w:t>
      </w:r>
    </w:p>
    <w:p w14:paraId="117216CB">
      <w:pPr>
        <w:spacing w:line="400" w:lineRule="exact"/>
        <w:rPr>
          <w:rFonts w:hint="eastAsia" w:ascii="宋体" w:hAnsi="宋体" w:cs="宋体"/>
          <w:color w:val="auto"/>
        </w:rPr>
      </w:pPr>
    </w:p>
    <w:p w14:paraId="1147E774">
      <w:pPr>
        <w:spacing w:line="400" w:lineRule="exact"/>
        <w:ind w:firstLine="420" w:firstLineChars="200"/>
        <w:rPr>
          <w:rFonts w:hint="eastAsia" w:ascii="宋体" w:hAnsi="宋体" w:cs="宋体"/>
          <w:color w:val="auto"/>
        </w:rPr>
      </w:pPr>
      <w:r>
        <w:rPr>
          <w:rFonts w:hint="eastAsia" w:ascii="宋体" w:hAnsi="宋体" w:cs="宋体"/>
          <w:color w:val="auto"/>
        </w:rPr>
        <w:t>承诺人：</w:t>
      </w:r>
    </w:p>
    <w:p w14:paraId="40EDFD87">
      <w:pPr>
        <w:spacing w:line="400" w:lineRule="exact"/>
        <w:rPr>
          <w:rFonts w:hint="eastAsia" w:ascii="宋体" w:hAnsi="宋体" w:cs="宋体"/>
          <w:color w:val="auto"/>
        </w:rPr>
      </w:pPr>
    </w:p>
    <w:p w14:paraId="0E2C1EC5">
      <w:pPr>
        <w:spacing w:line="400" w:lineRule="exact"/>
        <w:ind w:firstLine="420" w:firstLineChars="200"/>
        <w:rPr>
          <w:rFonts w:hint="eastAsia" w:ascii="宋体" w:hAnsi="宋体" w:cs="宋体"/>
          <w:color w:val="auto"/>
          <w:highlight w:val="cyan"/>
        </w:rPr>
      </w:pPr>
      <w:r>
        <w:rPr>
          <w:rFonts w:hint="eastAsia" w:ascii="宋体" w:hAnsi="宋体" w:cs="宋体"/>
          <w:color w:val="auto"/>
        </w:rPr>
        <w:t>承诺日期:</w:t>
      </w:r>
    </w:p>
    <w:p w14:paraId="024EEA39">
      <w:pPr>
        <w:rPr>
          <w:rFonts w:hint="eastAsia" w:ascii="宋体" w:hAnsi="宋体" w:cs="宋体"/>
          <w:b/>
          <w:bCs/>
          <w:color w:val="auto"/>
          <w:sz w:val="24"/>
        </w:rPr>
      </w:pPr>
    </w:p>
    <w:p w14:paraId="455654D4">
      <w:pPr>
        <w:rPr>
          <w:rFonts w:hint="eastAsia" w:ascii="宋体" w:hAnsi="宋体" w:cs="宋体"/>
          <w:b/>
          <w:bCs/>
          <w:color w:val="auto"/>
          <w:sz w:val="24"/>
        </w:rPr>
      </w:pPr>
      <w:r>
        <w:rPr>
          <w:rFonts w:hint="eastAsia" w:ascii="宋体" w:hAnsi="宋体" w:cs="宋体"/>
          <w:b/>
          <w:bCs/>
          <w:color w:val="auto"/>
          <w:sz w:val="24"/>
        </w:rPr>
        <w:br w:type="page"/>
      </w:r>
    </w:p>
    <w:p w14:paraId="7A50C27C">
      <w:pPr>
        <w:rPr>
          <w:rFonts w:hint="eastAsia" w:ascii="宋体" w:hAnsi="宋体" w:cs="宋体"/>
          <w:b/>
          <w:bCs/>
          <w:color w:val="auto"/>
          <w:sz w:val="24"/>
        </w:rPr>
      </w:pPr>
      <w:r>
        <w:rPr>
          <w:rFonts w:hint="eastAsia" w:ascii="宋体" w:hAnsi="宋体" w:cs="宋体"/>
          <w:b/>
          <w:bCs/>
          <w:color w:val="auto"/>
          <w:sz w:val="24"/>
        </w:rPr>
        <w:t xml:space="preserve">附件4： </w:t>
      </w:r>
    </w:p>
    <w:p w14:paraId="21DA789C">
      <w:pPr>
        <w:pStyle w:val="12"/>
        <w:jc w:val="center"/>
        <w:rPr>
          <w:rFonts w:ascii="宋体" w:hAnsi="宋体" w:cs="宋体"/>
          <w:b/>
          <w:bCs/>
          <w:color w:val="auto"/>
          <w:szCs w:val="21"/>
        </w:rPr>
      </w:pPr>
    </w:p>
    <w:p w14:paraId="40B20E78">
      <w:pPr>
        <w:pStyle w:val="12"/>
        <w:jc w:val="center"/>
        <w:rPr>
          <w:rFonts w:ascii="宋体" w:hAnsi="宋体" w:cs="宋体"/>
          <w:b/>
          <w:bCs/>
          <w:color w:val="auto"/>
          <w:szCs w:val="21"/>
        </w:rPr>
      </w:pPr>
      <w:r>
        <w:rPr>
          <w:rFonts w:ascii="宋体" w:hAnsi="宋体" w:cs="宋体"/>
          <w:b/>
          <w:bCs/>
          <w:color w:val="auto"/>
          <w:szCs w:val="21"/>
        </w:rPr>
        <w:t>定标委员会成员定标投票表</w:t>
      </w:r>
    </w:p>
    <w:tbl>
      <w:tblPr>
        <w:tblStyle w:val="3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6251"/>
      </w:tblGrid>
      <w:tr w14:paraId="278F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406277CD">
            <w:pPr>
              <w:spacing w:line="300" w:lineRule="exact"/>
              <w:jc w:val="center"/>
              <w:rPr>
                <w:rFonts w:hint="eastAsia" w:ascii="宋体" w:hAnsi="宋体" w:cs="宋体"/>
                <w:color w:val="auto"/>
                <w:kern w:val="0"/>
                <w:szCs w:val="20"/>
              </w:rPr>
            </w:pPr>
            <w:r>
              <w:rPr>
                <w:rFonts w:hint="eastAsia" w:ascii="宋体" w:hAnsi="宋体" w:cs="宋体"/>
                <w:color w:val="auto"/>
                <w:kern w:val="0"/>
                <w:szCs w:val="20"/>
              </w:rPr>
              <w:t>项目名称</w:t>
            </w:r>
          </w:p>
        </w:tc>
        <w:tc>
          <w:tcPr>
            <w:tcW w:w="6251" w:type="dxa"/>
            <w:tcBorders>
              <w:top w:val="single" w:color="auto" w:sz="4" w:space="0"/>
              <w:left w:val="nil"/>
              <w:bottom w:val="single" w:color="auto" w:sz="4" w:space="0"/>
              <w:right w:val="single" w:color="auto" w:sz="4" w:space="0"/>
            </w:tcBorders>
            <w:vAlign w:val="center"/>
          </w:tcPr>
          <w:p w14:paraId="69D3D62A">
            <w:pPr>
              <w:spacing w:line="300" w:lineRule="exact"/>
              <w:jc w:val="center"/>
              <w:rPr>
                <w:rFonts w:hint="eastAsia" w:ascii="宋体" w:hAnsi="宋体" w:cs="宋体"/>
                <w:color w:val="auto"/>
                <w:kern w:val="0"/>
                <w:szCs w:val="20"/>
              </w:rPr>
            </w:pPr>
          </w:p>
        </w:tc>
      </w:tr>
      <w:tr w14:paraId="30F2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3045A8A">
            <w:pPr>
              <w:spacing w:line="300" w:lineRule="exact"/>
              <w:jc w:val="center"/>
              <w:rPr>
                <w:rFonts w:hint="eastAsia" w:ascii="宋体" w:hAnsi="宋体" w:cs="宋体"/>
                <w:color w:val="auto"/>
                <w:kern w:val="0"/>
                <w:szCs w:val="20"/>
              </w:rPr>
            </w:pPr>
            <w:r>
              <w:rPr>
                <w:rFonts w:hint="eastAsia" w:ascii="宋体" w:hAnsi="宋体" w:cs="宋体"/>
                <w:color w:val="auto"/>
                <w:kern w:val="0"/>
                <w:szCs w:val="20"/>
              </w:rPr>
              <w:t>定标方法</w:t>
            </w:r>
          </w:p>
        </w:tc>
        <w:tc>
          <w:tcPr>
            <w:tcW w:w="6251" w:type="dxa"/>
            <w:tcBorders>
              <w:top w:val="single" w:color="auto" w:sz="4" w:space="0"/>
              <w:left w:val="nil"/>
              <w:bottom w:val="single" w:color="auto" w:sz="4" w:space="0"/>
              <w:right w:val="single" w:color="auto" w:sz="4" w:space="0"/>
            </w:tcBorders>
            <w:vAlign w:val="center"/>
          </w:tcPr>
          <w:p w14:paraId="399CC41D">
            <w:pPr>
              <w:spacing w:line="300" w:lineRule="exact"/>
              <w:jc w:val="center"/>
              <w:rPr>
                <w:rFonts w:hint="eastAsia" w:ascii="宋体" w:hAnsi="宋体" w:cs="宋体"/>
                <w:color w:val="auto"/>
                <w:kern w:val="0"/>
                <w:szCs w:val="20"/>
              </w:rPr>
            </w:pPr>
            <w:r>
              <w:rPr>
                <w:rFonts w:hint="eastAsia" w:ascii="宋体" w:hAnsi="宋体" w:cs="宋体"/>
                <w:color w:val="auto"/>
                <w:kern w:val="0"/>
                <w:szCs w:val="20"/>
              </w:rPr>
              <w:t>票决法</w:t>
            </w:r>
          </w:p>
        </w:tc>
      </w:tr>
      <w:tr w14:paraId="56F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8554F58">
            <w:pPr>
              <w:spacing w:line="300" w:lineRule="exact"/>
              <w:jc w:val="center"/>
              <w:rPr>
                <w:rFonts w:hint="eastAsia" w:ascii="宋体" w:hAnsi="宋体" w:cs="宋体"/>
                <w:color w:val="auto"/>
                <w:kern w:val="0"/>
                <w:szCs w:val="20"/>
              </w:rPr>
            </w:pPr>
            <w:r>
              <w:rPr>
                <w:rFonts w:hint="eastAsia" w:ascii="宋体" w:hAnsi="宋体" w:cs="宋体"/>
                <w:color w:val="auto"/>
                <w:kern w:val="0"/>
                <w:szCs w:val="20"/>
              </w:rPr>
              <w:t>中标候选人</w:t>
            </w:r>
          </w:p>
        </w:tc>
        <w:tc>
          <w:tcPr>
            <w:tcW w:w="6251" w:type="dxa"/>
            <w:tcBorders>
              <w:top w:val="single" w:color="auto" w:sz="4" w:space="0"/>
              <w:left w:val="nil"/>
              <w:bottom w:val="single" w:color="auto" w:sz="4" w:space="0"/>
              <w:right w:val="single" w:color="auto" w:sz="4" w:space="0"/>
            </w:tcBorders>
            <w:vAlign w:val="center"/>
          </w:tcPr>
          <w:p w14:paraId="784B0318">
            <w:pPr>
              <w:spacing w:line="300" w:lineRule="exact"/>
              <w:ind w:firstLine="420" w:firstLineChars="200"/>
              <w:jc w:val="left"/>
              <w:rPr>
                <w:rFonts w:hint="eastAsia" w:ascii="宋体" w:hAnsi="宋体" w:cs="宋体"/>
                <w:color w:val="auto"/>
                <w:kern w:val="0"/>
                <w:szCs w:val="20"/>
              </w:rPr>
            </w:pPr>
          </w:p>
        </w:tc>
      </w:tr>
      <w:tr w14:paraId="1E86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5"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7622D1AC">
            <w:pPr>
              <w:spacing w:line="300" w:lineRule="exact"/>
              <w:jc w:val="center"/>
              <w:rPr>
                <w:rFonts w:hint="eastAsia" w:ascii="宋体" w:hAnsi="宋体" w:cs="宋体"/>
                <w:color w:val="auto"/>
                <w:kern w:val="0"/>
                <w:szCs w:val="20"/>
              </w:rPr>
            </w:pPr>
            <w:r>
              <w:rPr>
                <w:rFonts w:hint="eastAsia" w:ascii="宋体" w:hAnsi="宋体" w:cs="宋体"/>
                <w:color w:val="auto"/>
                <w:kern w:val="0"/>
                <w:szCs w:val="20"/>
              </w:rPr>
              <w:t>定标要素</w:t>
            </w:r>
          </w:p>
        </w:tc>
        <w:tc>
          <w:tcPr>
            <w:tcW w:w="6251" w:type="dxa"/>
            <w:tcBorders>
              <w:top w:val="nil"/>
              <w:left w:val="nil"/>
              <w:right w:val="single" w:color="auto" w:sz="4" w:space="0"/>
            </w:tcBorders>
            <w:vAlign w:val="center"/>
          </w:tcPr>
          <w:p w14:paraId="240A89DA">
            <w:pPr>
              <w:spacing w:line="360" w:lineRule="auto"/>
              <w:jc w:val="left"/>
              <w:rPr>
                <w:rFonts w:hint="eastAsia" w:ascii="宋体" w:hAnsi="宋体" w:cs="宋体"/>
                <w:color w:val="auto"/>
                <w:kern w:val="0"/>
                <w:szCs w:val="20"/>
                <w:highlight w:val="yellow"/>
              </w:rPr>
            </w:pPr>
          </w:p>
        </w:tc>
      </w:tr>
      <w:tr w14:paraId="6343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2932" w:type="dxa"/>
            <w:tcBorders>
              <w:top w:val="single" w:color="auto" w:sz="4" w:space="0"/>
              <w:left w:val="single" w:color="auto" w:sz="4" w:space="0"/>
              <w:bottom w:val="single" w:color="auto" w:sz="4" w:space="0"/>
              <w:right w:val="single" w:color="auto" w:sz="4" w:space="0"/>
            </w:tcBorders>
            <w:vAlign w:val="center"/>
          </w:tcPr>
          <w:p w14:paraId="0D8459A3">
            <w:pPr>
              <w:spacing w:line="300" w:lineRule="exact"/>
              <w:jc w:val="center"/>
              <w:rPr>
                <w:rFonts w:hint="eastAsia" w:ascii="宋体" w:hAnsi="宋体" w:cs="宋体"/>
                <w:color w:val="auto"/>
                <w:kern w:val="0"/>
                <w:szCs w:val="20"/>
              </w:rPr>
            </w:pPr>
            <w:r>
              <w:rPr>
                <w:rFonts w:hint="eastAsia" w:ascii="宋体" w:hAnsi="宋体" w:cs="宋体"/>
                <w:color w:val="auto"/>
                <w:kern w:val="0"/>
                <w:szCs w:val="20"/>
              </w:rPr>
              <w:t>推荐中标人及理由</w:t>
            </w:r>
          </w:p>
        </w:tc>
        <w:tc>
          <w:tcPr>
            <w:tcW w:w="6251" w:type="dxa"/>
            <w:tcBorders>
              <w:top w:val="single" w:color="auto" w:sz="4" w:space="0"/>
              <w:left w:val="nil"/>
              <w:bottom w:val="single" w:color="auto" w:sz="4" w:space="0"/>
              <w:right w:val="single" w:color="auto" w:sz="4" w:space="0"/>
            </w:tcBorders>
            <w:vAlign w:val="center"/>
          </w:tcPr>
          <w:p w14:paraId="2FC59B5A">
            <w:pPr>
              <w:spacing w:line="300" w:lineRule="exact"/>
              <w:jc w:val="center"/>
              <w:rPr>
                <w:rFonts w:hint="eastAsia" w:ascii="宋体" w:hAnsi="宋体" w:cs="宋体"/>
                <w:color w:val="auto"/>
                <w:kern w:val="0"/>
                <w:szCs w:val="20"/>
              </w:rPr>
            </w:pPr>
          </w:p>
        </w:tc>
      </w:tr>
    </w:tbl>
    <w:p w14:paraId="4B349526">
      <w:pPr>
        <w:rPr>
          <w:rFonts w:hint="eastAsia" w:ascii="宋体" w:hAnsi="宋体" w:cs="宋体"/>
          <w:color w:val="auto"/>
        </w:rPr>
      </w:pPr>
    </w:p>
    <w:p w14:paraId="4A573285">
      <w:pPr>
        <w:ind w:firstLine="210" w:firstLineChars="100"/>
        <w:rPr>
          <w:rFonts w:hint="eastAsia" w:ascii="宋体" w:hAnsi="宋体" w:cs="宋体"/>
          <w:color w:val="auto"/>
        </w:rPr>
      </w:pPr>
      <w:r>
        <w:rPr>
          <w:rFonts w:hint="eastAsia" w:ascii="宋体" w:hAnsi="宋体" w:cs="宋体"/>
          <w:color w:val="auto"/>
        </w:rPr>
        <w:t>定标委员会成员签字：                                      时间：   年  月  日</w:t>
      </w:r>
    </w:p>
    <w:p w14:paraId="320DEB37">
      <w:pPr>
        <w:pStyle w:val="12"/>
        <w:rPr>
          <w:rFonts w:ascii="宋体" w:hAnsi="宋体" w:cs="宋体"/>
          <w:color w:val="auto"/>
        </w:rPr>
      </w:pPr>
    </w:p>
    <w:p w14:paraId="209E050E">
      <w:pPr>
        <w:rPr>
          <w:color w:val="auto"/>
        </w:rPr>
      </w:pPr>
      <w:r>
        <w:rPr>
          <w:rFonts w:hint="eastAsia"/>
          <w:color w:val="auto"/>
        </w:rPr>
        <w:br w:type="page"/>
      </w:r>
    </w:p>
    <w:p w14:paraId="46D6429C">
      <w:pPr>
        <w:pStyle w:val="4"/>
        <w:spacing w:line="240" w:lineRule="auto"/>
        <w:jc w:val="both"/>
        <w:rPr>
          <w:rFonts w:hint="eastAsia" w:ascii="宋体" w:hAnsi="宋体" w:cs="宋体"/>
          <w:color w:val="auto"/>
          <w:sz w:val="24"/>
          <w:szCs w:val="24"/>
        </w:rPr>
      </w:pPr>
      <w:bookmarkStart w:id="311" w:name="_Toc28581"/>
      <w:r>
        <w:rPr>
          <w:rFonts w:hint="eastAsia" w:ascii="宋体" w:hAnsi="宋体" w:cs="宋体"/>
          <w:color w:val="auto"/>
          <w:sz w:val="24"/>
          <w:szCs w:val="24"/>
        </w:rPr>
        <w:t>附件5：</w:t>
      </w:r>
      <w:bookmarkEnd w:id="311"/>
    </w:p>
    <w:p w14:paraId="3086444E">
      <w:pPr>
        <w:pStyle w:val="4"/>
        <w:spacing w:line="240" w:lineRule="auto"/>
        <w:jc w:val="center"/>
        <w:rPr>
          <w:rFonts w:hint="eastAsia" w:ascii="宋体" w:hAnsi="宋体" w:cs="宋体"/>
          <w:color w:val="auto"/>
          <w:sz w:val="24"/>
          <w:szCs w:val="24"/>
        </w:rPr>
      </w:pPr>
      <w:bookmarkStart w:id="312" w:name="_Toc12898"/>
      <w:r>
        <w:rPr>
          <w:rFonts w:hint="eastAsia" w:ascii="宋体" w:hAnsi="宋体" w:cs="宋体"/>
          <w:color w:val="auto"/>
          <w:sz w:val="24"/>
          <w:szCs w:val="24"/>
        </w:rPr>
        <w:t>定标委员会成员定标投票统计表</w:t>
      </w:r>
      <w:bookmarkEnd w:id="312"/>
    </w:p>
    <w:p w14:paraId="0E68C407">
      <w:pPr>
        <w:rPr>
          <w:color w:val="auto"/>
        </w:rPr>
      </w:pPr>
      <w:r>
        <w:rPr>
          <w:rFonts w:hint="eastAsia"/>
          <w:color w:val="auto"/>
        </w:rPr>
        <w:t>项目名称：</w:t>
      </w:r>
    </w:p>
    <w:tbl>
      <w:tblPr>
        <w:tblStyle w:val="29"/>
        <w:tblpPr w:leftFromText="180" w:rightFromText="180" w:vertAnchor="text" w:horzAnchor="page" w:tblpX="895" w:tblpY="570"/>
        <w:tblOverlap w:val="never"/>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1456"/>
        <w:gridCol w:w="1751"/>
        <w:gridCol w:w="1751"/>
        <w:gridCol w:w="1989"/>
      </w:tblGrid>
      <w:tr w14:paraId="36A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2745" w:type="dxa"/>
            <w:tcBorders>
              <w:top w:val="single" w:color="auto" w:sz="4" w:space="0"/>
              <w:left w:val="single" w:color="auto" w:sz="4" w:space="0"/>
              <w:bottom w:val="single" w:color="auto" w:sz="4" w:space="0"/>
              <w:right w:val="single" w:color="auto" w:sz="4" w:space="0"/>
              <w:tl2br w:val="single" w:color="auto" w:sz="4" w:space="0"/>
            </w:tcBorders>
            <w:vAlign w:val="center"/>
          </w:tcPr>
          <w:p w14:paraId="1807CA25">
            <w:pPr>
              <w:spacing w:line="300" w:lineRule="atLeast"/>
              <w:jc w:val="center"/>
              <w:rPr>
                <w:rFonts w:hint="eastAsia" w:ascii="宋体" w:hAnsi="宋体" w:cs="宋体"/>
                <w:color w:val="auto"/>
                <w:szCs w:val="21"/>
              </w:rPr>
            </w:pPr>
          </w:p>
          <w:p w14:paraId="3548768A">
            <w:pPr>
              <w:spacing w:line="300" w:lineRule="atLeast"/>
              <w:jc w:val="center"/>
              <w:rPr>
                <w:rFonts w:hint="eastAsia" w:ascii="宋体" w:hAnsi="宋体" w:cs="宋体"/>
                <w:color w:val="auto"/>
                <w:szCs w:val="21"/>
              </w:rPr>
            </w:pPr>
            <w:r>
              <w:rPr>
                <w:rFonts w:hint="eastAsia" w:ascii="宋体" w:hAnsi="宋体" w:cs="宋体"/>
                <w:color w:val="auto"/>
                <w:szCs w:val="21"/>
              </w:rPr>
              <w:t>中标候选人</w:t>
            </w:r>
          </w:p>
          <w:p w14:paraId="56719AC5">
            <w:pPr>
              <w:spacing w:line="300" w:lineRule="atLeast"/>
              <w:rPr>
                <w:rFonts w:hint="eastAsia" w:ascii="宋体" w:hAnsi="宋体" w:cs="宋体"/>
                <w:color w:val="auto"/>
                <w:szCs w:val="21"/>
              </w:rPr>
            </w:pPr>
          </w:p>
          <w:p w14:paraId="07D3CEB3">
            <w:pPr>
              <w:spacing w:line="300" w:lineRule="atLeast"/>
              <w:rPr>
                <w:rFonts w:hint="eastAsia" w:ascii="宋体" w:hAnsi="宋体" w:cs="宋体"/>
                <w:color w:val="auto"/>
                <w:szCs w:val="21"/>
              </w:rPr>
            </w:pPr>
          </w:p>
          <w:p w14:paraId="2719441E">
            <w:pPr>
              <w:spacing w:line="300" w:lineRule="atLeast"/>
              <w:rPr>
                <w:rFonts w:hint="eastAsia" w:ascii="宋体" w:hAnsi="宋体" w:cs="宋体"/>
                <w:color w:val="auto"/>
                <w:szCs w:val="21"/>
              </w:rPr>
            </w:pPr>
            <w:r>
              <w:rPr>
                <w:rFonts w:hint="eastAsia" w:ascii="宋体" w:hAnsi="宋体" w:cs="宋体"/>
                <w:color w:val="auto"/>
                <w:szCs w:val="21"/>
              </w:rPr>
              <w:t>定标委员会成员</w:t>
            </w:r>
          </w:p>
          <w:p w14:paraId="2080A3AE">
            <w:pPr>
              <w:spacing w:line="300" w:lineRule="atLeast"/>
              <w:jc w:val="center"/>
              <w:rPr>
                <w:rFonts w:hint="eastAsia" w:ascii="宋体" w:hAnsi="宋体" w:cs="宋体"/>
                <w:color w:val="auto"/>
                <w:szCs w:val="21"/>
              </w:rPr>
            </w:pPr>
          </w:p>
          <w:p w14:paraId="6F346F1A">
            <w:pPr>
              <w:spacing w:line="300" w:lineRule="atLeast"/>
              <w:jc w:val="center"/>
              <w:rPr>
                <w:rFonts w:hint="eastAsia" w:ascii="宋体" w:hAnsi="宋体" w:cs="宋体"/>
                <w:color w:val="auto"/>
                <w:szCs w:val="21"/>
              </w:rPr>
            </w:pPr>
          </w:p>
        </w:tc>
        <w:tc>
          <w:tcPr>
            <w:tcW w:w="1456" w:type="dxa"/>
            <w:tcBorders>
              <w:top w:val="single" w:color="auto" w:sz="4" w:space="0"/>
              <w:left w:val="nil"/>
              <w:bottom w:val="single" w:color="auto" w:sz="4" w:space="0"/>
              <w:right w:val="single" w:color="auto" w:sz="4" w:space="0"/>
            </w:tcBorders>
            <w:vAlign w:val="center"/>
          </w:tcPr>
          <w:p w14:paraId="1CB4C473">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3C24A045">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59676637">
            <w:pPr>
              <w:spacing w:line="300" w:lineRule="atLeast"/>
              <w:jc w:val="center"/>
              <w:rPr>
                <w:rFonts w:hint="eastAsia" w:ascii="宋体" w:hAnsi="宋体" w:cs="宋体"/>
                <w:color w:val="auto"/>
                <w:szCs w:val="21"/>
              </w:rPr>
            </w:pPr>
          </w:p>
        </w:tc>
        <w:tc>
          <w:tcPr>
            <w:tcW w:w="1989" w:type="dxa"/>
            <w:tcBorders>
              <w:top w:val="single" w:color="auto" w:sz="4" w:space="0"/>
              <w:left w:val="nil"/>
              <w:bottom w:val="single" w:color="auto" w:sz="4" w:space="0"/>
              <w:right w:val="single" w:color="auto" w:sz="4" w:space="0"/>
            </w:tcBorders>
            <w:vAlign w:val="center"/>
          </w:tcPr>
          <w:p w14:paraId="51BED706">
            <w:pPr>
              <w:spacing w:line="300" w:lineRule="atLeast"/>
              <w:jc w:val="center"/>
              <w:rPr>
                <w:rFonts w:hint="eastAsia" w:ascii="宋体" w:hAnsi="宋体" w:cs="宋体"/>
                <w:color w:val="auto"/>
                <w:szCs w:val="21"/>
              </w:rPr>
            </w:pPr>
            <w:r>
              <w:rPr>
                <w:rFonts w:hint="eastAsia" w:ascii="宋体" w:hAnsi="宋体" w:cs="宋体"/>
                <w:color w:val="auto"/>
                <w:szCs w:val="21"/>
              </w:rPr>
              <w:t>备注</w:t>
            </w:r>
          </w:p>
        </w:tc>
      </w:tr>
      <w:tr w14:paraId="5C80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5" w:type="dxa"/>
            <w:tcBorders>
              <w:top w:val="single" w:color="auto" w:sz="4" w:space="0"/>
              <w:left w:val="single" w:color="auto" w:sz="4" w:space="0"/>
              <w:bottom w:val="single" w:color="auto" w:sz="4" w:space="0"/>
              <w:right w:val="single" w:color="auto" w:sz="4" w:space="0"/>
            </w:tcBorders>
            <w:vAlign w:val="center"/>
          </w:tcPr>
          <w:p w14:paraId="68A8B3C9">
            <w:pPr>
              <w:spacing w:line="300" w:lineRule="atLeast"/>
              <w:jc w:val="center"/>
              <w:rPr>
                <w:rFonts w:hint="eastAsia" w:ascii="宋体" w:hAnsi="宋体" w:cs="宋体"/>
                <w:color w:val="auto"/>
                <w:szCs w:val="21"/>
              </w:rPr>
            </w:pPr>
          </w:p>
        </w:tc>
        <w:tc>
          <w:tcPr>
            <w:tcW w:w="1456" w:type="dxa"/>
            <w:tcBorders>
              <w:top w:val="single" w:color="auto" w:sz="4" w:space="0"/>
              <w:left w:val="nil"/>
              <w:bottom w:val="single" w:color="auto" w:sz="4" w:space="0"/>
              <w:right w:val="single" w:color="auto" w:sz="4" w:space="0"/>
            </w:tcBorders>
            <w:vAlign w:val="center"/>
          </w:tcPr>
          <w:p w14:paraId="26EC38EF">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7F9CFF09">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739EF020">
            <w:pPr>
              <w:spacing w:line="300" w:lineRule="atLeast"/>
              <w:jc w:val="center"/>
              <w:rPr>
                <w:rFonts w:hint="eastAsia" w:ascii="宋体" w:hAnsi="宋体" w:cs="宋体"/>
                <w:color w:val="auto"/>
                <w:szCs w:val="21"/>
              </w:rPr>
            </w:pPr>
          </w:p>
        </w:tc>
        <w:tc>
          <w:tcPr>
            <w:tcW w:w="1989" w:type="dxa"/>
            <w:tcBorders>
              <w:top w:val="single" w:color="auto" w:sz="4" w:space="0"/>
              <w:left w:val="nil"/>
              <w:bottom w:val="single" w:color="auto" w:sz="4" w:space="0"/>
              <w:right w:val="single" w:color="auto" w:sz="4" w:space="0"/>
            </w:tcBorders>
            <w:vAlign w:val="center"/>
          </w:tcPr>
          <w:p w14:paraId="079699C4">
            <w:pPr>
              <w:spacing w:line="300" w:lineRule="atLeast"/>
              <w:jc w:val="center"/>
              <w:rPr>
                <w:rFonts w:hint="eastAsia" w:ascii="宋体" w:hAnsi="宋体" w:cs="宋体"/>
                <w:color w:val="auto"/>
                <w:szCs w:val="21"/>
              </w:rPr>
            </w:pPr>
          </w:p>
        </w:tc>
      </w:tr>
      <w:tr w14:paraId="6366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5" w:type="dxa"/>
            <w:tcBorders>
              <w:top w:val="single" w:color="auto" w:sz="4" w:space="0"/>
              <w:left w:val="single" w:color="auto" w:sz="4" w:space="0"/>
              <w:bottom w:val="single" w:color="auto" w:sz="4" w:space="0"/>
              <w:right w:val="single" w:color="auto" w:sz="4" w:space="0"/>
            </w:tcBorders>
            <w:vAlign w:val="center"/>
          </w:tcPr>
          <w:p w14:paraId="7401D85B">
            <w:pPr>
              <w:spacing w:line="300" w:lineRule="atLeast"/>
              <w:jc w:val="center"/>
              <w:rPr>
                <w:rFonts w:hint="eastAsia" w:ascii="宋体" w:hAnsi="宋体" w:cs="宋体"/>
                <w:color w:val="auto"/>
                <w:szCs w:val="21"/>
              </w:rPr>
            </w:pPr>
          </w:p>
        </w:tc>
        <w:tc>
          <w:tcPr>
            <w:tcW w:w="1456" w:type="dxa"/>
            <w:tcBorders>
              <w:top w:val="single" w:color="auto" w:sz="4" w:space="0"/>
              <w:left w:val="nil"/>
              <w:bottom w:val="single" w:color="auto" w:sz="4" w:space="0"/>
              <w:right w:val="single" w:color="auto" w:sz="4" w:space="0"/>
            </w:tcBorders>
            <w:vAlign w:val="center"/>
          </w:tcPr>
          <w:p w14:paraId="02D3276C">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43B59F01">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0867DF28">
            <w:pPr>
              <w:spacing w:line="300" w:lineRule="atLeast"/>
              <w:jc w:val="center"/>
              <w:rPr>
                <w:rFonts w:hint="eastAsia" w:ascii="宋体" w:hAnsi="宋体" w:cs="宋体"/>
                <w:color w:val="auto"/>
                <w:szCs w:val="21"/>
              </w:rPr>
            </w:pPr>
          </w:p>
        </w:tc>
        <w:tc>
          <w:tcPr>
            <w:tcW w:w="1989" w:type="dxa"/>
            <w:tcBorders>
              <w:top w:val="single" w:color="auto" w:sz="4" w:space="0"/>
              <w:left w:val="nil"/>
              <w:bottom w:val="single" w:color="auto" w:sz="4" w:space="0"/>
              <w:right w:val="single" w:color="auto" w:sz="4" w:space="0"/>
            </w:tcBorders>
            <w:vAlign w:val="center"/>
          </w:tcPr>
          <w:p w14:paraId="05FA1AC9">
            <w:pPr>
              <w:spacing w:line="300" w:lineRule="atLeast"/>
              <w:jc w:val="center"/>
              <w:rPr>
                <w:rFonts w:hint="eastAsia" w:ascii="宋体" w:hAnsi="宋体" w:cs="宋体"/>
                <w:color w:val="auto"/>
                <w:szCs w:val="21"/>
              </w:rPr>
            </w:pPr>
          </w:p>
        </w:tc>
      </w:tr>
      <w:tr w14:paraId="35F9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5" w:type="dxa"/>
            <w:tcBorders>
              <w:top w:val="single" w:color="auto" w:sz="4" w:space="0"/>
              <w:left w:val="single" w:color="auto" w:sz="4" w:space="0"/>
              <w:bottom w:val="single" w:color="auto" w:sz="4" w:space="0"/>
              <w:right w:val="single" w:color="auto" w:sz="4" w:space="0"/>
            </w:tcBorders>
            <w:vAlign w:val="center"/>
          </w:tcPr>
          <w:p w14:paraId="2E254396">
            <w:pPr>
              <w:spacing w:line="300" w:lineRule="atLeast"/>
              <w:jc w:val="center"/>
              <w:rPr>
                <w:rFonts w:hint="eastAsia" w:ascii="宋体" w:hAnsi="宋体" w:cs="宋体"/>
                <w:color w:val="auto"/>
                <w:szCs w:val="21"/>
              </w:rPr>
            </w:pPr>
          </w:p>
        </w:tc>
        <w:tc>
          <w:tcPr>
            <w:tcW w:w="1456" w:type="dxa"/>
            <w:tcBorders>
              <w:top w:val="single" w:color="auto" w:sz="4" w:space="0"/>
              <w:left w:val="nil"/>
              <w:bottom w:val="single" w:color="auto" w:sz="4" w:space="0"/>
              <w:right w:val="single" w:color="auto" w:sz="4" w:space="0"/>
            </w:tcBorders>
            <w:vAlign w:val="center"/>
          </w:tcPr>
          <w:p w14:paraId="19CE87FE">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6C76F18A">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5F73424C">
            <w:pPr>
              <w:spacing w:line="300" w:lineRule="atLeast"/>
              <w:jc w:val="center"/>
              <w:rPr>
                <w:rFonts w:hint="eastAsia" w:ascii="宋体" w:hAnsi="宋体" w:cs="宋体"/>
                <w:color w:val="auto"/>
                <w:szCs w:val="21"/>
              </w:rPr>
            </w:pPr>
          </w:p>
        </w:tc>
        <w:tc>
          <w:tcPr>
            <w:tcW w:w="1989" w:type="dxa"/>
            <w:tcBorders>
              <w:top w:val="single" w:color="auto" w:sz="4" w:space="0"/>
              <w:left w:val="nil"/>
              <w:bottom w:val="single" w:color="auto" w:sz="4" w:space="0"/>
              <w:right w:val="single" w:color="auto" w:sz="4" w:space="0"/>
            </w:tcBorders>
            <w:vAlign w:val="center"/>
          </w:tcPr>
          <w:p w14:paraId="6280D912">
            <w:pPr>
              <w:spacing w:line="300" w:lineRule="atLeast"/>
              <w:jc w:val="center"/>
              <w:rPr>
                <w:rFonts w:hint="eastAsia" w:ascii="宋体" w:hAnsi="宋体" w:cs="宋体"/>
                <w:color w:val="auto"/>
                <w:szCs w:val="21"/>
              </w:rPr>
            </w:pPr>
          </w:p>
        </w:tc>
      </w:tr>
      <w:tr w14:paraId="7AC7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5" w:type="dxa"/>
            <w:tcBorders>
              <w:top w:val="single" w:color="auto" w:sz="4" w:space="0"/>
              <w:left w:val="single" w:color="auto" w:sz="4" w:space="0"/>
              <w:bottom w:val="single" w:color="auto" w:sz="4" w:space="0"/>
              <w:right w:val="single" w:color="auto" w:sz="4" w:space="0"/>
            </w:tcBorders>
            <w:vAlign w:val="center"/>
          </w:tcPr>
          <w:p w14:paraId="2EEB7D83">
            <w:pPr>
              <w:spacing w:line="300" w:lineRule="atLeast"/>
              <w:jc w:val="center"/>
              <w:rPr>
                <w:rFonts w:hint="eastAsia" w:ascii="宋体" w:hAnsi="宋体" w:cs="宋体"/>
                <w:color w:val="auto"/>
                <w:szCs w:val="21"/>
              </w:rPr>
            </w:pPr>
          </w:p>
        </w:tc>
        <w:tc>
          <w:tcPr>
            <w:tcW w:w="1456" w:type="dxa"/>
            <w:tcBorders>
              <w:top w:val="single" w:color="auto" w:sz="4" w:space="0"/>
              <w:left w:val="nil"/>
              <w:bottom w:val="single" w:color="auto" w:sz="4" w:space="0"/>
              <w:right w:val="single" w:color="auto" w:sz="4" w:space="0"/>
            </w:tcBorders>
            <w:vAlign w:val="center"/>
          </w:tcPr>
          <w:p w14:paraId="540D60DD">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778CA921">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3BB0BD56">
            <w:pPr>
              <w:spacing w:line="300" w:lineRule="atLeast"/>
              <w:jc w:val="center"/>
              <w:rPr>
                <w:rFonts w:hint="eastAsia" w:ascii="宋体" w:hAnsi="宋体" w:cs="宋体"/>
                <w:color w:val="auto"/>
                <w:szCs w:val="21"/>
              </w:rPr>
            </w:pPr>
          </w:p>
        </w:tc>
        <w:tc>
          <w:tcPr>
            <w:tcW w:w="1989" w:type="dxa"/>
            <w:tcBorders>
              <w:top w:val="single" w:color="auto" w:sz="4" w:space="0"/>
              <w:left w:val="nil"/>
              <w:bottom w:val="single" w:color="auto" w:sz="4" w:space="0"/>
              <w:right w:val="single" w:color="auto" w:sz="4" w:space="0"/>
            </w:tcBorders>
            <w:vAlign w:val="center"/>
          </w:tcPr>
          <w:p w14:paraId="0CF7DE44">
            <w:pPr>
              <w:spacing w:line="300" w:lineRule="atLeast"/>
              <w:jc w:val="center"/>
              <w:rPr>
                <w:rFonts w:hint="eastAsia" w:ascii="宋体" w:hAnsi="宋体" w:cs="宋体"/>
                <w:color w:val="auto"/>
                <w:szCs w:val="21"/>
              </w:rPr>
            </w:pPr>
          </w:p>
        </w:tc>
      </w:tr>
      <w:tr w14:paraId="595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5" w:type="dxa"/>
            <w:tcBorders>
              <w:top w:val="single" w:color="auto" w:sz="4" w:space="0"/>
              <w:left w:val="single" w:color="auto" w:sz="4" w:space="0"/>
              <w:bottom w:val="single" w:color="auto" w:sz="4" w:space="0"/>
              <w:right w:val="single" w:color="auto" w:sz="4" w:space="0"/>
            </w:tcBorders>
            <w:vAlign w:val="center"/>
          </w:tcPr>
          <w:p w14:paraId="223F1E70">
            <w:pPr>
              <w:spacing w:line="300" w:lineRule="atLeast"/>
              <w:jc w:val="center"/>
              <w:rPr>
                <w:rFonts w:hint="eastAsia" w:ascii="宋体" w:hAnsi="宋体" w:cs="宋体"/>
                <w:color w:val="auto"/>
                <w:szCs w:val="21"/>
              </w:rPr>
            </w:pPr>
          </w:p>
        </w:tc>
        <w:tc>
          <w:tcPr>
            <w:tcW w:w="1456" w:type="dxa"/>
            <w:tcBorders>
              <w:top w:val="single" w:color="auto" w:sz="4" w:space="0"/>
              <w:left w:val="nil"/>
              <w:bottom w:val="single" w:color="auto" w:sz="4" w:space="0"/>
              <w:right w:val="single" w:color="auto" w:sz="4" w:space="0"/>
            </w:tcBorders>
            <w:vAlign w:val="center"/>
          </w:tcPr>
          <w:p w14:paraId="698BF7F9">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5204D222">
            <w:pPr>
              <w:spacing w:line="300" w:lineRule="atLeast"/>
              <w:jc w:val="center"/>
              <w:rPr>
                <w:rFonts w:hint="eastAsia" w:ascii="宋体" w:hAnsi="宋体" w:cs="宋体"/>
                <w:color w:val="auto"/>
                <w:szCs w:val="21"/>
              </w:rPr>
            </w:pPr>
          </w:p>
        </w:tc>
        <w:tc>
          <w:tcPr>
            <w:tcW w:w="1751" w:type="dxa"/>
            <w:tcBorders>
              <w:top w:val="single" w:color="auto" w:sz="4" w:space="0"/>
              <w:left w:val="nil"/>
              <w:bottom w:val="single" w:color="auto" w:sz="4" w:space="0"/>
              <w:right w:val="single" w:color="auto" w:sz="4" w:space="0"/>
            </w:tcBorders>
            <w:vAlign w:val="center"/>
          </w:tcPr>
          <w:p w14:paraId="70A3F431">
            <w:pPr>
              <w:spacing w:line="300" w:lineRule="atLeast"/>
              <w:jc w:val="center"/>
              <w:rPr>
                <w:rFonts w:hint="eastAsia" w:ascii="宋体" w:hAnsi="宋体" w:cs="宋体"/>
                <w:color w:val="auto"/>
                <w:szCs w:val="21"/>
              </w:rPr>
            </w:pPr>
          </w:p>
        </w:tc>
        <w:tc>
          <w:tcPr>
            <w:tcW w:w="1989" w:type="dxa"/>
            <w:tcBorders>
              <w:top w:val="single" w:color="auto" w:sz="4" w:space="0"/>
              <w:left w:val="nil"/>
              <w:bottom w:val="single" w:color="auto" w:sz="4" w:space="0"/>
              <w:right w:val="single" w:color="auto" w:sz="4" w:space="0"/>
            </w:tcBorders>
            <w:vAlign w:val="center"/>
          </w:tcPr>
          <w:p w14:paraId="71AFB8E0">
            <w:pPr>
              <w:spacing w:line="300" w:lineRule="atLeast"/>
              <w:jc w:val="center"/>
              <w:rPr>
                <w:rFonts w:hint="eastAsia" w:ascii="宋体" w:hAnsi="宋体" w:cs="宋体"/>
                <w:color w:val="auto"/>
                <w:szCs w:val="21"/>
              </w:rPr>
            </w:pPr>
          </w:p>
        </w:tc>
      </w:tr>
      <w:tr w14:paraId="2A5A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5" w:type="dxa"/>
            <w:tcBorders>
              <w:top w:val="single" w:color="auto" w:sz="4" w:space="0"/>
              <w:left w:val="single" w:color="auto" w:sz="4" w:space="0"/>
              <w:bottom w:val="single" w:color="auto" w:sz="4" w:space="0"/>
              <w:right w:val="single" w:color="auto" w:sz="4" w:space="0"/>
            </w:tcBorders>
            <w:vAlign w:val="center"/>
          </w:tcPr>
          <w:p w14:paraId="0B6EB60A">
            <w:pPr>
              <w:spacing w:line="300" w:lineRule="atLeast"/>
              <w:jc w:val="center"/>
              <w:rPr>
                <w:rFonts w:hint="eastAsia" w:ascii="宋体" w:hAnsi="宋体" w:cs="宋体"/>
                <w:color w:val="auto"/>
                <w:szCs w:val="21"/>
              </w:rPr>
            </w:pPr>
            <w:r>
              <w:rPr>
                <w:rFonts w:hint="eastAsia" w:ascii="宋体" w:hAnsi="宋体" w:cs="宋体"/>
                <w:color w:val="auto"/>
                <w:szCs w:val="21"/>
              </w:rPr>
              <w:t>得票数</w:t>
            </w:r>
          </w:p>
        </w:tc>
        <w:tc>
          <w:tcPr>
            <w:tcW w:w="1456" w:type="dxa"/>
            <w:tcBorders>
              <w:top w:val="single" w:color="auto" w:sz="4" w:space="0"/>
              <w:left w:val="nil"/>
              <w:bottom w:val="single" w:color="auto" w:sz="4" w:space="0"/>
              <w:right w:val="single" w:color="auto" w:sz="4" w:space="0"/>
            </w:tcBorders>
            <w:vAlign w:val="center"/>
          </w:tcPr>
          <w:p w14:paraId="37527A03">
            <w:pPr>
              <w:jc w:val="center"/>
              <w:rPr>
                <w:rFonts w:hint="eastAsia" w:ascii="宋体" w:hAnsi="宋体" w:cs="宋体"/>
                <w:color w:val="auto"/>
                <w:szCs w:val="21"/>
              </w:rPr>
            </w:pPr>
            <w:r>
              <w:rPr>
                <w:rFonts w:hint="eastAsia" w:ascii="宋体" w:hAnsi="宋体" w:cs="宋体"/>
                <w:color w:val="auto"/>
                <w:szCs w:val="21"/>
              </w:rPr>
              <w:t>票</w:t>
            </w:r>
          </w:p>
        </w:tc>
        <w:tc>
          <w:tcPr>
            <w:tcW w:w="1751" w:type="dxa"/>
            <w:tcBorders>
              <w:top w:val="single" w:color="auto" w:sz="4" w:space="0"/>
              <w:left w:val="nil"/>
              <w:bottom w:val="single" w:color="auto" w:sz="4" w:space="0"/>
              <w:right w:val="single" w:color="auto" w:sz="4" w:space="0"/>
            </w:tcBorders>
            <w:vAlign w:val="center"/>
          </w:tcPr>
          <w:p w14:paraId="36D98021">
            <w:pPr>
              <w:jc w:val="center"/>
              <w:rPr>
                <w:rFonts w:hint="eastAsia" w:ascii="宋体" w:hAnsi="宋体" w:cs="宋体"/>
                <w:color w:val="auto"/>
                <w:szCs w:val="21"/>
              </w:rPr>
            </w:pPr>
            <w:r>
              <w:rPr>
                <w:rFonts w:hint="eastAsia" w:ascii="宋体" w:hAnsi="宋体" w:cs="宋体"/>
                <w:color w:val="auto"/>
                <w:szCs w:val="21"/>
              </w:rPr>
              <w:t>票</w:t>
            </w:r>
          </w:p>
        </w:tc>
        <w:tc>
          <w:tcPr>
            <w:tcW w:w="1751" w:type="dxa"/>
            <w:tcBorders>
              <w:top w:val="single" w:color="auto" w:sz="4" w:space="0"/>
              <w:left w:val="nil"/>
              <w:bottom w:val="single" w:color="auto" w:sz="4" w:space="0"/>
              <w:right w:val="single" w:color="auto" w:sz="4" w:space="0"/>
            </w:tcBorders>
            <w:vAlign w:val="center"/>
          </w:tcPr>
          <w:p w14:paraId="20A21E07">
            <w:pPr>
              <w:jc w:val="center"/>
              <w:rPr>
                <w:rFonts w:hint="eastAsia" w:ascii="宋体" w:hAnsi="宋体" w:cs="宋体"/>
                <w:color w:val="auto"/>
                <w:szCs w:val="21"/>
              </w:rPr>
            </w:pPr>
            <w:r>
              <w:rPr>
                <w:rFonts w:hint="eastAsia" w:ascii="宋体" w:hAnsi="宋体" w:cs="宋体"/>
                <w:color w:val="auto"/>
                <w:szCs w:val="21"/>
              </w:rPr>
              <w:t>票</w:t>
            </w:r>
          </w:p>
        </w:tc>
        <w:tc>
          <w:tcPr>
            <w:tcW w:w="1989" w:type="dxa"/>
            <w:tcBorders>
              <w:top w:val="single" w:color="auto" w:sz="4" w:space="0"/>
              <w:left w:val="nil"/>
              <w:bottom w:val="single" w:color="auto" w:sz="4" w:space="0"/>
              <w:right w:val="single" w:color="auto" w:sz="4" w:space="0"/>
            </w:tcBorders>
            <w:vAlign w:val="center"/>
          </w:tcPr>
          <w:p w14:paraId="30EF12C1">
            <w:pPr>
              <w:spacing w:line="300" w:lineRule="atLeast"/>
              <w:jc w:val="center"/>
              <w:rPr>
                <w:rFonts w:hint="eastAsia" w:ascii="宋体" w:hAnsi="宋体" w:cs="宋体"/>
                <w:color w:val="auto"/>
                <w:szCs w:val="21"/>
              </w:rPr>
            </w:pPr>
          </w:p>
        </w:tc>
      </w:tr>
      <w:tr w14:paraId="1D98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745" w:type="dxa"/>
            <w:tcBorders>
              <w:top w:val="single" w:color="auto" w:sz="4" w:space="0"/>
              <w:left w:val="single" w:color="auto" w:sz="4" w:space="0"/>
              <w:bottom w:val="single" w:color="auto" w:sz="4" w:space="0"/>
              <w:right w:val="single" w:color="auto" w:sz="4" w:space="0"/>
            </w:tcBorders>
            <w:vAlign w:val="center"/>
          </w:tcPr>
          <w:p w14:paraId="260F288F">
            <w:pPr>
              <w:spacing w:line="300" w:lineRule="atLeast"/>
              <w:jc w:val="center"/>
              <w:rPr>
                <w:rFonts w:hint="eastAsia" w:ascii="宋体" w:hAnsi="宋体" w:cs="宋体"/>
                <w:color w:val="auto"/>
                <w:szCs w:val="21"/>
              </w:rPr>
            </w:pPr>
            <w:r>
              <w:rPr>
                <w:rFonts w:hint="eastAsia" w:ascii="宋体" w:hAnsi="宋体" w:cs="宋体"/>
                <w:color w:val="auto"/>
                <w:szCs w:val="21"/>
              </w:rPr>
              <w:t>确定中标人</w:t>
            </w:r>
          </w:p>
        </w:tc>
        <w:tc>
          <w:tcPr>
            <w:tcW w:w="6947" w:type="dxa"/>
            <w:gridSpan w:val="4"/>
            <w:tcBorders>
              <w:top w:val="single" w:color="auto" w:sz="4" w:space="0"/>
              <w:left w:val="nil"/>
              <w:bottom w:val="single" w:color="auto" w:sz="4" w:space="0"/>
              <w:right w:val="single" w:color="auto" w:sz="4" w:space="0"/>
            </w:tcBorders>
            <w:vAlign w:val="center"/>
          </w:tcPr>
          <w:p w14:paraId="439338F5">
            <w:pPr>
              <w:spacing w:line="300" w:lineRule="atLeast"/>
              <w:jc w:val="center"/>
              <w:rPr>
                <w:rFonts w:hint="eastAsia" w:ascii="宋体" w:hAnsi="宋体" w:cs="宋体"/>
                <w:color w:val="auto"/>
                <w:szCs w:val="21"/>
              </w:rPr>
            </w:pPr>
          </w:p>
        </w:tc>
      </w:tr>
      <w:tr w14:paraId="01C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745" w:type="dxa"/>
            <w:tcBorders>
              <w:top w:val="single" w:color="auto" w:sz="4" w:space="0"/>
              <w:left w:val="single" w:color="auto" w:sz="4" w:space="0"/>
              <w:bottom w:val="single" w:color="auto" w:sz="4" w:space="0"/>
              <w:right w:val="single" w:color="auto" w:sz="4" w:space="0"/>
            </w:tcBorders>
            <w:vAlign w:val="center"/>
          </w:tcPr>
          <w:p w14:paraId="4AB3D0FC">
            <w:pPr>
              <w:spacing w:line="300" w:lineRule="atLeast"/>
              <w:jc w:val="center"/>
              <w:rPr>
                <w:rFonts w:hint="eastAsia" w:ascii="宋体" w:hAnsi="宋体" w:cs="宋体"/>
                <w:color w:val="auto"/>
                <w:szCs w:val="21"/>
              </w:rPr>
            </w:pPr>
            <w:r>
              <w:rPr>
                <w:rFonts w:hint="eastAsia" w:ascii="宋体" w:hAnsi="宋体" w:cs="宋体"/>
                <w:color w:val="auto"/>
                <w:szCs w:val="21"/>
              </w:rPr>
              <w:t>定标委员会</w:t>
            </w:r>
          </w:p>
          <w:p w14:paraId="06C78465">
            <w:pPr>
              <w:spacing w:line="300" w:lineRule="atLeast"/>
              <w:jc w:val="center"/>
              <w:rPr>
                <w:rFonts w:hint="eastAsia" w:ascii="宋体" w:hAnsi="宋体" w:cs="宋体"/>
                <w:color w:val="auto"/>
                <w:szCs w:val="21"/>
              </w:rPr>
            </w:pPr>
            <w:r>
              <w:rPr>
                <w:rFonts w:hint="eastAsia" w:ascii="宋体" w:hAnsi="宋体" w:cs="宋体"/>
                <w:color w:val="auto"/>
                <w:szCs w:val="21"/>
              </w:rPr>
              <w:t>（签名）</w:t>
            </w:r>
          </w:p>
        </w:tc>
        <w:tc>
          <w:tcPr>
            <w:tcW w:w="6947" w:type="dxa"/>
            <w:gridSpan w:val="4"/>
            <w:tcBorders>
              <w:top w:val="single" w:color="auto" w:sz="4" w:space="0"/>
              <w:left w:val="nil"/>
              <w:bottom w:val="single" w:color="auto" w:sz="4" w:space="0"/>
              <w:right w:val="single" w:color="auto" w:sz="4" w:space="0"/>
            </w:tcBorders>
          </w:tcPr>
          <w:p w14:paraId="46374B7B">
            <w:pPr>
              <w:spacing w:line="300" w:lineRule="atLeast"/>
              <w:rPr>
                <w:rFonts w:hint="eastAsia" w:ascii="宋体" w:hAnsi="宋体" w:cs="宋体"/>
                <w:color w:val="auto"/>
                <w:szCs w:val="21"/>
              </w:rPr>
            </w:pPr>
          </w:p>
        </w:tc>
      </w:tr>
    </w:tbl>
    <w:p w14:paraId="42C3C908">
      <w:pPr>
        <w:rPr>
          <w:color w:val="auto"/>
        </w:rPr>
      </w:pPr>
    </w:p>
    <w:p w14:paraId="714C53FA">
      <w:pPr>
        <w:rPr>
          <w:color w:val="auto"/>
        </w:rPr>
      </w:pPr>
    </w:p>
    <w:p w14:paraId="5EE17F55">
      <w:pPr>
        <w:rPr>
          <w:color w:val="auto"/>
        </w:rPr>
      </w:pPr>
      <w:r>
        <w:rPr>
          <w:rFonts w:hint="eastAsia"/>
          <w:color w:val="auto"/>
        </w:rPr>
        <w:t>统计人（签字）：                    监督人员（签字）：</w:t>
      </w:r>
    </w:p>
    <w:p w14:paraId="691468D8">
      <w:pPr>
        <w:rPr>
          <w:color w:val="auto"/>
        </w:rPr>
      </w:pPr>
    </w:p>
    <w:p w14:paraId="286C70BB">
      <w:pPr>
        <w:rPr>
          <w:color w:val="auto"/>
        </w:rPr>
      </w:pPr>
    </w:p>
    <w:p w14:paraId="2EF6BB7F">
      <w:pPr>
        <w:rPr>
          <w:color w:val="auto"/>
        </w:rPr>
      </w:pPr>
      <w:r>
        <w:rPr>
          <w:rFonts w:hint="eastAsia"/>
          <w:color w:val="auto"/>
        </w:rPr>
        <w:t xml:space="preserve"> 时间：   年  月  日</w:t>
      </w:r>
    </w:p>
    <w:p w14:paraId="3849A71F">
      <w:pPr>
        <w:rPr>
          <w:color w:val="auto"/>
        </w:rPr>
      </w:pPr>
    </w:p>
    <w:p w14:paraId="4556955C">
      <w:pPr>
        <w:rPr>
          <w:rFonts w:hint="eastAsia" w:ascii="宋体" w:hAnsi="宋体" w:cs="宋体"/>
          <w:color w:val="auto"/>
          <w:sz w:val="24"/>
        </w:rPr>
      </w:pPr>
      <w:bookmarkStart w:id="313" w:name="_Toc4634"/>
      <w:r>
        <w:rPr>
          <w:rFonts w:hint="eastAsia" w:ascii="宋体" w:hAnsi="宋体" w:cs="宋体"/>
          <w:color w:val="auto"/>
          <w:sz w:val="24"/>
        </w:rPr>
        <w:br w:type="page"/>
      </w:r>
    </w:p>
    <w:p w14:paraId="28CB7FFE">
      <w:pPr>
        <w:pStyle w:val="4"/>
        <w:spacing w:line="240" w:lineRule="auto"/>
        <w:jc w:val="both"/>
        <w:rPr>
          <w:rFonts w:hint="eastAsia" w:ascii="宋体" w:hAnsi="宋体" w:cs="宋体"/>
          <w:color w:val="auto"/>
          <w:sz w:val="24"/>
          <w:szCs w:val="24"/>
        </w:rPr>
      </w:pPr>
      <w:r>
        <w:rPr>
          <w:rFonts w:hint="eastAsia" w:ascii="宋体" w:hAnsi="宋体" w:cs="宋体"/>
          <w:color w:val="auto"/>
          <w:sz w:val="24"/>
          <w:szCs w:val="24"/>
        </w:rPr>
        <w:t>附件6：</w:t>
      </w:r>
      <w:bookmarkEnd w:id="313"/>
    </w:p>
    <w:p w14:paraId="3F5E6D95">
      <w:pPr>
        <w:rPr>
          <w:rFonts w:hint="eastAsia" w:ascii="宋体" w:hAnsi="宋体" w:cs="宋体"/>
          <w:color w:val="auto"/>
          <w:sz w:val="24"/>
        </w:rPr>
      </w:pPr>
    </w:p>
    <w:p w14:paraId="00C71FD0">
      <w:pPr>
        <w:jc w:val="center"/>
        <w:rPr>
          <w:rFonts w:hint="eastAsia" w:ascii="宋体" w:hAnsi="宋体" w:cs="宋体"/>
          <w:b/>
          <w:bCs/>
          <w:color w:val="auto"/>
          <w:sz w:val="36"/>
          <w:szCs w:val="36"/>
        </w:rPr>
      </w:pPr>
      <w:r>
        <w:rPr>
          <w:rFonts w:hint="eastAsia" w:ascii="宋体" w:hAnsi="宋体" w:cs="宋体"/>
          <w:b/>
          <w:bCs/>
          <w:color w:val="auto"/>
          <w:sz w:val="36"/>
          <w:szCs w:val="36"/>
        </w:rPr>
        <w:t>定标报告</w:t>
      </w:r>
    </w:p>
    <w:p w14:paraId="0ADC91AE">
      <w:pPr>
        <w:rPr>
          <w:color w:val="auto"/>
        </w:rPr>
      </w:pPr>
    </w:p>
    <w:p w14:paraId="74627615">
      <w:pPr>
        <w:jc w:val="center"/>
        <w:rPr>
          <w:color w:val="auto"/>
        </w:rPr>
      </w:pPr>
      <w:r>
        <w:rPr>
          <w:rFonts w:hint="eastAsia"/>
          <w:color w:val="auto"/>
        </w:rPr>
        <w:t>招标编号：</w:t>
      </w:r>
    </w:p>
    <w:p w14:paraId="663ECDAB">
      <w:pPr>
        <w:jc w:val="center"/>
        <w:rPr>
          <w:color w:val="auto"/>
        </w:rPr>
      </w:pPr>
    </w:p>
    <w:p w14:paraId="784D5808">
      <w:pPr>
        <w:jc w:val="center"/>
        <w:rPr>
          <w:color w:val="auto"/>
        </w:rPr>
      </w:pPr>
    </w:p>
    <w:p w14:paraId="1E8F6051">
      <w:pPr>
        <w:jc w:val="center"/>
        <w:rPr>
          <w:color w:val="auto"/>
        </w:rPr>
      </w:pPr>
    </w:p>
    <w:p w14:paraId="421F2D22">
      <w:pPr>
        <w:jc w:val="center"/>
        <w:rPr>
          <w:color w:val="auto"/>
        </w:rPr>
      </w:pPr>
    </w:p>
    <w:p w14:paraId="001ED69B">
      <w:pPr>
        <w:jc w:val="center"/>
        <w:rPr>
          <w:color w:val="auto"/>
        </w:rPr>
      </w:pPr>
    </w:p>
    <w:p w14:paraId="2A71539B">
      <w:pPr>
        <w:jc w:val="center"/>
        <w:rPr>
          <w:color w:val="auto"/>
        </w:rPr>
      </w:pPr>
    </w:p>
    <w:p w14:paraId="774E518D">
      <w:pPr>
        <w:jc w:val="center"/>
        <w:rPr>
          <w:color w:val="auto"/>
        </w:rPr>
      </w:pPr>
    </w:p>
    <w:p w14:paraId="2C185DEA">
      <w:pPr>
        <w:jc w:val="center"/>
        <w:rPr>
          <w:color w:val="auto"/>
        </w:rPr>
      </w:pPr>
    </w:p>
    <w:p w14:paraId="741085A9">
      <w:pPr>
        <w:jc w:val="center"/>
        <w:rPr>
          <w:color w:val="auto"/>
        </w:rPr>
      </w:pPr>
    </w:p>
    <w:p w14:paraId="06C5F7E5">
      <w:pPr>
        <w:jc w:val="center"/>
        <w:rPr>
          <w:color w:val="auto"/>
        </w:rPr>
      </w:pPr>
    </w:p>
    <w:p w14:paraId="351251A4">
      <w:pPr>
        <w:jc w:val="center"/>
        <w:rPr>
          <w:color w:val="auto"/>
        </w:rPr>
      </w:pPr>
    </w:p>
    <w:p w14:paraId="2F7826AA">
      <w:pPr>
        <w:jc w:val="center"/>
        <w:rPr>
          <w:color w:val="auto"/>
        </w:rPr>
      </w:pPr>
    </w:p>
    <w:p w14:paraId="1446639A">
      <w:pPr>
        <w:jc w:val="center"/>
        <w:rPr>
          <w:color w:val="auto"/>
        </w:rPr>
      </w:pPr>
    </w:p>
    <w:p w14:paraId="31120424">
      <w:pPr>
        <w:jc w:val="center"/>
        <w:rPr>
          <w:color w:val="auto"/>
        </w:rPr>
      </w:pPr>
    </w:p>
    <w:p w14:paraId="4E3BFE53">
      <w:pPr>
        <w:jc w:val="center"/>
        <w:rPr>
          <w:color w:val="auto"/>
        </w:rPr>
      </w:pPr>
    </w:p>
    <w:p w14:paraId="35170FB7">
      <w:pPr>
        <w:jc w:val="center"/>
        <w:rPr>
          <w:color w:val="auto"/>
        </w:rPr>
      </w:pPr>
    </w:p>
    <w:p w14:paraId="41059EE5">
      <w:pPr>
        <w:spacing w:line="720" w:lineRule="auto"/>
        <w:ind w:firstLine="3120" w:firstLineChars="1300"/>
        <w:rPr>
          <w:color w:val="auto"/>
          <w:sz w:val="24"/>
          <w:szCs w:val="32"/>
          <w:u w:val="single"/>
        </w:rPr>
      </w:pPr>
      <w:r>
        <w:rPr>
          <w:rFonts w:hint="eastAsia"/>
          <w:color w:val="auto"/>
          <w:sz w:val="24"/>
          <w:szCs w:val="32"/>
        </w:rPr>
        <w:t>招标人：</w:t>
      </w:r>
      <w:r>
        <w:rPr>
          <w:rFonts w:hint="eastAsia"/>
          <w:color w:val="auto"/>
          <w:sz w:val="24"/>
          <w:szCs w:val="32"/>
          <w:u w:val="single"/>
        </w:rPr>
        <w:t xml:space="preserve">                       （盖章）</w:t>
      </w:r>
    </w:p>
    <w:p w14:paraId="1728B15E">
      <w:pPr>
        <w:spacing w:line="720" w:lineRule="auto"/>
        <w:ind w:firstLine="2160" w:firstLineChars="900"/>
        <w:rPr>
          <w:color w:val="auto"/>
          <w:sz w:val="24"/>
          <w:szCs w:val="32"/>
          <w:u w:val="single"/>
        </w:rPr>
      </w:pPr>
      <w:r>
        <w:rPr>
          <w:rFonts w:hint="eastAsia"/>
          <w:color w:val="auto"/>
          <w:sz w:val="24"/>
          <w:szCs w:val="32"/>
        </w:rPr>
        <w:t>定标委员会组长：</w:t>
      </w:r>
      <w:r>
        <w:rPr>
          <w:rFonts w:hint="eastAsia"/>
          <w:color w:val="auto"/>
          <w:sz w:val="24"/>
          <w:szCs w:val="32"/>
          <w:u w:val="single"/>
        </w:rPr>
        <w:t xml:space="preserve">                       （签名）</w:t>
      </w:r>
    </w:p>
    <w:p w14:paraId="52237511">
      <w:pPr>
        <w:spacing w:line="720" w:lineRule="auto"/>
        <w:ind w:firstLine="3360" w:firstLineChars="1400"/>
        <w:rPr>
          <w:rFonts w:hint="eastAsia" w:ascii="宋体" w:hAnsi="宋体" w:cs="宋体"/>
          <w:b/>
          <w:color w:val="auto"/>
          <w:sz w:val="24"/>
        </w:rPr>
      </w:pPr>
      <w:r>
        <w:rPr>
          <w:rFonts w:hint="eastAsia"/>
          <w:color w:val="auto"/>
          <w:sz w:val="24"/>
          <w:szCs w:val="32"/>
        </w:rPr>
        <w:t>日期：</w:t>
      </w:r>
      <w:r>
        <w:rPr>
          <w:rFonts w:hint="eastAsia"/>
          <w:color w:val="auto"/>
          <w:sz w:val="24"/>
          <w:szCs w:val="32"/>
          <w:u w:val="single"/>
        </w:rPr>
        <w:t xml:space="preserve">    </w:t>
      </w:r>
      <w:r>
        <w:rPr>
          <w:rFonts w:hint="eastAsia"/>
          <w:color w:val="auto"/>
          <w:sz w:val="24"/>
          <w:szCs w:val="32"/>
        </w:rPr>
        <w:t>年</w:t>
      </w:r>
      <w:r>
        <w:rPr>
          <w:rFonts w:hint="eastAsia"/>
          <w:color w:val="auto"/>
          <w:sz w:val="24"/>
          <w:szCs w:val="32"/>
          <w:u w:val="single"/>
        </w:rPr>
        <w:t xml:space="preserve">     </w:t>
      </w:r>
      <w:r>
        <w:rPr>
          <w:rFonts w:hint="eastAsia"/>
          <w:color w:val="auto"/>
          <w:sz w:val="24"/>
          <w:szCs w:val="32"/>
        </w:rPr>
        <w:t>月</w:t>
      </w:r>
      <w:r>
        <w:rPr>
          <w:rFonts w:hint="eastAsia"/>
          <w:color w:val="auto"/>
          <w:sz w:val="24"/>
          <w:szCs w:val="32"/>
          <w:u w:val="single"/>
        </w:rPr>
        <w:t xml:space="preserve">      </w:t>
      </w:r>
      <w:r>
        <w:rPr>
          <w:rFonts w:hint="eastAsia"/>
          <w:color w:val="auto"/>
          <w:sz w:val="24"/>
          <w:szCs w:val="32"/>
        </w:rPr>
        <w:t>日</w:t>
      </w:r>
    </w:p>
    <w:p w14:paraId="5A4CC576">
      <w:pPr>
        <w:rPr>
          <w:color w:val="auto"/>
        </w:rPr>
      </w:pPr>
    </w:p>
    <w:p w14:paraId="13AD4163">
      <w:pPr>
        <w:rPr>
          <w:color w:val="auto"/>
        </w:rPr>
      </w:pPr>
    </w:p>
    <w:p w14:paraId="30906A1E">
      <w:pPr>
        <w:rPr>
          <w:rFonts w:hint="eastAsia" w:ascii="宋体" w:hAnsi="宋体" w:cs="宋体"/>
          <w:b/>
          <w:color w:val="auto"/>
          <w:sz w:val="24"/>
        </w:rPr>
      </w:pPr>
      <w:r>
        <w:rPr>
          <w:rFonts w:hint="eastAsia" w:ascii="宋体" w:hAnsi="宋体" w:cs="宋体"/>
          <w:b/>
          <w:color w:val="auto"/>
          <w:sz w:val="24"/>
        </w:rPr>
        <w:br w:type="page"/>
      </w:r>
    </w:p>
    <w:p w14:paraId="72FFAC3E">
      <w:pPr>
        <w:pStyle w:val="5"/>
        <w:spacing w:line="240" w:lineRule="auto"/>
        <w:jc w:val="center"/>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定标报告</w:t>
      </w:r>
    </w:p>
    <w:tbl>
      <w:tblPr>
        <w:tblStyle w:val="30"/>
        <w:tblW w:w="9882"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200"/>
        <w:gridCol w:w="1442"/>
        <w:gridCol w:w="2391"/>
        <w:gridCol w:w="2857"/>
      </w:tblGrid>
      <w:tr w14:paraId="18E2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restart"/>
            <w:vAlign w:val="center"/>
          </w:tcPr>
          <w:p w14:paraId="590C73EB">
            <w:pPr>
              <w:jc w:val="center"/>
              <w:rPr>
                <w:color w:val="auto"/>
              </w:rPr>
            </w:pPr>
            <w:r>
              <w:rPr>
                <w:rFonts w:hint="eastAsia"/>
                <w:color w:val="auto"/>
              </w:rPr>
              <w:t>定标概况</w:t>
            </w:r>
          </w:p>
        </w:tc>
        <w:tc>
          <w:tcPr>
            <w:tcW w:w="1200" w:type="dxa"/>
            <w:vAlign w:val="center"/>
          </w:tcPr>
          <w:p w14:paraId="77DA3AD4">
            <w:pPr>
              <w:jc w:val="center"/>
              <w:rPr>
                <w:color w:val="auto"/>
              </w:rPr>
            </w:pPr>
            <w:r>
              <w:rPr>
                <w:rFonts w:hint="eastAsia"/>
                <w:color w:val="auto"/>
              </w:rPr>
              <w:t>项目名称</w:t>
            </w:r>
          </w:p>
        </w:tc>
        <w:tc>
          <w:tcPr>
            <w:tcW w:w="1442" w:type="dxa"/>
          </w:tcPr>
          <w:p w14:paraId="2F6B28E3">
            <w:pPr>
              <w:rPr>
                <w:color w:val="auto"/>
              </w:rPr>
            </w:pPr>
          </w:p>
        </w:tc>
        <w:tc>
          <w:tcPr>
            <w:tcW w:w="2391" w:type="dxa"/>
            <w:vAlign w:val="center"/>
          </w:tcPr>
          <w:p w14:paraId="26369357">
            <w:pPr>
              <w:jc w:val="center"/>
              <w:rPr>
                <w:color w:val="auto"/>
              </w:rPr>
            </w:pPr>
            <w:r>
              <w:rPr>
                <w:rFonts w:hint="eastAsia"/>
                <w:color w:val="auto"/>
              </w:rPr>
              <w:t>评标办法</w:t>
            </w:r>
          </w:p>
        </w:tc>
        <w:tc>
          <w:tcPr>
            <w:tcW w:w="2857" w:type="dxa"/>
            <w:vAlign w:val="center"/>
          </w:tcPr>
          <w:p w14:paraId="7537554F">
            <w:pPr>
              <w:jc w:val="center"/>
              <w:rPr>
                <w:color w:val="auto"/>
              </w:rPr>
            </w:pPr>
            <w:r>
              <w:rPr>
                <w:rFonts w:hint="eastAsia"/>
                <w:color w:val="auto"/>
              </w:rPr>
              <w:t>定性评审</w:t>
            </w:r>
          </w:p>
        </w:tc>
      </w:tr>
      <w:tr w14:paraId="26FA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1C9C2660">
            <w:pPr>
              <w:jc w:val="center"/>
              <w:rPr>
                <w:color w:val="auto"/>
              </w:rPr>
            </w:pPr>
          </w:p>
        </w:tc>
        <w:tc>
          <w:tcPr>
            <w:tcW w:w="1200" w:type="dxa"/>
            <w:vMerge w:val="restart"/>
            <w:vAlign w:val="center"/>
          </w:tcPr>
          <w:p w14:paraId="0F1479BE">
            <w:pPr>
              <w:jc w:val="center"/>
              <w:rPr>
                <w:color w:val="auto"/>
              </w:rPr>
            </w:pPr>
            <w:r>
              <w:rPr>
                <w:rFonts w:hint="eastAsia"/>
                <w:color w:val="auto"/>
              </w:rPr>
              <w:t>推荐中标候选人数</w:t>
            </w:r>
          </w:p>
        </w:tc>
        <w:tc>
          <w:tcPr>
            <w:tcW w:w="1442" w:type="dxa"/>
            <w:vMerge w:val="restart"/>
            <w:vAlign w:val="center"/>
          </w:tcPr>
          <w:p w14:paraId="73418038">
            <w:pPr>
              <w:ind w:firstLine="630" w:firstLineChars="300"/>
              <w:rPr>
                <w:color w:val="auto"/>
                <w:u w:val="single"/>
              </w:rPr>
            </w:pPr>
            <w:r>
              <w:rPr>
                <w:rFonts w:hint="eastAsia"/>
                <w:color w:val="auto"/>
              </w:rPr>
              <w:t>名</w:t>
            </w:r>
          </w:p>
        </w:tc>
        <w:tc>
          <w:tcPr>
            <w:tcW w:w="2391" w:type="dxa"/>
            <w:vAlign w:val="center"/>
          </w:tcPr>
          <w:p w14:paraId="4419CB98">
            <w:pPr>
              <w:jc w:val="center"/>
              <w:rPr>
                <w:color w:val="auto"/>
              </w:rPr>
            </w:pPr>
            <w:r>
              <w:rPr>
                <w:rFonts w:hint="eastAsia"/>
                <w:color w:val="auto"/>
              </w:rPr>
              <w:t>是否核查</w:t>
            </w:r>
          </w:p>
        </w:tc>
        <w:tc>
          <w:tcPr>
            <w:tcW w:w="2857" w:type="dxa"/>
            <w:vAlign w:val="center"/>
          </w:tcPr>
          <w:p w14:paraId="79F39074">
            <w:pPr>
              <w:jc w:val="center"/>
              <w:rPr>
                <w:color w:val="auto"/>
              </w:rPr>
            </w:pPr>
            <w:r>
              <w:rPr>
                <w:rFonts w:hint="eastAsia"/>
                <w:color w:val="auto"/>
              </w:rPr>
              <w:t>（是或否）</w:t>
            </w:r>
          </w:p>
        </w:tc>
      </w:tr>
      <w:tr w14:paraId="3FEE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Merge w:val="continue"/>
            <w:vAlign w:val="center"/>
          </w:tcPr>
          <w:p w14:paraId="6B8EE663">
            <w:pPr>
              <w:jc w:val="center"/>
              <w:rPr>
                <w:color w:val="auto"/>
              </w:rPr>
            </w:pPr>
          </w:p>
        </w:tc>
        <w:tc>
          <w:tcPr>
            <w:tcW w:w="1200" w:type="dxa"/>
            <w:vMerge w:val="continue"/>
          </w:tcPr>
          <w:p w14:paraId="74421EE9">
            <w:pPr>
              <w:rPr>
                <w:color w:val="auto"/>
              </w:rPr>
            </w:pPr>
          </w:p>
        </w:tc>
        <w:tc>
          <w:tcPr>
            <w:tcW w:w="1442" w:type="dxa"/>
            <w:vMerge w:val="continue"/>
          </w:tcPr>
          <w:p w14:paraId="3A8CFB77">
            <w:pPr>
              <w:rPr>
                <w:color w:val="auto"/>
              </w:rPr>
            </w:pPr>
          </w:p>
        </w:tc>
        <w:tc>
          <w:tcPr>
            <w:tcW w:w="2391" w:type="dxa"/>
            <w:vAlign w:val="center"/>
          </w:tcPr>
          <w:p w14:paraId="3BF759F7">
            <w:pPr>
              <w:jc w:val="center"/>
              <w:rPr>
                <w:color w:val="auto"/>
              </w:rPr>
            </w:pPr>
            <w:r>
              <w:rPr>
                <w:rFonts w:hint="eastAsia"/>
                <w:color w:val="auto"/>
              </w:rPr>
              <w:t>是否质询</w:t>
            </w:r>
          </w:p>
        </w:tc>
        <w:tc>
          <w:tcPr>
            <w:tcW w:w="2857" w:type="dxa"/>
            <w:vAlign w:val="center"/>
          </w:tcPr>
          <w:p w14:paraId="1D08D34C">
            <w:pPr>
              <w:jc w:val="center"/>
              <w:rPr>
                <w:color w:val="auto"/>
              </w:rPr>
            </w:pPr>
            <w:r>
              <w:rPr>
                <w:rFonts w:hint="eastAsia"/>
                <w:color w:val="auto"/>
              </w:rPr>
              <w:t>（是或否）</w:t>
            </w:r>
          </w:p>
        </w:tc>
      </w:tr>
      <w:tr w14:paraId="2208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16F89FFA">
            <w:pPr>
              <w:jc w:val="center"/>
              <w:rPr>
                <w:color w:val="auto"/>
              </w:rPr>
            </w:pPr>
            <w:r>
              <w:rPr>
                <w:rFonts w:hint="eastAsia"/>
                <w:color w:val="auto"/>
              </w:rPr>
              <w:t>定标委员会名单</w:t>
            </w:r>
          </w:p>
        </w:tc>
        <w:tc>
          <w:tcPr>
            <w:tcW w:w="7890" w:type="dxa"/>
            <w:gridSpan w:val="4"/>
            <w:vAlign w:val="center"/>
          </w:tcPr>
          <w:p w14:paraId="4AA1B8E6">
            <w:pPr>
              <w:rPr>
                <w:color w:val="auto"/>
              </w:rPr>
            </w:pPr>
            <w:r>
              <w:rPr>
                <w:rFonts w:hint="eastAsia"/>
                <w:color w:val="auto"/>
              </w:rPr>
              <w:t>附：定标委员会全体成员名单</w:t>
            </w:r>
          </w:p>
        </w:tc>
      </w:tr>
      <w:tr w14:paraId="2B6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2A3AE1B2">
            <w:pPr>
              <w:jc w:val="center"/>
              <w:rPr>
                <w:color w:val="auto"/>
              </w:rPr>
            </w:pPr>
            <w:r>
              <w:rPr>
                <w:rFonts w:hint="eastAsia"/>
                <w:color w:val="auto"/>
              </w:rPr>
              <w:t>评标报告</w:t>
            </w:r>
          </w:p>
        </w:tc>
        <w:tc>
          <w:tcPr>
            <w:tcW w:w="7890" w:type="dxa"/>
            <w:gridSpan w:val="4"/>
            <w:vAlign w:val="center"/>
          </w:tcPr>
          <w:p w14:paraId="0B69ABCE">
            <w:pPr>
              <w:rPr>
                <w:color w:val="auto"/>
              </w:rPr>
            </w:pPr>
            <w:r>
              <w:rPr>
                <w:rFonts w:hint="eastAsia"/>
                <w:color w:val="auto"/>
              </w:rPr>
              <w:t>附：评标报告、开标记录</w:t>
            </w:r>
          </w:p>
        </w:tc>
      </w:tr>
      <w:tr w14:paraId="1789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134704FC">
            <w:pPr>
              <w:jc w:val="center"/>
              <w:rPr>
                <w:color w:val="auto"/>
              </w:rPr>
            </w:pPr>
            <w:r>
              <w:rPr>
                <w:rFonts w:hint="eastAsia"/>
                <w:color w:val="auto"/>
              </w:rPr>
              <w:t>定标要素</w:t>
            </w:r>
          </w:p>
        </w:tc>
        <w:tc>
          <w:tcPr>
            <w:tcW w:w="7890" w:type="dxa"/>
            <w:gridSpan w:val="4"/>
            <w:vAlign w:val="center"/>
          </w:tcPr>
          <w:p w14:paraId="06533920">
            <w:pPr>
              <w:rPr>
                <w:color w:val="auto"/>
              </w:rPr>
            </w:pPr>
          </w:p>
        </w:tc>
      </w:tr>
      <w:tr w14:paraId="7CE3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4F6A21AE">
            <w:pPr>
              <w:jc w:val="center"/>
              <w:rPr>
                <w:color w:val="auto"/>
              </w:rPr>
            </w:pPr>
            <w:r>
              <w:rPr>
                <w:rFonts w:hint="eastAsia"/>
                <w:color w:val="auto"/>
              </w:rPr>
              <w:t>定标办法</w:t>
            </w:r>
          </w:p>
        </w:tc>
        <w:tc>
          <w:tcPr>
            <w:tcW w:w="7890" w:type="dxa"/>
            <w:gridSpan w:val="4"/>
            <w:vAlign w:val="center"/>
          </w:tcPr>
          <w:p w14:paraId="1D1BF306">
            <w:pPr>
              <w:jc w:val="center"/>
              <w:rPr>
                <w:color w:val="auto"/>
              </w:rPr>
            </w:pPr>
            <w:r>
              <w:rPr>
                <w:rFonts w:hint="eastAsia"/>
                <w:color w:val="auto"/>
              </w:rPr>
              <w:t>票决法</w:t>
            </w:r>
          </w:p>
        </w:tc>
      </w:tr>
      <w:tr w14:paraId="0C65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7461FC06">
            <w:pPr>
              <w:jc w:val="center"/>
              <w:rPr>
                <w:color w:val="auto"/>
              </w:rPr>
            </w:pPr>
            <w:r>
              <w:rPr>
                <w:rFonts w:hint="eastAsia"/>
                <w:color w:val="auto"/>
              </w:rPr>
              <w:t>中标候选人名单</w:t>
            </w:r>
          </w:p>
        </w:tc>
        <w:tc>
          <w:tcPr>
            <w:tcW w:w="7890" w:type="dxa"/>
            <w:gridSpan w:val="4"/>
          </w:tcPr>
          <w:p w14:paraId="4831CB3E">
            <w:pPr>
              <w:rPr>
                <w:color w:val="auto"/>
              </w:rPr>
            </w:pPr>
          </w:p>
        </w:tc>
      </w:tr>
      <w:tr w14:paraId="7331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992" w:type="dxa"/>
            <w:vAlign w:val="center"/>
          </w:tcPr>
          <w:p w14:paraId="5AFE7564">
            <w:pPr>
              <w:jc w:val="center"/>
              <w:rPr>
                <w:color w:val="auto"/>
              </w:rPr>
            </w:pPr>
            <w:r>
              <w:rPr>
                <w:rFonts w:hint="eastAsia"/>
                <w:color w:val="auto"/>
              </w:rPr>
              <w:t>中标人名称</w:t>
            </w:r>
          </w:p>
        </w:tc>
        <w:tc>
          <w:tcPr>
            <w:tcW w:w="7890" w:type="dxa"/>
            <w:gridSpan w:val="4"/>
          </w:tcPr>
          <w:p w14:paraId="1925A479">
            <w:pPr>
              <w:rPr>
                <w:color w:val="auto"/>
              </w:rPr>
            </w:pPr>
          </w:p>
        </w:tc>
      </w:tr>
      <w:tr w14:paraId="2CB9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5391ECC5">
            <w:pPr>
              <w:jc w:val="center"/>
              <w:rPr>
                <w:color w:val="auto"/>
              </w:rPr>
            </w:pPr>
            <w:r>
              <w:rPr>
                <w:rFonts w:hint="eastAsia"/>
                <w:color w:val="auto"/>
              </w:rPr>
              <w:t>定标办法操作概况</w:t>
            </w:r>
          </w:p>
        </w:tc>
        <w:tc>
          <w:tcPr>
            <w:tcW w:w="7890" w:type="dxa"/>
            <w:gridSpan w:val="4"/>
          </w:tcPr>
          <w:p w14:paraId="325909D2">
            <w:pPr>
              <w:rPr>
                <w:color w:val="auto"/>
              </w:rPr>
            </w:pPr>
          </w:p>
        </w:tc>
      </w:tr>
      <w:tr w14:paraId="0356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11F1FC45">
            <w:pPr>
              <w:jc w:val="center"/>
              <w:rPr>
                <w:color w:val="auto"/>
              </w:rPr>
            </w:pPr>
            <w:r>
              <w:rPr>
                <w:rFonts w:hint="eastAsia"/>
                <w:color w:val="auto"/>
              </w:rPr>
              <w:t>其他需说明的事宜</w:t>
            </w:r>
          </w:p>
        </w:tc>
        <w:tc>
          <w:tcPr>
            <w:tcW w:w="7890" w:type="dxa"/>
            <w:gridSpan w:val="4"/>
          </w:tcPr>
          <w:p w14:paraId="73491B33">
            <w:pPr>
              <w:rPr>
                <w:color w:val="auto"/>
              </w:rPr>
            </w:pPr>
          </w:p>
        </w:tc>
      </w:tr>
      <w:tr w14:paraId="4066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992" w:type="dxa"/>
            <w:vAlign w:val="center"/>
          </w:tcPr>
          <w:p w14:paraId="3DE34499">
            <w:pPr>
              <w:jc w:val="center"/>
              <w:rPr>
                <w:color w:val="auto"/>
              </w:rPr>
            </w:pPr>
            <w:r>
              <w:rPr>
                <w:rFonts w:hint="eastAsia"/>
                <w:color w:val="auto"/>
              </w:rPr>
              <w:t>定标委员会成员签字</w:t>
            </w:r>
          </w:p>
        </w:tc>
        <w:tc>
          <w:tcPr>
            <w:tcW w:w="7890" w:type="dxa"/>
            <w:gridSpan w:val="4"/>
          </w:tcPr>
          <w:p w14:paraId="5F8E0A7C">
            <w:pPr>
              <w:rPr>
                <w:color w:val="auto"/>
              </w:rPr>
            </w:pPr>
          </w:p>
        </w:tc>
      </w:tr>
      <w:tr w14:paraId="1EA6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992" w:type="dxa"/>
            <w:vAlign w:val="center"/>
          </w:tcPr>
          <w:p w14:paraId="2D96A1C5">
            <w:pPr>
              <w:jc w:val="center"/>
              <w:rPr>
                <w:color w:val="auto"/>
              </w:rPr>
            </w:pPr>
            <w:r>
              <w:rPr>
                <w:rFonts w:hint="eastAsia"/>
                <w:color w:val="auto"/>
              </w:rPr>
              <w:t>监督人员签字</w:t>
            </w:r>
          </w:p>
        </w:tc>
        <w:tc>
          <w:tcPr>
            <w:tcW w:w="7890" w:type="dxa"/>
            <w:gridSpan w:val="4"/>
          </w:tcPr>
          <w:p w14:paraId="56D3AEE6">
            <w:pPr>
              <w:rPr>
                <w:color w:val="auto"/>
              </w:rPr>
            </w:pPr>
          </w:p>
        </w:tc>
      </w:tr>
    </w:tbl>
    <w:p w14:paraId="0EFB2AA5">
      <w:pPr>
        <w:rPr>
          <w:rFonts w:hint="eastAsia" w:ascii="宋体" w:hAnsi="宋体" w:cs="宋体"/>
          <w:color w:val="auto"/>
        </w:rPr>
      </w:pPr>
      <w:r>
        <w:rPr>
          <w:rFonts w:hint="eastAsia" w:cs="宋体"/>
          <w:b/>
          <w:bCs/>
          <w:color w:val="auto"/>
          <w:sz w:val="32"/>
          <w:szCs w:val="32"/>
        </w:rPr>
        <w:br w:type="page"/>
      </w:r>
    </w:p>
    <w:p w14:paraId="16DC65ED">
      <w:pPr>
        <w:bidi w:val="0"/>
        <w:rPr>
          <w:color w:val="auto"/>
        </w:rPr>
      </w:pPr>
    </w:p>
    <w:p w14:paraId="02DCA3A9">
      <w:pPr>
        <w:pStyle w:val="2"/>
        <w:bidi w:val="0"/>
        <w:rPr>
          <w:color w:val="auto"/>
        </w:rPr>
      </w:pPr>
      <w:bookmarkStart w:id="314" w:name="_Toc5075"/>
      <w:bookmarkStart w:id="315" w:name="_Toc21881"/>
      <w:bookmarkStart w:id="316" w:name="_Toc2617"/>
      <w:r>
        <w:rPr>
          <w:rFonts w:hint="eastAsia"/>
          <w:color w:val="auto"/>
        </w:rPr>
        <w:t>第</w:t>
      </w:r>
      <w:r>
        <w:rPr>
          <w:rFonts w:hint="eastAsia"/>
          <w:color w:val="auto"/>
          <w:lang w:val="en-US" w:eastAsia="zh-CN"/>
        </w:rPr>
        <w:t>五</w:t>
      </w:r>
      <w:r>
        <w:rPr>
          <w:rFonts w:hint="eastAsia"/>
          <w:color w:val="auto"/>
        </w:rPr>
        <w:t>章  合同条款及格式</w:t>
      </w:r>
      <w:bookmarkEnd w:id="314"/>
      <w:bookmarkEnd w:id="315"/>
      <w:bookmarkEnd w:id="316"/>
    </w:p>
    <w:p w14:paraId="6BC0B46A">
      <w:pPr>
        <w:bidi w:val="0"/>
        <w:rPr>
          <w:rFonts w:hint="eastAsia"/>
          <w:color w:val="auto"/>
        </w:rPr>
      </w:pPr>
    </w:p>
    <w:p w14:paraId="104DFAB9">
      <w:pPr>
        <w:bidi w:val="0"/>
        <w:jc w:val="center"/>
        <w:rPr>
          <w:b/>
          <w:bCs/>
          <w:color w:val="auto"/>
        </w:rPr>
      </w:pPr>
      <w:r>
        <w:rPr>
          <w:rFonts w:hint="eastAsia"/>
          <w:b/>
          <w:bCs/>
          <w:color w:val="auto"/>
        </w:rPr>
        <w:t>(注：仅供参考，合同以最终招标人签订的版本为准)</w:t>
      </w:r>
    </w:p>
    <w:p w14:paraId="70B2639F">
      <w:pPr>
        <w:bidi w:val="0"/>
        <w:rPr>
          <w:color w:val="auto"/>
        </w:rPr>
      </w:pPr>
    </w:p>
    <w:p w14:paraId="77D43CD8">
      <w:pPr>
        <w:spacing w:before="120" w:beforeLines="50" w:after="120" w:afterLines="50" w:line="480" w:lineRule="auto"/>
        <w:jc w:val="center"/>
        <w:rPr>
          <w:b/>
          <w:bCs/>
          <w:color w:val="auto"/>
          <w:sz w:val="28"/>
          <w:szCs w:val="28"/>
          <w:highlight w:val="none"/>
        </w:rPr>
      </w:pPr>
      <w:r>
        <w:rPr>
          <w:rFonts w:hint="eastAsia"/>
          <w:b/>
          <w:bCs/>
          <w:color w:val="auto"/>
          <w:sz w:val="28"/>
          <w:szCs w:val="28"/>
          <w:highlight w:val="none"/>
        </w:rPr>
        <w:t>（《监理合同示范文本》GF—2012—0202）</w:t>
      </w:r>
    </w:p>
    <w:p w14:paraId="388B9CFC">
      <w:pPr>
        <w:spacing w:before="120" w:beforeLines="50" w:after="120" w:afterLines="50" w:line="480" w:lineRule="auto"/>
        <w:jc w:val="center"/>
        <w:rPr>
          <w:b/>
          <w:bCs/>
          <w:color w:val="auto"/>
          <w:sz w:val="28"/>
          <w:szCs w:val="28"/>
          <w:highlight w:val="none"/>
        </w:rPr>
      </w:pPr>
      <w:r>
        <w:rPr>
          <w:rFonts w:hint="eastAsia"/>
          <w:b/>
          <w:bCs/>
          <w:color w:val="auto"/>
          <w:sz w:val="28"/>
          <w:szCs w:val="28"/>
          <w:highlight w:val="none"/>
        </w:rPr>
        <w:t>（GF—2012—0202）</w:t>
      </w:r>
    </w:p>
    <w:p w14:paraId="710E52A6">
      <w:pPr>
        <w:rPr>
          <w:color w:val="auto"/>
          <w:highlight w:val="none"/>
        </w:rPr>
      </w:pPr>
    </w:p>
    <w:p w14:paraId="380366BB">
      <w:pPr>
        <w:pStyle w:val="12"/>
        <w:rPr>
          <w:color w:val="auto"/>
          <w:highlight w:val="none"/>
        </w:rPr>
      </w:pPr>
    </w:p>
    <w:p w14:paraId="46ACA332">
      <w:pPr>
        <w:rPr>
          <w:color w:val="auto"/>
          <w:highlight w:val="none"/>
        </w:rPr>
      </w:pPr>
    </w:p>
    <w:p w14:paraId="0ECDF4BC">
      <w:pPr>
        <w:pStyle w:val="12"/>
        <w:rPr>
          <w:color w:val="auto"/>
          <w:highlight w:val="none"/>
        </w:rPr>
      </w:pPr>
    </w:p>
    <w:p w14:paraId="48880983">
      <w:pPr>
        <w:spacing w:before="240" w:beforeLines="100" w:after="240" w:afterLines="100" w:line="600" w:lineRule="auto"/>
        <w:jc w:val="center"/>
        <w:rPr>
          <w:b/>
          <w:bCs/>
          <w:color w:val="auto"/>
          <w:sz w:val="48"/>
          <w:szCs w:val="56"/>
          <w:highlight w:val="none"/>
        </w:rPr>
      </w:pPr>
      <w:r>
        <w:rPr>
          <w:rFonts w:hint="eastAsia"/>
          <w:b/>
          <w:bCs/>
          <w:color w:val="auto"/>
          <w:sz w:val="48"/>
          <w:szCs w:val="56"/>
          <w:highlight w:val="none"/>
        </w:rPr>
        <w:t>工程监理合同</w:t>
      </w:r>
    </w:p>
    <w:p w14:paraId="0E7098E3">
      <w:pPr>
        <w:spacing w:before="240" w:beforeLines="100" w:after="240" w:afterLines="100" w:line="600" w:lineRule="auto"/>
        <w:jc w:val="center"/>
        <w:rPr>
          <w:b/>
          <w:bCs/>
          <w:color w:val="auto"/>
          <w:sz w:val="48"/>
          <w:szCs w:val="56"/>
          <w:highlight w:val="none"/>
        </w:rPr>
      </w:pPr>
      <w:r>
        <w:rPr>
          <w:rFonts w:hint="eastAsia"/>
          <w:b/>
          <w:bCs/>
          <w:color w:val="auto"/>
          <w:sz w:val="48"/>
          <w:szCs w:val="56"/>
          <w:highlight w:val="none"/>
        </w:rPr>
        <w:t>（示范文本）</w:t>
      </w:r>
    </w:p>
    <w:p w14:paraId="7F074DEC">
      <w:pPr>
        <w:rPr>
          <w:color w:val="auto"/>
          <w:highlight w:val="none"/>
        </w:rPr>
      </w:pPr>
    </w:p>
    <w:p w14:paraId="63EB2397">
      <w:pPr>
        <w:rPr>
          <w:color w:val="auto"/>
          <w:highlight w:val="none"/>
        </w:rPr>
      </w:pPr>
    </w:p>
    <w:p w14:paraId="24642CCE">
      <w:pPr>
        <w:rPr>
          <w:color w:val="auto"/>
          <w:highlight w:val="none"/>
        </w:rPr>
      </w:pPr>
    </w:p>
    <w:p w14:paraId="5BE83761">
      <w:pPr>
        <w:rPr>
          <w:color w:val="auto"/>
          <w:highlight w:val="none"/>
        </w:rPr>
      </w:pPr>
    </w:p>
    <w:p w14:paraId="654E5911">
      <w:pPr>
        <w:pStyle w:val="12"/>
        <w:rPr>
          <w:color w:val="auto"/>
          <w:highlight w:val="none"/>
        </w:rPr>
      </w:pPr>
    </w:p>
    <w:p w14:paraId="756C1495">
      <w:pPr>
        <w:pStyle w:val="12"/>
        <w:rPr>
          <w:color w:val="auto"/>
          <w:highlight w:val="none"/>
        </w:rPr>
      </w:pPr>
    </w:p>
    <w:p w14:paraId="6CF7FDD5">
      <w:pPr>
        <w:spacing w:line="480" w:lineRule="auto"/>
        <w:jc w:val="center"/>
        <w:rPr>
          <w:b/>
          <w:bCs/>
          <w:color w:val="auto"/>
          <w:sz w:val="32"/>
          <w:szCs w:val="40"/>
          <w:highlight w:val="none"/>
        </w:rPr>
      </w:pPr>
      <w:r>
        <w:rPr>
          <w:rFonts w:hint="eastAsia"/>
          <w:b/>
          <w:bCs/>
          <w:color w:val="auto"/>
          <w:sz w:val="32"/>
          <w:szCs w:val="40"/>
          <w:highlight w:val="none"/>
        </w:rPr>
        <w:t>住房和城乡建设部制定</w:t>
      </w:r>
    </w:p>
    <w:p w14:paraId="256C6692">
      <w:pPr>
        <w:spacing w:line="480" w:lineRule="auto"/>
        <w:jc w:val="center"/>
        <w:rPr>
          <w:b/>
          <w:bCs/>
          <w:color w:val="auto"/>
          <w:sz w:val="32"/>
          <w:szCs w:val="40"/>
          <w:highlight w:val="none"/>
        </w:rPr>
      </w:pPr>
      <w:r>
        <w:rPr>
          <w:rFonts w:hint="eastAsia"/>
          <w:b/>
          <w:bCs/>
          <w:color w:val="auto"/>
          <w:sz w:val="32"/>
          <w:szCs w:val="40"/>
          <w:highlight w:val="none"/>
        </w:rPr>
        <w:t>国家工商行政管理总局</w:t>
      </w:r>
    </w:p>
    <w:p w14:paraId="3EA17A9C">
      <w:pPr>
        <w:pStyle w:val="3"/>
        <w:bidi w:val="0"/>
        <w:rPr>
          <w:color w:val="auto"/>
        </w:rPr>
      </w:pPr>
      <w:bookmarkStart w:id="317" w:name="_Toc6676"/>
      <w:bookmarkStart w:id="318" w:name="_Toc21699"/>
      <w:r>
        <w:rPr>
          <w:rFonts w:hint="eastAsia"/>
          <w:color w:val="auto"/>
        </w:rPr>
        <w:t>第一部分  协议书</w:t>
      </w:r>
      <w:bookmarkEnd w:id="317"/>
      <w:bookmarkEnd w:id="318"/>
    </w:p>
    <w:p w14:paraId="311B43AD">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rPr>
        <w:t xml:space="preserve">                                      </w:t>
      </w:r>
    </w:p>
    <w:p w14:paraId="72C3906D">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监理人（全称）：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18334AEC">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根据《中华人民共和国</w:t>
      </w:r>
      <w:r>
        <w:rPr>
          <w:rFonts w:hint="eastAsia" w:cs="宋体"/>
          <w:color w:val="auto"/>
          <w:szCs w:val="21"/>
          <w:highlight w:val="none"/>
          <w:lang w:val="en-US" w:eastAsia="zh-CN"/>
        </w:rPr>
        <w:t>民法典</w:t>
      </w:r>
      <w:r>
        <w:rPr>
          <w:rFonts w:hint="eastAsia" w:ascii="宋体" w:hAnsi="宋体" w:cs="宋体"/>
          <w:color w:val="auto"/>
          <w:szCs w:val="21"/>
          <w:highlight w:val="none"/>
        </w:rPr>
        <w:t>》、《中华人民共和国建筑法》及其他有关法律、法规，遵循平等、自愿、公平和诚信的原则，双方就下述工程委托监理与相关服务事项协商一致，订立本合同。</w:t>
      </w:r>
    </w:p>
    <w:p w14:paraId="24B3BAB4">
      <w:pPr>
        <w:spacing w:line="360" w:lineRule="auto"/>
        <w:ind w:firstLine="417" w:firstLineChars="198"/>
        <w:rPr>
          <w:rFonts w:ascii="宋体" w:hAnsi="宋体" w:cs="宋体"/>
          <w:b/>
          <w:color w:val="auto"/>
          <w:szCs w:val="21"/>
          <w:highlight w:val="none"/>
        </w:rPr>
      </w:pPr>
      <w:bookmarkStart w:id="319" w:name="_Toc441146353"/>
      <w:r>
        <w:rPr>
          <w:rFonts w:hint="eastAsia" w:ascii="宋体" w:hAnsi="宋体" w:cs="宋体"/>
          <w:b/>
          <w:color w:val="auto"/>
          <w:szCs w:val="21"/>
          <w:highlight w:val="none"/>
        </w:rPr>
        <w:t>一、工程概况</w:t>
      </w:r>
      <w:bookmarkEnd w:id="319"/>
    </w:p>
    <w:p w14:paraId="02D1A04F">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8B4C87">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CAD5AE">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工程规模：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D0697C">
      <w:pPr>
        <w:adjustRightInd w:val="0"/>
        <w:snapToGrid w:val="0"/>
        <w:spacing w:line="360" w:lineRule="auto"/>
        <w:ind w:firstLine="415" w:firstLineChars="198"/>
        <w:jc w:val="left"/>
        <w:rPr>
          <w:rFonts w:ascii="宋体" w:hAnsi="宋体" w:cs="宋体"/>
          <w:color w:val="auto"/>
          <w:szCs w:val="21"/>
          <w:highlight w:val="none"/>
        </w:rPr>
      </w:pPr>
      <w:r>
        <w:rPr>
          <w:rFonts w:hint="eastAsia" w:ascii="宋体" w:hAnsi="宋体" w:cs="宋体"/>
          <w:color w:val="auto"/>
          <w:szCs w:val="21"/>
          <w:highlight w:val="none"/>
        </w:rPr>
        <w:t>4. 工程</w:t>
      </w:r>
      <w:r>
        <w:rPr>
          <w:rFonts w:hint="eastAsia" w:ascii="宋体" w:hAnsi="宋体" w:cs="宋体"/>
          <w:color w:val="auto"/>
          <w:kern w:val="0"/>
          <w:szCs w:val="21"/>
          <w:highlight w:val="none"/>
        </w:rPr>
        <w:t>概算投资额或建筑安装工程费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94683B">
      <w:pPr>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二、词语限定</w:t>
      </w:r>
    </w:p>
    <w:p w14:paraId="29B1C1DB">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14:paraId="0A194FCE">
      <w:pPr>
        <w:spacing w:line="360" w:lineRule="auto"/>
        <w:ind w:firstLine="417" w:firstLineChars="198"/>
        <w:rPr>
          <w:rFonts w:ascii="宋体" w:hAnsi="宋体" w:cs="宋体"/>
          <w:b/>
          <w:color w:val="auto"/>
          <w:szCs w:val="21"/>
          <w:highlight w:val="none"/>
        </w:rPr>
      </w:pPr>
      <w:bookmarkStart w:id="320" w:name="_Toc441146354"/>
      <w:r>
        <w:rPr>
          <w:rFonts w:hint="eastAsia" w:ascii="宋体" w:hAnsi="宋体" w:cs="宋体"/>
          <w:b/>
          <w:color w:val="auto"/>
          <w:szCs w:val="21"/>
          <w:highlight w:val="none"/>
        </w:rPr>
        <w:t>三、组成本合同的文件</w:t>
      </w:r>
      <w:bookmarkEnd w:id="320"/>
    </w:p>
    <w:p w14:paraId="56DC144F">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协议书；</w:t>
      </w:r>
    </w:p>
    <w:p w14:paraId="28135C57">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中标通知书（适用于招标工程）或委托书（适用于非招标工程）；</w:t>
      </w:r>
    </w:p>
    <w:p w14:paraId="094BD138">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投标文件（适用于招标工程）或监理与相关服务建议书（适用于非招标工程）；</w:t>
      </w:r>
    </w:p>
    <w:p w14:paraId="7F0EB4C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 专用条件；</w:t>
      </w:r>
    </w:p>
    <w:p w14:paraId="6C056402">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5. 通用条件；</w:t>
      </w:r>
    </w:p>
    <w:p w14:paraId="7B487835">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6. 附录，即：</w:t>
      </w:r>
    </w:p>
    <w:p w14:paraId="0A70AC63">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附录A  相关服务的范围和内容</w:t>
      </w:r>
    </w:p>
    <w:p w14:paraId="1DFDB0F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14:paraId="6F5AC23E">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14:paraId="7E033E8C">
      <w:pPr>
        <w:spacing w:line="360" w:lineRule="auto"/>
        <w:ind w:firstLine="417" w:firstLineChars="198"/>
        <w:rPr>
          <w:rFonts w:ascii="宋体" w:hAnsi="宋体" w:cs="宋体"/>
          <w:b/>
          <w:color w:val="auto"/>
          <w:szCs w:val="21"/>
          <w:highlight w:val="none"/>
        </w:rPr>
      </w:pPr>
      <w:bookmarkStart w:id="321" w:name="_Toc441146355"/>
      <w:r>
        <w:rPr>
          <w:rFonts w:hint="eastAsia" w:ascii="宋体" w:hAnsi="宋体" w:cs="宋体"/>
          <w:b/>
          <w:color w:val="auto"/>
          <w:szCs w:val="21"/>
          <w:highlight w:val="none"/>
        </w:rPr>
        <w:t>四、总监理工程师</w:t>
      </w:r>
      <w:bookmarkEnd w:id="321"/>
    </w:p>
    <w:p w14:paraId="3F217090">
      <w:pPr>
        <w:adjustRightInd w:val="0"/>
        <w:snapToGrid w:val="0"/>
        <w:spacing w:line="360" w:lineRule="auto"/>
        <w:ind w:firstLine="415" w:firstLineChars="198"/>
        <w:rPr>
          <w:rFonts w:ascii="宋体" w:hAnsi="宋体" w:cs="宋体"/>
          <w:color w:val="auto"/>
          <w:kern w:val="0"/>
          <w:szCs w:val="21"/>
          <w:highlight w:val="none"/>
        </w:rPr>
      </w:pPr>
      <w:r>
        <w:rPr>
          <w:rFonts w:hint="eastAsia" w:ascii="宋体" w:hAnsi="宋体" w:cs="宋体"/>
          <w:color w:val="auto"/>
          <w:kern w:val="0"/>
          <w:szCs w:val="21"/>
          <w:highlight w:val="none"/>
        </w:rPr>
        <w:t>总监理工程师姓名：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CFE9F18">
      <w:pPr>
        <w:spacing w:line="360" w:lineRule="auto"/>
        <w:ind w:firstLine="417" w:firstLineChars="198"/>
        <w:rPr>
          <w:rFonts w:ascii="宋体" w:hAnsi="宋体" w:cs="宋体"/>
          <w:b/>
          <w:color w:val="auto"/>
          <w:szCs w:val="21"/>
          <w:highlight w:val="none"/>
        </w:rPr>
      </w:pPr>
      <w:bookmarkStart w:id="322" w:name="_Toc441146356"/>
      <w:r>
        <w:rPr>
          <w:rFonts w:hint="eastAsia" w:ascii="宋体" w:hAnsi="宋体" w:cs="宋体"/>
          <w:b/>
          <w:color w:val="auto"/>
          <w:szCs w:val="21"/>
          <w:highlight w:val="none"/>
        </w:rPr>
        <w:t>五、签约酬金</w:t>
      </w:r>
      <w:bookmarkEnd w:id="322"/>
    </w:p>
    <w:p w14:paraId="695548A2">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签约酬金（大写）：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w:t>
      </w:r>
    </w:p>
    <w:p w14:paraId="2BFAB952">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包括：</w:t>
      </w:r>
    </w:p>
    <w:p w14:paraId="0ECC1141">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C2E1A8">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9AC175">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w:t>
      </w:r>
    </w:p>
    <w:p w14:paraId="3295359B">
      <w:pPr>
        <w:adjustRightInd w:val="0"/>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施工</w:t>
      </w:r>
      <w:r>
        <w:rPr>
          <w:rFonts w:hint="eastAsia" w:ascii="宋体" w:hAnsi="宋体" w:cs="宋体"/>
          <w:color w:val="auto"/>
          <w:kern w:val="0"/>
          <w:szCs w:val="21"/>
          <w:highlight w:val="none"/>
        </w:rPr>
        <w:t>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3BE764">
      <w:pPr>
        <w:adjustRightInd w:val="0"/>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kern w:val="0"/>
          <w:szCs w:val="21"/>
          <w:highlight w:val="none"/>
        </w:rPr>
        <w:t>（2）设计阶段服务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0450F3">
      <w:pPr>
        <w:adjustRightInd w:val="0"/>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kern w:val="0"/>
          <w:szCs w:val="21"/>
          <w:highlight w:val="none"/>
        </w:rPr>
        <w:t>（3）保修阶段服务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85AE4A">
      <w:pPr>
        <w:adjustRightInd w:val="0"/>
        <w:snapToGrid w:val="0"/>
        <w:spacing w:line="360" w:lineRule="auto"/>
        <w:ind w:firstLine="840" w:firstLineChars="400"/>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其他相关服务酬金：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27ED91">
      <w:pPr>
        <w:spacing w:line="360" w:lineRule="auto"/>
        <w:ind w:firstLine="417" w:firstLineChars="198"/>
        <w:rPr>
          <w:rFonts w:ascii="宋体" w:hAnsi="宋体" w:cs="宋体"/>
          <w:b/>
          <w:color w:val="auto"/>
          <w:szCs w:val="21"/>
          <w:highlight w:val="none"/>
        </w:rPr>
      </w:pPr>
      <w:bookmarkStart w:id="323" w:name="_Toc441146357"/>
      <w:r>
        <w:rPr>
          <w:rFonts w:hint="eastAsia" w:ascii="宋体" w:hAnsi="宋体" w:cs="宋体"/>
          <w:b/>
          <w:color w:val="auto"/>
          <w:szCs w:val="21"/>
          <w:highlight w:val="none"/>
        </w:rPr>
        <w:t>六、期限</w:t>
      </w:r>
      <w:bookmarkEnd w:id="323"/>
    </w:p>
    <w:p w14:paraId="67270924">
      <w:pPr>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kern w:val="0"/>
          <w:szCs w:val="21"/>
          <w:highlight w:val="none"/>
        </w:rPr>
        <w:t xml:space="preserve">1. </w:t>
      </w:r>
      <w:r>
        <w:rPr>
          <w:rFonts w:hint="eastAsia" w:ascii="宋体" w:hAnsi="宋体" w:cs="宋体"/>
          <w:color w:val="auto"/>
          <w:szCs w:val="21"/>
          <w:highlight w:val="none"/>
        </w:rPr>
        <w:t>监理期限：</w:t>
      </w:r>
    </w:p>
    <w:p w14:paraId="184EB155">
      <w:pPr>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4AD0D172">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相关服务期限：</w:t>
      </w:r>
    </w:p>
    <w:p w14:paraId="6F999078">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施工</w:t>
      </w:r>
      <w:r>
        <w:rPr>
          <w:rFonts w:hint="eastAsia" w:ascii="宋体" w:hAnsi="宋体" w:cs="宋体"/>
          <w:color w:val="auto"/>
          <w:kern w:val="0"/>
          <w:szCs w:val="21"/>
          <w:highlight w:val="none"/>
        </w:rPr>
        <w:t>阶段</w:t>
      </w:r>
      <w:r>
        <w:rPr>
          <w:rFonts w:hint="eastAsia" w:ascii="宋体" w:hAnsi="宋体" w:cs="宋体"/>
          <w:color w:val="auto"/>
          <w:szCs w:val="21"/>
          <w:highlight w:val="none"/>
        </w:rPr>
        <w:t>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5F39745D">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rPr>
        <w:t>（2）设计阶段</w:t>
      </w:r>
      <w:r>
        <w:rPr>
          <w:rFonts w:hint="eastAsia" w:ascii="宋体" w:hAnsi="宋体" w:cs="宋体"/>
          <w:color w:val="auto"/>
          <w:szCs w:val="21"/>
          <w:highlight w:val="none"/>
        </w:rPr>
        <w:t>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7184AD80">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rPr>
        <w:t>（3）保修阶段</w:t>
      </w:r>
      <w:r>
        <w:rPr>
          <w:rFonts w:hint="eastAsia" w:ascii="宋体" w:hAnsi="宋体" w:cs="宋体"/>
          <w:color w:val="auto"/>
          <w:szCs w:val="21"/>
          <w:highlight w:val="none"/>
        </w:rPr>
        <w:t>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4D83D2F4">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其他相关服务期限自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79270D29">
      <w:pPr>
        <w:spacing w:line="360" w:lineRule="auto"/>
        <w:ind w:firstLine="417" w:firstLineChars="198"/>
        <w:rPr>
          <w:rFonts w:ascii="宋体" w:hAnsi="宋体" w:cs="宋体"/>
          <w:b/>
          <w:color w:val="auto"/>
          <w:szCs w:val="21"/>
          <w:highlight w:val="none"/>
        </w:rPr>
      </w:pPr>
      <w:bookmarkStart w:id="324" w:name="_Toc441146358"/>
      <w:r>
        <w:rPr>
          <w:rFonts w:hint="eastAsia" w:ascii="宋体" w:hAnsi="宋体" w:cs="宋体"/>
          <w:b/>
          <w:color w:val="auto"/>
          <w:szCs w:val="21"/>
          <w:highlight w:val="none"/>
        </w:rPr>
        <w:t>七、双方承诺</w:t>
      </w:r>
      <w:bookmarkEnd w:id="324"/>
    </w:p>
    <w:p w14:paraId="2BA1DD6F">
      <w:pPr>
        <w:spacing w:line="360" w:lineRule="auto"/>
        <w:ind w:firstLine="415" w:firstLineChars="198"/>
        <w:rPr>
          <w:rFonts w:ascii="宋体" w:hAnsi="宋体" w:cs="宋体"/>
          <w:b/>
          <w:color w:val="auto"/>
          <w:szCs w:val="21"/>
          <w:highlight w:val="none"/>
        </w:rPr>
      </w:pPr>
      <w:bookmarkStart w:id="325" w:name="_Toc441146359"/>
      <w:r>
        <w:rPr>
          <w:rFonts w:hint="eastAsia" w:ascii="宋体" w:hAnsi="宋体" w:cs="宋体"/>
          <w:color w:val="auto"/>
          <w:szCs w:val="21"/>
          <w:highlight w:val="none"/>
        </w:rPr>
        <w:t>1. 监理人向委托人承诺，按照本合同约定</w:t>
      </w:r>
      <w:r>
        <w:rPr>
          <w:rFonts w:hint="eastAsia" w:ascii="宋体" w:hAnsi="宋体" w:cs="宋体"/>
          <w:color w:val="auto"/>
          <w:kern w:val="0"/>
          <w:szCs w:val="21"/>
          <w:highlight w:val="none"/>
        </w:rPr>
        <w:t>提供</w:t>
      </w:r>
      <w:r>
        <w:rPr>
          <w:rFonts w:hint="eastAsia" w:ascii="宋体" w:hAnsi="宋体" w:cs="宋体"/>
          <w:color w:val="auto"/>
          <w:szCs w:val="21"/>
          <w:highlight w:val="none"/>
        </w:rPr>
        <w:t>监理与相关服务。</w:t>
      </w:r>
      <w:bookmarkEnd w:id="325"/>
    </w:p>
    <w:p w14:paraId="2E12BF18">
      <w:pPr>
        <w:spacing w:line="360" w:lineRule="auto"/>
        <w:ind w:firstLine="415" w:firstLineChars="198"/>
        <w:rPr>
          <w:rFonts w:ascii="宋体" w:hAnsi="宋体" w:cs="宋体"/>
          <w:color w:val="auto"/>
          <w:szCs w:val="21"/>
          <w:highlight w:val="none"/>
        </w:rPr>
      </w:pPr>
      <w:bookmarkStart w:id="326" w:name="_Toc441146360"/>
      <w:r>
        <w:rPr>
          <w:rFonts w:hint="eastAsia" w:ascii="宋体" w:hAnsi="宋体" w:cs="宋体"/>
          <w:color w:val="auto"/>
          <w:szCs w:val="21"/>
          <w:highlight w:val="none"/>
        </w:rPr>
        <w:t>2. 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bookmarkEnd w:id="326"/>
    </w:p>
    <w:p w14:paraId="3791E970">
      <w:pPr>
        <w:spacing w:line="360" w:lineRule="auto"/>
        <w:ind w:firstLine="417" w:firstLineChars="198"/>
        <w:rPr>
          <w:rFonts w:ascii="宋体" w:hAnsi="宋体" w:cs="宋体"/>
          <w:b/>
          <w:color w:val="auto"/>
          <w:szCs w:val="21"/>
          <w:highlight w:val="none"/>
        </w:rPr>
      </w:pPr>
      <w:bookmarkStart w:id="327" w:name="_Toc441146361"/>
      <w:r>
        <w:rPr>
          <w:rFonts w:hint="eastAsia" w:ascii="宋体" w:hAnsi="宋体" w:cs="宋体"/>
          <w:b/>
          <w:color w:val="auto"/>
          <w:szCs w:val="21"/>
          <w:highlight w:val="none"/>
        </w:rPr>
        <w:t>八、合同订立</w:t>
      </w:r>
      <w:bookmarkEnd w:id="327"/>
    </w:p>
    <w:p w14:paraId="017B4FE2">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24D091">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订立地点：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B0999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 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47D74ADB">
      <w:pPr>
        <w:adjustRightInd w:val="0"/>
        <w:snapToGrid w:val="0"/>
        <w:spacing w:line="360" w:lineRule="auto"/>
        <w:ind w:firstLine="415" w:firstLineChars="198"/>
        <w:rPr>
          <w:rFonts w:ascii="宋体" w:hAnsi="宋体" w:cs="宋体"/>
          <w:color w:val="auto"/>
          <w:szCs w:val="21"/>
          <w:highlight w:val="none"/>
        </w:rPr>
      </w:pPr>
    </w:p>
    <w:p w14:paraId="30CEC7FC">
      <w:pPr>
        <w:adjustRightInd w:val="0"/>
        <w:snapToGrid w:val="0"/>
        <w:spacing w:line="360" w:lineRule="auto"/>
        <w:ind w:firstLine="415" w:firstLineChars="198"/>
        <w:rPr>
          <w:rFonts w:ascii="宋体" w:hAnsi="宋体" w:cs="宋体"/>
          <w:color w:val="auto"/>
          <w:szCs w:val="21"/>
          <w:highlight w:val="none"/>
        </w:rPr>
      </w:pPr>
    </w:p>
    <w:p w14:paraId="33228D6F">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14:paraId="75D62A05">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住所：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 </w:t>
      </w:r>
      <w:r>
        <w:rPr>
          <w:rFonts w:hint="eastAsia" w:ascii="宋体" w:hAnsi="宋体" w:cs="宋体"/>
          <w:color w:val="auto"/>
          <w:szCs w:val="21"/>
          <w:highlight w:val="none"/>
          <w:u w:val="single"/>
        </w:rPr>
        <w:t xml:space="preserve">                      </w:t>
      </w:r>
    </w:p>
    <w:p w14:paraId="73F8CC3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F8DEA13">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法定代表人或其授权              法定代表人或其授权</w:t>
      </w:r>
    </w:p>
    <w:p w14:paraId="2CEDC66B">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的代理人：</w:t>
      </w:r>
      <w:r>
        <w:rPr>
          <w:rFonts w:hint="eastAsia" w:ascii="宋体" w:hAnsi="宋体" w:cs="宋体"/>
          <w:color w:val="auto"/>
          <w:szCs w:val="21"/>
          <w:highlight w:val="none"/>
          <w:u w:val="single"/>
        </w:rPr>
        <w:t xml:space="preserve">（签字）          </w:t>
      </w:r>
    </w:p>
    <w:p w14:paraId="7520FEB9">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C6A7A1E">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110DE1F7">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4C79624D">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1E1E9E6F">
      <w:pPr>
        <w:adjustRightInd w:val="0"/>
        <w:snapToGrid w:val="0"/>
        <w:spacing w:line="360" w:lineRule="auto"/>
        <w:ind w:firstLine="415" w:firstLineChars="198"/>
        <w:rPr>
          <w:rFonts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电子邮箱：</w:t>
      </w:r>
      <w:r>
        <w:rPr>
          <w:rFonts w:hint="eastAsia" w:ascii="宋体" w:hAnsi="宋体" w:cs="宋体"/>
          <w:color w:val="auto"/>
          <w:szCs w:val="21"/>
          <w:highlight w:val="none"/>
          <w:u w:val="single"/>
        </w:rPr>
        <w:t xml:space="preserve">                  </w:t>
      </w:r>
      <w:bookmarkStart w:id="328" w:name="_Toc441146789"/>
      <w:bookmarkStart w:id="329" w:name="_Toc441146873"/>
      <w:bookmarkStart w:id="330" w:name="_Toc452046196"/>
      <w:bookmarkStart w:id="331" w:name="_Toc20464"/>
      <w:bookmarkStart w:id="332" w:name="_Toc16632"/>
    </w:p>
    <w:p w14:paraId="6FC13819">
      <w:pPr>
        <w:bidi w:val="0"/>
        <w:rPr>
          <w:color w:val="auto"/>
        </w:rPr>
      </w:pPr>
    </w:p>
    <w:p w14:paraId="6CC77C18">
      <w:pPr>
        <w:bidi w:val="0"/>
        <w:rPr>
          <w:color w:val="auto"/>
        </w:rPr>
      </w:pPr>
    </w:p>
    <w:p w14:paraId="47DF4FF9">
      <w:pPr>
        <w:bidi w:val="0"/>
        <w:rPr>
          <w:color w:val="auto"/>
        </w:rPr>
      </w:pPr>
    </w:p>
    <w:p w14:paraId="62B3842C">
      <w:pPr>
        <w:pStyle w:val="3"/>
        <w:bidi w:val="0"/>
        <w:rPr>
          <w:color w:val="auto"/>
        </w:rPr>
      </w:pPr>
      <w:bookmarkStart w:id="333" w:name="_Toc30797"/>
      <w:bookmarkStart w:id="334" w:name="_Toc18448"/>
      <w:r>
        <w:rPr>
          <w:rFonts w:hint="eastAsia"/>
          <w:color w:val="auto"/>
        </w:rPr>
        <w:t>第二部分  通用条件</w:t>
      </w:r>
      <w:bookmarkEnd w:id="328"/>
      <w:bookmarkEnd w:id="329"/>
      <w:bookmarkEnd w:id="330"/>
      <w:bookmarkEnd w:id="331"/>
      <w:bookmarkEnd w:id="332"/>
      <w:bookmarkEnd w:id="333"/>
      <w:bookmarkEnd w:id="334"/>
    </w:p>
    <w:p w14:paraId="08C9C8AE">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1. 定义与解释</w:t>
      </w:r>
    </w:p>
    <w:p w14:paraId="053980A5">
      <w:pPr>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1.1 </w:t>
      </w:r>
      <w:r>
        <w:rPr>
          <w:rFonts w:hint="eastAsia" w:ascii="宋体" w:hAnsi="宋体" w:cs="宋体"/>
          <w:bCs/>
          <w:color w:val="auto"/>
          <w:szCs w:val="21"/>
          <w:highlight w:val="none"/>
        </w:rPr>
        <w:t>定义</w:t>
      </w:r>
    </w:p>
    <w:p w14:paraId="43839F0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14:paraId="0272A17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“工程”是指按照本合同约定实施监理与相关服务的建设工程。</w:t>
      </w:r>
    </w:p>
    <w:p w14:paraId="6088FA1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“委托人”是指本合同中委托监理与相关服务的一方，及其合法的继承人或受让人。</w:t>
      </w:r>
    </w:p>
    <w:p w14:paraId="41BC925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“监理人”是指本合同中提供监理与相关服务的一方，及其合法的继承人。</w:t>
      </w:r>
    </w:p>
    <w:p w14:paraId="0FD3602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“承包人”是指在工程范围内与委托人签订设计、施工等有关合同的当事人，及其合法的继承人。</w:t>
      </w:r>
    </w:p>
    <w:p w14:paraId="5D731697">
      <w:pPr>
        <w:pStyle w:val="2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 “监理”是指监理人受委托人的委托 ，依照法律法规、工程建设标准、设计文件及合同，在施工阶段对建设工程质量、进度、造价进行控制，对合同、信息进行管理，对工程建设相关方的关系进行协调，并履行建设工程安全生产管理法定职责的服务活动。</w:t>
      </w:r>
    </w:p>
    <w:p w14:paraId="23F3430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“相关服务”是指监理人受委托人的委托 ，按照本合同约定，在设计、保修等阶段提供的服务活动。</w:t>
      </w:r>
    </w:p>
    <w:p w14:paraId="024E504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 “正常工作”指本合同订立时通用条件和专用条件中约定的监理人的工作。</w:t>
      </w:r>
    </w:p>
    <w:p w14:paraId="236DC7C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 “附加工作”是指本合同约定的正常工作以外监理人的工作。</w:t>
      </w:r>
    </w:p>
    <w:p w14:paraId="034E545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1.1.9 “项目监理机构”是指监理人派驻工程负责履行本合同的组织机构。</w:t>
      </w:r>
    </w:p>
    <w:p w14:paraId="26546A4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1.1.10 “总监理工程师”是指由监理人的法定代表人书面授权，全面负责履行本合同、主持项目监理机构工作的注册监理工程师。</w:t>
      </w:r>
    </w:p>
    <w:p w14:paraId="22E8206F">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1.1.11 “酬金”是指监理人履行本合同义务，委托人按照本合同约定给付监理人的金额。</w:t>
      </w:r>
    </w:p>
    <w:p w14:paraId="1B50748C">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1.1.12 “正常工作</w:t>
      </w:r>
      <w:r>
        <w:rPr>
          <w:rFonts w:hint="eastAsia" w:ascii="宋体" w:hAnsi="宋体" w:cs="宋体"/>
          <w:color w:val="auto"/>
          <w:kern w:val="0"/>
          <w:szCs w:val="21"/>
          <w:highlight w:val="none"/>
        </w:rPr>
        <w:t>酬金”</w:t>
      </w:r>
      <w:r>
        <w:rPr>
          <w:rFonts w:hint="eastAsia" w:ascii="宋体" w:hAnsi="宋体" w:cs="宋体"/>
          <w:color w:val="auto"/>
          <w:szCs w:val="21"/>
          <w:highlight w:val="none"/>
        </w:rPr>
        <w:t>是指监理人完成正常工作，委托人应给付监理人并在协议书中载明的签约</w:t>
      </w:r>
      <w:r>
        <w:rPr>
          <w:rFonts w:hint="eastAsia" w:ascii="宋体" w:hAnsi="宋体" w:cs="宋体"/>
          <w:color w:val="auto"/>
          <w:kern w:val="0"/>
          <w:szCs w:val="21"/>
          <w:highlight w:val="none"/>
        </w:rPr>
        <w:t>酬金额</w:t>
      </w:r>
      <w:r>
        <w:rPr>
          <w:rFonts w:hint="eastAsia" w:ascii="宋体" w:hAnsi="宋体" w:cs="宋体"/>
          <w:color w:val="auto"/>
          <w:szCs w:val="21"/>
          <w:highlight w:val="none"/>
        </w:rPr>
        <w:t>。</w:t>
      </w:r>
    </w:p>
    <w:p w14:paraId="6E0833CA">
      <w:pPr>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1.1.13 “附加工作酬金”是指监理人完成附加工作，委托人应给付监理人的金额。</w:t>
      </w:r>
    </w:p>
    <w:p w14:paraId="368ECF9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1.1.14 “一方”是指委托人或监理人；“双方”是指委托人和监理人；“第三方”是指除委托人和监理人以外的有关方。</w:t>
      </w:r>
    </w:p>
    <w:p w14:paraId="6962341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1.1.15 “书面形式”是指合同书、信件和数据电文（包括电报、电传、传真、电子数据交换和电子邮件）等可以有形地表现所载内容的形式。</w:t>
      </w:r>
    </w:p>
    <w:p w14:paraId="11AF09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1.1.16 “天”是指第一天零时至第二天零时的时间。</w:t>
      </w:r>
    </w:p>
    <w:p w14:paraId="19443DB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1.1.17“月”是指按公历从一个月中任何一天开始的一个公历月时间。</w:t>
      </w:r>
    </w:p>
    <w:p w14:paraId="191F9B6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3641FEA5">
      <w:pPr>
        <w:adjustRightInd w:val="0"/>
        <w:snapToGrid w:val="0"/>
        <w:spacing w:line="360" w:lineRule="auto"/>
        <w:rPr>
          <w:rFonts w:ascii="宋体" w:hAnsi="宋体" w:cs="宋体"/>
          <w:b/>
          <w:color w:val="auto"/>
          <w:szCs w:val="21"/>
          <w:highlight w:val="none"/>
        </w:rPr>
      </w:pPr>
      <w:r>
        <w:rPr>
          <w:rFonts w:hint="eastAsia" w:ascii="宋体" w:hAnsi="宋体" w:cs="宋体"/>
          <w:bCs/>
          <w:color w:val="auto"/>
          <w:szCs w:val="21"/>
          <w:highlight w:val="none"/>
        </w:rPr>
        <w:t xml:space="preserve">    </w:t>
      </w:r>
      <w:r>
        <w:rPr>
          <w:rFonts w:hint="eastAsia" w:ascii="宋体" w:hAnsi="宋体" w:cs="宋体"/>
          <w:b/>
          <w:color w:val="auto"/>
          <w:szCs w:val="21"/>
          <w:highlight w:val="none"/>
        </w:rPr>
        <w:t>1.2 解释</w:t>
      </w:r>
    </w:p>
    <w:p w14:paraId="11A79CA0">
      <w:pPr>
        <w:tabs>
          <w:tab w:val="left" w:pos="614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1.2.1本合同使用中文书写、解释和说明。如专用条件约定使用两种及以上语言文字时，应以中文为准。</w:t>
      </w:r>
    </w:p>
    <w:p w14:paraId="0ED64264">
      <w:pPr>
        <w:tabs>
          <w:tab w:val="left" w:pos="6140"/>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组成本合同的下列文件彼此应能相互解释、互为说明。除专用条件另有约定外，本合同文件的解释顺序如下：</w:t>
      </w:r>
    </w:p>
    <w:p w14:paraId="7AAAD6F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（1）协议书；</w:t>
      </w:r>
    </w:p>
    <w:p w14:paraId="201E961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（2）中标通知书（适用于招标工程）或委托书（适用于非招标工程）；</w:t>
      </w:r>
    </w:p>
    <w:p w14:paraId="575E9BB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（3）专用条件及附录A、附录B；</w:t>
      </w:r>
    </w:p>
    <w:p w14:paraId="5CCEB0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（4）通用条件；</w:t>
      </w:r>
    </w:p>
    <w:p w14:paraId="0E028EF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（5）投标文件（适用于招标工程）或监理与相关服务建议书（适用于非招标工程）。</w:t>
      </w:r>
    </w:p>
    <w:p w14:paraId="22B1D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14:paraId="5537EDA8">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2. 监理人的义务</w:t>
      </w:r>
    </w:p>
    <w:p w14:paraId="2627C66E">
      <w:pPr>
        <w:adjustRightInd w:val="0"/>
        <w:snapToGrid w:val="0"/>
        <w:spacing w:line="360" w:lineRule="auto"/>
        <w:ind w:left="210" w:leftChars="10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2.1 监理的范围和工作内容</w:t>
      </w:r>
    </w:p>
    <w:p w14:paraId="53C7E7E2">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2.1.1 监理范围在专用条件中约定。</w:t>
      </w:r>
    </w:p>
    <w:p w14:paraId="5D82DD65">
      <w:pPr>
        <w:adjustRightInd w:val="0"/>
        <w:snapToGrid w:val="0"/>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2.1.2 除专用条件另有约定外，监理工作内容包括：</w:t>
      </w:r>
    </w:p>
    <w:p w14:paraId="7BDD474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（1）收到工程设计文件后编制监理规划，并在第一次工地会议7天前报委托人。根据有关规定和监理工作需要，编制监理实施细则；</w:t>
      </w:r>
    </w:p>
    <w:p w14:paraId="79F1A5B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（2）熟悉工程设计文件，并参加由委托人主持的图纸会审和设计交底会议；</w:t>
      </w:r>
    </w:p>
    <w:p w14:paraId="3FE4757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（3）参加由委托人主持的第一次工地会议；主持监理例会并根据工程需要主持或参加专题会议；</w:t>
      </w:r>
    </w:p>
    <w:p w14:paraId="02AD0A7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（4）审查施工承包人提交的施工组织设计，重点审查其中的质量安全技术措施、专项施工方案与工程建设强制性标准的符合性；</w:t>
      </w:r>
    </w:p>
    <w:p w14:paraId="5D6C47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（5）检查施工承包人工程质量、安全生产管理制度及组织机构和人员资格； </w:t>
      </w:r>
    </w:p>
    <w:p w14:paraId="179C764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（6）检查施工承包人专职安全生产管理人员的配备情况；</w:t>
      </w:r>
    </w:p>
    <w:p w14:paraId="2D39337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（7）审查施工承包人提交的施工进度计划，核查承包人对施工进度计划的调整；</w:t>
      </w:r>
    </w:p>
    <w:p w14:paraId="420D27C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（8）检查施工承包人的试验室；</w:t>
      </w:r>
    </w:p>
    <w:p w14:paraId="54A8594A">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（9）审核施工分包人资质条件；</w:t>
      </w:r>
    </w:p>
    <w:p w14:paraId="0A2CA1D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（10）查验施工承包人的施工测量放线成果；</w:t>
      </w:r>
    </w:p>
    <w:p w14:paraId="1F9E971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（11）审查工程开工条件，对条件具备的签发开工令；</w:t>
      </w:r>
    </w:p>
    <w:p w14:paraId="0AAE212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（12）审查施工承包人报送的工程材料、构配件、设备质量证明文件的有效性和符合性，并按规定对用于工程的材料采取平行检验或见证取样方式进行抽检；</w:t>
      </w:r>
    </w:p>
    <w:p w14:paraId="52CA5DD5">
      <w:pPr>
        <w:adjustRightInd w:val="0"/>
        <w:snapToGrid w:val="0"/>
        <w:spacing w:line="360" w:lineRule="auto"/>
        <w:ind w:left="-97" w:leftChars="-46"/>
        <w:rPr>
          <w:rFonts w:ascii="宋体" w:hAnsi="宋体" w:cs="宋体"/>
          <w:color w:val="auto"/>
          <w:szCs w:val="21"/>
          <w:highlight w:val="none"/>
        </w:rPr>
      </w:pPr>
      <w:r>
        <w:rPr>
          <w:rFonts w:hint="eastAsia" w:ascii="宋体" w:hAnsi="宋体" w:cs="宋体"/>
          <w:color w:val="auto"/>
          <w:szCs w:val="21"/>
          <w:highlight w:val="none"/>
        </w:rPr>
        <w:t xml:space="preserve">     （13）审核施工承包人提交的工程款支付申请，签发或出具工程款支付证书，并报委托人审核、批准；</w:t>
      </w:r>
    </w:p>
    <w:p w14:paraId="5BA8F10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（14）在巡视、旁站和检验过程中，发现工程质量、施工安全存在事故隐患的，要求施工承包人整改并报委托人；</w:t>
      </w:r>
    </w:p>
    <w:p w14:paraId="6537DCB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（15）经委托人同意，签发工程暂停令和复工令；</w:t>
      </w:r>
    </w:p>
    <w:p w14:paraId="1760674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（16）审查施工承包人提交的采用新材料、新工艺、新技术、新设备的论证材料及相关验收标准；</w:t>
      </w:r>
    </w:p>
    <w:p w14:paraId="07348BD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（17）验收隐蔽工程、分部分项工程；</w:t>
      </w:r>
    </w:p>
    <w:p w14:paraId="0AD4419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（18）审查施工承包人提交的工程变更申请，协调处理施工进度调整、费用索赔、合同争议等事项；</w:t>
      </w:r>
    </w:p>
    <w:p w14:paraId="2AD72AB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（19）审查施工承包人提交的竣工验收申请，编写工程质量评估报告；</w:t>
      </w:r>
    </w:p>
    <w:p w14:paraId="683519E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（20）参加工程竣工验收，签署竣工验收意见；</w:t>
      </w:r>
    </w:p>
    <w:p w14:paraId="46283F4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（21）审查施工承包人提交的竣工结算申请并报委托人；</w:t>
      </w:r>
    </w:p>
    <w:p w14:paraId="5FEF49A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（22）编制、整理工程监理归档文件并报委托人。</w:t>
      </w:r>
    </w:p>
    <w:p w14:paraId="2F0E3B49">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2.1.3 相关服务的范围和内容在附录A中约定。</w:t>
      </w:r>
    </w:p>
    <w:p w14:paraId="1DA94878">
      <w:pPr>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2.2 监理与相关服务依据</w:t>
      </w:r>
    </w:p>
    <w:p w14:paraId="662D796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p>
    <w:p w14:paraId="2D344711">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（1）适用的法律、行政法规及部门规章；</w:t>
      </w:r>
    </w:p>
    <w:p w14:paraId="1C05D2BD">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（2）与工程有关的标准；</w:t>
      </w:r>
    </w:p>
    <w:p w14:paraId="0CABB19C">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（3）工程设计及有关文件；</w:t>
      </w:r>
    </w:p>
    <w:p w14:paraId="510B2FFD">
      <w:pPr>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（4）本合同及委托人与第三方签订的与实施工程有关的其他合同。</w:t>
      </w:r>
    </w:p>
    <w:p w14:paraId="23576E6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双方根据工程的行业和地域特点，在专用条件中具体约定监理依据。</w:t>
      </w:r>
    </w:p>
    <w:p w14:paraId="25A5122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相关服务依据在专用条件中约定。</w:t>
      </w:r>
    </w:p>
    <w:p w14:paraId="2EFE7741">
      <w:pPr>
        <w:spacing w:line="360" w:lineRule="auto"/>
        <w:ind w:firstLine="211" w:firstLineChars="10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2.3 项目监理机构和人员</w:t>
      </w:r>
    </w:p>
    <w:p w14:paraId="3DD4280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 监理人应组建满足工作需要的项目监理机构，配备必要的检测设备。项目监理机构的主要人员应具有相应的资格条件。</w:t>
      </w:r>
    </w:p>
    <w:p w14:paraId="6DA0E183">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2.3.2本合同履行过程中，总监理工程师及重要岗位监理人员应保持相对稳定，以保证监理工作正常进行。</w:t>
      </w:r>
    </w:p>
    <w:p w14:paraId="64D54D3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49E56B0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 监理人应及时更换有下列情形之一的监理人员：</w:t>
      </w:r>
    </w:p>
    <w:p w14:paraId="68DF7937">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（1）严重过失行为的；</w:t>
      </w:r>
    </w:p>
    <w:p w14:paraId="47BA6074">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（2）有违法行为不能履行职责的；</w:t>
      </w:r>
    </w:p>
    <w:p w14:paraId="0EEFB7E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（3）涉嫌犯罪的；</w:t>
      </w:r>
    </w:p>
    <w:p w14:paraId="07AAEB6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（4）不能胜任岗位职责的；</w:t>
      </w:r>
    </w:p>
    <w:p w14:paraId="122F250C">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（5）严重违反职业道德的；</w:t>
      </w:r>
    </w:p>
    <w:p w14:paraId="0EC8D4A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（6）专用条件约定的其他情形。</w:t>
      </w:r>
    </w:p>
    <w:p w14:paraId="1660AFF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 委托人可要求监理人更换不能胜任本职工作的项目监理机构人员。</w:t>
      </w:r>
    </w:p>
    <w:p w14:paraId="2FEF6C3E">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bCs/>
          <w:color w:val="auto"/>
          <w:kern w:val="0"/>
          <w:szCs w:val="21"/>
          <w:highlight w:val="none"/>
        </w:rPr>
        <w:t>2.4 履行职责</w:t>
      </w:r>
    </w:p>
    <w:p w14:paraId="05847D8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监理人应遵循职业道德准则和行为规范，严格按照法律法规、工程建设有关标准及本合同履行职责。</w:t>
      </w:r>
    </w:p>
    <w:p w14:paraId="58B3063F">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 在监理与相关服务范围内，委托人和承包人提出的意见和要求，监理人应及时提出处置意见。当委托人与承包人之间发生合同争议时，监理人应协助委托人、承包人协商解决。</w:t>
      </w:r>
    </w:p>
    <w:p w14:paraId="4057C35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 当委托人与承包人之间的合同争议提交仲裁机构仲裁或人民法院审理时，监理人应提供必要的证明资料。</w:t>
      </w:r>
    </w:p>
    <w:p w14:paraId="547628D6">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 监理人应在专用条件约定的授权范围内，处理委托人与承包人所签订合同的变更事宜。如果变更超过授权范围，应以书面形式报委托人批准。</w:t>
      </w:r>
    </w:p>
    <w:p w14:paraId="6FE4CA31">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在紧急情况下，为了保护财产和人身安全，监理人所发出的指令未能事先报委托人批准时，应在发出指令后的24小时内以书面形式报委托人。</w:t>
      </w:r>
    </w:p>
    <w:p w14:paraId="7CBF962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除专用条件另有约定外，监理人发现承包人的人员不能胜任本职工作的，有权要求承包人予以调换。</w:t>
      </w:r>
    </w:p>
    <w:p w14:paraId="19527CA8">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bCs/>
          <w:color w:val="auto"/>
          <w:kern w:val="0"/>
          <w:szCs w:val="21"/>
          <w:highlight w:val="none"/>
        </w:rPr>
        <w:t>2.5 提交报告</w:t>
      </w:r>
    </w:p>
    <w:p w14:paraId="63D4FB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14:paraId="5C4923B1">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bCs/>
          <w:color w:val="auto"/>
          <w:kern w:val="0"/>
          <w:szCs w:val="21"/>
          <w:highlight w:val="none"/>
        </w:rPr>
        <w:t xml:space="preserve"> 2.6 文件资料</w:t>
      </w:r>
    </w:p>
    <w:p w14:paraId="133E32D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在本合同履行期内，监理人应在现场保留工作所用的图纸、报告及记录监理工</w:t>
      </w:r>
      <w:r>
        <w:rPr>
          <w:rFonts w:hint="eastAsia" w:ascii="宋体" w:hAnsi="宋体" w:cs="宋体"/>
          <w:color w:val="auto"/>
          <w:szCs w:val="21"/>
          <w:highlight w:val="none"/>
        </w:rPr>
        <w:t>作的相关文件。工程竣工后，应当按照档案管理规定将监理有关文件归档。</w:t>
      </w:r>
    </w:p>
    <w:p w14:paraId="154AD832">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2.7 使用委托人的财产</w:t>
      </w:r>
    </w:p>
    <w:p w14:paraId="402139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19ACA11">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 xml:space="preserve">    3．委托人的义务</w:t>
      </w:r>
    </w:p>
    <w:p w14:paraId="1831FDAE">
      <w:pPr>
        <w:spacing w:line="360" w:lineRule="auto"/>
        <w:ind w:left="210" w:leftChars="100"/>
        <w:rPr>
          <w:rFonts w:ascii="宋体" w:hAnsi="宋体" w:cs="宋体"/>
          <w:b/>
          <w:bCs/>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bCs/>
          <w:color w:val="auto"/>
          <w:kern w:val="0"/>
          <w:szCs w:val="21"/>
          <w:highlight w:val="none"/>
        </w:rPr>
        <w:t xml:space="preserve"> 3.1 告知</w:t>
      </w:r>
    </w:p>
    <w:p w14:paraId="4D83730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委托人应在委托人与承包人签订的合同中明确监理人、总监理工程师和授予项目监理机构的权限。如有变更，应及时通知承包人。</w:t>
      </w:r>
    </w:p>
    <w:p w14:paraId="40DF45E0">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3.2 提供资料</w:t>
      </w:r>
    </w:p>
    <w:p w14:paraId="4F390406">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委托人应按照附录B约定，无偿向监理人提供工程有关的资料。</w:t>
      </w:r>
      <w:r>
        <w:rPr>
          <w:rFonts w:hint="eastAsia" w:ascii="宋体" w:hAnsi="宋体" w:cs="宋体"/>
          <w:color w:val="auto"/>
          <w:szCs w:val="21"/>
          <w:highlight w:val="none"/>
        </w:rPr>
        <w:t>在本合同履行过程中，委托人应及时向监理人提供最新的与工程有关的资料。</w:t>
      </w:r>
    </w:p>
    <w:p w14:paraId="775EC604">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3.3 提供工作条件</w:t>
      </w:r>
    </w:p>
    <w:p w14:paraId="7752DE5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14:paraId="031EBD5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3.3.1 </w:t>
      </w:r>
      <w:r>
        <w:rPr>
          <w:rFonts w:hint="eastAsia" w:ascii="宋体" w:hAnsi="宋体" w:cs="宋体"/>
          <w:color w:val="auto"/>
          <w:szCs w:val="21"/>
          <w:highlight w:val="none"/>
        </w:rPr>
        <w:t>委托人应按照附录B约定，派遣相应的人员，提供房屋、设备，供监理人</w:t>
      </w:r>
      <w:r>
        <w:rPr>
          <w:rFonts w:hint="eastAsia" w:ascii="宋体" w:hAnsi="宋体" w:cs="宋体"/>
          <w:color w:val="auto"/>
          <w:kern w:val="0"/>
          <w:szCs w:val="21"/>
          <w:highlight w:val="none"/>
        </w:rPr>
        <w:t>无偿</w:t>
      </w:r>
      <w:r>
        <w:rPr>
          <w:rFonts w:hint="eastAsia" w:ascii="宋体" w:hAnsi="宋体" w:cs="宋体"/>
          <w:color w:val="auto"/>
          <w:szCs w:val="21"/>
          <w:highlight w:val="none"/>
        </w:rPr>
        <w:t>使用。</w:t>
      </w:r>
    </w:p>
    <w:p w14:paraId="14FE75B3">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3.3.2 </w:t>
      </w:r>
      <w:r>
        <w:rPr>
          <w:rFonts w:hint="eastAsia" w:ascii="宋体" w:hAnsi="宋体" w:cs="宋体"/>
          <w:color w:val="auto"/>
          <w:szCs w:val="21"/>
          <w:highlight w:val="none"/>
        </w:rPr>
        <w:t>委托人应负责协调工程建设中所有外部关系，为监理人履行本合同提供必要的外部条件。</w:t>
      </w:r>
    </w:p>
    <w:p w14:paraId="697A119B">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3.4 委托人代表</w:t>
      </w:r>
    </w:p>
    <w:p w14:paraId="64D166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1098F6E">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3.5 委托人意见或要求</w:t>
      </w:r>
    </w:p>
    <w:p w14:paraId="3AB45C0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14:paraId="0E669AD8">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3.6 答复</w:t>
      </w:r>
    </w:p>
    <w:p w14:paraId="4767533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14:paraId="62C4F860">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3.7 支付</w:t>
      </w:r>
    </w:p>
    <w:p w14:paraId="511F00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委托人应按本合同约定，向监理人支付酬金。</w:t>
      </w:r>
    </w:p>
    <w:p w14:paraId="24FA9941">
      <w:pPr>
        <w:numPr>
          <w:ilvl w:val="0"/>
          <w:numId w:val="4"/>
        </w:num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违约责任</w:t>
      </w:r>
    </w:p>
    <w:p w14:paraId="21D29AEE">
      <w:pPr>
        <w:snapToGrid w:val="0"/>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b/>
          <w:bCs/>
          <w:color w:val="auto"/>
          <w:kern w:val="0"/>
          <w:szCs w:val="21"/>
          <w:highlight w:val="none"/>
        </w:rPr>
        <w:t>4.1 监理人的违约责任</w:t>
      </w:r>
    </w:p>
    <w:p w14:paraId="5EC3106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监理人未履行本合同义务的，应承担相应的责任。</w:t>
      </w:r>
    </w:p>
    <w:p w14:paraId="1B0F9C0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4.1.1 因监理人违反本合同约定</w:t>
      </w:r>
      <w:r>
        <w:rPr>
          <w:rFonts w:hint="eastAsia" w:ascii="宋体" w:hAnsi="宋体" w:cs="宋体"/>
          <w:color w:val="auto"/>
          <w:szCs w:val="21"/>
          <w:highlight w:val="none"/>
        </w:rPr>
        <w:t>给委托人造成损失的，监理人应当赔偿委托人损失</w:t>
      </w:r>
      <w:r>
        <w:rPr>
          <w:rFonts w:hint="eastAsia" w:ascii="宋体" w:hAnsi="宋体" w:cs="宋体"/>
          <w:color w:val="auto"/>
          <w:kern w:val="0"/>
          <w:szCs w:val="21"/>
          <w:highlight w:val="none"/>
        </w:rPr>
        <w:t>。赔偿金额的确定方法在专用条件中约定。监理人承担部分赔偿责任的，其承担赔偿金额由双方协商确定。</w:t>
      </w:r>
    </w:p>
    <w:p w14:paraId="1C8DBBB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4.1.2 监理人向委托人的索赔不成立时，监理人应赔偿委托人由此发生的费用。</w:t>
      </w:r>
    </w:p>
    <w:p w14:paraId="3B39A918">
      <w:pPr>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4.2 委托人的违约责任</w:t>
      </w:r>
    </w:p>
    <w:p w14:paraId="64FD477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委托人未履行本合同义务的，应承担相应的责任。</w:t>
      </w:r>
    </w:p>
    <w:p w14:paraId="2E95040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4.2.1 委托人违反本合同约定造成监理人损失的，委托人应予以赔偿。</w:t>
      </w:r>
    </w:p>
    <w:p w14:paraId="1AE50BC9">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4.2.2 委托人向监理人的索赔不成立时，应赔偿监理人由此引起的费用。</w:t>
      </w:r>
    </w:p>
    <w:p w14:paraId="01E7585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4.2.3 </w:t>
      </w:r>
      <w:r>
        <w:rPr>
          <w:rFonts w:hint="eastAsia" w:ascii="宋体" w:hAnsi="宋体" w:cs="宋体"/>
          <w:color w:val="auto"/>
          <w:kern w:val="0"/>
          <w:szCs w:val="21"/>
          <w:highlight w:val="none"/>
        </w:rPr>
        <w:t>委托人未能按期支付</w:t>
      </w:r>
      <w:r>
        <w:rPr>
          <w:rFonts w:hint="eastAsia" w:ascii="宋体" w:hAnsi="宋体" w:cs="宋体"/>
          <w:color w:val="auto"/>
          <w:szCs w:val="21"/>
          <w:highlight w:val="none"/>
        </w:rPr>
        <w:t>酬金</w:t>
      </w:r>
      <w:r>
        <w:rPr>
          <w:rFonts w:hint="eastAsia" w:ascii="宋体" w:hAnsi="宋体" w:cs="宋体"/>
          <w:color w:val="auto"/>
          <w:kern w:val="0"/>
          <w:szCs w:val="21"/>
          <w:highlight w:val="none"/>
        </w:rPr>
        <w:t>超过28天，应按专用条件约定支付逾期付款利息。</w:t>
      </w:r>
    </w:p>
    <w:p w14:paraId="24289A61">
      <w:pPr>
        <w:spacing w:line="360" w:lineRule="auto"/>
        <w:ind w:firstLine="211" w:firstLineChars="10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4.3 除外责任</w:t>
      </w:r>
    </w:p>
    <w:p w14:paraId="0F6939AE">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因非监理人的原因，且监理人无过错，发生工程质量事故、安全事故、工期延误等造成的损失，监理人不承担赔偿责任。</w:t>
      </w:r>
    </w:p>
    <w:p w14:paraId="04C4FC4D">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因不可抗力导致本合同全部或部分不能履行时，双方各自承担其因此而造成的损失、损害。</w:t>
      </w:r>
    </w:p>
    <w:p w14:paraId="42CFEC4F">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5. 支付</w:t>
      </w:r>
    </w:p>
    <w:p w14:paraId="7E2B897C">
      <w:pPr>
        <w:snapToGrid w:val="0"/>
        <w:spacing w:line="360" w:lineRule="auto"/>
        <w:ind w:left="210" w:leftChars="100"/>
        <w:rPr>
          <w:rFonts w:ascii="宋体" w:hAnsi="宋体" w:cs="宋体"/>
          <w:b/>
          <w:bCs/>
          <w:color w:val="auto"/>
          <w:szCs w:val="21"/>
          <w:highlight w:val="none"/>
        </w:rPr>
      </w:pPr>
      <w:r>
        <w:rPr>
          <w:rFonts w:hint="eastAsia" w:ascii="宋体" w:hAnsi="宋体" w:cs="宋体"/>
          <w:b/>
          <w:bCs/>
          <w:color w:val="auto"/>
          <w:szCs w:val="21"/>
          <w:highlight w:val="none"/>
        </w:rPr>
        <w:t xml:space="preserve">  5.1 支付货币</w:t>
      </w:r>
    </w:p>
    <w:p w14:paraId="07818A8D">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14:paraId="3804E3E1">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5.2 支付申请</w:t>
      </w:r>
    </w:p>
    <w:p w14:paraId="5E72F4A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监理人应在本合同约定的每次应付款时间的7天前，向委托人提交支付申请书。支付申请书应当说明当期应付款总额，并列出当期应支付的款项及其金额。</w:t>
      </w:r>
    </w:p>
    <w:p w14:paraId="443CBCB7">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5.3 支付酬金</w:t>
      </w:r>
    </w:p>
    <w:p w14:paraId="32CBFAC8">
      <w:pPr>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14:paraId="510ECA28">
      <w:pPr>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5.4 有争议部分的付款</w:t>
      </w:r>
    </w:p>
    <w:p w14:paraId="1DE7D1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74D38238">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6. 合同生效、变更、暂停、解除与终止</w:t>
      </w:r>
    </w:p>
    <w:p w14:paraId="55A44B1A">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6.1生效</w:t>
      </w:r>
    </w:p>
    <w:p w14:paraId="1A65C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14:paraId="5517AD6E">
      <w:pPr>
        <w:snapToGrid w:val="0"/>
        <w:spacing w:line="360" w:lineRule="auto"/>
        <w:ind w:left="210" w:leftChars="100"/>
        <w:rPr>
          <w:rFonts w:ascii="宋体" w:hAnsi="宋体" w:cs="宋体"/>
          <w:b/>
          <w:bCs/>
          <w:color w:val="auto"/>
          <w:szCs w:val="21"/>
          <w:highlight w:val="none"/>
        </w:rPr>
      </w:pPr>
      <w:r>
        <w:rPr>
          <w:rFonts w:hint="eastAsia" w:ascii="宋体" w:hAnsi="宋体" w:cs="宋体"/>
          <w:b/>
          <w:bCs/>
          <w:color w:val="auto"/>
          <w:szCs w:val="21"/>
          <w:highlight w:val="none"/>
        </w:rPr>
        <w:t xml:space="preserve">  6.2变更</w:t>
      </w:r>
    </w:p>
    <w:p w14:paraId="46FDE68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 任何一方提出变更请求时，双方经协商一致后可进行变更。</w:t>
      </w:r>
    </w:p>
    <w:p w14:paraId="0D63B2B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AC79D9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378472B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6.2.4合同签订后，遇有与工程相关的法律法规、标准颁布或修订的，双方应遵照执行。由此引起监理与相关服务的范围、时间、酬金变化的，双方应通过协商进行相应调整。</w:t>
      </w:r>
    </w:p>
    <w:p w14:paraId="6324DE1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6.2.5 因非监理人原因造成工程概算投资额或建筑安装工程费增加时，正常工作酬金应作相应调整。调整方法在专用条件中约定。</w:t>
      </w:r>
    </w:p>
    <w:p w14:paraId="32C1028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6.2.6 因工程规模、监理范围的变化导致监理人的正常工作量减少时，正常工作酬金应作相应调整。调整方法在专用条件中约定。</w:t>
      </w:r>
    </w:p>
    <w:p w14:paraId="213406FD">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6.3 暂停与解除</w:t>
      </w:r>
    </w:p>
    <w:p w14:paraId="7DFA9CB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14:paraId="2C605FD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941390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14:paraId="6E246E4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14:paraId="071E737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63AFB1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5C9AF8F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0C8E16A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A844E1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6.3.5 因不可抗力致使本合同部分或全部不能履行时，一方应立即通知另一方，可暂停或解除本合同。</w:t>
      </w:r>
    </w:p>
    <w:p w14:paraId="3FD98E0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6.3.6 本合同解除后，本合同约定的有关结算、清理、争议解决方式的条件仍然有效。</w:t>
      </w:r>
    </w:p>
    <w:p w14:paraId="54A13E82">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6.4 终止</w:t>
      </w:r>
    </w:p>
    <w:p w14:paraId="4589FD0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以下条件全部满足时，本合同即告终止：</w:t>
      </w:r>
    </w:p>
    <w:p w14:paraId="4DEF527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（1）监理人完成本合同约定的全部工作；</w:t>
      </w:r>
    </w:p>
    <w:p w14:paraId="40F9EF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（2）委托人与监理人结清并支付全部酬金。</w:t>
      </w:r>
    </w:p>
    <w:p w14:paraId="09AED4F6">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7. 争议解决</w:t>
      </w:r>
    </w:p>
    <w:p w14:paraId="775231D9">
      <w:pPr>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7.1协商</w:t>
      </w:r>
    </w:p>
    <w:p w14:paraId="3D25E571">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双方应本着诚信原则协商解决彼此间的争议。</w:t>
      </w:r>
    </w:p>
    <w:p w14:paraId="3418F1C1">
      <w:pPr>
        <w:snapToGrid w:val="0"/>
        <w:spacing w:line="360" w:lineRule="auto"/>
        <w:ind w:left="210" w:leftChars="100"/>
        <w:rPr>
          <w:rFonts w:ascii="宋体" w:hAnsi="宋体" w:cs="宋体"/>
          <w:b/>
          <w:bCs/>
          <w:color w:val="auto"/>
          <w:szCs w:val="21"/>
          <w:highlight w:val="none"/>
        </w:rPr>
      </w:pPr>
      <w:r>
        <w:rPr>
          <w:rFonts w:hint="eastAsia" w:ascii="宋体" w:hAnsi="宋体" w:cs="宋体"/>
          <w:b/>
          <w:bCs/>
          <w:color w:val="auto"/>
          <w:szCs w:val="21"/>
          <w:highlight w:val="none"/>
        </w:rPr>
        <w:t xml:space="preserve">  7.2调解</w:t>
      </w:r>
    </w:p>
    <w:p w14:paraId="4DA107E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如果双方不能在14天内或双方商定的其他时间内解决本合同争议，可以将其提交给专用条件约定的或事后达成协议的调解人进行调解。</w:t>
      </w:r>
    </w:p>
    <w:p w14:paraId="47584FD0">
      <w:pPr>
        <w:snapToGrid w:val="0"/>
        <w:spacing w:line="360" w:lineRule="auto"/>
        <w:ind w:left="210" w:leftChars="10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7.3仲裁或诉讼</w:t>
      </w:r>
    </w:p>
    <w:p w14:paraId="7953667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14:paraId="78460E3A">
      <w:pPr>
        <w:snapToGrid w:val="0"/>
        <w:spacing w:line="360" w:lineRule="auto"/>
        <w:ind w:left="210" w:leftChars="100"/>
        <w:rPr>
          <w:rFonts w:ascii="宋体" w:hAnsi="宋体" w:cs="宋体"/>
          <w:b/>
          <w:bCs/>
          <w:color w:val="auto"/>
          <w:szCs w:val="21"/>
          <w:highlight w:val="none"/>
        </w:rPr>
      </w:pPr>
      <w:r>
        <w:rPr>
          <w:rFonts w:hint="eastAsia" w:ascii="宋体" w:hAnsi="宋体" w:cs="宋体"/>
          <w:b/>
          <w:bCs/>
          <w:color w:val="auto"/>
          <w:szCs w:val="21"/>
          <w:highlight w:val="none"/>
        </w:rPr>
        <w:t xml:space="preserve">  8. 其他</w:t>
      </w:r>
    </w:p>
    <w:p w14:paraId="0CB10D4B">
      <w:pPr>
        <w:snapToGrid w:val="0"/>
        <w:spacing w:line="360" w:lineRule="auto"/>
        <w:ind w:left="210" w:leftChars="100"/>
        <w:rPr>
          <w:rFonts w:ascii="宋体" w:hAnsi="宋体" w:cs="宋体"/>
          <w:b/>
          <w:bCs/>
          <w:color w:val="auto"/>
          <w:szCs w:val="21"/>
          <w:highlight w:val="none"/>
        </w:rPr>
      </w:pPr>
      <w:r>
        <w:rPr>
          <w:rFonts w:hint="eastAsia" w:ascii="宋体" w:hAnsi="宋体" w:cs="宋体"/>
          <w:b/>
          <w:bCs/>
          <w:color w:val="auto"/>
          <w:szCs w:val="21"/>
          <w:highlight w:val="none"/>
        </w:rPr>
        <w:t xml:space="preserve">  8.1 外出考察费用</w:t>
      </w:r>
    </w:p>
    <w:p w14:paraId="2C03CD7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经委托人同意，监理人员外出考察发生的费用由委托人审核后支付。</w:t>
      </w:r>
    </w:p>
    <w:p w14:paraId="1A58363E">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8.2</w:t>
      </w:r>
      <w:r>
        <w:rPr>
          <w:rFonts w:hint="eastAsia" w:ascii="宋体" w:hAnsi="宋体" w:cs="宋体"/>
          <w:color w:val="auto"/>
          <w:szCs w:val="21"/>
          <w:highlight w:val="none"/>
        </w:rPr>
        <w:t xml:space="preserve"> 检测费用</w:t>
      </w:r>
    </w:p>
    <w:p w14:paraId="51D3B0C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14:paraId="06AF82F2">
      <w:pPr>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8.3 咨询费用</w:t>
      </w:r>
    </w:p>
    <w:p w14:paraId="4237316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14:paraId="21631D1B">
      <w:pPr>
        <w:snapToGrid w:val="0"/>
        <w:spacing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8.4 奖励</w:t>
      </w:r>
    </w:p>
    <w:p w14:paraId="2428BA5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BD585A7">
      <w:pPr>
        <w:snapToGrid w:val="0"/>
        <w:spacing w:line="360" w:lineRule="auto"/>
        <w:ind w:left="210" w:leftChars="10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8.5 守法诚信</w:t>
      </w:r>
    </w:p>
    <w:p w14:paraId="36E45014">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14:paraId="663AA708">
      <w:pPr>
        <w:snapToGrid w:val="0"/>
        <w:spacing w:line="360" w:lineRule="auto"/>
        <w:ind w:left="210" w:leftChars="10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8.6 保密</w:t>
      </w:r>
    </w:p>
    <w:p w14:paraId="05A28AFB">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14:paraId="39BD56A9">
      <w:pPr>
        <w:snapToGrid w:val="0"/>
        <w:spacing w:line="360" w:lineRule="auto"/>
        <w:ind w:left="210" w:leftChars="10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8.7 通知</w:t>
      </w:r>
    </w:p>
    <w:p w14:paraId="5BF5A94E">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14:paraId="0DDD1924">
      <w:pPr>
        <w:snapToGrid w:val="0"/>
        <w:spacing w:line="360" w:lineRule="auto"/>
        <w:ind w:left="210" w:leftChars="100"/>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8.8 著作权</w:t>
      </w:r>
    </w:p>
    <w:p w14:paraId="6D44CF8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监理人对其编制的文件拥有著作权。</w:t>
      </w:r>
    </w:p>
    <w:p w14:paraId="188D94A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bookmarkStart w:id="335" w:name="_Toc441146790"/>
      <w:bookmarkStart w:id="336" w:name="_Toc441146874"/>
    </w:p>
    <w:p w14:paraId="19C2B1BF">
      <w:pPr>
        <w:spacing w:line="360" w:lineRule="auto"/>
        <w:rPr>
          <w:rFonts w:ascii="宋体" w:hAnsi="宋体" w:cs="宋体"/>
          <w:color w:val="auto"/>
          <w:highlight w:val="none"/>
        </w:rPr>
      </w:pPr>
    </w:p>
    <w:p w14:paraId="5DF4350D">
      <w:pPr>
        <w:pStyle w:val="3"/>
        <w:bidi w:val="0"/>
        <w:rPr>
          <w:color w:val="auto"/>
        </w:rPr>
      </w:pPr>
      <w:bookmarkStart w:id="337" w:name="_Toc2474"/>
      <w:bookmarkStart w:id="338" w:name="_Toc14121"/>
      <w:bookmarkStart w:id="339" w:name="_Toc16362"/>
      <w:bookmarkStart w:id="340" w:name="_Toc452046197"/>
      <w:bookmarkStart w:id="341" w:name="_Toc8484"/>
      <w:r>
        <w:rPr>
          <w:rFonts w:hint="eastAsia"/>
          <w:color w:val="auto"/>
        </w:rPr>
        <w:t>第三部分  专用条件</w:t>
      </w:r>
      <w:bookmarkEnd w:id="337"/>
      <w:bookmarkEnd w:id="338"/>
    </w:p>
    <w:p w14:paraId="3C6635C1">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 定义与解释</w:t>
      </w:r>
    </w:p>
    <w:p w14:paraId="61E9E622">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  解释</w:t>
      </w:r>
    </w:p>
    <w:p w14:paraId="0356F6B6">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本合同文件除使用中文外，还可用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FF1E6B">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约定本合同文件的解释顺序为：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CD83D6">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 监理人义务</w:t>
      </w:r>
    </w:p>
    <w:p w14:paraId="5F4516F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 监理的范围和</w:t>
      </w:r>
      <w:r>
        <w:rPr>
          <w:rFonts w:hint="eastAsia" w:ascii="宋体" w:hAnsi="宋体" w:cs="宋体"/>
          <w:bCs/>
          <w:color w:val="auto"/>
          <w:szCs w:val="21"/>
          <w:highlight w:val="none"/>
        </w:rPr>
        <w:t>内容</w:t>
      </w:r>
    </w:p>
    <w:p w14:paraId="59C158DC">
      <w:pPr>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2.1.1 监理范围包括：</w:t>
      </w:r>
      <w:r>
        <w:rPr>
          <w:rFonts w:hint="eastAsia" w:ascii="宋体" w:hAnsi="宋体" w:cs="宋体"/>
          <w:color w:val="auto"/>
          <w:szCs w:val="21"/>
          <w:highlight w:val="none"/>
          <w:u w:val="single"/>
        </w:rPr>
        <w:t xml:space="preserve">                                  </w:t>
      </w:r>
    </w:p>
    <w:p w14:paraId="5AA4FEF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E57493">
      <w:pPr>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2.1.2 监理工作内容还包括：</w:t>
      </w:r>
      <w:r>
        <w:rPr>
          <w:rFonts w:hint="eastAsia" w:ascii="宋体" w:hAnsi="宋体" w:cs="宋体"/>
          <w:color w:val="auto"/>
          <w:szCs w:val="21"/>
          <w:highlight w:val="none"/>
          <w:u w:val="single"/>
        </w:rPr>
        <w:t xml:space="preserve">                     </w:t>
      </w:r>
    </w:p>
    <w:p w14:paraId="5281FBD5">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C794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监理与相关服务依据</w:t>
      </w:r>
    </w:p>
    <w:p w14:paraId="6B23E75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监理依据包括：</w:t>
      </w:r>
      <w:r>
        <w:rPr>
          <w:rFonts w:hint="eastAsia" w:ascii="宋体" w:hAnsi="宋体" w:cs="宋体"/>
          <w:color w:val="auto"/>
          <w:szCs w:val="21"/>
          <w:highlight w:val="none"/>
          <w:u w:val="single"/>
        </w:rPr>
        <w:t xml:space="preserve">                          </w:t>
      </w:r>
    </w:p>
    <w:p w14:paraId="6EA21A7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252650">
      <w:pPr>
        <w:adjustRightInd w:val="0"/>
        <w:snapToGrid w:val="0"/>
        <w:spacing w:line="360" w:lineRule="auto"/>
        <w:ind w:firstLine="420" w:firstLineChars="200"/>
        <w:jc w:val="left"/>
        <w:rPr>
          <w:rFonts w:ascii="宋体" w:hAnsi="宋体" w:cs="宋体"/>
          <w:dstrike/>
          <w:color w:val="auto"/>
          <w:szCs w:val="21"/>
          <w:highlight w:val="none"/>
        </w:rPr>
      </w:pPr>
      <w:r>
        <w:rPr>
          <w:rFonts w:hint="eastAsia" w:ascii="宋体" w:hAnsi="宋体" w:cs="宋体"/>
          <w:color w:val="auto"/>
          <w:szCs w:val="21"/>
          <w:highlight w:val="none"/>
        </w:rPr>
        <w:t>2.2.2 相关服务依据包括：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58E71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kern w:val="0"/>
          <w:szCs w:val="21"/>
          <w:highlight w:val="none"/>
        </w:rPr>
        <w:t>项目监理机构和人员</w:t>
      </w:r>
    </w:p>
    <w:p w14:paraId="1B8D7FD7">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AA4B89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 </w:t>
      </w:r>
      <w:r>
        <w:rPr>
          <w:rFonts w:hint="eastAsia" w:ascii="宋体" w:hAnsi="宋体" w:cs="宋体"/>
          <w:color w:val="auto"/>
          <w:kern w:val="0"/>
          <w:szCs w:val="21"/>
          <w:highlight w:val="none"/>
        </w:rPr>
        <w:t>履行职责</w:t>
      </w:r>
    </w:p>
    <w:p w14:paraId="247ABFD3">
      <w:pPr>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2.4.3 对监理人的授权范围：</w:t>
      </w:r>
      <w:r>
        <w:rPr>
          <w:rFonts w:hint="eastAsia" w:ascii="宋体" w:hAnsi="宋体" w:cs="宋体"/>
          <w:color w:val="auto"/>
          <w:szCs w:val="21"/>
          <w:highlight w:val="none"/>
          <w:u w:val="single"/>
        </w:rPr>
        <w:t xml:space="preserve">                     </w:t>
      </w:r>
    </w:p>
    <w:p w14:paraId="4457295D">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DFE117">
      <w:pPr>
        <w:adjustRightInd w:val="0"/>
        <w:snapToGrid w:val="0"/>
        <w:spacing w:line="360" w:lineRule="auto"/>
        <w:ind w:firstLine="420" w:firstLineChars="200"/>
        <w:jc w:val="left"/>
        <w:rPr>
          <w:rFonts w:ascii="宋体" w:hAnsi="宋体" w:cs="宋体"/>
          <w:color w:val="auto"/>
          <w:szCs w:val="21"/>
          <w:highlight w:val="none"/>
        </w:rPr>
      </w:pPr>
      <w:bookmarkStart w:id="342" w:name="_Toc441146362"/>
      <w:r>
        <w:rPr>
          <w:rFonts w:hint="eastAsia" w:ascii="宋体" w:hAnsi="宋体" w:cs="宋体"/>
          <w:color w:val="auto"/>
          <w:szCs w:val="21"/>
          <w:highlight w:val="none"/>
        </w:rPr>
        <w:t>在涉及工程延期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天内和（或）金额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万元内的变更，监理人不需请示委托人即可向承包人发布变更通知。</w:t>
      </w:r>
      <w:bookmarkEnd w:id="342"/>
    </w:p>
    <w:p w14:paraId="08D8BD2B">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2.4.4 监理人有权要求承包人调换其人员</w:t>
      </w:r>
      <w:r>
        <w:rPr>
          <w:rFonts w:hint="eastAsia" w:ascii="宋体" w:hAnsi="宋体" w:cs="宋体"/>
          <w:color w:val="auto"/>
          <w:szCs w:val="21"/>
          <w:highlight w:val="none"/>
        </w:rPr>
        <w:t>的限制条件：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52E839">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14:paraId="7F0474E1">
      <w:pPr>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监理人应提交报告的种类(</w:t>
      </w:r>
      <w:r>
        <w:rPr>
          <w:rFonts w:hint="eastAsia" w:ascii="宋体" w:hAnsi="宋体" w:cs="宋体"/>
          <w:color w:val="auto"/>
          <w:kern w:val="0"/>
          <w:szCs w:val="21"/>
          <w:highlight w:val="none"/>
        </w:rPr>
        <w:t>包括监理规划、监理月报及约定的专项报告)</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hint="eastAsia" w:ascii="宋体" w:hAnsi="宋体" w:cs="宋体"/>
          <w:color w:val="auto"/>
          <w:szCs w:val="21"/>
          <w:highlight w:val="none"/>
          <w:u w:val="single"/>
        </w:rPr>
        <w:t xml:space="preserve">                                 </w:t>
      </w:r>
    </w:p>
    <w:p w14:paraId="42878E1B">
      <w:pPr>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20DCD501">
      <w:pPr>
        <w:adjustRightInd w:val="0"/>
        <w:snapToGri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F1BDA0">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2.7 使用委托人的财产</w:t>
      </w:r>
    </w:p>
    <w:p w14:paraId="39AAFB08">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附录B中由委托人无偿提供的房屋、设备的所有权属于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D6ED5A9">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监理人应在本合同终止后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天内移交委托人无偿提供的房屋、设备，移交的时间和方式为：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C6825EC">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 委托人义务  </w:t>
      </w:r>
    </w:p>
    <w:p w14:paraId="4AEFB85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3.4 委托人代表</w:t>
      </w:r>
    </w:p>
    <w:p w14:paraId="2181FDC0">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委托人代表为：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A2956D">
      <w:pPr>
        <w:adjustRightInd w:val="0"/>
        <w:snapToGrid w:val="0"/>
        <w:spacing w:line="360" w:lineRule="auto"/>
        <w:ind w:firstLine="205" w:firstLineChars="98"/>
        <w:rPr>
          <w:rFonts w:ascii="宋体" w:hAnsi="宋体" w:cs="宋体"/>
          <w:color w:val="auto"/>
          <w:kern w:val="0"/>
          <w:szCs w:val="21"/>
          <w:highlight w:val="none"/>
        </w:rPr>
      </w:pPr>
      <w:r>
        <w:rPr>
          <w:rFonts w:hint="eastAsia" w:ascii="宋体" w:hAnsi="宋体" w:cs="宋体"/>
          <w:color w:val="auto"/>
          <w:kern w:val="0"/>
          <w:szCs w:val="21"/>
          <w:highlight w:val="none"/>
        </w:rPr>
        <w:t xml:space="preserve">  3.6 答复</w:t>
      </w:r>
    </w:p>
    <w:p w14:paraId="707517E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委托人同意在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天内，对监理人书面提交并要求做出决定的事宜给予书面答复。</w:t>
      </w:r>
    </w:p>
    <w:p w14:paraId="2F700071">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    4. 违约责任</w:t>
      </w:r>
    </w:p>
    <w:p w14:paraId="0AF7C480">
      <w:pPr>
        <w:spacing w:line="360" w:lineRule="auto"/>
        <w:ind w:left="210" w:leftChars="100"/>
        <w:rPr>
          <w:rFonts w:ascii="宋体" w:hAnsi="宋体" w:cs="宋体"/>
          <w:color w:val="auto"/>
          <w:kern w:val="0"/>
          <w:szCs w:val="21"/>
          <w:highlight w:val="none"/>
        </w:rPr>
      </w:pPr>
      <w:r>
        <w:rPr>
          <w:rFonts w:hint="eastAsia" w:ascii="宋体" w:hAnsi="宋体" w:cs="宋体"/>
          <w:color w:val="auto"/>
          <w:kern w:val="0"/>
          <w:szCs w:val="21"/>
          <w:highlight w:val="none"/>
        </w:rPr>
        <w:t xml:space="preserve">  4.1 监理人的违约责任</w:t>
      </w:r>
    </w:p>
    <w:p w14:paraId="7109F2AB">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4.1.1监理人赔偿金额按下列方法确定：</w:t>
      </w:r>
    </w:p>
    <w:p w14:paraId="7CFBCC65">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14:paraId="40DAC922">
      <w:pPr>
        <w:snapToGrid w:val="0"/>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 xml:space="preserve">  4.2 委托人的违约责任</w:t>
      </w:r>
    </w:p>
    <w:p w14:paraId="76E1031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4.2.3 委托人</w:t>
      </w:r>
      <w:r>
        <w:rPr>
          <w:rFonts w:hint="eastAsia" w:ascii="宋体" w:hAnsi="宋体" w:cs="宋体"/>
          <w:color w:val="auto"/>
          <w:kern w:val="0"/>
          <w:szCs w:val="21"/>
          <w:highlight w:val="none"/>
        </w:rPr>
        <w:t>逾期付款利息按下列方法确定：</w:t>
      </w:r>
    </w:p>
    <w:p w14:paraId="5300BB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逾期付款利息＝当期应付款总额×银行同期贷款利率×拖延支付天数</w:t>
      </w:r>
    </w:p>
    <w:p w14:paraId="37F0538F">
      <w:pPr>
        <w:snapToGrid w:val="0"/>
        <w:spacing w:line="360" w:lineRule="auto"/>
        <w:rPr>
          <w:rFonts w:ascii="宋体" w:hAnsi="宋体" w:cs="宋体"/>
          <w:b/>
          <w:color w:val="auto"/>
          <w:szCs w:val="21"/>
          <w:highlight w:val="none"/>
        </w:rPr>
      </w:pPr>
      <w:r>
        <w:rPr>
          <w:rFonts w:hint="eastAsia" w:ascii="宋体" w:hAnsi="宋体" w:cs="宋体"/>
          <w:b/>
          <w:bCs/>
          <w:color w:val="auto"/>
          <w:szCs w:val="21"/>
          <w:highlight w:val="none"/>
        </w:rPr>
        <w:t xml:space="preserve">    5. 支付</w:t>
      </w:r>
    </w:p>
    <w:p w14:paraId="3BD3C888">
      <w:pPr>
        <w:snapToGrid w:val="0"/>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5.1 </w:t>
      </w:r>
      <w:r>
        <w:rPr>
          <w:rFonts w:hint="eastAsia" w:ascii="宋体" w:hAnsi="宋体" w:cs="宋体"/>
          <w:bCs/>
          <w:color w:val="auto"/>
          <w:szCs w:val="21"/>
          <w:highlight w:val="none"/>
        </w:rPr>
        <w:t>支付货币</w:t>
      </w:r>
    </w:p>
    <w:p w14:paraId="5FF79C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币种为：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，比例为：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，汇率为：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6D9FEA8">
      <w:pPr>
        <w:snapToGrid w:val="0"/>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 xml:space="preserve">  5.3 支付酬金</w:t>
      </w:r>
    </w:p>
    <w:p w14:paraId="48CB1C8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正常工作</w:t>
      </w:r>
      <w:r>
        <w:rPr>
          <w:rFonts w:hint="eastAsia" w:ascii="宋体" w:hAnsi="宋体" w:cs="宋体"/>
          <w:color w:val="auto"/>
          <w:szCs w:val="21"/>
          <w:highlight w:val="none"/>
        </w:rPr>
        <w:t>酬金的</w:t>
      </w:r>
      <w:r>
        <w:rPr>
          <w:rFonts w:hint="eastAsia" w:ascii="宋体" w:hAnsi="宋体" w:cs="宋体"/>
          <w:color w:val="auto"/>
          <w:kern w:val="0"/>
          <w:szCs w:val="21"/>
          <w:highlight w:val="none"/>
        </w:rPr>
        <w:t>支付</w:t>
      </w:r>
      <w:r>
        <w:rPr>
          <w:rFonts w:hint="eastAsia" w:ascii="宋体" w:hAnsi="宋体" w:cs="宋体"/>
          <w:color w:val="auto"/>
          <w:szCs w:val="21"/>
          <w:highlight w:val="none"/>
        </w:rPr>
        <w:t>：</w:t>
      </w:r>
    </w:p>
    <w:tbl>
      <w:tblPr>
        <w:tblStyle w:val="2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14:paraId="70E6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6524A7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支付次数</w:t>
            </w:r>
          </w:p>
        </w:tc>
        <w:tc>
          <w:tcPr>
            <w:tcW w:w="2127" w:type="dxa"/>
            <w:vAlign w:val="center"/>
          </w:tcPr>
          <w:p w14:paraId="43A580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支付时间</w:t>
            </w:r>
          </w:p>
        </w:tc>
        <w:tc>
          <w:tcPr>
            <w:tcW w:w="1559" w:type="dxa"/>
          </w:tcPr>
          <w:p w14:paraId="34AB92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支付比例</w:t>
            </w:r>
          </w:p>
        </w:tc>
        <w:tc>
          <w:tcPr>
            <w:tcW w:w="2835" w:type="dxa"/>
            <w:vAlign w:val="center"/>
          </w:tcPr>
          <w:p w14:paraId="07DA3E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支付金额（万元）</w:t>
            </w:r>
          </w:p>
        </w:tc>
      </w:tr>
      <w:tr w14:paraId="6FF9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41AA9FF4">
            <w:pPr>
              <w:spacing w:line="360" w:lineRule="auto"/>
              <w:rPr>
                <w:rFonts w:ascii="宋体" w:hAnsi="宋体" w:cs="宋体"/>
                <w:color w:val="auto"/>
                <w:szCs w:val="21"/>
                <w:highlight w:val="none"/>
              </w:rPr>
            </w:pPr>
            <w:r>
              <w:rPr>
                <w:rFonts w:hint="eastAsia" w:ascii="宋体" w:hAnsi="宋体" w:cs="宋体"/>
                <w:color w:val="auto"/>
                <w:szCs w:val="21"/>
                <w:highlight w:val="none"/>
              </w:rPr>
              <w:t>首付款</w:t>
            </w:r>
          </w:p>
        </w:tc>
        <w:tc>
          <w:tcPr>
            <w:tcW w:w="2127" w:type="dxa"/>
          </w:tcPr>
          <w:p w14:paraId="6F75E8E9">
            <w:pPr>
              <w:spacing w:line="360" w:lineRule="auto"/>
              <w:jc w:val="center"/>
              <w:rPr>
                <w:rFonts w:ascii="宋体" w:hAnsi="宋体" w:cs="宋体"/>
                <w:color w:val="auto"/>
                <w:szCs w:val="21"/>
                <w:highlight w:val="none"/>
              </w:rPr>
            </w:pPr>
          </w:p>
        </w:tc>
        <w:tc>
          <w:tcPr>
            <w:tcW w:w="1559" w:type="dxa"/>
          </w:tcPr>
          <w:p w14:paraId="54082A52">
            <w:pPr>
              <w:spacing w:line="360" w:lineRule="auto"/>
              <w:rPr>
                <w:rFonts w:ascii="宋体" w:hAnsi="宋体" w:cs="宋体"/>
                <w:color w:val="auto"/>
                <w:szCs w:val="21"/>
                <w:highlight w:val="none"/>
              </w:rPr>
            </w:pPr>
          </w:p>
        </w:tc>
        <w:tc>
          <w:tcPr>
            <w:tcW w:w="2835" w:type="dxa"/>
          </w:tcPr>
          <w:p w14:paraId="7D489CC4">
            <w:pPr>
              <w:spacing w:line="360" w:lineRule="auto"/>
              <w:rPr>
                <w:rFonts w:ascii="宋体" w:hAnsi="宋体" w:cs="宋体"/>
                <w:color w:val="auto"/>
                <w:szCs w:val="21"/>
                <w:highlight w:val="none"/>
              </w:rPr>
            </w:pPr>
          </w:p>
        </w:tc>
      </w:tr>
      <w:tr w14:paraId="69ED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038166FE">
            <w:pPr>
              <w:spacing w:line="360" w:lineRule="auto"/>
              <w:rPr>
                <w:rFonts w:ascii="宋体" w:hAnsi="宋体" w:cs="宋体"/>
                <w:color w:val="auto"/>
                <w:szCs w:val="21"/>
                <w:highlight w:val="none"/>
              </w:rPr>
            </w:pPr>
            <w:r>
              <w:rPr>
                <w:rFonts w:hint="eastAsia" w:ascii="宋体" w:hAnsi="宋体" w:cs="宋体"/>
                <w:color w:val="auto"/>
                <w:szCs w:val="21"/>
                <w:highlight w:val="none"/>
              </w:rPr>
              <w:t>第二次付款</w:t>
            </w:r>
          </w:p>
        </w:tc>
        <w:tc>
          <w:tcPr>
            <w:tcW w:w="2127" w:type="dxa"/>
          </w:tcPr>
          <w:p w14:paraId="40B9D74F">
            <w:pPr>
              <w:spacing w:line="360" w:lineRule="auto"/>
              <w:ind w:firstLine="315" w:firstLineChars="150"/>
              <w:rPr>
                <w:rFonts w:ascii="宋体" w:hAnsi="宋体" w:cs="宋体"/>
                <w:color w:val="auto"/>
                <w:szCs w:val="21"/>
                <w:highlight w:val="none"/>
              </w:rPr>
            </w:pPr>
          </w:p>
        </w:tc>
        <w:tc>
          <w:tcPr>
            <w:tcW w:w="1559" w:type="dxa"/>
          </w:tcPr>
          <w:p w14:paraId="62A5D710">
            <w:pPr>
              <w:spacing w:line="360" w:lineRule="auto"/>
              <w:rPr>
                <w:rFonts w:ascii="宋体" w:hAnsi="宋体" w:cs="宋体"/>
                <w:color w:val="auto"/>
                <w:szCs w:val="21"/>
                <w:highlight w:val="none"/>
              </w:rPr>
            </w:pPr>
          </w:p>
        </w:tc>
        <w:tc>
          <w:tcPr>
            <w:tcW w:w="2835" w:type="dxa"/>
          </w:tcPr>
          <w:p w14:paraId="2B326CE3">
            <w:pPr>
              <w:spacing w:line="360" w:lineRule="auto"/>
              <w:ind w:firstLine="735" w:firstLineChars="350"/>
              <w:rPr>
                <w:rFonts w:ascii="宋体" w:hAnsi="宋体" w:cs="宋体"/>
                <w:color w:val="auto"/>
                <w:szCs w:val="21"/>
                <w:highlight w:val="none"/>
              </w:rPr>
            </w:pPr>
          </w:p>
        </w:tc>
      </w:tr>
      <w:tr w14:paraId="3CFD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C941AD3">
            <w:pPr>
              <w:spacing w:line="360" w:lineRule="auto"/>
              <w:rPr>
                <w:rFonts w:ascii="宋体" w:hAnsi="宋体" w:cs="宋体"/>
                <w:color w:val="auto"/>
                <w:szCs w:val="21"/>
                <w:highlight w:val="none"/>
              </w:rPr>
            </w:pPr>
            <w:r>
              <w:rPr>
                <w:rFonts w:hint="eastAsia" w:ascii="宋体" w:hAnsi="宋体" w:cs="宋体"/>
                <w:color w:val="auto"/>
                <w:szCs w:val="21"/>
                <w:highlight w:val="none"/>
              </w:rPr>
              <w:t>第三次付款</w:t>
            </w:r>
          </w:p>
        </w:tc>
        <w:tc>
          <w:tcPr>
            <w:tcW w:w="2127" w:type="dxa"/>
          </w:tcPr>
          <w:p w14:paraId="26CCB3D5">
            <w:pPr>
              <w:spacing w:line="360" w:lineRule="auto"/>
              <w:ind w:firstLine="315" w:firstLineChars="150"/>
              <w:rPr>
                <w:rFonts w:ascii="宋体" w:hAnsi="宋体" w:cs="宋体"/>
                <w:color w:val="auto"/>
                <w:szCs w:val="21"/>
                <w:highlight w:val="none"/>
              </w:rPr>
            </w:pPr>
          </w:p>
        </w:tc>
        <w:tc>
          <w:tcPr>
            <w:tcW w:w="1559" w:type="dxa"/>
          </w:tcPr>
          <w:p w14:paraId="2F030E04">
            <w:pPr>
              <w:spacing w:line="360" w:lineRule="auto"/>
              <w:rPr>
                <w:rFonts w:ascii="宋体" w:hAnsi="宋体" w:cs="宋体"/>
                <w:color w:val="auto"/>
                <w:szCs w:val="21"/>
                <w:highlight w:val="none"/>
              </w:rPr>
            </w:pPr>
          </w:p>
        </w:tc>
        <w:tc>
          <w:tcPr>
            <w:tcW w:w="2835" w:type="dxa"/>
          </w:tcPr>
          <w:p w14:paraId="0EBBBC8C">
            <w:pPr>
              <w:spacing w:line="360" w:lineRule="auto"/>
              <w:rPr>
                <w:rFonts w:ascii="宋体" w:hAnsi="宋体" w:cs="宋体"/>
                <w:color w:val="auto"/>
                <w:szCs w:val="21"/>
                <w:highlight w:val="none"/>
              </w:rPr>
            </w:pPr>
          </w:p>
        </w:tc>
      </w:tr>
      <w:tr w14:paraId="42FD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D0275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127" w:type="dxa"/>
          </w:tcPr>
          <w:p w14:paraId="080F70F2">
            <w:pPr>
              <w:spacing w:line="360" w:lineRule="auto"/>
              <w:rPr>
                <w:rFonts w:ascii="宋体" w:hAnsi="宋体" w:cs="宋体"/>
                <w:color w:val="auto"/>
                <w:szCs w:val="21"/>
                <w:highlight w:val="none"/>
              </w:rPr>
            </w:pPr>
          </w:p>
        </w:tc>
        <w:tc>
          <w:tcPr>
            <w:tcW w:w="1559" w:type="dxa"/>
          </w:tcPr>
          <w:p w14:paraId="31116DC7">
            <w:pPr>
              <w:spacing w:line="360" w:lineRule="auto"/>
              <w:rPr>
                <w:rFonts w:ascii="宋体" w:hAnsi="宋体" w:cs="宋体"/>
                <w:color w:val="auto"/>
                <w:szCs w:val="21"/>
                <w:highlight w:val="none"/>
              </w:rPr>
            </w:pPr>
          </w:p>
        </w:tc>
        <w:tc>
          <w:tcPr>
            <w:tcW w:w="2835" w:type="dxa"/>
          </w:tcPr>
          <w:p w14:paraId="175D0F80">
            <w:pPr>
              <w:spacing w:line="360" w:lineRule="auto"/>
              <w:rPr>
                <w:rFonts w:ascii="宋体" w:hAnsi="宋体" w:cs="宋体"/>
                <w:color w:val="auto"/>
                <w:szCs w:val="21"/>
                <w:highlight w:val="none"/>
              </w:rPr>
            </w:pPr>
          </w:p>
        </w:tc>
      </w:tr>
      <w:tr w14:paraId="50C4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16F16E23">
            <w:pPr>
              <w:spacing w:line="360" w:lineRule="auto"/>
              <w:rPr>
                <w:rFonts w:ascii="宋体" w:hAnsi="宋体" w:cs="宋体"/>
                <w:color w:val="auto"/>
                <w:szCs w:val="21"/>
                <w:highlight w:val="none"/>
              </w:rPr>
            </w:pPr>
            <w:r>
              <w:rPr>
                <w:rFonts w:hint="eastAsia" w:ascii="宋体" w:hAnsi="宋体" w:cs="宋体"/>
                <w:color w:val="auto"/>
                <w:szCs w:val="21"/>
                <w:highlight w:val="none"/>
              </w:rPr>
              <w:t>最后付款</w:t>
            </w:r>
          </w:p>
        </w:tc>
        <w:tc>
          <w:tcPr>
            <w:tcW w:w="2127" w:type="dxa"/>
          </w:tcPr>
          <w:p w14:paraId="3970C5E1">
            <w:pPr>
              <w:spacing w:line="360" w:lineRule="auto"/>
              <w:rPr>
                <w:rFonts w:ascii="宋体" w:hAnsi="宋体" w:cs="宋体"/>
                <w:color w:val="auto"/>
                <w:szCs w:val="21"/>
                <w:highlight w:val="none"/>
              </w:rPr>
            </w:pPr>
          </w:p>
        </w:tc>
        <w:tc>
          <w:tcPr>
            <w:tcW w:w="1559" w:type="dxa"/>
          </w:tcPr>
          <w:p w14:paraId="03655AB6">
            <w:pPr>
              <w:spacing w:line="360" w:lineRule="auto"/>
              <w:jc w:val="center"/>
              <w:rPr>
                <w:rFonts w:ascii="宋体" w:hAnsi="宋体" w:cs="宋体"/>
                <w:color w:val="auto"/>
                <w:szCs w:val="21"/>
                <w:highlight w:val="none"/>
              </w:rPr>
            </w:pPr>
          </w:p>
        </w:tc>
        <w:tc>
          <w:tcPr>
            <w:tcW w:w="2835" w:type="dxa"/>
          </w:tcPr>
          <w:p w14:paraId="407C3B7E">
            <w:pPr>
              <w:spacing w:line="360" w:lineRule="auto"/>
              <w:jc w:val="center"/>
              <w:rPr>
                <w:rFonts w:ascii="宋体" w:hAnsi="宋体" w:cs="宋体"/>
                <w:color w:val="auto"/>
                <w:szCs w:val="21"/>
                <w:highlight w:val="none"/>
              </w:rPr>
            </w:pPr>
          </w:p>
        </w:tc>
      </w:tr>
    </w:tbl>
    <w:p w14:paraId="429EACB9">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w:t>
      </w:r>
    </w:p>
    <w:p w14:paraId="6C41F174">
      <w:pPr>
        <w:snapToGrid w:val="0"/>
        <w:spacing w:line="360" w:lineRule="auto"/>
        <w:rPr>
          <w:rFonts w:ascii="宋体" w:hAnsi="宋体" w:cs="宋体"/>
          <w:b/>
          <w:bCs/>
          <w:color w:val="auto"/>
          <w:szCs w:val="21"/>
          <w:highlight w:val="none"/>
        </w:rPr>
      </w:pPr>
      <w:r>
        <w:rPr>
          <w:rFonts w:hint="eastAsia" w:ascii="宋体" w:hAnsi="宋体" w:cs="宋体"/>
          <w:bCs/>
          <w:color w:val="auto"/>
          <w:szCs w:val="21"/>
          <w:highlight w:val="none"/>
        </w:rPr>
        <w:t xml:space="preserve">    6</w:t>
      </w:r>
      <w:r>
        <w:rPr>
          <w:rFonts w:hint="eastAsia" w:ascii="宋体" w:hAnsi="宋体" w:cs="宋体"/>
          <w:b/>
          <w:bCs/>
          <w:color w:val="auto"/>
          <w:szCs w:val="21"/>
          <w:highlight w:val="none"/>
        </w:rPr>
        <w:t>. 合同生效、变更、暂停、解除与终止</w:t>
      </w:r>
    </w:p>
    <w:p w14:paraId="291E534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6.1 生效</w:t>
      </w:r>
    </w:p>
    <w:p w14:paraId="4D42E999">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本合同生效条件：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935FA9">
      <w:pPr>
        <w:adjustRightInd w:val="0"/>
        <w:snapToGrid w:val="0"/>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  6.2 变更</w:t>
      </w:r>
    </w:p>
    <w:p w14:paraId="3C9EE0F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 除不可抗力外， 因非监理人原因导致本合同期限延长时，附加工作酬金按下列方法确定：</w:t>
      </w:r>
    </w:p>
    <w:p w14:paraId="78BDD12E">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附加工作</w:t>
      </w:r>
      <w:r>
        <w:rPr>
          <w:rFonts w:hint="eastAsia" w:ascii="宋体" w:hAnsi="宋体" w:cs="宋体"/>
          <w:color w:val="auto"/>
          <w:szCs w:val="21"/>
          <w:highlight w:val="none"/>
        </w:rPr>
        <w:t>酬金</w:t>
      </w:r>
      <w:r>
        <w:rPr>
          <w:rFonts w:hint="eastAsia" w:ascii="宋体" w:hAnsi="宋体" w:cs="宋体"/>
          <w:color w:val="auto"/>
          <w:kern w:val="0"/>
          <w:szCs w:val="21"/>
          <w:highlight w:val="none"/>
        </w:rPr>
        <w:t>=</w:t>
      </w:r>
      <w:r>
        <w:rPr>
          <w:rFonts w:hint="eastAsia" w:ascii="宋体" w:hAnsi="宋体" w:cs="宋体"/>
          <w:color w:val="auto"/>
          <w:szCs w:val="21"/>
          <w:highlight w:val="none"/>
        </w:rPr>
        <w:t>本合同期限延长</w:t>
      </w:r>
      <w:r>
        <w:rPr>
          <w:rFonts w:hint="eastAsia" w:ascii="宋体" w:hAnsi="宋体" w:cs="宋体"/>
          <w:color w:val="auto"/>
          <w:kern w:val="0"/>
          <w:szCs w:val="21"/>
          <w:highlight w:val="none"/>
        </w:rPr>
        <w:t>时间（天）×正常工作酬金÷</w:t>
      </w:r>
      <w:r>
        <w:rPr>
          <w:rFonts w:hint="eastAsia" w:ascii="宋体" w:hAnsi="宋体" w:cs="宋体"/>
          <w:color w:val="auto"/>
          <w:szCs w:val="21"/>
          <w:highlight w:val="none"/>
        </w:rPr>
        <w:t>协议书约定的监理与相关服务期限</w:t>
      </w:r>
      <w:r>
        <w:rPr>
          <w:rFonts w:hint="eastAsia" w:ascii="宋体" w:hAnsi="宋体" w:cs="宋体"/>
          <w:color w:val="auto"/>
          <w:kern w:val="0"/>
          <w:szCs w:val="21"/>
          <w:highlight w:val="none"/>
        </w:rPr>
        <w:t>（天）</w:t>
      </w:r>
    </w:p>
    <w:p w14:paraId="22E4EC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6.2.3附加工作酬金按下列方法确定：</w:t>
      </w:r>
    </w:p>
    <w:p w14:paraId="78B0E35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附加工作</w:t>
      </w:r>
      <w:r>
        <w:rPr>
          <w:rFonts w:hint="eastAsia" w:ascii="宋体" w:hAnsi="宋体" w:cs="宋体"/>
          <w:color w:val="auto"/>
          <w:szCs w:val="21"/>
          <w:highlight w:val="none"/>
        </w:rPr>
        <w:t>酬金</w:t>
      </w:r>
      <w:r>
        <w:rPr>
          <w:rFonts w:hint="eastAsia" w:ascii="宋体" w:hAnsi="宋体" w:cs="宋体"/>
          <w:color w:val="auto"/>
          <w:kern w:val="0"/>
          <w:szCs w:val="21"/>
          <w:highlight w:val="none"/>
        </w:rPr>
        <w:t>=善后工作及恢复服务的准备工作时间（天）×正常工作酬金÷</w:t>
      </w:r>
      <w:r>
        <w:rPr>
          <w:rFonts w:hint="eastAsia" w:ascii="宋体" w:hAnsi="宋体" w:cs="宋体"/>
          <w:color w:val="auto"/>
          <w:szCs w:val="21"/>
          <w:highlight w:val="none"/>
        </w:rPr>
        <w:t>协议书约定的监理与相关服务期限</w:t>
      </w:r>
      <w:r>
        <w:rPr>
          <w:rFonts w:hint="eastAsia" w:ascii="宋体" w:hAnsi="宋体" w:cs="宋体"/>
          <w:color w:val="auto"/>
          <w:kern w:val="0"/>
          <w:szCs w:val="21"/>
          <w:highlight w:val="none"/>
        </w:rPr>
        <w:t>（天）</w:t>
      </w:r>
    </w:p>
    <w:p w14:paraId="1937951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6.2.5 正常工作酬金增加额按下列方法确定： </w:t>
      </w:r>
    </w:p>
    <w:p w14:paraId="250B6F91">
      <w:pPr>
        <w:adjustRightInd w:val="0"/>
        <w:snapToGrid w:val="0"/>
        <w:spacing w:line="360" w:lineRule="auto"/>
        <w:ind w:firstLine="480"/>
        <w:rPr>
          <w:rFonts w:ascii="宋体" w:hAnsi="宋体" w:cs="宋体"/>
          <w:color w:val="auto"/>
          <w:kern w:val="0"/>
          <w:szCs w:val="21"/>
          <w:highlight w:val="none"/>
        </w:rPr>
      </w:pPr>
      <w:r>
        <w:rPr>
          <w:rFonts w:hint="eastAsia" w:ascii="宋体" w:hAnsi="宋体" w:cs="宋体"/>
          <w:color w:val="auto"/>
          <w:szCs w:val="21"/>
          <w:highlight w:val="none"/>
        </w:rPr>
        <w:t>正常工作酬金增加额</w:t>
      </w:r>
      <w:r>
        <w:rPr>
          <w:rFonts w:hint="eastAsia" w:ascii="宋体" w:hAnsi="宋体" w:cs="宋体"/>
          <w:color w:val="auto"/>
          <w:kern w:val="0"/>
          <w:szCs w:val="21"/>
          <w:highlight w:val="none"/>
        </w:rPr>
        <w:t>=工程投资额</w:t>
      </w:r>
      <w:r>
        <w:rPr>
          <w:rFonts w:hint="eastAsia" w:ascii="宋体" w:hAnsi="宋体" w:cs="宋体"/>
          <w:color w:val="auto"/>
          <w:szCs w:val="21"/>
          <w:highlight w:val="none"/>
        </w:rPr>
        <w:t>或建筑安装工程费</w:t>
      </w:r>
      <w:r>
        <w:rPr>
          <w:rFonts w:hint="eastAsia" w:ascii="宋体" w:hAnsi="宋体" w:cs="宋体"/>
          <w:color w:val="auto"/>
          <w:kern w:val="0"/>
          <w:szCs w:val="21"/>
          <w:highlight w:val="none"/>
        </w:rPr>
        <w:t>增加额×正常工作酬金÷工程概算投资额（或建筑安装工程费）</w:t>
      </w:r>
    </w:p>
    <w:p w14:paraId="7FEA7AF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6.2.6 因工程规模、监理范围的变化导致监理人的正常工作量减少时，按减少工作量的比例从协议书约定的正常工作酬金中扣减相同比例的酬金。</w:t>
      </w:r>
    </w:p>
    <w:p w14:paraId="3382D6E2">
      <w:pPr>
        <w:snapToGrid w:val="0"/>
        <w:spacing w:line="360" w:lineRule="auto"/>
        <w:rPr>
          <w:rFonts w:ascii="宋体" w:hAnsi="宋体" w:cs="宋体"/>
          <w:b/>
          <w:color w:val="auto"/>
          <w:szCs w:val="21"/>
          <w:highlight w:val="none"/>
        </w:rPr>
      </w:pPr>
      <w:r>
        <w:rPr>
          <w:rFonts w:hint="eastAsia" w:ascii="宋体" w:hAnsi="宋体" w:cs="宋体"/>
          <w:b/>
          <w:bCs/>
          <w:color w:val="auto"/>
          <w:szCs w:val="21"/>
          <w:highlight w:val="none"/>
        </w:rPr>
        <w:t xml:space="preserve">    7. 争议解决</w:t>
      </w:r>
    </w:p>
    <w:p w14:paraId="23A902C9">
      <w:pPr>
        <w:snapToGrid w:val="0"/>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  7.2 </w:t>
      </w:r>
      <w:r>
        <w:rPr>
          <w:rFonts w:hint="eastAsia" w:ascii="宋体" w:hAnsi="宋体" w:cs="宋体"/>
          <w:bCs/>
          <w:color w:val="auto"/>
          <w:szCs w:val="21"/>
          <w:highlight w:val="none"/>
        </w:rPr>
        <w:t>调解</w:t>
      </w:r>
    </w:p>
    <w:p w14:paraId="54D6E3CB">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本合同争议进行调解时，可提交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进行调解。</w:t>
      </w:r>
    </w:p>
    <w:p w14:paraId="145E291C">
      <w:pPr>
        <w:snapToGrid w:val="0"/>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  7.3 </w:t>
      </w:r>
      <w:r>
        <w:rPr>
          <w:rFonts w:hint="eastAsia" w:ascii="宋体" w:hAnsi="宋体" w:cs="宋体"/>
          <w:bCs/>
          <w:color w:val="auto"/>
          <w:szCs w:val="21"/>
          <w:highlight w:val="none"/>
        </w:rPr>
        <w:t>仲裁或诉讼</w:t>
      </w:r>
    </w:p>
    <w:p w14:paraId="38370C5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合同争议的最终解决方式为下列第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0D70CBD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14:paraId="691216F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14:paraId="0DF64145">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 其他</w:t>
      </w:r>
    </w:p>
    <w:p w14:paraId="64A8F155">
      <w:pPr>
        <w:adjustRightInd w:val="0"/>
        <w:snapToGrid w:val="0"/>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8.2 检测费用</w:t>
      </w:r>
    </w:p>
    <w:p w14:paraId="00297405">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委托人应在检测工作完成后</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天内支付检测费用。</w:t>
      </w:r>
    </w:p>
    <w:p w14:paraId="7B25F632">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8.3 咨询费用</w:t>
      </w:r>
    </w:p>
    <w:p w14:paraId="260CF856">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委托人应在咨询工作完成后</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天内支付咨询费用。</w:t>
      </w:r>
    </w:p>
    <w:p w14:paraId="476DF2C6">
      <w:pPr>
        <w:snapToGrid w:val="0"/>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  8.4 奖励</w:t>
      </w:r>
    </w:p>
    <w:p w14:paraId="4A0781F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合理化建议的奖励金额按下列方法确定为：</w:t>
      </w:r>
    </w:p>
    <w:p w14:paraId="785CBD9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奖励金额＝工程投资节省额×奖励金额的比率；</w:t>
      </w:r>
    </w:p>
    <w:p w14:paraId="6CC307A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奖励金额的比率为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EC22D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8.6 保密</w:t>
      </w:r>
    </w:p>
    <w:p w14:paraId="70A387E0">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委托人申明的保密事项和期限：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D4F55F">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监理人申明的保密事项和期限：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72F1FB">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第三方申明的保密事项和期限：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BCD809">
      <w:pPr>
        <w:snapToGrid w:val="0"/>
        <w:spacing w:line="360" w:lineRule="auto"/>
        <w:ind w:firstLine="205" w:firstLineChars="98"/>
        <w:rPr>
          <w:rFonts w:ascii="宋体" w:hAnsi="宋体" w:cs="宋体"/>
          <w:bCs/>
          <w:color w:val="auto"/>
          <w:szCs w:val="21"/>
          <w:highlight w:val="none"/>
        </w:rPr>
      </w:pPr>
      <w:r>
        <w:rPr>
          <w:rFonts w:hint="eastAsia" w:ascii="宋体" w:hAnsi="宋体" w:cs="宋体"/>
          <w:color w:val="auto"/>
          <w:szCs w:val="21"/>
          <w:highlight w:val="none"/>
        </w:rPr>
        <w:t xml:space="preserve">  8.8</w:t>
      </w:r>
      <w:r>
        <w:rPr>
          <w:rFonts w:hint="eastAsia" w:ascii="宋体" w:hAnsi="宋体" w:cs="宋体"/>
          <w:bCs/>
          <w:color w:val="auto"/>
          <w:szCs w:val="21"/>
          <w:highlight w:val="none"/>
        </w:rPr>
        <w:t>著作权</w:t>
      </w:r>
    </w:p>
    <w:p w14:paraId="6CE5B65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p>
    <w:p w14:paraId="346449D3">
      <w:pPr>
        <w:adjustRightInd w:val="0"/>
        <w:snapToGrid w:val="0"/>
        <w:spacing w:before="120" w:beforeLines="50" w:after="120" w:afterLines="50"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B7D6EF3">
      <w:pPr>
        <w:adjustRightInd w:val="0"/>
        <w:snapToGrid w:val="0"/>
        <w:spacing w:before="120" w:beforeLines="50" w:after="120"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2801575">
      <w:pPr>
        <w:adjustRightInd w:val="0"/>
        <w:snapToGrid w:val="0"/>
        <w:spacing w:before="120" w:beforeLines="50" w:after="120"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9. 补充条款</w:t>
      </w:r>
    </w:p>
    <w:p w14:paraId="6EBD8568">
      <w:pPr>
        <w:adjustRightInd w:val="0"/>
        <w:snapToGrid w:val="0"/>
        <w:spacing w:before="120" w:beforeLines="50" w:after="120" w:afterLines="50"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bookmarkEnd w:id="335"/>
    <w:bookmarkEnd w:id="336"/>
    <w:bookmarkEnd w:id="339"/>
    <w:bookmarkEnd w:id="340"/>
    <w:bookmarkEnd w:id="341"/>
    <w:p w14:paraId="73855184">
      <w:pPr>
        <w:pageBreakBefore/>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附录A  相关服务的范围和内容</w:t>
      </w:r>
    </w:p>
    <w:p w14:paraId="165E84A3">
      <w:pPr>
        <w:snapToGrid w:val="0"/>
        <w:spacing w:before="120" w:beforeLines="50" w:after="120" w:afterLines="50"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 xml:space="preserve">A-1 </w:t>
      </w:r>
      <w:r>
        <w:rPr>
          <w:rFonts w:hint="eastAsia" w:ascii="宋体" w:hAnsi="宋体" w:cs="宋体"/>
          <w:color w:val="auto"/>
          <w:kern w:val="0"/>
          <w:szCs w:val="21"/>
          <w:highlight w:val="none"/>
          <w:lang w:val="en-US" w:eastAsia="zh-CN"/>
        </w:rPr>
        <w:t>施工</w:t>
      </w:r>
      <w:r>
        <w:rPr>
          <w:rFonts w:hint="eastAsia" w:ascii="宋体" w:hAnsi="宋体" w:cs="宋体"/>
          <w:color w:val="auto"/>
          <w:kern w:val="0"/>
          <w:szCs w:val="21"/>
          <w:highlight w:val="none"/>
        </w:rPr>
        <w:t>阶段：</w:t>
      </w:r>
      <w:r>
        <w:rPr>
          <w:rFonts w:hint="eastAsia" w:ascii="宋体" w:hAnsi="宋体" w:cs="宋体"/>
          <w:color w:val="auto"/>
          <w:szCs w:val="21"/>
          <w:highlight w:val="none"/>
          <w:u w:val="single"/>
        </w:rPr>
        <w:t xml:space="preserve">                                        </w:t>
      </w:r>
    </w:p>
    <w:p w14:paraId="5F8F2071">
      <w:pPr>
        <w:snapToGrid w:val="0"/>
        <w:spacing w:before="120" w:beforeLines="50" w:after="120" w:afterLines="50"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E6A08F2">
      <w:pPr>
        <w:snapToGrid w:val="0"/>
        <w:spacing w:before="120" w:beforeLines="50" w:after="120" w:afterLines="50"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A-2 设计阶段：</w:t>
      </w:r>
      <w:r>
        <w:rPr>
          <w:rFonts w:hint="eastAsia" w:ascii="宋体" w:hAnsi="宋体" w:cs="宋体"/>
          <w:color w:val="auto"/>
          <w:szCs w:val="21"/>
          <w:highlight w:val="none"/>
          <w:u w:val="single"/>
        </w:rPr>
        <w:t xml:space="preserve">                                </w:t>
      </w:r>
    </w:p>
    <w:p w14:paraId="3B6DB871">
      <w:pPr>
        <w:snapToGrid w:val="0"/>
        <w:spacing w:before="120" w:beforeLines="50" w:after="120"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CC76C2">
      <w:pPr>
        <w:snapToGrid w:val="0"/>
        <w:spacing w:before="120" w:beforeLines="50" w:after="120" w:afterLines="50" w:line="360" w:lineRule="auto"/>
        <w:ind w:firstLine="840" w:firstLineChars="400"/>
        <w:rPr>
          <w:rFonts w:ascii="宋体" w:hAnsi="宋体" w:cs="宋体"/>
          <w:color w:val="auto"/>
          <w:kern w:val="0"/>
          <w:szCs w:val="21"/>
          <w:highlight w:val="none"/>
        </w:rPr>
      </w:pPr>
      <w:r>
        <w:rPr>
          <w:rFonts w:hint="eastAsia" w:ascii="宋体" w:hAnsi="宋体" w:cs="宋体"/>
          <w:color w:val="auto"/>
          <w:kern w:val="0"/>
          <w:szCs w:val="21"/>
          <w:highlight w:val="none"/>
        </w:rPr>
        <w:t>A-3 保修阶段：</w:t>
      </w:r>
      <w:r>
        <w:rPr>
          <w:rFonts w:hint="eastAsia" w:ascii="宋体" w:hAnsi="宋体" w:cs="宋体"/>
          <w:color w:val="auto"/>
          <w:szCs w:val="21"/>
          <w:highlight w:val="none"/>
          <w:u w:val="single"/>
        </w:rPr>
        <w:t xml:space="preserve">                                         </w:t>
      </w:r>
    </w:p>
    <w:p w14:paraId="2F3B768E">
      <w:pPr>
        <w:snapToGrid w:val="0"/>
        <w:spacing w:before="120" w:beforeLines="50" w:after="120"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68B3DD">
      <w:pPr>
        <w:snapToGrid w:val="0"/>
        <w:spacing w:before="120" w:beforeLines="50" w:after="120" w:afterLines="50" w:line="360" w:lineRule="auto"/>
        <w:ind w:firstLine="840" w:firstLineChars="400"/>
        <w:rPr>
          <w:rFonts w:ascii="宋体" w:hAnsi="宋体" w:cs="宋体"/>
          <w:color w:val="auto"/>
          <w:szCs w:val="21"/>
          <w:highlight w:val="none"/>
          <w:u w:val="single"/>
        </w:rPr>
      </w:pPr>
      <w:r>
        <w:rPr>
          <w:rFonts w:hint="eastAsia" w:ascii="宋体" w:hAnsi="宋体" w:cs="宋体"/>
          <w:color w:val="auto"/>
          <w:kern w:val="0"/>
          <w:szCs w:val="21"/>
          <w:highlight w:val="none"/>
        </w:rPr>
        <w:t xml:space="preserve">A-4 </w:t>
      </w:r>
      <w:r>
        <w:rPr>
          <w:rFonts w:hint="eastAsia" w:ascii="宋体" w:hAnsi="宋体" w:cs="宋体"/>
          <w:color w:val="auto"/>
          <w:szCs w:val="21"/>
          <w:highlight w:val="none"/>
        </w:rPr>
        <w:t>其他（专业技术咨询、外部协调工作等）：</w:t>
      </w:r>
      <w:r>
        <w:rPr>
          <w:rFonts w:hint="eastAsia" w:ascii="宋体" w:hAnsi="宋体" w:cs="宋体"/>
          <w:color w:val="auto"/>
          <w:szCs w:val="21"/>
          <w:highlight w:val="none"/>
          <w:u w:val="single"/>
        </w:rPr>
        <w:t xml:space="preserve">   </w:t>
      </w:r>
    </w:p>
    <w:p w14:paraId="154BD854">
      <w:pPr>
        <w:snapToGrid w:val="0"/>
        <w:spacing w:before="120" w:beforeLines="50" w:after="120"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F932EE">
      <w:pPr>
        <w:snapToGrid w:val="0"/>
        <w:spacing w:before="120" w:beforeLines="50" w:after="120" w:afterLines="50" w:line="360" w:lineRule="auto"/>
        <w:ind w:firstLine="420" w:firstLineChars="200"/>
        <w:rPr>
          <w:rFonts w:ascii="宋体" w:hAnsi="宋体" w:cs="宋体"/>
          <w:color w:val="auto"/>
          <w:szCs w:val="21"/>
          <w:highlight w:val="none"/>
        </w:rPr>
      </w:pPr>
    </w:p>
    <w:p w14:paraId="2178ECD8">
      <w:pPr>
        <w:spacing w:line="360" w:lineRule="auto"/>
        <w:rPr>
          <w:rFonts w:ascii="宋体" w:hAnsi="宋体" w:cs="宋体"/>
          <w:bCs/>
          <w:color w:val="auto"/>
          <w:szCs w:val="21"/>
          <w:highlight w:val="none"/>
        </w:rPr>
      </w:pPr>
    </w:p>
    <w:p w14:paraId="51B3D276">
      <w:pPr>
        <w:pageBreakBefore/>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附录B  委托人派遣的人员和提供的房屋、资料、设备</w:t>
      </w:r>
    </w:p>
    <w:p w14:paraId="3E028EB3">
      <w:pPr>
        <w:spacing w:before="120" w:beforeLines="50"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 xml:space="preserve">    B-1  委托人派遣的人员</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62A3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8" w:type="dxa"/>
            <w:vAlign w:val="center"/>
          </w:tcPr>
          <w:p w14:paraId="770EF2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70" w:type="dxa"/>
            <w:vAlign w:val="center"/>
          </w:tcPr>
          <w:p w14:paraId="465B6C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vAlign w:val="center"/>
          </w:tcPr>
          <w:p w14:paraId="6CBC9B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工作要求</w:t>
            </w:r>
          </w:p>
        </w:tc>
        <w:tc>
          <w:tcPr>
            <w:tcW w:w="1860" w:type="dxa"/>
            <w:vAlign w:val="center"/>
          </w:tcPr>
          <w:p w14:paraId="1312FB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60E4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8" w:type="dxa"/>
            <w:vAlign w:val="center"/>
          </w:tcPr>
          <w:p w14:paraId="306323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 工程技术人员</w:t>
            </w:r>
          </w:p>
        </w:tc>
        <w:tc>
          <w:tcPr>
            <w:tcW w:w="1770" w:type="dxa"/>
            <w:vAlign w:val="center"/>
          </w:tcPr>
          <w:p w14:paraId="4EBC4931">
            <w:pPr>
              <w:spacing w:line="360" w:lineRule="auto"/>
              <w:jc w:val="center"/>
              <w:rPr>
                <w:rFonts w:ascii="宋体" w:hAnsi="宋体" w:cs="宋体"/>
                <w:color w:val="auto"/>
                <w:szCs w:val="21"/>
                <w:highlight w:val="none"/>
              </w:rPr>
            </w:pPr>
          </w:p>
        </w:tc>
        <w:tc>
          <w:tcPr>
            <w:tcW w:w="2130" w:type="dxa"/>
            <w:vAlign w:val="center"/>
          </w:tcPr>
          <w:p w14:paraId="3411394C">
            <w:pPr>
              <w:spacing w:line="360" w:lineRule="auto"/>
              <w:jc w:val="center"/>
              <w:rPr>
                <w:rFonts w:ascii="宋体" w:hAnsi="宋体" w:cs="宋体"/>
                <w:color w:val="auto"/>
                <w:szCs w:val="21"/>
                <w:highlight w:val="none"/>
              </w:rPr>
            </w:pPr>
          </w:p>
        </w:tc>
        <w:tc>
          <w:tcPr>
            <w:tcW w:w="1860" w:type="dxa"/>
            <w:vAlign w:val="center"/>
          </w:tcPr>
          <w:p w14:paraId="6B1AA9B0">
            <w:pPr>
              <w:spacing w:line="360" w:lineRule="auto"/>
              <w:jc w:val="center"/>
              <w:rPr>
                <w:rFonts w:ascii="宋体" w:hAnsi="宋体" w:cs="宋体"/>
                <w:color w:val="auto"/>
                <w:szCs w:val="21"/>
                <w:highlight w:val="none"/>
              </w:rPr>
            </w:pPr>
          </w:p>
        </w:tc>
      </w:tr>
      <w:tr w14:paraId="4099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8" w:type="dxa"/>
            <w:vAlign w:val="center"/>
          </w:tcPr>
          <w:p w14:paraId="5DC1DF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 辅助工作人员</w:t>
            </w:r>
          </w:p>
        </w:tc>
        <w:tc>
          <w:tcPr>
            <w:tcW w:w="1770" w:type="dxa"/>
            <w:vAlign w:val="center"/>
          </w:tcPr>
          <w:p w14:paraId="4C46F364">
            <w:pPr>
              <w:spacing w:line="360" w:lineRule="auto"/>
              <w:jc w:val="center"/>
              <w:rPr>
                <w:rFonts w:ascii="宋体" w:hAnsi="宋体" w:cs="宋体"/>
                <w:color w:val="auto"/>
                <w:szCs w:val="21"/>
                <w:highlight w:val="none"/>
              </w:rPr>
            </w:pPr>
          </w:p>
        </w:tc>
        <w:tc>
          <w:tcPr>
            <w:tcW w:w="2130" w:type="dxa"/>
            <w:vAlign w:val="center"/>
          </w:tcPr>
          <w:p w14:paraId="4219CC66">
            <w:pPr>
              <w:spacing w:line="360" w:lineRule="auto"/>
              <w:jc w:val="center"/>
              <w:rPr>
                <w:rFonts w:ascii="宋体" w:hAnsi="宋体" w:cs="宋体"/>
                <w:color w:val="auto"/>
                <w:szCs w:val="21"/>
                <w:highlight w:val="none"/>
              </w:rPr>
            </w:pPr>
          </w:p>
        </w:tc>
        <w:tc>
          <w:tcPr>
            <w:tcW w:w="1860" w:type="dxa"/>
            <w:vAlign w:val="center"/>
          </w:tcPr>
          <w:p w14:paraId="5081CB7A">
            <w:pPr>
              <w:spacing w:line="360" w:lineRule="auto"/>
              <w:jc w:val="center"/>
              <w:rPr>
                <w:rFonts w:ascii="宋体" w:hAnsi="宋体" w:cs="宋体"/>
                <w:color w:val="auto"/>
                <w:szCs w:val="21"/>
                <w:highlight w:val="none"/>
              </w:rPr>
            </w:pPr>
          </w:p>
        </w:tc>
      </w:tr>
      <w:tr w14:paraId="489D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8" w:type="dxa"/>
            <w:vAlign w:val="center"/>
          </w:tcPr>
          <w:p w14:paraId="67639C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 其他人员</w:t>
            </w:r>
          </w:p>
        </w:tc>
        <w:tc>
          <w:tcPr>
            <w:tcW w:w="1770" w:type="dxa"/>
            <w:vAlign w:val="center"/>
          </w:tcPr>
          <w:p w14:paraId="175973F7">
            <w:pPr>
              <w:spacing w:line="360" w:lineRule="auto"/>
              <w:jc w:val="center"/>
              <w:rPr>
                <w:rFonts w:ascii="宋体" w:hAnsi="宋体" w:cs="宋体"/>
                <w:color w:val="auto"/>
                <w:szCs w:val="21"/>
                <w:highlight w:val="none"/>
              </w:rPr>
            </w:pPr>
          </w:p>
        </w:tc>
        <w:tc>
          <w:tcPr>
            <w:tcW w:w="2130" w:type="dxa"/>
            <w:vAlign w:val="center"/>
          </w:tcPr>
          <w:p w14:paraId="245B658F">
            <w:pPr>
              <w:spacing w:line="360" w:lineRule="auto"/>
              <w:jc w:val="center"/>
              <w:rPr>
                <w:rFonts w:ascii="宋体" w:hAnsi="宋体" w:cs="宋体"/>
                <w:color w:val="auto"/>
                <w:szCs w:val="21"/>
                <w:highlight w:val="none"/>
              </w:rPr>
            </w:pPr>
          </w:p>
        </w:tc>
        <w:tc>
          <w:tcPr>
            <w:tcW w:w="1860" w:type="dxa"/>
            <w:vAlign w:val="center"/>
          </w:tcPr>
          <w:p w14:paraId="0FD96176">
            <w:pPr>
              <w:spacing w:line="360" w:lineRule="auto"/>
              <w:jc w:val="center"/>
              <w:rPr>
                <w:rFonts w:ascii="宋体" w:hAnsi="宋体" w:cs="宋体"/>
                <w:color w:val="auto"/>
                <w:szCs w:val="21"/>
                <w:highlight w:val="none"/>
              </w:rPr>
            </w:pPr>
          </w:p>
        </w:tc>
      </w:tr>
      <w:tr w14:paraId="23E6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8" w:type="dxa"/>
            <w:vAlign w:val="center"/>
          </w:tcPr>
          <w:p w14:paraId="13AD0E4B">
            <w:pPr>
              <w:spacing w:line="360" w:lineRule="auto"/>
              <w:jc w:val="center"/>
              <w:rPr>
                <w:rFonts w:ascii="宋体" w:hAnsi="宋体" w:cs="宋体"/>
                <w:color w:val="auto"/>
                <w:szCs w:val="21"/>
                <w:highlight w:val="none"/>
              </w:rPr>
            </w:pPr>
          </w:p>
        </w:tc>
        <w:tc>
          <w:tcPr>
            <w:tcW w:w="1770" w:type="dxa"/>
            <w:vAlign w:val="center"/>
          </w:tcPr>
          <w:p w14:paraId="1DF0CE25">
            <w:pPr>
              <w:spacing w:line="360" w:lineRule="auto"/>
              <w:jc w:val="center"/>
              <w:rPr>
                <w:rFonts w:ascii="宋体" w:hAnsi="宋体" w:cs="宋体"/>
                <w:color w:val="auto"/>
                <w:szCs w:val="21"/>
                <w:highlight w:val="none"/>
              </w:rPr>
            </w:pPr>
          </w:p>
        </w:tc>
        <w:tc>
          <w:tcPr>
            <w:tcW w:w="2130" w:type="dxa"/>
            <w:vAlign w:val="center"/>
          </w:tcPr>
          <w:p w14:paraId="37001270">
            <w:pPr>
              <w:spacing w:line="360" w:lineRule="auto"/>
              <w:jc w:val="center"/>
              <w:rPr>
                <w:rFonts w:ascii="宋体" w:hAnsi="宋体" w:cs="宋体"/>
                <w:color w:val="auto"/>
                <w:szCs w:val="21"/>
                <w:highlight w:val="none"/>
              </w:rPr>
            </w:pPr>
          </w:p>
        </w:tc>
        <w:tc>
          <w:tcPr>
            <w:tcW w:w="1860" w:type="dxa"/>
            <w:vAlign w:val="center"/>
          </w:tcPr>
          <w:p w14:paraId="193360AC">
            <w:pPr>
              <w:spacing w:line="360" w:lineRule="auto"/>
              <w:jc w:val="center"/>
              <w:rPr>
                <w:rFonts w:ascii="宋体" w:hAnsi="宋体" w:cs="宋体"/>
                <w:color w:val="auto"/>
                <w:szCs w:val="21"/>
                <w:highlight w:val="none"/>
              </w:rPr>
            </w:pPr>
          </w:p>
        </w:tc>
      </w:tr>
    </w:tbl>
    <w:p w14:paraId="5C247424">
      <w:pPr>
        <w:spacing w:before="120" w:beforeLines="50" w:line="360" w:lineRule="auto"/>
        <w:rPr>
          <w:rFonts w:ascii="宋体" w:hAnsi="宋体" w:cs="宋体"/>
          <w:b/>
          <w:color w:val="auto"/>
          <w:kern w:val="0"/>
          <w:szCs w:val="21"/>
          <w:highlight w:val="none"/>
        </w:rPr>
      </w:pPr>
      <w:bookmarkStart w:id="343" w:name="_Toc441146363"/>
      <w:r>
        <w:rPr>
          <w:rFonts w:hint="eastAsia" w:ascii="宋体" w:hAnsi="宋体" w:cs="宋体"/>
          <w:b/>
          <w:color w:val="auto"/>
          <w:kern w:val="0"/>
          <w:szCs w:val="21"/>
          <w:highlight w:val="none"/>
        </w:rPr>
        <w:t xml:space="preserve">    B-2  委托人提供的房屋</w:t>
      </w:r>
      <w:bookmarkEnd w:id="34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665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6BB39F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130" w:type="dxa"/>
            <w:vAlign w:val="center"/>
          </w:tcPr>
          <w:p w14:paraId="5C5C22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vAlign w:val="center"/>
          </w:tcPr>
          <w:p w14:paraId="1F0696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面积</w:t>
            </w:r>
          </w:p>
        </w:tc>
        <w:tc>
          <w:tcPr>
            <w:tcW w:w="1860" w:type="dxa"/>
            <w:vAlign w:val="center"/>
          </w:tcPr>
          <w:p w14:paraId="2F0EEA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4742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6EFD52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 办公用房</w:t>
            </w:r>
          </w:p>
        </w:tc>
        <w:tc>
          <w:tcPr>
            <w:tcW w:w="2130" w:type="dxa"/>
            <w:vAlign w:val="center"/>
          </w:tcPr>
          <w:p w14:paraId="2BD24330">
            <w:pPr>
              <w:spacing w:line="360" w:lineRule="auto"/>
              <w:ind w:firstLine="210" w:firstLineChars="100"/>
              <w:jc w:val="center"/>
              <w:rPr>
                <w:rFonts w:ascii="宋体" w:hAnsi="宋体" w:cs="宋体"/>
                <w:color w:val="auto"/>
                <w:szCs w:val="21"/>
                <w:highlight w:val="none"/>
              </w:rPr>
            </w:pPr>
          </w:p>
        </w:tc>
        <w:tc>
          <w:tcPr>
            <w:tcW w:w="2130" w:type="dxa"/>
            <w:vAlign w:val="center"/>
          </w:tcPr>
          <w:p w14:paraId="679AB546">
            <w:pPr>
              <w:spacing w:line="360" w:lineRule="auto"/>
              <w:ind w:firstLine="210" w:firstLineChars="100"/>
              <w:jc w:val="center"/>
              <w:rPr>
                <w:rFonts w:ascii="宋体" w:hAnsi="宋体" w:cs="宋体"/>
                <w:color w:val="auto"/>
                <w:szCs w:val="21"/>
                <w:highlight w:val="none"/>
              </w:rPr>
            </w:pPr>
          </w:p>
        </w:tc>
        <w:tc>
          <w:tcPr>
            <w:tcW w:w="1860" w:type="dxa"/>
            <w:vAlign w:val="center"/>
          </w:tcPr>
          <w:p w14:paraId="7F032B31">
            <w:pPr>
              <w:spacing w:line="360" w:lineRule="auto"/>
              <w:jc w:val="center"/>
              <w:rPr>
                <w:rFonts w:ascii="宋体" w:hAnsi="宋体" w:cs="宋体"/>
                <w:color w:val="auto"/>
                <w:szCs w:val="21"/>
                <w:highlight w:val="none"/>
              </w:rPr>
            </w:pPr>
          </w:p>
        </w:tc>
      </w:tr>
      <w:tr w14:paraId="5B5D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4F30DA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 生活用房</w:t>
            </w:r>
          </w:p>
        </w:tc>
        <w:tc>
          <w:tcPr>
            <w:tcW w:w="2130" w:type="dxa"/>
            <w:vAlign w:val="center"/>
          </w:tcPr>
          <w:p w14:paraId="6F7AFFD2">
            <w:pPr>
              <w:spacing w:line="360" w:lineRule="auto"/>
              <w:jc w:val="center"/>
              <w:rPr>
                <w:rFonts w:ascii="宋体" w:hAnsi="宋体" w:cs="宋体"/>
                <w:color w:val="auto"/>
                <w:szCs w:val="21"/>
                <w:highlight w:val="none"/>
              </w:rPr>
            </w:pPr>
          </w:p>
        </w:tc>
        <w:tc>
          <w:tcPr>
            <w:tcW w:w="2130" w:type="dxa"/>
            <w:vAlign w:val="center"/>
          </w:tcPr>
          <w:p w14:paraId="6659D75F">
            <w:pPr>
              <w:spacing w:line="360" w:lineRule="auto"/>
              <w:jc w:val="center"/>
              <w:rPr>
                <w:rFonts w:ascii="宋体" w:hAnsi="宋体" w:cs="宋体"/>
                <w:color w:val="auto"/>
                <w:szCs w:val="21"/>
                <w:highlight w:val="none"/>
              </w:rPr>
            </w:pPr>
          </w:p>
        </w:tc>
        <w:tc>
          <w:tcPr>
            <w:tcW w:w="1860" w:type="dxa"/>
            <w:vAlign w:val="center"/>
          </w:tcPr>
          <w:p w14:paraId="555204B7">
            <w:pPr>
              <w:spacing w:line="360" w:lineRule="auto"/>
              <w:jc w:val="center"/>
              <w:rPr>
                <w:rFonts w:ascii="宋体" w:hAnsi="宋体" w:cs="宋体"/>
                <w:color w:val="auto"/>
                <w:szCs w:val="21"/>
                <w:highlight w:val="none"/>
              </w:rPr>
            </w:pPr>
          </w:p>
        </w:tc>
      </w:tr>
      <w:tr w14:paraId="3326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44715021">
            <w:pPr>
              <w:spacing w:line="360" w:lineRule="auto"/>
              <w:jc w:val="center"/>
              <w:rPr>
                <w:rFonts w:ascii="宋体" w:hAnsi="宋体" w:cs="宋体"/>
                <w:dstrike/>
                <w:color w:val="auto"/>
                <w:szCs w:val="21"/>
                <w:highlight w:val="none"/>
              </w:rPr>
            </w:pPr>
            <w:r>
              <w:rPr>
                <w:rFonts w:hint="eastAsia" w:ascii="宋体" w:hAnsi="宋体" w:cs="宋体"/>
                <w:color w:val="auto"/>
                <w:szCs w:val="21"/>
                <w:highlight w:val="none"/>
              </w:rPr>
              <w:t>3. 试验用房</w:t>
            </w:r>
          </w:p>
        </w:tc>
        <w:tc>
          <w:tcPr>
            <w:tcW w:w="2130" w:type="dxa"/>
            <w:vAlign w:val="center"/>
          </w:tcPr>
          <w:p w14:paraId="411E456E">
            <w:pPr>
              <w:spacing w:line="360" w:lineRule="auto"/>
              <w:jc w:val="center"/>
              <w:rPr>
                <w:rFonts w:ascii="宋体" w:hAnsi="宋体" w:cs="宋体"/>
                <w:color w:val="auto"/>
                <w:szCs w:val="21"/>
                <w:highlight w:val="none"/>
              </w:rPr>
            </w:pPr>
          </w:p>
        </w:tc>
        <w:tc>
          <w:tcPr>
            <w:tcW w:w="2130" w:type="dxa"/>
            <w:vAlign w:val="center"/>
          </w:tcPr>
          <w:p w14:paraId="1D9D3376">
            <w:pPr>
              <w:spacing w:line="360" w:lineRule="auto"/>
              <w:jc w:val="center"/>
              <w:rPr>
                <w:rFonts w:ascii="宋体" w:hAnsi="宋体" w:cs="宋体"/>
                <w:color w:val="auto"/>
                <w:szCs w:val="21"/>
                <w:highlight w:val="none"/>
              </w:rPr>
            </w:pPr>
          </w:p>
        </w:tc>
        <w:tc>
          <w:tcPr>
            <w:tcW w:w="1860" w:type="dxa"/>
            <w:vAlign w:val="center"/>
          </w:tcPr>
          <w:p w14:paraId="00075F1C">
            <w:pPr>
              <w:spacing w:line="360" w:lineRule="auto"/>
              <w:jc w:val="center"/>
              <w:rPr>
                <w:rFonts w:ascii="宋体" w:hAnsi="宋体" w:cs="宋体"/>
                <w:color w:val="auto"/>
                <w:szCs w:val="21"/>
                <w:highlight w:val="none"/>
              </w:rPr>
            </w:pPr>
          </w:p>
        </w:tc>
      </w:tr>
      <w:tr w14:paraId="47D1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2AC832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 样品用房</w:t>
            </w:r>
          </w:p>
        </w:tc>
        <w:tc>
          <w:tcPr>
            <w:tcW w:w="2130" w:type="dxa"/>
            <w:vAlign w:val="center"/>
          </w:tcPr>
          <w:p w14:paraId="2AC357E3">
            <w:pPr>
              <w:spacing w:line="360" w:lineRule="auto"/>
              <w:jc w:val="center"/>
              <w:rPr>
                <w:rFonts w:ascii="宋体" w:hAnsi="宋体" w:cs="宋体"/>
                <w:color w:val="auto"/>
                <w:szCs w:val="21"/>
                <w:highlight w:val="none"/>
              </w:rPr>
            </w:pPr>
          </w:p>
        </w:tc>
        <w:tc>
          <w:tcPr>
            <w:tcW w:w="2130" w:type="dxa"/>
            <w:vAlign w:val="center"/>
          </w:tcPr>
          <w:p w14:paraId="3939140C">
            <w:pPr>
              <w:spacing w:line="360" w:lineRule="auto"/>
              <w:jc w:val="center"/>
              <w:rPr>
                <w:rFonts w:ascii="宋体" w:hAnsi="宋体" w:cs="宋体"/>
                <w:color w:val="auto"/>
                <w:szCs w:val="21"/>
                <w:highlight w:val="none"/>
              </w:rPr>
            </w:pPr>
          </w:p>
        </w:tc>
        <w:tc>
          <w:tcPr>
            <w:tcW w:w="1860" w:type="dxa"/>
            <w:vAlign w:val="center"/>
          </w:tcPr>
          <w:p w14:paraId="42C3BC92">
            <w:pPr>
              <w:spacing w:line="360" w:lineRule="auto"/>
              <w:jc w:val="center"/>
              <w:rPr>
                <w:rFonts w:ascii="宋体" w:hAnsi="宋体" w:cs="宋体"/>
                <w:color w:val="auto"/>
                <w:szCs w:val="21"/>
                <w:highlight w:val="none"/>
              </w:rPr>
            </w:pPr>
          </w:p>
        </w:tc>
      </w:tr>
      <w:tr w14:paraId="3383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6110063B">
            <w:pPr>
              <w:spacing w:line="360" w:lineRule="auto"/>
              <w:jc w:val="center"/>
              <w:rPr>
                <w:rFonts w:ascii="宋体" w:hAnsi="宋体" w:cs="宋体"/>
                <w:color w:val="auto"/>
                <w:szCs w:val="21"/>
                <w:highlight w:val="none"/>
              </w:rPr>
            </w:pPr>
          </w:p>
        </w:tc>
        <w:tc>
          <w:tcPr>
            <w:tcW w:w="2130" w:type="dxa"/>
            <w:vAlign w:val="center"/>
          </w:tcPr>
          <w:p w14:paraId="5305A0CA">
            <w:pPr>
              <w:spacing w:line="360" w:lineRule="auto"/>
              <w:jc w:val="center"/>
              <w:rPr>
                <w:rFonts w:ascii="宋体" w:hAnsi="宋体" w:cs="宋体"/>
                <w:color w:val="auto"/>
                <w:szCs w:val="21"/>
                <w:highlight w:val="none"/>
              </w:rPr>
            </w:pPr>
          </w:p>
        </w:tc>
        <w:tc>
          <w:tcPr>
            <w:tcW w:w="2130" w:type="dxa"/>
            <w:vAlign w:val="center"/>
          </w:tcPr>
          <w:p w14:paraId="0A7C7D00">
            <w:pPr>
              <w:spacing w:line="360" w:lineRule="auto"/>
              <w:jc w:val="center"/>
              <w:rPr>
                <w:rFonts w:ascii="宋体" w:hAnsi="宋体" w:cs="宋体"/>
                <w:color w:val="auto"/>
                <w:szCs w:val="21"/>
                <w:highlight w:val="none"/>
              </w:rPr>
            </w:pPr>
          </w:p>
        </w:tc>
        <w:tc>
          <w:tcPr>
            <w:tcW w:w="1860" w:type="dxa"/>
            <w:vAlign w:val="center"/>
          </w:tcPr>
          <w:p w14:paraId="4BA3E7E8">
            <w:pPr>
              <w:spacing w:line="360" w:lineRule="auto"/>
              <w:jc w:val="center"/>
              <w:rPr>
                <w:rFonts w:ascii="宋体" w:hAnsi="宋体" w:cs="宋体"/>
                <w:color w:val="auto"/>
                <w:szCs w:val="21"/>
                <w:highlight w:val="none"/>
              </w:rPr>
            </w:pPr>
          </w:p>
        </w:tc>
      </w:tr>
      <w:tr w14:paraId="1010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448" w:type="dxa"/>
            <w:vAlign w:val="center"/>
          </w:tcPr>
          <w:p w14:paraId="79C572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用餐及其他生活条件</w:t>
            </w:r>
          </w:p>
        </w:tc>
        <w:tc>
          <w:tcPr>
            <w:tcW w:w="6120" w:type="dxa"/>
            <w:gridSpan w:val="3"/>
            <w:vAlign w:val="center"/>
          </w:tcPr>
          <w:p w14:paraId="7B3A9FC8">
            <w:pPr>
              <w:spacing w:line="360" w:lineRule="auto"/>
              <w:jc w:val="center"/>
              <w:rPr>
                <w:rFonts w:ascii="宋体" w:hAnsi="宋体" w:cs="宋体"/>
                <w:color w:val="auto"/>
                <w:szCs w:val="21"/>
                <w:highlight w:val="none"/>
              </w:rPr>
            </w:pPr>
          </w:p>
        </w:tc>
      </w:tr>
    </w:tbl>
    <w:p w14:paraId="31004EAB">
      <w:pPr>
        <w:spacing w:before="120" w:beforeLines="50" w:line="360" w:lineRule="auto"/>
        <w:rPr>
          <w:rFonts w:ascii="宋体" w:hAnsi="宋体" w:cs="宋体"/>
          <w:b/>
          <w:color w:val="auto"/>
          <w:kern w:val="0"/>
          <w:szCs w:val="21"/>
          <w:highlight w:val="none"/>
        </w:rPr>
      </w:pPr>
      <w:bookmarkStart w:id="344" w:name="_Toc441146364"/>
      <w:r>
        <w:rPr>
          <w:rFonts w:hint="eastAsia" w:ascii="宋体" w:hAnsi="宋体" w:cs="宋体"/>
          <w:b/>
          <w:color w:val="auto"/>
          <w:kern w:val="0"/>
          <w:szCs w:val="21"/>
          <w:highlight w:val="none"/>
        </w:rPr>
        <w:t xml:space="preserve">    B-3  委托人提供的资料</w:t>
      </w:r>
      <w:bookmarkEnd w:id="34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4F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24E50C6D">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1491" w:type="dxa"/>
            <w:vAlign w:val="center"/>
          </w:tcPr>
          <w:p w14:paraId="3322193C">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份数</w:t>
            </w:r>
          </w:p>
        </w:tc>
        <w:tc>
          <w:tcPr>
            <w:tcW w:w="2147" w:type="dxa"/>
            <w:vAlign w:val="center"/>
          </w:tcPr>
          <w:p w14:paraId="25E3F8C9">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提供时间</w:t>
            </w:r>
          </w:p>
        </w:tc>
        <w:tc>
          <w:tcPr>
            <w:tcW w:w="2082" w:type="dxa"/>
            <w:vAlign w:val="center"/>
          </w:tcPr>
          <w:p w14:paraId="3B68D7CC">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60CC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4E53C00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 工程立项文件</w:t>
            </w:r>
          </w:p>
        </w:tc>
        <w:tc>
          <w:tcPr>
            <w:tcW w:w="1491" w:type="dxa"/>
            <w:vAlign w:val="center"/>
          </w:tcPr>
          <w:p w14:paraId="36CBA5B0">
            <w:pPr>
              <w:spacing w:line="360" w:lineRule="auto"/>
              <w:jc w:val="center"/>
              <w:rPr>
                <w:rFonts w:ascii="宋体" w:hAnsi="宋体" w:cs="宋体"/>
                <w:color w:val="auto"/>
                <w:kern w:val="0"/>
                <w:szCs w:val="21"/>
                <w:highlight w:val="none"/>
              </w:rPr>
            </w:pPr>
          </w:p>
        </w:tc>
        <w:tc>
          <w:tcPr>
            <w:tcW w:w="2147" w:type="dxa"/>
            <w:vAlign w:val="center"/>
          </w:tcPr>
          <w:p w14:paraId="43F63DC6">
            <w:pPr>
              <w:spacing w:line="360" w:lineRule="auto"/>
              <w:jc w:val="center"/>
              <w:rPr>
                <w:rFonts w:ascii="宋体" w:hAnsi="宋体" w:cs="宋体"/>
                <w:color w:val="auto"/>
                <w:kern w:val="0"/>
                <w:szCs w:val="21"/>
                <w:highlight w:val="none"/>
              </w:rPr>
            </w:pPr>
          </w:p>
        </w:tc>
        <w:tc>
          <w:tcPr>
            <w:tcW w:w="2082" w:type="dxa"/>
            <w:vAlign w:val="center"/>
          </w:tcPr>
          <w:p w14:paraId="60543B89">
            <w:pPr>
              <w:spacing w:line="360" w:lineRule="auto"/>
              <w:jc w:val="center"/>
              <w:rPr>
                <w:rFonts w:ascii="宋体" w:hAnsi="宋体" w:cs="宋体"/>
                <w:color w:val="auto"/>
                <w:kern w:val="0"/>
                <w:szCs w:val="21"/>
                <w:highlight w:val="none"/>
              </w:rPr>
            </w:pPr>
          </w:p>
        </w:tc>
      </w:tr>
      <w:tr w14:paraId="725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2E67184E">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 工程</w:t>
            </w:r>
            <w:r>
              <w:rPr>
                <w:rFonts w:hint="eastAsia" w:ascii="宋体" w:hAnsi="宋体" w:cs="宋体"/>
                <w:color w:val="auto"/>
                <w:kern w:val="0"/>
                <w:szCs w:val="21"/>
                <w:highlight w:val="none"/>
                <w:lang w:val="en-US" w:eastAsia="zh-CN"/>
              </w:rPr>
              <w:t>施工</w:t>
            </w:r>
            <w:r>
              <w:rPr>
                <w:rFonts w:hint="eastAsia" w:ascii="宋体" w:hAnsi="宋体" w:cs="宋体"/>
                <w:color w:val="auto"/>
                <w:kern w:val="0"/>
                <w:szCs w:val="21"/>
                <w:highlight w:val="none"/>
              </w:rPr>
              <w:t>文件</w:t>
            </w:r>
          </w:p>
        </w:tc>
        <w:tc>
          <w:tcPr>
            <w:tcW w:w="1491" w:type="dxa"/>
            <w:vAlign w:val="center"/>
          </w:tcPr>
          <w:p w14:paraId="7627150C">
            <w:pPr>
              <w:spacing w:line="360" w:lineRule="auto"/>
              <w:jc w:val="center"/>
              <w:rPr>
                <w:rFonts w:ascii="宋体" w:hAnsi="宋体" w:cs="宋体"/>
                <w:color w:val="auto"/>
                <w:kern w:val="0"/>
                <w:szCs w:val="21"/>
                <w:highlight w:val="none"/>
              </w:rPr>
            </w:pPr>
          </w:p>
        </w:tc>
        <w:tc>
          <w:tcPr>
            <w:tcW w:w="2147" w:type="dxa"/>
            <w:vAlign w:val="center"/>
          </w:tcPr>
          <w:p w14:paraId="352B30AA">
            <w:pPr>
              <w:spacing w:line="360" w:lineRule="auto"/>
              <w:jc w:val="center"/>
              <w:rPr>
                <w:rFonts w:ascii="宋体" w:hAnsi="宋体" w:cs="宋体"/>
                <w:color w:val="auto"/>
                <w:kern w:val="0"/>
                <w:szCs w:val="21"/>
                <w:highlight w:val="none"/>
              </w:rPr>
            </w:pPr>
          </w:p>
        </w:tc>
        <w:tc>
          <w:tcPr>
            <w:tcW w:w="2082" w:type="dxa"/>
            <w:vAlign w:val="center"/>
          </w:tcPr>
          <w:p w14:paraId="32E09E88">
            <w:pPr>
              <w:spacing w:line="360" w:lineRule="auto"/>
              <w:jc w:val="center"/>
              <w:rPr>
                <w:rFonts w:ascii="宋体" w:hAnsi="宋体" w:cs="宋体"/>
                <w:color w:val="auto"/>
                <w:kern w:val="0"/>
                <w:szCs w:val="21"/>
                <w:highlight w:val="none"/>
              </w:rPr>
            </w:pPr>
          </w:p>
        </w:tc>
      </w:tr>
      <w:tr w14:paraId="6AFE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6B491C17">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 工程设计及施工图纸</w:t>
            </w:r>
          </w:p>
        </w:tc>
        <w:tc>
          <w:tcPr>
            <w:tcW w:w="1491" w:type="dxa"/>
            <w:vAlign w:val="center"/>
          </w:tcPr>
          <w:p w14:paraId="28F05FE3">
            <w:pPr>
              <w:spacing w:line="360" w:lineRule="auto"/>
              <w:jc w:val="center"/>
              <w:rPr>
                <w:rFonts w:ascii="宋体" w:hAnsi="宋体" w:cs="宋体"/>
                <w:color w:val="auto"/>
                <w:kern w:val="0"/>
                <w:szCs w:val="21"/>
                <w:highlight w:val="none"/>
              </w:rPr>
            </w:pPr>
          </w:p>
        </w:tc>
        <w:tc>
          <w:tcPr>
            <w:tcW w:w="2147" w:type="dxa"/>
            <w:vAlign w:val="center"/>
          </w:tcPr>
          <w:p w14:paraId="64A30830">
            <w:pPr>
              <w:spacing w:line="360" w:lineRule="auto"/>
              <w:jc w:val="center"/>
              <w:rPr>
                <w:rFonts w:ascii="宋体" w:hAnsi="宋体" w:cs="宋体"/>
                <w:color w:val="auto"/>
                <w:kern w:val="0"/>
                <w:szCs w:val="21"/>
                <w:highlight w:val="none"/>
              </w:rPr>
            </w:pPr>
          </w:p>
        </w:tc>
        <w:tc>
          <w:tcPr>
            <w:tcW w:w="2082" w:type="dxa"/>
            <w:vAlign w:val="center"/>
          </w:tcPr>
          <w:p w14:paraId="381FC7A4">
            <w:pPr>
              <w:spacing w:line="360" w:lineRule="auto"/>
              <w:jc w:val="center"/>
              <w:rPr>
                <w:rFonts w:ascii="宋体" w:hAnsi="宋体" w:cs="宋体"/>
                <w:color w:val="auto"/>
                <w:kern w:val="0"/>
                <w:szCs w:val="21"/>
                <w:highlight w:val="none"/>
              </w:rPr>
            </w:pPr>
          </w:p>
        </w:tc>
      </w:tr>
      <w:tr w14:paraId="1CF3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10B1FBF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 工程承包合同及其他相关合同</w:t>
            </w:r>
          </w:p>
        </w:tc>
        <w:tc>
          <w:tcPr>
            <w:tcW w:w="1491" w:type="dxa"/>
            <w:vAlign w:val="center"/>
          </w:tcPr>
          <w:p w14:paraId="256DA611">
            <w:pPr>
              <w:spacing w:line="360" w:lineRule="auto"/>
              <w:jc w:val="center"/>
              <w:rPr>
                <w:rFonts w:ascii="宋体" w:hAnsi="宋体" w:cs="宋体"/>
                <w:color w:val="auto"/>
                <w:kern w:val="0"/>
                <w:szCs w:val="21"/>
                <w:highlight w:val="none"/>
              </w:rPr>
            </w:pPr>
          </w:p>
        </w:tc>
        <w:tc>
          <w:tcPr>
            <w:tcW w:w="2147" w:type="dxa"/>
            <w:vAlign w:val="center"/>
          </w:tcPr>
          <w:p w14:paraId="5C33D1AC">
            <w:pPr>
              <w:spacing w:line="360" w:lineRule="auto"/>
              <w:jc w:val="center"/>
              <w:rPr>
                <w:rFonts w:ascii="宋体" w:hAnsi="宋体" w:cs="宋体"/>
                <w:color w:val="auto"/>
                <w:kern w:val="0"/>
                <w:szCs w:val="21"/>
                <w:highlight w:val="none"/>
              </w:rPr>
            </w:pPr>
          </w:p>
        </w:tc>
        <w:tc>
          <w:tcPr>
            <w:tcW w:w="2082" w:type="dxa"/>
            <w:vAlign w:val="center"/>
          </w:tcPr>
          <w:p w14:paraId="328F9D5C">
            <w:pPr>
              <w:spacing w:line="360" w:lineRule="auto"/>
              <w:jc w:val="center"/>
              <w:rPr>
                <w:rFonts w:ascii="宋体" w:hAnsi="宋体" w:cs="宋体"/>
                <w:color w:val="auto"/>
                <w:kern w:val="0"/>
                <w:szCs w:val="21"/>
                <w:highlight w:val="none"/>
              </w:rPr>
            </w:pPr>
          </w:p>
        </w:tc>
      </w:tr>
      <w:tr w14:paraId="33A2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0F97911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 施工许可文件</w:t>
            </w:r>
          </w:p>
        </w:tc>
        <w:tc>
          <w:tcPr>
            <w:tcW w:w="1491" w:type="dxa"/>
            <w:vAlign w:val="center"/>
          </w:tcPr>
          <w:p w14:paraId="7CC2CF20">
            <w:pPr>
              <w:spacing w:line="360" w:lineRule="auto"/>
              <w:jc w:val="center"/>
              <w:rPr>
                <w:rFonts w:ascii="宋体" w:hAnsi="宋体" w:cs="宋体"/>
                <w:color w:val="auto"/>
                <w:kern w:val="0"/>
                <w:szCs w:val="21"/>
                <w:highlight w:val="none"/>
              </w:rPr>
            </w:pPr>
          </w:p>
        </w:tc>
        <w:tc>
          <w:tcPr>
            <w:tcW w:w="2147" w:type="dxa"/>
            <w:vAlign w:val="center"/>
          </w:tcPr>
          <w:p w14:paraId="11E846D0">
            <w:pPr>
              <w:spacing w:line="360" w:lineRule="auto"/>
              <w:jc w:val="center"/>
              <w:rPr>
                <w:rFonts w:ascii="宋体" w:hAnsi="宋体" w:cs="宋体"/>
                <w:color w:val="auto"/>
                <w:kern w:val="0"/>
                <w:szCs w:val="21"/>
                <w:highlight w:val="none"/>
              </w:rPr>
            </w:pPr>
          </w:p>
        </w:tc>
        <w:tc>
          <w:tcPr>
            <w:tcW w:w="2082" w:type="dxa"/>
            <w:vAlign w:val="center"/>
          </w:tcPr>
          <w:p w14:paraId="773A1593">
            <w:pPr>
              <w:spacing w:line="360" w:lineRule="auto"/>
              <w:jc w:val="center"/>
              <w:rPr>
                <w:rFonts w:ascii="宋体" w:hAnsi="宋体" w:cs="宋体"/>
                <w:color w:val="auto"/>
                <w:kern w:val="0"/>
                <w:szCs w:val="21"/>
                <w:highlight w:val="none"/>
              </w:rPr>
            </w:pPr>
          </w:p>
        </w:tc>
      </w:tr>
      <w:tr w14:paraId="48D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1FC79F15">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 其他文件</w:t>
            </w:r>
          </w:p>
        </w:tc>
        <w:tc>
          <w:tcPr>
            <w:tcW w:w="1491" w:type="dxa"/>
            <w:vAlign w:val="center"/>
          </w:tcPr>
          <w:p w14:paraId="02321CB0">
            <w:pPr>
              <w:spacing w:line="360" w:lineRule="auto"/>
              <w:jc w:val="center"/>
              <w:rPr>
                <w:rFonts w:ascii="宋体" w:hAnsi="宋体" w:cs="宋体"/>
                <w:color w:val="auto"/>
                <w:kern w:val="0"/>
                <w:szCs w:val="21"/>
                <w:highlight w:val="none"/>
              </w:rPr>
            </w:pPr>
          </w:p>
        </w:tc>
        <w:tc>
          <w:tcPr>
            <w:tcW w:w="2147" w:type="dxa"/>
            <w:vAlign w:val="center"/>
          </w:tcPr>
          <w:p w14:paraId="3F3839AE">
            <w:pPr>
              <w:spacing w:line="360" w:lineRule="auto"/>
              <w:jc w:val="center"/>
              <w:rPr>
                <w:rFonts w:ascii="宋体" w:hAnsi="宋体" w:cs="宋体"/>
                <w:color w:val="auto"/>
                <w:kern w:val="0"/>
                <w:szCs w:val="21"/>
                <w:highlight w:val="none"/>
              </w:rPr>
            </w:pPr>
          </w:p>
        </w:tc>
        <w:tc>
          <w:tcPr>
            <w:tcW w:w="2082" w:type="dxa"/>
            <w:vAlign w:val="center"/>
          </w:tcPr>
          <w:p w14:paraId="20B1F026">
            <w:pPr>
              <w:spacing w:line="360" w:lineRule="auto"/>
              <w:jc w:val="center"/>
              <w:rPr>
                <w:rFonts w:ascii="宋体" w:hAnsi="宋体" w:cs="宋体"/>
                <w:color w:val="auto"/>
                <w:kern w:val="0"/>
                <w:szCs w:val="21"/>
                <w:highlight w:val="none"/>
              </w:rPr>
            </w:pPr>
          </w:p>
        </w:tc>
      </w:tr>
      <w:tr w14:paraId="59B4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802" w:type="dxa"/>
            <w:vAlign w:val="center"/>
          </w:tcPr>
          <w:p w14:paraId="2C45C705">
            <w:pPr>
              <w:spacing w:line="360" w:lineRule="auto"/>
              <w:jc w:val="center"/>
              <w:rPr>
                <w:rFonts w:ascii="宋体" w:hAnsi="宋体" w:cs="宋体"/>
                <w:color w:val="auto"/>
                <w:kern w:val="0"/>
                <w:szCs w:val="21"/>
                <w:highlight w:val="none"/>
              </w:rPr>
            </w:pPr>
          </w:p>
        </w:tc>
        <w:tc>
          <w:tcPr>
            <w:tcW w:w="1491" w:type="dxa"/>
            <w:vAlign w:val="center"/>
          </w:tcPr>
          <w:p w14:paraId="3364D91E">
            <w:pPr>
              <w:spacing w:line="360" w:lineRule="auto"/>
              <w:jc w:val="center"/>
              <w:rPr>
                <w:rFonts w:ascii="宋体" w:hAnsi="宋体" w:cs="宋体"/>
                <w:color w:val="auto"/>
                <w:kern w:val="0"/>
                <w:szCs w:val="21"/>
                <w:highlight w:val="none"/>
              </w:rPr>
            </w:pPr>
          </w:p>
        </w:tc>
        <w:tc>
          <w:tcPr>
            <w:tcW w:w="2147" w:type="dxa"/>
            <w:vAlign w:val="center"/>
          </w:tcPr>
          <w:p w14:paraId="768BF3EC">
            <w:pPr>
              <w:spacing w:line="360" w:lineRule="auto"/>
              <w:jc w:val="center"/>
              <w:rPr>
                <w:rFonts w:ascii="宋体" w:hAnsi="宋体" w:cs="宋体"/>
                <w:color w:val="auto"/>
                <w:kern w:val="0"/>
                <w:szCs w:val="21"/>
                <w:highlight w:val="none"/>
              </w:rPr>
            </w:pPr>
          </w:p>
        </w:tc>
        <w:tc>
          <w:tcPr>
            <w:tcW w:w="2082" w:type="dxa"/>
            <w:vAlign w:val="center"/>
          </w:tcPr>
          <w:p w14:paraId="7E85DFB3">
            <w:pPr>
              <w:spacing w:line="360" w:lineRule="auto"/>
              <w:jc w:val="center"/>
              <w:rPr>
                <w:rFonts w:ascii="宋体" w:hAnsi="宋体" w:cs="宋体"/>
                <w:color w:val="auto"/>
                <w:kern w:val="0"/>
                <w:szCs w:val="21"/>
                <w:highlight w:val="none"/>
              </w:rPr>
            </w:pPr>
          </w:p>
        </w:tc>
      </w:tr>
    </w:tbl>
    <w:p w14:paraId="6D5F04E4">
      <w:pPr>
        <w:spacing w:before="120" w:beforeLines="50" w:line="360" w:lineRule="auto"/>
        <w:rPr>
          <w:rFonts w:ascii="宋体" w:hAnsi="宋体" w:cs="宋体"/>
          <w:b/>
          <w:color w:val="auto"/>
          <w:kern w:val="0"/>
          <w:szCs w:val="21"/>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 xml:space="preserve">  </w:t>
      </w:r>
      <w:r>
        <w:rPr>
          <w:rFonts w:hint="eastAsia" w:ascii="宋体" w:hAnsi="宋体" w:cs="宋体"/>
          <w:b/>
          <w:color w:val="auto"/>
          <w:kern w:val="0"/>
          <w:szCs w:val="21"/>
          <w:highlight w:val="none"/>
        </w:rPr>
        <w:t xml:space="preserve">  B-4 委托人提供的设备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3C66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88" w:type="dxa"/>
            <w:vAlign w:val="center"/>
          </w:tcPr>
          <w:p w14:paraId="1A84CF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590" w:type="dxa"/>
            <w:vAlign w:val="center"/>
          </w:tcPr>
          <w:p w14:paraId="29F175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vAlign w:val="center"/>
          </w:tcPr>
          <w:p w14:paraId="5B3B80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型号与规格</w:t>
            </w:r>
          </w:p>
        </w:tc>
        <w:tc>
          <w:tcPr>
            <w:tcW w:w="1860" w:type="dxa"/>
            <w:vAlign w:val="center"/>
          </w:tcPr>
          <w:p w14:paraId="19BFD6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1053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88" w:type="dxa"/>
            <w:vAlign w:val="center"/>
          </w:tcPr>
          <w:p w14:paraId="117776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 通讯设备</w:t>
            </w:r>
          </w:p>
        </w:tc>
        <w:tc>
          <w:tcPr>
            <w:tcW w:w="1590" w:type="dxa"/>
            <w:vAlign w:val="center"/>
          </w:tcPr>
          <w:p w14:paraId="29104BB6">
            <w:pPr>
              <w:spacing w:line="360" w:lineRule="auto"/>
              <w:jc w:val="center"/>
              <w:rPr>
                <w:rFonts w:ascii="宋体" w:hAnsi="宋体" w:cs="宋体"/>
                <w:color w:val="auto"/>
                <w:szCs w:val="21"/>
                <w:highlight w:val="none"/>
              </w:rPr>
            </w:pPr>
          </w:p>
        </w:tc>
        <w:tc>
          <w:tcPr>
            <w:tcW w:w="2130" w:type="dxa"/>
            <w:vAlign w:val="center"/>
          </w:tcPr>
          <w:p w14:paraId="3D60FD4A">
            <w:pPr>
              <w:spacing w:line="360" w:lineRule="auto"/>
              <w:jc w:val="center"/>
              <w:rPr>
                <w:rFonts w:ascii="宋体" w:hAnsi="宋体" w:cs="宋体"/>
                <w:color w:val="auto"/>
                <w:szCs w:val="21"/>
                <w:highlight w:val="none"/>
              </w:rPr>
            </w:pPr>
          </w:p>
        </w:tc>
        <w:tc>
          <w:tcPr>
            <w:tcW w:w="1860" w:type="dxa"/>
            <w:vAlign w:val="center"/>
          </w:tcPr>
          <w:p w14:paraId="0A59A68D">
            <w:pPr>
              <w:spacing w:line="360" w:lineRule="auto"/>
              <w:jc w:val="center"/>
              <w:rPr>
                <w:rFonts w:ascii="宋体" w:hAnsi="宋体" w:cs="宋体"/>
                <w:color w:val="auto"/>
                <w:szCs w:val="21"/>
                <w:highlight w:val="none"/>
              </w:rPr>
            </w:pPr>
          </w:p>
        </w:tc>
      </w:tr>
      <w:tr w14:paraId="2EAA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88" w:type="dxa"/>
            <w:vAlign w:val="center"/>
          </w:tcPr>
          <w:p w14:paraId="5D4D17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 办公设备</w:t>
            </w:r>
          </w:p>
        </w:tc>
        <w:tc>
          <w:tcPr>
            <w:tcW w:w="1590" w:type="dxa"/>
            <w:vAlign w:val="center"/>
          </w:tcPr>
          <w:p w14:paraId="22F15738">
            <w:pPr>
              <w:spacing w:line="360" w:lineRule="auto"/>
              <w:jc w:val="center"/>
              <w:rPr>
                <w:rFonts w:ascii="宋体" w:hAnsi="宋体" w:cs="宋体"/>
                <w:color w:val="auto"/>
                <w:szCs w:val="21"/>
                <w:highlight w:val="none"/>
              </w:rPr>
            </w:pPr>
          </w:p>
        </w:tc>
        <w:tc>
          <w:tcPr>
            <w:tcW w:w="2130" w:type="dxa"/>
            <w:vAlign w:val="center"/>
          </w:tcPr>
          <w:p w14:paraId="28FF30C2">
            <w:pPr>
              <w:spacing w:line="360" w:lineRule="auto"/>
              <w:jc w:val="center"/>
              <w:rPr>
                <w:rFonts w:ascii="宋体" w:hAnsi="宋体" w:cs="宋体"/>
                <w:color w:val="auto"/>
                <w:szCs w:val="21"/>
                <w:highlight w:val="none"/>
              </w:rPr>
            </w:pPr>
          </w:p>
        </w:tc>
        <w:tc>
          <w:tcPr>
            <w:tcW w:w="1860" w:type="dxa"/>
            <w:vAlign w:val="center"/>
          </w:tcPr>
          <w:p w14:paraId="266F0F99">
            <w:pPr>
              <w:spacing w:line="360" w:lineRule="auto"/>
              <w:jc w:val="center"/>
              <w:rPr>
                <w:rFonts w:ascii="宋体" w:hAnsi="宋体" w:cs="宋体"/>
                <w:color w:val="auto"/>
                <w:szCs w:val="21"/>
                <w:highlight w:val="none"/>
              </w:rPr>
            </w:pPr>
          </w:p>
        </w:tc>
      </w:tr>
      <w:tr w14:paraId="3A24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88" w:type="dxa"/>
            <w:vAlign w:val="center"/>
          </w:tcPr>
          <w:p w14:paraId="46335C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 交通工具</w:t>
            </w:r>
          </w:p>
        </w:tc>
        <w:tc>
          <w:tcPr>
            <w:tcW w:w="1590" w:type="dxa"/>
            <w:vAlign w:val="center"/>
          </w:tcPr>
          <w:p w14:paraId="499DFC71">
            <w:pPr>
              <w:spacing w:line="360" w:lineRule="auto"/>
              <w:jc w:val="center"/>
              <w:rPr>
                <w:rFonts w:ascii="宋体" w:hAnsi="宋体" w:cs="宋体"/>
                <w:color w:val="auto"/>
                <w:szCs w:val="21"/>
                <w:highlight w:val="none"/>
              </w:rPr>
            </w:pPr>
          </w:p>
        </w:tc>
        <w:tc>
          <w:tcPr>
            <w:tcW w:w="2130" w:type="dxa"/>
            <w:vAlign w:val="center"/>
          </w:tcPr>
          <w:p w14:paraId="30CB9769">
            <w:pPr>
              <w:spacing w:line="360" w:lineRule="auto"/>
              <w:jc w:val="center"/>
              <w:rPr>
                <w:rFonts w:ascii="宋体" w:hAnsi="宋体" w:cs="宋体"/>
                <w:color w:val="auto"/>
                <w:szCs w:val="21"/>
                <w:highlight w:val="none"/>
              </w:rPr>
            </w:pPr>
          </w:p>
        </w:tc>
        <w:tc>
          <w:tcPr>
            <w:tcW w:w="1860" w:type="dxa"/>
            <w:vAlign w:val="center"/>
          </w:tcPr>
          <w:p w14:paraId="3D7F907B">
            <w:pPr>
              <w:spacing w:line="360" w:lineRule="auto"/>
              <w:jc w:val="center"/>
              <w:rPr>
                <w:rFonts w:ascii="宋体" w:hAnsi="宋体" w:cs="宋体"/>
                <w:color w:val="auto"/>
                <w:szCs w:val="21"/>
                <w:highlight w:val="none"/>
              </w:rPr>
            </w:pPr>
          </w:p>
        </w:tc>
      </w:tr>
      <w:tr w14:paraId="2B75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88" w:type="dxa"/>
            <w:vAlign w:val="center"/>
          </w:tcPr>
          <w:p w14:paraId="2E198C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 检测和试验设备</w:t>
            </w:r>
          </w:p>
        </w:tc>
        <w:tc>
          <w:tcPr>
            <w:tcW w:w="1590" w:type="dxa"/>
            <w:vAlign w:val="center"/>
          </w:tcPr>
          <w:p w14:paraId="0CB0C953">
            <w:pPr>
              <w:spacing w:line="360" w:lineRule="auto"/>
              <w:jc w:val="center"/>
              <w:rPr>
                <w:rFonts w:ascii="宋体" w:hAnsi="宋体" w:cs="宋体"/>
                <w:color w:val="auto"/>
                <w:szCs w:val="21"/>
                <w:highlight w:val="none"/>
              </w:rPr>
            </w:pPr>
          </w:p>
        </w:tc>
        <w:tc>
          <w:tcPr>
            <w:tcW w:w="2130" w:type="dxa"/>
            <w:vAlign w:val="center"/>
          </w:tcPr>
          <w:p w14:paraId="0C189B2B">
            <w:pPr>
              <w:spacing w:line="360" w:lineRule="auto"/>
              <w:jc w:val="center"/>
              <w:rPr>
                <w:rFonts w:ascii="宋体" w:hAnsi="宋体" w:cs="宋体"/>
                <w:color w:val="auto"/>
                <w:szCs w:val="21"/>
                <w:highlight w:val="none"/>
              </w:rPr>
            </w:pPr>
          </w:p>
        </w:tc>
        <w:tc>
          <w:tcPr>
            <w:tcW w:w="1860" w:type="dxa"/>
            <w:vAlign w:val="center"/>
          </w:tcPr>
          <w:p w14:paraId="6F6D47AA">
            <w:pPr>
              <w:spacing w:line="360" w:lineRule="auto"/>
              <w:jc w:val="center"/>
              <w:rPr>
                <w:rFonts w:ascii="宋体" w:hAnsi="宋体" w:cs="宋体"/>
                <w:color w:val="auto"/>
                <w:szCs w:val="21"/>
                <w:highlight w:val="none"/>
              </w:rPr>
            </w:pPr>
          </w:p>
        </w:tc>
      </w:tr>
      <w:tr w14:paraId="24D9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88" w:type="dxa"/>
            <w:vAlign w:val="center"/>
          </w:tcPr>
          <w:p w14:paraId="751A27B9">
            <w:pPr>
              <w:spacing w:line="360" w:lineRule="auto"/>
              <w:jc w:val="center"/>
              <w:rPr>
                <w:rFonts w:ascii="宋体" w:hAnsi="宋体" w:cs="宋体"/>
                <w:color w:val="auto"/>
                <w:szCs w:val="21"/>
                <w:highlight w:val="none"/>
              </w:rPr>
            </w:pPr>
          </w:p>
        </w:tc>
        <w:tc>
          <w:tcPr>
            <w:tcW w:w="1590" w:type="dxa"/>
            <w:vAlign w:val="center"/>
          </w:tcPr>
          <w:p w14:paraId="17A0D5CA">
            <w:pPr>
              <w:spacing w:line="360" w:lineRule="auto"/>
              <w:jc w:val="center"/>
              <w:rPr>
                <w:rFonts w:ascii="宋体" w:hAnsi="宋体" w:cs="宋体"/>
                <w:color w:val="auto"/>
                <w:szCs w:val="21"/>
                <w:highlight w:val="none"/>
              </w:rPr>
            </w:pPr>
          </w:p>
        </w:tc>
        <w:tc>
          <w:tcPr>
            <w:tcW w:w="2130" w:type="dxa"/>
            <w:vAlign w:val="center"/>
          </w:tcPr>
          <w:p w14:paraId="160769E6">
            <w:pPr>
              <w:spacing w:line="360" w:lineRule="auto"/>
              <w:jc w:val="center"/>
              <w:rPr>
                <w:rFonts w:ascii="宋体" w:hAnsi="宋体" w:cs="宋体"/>
                <w:color w:val="auto"/>
                <w:szCs w:val="21"/>
                <w:highlight w:val="none"/>
              </w:rPr>
            </w:pPr>
          </w:p>
        </w:tc>
        <w:tc>
          <w:tcPr>
            <w:tcW w:w="1860" w:type="dxa"/>
            <w:vAlign w:val="center"/>
          </w:tcPr>
          <w:p w14:paraId="18DDC72C">
            <w:pPr>
              <w:spacing w:line="360" w:lineRule="auto"/>
              <w:jc w:val="center"/>
              <w:rPr>
                <w:rFonts w:ascii="宋体" w:hAnsi="宋体" w:cs="宋体"/>
                <w:color w:val="auto"/>
                <w:szCs w:val="21"/>
                <w:highlight w:val="none"/>
              </w:rPr>
            </w:pPr>
          </w:p>
        </w:tc>
      </w:tr>
    </w:tbl>
    <w:p w14:paraId="2A9588D4">
      <w:pPr>
        <w:spacing w:line="360" w:lineRule="auto"/>
        <w:rPr>
          <w:rFonts w:ascii="宋体" w:hAnsi="宋体" w:cs="宋体"/>
          <w:b/>
          <w:color w:val="auto"/>
          <w:sz w:val="24"/>
          <w:highlight w:val="none"/>
        </w:rPr>
      </w:pPr>
    </w:p>
    <w:p w14:paraId="4C916E20">
      <w:pPr>
        <w:spacing w:line="360" w:lineRule="auto"/>
        <w:jc w:val="center"/>
        <w:rPr>
          <w:rFonts w:ascii="宋体" w:hAnsi="宋体" w:cs="宋体"/>
          <w:b/>
          <w:color w:val="auto"/>
          <w:sz w:val="24"/>
          <w:highlight w:val="none"/>
        </w:rPr>
      </w:pPr>
    </w:p>
    <w:p w14:paraId="26EDD990">
      <w:pPr>
        <w:rPr>
          <w:color w:val="auto"/>
          <w:highlight w:val="none"/>
        </w:rPr>
      </w:pPr>
    </w:p>
    <w:p w14:paraId="6AF56D0C">
      <w:pPr>
        <w:rPr>
          <w:color w:val="auto"/>
          <w:highlight w:val="none"/>
        </w:rPr>
      </w:pPr>
    </w:p>
    <w:p w14:paraId="34F64CE7">
      <w:pPr>
        <w:widowControl/>
        <w:jc w:val="left"/>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 xml:space="preserve"> </w:t>
      </w:r>
    </w:p>
    <w:p w14:paraId="6CB8E9D9">
      <w:pPr>
        <w:rPr>
          <w:color w:val="auto"/>
          <w:highlight w:val="none"/>
        </w:rPr>
      </w:pPr>
      <w:r>
        <w:rPr>
          <w:rFonts w:hint="eastAsia" w:ascii="宋体" w:hAnsi="宋体" w:cs="宋体"/>
          <w:b/>
          <w:bCs/>
          <w:color w:val="auto"/>
          <w:kern w:val="0"/>
          <w:sz w:val="24"/>
          <w:highlight w:val="none"/>
          <w:lang w:bidi="ar"/>
        </w:rPr>
        <w:br w:type="page"/>
      </w:r>
    </w:p>
    <w:p w14:paraId="6A97DCF5">
      <w:pPr>
        <w:pageBreakBefore/>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对监理人员配备及其素质的基本要求</w:t>
      </w:r>
    </w:p>
    <w:p w14:paraId="2E8D28A3">
      <w:pPr>
        <w:widowControl/>
        <w:spacing w:line="360" w:lineRule="auto"/>
        <w:ind w:firstLine="482" w:firstLineChars="200"/>
        <w:rPr>
          <w:rFonts w:ascii="宋体" w:hAnsi="宋体" w:cs="宋体"/>
          <w:b/>
          <w:color w:val="auto"/>
          <w:sz w:val="24"/>
          <w:highlight w:val="none"/>
        </w:rPr>
      </w:pPr>
    </w:p>
    <w:p w14:paraId="52D2BCF6">
      <w:pPr>
        <w:widowControl/>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1、总监理工程师</w:t>
      </w:r>
    </w:p>
    <w:p w14:paraId="6BB886CD">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监理单位设总监理工程师1人，要求总监必须具有国家注册监理工程师资格。</w:t>
      </w:r>
    </w:p>
    <w:p w14:paraId="22B9557D">
      <w:pPr>
        <w:widowControl/>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2、监理工程师</w:t>
      </w:r>
    </w:p>
    <w:p w14:paraId="17E4A952">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2.1资质与业绩</w:t>
      </w:r>
    </w:p>
    <w:p w14:paraId="338DB43C">
      <w:pPr>
        <w:pStyle w:val="25"/>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专业监理工程师应具有注册的专业监理工程师资格证书。</w:t>
      </w:r>
    </w:p>
    <w:p w14:paraId="5843644A">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人员配备</w:t>
      </w:r>
    </w:p>
    <w:p w14:paraId="40617ADA">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监理单位人员的配备应保证专业配备齐全且各专业均有足够的数量；除非委托人要求，监理单位未经甲方同意不得更换投标文件中确定的总监和监理人员，否则视为违约。</w:t>
      </w:r>
    </w:p>
    <w:p w14:paraId="46585068">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委托人考核</w:t>
      </w:r>
    </w:p>
    <w:p w14:paraId="007333C6">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在整个合同实施期间，委托人有权对监理单位提供的监理人员进行对位考核，对考核不合格的人员委托人提出调换，监理单位应无条件接受。</w:t>
      </w:r>
    </w:p>
    <w:p w14:paraId="55A0F2FE">
      <w:pPr>
        <w:widowControl/>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3、监理人员人身意外保险</w:t>
      </w:r>
    </w:p>
    <w:p w14:paraId="44BF043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监理人员的人身意外保险由被委托人负责。</w:t>
      </w:r>
    </w:p>
    <w:p w14:paraId="558D1662">
      <w:pPr>
        <w:bidi w:val="0"/>
        <w:rPr>
          <w:color w:val="auto"/>
        </w:rPr>
      </w:pPr>
    </w:p>
    <w:p w14:paraId="3B4FB749">
      <w:pPr>
        <w:bidi w:val="0"/>
        <w:rPr>
          <w:color w:val="auto"/>
        </w:rPr>
      </w:pPr>
    </w:p>
    <w:p w14:paraId="3DC0A919">
      <w:pPr>
        <w:bidi w:val="0"/>
        <w:rPr>
          <w:color w:val="auto"/>
        </w:rPr>
      </w:pPr>
    </w:p>
    <w:p w14:paraId="7D3BDD07">
      <w:pPr>
        <w:bidi w:val="0"/>
        <w:rPr>
          <w:color w:val="auto"/>
        </w:rPr>
      </w:pPr>
    </w:p>
    <w:p w14:paraId="71C05513">
      <w:pPr>
        <w:bidi w:val="0"/>
        <w:rPr>
          <w:color w:val="auto"/>
        </w:rPr>
      </w:pPr>
    </w:p>
    <w:p w14:paraId="7723E84D">
      <w:pPr>
        <w:bidi w:val="0"/>
        <w:rPr>
          <w:color w:val="auto"/>
        </w:rPr>
      </w:pPr>
    </w:p>
    <w:p w14:paraId="18414519">
      <w:pPr>
        <w:bidi w:val="0"/>
        <w:rPr>
          <w:color w:val="auto"/>
        </w:rPr>
      </w:pPr>
    </w:p>
    <w:p w14:paraId="391DE1C2">
      <w:pPr>
        <w:bidi w:val="0"/>
        <w:rPr>
          <w:color w:val="auto"/>
        </w:rPr>
      </w:pPr>
    </w:p>
    <w:p w14:paraId="5EB2CFA2">
      <w:pPr>
        <w:bidi w:val="0"/>
        <w:rPr>
          <w:color w:val="auto"/>
        </w:rPr>
      </w:pPr>
    </w:p>
    <w:p w14:paraId="5CDB8D32">
      <w:pPr>
        <w:bidi w:val="0"/>
        <w:rPr>
          <w:color w:val="auto"/>
        </w:rPr>
      </w:pPr>
    </w:p>
    <w:p w14:paraId="391E2FA7">
      <w:pPr>
        <w:bidi w:val="0"/>
        <w:rPr>
          <w:color w:val="auto"/>
        </w:rPr>
      </w:pPr>
    </w:p>
    <w:p w14:paraId="65B332A9">
      <w:pPr>
        <w:bidi w:val="0"/>
        <w:rPr>
          <w:color w:val="auto"/>
        </w:rPr>
      </w:pPr>
    </w:p>
    <w:p w14:paraId="697B395B">
      <w:pPr>
        <w:bidi w:val="0"/>
        <w:rPr>
          <w:color w:val="auto"/>
        </w:rPr>
      </w:pPr>
    </w:p>
    <w:p w14:paraId="20391DF8">
      <w:pPr>
        <w:bidi w:val="0"/>
        <w:rPr>
          <w:color w:val="auto"/>
        </w:rPr>
      </w:pPr>
    </w:p>
    <w:p w14:paraId="4D4BD6D5">
      <w:pPr>
        <w:bidi w:val="0"/>
        <w:rPr>
          <w:color w:val="auto"/>
        </w:rPr>
      </w:pPr>
    </w:p>
    <w:p w14:paraId="2448B348">
      <w:pPr>
        <w:pStyle w:val="44"/>
        <w:rPr>
          <w:color w:val="auto"/>
        </w:rPr>
      </w:pPr>
    </w:p>
    <w:p w14:paraId="47B5E62B">
      <w:pPr>
        <w:pStyle w:val="2"/>
        <w:bidi w:val="0"/>
        <w:rPr>
          <w:color w:val="auto"/>
        </w:rPr>
      </w:pPr>
      <w:bookmarkStart w:id="345" w:name="_Toc1090"/>
      <w:bookmarkStart w:id="346" w:name="_Toc5402"/>
      <w:bookmarkStart w:id="347" w:name="_Toc30113"/>
      <w:r>
        <w:rPr>
          <w:color w:val="auto"/>
        </w:rPr>
        <w:t>第</w:t>
      </w:r>
      <w:r>
        <w:rPr>
          <w:rFonts w:hint="eastAsia"/>
          <w:color w:val="auto"/>
          <w:lang w:val="en-US" w:eastAsia="zh-CN"/>
        </w:rPr>
        <w:t>六</w:t>
      </w:r>
      <w:r>
        <w:rPr>
          <w:color w:val="auto"/>
        </w:rPr>
        <w:t>章</w:t>
      </w:r>
      <w:r>
        <w:rPr>
          <w:color w:val="auto"/>
        </w:rPr>
        <w:tab/>
      </w:r>
      <w:r>
        <w:rPr>
          <w:rFonts w:hint="eastAsia"/>
          <w:color w:val="auto"/>
        </w:rPr>
        <w:t xml:space="preserve"> </w:t>
      </w:r>
      <w:r>
        <w:rPr>
          <w:color w:val="auto"/>
        </w:rPr>
        <w:t>委托监理的范围和监理工作主要内容</w:t>
      </w:r>
      <w:bookmarkEnd w:id="345"/>
      <w:bookmarkEnd w:id="346"/>
      <w:bookmarkEnd w:id="347"/>
    </w:p>
    <w:p w14:paraId="01C4FFB5">
      <w:pPr>
        <w:pStyle w:val="5"/>
        <w:bidi w:val="0"/>
        <w:rPr>
          <w:color w:val="auto"/>
        </w:rPr>
      </w:pPr>
      <w:bookmarkStart w:id="348" w:name="_Toc15630"/>
      <w:bookmarkStart w:id="349" w:name="_Toc9499"/>
      <w:r>
        <w:rPr>
          <w:color w:val="auto"/>
        </w:rPr>
        <w:t>一、监理的范围</w:t>
      </w:r>
      <w:bookmarkEnd w:id="348"/>
      <w:bookmarkEnd w:id="349"/>
    </w:p>
    <w:p w14:paraId="2732A6A0">
      <w:pPr>
        <w:pStyle w:val="9"/>
        <w:bidi w:val="0"/>
        <w:rPr>
          <w:rFonts w:hint="eastAsia"/>
          <w:color w:val="auto"/>
          <w:lang w:val="en-US" w:eastAsia="zh-CN"/>
        </w:rPr>
      </w:pPr>
      <w:bookmarkStart w:id="350" w:name="_Toc27520"/>
      <w:bookmarkStart w:id="351" w:name="_Toc27809"/>
      <w:r>
        <w:rPr>
          <w:rFonts w:hint="eastAsia"/>
          <w:color w:val="auto"/>
          <w:lang w:val="en-US" w:eastAsia="zh-CN"/>
        </w:rPr>
        <w:t>本项目施工及质量缺陷阶段的全过程监理。</w:t>
      </w:r>
    </w:p>
    <w:p w14:paraId="40EFB62E">
      <w:pPr>
        <w:pStyle w:val="5"/>
        <w:bidi w:val="0"/>
        <w:rPr>
          <w:color w:val="auto"/>
        </w:rPr>
      </w:pPr>
      <w:r>
        <w:rPr>
          <w:color w:val="auto"/>
        </w:rPr>
        <w:t>二、监理工作内容</w:t>
      </w:r>
      <w:bookmarkEnd w:id="350"/>
      <w:bookmarkEnd w:id="351"/>
    </w:p>
    <w:p w14:paraId="2C35190C">
      <w:pPr>
        <w:pStyle w:val="9"/>
        <w:bidi w:val="0"/>
        <w:rPr>
          <w:color w:val="auto"/>
        </w:rPr>
      </w:pPr>
      <w:r>
        <w:rPr>
          <w:color w:val="auto"/>
        </w:rPr>
        <w:t>1、协助建设单位签订施工合同；</w:t>
      </w:r>
    </w:p>
    <w:p w14:paraId="03C47A97">
      <w:pPr>
        <w:pStyle w:val="9"/>
        <w:bidi w:val="0"/>
        <w:rPr>
          <w:color w:val="auto"/>
        </w:rPr>
      </w:pPr>
      <w:r>
        <w:rPr>
          <w:color w:val="auto"/>
        </w:rPr>
        <w:t>2、参加设计图纸交底、图纸会审，审查技术核定、设计变更；</w:t>
      </w:r>
    </w:p>
    <w:p w14:paraId="608C49DA">
      <w:pPr>
        <w:pStyle w:val="9"/>
        <w:bidi w:val="0"/>
        <w:rPr>
          <w:color w:val="auto"/>
        </w:rPr>
      </w:pPr>
      <w:r>
        <w:rPr>
          <w:color w:val="auto"/>
        </w:rPr>
        <w:t>3、审查承建商各项施工准备工作，下达开工通知书；</w:t>
      </w:r>
    </w:p>
    <w:p w14:paraId="50363E71">
      <w:pPr>
        <w:pStyle w:val="9"/>
        <w:bidi w:val="0"/>
        <w:rPr>
          <w:color w:val="auto"/>
        </w:rPr>
      </w:pPr>
      <w:r>
        <w:rPr>
          <w:color w:val="auto"/>
        </w:rPr>
        <w:t>4、审核承建商提交的施工组织设计，施工安全保证体系及质量保证措施，施工技术方案和施工进度计划，提出审核意见并督促实施；</w:t>
      </w:r>
    </w:p>
    <w:p w14:paraId="6CBC2B98">
      <w:pPr>
        <w:pStyle w:val="9"/>
        <w:bidi w:val="0"/>
        <w:rPr>
          <w:color w:val="auto"/>
        </w:rPr>
      </w:pPr>
      <w:r>
        <w:rPr>
          <w:color w:val="auto"/>
        </w:rPr>
        <w:t>5、督促检查承建商的质量管理体系和质量保证体系，严格按施工承包合同、设计文件、和有关工程建设法律、法规施工技术规范、质量验收标准进行施工；</w:t>
      </w:r>
    </w:p>
    <w:p w14:paraId="25451807">
      <w:pPr>
        <w:pStyle w:val="9"/>
        <w:bidi w:val="0"/>
        <w:rPr>
          <w:color w:val="auto"/>
        </w:rPr>
      </w:pPr>
      <w:r>
        <w:rPr>
          <w:color w:val="auto"/>
        </w:rPr>
        <w:t>6、对施工工艺过程进行质量控制，现场检查、旁站、量测、试验；</w:t>
      </w:r>
    </w:p>
    <w:p w14:paraId="08926907">
      <w:pPr>
        <w:pStyle w:val="9"/>
        <w:bidi w:val="0"/>
        <w:rPr>
          <w:color w:val="auto"/>
        </w:rPr>
      </w:pPr>
      <w:r>
        <w:rPr>
          <w:color w:val="auto"/>
        </w:rPr>
        <w:t>7、及时收集、整理工程施工质量信息、进度信息、投资信息、合同管理信息，为各项决策提供服务；</w:t>
      </w:r>
    </w:p>
    <w:p w14:paraId="18D85C1C">
      <w:pPr>
        <w:pStyle w:val="9"/>
        <w:bidi w:val="0"/>
        <w:rPr>
          <w:color w:val="auto"/>
        </w:rPr>
      </w:pPr>
      <w:r>
        <w:rPr>
          <w:color w:val="auto"/>
        </w:rPr>
        <w:t>8、协助处理合同纠纷和索赔事宜，协调委托人与承建商之间的争议及各有关单位的工作关系；</w:t>
      </w:r>
    </w:p>
    <w:p w14:paraId="246A922D">
      <w:pPr>
        <w:pStyle w:val="9"/>
        <w:bidi w:val="0"/>
        <w:rPr>
          <w:color w:val="auto"/>
        </w:rPr>
      </w:pPr>
      <w:r>
        <w:rPr>
          <w:color w:val="auto"/>
        </w:rPr>
        <w:t>9、审查工程使用的原材料、半成品、成品、构配件、设备的质量及出厂合格证明、检测报告、复验报告；</w:t>
      </w:r>
    </w:p>
    <w:p w14:paraId="4E8A1160">
      <w:pPr>
        <w:pStyle w:val="9"/>
        <w:bidi w:val="0"/>
        <w:rPr>
          <w:color w:val="auto"/>
        </w:rPr>
      </w:pPr>
      <w:r>
        <w:rPr>
          <w:color w:val="auto"/>
        </w:rPr>
        <w:t>10、控制工程施工质量，签认隐蔽工程记录，验收分项分部工程质量，对签认的质量资料负责，签发停工、复工通知单。参与工程质量事故的分析及处理，监督事故处理方案的实施；</w:t>
      </w:r>
    </w:p>
    <w:p w14:paraId="58745B80">
      <w:pPr>
        <w:pStyle w:val="9"/>
        <w:bidi w:val="0"/>
        <w:rPr>
          <w:color w:val="auto"/>
        </w:rPr>
      </w:pPr>
      <w:r>
        <w:rPr>
          <w:color w:val="auto"/>
        </w:rPr>
        <w:t>11、编制投资控制计划，复核已完成工程量，签署工程付款凭证；</w:t>
      </w:r>
    </w:p>
    <w:p w14:paraId="6D6E6A42">
      <w:pPr>
        <w:pStyle w:val="9"/>
        <w:bidi w:val="0"/>
        <w:rPr>
          <w:color w:val="auto"/>
        </w:rPr>
      </w:pPr>
      <w:r>
        <w:rPr>
          <w:color w:val="auto"/>
        </w:rPr>
        <w:t>12、设计变更的审核、经业主批准后，发布实施工程变更令；</w:t>
      </w:r>
    </w:p>
    <w:p w14:paraId="52DCF4D3">
      <w:pPr>
        <w:pStyle w:val="9"/>
        <w:bidi w:val="0"/>
        <w:rPr>
          <w:color w:val="auto"/>
        </w:rPr>
      </w:pPr>
      <w:r>
        <w:rPr>
          <w:color w:val="auto"/>
        </w:rPr>
        <w:t>13、督促承建商严格按照技术标准和设计文件施工，工程质量、进度、费用的控制，安全生产监督管理，重要工程部位督促承建商实施预控措施；</w:t>
      </w:r>
    </w:p>
    <w:p w14:paraId="641EC1B4">
      <w:pPr>
        <w:pStyle w:val="9"/>
        <w:bidi w:val="0"/>
        <w:rPr>
          <w:color w:val="auto"/>
        </w:rPr>
      </w:pPr>
      <w:r>
        <w:rPr>
          <w:color w:val="auto"/>
        </w:rPr>
        <w:t>14、分阶段进行进度控制，及时提出调整意见；</w:t>
      </w:r>
    </w:p>
    <w:p w14:paraId="3B2FB39F">
      <w:pPr>
        <w:pStyle w:val="9"/>
        <w:bidi w:val="0"/>
        <w:rPr>
          <w:rFonts w:hint="eastAsia" w:eastAsia="宋体"/>
          <w:color w:val="auto"/>
          <w:lang w:eastAsia="zh-CN"/>
        </w:rPr>
      </w:pPr>
      <w:r>
        <w:rPr>
          <w:color w:val="auto"/>
        </w:rPr>
        <w:t>15、督促检查安全生产、文明施工</w:t>
      </w:r>
      <w:r>
        <w:rPr>
          <w:rFonts w:hint="eastAsia"/>
          <w:color w:val="auto"/>
          <w:lang w:eastAsia="zh-CN"/>
        </w:rPr>
        <w:t>；</w:t>
      </w:r>
    </w:p>
    <w:p w14:paraId="02A51FBB">
      <w:pPr>
        <w:pStyle w:val="9"/>
        <w:bidi w:val="0"/>
        <w:rPr>
          <w:color w:val="auto"/>
        </w:rPr>
      </w:pPr>
      <w:r>
        <w:rPr>
          <w:color w:val="auto"/>
        </w:rPr>
        <w:t>16、编制监理月报、监理工作阶段总结；</w:t>
      </w:r>
    </w:p>
    <w:p w14:paraId="569501F6">
      <w:pPr>
        <w:pStyle w:val="9"/>
        <w:bidi w:val="0"/>
        <w:rPr>
          <w:color w:val="auto"/>
        </w:rPr>
      </w:pPr>
      <w:r>
        <w:rPr>
          <w:color w:val="auto"/>
        </w:rPr>
        <w:t>17、督促协调管理承建商整理合同文件及施工信息、技术档案资料；</w:t>
      </w:r>
    </w:p>
    <w:p w14:paraId="6516EAF9">
      <w:pPr>
        <w:pStyle w:val="9"/>
        <w:bidi w:val="0"/>
        <w:rPr>
          <w:color w:val="auto"/>
        </w:rPr>
      </w:pPr>
      <w:r>
        <w:rPr>
          <w:color w:val="auto"/>
        </w:rPr>
        <w:t>18、组织对工程初验，参与工程竣工验收，对施工质量提出评价意见；</w:t>
      </w:r>
    </w:p>
    <w:p w14:paraId="55D81557">
      <w:pPr>
        <w:pStyle w:val="9"/>
        <w:bidi w:val="0"/>
        <w:rPr>
          <w:color w:val="auto"/>
        </w:rPr>
      </w:pPr>
      <w:r>
        <w:rPr>
          <w:color w:val="auto"/>
        </w:rPr>
        <w:t>19、审查竣工图纸和其他技术文件资料；</w:t>
      </w:r>
    </w:p>
    <w:p w14:paraId="7DE364C3">
      <w:pPr>
        <w:pStyle w:val="9"/>
        <w:bidi w:val="0"/>
        <w:rPr>
          <w:color w:val="auto"/>
        </w:rPr>
      </w:pPr>
      <w:r>
        <w:rPr>
          <w:color w:val="auto"/>
        </w:rPr>
        <w:t>20、编制监理工作最终总结；</w:t>
      </w:r>
    </w:p>
    <w:p w14:paraId="1C057797">
      <w:pPr>
        <w:pStyle w:val="9"/>
        <w:bidi w:val="0"/>
        <w:rPr>
          <w:color w:val="auto"/>
        </w:rPr>
      </w:pPr>
      <w:r>
        <w:rPr>
          <w:color w:val="auto"/>
        </w:rPr>
        <w:t>21、签发交工验收证书和工程缺陷责任期终止证书；</w:t>
      </w:r>
    </w:p>
    <w:p w14:paraId="73D22B3F">
      <w:pPr>
        <w:pStyle w:val="9"/>
        <w:bidi w:val="0"/>
        <w:rPr>
          <w:color w:val="auto"/>
        </w:rPr>
      </w:pPr>
      <w:r>
        <w:rPr>
          <w:color w:val="auto"/>
        </w:rPr>
        <w:t>22、签发最终支付证书；</w:t>
      </w:r>
    </w:p>
    <w:p w14:paraId="1070866E">
      <w:pPr>
        <w:pStyle w:val="9"/>
        <w:bidi w:val="0"/>
        <w:rPr>
          <w:rFonts w:hint="eastAsia"/>
          <w:color w:val="auto"/>
          <w:lang w:val="en-US" w:eastAsia="zh-CN"/>
        </w:rPr>
      </w:pPr>
      <w:r>
        <w:rPr>
          <w:color w:val="auto"/>
        </w:rPr>
        <w:t>23、工程质保期内的回访服务。</w:t>
      </w:r>
      <w:bookmarkStart w:id="352" w:name="_Toc28403"/>
      <w:bookmarkStart w:id="353" w:name="_Toc19720"/>
      <w:bookmarkStart w:id="354" w:name="_Toc18882"/>
    </w:p>
    <w:p w14:paraId="4B835FD4">
      <w:pPr>
        <w:pStyle w:val="2"/>
        <w:bidi w:val="0"/>
        <w:rPr>
          <w:color w:val="auto"/>
        </w:rPr>
      </w:pPr>
      <w:r>
        <w:rPr>
          <w:rFonts w:hint="eastAsia"/>
          <w:color w:val="auto"/>
          <w:lang w:val="en-US" w:eastAsia="zh-CN"/>
        </w:rPr>
        <w:t xml:space="preserve">第七章  </w:t>
      </w:r>
      <w:r>
        <w:rPr>
          <w:color w:val="auto"/>
        </w:rPr>
        <w:t>投标文件格式</w:t>
      </w:r>
      <w:bookmarkEnd w:id="352"/>
      <w:bookmarkEnd w:id="353"/>
      <w:bookmarkEnd w:id="354"/>
    </w:p>
    <w:p w14:paraId="1ABA34C2">
      <w:pPr>
        <w:bidi w:val="0"/>
        <w:rPr>
          <w:color w:val="auto"/>
        </w:rPr>
      </w:pPr>
    </w:p>
    <w:p w14:paraId="4DD08E73">
      <w:pPr>
        <w:bidi w:val="0"/>
        <w:rPr>
          <w:color w:val="auto"/>
        </w:rPr>
      </w:pPr>
    </w:p>
    <w:p w14:paraId="2E24746B">
      <w:pPr>
        <w:bidi w:val="0"/>
        <w:rPr>
          <w:color w:val="auto"/>
        </w:rPr>
      </w:pPr>
    </w:p>
    <w:p w14:paraId="40C4FA77">
      <w:pPr>
        <w:bidi w:val="0"/>
        <w:rPr>
          <w:color w:val="auto"/>
        </w:rPr>
      </w:pPr>
    </w:p>
    <w:p w14:paraId="3AE852A7">
      <w:pPr>
        <w:bidi w:val="0"/>
        <w:ind w:leftChars="600"/>
        <w:rPr>
          <w:rFonts w:hint="eastAsia"/>
          <w:b/>
          <w:bCs/>
          <w:color w:val="auto"/>
          <w:sz w:val="36"/>
          <w:szCs w:val="36"/>
          <w:lang w:eastAsia="zh-CN"/>
        </w:rPr>
      </w:pPr>
      <w:bookmarkStart w:id="355" w:name="_Toc26885"/>
      <w:bookmarkStart w:id="356" w:name="_Toc12473"/>
      <w:r>
        <w:rPr>
          <w:rFonts w:hint="eastAsia"/>
          <w:b/>
          <w:bCs/>
          <w:color w:val="auto"/>
          <w:sz w:val="36"/>
          <w:szCs w:val="36"/>
          <w:u w:val="single"/>
          <w:lang w:val="en-US" w:eastAsia="zh-CN"/>
        </w:rPr>
        <w:t xml:space="preserve">             </w:t>
      </w:r>
      <w:r>
        <w:rPr>
          <w:b/>
          <w:bCs/>
          <w:color w:val="auto"/>
          <w:sz w:val="36"/>
          <w:szCs w:val="36"/>
        </w:rPr>
        <w:t>（项目名称</w:t>
      </w:r>
      <w:r>
        <w:rPr>
          <w:rFonts w:hint="eastAsia"/>
          <w:b/>
          <w:bCs/>
          <w:color w:val="auto"/>
          <w:sz w:val="36"/>
          <w:szCs w:val="36"/>
        </w:rPr>
        <w:t>）</w:t>
      </w:r>
      <w:bookmarkEnd w:id="355"/>
      <w:bookmarkEnd w:id="356"/>
      <w:r>
        <w:rPr>
          <w:rFonts w:hint="eastAsia"/>
          <w:b/>
          <w:bCs/>
          <w:color w:val="auto"/>
          <w:sz w:val="36"/>
          <w:szCs w:val="36"/>
          <w:u w:val="single"/>
          <w:lang w:val="en-US" w:eastAsia="zh-CN"/>
        </w:rPr>
        <w:t xml:space="preserve">    </w:t>
      </w:r>
      <w:r>
        <w:rPr>
          <w:rFonts w:hint="eastAsia"/>
          <w:b/>
          <w:bCs/>
          <w:color w:val="auto"/>
          <w:sz w:val="36"/>
          <w:szCs w:val="36"/>
          <w:lang w:eastAsia="zh-CN"/>
        </w:rPr>
        <w:t>标段</w:t>
      </w:r>
    </w:p>
    <w:p w14:paraId="58A502EE">
      <w:pPr>
        <w:bidi w:val="0"/>
        <w:rPr>
          <w:color w:val="auto"/>
        </w:rPr>
      </w:pPr>
    </w:p>
    <w:p w14:paraId="3213B003">
      <w:pPr>
        <w:bidi w:val="0"/>
        <w:rPr>
          <w:color w:val="auto"/>
        </w:rPr>
      </w:pPr>
    </w:p>
    <w:p w14:paraId="3A7055C1">
      <w:pPr>
        <w:bidi w:val="0"/>
        <w:rPr>
          <w:color w:val="auto"/>
        </w:rPr>
      </w:pPr>
    </w:p>
    <w:p w14:paraId="4BFA2EDA">
      <w:pPr>
        <w:pStyle w:val="3"/>
        <w:bidi w:val="0"/>
        <w:jc w:val="center"/>
        <w:rPr>
          <w:color w:val="auto"/>
          <w:sz w:val="72"/>
          <w:szCs w:val="72"/>
        </w:rPr>
      </w:pPr>
      <w:bookmarkStart w:id="357" w:name="_Toc14523"/>
      <w:bookmarkStart w:id="358" w:name="_Toc14709"/>
      <w:r>
        <w:rPr>
          <w:color w:val="auto"/>
          <w:sz w:val="72"/>
          <w:szCs w:val="72"/>
        </w:rPr>
        <w:t>投 标 文 件</w:t>
      </w:r>
      <w:bookmarkEnd w:id="357"/>
      <w:bookmarkEnd w:id="358"/>
    </w:p>
    <w:p w14:paraId="41B77F41">
      <w:pPr>
        <w:bidi w:val="0"/>
        <w:rPr>
          <w:color w:val="auto"/>
        </w:rPr>
      </w:pPr>
    </w:p>
    <w:p w14:paraId="552C539C">
      <w:pPr>
        <w:bidi w:val="0"/>
        <w:rPr>
          <w:color w:val="auto"/>
        </w:rPr>
      </w:pPr>
    </w:p>
    <w:p w14:paraId="0C187767">
      <w:pPr>
        <w:bidi w:val="0"/>
        <w:rPr>
          <w:color w:val="auto"/>
        </w:rPr>
      </w:pPr>
    </w:p>
    <w:p w14:paraId="07AA688C">
      <w:pPr>
        <w:bidi w:val="0"/>
        <w:rPr>
          <w:color w:val="auto"/>
        </w:rPr>
      </w:pPr>
    </w:p>
    <w:p w14:paraId="599F0CF4">
      <w:pPr>
        <w:bidi w:val="0"/>
        <w:rPr>
          <w:color w:val="auto"/>
        </w:rPr>
      </w:pPr>
    </w:p>
    <w:p w14:paraId="656616D5">
      <w:pPr>
        <w:bidi w:val="0"/>
        <w:rPr>
          <w:color w:val="auto"/>
        </w:rPr>
      </w:pPr>
    </w:p>
    <w:p w14:paraId="5E587089">
      <w:pPr>
        <w:bidi w:val="0"/>
        <w:rPr>
          <w:color w:val="auto"/>
        </w:rPr>
      </w:pPr>
    </w:p>
    <w:p w14:paraId="08D86810">
      <w:pPr>
        <w:bidi w:val="0"/>
        <w:rPr>
          <w:color w:val="auto"/>
        </w:rPr>
      </w:pPr>
    </w:p>
    <w:p w14:paraId="61E011F3">
      <w:pPr>
        <w:bidi w:val="0"/>
        <w:rPr>
          <w:color w:val="auto"/>
        </w:rPr>
      </w:pPr>
    </w:p>
    <w:p w14:paraId="59D05FF7">
      <w:pPr>
        <w:bidi w:val="0"/>
        <w:rPr>
          <w:color w:val="auto"/>
        </w:rPr>
      </w:pPr>
    </w:p>
    <w:p w14:paraId="18A45310">
      <w:pPr>
        <w:bidi w:val="0"/>
        <w:rPr>
          <w:color w:val="auto"/>
        </w:rPr>
      </w:pPr>
    </w:p>
    <w:p w14:paraId="39A88A85">
      <w:pPr>
        <w:bidi w:val="0"/>
        <w:rPr>
          <w:color w:val="auto"/>
        </w:rPr>
      </w:pPr>
    </w:p>
    <w:p w14:paraId="4DA9C5AF">
      <w:pPr>
        <w:bidi w:val="0"/>
        <w:rPr>
          <w:color w:val="auto"/>
        </w:rPr>
      </w:pPr>
    </w:p>
    <w:p w14:paraId="1A5F73C8">
      <w:pPr>
        <w:bidi w:val="0"/>
        <w:rPr>
          <w:color w:val="auto"/>
        </w:rPr>
      </w:pPr>
    </w:p>
    <w:p w14:paraId="6B143019">
      <w:pPr>
        <w:bidi w:val="0"/>
        <w:rPr>
          <w:color w:val="auto"/>
        </w:rPr>
      </w:pPr>
    </w:p>
    <w:p w14:paraId="64797846">
      <w:pPr>
        <w:bidi w:val="0"/>
        <w:rPr>
          <w:color w:val="auto"/>
        </w:rPr>
      </w:pPr>
    </w:p>
    <w:p w14:paraId="1DB5EE76">
      <w:pPr>
        <w:pStyle w:val="12"/>
        <w:spacing w:before="8"/>
        <w:rPr>
          <w:b/>
          <w:color w:val="auto"/>
          <w:sz w:val="17"/>
          <w:highlight w:val="none"/>
        </w:rPr>
      </w:pPr>
    </w:p>
    <w:p w14:paraId="3E5C5092">
      <w:pPr>
        <w:bidi w:val="0"/>
        <w:spacing w:line="480" w:lineRule="auto"/>
        <w:jc w:val="center"/>
        <w:rPr>
          <w:b/>
          <w:bCs/>
          <w:color w:val="auto"/>
          <w:sz w:val="28"/>
          <w:szCs w:val="28"/>
        </w:rPr>
      </w:pPr>
      <w:bookmarkStart w:id="359" w:name="_Toc24009"/>
      <w:bookmarkStart w:id="360" w:name="_Toc9201"/>
      <w:r>
        <w:rPr>
          <w:rFonts w:hint="eastAsia"/>
          <w:b/>
          <w:bCs/>
          <w:color w:val="auto"/>
          <w:sz w:val="28"/>
          <w:szCs w:val="28"/>
        </w:rPr>
        <w:t>投 标 人：</w:t>
      </w:r>
      <w:r>
        <w:rPr>
          <w:rFonts w:hint="eastAsia"/>
          <w:b/>
          <w:bCs/>
          <w:color w:val="auto"/>
          <w:sz w:val="28"/>
          <w:szCs w:val="28"/>
          <w:u w:val="single"/>
        </w:rPr>
        <w:t xml:space="preserve">        </w:t>
      </w:r>
      <w:r>
        <w:rPr>
          <w:rFonts w:hint="eastAsia"/>
          <w:b/>
          <w:bCs/>
          <w:color w:val="auto"/>
          <w:sz w:val="28"/>
          <w:szCs w:val="28"/>
          <w:u w:val="single"/>
          <w:lang w:val="en-US" w:eastAsia="zh-CN"/>
        </w:rPr>
        <w:t xml:space="preserve">              </w:t>
      </w:r>
      <w:r>
        <w:rPr>
          <w:rFonts w:hint="eastAsia"/>
          <w:b/>
          <w:bCs/>
          <w:color w:val="auto"/>
          <w:sz w:val="28"/>
          <w:szCs w:val="28"/>
          <w:u w:val="single"/>
        </w:rPr>
        <w:t xml:space="preserve">   </w:t>
      </w:r>
      <w:r>
        <w:rPr>
          <w:rFonts w:hint="eastAsia"/>
          <w:b/>
          <w:bCs/>
          <w:color w:val="auto"/>
          <w:sz w:val="28"/>
          <w:szCs w:val="28"/>
        </w:rPr>
        <w:t>（电子签章）</w:t>
      </w:r>
      <w:bookmarkEnd w:id="359"/>
      <w:bookmarkEnd w:id="360"/>
    </w:p>
    <w:p w14:paraId="5C06105D">
      <w:pPr>
        <w:bidi w:val="0"/>
        <w:spacing w:line="480" w:lineRule="auto"/>
        <w:jc w:val="center"/>
        <w:rPr>
          <w:b/>
          <w:bCs/>
          <w:color w:val="auto"/>
          <w:sz w:val="28"/>
          <w:szCs w:val="28"/>
        </w:rPr>
      </w:pPr>
      <w:bookmarkStart w:id="361" w:name="_Toc26472"/>
      <w:bookmarkStart w:id="362" w:name="_Toc19879"/>
      <w:r>
        <w:rPr>
          <w:rFonts w:hint="eastAsia"/>
          <w:b/>
          <w:bCs/>
          <w:color w:val="auto"/>
          <w:sz w:val="28"/>
          <w:szCs w:val="28"/>
        </w:rPr>
        <w:t>法定代表人：</w:t>
      </w:r>
      <w:r>
        <w:rPr>
          <w:rFonts w:hint="eastAsia"/>
          <w:b/>
          <w:bCs/>
          <w:color w:val="auto"/>
          <w:sz w:val="28"/>
          <w:szCs w:val="28"/>
          <w:u w:val="single"/>
        </w:rPr>
        <w:t xml:space="preserve">        </w:t>
      </w:r>
      <w:r>
        <w:rPr>
          <w:rFonts w:hint="eastAsia"/>
          <w:b/>
          <w:bCs/>
          <w:color w:val="auto"/>
          <w:sz w:val="28"/>
          <w:szCs w:val="28"/>
        </w:rPr>
        <w:t>（法定代表人电子签名</w:t>
      </w:r>
      <w:r>
        <w:rPr>
          <w:rFonts w:hint="eastAsia"/>
          <w:b/>
          <w:bCs/>
          <w:color w:val="auto"/>
          <w:sz w:val="28"/>
          <w:szCs w:val="28"/>
          <w:lang w:val="en-US" w:eastAsia="zh-CN"/>
        </w:rPr>
        <w:t>或签章</w:t>
      </w:r>
      <w:r>
        <w:rPr>
          <w:rFonts w:hint="eastAsia"/>
          <w:b/>
          <w:bCs/>
          <w:color w:val="auto"/>
          <w:sz w:val="28"/>
          <w:szCs w:val="28"/>
        </w:rPr>
        <w:t>）</w:t>
      </w:r>
      <w:bookmarkEnd w:id="361"/>
      <w:bookmarkEnd w:id="362"/>
    </w:p>
    <w:p w14:paraId="6E46326F">
      <w:pPr>
        <w:bidi w:val="0"/>
        <w:spacing w:line="480" w:lineRule="auto"/>
        <w:jc w:val="center"/>
        <w:rPr>
          <w:b/>
          <w:bCs/>
          <w:color w:val="auto"/>
          <w:sz w:val="28"/>
          <w:szCs w:val="28"/>
        </w:rPr>
      </w:pPr>
      <w:bookmarkStart w:id="363" w:name="_Toc18306"/>
      <w:bookmarkStart w:id="364" w:name="_Toc4137"/>
      <w:r>
        <w:rPr>
          <w:rFonts w:hint="eastAsia"/>
          <w:b/>
          <w:bCs/>
          <w:color w:val="auto"/>
          <w:sz w:val="28"/>
          <w:szCs w:val="28"/>
        </w:rPr>
        <w:t xml:space="preserve">年  </w:t>
      </w:r>
      <w:r>
        <w:rPr>
          <w:rFonts w:hint="eastAsia"/>
          <w:b/>
          <w:bCs/>
          <w:color w:val="auto"/>
          <w:sz w:val="28"/>
          <w:szCs w:val="28"/>
          <w:lang w:val="en-US" w:eastAsia="zh-CN"/>
        </w:rPr>
        <w:t xml:space="preserve">   </w:t>
      </w:r>
      <w:r>
        <w:rPr>
          <w:rFonts w:hint="eastAsia"/>
          <w:b/>
          <w:bCs/>
          <w:color w:val="auto"/>
          <w:sz w:val="28"/>
          <w:szCs w:val="28"/>
        </w:rPr>
        <w:t xml:space="preserve"> 月  </w:t>
      </w:r>
      <w:r>
        <w:rPr>
          <w:rFonts w:hint="eastAsia"/>
          <w:b/>
          <w:bCs/>
          <w:color w:val="auto"/>
          <w:sz w:val="28"/>
          <w:szCs w:val="28"/>
          <w:lang w:val="en-US" w:eastAsia="zh-CN"/>
        </w:rPr>
        <w:t xml:space="preserve">   </w:t>
      </w:r>
      <w:r>
        <w:rPr>
          <w:rFonts w:hint="eastAsia"/>
          <w:b/>
          <w:bCs/>
          <w:color w:val="auto"/>
          <w:sz w:val="28"/>
          <w:szCs w:val="28"/>
        </w:rPr>
        <w:t xml:space="preserve"> 日</w:t>
      </w:r>
      <w:bookmarkEnd w:id="363"/>
      <w:bookmarkEnd w:id="364"/>
    </w:p>
    <w:p w14:paraId="0542184D">
      <w:pPr>
        <w:pStyle w:val="3"/>
        <w:bidi w:val="0"/>
        <w:rPr>
          <w:color w:val="auto"/>
        </w:rPr>
      </w:pPr>
      <w:bookmarkStart w:id="365" w:name="_Toc2237"/>
      <w:bookmarkStart w:id="366" w:name="_Toc26538"/>
      <w:r>
        <w:rPr>
          <w:color w:val="auto"/>
        </w:rPr>
        <w:t>目  录</w:t>
      </w:r>
      <w:bookmarkEnd w:id="365"/>
      <w:bookmarkEnd w:id="366"/>
    </w:p>
    <w:p w14:paraId="77576494">
      <w:pPr>
        <w:bidi w:val="0"/>
        <w:rPr>
          <w:color w:val="auto"/>
          <w:highlight w:val="none"/>
        </w:rPr>
      </w:pPr>
      <w:bookmarkStart w:id="367" w:name="_Toc15208"/>
      <w:bookmarkStart w:id="368" w:name="_Toc17912"/>
    </w:p>
    <w:bookmarkEnd w:id="367"/>
    <w:bookmarkEnd w:id="368"/>
    <w:p w14:paraId="359CCE9B">
      <w:pPr>
        <w:spacing w:line="480" w:lineRule="auto"/>
        <w:ind w:firstLine="480" w:firstLineChars="200"/>
        <w:rPr>
          <w:color w:val="auto"/>
          <w:sz w:val="24"/>
          <w:szCs w:val="24"/>
          <w:highlight w:val="none"/>
        </w:rPr>
      </w:pPr>
      <w:r>
        <w:rPr>
          <w:rFonts w:hint="eastAsia"/>
          <w:color w:val="auto"/>
          <w:sz w:val="24"/>
          <w:szCs w:val="24"/>
          <w:highlight w:val="none"/>
          <w:lang w:val="en-US" w:eastAsia="zh-CN"/>
        </w:rPr>
        <w:t>一、</w:t>
      </w:r>
      <w:r>
        <w:rPr>
          <w:rFonts w:hint="eastAsia"/>
          <w:color w:val="auto"/>
          <w:sz w:val="24"/>
          <w:szCs w:val="24"/>
          <w:highlight w:val="none"/>
        </w:rPr>
        <w:t>投标函及投标函附录</w:t>
      </w:r>
    </w:p>
    <w:p w14:paraId="3503EEA9">
      <w:pPr>
        <w:spacing w:line="480" w:lineRule="auto"/>
        <w:ind w:firstLine="480" w:firstLineChars="200"/>
        <w:rPr>
          <w:color w:val="auto"/>
          <w:sz w:val="24"/>
          <w:szCs w:val="24"/>
          <w:highlight w:val="none"/>
        </w:rPr>
      </w:pPr>
      <w:r>
        <w:rPr>
          <w:rFonts w:hint="eastAsia"/>
          <w:color w:val="auto"/>
          <w:sz w:val="24"/>
          <w:szCs w:val="24"/>
          <w:highlight w:val="none"/>
          <w:lang w:val="en-US" w:eastAsia="zh-CN"/>
        </w:rPr>
        <w:t>二、</w:t>
      </w:r>
      <w:r>
        <w:rPr>
          <w:rFonts w:hint="eastAsia"/>
          <w:color w:val="auto"/>
          <w:sz w:val="24"/>
          <w:szCs w:val="24"/>
          <w:highlight w:val="none"/>
        </w:rPr>
        <w:t>法定代表人身份证明或附有法定代表人身份证明的授权委托书</w:t>
      </w:r>
    </w:p>
    <w:p w14:paraId="77F7CC31">
      <w:pPr>
        <w:spacing w:line="480" w:lineRule="auto"/>
        <w:ind w:firstLine="480" w:firstLineChars="200"/>
        <w:rPr>
          <w:rFonts w:hint="eastAsia"/>
          <w:color w:val="auto"/>
          <w:sz w:val="24"/>
          <w:szCs w:val="24"/>
          <w:highlight w:val="none"/>
        </w:rPr>
      </w:pPr>
      <w:r>
        <w:rPr>
          <w:rFonts w:hint="eastAsia"/>
          <w:color w:val="auto"/>
          <w:sz w:val="24"/>
          <w:szCs w:val="24"/>
          <w:highlight w:val="none"/>
          <w:lang w:val="en-US" w:eastAsia="zh-CN"/>
        </w:rPr>
        <w:t>三、</w:t>
      </w:r>
      <w:r>
        <w:rPr>
          <w:rFonts w:hint="eastAsia"/>
          <w:color w:val="auto"/>
          <w:sz w:val="24"/>
          <w:szCs w:val="24"/>
          <w:highlight w:val="none"/>
        </w:rPr>
        <w:t>监理大纲</w:t>
      </w:r>
    </w:p>
    <w:p w14:paraId="3074F35A">
      <w:pPr>
        <w:spacing w:line="480" w:lineRule="auto"/>
        <w:ind w:firstLine="480" w:firstLineChars="200"/>
        <w:rPr>
          <w:color w:val="auto"/>
          <w:sz w:val="24"/>
          <w:szCs w:val="24"/>
          <w:highlight w:val="none"/>
        </w:rPr>
      </w:pPr>
      <w:r>
        <w:rPr>
          <w:rFonts w:hint="eastAsia"/>
          <w:color w:val="auto"/>
          <w:sz w:val="24"/>
          <w:szCs w:val="24"/>
          <w:highlight w:val="none"/>
          <w:lang w:val="en-US" w:eastAsia="zh-CN"/>
        </w:rPr>
        <w:t>四、项目管理机构</w:t>
      </w:r>
    </w:p>
    <w:p w14:paraId="48DE5030">
      <w:pPr>
        <w:spacing w:line="480" w:lineRule="auto"/>
        <w:ind w:firstLine="480" w:firstLineChars="200"/>
        <w:rPr>
          <w:color w:val="auto"/>
          <w:sz w:val="24"/>
          <w:szCs w:val="24"/>
          <w:highlight w:val="none"/>
        </w:rPr>
      </w:pPr>
      <w:r>
        <w:rPr>
          <w:rFonts w:hint="eastAsia"/>
          <w:color w:val="auto"/>
          <w:sz w:val="24"/>
          <w:szCs w:val="24"/>
          <w:highlight w:val="none"/>
          <w:lang w:val="en-US" w:eastAsia="zh-CN"/>
        </w:rPr>
        <w:t>五、</w:t>
      </w:r>
      <w:r>
        <w:rPr>
          <w:rFonts w:hint="eastAsia"/>
          <w:color w:val="auto"/>
          <w:sz w:val="24"/>
          <w:szCs w:val="24"/>
          <w:highlight w:val="none"/>
        </w:rPr>
        <w:t>资格审查资料</w:t>
      </w:r>
    </w:p>
    <w:p w14:paraId="4E979447">
      <w:pPr>
        <w:spacing w:line="480" w:lineRule="auto"/>
        <w:ind w:firstLine="480" w:firstLineChars="200"/>
        <w:rPr>
          <w:color w:val="auto"/>
          <w:sz w:val="24"/>
          <w:szCs w:val="24"/>
          <w:highlight w:val="none"/>
        </w:rPr>
      </w:pPr>
      <w:r>
        <w:rPr>
          <w:rFonts w:hint="eastAsia"/>
          <w:color w:val="auto"/>
          <w:sz w:val="24"/>
          <w:szCs w:val="24"/>
          <w:highlight w:val="none"/>
          <w:lang w:val="en-US" w:eastAsia="zh-CN"/>
        </w:rPr>
        <w:t>六、</w:t>
      </w:r>
      <w:r>
        <w:rPr>
          <w:rFonts w:hint="eastAsia"/>
          <w:color w:val="auto"/>
          <w:sz w:val="24"/>
          <w:szCs w:val="24"/>
          <w:highlight w:val="none"/>
        </w:rPr>
        <w:t>其他资料；</w:t>
      </w:r>
    </w:p>
    <w:p w14:paraId="01C1CF5E">
      <w:pPr>
        <w:pStyle w:val="12"/>
        <w:rPr>
          <w:color w:val="auto"/>
          <w:sz w:val="20"/>
          <w:highlight w:val="none"/>
        </w:rPr>
      </w:pPr>
    </w:p>
    <w:p w14:paraId="3305A05A">
      <w:pPr>
        <w:pStyle w:val="12"/>
        <w:rPr>
          <w:color w:val="auto"/>
          <w:sz w:val="20"/>
          <w:highlight w:val="none"/>
        </w:rPr>
      </w:pPr>
    </w:p>
    <w:p w14:paraId="6051C253">
      <w:pPr>
        <w:pStyle w:val="12"/>
        <w:rPr>
          <w:color w:val="auto"/>
          <w:sz w:val="20"/>
          <w:highlight w:val="none"/>
        </w:rPr>
      </w:pPr>
    </w:p>
    <w:p w14:paraId="159A6563">
      <w:pPr>
        <w:pStyle w:val="12"/>
        <w:rPr>
          <w:color w:val="auto"/>
          <w:sz w:val="20"/>
          <w:highlight w:val="none"/>
        </w:rPr>
      </w:pPr>
    </w:p>
    <w:p w14:paraId="1DB6D48E">
      <w:pPr>
        <w:pStyle w:val="12"/>
        <w:spacing w:before="7"/>
        <w:rPr>
          <w:color w:val="auto"/>
          <w:sz w:val="18"/>
          <w:highlight w:val="none"/>
        </w:rPr>
      </w:pPr>
    </w:p>
    <w:p w14:paraId="2F430D84">
      <w:pPr>
        <w:pStyle w:val="12"/>
        <w:ind w:left="1000"/>
        <w:rPr>
          <w:color w:val="auto"/>
          <w:highlight w:val="none"/>
        </w:rPr>
      </w:pPr>
      <w:r>
        <w:rPr>
          <w:color w:val="auto"/>
          <w:highlight w:val="none"/>
        </w:rPr>
        <w:t xml:space="preserve"> </w:t>
      </w:r>
    </w:p>
    <w:p w14:paraId="6BEE6E16">
      <w:pPr>
        <w:pStyle w:val="12"/>
        <w:spacing w:before="172"/>
        <w:ind w:left="1000"/>
        <w:rPr>
          <w:color w:val="auto"/>
          <w:highlight w:val="none"/>
        </w:rPr>
      </w:pPr>
      <w:r>
        <w:rPr>
          <w:color w:val="auto"/>
          <w:highlight w:val="none"/>
        </w:rPr>
        <w:t xml:space="preserve"> </w:t>
      </w:r>
    </w:p>
    <w:p w14:paraId="0C4EFE81">
      <w:pPr>
        <w:rPr>
          <w:color w:val="auto"/>
          <w:highlight w:val="none"/>
        </w:rPr>
        <w:sectPr>
          <w:footerReference r:id="rId8" w:type="default"/>
          <w:pgSz w:w="11910" w:h="16840"/>
          <w:pgMar w:top="1440" w:right="1349" w:bottom="1440" w:left="1349" w:header="872" w:footer="835" w:gutter="0"/>
          <w:pgBorders>
            <w:top w:val="none" w:sz="0" w:space="0"/>
            <w:left w:val="none" w:sz="0" w:space="0"/>
            <w:bottom w:val="none" w:sz="0" w:space="0"/>
            <w:right w:val="none" w:sz="0" w:space="0"/>
          </w:pgBorders>
          <w:pgNumType w:fmt="decimal" w:start="5"/>
          <w:cols w:space="720" w:num="1"/>
        </w:sectPr>
      </w:pPr>
    </w:p>
    <w:p w14:paraId="61987DFF">
      <w:pPr>
        <w:pStyle w:val="3"/>
        <w:bidi w:val="0"/>
        <w:rPr>
          <w:color w:val="auto"/>
        </w:rPr>
      </w:pPr>
      <w:bookmarkStart w:id="369" w:name="_Toc17309"/>
      <w:bookmarkStart w:id="370" w:name="_Toc8194"/>
      <w:bookmarkStart w:id="371" w:name="_Toc23928"/>
      <w:bookmarkStart w:id="372" w:name="_Toc19667"/>
      <w:r>
        <w:rPr>
          <w:rFonts w:hint="eastAsia"/>
          <w:color w:val="auto"/>
        </w:rPr>
        <w:t>一、投标函及投标函附录</w:t>
      </w:r>
      <w:bookmarkEnd w:id="369"/>
      <w:bookmarkEnd w:id="370"/>
      <w:bookmarkEnd w:id="371"/>
      <w:bookmarkEnd w:id="372"/>
    </w:p>
    <w:p w14:paraId="39579159">
      <w:pPr>
        <w:pStyle w:val="4"/>
        <w:bidi w:val="0"/>
        <w:rPr>
          <w:color w:val="auto"/>
        </w:rPr>
      </w:pPr>
      <w:r>
        <w:rPr>
          <w:color w:val="auto"/>
        </w:rPr>
        <w:t>（</w:t>
      </w:r>
      <w:r>
        <w:rPr>
          <w:rFonts w:hint="eastAsia"/>
          <w:color w:val="auto"/>
          <w:lang w:val="en-US" w:eastAsia="zh-CN"/>
        </w:rPr>
        <w:t>一</w:t>
      </w:r>
      <w:r>
        <w:rPr>
          <w:color w:val="auto"/>
        </w:rPr>
        <w:t>）投标函</w:t>
      </w:r>
    </w:p>
    <w:p w14:paraId="6F8ECF57">
      <w:pPr>
        <w:bidi w:val="0"/>
        <w:rPr>
          <w:color w:val="auto"/>
        </w:rPr>
      </w:pPr>
    </w:p>
    <w:p w14:paraId="6CDC526C">
      <w:pPr>
        <w:bidi w:val="0"/>
        <w:rPr>
          <w:color w:val="auto"/>
        </w:rPr>
      </w:pPr>
      <w:r>
        <w:rPr>
          <w:color w:val="auto"/>
        </w:rPr>
        <w:t>致：</w:t>
      </w:r>
      <w:r>
        <w:rPr>
          <w:color w:val="auto"/>
          <w:u w:val="single"/>
        </w:rPr>
        <w:t xml:space="preserve">                         </w:t>
      </w:r>
      <w:r>
        <w:rPr>
          <w:color w:val="auto"/>
        </w:rPr>
        <w:t xml:space="preserve">（招标人） </w:t>
      </w:r>
    </w:p>
    <w:p w14:paraId="0CB625FF">
      <w:pPr>
        <w:pStyle w:val="9"/>
        <w:bidi w:val="0"/>
        <w:rPr>
          <w:color w:val="auto"/>
        </w:rPr>
      </w:pPr>
      <w:r>
        <w:rPr>
          <w:color w:val="auto"/>
        </w:rPr>
        <w:t>根据已收到的</w:t>
      </w:r>
      <w:r>
        <w:rPr>
          <w:color w:val="auto"/>
          <w:u w:val="single"/>
        </w:rPr>
        <w:t xml:space="preserve">        </w:t>
      </w:r>
      <w:r>
        <w:rPr>
          <w:rFonts w:hint="eastAsia"/>
          <w:color w:val="auto"/>
          <w:u w:val="single"/>
          <w:lang w:val="en-US" w:eastAsia="zh-CN"/>
        </w:rPr>
        <w:t xml:space="preserve">     </w:t>
      </w:r>
      <w:r>
        <w:rPr>
          <w:color w:val="auto"/>
          <w:u w:val="single"/>
        </w:rPr>
        <w:t xml:space="preserve">  </w:t>
      </w:r>
      <w:r>
        <w:rPr>
          <w:color w:val="auto"/>
        </w:rPr>
        <w:t>（项目名称）</w:t>
      </w:r>
      <w:r>
        <w:rPr>
          <w:rFonts w:hint="eastAsia"/>
          <w:color w:val="auto"/>
          <w:u w:val="single"/>
          <w:lang w:val="en-US" w:eastAsia="zh-CN"/>
        </w:rPr>
        <w:t xml:space="preserve">      </w:t>
      </w:r>
      <w:r>
        <w:rPr>
          <w:rFonts w:hint="eastAsia"/>
          <w:color w:val="auto"/>
          <w:u w:val="none"/>
          <w:lang w:val="en-US" w:eastAsia="zh-CN"/>
        </w:rPr>
        <w:t>标段</w:t>
      </w:r>
      <w:r>
        <w:rPr>
          <w:color w:val="auto"/>
        </w:rPr>
        <w:t xml:space="preserve">监理项目招标文件，遵照《中华人民共和国招标投标法》等有关规定，经详细研究，我方决定参加该项目投标活动并投标，我们郑重声明以下诸点并负法律责任： </w:t>
      </w:r>
    </w:p>
    <w:p w14:paraId="141E82F8">
      <w:pPr>
        <w:pStyle w:val="9"/>
        <w:bidi w:val="0"/>
        <w:rPr>
          <w:color w:val="auto"/>
        </w:rPr>
      </w:pPr>
      <w:r>
        <w:rPr>
          <w:color w:val="auto"/>
        </w:rPr>
        <w:t xml:space="preserve">1、我方已经详细审核了全部招标文件，包括修改、补充的文件（如果有的话）和参考数据，我方完全理解并同意放弃对这方面有不明及误解的权利； </w:t>
      </w:r>
    </w:p>
    <w:p w14:paraId="07006192">
      <w:pPr>
        <w:pStyle w:val="9"/>
        <w:bidi w:val="0"/>
        <w:rPr>
          <w:color w:val="auto"/>
        </w:rPr>
      </w:pPr>
      <w:r>
        <w:rPr>
          <w:color w:val="auto"/>
        </w:rPr>
        <w:t>2、如果我方中标，我方愿按照招标文件中的条款和要求，提供监理服务与设备， 投标报价</w:t>
      </w:r>
      <w:r>
        <w:rPr>
          <w:rFonts w:hint="eastAsia"/>
          <w:color w:val="auto"/>
          <w:lang w:eastAsia="zh-CN"/>
        </w:rPr>
        <w:t>（</w:t>
      </w:r>
      <w:r>
        <w:rPr>
          <w:rFonts w:hint="eastAsia"/>
          <w:color w:val="auto"/>
          <w:lang w:val="en-US" w:eastAsia="zh-CN"/>
        </w:rPr>
        <w:t>费率</w:t>
      </w:r>
      <w:r>
        <w:rPr>
          <w:rFonts w:hint="eastAsia"/>
          <w:color w:val="auto"/>
          <w:lang w:eastAsia="zh-CN"/>
        </w:rPr>
        <w:t>）</w:t>
      </w:r>
      <w:r>
        <w:rPr>
          <w:rFonts w:hint="eastAsia"/>
          <w:color w:val="auto"/>
        </w:rPr>
        <w:t>为</w:t>
      </w:r>
      <w:r>
        <w:rPr>
          <w:rFonts w:hint="eastAsia" w:ascii="宋体" w:hAnsi="宋体" w:cs="宋体"/>
          <w:color w:val="auto"/>
          <w:szCs w:val="21"/>
        </w:rPr>
        <w:t>本项目监理费财政评审价</w:t>
      </w:r>
      <w:r>
        <w:rPr>
          <w:rFonts w:hint="eastAsia" w:cs="宋体"/>
          <w:color w:val="auto"/>
          <w:szCs w:val="21"/>
          <w:lang w:val="en-US" w:eastAsia="zh-CN"/>
        </w:rPr>
        <w:t>的</w:t>
      </w:r>
      <w:r>
        <w:rPr>
          <w:rFonts w:hint="eastAsia"/>
          <w:color w:val="auto"/>
        </w:rPr>
        <w:t>：</w:t>
      </w:r>
      <w:r>
        <w:rPr>
          <w:rFonts w:hint="eastAsia"/>
          <w:color w:val="auto"/>
          <w:lang w:eastAsia="zh-CN"/>
        </w:rPr>
        <w:t>（大写）</w:t>
      </w:r>
      <w:r>
        <w:rPr>
          <w:rFonts w:hint="eastAsia"/>
          <w:color w:val="auto"/>
          <w:u w:val="single"/>
          <w:lang w:eastAsia="zh-CN"/>
        </w:rPr>
        <w:t xml:space="preserve">        </w:t>
      </w:r>
      <w:r>
        <w:rPr>
          <w:rFonts w:hint="eastAsia"/>
          <w:color w:val="auto"/>
          <w:lang w:eastAsia="zh-CN"/>
        </w:rPr>
        <w:t>（小写</w:t>
      </w:r>
      <w:r>
        <w:rPr>
          <w:rFonts w:hint="eastAsia"/>
          <w:color w:val="auto"/>
          <w:u w:val="single"/>
          <w:lang w:eastAsia="zh-CN"/>
        </w:rPr>
        <w:t xml:space="preserve"> </w:t>
      </w:r>
      <w:r>
        <w:rPr>
          <w:rFonts w:hint="eastAsia"/>
          <w:color w:val="auto"/>
          <w:u w:val="single"/>
          <w:lang w:eastAsia="zh-CN"/>
        </w:rPr>
        <w:tab/>
      </w:r>
      <w:r>
        <w:rPr>
          <w:rFonts w:hint="eastAsia"/>
          <w:color w:val="auto"/>
          <w:u w:val="single"/>
          <w:lang w:eastAsia="zh-CN"/>
        </w:rPr>
        <w:t xml:space="preserve">   </w:t>
      </w:r>
      <w:r>
        <w:rPr>
          <w:rFonts w:hint="eastAsia"/>
          <w:color w:val="auto"/>
          <w:u w:val="single"/>
          <w:lang w:val="en-US" w:eastAsia="zh-CN"/>
        </w:rPr>
        <w:t xml:space="preserve">  </w:t>
      </w:r>
      <w:r>
        <w:rPr>
          <w:rFonts w:hint="eastAsia"/>
          <w:color w:val="auto"/>
          <w:lang w:eastAsia="zh-CN"/>
        </w:rPr>
        <w:t>）。</w:t>
      </w:r>
      <w:r>
        <w:rPr>
          <w:color w:val="auto"/>
        </w:rPr>
        <w:t>按合同约定完成本工程，计划工期为</w:t>
      </w:r>
      <w:r>
        <w:rPr>
          <w:color w:val="auto"/>
          <w:u w:val="single"/>
        </w:rPr>
        <w:t xml:space="preserve"> </w:t>
      </w:r>
      <w:r>
        <w:rPr>
          <w:rFonts w:hint="eastAsia"/>
          <w:color w:val="auto"/>
          <w:u w:val="single"/>
          <w:lang w:val="en-US" w:eastAsia="zh-CN"/>
        </w:rPr>
        <w:t xml:space="preserve">     </w:t>
      </w:r>
      <w:r>
        <w:rPr>
          <w:color w:val="auto"/>
          <w:u w:val="single"/>
        </w:rPr>
        <w:tab/>
      </w:r>
      <w:r>
        <w:rPr>
          <w:color w:val="auto"/>
        </w:rPr>
        <w:t>，质量</w:t>
      </w:r>
      <w:r>
        <w:rPr>
          <w:rFonts w:hint="eastAsia"/>
          <w:color w:val="auto"/>
          <w:lang w:val="en-US" w:eastAsia="zh-CN"/>
        </w:rPr>
        <w:t>要求</w:t>
      </w:r>
      <w:r>
        <w:rPr>
          <w:rFonts w:hint="eastAsia"/>
          <w:color w:val="auto"/>
          <w:u w:val="single"/>
          <w:lang w:val="en-US" w:eastAsia="zh-CN"/>
        </w:rPr>
        <w:t xml:space="preserve">        </w:t>
      </w:r>
      <w:r>
        <w:rPr>
          <w:color w:val="auto"/>
        </w:rPr>
        <w:t>。</w:t>
      </w:r>
    </w:p>
    <w:p w14:paraId="6BD62DBC">
      <w:pPr>
        <w:pStyle w:val="9"/>
        <w:bidi w:val="0"/>
        <w:rPr>
          <w:color w:val="auto"/>
        </w:rPr>
      </w:pPr>
      <w:r>
        <w:rPr>
          <w:color w:val="auto"/>
        </w:rPr>
        <w:t>3、我方承诺在投标有效期内不修改、撤销投标文件。</w:t>
      </w:r>
    </w:p>
    <w:p w14:paraId="415C5CA3">
      <w:pPr>
        <w:pStyle w:val="9"/>
        <w:bidi w:val="0"/>
        <w:rPr>
          <w:color w:val="auto"/>
        </w:rPr>
      </w:pPr>
      <w:r>
        <w:rPr>
          <w:color w:val="auto"/>
        </w:rPr>
        <w:t>4、如我方中标：</w:t>
      </w:r>
    </w:p>
    <w:p w14:paraId="32A6E0CE">
      <w:pPr>
        <w:pStyle w:val="9"/>
        <w:bidi w:val="0"/>
        <w:rPr>
          <w:color w:val="auto"/>
          <w:lang w:val="en-US" w:eastAsia="zh-CN"/>
        </w:rPr>
      </w:pPr>
      <w:r>
        <w:rPr>
          <w:rFonts w:hint="eastAsia"/>
          <w:color w:val="auto"/>
          <w:lang w:val="en-US" w:eastAsia="zh-CN"/>
        </w:rPr>
        <w:t>4.1</w:t>
      </w:r>
      <w:r>
        <w:rPr>
          <w:color w:val="auto"/>
          <w:lang w:val="en-US" w:eastAsia="zh-CN"/>
        </w:rPr>
        <w:t>我方承诺在收到中标通知书后，在中标通知书规定的期限内与你方签订合同。</w:t>
      </w:r>
    </w:p>
    <w:p w14:paraId="101616A4">
      <w:pPr>
        <w:pStyle w:val="9"/>
        <w:bidi w:val="0"/>
        <w:rPr>
          <w:color w:val="auto"/>
          <w:lang w:val="en-US" w:eastAsia="zh-CN"/>
        </w:rPr>
      </w:pPr>
      <w:r>
        <w:rPr>
          <w:rFonts w:hint="eastAsia"/>
          <w:color w:val="auto"/>
          <w:lang w:val="en-US" w:eastAsia="zh-CN"/>
        </w:rPr>
        <w:t>4.2</w:t>
      </w:r>
      <w:r>
        <w:rPr>
          <w:color w:val="auto"/>
          <w:lang w:val="en-US" w:eastAsia="zh-CN"/>
        </w:rPr>
        <w:t>随同本投标函递交的投标函附录属于合同文件的组成部分。</w:t>
      </w:r>
    </w:p>
    <w:p w14:paraId="2B1A5801">
      <w:pPr>
        <w:pStyle w:val="9"/>
        <w:bidi w:val="0"/>
        <w:rPr>
          <w:color w:val="auto"/>
          <w:lang w:val="en-US" w:eastAsia="zh-CN"/>
        </w:rPr>
      </w:pPr>
      <w:r>
        <w:rPr>
          <w:rFonts w:hint="eastAsia"/>
          <w:color w:val="auto"/>
          <w:lang w:val="en-US" w:eastAsia="zh-CN"/>
        </w:rPr>
        <w:t>4.3</w:t>
      </w:r>
      <w:r>
        <w:rPr>
          <w:color w:val="auto"/>
          <w:lang w:val="en-US" w:eastAsia="zh-CN"/>
        </w:rPr>
        <w:t>我方承诺在合同约定的期限内完成并移交全部合同工程。</w:t>
      </w:r>
    </w:p>
    <w:p w14:paraId="49968C6C">
      <w:pPr>
        <w:pStyle w:val="9"/>
        <w:bidi w:val="0"/>
        <w:rPr>
          <w:color w:val="auto"/>
          <w:lang w:val="en-US" w:eastAsia="zh-CN"/>
        </w:rPr>
      </w:pPr>
      <w:r>
        <w:rPr>
          <w:rFonts w:hint="eastAsia"/>
          <w:color w:val="auto"/>
          <w:lang w:val="en-US" w:eastAsia="zh-CN"/>
        </w:rPr>
        <w:t>4.4</w:t>
      </w:r>
      <w:r>
        <w:rPr>
          <w:color w:val="auto"/>
          <w:lang w:val="en-US" w:eastAsia="zh-CN"/>
        </w:rPr>
        <w:t>我方在此声明，所递交的投标文件及有关资料内容完整、真实和准确。</w:t>
      </w:r>
    </w:p>
    <w:p w14:paraId="2F25BB3A">
      <w:pPr>
        <w:bidi w:val="0"/>
        <w:rPr>
          <w:color w:val="auto"/>
        </w:rPr>
      </w:pPr>
    </w:p>
    <w:p w14:paraId="539FDBC9">
      <w:pPr>
        <w:bidi w:val="0"/>
        <w:rPr>
          <w:color w:val="auto"/>
        </w:rPr>
      </w:pPr>
    </w:p>
    <w:p w14:paraId="522F04B3">
      <w:pPr>
        <w:bidi w:val="0"/>
        <w:rPr>
          <w:color w:val="auto"/>
        </w:rPr>
      </w:pPr>
    </w:p>
    <w:p w14:paraId="5F09E4A2">
      <w:pPr>
        <w:bidi w:val="0"/>
        <w:rPr>
          <w:color w:val="auto"/>
        </w:rPr>
      </w:pPr>
    </w:p>
    <w:p w14:paraId="704EFCA0">
      <w:pPr>
        <w:bidi w:val="0"/>
        <w:ind w:leftChars="1100"/>
        <w:rPr>
          <w:color w:val="auto"/>
        </w:rPr>
      </w:pPr>
      <w:r>
        <w:rPr>
          <w:rFonts w:hint="eastAsia"/>
          <w:color w:val="auto"/>
        </w:rPr>
        <w:t xml:space="preserve">投 </w:t>
      </w:r>
      <w:r>
        <w:rPr>
          <w:rFonts w:hint="eastAsia"/>
          <w:color w:val="auto"/>
          <w:lang w:val="en-US" w:eastAsia="zh-CN"/>
        </w:rPr>
        <w:t xml:space="preserve"> </w:t>
      </w:r>
      <w:r>
        <w:rPr>
          <w:rFonts w:hint="eastAsia"/>
          <w:color w:val="auto"/>
        </w:rPr>
        <w:t xml:space="preserve">标 </w:t>
      </w:r>
      <w:r>
        <w:rPr>
          <w:rFonts w:hint="eastAsia"/>
          <w:color w:val="auto"/>
          <w:lang w:val="en-US" w:eastAsia="zh-CN"/>
        </w:rPr>
        <w:t xml:space="preserve"> </w:t>
      </w:r>
      <w:r>
        <w:rPr>
          <w:rFonts w:hint="eastAsia"/>
          <w:color w:val="auto"/>
        </w:rPr>
        <w:t>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lang w:eastAsia="zh-CN"/>
        </w:rPr>
        <w:t>（</w:t>
      </w:r>
      <w:r>
        <w:rPr>
          <w:rFonts w:hint="eastAsia"/>
          <w:color w:val="auto"/>
        </w:rPr>
        <w:t>单位电子签章</w:t>
      </w:r>
      <w:r>
        <w:rPr>
          <w:rFonts w:hint="eastAsia" w:cs="宋体"/>
          <w:color w:val="auto"/>
          <w:szCs w:val="21"/>
          <w:highlight w:val="none"/>
          <w:u w:val="none"/>
          <w:lang w:eastAsia="zh-CN"/>
        </w:rPr>
        <w:t>）</w:t>
      </w:r>
    </w:p>
    <w:p w14:paraId="5E949599">
      <w:pPr>
        <w:bidi w:val="0"/>
        <w:ind w:leftChars="1100"/>
        <w:rPr>
          <w:rFonts w:hint="eastAsia"/>
          <w:color w:val="auto"/>
        </w:rPr>
      </w:pPr>
      <w:r>
        <w:rPr>
          <w:rFonts w:hint="eastAsia"/>
          <w:color w:val="auto"/>
        </w:rPr>
        <w:t>法定代表人：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lang w:eastAsia="zh-CN"/>
        </w:rPr>
        <w:t>（</w:t>
      </w:r>
      <w:r>
        <w:rPr>
          <w:rFonts w:hint="eastAsia"/>
          <w:color w:val="auto"/>
        </w:rPr>
        <w:t>法定代表人电子签名</w:t>
      </w:r>
      <w:r>
        <w:rPr>
          <w:rFonts w:hint="eastAsia"/>
          <w:color w:val="auto"/>
          <w:lang w:val="en-US" w:eastAsia="zh-CN"/>
        </w:rPr>
        <w:t>或签章</w:t>
      </w:r>
      <w:r>
        <w:rPr>
          <w:rFonts w:hint="eastAsia" w:cs="宋体"/>
          <w:color w:val="auto"/>
          <w:szCs w:val="21"/>
          <w:highlight w:val="none"/>
          <w:u w:val="none"/>
          <w:lang w:eastAsia="zh-CN"/>
        </w:rPr>
        <w:t>）</w:t>
      </w:r>
    </w:p>
    <w:p w14:paraId="6E3C8AE3">
      <w:pPr>
        <w:bidi w:val="0"/>
        <w:ind w:leftChars="1100"/>
        <w:rPr>
          <w:rFonts w:hint="default"/>
          <w:color w:val="auto"/>
          <w:lang w:val="en-US" w:eastAsia="zh-CN"/>
        </w:rPr>
      </w:pPr>
      <w:r>
        <w:rPr>
          <w:rFonts w:hint="eastAsia"/>
          <w:color w:val="auto"/>
          <w:lang w:val="en-US" w:eastAsia="zh-CN"/>
        </w:rPr>
        <w:t>地      址：</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14:paraId="285AE767">
      <w:pPr>
        <w:bidi w:val="0"/>
        <w:ind w:leftChars="1100"/>
        <w:rPr>
          <w:rFonts w:hint="default"/>
          <w:color w:val="auto"/>
          <w:lang w:val="en-US" w:eastAsia="zh-CN"/>
        </w:rPr>
      </w:pPr>
      <w:r>
        <w:rPr>
          <w:rFonts w:hint="eastAsia"/>
          <w:color w:val="auto"/>
          <w:lang w:val="en-US" w:eastAsia="zh-CN"/>
        </w:rPr>
        <w:t>电      话：</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14:paraId="0E54CD88">
      <w:pPr>
        <w:bidi w:val="0"/>
        <w:ind w:leftChars="1100"/>
        <w:rPr>
          <w:rFonts w:hint="eastAsia"/>
          <w:color w:val="auto"/>
          <w:lang w:val="en-US" w:eastAsia="zh-CN"/>
        </w:rPr>
      </w:pPr>
      <w:r>
        <w:rPr>
          <w:rFonts w:hint="eastAsia"/>
          <w:color w:val="auto"/>
          <w:lang w:val="en-US" w:eastAsia="zh-CN"/>
        </w:rPr>
        <w:t>日      期：</w:t>
      </w:r>
      <w:r>
        <w:rPr>
          <w:rFonts w:hint="eastAsia"/>
          <w:color w:val="auto"/>
          <w:u w:val="single"/>
          <w:lang w:val="en-US" w:eastAsia="zh-CN"/>
        </w:rPr>
        <w:t xml:space="preserve">       </w:t>
      </w:r>
      <w:r>
        <w:rPr>
          <w:rFonts w:hint="eastAsia"/>
          <w:color w:val="auto"/>
          <w:lang w:val="en-US" w:eastAsia="zh-CN"/>
        </w:rPr>
        <w:t>年</w:t>
      </w:r>
      <w:r>
        <w:rPr>
          <w:rFonts w:hint="eastAsia"/>
          <w:color w:val="auto"/>
          <w:u w:val="single"/>
          <w:lang w:val="en-US" w:eastAsia="zh-CN"/>
        </w:rPr>
        <w:t xml:space="preserve">       </w:t>
      </w:r>
      <w:r>
        <w:rPr>
          <w:rFonts w:hint="eastAsia"/>
          <w:color w:val="auto"/>
          <w:lang w:val="en-US" w:eastAsia="zh-CN"/>
        </w:rPr>
        <w:t>月</w:t>
      </w:r>
      <w:r>
        <w:rPr>
          <w:rFonts w:hint="eastAsia"/>
          <w:color w:val="auto"/>
          <w:u w:val="single"/>
          <w:lang w:val="en-US" w:eastAsia="zh-CN"/>
        </w:rPr>
        <w:t xml:space="preserve">       </w:t>
      </w:r>
      <w:r>
        <w:rPr>
          <w:rFonts w:hint="eastAsia"/>
          <w:color w:val="auto"/>
          <w:lang w:val="en-US" w:eastAsia="zh-CN"/>
        </w:rPr>
        <w:t>日</w:t>
      </w:r>
    </w:p>
    <w:p w14:paraId="4FB3CFA8">
      <w:pPr>
        <w:bidi w:val="0"/>
        <w:rPr>
          <w:rFonts w:hint="eastAsia"/>
          <w:color w:val="auto"/>
          <w:lang w:val="en-US" w:eastAsia="zh-CN"/>
        </w:rPr>
      </w:pPr>
    </w:p>
    <w:p w14:paraId="7D384240">
      <w:pPr>
        <w:bidi w:val="0"/>
        <w:rPr>
          <w:rFonts w:hint="eastAsia"/>
          <w:color w:val="auto"/>
          <w:lang w:val="en-US" w:eastAsia="zh-CN"/>
        </w:rPr>
      </w:pPr>
    </w:p>
    <w:p w14:paraId="22CA7703">
      <w:pPr>
        <w:bidi w:val="0"/>
        <w:rPr>
          <w:rFonts w:hint="eastAsia"/>
          <w:color w:val="auto"/>
          <w:lang w:val="en-US" w:eastAsia="zh-CN"/>
        </w:rPr>
      </w:pPr>
    </w:p>
    <w:p w14:paraId="6BE8146D">
      <w:pPr>
        <w:bidi w:val="0"/>
        <w:rPr>
          <w:rFonts w:hint="eastAsia"/>
          <w:color w:val="auto"/>
          <w:lang w:val="en-US" w:eastAsia="zh-CN"/>
        </w:rPr>
      </w:pPr>
    </w:p>
    <w:p w14:paraId="1999B933">
      <w:pPr>
        <w:bidi w:val="0"/>
        <w:rPr>
          <w:rFonts w:hint="eastAsia"/>
          <w:color w:val="auto"/>
          <w:lang w:val="en-US" w:eastAsia="zh-CN"/>
        </w:rPr>
      </w:pPr>
    </w:p>
    <w:p w14:paraId="52FFA97A">
      <w:pPr>
        <w:pStyle w:val="4"/>
        <w:bidi w:val="0"/>
        <w:rPr>
          <w:color w:val="auto"/>
        </w:rPr>
      </w:pPr>
      <w:r>
        <w:rPr>
          <w:color w:val="auto"/>
        </w:rPr>
        <w:t>（二）投标函附录</w:t>
      </w:r>
    </w:p>
    <w:p w14:paraId="75745E81">
      <w:pPr>
        <w:pStyle w:val="12"/>
        <w:spacing w:before="5"/>
        <w:rPr>
          <w:b/>
          <w:color w:val="auto"/>
          <w:sz w:val="6"/>
          <w:highlight w:val="none"/>
        </w:rPr>
      </w:pPr>
    </w:p>
    <w:tbl>
      <w:tblPr>
        <w:tblStyle w:val="29"/>
        <w:tblW w:w="850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83"/>
        <w:gridCol w:w="3103"/>
        <w:gridCol w:w="1343"/>
        <w:gridCol w:w="2075"/>
      </w:tblGrid>
      <w:tr w14:paraId="58CE6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0255AFFD">
            <w:pPr>
              <w:bidi w:val="0"/>
              <w:jc w:val="center"/>
              <w:rPr>
                <w:color w:val="auto"/>
                <w:highlight w:val="none"/>
              </w:rPr>
            </w:pPr>
            <w:r>
              <w:rPr>
                <w:color w:val="auto"/>
                <w:highlight w:val="none"/>
              </w:rPr>
              <w:t>项目名称</w:t>
            </w:r>
          </w:p>
        </w:tc>
        <w:tc>
          <w:tcPr>
            <w:tcW w:w="6521" w:type="dxa"/>
            <w:gridSpan w:val="3"/>
            <w:tcBorders>
              <w:tl2br w:val="nil"/>
              <w:tr2bl w:val="nil"/>
            </w:tcBorders>
            <w:tcMar>
              <w:top w:w="0" w:type="dxa"/>
              <w:left w:w="113" w:type="dxa"/>
              <w:bottom w:w="0" w:type="dxa"/>
              <w:right w:w="113" w:type="dxa"/>
            </w:tcMar>
            <w:vAlign w:val="center"/>
          </w:tcPr>
          <w:p w14:paraId="531AD266">
            <w:pPr>
              <w:bidi w:val="0"/>
              <w:rPr>
                <w:color w:val="auto"/>
                <w:highlight w:val="none"/>
              </w:rPr>
            </w:pPr>
          </w:p>
        </w:tc>
      </w:tr>
      <w:tr w14:paraId="2EA13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00D9064C">
            <w:pPr>
              <w:bidi w:val="0"/>
              <w:jc w:val="center"/>
              <w:rPr>
                <w:color w:val="auto"/>
                <w:highlight w:val="none"/>
              </w:rPr>
            </w:pPr>
            <w:r>
              <w:rPr>
                <w:color w:val="auto"/>
                <w:highlight w:val="none"/>
              </w:rPr>
              <w:t>投 标 人</w:t>
            </w:r>
          </w:p>
        </w:tc>
        <w:tc>
          <w:tcPr>
            <w:tcW w:w="6521" w:type="dxa"/>
            <w:gridSpan w:val="3"/>
            <w:tcBorders>
              <w:tl2br w:val="nil"/>
              <w:tr2bl w:val="nil"/>
            </w:tcBorders>
            <w:tcMar>
              <w:top w:w="0" w:type="dxa"/>
              <w:left w:w="113" w:type="dxa"/>
              <w:bottom w:w="0" w:type="dxa"/>
              <w:right w:w="113" w:type="dxa"/>
            </w:tcMar>
            <w:vAlign w:val="center"/>
          </w:tcPr>
          <w:p w14:paraId="3485BA83">
            <w:pPr>
              <w:bidi w:val="0"/>
              <w:rPr>
                <w:color w:val="auto"/>
                <w:highlight w:val="none"/>
              </w:rPr>
            </w:pPr>
          </w:p>
        </w:tc>
      </w:tr>
      <w:tr w14:paraId="30575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2AE9EE15">
            <w:pPr>
              <w:bidi w:val="0"/>
              <w:jc w:val="center"/>
              <w:rPr>
                <w:color w:val="auto"/>
                <w:highlight w:val="none"/>
              </w:rPr>
            </w:pPr>
            <w:r>
              <w:rPr>
                <w:color w:val="auto"/>
                <w:highlight w:val="none"/>
              </w:rPr>
              <w:t>投标报价</w:t>
            </w:r>
          </w:p>
        </w:tc>
        <w:tc>
          <w:tcPr>
            <w:tcW w:w="6521" w:type="dxa"/>
            <w:gridSpan w:val="3"/>
            <w:tcBorders>
              <w:tl2br w:val="nil"/>
              <w:tr2bl w:val="nil"/>
            </w:tcBorders>
            <w:tcMar>
              <w:top w:w="0" w:type="dxa"/>
              <w:left w:w="113" w:type="dxa"/>
              <w:bottom w:w="0" w:type="dxa"/>
              <w:right w:w="113" w:type="dxa"/>
            </w:tcMar>
            <w:vAlign w:val="center"/>
          </w:tcPr>
          <w:p w14:paraId="2FE590EA">
            <w:pPr>
              <w:bidi w:val="0"/>
              <w:rPr>
                <w:rFonts w:hint="eastAsia" w:eastAsia="宋体"/>
                <w:color w:val="auto"/>
                <w:highlight w:val="none"/>
                <w:lang w:val="en-US" w:eastAsia="zh-CN"/>
              </w:rPr>
            </w:pPr>
          </w:p>
        </w:tc>
      </w:tr>
      <w:tr w14:paraId="2546B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16A557E4">
            <w:pPr>
              <w:bidi w:val="0"/>
              <w:jc w:val="center"/>
              <w:rPr>
                <w:color w:val="auto"/>
                <w:highlight w:val="none"/>
              </w:rPr>
            </w:pPr>
            <w:r>
              <w:rPr>
                <w:color w:val="auto"/>
                <w:highlight w:val="none"/>
              </w:rPr>
              <w:t>投标范围</w:t>
            </w:r>
          </w:p>
        </w:tc>
        <w:tc>
          <w:tcPr>
            <w:tcW w:w="6521" w:type="dxa"/>
            <w:gridSpan w:val="3"/>
            <w:tcBorders>
              <w:tl2br w:val="nil"/>
              <w:tr2bl w:val="nil"/>
            </w:tcBorders>
            <w:tcMar>
              <w:top w:w="0" w:type="dxa"/>
              <w:left w:w="113" w:type="dxa"/>
              <w:bottom w:w="0" w:type="dxa"/>
              <w:right w:w="113" w:type="dxa"/>
            </w:tcMar>
            <w:vAlign w:val="center"/>
          </w:tcPr>
          <w:p w14:paraId="00AACD4D">
            <w:pPr>
              <w:bidi w:val="0"/>
              <w:rPr>
                <w:color w:val="auto"/>
                <w:highlight w:val="none"/>
              </w:rPr>
            </w:pPr>
          </w:p>
        </w:tc>
      </w:tr>
      <w:tr w14:paraId="32D19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3" w:hRule="atLeast"/>
          <w:jc w:val="center"/>
        </w:trPr>
        <w:tc>
          <w:tcPr>
            <w:tcW w:w="1983" w:type="dxa"/>
            <w:tcBorders>
              <w:tl2br w:val="nil"/>
              <w:tr2bl w:val="nil"/>
            </w:tcBorders>
            <w:tcMar>
              <w:top w:w="0" w:type="dxa"/>
              <w:left w:w="113" w:type="dxa"/>
              <w:bottom w:w="0" w:type="dxa"/>
              <w:right w:w="113" w:type="dxa"/>
            </w:tcMar>
            <w:vAlign w:val="center"/>
          </w:tcPr>
          <w:p w14:paraId="4CD16E93">
            <w:pPr>
              <w:bidi w:val="0"/>
              <w:jc w:val="center"/>
              <w:rPr>
                <w:color w:val="auto"/>
                <w:highlight w:val="none"/>
              </w:rPr>
            </w:pPr>
            <w:r>
              <w:rPr>
                <w:rFonts w:hint="eastAsia"/>
                <w:color w:val="auto"/>
                <w:lang w:eastAsia="zh-CN"/>
              </w:rPr>
              <w:t>监理服务期限</w:t>
            </w:r>
          </w:p>
        </w:tc>
        <w:tc>
          <w:tcPr>
            <w:tcW w:w="6521" w:type="dxa"/>
            <w:gridSpan w:val="3"/>
            <w:tcBorders>
              <w:tl2br w:val="nil"/>
              <w:tr2bl w:val="nil"/>
            </w:tcBorders>
            <w:tcMar>
              <w:top w:w="0" w:type="dxa"/>
              <w:left w:w="113" w:type="dxa"/>
              <w:bottom w:w="0" w:type="dxa"/>
              <w:right w:w="113" w:type="dxa"/>
            </w:tcMar>
            <w:vAlign w:val="center"/>
          </w:tcPr>
          <w:p w14:paraId="08CC2D66">
            <w:pPr>
              <w:bidi w:val="0"/>
              <w:rPr>
                <w:color w:val="auto"/>
                <w:highlight w:val="none"/>
              </w:rPr>
            </w:pPr>
          </w:p>
        </w:tc>
      </w:tr>
      <w:tr w14:paraId="7C65F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150827B2">
            <w:pPr>
              <w:bidi w:val="0"/>
              <w:jc w:val="center"/>
              <w:rPr>
                <w:rFonts w:hint="default"/>
                <w:color w:val="auto"/>
                <w:highlight w:val="none"/>
                <w:lang w:val="en-US" w:eastAsia="zh-CN"/>
              </w:rPr>
            </w:pPr>
            <w:r>
              <w:rPr>
                <w:rFonts w:hint="eastAsia"/>
                <w:color w:val="auto"/>
                <w:highlight w:val="none"/>
                <w:lang w:val="en-US" w:eastAsia="zh-CN"/>
              </w:rPr>
              <w:t>质量要求</w:t>
            </w:r>
          </w:p>
        </w:tc>
        <w:tc>
          <w:tcPr>
            <w:tcW w:w="6521" w:type="dxa"/>
            <w:gridSpan w:val="3"/>
            <w:tcBorders>
              <w:tl2br w:val="nil"/>
              <w:tr2bl w:val="nil"/>
            </w:tcBorders>
            <w:tcMar>
              <w:top w:w="0" w:type="dxa"/>
              <w:left w:w="113" w:type="dxa"/>
              <w:bottom w:w="0" w:type="dxa"/>
              <w:right w:w="113" w:type="dxa"/>
            </w:tcMar>
            <w:vAlign w:val="center"/>
          </w:tcPr>
          <w:p w14:paraId="3DD12F3E">
            <w:pPr>
              <w:bidi w:val="0"/>
              <w:rPr>
                <w:color w:val="auto"/>
                <w:highlight w:val="none"/>
              </w:rPr>
            </w:pPr>
          </w:p>
        </w:tc>
      </w:tr>
      <w:tr w14:paraId="77EA7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56CB0CF0">
            <w:pPr>
              <w:bidi w:val="0"/>
              <w:jc w:val="center"/>
              <w:rPr>
                <w:color w:val="auto"/>
                <w:highlight w:val="none"/>
              </w:rPr>
            </w:pPr>
            <w:r>
              <w:rPr>
                <w:color w:val="auto"/>
                <w:highlight w:val="none"/>
              </w:rPr>
              <w:t>投标有效期</w:t>
            </w:r>
          </w:p>
        </w:tc>
        <w:tc>
          <w:tcPr>
            <w:tcW w:w="6521" w:type="dxa"/>
            <w:gridSpan w:val="3"/>
            <w:tcBorders>
              <w:tl2br w:val="nil"/>
              <w:tr2bl w:val="nil"/>
            </w:tcBorders>
            <w:tcMar>
              <w:top w:w="0" w:type="dxa"/>
              <w:left w:w="113" w:type="dxa"/>
              <w:bottom w:w="0" w:type="dxa"/>
              <w:right w:w="113" w:type="dxa"/>
            </w:tcMar>
            <w:vAlign w:val="center"/>
          </w:tcPr>
          <w:p w14:paraId="2CC8F540">
            <w:pPr>
              <w:bidi w:val="0"/>
              <w:jc w:val="center"/>
              <w:rPr>
                <w:color w:val="auto"/>
                <w:highlight w:val="none"/>
              </w:rPr>
            </w:pPr>
          </w:p>
        </w:tc>
      </w:tr>
      <w:tr w14:paraId="55CF2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3FCAF846">
            <w:pPr>
              <w:bidi w:val="0"/>
              <w:jc w:val="center"/>
              <w:rPr>
                <w:color w:val="auto"/>
                <w:highlight w:val="none"/>
              </w:rPr>
            </w:pPr>
            <w:r>
              <w:rPr>
                <w:color w:val="auto"/>
                <w:highlight w:val="none"/>
              </w:rPr>
              <w:t>项目总监</w:t>
            </w:r>
          </w:p>
        </w:tc>
        <w:tc>
          <w:tcPr>
            <w:tcW w:w="3103" w:type="dxa"/>
            <w:tcBorders>
              <w:tl2br w:val="nil"/>
              <w:tr2bl w:val="nil"/>
            </w:tcBorders>
            <w:tcMar>
              <w:top w:w="0" w:type="dxa"/>
              <w:left w:w="113" w:type="dxa"/>
              <w:bottom w:w="0" w:type="dxa"/>
              <w:right w:w="113" w:type="dxa"/>
            </w:tcMar>
            <w:vAlign w:val="center"/>
          </w:tcPr>
          <w:p w14:paraId="357088F7">
            <w:pPr>
              <w:bidi w:val="0"/>
              <w:jc w:val="center"/>
              <w:rPr>
                <w:color w:val="auto"/>
                <w:highlight w:val="none"/>
              </w:rPr>
            </w:pPr>
          </w:p>
          <w:p w14:paraId="7C013E5E">
            <w:pPr>
              <w:bidi w:val="0"/>
              <w:jc w:val="center"/>
              <w:rPr>
                <w:color w:val="auto"/>
                <w:highlight w:val="none"/>
              </w:rPr>
            </w:pPr>
          </w:p>
        </w:tc>
        <w:tc>
          <w:tcPr>
            <w:tcW w:w="1343" w:type="dxa"/>
            <w:tcBorders>
              <w:tl2br w:val="nil"/>
              <w:tr2bl w:val="nil"/>
            </w:tcBorders>
            <w:tcMar>
              <w:top w:w="0" w:type="dxa"/>
              <w:left w:w="113" w:type="dxa"/>
              <w:bottom w:w="0" w:type="dxa"/>
              <w:right w:w="113" w:type="dxa"/>
            </w:tcMar>
            <w:vAlign w:val="center"/>
          </w:tcPr>
          <w:p w14:paraId="58D0BE07">
            <w:pPr>
              <w:bidi w:val="0"/>
              <w:jc w:val="center"/>
              <w:rPr>
                <w:color w:val="auto"/>
                <w:highlight w:val="none"/>
              </w:rPr>
            </w:pPr>
            <w:r>
              <w:rPr>
                <w:rFonts w:hint="eastAsia"/>
                <w:color w:val="auto"/>
                <w:highlight w:val="none"/>
                <w:lang w:val="en-US" w:eastAsia="zh-CN"/>
              </w:rPr>
              <w:t>证书</w:t>
            </w:r>
            <w:r>
              <w:rPr>
                <w:color w:val="auto"/>
                <w:highlight w:val="none"/>
              </w:rPr>
              <w:t>编号</w:t>
            </w:r>
          </w:p>
        </w:tc>
        <w:tc>
          <w:tcPr>
            <w:tcW w:w="2075" w:type="dxa"/>
            <w:tcBorders>
              <w:tl2br w:val="nil"/>
              <w:tr2bl w:val="nil"/>
            </w:tcBorders>
            <w:tcMar>
              <w:top w:w="0" w:type="dxa"/>
              <w:left w:w="113" w:type="dxa"/>
              <w:bottom w:w="0" w:type="dxa"/>
              <w:right w:w="113" w:type="dxa"/>
            </w:tcMar>
            <w:vAlign w:val="center"/>
          </w:tcPr>
          <w:p w14:paraId="05E1D8E9">
            <w:pPr>
              <w:bidi w:val="0"/>
              <w:jc w:val="center"/>
              <w:rPr>
                <w:color w:val="auto"/>
                <w:highlight w:val="none"/>
              </w:rPr>
            </w:pPr>
          </w:p>
          <w:p w14:paraId="7947442A">
            <w:pPr>
              <w:bidi w:val="0"/>
              <w:jc w:val="center"/>
              <w:rPr>
                <w:color w:val="auto"/>
                <w:highlight w:val="none"/>
              </w:rPr>
            </w:pPr>
          </w:p>
        </w:tc>
      </w:tr>
      <w:tr w14:paraId="2AB99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1983" w:type="dxa"/>
            <w:tcBorders>
              <w:tl2br w:val="nil"/>
              <w:tr2bl w:val="nil"/>
            </w:tcBorders>
            <w:tcMar>
              <w:top w:w="0" w:type="dxa"/>
              <w:left w:w="113" w:type="dxa"/>
              <w:bottom w:w="0" w:type="dxa"/>
              <w:right w:w="113" w:type="dxa"/>
            </w:tcMar>
            <w:vAlign w:val="center"/>
          </w:tcPr>
          <w:p w14:paraId="3D3E7C11">
            <w:pPr>
              <w:bidi w:val="0"/>
              <w:jc w:val="center"/>
              <w:rPr>
                <w:color w:val="auto"/>
                <w:highlight w:val="none"/>
              </w:rPr>
            </w:pPr>
            <w:r>
              <w:rPr>
                <w:color w:val="auto"/>
                <w:highlight w:val="none"/>
              </w:rPr>
              <w:t>备注</w:t>
            </w:r>
          </w:p>
        </w:tc>
        <w:tc>
          <w:tcPr>
            <w:tcW w:w="6521" w:type="dxa"/>
            <w:gridSpan w:val="3"/>
            <w:tcBorders>
              <w:tl2br w:val="nil"/>
              <w:tr2bl w:val="nil"/>
            </w:tcBorders>
            <w:tcMar>
              <w:top w:w="0" w:type="dxa"/>
              <w:left w:w="113" w:type="dxa"/>
              <w:bottom w:w="0" w:type="dxa"/>
              <w:right w:w="113" w:type="dxa"/>
            </w:tcMar>
            <w:vAlign w:val="center"/>
          </w:tcPr>
          <w:p w14:paraId="759751F6">
            <w:pPr>
              <w:bidi w:val="0"/>
              <w:rPr>
                <w:color w:val="auto"/>
                <w:highlight w:val="none"/>
              </w:rPr>
            </w:pPr>
          </w:p>
          <w:p w14:paraId="7DDF14CD">
            <w:pPr>
              <w:bidi w:val="0"/>
              <w:rPr>
                <w:color w:val="auto"/>
                <w:highlight w:val="none"/>
              </w:rPr>
            </w:pPr>
            <w:r>
              <w:rPr>
                <w:color w:val="auto"/>
                <w:highlight w:val="none"/>
              </w:rPr>
              <w:t xml:space="preserve"> </w:t>
            </w:r>
          </w:p>
        </w:tc>
      </w:tr>
    </w:tbl>
    <w:p w14:paraId="16B35158">
      <w:pPr>
        <w:bidi w:val="0"/>
        <w:rPr>
          <w:color w:val="auto"/>
        </w:rPr>
      </w:pPr>
    </w:p>
    <w:p w14:paraId="58049502">
      <w:pPr>
        <w:bidi w:val="0"/>
        <w:rPr>
          <w:color w:val="auto"/>
        </w:rPr>
      </w:pPr>
    </w:p>
    <w:p w14:paraId="2793D982">
      <w:pPr>
        <w:bidi w:val="0"/>
        <w:ind w:leftChars="1100"/>
        <w:rPr>
          <w:color w:val="auto"/>
        </w:rPr>
      </w:pPr>
      <w:r>
        <w:rPr>
          <w:rFonts w:hint="eastAsia"/>
          <w:color w:val="auto"/>
        </w:rPr>
        <w:t xml:space="preserve">投 </w:t>
      </w:r>
      <w:r>
        <w:rPr>
          <w:rFonts w:hint="eastAsia"/>
          <w:color w:val="auto"/>
          <w:lang w:val="en-US" w:eastAsia="zh-CN"/>
        </w:rPr>
        <w:t xml:space="preserve"> </w:t>
      </w:r>
      <w:r>
        <w:rPr>
          <w:rFonts w:hint="eastAsia"/>
          <w:color w:val="auto"/>
        </w:rPr>
        <w:t xml:space="preserve">标 </w:t>
      </w:r>
      <w:r>
        <w:rPr>
          <w:rFonts w:hint="eastAsia"/>
          <w:color w:val="auto"/>
          <w:lang w:val="en-US" w:eastAsia="zh-CN"/>
        </w:rPr>
        <w:t xml:space="preserve"> </w:t>
      </w:r>
      <w:r>
        <w:rPr>
          <w:rFonts w:hint="eastAsia"/>
          <w:color w:val="auto"/>
        </w:rPr>
        <w:t>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lang w:eastAsia="zh-CN"/>
        </w:rPr>
        <w:t>（</w:t>
      </w:r>
      <w:r>
        <w:rPr>
          <w:rFonts w:hint="eastAsia"/>
          <w:color w:val="auto"/>
        </w:rPr>
        <w:t>单位电子签章</w:t>
      </w:r>
      <w:r>
        <w:rPr>
          <w:rFonts w:hint="eastAsia" w:cs="宋体"/>
          <w:color w:val="auto"/>
          <w:szCs w:val="21"/>
          <w:highlight w:val="none"/>
          <w:u w:val="none"/>
          <w:lang w:eastAsia="zh-CN"/>
        </w:rPr>
        <w:t>）</w:t>
      </w:r>
    </w:p>
    <w:p w14:paraId="171B342B">
      <w:pPr>
        <w:bidi w:val="0"/>
        <w:ind w:leftChars="1100"/>
        <w:rPr>
          <w:rFonts w:hint="eastAsia"/>
          <w:color w:val="auto"/>
        </w:rPr>
      </w:pPr>
      <w:r>
        <w:rPr>
          <w:rFonts w:hint="eastAsia"/>
          <w:color w:val="auto"/>
        </w:rPr>
        <w:t>法定代表人：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lang w:eastAsia="zh-CN"/>
        </w:rPr>
        <w:t>（</w:t>
      </w:r>
      <w:r>
        <w:rPr>
          <w:rFonts w:hint="eastAsia"/>
          <w:color w:val="auto"/>
        </w:rPr>
        <w:t>法定代表人电子签名</w:t>
      </w:r>
      <w:r>
        <w:rPr>
          <w:rFonts w:hint="eastAsia"/>
          <w:color w:val="auto"/>
          <w:lang w:val="en-US" w:eastAsia="zh-CN"/>
        </w:rPr>
        <w:t>或签章</w:t>
      </w:r>
      <w:r>
        <w:rPr>
          <w:rFonts w:hint="eastAsia" w:cs="宋体"/>
          <w:color w:val="auto"/>
          <w:szCs w:val="21"/>
          <w:highlight w:val="none"/>
          <w:u w:val="none"/>
          <w:lang w:eastAsia="zh-CN"/>
        </w:rPr>
        <w:t>）</w:t>
      </w:r>
    </w:p>
    <w:p w14:paraId="15B74EA8">
      <w:pPr>
        <w:bidi w:val="0"/>
        <w:ind w:leftChars="1100"/>
        <w:rPr>
          <w:rFonts w:hint="eastAsia"/>
          <w:color w:val="auto"/>
          <w:lang w:val="en-US" w:eastAsia="zh-CN"/>
        </w:rPr>
      </w:pPr>
      <w:r>
        <w:rPr>
          <w:rFonts w:hint="eastAsia"/>
          <w:color w:val="auto"/>
          <w:lang w:val="en-US" w:eastAsia="zh-CN"/>
        </w:rPr>
        <w:t>日      期：</w:t>
      </w:r>
      <w:r>
        <w:rPr>
          <w:rFonts w:hint="eastAsia"/>
          <w:color w:val="auto"/>
          <w:u w:val="single"/>
          <w:lang w:val="en-US" w:eastAsia="zh-CN"/>
        </w:rPr>
        <w:t xml:space="preserve">       </w:t>
      </w:r>
      <w:r>
        <w:rPr>
          <w:rFonts w:hint="eastAsia"/>
          <w:color w:val="auto"/>
          <w:lang w:val="en-US" w:eastAsia="zh-CN"/>
        </w:rPr>
        <w:t>年</w:t>
      </w:r>
      <w:r>
        <w:rPr>
          <w:rFonts w:hint="eastAsia"/>
          <w:color w:val="auto"/>
          <w:u w:val="single"/>
          <w:lang w:val="en-US" w:eastAsia="zh-CN"/>
        </w:rPr>
        <w:t xml:space="preserve">       </w:t>
      </w:r>
      <w:r>
        <w:rPr>
          <w:rFonts w:hint="eastAsia"/>
          <w:color w:val="auto"/>
          <w:lang w:val="en-US" w:eastAsia="zh-CN"/>
        </w:rPr>
        <w:t>月</w:t>
      </w:r>
      <w:r>
        <w:rPr>
          <w:rFonts w:hint="eastAsia"/>
          <w:color w:val="auto"/>
          <w:u w:val="single"/>
          <w:lang w:val="en-US" w:eastAsia="zh-CN"/>
        </w:rPr>
        <w:t xml:space="preserve">       </w:t>
      </w:r>
      <w:r>
        <w:rPr>
          <w:rFonts w:hint="eastAsia"/>
          <w:color w:val="auto"/>
          <w:lang w:val="en-US" w:eastAsia="zh-CN"/>
        </w:rPr>
        <w:t>日</w:t>
      </w:r>
    </w:p>
    <w:p w14:paraId="1E6D7693">
      <w:pPr>
        <w:bidi w:val="0"/>
        <w:rPr>
          <w:color w:val="auto"/>
        </w:rPr>
      </w:pPr>
    </w:p>
    <w:p w14:paraId="111CF489">
      <w:pPr>
        <w:bidi w:val="0"/>
        <w:rPr>
          <w:color w:val="auto"/>
        </w:rPr>
      </w:pPr>
    </w:p>
    <w:p w14:paraId="41BB3BEA">
      <w:pPr>
        <w:pStyle w:val="3"/>
        <w:bidi w:val="0"/>
        <w:rPr>
          <w:color w:val="auto"/>
        </w:rPr>
      </w:pPr>
      <w:bookmarkStart w:id="373" w:name="_Toc7745"/>
      <w:bookmarkStart w:id="374" w:name="_Toc26593"/>
      <w:r>
        <w:rPr>
          <w:rFonts w:hint="eastAsia"/>
          <w:color w:val="auto"/>
        </w:rPr>
        <w:t>二、法人代表身份证明或附有法定代表人身份证明的授权委托书</w:t>
      </w:r>
      <w:bookmarkEnd w:id="373"/>
      <w:bookmarkEnd w:id="374"/>
    </w:p>
    <w:p w14:paraId="42A37FF4">
      <w:pPr>
        <w:pStyle w:val="4"/>
        <w:bidi w:val="0"/>
        <w:rPr>
          <w:color w:val="auto"/>
        </w:rPr>
      </w:pPr>
      <w:bookmarkStart w:id="375" w:name="_Toc17820"/>
      <w:bookmarkStart w:id="376" w:name="_Toc25016"/>
      <w:r>
        <w:rPr>
          <w:rFonts w:hint="eastAsia"/>
          <w:color w:val="auto"/>
        </w:rPr>
        <w:t>（一）</w:t>
      </w:r>
      <w:r>
        <w:rPr>
          <w:color w:val="auto"/>
        </w:rPr>
        <w:t>法定代表人身份证明书</w:t>
      </w:r>
      <w:bookmarkEnd w:id="375"/>
      <w:bookmarkEnd w:id="376"/>
    </w:p>
    <w:p w14:paraId="0B16A1EB">
      <w:pPr>
        <w:bidi w:val="0"/>
        <w:rPr>
          <w:color w:val="auto"/>
        </w:rPr>
      </w:pPr>
      <w:r>
        <w:rPr>
          <w:color w:val="auto"/>
          <w:highlight w:val="none"/>
        </w:rPr>
        <w:t xml:space="preserve"> </w:t>
      </w:r>
    </w:p>
    <w:p w14:paraId="681CC1E2">
      <w:pPr>
        <w:pStyle w:val="9"/>
        <w:bidi w:val="0"/>
        <w:rPr>
          <w:color w:val="auto"/>
          <w:u w:val="single"/>
        </w:rPr>
      </w:pPr>
      <w:r>
        <w:rPr>
          <w:rFonts w:hint="eastAsia"/>
          <w:color w:val="auto"/>
        </w:rPr>
        <w:t>投 标 人：</w:t>
      </w:r>
      <w:r>
        <w:rPr>
          <w:rFonts w:hint="eastAsia"/>
          <w:color w:val="auto"/>
          <w:u w:val="single"/>
        </w:rPr>
        <w:t xml:space="preserve">                                               </w:t>
      </w:r>
    </w:p>
    <w:p w14:paraId="0348FB9C">
      <w:pPr>
        <w:pStyle w:val="9"/>
        <w:bidi w:val="0"/>
        <w:rPr>
          <w:color w:val="auto"/>
        </w:rPr>
      </w:pPr>
      <w:r>
        <w:rPr>
          <w:rFonts w:hint="eastAsia"/>
          <w:color w:val="auto"/>
        </w:rPr>
        <w:t>单位性质：</w:t>
      </w:r>
      <w:r>
        <w:rPr>
          <w:rFonts w:hint="eastAsia"/>
          <w:color w:val="auto"/>
          <w:u w:val="single"/>
        </w:rPr>
        <w:t xml:space="preserve">                                               </w:t>
      </w:r>
    </w:p>
    <w:p w14:paraId="49655413">
      <w:pPr>
        <w:pStyle w:val="9"/>
        <w:bidi w:val="0"/>
        <w:rPr>
          <w:color w:val="auto"/>
          <w:u w:val="single"/>
        </w:rPr>
      </w:pPr>
      <w:r>
        <w:rPr>
          <w:rFonts w:hint="eastAsia"/>
          <w:color w:val="auto"/>
        </w:rPr>
        <w:t>地    址：</w:t>
      </w:r>
      <w:r>
        <w:rPr>
          <w:rFonts w:hint="eastAsia"/>
          <w:color w:val="auto"/>
          <w:u w:val="single"/>
        </w:rPr>
        <w:t xml:space="preserve">                                               </w:t>
      </w:r>
    </w:p>
    <w:p w14:paraId="62AC61E0">
      <w:pPr>
        <w:pStyle w:val="9"/>
        <w:bidi w:val="0"/>
        <w:rPr>
          <w:color w:val="auto"/>
        </w:rPr>
      </w:pPr>
      <w:r>
        <w:rPr>
          <w:rFonts w:hint="eastAsia"/>
          <w:color w:val="auto"/>
        </w:rPr>
        <w:t>成立时间：</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0E7174FF">
      <w:pPr>
        <w:pStyle w:val="9"/>
        <w:bidi w:val="0"/>
        <w:rPr>
          <w:color w:val="auto"/>
          <w:u w:val="single"/>
        </w:rPr>
      </w:pPr>
      <w:r>
        <w:rPr>
          <w:rFonts w:hint="eastAsia"/>
          <w:color w:val="auto"/>
        </w:rPr>
        <w:t>经营期限：</w:t>
      </w:r>
      <w:r>
        <w:rPr>
          <w:rFonts w:hint="eastAsia"/>
          <w:color w:val="auto"/>
          <w:u w:val="single"/>
        </w:rPr>
        <w:t xml:space="preserve">                                               </w:t>
      </w:r>
    </w:p>
    <w:p w14:paraId="6693A312">
      <w:pPr>
        <w:pStyle w:val="9"/>
        <w:bidi w:val="0"/>
        <w:rPr>
          <w:rFonts w:hint="eastAsia"/>
          <w:color w:val="auto"/>
          <w:u w:val="single"/>
        </w:rPr>
      </w:pPr>
      <w:r>
        <w:rPr>
          <w:rFonts w:hint="eastAsia"/>
          <w:color w:val="auto"/>
        </w:rPr>
        <w:t>姓    名：</w:t>
      </w:r>
      <w:r>
        <w:rPr>
          <w:rFonts w:hint="eastAsia"/>
          <w:color w:val="auto"/>
          <w:u w:val="single"/>
        </w:rPr>
        <w:t xml:space="preserve">              </w:t>
      </w:r>
      <w:r>
        <w:rPr>
          <w:rFonts w:hint="eastAsia"/>
          <w:color w:val="auto"/>
        </w:rPr>
        <w:t xml:space="preserve"> 性  别：</w:t>
      </w:r>
      <w:r>
        <w:rPr>
          <w:rFonts w:hint="eastAsia"/>
          <w:color w:val="auto"/>
          <w:u w:val="single"/>
        </w:rPr>
        <w:t xml:space="preserve">              </w:t>
      </w:r>
    </w:p>
    <w:p w14:paraId="416721CE">
      <w:pPr>
        <w:pStyle w:val="9"/>
        <w:bidi w:val="0"/>
        <w:rPr>
          <w:rFonts w:hint="eastAsia"/>
          <w:color w:val="auto"/>
          <w:u w:val="single"/>
        </w:rPr>
      </w:pPr>
      <w:r>
        <w:rPr>
          <w:rFonts w:hint="eastAsia"/>
          <w:color w:val="auto"/>
        </w:rPr>
        <w:t>年    龄：</w:t>
      </w:r>
      <w:r>
        <w:rPr>
          <w:rFonts w:hint="eastAsia"/>
          <w:color w:val="auto"/>
          <w:u w:val="single"/>
        </w:rPr>
        <w:t xml:space="preserve">              </w:t>
      </w:r>
      <w:r>
        <w:rPr>
          <w:rFonts w:hint="eastAsia"/>
          <w:color w:val="auto"/>
        </w:rPr>
        <w:t xml:space="preserve"> 职  务：</w:t>
      </w:r>
      <w:r>
        <w:rPr>
          <w:rFonts w:hint="eastAsia"/>
          <w:color w:val="auto"/>
          <w:u w:val="single"/>
        </w:rPr>
        <w:t xml:space="preserve">              </w:t>
      </w:r>
    </w:p>
    <w:p w14:paraId="6B7AE668">
      <w:pPr>
        <w:pStyle w:val="9"/>
        <w:bidi w:val="0"/>
        <w:rPr>
          <w:color w:val="auto"/>
        </w:rPr>
      </w:pPr>
      <w:r>
        <w:rPr>
          <w:rFonts w:hint="eastAsia"/>
          <w:color w:val="auto"/>
        </w:rPr>
        <w:t>系</w:t>
      </w:r>
      <w:r>
        <w:rPr>
          <w:rFonts w:hint="eastAsia"/>
          <w:color w:val="auto"/>
          <w:u w:val="single"/>
        </w:rPr>
        <w:t xml:space="preserve">                            </w:t>
      </w:r>
      <w:r>
        <w:rPr>
          <w:rFonts w:hint="eastAsia"/>
          <w:color w:val="auto"/>
        </w:rPr>
        <w:t>（投标人名称）的法定代表人。</w:t>
      </w:r>
    </w:p>
    <w:p w14:paraId="66BE9BE1">
      <w:pPr>
        <w:pStyle w:val="9"/>
        <w:bidi w:val="0"/>
        <w:rPr>
          <w:color w:val="auto"/>
        </w:rPr>
      </w:pPr>
    </w:p>
    <w:p w14:paraId="77B1E165">
      <w:pPr>
        <w:pStyle w:val="9"/>
        <w:bidi w:val="0"/>
        <w:rPr>
          <w:color w:val="auto"/>
        </w:rPr>
      </w:pPr>
      <w:r>
        <w:rPr>
          <w:rFonts w:hint="eastAsia"/>
          <w:color w:val="auto"/>
        </w:rPr>
        <w:t>特此证明。</w:t>
      </w:r>
    </w:p>
    <w:p w14:paraId="5D11073B">
      <w:pPr>
        <w:bidi w:val="0"/>
        <w:rPr>
          <w:color w:val="auto"/>
        </w:rPr>
      </w:pPr>
    </w:p>
    <w:p w14:paraId="378A1AC8">
      <w:pPr>
        <w:bidi w:val="0"/>
        <w:rPr>
          <w:color w:val="auto"/>
        </w:rPr>
      </w:pPr>
    </w:p>
    <w:p w14:paraId="7E520533">
      <w:pPr>
        <w:bidi w:val="0"/>
        <w:rPr>
          <w:color w:val="auto"/>
        </w:rPr>
      </w:pPr>
    </w:p>
    <w:p w14:paraId="6370A26F">
      <w:pPr>
        <w:bidi w:val="0"/>
        <w:rPr>
          <w:color w:val="auto"/>
        </w:rPr>
      </w:pPr>
    </w:p>
    <w:p w14:paraId="15364FEE">
      <w:pPr>
        <w:bidi w:val="0"/>
        <w:ind w:leftChars="1100"/>
        <w:rPr>
          <w:color w:val="auto"/>
        </w:rPr>
      </w:pPr>
      <w:r>
        <w:rPr>
          <w:rFonts w:hint="eastAsia"/>
          <w:color w:val="auto"/>
        </w:rPr>
        <w:t xml:space="preserve">投 </w:t>
      </w:r>
      <w:r>
        <w:rPr>
          <w:rFonts w:hint="eastAsia"/>
          <w:color w:val="auto"/>
          <w:lang w:val="en-US" w:eastAsia="zh-CN"/>
        </w:rPr>
        <w:t xml:space="preserve"> </w:t>
      </w:r>
      <w:r>
        <w:rPr>
          <w:rFonts w:hint="eastAsia"/>
          <w:color w:val="auto"/>
        </w:rPr>
        <w:t xml:space="preserve">标 </w:t>
      </w:r>
      <w:r>
        <w:rPr>
          <w:rFonts w:hint="eastAsia"/>
          <w:color w:val="auto"/>
          <w:lang w:val="en-US" w:eastAsia="zh-CN"/>
        </w:rPr>
        <w:t xml:space="preserve"> </w:t>
      </w:r>
      <w:r>
        <w:rPr>
          <w:rFonts w:hint="eastAsia"/>
          <w:color w:val="auto"/>
        </w:rPr>
        <w:t>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lang w:eastAsia="zh-CN"/>
        </w:rPr>
        <w:t>（</w:t>
      </w:r>
      <w:r>
        <w:rPr>
          <w:rFonts w:hint="eastAsia"/>
          <w:color w:val="auto"/>
        </w:rPr>
        <w:t>单位电子签章</w:t>
      </w:r>
      <w:r>
        <w:rPr>
          <w:rFonts w:hint="eastAsia" w:cs="宋体"/>
          <w:color w:val="auto"/>
          <w:szCs w:val="21"/>
          <w:highlight w:val="none"/>
          <w:u w:val="none"/>
          <w:lang w:eastAsia="zh-CN"/>
        </w:rPr>
        <w:t>）</w:t>
      </w:r>
    </w:p>
    <w:p w14:paraId="2558BDFD">
      <w:pPr>
        <w:bidi w:val="0"/>
        <w:ind w:leftChars="1100"/>
        <w:rPr>
          <w:rFonts w:hint="eastAsia"/>
          <w:color w:val="auto"/>
        </w:rPr>
      </w:pPr>
      <w:r>
        <w:rPr>
          <w:rFonts w:hint="eastAsia"/>
          <w:color w:val="auto"/>
        </w:rPr>
        <w:t>法定代表人：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lang w:eastAsia="zh-CN"/>
        </w:rPr>
        <w:t>（</w:t>
      </w:r>
      <w:r>
        <w:rPr>
          <w:rFonts w:hint="eastAsia"/>
          <w:color w:val="auto"/>
        </w:rPr>
        <w:t>法定代表人电子签名</w:t>
      </w:r>
      <w:r>
        <w:rPr>
          <w:rFonts w:hint="eastAsia"/>
          <w:color w:val="auto"/>
          <w:lang w:val="en-US" w:eastAsia="zh-CN"/>
        </w:rPr>
        <w:t>或签章</w:t>
      </w:r>
      <w:r>
        <w:rPr>
          <w:rFonts w:hint="eastAsia" w:cs="宋体"/>
          <w:color w:val="auto"/>
          <w:szCs w:val="21"/>
          <w:highlight w:val="none"/>
          <w:u w:val="none"/>
          <w:lang w:eastAsia="zh-CN"/>
        </w:rPr>
        <w:t>）</w:t>
      </w:r>
    </w:p>
    <w:p w14:paraId="77A593B2">
      <w:pPr>
        <w:bidi w:val="0"/>
        <w:ind w:leftChars="1100"/>
        <w:rPr>
          <w:rFonts w:hint="eastAsia"/>
          <w:color w:val="auto"/>
          <w:lang w:val="en-US" w:eastAsia="zh-CN"/>
        </w:rPr>
      </w:pPr>
      <w:r>
        <w:rPr>
          <w:rFonts w:hint="eastAsia"/>
          <w:color w:val="auto"/>
          <w:lang w:val="en-US" w:eastAsia="zh-CN"/>
        </w:rPr>
        <w:t>日      期：</w:t>
      </w:r>
      <w:r>
        <w:rPr>
          <w:rFonts w:hint="eastAsia"/>
          <w:color w:val="auto"/>
          <w:u w:val="single"/>
          <w:lang w:val="en-US" w:eastAsia="zh-CN"/>
        </w:rPr>
        <w:t xml:space="preserve">       </w:t>
      </w:r>
      <w:r>
        <w:rPr>
          <w:rFonts w:hint="eastAsia"/>
          <w:color w:val="auto"/>
          <w:lang w:val="en-US" w:eastAsia="zh-CN"/>
        </w:rPr>
        <w:t>年</w:t>
      </w:r>
      <w:r>
        <w:rPr>
          <w:rFonts w:hint="eastAsia"/>
          <w:color w:val="auto"/>
          <w:u w:val="single"/>
          <w:lang w:val="en-US" w:eastAsia="zh-CN"/>
        </w:rPr>
        <w:t xml:space="preserve">       </w:t>
      </w:r>
      <w:r>
        <w:rPr>
          <w:rFonts w:hint="eastAsia"/>
          <w:color w:val="auto"/>
          <w:lang w:val="en-US" w:eastAsia="zh-CN"/>
        </w:rPr>
        <w:t>月</w:t>
      </w:r>
      <w:r>
        <w:rPr>
          <w:rFonts w:hint="eastAsia"/>
          <w:color w:val="auto"/>
          <w:u w:val="single"/>
          <w:lang w:val="en-US" w:eastAsia="zh-CN"/>
        </w:rPr>
        <w:t xml:space="preserve">       </w:t>
      </w:r>
      <w:r>
        <w:rPr>
          <w:rFonts w:hint="eastAsia"/>
          <w:color w:val="auto"/>
          <w:lang w:val="en-US" w:eastAsia="zh-CN"/>
        </w:rPr>
        <w:t>日</w:t>
      </w:r>
    </w:p>
    <w:p w14:paraId="3F6FAD86">
      <w:pPr>
        <w:bidi w:val="0"/>
        <w:rPr>
          <w:color w:val="auto"/>
        </w:rPr>
      </w:pPr>
    </w:p>
    <w:p w14:paraId="1CB66C7D">
      <w:pPr>
        <w:bidi w:val="0"/>
        <w:rPr>
          <w:color w:val="auto"/>
        </w:rPr>
      </w:pPr>
    </w:p>
    <w:p w14:paraId="10A03E8C">
      <w:pPr>
        <w:bidi w:val="0"/>
        <w:rPr>
          <w:color w:val="auto"/>
        </w:rPr>
      </w:pPr>
    </w:p>
    <w:p w14:paraId="6EC2A4E3">
      <w:pPr>
        <w:bidi w:val="0"/>
        <w:rPr>
          <w:color w:val="auto"/>
        </w:rPr>
      </w:pPr>
    </w:p>
    <w:p w14:paraId="240B90F4">
      <w:pPr>
        <w:bidi w:val="0"/>
        <w:rPr>
          <w:color w:val="auto"/>
        </w:rPr>
      </w:pPr>
    </w:p>
    <w:p w14:paraId="780F3004">
      <w:pPr>
        <w:bidi w:val="0"/>
        <w:rPr>
          <w:color w:val="auto"/>
        </w:rPr>
      </w:pPr>
    </w:p>
    <w:p w14:paraId="7091BCD8">
      <w:pPr>
        <w:bidi w:val="0"/>
        <w:rPr>
          <w:color w:val="auto"/>
        </w:rPr>
      </w:pPr>
    </w:p>
    <w:p w14:paraId="52A7641C">
      <w:pPr>
        <w:bidi w:val="0"/>
        <w:rPr>
          <w:color w:val="auto"/>
        </w:rPr>
      </w:pPr>
    </w:p>
    <w:p w14:paraId="29F5B174">
      <w:pPr>
        <w:bidi w:val="0"/>
        <w:rPr>
          <w:color w:val="auto"/>
        </w:rPr>
      </w:pPr>
    </w:p>
    <w:p w14:paraId="56814DBB">
      <w:pPr>
        <w:bidi w:val="0"/>
        <w:rPr>
          <w:color w:val="auto"/>
        </w:rPr>
      </w:pPr>
    </w:p>
    <w:p w14:paraId="060BA5B4">
      <w:pPr>
        <w:bidi w:val="0"/>
        <w:rPr>
          <w:color w:val="auto"/>
        </w:rPr>
      </w:pPr>
    </w:p>
    <w:p w14:paraId="2FB2522A">
      <w:pPr>
        <w:pStyle w:val="4"/>
        <w:bidi w:val="0"/>
        <w:rPr>
          <w:color w:val="auto"/>
        </w:rPr>
      </w:pPr>
      <w:bookmarkStart w:id="377" w:name="_Toc26224"/>
      <w:bookmarkStart w:id="378" w:name="_Toc1048"/>
      <w:r>
        <w:rPr>
          <w:rFonts w:hint="eastAsia"/>
          <w:color w:val="auto"/>
        </w:rPr>
        <w:t>（二）授权委托书</w:t>
      </w:r>
      <w:bookmarkEnd w:id="377"/>
      <w:bookmarkEnd w:id="378"/>
      <w:r>
        <w:rPr>
          <w:rFonts w:hint="eastAsia"/>
          <w:color w:val="auto"/>
        </w:rPr>
        <w:t xml:space="preserve"> </w:t>
      </w:r>
    </w:p>
    <w:p w14:paraId="38051207">
      <w:pPr>
        <w:bidi w:val="0"/>
        <w:rPr>
          <w:color w:val="auto"/>
        </w:rPr>
      </w:pPr>
    </w:p>
    <w:p w14:paraId="6DDA18AE">
      <w:pPr>
        <w:pStyle w:val="9"/>
        <w:bidi w:val="0"/>
        <w:rPr>
          <w:color w:val="auto"/>
        </w:rPr>
      </w:pPr>
      <w:r>
        <w:rPr>
          <w:rFonts w:hint="eastAsia"/>
          <w:color w:val="auto"/>
        </w:rPr>
        <w:t>本人</w:t>
      </w:r>
      <w:r>
        <w:rPr>
          <w:rFonts w:hint="eastAsia"/>
          <w:color w:val="auto"/>
          <w:u w:val="single"/>
        </w:rPr>
        <w:t xml:space="preserve">          </w:t>
      </w:r>
      <w:r>
        <w:rPr>
          <w:rFonts w:hint="eastAsia"/>
          <w:color w:val="auto"/>
        </w:rPr>
        <w:t>（姓名）系</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（投标人名称）的法定代表人，现委托</w:t>
      </w:r>
      <w:r>
        <w:rPr>
          <w:rFonts w:hint="eastAsia"/>
          <w:color w:val="auto"/>
          <w:u w:val="single"/>
        </w:rPr>
        <w:t xml:space="preserve">           </w:t>
      </w:r>
      <w:r>
        <w:rPr>
          <w:rFonts w:hint="eastAsia"/>
          <w:color w:val="auto"/>
        </w:rPr>
        <w:t>（姓名）为我方代理人。代理人根据授权，以我方名义签署、澄清、说明、补正、递交、撤回、修改</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（项目名称）</w:t>
      </w:r>
      <w:r>
        <w:rPr>
          <w:rFonts w:hint="eastAsia"/>
          <w:color w:val="auto"/>
          <w:u w:val="single"/>
        </w:rPr>
        <w:t xml:space="preserve">     </w:t>
      </w:r>
      <w:r>
        <w:rPr>
          <w:rFonts w:hint="eastAsia"/>
          <w:color w:val="auto"/>
        </w:rPr>
        <w:t>标段投标文件、签订合同和处理有关事宜，其法律后果由我方承担。</w:t>
      </w:r>
    </w:p>
    <w:p w14:paraId="47904B8F">
      <w:pPr>
        <w:pStyle w:val="9"/>
        <w:bidi w:val="0"/>
        <w:rPr>
          <w:color w:val="auto"/>
        </w:rPr>
      </w:pPr>
      <w:r>
        <w:rPr>
          <w:rFonts w:hint="eastAsia"/>
          <w:color w:val="auto"/>
        </w:rPr>
        <w:t xml:space="preserve">委托期限： 本授权书至投标有效期结束前始终有效。                </w:t>
      </w:r>
    </w:p>
    <w:p w14:paraId="7F60F026">
      <w:pPr>
        <w:pStyle w:val="9"/>
        <w:bidi w:val="0"/>
        <w:rPr>
          <w:color w:val="auto"/>
        </w:rPr>
      </w:pPr>
      <w:r>
        <w:rPr>
          <w:rFonts w:hint="eastAsia"/>
          <w:color w:val="auto"/>
        </w:rPr>
        <w:t>代理人无转委托权。</w:t>
      </w:r>
    </w:p>
    <w:p w14:paraId="6036DE42">
      <w:pPr>
        <w:pStyle w:val="9"/>
        <w:bidi w:val="0"/>
        <w:rPr>
          <w:rFonts w:hint="eastAsia" w:eastAsia="宋体"/>
          <w:color w:val="auto"/>
          <w:lang w:eastAsia="zh-CN"/>
        </w:rPr>
      </w:pPr>
      <w:r>
        <w:rPr>
          <w:rFonts w:hint="eastAsia"/>
          <w:color w:val="auto"/>
        </w:rPr>
        <w:t>附：法定代表人和委托代理人身份证扫描件</w:t>
      </w:r>
      <w:r>
        <w:rPr>
          <w:rFonts w:hint="eastAsia"/>
          <w:color w:val="auto"/>
          <w:lang w:eastAsia="zh-CN"/>
        </w:rPr>
        <w:t>。</w:t>
      </w:r>
    </w:p>
    <w:p w14:paraId="5D738736">
      <w:pPr>
        <w:bidi w:val="0"/>
        <w:rPr>
          <w:color w:val="auto"/>
        </w:rPr>
      </w:pPr>
    </w:p>
    <w:p w14:paraId="354B5E42">
      <w:pPr>
        <w:bidi w:val="0"/>
        <w:rPr>
          <w:color w:val="auto"/>
        </w:rPr>
      </w:pPr>
    </w:p>
    <w:p w14:paraId="35671459">
      <w:pPr>
        <w:bidi w:val="0"/>
        <w:rPr>
          <w:color w:val="auto"/>
        </w:rPr>
      </w:pPr>
    </w:p>
    <w:p w14:paraId="0A3F24BD">
      <w:pPr>
        <w:bidi w:val="0"/>
        <w:rPr>
          <w:color w:val="auto"/>
        </w:rPr>
      </w:pPr>
    </w:p>
    <w:p w14:paraId="79A3E7F5">
      <w:pPr>
        <w:bidi w:val="0"/>
        <w:ind w:leftChars="1100"/>
        <w:rPr>
          <w:color w:val="auto"/>
        </w:rPr>
      </w:pPr>
      <w:r>
        <w:rPr>
          <w:rFonts w:hint="eastAsia"/>
          <w:color w:val="auto"/>
        </w:rPr>
        <w:t>投  标  人：</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（单位电子签章）</w:t>
      </w:r>
    </w:p>
    <w:p w14:paraId="42074D9F">
      <w:pPr>
        <w:bidi w:val="0"/>
        <w:ind w:leftChars="1100"/>
        <w:rPr>
          <w:color w:val="auto"/>
        </w:rPr>
      </w:pPr>
      <w:r>
        <w:rPr>
          <w:rFonts w:hint="eastAsia"/>
          <w:color w:val="auto"/>
        </w:rPr>
        <w:t>法定代表人：</w:t>
      </w:r>
      <w:r>
        <w:rPr>
          <w:rFonts w:hint="eastAsia"/>
          <w:color w:val="auto"/>
          <w:u w:val="single"/>
        </w:rPr>
        <w:t xml:space="preserve">              </w:t>
      </w:r>
      <w:r>
        <w:rPr>
          <w:rFonts w:hint="eastAsia"/>
          <w:color w:val="auto"/>
        </w:rPr>
        <w:t>（法定代表人电子签名</w:t>
      </w:r>
      <w:r>
        <w:rPr>
          <w:rFonts w:hint="eastAsia"/>
          <w:color w:val="auto"/>
          <w:lang w:val="en-US" w:eastAsia="zh-CN"/>
        </w:rPr>
        <w:t>或签章</w:t>
      </w:r>
      <w:r>
        <w:rPr>
          <w:rFonts w:hint="eastAsia"/>
          <w:color w:val="auto"/>
        </w:rPr>
        <w:t>）</w:t>
      </w:r>
    </w:p>
    <w:p w14:paraId="69BD25D4">
      <w:pPr>
        <w:bidi w:val="0"/>
        <w:ind w:leftChars="1100"/>
        <w:rPr>
          <w:rFonts w:hint="eastAsia"/>
          <w:color w:val="auto"/>
          <w:u w:val="single"/>
          <w:lang w:val="en-US" w:eastAsia="zh-CN"/>
        </w:rPr>
      </w:pPr>
      <w:r>
        <w:rPr>
          <w:rFonts w:hint="eastAsia"/>
          <w:color w:val="auto"/>
        </w:rPr>
        <w:t>身份证号码：</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p>
    <w:p w14:paraId="5CE64BED">
      <w:pPr>
        <w:bidi w:val="0"/>
        <w:ind w:leftChars="1100"/>
        <w:rPr>
          <w:color w:val="auto"/>
        </w:rPr>
      </w:pPr>
      <w:r>
        <w:rPr>
          <w:color w:val="auto"/>
        </w:rPr>
        <w:t>委托代理人：</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lang w:val="en-US" w:eastAsia="zh-CN"/>
        </w:rPr>
        <w:t xml:space="preserve"> </w:t>
      </w:r>
      <w:r>
        <w:rPr>
          <w:color w:val="auto"/>
        </w:rPr>
        <w:t>（签字）</w:t>
      </w:r>
    </w:p>
    <w:p w14:paraId="1FAEF422">
      <w:pPr>
        <w:bidi w:val="0"/>
        <w:ind w:leftChars="1100"/>
        <w:rPr>
          <w:color w:val="auto"/>
          <w:u w:val="single"/>
        </w:rPr>
      </w:pPr>
      <w:r>
        <w:rPr>
          <w:rFonts w:hint="eastAsia"/>
          <w:color w:val="auto"/>
        </w:rPr>
        <w:t>身份证号码：</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14:paraId="19C4C152">
      <w:pPr>
        <w:bidi w:val="0"/>
        <w:ind w:leftChars="1100"/>
        <w:rPr>
          <w:color w:val="auto"/>
        </w:rPr>
      </w:pPr>
      <w:r>
        <w:rPr>
          <w:rFonts w:hint="eastAsia"/>
          <w:color w:val="auto"/>
          <w:lang w:val="en-US" w:eastAsia="zh-CN"/>
        </w:rPr>
        <w:t>日      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3A96A0B2">
      <w:pPr>
        <w:rPr>
          <w:color w:val="auto"/>
          <w:highlight w:val="none"/>
        </w:rPr>
      </w:pPr>
    </w:p>
    <w:p w14:paraId="2D4A1A93">
      <w:pPr>
        <w:bidi w:val="0"/>
        <w:rPr>
          <w:color w:val="auto"/>
        </w:rPr>
      </w:pPr>
    </w:p>
    <w:p w14:paraId="42F107A4">
      <w:pPr>
        <w:bidi w:val="0"/>
        <w:rPr>
          <w:color w:val="auto"/>
        </w:rPr>
      </w:pPr>
    </w:p>
    <w:p w14:paraId="44932DFD">
      <w:pPr>
        <w:bidi w:val="0"/>
        <w:rPr>
          <w:color w:val="auto"/>
        </w:rPr>
      </w:pPr>
    </w:p>
    <w:p w14:paraId="19DA0995">
      <w:pPr>
        <w:bidi w:val="0"/>
        <w:rPr>
          <w:color w:val="auto"/>
        </w:rPr>
      </w:pPr>
    </w:p>
    <w:p w14:paraId="3636A04A">
      <w:pPr>
        <w:bidi w:val="0"/>
        <w:rPr>
          <w:color w:val="auto"/>
        </w:rPr>
      </w:pPr>
    </w:p>
    <w:p w14:paraId="0FEA3A93">
      <w:pPr>
        <w:bidi w:val="0"/>
        <w:rPr>
          <w:color w:val="auto"/>
        </w:rPr>
      </w:pPr>
    </w:p>
    <w:p w14:paraId="7877BDA2">
      <w:pPr>
        <w:bidi w:val="0"/>
        <w:rPr>
          <w:color w:val="auto"/>
        </w:rPr>
      </w:pPr>
    </w:p>
    <w:p w14:paraId="0010C0E2">
      <w:pPr>
        <w:bidi w:val="0"/>
        <w:rPr>
          <w:color w:val="auto"/>
        </w:rPr>
      </w:pPr>
    </w:p>
    <w:p w14:paraId="7A1E2D52">
      <w:pPr>
        <w:bidi w:val="0"/>
        <w:rPr>
          <w:color w:val="auto"/>
        </w:rPr>
      </w:pPr>
    </w:p>
    <w:p w14:paraId="5F058BD3">
      <w:pPr>
        <w:bidi w:val="0"/>
        <w:rPr>
          <w:color w:val="auto"/>
        </w:rPr>
      </w:pPr>
    </w:p>
    <w:p w14:paraId="2F09ACA3">
      <w:pPr>
        <w:bidi w:val="0"/>
        <w:rPr>
          <w:color w:val="auto"/>
        </w:rPr>
      </w:pPr>
    </w:p>
    <w:p w14:paraId="676F944C">
      <w:pPr>
        <w:bidi w:val="0"/>
        <w:rPr>
          <w:color w:val="auto"/>
        </w:rPr>
      </w:pPr>
    </w:p>
    <w:p w14:paraId="3355D874">
      <w:pPr>
        <w:bidi w:val="0"/>
        <w:rPr>
          <w:color w:val="auto"/>
        </w:rPr>
      </w:pPr>
    </w:p>
    <w:p w14:paraId="1EACCF91">
      <w:pPr>
        <w:bidi w:val="0"/>
        <w:rPr>
          <w:color w:val="auto"/>
        </w:rPr>
      </w:pPr>
    </w:p>
    <w:p w14:paraId="50DD89C0">
      <w:pPr>
        <w:pStyle w:val="3"/>
        <w:bidi w:val="0"/>
        <w:rPr>
          <w:color w:val="auto"/>
        </w:rPr>
      </w:pPr>
      <w:bookmarkStart w:id="379" w:name="_Toc16316"/>
      <w:bookmarkStart w:id="380" w:name="_Toc21408"/>
      <w:bookmarkStart w:id="381" w:name="_Toc14055"/>
      <w:bookmarkStart w:id="382" w:name="_Toc24014"/>
      <w:r>
        <w:rPr>
          <w:rFonts w:hint="eastAsia"/>
          <w:color w:val="auto"/>
          <w:lang w:eastAsia="zh-CN"/>
        </w:rPr>
        <w:t>三</w:t>
      </w:r>
      <w:r>
        <w:rPr>
          <w:rFonts w:hint="eastAsia"/>
          <w:color w:val="auto"/>
        </w:rPr>
        <w:t>、</w:t>
      </w:r>
      <w:bookmarkEnd w:id="379"/>
      <w:bookmarkEnd w:id="380"/>
      <w:r>
        <w:rPr>
          <w:rFonts w:hint="eastAsia"/>
          <w:color w:val="auto"/>
        </w:rPr>
        <w:t>监理大纲</w:t>
      </w:r>
      <w:bookmarkEnd w:id="381"/>
      <w:bookmarkEnd w:id="382"/>
    </w:p>
    <w:p w14:paraId="69AB4211">
      <w:pPr>
        <w:bidi w:val="0"/>
        <w:rPr>
          <w:color w:val="auto"/>
        </w:rPr>
      </w:pPr>
    </w:p>
    <w:p w14:paraId="52DE1FFA">
      <w:pPr>
        <w:bidi w:val="0"/>
        <w:rPr>
          <w:color w:val="auto"/>
        </w:rPr>
      </w:pPr>
    </w:p>
    <w:p w14:paraId="00DB7D35">
      <w:pPr>
        <w:bidi w:val="0"/>
        <w:rPr>
          <w:color w:val="auto"/>
        </w:rPr>
      </w:pPr>
    </w:p>
    <w:p w14:paraId="084585BF">
      <w:pPr>
        <w:bidi w:val="0"/>
        <w:rPr>
          <w:color w:val="auto"/>
        </w:rPr>
      </w:pPr>
    </w:p>
    <w:p w14:paraId="19BF27E1">
      <w:pPr>
        <w:bidi w:val="0"/>
        <w:rPr>
          <w:color w:val="auto"/>
        </w:rPr>
      </w:pPr>
    </w:p>
    <w:p w14:paraId="1AC33AA2">
      <w:pPr>
        <w:bidi w:val="0"/>
        <w:jc w:val="center"/>
        <w:rPr>
          <w:color w:val="auto"/>
        </w:rPr>
      </w:pPr>
      <w:r>
        <w:rPr>
          <w:rFonts w:hint="eastAsia"/>
          <w:color w:val="auto"/>
        </w:rPr>
        <w:t>（格式自拟）</w:t>
      </w:r>
    </w:p>
    <w:p w14:paraId="030E2AB5">
      <w:pPr>
        <w:bidi w:val="0"/>
        <w:rPr>
          <w:color w:val="auto"/>
        </w:rPr>
      </w:pPr>
    </w:p>
    <w:p w14:paraId="647C5251">
      <w:pPr>
        <w:bidi w:val="0"/>
        <w:rPr>
          <w:color w:val="auto"/>
        </w:rPr>
      </w:pPr>
    </w:p>
    <w:p w14:paraId="6A711586">
      <w:pPr>
        <w:bidi w:val="0"/>
        <w:rPr>
          <w:color w:val="auto"/>
        </w:rPr>
      </w:pPr>
    </w:p>
    <w:p w14:paraId="5DD7B286">
      <w:pPr>
        <w:bidi w:val="0"/>
        <w:rPr>
          <w:color w:val="auto"/>
        </w:rPr>
      </w:pPr>
    </w:p>
    <w:p w14:paraId="2C6F6A21">
      <w:pPr>
        <w:bidi w:val="0"/>
        <w:rPr>
          <w:color w:val="auto"/>
        </w:rPr>
      </w:pPr>
    </w:p>
    <w:p w14:paraId="3D54CDDA">
      <w:pPr>
        <w:bidi w:val="0"/>
        <w:rPr>
          <w:color w:val="auto"/>
        </w:rPr>
      </w:pPr>
    </w:p>
    <w:p w14:paraId="41A0A90A">
      <w:pPr>
        <w:bidi w:val="0"/>
        <w:rPr>
          <w:color w:val="auto"/>
        </w:rPr>
      </w:pPr>
    </w:p>
    <w:p w14:paraId="30FBF4A0">
      <w:pPr>
        <w:bidi w:val="0"/>
        <w:rPr>
          <w:color w:val="auto"/>
        </w:rPr>
      </w:pPr>
    </w:p>
    <w:p w14:paraId="6319D62B">
      <w:pPr>
        <w:bidi w:val="0"/>
        <w:rPr>
          <w:color w:val="auto"/>
        </w:rPr>
      </w:pPr>
    </w:p>
    <w:p w14:paraId="6A7CAFA2">
      <w:pPr>
        <w:bidi w:val="0"/>
        <w:rPr>
          <w:color w:val="auto"/>
        </w:rPr>
      </w:pPr>
    </w:p>
    <w:p w14:paraId="2C5C24A5">
      <w:pPr>
        <w:bidi w:val="0"/>
        <w:rPr>
          <w:color w:val="auto"/>
        </w:rPr>
      </w:pPr>
    </w:p>
    <w:p w14:paraId="1A1ECB56">
      <w:pPr>
        <w:bidi w:val="0"/>
        <w:rPr>
          <w:color w:val="auto"/>
        </w:rPr>
      </w:pPr>
    </w:p>
    <w:p w14:paraId="35B0B75B">
      <w:pPr>
        <w:bidi w:val="0"/>
        <w:rPr>
          <w:color w:val="auto"/>
        </w:rPr>
      </w:pPr>
    </w:p>
    <w:p w14:paraId="289F97C5">
      <w:pPr>
        <w:bidi w:val="0"/>
        <w:rPr>
          <w:color w:val="auto"/>
        </w:rPr>
      </w:pPr>
    </w:p>
    <w:p w14:paraId="1EBB5392">
      <w:pPr>
        <w:bidi w:val="0"/>
        <w:rPr>
          <w:color w:val="auto"/>
        </w:rPr>
      </w:pPr>
    </w:p>
    <w:p w14:paraId="5DE85DF5">
      <w:pPr>
        <w:bidi w:val="0"/>
        <w:rPr>
          <w:color w:val="auto"/>
        </w:rPr>
      </w:pPr>
    </w:p>
    <w:p w14:paraId="39F221FF">
      <w:pPr>
        <w:bidi w:val="0"/>
        <w:rPr>
          <w:color w:val="auto"/>
        </w:rPr>
      </w:pPr>
    </w:p>
    <w:p w14:paraId="1E6C940C">
      <w:pPr>
        <w:bidi w:val="0"/>
        <w:rPr>
          <w:color w:val="auto"/>
        </w:rPr>
      </w:pPr>
    </w:p>
    <w:p w14:paraId="63D1FEFC">
      <w:pPr>
        <w:bidi w:val="0"/>
        <w:rPr>
          <w:color w:val="auto"/>
        </w:rPr>
      </w:pPr>
    </w:p>
    <w:p w14:paraId="55A14CCB">
      <w:pPr>
        <w:bidi w:val="0"/>
        <w:rPr>
          <w:color w:val="auto"/>
        </w:rPr>
      </w:pPr>
    </w:p>
    <w:p w14:paraId="76C8E6E3">
      <w:pPr>
        <w:bidi w:val="0"/>
        <w:rPr>
          <w:color w:val="auto"/>
        </w:rPr>
      </w:pPr>
    </w:p>
    <w:p w14:paraId="45FDC699">
      <w:pPr>
        <w:bidi w:val="0"/>
        <w:rPr>
          <w:color w:val="auto"/>
        </w:rPr>
      </w:pPr>
    </w:p>
    <w:p w14:paraId="51FD70F7">
      <w:pPr>
        <w:bidi w:val="0"/>
        <w:rPr>
          <w:color w:val="auto"/>
        </w:rPr>
      </w:pPr>
    </w:p>
    <w:p w14:paraId="15632AB5">
      <w:pPr>
        <w:bidi w:val="0"/>
        <w:rPr>
          <w:color w:val="auto"/>
        </w:rPr>
      </w:pPr>
    </w:p>
    <w:p w14:paraId="4789C569">
      <w:pPr>
        <w:bidi w:val="0"/>
        <w:rPr>
          <w:color w:val="auto"/>
        </w:rPr>
      </w:pPr>
    </w:p>
    <w:p w14:paraId="61297EB1">
      <w:pPr>
        <w:bidi w:val="0"/>
        <w:rPr>
          <w:color w:val="auto"/>
        </w:rPr>
      </w:pPr>
    </w:p>
    <w:p w14:paraId="64D1222B">
      <w:pPr>
        <w:bidi w:val="0"/>
        <w:rPr>
          <w:color w:val="auto"/>
        </w:rPr>
      </w:pPr>
    </w:p>
    <w:p w14:paraId="1A85BF7A">
      <w:pPr>
        <w:pStyle w:val="3"/>
        <w:bidi w:val="0"/>
        <w:rPr>
          <w:rFonts w:hint="eastAsia"/>
          <w:color w:val="auto"/>
        </w:rPr>
      </w:pPr>
      <w:r>
        <w:rPr>
          <w:rFonts w:hint="eastAsia"/>
          <w:color w:val="auto"/>
          <w:lang w:val="en-US" w:eastAsia="zh-CN"/>
        </w:rPr>
        <w:t>四</w:t>
      </w:r>
      <w:r>
        <w:rPr>
          <w:rFonts w:hint="eastAsia"/>
          <w:color w:val="auto"/>
          <w:lang w:eastAsia="zh-CN"/>
        </w:rPr>
        <w:t>、</w:t>
      </w:r>
      <w:r>
        <w:rPr>
          <w:rFonts w:hint="eastAsia"/>
          <w:color w:val="auto"/>
        </w:rPr>
        <w:t>项目管理机构</w:t>
      </w:r>
    </w:p>
    <w:p w14:paraId="67BF10A1">
      <w:pPr>
        <w:pStyle w:val="4"/>
        <w:bidi w:val="0"/>
        <w:rPr>
          <w:rFonts w:hint="eastAsia"/>
          <w:color w:val="auto"/>
        </w:rPr>
      </w:pPr>
      <w:r>
        <w:rPr>
          <w:rFonts w:hint="eastAsia"/>
          <w:color w:val="auto"/>
        </w:rPr>
        <w:t xml:space="preserve">（一）拟投入本工程主要监理人员情况汇总表 </w:t>
      </w:r>
    </w:p>
    <w:p w14:paraId="7FC129BD">
      <w:pPr>
        <w:bidi w:val="0"/>
        <w:rPr>
          <w:rFonts w:hint="eastAsia"/>
          <w:color w:val="auto"/>
        </w:rPr>
      </w:pPr>
    </w:p>
    <w:tbl>
      <w:tblPr>
        <w:tblStyle w:val="29"/>
        <w:tblW w:w="850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6"/>
        <w:gridCol w:w="827"/>
        <w:gridCol w:w="827"/>
        <w:gridCol w:w="827"/>
        <w:gridCol w:w="1357"/>
        <w:gridCol w:w="1189"/>
        <w:gridCol w:w="935"/>
        <w:gridCol w:w="978"/>
        <w:gridCol w:w="738"/>
      </w:tblGrid>
      <w:tr w14:paraId="50DD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vMerge w:val="restart"/>
            <w:tcBorders>
              <w:tl2br w:val="nil"/>
              <w:tr2bl w:val="nil"/>
            </w:tcBorders>
            <w:noWrap w:val="0"/>
            <w:vAlign w:val="center"/>
          </w:tcPr>
          <w:p w14:paraId="22061E97">
            <w:pPr>
              <w:bidi w:val="0"/>
              <w:jc w:val="center"/>
              <w:rPr>
                <w:rFonts w:hint="eastAsia"/>
                <w:b/>
                <w:bCs/>
                <w:color w:val="auto"/>
              </w:rPr>
            </w:pPr>
            <w:r>
              <w:rPr>
                <w:rFonts w:hint="eastAsia"/>
                <w:b/>
                <w:bCs/>
                <w:color w:val="auto"/>
              </w:rPr>
              <w:t>职务</w:t>
            </w:r>
          </w:p>
        </w:tc>
        <w:tc>
          <w:tcPr>
            <w:tcW w:w="827" w:type="dxa"/>
            <w:vMerge w:val="restart"/>
            <w:tcBorders>
              <w:tl2br w:val="nil"/>
              <w:tr2bl w:val="nil"/>
            </w:tcBorders>
            <w:noWrap w:val="0"/>
            <w:vAlign w:val="center"/>
          </w:tcPr>
          <w:p w14:paraId="406716AB">
            <w:pPr>
              <w:bidi w:val="0"/>
              <w:jc w:val="center"/>
              <w:rPr>
                <w:rFonts w:hint="eastAsia"/>
                <w:b/>
                <w:bCs/>
                <w:color w:val="auto"/>
              </w:rPr>
            </w:pPr>
            <w:r>
              <w:rPr>
                <w:rFonts w:hint="eastAsia"/>
                <w:b/>
                <w:bCs/>
                <w:color w:val="auto"/>
              </w:rPr>
              <w:t>姓名</w:t>
            </w:r>
          </w:p>
        </w:tc>
        <w:tc>
          <w:tcPr>
            <w:tcW w:w="827" w:type="dxa"/>
            <w:vMerge w:val="restart"/>
            <w:tcBorders>
              <w:tl2br w:val="nil"/>
              <w:tr2bl w:val="nil"/>
            </w:tcBorders>
            <w:noWrap w:val="0"/>
            <w:vAlign w:val="center"/>
          </w:tcPr>
          <w:p w14:paraId="2A9980AA">
            <w:pPr>
              <w:bidi w:val="0"/>
              <w:jc w:val="center"/>
              <w:rPr>
                <w:rFonts w:hint="eastAsia"/>
                <w:b/>
                <w:bCs/>
                <w:color w:val="auto"/>
              </w:rPr>
            </w:pPr>
            <w:r>
              <w:rPr>
                <w:rFonts w:hint="eastAsia"/>
                <w:b/>
                <w:bCs/>
                <w:color w:val="auto"/>
              </w:rPr>
              <w:t>职称</w:t>
            </w:r>
          </w:p>
        </w:tc>
        <w:tc>
          <w:tcPr>
            <w:tcW w:w="827" w:type="dxa"/>
            <w:vMerge w:val="restart"/>
            <w:tcBorders>
              <w:tl2br w:val="nil"/>
              <w:tr2bl w:val="nil"/>
            </w:tcBorders>
            <w:noWrap w:val="0"/>
            <w:vAlign w:val="center"/>
          </w:tcPr>
          <w:p w14:paraId="1B769171">
            <w:pPr>
              <w:bidi w:val="0"/>
              <w:jc w:val="center"/>
              <w:rPr>
                <w:rFonts w:hint="eastAsia"/>
                <w:b/>
                <w:bCs/>
                <w:color w:val="auto"/>
              </w:rPr>
            </w:pPr>
            <w:r>
              <w:rPr>
                <w:rFonts w:hint="eastAsia"/>
                <w:b/>
                <w:bCs/>
                <w:color w:val="auto"/>
              </w:rPr>
              <w:t>年龄</w:t>
            </w:r>
          </w:p>
        </w:tc>
        <w:tc>
          <w:tcPr>
            <w:tcW w:w="4459" w:type="dxa"/>
            <w:gridSpan w:val="4"/>
            <w:tcBorders>
              <w:tl2br w:val="nil"/>
              <w:tr2bl w:val="nil"/>
            </w:tcBorders>
            <w:noWrap w:val="0"/>
            <w:vAlign w:val="center"/>
          </w:tcPr>
          <w:p w14:paraId="0020F2CB">
            <w:pPr>
              <w:bidi w:val="0"/>
              <w:jc w:val="center"/>
              <w:rPr>
                <w:rFonts w:hint="eastAsia"/>
                <w:b/>
                <w:bCs/>
                <w:color w:val="auto"/>
              </w:rPr>
            </w:pPr>
            <w:r>
              <w:rPr>
                <w:rFonts w:hint="eastAsia"/>
                <w:b/>
                <w:bCs/>
                <w:color w:val="auto"/>
              </w:rPr>
              <w:t>执业或职业资格证明</w:t>
            </w:r>
          </w:p>
        </w:tc>
        <w:tc>
          <w:tcPr>
            <w:tcW w:w="738" w:type="dxa"/>
            <w:vMerge w:val="restart"/>
            <w:tcBorders>
              <w:tl2br w:val="nil"/>
              <w:tr2bl w:val="nil"/>
            </w:tcBorders>
            <w:noWrap w:val="0"/>
            <w:vAlign w:val="center"/>
          </w:tcPr>
          <w:p w14:paraId="71888DA1">
            <w:pPr>
              <w:bidi w:val="0"/>
              <w:jc w:val="center"/>
              <w:rPr>
                <w:rFonts w:hint="eastAsia"/>
                <w:b/>
                <w:bCs/>
                <w:color w:val="auto"/>
              </w:rPr>
            </w:pPr>
            <w:r>
              <w:rPr>
                <w:rFonts w:hint="eastAsia"/>
                <w:b/>
                <w:bCs/>
                <w:color w:val="auto"/>
              </w:rPr>
              <w:t>备注</w:t>
            </w:r>
          </w:p>
        </w:tc>
      </w:tr>
      <w:tr w14:paraId="7F04C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vMerge w:val="continue"/>
            <w:tcBorders>
              <w:tl2br w:val="nil"/>
              <w:tr2bl w:val="nil"/>
            </w:tcBorders>
            <w:noWrap w:val="0"/>
            <w:vAlign w:val="center"/>
          </w:tcPr>
          <w:p w14:paraId="48C3228F">
            <w:pPr>
              <w:bidi w:val="0"/>
              <w:jc w:val="center"/>
              <w:rPr>
                <w:rFonts w:hint="eastAsia"/>
                <w:color w:val="auto"/>
              </w:rPr>
            </w:pPr>
          </w:p>
        </w:tc>
        <w:tc>
          <w:tcPr>
            <w:tcW w:w="827" w:type="dxa"/>
            <w:vMerge w:val="continue"/>
            <w:tcBorders>
              <w:tl2br w:val="nil"/>
              <w:tr2bl w:val="nil"/>
            </w:tcBorders>
            <w:noWrap w:val="0"/>
            <w:vAlign w:val="center"/>
          </w:tcPr>
          <w:p w14:paraId="36C6475A">
            <w:pPr>
              <w:bidi w:val="0"/>
              <w:jc w:val="center"/>
              <w:rPr>
                <w:rFonts w:hint="eastAsia"/>
                <w:color w:val="auto"/>
              </w:rPr>
            </w:pPr>
          </w:p>
        </w:tc>
        <w:tc>
          <w:tcPr>
            <w:tcW w:w="827" w:type="dxa"/>
            <w:vMerge w:val="continue"/>
            <w:tcBorders>
              <w:tl2br w:val="nil"/>
              <w:tr2bl w:val="nil"/>
            </w:tcBorders>
            <w:noWrap w:val="0"/>
            <w:vAlign w:val="center"/>
          </w:tcPr>
          <w:p w14:paraId="3D407D51">
            <w:pPr>
              <w:bidi w:val="0"/>
              <w:jc w:val="center"/>
              <w:rPr>
                <w:rFonts w:hint="eastAsia"/>
                <w:color w:val="auto"/>
              </w:rPr>
            </w:pPr>
          </w:p>
        </w:tc>
        <w:tc>
          <w:tcPr>
            <w:tcW w:w="827" w:type="dxa"/>
            <w:vMerge w:val="continue"/>
            <w:tcBorders>
              <w:tl2br w:val="nil"/>
              <w:tr2bl w:val="nil"/>
            </w:tcBorders>
            <w:noWrap w:val="0"/>
            <w:vAlign w:val="center"/>
          </w:tcPr>
          <w:p w14:paraId="00DBEE53">
            <w:pPr>
              <w:bidi w:val="0"/>
              <w:jc w:val="center"/>
              <w:rPr>
                <w:rFonts w:hint="eastAsia"/>
                <w:color w:val="auto"/>
              </w:rPr>
            </w:pPr>
          </w:p>
        </w:tc>
        <w:tc>
          <w:tcPr>
            <w:tcW w:w="1357" w:type="dxa"/>
            <w:tcBorders>
              <w:tl2br w:val="nil"/>
              <w:tr2bl w:val="nil"/>
            </w:tcBorders>
            <w:noWrap w:val="0"/>
            <w:vAlign w:val="center"/>
          </w:tcPr>
          <w:p w14:paraId="3A233E48">
            <w:pPr>
              <w:bidi w:val="0"/>
              <w:jc w:val="center"/>
              <w:rPr>
                <w:rFonts w:hint="eastAsia"/>
                <w:b/>
                <w:bCs/>
                <w:color w:val="auto"/>
              </w:rPr>
            </w:pPr>
            <w:r>
              <w:rPr>
                <w:rFonts w:hint="eastAsia"/>
                <w:b/>
                <w:bCs/>
                <w:color w:val="auto"/>
              </w:rPr>
              <w:t>证书名称</w:t>
            </w:r>
          </w:p>
        </w:tc>
        <w:tc>
          <w:tcPr>
            <w:tcW w:w="1189" w:type="dxa"/>
            <w:tcBorders>
              <w:tl2br w:val="nil"/>
              <w:tr2bl w:val="nil"/>
            </w:tcBorders>
            <w:noWrap w:val="0"/>
            <w:vAlign w:val="center"/>
          </w:tcPr>
          <w:p w14:paraId="35B190C4">
            <w:pPr>
              <w:bidi w:val="0"/>
              <w:jc w:val="center"/>
              <w:rPr>
                <w:rFonts w:hint="eastAsia"/>
                <w:b/>
                <w:bCs/>
                <w:color w:val="auto"/>
              </w:rPr>
            </w:pPr>
            <w:r>
              <w:rPr>
                <w:rFonts w:hint="eastAsia"/>
                <w:b/>
                <w:bCs/>
                <w:color w:val="auto"/>
              </w:rPr>
              <w:t>级别</w:t>
            </w:r>
          </w:p>
        </w:tc>
        <w:tc>
          <w:tcPr>
            <w:tcW w:w="935" w:type="dxa"/>
            <w:tcBorders>
              <w:tl2br w:val="nil"/>
              <w:tr2bl w:val="nil"/>
            </w:tcBorders>
            <w:noWrap w:val="0"/>
            <w:vAlign w:val="center"/>
          </w:tcPr>
          <w:p w14:paraId="73D8C67A">
            <w:pPr>
              <w:bidi w:val="0"/>
              <w:jc w:val="center"/>
              <w:rPr>
                <w:rFonts w:hint="eastAsia"/>
                <w:b/>
                <w:bCs/>
                <w:color w:val="auto"/>
              </w:rPr>
            </w:pPr>
            <w:r>
              <w:rPr>
                <w:rFonts w:hint="eastAsia"/>
                <w:b/>
                <w:bCs/>
                <w:color w:val="auto"/>
              </w:rPr>
              <w:t>证号</w:t>
            </w:r>
          </w:p>
        </w:tc>
        <w:tc>
          <w:tcPr>
            <w:tcW w:w="978" w:type="dxa"/>
            <w:tcBorders>
              <w:tl2br w:val="nil"/>
              <w:tr2bl w:val="nil"/>
            </w:tcBorders>
            <w:noWrap w:val="0"/>
            <w:vAlign w:val="center"/>
          </w:tcPr>
          <w:p w14:paraId="49F0D25F">
            <w:pPr>
              <w:bidi w:val="0"/>
              <w:jc w:val="center"/>
              <w:rPr>
                <w:rFonts w:hint="eastAsia"/>
                <w:b/>
                <w:bCs/>
                <w:color w:val="auto"/>
              </w:rPr>
            </w:pPr>
            <w:r>
              <w:rPr>
                <w:rFonts w:hint="eastAsia"/>
                <w:b/>
                <w:bCs/>
                <w:color w:val="auto"/>
              </w:rPr>
              <w:t>专业</w:t>
            </w:r>
          </w:p>
        </w:tc>
        <w:tc>
          <w:tcPr>
            <w:tcW w:w="738" w:type="dxa"/>
            <w:vMerge w:val="continue"/>
            <w:tcBorders>
              <w:tl2br w:val="nil"/>
              <w:tr2bl w:val="nil"/>
            </w:tcBorders>
            <w:noWrap w:val="0"/>
            <w:vAlign w:val="center"/>
          </w:tcPr>
          <w:p w14:paraId="547A5AE0">
            <w:pPr>
              <w:bidi w:val="0"/>
              <w:jc w:val="center"/>
              <w:rPr>
                <w:rFonts w:hint="eastAsia"/>
                <w:color w:val="auto"/>
              </w:rPr>
            </w:pPr>
          </w:p>
        </w:tc>
      </w:tr>
      <w:tr w14:paraId="1E60E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5FB2515B">
            <w:pPr>
              <w:bidi w:val="0"/>
              <w:jc w:val="center"/>
              <w:rPr>
                <w:rFonts w:hint="eastAsia"/>
                <w:color w:val="auto"/>
              </w:rPr>
            </w:pPr>
          </w:p>
        </w:tc>
        <w:tc>
          <w:tcPr>
            <w:tcW w:w="827" w:type="dxa"/>
            <w:tcBorders>
              <w:tl2br w:val="nil"/>
              <w:tr2bl w:val="nil"/>
            </w:tcBorders>
            <w:noWrap w:val="0"/>
            <w:vAlign w:val="center"/>
          </w:tcPr>
          <w:p w14:paraId="213ED56C">
            <w:pPr>
              <w:bidi w:val="0"/>
              <w:jc w:val="center"/>
              <w:rPr>
                <w:rFonts w:hint="eastAsia"/>
                <w:color w:val="auto"/>
              </w:rPr>
            </w:pPr>
          </w:p>
        </w:tc>
        <w:tc>
          <w:tcPr>
            <w:tcW w:w="827" w:type="dxa"/>
            <w:tcBorders>
              <w:tl2br w:val="nil"/>
              <w:tr2bl w:val="nil"/>
            </w:tcBorders>
            <w:noWrap w:val="0"/>
            <w:vAlign w:val="center"/>
          </w:tcPr>
          <w:p w14:paraId="7DC8DED0">
            <w:pPr>
              <w:bidi w:val="0"/>
              <w:jc w:val="center"/>
              <w:rPr>
                <w:rFonts w:hint="eastAsia"/>
                <w:color w:val="auto"/>
              </w:rPr>
            </w:pPr>
          </w:p>
        </w:tc>
        <w:tc>
          <w:tcPr>
            <w:tcW w:w="827" w:type="dxa"/>
            <w:tcBorders>
              <w:tl2br w:val="nil"/>
              <w:tr2bl w:val="nil"/>
            </w:tcBorders>
            <w:noWrap w:val="0"/>
            <w:vAlign w:val="center"/>
          </w:tcPr>
          <w:p w14:paraId="2191D1BA">
            <w:pPr>
              <w:bidi w:val="0"/>
              <w:jc w:val="center"/>
              <w:rPr>
                <w:rFonts w:hint="eastAsia"/>
                <w:color w:val="auto"/>
              </w:rPr>
            </w:pPr>
          </w:p>
        </w:tc>
        <w:tc>
          <w:tcPr>
            <w:tcW w:w="1357" w:type="dxa"/>
            <w:tcBorders>
              <w:tl2br w:val="nil"/>
              <w:tr2bl w:val="nil"/>
            </w:tcBorders>
            <w:noWrap w:val="0"/>
            <w:vAlign w:val="center"/>
          </w:tcPr>
          <w:p w14:paraId="17EBC625">
            <w:pPr>
              <w:bidi w:val="0"/>
              <w:jc w:val="center"/>
              <w:rPr>
                <w:rFonts w:hint="eastAsia"/>
                <w:color w:val="auto"/>
              </w:rPr>
            </w:pPr>
          </w:p>
        </w:tc>
        <w:tc>
          <w:tcPr>
            <w:tcW w:w="1189" w:type="dxa"/>
            <w:tcBorders>
              <w:tl2br w:val="nil"/>
              <w:tr2bl w:val="nil"/>
            </w:tcBorders>
            <w:noWrap w:val="0"/>
            <w:vAlign w:val="center"/>
          </w:tcPr>
          <w:p w14:paraId="29A52A38">
            <w:pPr>
              <w:bidi w:val="0"/>
              <w:jc w:val="center"/>
              <w:rPr>
                <w:rFonts w:hint="eastAsia"/>
                <w:color w:val="auto"/>
              </w:rPr>
            </w:pPr>
          </w:p>
        </w:tc>
        <w:tc>
          <w:tcPr>
            <w:tcW w:w="935" w:type="dxa"/>
            <w:tcBorders>
              <w:tl2br w:val="nil"/>
              <w:tr2bl w:val="nil"/>
            </w:tcBorders>
            <w:noWrap w:val="0"/>
            <w:vAlign w:val="center"/>
          </w:tcPr>
          <w:p w14:paraId="73D74E06">
            <w:pPr>
              <w:bidi w:val="0"/>
              <w:jc w:val="center"/>
              <w:rPr>
                <w:rFonts w:hint="eastAsia"/>
                <w:color w:val="auto"/>
              </w:rPr>
            </w:pPr>
          </w:p>
        </w:tc>
        <w:tc>
          <w:tcPr>
            <w:tcW w:w="978" w:type="dxa"/>
            <w:tcBorders>
              <w:tl2br w:val="nil"/>
              <w:tr2bl w:val="nil"/>
            </w:tcBorders>
            <w:noWrap w:val="0"/>
            <w:vAlign w:val="center"/>
          </w:tcPr>
          <w:p w14:paraId="4AC9D741">
            <w:pPr>
              <w:bidi w:val="0"/>
              <w:jc w:val="center"/>
              <w:rPr>
                <w:rFonts w:hint="eastAsia"/>
                <w:color w:val="auto"/>
              </w:rPr>
            </w:pPr>
          </w:p>
        </w:tc>
        <w:tc>
          <w:tcPr>
            <w:tcW w:w="738" w:type="dxa"/>
            <w:tcBorders>
              <w:tl2br w:val="nil"/>
              <w:tr2bl w:val="nil"/>
            </w:tcBorders>
            <w:noWrap w:val="0"/>
            <w:vAlign w:val="center"/>
          </w:tcPr>
          <w:p w14:paraId="564FE340">
            <w:pPr>
              <w:bidi w:val="0"/>
              <w:jc w:val="center"/>
              <w:rPr>
                <w:rFonts w:hint="eastAsia"/>
                <w:color w:val="auto"/>
              </w:rPr>
            </w:pPr>
          </w:p>
        </w:tc>
      </w:tr>
      <w:tr w14:paraId="6F598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55C5CE60">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640B0919">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A66F687">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6F49C4E3">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2D2C3D75">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59A2171B">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3CB02C62">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5452E4B7">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3924B12C">
            <w:pPr>
              <w:spacing w:before="50"/>
              <w:ind w:right="97" w:firstLine="59" w:firstLineChars="28"/>
              <w:jc w:val="center"/>
              <w:rPr>
                <w:rFonts w:hint="eastAsia" w:ascii="宋体" w:hAnsi="宋体" w:cs="宋体"/>
                <w:color w:val="auto"/>
                <w:spacing w:val="1"/>
                <w:highlight w:val="none"/>
              </w:rPr>
            </w:pPr>
          </w:p>
        </w:tc>
      </w:tr>
      <w:tr w14:paraId="70722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46BA2832">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318746E2">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0BBA72D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3DEBC9CF">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43F159B0">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69751489">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217BBB97">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5CCB92A8">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777A57E0">
            <w:pPr>
              <w:spacing w:before="50"/>
              <w:ind w:right="97" w:firstLine="59" w:firstLineChars="28"/>
              <w:jc w:val="center"/>
              <w:rPr>
                <w:rFonts w:hint="eastAsia" w:ascii="宋体" w:hAnsi="宋体" w:cs="宋体"/>
                <w:color w:val="auto"/>
                <w:spacing w:val="1"/>
                <w:highlight w:val="none"/>
              </w:rPr>
            </w:pPr>
          </w:p>
        </w:tc>
      </w:tr>
      <w:tr w14:paraId="5D786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2092C20A">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31F94A2E">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723E93E1">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00129699">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4BE7F8E8">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7B833B0B">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05CB552B">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08A56DE2">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434B1B00">
            <w:pPr>
              <w:spacing w:before="50"/>
              <w:ind w:right="97" w:firstLine="59" w:firstLineChars="28"/>
              <w:jc w:val="center"/>
              <w:rPr>
                <w:rFonts w:hint="eastAsia" w:ascii="宋体" w:hAnsi="宋体" w:cs="宋体"/>
                <w:color w:val="auto"/>
                <w:spacing w:val="1"/>
                <w:highlight w:val="none"/>
              </w:rPr>
            </w:pPr>
          </w:p>
        </w:tc>
      </w:tr>
      <w:tr w14:paraId="383C3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7E9F4B15">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C3368C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094EA2BC">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1EBABE10">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67FB158F">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2C688A67">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0A9D515D">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4A8F2E3E">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08A2D480">
            <w:pPr>
              <w:spacing w:before="50"/>
              <w:ind w:right="97" w:firstLine="59" w:firstLineChars="28"/>
              <w:jc w:val="center"/>
              <w:rPr>
                <w:rFonts w:hint="eastAsia" w:ascii="宋体" w:hAnsi="宋体" w:cs="宋体"/>
                <w:color w:val="auto"/>
                <w:spacing w:val="1"/>
                <w:highlight w:val="none"/>
              </w:rPr>
            </w:pPr>
          </w:p>
        </w:tc>
      </w:tr>
      <w:tr w14:paraId="5152B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0D9456F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265341D">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1955365F">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D837A8A">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370E32E5">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1245A3D0">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7500765B">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3EB24492">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56A8DAEB">
            <w:pPr>
              <w:spacing w:before="50"/>
              <w:ind w:right="97" w:firstLine="59" w:firstLineChars="28"/>
              <w:jc w:val="center"/>
              <w:rPr>
                <w:rFonts w:hint="eastAsia" w:ascii="宋体" w:hAnsi="宋体" w:cs="宋体"/>
                <w:color w:val="auto"/>
                <w:spacing w:val="1"/>
                <w:highlight w:val="none"/>
              </w:rPr>
            </w:pPr>
          </w:p>
        </w:tc>
      </w:tr>
      <w:tr w14:paraId="66F89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5F009EF8">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000E9BB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28208C5">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C6A6E95">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705A94E2">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3C930AFB">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2235DDAA">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4D30034E">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5F3AD289">
            <w:pPr>
              <w:spacing w:before="50"/>
              <w:ind w:right="97" w:firstLine="59" w:firstLineChars="28"/>
              <w:jc w:val="center"/>
              <w:rPr>
                <w:rFonts w:hint="eastAsia" w:ascii="宋体" w:hAnsi="宋体" w:cs="宋体"/>
                <w:color w:val="auto"/>
                <w:spacing w:val="1"/>
                <w:highlight w:val="none"/>
              </w:rPr>
            </w:pPr>
          </w:p>
        </w:tc>
      </w:tr>
      <w:tr w14:paraId="51E6A0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2E3B14C4">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9FA7DF4">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58D79C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6A7C0842">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7188BB58">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3A349A8B">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09BAAB3B">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50E83D06">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130EDB5B">
            <w:pPr>
              <w:spacing w:before="50"/>
              <w:ind w:right="97" w:firstLine="59" w:firstLineChars="28"/>
              <w:jc w:val="center"/>
              <w:rPr>
                <w:rFonts w:hint="eastAsia" w:ascii="宋体" w:hAnsi="宋体" w:cs="宋体"/>
                <w:color w:val="auto"/>
                <w:spacing w:val="1"/>
                <w:highlight w:val="none"/>
              </w:rPr>
            </w:pPr>
          </w:p>
        </w:tc>
      </w:tr>
      <w:tr w14:paraId="52979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0E32F357">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78FBEABC">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790877B">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032AD6AA">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326BA11F">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12111718">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0F6E6A1F">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25FF8A96">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07394850">
            <w:pPr>
              <w:spacing w:before="50"/>
              <w:ind w:right="97" w:firstLine="59" w:firstLineChars="28"/>
              <w:jc w:val="center"/>
              <w:rPr>
                <w:rFonts w:hint="eastAsia" w:ascii="宋体" w:hAnsi="宋体" w:cs="宋体"/>
                <w:color w:val="auto"/>
                <w:spacing w:val="1"/>
                <w:highlight w:val="none"/>
              </w:rPr>
            </w:pPr>
          </w:p>
        </w:tc>
      </w:tr>
      <w:tr w14:paraId="15C5D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3CB24CD1">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9C48677">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70B971C">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3C009302">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23D859B2">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47DE943F">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7DC84409">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564B364D">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04F811A5">
            <w:pPr>
              <w:spacing w:before="50"/>
              <w:ind w:right="97" w:firstLine="59" w:firstLineChars="28"/>
              <w:jc w:val="center"/>
              <w:rPr>
                <w:rFonts w:hint="eastAsia" w:ascii="宋体" w:hAnsi="宋体" w:cs="宋体"/>
                <w:color w:val="auto"/>
                <w:spacing w:val="1"/>
                <w:highlight w:val="none"/>
              </w:rPr>
            </w:pPr>
          </w:p>
        </w:tc>
      </w:tr>
      <w:tr w14:paraId="1784B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01426B71">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3D2F65AA">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033BF199">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CF960A8">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111E7AEE">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127381A5">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1308082B">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05AA13D3">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3EA5B509">
            <w:pPr>
              <w:spacing w:before="50"/>
              <w:ind w:right="97" w:firstLine="59" w:firstLineChars="28"/>
              <w:jc w:val="center"/>
              <w:rPr>
                <w:rFonts w:hint="eastAsia" w:ascii="宋体" w:hAnsi="宋体" w:cs="宋体"/>
                <w:color w:val="auto"/>
                <w:spacing w:val="1"/>
                <w:highlight w:val="none"/>
              </w:rPr>
            </w:pPr>
          </w:p>
        </w:tc>
      </w:tr>
      <w:tr w14:paraId="58EB0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565D908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83BE027">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1E91EC4">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6400F18F">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6A212717">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3867A89E">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44C7393A">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1117D43D">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7E4DEB85">
            <w:pPr>
              <w:spacing w:before="50"/>
              <w:ind w:right="97" w:firstLine="59" w:firstLineChars="28"/>
              <w:jc w:val="center"/>
              <w:rPr>
                <w:rFonts w:hint="eastAsia" w:ascii="宋体" w:hAnsi="宋体" w:cs="宋体"/>
                <w:color w:val="auto"/>
                <w:spacing w:val="1"/>
                <w:highlight w:val="none"/>
              </w:rPr>
            </w:pPr>
          </w:p>
        </w:tc>
      </w:tr>
      <w:tr w14:paraId="4A148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367B41FB">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7E8AE744">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7C6D149C">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9354CC8">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7BEE717D">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32320F0F">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1DB7FEC6">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643EB12A">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038BAB8C">
            <w:pPr>
              <w:spacing w:before="50"/>
              <w:ind w:right="97" w:firstLine="59" w:firstLineChars="28"/>
              <w:jc w:val="center"/>
              <w:rPr>
                <w:rFonts w:hint="eastAsia" w:ascii="宋体" w:hAnsi="宋体" w:cs="宋体"/>
                <w:color w:val="auto"/>
                <w:spacing w:val="1"/>
                <w:highlight w:val="none"/>
              </w:rPr>
            </w:pPr>
          </w:p>
        </w:tc>
      </w:tr>
      <w:tr w14:paraId="0D4BC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72BA1906">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E508524">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CD0CCF6">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6175482">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62EE221F">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63E0C4FF">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6C85E1C5">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1CD3FD5B">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575CB0E0">
            <w:pPr>
              <w:spacing w:before="50"/>
              <w:ind w:right="97" w:firstLine="59" w:firstLineChars="28"/>
              <w:jc w:val="center"/>
              <w:rPr>
                <w:rFonts w:hint="eastAsia" w:ascii="宋体" w:hAnsi="宋体" w:cs="宋体"/>
                <w:color w:val="auto"/>
                <w:spacing w:val="1"/>
                <w:highlight w:val="none"/>
              </w:rPr>
            </w:pPr>
          </w:p>
        </w:tc>
      </w:tr>
      <w:tr w14:paraId="54471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70C0D037">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C9D2BA2">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43B4A38C">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53F1976">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054C6DD4">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09051D72">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30F18E2F">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098F7039">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6A4EF9B6">
            <w:pPr>
              <w:spacing w:before="50"/>
              <w:ind w:right="97" w:firstLine="59" w:firstLineChars="28"/>
              <w:jc w:val="center"/>
              <w:rPr>
                <w:rFonts w:hint="eastAsia" w:ascii="宋体" w:hAnsi="宋体" w:cs="宋体"/>
                <w:color w:val="auto"/>
                <w:spacing w:val="1"/>
                <w:highlight w:val="none"/>
              </w:rPr>
            </w:pPr>
          </w:p>
        </w:tc>
      </w:tr>
      <w:tr w14:paraId="382A5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2013AE49">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580DE7A2">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9EF853C">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4687545">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7FBC0C4C">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5125F72C">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5F51D54C">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31F854D4">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34B89CE0">
            <w:pPr>
              <w:spacing w:before="50"/>
              <w:ind w:right="97" w:firstLine="59" w:firstLineChars="28"/>
              <w:jc w:val="center"/>
              <w:rPr>
                <w:rFonts w:hint="eastAsia" w:ascii="宋体" w:hAnsi="宋体" w:cs="宋体"/>
                <w:color w:val="auto"/>
                <w:spacing w:val="1"/>
                <w:highlight w:val="none"/>
              </w:rPr>
            </w:pPr>
          </w:p>
        </w:tc>
      </w:tr>
      <w:tr w14:paraId="2AE64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826" w:type="dxa"/>
            <w:tcBorders>
              <w:tl2br w:val="nil"/>
              <w:tr2bl w:val="nil"/>
            </w:tcBorders>
            <w:noWrap w:val="0"/>
            <w:vAlign w:val="center"/>
          </w:tcPr>
          <w:p w14:paraId="2E83EC53">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1C116CE6">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2AAA81C9">
            <w:pPr>
              <w:spacing w:before="50"/>
              <w:ind w:right="97" w:firstLine="59" w:firstLineChars="28"/>
              <w:jc w:val="center"/>
              <w:rPr>
                <w:rFonts w:hint="eastAsia" w:ascii="宋体" w:hAnsi="宋体" w:cs="宋体"/>
                <w:color w:val="auto"/>
                <w:spacing w:val="1"/>
                <w:highlight w:val="none"/>
              </w:rPr>
            </w:pPr>
          </w:p>
        </w:tc>
        <w:tc>
          <w:tcPr>
            <w:tcW w:w="827" w:type="dxa"/>
            <w:tcBorders>
              <w:tl2br w:val="nil"/>
              <w:tr2bl w:val="nil"/>
            </w:tcBorders>
            <w:noWrap w:val="0"/>
            <w:vAlign w:val="center"/>
          </w:tcPr>
          <w:p w14:paraId="775C4809">
            <w:pPr>
              <w:spacing w:before="50"/>
              <w:ind w:right="97" w:firstLine="59" w:firstLineChars="28"/>
              <w:jc w:val="center"/>
              <w:rPr>
                <w:rFonts w:hint="eastAsia" w:ascii="宋体" w:hAnsi="宋体" w:cs="宋体"/>
                <w:color w:val="auto"/>
                <w:spacing w:val="1"/>
                <w:highlight w:val="none"/>
              </w:rPr>
            </w:pPr>
          </w:p>
        </w:tc>
        <w:tc>
          <w:tcPr>
            <w:tcW w:w="1357" w:type="dxa"/>
            <w:tcBorders>
              <w:tl2br w:val="nil"/>
              <w:tr2bl w:val="nil"/>
            </w:tcBorders>
            <w:noWrap w:val="0"/>
            <w:vAlign w:val="center"/>
          </w:tcPr>
          <w:p w14:paraId="4C5AFC66">
            <w:pPr>
              <w:spacing w:before="50"/>
              <w:ind w:right="97" w:firstLine="59" w:firstLineChars="28"/>
              <w:jc w:val="center"/>
              <w:rPr>
                <w:rFonts w:hint="eastAsia" w:ascii="宋体" w:hAnsi="宋体" w:cs="宋体"/>
                <w:color w:val="auto"/>
                <w:spacing w:val="1"/>
                <w:highlight w:val="none"/>
              </w:rPr>
            </w:pPr>
          </w:p>
        </w:tc>
        <w:tc>
          <w:tcPr>
            <w:tcW w:w="1189" w:type="dxa"/>
            <w:tcBorders>
              <w:tl2br w:val="nil"/>
              <w:tr2bl w:val="nil"/>
            </w:tcBorders>
            <w:noWrap w:val="0"/>
            <w:vAlign w:val="center"/>
          </w:tcPr>
          <w:p w14:paraId="0FC75A78">
            <w:pPr>
              <w:spacing w:before="50"/>
              <w:ind w:right="97" w:firstLine="59" w:firstLineChars="28"/>
              <w:jc w:val="center"/>
              <w:rPr>
                <w:rFonts w:hint="eastAsia" w:ascii="宋体" w:hAnsi="宋体" w:cs="宋体"/>
                <w:color w:val="auto"/>
                <w:spacing w:val="1"/>
                <w:highlight w:val="none"/>
              </w:rPr>
            </w:pPr>
          </w:p>
        </w:tc>
        <w:tc>
          <w:tcPr>
            <w:tcW w:w="935" w:type="dxa"/>
            <w:tcBorders>
              <w:tl2br w:val="nil"/>
              <w:tr2bl w:val="nil"/>
            </w:tcBorders>
            <w:noWrap w:val="0"/>
            <w:vAlign w:val="center"/>
          </w:tcPr>
          <w:p w14:paraId="5508AD0E">
            <w:pPr>
              <w:spacing w:before="50"/>
              <w:ind w:right="97" w:firstLine="59" w:firstLineChars="28"/>
              <w:jc w:val="center"/>
              <w:rPr>
                <w:rFonts w:hint="eastAsia" w:ascii="宋体" w:hAnsi="宋体" w:cs="宋体"/>
                <w:color w:val="auto"/>
                <w:spacing w:val="1"/>
                <w:highlight w:val="none"/>
              </w:rPr>
            </w:pPr>
          </w:p>
        </w:tc>
        <w:tc>
          <w:tcPr>
            <w:tcW w:w="978" w:type="dxa"/>
            <w:tcBorders>
              <w:tl2br w:val="nil"/>
              <w:tr2bl w:val="nil"/>
            </w:tcBorders>
            <w:noWrap w:val="0"/>
            <w:vAlign w:val="center"/>
          </w:tcPr>
          <w:p w14:paraId="653EE0C7">
            <w:pPr>
              <w:spacing w:before="50"/>
              <w:ind w:right="97" w:firstLine="59" w:firstLineChars="28"/>
              <w:jc w:val="center"/>
              <w:rPr>
                <w:rFonts w:hint="eastAsia" w:ascii="宋体" w:hAnsi="宋体" w:cs="宋体"/>
                <w:color w:val="auto"/>
                <w:spacing w:val="1"/>
                <w:highlight w:val="none"/>
              </w:rPr>
            </w:pPr>
          </w:p>
        </w:tc>
        <w:tc>
          <w:tcPr>
            <w:tcW w:w="738" w:type="dxa"/>
            <w:tcBorders>
              <w:tl2br w:val="nil"/>
              <w:tr2bl w:val="nil"/>
            </w:tcBorders>
            <w:noWrap w:val="0"/>
            <w:vAlign w:val="center"/>
          </w:tcPr>
          <w:p w14:paraId="7F4817C1">
            <w:pPr>
              <w:spacing w:before="50"/>
              <w:ind w:right="97" w:firstLine="59" w:firstLineChars="28"/>
              <w:jc w:val="center"/>
              <w:rPr>
                <w:rFonts w:hint="eastAsia" w:ascii="宋体" w:hAnsi="宋体" w:cs="宋体"/>
                <w:color w:val="auto"/>
                <w:spacing w:val="1"/>
                <w:highlight w:val="none"/>
              </w:rPr>
            </w:pPr>
          </w:p>
        </w:tc>
      </w:tr>
    </w:tbl>
    <w:p w14:paraId="6303FD2E">
      <w:pPr>
        <w:bidi w:val="0"/>
        <w:rPr>
          <w:color w:val="auto"/>
        </w:rPr>
      </w:pPr>
    </w:p>
    <w:p w14:paraId="60963AA3">
      <w:pPr>
        <w:bidi w:val="0"/>
        <w:rPr>
          <w:color w:val="auto"/>
        </w:rPr>
      </w:pPr>
    </w:p>
    <w:p w14:paraId="2FDA95A5">
      <w:pPr>
        <w:pStyle w:val="4"/>
        <w:bidi w:val="0"/>
        <w:rPr>
          <w:color w:val="auto"/>
        </w:rPr>
      </w:pPr>
      <w:bookmarkStart w:id="383" w:name="_Toc339618740"/>
      <w:bookmarkStart w:id="384" w:name="_Toc17148"/>
      <w:r>
        <w:rPr>
          <w:rFonts w:hint="eastAsia"/>
          <w:color w:val="auto"/>
        </w:rPr>
        <w:t>（</w:t>
      </w:r>
      <w:r>
        <w:rPr>
          <w:rFonts w:hint="eastAsia"/>
          <w:color w:val="auto"/>
          <w:lang w:eastAsia="zh-CN"/>
        </w:rPr>
        <w:t>二</w:t>
      </w:r>
      <w:r>
        <w:rPr>
          <w:rFonts w:hint="eastAsia"/>
          <w:color w:val="auto"/>
        </w:rPr>
        <w:t>）拟投入本工程主要人员简历表</w:t>
      </w:r>
      <w:bookmarkEnd w:id="383"/>
      <w:bookmarkEnd w:id="384"/>
    </w:p>
    <w:p w14:paraId="49B79BE1">
      <w:pPr>
        <w:pStyle w:val="6"/>
        <w:bidi w:val="0"/>
        <w:rPr>
          <w:color w:val="auto"/>
        </w:rPr>
      </w:pPr>
      <w:r>
        <w:rPr>
          <w:rFonts w:hint="eastAsia"/>
          <w:color w:val="auto"/>
        </w:rPr>
        <w:t>附1：</w:t>
      </w:r>
      <w:r>
        <w:rPr>
          <w:rFonts w:hint="eastAsia"/>
          <w:color w:val="auto"/>
          <w:lang w:eastAsia="zh-CN"/>
        </w:rPr>
        <w:t>总监理工程师</w:t>
      </w:r>
      <w:r>
        <w:rPr>
          <w:rFonts w:hint="eastAsia"/>
          <w:color w:val="auto"/>
        </w:rPr>
        <w:t>简历表</w:t>
      </w:r>
    </w:p>
    <w:p w14:paraId="1C04DB28">
      <w:pPr>
        <w:bidi w:val="0"/>
        <w:rPr>
          <w:color w:val="auto"/>
        </w:rPr>
      </w:pPr>
    </w:p>
    <w:tbl>
      <w:tblPr>
        <w:tblStyle w:val="29"/>
        <w:tblW w:w="85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1"/>
        <w:gridCol w:w="104"/>
        <w:gridCol w:w="1195"/>
        <w:gridCol w:w="1195"/>
        <w:gridCol w:w="1196"/>
        <w:gridCol w:w="1597"/>
        <w:gridCol w:w="264"/>
        <w:gridCol w:w="1862"/>
      </w:tblGrid>
      <w:tr w14:paraId="19593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195" w:type="dxa"/>
            <w:gridSpan w:val="2"/>
            <w:tcBorders>
              <w:tl2br w:val="nil"/>
              <w:tr2bl w:val="nil"/>
            </w:tcBorders>
            <w:noWrap w:val="0"/>
            <w:vAlign w:val="center"/>
          </w:tcPr>
          <w:p w14:paraId="2BD7864B">
            <w:pPr>
              <w:bidi w:val="0"/>
              <w:jc w:val="center"/>
              <w:rPr>
                <w:rFonts w:hint="eastAsia"/>
                <w:b/>
                <w:bCs/>
                <w:color w:val="auto"/>
              </w:rPr>
            </w:pPr>
            <w:r>
              <w:rPr>
                <w:rFonts w:hint="eastAsia"/>
                <w:b/>
                <w:bCs/>
                <w:color w:val="auto"/>
              </w:rPr>
              <w:t>姓名</w:t>
            </w:r>
          </w:p>
        </w:tc>
        <w:tc>
          <w:tcPr>
            <w:tcW w:w="1195" w:type="dxa"/>
            <w:tcBorders>
              <w:tl2br w:val="nil"/>
              <w:tr2bl w:val="nil"/>
            </w:tcBorders>
            <w:noWrap w:val="0"/>
            <w:vAlign w:val="center"/>
          </w:tcPr>
          <w:p w14:paraId="628D1743">
            <w:pPr>
              <w:bidi w:val="0"/>
              <w:jc w:val="center"/>
              <w:rPr>
                <w:rFonts w:hint="eastAsia"/>
                <w:b/>
                <w:bCs/>
                <w:color w:val="auto"/>
              </w:rPr>
            </w:pPr>
          </w:p>
        </w:tc>
        <w:tc>
          <w:tcPr>
            <w:tcW w:w="1195" w:type="dxa"/>
            <w:tcBorders>
              <w:tl2br w:val="nil"/>
              <w:tr2bl w:val="nil"/>
            </w:tcBorders>
            <w:noWrap w:val="0"/>
            <w:vAlign w:val="center"/>
          </w:tcPr>
          <w:p w14:paraId="4F664D26">
            <w:pPr>
              <w:bidi w:val="0"/>
              <w:jc w:val="center"/>
              <w:rPr>
                <w:rFonts w:hint="eastAsia"/>
                <w:b/>
                <w:bCs/>
                <w:color w:val="auto"/>
              </w:rPr>
            </w:pPr>
            <w:r>
              <w:rPr>
                <w:rFonts w:hint="eastAsia"/>
                <w:b/>
                <w:bCs/>
                <w:color w:val="auto"/>
              </w:rPr>
              <w:t>年龄</w:t>
            </w:r>
          </w:p>
        </w:tc>
        <w:tc>
          <w:tcPr>
            <w:tcW w:w="1196" w:type="dxa"/>
            <w:tcBorders>
              <w:tl2br w:val="nil"/>
              <w:tr2bl w:val="nil"/>
            </w:tcBorders>
            <w:noWrap w:val="0"/>
            <w:vAlign w:val="center"/>
          </w:tcPr>
          <w:p w14:paraId="5A87284B">
            <w:pPr>
              <w:bidi w:val="0"/>
              <w:jc w:val="center"/>
              <w:rPr>
                <w:rFonts w:hint="eastAsia"/>
                <w:b/>
                <w:bCs/>
                <w:color w:val="auto"/>
              </w:rPr>
            </w:pPr>
          </w:p>
        </w:tc>
        <w:tc>
          <w:tcPr>
            <w:tcW w:w="1861" w:type="dxa"/>
            <w:gridSpan w:val="2"/>
            <w:tcBorders>
              <w:tl2br w:val="nil"/>
              <w:tr2bl w:val="nil"/>
            </w:tcBorders>
            <w:noWrap w:val="0"/>
            <w:vAlign w:val="center"/>
          </w:tcPr>
          <w:p w14:paraId="0A14E62B">
            <w:pPr>
              <w:bidi w:val="0"/>
              <w:jc w:val="center"/>
              <w:rPr>
                <w:rFonts w:hint="eastAsia"/>
                <w:b/>
                <w:bCs/>
                <w:color w:val="auto"/>
              </w:rPr>
            </w:pPr>
            <w:r>
              <w:rPr>
                <w:rFonts w:hint="eastAsia"/>
                <w:b/>
                <w:bCs/>
                <w:color w:val="auto"/>
              </w:rPr>
              <w:t>学历</w:t>
            </w:r>
          </w:p>
        </w:tc>
        <w:tc>
          <w:tcPr>
            <w:tcW w:w="1862" w:type="dxa"/>
            <w:tcBorders>
              <w:tl2br w:val="nil"/>
              <w:tr2bl w:val="nil"/>
            </w:tcBorders>
            <w:noWrap w:val="0"/>
            <w:vAlign w:val="center"/>
          </w:tcPr>
          <w:p w14:paraId="26200988">
            <w:pPr>
              <w:bidi w:val="0"/>
              <w:jc w:val="center"/>
              <w:rPr>
                <w:rFonts w:hint="eastAsia"/>
                <w:b/>
                <w:bCs/>
                <w:color w:val="auto"/>
              </w:rPr>
            </w:pPr>
          </w:p>
        </w:tc>
      </w:tr>
      <w:tr w14:paraId="629EE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195" w:type="dxa"/>
            <w:gridSpan w:val="2"/>
            <w:tcBorders>
              <w:tl2br w:val="nil"/>
              <w:tr2bl w:val="nil"/>
            </w:tcBorders>
            <w:noWrap w:val="0"/>
            <w:vAlign w:val="center"/>
          </w:tcPr>
          <w:p w14:paraId="1CC9B6AC">
            <w:pPr>
              <w:bidi w:val="0"/>
              <w:jc w:val="center"/>
              <w:rPr>
                <w:rFonts w:hint="eastAsia"/>
                <w:b/>
                <w:bCs/>
                <w:color w:val="auto"/>
              </w:rPr>
            </w:pPr>
            <w:r>
              <w:rPr>
                <w:rFonts w:hint="eastAsia"/>
                <w:b/>
                <w:bCs/>
                <w:color w:val="auto"/>
              </w:rPr>
              <w:t>职称</w:t>
            </w:r>
          </w:p>
        </w:tc>
        <w:tc>
          <w:tcPr>
            <w:tcW w:w="1195" w:type="dxa"/>
            <w:tcBorders>
              <w:tl2br w:val="nil"/>
              <w:tr2bl w:val="nil"/>
            </w:tcBorders>
            <w:noWrap w:val="0"/>
            <w:vAlign w:val="center"/>
          </w:tcPr>
          <w:p w14:paraId="5CAC4388">
            <w:pPr>
              <w:bidi w:val="0"/>
              <w:jc w:val="center"/>
              <w:rPr>
                <w:rFonts w:hint="eastAsia"/>
                <w:b/>
                <w:bCs/>
                <w:color w:val="auto"/>
              </w:rPr>
            </w:pPr>
          </w:p>
        </w:tc>
        <w:tc>
          <w:tcPr>
            <w:tcW w:w="1195" w:type="dxa"/>
            <w:tcBorders>
              <w:tl2br w:val="nil"/>
              <w:tr2bl w:val="nil"/>
            </w:tcBorders>
            <w:noWrap w:val="0"/>
            <w:vAlign w:val="center"/>
          </w:tcPr>
          <w:p w14:paraId="325761EF">
            <w:pPr>
              <w:bidi w:val="0"/>
              <w:jc w:val="center"/>
              <w:rPr>
                <w:rFonts w:hint="eastAsia"/>
                <w:b/>
                <w:bCs/>
                <w:color w:val="auto"/>
              </w:rPr>
            </w:pPr>
            <w:r>
              <w:rPr>
                <w:rFonts w:hint="eastAsia"/>
                <w:b/>
                <w:bCs/>
                <w:color w:val="auto"/>
              </w:rPr>
              <w:t>职务</w:t>
            </w:r>
          </w:p>
        </w:tc>
        <w:tc>
          <w:tcPr>
            <w:tcW w:w="1196" w:type="dxa"/>
            <w:tcBorders>
              <w:tl2br w:val="nil"/>
              <w:tr2bl w:val="nil"/>
            </w:tcBorders>
            <w:noWrap w:val="0"/>
            <w:vAlign w:val="center"/>
          </w:tcPr>
          <w:p w14:paraId="78305361">
            <w:pPr>
              <w:bidi w:val="0"/>
              <w:jc w:val="center"/>
              <w:rPr>
                <w:rFonts w:hint="eastAsia"/>
                <w:b/>
                <w:bCs/>
                <w:color w:val="auto"/>
              </w:rPr>
            </w:pPr>
          </w:p>
        </w:tc>
        <w:tc>
          <w:tcPr>
            <w:tcW w:w="1861" w:type="dxa"/>
            <w:gridSpan w:val="2"/>
            <w:tcBorders>
              <w:tl2br w:val="nil"/>
              <w:tr2bl w:val="nil"/>
            </w:tcBorders>
            <w:noWrap w:val="0"/>
            <w:vAlign w:val="center"/>
          </w:tcPr>
          <w:p w14:paraId="2AB41170">
            <w:pPr>
              <w:bidi w:val="0"/>
              <w:jc w:val="center"/>
              <w:rPr>
                <w:rFonts w:hint="eastAsia"/>
                <w:b/>
                <w:bCs/>
                <w:color w:val="auto"/>
              </w:rPr>
            </w:pPr>
            <w:r>
              <w:rPr>
                <w:rFonts w:hint="eastAsia"/>
                <w:b/>
                <w:bCs/>
                <w:color w:val="auto"/>
              </w:rPr>
              <w:t>拟在本工程任职</w:t>
            </w:r>
          </w:p>
        </w:tc>
        <w:tc>
          <w:tcPr>
            <w:tcW w:w="1862" w:type="dxa"/>
            <w:tcBorders>
              <w:tl2br w:val="nil"/>
              <w:tr2bl w:val="nil"/>
            </w:tcBorders>
            <w:noWrap w:val="0"/>
            <w:vAlign w:val="center"/>
          </w:tcPr>
          <w:p w14:paraId="76EEAC67">
            <w:pPr>
              <w:bidi w:val="0"/>
              <w:jc w:val="center"/>
              <w:rPr>
                <w:rFonts w:hint="eastAsia"/>
                <w:b/>
                <w:bCs/>
                <w:color w:val="auto"/>
                <w:lang w:eastAsia="zh-CN"/>
              </w:rPr>
            </w:pPr>
            <w:r>
              <w:rPr>
                <w:rFonts w:hint="eastAsia"/>
                <w:b/>
                <w:bCs/>
                <w:color w:val="auto"/>
                <w:lang w:eastAsia="zh-CN"/>
              </w:rPr>
              <w:t>总监理工程师</w:t>
            </w:r>
          </w:p>
        </w:tc>
      </w:tr>
      <w:tr w14:paraId="535D3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195" w:type="dxa"/>
            <w:gridSpan w:val="2"/>
            <w:tcBorders>
              <w:tl2br w:val="nil"/>
              <w:tr2bl w:val="nil"/>
            </w:tcBorders>
            <w:noWrap w:val="0"/>
            <w:vAlign w:val="center"/>
          </w:tcPr>
          <w:p w14:paraId="15222C93">
            <w:pPr>
              <w:bidi w:val="0"/>
              <w:jc w:val="center"/>
              <w:rPr>
                <w:rFonts w:hint="eastAsia"/>
                <w:b/>
                <w:bCs/>
                <w:color w:val="auto"/>
                <w:lang w:val="en-US" w:eastAsia="zh-CN"/>
              </w:rPr>
            </w:pPr>
            <w:r>
              <w:rPr>
                <w:b/>
                <w:bCs/>
                <w:color w:val="auto"/>
              </w:rPr>
              <w:t>毕业学校</w:t>
            </w:r>
          </w:p>
        </w:tc>
        <w:tc>
          <w:tcPr>
            <w:tcW w:w="7309" w:type="dxa"/>
            <w:gridSpan w:val="6"/>
            <w:tcBorders>
              <w:tl2br w:val="nil"/>
              <w:tr2bl w:val="nil"/>
            </w:tcBorders>
            <w:noWrap w:val="0"/>
            <w:vAlign w:val="center"/>
          </w:tcPr>
          <w:p w14:paraId="57779A8B">
            <w:pPr>
              <w:bidi w:val="0"/>
              <w:jc w:val="center"/>
              <w:rPr>
                <w:rFonts w:hint="eastAsia"/>
                <w:b/>
                <w:bCs/>
                <w:color w:val="auto"/>
              </w:rPr>
            </w:pPr>
            <w:r>
              <w:rPr>
                <w:rFonts w:hint="eastAsia"/>
                <w:b/>
                <w:bCs/>
                <w:color w:val="auto"/>
              </w:rPr>
              <w:t xml:space="preserve">年毕业于     </w:t>
            </w:r>
            <w:r>
              <w:rPr>
                <w:b/>
                <w:bCs/>
                <w:color w:val="auto"/>
              </w:rPr>
              <w:t xml:space="preserve"> </w:t>
            </w:r>
            <w:r>
              <w:rPr>
                <w:rFonts w:hint="eastAsia"/>
                <w:b/>
                <w:bCs/>
                <w:color w:val="auto"/>
              </w:rPr>
              <w:t>学校</w:t>
            </w:r>
            <w:r>
              <w:rPr>
                <w:b/>
                <w:bCs/>
                <w:color w:val="auto"/>
              </w:rPr>
              <w:t xml:space="preserve"> </w:t>
            </w:r>
            <w:r>
              <w:rPr>
                <w:rFonts w:hint="eastAsia"/>
                <w:b/>
                <w:bCs/>
                <w:color w:val="auto"/>
              </w:rPr>
              <w:t xml:space="preserve">      专业</w:t>
            </w:r>
          </w:p>
        </w:tc>
      </w:tr>
      <w:tr w14:paraId="4C1D6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8504" w:type="dxa"/>
            <w:gridSpan w:val="8"/>
            <w:tcBorders>
              <w:tl2br w:val="nil"/>
              <w:tr2bl w:val="nil"/>
            </w:tcBorders>
            <w:noWrap w:val="0"/>
            <w:vAlign w:val="center"/>
          </w:tcPr>
          <w:p w14:paraId="5784BE2E">
            <w:pPr>
              <w:bidi w:val="0"/>
              <w:jc w:val="center"/>
              <w:rPr>
                <w:rFonts w:hint="eastAsia"/>
                <w:b/>
                <w:bCs/>
                <w:color w:val="auto"/>
              </w:rPr>
            </w:pPr>
            <w:r>
              <w:rPr>
                <w:rFonts w:hint="eastAsia"/>
                <w:b/>
                <w:bCs/>
                <w:color w:val="auto"/>
              </w:rPr>
              <w:t>主要工作经历</w:t>
            </w:r>
          </w:p>
        </w:tc>
      </w:tr>
      <w:tr w14:paraId="192A5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2048FAD1">
            <w:pPr>
              <w:bidi w:val="0"/>
              <w:jc w:val="center"/>
              <w:rPr>
                <w:rFonts w:hint="eastAsia"/>
                <w:b/>
                <w:bCs/>
                <w:color w:val="auto"/>
              </w:rPr>
            </w:pPr>
            <w:r>
              <w:rPr>
                <w:rFonts w:hint="eastAsia"/>
                <w:b/>
                <w:bCs/>
                <w:color w:val="auto"/>
              </w:rPr>
              <w:t>时间</w:t>
            </w:r>
          </w:p>
        </w:tc>
        <w:tc>
          <w:tcPr>
            <w:tcW w:w="3690" w:type="dxa"/>
            <w:gridSpan w:val="4"/>
            <w:tcBorders>
              <w:tl2br w:val="nil"/>
              <w:tr2bl w:val="nil"/>
            </w:tcBorders>
            <w:noWrap w:val="0"/>
            <w:vAlign w:val="center"/>
          </w:tcPr>
          <w:p w14:paraId="61FD79E9">
            <w:pPr>
              <w:bidi w:val="0"/>
              <w:jc w:val="center"/>
              <w:rPr>
                <w:rFonts w:hint="eastAsia"/>
                <w:b/>
                <w:bCs/>
                <w:color w:val="auto"/>
              </w:rPr>
            </w:pPr>
            <w:r>
              <w:rPr>
                <w:rFonts w:hint="eastAsia"/>
                <w:b/>
                <w:bCs/>
                <w:color w:val="auto"/>
              </w:rPr>
              <w:t>参加过的项目名称</w:t>
            </w:r>
          </w:p>
        </w:tc>
        <w:tc>
          <w:tcPr>
            <w:tcW w:w="1597" w:type="dxa"/>
            <w:tcBorders>
              <w:tl2br w:val="nil"/>
              <w:tr2bl w:val="nil"/>
            </w:tcBorders>
            <w:noWrap w:val="0"/>
            <w:vAlign w:val="center"/>
          </w:tcPr>
          <w:p w14:paraId="5458245A">
            <w:pPr>
              <w:bidi w:val="0"/>
              <w:jc w:val="center"/>
              <w:rPr>
                <w:rFonts w:hint="eastAsia"/>
                <w:b/>
                <w:bCs/>
                <w:color w:val="auto"/>
              </w:rPr>
            </w:pPr>
            <w:r>
              <w:rPr>
                <w:rFonts w:hint="eastAsia"/>
                <w:b/>
                <w:bCs/>
                <w:color w:val="auto"/>
              </w:rPr>
              <w:t>担任职务</w:t>
            </w:r>
          </w:p>
        </w:tc>
        <w:tc>
          <w:tcPr>
            <w:tcW w:w="2126" w:type="dxa"/>
            <w:gridSpan w:val="2"/>
            <w:tcBorders>
              <w:tl2br w:val="nil"/>
              <w:tr2bl w:val="nil"/>
            </w:tcBorders>
            <w:noWrap w:val="0"/>
            <w:vAlign w:val="center"/>
          </w:tcPr>
          <w:p w14:paraId="2BFEFF92">
            <w:pPr>
              <w:bidi w:val="0"/>
              <w:jc w:val="center"/>
              <w:rPr>
                <w:rFonts w:hint="eastAsia"/>
                <w:b/>
                <w:bCs/>
                <w:color w:val="auto"/>
              </w:rPr>
            </w:pPr>
            <w:r>
              <w:rPr>
                <w:rFonts w:hint="eastAsia"/>
                <w:b/>
                <w:bCs/>
                <w:color w:val="auto"/>
              </w:rPr>
              <w:t>发包人及联系电话</w:t>
            </w:r>
          </w:p>
        </w:tc>
      </w:tr>
      <w:tr w14:paraId="1DCE9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21219BC6">
            <w:pPr>
              <w:bidi w:val="0"/>
              <w:rPr>
                <w:rFonts w:hint="eastAsia"/>
                <w:color w:val="auto"/>
              </w:rPr>
            </w:pPr>
          </w:p>
        </w:tc>
        <w:tc>
          <w:tcPr>
            <w:tcW w:w="3690" w:type="dxa"/>
            <w:gridSpan w:val="4"/>
            <w:tcBorders>
              <w:tl2br w:val="nil"/>
              <w:tr2bl w:val="nil"/>
            </w:tcBorders>
            <w:noWrap w:val="0"/>
            <w:vAlign w:val="center"/>
          </w:tcPr>
          <w:p w14:paraId="0FF3B0C7">
            <w:pPr>
              <w:bidi w:val="0"/>
              <w:rPr>
                <w:rFonts w:hint="eastAsia"/>
                <w:color w:val="auto"/>
              </w:rPr>
            </w:pPr>
          </w:p>
        </w:tc>
        <w:tc>
          <w:tcPr>
            <w:tcW w:w="1597" w:type="dxa"/>
            <w:tcBorders>
              <w:tl2br w:val="nil"/>
              <w:tr2bl w:val="nil"/>
            </w:tcBorders>
            <w:noWrap w:val="0"/>
            <w:vAlign w:val="center"/>
          </w:tcPr>
          <w:p w14:paraId="40871375">
            <w:pPr>
              <w:bidi w:val="0"/>
              <w:rPr>
                <w:rFonts w:hint="eastAsia"/>
                <w:color w:val="auto"/>
              </w:rPr>
            </w:pPr>
          </w:p>
        </w:tc>
        <w:tc>
          <w:tcPr>
            <w:tcW w:w="2126" w:type="dxa"/>
            <w:gridSpan w:val="2"/>
            <w:tcBorders>
              <w:tl2br w:val="nil"/>
              <w:tr2bl w:val="nil"/>
            </w:tcBorders>
            <w:noWrap w:val="0"/>
            <w:vAlign w:val="center"/>
          </w:tcPr>
          <w:p w14:paraId="43875D47">
            <w:pPr>
              <w:bidi w:val="0"/>
              <w:rPr>
                <w:rFonts w:hint="eastAsia"/>
                <w:color w:val="auto"/>
              </w:rPr>
            </w:pPr>
          </w:p>
        </w:tc>
      </w:tr>
      <w:tr w14:paraId="6C16C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6406E979">
            <w:pPr>
              <w:bidi w:val="0"/>
              <w:rPr>
                <w:rFonts w:hint="eastAsia"/>
                <w:color w:val="auto"/>
              </w:rPr>
            </w:pPr>
          </w:p>
        </w:tc>
        <w:tc>
          <w:tcPr>
            <w:tcW w:w="3690" w:type="dxa"/>
            <w:gridSpan w:val="4"/>
            <w:tcBorders>
              <w:tl2br w:val="nil"/>
              <w:tr2bl w:val="nil"/>
            </w:tcBorders>
            <w:noWrap w:val="0"/>
            <w:vAlign w:val="center"/>
          </w:tcPr>
          <w:p w14:paraId="6A12E161">
            <w:pPr>
              <w:bidi w:val="0"/>
              <w:rPr>
                <w:rFonts w:hint="eastAsia"/>
                <w:color w:val="auto"/>
              </w:rPr>
            </w:pPr>
          </w:p>
        </w:tc>
        <w:tc>
          <w:tcPr>
            <w:tcW w:w="1597" w:type="dxa"/>
            <w:tcBorders>
              <w:tl2br w:val="nil"/>
              <w:tr2bl w:val="nil"/>
            </w:tcBorders>
            <w:noWrap w:val="0"/>
            <w:vAlign w:val="center"/>
          </w:tcPr>
          <w:p w14:paraId="37F0673A">
            <w:pPr>
              <w:bidi w:val="0"/>
              <w:rPr>
                <w:rFonts w:hint="eastAsia"/>
                <w:color w:val="auto"/>
              </w:rPr>
            </w:pPr>
          </w:p>
        </w:tc>
        <w:tc>
          <w:tcPr>
            <w:tcW w:w="2126" w:type="dxa"/>
            <w:gridSpan w:val="2"/>
            <w:tcBorders>
              <w:tl2br w:val="nil"/>
              <w:tr2bl w:val="nil"/>
            </w:tcBorders>
            <w:noWrap w:val="0"/>
            <w:vAlign w:val="center"/>
          </w:tcPr>
          <w:p w14:paraId="04F98FC6">
            <w:pPr>
              <w:bidi w:val="0"/>
              <w:rPr>
                <w:rFonts w:hint="eastAsia"/>
                <w:color w:val="auto"/>
              </w:rPr>
            </w:pPr>
          </w:p>
        </w:tc>
      </w:tr>
      <w:tr w14:paraId="0741D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22663761">
            <w:pPr>
              <w:bidi w:val="0"/>
              <w:rPr>
                <w:rFonts w:hint="eastAsia"/>
                <w:color w:val="auto"/>
              </w:rPr>
            </w:pPr>
          </w:p>
        </w:tc>
        <w:tc>
          <w:tcPr>
            <w:tcW w:w="3690" w:type="dxa"/>
            <w:gridSpan w:val="4"/>
            <w:tcBorders>
              <w:tl2br w:val="nil"/>
              <w:tr2bl w:val="nil"/>
            </w:tcBorders>
            <w:noWrap w:val="0"/>
            <w:vAlign w:val="center"/>
          </w:tcPr>
          <w:p w14:paraId="276C52FC">
            <w:pPr>
              <w:bidi w:val="0"/>
              <w:rPr>
                <w:rFonts w:hint="eastAsia"/>
                <w:color w:val="auto"/>
              </w:rPr>
            </w:pPr>
          </w:p>
        </w:tc>
        <w:tc>
          <w:tcPr>
            <w:tcW w:w="1597" w:type="dxa"/>
            <w:tcBorders>
              <w:tl2br w:val="nil"/>
              <w:tr2bl w:val="nil"/>
            </w:tcBorders>
            <w:noWrap w:val="0"/>
            <w:vAlign w:val="center"/>
          </w:tcPr>
          <w:p w14:paraId="470D3281">
            <w:pPr>
              <w:bidi w:val="0"/>
              <w:rPr>
                <w:rFonts w:hint="eastAsia"/>
                <w:color w:val="auto"/>
              </w:rPr>
            </w:pPr>
          </w:p>
        </w:tc>
        <w:tc>
          <w:tcPr>
            <w:tcW w:w="2126" w:type="dxa"/>
            <w:gridSpan w:val="2"/>
            <w:tcBorders>
              <w:tl2br w:val="nil"/>
              <w:tr2bl w:val="nil"/>
            </w:tcBorders>
            <w:noWrap w:val="0"/>
            <w:vAlign w:val="center"/>
          </w:tcPr>
          <w:p w14:paraId="132EFAAA">
            <w:pPr>
              <w:bidi w:val="0"/>
              <w:rPr>
                <w:rFonts w:hint="eastAsia"/>
                <w:color w:val="auto"/>
              </w:rPr>
            </w:pPr>
          </w:p>
        </w:tc>
      </w:tr>
      <w:tr w14:paraId="4AEE3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31DDC0F0">
            <w:pPr>
              <w:bidi w:val="0"/>
              <w:rPr>
                <w:rFonts w:hint="eastAsia"/>
                <w:color w:val="auto"/>
              </w:rPr>
            </w:pPr>
          </w:p>
        </w:tc>
        <w:tc>
          <w:tcPr>
            <w:tcW w:w="3690" w:type="dxa"/>
            <w:gridSpan w:val="4"/>
            <w:tcBorders>
              <w:tl2br w:val="nil"/>
              <w:tr2bl w:val="nil"/>
            </w:tcBorders>
            <w:noWrap w:val="0"/>
            <w:vAlign w:val="center"/>
          </w:tcPr>
          <w:p w14:paraId="7BA8EAB8">
            <w:pPr>
              <w:bidi w:val="0"/>
              <w:rPr>
                <w:rFonts w:hint="eastAsia"/>
                <w:color w:val="auto"/>
              </w:rPr>
            </w:pPr>
          </w:p>
        </w:tc>
        <w:tc>
          <w:tcPr>
            <w:tcW w:w="1597" w:type="dxa"/>
            <w:tcBorders>
              <w:tl2br w:val="nil"/>
              <w:tr2bl w:val="nil"/>
            </w:tcBorders>
            <w:noWrap w:val="0"/>
            <w:vAlign w:val="center"/>
          </w:tcPr>
          <w:p w14:paraId="4C14D160">
            <w:pPr>
              <w:bidi w:val="0"/>
              <w:rPr>
                <w:rFonts w:hint="eastAsia"/>
                <w:color w:val="auto"/>
              </w:rPr>
            </w:pPr>
          </w:p>
        </w:tc>
        <w:tc>
          <w:tcPr>
            <w:tcW w:w="2126" w:type="dxa"/>
            <w:gridSpan w:val="2"/>
            <w:tcBorders>
              <w:tl2br w:val="nil"/>
              <w:tr2bl w:val="nil"/>
            </w:tcBorders>
            <w:noWrap w:val="0"/>
            <w:vAlign w:val="center"/>
          </w:tcPr>
          <w:p w14:paraId="0519D85E">
            <w:pPr>
              <w:bidi w:val="0"/>
              <w:rPr>
                <w:rFonts w:hint="eastAsia"/>
                <w:color w:val="auto"/>
              </w:rPr>
            </w:pPr>
          </w:p>
        </w:tc>
      </w:tr>
      <w:tr w14:paraId="74AE7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5B750314">
            <w:pPr>
              <w:bidi w:val="0"/>
              <w:rPr>
                <w:rFonts w:hint="eastAsia"/>
                <w:color w:val="auto"/>
              </w:rPr>
            </w:pPr>
          </w:p>
        </w:tc>
        <w:tc>
          <w:tcPr>
            <w:tcW w:w="3690" w:type="dxa"/>
            <w:gridSpan w:val="4"/>
            <w:tcBorders>
              <w:tl2br w:val="nil"/>
              <w:tr2bl w:val="nil"/>
            </w:tcBorders>
            <w:noWrap w:val="0"/>
            <w:vAlign w:val="center"/>
          </w:tcPr>
          <w:p w14:paraId="71239148">
            <w:pPr>
              <w:bidi w:val="0"/>
              <w:rPr>
                <w:rFonts w:hint="eastAsia"/>
                <w:color w:val="auto"/>
              </w:rPr>
            </w:pPr>
          </w:p>
        </w:tc>
        <w:tc>
          <w:tcPr>
            <w:tcW w:w="1597" w:type="dxa"/>
            <w:tcBorders>
              <w:tl2br w:val="nil"/>
              <w:tr2bl w:val="nil"/>
            </w:tcBorders>
            <w:noWrap w:val="0"/>
            <w:vAlign w:val="center"/>
          </w:tcPr>
          <w:p w14:paraId="72057C3B">
            <w:pPr>
              <w:bidi w:val="0"/>
              <w:rPr>
                <w:rFonts w:hint="eastAsia"/>
                <w:color w:val="auto"/>
              </w:rPr>
            </w:pPr>
          </w:p>
        </w:tc>
        <w:tc>
          <w:tcPr>
            <w:tcW w:w="2126" w:type="dxa"/>
            <w:gridSpan w:val="2"/>
            <w:tcBorders>
              <w:tl2br w:val="nil"/>
              <w:tr2bl w:val="nil"/>
            </w:tcBorders>
            <w:noWrap w:val="0"/>
            <w:vAlign w:val="center"/>
          </w:tcPr>
          <w:p w14:paraId="15D3314B">
            <w:pPr>
              <w:bidi w:val="0"/>
              <w:rPr>
                <w:rFonts w:hint="eastAsia"/>
                <w:color w:val="auto"/>
              </w:rPr>
            </w:pPr>
          </w:p>
        </w:tc>
      </w:tr>
      <w:tr w14:paraId="02FE7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1C24D000">
            <w:pPr>
              <w:bidi w:val="0"/>
              <w:rPr>
                <w:rFonts w:hint="eastAsia"/>
                <w:color w:val="auto"/>
              </w:rPr>
            </w:pPr>
          </w:p>
        </w:tc>
        <w:tc>
          <w:tcPr>
            <w:tcW w:w="3690" w:type="dxa"/>
            <w:gridSpan w:val="4"/>
            <w:tcBorders>
              <w:tl2br w:val="nil"/>
              <w:tr2bl w:val="nil"/>
            </w:tcBorders>
            <w:noWrap w:val="0"/>
            <w:vAlign w:val="center"/>
          </w:tcPr>
          <w:p w14:paraId="39500E29">
            <w:pPr>
              <w:bidi w:val="0"/>
              <w:rPr>
                <w:rFonts w:hint="eastAsia"/>
                <w:color w:val="auto"/>
              </w:rPr>
            </w:pPr>
          </w:p>
        </w:tc>
        <w:tc>
          <w:tcPr>
            <w:tcW w:w="1597" w:type="dxa"/>
            <w:tcBorders>
              <w:tl2br w:val="nil"/>
              <w:tr2bl w:val="nil"/>
            </w:tcBorders>
            <w:noWrap w:val="0"/>
            <w:vAlign w:val="center"/>
          </w:tcPr>
          <w:p w14:paraId="02B14BA0">
            <w:pPr>
              <w:bidi w:val="0"/>
              <w:rPr>
                <w:rFonts w:hint="eastAsia"/>
                <w:color w:val="auto"/>
              </w:rPr>
            </w:pPr>
          </w:p>
        </w:tc>
        <w:tc>
          <w:tcPr>
            <w:tcW w:w="2126" w:type="dxa"/>
            <w:gridSpan w:val="2"/>
            <w:tcBorders>
              <w:tl2br w:val="nil"/>
              <w:tr2bl w:val="nil"/>
            </w:tcBorders>
            <w:noWrap w:val="0"/>
            <w:vAlign w:val="center"/>
          </w:tcPr>
          <w:p w14:paraId="6AC36BBF">
            <w:pPr>
              <w:bidi w:val="0"/>
              <w:rPr>
                <w:rFonts w:hint="eastAsia"/>
                <w:color w:val="auto"/>
              </w:rPr>
            </w:pPr>
          </w:p>
        </w:tc>
      </w:tr>
      <w:tr w14:paraId="22AB4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0406394D">
            <w:pPr>
              <w:bidi w:val="0"/>
              <w:rPr>
                <w:rFonts w:hint="eastAsia"/>
                <w:color w:val="auto"/>
              </w:rPr>
            </w:pPr>
          </w:p>
        </w:tc>
        <w:tc>
          <w:tcPr>
            <w:tcW w:w="3690" w:type="dxa"/>
            <w:gridSpan w:val="4"/>
            <w:tcBorders>
              <w:tl2br w:val="nil"/>
              <w:tr2bl w:val="nil"/>
            </w:tcBorders>
            <w:noWrap w:val="0"/>
            <w:vAlign w:val="center"/>
          </w:tcPr>
          <w:p w14:paraId="24F03F9D">
            <w:pPr>
              <w:bidi w:val="0"/>
              <w:rPr>
                <w:rFonts w:hint="eastAsia"/>
                <w:color w:val="auto"/>
              </w:rPr>
            </w:pPr>
          </w:p>
        </w:tc>
        <w:tc>
          <w:tcPr>
            <w:tcW w:w="1597" w:type="dxa"/>
            <w:tcBorders>
              <w:tl2br w:val="nil"/>
              <w:tr2bl w:val="nil"/>
            </w:tcBorders>
            <w:noWrap w:val="0"/>
            <w:vAlign w:val="center"/>
          </w:tcPr>
          <w:p w14:paraId="105AD064">
            <w:pPr>
              <w:bidi w:val="0"/>
              <w:rPr>
                <w:rFonts w:hint="eastAsia"/>
                <w:color w:val="auto"/>
              </w:rPr>
            </w:pPr>
          </w:p>
        </w:tc>
        <w:tc>
          <w:tcPr>
            <w:tcW w:w="2126" w:type="dxa"/>
            <w:gridSpan w:val="2"/>
            <w:tcBorders>
              <w:tl2br w:val="nil"/>
              <w:tr2bl w:val="nil"/>
            </w:tcBorders>
            <w:noWrap w:val="0"/>
            <w:vAlign w:val="center"/>
          </w:tcPr>
          <w:p w14:paraId="05EB959D">
            <w:pPr>
              <w:bidi w:val="0"/>
              <w:rPr>
                <w:rFonts w:hint="eastAsia"/>
                <w:color w:val="auto"/>
              </w:rPr>
            </w:pPr>
          </w:p>
        </w:tc>
      </w:tr>
      <w:tr w14:paraId="1E8D9A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91" w:type="dxa"/>
            <w:tcBorders>
              <w:tl2br w:val="nil"/>
              <w:tr2bl w:val="nil"/>
            </w:tcBorders>
            <w:noWrap w:val="0"/>
            <w:vAlign w:val="center"/>
          </w:tcPr>
          <w:p w14:paraId="45A55122">
            <w:pPr>
              <w:bidi w:val="0"/>
              <w:rPr>
                <w:rFonts w:hint="eastAsia"/>
                <w:color w:val="auto"/>
              </w:rPr>
            </w:pPr>
          </w:p>
        </w:tc>
        <w:tc>
          <w:tcPr>
            <w:tcW w:w="3690" w:type="dxa"/>
            <w:gridSpan w:val="4"/>
            <w:tcBorders>
              <w:tl2br w:val="nil"/>
              <w:tr2bl w:val="nil"/>
            </w:tcBorders>
            <w:noWrap w:val="0"/>
            <w:vAlign w:val="center"/>
          </w:tcPr>
          <w:p w14:paraId="1944E314">
            <w:pPr>
              <w:bidi w:val="0"/>
              <w:rPr>
                <w:rFonts w:hint="eastAsia"/>
                <w:color w:val="auto"/>
              </w:rPr>
            </w:pPr>
          </w:p>
        </w:tc>
        <w:tc>
          <w:tcPr>
            <w:tcW w:w="1597" w:type="dxa"/>
            <w:tcBorders>
              <w:tl2br w:val="nil"/>
              <w:tr2bl w:val="nil"/>
            </w:tcBorders>
            <w:noWrap w:val="0"/>
            <w:vAlign w:val="center"/>
          </w:tcPr>
          <w:p w14:paraId="3D13B35B">
            <w:pPr>
              <w:bidi w:val="0"/>
              <w:rPr>
                <w:rFonts w:hint="eastAsia"/>
                <w:color w:val="auto"/>
              </w:rPr>
            </w:pPr>
          </w:p>
        </w:tc>
        <w:tc>
          <w:tcPr>
            <w:tcW w:w="2126" w:type="dxa"/>
            <w:gridSpan w:val="2"/>
            <w:tcBorders>
              <w:tl2br w:val="nil"/>
              <w:tr2bl w:val="nil"/>
            </w:tcBorders>
            <w:noWrap w:val="0"/>
            <w:vAlign w:val="center"/>
          </w:tcPr>
          <w:p w14:paraId="363355FC">
            <w:pPr>
              <w:bidi w:val="0"/>
              <w:rPr>
                <w:rFonts w:hint="eastAsia"/>
                <w:color w:val="auto"/>
              </w:rPr>
            </w:pPr>
          </w:p>
        </w:tc>
      </w:tr>
    </w:tbl>
    <w:p w14:paraId="4B11B3DD">
      <w:pPr>
        <w:bidi w:val="0"/>
        <w:rPr>
          <w:rFonts w:hint="eastAsia"/>
          <w:color w:val="auto"/>
          <w:lang w:eastAsia="zh-CN"/>
        </w:rPr>
      </w:pPr>
    </w:p>
    <w:p w14:paraId="77012F88">
      <w:pPr>
        <w:bidi w:val="0"/>
        <w:rPr>
          <w:rFonts w:hint="default"/>
          <w:b/>
          <w:bCs/>
          <w:color w:val="auto"/>
          <w:lang w:val="en-US" w:eastAsia="zh-CN"/>
        </w:rPr>
      </w:pPr>
      <w:r>
        <w:rPr>
          <w:rFonts w:hint="eastAsia"/>
          <w:b/>
          <w:bCs/>
          <w:color w:val="auto"/>
          <w:lang w:val="en-US" w:eastAsia="zh-CN"/>
        </w:rPr>
        <w:t>注：后附相关证明材料扫描件。</w:t>
      </w:r>
    </w:p>
    <w:p w14:paraId="261257EB">
      <w:pPr>
        <w:bidi w:val="0"/>
        <w:rPr>
          <w:rFonts w:hint="eastAsia"/>
          <w:color w:val="auto"/>
          <w:lang w:eastAsia="zh-CN"/>
        </w:rPr>
      </w:pPr>
    </w:p>
    <w:p w14:paraId="6A183BDF">
      <w:pPr>
        <w:bidi w:val="0"/>
        <w:rPr>
          <w:rFonts w:hint="eastAsia"/>
          <w:color w:val="auto"/>
          <w:lang w:eastAsia="zh-CN"/>
        </w:rPr>
      </w:pPr>
    </w:p>
    <w:p w14:paraId="7CE13F57">
      <w:pPr>
        <w:bidi w:val="0"/>
        <w:rPr>
          <w:rFonts w:hint="eastAsia"/>
          <w:color w:val="auto"/>
          <w:lang w:eastAsia="zh-CN"/>
        </w:rPr>
      </w:pPr>
    </w:p>
    <w:p w14:paraId="072A4718">
      <w:pPr>
        <w:bidi w:val="0"/>
        <w:rPr>
          <w:rFonts w:hint="eastAsia"/>
          <w:color w:val="auto"/>
          <w:lang w:eastAsia="zh-CN"/>
        </w:rPr>
      </w:pPr>
    </w:p>
    <w:p w14:paraId="3B1D00BC">
      <w:pPr>
        <w:bidi w:val="0"/>
        <w:rPr>
          <w:rFonts w:hint="eastAsia"/>
          <w:color w:val="auto"/>
          <w:lang w:eastAsia="zh-CN"/>
        </w:rPr>
      </w:pPr>
    </w:p>
    <w:p w14:paraId="55347E81">
      <w:pPr>
        <w:bidi w:val="0"/>
        <w:rPr>
          <w:rFonts w:hint="eastAsia"/>
          <w:color w:val="auto"/>
          <w:lang w:eastAsia="zh-CN"/>
        </w:rPr>
      </w:pPr>
    </w:p>
    <w:p w14:paraId="5F2C516C">
      <w:pPr>
        <w:bidi w:val="0"/>
        <w:rPr>
          <w:rFonts w:hint="eastAsia"/>
          <w:color w:val="auto"/>
          <w:lang w:eastAsia="zh-CN"/>
        </w:rPr>
      </w:pPr>
    </w:p>
    <w:p w14:paraId="77092C98">
      <w:pPr>
        <w:bidi w:val="0"/>
        <w:rPr>
          <w:rFonts w:hint="eastAsia"/>
          <w:color w:val="auto"/>
          <w:lang w:eastAsia="zh-CN"/>
        </w:rPr>
      </w:pPr>
    </w:p>
    <w:p w14:paraId="4B95219F">
      <w:pPr>
        <w:pStyle w:val="6"/>
        <w:bidi w:val="0"/>
        <w:rPr>
          <w:rFonts w:hint="eastAsia"/>
          <w:color w:val="auto"/>
        </w:rPr>
      </w:pPr>
      <w:r>
        <w:rPr>
          <w:rFonts w:hint="eastAsia"/>
          <w:color w:val="auto"/>
        </w:rPr>
        <w:t>附</w:t>
      </w:r>
      <w:r>
        <w:rPr>
          <w:rFonts w:hint="eastAsia"/>
          <w:color w:val="auto"/>
          <w:lang w:val="en-US" w:eastAsia="zh-CN"/>
        </w:rPr>
        <w:t>2</w:t>
      </w:r>
      <w:r>
        <w:rPr>
          <w:rFonts w:hint="eastAsia"/>
          <w:color w:val="auto"/>
        </w:rPr>
        <w:t>：主要项目管理人员简历表</w:t>
      </w:r>
    </w:p>
    <w:p w14:paraId="1909F2CE">
      <w:pPr>
        <w:bidi w:val="0"/>
        <w:rPr>
          <w:rFonts w:hint="eastAsia"/>
          <w:color w:val="auto"/>
        </w:rPr>
      </w:pPr>
    </w:p>
    <w:tbl>
      <w:tblPr>
        <w:tblStyle w:val="29"/>
        <w:tblW w:w="85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5"/>
        <w:gridCol w:w="2"/>
        <w:gridCol w:w="1417"/>
        <w:gridCol w:w="1417"/>
        <w:gridCol w:w="1417"/>
        <w:gridCol w:w="1417"/>
        <w:gridCol w:w="1419"/>
      </w:tblGrid>
      <w:tr w14:paraId="39874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417" w:type="dxa"/>
            <w:gridSpan w:val="2"/>
            <w:tcBorders>
              <w:tl2br w:val="nil"/>
              <w:tr2bl w:val="nil"/>
            </w:tcBorders>
            <w:noWrap w:val="0"/>
            <w:vAlign w:val="center"/>
          </w:tcPr>
          <w:p w14:paraId="6E392091">
            <w:pPr>
              <w:bidi w:val="0"/>
              <w:jc w:val="center"/>
              <w:rPr>
                <w:b/>
                <w:bCs/>
                <w:color w:val="auto"/>
              </w:rPr>
            </w:pPr>
            <w:r>
              <w:rPr>
                <w:rFonts w:hint="eastAsia"/>
                <w:b/>
                <w:bCs/>
                <w:color w:val="auto"/>
              </w:rPr>
              <w:t>姓</w:t>
            </w:r>
            <w:r>
              <w:rPr>
                <w:b/>
                <w:bCs/>
                <w:color w:val="auto"/>
              </w:rPr>
              <w:t xml:space="preserve"> </w:t>
            </w:r>
            <w:r>
              <w:rPr>
                <w:rFonts w:hint="eastAsia"/>
                <w:b/>
                <w:bCs/>
                <w:color w:val="auto"/>
              </w:rPr>
              <w:t>名</w:t>
            </w:r>
          </w:p>
        </w:tc>
        <w:tc>
          <w:tcPr>
            <w:tcW w:w="1417" w:type="dxa"/>
            <w:tcBorders>
              <w:tl2br w:val="nil"/>
              <w:tr2bl w:val="nil"/>
            </w:tcBorders>
            <w:noWrap w:val="0"/>
            <w:vAlign w:val="center"/>
          </w:tcPr>
          <w:p w14:paraId="4140D9F5">
            <w:pPr>
              <w:bidi w:val="0"/>
              <w:jc w:val="center"/>
              <w:rPr>
                <w:b/>
                <w:bCs/>
                <w:color w:val="auto"/>
              </w:rPr>
            </w:pPr>
          </w:p>
        </w:tc>
        <w:tc>
          <w:tcPr>
            <w:tcW w:w="1417" w:type="dxa"/>
            <w:tcBorders>
              <w:tl2br w:val="nil"/>
              <w:tr2bl w:val="nil"/>
            </w:tcBorders>
            <w:noWrap w:val="0"/>
            <w:vAlign w:val="center"/>
          </w:tcPr>
          <w:p w14:paraId="75AC209B">
            <w:pPr>
              <w:bidi w:val="0"/>
              <w:jc w:val="center"/>
              <w:rPr>
                <w:b/>
                <w:bCs/>
                <w:color w:val="auto"/>
              </w:rPr>
            </w:pPr>
            <w:r>
              <w:rPr>
                <w:rFonts w:hint="eastAsia"/>
                <w:b/>
                <w:bCs/>
                <w:color w:val="auto"/>
              </w:rPr>
              <w:t>年</w:t>
            </w:r>
            <w:r>
              <w:rPr>
                <w:b/>
                <w:bCs/>
                <w:color w:val="auto"/>
              </w:rPr>
              <w:t xml:space="preserve"> </w:t>
            </w:r>
            <w:r>
              <w:rPr>
                <w:rFonts w:hint="eastAsia"/>
                <w:b/>
                <w:bCs/>
                <w:color w:val="auto"/>
              </w:rPr>
              <w:t>龄</w:t>
            </w:r>
          </w:p>
        </w:tc>
        <w:tc>
          <w:tcPr>
            <w:tcW w:w="1417" w:type="dxa"/>
            <w:tcBorders>
              <w:tl2br w:val="nil"/>
              <w:tr2bl w:val="nil"/>
            </w:tcBorders>
            <w:noWrap w:val="0"/>
            <w:vAlign w:val="center"/>
          </w:tcPr>
          <w:p w14:paraId="2255B6A4">
            <w:pPr>
              <w:bidi w:val="0"/>
              <w:jc w:val="center"/>
              <w:rPr>
                <w:b/>
                <w:bCs/>
                <w:color w:val="auto"/>
              </w:rPr>
            </w:pPr>
          </w:p>
        </w:tc>
        <w:tc>
          <w:tcPr>
            <w:tcW w:w="1417" w:type="dxa"/>
            <w:tcBorders>
              <w:tl2br w:val="nil"/>
              <w:tr2bl w:val="nil"/>
            </w:tcBorders>
            <w:noWrap w:val="0"/>
            <w:vAlign w:val="center"/>
          </w:tcPr>
          <w:p w14:paraId="097DB4FF">
            <w:pPr>
              <w:bidi w:val="0"/>
              <w:jc w:val="center"/>
              <w:rPr>
                <w:b/>
                <w:bCs/>
                <w:color w:val="auto"/>
              </w:rPr>
            </w:pPr>
            <w:r>
              <w:rPr>
                <w:rFonts w:hint="eastAsia"/>
                <w:b/>
                <w:bCs/>
                <w:color w:val="auto"/>
              </w:rPr>
              <w:t>学 历</w:t>
            </w:r>
          </w:p>
        </w:tc>
        <w:tc>
          <w:tcPr>
            <w:tcW w:w="1419" w:type="dxa"/>
            <w:tcBorders>
              <w:tl2br w:val="nil"/>
              <w:tr2bl w:val="nil"/>
            </w:tcBorders>
            <w:noWrap w:val="0"/>
            <w:vAlign w:val="center"/>
          </w:tcPr>
          <w:p w14:paraId="15E220B6">
            <w:pPr>
              <w:bidi w:val="0"/>
              <w:jc w:val="center"/>
              <w:rPr>
                <w:b/>
                <w:bCs/>
                <w:color w:val="auto"/>
              </w:rPr>
            </w:pPr>
          </w:p>
        </w:tc>
      </w:tr>
      <w:tr w14:paraId="48EEF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417" w:type="dxa"/>
            <w:gridSpan w:val="2"/>
            <w:tcBorders>
              <w:tl2br w:val="nil"/>
              <w:tr2bl w:val="nil"/>
            </w:tcBorders>
            <w:noWrap w:val="0"/>
            <w:vAlign w:val="center"/>
          </w:tcPr>
          <w:p w14:paraId="7B9D3558">
            <w:pPr>
              <w:bidi w:val="0"/>
              <w:jc w:val="center"/>
              <w:rPr>
                <w:b/>
                <w:bCs/>
                <w:color w:val="auto"/>
              </w:rPr>
            </w:pPr>
            <w:r>
              <w:rPr>
                <w:rFonts w:hint="eastAsia"/>
                <w:b/>
                <w:bCs/>
                <w:color w:val="auto"/>
              </w:rPr>
              <w:t>执业或职业资格或职称</w:t>
            </w:r>
          </w:p>
        </w:tc>
        <w:tc>
          <w:tcPr>
            <w:tcW w:w="1417" w:type="dxa"/>
            <w:tcBorders>
              <w:tl2br w:val="nil"/>
              <w:tr2bl w:val="nil"/>
            </w:tcBorders>
            <w:noWrap w:val="0"/>
            <w:vAlign w:val="center"/>
          </w:tcPr>
          <w:p w14:paraId="6832AB5C">
            <w:pPr>
              <w:bidi w:val="0"/>
              <w:jc w:val="center"/>
              <w:rPr>
                <w:b/>
                <w:bCs/>
                <w:color w:val="auto"/>
              </w:rPr>
            </w:pPr>
          </w:p>
        </w:tc>
        <w:tc>
          <w:tcPr>
            <w:tcW w:w="1417" w:type="dxa"/>
            <w:tcBorders>
              <w:tl2br w:val="nil"/>
              <w:tr2bl w:val="nil"/>
            </w:tcBorders>
            <w:noWrap w:val="0"/>
            <w:vAlign w:val="center"/>
          </w:tcPr>
          <w:p w14:paraId="56036229">
            <w:pPr>
              <w:bidi w:val="0"/>
              <w:jc w:val="center"/>
              <w:rPr>
                <w:b/>
                <w:bCs/>
                <w:color w:val="auto"/>
              </w:rPr>
            </w:pPr>
            <w:r>
              <w:rPr>
                <w:rFonts w:hint="eastAsia"/>
                <w:b/>
                <w:bCs/>
                <w:color w:val="auto"/>
              </w:rPr>
              <w:t>职</w:t>
            </w:r>
            <w:r>
              <w:rPr>
                <w:b/>
                <w:bCs/>
                <w:color w:val="auto"/>
              </w:rPr>
              <w:t xml:space="preserve"> </w:t>
            </w:r>
            <w:r>
              <w:rPr>
                <w:rFonts w:hint="eastAsia"/>
                <w:b/>
                <w:bCs/>
                <w:color w:val="auto"/>
              </w:rPr>
              <w:t>务</w:t>
            </w:r>
          </w:p>
        </w:tc>
        <w:tc>
          <w:tcPr>
            <w:tcW w:w="1417" w:type="dxa"/>
            <w:tcBorders>
              <w:tl2br w:val="nil"/>
              <w:tr2bl w:val="nil"/>
            </w:tcBorders>
            <w:noWrap w:val="0"/>
            <w:vAlign w:val="center"/>
          </w:tcPr>
          <w:p w14:paraId="5A33EF0C">
            <w:pPr>
              <w:bidi w:val="0"/>
              <w:jc w:val="center"/>
              <w:rPr>
                <w:b/>
                <w:bCs/>
                <w:color w:val="auto"/>
              </w:rPr>
            </w:pPr>
          </w:p>
        </w:tc>
        <w:tc>
          <w:tcPr>
            <w:tcW w:w="1417" w:type="dxa"/>
            <w:tcBorders>
              <w:tl2br w:val="nil"/>
              <w:tr2bl w:val="nil"/>
            </w:tcBorders>
            <w:noWrap w:val="0"/>
            <w:vAlign w:val="center"/>
          </w:tcPr>
          <w:p w14:paraId="2D9E27CE">
            <w:pPr>
              <w:bidi w:val="0"/>
              <w:jc w:val="center"/>
              <w:rPr>
                <w:b/>
                <w:bCs/>
                <w:color w:val="auto"/>
              </w:rPr>
            </w:pPr>
            <w:r>
              <w:rPr>
                <w:rFonts w:hint="eastAsia"/>
                <w:b/>
                <w:bCs/>
                <w:color w:val="auto"/>
              </w:rPr>
              <w:t>拟在本合同任职</w:t>
            </w:r>
          </w:p>
        </w:tc>
        <w:tc>
          <w:tcPr>
            <w:tcW w:w="1419" w:type="dxa"/>
            <w:tcBorders>
              <w:tl2br w:val="nil"/>
              <w:tr2bl w:val="nil"/>
            </w:tcBorders>
            <w:noWrap w:val="0"/>
            <w:vAlign w:val="center"/>
          </w:tcPr>
          <w:p w14:paraId="2F3DFD9E">
            <w:pPr>
              <w:bidi w:val="0"/>
              <w:jc w:val="center"/>
              <w:rPr>
                <w:b/>
                <w:bCs/>
                <w:color w:val="auto"/>
              </w:rPr>
            </w:pPr>
          </w:p>
        </w:tc>
      </w:tr>
      <w:tr w14:paraId="50CF4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415" w:type="dxa"/>
            <w:tcBorders>
              <w:tl2br w:val="nil"/>
              <w:tr2bl w:val="nil"/>
            </w:tcBorders>
            <w:noWrap w:val="0"/>
            <w:vAlign w:val="center"/>
          </w:tcPr>
          <w:p w14:paraId="1F8163CF">
            <w:pPr>
              <w:bidi w:val="0"/>
              <w:jc w:val="center"/>
              <w:rPr>
                <w:b/>
                <w:bCs/>
                <w:color w:val="auto"/>
              </w:rPr>
            </w:pPr>
            <w:r>
              <w:rPr>
                <w:rFonts w:hint="eastAsia"/>
                <w:b/>
                <w:bCs/>
                <w:color w:val="auto"/>
              </w:rPr>
              <w:t>毕业学校</w:t>
            </w:r>
          </w:p>
        </w:tc>
        <w:tc>
          <w:tcPr>
            <w:tcW w:w="7089" w:type="dxa"/>
            <w:gridSpan w:val="6"/>
            <w:tcBorders>
              <w:tl2br w:val="nil"/>
              <w:tr2bl w:val="nil"/>
            </w:tcBorders>
            <w:noWrap w:val="0"/>
            <w:vAlign w:val="center"/>
          </w:tcPr>
          <w:p w14:paraId="12F9BB43">
            <w:pPr>
              <w:bidi w:val="0"/>
              <w:jc w:val="center"/>
              <w:rPr>
                <w:b/>
                <w:bCs/>
                <w:color w:val="auto"/>
              </w:rPr>
            </w:pPr>
            <w:r>
              <w:rPr>
                <w:rFonts w:hint="eastAsia"/>
                <w:b/>
                <w:bCs/>
                <w:color w:val="auto"/>
              </w:rPr>
              <w:t xml:space="preserve">年毕业于     </w:t>
            </w:r>
            <w:r>
              <w:rPr>
                <w:b/>
                <w:bCs/>
                <w:color w:val="auto"/>
              </w:rPr>
              <w:t xml:space="preserve"> </w:t>
            </w:r>
            <w:r>
              <w:rPr>
                <w:rFonts w:hint="eastAsia"/>
                <w:b/>
                <w:bCs/>
                <w:color w:val="auto"/>
              </w:rPr>
              <w:t>学校</w:t>
            </w:r>
            <w:r>
              <w:rPr>
                <w:b/>
                <w:bCs/>
                <w:color w:val="auto"/>
              </w:rPr>
              <w:t xml:space="preserve"> </w:t>
            </w:r>
            <w:r>
              <w:rPr>
                <w:rFonts w:hint="eastAsia"/>
                <w:b/>
                <w:bCs/>
                <w:color w:val="auto"/>
              </w:rPr>
              <w:t xml:space="preserve">      专业</w:t>
            </w:r>
          </w:p>
        </w:tc>
      </w:tr>
      <w:tr w14:paraId="6D195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8504" w:type="dxa"/>
            <w:gridSpan w:val="7"/>
            <w:tcBorders>
              <w:tl2br w:val="nil"/>
              <w:tr2bl w:val="nil"/>
            </w:tcBorders>
            <w:noWrap w:val="0"/>
            <w:vAlign w:val="center"/>
          </w:tcPr>
          <w:p w14:paraId="30CA6CE7">
            <w:pPr>
              <w:bidi w:val="0"/>
              <w:jc w:val="center"/>
              <w:rPr>
                <w:b/>
                <w:bCs/>
                <w:color w:val="auto"/>
              </w:rPr>
            </w:pPr>
            <w:r>
              <w:rPr>
                <w:rFonts w:hint="eastAsia"/>
                <w:b/>
                <w:bCs/>
                <w:color w:val="auto"/>
              </w:rPr>
              <w:t>主要工作经历</w:t>
            </w:r>
          </w:p>
        </w:tc>
      </w:tr>
      <w:tr w14:paraId="758DE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8504" w:type="dxa"/>
            <w:gridSpan w:val="7"/>
            <w:tcBorders>
              <w:tl2br w:val="nil"/>
              <w:tr2bl w:val="nil"/>
            </w:tcBorders>
            <w:noWrap w:val="0"/>
            <w:vAlign w:val="center"/>
          </w:tcPr>
          <w:p w14:paraId="5F1C575D">
            <w:pPr>
              <w:bidi w:val="0"/>
              <w:rPr>
                <w:color w:val="auto"/>
              </w:rPr>
            </w:pPr>
          </w:p>
          <w:p w14:paraId="6FD5BCCB">
            <w:pPr>
              <w:bidi w:val="0"/>
              <w:rPr>
                <w:color w:val="auto"/>
              </w:rPr>
            </w:pPr>
          </w:p>
          <w:p w14:paraId="661FDA28">
            <w:pPr>
              <w:bidi w:val="0"/>
              <w:rPr>
                <w:color w:val="auto"/>
              </w:rPr>
            </w:pPr>
          </w:p>
          <w:p w14:paraId="5AEDBEE3">
            <w:pPr>
              <w:bidi w:val="0"/>
              <w:rPr>
                <w:color w:val="auto"/>
              </w:rPr>
            </w:pPr>
          </w:p>
          <w:p w14:paraId="236B44F6">
            <w:pPr>
              <w:bidi w:val="0"/>
              <w:rPr>
                <w:color w:val="auto"/>
              </w:rPr>
            </w:pPr>
          </w:p>
          <w:p w14:paraId="3624FA84">
            <w:pPr>
              <w:bidi w:val="0"/>
              <w:rPr>
                <w:color w:val="auto"/>
              </w:rPr>
            </w:pPr>
          </w:p>
          <w:p w14:paraId="08168D84">
            <w:pPr>
              <w:bidi w:val="0"/>
              <w:rPr>
                <w:color w:val="auto"/>
              </w:rPr>
            </w:pPr>
          </w:p>
          <w:p w14:paraId="235FACCA">
            <w:pPr>
              <w:bidi w:val="0"/>
              <w:rPr>
                <w:color w:val="auto"/>
              </w:rPr>
            </w:pPr>
          </w:p>
          <w:p w14:paraId="39517E47">
            <w:pPr>
              <w:bidi w:val="0"/>
              <w:rPr>
                <w:color w:val="auto"/>
              </w:rPr>
            </w:pPr>
          </w:p>
          <w:p w14:paraId="56DC72D9">
            <w:pPr>
              <w:bidi w:val="0"/>
              <w:rPr>
                <w:color w:val="auto"/>
              </w:rPr>
            </w:pPr>
          </w:p>
          <w:p w14:paraId="095C876B">
            <w:pPr>
              <w:bidi w:val="0"/>
              <w:rPr>
                <w:color w:val="auto"/>
              </w:rPr>
            </w:pPr>
          </w:p>
          <w:p w14:paraId="0811DF9C">
            <w:pPr>
              <w:bidi w:val="0"/>
              <w:rPr>
                <w:color w:val="auto"/>
              </w:rPr>
            </w:pPr>
          </w:p>
          <w:p w14:paraId="684ABE68">
            <w:pPr>
              <w:bidi w:val="0"/>
              <w:rPr>
                <w:color w:val="auto"/>
              </w:rPr>
            </w:pPr>
          </w:p>
          <w:p w14:paraId="618A4D36">
            <w:pPr>
              <w:bidi w:val="0"/>
              <w:rPr>
                <w:color w:val="auto"/>
              </w:rPr>
            </w:pPr>
          </w:p>
          <w:p w14:paraId="75DE2FBF">
            <w:pPr>
              <w:rPr>
                <w:color w:val="auto"/>
              </w:rPr>
            </w:pPr>
          </w:p>
        </w:tc>
      </w:tr>
    </w:tbl>
    <w:p w14:paraId="59A199C6">
      <w:pPr>
        <w:bidi w:val="0"/>
        <w:rPr>
          <w:rFonts w:hint="eastAsia"/>
          <w:b/>
          <w:bCs/>
          <w:color w:val="auto"/>
          <w:lang w:eastAsia="zh-CN"/>
        </w:rPr>
      </w:pPr>
    </w:p>
    <w:p w14:paraId="63A1CCEF">
      <w:pPr>
        <w:bidi w:val="0"/>
        <w:rPr>
          <w:rFonts w:hint="eastAsia"/>
          <w:b/>
          <w:bCs/>
          <w:color w:val="auto"/>
        </w:rPr>
      </w:pPr>
      <w:r>
        <w:rPr>
          <w:rFonts w:hint="eastAsia"/>
          <w:b/>
          <w:bCs/>
          <w:color w:val="auto"/>
          <w:lang w:eastAsia="zh-CN"/>
        </w:rPr>
        <w:t>注：</w:t>
      </w:r>
      <w:r>
        <w:rPr>
          <w:rFonts w:hint="eastAsia"/>
          <w:b/>
          <w:bCs/>
          <w:color w:val="auto"/>
          <w:lang w:val="en-US" w:eastAsia="zh-CN"/>
        </w:rPr>
        <w:t>后附相关证明材料扫描件。</w:t>
      </w:r>
    </w:p>
    <w:p w14:paraId="1321F4B2">
      <w:pPr>
        <w:bidi w:val="0"/>
        <w:rPr>
          <w:rFonts w:hint="eastAsia"/>
          <w:color w:val="auto"/>
        </w:rPr>
      </w:pPr>
    </w:p>
    <w:p w14:paraId="60161482">
      <w:pPr>
        <w:bidi w:val="0"/>
        <w:rPr>
          <w:rFonts w:hint="eastAsia"/>
          <w:color w:val="auto"/>
        </w:rPr>
      </w:pPr>
    </w:p>
    <w:p w14:paraId="0BD25567">
      <w:pPr>
        <w:bidi w:val="0"/>
        <w:rPr>
          <w:rFonts w:hint="eastAsia"/>
          <w:color w:val="auto"/>
        </w:rPr>
      </w:pPr>
    </w:p>
    <w:p w14:paraId="21E9D209">
      <w:pPr>
        <w:bidi w:val="0"/>
        <w:rPr>
          <w:rFonts w:hint="eastAsia"/>
          <w:color w:val="auto"/>
        </w:rPr>
      </w:pPr>
    </w:p>
    <w:p w14:paraId="093E5A7C">
      <w:pPr>
        <w:bidi w:val="0"/>
        <w:rPr>
          <w:rFonts w:hint="eastAsia"/>
          <w:color w:val="auto"/>
        </w:rPr>
      </w:pPr>
    </w:p>
    <w:p w14:paraId="2EA89C4F">
      <w:pPr>
        <w:bidi w:val="0"/>
        <w:rPr>
          <w:rFonts w:hint="eastAsia"/>
          <w:color w:val="auto"/>
        </w:rPr>
      </w:pPr>
    </w:p>
    <w:p w14:paraId="58368874">
      <w:pPr>
        <w:bidi w:val="0"/>
        <w:rPr>
          <w:rFonts w:hint="eastAsia"/>
          <w:color w:val="auto"/>
        </w:rPr>
      </w:pPr>
    </w:p>
    <w:p w14:paraId="10D02717">
      <w:pPr>
        <w:bidi w:val="0"/>
        <w:rPr>
          <w:rFonts w:hint="eastAsia"/>
          <w:color w:val="auto"/>
        </w:rPr>
      </w:pPr>
    </w:p>
    <w:p w14:paraId="28F19D21">
      <w:pPr>
        <w:pStyle w:val="4"/>
        <w:bidi w:val="0"/>
        <w:rPr>
          <w:rFonts w:hint="eastAsia"/>
          <w:color w:val="auto"/>
          <w:lang w:val="en-US" w:eastAsia="zh-CN"/>
        </w:rPr>
      </w:pPr>
      <w:bookmarkStart w:id="385" w:name="_Toc25415"/>
      <w:r>
        <w:rPr>
          <w:rFonts w:hint="eastAsia"/>
          <w:color w:val="auto"/>
          <w:lang w:val="en-US" w:eastAsia="zh-CN"/>
        </w:rPr>
        <w:t>（三）拟投入本工程设备/仪器一览表</w:t>
      </w:r>
      <w:bookmarkEnd w:id="385"/>
    </w:p>
    <w:p w14:paraId="24A2DF29">
      <w:pPr>
        <w:rPr>
          <w:rFonts w:hint="eastAsia"/>
          <w:color w:val="auto"/>
          <w:lang w:val="en-US" w:eastAsia="zh-CN"/>
        </w:rPr>
      </w:pPr>
    </w:p>
    <w:tbl>
      <w:tblPr>
        <w:tblStyle w:val="29"/>
        <w:tblW w:w="85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5"/>
        <w:gridCol w:w="1851"/>
        <w:gridCol w:w="1264"/>
        <w:gridCol w:w="807"/>
        <w:gridCol w:w="959"/>
        <w:gridCol w:w="929"/>
        <w:gridCol w:w="1117"/>
        <w:gridCol w:w="872"/>
      </w:tblGrid>
      <w:tr w14:paraId="748CCA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763" w:type="dxa"/>
            <w:vMerge w:val="restart"/>
            <w:tcBorders>
              <w:tl2br w:val="nil"/>
              <w:tr2bl w:val="nil"/>
            </w:tcBorders>
            <w:noWrap w:val="0"/>
            <w:vAlign w:val="center"/>
          </w:tcPr>
          <w:p w14:paraId="6DAB55A6">
            <w:pPr>
              <w:bidi w:val="0"/>
              <w:jc w:val="center"/>
              <w:rPr>
                <w:rFonts w:hint="eastAsia"/>
                <w:color w:val="auto"/>
              </w:rPr>
            </w:pPr>
            <w:r>
              <w:rPr>
                <w:rFonts w:hint="eastAsia"/>
                <w:color w:val="auto"/>
              </w:rPr>
              <w:t>序号</w:t>
            </w:r>
          </w:p>
        </w:tc>
        <w:tc>
          <w:tcPr>
            <w:tcW w:w="2046" w:type="dxa"/>
            <w:vMerge w:val="restart"/>
            <w:tcBorders>
              <w:tl2br w:val="nil"/>
              <w:tr2bl w:val="nil"/>
            </w:tcBorders>
            <w:noWrap w:val="0"/>
            <w:vAlign w:val="center"/>
          </w:tcPr>
          <w:p w14:paraId="2B6AD491">
            <w:pPr>
              <w:bidi w:val="0"/>
              <w:jc w:val="center"/>
              <w:rPr>
                <w:rFonts w:hint="eastAsia"/>
                <w:color w:val="auto"/>
              </w:rPr>
            </w:pPr>
            <w:r>
              <w:rPr>
                <w:rFonts w:hint="eastAsia"/>
                <w:color w:val="auto"/>
              </w:rPr>
              <w:t>设备/仪器名称</w:t>
            </w:r>
          </w:p>
        </w:tc>
        <w:tc>
          <w:tcPr>
            <w:tcW w:w="1388" w:type="dxa"/>
            <w:vMerge w:val="restart"/>
            <w:tcBorders>
              <w:tl2br w:val="nil"/>
              <w:tr2bl w:val="nil"/>
            </w:tcBorders>
            <w:noWrap w:val="0"/>
            <w:vAlign w:val="center"/>
          </w:tcPr>
          <w:p w14:paraId="7FCDAE9A">
            <w:pPr>
              <w:bidi w:val="0"/>
              <w:jc w:val="center"/>
              <w:rPr>
                <w:rFonts w:hint="eastAsia"/>
                <w:color w:val="auto"/>
              </w:rPr>
            </w:pPr>
            <w:r>
              <w:rPr>
                <w:rFonts w:hint="eastAsia"/>
                <w:color w:val="auto"/>
              </w:rPr>
              <w:t>规格型号</w:t>
            </w:r>
          </w:p>
        </w:tc>
        <w:tc>
          <w:tcPr>
            <w:tcW w:w="877" w:type="dxa"/>
            <w:vMerge w:val="restart"/>
            <w:tcBorders>
              <w:tl2br w:val="nil"/>
              <w:tr2bl w:val="nil"/>
            </w:tcBorders>
            <w:noWrap w:val="0"/>
            <w:vAlign w:val="center"/>
          </w:tcPr>
          <w:p w14:paraId="32914E28">
            <w:pPr>
              <w:bidi w:val="0"/>
              <w:jc w:val="center"/>
              <w:rPr>
                <w:rFonts w:hint="eastAsia"/>
                <w:color w:val="auto"/>
              </w:rPr>
            </w:pPr>
            <w:r>
              <w:rPr>
                <w:rFonts w:hint="eastAsia"/>
                <w:color w:val="auto"/>
              </w:rPr>
              <w:t>单位</w:t>
            </w:r>
          </w:p>
        </w:tc>
        <w:tc>
          <w:tcPr>
            <w:tcW w:w="2060" w:type="dxa"/>
            <w:gridSpan w:val="2"/>
            <w:tcBorders>
              <w:tl2br w:val="nil"/>
              <w:tr2bl w:val="nil"/>
            </w:tcBorders>
            <w:noWrap w:val="0"/>
            <w:vAlign w:val="center"/>
          </w:tcPr>
          <w:p w14:paraId="03729546">
            <w:pPr>
              <w:bidi w:val="0"/>
              <w:jc w:val="center"/>
              <w:rPr>
                <w:rFonts w:hint="eastAsia"/>
                <w:color w:val="auto"/>
              </w:rPr>
            </w:pPr>
            <w:r>
              <w:rPr>
                <w:rFonts w:hint="eastAsia"/>
                <w:color w:val="auto"/>
              </w:rPr>
              <w:t>数量</w:t>
            </w:r>
          </w:p>
        </w:tc>
        <w:tc>
          <w:tcPr>
            <w:tcW w:w="1224" w:type="dxa"/>
            <w:vMerge w:val="restart"/>
            <w:tcBorders>
              <w:tl2br w:val="nil"/>
              <w:tr2bl w:val="nil"/>
            </w:tcBorders>
            <w:noWrap w:val="0"/>
            <w:vAlign w:val="center"/>
          </w:tcPr>
          <w:p w14:paraId="683444E9">
            <w:pPr>
              <w:bidi w:val="0"/>
              <w:jc w:val="center"/>
              <w:rPr>
                <w:rFonts w:hint="eastAsia"/>
                <w:color w:val="auto"/>
              </w:rPr>
            </w:pPr>
            <w:r>
              <w:rPr>
                <w:rFonts w:hint="eastAsia"/>
                <w:color w:val="auto"/>
              </w:rPr>
              <w:t>新旧程度（%）</w:t>
            </w:r>
          </w:p>
        </w:tc>
        <w:tc>
          <w:tcPr>
            <w:tcW w:w="950" w:type="dxa"/>
            <w:vMerge w:val="restart"/>
            <w:tcBorders>
              <w:tl2br w:val="nil"/>
              <w:tr2bl w:val="nil"/>
            </w:tcBorders>
            <w:noWrap w:val="0"/>
            <w:vAlign w:val="center"/>
          </w:tcPr>
          <w:p w14:paraId="7A4E0D45">
            <w:pPr>
              <w:bidi w:val="0"/>
              <w:jc w:val="center"/>
              <w:rPr>
                <w:rFonts w:hint="eastAsia"/>
                <w:color w:val="auto"/>
              </w:rPr>
            </w:pPr>
            <w:r>
              <w:rPr>
                <w:rFonts w:hint="eastAsia"/>
                <w:color w:val="auto"/>
              </w:rPr>
              <w:t>备注</w:t>
            </w:r>
          </w:p>
        </w:tc>
      </w:tr>
      <w:tr w14:paraId="43C75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763" w:type="dxa"/>
            <w:vMerge w:val="continue"/>
            <w:tcBorders>
              <w:tl2br w:val="nil"/>
              <w:tr2bl w:val="nil"/>
            </w:tcBorders>
            <w:noWrap w:val="0"/>
            <w:vAlign w:val="center"/>
          </w:tcPr>
          <w:p w14:paraId="0C0D00EB">
            <w:pPr>
              <w:bidi w:val="0"/>
              <w:jc w:val="center"/>
              <w:rPr>
                <w:rFonts w:hint="eastAsia"/>
                <w:color w:val="auto"/>
              </w:rPr>
            </w:pPr>
          </w:p>
        </w:tc>
        <w:tc>
          <w:tcPr>
            <w:tcW w:w="2046" w:type="dxa"/>
            <w:vMerge w:val="continue"/>
            <w:tcBorders>
              <w:tl2br w:val="nil"/>
              <w:tr2bl w:val="nil"/>
            </w:tcBorders>
            <w:noWrap w:val="0"/>
            <w:vAlign w:val="center"/>
          </w:tcPr>
          <w:p w14:paraId="08E001D2">
            <w:pPr>
              <w:bidi w:val="0"/>
              <w:jc w:val="center"/>
              <w:rPr>
                <w:rFonts w:hint="eastAsia"/>
                <w:color w:val="auto"/>
              </w:rPr>
            </w:pPr>
          </w:p>
        </w:tc>
        <w:tc>
          <w:tcPr>
            <w:tcW w:w="1388" w:type="dxa"/>
            <w:vMerge w:val="continue"/>
            <w:tcBorders>
              <w:tl2br w:val="nil"/>
              <w:tr2bl w:val="nil"/>
            </w:tcBorders>
            <w:noWrap w:val="0"/>
            <w:vAlign w:val="center"/>
          </w:tcPr>
          <w:p w14:paraId="22DDD8CD">
            <w:pPr>
              <w:bidi w:val="0"/>
              <w:jc w:val="center"/>
              <w:rPr>
                <w:rFonts w:hint="eastAsia"/>
                <w:color w:val="auto"/>
              </w:rPr>
            </w:pPr>
          </w:p>
        </w:tc>
        <w:tc>
          <w:tcPr>
            <w:tcW w:w="877" w:type="dxa"/>
            <w:vMerge w:val="continue"/>
            <w:tcBorders>
              <w:tl2br w:val="nil"/>
              <w:tr2bl w:val="nil"/>
            </w:tcBorders>
            <w:noWrap w:val="0"/>
            <w:vAlign w:val="center"/>
          </w:tcPr>
          <w:p w14:paraId="33B14A0C">
            <w:pPr>
              <w:bidi w:val="0"/>
              <w:jc w:val="center"/>
              <w:rPr>
                <w:rFonts w:hint="eastAsia"/>
                <w:color w:val="auto"/>
              </w:rPr>
            </w:pPr>
          </w:p>
        </w:tc>
        <w:tc>
          <w:tcPr>
            <w:tcW w:w="1047" w:type="dxa"/>
            <w:tcBorders>
              <w:tl2br w:val="nil"/>
              <w:tr2bl w:val="nil"/>
            </w:tcBorders>
            <w:noWrap w:val="0"/>
            <w:vAlign w:val="center"/>
          </w:tcPr>
          <w:p w14:paraId="5C67922B">
            <w:pPr>
              <w:bidi w:val="0"/>
              <w:jc w:val="center"/>
              <w:rPr>
                <w:rFonts w:hint="eastAsia"/>
                <w:color w:val="auto"/>
              </w:rPr>
            </w:pPr>
            <w:r>
              <w:rPr>
                <w:rFonts w:hint="eastAsia"/>
                <w:color w:val="auto"/>
              </w:rPr>
              <w:t>自有</w:t>
            </w:r>
          </w:p>
        </w:tc>
        <w:tc>
          <w:tcPr>
            <w:tcW w:w="1013" w:type="dxa"/>
            <w:tcBorders>
              <w:tl2br w:val="nil"/>
              <w:tr2bl w:val="nil"/>
            </w:tcBorders>
            <w:noWrap w:val="0"/>
            <w:vAlign w:val="center"/>
          </w:tcPr>
          <w:p w14:paraId="4EABBE98">
            <w:pPr>
              <w:bidi w:val="0"/>
              <w:jc w:val="center"/>
              <w:rPr>
                <w:rFonts w:hint="eastAsia"/>
                <w:color w:val="auto"/>
              </w:rPr>
            </w:pPr>
            <w:r>
              <w:rPr>
                <w:rFonts w:hint="eastAsia"/>
                <w:color w:val="auto"/>
              </w:rPr>
              <w:t>租赁</w:t>
            </w:r>
          </w:p>
        </w:tc>
        <w:tc>
          <w:tcPr>
            <w:tcW w:w="1224" w:type="dxa"/>
            <w:vMerge w:val="continue"/>
            <w:tcBorders>
              <w:tl2br w:val="nil"/>
              <w:tr2bl w:val="nil"/>
            </w:tcBorders>
            <w:noWrap w:val="0"/>
            <w:vAlign w:val="center"/>
          </w:tcPr>
          <w:p w14:paraId="3F529435">
            <w:pPr>
              <w:bidi w:val="0"/>
              <w:jc w:val="center"/>
              <w:rPr>
                <w:rFonts w:hint="eastAsia"/>
                <w:color w:val="auto"/>
              </w:rPr>
            </w:pPr>
          </w:p>
        </w:tc>
        <w:tc>
          <w:tcPr>
            <w:tcW w:w="950" w:type="dxa"/>
            <w:vMerge w:val="continue"/>
            <w:tcBorders>
              <w:tl2br w:val="nil"/>
              <w:tr2bl w:val="nil"/>
            </w:tcBorders>
            <w:noWrap w:val="0"/>
            <w:vAlign w:val="center"/>
          </w:tcPr>
          <w:p w14:paraId="50818622">
            <w:pPr>
              <w:bidi w:val="0"/>
              <w:jc w:val="center"/>
              <w:rPr>
                <w:rFonts w:hint="eastAsia"/>
                <w:color w:val="auto"/>
              </w:rPr>
            </w:pPr>
          </w:p>
        </w:tc>
      </w:tr>
      <w:tr w14:paraId="26DD9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2A8F0C42">
            <w:pPr>
              <w:bidi w:val="0"/>
              <w:jc w:val="center"/>
              <w:rPr>
                <w:rFonts w:hint="eastAsia"/>
                <w:color w:val="auto"/>
              </w:rPr>
            </w:pPr>
          </w:p>
        </w:tc>
        <w:tc>
          <w:tcPr>
            <w:tcW w:w="2046" w:type="dxa"/>
            <w:tcBorders>
              <w:tl2br w:val="nil"/>
              <w:tr2bl w:val="nil"/>
            </w:tcBorders>
            <w:noWrap w:val="0"/>
            <w:vAlign w:val="center"/>
          </w:tcPr>
          <w:p w14:paraId="4E0E8658">
            <w:pPr>
              <w:bidi w:val="0"/>
              <w:jc w:val="center"/>
              <w:rPr>
                <w:rFonts w:hint="eastAsia"/>
                <w:color w:val="auto"/>
              </w:rPr>
            </w:pPr>
          </w:p>
        </w:tc>
        <w:tc>
          <w:tcPr>
            <w:tcW w:w="1388" w:type="dxa"/>
            <w:tcBorders>
              <w:tl2br w:val="nil"/>
              <w:tr2bl w:val="nil"/>
            </w:tcBorders>
            <w:noWrap w:val="0"/>
            <w:vAlign w:val="center"/>
          </w:tcPr>
          <w:p w14:paraId="35EB3F4D">
            <w:pPr>
              <w:bidi w:val="0"/>
              <w:jc w:val="center"/>
              <w:rPr>
                <w:rFonts w:hint="eastAsia"/>
                <w:color w:val="auto"/>
              </w:rPr>
            </w:pPr>
          </w:p>
        </w:tc>
        <w:tc>
          <w:tcPr>
            <w:tcW w:w="877" w:type="dxa"/>
            <w:tcBorders>
              <w:tl2br w:val="nil"/>
              <w:tr2bl w:val="nil"/>
            </w:tcBorders>
            <w:noWrap w:val="0"/>
            <w:vAlign w:val="center"/>
          </w:tcPr>
          <w:p w14:paraId="411400AB">
            <w:pPr>
              <w:bidi w:val="0"/>
              <w:jc w:val="center"/>
              <w:rPr>
                <w:rFonts w:hint="eastAsia"/>
                <w:color w:val="auto"/>
              </w:rPr>
            </w:pPr>
          </w:p>
        </w:tc>
        <w:tc>
          <w:tcPr>
            <w:tcW w:w="1047" w:type="dxa"/>
            <w:tcBorders>
              <w:tl2br w:val="nil"/>
              <w:tr2bl w:val="nil"/>
            </w:tcBorders>
            <w:noWrap w:val="0"/>
            <w:vAlign w:val="center"/>
          </w:tcPr>
          <w:p w14:paraId="277C7182">
            <w:pPr>
              <w:bidi w:val="0"/>
              <w:jc w:val="center"/>
              <w:rPr>
                <w:rFonts w:hint="eastAsia"/>
                <w:color w:val="auto"/>
              </w:rPr>
            </w:pPr>
          </w:p>
        </w:tc>
        <w:tc>
          <w:tcPr>
            <w:tcW w:w="1013" w:type="dxa"/>
            <w:tcBorders>
              <w:tl2br w:val="nil"/>
              <w:tr2bl w:val="nil"/>
            </w:tcBorders>
            <w:noWrap w:val="0"/>
            <w:vAlign w:val="center"/>
          </w:tcPr>
          <w:p w14:paraId="2AC279E6">
            <w:pPr>
              <w:bidi w:val="0"/>
              <w:jc w:val="center"/>
              <w:rPr>
                <w:rFonts w:hint="eastAsia"/>
                <w:color w:val="auto"/>
              </w:rPr>
            </w:pPr>
          </w:p>
        </w:tc>
        <w:tc>
          <w:tcPr>
            <w:tcW w:w="1224" w:type="dxa"/>
            <w:tcBorders>
              <w:tl2br w:val="nil"/>
              <w:tr2bl w:val="nil"/>
            </w:tcBorders>
            <w:noWrap w:val="0"/>
            <w:vAlign w:val="center"/>
          </w:tcPr>
          <w:p w14:paraId="39121AF2">
            <w:pPr>
              <w:bidi w:val="0"/>
              <w:jc w:val="center"/>
              <w:rPr>
                <w:rFonts w:hint="eastAsia"/>
                <w:color w:val="auto"/>
              </w:rPr>
            </w:pPr>
          </w:p>
        </w:tc>
        <w:tc>
          <w:tcPr>
            <w:tcW w:w="950" w:type="dxa"/>
            <w:tcBorders>
              <w:tl2br w:val="nil"/>
              <w:tr2bl w:val="nil"/>
            </w:tcBorders>
            <w:noWrap w:val="0"/>
            <w:vAlign w:val="center"/>
          </w:tcPr>
          <w:p w14:paraId="64FB7A1C">
            <w:pPr>
              <w:bidi w:val="0"/>
              <w:jc w:val="center"/>
              <w:rPr>
                <w:rFonts w:hint="eastAsia"/>
                <w:color w:val="auto"/>
              </w:rPr>
            </w:pPr>
          </w:p>
        </w:tc>
      </w:tr>
      <w:tr w14:paraId="429D7C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5AB0E3C4">
            <w:pPr>
              <w:bidi w:val="0"/>
              <w:rPr>
                <w:rFonts w:hint="eastAsia"/>
                <w:color w:val="auto"/>
              </w:rPr>
            </w:pPr>
          </w:p>
        </w:tc>
        <w:tc>
          <w:tcPr>
            <w:tcW w:w="2046" w:type="dxa"/>
            <w:tcBorders>
              <w:tl2br w:val="nil"/>
              <w:tr2bl w:val="nil"/>
            </w:tcBorders>
            <w:noWrap w:val="0"/>
            <w:vAlign w:val="center"/>
          </w:tcPr>
          <w:p w14:paraId="68388AEE">
            <w:pPr>
              <w:bidi w:val="0"/>
              <w:rPr>
                <w:rFonts w:hint="eastAsia"/>
                <w:color w:val="auto"/>
              </w:rPr>
            </w:pPr>
          </w:p>
        </w:tc>
        <w:tc>
          <w:tcPr>
            <w:tcW w:w="1388" w:type="dxa"/>
            <w:tcBorders>
              <w:tl2br w:val="nil"/>
              <w:tr2bl w:val="nil"/>
            </w:tcBorders>
            <w:noWrap w:val="0"/>
            <w:vAlign w:val="center"/>
          </w:tcPr>
          <w:p w14:paraId="401B92A5">
            <w:pPr>
              <w:bidi w:val="0"/>
              <w:rPr>
                <w:rFonts w:hint="eastAsia"/>
                <w:color w:val="auto"/>
              </w:rPr>
            </w:pPr>
          </w:p>
        </w:tc>
        <w:tc>
          <w:tcPr>
            <w:tcW w:w="877" w:type="dxa"/>
            <w:tcBorders>
              <w:tl2br w:val="nil"/>
              <w:tr2bl w:val="nil"/>
            </w:tcBorders>
            <w:noWrap w:val="0"/>
            <w:vAlign w:val="center"/>
          </w:tcPr>
          <w:p w14:paraId="299E54B4">
            <w:pPr>
              <w:bidi w:val="0"/>
              <w:rPr>
                <w:rFonts w:hint="eastAsia"/>
                <w:color w:val="auto"/>
              </w:rPr>
            </w:pPr>
          </w:p>
        </w:tc>
        <w:tc>
          <w:tcPr>
            <w:tcW w:w="1047" w:type="dxa"/>
            <w:tcBorders>
              <w:tl2br w:val="nil"/>
              <w:tr2bl w:val="nil"/>
            </w:tcBorders>
            <w:noWrap w:val="0"/>
            <w:vAlign w:val="center"/>
          </w:tcPr>
          <w:p w14:paraId="2A86C592">
            <w:pPr>
              <w:bidi w:val="0"/>
              <w:rPr>
                <w:rFonts w:hint="eastAsia"/>
                <w:color w:val="auto"/>
              </w:rPr>
            </w:pPr>
          </w:p>
        </w:tc>
        <w:tc>
          <w:tcPr>
            <w:tcW w:w="1013" w:type="dxa"/>
            <w:tcBorders>
              <w:tl2br w:val="nil"/>
              <w:tr2bl w:val="nil"/>
            </w:tcBorders>
            <w:noWrap w:val="0"/>
            <w:vAlign w:val="center"/>
          </w:tcPr>
          <w:p w14:paraId="1F8B03CF">
            <w:pPr>
              <w:bidi w:val="0"/>
              <w:rPr>
                <w:rFonts w:hint="eastAsia"/>
                <w:color w:val="auto"/>
              </w:rPr>
            </w:pPr>
          </w:p>
        </w:tc>
        <w:tc>
          <w:tcPr>
            <w:tcW w:w="1224" w:type="dxa"/>
            <w:tcBorders>
              <w:tl2br w:val="nil"/>
              <w:tr2bl w:val="nil"/>
            </w:tcBorders>
            <w:noWrap w:val="0"/>
            <w:vAlign w:val="center"/>
          </w:tcPr>
          <w:p w14:paraId="01FD9296">
            <w:pPr>
              <w:bidi w:val="0"/>
              <w:rPr>
                <w:rFonts w:hint="eastAsia"/>
                <w:color w:val="auto"/>
              </w:rPr>
            </w:pPr>
          </w:p>
        </w:tc>
        <w:tc>
          <w:tcPr>
            <w:tcW w:w="950" w:type="dxa"/>
            <w:tcBorders>
              <w:tl2br w:val="nil"/>
              <w:tr2bl w:val="nil"/>
            </w:tcBorders>
            <w:noWrap w:val="0"/>
            <w:vAlign w:val="center"/>
          </w:tcPr>
          <w:p w14:paraId="10E10884">
            <w:pPr>
              <w:bidi w:val="0"/>
              <w:rPr>
                <w:rFonts w:hint="eastAsia"/>
                <w:color w:val="auto"/>
              </w:rPr>
            </w:pPr>
          </w:p>
        </w:tc>
      </w:tr>
      <w:tr w14:paraId="57944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4D388144">
            <w:pPr>
              <w:bidi w:val="0"/>
              <w:rPr>
                <w:rFonts w:hint="eastAsia"/>
                <w:color w:val="auto"/>
              </w:rPr>
            </w:pPr>
          </w:p>
        </w:tc>
        <w:tc>
          <w:tcPr>
            <w:tcW w:w="2046" w:type="dxa"/>
            <w:tcBorders>
              <w:tl2br w:val="nil"/>
              <w:tr2bl w:val="nil"/>
            </w:tcBorders>
            <w:noWrap w:val="0"/>
            <w:vAlign w:val="center"/>
          </w:tcPr>
          <w:p w14:paraId="2FC33EB4">
            <w:pPr>
              <w:bidi w:val="0"/>
              <w:rPr>
                <w:rFonts w:hint="eastAsia"/>
                <w:color w:val="auto"/>
              </w:rPr>
            </w:pPr>
          </w:p>
        </w:tc>
        <w:tc>
          <w:tcPr>
            <w:tcW w:w="1388" w:type="dxa"/>
            <w:tcBorders>
              <w:tl2br w:val="nil"/>
              <w:tr2bl w:val="nil"/>
            </w:tcBorders>
            <w:noWrap w:val="0"/>
            <w:vAlign w:val="center"/>
          </w:tcPr>
          <w:p w14:paraId="226654AB">
            <w:pPr>
              <w:bidi w:val="0"/>
              <w:rPr>
                <w:rFonts w:hint="eastAsia"/>
                <w:color w:val="auto"/>
              </w:rPr>
            </w:pPr>
          </w:p>
        </w:tc>
        <w:tc>
          <w:tcPr>
            <w:tcW w:w="877" w:type="dxa"/>
            <w:tcBorders>
              <w:tl2br w:val="nil"/>
              <w:tr2bl w:val="nil"/>
            </w:tcBorders>
            <w:noWrap w:val="0"/>
            <w:vAlign w:val="center"/>
          </w:tcPr>
          <w:p w14:paraId="0FB88760">
            <w:pPr>
              <w:bidi w:val="0"/>
              <w:rPr>
                <w:rFonts w:hint="eastAsia"/>
                <w:color w:val="auto"/>
              </w:rPr>
            </w:pPr>
          </w:p>
        </w:tc>
        <w:tc>
          <w:tcPr>
            <w:tcW w:w="1047" w:type="dxa"/>
            <w:tcBorders>
              <w:tl2br w:val="nil"/>
              <w:tr2bl w:val="nil"/>
            </w:tcBorders>
            <w:noWrap w:val="0"/>
            <w:vAlign w:val="center"/>
          </w:tcPr>
          <w:p w14:paraId="2E9AC559">
            <w:pPr>
              <w:bidi w:val="0"/>
              <w:rPr>
                <w:rFonts w:hint="eastAsia"/>
                <w:color w:val="auto"/>
              </w:rPr>
            </w:pPr>
          </w:p>
        </w:tc>
        <w:tc>
          <w:tcPr>
            <w:tcW w:w="1013" w:type="dxa"/>
            <w:tcBorders>
              <w:tl2br w:val="nil"/>
              <w:tr2bl w:val="nil"/>
            </w:tcBorders>
            <w:noWrap w:val="0"/>
            <w:vAlign w:val="center"/>
          </w:tcPr>
          <w:p w14:paraId="122F7835">
            <w:pPr>
              <w:bidi w:val="0"/>
              <w:rPr>
                <w:rFonts w:hint="eastAsia"/>
                <w:color w:val="auto"/>
              </w:rPr>
            </w:pPr>
          </w:p>
        </w:tc>
        <w:tc>
          <w:tcPr>
            <w:tcW w:w="1224" w:type="dxa"/>
            <w:tcBorders>
              <w:tl2br w:val="nil"/>
              <w:tr2bl w:val="nil"/>
            </w:tcBorders>
            <w:noWrap w:val="0"/>
            <w:vAlign w:val="center"/>
          </w:tcPr>
          <w:p w14:paraId="6F40D2C2">
            <w:pPr>
              <w:bidi w:val="0"/>
              <w:rPr>
                <w:rFonts w:hint="eastAsia"/>
                <w:color w:val="auto"/>
              </w:rPr>
            </w:pPr>
          </w:p>
        </w:tc>
        <w:tc>
          <w:tcPr>
            <w:tcW w:w="950" w:type="dxa"/>
            <w:tcBorders>
              <w:tl2br w:val="nil"/>
              <w:tr2bl w:val="nil"/>
            </w:tcBorders>
            <w:noWrap w:val="0"/>
            <w:vAlign w:val="center"/>
          </w:tcPr>
          <w:p w14:paraId="731B6CCA">
            <w:pPr>
              <w:bidi w:val="0"/>
              <w:rPr>
                <w:rFonts w:hint="eastAsia"/>
                <w:color w:val="auto"/>
              </w:rPr>
            </w:pPr>
          </w:p>
        </w:tc>
      </w:tr>
      <w:tr w14:paraId="49AA79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7F93F594">
            <w:pPr>
              <w:bidi w:val="0"/>
              <w:rPr>
                <w:rFonts w:hint="eastAsia"/>
                <w:color w:val="auto"/>
              </w:rPr>
            </w:pPr>
          </w:p>
        </w:tc>
        <w:tc>
          <w:tcPr>
            <w:tcW w:w="2046" w:type="dxa"/>
            <w:tcBorders>
              <w:tl2br w:val="nil"/>
              <w:tr2bl w:val="nil"/>
            </w:tcBorders>
            <w:noWrap w:val="0"/>
            <w:vAlign w:val="center"/>
          </w:tcPr>
          <w:p w14:paraId="6D32C825">
            <w:pPr>
              <w:bidi w:val="0"/>
              <w:rPr>
                <w:rFonts w:hint="eastAsia"/>
                <w:color w:val="auto"/>
              </w:rPr>
            </w:pPr>
          </w:p>
        </w:tc>
        <w:tc>
          <w:tcPr>
            <w:tcW w:w="1388" w:type="dxa"/>
            <w:tcBorders>
              <w:tl2br w:val="nil"/>
              <w:tr2bl w:val="nil"/>
            </w:tcBorders>
            <w:noWrap w:val="0"/>
            <w:vAlign w:val="center"/>
          </w:tcPr>
          <w:p w14:paraId="491C8988">
            <w:pPr>
              <w:bidi w:val="0"/>
              <w:rPr>
                <w:rFonts w:hint="eastAsia"/>
                <w:color w:val="auto"/>
              </w:rPr>
            </w:pPr>
          </w:p>
        </w:tc>
        <w:tc>
          <w:tcPr>
            <w:tcW w:w="877" w:type="dxa"/>
            <w:tcBorders>
              <w:tl2br w:val="nil"/>
              <w:tr2bl w:val="nil"/>
            </w:tcBorders>
            <w:noWrap w:val="0"/>
            <w:vAlign w:val="center"/>
          </w:tcPr>
          <w:p w14:paraId="5F0ACCFC">
            <w:pPr>
              <w:bidi w:val="0"/>
              <w:rPr>
                <w:rFonts w:hint="eastAsia"/>
                <w:color w:val="auto"/>
              </w:rPr>
            </w:pPr>
          </w:p>
        </w:tc>
        <w:tc>
          <w:tcPr>
            <w:tcW w:w="1047" w:type="dxa"/>
            <w:tcBorders>
              <w:tl2br w:val="nil"/>
              <w:tr2bl w:val="nil"/>
            </w:tcBorders>
            <w:noWrap w:val="0"/>
            <w:vAlign w:val="center"/>
          </w:tcPr>
          <w:p w14:paraId="55AE5CC3">
            <w:pPr>
              <w:bidi w:val="0"/>
              <w:rPr>
                <w:rFonts w:hint="eastAsia"/>
                <w:color w:val="auto"/>
              </w:rPr>
            </w:pPr>
          </w:p>
        </w:tc>
        <w:tc>
          <w:tcPr>
            <w:tcW w:w="1013" w:type="dxa"/>
            <w:tcBorders>
              <w:tl2br w:val="nil"/>
              <w:tr2bl w:val="nil"/>
            </w:tcBorders>
            <w:noWrap w:val="0"/>
            <w:vAlign w:val="center"/>
          </w:tcPr>
          <w:p w14:paraId="3FD736AE">
            <w:pPr>
              <w:bidi w:val="0"/>
              <w:rPr>
                <w:rFonts w:hint="eastAsia"/>
                <w:color w:val="auto"/>
              </w:rPr>
            </w:pPr>
          </w:p>
        </w:tc>
        <w:tc>
          <w:tcPr>
            <w:tcW w:w="1224" w:type="dxa"/>
            <w:tcBorders>
              <w:tl2br w:val="nil"/>
              <w:tr2bl w:val="nil"/>
            </w:tcBorders>
            <w:noWrap w:val="0"/>
            <w:vAlign w:val="center"/>
          </w:tcPr>
          <w:p w14:paraId="0103CBBF">
            <w:pPr>
              <w:bidi w:val="0"/>
              <w:rPr>
                <w:rFonts w:hint="eastAsia"/>
                <w:color w:val="auto"/>
              </w:rPr>
            </w:pPr>
          </w:p>
        </w:tc>
        <w:tc>
          <w:tcPr>
            <w:tcW w:w="950" w:type="dxa"/>
            <w:tcBorders>
              <w:tl2br w:val="nil"/>
              <w:tr2bl w:val="nil"/>
            </w:tcBorders>
            <w:noWrap w:val="0"/>
            <w:vAlign w:val="center"/>
          </w:tcPr>
          <w:p w14:paraId="29CA4F5C">
            <w:pPr>
              <w:bidi w:val="0"/>
              <w:rPr>
                <w:rFonts w:hint="eastAsia"/>
                <w:color w:val="auto"/>
              </w:rPr>
            </w:pPr>
          </w:p>
        </w:tc>
      </w:tr>
      <w:tr w14:paraId="78C5F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12DCCE0E">
            <w:pPr>
              <w:bidi w:val="0"/>
              <w:rPr>
                <w:rFonts w:hint="eastAsia"/>
                <w:color w:val="auto"/>
              </w:rPr>
            </w:pPr>
          </w:p>
        </w:tc>
        <w:tc>
          <w:tcPr>
            <w:tcW w:w="2046" w:type="dxa"/>
            <w:tcBorders>
              <w:tl2br w:val="nil"/>
              <w:tr2bl w:val="nil"/>
            </w:tcBorders>
            <w:noWrap w:val="0"/>
            <w:vAlign w:val="center"/>
          </w:tcPr>
          <w:p w14:paraId="6F742412">
            <w:pPr>
              <w:bidi w:val="0"/>
              <w:rPr>
                <w:rFonts w:hint="eastAsia"/>
                <w:color w:val="auto"/>
              </w:rPr>
            </w:pPr>
          </w:p>
        </w:tc>
        <w:tc>
          <w:tcPr>
            <w:tcW w:w="1388" w:type="dxa"/>
            <w:tcBorders>
              <w:tl2br w:val="nil"/>
              <w:tr2bl w:val="nil"/>
            </w:tcBorders>
            <w:noWrap w:val="0"/>
            <w:vAlign w:val="center"/>
          </w:tcPr>
          <w:p w14:paraId="684D9BED">
            <w:pPr>
              <w:bidi w:val="0"/>
              <w:rPr>
                <w:rFonts w:hint="eastAsia"/>
                <w:color w:val="auto"/>
              </w:rPr>
            </w:pPr>
          </w:p>
        </w:tc>
        <w:tc>
          <w:tcPr>
            <w:tcW w:w="877" w:type="dxa"/>
            <w:tcBorders>
              <w:tl2br w:val="nil"/>
              <w:tr2bl w:val="nil"/>
            </w:tcBorders>
            <w:noWrap w:val="0"/>
            <w:vAlign w:val="center"/>
          </w:tcPr>
          <w:p w14:paraId="6A511F66">
            <w:pPr>
              <w:bidi w:val="0"/>
              <w:rPr>
                <w:rFonts w:hint="eastAsia"/>
                <w:color w:val="auto"/>
              </w:rPr>
            </w:pPr>
          </w:p>
        </w:tc>
        <w:tc>
          <w:tcPr>
            <w:tcW w:w="1047" w:type="dxa"/>
            <w:tcBorders>
              <w:tl2br w:val="nil"/>
              <w:tr2bl w:val="nil"/>
            </w:tcBorders>
            <w:noWrap w:val="0"/>
            <w:vAlign w:val="center"/>
          </w:tcPr>
          <w:p w14:paraId="721761B0">
            <w:pPr>
              <w:bidi w:val="0"/>
              <w:rPr>
                <w:rFonts w:hint="eastAsia"/>
                <w:color w:val="auto"/>
              </w:rPr>
            </w:pPr>
          </w:p>
        </w:tc>
        <w:tc>
          <w:tcPr>
            <w:tcW w:w="1013" w:type="dxa"/>
            <w:tcBorders>
              <w:tl2br w:val="nil"/>
              <w:tr2bl w:val="nil"/>
            </w:tcBorders>
            <w:noWrap w:val="0"/>
            <w:vAlign w:val="center"/>
          </w:tcPr>
          <w:p w14:paraId="02E0C0CC">
            <w:pPr>
              <w:bidi w:val="0"/>
              <w:rPr>
                <w:rFonts w:hint="eastAsia"/>
                <w:color w:val="auto"/>
              </w:rPr>
            </w:pPr>
          </w:p>
        </w:tc>
        <w:tc>
          <w:tcPr>
            <w:tcW w:w="1224" w:type="dxa"/>
            <w:tcBorders>
              <w:tl2br w:val="nil"/>
              <w:tr2bl w:val="nil"/>
            </w:tcBorders>
            <w:noWrap w:val="0"/>
            <w:vAlign w:val="center"/>
          </w:tcPr>
          <w:p w14:paraId="0F4E850B">
            <w:pPr>
              <w:bidi w:val="0"/>
              <w:rPr>
                <w:rFonts w:hint="eastAsia"/>
                <w:color w:val="auto"/>
              </w:rPr>
            </w:pPr>
          </w:p>
        </w:tc>
        <w:tc>
          <w:tcPr>
            <w:tcW w:w="950" w:type="dxa"/>
            <w:tcBorders>
              <w:tl2br w:val="nil"/>
              <w:tr2bl w:val="nil"/>
            </w:tcBorders>
            <w:noWrap w:val="0"/>
            <w:vAlign w:val="center"/>
          </w:tcPr>
          <w:p w14:paraId="05898358">
            <w:pPr>
              <w:bidi w:val="0"/>
              <w:rPr>
                <w:rFonts w:hint="eastAsia"/>
                <w:color w:val="auto"/>
              </w:rPr>
            </w:pPr>
          </w:p>
        </w:tc>
      </w:tr>
      <w:tr w14:paraId="2BF95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27D00D3D">
            <w:pPr>
              <w:bidi w:val="0"/>
              <w:rPr>
                <w:rFonts w:hint="eastAsia"/>
                <w:color w:val="auto"/>
              </w:rPr>
            </w:pPr>
          </w:p>
        </w:tc>
        <w:tc>
          <w:tcPr>
            <w:tcW w:w="2046" w:type="dxa"/>
            <w:tcBorders>
              <w:tl2br w:val="nil"/>
              <w:tr2bl w:val="nil"/>
            </w:tcBorders>
            <w:noWrap w:val="0"/>
            <w:vAlign w:val="center"/>
          </w:tcPr>
          <w:p w14:paraId="36E5204D">
            <w:pPr>
              <w:bidi w:val="0"/>
              <w:rPr>
                <w:rFonts w:hint="eastAsia"/>
                <w:color w:val="auto"/>
              </w:rPr>
            </w:pPr>
          </w:p>
        </w:tc>
        <w:tc>
          <w:tcPr>
            <w:tcW w:w="1388" w:type="dxa"/>
            <w:tcBorders>
              <w:tl2br w:val="nil"/>
              <w:tr2bl w:val="nil"/>
            </w:tcBorders>
            <w:noWrap w:val="0"/>
            <w:vAlign w:val="center"/>
          </w:tcPr>
          <w:p w14:paraId="73F27418">
            <w:pPr>
              <w:bidi w:val="0"/>
              <w:rPr>
                <w:rFonts w:hint="eastAsia"/>
                <w:color w:val="auto"/>
              </w:rPr>
            </w:pPr>
          </w:p>
        </w:tc>
        <w:tc>
          <w:tcPr>
            <w:tcW w:w="877" w:type="dxa"/>
            <w:tcBorders>
              <w:tl2br w:val="nil"/>
              <w:tr2bl w:val="nil"/>
            </w:tcBorders>
            <w:noWrap w:val="0"/>
            <w:vAlign w:val="center"/>
          </w:tcPr>
          <w:p w14:paraId="26D5D315">
            <w:pPr>
              <w:bidi w:val="0"/>
              <w:rPr>
                <w:rFonts w:hint="eastAsia"/>
                <w:color w:val="auto"/>
              </w:rPr>
            </w:pPr>
          </w:p>
        </w:tc>
        <w:tc>
          <w:tcPr>
            <w:tcW w:w="1047" w:type="dxa"/>
            <w:tcBorders>
              <w:tl2br w:val="nil"/>
              <w:tr2bl w:val="nil"/>
            </w:tcBorders>
            <w:noWrap w:val="0"/>
            <w:vAlign w:val="center"/>
          </w:tcPr>
          <w:p w14:paraId="7D4C1DF2">
            <w:pPr>
              <w:bidi w:val="0"/>
              <w:rPr>
                <w:rFonts w:hint="eastAsia"/>
                <w:color w:val="auto"/>
              </w:rPr>
            </w:pPr>
          </w:p>
        </w:tc>
        <w:tc>
          <w:tcPr>
            <w:tcW w:w="1013" w:type="dxa"/>
            <w:tcBorders>
              <w:tl2br w:val="nil"/>
              <w:tr2bl w:val="nil"/>
            </w:tcBorders>
            <w:noWrap w:val="0"/>
            <w:vAlign w:val="center"/>
          </w:tcPr>
          <w:p w14:paraId="3780C479">
            <w:pPr>
              <w:bidi w:val="0"/>
              <w:rPr>
                <w:rFonts w:hint="eastAsia"/>
                <w:color w:val="auto"/>
              </w:rPr>
            </w:pPr>
          </w:p>
        </w:tc>
        <w:tc>
          <w:tcPr>
            <w:tcW w:w="1224" w:type="dxa"/>
            <w:tcBorders>
              <w:tl2br w:val="nil"/>
              <w:tr2bl w:val="nil"/>
            </w:tcBorders>
            <w:noWrap w:val="0"/>
            <w:vAlign w:val="center"/>
          </w:tcPr>
          <w:p w14:paraId="4AAD4040">
            <w:pPr>
              <w:bidi w:val="0"/>
              <w:rPr>
                <w:rFonts w:hint="eastAsia"/>
                <w:color w:val="auto"/>
              </w:rPr>
            </w:pPr>
          </w:p>
        </w:tc>
        <w:tc>
          <w:tcPr>
            <w:tcW w:w="950" w:type="dxa"/>
            <w:tcBorders>
              <w:tl2br w:val="nil"/>
              <w:tr2bl w:val="nil"/>
            </w:tcBorders>
            <w:noWrap w:val="0"/>
            <w:vAlign w:val="center"/>
          </w:tcPr>
          <w:p w14:paraId="26ED26B6">
            <w:pPr>
              <w:bidi w:val="0"/>
              <w:rPr>
                <w:rFonts w:hint="eastAsia"/>
                <w:color w:val="auto"/>
              </w:rPr>
            </w:pPr>
          </w:p>
        </w:tc>
      </w:tr>
      <w:tr w14:paraId="2A0CCD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3BDEEE8E">
            <w:pPr>
              <w:bidi w:val="0"/>
              <w:rPr>
                <w:rFonts w:hint="eastAsia"/>
                <w:color w:val="auto"/>
              </w:rPr>
            </w:pPr>
          </w:p>
        </w:tc>
        <w:tc>
          <w:tcPr>
            <w:tcW w:w="2046" w:type="dxa"/>
            <w:tcBorders>
              <w:tl2br w:val="nil"/>
              <w:tr2bl w:val="nil"/>
            </w:tcBorders>
            <w:noWrap w:val="0"/>
            <w:vAlign w:val="center"/>
          </w:tcPr>
          <w:p w14:paraId="710BF541">
            <w:pPr>
              <w:bidi w:val="0"/>
              <w:rPr>
                <w:rFonts w:hint="eastAsia"/>
                <w:color w:val="auto"/>
              </w:rPr>
            </w:pPr>
          </w:p>
        </w:tc>
        <w:tc>
          <w:tcPr>
            <w:tcW w:w="1388" w:type="dxa"/>
            <w:tcBorders>
              <w:tl2br w:val="nil"/>
              <w:tr2bl w:val="nil"/>
            </w:tcBorders>
            <w:noWrap w:val="0"/>
            <w:vAlign w:val="center"/>
          </w:tcPr>
          <w:p w14:paraId="53917DB5">
            <w:pPr>
              <w:bidi w:val="0"/>
              <w:rPr>
                <w:rFonts w:hint="eastAsia"/>
                <w:color w:val="auto"/>
              </w:rPr>
            </w:pPr>
          </w:p>
        </w:tc>
        <w:tc>
          <w:tcPr>
            <w:tcW w:w="877" w:type="dxa"/>
            <w:tcBorders>
              <w:tl2br w:val="nil"/>
              <w:tr2bl w:val="nil"/>
            </w:tcBorders>
            <w:noWrap w:val="0"/>
            <w:vAlign w:val="center"/>
          </w:tcPr>
          <w:p w14:paraId="1D4B2368">
            <w:pPr>
              <w:bidi w:val="0"/>
              <w:rPr>
                <w:rFonts w:hint="eastAsia"/>
                <w:color w:val="auto"/>
              </w:rPr>
            </w:pPr>
          </w:p>
        </w:tc>
        <w:tc>
          <w:tcPr>
            <w:tcW w:w="1047" w:type="dxa"/>
            <w:tcBorders>
              <w:tl2br w:val="nil"/>
              <w:tr2bl w:val="nil"/>
            </w:tcBorders>
            <w:noWrap w:val="0"/>
            <w:vAlign w:val="center"/>
          </w:tcPr>
          <w:p w14:paraId="7E5DC1BD">
            <w:pPr>
              <w:bidi w:val="0"/>
              <w:rPr>
                <w:rFonts w:hint="eastAsia"/>
                <w:color w:val="auto"/>
              </w:rPr>
            </w:pPr>
          </w:p>
        </w:tc>
        <w:tc>
          <w:tcPr>
            <w:tcW w:w="1013" w:type="dxa"/>
            <w:tcBorders>
              <w:tl2br w:val="nil"/>
              <w:tr2bl w:val="nil"/>
            </w:tcBorders>
            <w:noWrap w:val="0"/>
            <w:vAlign w:val="center"/>
          </w:tcPr>
          <w:p w14:paraId="6054BB5F">
            <w:pPr>
              <w:bidi w:val="0"/>
              <w:rPr>
                <w:rFonts w:hint="eastAsia"/>
                <w:color w:val="auto"/>
              </w:rPr>
            </w:pPr>
          </w:p>
        </w:tc>
        <w:tc>
          <w:tcPr>
            <w:tcW w:w="1224" w:type="dxa"/>
            <w:tcBorders>
              <w:tl2br w:val="nil"/>
              <w:tr2bl w:val="nil"/>
            </w:tcBorders>
            <w:noWrap w:val="0"/>
            <w:vAlign w:val="center"/>
          </w:tcPr>
          <w:p w14:paraId="3F941C40">
            <w:pPr>
              <w:bidi w:val="0"/>
              <w:rPr>
                <w:rFonts w:hint="eastAsia"/>
                <w:color w:val="auto"/>
              </w:rPr>
            </w:pPr>
          </w:p>
        </w:tc>
        <w:tc>
          <w:tcPr>
            <w:tcW w:w="950" w:type="dxa"/>
            <w:tcBorders>
              <w:tl2br w:val="nil"/>
              <w:tr2bl w:val="nil"/>
            </w:tcBorders>
            <w:noWrap w:val="0"/>
            <w:vAlign w:val="center"/>
          </w:tcPr>
          <w:p w14:paraId="2413C4FF">
            <w:pPr>
              <w:bidi w:val="0"/>
              <w:rPr>
                <w:rFonts w:hint="eastAsia"/>
                <w:color w:val="auto"/>
              </w:rPr>
            </w:pPr>
          </w:p>
        </w:tc>
      </w:tr>
      <w:tr w14:paraId="6ACD0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5E8EA93D">
            <w:pPr>
              <w:bidi w:val="0"/>
              <w:rPr>
                <w:rFonts w:hint="eastAsia"/>
                <w:color w:val="auto"/>
              </w:rPr>
            </w:pPr>
          </w:p>
        </w:tc>
        <w:tc>
          <w:tcPr>
            <w:tcW w:w="2046" w:type="dxa"/>
            <w:tcBorders>
              <w:tl2br w:val="nil"/>
              <w:tr2bl w:val="nil"/>
            </w:tcBorders>
            <w:noWrap w:val="0"/>
            <w:vAlign w:val="center"/>
          </w:tcPr>
          <w:p w14:paraId="50F9E8EB">
            <w:pPr>
              <w:bidi w:val="0"/>
              <w:rPr>
                <w:rFonts w:hint="eastAsia"/>
                <w:color w:val="auto"/>
              </w:rPr>
            </w:pPr>
          </w:p>
        </w:tc>
        <w:tc>
          <w:tcPr>
            <w:tcW w:w="1388" w:type="dxa"/>
            <w:tcBorders>
              <w:tl2br w:val="nil"/>
              <w:tr2bl w:val="nil"/>
            </w:tcBorders>
            <w:noWrap w:val="0"/>
            <w:vAlign w:val="center"/>
          </w:tcPr>
          <w:p w14:paraId="30490EBF">
            <w:pPr>
              <w:bidi w:val="0"/>
              <w:rPr>
                <w:rFonts w:hint="eastAsia"/>
                <w:color w:val="auto"/>
              </w:rPr>
            </w:pPr>
          </w:p>
        </w:tc>
        <w:tc>
          <w:tcPr>
            <w:tcW w:w="877" w:type="dxa"/>
            <w:tcBorders>
              <w:tl2br w:val="nil"/>
              <w:tr2bl w:val="nil"/>
            </w:tcBorders>
            <w:noWrap w:val="0"/>
            <w:vAlign w:val="center"/>
          </w:tcPr>
          <w:p w14:paraId="56E83714">
            <w:pPr>
              <w:bidi w:val="0"/>
              <w:rPr>
                <w:rFonts w:hint="eastAsia"/>
                <w:color w:val="auto"/>
              </w:rPr>
            </w:pPr>
          </w:p>
        </w:tc>
        <w:tc>
          <w:tcPr>
            <w:tcW w:w="1047" w:type="dxa"/>
            <w:tcBorders>
              <w:tl2br w:val="nil"/>
              <w:tr2bl w:val="nil"/>
            </w:tcBorders>
            <w:noWrap w:val="0"/>
            <w:vAlign w:val="center"/>
          </w:tcPr>
          <w:p w14:paraId="7B95AC58">
            <w:pPr>
              <w:bidi w:val="0"/>
              <w:rPr>
                <w:rFonts w:hint="eastAsia"/>
                <w:color w:val="auto"/>
              </w:rPr>
            </w:pPr>
          </w:p>
        </w:tc>
        <w:tc>
          <w:tcPr>
            <w:tcW w:w="1013" w:type="dxa"/>
            <w:tcBorders>
              <w:tl2br w:val="nil"/>
              <w:tr2bl w:val="nil"/>
            </w:tcBorders>
            <w:noWrap w:val="0"/>
            <w:vAlign w:val="center"/>
          </w:tcPr>
          <w:p w14:paraId="58B2BDB7">
            <w:pPr>
              <w:bidi w:val="0"/>
              <w:rPr>
                <w:rFonts w:hint="eastAsia"/>
                <w:color w:val="auto"/>
              </w:rPr>
            </w:pPr>
          </w:p>
        </w:tc>
        <w:tc>
          <w:tcPr>
            <w:tcW w:w="1224" w:type="dxa"/>
            <w:tcBorders>
              <w:tl2br w:val="nil"/>
              <w:tr2bl w:val="nil"/>
            </w:tcBorders>
            <w:noWrap w:val="0"/>
            <w:vAlign w:val="center"/>
          </w:tcPr>
          <w:p w14:paraId="1B630BF4">
            <w:pPr>
              <w:bidi w:val="0"/>
              <w:rPr>
                <w:rFonts w:hint="eastAsia"/>
                <w:color w:val="auto"/>
              </w:rPr>
            </w:pPr>
          </w:p>
        </w:tc>
        <w:tc>
          <w:tcPr>
            <w:tcW w:w="950" w:type="dxa"/>
            <w:tcBorders>
              <w:tl2br w:val="nil"/>
              <w:tr2bl w:val="nil"/>
            </w:tcBorders>
            <w:noWrap w:val="0"/>
            <w:vAlign w:val="center"/>
          </w:tcPr>
          <w:p w14:paraId="10289535">
            <w:pPr>
              <w:bidi w:val="0"/>
              <w:rPr>
                <w:rFonts w:hint="eastAsia"/>
                <w:color w:val="auto"/>
              </w:rPr>
            </w:pPr>
          </w:p>
        </w:tc>
      </w:tr>
      <w:tr w14:paraId="14A9C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4ADC9B65">
            <w:pPr>
              <w:bidi w:val="0"/>
              <w:rPr>
                <w:rFonts w:hint="eastAsia"/>
                <w:color w:val="auto"/>
              </w:rPr>
            </w:pPr>
          </w:p>
        </w:tc>
        <w:tc>
          <w:tcPr>
            <w:tcW w:w="2046" w:type="dxa"/>
            <w:tcBorders>
              <w:tl2br w:val="nil"/>
              <w:tr2bl w:val="nil"/>
            </w:tcBorders>
            <w:noWrap w:val="0"/>
            <w:vAlign w:val="center"/>
          </w:tcPr>
          <w:p w14:paraId="1911BC4A">
            <w:pPr>
              <w:bidi w:val="0"/>
              <w:rPr>
                <w:rFonts w:hint="eastAsia"/>
                <w:color w:val="auto"/>
              </w:rPr>
            </w:pPr>
          </w:p>
        </w:tc>
        <w:tc>
          <w:tcPr>
            <w:tcW w:w="1388" w:type="dxa"/>
            <w:tcBorders>
              <w:tl2br w:val="nil"/>
              <w:tr2bl w:val="nil"/>
            </w:tcBorders>
            <w:noWrap w:val="0"/>
            <w:vAlign w:val="center"/>
          </w:tcPr>
          <w:p w14:paraId="7D69B1C1">
            <w:pPr>
              <w:bidi w:val="0"/>
              <w:rPr>
                <w:rFonts w:hint="eastAsia"/>
                <w:color w:val="auto"/>
              </w:rPr>
            </w:pPr>
          </w:p>
        </w:tc>
        <w:tc>
          <w:tcPr>
            <w:tcW w:w="877" w:type="dxa"/>
            <w:tcBorders>
              <w:tl2br w:val="nil"/>
              <w:tr2bl w:val="nil"/>
            </w:tcBorders>
            <w:noWrap w:val="0"/>
            <w:vAlign w:val="center"/>
          </w:tcPr>
          <w:p w14:paraId="518619DA">
            <w:pPr>
              <w:bidi w:val="0"/>
              <w:rPr>
                <w:rFonts w:hint="eastAsia"/>
                <w:color w:val="auto"/>
              </w:rPr>
            </w:pPr>
          </w:p>
        </w:tc>
        <w:tc>
          <w:tcPr>
            <w:tcW w:w="1047" w:type="dxa"/>
            <w:tcBorders>
              <w:tl2br w:val="nil"/>
              <w:tr2bl w:val="nil"/>
            </w:tcBorders>
            <w:noWrap w:val="0"/>
            <w:vAlign w:val="center"/>
          </w:tcPr>
          <w:p w14:paraId="5978AAC5">
            <w:pPr>
              <w:bidi w:val="0"/>
              <w:rPr>
                <w:rFonts w:hint="eastAsia"/>
                <w:color w:val="auto"/>
              </w:rPr>
            </w:pPr>
          </w:p>
        </w:tc>
        <w:tc>
          <w:tcPr>
            <w:tcW w:w="1013" w:type="dxa"/>
            <w:tcBorders>
              <w:tl2br w:val="nil"/>
              <w:tr2bl w:val="nil"/>
            </w:tcBorders>
            <w:noWrap w:val="0"/>
            <w:vAlign w:val="center"/>
          </w:tcPr>
          <w:p w14:paraId="5F5C6C65">
            <w:pPr>
              <w:bidi w:val="0"/>
              <w:rPr>
                <w:rFonts w:hint="eastAsia"/>
                <w:color w:val="auto"/>
              </w:rPr>
            </w:pPr>
          </w:p>
        </w:tc>
        <w:tc>
          <w:tcPr>
            <w:tcW w:w="1224" w:type="dxa"/>
            <w:tcBorders>
              <w:tl2br w:val="nil"/>
              <w:tr2bl w:val="nil"/>
            </w:tcBorders>
            <w:noWrap w:val="0"/>
            <w:vAlign w:val="center"/>
          </w:tcPr>
          <w:p w14:paraId="4550DFB8">
            <w:pPr>
              <w:bidi w:val="0"/>
              <w:rPr>
                <w:rFonts w:hint="eastAsia"/>
                <w:color w:val="auto"/>
              </w:rPr>
            </w:pPr>
          </w:p>
        </w:tc>
        <w:tc>
          <w:tcPr>
            <w:tcW w:w="950" w:type="dxa"/>
            <w:tcBorders>
              <w:tl2br w:val="nil"/>
              <w:tr2bl w:val="nil"/>
            </w:tcBorders>
            <w:noWrap w:val="0"/>
            <w:vAlign w:val="center"/>
          </w:tcPr>
          <w:p w14:paraId="620EF163">
            <w:pPr>
              <w:bidi w:val="0"/>
              <w:rPr>
                <w:rFonts w:hint="eastAsia"/>
                <w:color w:val="auto"/>
              </w:rPr>
            </w:pPr>
          </w:p>
        </w:tc>
      </w:tr>
      <w:tr w14:paraId="7C8E6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763" w:type="dxa"/>
            <w:tcBorders>
              <w:tl2br w:val="nil"/>
              <w:tr2bl w:val="nil"/>
            </w:tcBorders>
            <w:noWrap w:val="0"/>
            <w:vAlign w:val="center"/>
          </w:tcPr>
          <w:p w14:paraId="62DE3D72">
            <w:pPr>
              <w:bidi w:val="0"/>
              <w:rPr>
                <w:rFonts w:hint="eastAsia"/>
                <w:color w:val="auto"/>
              </w:rPr>
            </w:pPr>
          </w:p>
        </w:tc>
        <w:tc>
          <w:tcPr>
            <w:tcW w:w="2046" w:type="dxa"/>
            <w:tcBorders>
              <w:tl2br w:val="nil"/>
              <w:tr2bl w:val="nil"/>
            </w:tcBorders>
            <w:noWrap w:val="0"/>
            <w:vAlign w:val="center"/>
          </w:tcPr>
          <w:p w14:paraId="4D422EDF">
            <w:pPr>
              <w:bidi w:val="0"/>
              <w:rPr>
                <w:rFonts w:hint="eastAsia"/>
                <w:color w:val="auto"/>
              </w:rPr>
            </w:pPr>
          </w:p>
        </w:tc>
        <w:tc>
          <w:tcPr>
            <w:tcW w:w="1388" w:type="dxa"/>
            <w:tcBorders>
              <w:tl2br w:val="nil"/>
              <w:tr2bl w:val="nil"/>
            </w:tcBorders>
            <w:noWrap w:val="0"/>
            <w:vAlign w:val="center"/>
          </w:tcPr>
          <w:p w14:paraId="6DB76B21">
            <w:pPr>
              <w:bidi w:val="0"/>
              <w:rPr>
                <w:rFonts w:hint="eastAsia"/>
                <w:color w:val="auto"/>
              </w:rPr>
            </w:pPr>
          </w:p>
        </w:tc>
        <w:tc>
          <w:tcPr>
            <w:tcW w:w="877" w:type="dxa"/>
            <w:tcBorders>
              <w:tl2br w:val="nil"/>
              <w:tr2bl w:val="nil"/>
            </w:tcBorders>
            <w:noWrap w:val="0"/>
            <w:vAlign w:val="center"/>
          </w:tcPr>
          <w:p w14:paraId="283754FE">
            <w:pPr>
              <w:bidi w:val="0"/>
              <w:rPr>
                <w:rFonts w:hint="eastAsia"/>
                <w:color w:val="auto"/>
              </w:rPr>
            </w:pPr>
          </w:p>
        </w:tc>
        <w:tc>
          <w:tcPr>
            <w:tcW w:w="1047" w:type="dxa"/>
            <w:tcBorders>
              <w:tl2br w:val="nil"/>
              <w:tr2bl w:val="nil"/>
            </w:tcBorders>
            <w:noWrap w:val="0"/>
            <w:vAlign w:val="center"/>
          </w:tcPr>
          <w:p w14:paraId="20B7080A">
            <w:pPr>
              <w:bidi w:val="0"/>
              <w:rPr>
                <w:rFonts w:hint="eastAsia"/>
                <w:color w:val="auto"/>
              </w:rPr>
            </w:pPr>
          </w:p>
        </w:tc>
        <w:tc>
          <w:tcPr>
            <w:tcW w:w="1013" w:type="dxa"/>
            <w:tcBorders>
              <w:tl2br w:val="nil"/>
              <w:tr2bl w:val="nil"/>
            </w:tcBorders>
            <w:noWrap w:val="0"/>
            <w:vAlign w:val="center"/>
          </w:tcPr>
          <w:p w14:paraId="03350B24">
            <w:pPr>
              <w:bidi w:val="0"/>
              <w:rPr>
                <w:rFonts w:hint="eastAsia"/>
                <w:color w:val="auto"/>
              </w:rPr>
            </w:pPr>
          </w:p>
        </w:tc>
        <w:tc>
          <w:tcPr>
            <w:tcW w:w="1224" w:type="dxa"/>
            <w:tcBorders>
              <w:tl2br w:val="nil"/>
              <w:tr2bl w:val="nil"/>
            </w:tcBorders>
            <w:noWrap w:val="0"/>
            <w:vAlign w:val="center"/>
          </w:tcPr>
          <w:p w14:paraId="32231FCA">
            <w:pPr>
              <w:bidi w:val="0"/>
              <w:rPr>
                <w:rFonts w:hint="eastAsia"/>
                <w:color w:val="auto"/>
              </w:rPr>
            </w:pPr>
          </w:p>
        </w:tc>
        <w:tc>
          <w:tcPr>
            <w:tcW w:w="950" w:type="dxa"/>
            <w:tcBorders>
              <w:tl2br w:val="nil"/>
              <w:tr2bl w:val="nil"/>
            </w:tcBorders>
            <w:noWrap w:val="0"/>
            <w:vAlign w:val="center"/>
          </w:tcPr>
          <w:p w14:paraId="12C0DFEF">
            <w:pPr>
              <w:bidi w:val="0"/>
              <w:rPr>
                <w:rFonts w:hint="eastAsia"/>
                <w:color w:val="auto"/>
              </w:rPr>
            </w:pPr>
          </w:p>
        </w:tc>
      </w:tr>
    </w:tbl>
    <w:p w14:paraId="471B1BE4">
      <w:pPr>
        <w:spacing w:line="360" w:lineRule="auto"/>
        <w:rPr>
          <w:rFonts w:hint="eastAsia" w:ascii="宋体" w:hAnsi="宋体" w:eastAsia="宋体" w:cs="宋体"/>
          <w:color w:val="auto"/>
          <w:sz w:val="21"/>
          <w:szCs w:val="21"/>
          <w:highlight w:val="none"/>
        </w:rPr>
      </w:pPr>
    </w:p>
    <w:p w14:paraId="4650C52A">
      <w:pPr>
        <w:spacing w:line="440" w:lineRule="exact"/>
        <w:rPr>
          <w:rFonts w:hint="eastAsia" w:ascii="宋体" w:hAnsi="宋体" w:eastAsia="宋体" w:cs="宋体"/>
          <w:color w:val="auto"/>
          <w:highlight w:val="none"/>
        </w:rPr>
      </w:pPr>
    </w:p>
    <w:p w14:paraId="6572654C">
      <w:pPr>
        <w:spacing w:line="440" w:lineRule="exact"/>
        <w:rPr>
          <w:rFonts w:hint="eastAsia" w:ascii="宋体" w:hAnsi="宋体" w:eastAsia="宋体" w:cs="宋体"/>
          <w:color w:val="auto"/>
          <w:highlight w:val="none"/>
        </w:rPr>
      </w:pPr>
    </w:p>
    <w:p w14:paraId="43C56137">
      <w:pPr>
        <w:bidi w:val="0"/>
        <w:rPr>
          <w:color w:val="auto"/>
        </w:rPr>
      </w:pPr>
    </w:p>
    <w:p w14:paraId="7C42F0D7">
      <w:pPr>
        <w:bidi w:val="0"/>
        <w:rPr>
          <w:color w:val="auto"/>
        </w:rPr>
      </w:pPr>
    </w:p>
    <w:p w14:paraId="4BFC9ACD">
      <w:pPr>
        <w:bidi w:val="0"/>
        <w:rPr>
          <w:color w:val="auto"/>
        </w:rPr>
      </w:pPr>
    </w:p>
    <w:p w14:paraId="4EB8EA6D">
      <w:pPr>
        <w:bidi w:val="0"/>
        <w:rPr>
          <w:color w:val="auto"/>
        </w:rPr>
      </w:pPr>
    </w:p>
    <w:p w14:paraId="43822243">
      <w:pPr>
        <w:bidi w:val="0"/>
        <w:rPr>
          <w:color w:val="auto"/>
        </w:rPr>
      </w:pPr>
    </w:p>
    <w:p w14:paraId="25170B1E">
      <w:pPr>
        <w:bidi w:val="0"/>
        <w:rPr>
          <w:color w:val="auto"/>
        </w:rPr>
      </w:pPr>
    </w:p>
    <w:p w14:paraId="12C26581">
      <w:pPr>
        <w:bidi w:val="0"/>
        <w:rPr>
          <w:color w:val="auto"/>
        </w:rPr>
      </w:pPr>
    </w:p>
    <w:p w14:paraId="3D334F49">
      <w:pPr>
        <w:bidi w:val="0"/>
        <w:rPr>
          <w:color w:val="auto"/>
        </w:rPr>
      </w:pPr>
    </w:p>
    <w:p w14:paraId="132EFC99">
      <w:pPr>
        <w:pStyle w:val="3"/>
        <w:bidi w:val="0"/>
        <w:rPr>
          <w:color w:val="auto"/>
        </w:rPr>
      </w:pPr>
      <w:bookmarkStart w:id="386" w:name="_Toc17005"/>
      <w:bookmarkStart w:id="387" w:name="_Toc9217"/>
      <w:bookmarkStart w:id="388" w:name="_Toc12521"/>
      <w:r>
        <w:rPr>
          <w:rFonts w:hint="eastAsia"/>
          <w:color w:val="auto"/>
          <w:lang w:val="en-US" w:eastAsia="zh-CN"/>
        </w:rPr>
        <w:t>五</w:t>
      </w:r>
      <w:r>
        <w:rPr>
          <w:rFonts w:hint="eastAsia"/>
          <w:color w:val="auto"/>
        </w:rPr>
        <w:t>、</w:t>
      </w:r>
      <w:bookmarkEnd w:id="386"/>
      <w:r>
        <w:rPr>
          <w:color w:val="auto"/>
        </w:rPr>
        <w:t>资格审查资料</w:t>
      </w:r>
      <w:bookmarkEnd w:id="387"/>
      <w:bookmarkEnd w:id="388"/>
    </w:p>
    <w:p w14:paraId="1E5EA224">
      <w:pPr>
        <w:pStyle w:val="4"/>
        <w:bidi w:val="0"/>
        <w:rPr>
          <w:color w:val="auto"/>
        </w:rPr>
      </w:pPr>
      <w:bookmarkStart w:id="389" w:name="_Toc30214"/>
      <w:bookmarkStart w:id="390" w:name="_Toc10833"/>
      <w:r>
        <w:rPr>
          <w:color w:val="auto"/>
        </w:rPr>
        <w:t>（一）投标人基本情况表</w:t>
      </w:r>
      <w:bookmarkEnd w:id="389"/>
      <w:bookmarkEnd w:id="390"/>
    </w:p>
    <w:tbl>
      <w:tblPr>
        <w:tblStyle w:val="29"/>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9"/>
        <w:gridCol w:w="1150"/>
        <w:gridCol w:w="1150"/>
        <w:gridCol w:w="1150"/>
        <w:gridCol w:w="1150"/>
        <w:gridCol w:w="604"/>
        <w:gridCol w:w="546"/>
        <w:gridCol w:w="1155"/>
      </w:tblGrid>
      <w:tr w14:paraId="7973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52B3386A">
            <w:pPr>
              <w:bidi w:val="0"/>
              <w:jc w:val="center"/>
              <w:rPr>
                <w:color w:val="auto"/>
              </w:rPr>
            </w:pPr>
            <w:r>
              <w:rPr>
                <w:color w:val="auto"/>
              </w:rPr>
              <w:t>投标人名称</w:t>
            </w:r>
          </w:p>
        </w:tc>
        <w:tc>
          <w:tcPr>
            <w:tcW w:w="6905" w:type="dxa"/>
            <w:gridSpan w:val="7"/>
            <w:vAlign w:val="center"/>
          </w:tcPr>
          <w:p w14:paraId="704A9D01">
            <w:pPr>
              <w:bidi w:val="0"/>
              <w:jc w:val="center"/>
              <w:rPr>
                <w:color w:val="auto"/>
              </w:rPr>
            </w:pPr>
          </w:p>
        </w:tc>
      </w:tr>
      <w:tr w14:paraId="253E5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21F570A3">
            <w:pPr>
              <w:bidi w:val="0"/>
              <w:jc w:val="center"/>
              <w:rPr>
                <w:color w:val="auto"/>
              </w:rPr>
            </w:pPr>
            <w:r>
              <w:rPr>
                <w:color w:val="auto"/>
              </w:rPr>
              <w:t>注册地址</w:t>
            </w:r>
          </w:p>
        </w:tc>
        <w:tc>
          <w:tcPr>
            <w:tcW w:w="3450" w:type="dxa"/>
            <w:gridSpan w:val="3"/>
            <w:vAlign w:val="center"/>
          </w:tcPr>
          <w:p w14:paraId="14026C65">
            <w:pPr>
              <w:bidi w:val="0"/>
              <w:jc w:val="center"/>
              <w:rPr>
                <w:color w:val="auto"/>
              </w:rPr>
            </w:pPr>
          </w:p>
        </w:tc>
        <w:tc>
          <w:tcPr>
            <w:tcW w:w="1150" w:type="dxa"/>
            <w:vAlign w:val="center"/>
          </w:tcPr>
          <w:p w14:paraId="1BDBA2AC">
            <w:pPr>
              <w:bidi w:val="0"/>
              <w:jc w:val="center"/>
              <w:rPr>
                <w:color w:val="auto"/>
              </w:rPr>
            </w:pPr>
            <w:r>
              <w:rPr>
                <w:color w:val="auto"/>
              </w:rPr>
              <w:t>邮政编码</w:t>
            </w:r>
          </w:p>
        </w:tc>
        <w:tc>
          <w:tcPr>
            <w:tcW w:w="2305" w:type="dxa"/>
            <w:gridSpan w:val="3"/>
            <w:vAlign w:val="center"/>
          </w:tcPr>
          <w:p w14:paraId="4E5554C8">
            <w:pPr>
              <w:bidi w:val="0"/>
              <w:jc w:val="center"/>
              <w:rPr>
                <w:color w:val="auto"/>
              </w:rPr>
            </w:pPr>
          </w:p>
        </w:tc>
      </w:tr>
      <w:tr w14:paraId="4052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Merge w:val="restart"/>
            <w:vAlign w:val="center"/>
          </w:tcPr>
          <w:p w14:paraId="492FCA86">
            <w:pPr>
              <w:bidi w:val="0"/>
              <w:jc w:val="center"/>
              <w:rPr>
                <w:color w:val="auto"/>
              </w:rPr>
            </w:pPr>
            <w:r>
              <w:rPr>
                <w:color w:val="auto"/>
              </w:rPr>
              <w:t>联系方式</w:t>
            </w:r>
          </w:p>
        </w:tc>
        <w:tc>
          <w:tcPr>
            <w:tcW w:w="1150" w:type="dxa"/>
            <w:vAlign w:val="center"/>
          </w:tcPr>
          <w:p w14:paraId="0890D3AB">
            <w:pPr>
              <w:bidi w:val="0"/>
              <w:jc w:val="center"/>
              <w:rPr>
                <w:color w:val="auto"/>
              </w:rPr>
            </w:pPr>
            <w:r>
              <w:rPr>
                <w:color w:val="auto"/>
              </w:rPr>
              <w:t>联系人</w:t>
            </w:r>
          </w:p>
        </w:tc>
        <w:tc>
          <w:tcPr>
            <w:tcW w:w="2300" w:type="dxa"/>
            <w:gridSpan w:val="2"/>
            <w:vAlign w:val="center"/>
          </w:tcPr>
          <w:p w14:paraId="41260F30">
            <w:pPr>
              <w:bidi w:val="0"/>
              <w:jc w:val="center"/>
              <w:rPr>
                <w:color w:val="auto"/>
              </w:rPr>
            </w:pPr>
          </w:p>
        </w:tc>
        <w:tc>
          <w:tcPr>
            <w:tcW w:w="1150" w:type="dxa"/>
            <w:vAlign w:val="center"/>
          </w:tcPr>
          <w:p w14:paraId="102F0B42">
            <w:pPr>
              <w:bidi w:val="0"/>
              <w:jc w:val="center"/>
              <w:rPr>
                <w:color w:val="auto"/>
              </w:rPr>
            </w:pPr>
            <w:r>
              <w:rPr>
                <w:color w:val="auto"/>
              </w:rPr>
              <w:t>电 话</w:t>
            </w:r>
          </w:p>
        </w:tc>
        <w:tc>
          <w:tcPr>
            <w:tcW w:w="2305" w:type="dxa"/>
            <w:gridSpan w:val="3"/>
            <w:vAlign w:val="center"/>
          </w:tcPr>
          <w:p w14:paraId="1FCF5AD7">
            <w:pPr>
              <w:bidi w:val="0"/>
              <w:jc w:val="center"/>
              <w:rPr>
                <w:color w:val="auto"/>
              </w:rPr>
            </w:pPr>
          </w:p>
        </w:tc>
      </w:tr>
      <w:tr w14:paraId="654F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Merge w:val="continue"/>
            <w:tcBorders>
              <w:top w:val="nil"/>
            </w:tcBorders>
            <w:vAlign w:val="center"/>
          </w:tcPr>
          <w:p w14:paraId="608CF398">
            <w:pPr>
              <w:bidi w:val="0"/>
              <w:jc w:val="center"/>
              <w:rPr>
                <w:color w:val="auto"/>
              </w:rPr>
            </w:pPr>
          </w:p>
        </w:tc>
        <w:tc>
          <w:tcPr>
            <w:tcW w:w="1150" w:type="dxa"/>
            <w:vAlign w:val="center"/>
          </w:tcPr>
          <w:p w14:paraId="7DEBCA22">
            <w:pPr>
              <w:bidi w:val="0"/>
              <w:jc w:val="center"/>
              <w:rPr>
                <w:color w:val="auto"/>
              </w:rPr>
            </w:pPr>
            <w:r>
              <w:rPr>
                <w:color w:val="auto"/>
              </w:rPr>
              <w:t>传 真</w:t>
            </w:r>
          </w:p>
        </w:tc>
        <w:tc>
          <w:tcPr>
            <w:tcW w:w="2300" w:type="dxa"/>
            <w:gridSpan w:val="2"/>
            <w:vAlign w:val="center"/>
          </w:tcPr>
          <w:p w14:paraId="446BC581">
            <w:pPr>
              <w:bidi w:val="0"/>
              <w:jc w:val="center"/>
              <w:rPr>
                <w:color w:val="auto"/>
              </w:rPr>
            </w:pPr>
          </w:p>
        </w:tc>
        <w:tc>
          <w:tcPr>
            <w:tcW w:w="1150" w:type="dxa"/>
            <w:vAlign w:val="center"/>
          </w:tcPr>
          <w:p w14:paraId="3A3FF11F">
            <w:pPr>
              <w:bidi w:val="0"/>
              <w:jc w:val="center"/>
              <w:rPr>
                <w:color w:val="auto"/>
              </w:rPr>
            </w:pPr>
            <w:r>
              <w:rPr>
                <w:color w:val="auto"/>
              </w:rPr>
              <w:t>网 址</w:t>
            </w:r>
          </w:p>
        </w:tc>
        <w:tc>
          <w:tcPr>
            <w:tcW w:w="2305" w:type="dxa"/>
            <w:gridSpan w:val="3"/>
            <w:vAlign w:val="center"/>
          </w:tcPr>
          <w:p w14:paraId="44D6609F">
            <w:pPr>
              <w:bidi w:val="0"/>
              <w:jc w:val="center"/>
              <w:rPr>
                <w:color w:val="auto"/>
              </w:rPr>
            </w:pPr>
          </w:p>
        </w:tc>
      </w:tr>
      <w:tr w14:paraId="3940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451D07E9">
            <w:pPr>
              <w:bidi w:val="0"/>
              <w:jc w:val="center"/>
              <w:rPr>
                <w:color w:val="auto"/>
              </w:rPr>
            </w:pPr>
            <w:r>
              <w:rPr>
                <w:color w:val="auto"/>
              </w:rPr>
              <w:t>组织结构</w:t>
            </w:r>
          </w:p>
        </w:tc>
        <w:tc>
          <w:tcPr>
            <w:tcW w:w="6905" w:type="dxa"/>
            <w:gridSpan w:val="7"/>
            <w:vAlign w:val="center"/>
          </w:tcPr>
          <w:p w14:paraId="17346261">
            <w:pPr>
              <w:bidi w:val="0"/>
              <w:jc w:val="center"/>
              <w:rPr>
                <w:color w:val="auto"/>
              </w:rPr>
            </w:pPr>
          </w:p>
        </w:tc>
      </w:tr>
      <w:tr w14:paraId="3F5AD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2331A26E">
            <w:pPr>
              <w:bidi w:val="0"/>
              <w:jc w:val="center"/>
              <w:rPr>
                <w:color w:val="auto"/>
              </w:rPr>
            </w:pPr>
            <w:r>
              <w:rPr>
                <w:color w:val="auto"/>
              </w:rPr>
              <w:t>法定代表人</w:t>
            </w:r>
          </w:p>
        </w:tc>
        <w:tc>
          <w:tcPr>
            <w:tcW w:w="1150" w:type="dxa"/>
            <w:vAlign w:val="center"/>
          </w:tcPr>
          <w:p w14:paraId="2B640F41">
            <w:pPr>
              <w:bidi w:val="0"/>
              <w:jc w:val="center"/>
              <w:rPr>
                <w:color w:val="auto"/>
              </w:rPr>
            </w:pPr>
            <w:r>
              <w:rPr>
                <w:color w:val="auto"/>
              </w:rPr>
              <w:t>姓名</w:t>
            </w:r>
          </w:p>
        </w:tc>
        <w:tc>
          <w:tcPr>
            <w:tcW w:w="1150" w:type="dxa"/>
            <w:vAlign w:val="center"/>
          </w:tcPr>
          <w:p w14:paraId="438C576E">
            <w:pPr>
              <w:bidi w:val="0"/>
              <w:jc w:val="center"/>
              <w:rPr>
                <w:color w:val="auto"/>
              </w:rPr>
            </w:pPr>
          </w:p>
        </w:tc>
        <w:tc>
          <w:tcPr>
            <w:tcW w:w="1150" w:type="dxa"/>
            <w:vAlign w:val="center"/>
          </w:tcPr>
          <w:p w14:paraId="61BE2F07">
            <w:pPr>
              <w:bidi w:val="0"/>
              <w:jc w:val="center"/>
              <w:rPr>
                <w:color w:val="auto"/>
              </w:rPr>
            </w:pPr>
            <w:r>
              <w:rPr>
                <w:color w:val="auto"/>
              </w:rPr>
              <w:t>技术职称</w:t>
            </w:r>
          </w:p>
        </w:tc>
        <w:tc>
          <w:tcPr>
            <w:tcW w:w="1150" w:type="dxa"/>
            <w:vAlign w:val="center"/>
          </w:tcPr>
          <w:p w14:paraId="5F84870B">
            <w:pPr>
              <w:bidi w:val="0"/>
              <w:jc w:val="center"/>
              <w:rPr>
                <w:color w:val="auto"/>
              </w:rPr>
            </w:pPr>
          </w:p>
        </w:tc>
        <w:tc>
          <w:tcPr>
            <w:tcW w:w="1150" w:type="dxa"/>
            <w:gridSpan w:val="2"/>
            <w:vAlign w:val="center"/>
          </w:tcPr>
          <w:p w14:paraId="4E55D137">
            <w:pPr>
              <w:bidi w:val="0"/>
              <w:jc w:val="center"/>
              <w:rPr>
                <w:color w:val="auto"/>
              </w:rPr>
            </w:pPr>
            <w:r>
              <w:rPr>
                <w:color w:val="auto"/>
              </w:rPr>
              <w:t>电话</w:t>
            </w:r>
          </w:p>
        </w:tc>
        <w:tc>
          <w:tcPr>
            <w:tcW w:w="1155" w:type="dxa"/>
            <w:vAlign w:val="center"/>
          </w:tcPr>
          <w:p w14:paraId="24736FBD">
            <w:pPr>
              <w:bidi w:val="0"/>
              <w:jc w:val="center"/>
              <w:rPr>
                <w:color w:val="auto"/>
              </w:rPr>
            </w:pPr>
          </w:p>
        </w:tc>
      </w:tr>
      <w:tr w14:paraId="6E202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3D63602A">
            <w:pPr>
              <w:bidi w:val="0"/>
              <w:jc w:val="center"/>
              <w:rPr>
                <w:color w:val="auto"/>
              </w:rPr>
            </w:pPr>
            <w:r>
              <w:rPr>
                <w:color w:val="auto"/>
              </w:rPr>
              <w:t>技术负责人</w:t>
            </w:r>
          </w:p>
        </w:tc>
        <w:tc>
          <w:tcPr>
            <w:tcW w:w="1150" w:type="dxa"/>
            <w:vAlign w:val="center"/>
          </w:tcPr>
          <w:p w14:paraId="22BAB831">
            <w:pPr>
              <w:bidi w:val="0"/>
              <w:jc w:val="center"/>
              <w:rPr>
                <w:color w:val="auto"/>
              </w:rPr>
            </w:pPr>
            <w:r>
              <w:rPr>
                <w:color w:val="auto"/>
              </w:rPr>
              <w:t>姓名</w:t>
            </w:r>
          </w:p>
        </w:tc>
        <w:tc>
          <w:tcPr>
            <w:tcW w:w="1150" w:type="dxa"/>
            <w:vAlign w:val="center"/>
          </w:tcPr>
          <w:p w14:paraId="04A9B0BA">
            <w:pPr>
              <w:bidi w:val="0"/>
              <w:jc w:val="center"/>
              <w:rPr>
                <w:color w:val="auto"/>
              </w:rPr>
            </w:pPr>
          </w:p>
        </w:tc>
        <w:tc>
          <w:tcPr>
            <w:tcW w:w="1150" w:type="dxa"/>
            <w:vAlign w:val="center"/>
          </w:tcPr>
          <w:p w14:paraId="36AFF999">
            <w:pPr>
              <w:bidi w:val="0"/>
              <w:jc w:val="center"/>
              <w:rPr>
                <w:color w:val="auto"/>
              </w:rPr>
            </w:pPr>
            <w:r>
              <w:rPr>
                <w:color w:val="auto"/>
              </w:rPr>
              <w:t>技术职称</w:t>
            </w:r>
          </w:p>
        </w:tc>
        <w:tc>
          <w:tcPr>
            <w:tcW w:w="1150" w:type="dxa"/>
            <w:vAlign w:val="center"/>
          </w:tcPr>
          <w:p w14:paraId="04456CB2">
            <w:pPr>
              <w:bidi w:val="0"/>
              <w:jc w:val="center"/>
              <w:rPr>
                <w:color w:val="auto"/>
              </w:rPr>
            </w:pPr>
          </w:p>
        </w:tc>
        <w:tc>
          <w:tcPr>
            <w:tcW w:w="1150" w:type="dxa"/>
            <w:gridSpan w:val="2"/>
            <w:vAlign w:val="center"/>
          </w:tcPr>
          <w:p w14:paraId="19EE936A">
            <w:pPr>
              <w:bidi w:val="0"/>
              <w:jc w:val="center"/>
              <w:rPr>
                <w:color w:val="auto"/>
              </w:rPr>
            </w:pPr>
            <w:r>
              <w:rPr>
                <w:color w:val="auto"/>
              </w:rPr>
              <w:t>电话</w:t>
            </w:r>
          </w:p>
        </w:tc>
        <w:tc>
          <w:tcPr>
            <w:tcW w:w="1155" w:type="dxa"/>
            <w:vAlign w:val="center"/>
          </w:tcPr>
          <w:p w14:paraId="27CA9575">
            <w:pPr>
              <w:bidi w:val="0"/>
              <w:jc w:val="center"/>
              <w:rPr>
                <w:color w:val="auto"/>
              </w:rPr>
            </w:pPr>
          </w:p>
        </w:tc>
      </w:tr>
      <w:tr w14:paraId="3A6DF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301279F6">
            <w:pPr>
              <w:bidi w:val="0"/>
              <w:jc w:val="center"/>
              <w:rPr>
                <w:color w:val="auto"/>
              </w:rPr>
            </w:pPr>
            <w:r>
              <w:rPr>
                <w:color w:val="auto"/>
              </w:rPr>
              <w:t>成立时间</w:t>
            </w:r>
          </w:p>
        </w:tc>
        <w:tc>
          <w:tcPr>
            <w:tcW w:w="2300" w:type="dxa"/>
            <w:gridSpan w:val="2"/>
            <w:vAlign w:val="center"/>
          </w:tcPr>
          <w:p w14:paraId="2C12DC85">
            <w:pPr>
              <w:bidi w:val="0"/>
              <w:jc w:val="center"/>
              <w:rPr>
                <w:color w:val="auto"/>
              </w:rPr>
            </w:pPr>
          </w:p>
        </w:tc>
        <w:tc>
          <w:tcPr>
            <w:tcW w:w="4605" w:type="dxa"/>
            <w:gridSpan w:val="5"/>
            <w:vAlign w:val="center"/>
          </w:tcPr>
          <w:p w14:paraId="260B06A7">
            <w:pPr>
              <w:bidi w:val="0"/>
              <w:ind w:firstLine="210" w:firstLineChars="100"/>
              <w:jc w:val="both"/>
              <w:rPr>
                <w:color w:val="auto"/>
              </w:rPr>
            </w:pPr>
            <w:r>
              <w:rPr>
                <w:color w:val="auto"/>
              </w:rPr>
              <w:t>员工总人数：</w:t>
            </w:r>
          </w:p>
        </w:tc>
      </w:tr>
      <w:tr w14:paraId="5B6B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16C09CA3">
            <w:pPr>
              <w:bidi w:val="0"/>
              <w:jc w:val="center"/>
              <w:rPr>
                <w:color w:val="auto"/>
              </w:rPr>
            </w:pPr>
            <w:r>
              <w:rPr>
                <w:color w:val="auto"/>
              </w:rPr>
              <w:t>企业资质等级</w:t>
            </w:r>
          </w:p>
        </w:tc>
        <w:tc>
          <w:tcPr>
            <w:tcW w:w="2300" w:type="dxa"/>
            <w:gridSpan w:val="2"/>
            <w:vAlign w:val="center"/>
          </w:tcPr>
          <w:p w14:paraId="4FF22BD4">
            <w:pPr>
              <w:bidi w:val="0"/>
              <w:jc w:val="center"/>
              <w:rPr>
                <w:color w:val="auto"/>
              </w:rPr>
            </w:pPr>
          </w:p>
        </w:tc>
        <w:tc>
          <w:tcPr>
            <w:tcW w:w="1150" w:type="dxa"/>
            <w:vMerge w:val="restart"/>
            <w:vAlign w:val="center"/>
          </w:tcPr>
          <w:p w14:paraId="3F31D415">
            <w:pPr>
              <w:bidi w:val="0"/>
              <w:jc w:val="center"/>
              <w:rPr>
                <w:color w:val="auto"/>
              </w:rPr>
            </w:pPr>
            <w:r>
              <w:rPr>
                <w:color w:val="auto"/>
              </w:rPr>
              <w:t>其中</w:t>
            </w:r>
          </w:p>
        </w:tc>
        <w:tc>
          <w:tcPr>
            <w:tcW w:w="1754" w:type="dxa"/>
            <w:gridSpan w:val="2"/>
            <w:vAlign w:val="center"/>
          </w:tcPr>
          <w:p w14:paraId="4A1254A1">
            <w:pPr>
              <w:bidi w:val="0"/>
              <w:jc w:val="center"/>
              <w:rPr>
                <w:color w:val="auto"/>
              </w:rPr>
            </w:pPr>
            <w:r>
              <w:rPr>
                <w:color w:val="auto"/>
              </w:rPr>
              <w:t>项目总监</w:t>
            </w:r>
          </w:p>
        </w:tc>
        <w:tc>
          <w:tcPr>
            <w:tcW w:w="1701" w:type="dxa"/>
            <w:gridSpan w:val="2"/>
            <w:vAlign w:val="center"/>
          </w:tcPr>
          <w:p w14:paraId="2C97471B">
            <w:pPr>
              <w:bidi w:val="0"/>
              <w:jc w:val="center"/>
              <w:rPr>
                <w:color w:val="auto"/>
              </w:rPr>
            </w:pPr>
          </w:p>
        </w:tc>
      </w:tr>
      <w:tr w14:paraId="588F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49DD8BBE">
            <w:pPr>
              <w:bidi w:val="0"/>
              <w:jc w:val="center"/>
              <w:rPr>
                <w:color w:val="auto"/>
              </w:rPr>
            </w:pPr>
            <w:r>
              <w:rPr>
                <w:color w:val="auto"/>
              </w:rPr>
              <w:t>营业执照号</w:t>
            </w:r>
          </w:p>
        </w:tc>
        <w:tc>
          <w:tcPr>
            <w:tcW w:w="2300" w:type="dxa"/>
            <w:gridSpan w:val="2"/>
            <w:vAlign w:val="center"/>
          </w:tcPr>
          <w:p w14:paraId="5561DB74">
            <w:pPr>
              <w:bidi w:val="0"/>
              <w:jc w:val="center"/>
              <w:rPr>
                <w:color w:val="auto"/>
              </w:rPr>
            </w:pPr>
          </w:p>
        </w:tc>
        <w:tc>
          <w:tcPr>
            <w:tcW w:w="1150" w:type="dxa"/>
            <w:vMerge w:val="continue"/>
            <w:tcBorders>
              <w:top w:val="nil"/>
            </w:tcBorders>
            <w:vAlign w:val="center"/>
          </w:tcPr>
          <w:p w14:paraId="7F4265BA">
            <w:pPr>
              <w:bidi w:val="0"/>
              <w:jc w:val="center"/>
              <w:rPr>
                <w:color w:val="auto"/>
              </w:rPr>
            </w:pPr>
          </w:p>
        </w:tc>
        <w:tc>
          <w:tcPr>
            <w:tcW w:w="1754" w:type="dxa"/>
            <w:gridSpan w:val="2"/>
            <w:vAlign w:val="center"/>
          </w:tcPr>
          <w:p w14:paraId="2942A14B">
            <w:pPr>
              <w:bidi w:val="0"/>
              <w:jc w:val="center"/>
              <w:rPr>
                <w:color w:val="auto"/>
              </w:rPr>
            </w:pPr>
            <w:r>
              <w:rPr>
                <w:color w:val="auto"/>
              </w:rPr>
              <w:t>高级职称人员</w:t>
            </w:r>
          </w:p>
        </w:tc>
        <w:tc>
          <w:tcPr>
            <w:tcW w:w="1701" w:type="dxa"/>
            <w:gridSpan w:val="2"/>
            <w:vAlign w:val="center"/>
          </w:tcPr>
          <w:p w14:paraId="1C67CF27">
            <w:pPr>
              <w:bidi w:val="0"/>
              <w:jc w:val="center"/>
              <w:rPr>
                <w:color w:val="auto"/>
              </w:rPr>
            </w:pPr>
          </w:p>
        </w:tc>
      </w:tr>
      <w:tr w14:paraId="08CC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0895C4CA">
            <w:pPr>
              <w:bidi w:val="0"/>
              <w:jc w:val="center"/>
              <w:rPr>
                <w:color w:val="auto"/>
              </w:rPr>
            </w:pPr>
            <w:r>
              <w:rPr>
                <w:color w:val="auto"/>
              </w:rPr>
              <w:t>注册资金</w:t>
            </w:r>
          </w:p>
        </w:tc>
        <w:tc>
          <w:tcPr>
            <w:tcW w:w="2300" w:type="dxa"/>
            <w:gridSpan w:val="2"/>
            <w:vAlign w:val="center"/>
          </w:tcPr>
          <w:p w14:paraId="43355569">
            <w:pPr>
              <w:bidi w:val="0"/>
              <w:jc w:val="center"/>
              <w:rPr>
                <w:color w:val="auto"/>
              </w:rPr>
            </w:pPr>
          </w:p>
        </w:tc>
        <w:tc>
          <w:tcPr>
            <w:tcW w:w="1150" w:type="dxa"/>
            <w:vMerge w:val="continue"/>
            <w:tcBorders>
              <w:top w:val="nil"/>
            </w:tcBorders>
            <w:vAlign w:val="center"/>
          </w:tcPr>
          <w:p w14:paraId="514E3D3D">
            <w:pPr>
              <w:bidi w:val="0"/>
              <w:jc w:val="center"/>
              <w:rPr>
                <w:color w:val="auto"/>
              </w:rPr>
            </w:pPr>
          </w:p>
        </w:tc>
        <w:tc>
          <w:tcPr>
            <w:tcW w:w="1754" w:type="dxa"/>
            <w:gridSpan w:val="2"/>
            <w:vAlign w:val="center"/>
          </w:tcPr>
          <w:p w14:paraId="1110BB56">
            <w:pPr>
              <w:bidi w:val="0"/>
              <w:jc w:val="center"/>
              <w:rPr>
                <w:color w:val="auto"/>
              </w:rPr>
            </w:pPr>
            <w:r>
              <w:rPr>
                <w:color w:val="auto"/>
              </w:rPr>
              <w:t>中级职称人员</w:t>
            </w:r>
          </w:p>
        </w:tc>
        <w:tc>
          <w:tcPr>
            <w:tcW w:w="1701" w:type="dxa"/>
            <w:gridSpan w:val="2"/>
            <w:vAlign w:val="center"/>
          </w:tcPr>
          <w:p w14:paraId="40C2F052">
            <w:pPr>
              <w:bidi w:val="0"/>
              <w:jc w:val="center"/>
              <w:rPr>
                <w:color w:val="auto"/>
              </w:rPr>
            </w:pPr>
          </w:p>
        </w:tc>
      </w:tr>
      <w:tr w14:paraId="4A011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3B1A77B9">
            <w:pPr>
              <w:bidi w:val="0"/>
              <w:jc w:val="center"/>
              <w:rPr>
                <w:color w:val="auto"/>
              </w:rPr>
            </w:pPr>
            <w:r>
              <w:rPr>
                <w:color w:val="auto"/>
              </w:rPr>
              <w:t>开户银行</w:t>
            </w:r>
          </w:p>
        </w:tc>
        <w:tc>
          <w:tcPr>
            <w:tcW w:w="2300" w:type="dxa"/>
            <w:gridSpan w:val="2"/>
            <w:vAlign w:val="center"/>
          </w:tcPr>
          <w:p w14:paraId="481E2E78">
            <w:pPr>
              <w:bidi w:val="0"/>
              <w:jc w:val="center"/>
              <w:rPr>
                <w:color w:val="auto"/>
              </w:rPr>
            </w:pPr>
          </w:p>
        </w:tc>
        <w:tc>
          <w:tcPr>
            <w:tcW w:w="1150" w:type="dxa"/>
            <w:vMerge w:val="continue"/>
            <w:tcBorders>
              <w:top w:val="nil"/>
            </w:tcBorders>
            <w:vAlign w:val="center"/>
          </w:tcPr>
          <w:p w14:paraId="7343603D">
            <w:pPr>
              <w:bidi w:val="0"/>
              <w:jc w:val="center"/>
              <w:rPr>
                <w:color w:val="auto"/>
              </w:rPr>
            </w:pPr>
          </w:p>
        </w:tc>
        <w:tc>
          <w:tcPr>
            <w:tcW w:w="1754" w:type="dxa"/>
            <w:gridSpan w:val="2"/>
            <w:vAlign w:val="center"/>
          </w:tcPr>
          <w:p w14:paraId="78AE3DFA">
            <w:pPr>
              <w:bidi w:val="0"/>
              <w:jc w:val="center"/>
              <w:rPr>
                <w:color w:val="auto"/>
              </w:rPr>
            </w:pPr>
            <w:r>
              <w:rPr>
                <w:color w:val="auto"/>
              </w:rPr>
              <w:t>初级职称人员</w:t>
            </w:r>
          </w:p>
        </w:tc>
        <w:tc>
          <w:tcPr>
            <w:tcW w:w="1701" w:type="dxa"/>
            <w:gridSpan w:val="2"/>
            <w:vAlign w:val="center"/>
          </w:tcPr>
          <w:p w14:paraId="4DE69A73">
            <w:pPr>
              <w:bidi w:val="0"/>
              <w:jc w:val="center"/>
              <w:rPr>
                <w:color w:val="auto"/>
              </w:rPr>
            </w:pPr>
          </w:p>
        </w:tc>
      </w:tr>
      <w:tr w14:paraId="4746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63B57EE6">
            <w:pPr>
              <w:bidi w:val="0"/>
              <w:jc w:val="center"/>
              <w:rPr>
                <w:color w:val="auto"/>
              </w:rPr>
            </w:pPr>
            <w:r>
              <w:rPr>
                <w:color w:val="auto"/>
              </w:rPr>
              <w:t>账号</w:t>
            </w:r>
          </w:p>
        </w:tc>
        <w:tc>
          <w:tcPr>
            <w:tcW w:w="2300" w:type="dxa"/>
            <w:gridSpan w:val="2"/>
            <w:vAlign w:val="center"/>
          </w:tcPr>
          <w:p w14:paraId="5D33DDAE">
            <w:pPr>
              <w:bidi w:val="0"/>
              <w:jc w:val="center"/>
              <w:rPr>
                <w:color w:val="auto"/>
              </w:rPr>
            </w:pPr>
          </w:p>
        </w:tc>
        <w:tc>
          <w:tcPr>
            <w:tcW w:w="1150" w:type="dxa"/>
            <w:vMerge w:val="continue"/>
            <w:tcBorders>
              <w:top w:val="nil"/>
            </w:tcBorders>
            <w:vAlign w:val="center"/>
          </w:tcPr>
          <w:p w14:paraId="232F8367">
            <w:pPr>
              <w:bidi w:val="0"/>
              <w:jc w:val="center"/>
              <w:rPr>
                <w:color w:val="auto"/>
              </w:rPr>
            </w:pPr>
          </w:p>
        </w:tc>
        <w:tc>
          <w:tcPr>
            <w:tcW w:w="1754" w:type="dxa"/>
            <w:gridSpan w:val="2"/>
            <w:vAlign w:val="center"/>
          </w:tcPr>
          <w:p w14:paraId="66AD4FAA">
            <w:pPr>
              <w:bidi w:val="0"/>
              <w:jc w:val="center"/>
              <w:rPr>
                <w:color w:val="auto"/>
              </w:rPr>
            </w:pPr>
            <w:r>
              <w:rPr>
                <w:color w:val="auto"/>
              </w:rPr>
              <w:t>技 工</w:t>
            </w:r>
          </w:p>
        </w:tc>
        <w:tc>
          <w:tcPr>
            <w:tcW w:w="1701" w:type="dxa"/>
            <w:gridSpan w:val="2"/>
            <w:vAlign w:val="center"/>
          </w:tcPr>
          <w:p w14:paraId="023D3BAC">
            <w:pPr>
              <w:bidi w:val="0"/>
              <w:jc w:val="center"/>
              <w:rPr>
                <w:color w:val="auto"/>
              </w:rPr>
            </w:pPr>
          </w:p>
        </w:tc>
      </w:tr>
      <w:tr w14:paraId="1BC6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12129CBE">
            <w:pPr>
              <w:bidi w:val="0"/>
              <w:jc w:val="center"/>
              <w:rPr>
                <w:color w:val="auto"/>
              </w:rPr>
            </w:pPr>
            <w:r>
              <w:rPr>
                <w:color w:val="auto"/>
              </w:rPr>
              <w:t>经营范围</w:t>
            </w:r>
          </w:p>
        </w:tc>
        <w:tc>
          <w:tcPr>
            <w:tcW w:w="6905" w:type="dxa"/>
            <w:gridSpan w:val="7"/>
            <w:vAlign w:val="center"/>
          </w:tcPr>
          <w:p w14:paraId="0F7C5FE2">
            <w:pPr>
              <w:bidi w:val="0"/>
              <w:rPr>
                <w:color w:val="auto"/>
              </w:rPr>
            </w:pPr>
          </w:p>
          <w:p w14:paraId="371B1FEE">
            <w:pPr>
              <w:bidi w:val="0"/>
              <w:rPr>
                <w:color w:val="auto"/>
              </w:rPr>
            </w:pPr>
          </w:p>
          <w:p w14:paraId="1CCA2000">
            <w:pPr>
              <w:bidi w:val="0"/>
              <w:rPr>
                <w:color w:val="auto"/>
              </w:rPr>
            </w:pPr>
          </w:p>
          <w:p w14:paraId="0074A92B">
            <w:pPr>
              <w:bidi w:val="0"/>
              <w:rPr>
                <w:color w:val="auto"/>
              </w:rPr>
            </w:pPr>
          </w:p>
          <w:p w14:paraId="4F7B9E42">
            <w:pPr>
              <w:bidi w:val="0"/>
              <w:rPr>
                <w:color w:val="auto"/>
              </w:rPr>
            </w:pPr>
          </w:p>
          <w:p w14:paraId="6526145C">
            <w:pPr>
              <w:bidi w:val="0"/>
              <w:rPr>
                <w:color w:val="auto"/>
              </w:rPr>
            </w:pPr>
          </w:p>
        </w:tc>
      </w:tr>
      <w:tr w14:paraId="4492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599" w:type="dxa"/>
            <w:vAlign w:val="center"/>
          </w:tcPr>
          <w:p w14:paraId="217A2C40">
            <w:pPr>
              <w:bidi w:val="0"/>
              <w:jc w:val="center"/>
              <w:rPr>
                <w:color w:val="auto"/>
              </w:rPr>
            </w:pPr>
            <w:r>
              <w:rPr>
                <w:color w:val="auto"/>
              </w:rPr>
              <w:t>备注</w:t>
            </w:r>
          </w:p>
        </w:tc>
        <w:tc>
          <w:tcPr>
            <w:tcW w:w="6905" w:type="dxa"/>
            <w:gridSpan w:val="7"/>
            <w:vAlign w:val="center"/>
          </w:tcPr>
          <w:p w14:paraId="5F8BEECD">
            <w:pPr>
              <w:bidi w:val="0"/>
              <w:rPr>
                <w:color w:val="auto"/>
              </w:rPr>
            </w:pPr>
          </w:p>
        </w:tc>
      </w:tr>
    </w:tbl>
    <w:p w14:paraId="7446EAC6">
      <w:pPr>
        <w:bidi w:val="0"/>
        <w:rPr>
          <w:color w:val="auto"/>
        </w:rPr>
      </w:pPr>
      <w:r>
        <w:rPr>
          <w:color w:val="auto"/>
        </w:rPr>
        <w:t>备注：本表后应附企业法人营业执照、企业资质证书等材料的</w:t>
      </w:r>
      <w:r>
        <w:rPr>
          <w:rFonts w:hint="eastAsia"/>
          <w:color w:val="auto"/>
          <w:lang w:val="en-US" w:eastAsia="zh-CN"/>
        </w:rPr>
        <w:t>扫描件</w:t>
      </w:r>
      <w:r>
        <w:rPr>
          <w:color w:val="auto"/>
        </w:rPr>
        <w:t xml:space="preserve">。 </w:t>
      </w:r>
    </w:p>
    <w:p w14:paraId="62005D28">
      <w:pPr>
        <w:bidi w:val="0"/>
        <w:rPr>
          <w:color w:val="auto"/>
        </w:rPr>
      </w:pPr>
    </w:p>
    <w:p w14:paraId="48D30572">
      <w:pPr>
        <w:bidi w:val="0"/>
        <w:rPr>
          <w:color w:val="auto"/>
        </w:rPr>
      </w:pPr>
    </w:p>
    <w:p w14:paraId="7C8EA888">
      <w:pPr>
        <w:pStyle w:val="4"/>
        <w:bidi w:val="0"/>
        <w:rPr>
          <w:rFonts w:hint="eastAsia"/>
          <w:color w:val="auto"/>
        </w:rPr>
      </w:pPr>
      <w:bookmarkStart w:id="391" w:name="_Toc6235"/>
      <w:r>
        <w:rPr>
          <w:rFonts w:hint="eastAsia"/>
          <w:color w:val="auto"/>
        </w:rPr>
        <w:t>（</w:t>
      </w:r>
      <w:r>
        <w:rPr>
          <w:rFonts w:hint="eastAsia"/>
          <w:color w:val="auto"/>
          <w:lang w:val="en-US" w:eastAsia="zh-CN"/>
        </w:rPr>
        <w:t>二</w:t>
      </w:r>
      <w:r>
        <w:rPr>
          <w:rFonts w:hint="eastAsia"/>
          <w:color w:val="auto"/>
        </w:rPr>
        <w:t>）资格审查要求的其他材料</w:t>
      </w:r>
      <w:bookmarkEnd w:id="391"/>
    </w:p>
    <w:p w14:paraId="5AB348CC">
      <w:pPr>
        <w:bidi w:val="0"/>
        <w:rPr>
          <w:color w:val="auto"/>
        </w:rPr>
      </w:pPr>
    </w:p>
    <w:p w14:paraId="17237640">
      <w:pPr>
        <w:bidi w:val="0"/>
        <w:rPr>
          <w:color w:val="auto"/>
        </w:rPr>
      </w:pPr>
    </w:p>
    <w:p w14:paraId="66095546">
      <w:pPr>
        <w:bidi w:val="0"/>
        <w:rPr>
          <w:color w:val="auto"/>
        </w:rPr>
      </w:pPr>
    </w:p>
    <w:p w14:paraId="47A85311">
      <w:pPr>
        <w:bidi w:val="0"/>
        <w:rPr>
          <w:color w:val="auto"/>
        </w:rPr>
      </w:pPr>
    </w:p>
    <w:p w14:paraId="270EB61E">
      <w:pPr>
        <w:bidi w:val="0"/>
        <w:rPr>
          <w:color w:val="auto"/>
        </w:rPr>
      </w:pPr>
    </w:p>
    <w:p w14:paraId="2FC26A34">
      <w:pPr>
        <w:bidi w:val="0"/>
        <w:rPr>
          <w:color w:val="auto"/>
        </w:rPr>
      </w:pPr>
    </w:p>
    <w:p w14:paraId="6F9C6BF8">
      <w:pPr>
        <w:bidi w:val="0"/>
        <w:rPr>
          <w:color w:val="auto"/>
        </w:rPr>
      </w:pPr>
    </w:p>
    <w:p w14:paraId="0D53672E">
      <w:pPr>
        <w:bidi w:val="0"/>
        <w:rPr>
          <w:color w:val="auto"/>
        </w:rPr>
      </w:pPr>
    </w:p>
    <w:p w14:paraId="15BBA781">
      <w:pPr>
        <w:bidi w:val="0"/>
        <w:rPr>
          <w:color w:val="auto"/>
        </w:rPr>
      </w:pPr>
    </w:p>
    <w:p w14:paraId="0D472870">
      <w:pPr>
        <w:bidi w:val="0"/>
        <w:rPr>
          <w:color w:val="auto"/>
        </w:rPr>
      </w:pPr>
    </w:p>
    <w:p w14:paraId="1A433329">
      <w:pPr>
        <w:bidi w:val="0"/>
        <w:rPr>
          <w:color w:val="auto"/>
        </w:rPr>
      </w:pPr>
    </w:p>
    <w:p w14:paraId="5A8488B6">
      <w:pPr>
        <w:bidi w:val="0"/>
        <w:rPr>
          <w:color w:val="auto"/>
        </w:rPr>
      </w:pPr>
    </w:p>
    <w:p w14:paraId="4AB19E0C">
      <w:pPr>
        <w:bidi w:val="0"/>
        <w:rPr>
          <w:color w:val="auto"/>
        </w:rPr>
      </w:pPr>
    </w:p>
    <w:p w14:paraId="6E86DA0F">
      <w:pPr>
        <w:bidi w:val="0"/>
        <w:rPr>
          <w:color w:val="auto"/>
        </w:rPr>
      </w:pPr>
    </w:p>
    <w:p w14:paraId="074B2123">
      <w:pPr>
        <w:bidi w:val="0"/>
        <w:rPr>
          <w:color w:val="auto"/>
        </w:rPr>
      </w:pPr>
    </w:p>
    <w:p w14:paraId="160C0207">
      <w:pPr>
        <w:bidi w:val="0"/>
        <w:rPr>
          <w:color w:val="auto"/>
        </w:rPr>
      </w:pPr>
    </w:p>
    <w:p w14:paraId="03097743">
      <w:pPr>
        <w:bidi w:val="0"/>
        <w:rPr>
          <w:color w:val="auto"/>
        </w:rPr>
      </w:pPr>
    </w:p>
    <w:p w14:paraId="2782B62B">
      <w:pPr>
        <w:bidi w:val="0"/>
        <w:rPr>
          <w:color w:val="auto"/>
        </w:rPr>
      </w:pPr>
    </w:p>
    <w:p w14:paraId="087C720F">
      <w:pPr>
        <w:bidi w:val="0"/>
        <w:rPr>
          <w:color w:val="auto"/>
        </w:rPr>
      </w:pPr>
    </w:p>
    <w:p w14:paraId="0A2B18EE">
      <w:pPr>
        <w:bidi w:val="0"/>
        <w:rPr>
          <w:color w:val="auto"/>
        </w:rPr>
      </w:pPr>
    </w:p>
    <w:p w14:paraId="686C0C19">
      <w:pPr>
        <w:bidi w:val="0"/>
        <w:rPr>
          <w:color w:val="auto"/>
        </w:rPr>
      </w:pPr>
    </w:p>
    <w:p w14:paraId="767E6B9D">
      <w:pPr>
        <w:bidi w:val="0"/>
        <w:rPr>
          <w:color w:val="auto"/>
        </w:rPr>
      </w:pPr>
    </w:p>
    <w:p w14:paraId="3C4E8D95">
      <w:pPr>
        <w:bidi w:val="0"/>
        <w:rPr>
          <w:color w:val="auto"/>
        </w:rPr>
      </w:pPr>
    </w:p>
    <w:p w14:paraId="1D6C2564">
      <w:pPr>
        <w:bidi w:val="0"/>
        <w:rPr>
          <w:color w:val="auto"/>
        </w:rPr>
      </w:pPr>
    </w:p>
    <w:p w14:paraId="6CD78571">
      <w:pPr>
        <w:bidi w:val="0"/>
        <w:rPr>
          <w:color w:val="auto"/>
        </w:rPr>
      </w:pPr>
    </w:p>
    <w:p w14:paraId="744F560C">
      <w:pPr>
        <w:bidi w:val="0"/>
        <w:rPr>
          <w:color w:val="auto"/>
        </w:rPr>
      </w:pPr>
    </w:p>
    <w:p w14:paraId="75F189B2">
      <w:pPr>
        <w:bidi w:val="0"/>
        <w:rPr>
          <w:color w:val="auto"/>
        </w:rPr>
      </w:pPr>
    </w:p>
    <w:p w14:paraId="39F37953">
      <w:pPr>
        <w:bidi w:val="0"/>
        <w:rPr>
          <w:color w:val="auto"/>
        </w:rPr>
      </w:pPr>
    </w:p>
    <w:p w14:paraId="4C14B406">
      <w:pPr>
        <w:bidi w:val="0"/>
        <w:rPr>
          <w:color w:val="auto"/>
        </w:rPr>
      </w:pPr>
    </w:p>
    <w:p w14:paraId="537B31B9">
      <w:pPr>
        <w:bidi w:val="0"/>
        <w:rPr>
          <w:color w:val="auto"/>
        </w:rPr>
      </w:pPr>
    </w:p>
    <w:p w14:paraId="1F7D693B">
      <w:pPr>
        <w:bidi w:val="0"/>
        <w:rPr>
          <w:color w:val="auto"/>
        </w:rPr>
      </w:pPr>
    </w:p>
    <w:p w14:paraId="10C82172">
      <w:pPr>
        <w:pStyle w:val="4"/>
        <w:bidi w:val="0"/>
        <w:rPr>
          <w:color w:val="auto"/>
        </w:rPr>
      </w:pPr>
      <w:bookmarkStart w:id="392" w:name="_Toc24088"/>
      <w:bookmarkStart w:id="393" w:name="_Toc25441"/>
      <w:bookmarkStart w:id="394" w:name="_Toc7667"/>
      <w:bookmarkStart w:id="395" w:name="_Toc28344"/>
      <w:r>
        <w:rPr>
          <w:rFonts w:hint="eastAsia"/>
          <w:color w:val="auto"/>
        </w:rPr>
        <w:t>（</w:t>
      </w:r>
      <w:r>
        <w:rPr>
          <w:rFonts w:hint="eastAsia"/>
          <w:color w:val="auto"/>
          <w:lang w:val="en-US" w:eastAsia="zh-CN"/>
        </w:rPr>
        <w:t>三</w:t>
      </w:r>
      <w:r>
        <w:rPr>
          <w:rFonts w:hint="eastAsia"/>
          <w:color w:val="auto"/>
        </w:rPr>
        <w:t>）近年财务状况</w:t>
      </w:r>
      <w:bookmarkEnd w:id="392"/>
      <w:bookmarkEnd w:id="393"/>
      <w:bookmarkEnd w:id="394"/>
      <w:bookmarkEnd w:id="395"/>
    </w:p>
    <w:p w14:paraId="0974D824">
      <w:pPr>
        <w:bidi w:val="0"/>
        <w:rPr>
          <w:color w:val="auto"/>
        </w:rPr>
      </w:pPr>
    </w:p>
    <w:p w14:paraId="0F122622">
      <w:pPr>
        <w:bidi w:val="0"/>
        <w:rPr>
          <w:rFonts w:hint="eastAsia" w:eastAsia="宋体"/>
          <w:color w:val="auto"/>
          <w:lang w:eastAsia="zh-CN"/>
        </w:rPr>
      </w:pPr>
      <w:r>
        <w:rPr>
          <w:rFonts w:hint="eastAsia"/>
          <w:color w:val="auto"/>
        </w:rPr>
        <w:t>注：提供202</w:t>
      </w:r>
      <w:r>
        <w:rPr>
          <w:rFonts w:hint="eastAsia"/>
          <w:color w:val="auto"/>
          <w:lang w:val="en-US" w:eastAsia="zh-CN"/>
        </w:rPr>
        <w:t>3</w:t>
      </w:r>
      <w:r>
        <w:rPr>
          <w:rFonts w:hint="eastAsia"/>
          <w:color w:val="auto"/>
        </w:rPr>
        <w:t>年度</w:t>
      </w:r>
      <w:r>
        <w:rPr>
          <w:rFonts w:hint="eastAsia"/>
          <w:color w:val="auto"/>
          <w:lang w:val="en-US" w:eastAsia="zh-CN"/>
        </w:rPr>
        <w:t>或2</w:t>
      </w:r>
      <w:r>
        <w:rPr>
          <w:rFonts w:hint="eastAsia"/>
          <w:color w:val="auto"/>
        </w:rPr>
        <w:t>02</w:t>
      </w:r>
      <w:r>
        <w:rPr>
          <w:rFonts w:hint="eastAsia"/>
          <w:color w:val="auto"/>
          <w:lang w:val="en-US" w:eastAsia="zh-CN"/>
        </w:rPr>
        <w:t>4</w:t>
      </w:r>
      <w:r>
        <w:rPr>
          <w:rFonts w:hint="eastAsia"/>
          <w:color w:val="auto"/>
        </w:rPr>
        <w:t>年度经会计事务所或第三方审计机构审计的财务审计报告</w:t>
      </w:r>
      <w:r>
        <w:rPr>
          <w:rFonts w:hint="eastAsia"/>
          <w:color w:val="auto"/>
          <w:lang w:eastAsia="zh-CN"/>
        </w:rPr>
        <w:t>；</w:t>
      </w:r>
    </w:p>
    <w:p w14:paraId="11F6DBC6">
      <w:pPr>
        <w:bidi w:val="0"/>
        <w:rPr>
          <w:color w:val="auto"/>
        </w:rPr>
      </w:pPr>
    </w:p>
    <w:p w14:paraId="121D2174">
      <w:pPr>
        <w:bidi w:val="0"/>
        <w:rPr>
          <w:color w:val="auto"/>
        </w:rPr>
      </w:pPr>
    </w:p>
    <w:p w14:paraId="15D75A91">
      <w:pPr>
        <w:bidi w:val="0"/>
        <w:rPr>
          <w:color w:val="auto"/>
        </w:rPr>
      </w:pPr>
    </w:p>
    <w:p w14:paraId="7D05B2B1">
      <w:pPr>
        <w:bidi w:val="0"/>
        <w:rPr>
          <w:color w:val="auto"/>
        </w:rPr>
      </w:pPr>
    </w:p>
    <w:p w14:paraId="05BA6B5C">
      <w:pPr>
        <w:bidi w:val="0"/>
        <w:rPr>
          <w:color w:val="auto"/>
        </w:rPr>
      </w:pPr>
    </w:p>
    <w:p w14:paraId="3DE164CD">
      <w:pPr>
        <w:bidi w:val="0"/>
        <w:rPr>
          <w:color w:val="auto"/>
        </w:rPr>
      </w:pPr>
    </w:p>
    <w:p w14:paraId="3E79B04D">
      <w:pPr>
        <w:bidi w:val="0"/>
        <w:rPr>
          <w:color w:val="auto"/>
        </w:rPr>
      </w:pPr>
    </w:p>
    <w:p w14:paraId="411D4172">
      <w:pPr>
        <w:bidi w:val="0"/>
        <w:rPr>
          <w:color w:val="auto"/>
        </w:rPr>
      </w:pPr>
    </w:p>
    <w:p w14:paraId="67CDC62C">
      <w:pPr>
        <w:bidi w:val="0"/>
        <w:rPr>
          <w:color w:val="auto"/>
        </w:rPr>
      </w:pPr>
    </w:p>
    <w:p w14:paraId="0C2B00C5">
      <w:pPr>
        <w:bidi w:val="0"/>
        <w:rPr>
          <w:color w:val="auto"/>
        </w:rPr>
      </w:pPr>
    </w:p>
    <w:p w14:paraId="0454C7DB">
      <w:pPr>
        <w:bidi w:val="0"/>
        <w:rPr>
          <w:color w:val="auto"/>
        </w:rPr>
      </w:pPr>
    </w:p>
    <w:p w14:paraId="1595CCBC">
      <w:pPr>
        <w:bidi w:val="0"/>
        <w:rPr>
          <w:color w:val="auto"/>
        </w:rPr>
      </w:pPr>
    </w:p>
    <w:p w14:paraId="03BE2964">
      <w:pPr>
        <w:bidi w:val="0"/>
        <w:rPr>
          <w:color w:val="auto"/>
        </w:rPr>
      </w:pPr>
    </w:p>
    <w:p w14:paraId="01869EC3">
      <w:pPr>
        <w:bidi w:val="0"/>
        <w:rPr>
          <w:color w:val="auto"/>
        </w:rPr>
      </w:pPr>
    </w:p>
    <w:p w14:paraId="3BA5CD8F">
      <w:pPr>
        <w:bidi w:val="0"/>
        <w:rPr>
          <w:color w:val="auto"/>
        </w:rPr>
      </w:pPr>
    </w:p>
    <w:p w14:paraId="355DCE6B">
      <w:pPr>
        <w:pStyle w:val="44"/>
        <w:rPr>
          <w:color w:val="auto"/>
        </w:rPr>
      </w:pPr>
    </w:p>
    <w:p w14:paraId="148B7F01">
      <w:pPr>
        <w:bidi w:val="0"/>
        <w:rPr>
          <w:color w:val="auto"/>
        </w:rPr>
      </w:pPr>
    </w:p>
    <w:p w14:paraId="15E089CB">
      <w:pPr>
        <w:bidi w:val="0"/>
        <w:rPr>
          <w:color w:val="auto"/>
        </w:rPr>
      </w:pPr>
    </w:p>
    <w:p w14:paraId="693D8491">
      <w:pPr>
        <w:bidi w:val="0"/>
        <w:rPr>
          <w:color w:val="auto"/>
        </w:rPr>
      </w:pPr>
    </w:p>
    <w:p w14:paraId="42BC79D6">
      <w:pPr>
        <w:bidi w:val="0"/>
        <w:rPr>
          <w:color w:val="auto"/>
        </w:rPr>
      </w:pPr>
    </w:p>
    <w:p w14:paraId="3A361CA4">
      <w:pPr>
        <w:bidi w:val="0"/>
        <w:rPr>
          <w:color w:val="auto"/>
        </w:rPr>
      </w:pPr>
    </w:p>
    <w:p w14:paraId="052B6393">
      <w:pPr>
        <w:bidi w:val="0"/>
        <w:rPr>
          <w:color w:val="auto"/>
        </w:rPr>
      </w:pPr>
    </w:p>
    <w:p w14:paraId="6DAD149A">
      <w:pPr>
        <w:bidi w:val="0"/>
        <w:rPr>
          <w:color w:val="auto"/>
        </w:rPr>
      </w:pPr>
    </w:p>
    <w:p w14:paraId="431AD2ED">
      <w:pPr>
        <w:bidi w:val="0"/>
        <w:rPr>
          <w:color w:val="auto"/>
        </w:rPr>
      </w:pPr>
    </w:p>
    <w:p w14:paraId="69975137">
      <w:pPr>
        <w:bidi w:val="0"/>
        <w:rPr>
          <w:color w:val="auto"/>
        </w:rPr>
      </w:pPr>
    </w:p>
    <w:p w14:paraId="5DB7A8C9">
      <w:pPr>
        <w:bidi w:val="0"/>
        <w:rPr>
          <w:color w:val="auto"/>
        </w:rPr>
      </w:pPr>
    </w:p>
    <w:p w14:paraId="5B75F3B5">
      <w:pPr>
        <w:bidi w:val="0"/>
        <w:rPr>
          <w:color w:val="auto"/>
        </w:rPr>
      </w:pPr>
    </w:p>
    <w:p w14:paraId="3332EF37">
      <w:pPr>
        <w:bidi w:val="0"/>
        <w:rPr>
          <w:color w:val="auto"/>
        </w:rPr>
      </w:pPr>
    </w:p>
    <w:p w14:paraId="443B6EC0">
      <w:pPr>
        <w:bidi w:val="0"/>
        <w:rPr>
          <w:color w:val="auto"/>
        </w:rPr>
      </w:pPr>
    </w:p>
    <w:p w14:paraId="4BEADED6">
      <w:pPr>
        <w:pStyle w:val="3"/>
        <w:bidi w:val="0"/>
        <w:rPr>
          <w:color w:val="auto"/>
        </w:rPr>
      </w:pPr>
      <w:bookmarkStart w:id="396" w:name="_Toc20059"/>
      <w:bookmarkStart w:id="397" w:name="_Toc8025"/>
      <w:r>
        <w:rPr>
          <w:rFonts w:hint="eastAsia"/>
          <w:color w:val="auto"/>
          <w:lang w:val="en-US" w:eastAsia="zh-CN"/>
        </w:rPr>
        <w:t>六</w:t>
      </w:r>
      <w:r>
        <w:rPr>
          <w:color w:val="auto"/>
        </w:rPr>
        <w:t>、</w:t>
      </w:r>
      <w:bookmarkEnd w:id="396"/>
      <w:bookmarkEnd w:id="397"/>
      <w:bookmarkStart w:id="398" w:name="_Toc22900"/>
      <w:bookmarkStart w:id="399" w:name="_Toc13393"/>
      <w:r>
        <w:rPr>
          <w:color w:val="auto"/>
        </w:rPr>
        <w:t>其他材料</w:t>
      </w:r>
      <w:bookmarkEnd w:id="398"/>
      <w:bookmarkEnd w:id="399"/>
      <w:r>
        <w:rPr>
          <w:color w:val="auto"/>
        </w:rPr>
        <w:t xml:space="preserve"> </w:t>
      </w:r>
    </w:p>
    <w:p w14:paraId="3EFE9C1A">
      <w:pPr>
        <w:bidi w:val="0"/>
        <w:rPr>
          <w:color w:val="auto"/>
        </w:rPr>
      </w:pPr>
    </w:p>
    <w:p w14:paraId="06648BE8">
      <w:pPr>
        <w:bidi w:val="0"/>
        <w:rPr>
          <w:color w:val="auto"/>
        </w:rPr>
      </w:pPr>
    </w:p>
    <w:p w14:paraId="7BC7785E">
      <w:pPr>
        <w:bidi w:val="0"/>
        <w:rPr>
          <w:color w:val="auto"/>
        </w:rPr>
      </w:pPr>
    </w:p>
    <w:p w14:paraId="1F7F13D0">
      <w:pPr>
        <w:bidi w:val="0"/>
        <w:rPr>
          <w:color w:val="auto"/>
        </w:rPr>
      </w:pPr>
    </w:p>
    <w:p w14:paraId="0D79E183">
      <w:pPr>
        <w:bidi w:val="0"/>
        <w:rPr>
          <w:color w:val="auto"/>
        </w:rPr>
      </w:pPr>
    </w:p>
    <w:p w14:paraId="0607F4B8">
      <w:pPr>
        <w:bidi w:val="0"/>
        <w:rPr>
          <w:color w:val="auto"/>
        </w:rPr>
      </w:pPr>
    </w:p>
    <w:p w14:paraId="374183DD">
      <w:pPr>
        <w:bidi w:val="0"/>
        <w:rPr>
          <w:color w:val="auto"/>
        </w:rPr>
      </w:pPr>
    </w:p>
    <w:p w14:paraId="7D182365">
      <w:pPr>
        <w:bidi w:val="0"/>
        <w:rPr>
          <w:color w:val="auto"/>
        </w:rPr>
      </w:pPr>
    </w:p>
    <w:p w14:paraId="551529C6">
      <w:pPr>
        <w:bidi w:val="0"/>
        <w:rPr>
          <w:color w:val="auto"/>
        </w:rPr>
      </w:pPr>
    </w:p>
    <w:p w14:paraId="005D533E">
      <w:pPr>
        <w:bidi w:val="0"/>
        <w:rPr>
          <w:color w:val="auto"/>
        </w:rPr>
      </w:pPr>
    </w:p>
    <w:p w14:paraId="4569CA17">
      <w:pPr>
        <w:bidi w:val="0"/>
        <w:rPr>
          <w:color w:val="auto"/>
        </w:rPr>
      </w:pPr>
    </w:p>
    <w:p w14:paraId="312C389F">
      <w:pPr>
        <w:bidi w:val="0"/>
        <w:rPr>
          <w:color w:val="auto"/>
        </w:rPr>
      </w:pPr>
    </w:p>
    <w:p w14:paraId="1C196FF0">
      <w:pPr>
        <w:bidi w:val="0"/>
        <w:rPr>
          <w:color w:val="auto"/>
        </w:rPr>
      </w:pPr>
    </w:p>
    <w:p w14:paraId="27DF5729">
      <w:pPr>
        <w:bidi w:val="0"/>
        <w:rPr>
          <w:color w:val="auto"/>
        </w:rPr>
      </w:pPr>
    </w:p>
    <w:p w14:paraId="36F60679">
      <w:pPr>
        <w:bidi w:val="0"/>
        <w:rPr>
          <w:color w:val="auto"/>
        </w:rPr>
      </w:pPr>
    </w:p>
    <w:p w14:paraId="1E2E1EDA">
      <w:pPr>
        <w:bidi w:val="0"/>
        <w:rPr>
          <w:color w:val="auto"/>
        </w:rPr>
      </w:pPr>
    </w:p>
    <w:p w14:paraId="14384B05">
      <w:pPr>
        <w:bidi w:val="0"/>
        <w:rPr>
          <w:color w:val="auto"/>
        </w:rPr>
      </w:pPr>
    </w:p>
    <w:p w14:paraId="0B86C615">
      <w:pPr>
        <w:bidi w:val="0"/>
        <w:rPr>
          <w:color w:val="auto"/>
        </w:rPr>
      </w:pPr>
    </w:p>
    <w:p w14:paraId="3CB609A7">
      <w:pPr>
        <w:bidi w:val="0"/>
        <w:rPr>
          <w:color w:val="auto"/>
        </w:rPr>
      </w:pPr>
    </w:p>
    <w:p w14:paraId="14D1B0CF">
      <w:pPr>
        <w:bidi w:val="0"/>
        <w:rPr>
          <w:color w:val="auto"/>
        </w:rPr>
      </w:pPr>
    </w:p>
    <w:p w14:paraId="4F9B6F96">
      <w:pPr>
        <w:bidi w:val="0"/>
        <w:rPr>
          <w:color w:val="auto"/>
        </w:rPr>
      </w:pPr>
    </w:p>
    <w:p w14:paraId="3BD0CAEE">
      <w:pPr>
        <w:bidi w:val="0"/>
        <w:rPr>
          <w:color w:val="auto"/>
        </w:rPr>
      </w:pPr>
    </w:p>
    <w:p w14:paraId="3A7C1DAF">
      <w:pPr>
        <w:bidi w:val="0"/>
        <w:rPr>
          <w:color w:val="auto"/>
        </w:rPr>
      </w:pPr>
    </w:p>
    <w:p w14:paraId="39E3DAA9">
      <w:pPr>
        <w:bidi w:val="0"/>
        <w:rPr>
          <w:color w:val="auto"/>
        </w:rPr>
      </w:pPr>
    </w:p>
    <w:p w14:paraId="27B24B73">
      <w:pPr>
        <w:bidi w:val="0"/>
        <w:rPr>
          <w:color w:val="auto"/>
        </w:rPr>
      </w:pPr>
    </w:p>
    <w:p w14:paraId="750E7898">
      <w:pPr>
        <w:bidi w:val="0"/>
        <w:rPr>
          <w:color w:val="auto"/>
        </w:rPr>
      </w:pPr>
    </w:p>
    <w:p w14:paraId="41561D02">
      <w:pPr>
        <w:bidi w:val="0"/>
        <w:rPr>
          <w:color w:val="auto"/>
        </w:rPr>
      </w:pPr>
    </w:p>
    <w:p w14:paraId="5C5A6C7A">
      <w:pPr>
        <w:bidi w:val="0"/>
        <w:rPr>
          <w:color w:val="auto"/>
        </w:rPr>
      </w:pPr>
    </w:p>
    <w:p w14:paraId="329A2F53">
      <w:pPr>
        <w:bidi w:val="0"/>
        <w:rPr>
          <w:color w:val="auto"/>
        </w:rPr>
      </w:pPr>
    </w:p>
    <w:p w14:paraId="59A025F3">
      <w:pPr>
        <w:bidi w:val="0"/>
        <w:rPr>
          <w:color w:val="auto"/>
        </w:rPr>
      </w:pPr>
    </w:p>
    <w:p w14:paraId="762DA480">
      <w:pPr>
        <w:bidi w:val="0"/>
        <w:rPr>
          <w:color w:val="auto"/>
        </w:rPr>
      </w:pPr>
    </w:p>
    <w:p w14:paraId="25A426EA">
      <w:pPr>
        <w:bidi w:val="0"/>
        <w:rPr>
          <w:color w:val="auto"/>
        </w:rPr>
      </w:pPr>
    </w:p>
    <w:p w14:paraId="52266C6D">
      <w:pPr>
        <w:bidi w:val="0"/>
        <w:rPr>
          <w:color w:val="auto"/>
        </w:rPr>
      </w:pPr>
    </w:p>
    <w:p w14:paraId="6EE87BD9">
      <w:pPr>
        <w:pStyle w:val="4"/>
        <w:bidi w:val="0"/>
        <w:spacing w:line="240" w:lineRule="auto"/>
        <w:ind w:left="0" w:leftChars="0" w:firstLine="0" w:firstLineChars="0"/>
        <w:jc w:val="center"/>
        <w:rPr>
          <w:rFonts w:hint="eastAsia" w:ascii="宋体" w:hAnsi="宋体" w:eastAsia="宋体" w:cs="宋体"/>
          <w:b w:val="0"/>
          <w:bCs w:val="0"/>
          <w:color w:val="auto"/>
          <w:kern w:val="2"/>
          <w:sz w:val="28"/>
          <w:szCs w:val="28"/>
          <w:lang w:val="en-US" w:eastAsia="zh-CN" w:bidi="ar-SA"/>
        </w:rPr>
      </w:pPr>
      <w:bookmarkStart w:id="400" w:name="_Toc10144"/>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、其他材料</w:t>
      </w:r>
      <w:bookmarkEnd w:id="400"/>
    </w:p>
    <w:p w14:paraId="42C93D1C">
      <w:pPr>
        <w:pStyle w:val="5"/>
        <w:bidi w:val="0"/>
        <w:spacing w:line="240" w:lineRule="auto"/>
        <w:rPr>
          <w:rFonts w:hint="eastAsia" w:ascii="宋体" w:hAnsi="宋体" w:eastAsia="宋体" w:cs="宋体"/>
          <w:b/>
          <w:bCs w:val="0"/>
          <w:color w:val="auto"/>
          <w:sz w:val="24"/>
          <w:szCs w:val="32"/>
          <w:highlight w:val="none"/>
          <w:lang w:val="en-US" w:eastAsia="zh-CN"/>
        </w:rPr>
      </w:pPr>
    </w:p>
    <w:p w14:paraId="7D94F6FA">
      <w:pPr>
        <w:pStyle w:val="5"/>
        <w:bidi w:val="0"/>
        <w:spacing w:line="240" w:lineRule="auto"/>
        <w:rPr>
          <w:rFonts w:hint="default"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（一）定标核查内容资料</w:t>
      </w:r>
    </w:p>
    <w:p w14:paraId="0FBC7AF6">
      <w:pPr>
        <w:ind w:left="0" w:leftChars="0" w:firstLine="0" w:firstLineChars="0"/>
        <w:rPr>
          <w:rFonts w:hint="eastAsia"/>
          <w:color w:val="auto"/>
          <w:highlight w:val="none"/>
          <w:lang w:val="en-US" w:eastAsia="zh-CN"/>
        </w:rPr>
      </w:pPr>
    </w:p>
    <w:p w14:paraId="449BE35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企业信用信息：</w:t>
      </w:r>
    </w:p>
    <w:p w14:paraId="24492BD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被列入失信被执行人、 重大税收违法失信主体、政府采购严重违法失信行为记录名单（查询渠道“信用中国”网站或“中国执行信息公开网”、“中国政府采购网”）的投标人，拒绝其参与本项目投标（查询对象包括：企业、法定代表人、</w:t>
      </w:r>
      <w:r>
        <w:rPr>
          <w:rFonts w:hint="eastAsia" w:ascii="宋体" w:hAnsi="宋体" w:eastAsia="宋体" w:cs="宋体"/>
          <w:color w:val="auto"/>
          <w:highlight w:val="none"/>
          <w:lang w:val="en-US" w:eastAsia="zh-CN"/>
        </w:rPr>
        <w:t>项目总监理工程师</w:t>
      </w:r>
      <w:r>
        <w:rPr>
          <w:rFonts w:hint="eastAsia" w:ascii="宋体" w:hAnsi="宋体" w:eastAsia="宋体" w:cs="宋体"/>
          <w:color w:val="auto"/>
          <w:highlight w:val="none"/>
        </w:rPr>
        <w:t>）；</w:t>
      </w:r>
    </w:p>
    <w:p w14:paraId="29F414E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企业行贿查询情况：202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年1月1日以来无行贿犯罪记录（核查网站：中国裁判文书网 http://wenshu.court.gov.cn/），存在行贿行为的投标人拒绝其参与本项目投标（查询对象包括：企业、法定代表人、</w:t>
      </w:r>
      <w:r>
        <w:rPr>
          <w:rFonts w:hint="eastAsia" w:ascii="宋体" w:hAnsi="宋体" w:eastAsia="宋体" w:cs="宋体"/>
          <w:color w:val="auto"/>
          <w:highlight w:val="none"/>
          <w:lang w:val="en-US" w:eastAsia="zh-CN"/>
        </w:rPr>
        <w:t>项目总监理工程师</w:t>
      </w:r>
      <w:r>
        <w:rPr>
          <w:rFonts w:hint="eastAsia" w:ascii="宋体" w:hAnsi="宋体" w:eastAsia="宋体" w:cs="宋体"/>
          <w:color w:val="auto"/>
          <w:highlight w:val="none"/>
        </w:rPr>
        <w:t>）；</w:t>
      </w:r>
    </w:p>
    <w:p w14:paraId="3B53E91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③</w:t>
      </w:r>
      <w:r>
        <w:rPr>
          <w:rFonts w:hint="eastAsia" w:ascii="宋体" w:hAnsi="宋体" w:eastAsia="宋体" w:cs="宋体"/>
          <w:color w:val="auto"/>
          <w:highlight w:val="none"/>
        </w:rPr>
        <w:t>单位负责人为同一人或者存在控股、管理关系的不同单位，不得参加同一合同项下的招标采购活动（提供“国家企业信用信息公示系统”中公示的公司信息、股东或投资人信息截图）。</w:t>
      </w:r>
    </w:p>
    <w:p w14:paraId="1C94C06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④全国建筑市场监管公共服务平台、河南省建筑市场监管公共服务平台等网站查询不良信息记录。</w:t>
      </w:r>
    </w:p>
    <w:p w14:paraId="337D478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2、履约能力</w:t>
      </w:r>
      <w:r>
        <w:rPr>
          <w:rFonts w:hint="eastAsia" w:ascii="宋体" w:hAnsi="宋体" w:eastAsia="宋体" w:cs="宋体"/>
          <w:color w:val="auto"/>
          <w:highlight w:val="none"/>
        </w:rPr>
        <w:t>：</w:t>
      </w:r>
    </w:p>
    <w:p w14:paraId="648A8A7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①营业执照：符合第二章“投标人须知前附表”第1.4.1项规定； </w:t>
      </w:r>
    </w:p>
    <w:p w14:paraId="42E9FD5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②企业资质：符合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4CA02B4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③拟派项目总监理工程师：符合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58AC105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④财务状况：符合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p>
    <w:p w14:paraId="45C7CC5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招标人认为需要核查及核评的其他内容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p w14:paraId="0DC2AE43">
      <w:pPr>
        <w:ind w:left="0" w:leftChars="0" w:firstLine="422" w:firstLineChars="200"/>
        <w:rPr>
          <w:rFonts w:hint="eastAsia" w:ascii="宋体" w:hAnsi="宋体" w:eastAsia="宋体" w:cs="宋体"/>
          <w:b/>
          <w:color w:val="auto"/>
          <w:kern w:val="0"/>
          <w:sz w:val="24"/>
        </w:rPr>
      </w:pPr>
      <w:r>
        <w:rPr>
          <w:rFonts w:hint="eastAsia" w:ascii="宋体" w:hAnsi="宋体" w:eastAsia="宋体" w:cs="宋体"/>
          <w:b/>
          <w:bCs/>
          <w:color w:val="auto"/>
          <w:highlight w:val="none"/>
          <w:lang w:val="en-US" w:eastAsia="zh-CN"/>
        </w:rPr>
        <w:t>注：为了便于后期定标委员会在定标会议之前对中标候选人进行核查，投标人须按上述核查内容要求</w:t>
      </w:r>
      <w:r>
        <w:rPr>
          <w:rFonts w:hint="eastAsia" w:ascii="宋体" w:hAnsi="宋体" w:eastAsia="宋体" w:cs="宋体"/>
          <w:b/>
          <w:bCs/>
          <w:color w:val="auto"/>
          <w:highlight w:val="none"/>
          <w:u w:val="single"/>
          <w:lang w:val="en-US" w:eastAsia="zh-CN"/>
        </w:rPr>
        <w:t>（由于“2、履约能力”核查内容资料均为资格审查资料，故本项“定标核查内容资料”仅提供“1、</w:t>
      </w:r>
      <w:r>
        <w:rPr>
          <w:rFonts w:hint="eastAsia" w:ascii="宋体" w:hAnsi="宋体" w:eastAsia="宋体" w:cs="宋体"/>
          <w:b/>
          <w:bCs/>
          <w:color w:val="auto"/>
          <w:highlight w:val="none"/>
          <w:u w:val="single"/>
        </w:rPr>
        <w:t>企业信用信息</w:t>
      </w:r>
      <w:r>
        <w:rPr>
          <w:rFonts w:hint="eastAsia" w:ascii="宋体" w:hAnsi="宋体" w:eastAsia="宋体" w:cs="宋体"/>
          <w:b/>
          <w:bCs/>
          <w:color w:val="auto"/>
          <w:highlight w:val="none"/>
          <w:u w:val="single"/>
          <w:lang w:val="en-US" w:eastAsia="zh-CN"/>
        </w:rPr>
        <w:t>”要求资料即可）</w:t>
      </w:r>
      <w:r>
        <w:rPr>
          <w:rFonts w:hint="eastAsia" w:ascii="宋体" w:hAnsi="宋体" w:eastAsia="宋体" w:cs="宋体"/>
          <w:b/>
          <w:bCs/>
          <w:color w:val="auto"/>
          <w:highlight w:val="none"/>
          <w:lang w:val="en-US" w:eastAsia="zh-CN"/>
        </w:rPr>
        <w:t>提供对应资料。</w:t>
      </w:r>
    </w:p>
    <w:p w14:paraId="606CE80C">
      <w:pPr>
        <w:bidi w:val="0"/>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16FE">
    <w:pPr>
      <w:pStyle w:val="2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EB1B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FEB1B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B8E1">
    <w:pPr>
      <w:pStyle w:val="21"/>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66B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7966B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C5FC">
    <w:pPr>
      <w:pStyle w:val="22"/>
      <w:pBdr>
        <w:bottom w:val="none" w:color="auto" w:sz="0" w:space="1"/>
      </w:pBdr>
      <w:jc w:val="both"/>
      <w:rPr>
        <w:rFonts w:hint="default" w:ascii="黑体" w:hAnsi="黑体" w:eastAsia="黑体" w:cs="黑体"/>
        <w:sz w:val="21"/>
        <w:szCs w:val="21"/>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9462">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FDE5A"/>
    <w:multiLevelType w:val="singleLevel"/>
    <w:tmpl w:val="CCEFDE5A"/>
    <w:lvl w:ilvl="0" w:tentative="0">
      <w:start w:val="2"/>
      <w:numFmt w:val="chineseCounting"/>
      <w:suff w:val="nothing"/>
      <w:lvlText w:val="（%1）"/>
      <w:lvlJc w:val="left"/>
      <w:rPr>
        <w:rFonts w:hint="eastAsia"/>
      </w:rPr>
    </w:lvl>
  </w:abstractNum>
  <w:abstractNum w:abstractNumId="1">
    <w:nsid w:val="1A615B8B"/>
    <w:multiLevelType w:val="singleLevel"/>
    <w:tmpl w:val="1A615B8B"/>
    <w:lvl w:ilvl="0" w:tentative="0">
      <w:start w:val="3"/>
      <w:numFmt w:val="chineseCounting"/>
      <w:suff w:val="nothing"/>
      <w:lvlText w:val="%1、"/>
      <w:lvlJc w:val="left"/>
      <w:rPr>
        <w:rFonts w:hint="eastAsia"/>
      </w:rPr>
    </w:lvl>
  </w:abstractNum>
  <w:abstractNum w:abstractNumId="2">
    <w:nsid w:val="5744342D"/>
    <w:multiLevelType w:val="singleLevel"/>
    <w:tmpl w:val="5744342D"/>
    <w:lvl w:ilvl="0" w:tentative="0">
      <w:start w:val="4"/>
      <w:numFmt w:val="decimal"/>
      <w:suff w:val="space"/>
      <w:lvlText w:val="%1."/>
      <w:lvlJc w:val="left"/>
    </w:lvl>
  </w:abstractNum>
  <w:abstractNum w:abstractNumId="3">
    <w:nsid w:val="735DDD67"/>
    <w:multiLevelType w:val="singleLevel"/>
    <w:tmpl w:val="735DDD67"/>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Njg1MWIyNDYyZmJmMWRjZGIyZmQxMjdmYjg3NWEifQ=="/>
  </w:docVars>
  <w:rsids>
    <w:rsidRoot w:val="28C46F4D"/>
    <w:rsid w:val="00241144"/>
    <w:rsid w:val="002809F3"/>
    <w:rsid w:val="002D1AE1"/>
    <w:rsid w:val="00303F39"/>
    <w:rsid w:val="003A2CE2"/>
    <w:rsid w:val="00465C0F"/>
    <w:rsid w:val="00692FA7"/>
    <w:rsid w:val="00814642"/>
    <w:rsid w:val="009E3961"/>
    <w:rsid w:val="00A1644B"/>
    <w:rsid w:val="00C7573A"/>
    <w:rsid w:val="00C77838"/>
    <w:rsid w:val="00D14367"/>
    <w:rsid w:val="00E32D5A"/>
    <w:rsid w:val="01B14C06"/>
    <w:rsid w:val="01CC079E"/>
    <w:rsid w:val="0224187C"/>
    <w:rsid w:val="02427F54"/>
    <w:rsid w:val="028C11CF"/>
    <w:rsid w:val="02C60B37"/>
    <w:rsid w:val="02E25F21"/>
    <w:rsid w:val="03250C7E"/>
    <w:rsid w:val="0385634A"/>
    <w:rsid w:val="03863E70"/>
    <w:rsid w:val="0436490A"/>
    <w:rsid w:val="043F474B"/>
    <w:rsid w:val="04A57870"/>
    <w:rsid w:val="050D40FB"/>
    <w:rsid w:val="053B5ED5"/>
    <w:rsid w:val="05787AE1"/>
    <w:rsid w:val="05A30D0A"/>
    <w:rsid w:val="05BB1971"/>
    <w:rsid w:val="06135229"/>
    <w:rsid w:val="062C0CFF"/>
    <w:rsid w:val="069114AA"/>
    <w:rsid w:val="070A282B"/>
    <w:rsid w:val="073A4619"/>
    <w:rsid w:val="07506106"/>
    <w:rsid w:val="07AA2823"/>
    <w:rsid w:val="07AF7E3A"/>
    <w:rsid w:val="07B70A9C"/>
    <w:rsid w:val="07D21D7A"/>
    <w:rsid w:val="08393BA7"/>
    <w:rsid w:val="084F6F27"/>
    <w:rsid w:val="085655A2"/>
    <w:rsid w:val="08C3745F"/>
    <w:rsid w:val="09B15F45"/>
    <w:rsid w:val="09ED5D69"/>
    <w:rsid w:val="0A003B59"/>
    <w:rsid w:val="0A0E4459"/>
    <w:rsid w:val="0A566A48"/>
    <w:rsid w:val="0A9610CD"/>
    <w:rsid w:val="0AAC0660"/>
    <w:rsid w:val="0ABD1A37"/>
    <w:rsid w:val="0ABF2BFA"/>
    <w:rsid w:val="0AE86428"/>
    <w:rsid w:val="0B064090"/>
    <w:rsid w:val="0B50108B"/>
    <w:rsid w:val="0B7A6F40"/>
    <w:rsid w:val="0BFB189F"/>
    <w:rsid w:val="0C015451"/>
    <w:rsid w:val="0C0B585A"/>
    <w:rsid w:val="0C177D5B"/>
    <w:rsid w:val="0C6D76BC"/>
    <w:rsid w:val="0C6E2FA7"/>
    <w:rsid w:val="0C71266E"/>
    <w:rsid w:val="0C7D0506"/>
    <w:rsid w:val="0C937D2A"/>
    <w:rsid w:val="0C9C64B3"/>
    <w:rsid w:val="0CA75FC3"/>
    <w:rsid w:val="0CC73890"/>
    <w:rsid w:val="0D046532"/>
    <w:rsid w:val="0D0C2A0F"/>
    <w:rsid w:val="0D735465"/>
    <w:rsid w:val="0D870F11"/>
    <w:rsid w:val="0DAF7EBD"/>
    <w:rsid w:val="0E0A1FE1"/>
    <w:rsid w:val="0E3015A8"/>
    <w:rsid w:val="0F0C791F"/>
    <w:rsid w:val="0FA97E52"/>
    <w:rsid w:val="1017657C"/>
    <w:rsid w:val="102B64CB"/>
    <w:rsid w:val="1053060C"/>
    <w:rsid w:val="118F79C1"/>
    <w:rsid w:val="11C87B17"/>
    <w:rsid w:val="11EE155E"/>
    <w:rsid w:val="12034755"/>
    <w:rsid w:val="12460F2E"/>
    <w:rsid w:val="126F4150"/>
    <w:rsid w:val="129762D2"/>
    <w:rsid w:val="12E7492B"/>
    <w:rsid w:val="13054347"/>
    <w:rsid w:val="13144FF5"/>
    <w:rsid w:val="132F7A22"/>
    <w:rsid w:val="1374247B"/>
    <w:rsid w:val="138A136A"/>
    <w:rsid w:val="13AA7707"/>
    <w:rsid w:val="13BE59BA"/>
    <w:rsid w:val="141379A2"/>
    <w:rsid w:val="141D25CF"/>
    <w:rsid w:val="14ED01F3"/>
    <w:rsid w:val="15273EB6"/>
    <w:rsid w:val="152A4FA3"/>
    <w:rsid w:val="15433A8F"/>
    <w:rsid w:val="155362A8"/>
    <w:rsid w:val="15696928"/>
    <w:rsid w:val="15932B49"/>
    <w:rsid w:val="15C11FB3"/>
    <w:rsid w:val="16C85292"/>
    <w:rsid w:val="16DB5E73"/>
    <w:rsid w:val="16E3540A"/>
    <w:rsid w:val="16F47617"/>
    <w:rsid w:val="16FD1260"/>
    <w:rsid w:val="170A508C"/>
    <w:rsid w:val="176835D7"/>
    <w:rsid w:val="177E5132"/>
    <w:rsid w:val="17925C40"/>
    <w:rsid w:val="17E53404"/>
    <w:rsid w:val="17EE4F0B"/>
    <w:rsid w:val="182E16F3"/>
    <w:rsid w:val="18716A45"/>
    <w:rsid w:val="187A7FF0"/>
    <w:rsid w:val="18860743"/>
    <w:rsid w:val="188F4FC9"/>
    <w:rsid w:val="18C249D6"/>
    <w:rsid w:val="18D771F0"/>
    <w:rsid w:val="198C7FDB"/>
    <w:rsid w:val="19927093"/>
    <w:rsid w:val="19AF1338"/>
    <w:rsid w:val="19E16F58"/>
    <w:rsid w:val="1A2E4BEE"/>
    <w:rsid w:val="1A3909B5"/>
    <w:rsid w:val="1A6F4D5D"/>
    <w:rsid w:val="1A7A3039"/>
    <w:rsid w:val="1A9F6DA0"/>
    <w:rsid w:val="1AB03A1A"/>
    <w:rsid w:val="1B495BA6"/>
    <w:rsid w:val="1BBE01F3"/>
    <w:rsid w:val="1BD65B74"/>
    <w:rsid w:val="1C9B0535"/>
    <w:rsid w:val="1CC41839"/>
    <w:rsid w:val="1CF540E9"/>
    <w:rsid w:val="1CFA16FF"/>
    <w:rsid w:val="1D0936F0"/>
    <w:rsid w:val="1D596426"/>
    <w:rsid w:val="1D774EEB"/>
    <w:rsid w:val="1DFB572F"/>
    <w:rsid w:val="1E015E76"/>
    <w:rsid w:val="1E957C69"/>
    <w:rsid w:val="1EB63404"/>
    <w:rsid w:val="1F0028D1"/>
    <w:rsid w:val="1F3E1D77"/>
    <w:rsid w:val="1FC31F09"/>
    <w:rsid w:val="20CC747B"/>
    <w:rsid w:val="210B5C89"/>
    <w:rsid w:val="211F1734"/>
    <w:rsid w:val="21B711F3"/>
    <w:rsid w:val="21D7553D"/>
    <w:rsid w:val="21EA7DCB"/>
    <w:rsid w:val="22526C45"/>
    <w:rsid w:val="22B75020"/>
    <w:rsid w:val="22F10EAE"/>
    <w:rsid w:val="23221B1E"/>
    <w:rsid w:val="23280401"/>
    <w:rsid w:val="2375212B"/>
    <w:rsid w:val="23783375"/>
    <w:rsid w:val="23B1063E"/>
    <w:rsid w:val="23D608CA"/>
    <w:rsid w:val="2459504C"/>
    <w:rsid w:val="24FE78B3"/>
    <w:rsid w:val="25140E84"/>
    <w:rsid w:val="255816B9"/>
    <w:rsid w:val="257A518B"/>
    <w:rsid w:val="25B02157"/>
    <w:rsid w:val="25C607B1"/>
    <w:rsid w:val="25D56865"/>
    <w:rsid w:val="25E01658"/>
    <w:rsid w:val="25EB47EF"/>
    <w:rsid w:val="26654E67"/>
    <w:rsid w:val="268B1A7D"/>
    <w:rsid w:val="26B66697"/>
    <w:rsid w:val="2712462F"/>
    <w:rsid w:val="27746D8F"/>
    <w:rsid w:val="27C6290A"/>
    <w:rsid w:val="27E965F8"/>
    <w:rsid w:val="28754330"/>
    <w:rsid w:val="28B210E0"/>
    <w:rsid w:val="28B43D69"/>
    <w:rsid w:val="28C46F4D"/>
    <w:rsid w:val="290C1512"/>
    <w:rsid w:val="29194CBB"/>
    <w:rsid w:val="29253660"/>
    <w:rsid w:val="294C7BA4"/>
    <w:rsid w:val="294D2362"/>
    <w:rsid w:val="29617E99"/>
    <w:rsid w:val="2964062C"/>
    <w:rsid w:val="29736AC1"/>
    <w:rsid w:val="2A1536D4"/>
    <w:rsid w:val="2A1A45F6"/>
    <w:rsid w:val="2A25581A"/>
    <w:rsid w:val="2A9A62D0"/>
    <w:rsid w:val="2AD84084"/>
    <w:rsid w:val="2B5B534A"/>
    <w:rsid w:val="2B960845"/>
    <w:rsid w:val="2BA24B28"/>
    <w:rsid w:val="2BC03EE7"/>
    <w:rsid w:val="2BE65443"/>
    <w:rsid w:val="2C194F20"/>
    <w:rsid w:val="2C5438C9"/>
    <w:rsid w:val="2C650063"/>
    <w:rsid w:val="2C7B043E"/>
    <w:rsid w:val="2CBB56A1"/>
    <w:rsid w:val="2CDA6E57"/>
    <w:rsid w:val="2D2F7082"/>
    <w:rsid w:val="2D6B620C"/>
    <w:rsid w:val="2D914AEC"/>
    <w:rsid w:val="2DAC6373"/>
    <w:rsid w:val="2DC23B73"/>
    <w:rsid w:val="2E0B36CC"/>
    <w:rsid w:val="2E482E0D"/>
    <w:rsid w:val="2EA910C4"/>
    <w:rsid w:val="2EE43FBD"/>
    <w:rsid w:val="2EFE507F"/>
    <w:rsid w:val="2F48270C"/>
    <w:rsid w:val="2F703597"/>
    <w:rsid w:val="2F8C67BC"/>
    <w:rsid w:val="2FBD0A96"/>
    <w:rsid w:val="2FE53B49"/>
    <w:rsid w:val="301A1E2F"/>
    <w:rsid w:val="301F4C4E"/>
    <w:rsid w:val="306929CC"/>
    <w:rsid w:val="307C1700"/>
    <w:rsid w:val="30D36097"/>
    <w:rsid w:val="315410DA"/>
    <w:rsid w:val="31D82A73"/>
    <w:rsid w:val="323F0707"/>
    <w:rsid w:val="325D43BB"/>
    <w:rsid w:val="327411B4"/>
    <w:rsid w:val="32820AAC"/>
    <w:rsid w:val="32E82A37"/>
    <w:rsid w:val="32F50547"/>
    <w:rsid w:val="336F5AB4"/>
    <w:rsid w:val="339E594A"/>
    <w:rsid w:val="33A81A9A"/>
    <w:rsid w:val="344924A8"/>
    <w:rsid w:val="34AF2977"/>
    <w:rsid w:val="34B10A0B"/>
    <w:rsid w:val="3513793F"/>
    <w:rsid w:val="353D22BD"/>
    <w:rsid w:val="354B6FAC"/>
    <w:rsid w:val="354D2DFE"/>
    <w:rsid w:val="35633E8E"/>
    <w:rsid w:val="35D07049"/>
    <w:rsid w:val="362F3D70"/>
    <w:rsid w:val="367D0F7F"/>
    <w:rsid w:val="36962041"/>
    <w:rsid w:val="36B41755"/>
    <w:rsid w:val="36DE12F2"/>
    <w:rsid w:val="370945C1"/>
    <w:rsid w:val="370C40B1"/>
    <w:rsid w:val="37283D7A"/>
    <w:rsid w:val="374B6987"/>
    <w:rsid w:val="374C526C"/>
    <w:rsid w:val="374D6BA3"/>
    <w:rsid w:val="378620B5"/>
    <w:rsid w:val="37994EFC"/>
    <w:rsid w:val="37B52474"/>
    <w:rsid w:val="381F7BCF"/>
    <w:rsid w:val="382C4A0B"/>
    <w:rsid w:val="38337C46"/>
    <w:rsid w:val="386E5A2B"/>
    <w:rsid w:val="38804DCF"/>
    <w:rsid w:val="38B13162"/>
    <w:rsid w:val="39A8163A"/>
    <w:rsid w:val="39CF2C9E"/>
    <w:rsid w:val="39F200AF"/>
    <w:rsid w:val="3A1A6A39"/>
    <w:rsid w:val="3A266B12"/>
    <w:rsid w:val="3A5E69D2"/>
    <w:rsid w:val="3A777A93"/>
    <w:rsid w:val="3AF4458A"/>
    <w:rsid w:val="3BCA70A6"/>
    <w:rsid w:val="3BF84C04"/>
    <w:rsid w:val="3BFB3D34"/>
    <w:rsid w:val="3C1C4141"/>
    <w:rsid w:val="3C270C65"/>
    <w:rsid w:val="3C430575"/>
    <w:rsid w:val="3C7050E2"/>
    <w:rsid w:val="3C740137"/>
    <w:rsid w:val="3C897A95"/>
    <w:rsid w:val="3CA37266"/>
    <w:rsid w:val="3CB82755"/>
    <w:rsid w:val="3CE40C7A"/>
    <w:rsid w:val="3CF25AF7"/>
    <w:rsid w:val="3D3E654F"/>
    <w:rsid w:val="3D4E0F7F"/>
    <w:rsid w:val="3DF73DC7"/>
    <w:rsid w:val="3E050F4A"/>
    <w:rsid w:val="3E063608"/>
    <w:rsid w:val="3E0755D2"/>
    <w:rsid w:val="3EB32F2C"/>
    <w:rsid w:val="3F710F55"/>
    <w:rsid w:val="3FDA2F9E"/>
    <w:rsid w:val="40C66930"/>
    <w:rsid w:val="4125649B"/>
    <w:rsid w:val="41A73018"/>
    <w:rsid w:val="41E6461A"/>
    <w:rsid w:val="425F742D"/>
    <w:rsid w:val="426B4382"/>
    <w:rsid w:val="429C453B"/>
    <w:rsid w:val="42A24D8A"/>
    <w:rsid w:val="42C910A8"/>
    <w:rsid w:val="430640AA"/>
    <w:rsid w:val="433E1A96"/>
    <w:rsid w:val="43B104BA"/>
    <w:rsid w:val="43E350B0"/>
    <w:rsid w:val="44705C7F"/>
    <w:rsid w:val="44B743E3"/>
    <w:rsid w:val="44F2075E"/>
    <w:rsid w:val="45622B13"/>
    <w:rsid w:val="456F23DB"/>
    <w:rsid w:val="45C163B6"/>
    <w:rsid w:val="462907DC"/>
    <w:rsid w:val="46B4278A"/>
    <w:rsid w:val="46F04B3D"/>
    <w:rsid w:val="47097A09"/>
    <w:rsid w:val="471A6376"/>
    <w:rsid w:val="4782133B"/>
    <w:rsid w:val="47AF2FC5"/>
    <w:rsid w:val="48594E62"/>
    <w:rsid w:val="48645AFB"/>
    <w:rsid w:val="48BB36E7"/>
    <w:rsid w:val="48CF2E15"/>
    <w:rsid w:val="48ED4977"/>
    <w:rsid w:val="49675177"/>
    <w:rsid w:val="49A63EF1"/>
    <w:rsid w:val="4AC24D5B"/>
    <w:rsid w:val="4AC9433B"/>
    <w:rsid w:val="4ACD13D4"/>
    <w:rsid w:val="4B0E43EC"/>
    <w:rsid w:val="4B2E231E"/>
    <w:rsid w:val="4B741126"/>
    <w:rsid w:val="4B9A7A86"/>
    <w:rsid w:val="4C0878E3"/>
    <w:rsid w:val="4C2A705C"/>
    <w:rsid w:val="4C4E3AEF"/>
    <w:rsid w:val="4C52108E"/>
    <w:rsid w:val="4CDF1BF4"/>
    <w:rsid w:val="4CE17940"/>
    <w:rsid w:val="4CED0151"/>
    <w:rsid w:val="4CF029AD"/>
    <w:rsid w:val="4D6A45E2"/>
    <w:rsid w:val="4DCD6DF1"/>
    <w:rsid w:val="4DD733FF"/>
    <w:rsid w:val="4E6355B9"/>
    <w:rsid w:val="4F701299"/>
    <w:rsid w:val="4F9162E7"/>
    <w:rsid w:val="4F9B0E29"/>
    <w:rsid w:val="508B7505"/>
    <w:rsid w:val="50965D53"/>
    <w:rsid w:val="51087240"/>
    <w:rsid w:val="511D2CEB"/>
    <w:rsid w:val="512322CB"/>
    <w:rsid w:val="5123570E"/>
    <w:rsid w:val="51473FF3"/>
    <w:rsid w:val="517B5C63"/>
    <w:rsid w:val="51DC3CD3"/>
    <w:rsid w:val="51E90E1F"/>
    <w:rsid w:val="52273793"/>
    <w:rsid w:val="52C20B07"/>
    <w:rsid w:val="53292808"/>
    <w:rsid w:val="53563E71"/>
    <w:rsid w:val="53AE2320"/>
    <w:rsid w:val="54332825"/>
    <w:rsid w:val="54414F42"/>
    <w:rsid w:val="547215A0"/>
    <w:rsid w:val="548F2152"/>
    <w:rsid w:val="54D51B2F"/>
    <w:rsid w:val="54F05A5C"/>
    <w:rsid w:val="55236D3E"/>
    <w:rsid w:val="55342CF9"/>
    <w:rsid w:val="558570B1"/>
    <w:rsid w:val="559C733A"/>
    <w:rsid w:val="55CA71B9"/>
    <w:rsid w:val="55D6434C"/>
    <w:rsid w:val="55DC30C5"/>
    <w:rsid w:val="55DD0C9B"/>
    <w:rsid w:val="56955A19"/>
    <w:rsid w:val="569725EE"/>
    <w:rsid w:val="56D9506C"/>
    <w:rsid w:val="57535DFE"/>
    <w:rsid w:val="57947A7F"/>
    <w:rsid w:val="57A1025C"/>
    <w:rsid w:val="58232B8F"/>
    <w:rsid w:val="58422963"/>
    <w:rsid w:val="58844831"/>
    <w:rsid w:val="58C46142"/>
    <w:rsid w:val="58F6083C"/>
    <w:rsid w:val="59011DB6"/>
    <w:rsid w:val="591C7D2C"/>
    <w:rsid w:val="59653481"/>
    <w:rsid w:val="59722042"/>
    <w:rsid w:val="59750444"/>
    <w:rsid w:val="59AD4E28"/>
    <w:rsid w:val="5A05677E"/>
    <w:rsid w:val="5A882A10"/>
    <w:rsid w:val="5ADD34EB"/>
    <w:rsid w:val="5AEE3052"/>
    <w:rsid w:val="5B09162C"/>
    <w:rsid w:val="5B35514A"/>
    <w:rsid w:val="5B3A093D"/>
    <w:rsid w:val="5BEB2A43"/>
    <w:rsid w:val="5C2C0286"/>
    <w:rsid w:val="5C51247D"/>
    <w:rsid w:val="5C9D2F32"/>
    <w:rsid w:val="5CB0535B"/>
    <w:rsid w:val="5CD66444"/>
    <w:rsid w:val="5CEB1EEF"/>
    <w:rsid w:val="5D107BA8"/>
    <w:rsid w:val="5D812F12"/>
    <w:rsid w:val="5DC13B63"/>
    <w:rsid w:val="5DC16054"/>
    <w:rsid w:val="5DFD637E"/>
    <w:rsid w:val="5E1C07E7"/>
    <w:rsid w:val="5E5403CF"/>
    <w:rsid w:val="5E6B16CD"/>
    <w:rsid w:val="5EBE2A2A"/>
    <w:rsid w:val="5F4D2F6C"/>
    <w:rsid w:val="5F865F24"/>
    <w:rsid w:val="5FF217E7"/>
    <w:rsid w:val="60990093"/>
    <w:rsid w:val="609B3C2C"/>
    <w:rsid w:val="60DD5FF3"/>
    <w:rsid w:val="60EA6BBD"/>
    <w:rsid w:val="6109328C"/>
    <w:rsid w:val="61204131"/>
    <w:rsid w:val="6151555D"/>
    <w:rsid w:val="617B5661"/>
    <w:rsid w:val="61A73C79"/>
    <w:rsid w:val="61CB6793"/>
    <w:rsid w:val="621447A2"/>
    <w:rsid w:val="62285994"/>
    <w:rsid w:val="626427F3"/>
    <w:rsid w:val="62F4019D"/>
    <w:rsid w:val="6302244A"/>
    <w:rsid w:val="630F2B3B"/>
    <w:rsid w:val="63234928"/>
    <w:rsid w:val="63325FE3"/>
    <w:rsid w:val="63862972"/>
    <w:rsid w:val="63AB4186"/>
    <w:rsid w:val="63BC3F26"/>
    <w:rsid w:val="63DC60A6"/>
    <w:rsid w:val="63DF02D4"/>
    <w:rsid w:val="64932FDD"/>
    <w:rsid w:val="65205DF8"/>
    <w:rsid w:val="653627C7"/>
    <w:rsid w:val="658E7B9D"/>
    <w:rsid w:val="65FD165F"/>
    <w:rsid w:val="663B1769"/>
    <w:rsid w:val="664E60E1"/>
    <w:rsid w:val="665E55F6"/>
    <w:rsid w:val="669E6224"/>
    <w:rsid w:val="66C35C8B"/>
    <w:rsid w:val="670B285F"/>
    <w:rsid w:val="676F4FFB"/>
    <w:rsid w:val="678C47CB"/>
    <w:rsid w:val="67EC7675"/>
    <w:rsid w:val="68555008"/>
    <w:rsid w:val="6874548F"/>
    <w:rsid w:val="6893686F"/>
    <w:rsid w:val="68AB2E7A"/>
    <w:rsid w:val="68C41FE4"/>
    <w:rsid w:val="68F14D31"/>
    <w:rsid w:val="68FF793F"/>
    <w:rsid w:val="691165DD"/>
    <w:rsid w:val="6939207A"/>
    <w:rsid w:val="69774884"/>
    <w:rsid w:val="69C93144"/>
    <w:rsid w:val="69D955B8"/>
    <w:rsid w:val="6A1F58CE"/>
    <w:rsid w:val="6A260A0B"/>
    <w:rsid w:val="6A641533"/>
    <w:rsid w:val="6AAD2EDA"/>
    <w:rsid w:val="6AFC5C0F"/>
    <w:rsid w:val="6AFF37EA"/>
    <w:rsid w:val="6B080110"/>
    <w:rsid w:val="6B9D2F4E"/>
    <w:rsid w:val="6BBE7D5A"/>
    <w:rsid w:val="6C861C34"/>
    <w:rsid w:val="6CF3606D"/>
    <w:rsid w:val="6D940BCF"/>
    <w:rsid w:val="6DFD587D"/>
    <w:rsid w:val="6E3B07FD"/>
    <w:rsid w:val="6E645FA5"/>
    <w:rsid w:val="6EC05CD3"/>
    <w:rsid w:val="6EC16F54"/>
    <w:rsid w:val="6EC802E2"/>
    <w:rsid w:val="6EF13547"/>
    <w:rsid w:val="6F2319BD"/>
    <w:rsid w:val="6F307C36"/>
    <w:rsid w:val="6F834209"/>
    <w:rsid w:val="6F906926"/>
    <w:rsid w:val="6F9C454A"/>
    <w:rsid w:val="70294DB1"/>
    <w:rsid w:val="705E4BB4"/>
    <w:rsid w:val="708E730A"/>
    <w:rsid w:val="70C525FF"/>
    <w:rsid w:val="70E76A1A"/>
    <w:rsid w:val="70F338EB"/>
    <w:rsid w:val="71515AFA"/>
    <w:rsid w:val="715440AF"/>
    <w:rsid w:val="715A71EC"/>
    <w:rsid w:val="71C72AD3"/>
    <w:rsid w:val="71D90A58"/>
    <w:rsid w:val="7230291A"/>
    <w:rsid w:val="7246125B"/>
    <w:rsid w:val="72677AA0"/>
    <w:rsid w:val="728851B8"/>
    <w:rsid w:val="72F85B4D"/>
    <w:rsid w:val="734328B0"/>
    <w:rsid w:val="7345528C"/>
    <w:rsid w:val="74A91D23"/>
    <w:rsid w:val="74B67962"/>
    <w:rsid w:val="74E7523A"/>
    <w:rsid w:val="754E0B57"/>
    <w:rsid w:val="7556599E"/>
    <w:rsid w:val="75602D30"/>
    <w:rsid w:val="759E7FEF"/>
    <w:rsid w:val="75C50DBC"/>
    <w:rsid w:val="75ED4AD2"/>
    <w:rsid w:val="75F906E6"/>
    <w:rsid w:val="76004806"/>
    <w:rsid w:val="769B71B7"/>
    <w:rsid w:val="76BD26F7"/>
    <w:rsid w:val="76D509A8"/>
    <w:rsid w:val="76FB321F"/>
    <w:rsid w:val="770B7D9E"/>
    <w:rsid w:val="775E3565"/>
    <w:rsid w:val="776B32D4"/>
    <w:rsid w:val="77745A0B"/>
    <w:rsid w:val="77D01FB6"/>
    <w:rsid w:val="78393DA0"/>
    <w:rsid w:val="78520458"/>
    <w:rsid w:val="785B20F2"/>
    <w:rsid w:val="78861A32"/>
    <w:rsid w:val="790C526F"/>
    <w:rsid w:val="792A3948"/>
    <w:rsid w:val="79AB4A88"/>
    <w:rsid w:val="7A175207"/>
    <w:rsid w:val="7ACA775B"/>
    <w:rsid w:val="7ACC115A"/>
    <w:rsid w:val="7AF05399"/>
    <w:rsid w:val="7B0E285A"/>
    <w:rsid w:val="7B3508D0"/>
    <w:rsid w:val="7B3C108B"/>
    <w:rsid w:val="7B4038F6"/>
    <w:rsid w:val="7B890DF9"/>
    <w:rsid w:val="7BC6204D"/>
    <w:rsid w:val="7C4411C4"/>
    <w:rsid w:val="7C6D4277"/>
    <w:rsid w:val="7C983AE0"/>
    <w:rsid w:val="7D20578D"/>
    <w:rsid w:val="7D884EBC"/>
    <w:rsid w:val="7DE27F5E"/>
    <w:rsid w:val="7E1626EC"/>
    <w:rsid w:val="7E3F7362"/>
    <w:rsid w:val="7EED169F"/>
    <w:rsid w:val="7F107715"/>
    <w:rsid w:val="7F335FF7"/>
    <w:rsid w:val="7F6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99"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atLeast"/>
      <w:jc w:val="both"/>
    </w:pPr>
    <w:rPr>
      <w:rFonts w:ascii="宋体" w:hAnsi="宋体" w:eastAsia="宋体" w:cs="宋体"/>
      <w:kern w:val="2"/>
      <w:sz w:val="21"/>
      <w:szCs w:val="21"/>
      <w:lang w:val="en-US" w:eastAsia="zh-CN" w:bidi="ar-SA"/>
    </w:rPr>
  </w:style>
  <w:style w:type="paragraph" w:styleId="2">
    <w:name w:val="heading 1"/>
    <w:basedOn w:val="1"/>
    <w:next w:val="1"/>
    <w:link w:val="47"/>
    <w:autoRedefine/>
    <w:qFormat/>
    <w:uiPriority w:val="0"/>
    <w:pPr>
      <w:keepNext/>
      <w:keepLines/>
      <w:spacing w:line="600" w:lineRule="atLeast"/>
      <w:jc w:val="center"/>
      <w:outlineLvl w:val="0"/>
    </w:pPr>
    <w:rPr>
      <w:b/>
      <w:bCs/>
      <w:kern w:val="44"/>
      <w:sz w:val="36"/>
      <w:szCs w:val="36"/>
    </w:rPr>
  </w:style>
  <w:style w:type="paragraph" w:styleId="3">
    <w:name w:val="heading 2"/>
    <w:basedOn w:val="1"/>
    <w:next w:val="1"/>
    <w:link w:val="55"/>
    <w:autoRedefine/>
    <w:unhideWhenUsed/>
    <w:qFormat/>
    <w:uiPriority w:val="0"/>
    <w:pPr>
      <w:keepNext/>
      <w:keepLines/>
      <w:spacing w:line="560" w:lineRule="atLeast"/>
      <w:jc w:val="center"/>
      <w:outlineLvl w:val="1"/>
    </w:pPr>
    <w:rPr>
      <w:rFonts w:ascii="宋体" w:hAnsi="宋体"/>
      <w:b/>
      <w:bCs/>
      <w:sz w:val="32"/>
      <w:szCs w:val="32"/>
    </w:rPr>
  </w:style>
  <w:style w:type="paragraph" w:styleId="4">
    <w:name w:val="heading 3"/>
    <w:basedOn w:val="1"/>
    <w:next w:val="1"/>
    <w:link w:val="56"/>
    <w:autoRedefine/>
    <w:unhideWhenUsed/>
    <w:qFormat/>
    <w:uiPriority w:val="0"/>
    <w:pPr>
      <w:keepNext/>
      <w:keepLines/>
      <w:spacing w:line="520" w:lineRule="atLeast"/>
      <w:jc w:val="center"/>
      <w:outlineLvl w:val="2"/>
    </w:pPr>
    <w:rPr>
      <w:rFonts w:ascii="宋体" w:hAnsi="宋体" w:eastAsia="宋体"/>
      <w:b/>
      <w:bCs/>
      <w:sz w:val="30"/>
      <w:szCs w:val="30"/>
    </w:rPr>
  </w:style>
  <w:style w:type="paragraph" w:styleId="5">
    <w:name w:val="heading 4"/>
    <w:basedOn w:val="1"/>
    <w:next w:val="1"/>
    <w:link w:val="46"/>
    <w:autoRedefine/>
    <w:unhideWhenUsed/>
    <w:qFormat/>
    <w:uiPriority w:val="0"/>
    <w:pPr>
      <w:keepNext/>
      <w:spacing w:before="60" w:after="60" w:line="480" w:lineRule="atLeast"/>
      <w:outlineLvl w:val="3"/>
    </w:pPr>
    <w:rPr>
      <w:b/>
      <w:sz w:val="28"/>
      <w:szCs w:val="28"/>
    </w:rPr>
  </w:style>
  <w:style w:type="paragraph" w:styleId="6">
    <w:name w:val="heading 5"/>
    <w:basedOn w:val="1"/>
    <w:next w:val="1"/>
    <w:link w:val="76"/>
    <w:autoRedefine/>
    <w:qFormat/>
    <w:uiPriority w:val="1"/>
    <w:pPr>
      <w:keepNext/>
      <w:keepLines/>
      <w:spacing w:line="480" w:lineRule="atLeast"/>
      <w:outlineLvl w:val="4"/>
    </w:pPr>
    <w:rPr>
      <w:b/>
      <w:sz w:val="24"/>
      <w:szCs w:val="24"/>
    </w:rPr>
  </w:style>
  <w:style w:type="paragraph" w:styleId="7">
    <w:name w:val="heading 6"/>
    <w:basedOn w:val="1"/>
    <w:next w:val="1"/>
    <w:autoRedefine/>
    <w:qFormat/>
    <w:uiPriority w:val="99"/>
    <w:pPr>
      <w:keepNext/>
      <w:keepLines/>
      <w:spacing w:before="240" w:after="64" w:line="320" w:lineRule="auto"/>
      <w:outlineLvl w:val="5"/>
    </w:pPr>
    <w:rPr>
      <w:rFonts w:ascii="Arial" w:hAnsi="Arial" w:eastAsia="黑体"/>
      <w:b/>
      <w:bCs/>
      <w:sz w:val="24"/>
    </w:rPr>
  </w:style>
  <w:style w:type="paragraph" w:styleId="8">
    <w:name w:val="heading 7"/>
    <w:basedOn w:val="1"/>
    <w:next w:val="1"/>
    <w:autoRedefine/>
    <w:qFormat/>
    <w:uiPriority w:val="1"/>
    <w:pPr>
      <w:ind w:left="1526" w:hanging="526"/>
      <w:outlineLvl w:val="6"/>
    </w:pPr>
    <w:rPr>
      <w:b/>
      <w:bCs/>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next w:val="10"/>
    <w:autoRedefine/>
    <w:qFormat/>
    <w:uiPriority w:val="0"/>
    <w:pPr>
      <w:spacing w:line="400" w:lineRule="atLeast"/>
      <w:ind w:firstLine="420" w:firstLineChars="200"/>
    </w:pPr>
  </w:style>
  <w:style w:type="paragraph" w:styleId="10">
    <w:name w:val="Body Text 2"/>
    <w:basedOn w:val="1"/>
    <w:next w:val="1"/>
    <w:autoRedefine/>
    <w:qFormat/>
    <w:uiPriority w:val="0"/>
    <w:pPr>
      <w:widowControl/>
      <w:jc w:val="center"/>
    </w:pPr>
    <w:rPr>
      <w:rFonts w:ascii="楷体_GB2312" w:eastAsia="楷体_GB2312"/>
      <w:sz w:val="28"/>
      <w:szCs w:val="20"/>
    </w:rPr>
  </w:style>
  <w:style w:type="paragraph" w:styleId="11">
    <w:name w:val="caption"/>
    <w:basedOn w:val="1"/>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12">
    <w:name w:val="Body Text"/>
    <w:basedOn w:val="1"/>
    <w:next w:val="13"/>
    <w:autoRedefine/>
    <w:qFormat/>
    <w:uiPriority w:val="0"/>
    <w:pPr>
      <w:spacing w:after="120"/>
    </w:pPr>
  </w:style>
  <w:style w:type="paragraph" w:customStyle="1" w:styleId="13">
    <w:name w:val="style4"/>
    <w:basedOn w:val="14"/>
    <w:next w:val="17"/>
    <w:autoRedefine/>
    <w:qFormat/>
    <w:uiPriority w:val="0"/>
    <w:pPr>
      <w:widowControl/>
      <w:spacing w:before="280" w:after="280"/>
    </w:pPr>
    <w:rPr>
      <w:rFonts w:ascii="宋体" w:eastAsia="宋体"/>
      <w:sz w:val="18"/>
    </w:rPr>
  </w:style>
  <w:style w:type="paragraph" w:customStyle="1" w:styleId="14">
    <w:name w:val="正文_0"/>
    <w:basedOn w:val="15"/>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1"/>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文本_0"/>
    <w:basedOn w:val="15"/>
    <w:unhideWhenUsed/>
    <w:qFormat/>
    <w:uiPriority w:val="99"/>
    <w:pPr>
      <w:spacing w:after="120"/>
    </w:pPr>
    <w:rPr>
      <w:rFonts w:ascii="Calibri" w:hAnsi="Calibri"/>
    </w:rPr>
  </w:style>
  <w:style w:type="paragraph" w:customStyle="1" w:styleId="17">
    <w:name w:val="2"/>
    <w:basedOn w:val="1"/>
    <w:next w:val="1"/>
    <w:autoRedefine/>
    <w:qFormat/>
    <w:uiPriority w:val="0"/>
    <w:pPr>
      <w:spacing w:line="360" w:lineRule="auto"/>
    </w:pPr>
    <w:rPr>
      <w:rFonts w:eastAsia="仿宋_GB2312"/>
      <w:sz w:val="28"/>
      <w:szCs w:val="28"/>
    </w:rPr>
  </w:style>
  <w:style w:type="paragraph" w:styleId="18">
    <w:name w:val="Body Text Indent"/>
    <w:basedOn w:val="1"/>
    <w:next w:val="19"/>
    <w:autoRedefine/>
    <w:qFormat/>
    <w:uiPriority w:val="0"/>
    <w:pPr>
      <w:tabs>
        <w:tab w:val="left" w:pos="945"/>
        <w:tab w:val="left" w:pos="1155"/>
      </w:tabs>
      <w:ind w:firstLine="435"/>
    </w:pPr>
    <w:rPr>
      <w:rFonts w:ascii="Ari"/>
      <w:sz w:val="24"/>
      <w:szCs w:val="20"/>
    </w:rPr>
  </w:style>
  <w:style w:type="paragraph" w:styleId="19">
    <w:name w:val="envelope return"/>
    <w:basedOn w:val="1"/>
    <w:autoRedefine/>
    <w:qFormat/>
    <w:uiPriority w:val="0"/>
    <w:pPr>
      <w:snapToGrid w:val="0"/>
    </w:pPr>
    <w:rPr>
      <w:rFonts w:ascii="Arial" w:hAnsi="Arial"/>
    </w:rPr>
  </w:style>
  <w:style w:type="paragraph" w:styleId="20">
    <w:name w:val="Plain Text"/>
    <w:basedOn w:val="1"/>
    <w:next w:val="12"/>
    <w:autoRedefine/>
    <w:qFormat/>
    <w:uiPriority w:val="0"/>
    <w:rPr>
      <w:rFonts w:ascii="Courier New" w:hAnsi="Courier New"/>
      <w:szCs w:val="20"/>
    </w:rPr>
  </w:style>
  <w:style w:type="paragraph" w:styleId="21">
    <w:name w:val="footer"/>
    <w:basedOn w:val="1"/>
    <w:next w:val="1"/>
    <w:autoRedefine/>
    <w:qFormat/>
    <w:uiPriority w:val="99"/>
    <w:pPr>
      <w:tabs>
        <w:tab w:val="center" w:pos="4153"/>
        <w:tab w:val="right" w:pos="8306"/>
      </w:tabs>
      <w:snapToGrid w:val="0"/>
      <w:jc w:val="left"/>
    </w:pPr>
    <w:rPr>
      <w:sz w:val="18"/>
      <w:szCs w:val="20"/>
    </w:rPr>
  </w:style>
  <w:style w:type="paragraph" w:styleId="22">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23">
    <w:name w:val="toc 1"/>
    <w:basedOn w:val="1"/>
    <w:next w:val="1"/>
    <w:qFormat/>
    <w:uiPriority w:val="0"/>
  </w:style>
  <w:style w:type="paragraph" w:styleId="24">
    <w:name w:val="footnote text"/>
    <w:basedOn w:val="1"/>
    <w:autoRedefine/>
    <w:qFormat/>
    <w:uiPriority w:val="0"/>
    <w:rPr>
      <w:sz w:val="20"/>
      <w:szCs w:val="20"/>
    </w:rPr>
  </w:style>
  <w:style w:type="paragraph" w:styleId="25">
    <w:name w:val="Body Text Indent 3"/>
    <w:basedOn w:val="1"/>
    <w:autoRedefine/>
    <w:qFormat/>
    <w:uiPriority w:val="0"/>
    <w:pPr>
      <w:spacing w:after="120"/>
      <w:ind w:left="420" w:leftChars="200"/>
    </w:pPr>
    <w:rPr>
      <w:sz w:val="16"/>
      <w:szCs w:val="16"/>
    </w:rPr>
  </w:style>
  <w:style w:type="paragraph" w:styleId="2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7">
    <w:name w:val="Body Text First Indent"/>
    <w:basedOn w:val="12"/>
    <w:next w:val="28"/>
    <w:autoRedefine/>
    <w:qFormat/>
    <w:uiPriority w:val="0"/>
    <w:pPr>
      <w:ind w:firstLine="420" w:firstLineChars="100"/>
    </w:pPr>
  </w:style>
  <w:style w:type="paragraph" w:styleId="28">
    <w:name w:val="Body Text First Indent 2"/>
    <w:basedOn w:val="18"/>
    <w:next w:val="1"/>
    <w:autoRedefine/>
    <w:unhideWhenUsed/>
    <w:qFormat/>
    <w:uiPriority w:val="0"/>
    <w:pPr>
      <w:widowControl/>
      <w:ind w:firstLine="200" w:firstLineChars="200"/>
      <w:jc w:val="left"/>
    </w:pPr>
    <w:rPr>
      <w:rFonts w:ascii="Calibri" w:hAnsi="Calibri"/>
      <w:sz w:val="28"/>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bCs/>
    </w:rPr>
  </w:style>
  <w:style w:type="character" w:styleId="33">
    <w:name w:val="FollowedHyperlink"/>
    <w:basedOn w:val="31"/>
    <w:autoRedefine/>
    <w:qFormat/>
    <w:uiPriority w:val="0"/>
    <w:rPr>
      <w:color w:val="333333"/>
      <w:u w:val="none"/>
    </w:rPr>
  </w:style>
  <w:style w:type="character" w:styleId="34">
    <w:name w:val="Emphasis"/>
    <w:basedOn w:val="31"/>
    <w:autoRedefine/>
    <w:qFormat/>
    <w:uiPriority w:val="0"/>
    <w:rPr>
      <w:b/>
      <w:bCs/>
    </w:rPr>
  </w:style>
  <w:style w:type="character" w:styleId="35">
    <w:name w:val="HTML Definition"/>
    <w:basedOn w:val="31"/>
    <w:autoRedefine/>
    <w:qFormat/>
    <w:uiPriority w:val="0"/>
  </w:style>
  <w:style w:type="character" w:styleId="36">
    <w:name w:val="HTML Typewriter"/>
    <w:basedOn w:val="31"/>
    <w:autoRedefine/>
    <w:qFormat/>
    <w:uiPriority w:val="0"/>
    <w:rPr>
      <w:rFonts w:ascii="monospace" w:hAnsi="monospace" w:eastAsia="monospace" w:cs="monospace"/>
      <w:sz w:val="20"/>
    </w:rPr>
  </w:style>
  <w:style w:type="character" w:styleId="37">
    <w:name w:val="HTML Acronym"/>
    <w:basedOn w:val="31"/>
    <w:autoRedefine/>
    <w:qFormat/>
    <w:uiPriority w:val="0"/>
  </w:style>
  <w:style w:type="character" w:styleId="38">
    <w:name w:val="HTML Variable"/>
    <w:basedOn w:val="31"/>
    <w:autoRedefine/>
    <w:qFormat/>
    <w:uiPriority w:val="0"/>
  </w:style>
  <w:style w:type="character" w:styleId="39">
    <w:name w:val="Hyperlink"/>
    <w:basedOn w:val="31"/>
    <w:autoRedefine/>
    <w:qFormat/>
    <w:uiPriority w:val="99"/>
    <w:rPr>
      <w:color w:val="0000FF"/>
      <w:u w:val="none"/>
    </w:rPr>
  </w:style>
  <w:style w:type="character" w:styleId="40">
    <w:name w:val="HTML Code"/>
    <w:basedOn w:val="31"/>
    <w:autoRedefine/>
    <w:qFormat/>
    <w:uiPriority w:val="0"/>
    <w:rPr>
      <w:rFonts w:hint="default" w:ascii="monospace" w:hAnsi="monospace" w:eastAsia="monospace" w:cs="monospace"/>
      <w:sz w:val="20"/>
    </w:rPr>
  </w:style>
  <w:style w:type="character" w:styleId="41">
    <w:name w:val="HTML Cite"/>
    <w:basedOn w:val="31"/>
    <w:autoRedefine/>
    <w:qFormat/>
    <w:uiPriority w:val="0"/>
  </w:style>
  <w:style w:type="character" w:styleId="42">
    <w:name w:val="HTML Keyboard"/>
    <w:basedOn w:val="31"/>
    <w:autoRedefine/>
    <w:qFormat/>
    <w:uiPriority w:val="0"/>
    <w:rPr>
      <w:rFonts w:hint="default" w:ascii="monospace" w:hAnsi="monospace" w:eastAsia="monospace" w:cs="monospace"/>
      <w:sz w:val="20"/>
    </w:rPr>
  </w:style>
  <w:style w:type="character" w:styleId="43">
    <w:name w:val="HTML Sample"/>
    <w:basedOn w:val="31"/>
    <w:autoRedefine/>
    <w:qFormat/>
    <w:uiPriority w:val="0"/>
    <w:rPr>
      <w:rFonts w:hint="default" w:ascii="monospace" w:hAnsi="monospace" w:eastAsia="monospace" w:cs="monospace"/>
    </w:rPr>
  </w:style>
  <w:style w:type="paragraph" w:customStyle="1" w:styleId="44">
    <w:name w:val="无间隔1"/>
    <w:basedOn w:val="1"/>
    <w:next w:val="11"/>
    <w:autoRedefine/>
    <w:qFormat/>
    <w:uiPriority w:val="1"/>
    <w:pPr>
      <w:spacing w:line="400" w:lineRule="exact"/>
    </w:pPr>
    <w:rPr>
      <w:sz w:val="24"/>
    </w:rPr>
  </w:style>
  <w:style w:type="paragraph" w:customStyle="1" w:styleId="45">
    <w:name w:val="BodyText"/>
    <w:basedOn w:val="1"/>
    <w:next w:val="1"/>
    <w:qFormat/>
    <w:uiPriority w:val="0"/>
    <w:pPr>
      <w:widowControl/>
      <w:textAlignment w:val="baseline"/>
    </w:pPr>
    <w:rPr>
      <w:sz w:val="24"/>
    </w:rPr>
  </w:style>
  <w:style w:type="character" w:customStyle="1" w:styleId="46">
    <w:name w:val="标题 4 Char"/>
    <w:link w:val="5"/>
    <w:autoRedefine/>
    <w:qFormat/>
    <w:uiPriority w:val="99"/>
    <w:rPr>
      <w:rFonts w:eastAsia="宋体"/>
      <w:b/>
      <w:sz w:val="28"/>
      <w:szCs w:val="28"/>
    </w:rPr>
  </w:style>
  <w:style w:type="character" w:customStyle="1" w:styleId="47">
    <w:name w:val="标题 1 字符"/>
    <w:link w:val="2"/>
    <w:autoRedefine/>
    <w:qFormat/>
    <w:uiPriority w:val="0"/>
    <w:rPr>
      <w:rFonts w:ascii="Times New Roman" w:hAnsi="Times New Roman" w:eastAsia="宋体"/>
      <w:b/>
      <w:bCs/>
      <w:kern w:val="44"/>
      <w:sz w:val="36"/>
      <w:szCs w:val="36"/>
    </w:rPr>
  </w:style>
  <w:style w:type="paragraph" w:customStyle="1" w:styleId="48">
    <w:name w:val="WPSOffice手动目录 1"/>
    <w:autoRedefine/>
    <w:qFormat/>
    <w:uiPriority w:val="0"/>
    <w:rPr>
      <w:rFonts w:ascii="Times New Roman" w:hAnsi="Times New Roman" w:eastAsia="宋体" w:cs="Times New Roman"/>
      <w:lang w:val="en-US" w:eastAsia="zh-CN" w:bidi="ar-SA"/>
    </w:rPr>
  </w:style>
  <w:style w:type="paragraph" w:customStyle="1" w:styleId="49">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50">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51">
    <w:name w:val="Default"/>
    <w:basedOn w:val="20"/>
    <w:next w:val="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2">
    <w:name w:val="大标题"/>
    <w:basedOn w:val="1"/>
    <w:next w:val="28"/>
    <w:autoRedefine/>
    <w:qFormat/>
    <w:uiPriority w:val="0"/>
    <w:pPr>
      <w:jc w:val="center"/>
    </w:pPr>
    <w:rPr>
      <w:rFonts w:ascii="Arial" w:hAnsi="Arial"/>
      <w:b/>
      <w:sz w:val="28"/>
    </w:rPr>
  </w:style>
  <w:style w:type="paragraph" w:customStyle="1" w:styleId="53">
    <w:name w:val="正文1"/>
    <w:next w:val="54"/>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54">
    <w:name w:val="正文文本1"/>
    <w:basedOn w:val="53"/>
    <w:next w:val="13"/>
    <w:autoRedefine/>
    <w:qFormat/>
    <w:uiPriority w:val="0"/>
    <w:pPr>
      <w:spacing w:after="120"/>
    </w:pPr>
    <w:rPr>
      <w:kern w:val="0"/>
      <w:sz w:val="20"/>
      <w:szCs w:val="20"/>
    </w:rPr>
  </w:style>
  <w:style w:type="character" w:customStyle="1" w:styleId="55">
    <w:name w:val="标题 2 字符"/>
    <w:link w:val="3"/>
    <w:autoRedefine/>
    <w:qFormat/>
    <w:uiPriority w:val="0"/>
    <w:rPr>
      <w:rFonts w:ascii="宋体" w:hAnsi="宋体" w:eastAsia="宋体"/>
      <w:b/>
      <w:bCs/>
      <w:kern w:val="2"/>
      <w:sz w:val="32"/>
      <w:szCs w:val="32"/>
    </w:rPr>
  </w:style>
  <w:style w:type="character" w:customStyle="1" w:styleId="56">
    <w:name w:val="标题 3 字符"/>
    <w:link w:val="4"/>
    <w:autoRedefine/>
    <w:qFormat/>
    <w:uiPriority w:val="0"/>
    <w:rPr>
      <w:rFonts w:ascii="宋体" w:hAnsi="宋体" w:eastAsia="宋体"/>
      <w:b/>
      <w:bCs/>
      <w:sz w:val="24"/>
      <w:szCs w:val="30"/>
    </w:rPr>
  </w:style>
  <w:style w:type="paragraph" w:customStyle="1" w:styleId="57">
    <w:name w:val="BodyText1I2"/>
    <w:basedOn w:val="58"/>
    <w:next w:val="59"/>
    <w:autoRedefine/>
    <w:qFormat/>
    <w:uiPriority w:val="0"/>
    <w:pPr>
      <w:ind w:firstLine="420" w:firstLineChars="200"/>
    </w:pPr>
    <w:rPr>
      <w:rFonts w:ascii="Calibri" w:hAnsi="Calibri" w:eastAsia="楷体_GB2312"/>
      <w:kern w:val="44"/>
      <w:sz w:val="44"/>
    </w:rPr>
  </w:style>
  <w:style w:type="paragraph" w:customStyle="1" w:styleId="58">
    <w:name w:val="BodyTextIndent"/>
    <w:basedOn w:val="1"/>
    <w:autoRedefine/>
    <w:qFormat/>
    <w:uiPriority w:val="0"/>
    <w:pPr>
      <w:spacing w:after="120"/>
      <w:ind w:left="420" w:leftChars="200"/>
    </w:pPr>
    <w:rPr>
      <w:kern w:val="0"/>
      <w:sz w:val="20"/>
    </w:rPr>
  </w:style>
  <w:style w:type="paragraph" w:customStyle="1" w:styleId="59">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60">
    <w:name w:val="*正文"/>
    <w:basedOn w:val="1"/>
    <w:next w:val="1"/>
    <w:autoRedefine/>
    <w:qFormat/>
    <w:uiPriority w:val="0"/>
    <w:pPr>
      <w:widowControl/>
      <w:ind w:firstLine="482"/>
    </w:pPr>
    <w:rPr>
      <w:rFonts w:ascii="微软雅黑" w:hAnsi="微软雅黑" w:eastAsia="微软雅黑"/>
      <w:szCs w:val="32"/>
    </w:rPr>
  </w:style>
  <w:style w:type="paragraph" w:customStyle="1" w:styleId="61">
    <w:name w:val="_Style 4"/>
    <w:basedOn w:val="1"/>
    <w:next w:val="1"/>
    <w:autoRedefine/>
    <w:qFormat/>
    <w:uiPriority w:val="0"/>
    <w:pPr>
      <w:pBdr>
        <w:bottom w:val="single" w:color="auto" w:sz="6" w:space="1"/>
      </w:pBdr>
      <w:jc w:val="center"/>
    </w:pPr>
    <w:rPr>
      <w:rFonts w:ascii="Arial"/>
      <w:vanish/>
      <w:sz w:val="16"/>
    </w:rPr>
  </w:style>
  <w:style w:type="paragraph" w:customStyle="1" w:styleId="62">
    <w:name w:val="_Style 5"/>
    <w:basedOn w:val="1"/>
    <w:next w:val="1"/>
    <w:autoRedefine/>
    <w:qFormat/>
    <w:uiPriority w:val="0"/>
    <w:pPr>
      <w:pBdr>
        <w:top w:val="single" w:color="auto" w:sz="6" w:space="1"/>
      </w:pBdr>
      <w:jc w:val="center"/>
    </w:pPr>
    <w:rPr>
      <w:rFonts w:ascii="Arial"/>
      <w:vanish/>
      <w:sz w:val="16"/>
    </w:rPr>
  </w:style>
  <w:style w:type="paragraph" w:customStyle="1" w:styleId="63">
    <w:name w:val="Table Paragraph"/>
    <w:basedOn w:val="1"/>
    <w:autoRedefine/>
    <w:qFormat/>
    <w:uiPriority w:val="1"/>
  </w:style>
  <w:style w:type="character" w:customStyle="1" w:styleId="64">
    <w:name w:val="dash6b63_6587__char1"/>
    <w:autoRedefine/>
    <w:qFormat/>
    <w:uiPriority w:val="0"/>
    <w:rPr>
      <w:rFonts w:hint="default" w:ascii="Calibri" w:hAnsi="Calibri" w:cs="Calibri"/>
      <w:sz w:val="20"/>
      <w:szCs w:val="20"/>
    </w:rPr>
  </w:style>
  <w:style w:type="paragraph" w:styleId="65">
    <w:name w:val="List Paragraph"/>
    <w:basedOn w:val="1"/>
    <w:autoRedefine/>
    <w:qFormat/>
    <w:uiPriority w:val="1"/>
    <w:pPr>
      <w:ind w:left="1000" w:hanging="526"/>
    </w:pPr>
  </w:style>
  <w:style w:type="paragraph" w:customStyle="1" w:styleId="66">
    <w:name w:val="正文_2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_Style 3"/>
    <w:basedOn w:val="1"/>
    <w:next w:val="1"/>
    <w:autoRedefine/>
    <w:qFormat/>
    <w:uiPriority w:val="0"/>
    <w:pPr>
      <w:pBdr>
        <w:bottom w:val="single" w:color="auto" w:sz="6" w:space="1"/>
      </w:pBdr>
      <w:jc w:val="center"/>
    </w:pPr>
    <w:rPr>
      <w:rFonts w:ascii="Arial"/>
      <w:vanish/>
      <w:sz w:val="16"/>
    </w:rPr>
  </w:style>
  <w:style w:type="character" w:customStyle="1" w:styleId="68">
    <w:name w:val="hover1"/>
    <w:basedOn w:val="31"/>
    <w:autoRedefine/>
    <w:qFormat/>
    <w:uiPriority w:val="0"/>
    <w:rPr>
      <w:color w:val="2590EB"/>
    </w:rPr>
  </w:style>
  <w:style w:type="character" w:customStyle="1" w:styleId="69">
    <w:name w:val="hover2"/>
    <w:basedOn w:val="31"/>
    <w:autoRedefine/>
    <w:qFormat/>
    <w:uiPriority w:val="0"/>
  </w:style>
  <w:style w:type="character" w:customStyle="1" w:styleId="70">
    <w:name w:val="hover3"/>
    <w:basedOn w:val="31"/>
    <w:autoRedefine/>
    <w:qFormat/>
    <w:uiPriority w:val="0"/>
    <w:rPr>
      <w:color w:val="2590EB"/>
    </w:rPr>
  </w:style>
  <w:style w:type="character" w:customStyle="1" w:styleId="71">
    <w:name w:val="hover4"/>
    <w:basedOn w:val="31"/>
    <w:autoRedefine/>
    <w:qFormat/>
    <w:uiPriority w:val="0"/>
    <w:rPr>
      <w:color w:val="2590EB"/>
      <w:shd w:val="clear" w:fill="E9F4FD"/>
    </w:rPr>
  </w:style>
  <w:style w:type="character" w:customStyle="1" w:styleId="72">
    <w:name w:val="hover"/>
    <w:basedOn w:val="31"/>
    <w:autoRedefine/>
    <w:qFormat/>
    <w:uiPriority w:val="0"/>
    <w:rPr>
      <w:color w:val="2590EB"/>
    </w:rPr>
  </w:style>
  <w:style w:type="paragraph" w:customStyle="1" w:styleId="73">
    <w:name w:val="Normal_0"/>
    <w:next w:val="74"/>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4">
    <w:name w:val="Body Text_0"/>
    <w:basedOn w:val="73"/>
    <w:autoRedefine/>
    <w:qFormat/>
    <w:uiPriority w:val="0"/>
    <w:pPr>
      <w:spacing w:after="120" w:afterLines="0"/>
    </w:pPr>
    <w:rPr>
      <w:rFonts w:ascii="Calibri" w:hAnsi="Calibri"/>
      <w:kern w:val="0"/>
      <w:sz w:val="20"/>
      <w:szCs w:val="20"/>
    </w:rPr>
  </w:style>
  <w:style w:type="character" w:customStyle="1" w:styleId="75">
    <w:name w:val="Hyperlink_0"/>
    <w:autoRedefine/>
    <w:qFormat/>
    <w:uiPriority w:val="0"/>
    <w:rPr>
      <w:rFonts w:ascii="Calibri" w:hAnsi="Calibri"/>
      <w:color w:val="0563C1"/>
      <w:u w:val="single"/>
    </w:rPr>
  </w:style>
  <w:style w:type="character" w:customStyle="1" w:styleId="76">
    <w:name w:val="标题 5 Char1"/>
    <w:link w:val="6"/>
    <w:qFormat/>
    <w:uiPriority w:val="0"/>
    <w:rPr>
      <w:rFonts w:eastAsia="宋体"/>
      <w:b/>
      <w:sz w:val="24"/>
      <w:szCs w:val="24"/>
    </w:rPr>
  </w:style>
  <w:style w:type="paragraph" w:customStyle="1" w:styleId="77">
    <w:name w:val="普通(网站)_0"/>
    <w:basedOn w:val="78"/>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78">
    <w:name w:val="正文_0_0"/>
    <w:next w:val="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文本_0_0"/>
    <w:basedOn w:val="78"/>
    <w:qFormat/>
    <w:uiPriority w:val="99"/>
    <w:pPr>
      <w:spacing w:after="1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5015</Words>
  <Characters>5601</Characters>
  <Lines>290</Lines>
  <Paragraphs>81</Paragraphs>
  <TotalTime>0</TotalTime>
  <ScaleCrop>false</ScaleCrop>
  <LinksUpToDate>false</LinksUpToDate>
  <CharactersWithSpaces>5762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2021-12-30T12:14:00Z</dcterms:created>
  <dc:creator>I'm刘鑫</dc:creator>
  <cp:lastModifiedBy>燕阳天</cp:lastModifiedBy>
  <cp:lastPrinted>2025-06-09T08:49:00Z</cp:lastPrinted>
  <dcterms:modified xsi:type="dcterms:W3CDTF">2025-11-06T08:26:36Z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EF04FA7923B4493687D2818F74C78112_13</vt:lpwstr>
  </property>
  <property fmtid="{D5CDD505-2E9C-101B-9397-08002B2CF9AE}" pid="4" name="KSOTemplateDocerSaveRecord">
    <vt:lpwstr>eyJoZGlkIjoiNDFlZjRiNTdkMGE3YTU0OTk3MDBkNTM0NTNlNjgzODYiLCJ1c2VySWQiOiI0NTk5MjIyNTIifQ==</vt:lpwstr>
  </property>
</Properties>
</file>