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2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eastAsia="zh-CN"/>
        </w:rPr>
        <w:t>关于《福州市</w:t>
      </w:r>
      <w:r>
        <w:rPr>
          <w:rFonts w:hint="eastAsia" w:ascii="方正小标宋简体" w:hAnsi="方正小标宋简体" w:eastAsia="方正小标宋简体" w:cs="方正小标宋简体"/>
          <w:bCs/>
          <w:sz w:val="44"/>
          <w:szCs w:val="44"/>
          <w:lang w:val="en-US" w:eastAsia="zh-CN"/>
        </w:rPr>
        <w:t>房屋建筑和市政基础设施工程</w:t>
      </w:r>
    </w:p>
    <w:p>
      <w:pPr>
        <w:keepNext w:val="0"/>
        <w:keepLines w:val="0"/>
        <w:pageBreakBefore w:val="0"/>
        <w:widowControl w:val="0"/>
        <w:kinsoku/>
        <w:wordWrap/>
        <w:overflowPunct/>
        <w:topLinePunct w:val="0"/>
        <w:bidi w:val="0"/>
        <w:spacing w:line="52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招标代理机构管理实施意见</w:t>
      </w:r>
      <w:r>
        <w:rPr>
          <w:rFonts w:hint="eastAsia" w:ascii="方正小标宋简体" w:hAnsi="方正小标宋简体" w:eastAsia="方正小标宋简体" w:cs="方正小标宋简体"/>
          <w:bCs/>
          <w:sz w:val="44"/>
          <w:szCs w:val="44"/>
          <w:lang w:eastAsia="zh-CN"/>
        </w:rPr>
        <w:t>》（征求意见稿）</w:t>
      </w:r>
    </w:p>
    <w:p>
      <w:pPr>
        <w:keepNext w:val="0"/>
        <w:keepLines w:val="0"/>
        <w:pageBreakBefore w:val="0"/>
        <w:widowControl w:val="0"/>
        <w:kinsoku/>
        <w:wordWrap/>
        <w:overflowPunct/>
        <w:topLinePunct w:val="0"/>
        <w:bidi w:val="0"/>
        <w:spacing w:line="52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的起草说明</w:t>
      </w:r>
    </w:p>
    <w:p>
      <w:pPr>
        <w:pStyle w:val="8"/>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val="0"/>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snapToGrid/>
          <w:color w:val="auto"/>
          <w:sz w:val="32"/>
          <w:szCs w:val="32"/>
        </w:rPr>
      </w:pPr>
      <w:r>
        <w:rPr>
          <w:rFonts w:hint="eastAsia" w:ascii="黑体" w:hAnsi="黑体" w:eastAsia="黑体" w:cs="黑体"/>
          <w:snapToGrid/>
          <w:color w:val="auto"/>
          <w:sz w:val="32"/>
          <w:szCs w:val="32"/>
        </w:rPr>
        <w:t>一、</w:t>
      </w:r>
      <w:r>
        <w:rPr>
          <w:rFonts w:hint="eastAsia" w:ascii="黑体" w:hAnsi="黑体" w:eastAsia="黑体" w:cs="黑体"/>
          <w:color w:val="auto"/>
          <w:sz w:val="32"/>
          <w:szCs w:val="32"/>
          <w:lang w:eastAsia="zh-CN"/>
        </w:rPr>
        <w:t>制定背景和必要性</w:t>
      </w:r>
    </w:p>
    <w:p>
      <w:pPr>
        <w:keepNext w:val="0"/>
        <w:keepLines w:val="0"/>
        <w:pageBreakBefore w:val="0"/>
        <w:widowControl w:val="0"/>
        <w:kinsoku/>
        <w:wordWrap/>
        <w:overflowPunct/>
        <w:topLinePunct w:val="0"/>
        <w:autoSpaceDE/>
        <w:autoSpaceDN w:val="0"/>
        <w:bidi w:val="0"/>
        <w:adjustRightInd w:val="0"/>
        <w:snapToGrid w:val="0"/>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我市房屋建筑和市政基础设施工程招标代理机构管理，规范招标代理机构行为，保障招投标各方主体的合法权益，维护招投标市场秩序，促进招标代理行业健康发展，根据《中华人民共和国招标投标法》《中华人民共和国招标投标法实施条例》《工</w:t>
      </w:r>
      <w:bookmarkStart w:id="0" w:name="_GoBack"/>
      <w:bookmarkEnd w:id="0"/>
      <w:r>
        <w:rPr>
          <w:rFonts w:hint="eastAsia" w:ascii="仿宋_GB2312" w:hAnsi="仿宋_GB2312" w:eastAsia="仿宋_GB2312" w:cs="仿宋_GB2312"/>
          <w:sz w:val="32"/>
          <w:szCs w:val="32"/>
          <w:lang w:val="en-US" w:eastAsia="zh-CN"/>
        </w:rPr>
        <w:t>程建设项目招标代理机构管理暂行办法》《福建省市场中介组织管理办法》《福建省房屋建筑和市政基础设施工程招标代理机构管理办法》（</w:t>
      </w:r>
      <w:r>
        <w:rPr>
          <w:rFonts w:hint="eastAsia" w:ascii="仿宋_GB2312" w:hAnsi="仿宋_GB2312" w:eastAsia="仿宋_GB2312" w:cs="仿宋_GB2312"/>
          <w:i w:val="0"/>
          <w:caps w:val="0"/>
          <w:color w:val="333333"/>
          <w:spacing w:val="0"/>
          <w:kern w:val="2"/>
          <w:sz w:val="32"/>
          <w:szCs w:val="32"/>
          <w:shd w:val="clear" w:color="auto" w:fill="auto"/>
          <w:lang w:val="en-US" w:eastAsia="zh-CN" w:bidi="ar"/>
        </w:rPr>
        <w:t>闽建〔2025〕2号</w:t>
      </w:r>
      <w:r>
        <w:rPr>
          <w:rFonts w:hint="eastAsia" w:ascii="仿宋_GB2312" w:hAnsi="仿宋_GB2312" w:eastAsia="仿宋_GB2312" w:cs="仿宋_GB2312"/>
          <w:sz w:val="32"/>
          <w:szCs w:val="32"/>
          <w:lang w:val="en-US" w:eastAsia="zh-CN"/>
        </w:rPr>
        <w:t>）等有关规定，制定本实施意见。</w:t>
      </w:r>
    </w:p>
    <w:p>
      <w:pPr>
        <w:keepNext w:val="0"/>
        <w:keepLines w:val="0"/>
        <w:pageBreakBefore w:val="0"/>
        <w:widowControl w:val="0"/>
        <w:kinsoku/>
        <w:wordWrap/>
        <w:overflowPunct/>
        <w:topLinePunct w:val="0"/>
        <w:autoSpaceDE/>
        <w:autoSpaceDN w:val="0"/>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snapToGrid/>
          <w:color w:val="auto"/>
          <w:sz w:val="32"/>
          <w:szCs w:val="32"/>
          <w:lang w:val="en-US" w:eastAsia="zh-CN"/>
        </w:rPr>
      </w:pPr>
      <w:r>
        <w:rPr>
          <w:rFonts w:hint="eastAsia" w:ascii="黑体" w:hAnsi="黑体" w:eastAsia="黑体" w:cs="黑体"/>
          <w:snapToGrid/>
          <w:color w:val="auto"/>
          <w:sz w:val="32"/>
          <w:szCs w:val="32"/>
          <w:lang w:val="en-US" w:eastAsia="zh-CN"/>
        </w:rPr>
        <w:t>二、起草依据</w:t>
      </w:r>
    </w:p>
    <w:p>
      <w:pPr>
        <w:pStyle w:val="8"/>
        <w:keepNext w:val="0"/>
        <w:keepLines w:val="0"/>
        <w:pageBreakBefore w:val="0"/>
        <w:widowControl w:val="0"/>
        <w:kinsoku/>
        <w:wordWrap/>
        <w:overflowPunct/>
        <w:topLinePunct w:val="0"/>
        <w:autoSpaceDN w:val="0"/>
        <w:bidi w:val="0"/>
        <w:adjustRightInd w:val="0"/>
        <w:spacing w:line="520" w:lineRule="exact"/>
        <w:ind w:firstLine="640" w:firstLineChars="200"/>
        <w:textAlignment w:val="auto"/>
        <w:rPr>
          <w:rFonts w:hint="eastAsia" w:ascii="仿宋_GB2312" w:hAnsi="_x000B__x000C_" w:eastAsia="仿宋_GB2312" w:cs="仿宋_GB2312"/>
          <w:color w:val="auto"/>
          <w:kern w:val="0"/>
          <w:sz w:val="32"/>
          <w:szCs w:val="32"/>
          <w:highlight w:val="none"/>
          <w:lang w:eastAsia="zh-CN"/>
        </w:rPr>
      </w:pPr>
      <w:r>
        <w:rPr>
          <w:rFonts w:hint="eastAsia" w:ascii="仿宋_GB2312" w:hAnsi="_x000B__x000C_" w:eastAsia="仿宋_GB2312" w:cs="仿宋_GB2312"/>
          <w:color w:val="auto"/>
          <w:kern w:val="0"/>
          <w:sz w:val="32"/>
          <w:szCs w:val="32"/>
          <w:highlight w:val="none"/>
          <w:lang w:val="en-US" w:eastAsia="zh-CN"/>
        </w:rPr>
        <w:t>1.</w:t>
      </w:r>
      <w:r>
        <w:rPr>
          <w:rFonts w:hint="eastAsia" w:ascii="仿宋_GB2312" w:hAnsi="仿宋_GB2312" w:eastAsia="仿宋_GB2312" w:cs="仿宋_GB2312"/>
          <w:sz w:val="32"/>
          <w:szCs w:val="32"/>
          <w:lang w:val="en-US" w:eastAsia="zh-CN"/>
        </w:rPr>
        <w:t>《中华人民共和国招标投标法》</w:t>
      </w:r>
    </w:p>
    <w:p>
      <w:pPr>
        <w:pStyle w:val="8"/>
        <w:keepNext w:val="0"/>
        <w:keepLines w:val="0"/>
        <w:pageBreakBefore w:val="0"/>
        <w:widowControl w:val="0"/>
        <w:kinsoku/>
        <w:wordWrap/>
        <w:overflowPunct/>
        <w:topLinePunct w:val="0"/>
        <w:autoSpaceDN w:val="0"/>
        <w:bidi w:val="0"/>
        <w:adjustRightInd w:val="0"/>
        <w:spacing w:line="520" w:lineRule="exact"/>
        <w:ind w:firstLine="640" w:firstLineChars="200"/>
        <w:textAlignment w:val="auto"/>
        <w:rPr>
          <w:rFonts w:hint="eastAsia" w:ascii="仿宋_GB2312" w:hAnsi="_x000B__x000C_" w:eastAsia="仿宋_GB2312" w:cs="仿宋_GB2312"/>
          <w:color w:val="auto"/>
          <w:kern w:val="0"/>
          <w:sz w:val="32"/>
          <w:szCs w:val="32"/>
          <w:highlight w:val="none"/>
          <w:lang w:eastAsia="zh-CN"/>
        </w:rPr>
      </w:pPr>
      <w:r>
        <w:rPr>
          <w:rFonts w:hint="eastAsia" w:ascii="仿宋_GB2312" w:hAnsi="_x000B__x000C_" w:eastAsia="仿宋_GB2312" w:cs="仿宋_GB2312"/>
          <w:color w:val="auto"/>
          <w:kern w:val="0"/>
          <w:sz w:val="32"/>
          <w:szCs w:val="32"/>
          <w:highlight w:val="none"/>
          <w:lang w:val="en-US" w:eastAsia="zh-CN"/>
        </w:rPr>
        <w:t>2.</w:t>
      </w:r>
      <w:r>
        <w:rPr>
          <w:rFonts w:hint="eastAsia" w:ascii="仿宋_GB2312" w:hAnsi="仿宋_GB2312" w:eastAsia="仿宋_GB2312" w:cs="仿宋_GB2312"/>
          <w:sz w:val="32"/>
          <w:szCs w:val="32"/>
          <w:lang w:val="en-US" w:eastAsia="zh-CN"/>
        </w:rPr>
        <w:t>《中华人民共和国招标投标法实施条例》</w:t>
      </w:r>
    </w:p>
    <w:p>
      <w:pPr>
        <w:pStyle w:val="8"/>
        <w:keepNext w:val="0"/>
        <w:keepLines w:val="0"/>
        <w:pageBreakBefore w:val="0"/>
        <w:widowControl w:val="0"/>
        <w:kinsoku/>
        <w:wordWrap/>
        <w:overflowPunct/>
        <w:topLinePunct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_x000B__x000C_" w:eastAsia="仿宋_GB2312" w:cs="仿宋_GB2312"/>
          <w:color w:val="auto"/>
          <w:kern w:val="0"/>
          <w:sz w:val="32"/>
          <w:szCs w:val="32"/>
          <w:highlight w:val="none"/>
          <w:lang w:val="en-US" w:eastAsia="zh-CN"/>
        </w:rPr>
        <w:t>3.</w:t>
      </w:r>
      <w:r>
        <w:rPr>
          <w:rFonts w:hint="eastAsia" w:ascii="仿宋_GB2312" w:hAnsi="仿宋_GB2312" w:eastAsia="仿宋_GB2312" w:cs="仿宋_GB2312"/>
          <w:sz w:val="32"/>
          <w:szCs w:val="32"/>
          <w:lang w:val="en-US" w:eastAsia="zh-CN"/>
        </w:rPr>
        <w:t>《工程建设项目招标代理机构管理暂行办法》</w:t>
      </w:r>
    </w:p>
    <w:p>
      <w:pPr>
        <w:pStyle w:val="8"/>
        <w:keepNext w:val="0"/>
        <w:keepLines w:val="0"/>
        <w:pageBreakBefore w:val="0"/>
        <w:widowControl w:val="0"/>
        <w:kinsoku/>
        <w:wordWrap/>
        <w:overflowPunct/>
        <w:topLinePunct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_x000B__x000C_" w:eastAsia="仿宋_GB2312" w:cs="仿宋_GB2312"/>
          <w:color w:val="auto"/>
          <w:kern w:val="0"/>
          <w:sz w:val="32"/>
          <w:szCs w:val="32"/>
          <w:highlight w:val="none"/>
          <w:lang w:val="en-US" w:eastAsia="zh-CN"/>
        </w:rPr>
        <w:t>4.</w:t>
      </w:r>
      <w:r>
        <w:rPr>
          <w:rFonts w:hint="eastAsia" w:ascii="仿宋_GB2312" w:hAnsi="仿宋_GB2312" w:eastAsia="仿宋_GB2312" w:cs="仿宋_GB2312"/>
          <w:sz w:val="32"/>
          <w:szCs w:val="32"/>
          <w:lang w:val="en-US" w:eastAsia="zh-CN"/>
        </w:rPr>
        <w:t>《福建省市场中介组织管理办法》</w:t>
      </w:r>
    </w:p>
    <w:p>
      <w:pPr>
        <w:pStyle w:val="8"/>
        <w:keepNext w:val="0"/>
        <w:keepLines w:val="0"/>
        <w:pageBreakBefore w:val="0"/>
        <w:widowControl w:val="0"/>
        <w:kinsoku/>
        <w:wordWrap/>
        <w:overflowPunct/>
        <w:topLinePunct w:val="0"/>
        <w:autoSpaceDN w:val="0"/>
        <w:bidi w:val="0"/>
        <w:adjustRightInd w:val="0"/>
        <w:spacing w:line="520" w:lineRule="exact"/>
        <w:ind w:firstLine="640" w:firstLineChars="200"/>
        <w:textAlignment w:val="auto"/>
        <w:rPr>
          <w:rFonts w:hint="eastAsia"/>
          <w:lang w:val="en-US" w:eastAsia="zh-CN"/>
        </w:rPr>
      </w:pPr>
      <w:r>
        <w:rPr>
          <w:rFonts w:hint="eastAsia" w:ascii="仿宋_GB2312" w:hAnsi="_x000B__x000C_" w:eastAsia="仿宋_GB2312" w:cs="仿宋_GB2312"/>
          <w:color w:val="auto"/>
          <w:kern w:val="0"/>
          <w:sz w:val="32"/>
          <w:szCs w:val="32"/>
          <w:highlight w:val="none"/>
          <w:lang w:val="en-US" w:eastAsia="zh-CN"/>
        </w:rPr>
        <w:t>5.</w:t>
      </w:r>
      <w:r>
        <w:rPr>
          <w:rFonts w:hint="eastAsia" w:ascii="仿宋_GB2312" w:hAnsi="仿宋_GB2312" w:eastAsia="仿宋_GB2312" w:cs="仿宋_GB2312"/>
          <w:sz w:val="32"/>
          <w:szCs w:val="32"/>
          <w:lang w:val="en-US" w:eastAsia="zh-CN"/>
        </w:rPr>
        <w:t>《福建省房屋建筑和市政基础设施工程招标代理机构管理办法》</w:t>
      </w:r>
      <w:r>
        <w:rPr>
          <w:rFonts w:hint="eastAsia" w:ascii="仿宋_GB2312" w:hAnsi="_x000B__x000C_" w:eastAsia="仿宋_GB2312" w:cs="仿宋_GB2312"/>
          <w:color w:val="auto"/>
          <w:kern w:val="0"/>
          <w:sz w:val="32"/>
          <w:szCs w:val="32"/>
          <w:highlight w:val="none"/>
          <w:lang w:eastAsia="zh-CN"/>
        </w:rPr>
        <w:t>（闽建〔202</w:t>
      </w:r>
      <w:r>
        <w:rPr>
          <w:rFonts w:hint="eastAsia" w:ascii="仿宋_GB2312" w:hAnsi="_x000B__x000C_" w:eastAsia="仿宋_GB2312" w:cs="仿宋_GB2312"/>
          <w:color w:val="auto"/>
          <w:kern w:val="0"/>
          <w:sz w:val="32"/>
          <w:szCs w:val="32"/>
          <w:highlight w:val="none"/>
          <w:lang w:val="en-US" w:eastAsia="zh-CN"/>
        </w:rPr>
        <w:t>5</w:t>
      </w:r>
      <w:r>
        <w:rPr>
          <w:rFonts w:hint="eastAsia" w:ascii="仿宋_GB2312" w:hAnsi="_x000B__x000C_" w:eastAsia="仿宋_GB2312" w:cs="仿宋_GB2312"/>
          <w:color w:val="auto"/>
          <w:kern w:val="0"/>
          <w:sz w:val="32"/>
          <w:szCs w:val="32"/>
          <w:highlight w:val="none"/>
          <w:lang w:eastAsia="zh-CN"/>
        </w:rPr>
        <w:t>〕</w:t>
      </w:r>
      <w:r>
        <w:rPr>
          <w:rFonts w:hint="eastAsia" w:ascii="仿宋_GB2312" w:hAnsi="_x000B__x000C_" w:eastAsia="仿宋_GB2312" w:cs="仿宋_GB2312"/>
          <w:color w:val="auto"/>
          <w:kern w:val="0"/>
          <w:sz w:val="32"/>
          <w:szCs w:val="32"/>
          <w:highlight w:val="none"/>
          <w:lang w:val="en-US" w:eastAsia="zh-CN"/>
        </w:rPr>
        <w:t>2</w:t>
      </w:r>
      <w:r>
        <w:rPr>
          <w:rFonts w:hint="eastAsia" w:ascii="仿宋_GB2312" w:hAnsi="_x000B__x000C_" w:eastAsia="仿宋_GB2312" w:cs="仿宋_GB2312"/>
          <w:color w:val="auto"/>
          <w:kern w:val="0"/>
          <w:sz w:val="32"/>
          <w:szCs w:val="32"/>
          <w:highlight w:val="none"/>
          <w:lang w:eastAsia="zh-CN"/>
        </w:rPr>
        <w:t>号）</w:t>
      </w:r>
    </w:p>
    <w:p>
      <w:pPr>
        <w:keepNext w:val="0"/>
        <w:keepLines w:val="0"/>
        <w:pageBreakBefore w:val="0"/>
        <w:widowControl w:val="0"/>
        <w:kinsoku/>
        <w:wordWrap/>
        <w:overflowPunct/>
        <w:topLinePunct w:val="0"/>
        <w:autoSpaceDE/>
        <w:autoSpaceDN w:val="0"/>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snapToGrid/>
          <w:color w:val="auto"/>
          <w:sz w:val="32"/>
          <w:szCs w:val="32"/>
          <w:lang w:val="en-US" w:eastAsia="zh-CN"/>
        </w:rPr>
      </w:pPr>
      <w:r>
        <w:rPr>
          <w:rFonts w:hint="eastAsia" w:ascii="黑体" w:hAnsi="黑体" w:eastAsia="黑体" w:cs="黑体"/>
          <w:snapToGrid/>
          <w:color w:val="auto"/>
          <w:sz w:val="32"/>
          <w:szCs w:val="32"/>
          <w:lang w:val="en-US" w:eastAsia="zh-CN"/>
        </w:rPr>
        <w:t>三、主要内容</w:t>
      </w:r>
    </w:p>
    <w:p>
      <w:pPr>
        <w:keepNext w:val="0"/>
        <w:keepLines w:val="0"/>
        <w:pageBreakBefore w:val="0"/>
        <w:widowControl w:val="0"/>
        <w:kinsoku/>
        <w:wordWrap/>
        <w:overflowPunct/>
        <w:topLinePunct w:val="0"/>
        <w:autoSpaceDE/>
        <w:autoSpaceDN w:val="0"/>
        <w:bidi w:val="0"/>
        <w:adjustRightInd w:val="0"/>
        <w:snapToGrid w:val="0"/>
        <w:spacing w:line="520" w:lineRule="exact"/>
        <w:ind w:left="0" w:leftChars="0" w:right="0" w:rightChars="0" w:firstLine="640" w:firstLineChars="200"/>
        <w:textAlignment w:val="auto"/>
        <w:outlineLvl w:val="9"/>
        <w:rPr>
          <w:rFonts w:hint="eastAsia" w:ascii="仿宋_GB2312" w:hAnsi="_x000B__x000C_" w:eastAsia="仿宋_GB2312" w:cs="仿宋_GB2312"/>
          <w:color w:val="auto"/>
          <w:kern w:val="0"/>
          <w:sz w:val="32"/>
          <w:szCs w:val="32"/>
          <w:highlight w:val="none"/>
          <w:lang w:val="en-US" w:eastAsia="zh-CN"/>
        </w:rPr>
      </w:pPr>
      <w:r>
        <w:rPr>
          <w:rFonts w:hint="eastAsia" w:ascii="仿宋_GB2312" w:hAnsi="_x000B__x000C_" w:eastAsia="仿宋_GB2312" w:cs="仿宋_GB2312"/>
          <w:color w:val="auto"/>
          <w:kern w:val="0"/>
          <w:sz w:val="32"/>
          <w:szCs w:val="32"/>
          <w:highlight w:val="none"/>
          <w:lang w:val="en-US" w:eastAsia="zh-CN"/>
        </w:rPr>
        <w:t>《福州市房屋建筑和市政基础设施工程招标代理机构管理实施意见》（征求意见稿）共分为6个章节，分别为总则、信息登记、从业行为、监督管理、法律责任、附则。</w:t>
      </w:r>
    </w:p>
    <w:p>
      <w:pPr>
        <w:keepNext w:val="0"/>
        <w:keepLines w:val="0"/>
        <w:pageBreakBefore w:val="0"/>
        <w:widowControl w:val="0"/>
        <w:kinsoku/>
        <w:wordWrap/>
        <w:overflowPunct/>
        <w:topLinePunct w:val="0"/>
        <w:autoSpaceDE/>
        <w:autoSpaceDN w:val="0"/>
        <w:bidi w:val="0"/>
        <w:adjustRightInd w:val="0"/>
        <w:snapToGrid w:val="0"/>
        <w:spacing w:line="520" w:lineRule="exact"/>
        <w:ind w:left="0" w:leftChars="0" w:right="0" w:rightChars="0" w:firstLine="640" w:firstLineChars="200"/>
        <w:textAlignment w:val="auto"/>
        <w:outlineLvl w:val="9"/>
        <w:rPr>
          <w:rFonts w:hint="eastAsia" w:ascii="仿宋_GB2312" w:hAnsi="_x000B__x000C_" w:eastAsia="仿宋_GB2312" w:cs="仿宋_GB2312"/>
          <w:color w:val="auto"/>
          <w:kern w:val="0"/>
          <w:sz w:val="32"/>
          <w:szCs w:val="32"/>
          <w:highlight w:val="none"/>
          <w:lang w:val="en-US" w:eastAsia="zh-CN"/>
        </w:rPr>
      </w:pPr>
      <w:r>
        <w:rPr>
          <w:rFonts w:hint="eastAsia" w:ascii="仿宋_GB2312" w:hAnsi="_x000B__x000C_" w:eastAsia="仿宋_GB2312" w:cs="仿宋_GB2312"/>
          <w:color w:val="auto"/>
          <w:kern w:val="0"/>
          <w:sz w:val="32"/>
          <w:szCs w:val="32"/>
          <w:highlight w:val="none"/>
          <w:lang w:val="en-US" w:eastAsia="zh-CN"/>
        </w:rPr>
        <w:t>1.总则。明确政策制定依据文件，加强工程建设项目招标代理机构管理，规范招标代理行为，维护市场秩序，促进行业健康发展，</w:t>
      </w:r>
      <w:r>
        <w:rPr>
          <w:rFonts w:hint="eastAsia" w:ascii="仿宋_GB2312" w:hAnsi="仿宋_GB2312" w:eastAsia="仿宋_GB2312" w:cs="仿宋_GB2312"/>
          <w:sz w:val="32"/>
          <w:szCs w:val="32"/>
          <w:lang w:val="en-US" w:eastAsia="zh-CN"/>
        </w:rPr>
        <w:t>根据《中华人民共和国招标投标法》《中华人民共和国招标投标法实施条例》等有关规定，制定本实施意见</w:t>
      </w:r>
      <w:r>
        <w:rPr>
          <w:rFonts w:hint="eastAsia" w:ascii="仿宋_GB2312" w:hAnsi="_x000B__x000C_"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_x000B__x000C_" w:eastAsia="仿宋_GB2312" w:cs="仿宋_GB2312"/>
          <w:color w:val="auto"/>
          <w:kern w:val="0"/>
          <w:sz w:val="32"/>
          <w:szCs w:val="32"/>
          <w:highlight w:val="none"/>
          <w:lang w:val="en-US" w:eastAsia="zh-CN"/>
        </w:rPr>
      </w:pPr>
      <w:r>
        <w:rPr>
          <w:rFonts w:hint="eastAsia" w:ascii="仿宋_GB2312" w:hAnsi="_x000B__x000C_" w:eastAsia="仿宋_GB2312" w:cs="仿宋_GB2312"/>
          <w:color w:val="auto"/>
          <w:kern w:val="0"/>
          <w:sz w:val="32"/>
          <w:szCs w:val="32"/>
          <w:highlight w:val="none"/>
          <w:lang w:val="en-US" w:eastAsia="zh-CN"/>
        </w:rPr>
        <w:t>2.信息登记。明确</w:t>
      </w:r>
      <w:r>
        <w:rPr>
          <w:rFonts w:hint="eastAsia" w:ascii="仿宋_GB2312" w:hAnsi="仿宋_GB2312" w:eastAsia="仿宋_GB2312" w:cs="仿宋_GB2312"/>
          <w:sz w:val="32"/>
          <w:szCs w:val="32"/>
          <w:lang w:val="en" w:eastAsia="zh-CN"/>
        </w:rPr>
        <w:t>我市人员的配置条件，招标代理机构具备国家、省有关规定的条件下方可承接招标代理业务，并按国家、省有关要求进行本机构和从业人员信息登记。</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_x000B__x000C_" w:eastAsia="仿宋_GB2312" w:cs="仿宋_GB2312"/>
          <w:color w:val="auto"/>
          <w:kern w:val="0"/>
          <w:sz w:val="32"/>
          <w:szCs w:val="32"/>
          <w:highlight w:val="none"/>
          <w:lang w:val="en-US" w:eastAsia="zh-CN"/>
        </w:rPr>
        <w:t>3.从业行为。规范工程</w:t>
      </w:r>
      <w:r>
        <w:rPr>
          <w:rFonts w:hint="eastAsia" w:ascii="仿宋_GB2312" w:hAnsi="仿宋_GB2312" w:eastAsia="仿宋_GB2312" w:cs="仿宋_GB2312"/>
          <w:sz w:val="32"/>
          <w:szCs w:val="32"/>
          <w:lang w:val="en" w:eastAsia="zh-CN"/>
        </w:rPr>
        <w:t>招标代理机构及从业人员从业行为，提高从业人员业务水平，明晰代理费、代理委托事项、代理违法违规行为、档案保存工作、人员培训等事宜。</w:t>
      </w:r>
    </w:p>
    <w:p>
      <w:pPr>
        <w:pStyle w:val="8"/>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_x000B__x000C_" w:eastAsia="仿宋_GB2312" w:cs="仿宋_GB2312"/>
          <w:color w:val="auto"/>
          <w:kern w:val="0"/>
          <w:sz w:val="32"/>
          <w:szCs w:val="32"/>
          <w:highlight w:val="none"/>
          <w:lang w:val="en-US" w:eastAsia="zh-CN"/>
        </w:rPr>
        <w:t>4.监督管理。行政监督部门</w:t>
      </w:r>
      <w:r>
        <w:rPr>
          <w:rFonts w:hint="eastAsia" w:ascii="仿宋_GB2312" w:hAnsi="仿宋_GB2312" w:eastAsia="仿宋_GB2312" w:cs="仿宋_GB2312"/>
          <w:sz w:val="32"/>
          <w:szCs w:val="32"/>
          <w:lang w:val="en" w:eastAsia="zh-CN"/>
        </w:rPr>
        <w:t>按照相应职责，加强对工程招标代理机构及其从业人员的监督管理。行业协会加强行业自律，加强工程招标代理从业人员的职业道德思想教育和业务培训工作。</w:t>
      </w:r>
    </w:p>
    <w:p>
      <w:pPr>
        <w:pStyle w:val="8"/>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_x000B__x000C_" w:eastAsia="仿宋_GB2312" w:cs="仿宋_GB2312"/>
          <w:color w:val="auto"/>
          <w:kern w:val="0"/>
          <w:sz w:val="32"/>
          <w:szCs w:val="32"/>
          <w:highlight w:val="none"/>
          <w:lang w:val="en-US" w:eastAsia="zh-CN"/>
        </w:rPr>
        <w:t>5.法律责任。压实主体责任，</w:t>
      </w:r>
      <w:r>
        <w:rPr>
          <w:rFonts w:hint="eastAsia" w:ascii="仿宋_GB2312" w:hAnsi="仿宋_GB2312" w:eastAsia="仿宋_GB2312" w:cs="仿宋_GB2312"/>
          <w:sz w:val="32"/>
          <w:szCs w:val="32"/>
          <w:lang w:val="en" w:eastAsia="zh-CN"/>
        </w:rPr>
        <w:t>有关行政监督部门依法进行处理工程招标代理机构及其工作人员违法违规行为。</w:t>
      </w:r>
    </w:p>
    <w:p>
      <w:pPr>
        <w:pStyle w:val="8"/>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sectPr>
      <w:headerReference r:id="rId3" w:type="default"/>
      <w:footerReference r:id="rId4" w:type="default"/>
      <w:pgSz w:w="11906" w:h="16838"/>
      <w:pgMar w:top="2154" w:right="1531" w:bottom="1417" w:left="1531" w:header="130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50BDE"/>
    <w:rsid w:val="3FE50BDE"/>
    <w:rsid w:val="7EEEFAD8"/>
    <w:rsid w:val="F7DE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customStyle="1" w:styleId="3">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2026-03-01T09:15:00Z</dcterms:created>
  <dc:creator>uos</dc:creator>
  <cp:lastModifiedBy>uos</cp:lastModifiedBy>
  <cp:lastPrinted>2026-03-05T15:30:52Z</cp:lastPrinted>
  <dcterms:modified xsi:type="dcterms:W3CDTF">2026-03-05T15:40:04Z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