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bookmarkStart w:id="0" w:name="_GoBack"/>
      <w:r>
        <w:rPr>
          <w:rFonts w:ascii="Times New Roman" w:hAnsi="Times New Roman" w:eastAsia="仿宋_GB2312" w:cs="Times New Roman"/>
          <w:sz w:val="32"/>
          <w:szCs w:val="32"/>
        </w:rPr>
        <w:t>为便于供应商及时了解项目采办</w:t>
      </w:r>
      <w:r>
        <w:rPr>
          <w:rFonts w:ascii="Times New Roman" w:hAnsi="Times New Roman" w:eastAsia="仿宋_GB2312" w:cs="Times New Roman"/>
          <w:sz w:val="32"/>
          <w:szCs w:val="32"/>
          <w:highlight w:val="none"/>
        </w:rPr>
        <w:t>信息，现将</w:t>
      </w:r>
      <w:r>
        <w:rPr>
          <w:rFonts w:hint="eastAsia" w:ascii="Times New Roman" w:hAnsi="Times New Roman" w:eastAsia="仿宋_GB2312" w:cs="Times New Roman"/>
          <w:sz w:val="32"/>
          <w:szCs w:val="32"/>
          <w:highlight w:val="none"/>
          <w:u w:val="none"/>
          <w:lang w:val="en-US" w:eastAsia="zh-CN"/>
        </w:rPr>
        <w:t>大榭石化-舟山厂区-工艺设备更新改造项目生产运行五部储水罐-202603-设备</w:t>
      </w:r>
      <w:r>
        <w:rPr>
          <w:rFonts w:ascii="Times New Roman" w:hAnsi="Times New Roman" w:eastAsia="仿宋_GB2312" w:cs="Times New Roman"/>
          <w:sz w:val="32"/>
          <w:szCs w:val="32"/>
          <w:highlight w:val="none"/>
        </w:rPr>
        <w:t>的采办计划公开如下：</w:t>
      </w:r>
    </w:p>
    <w:tbl>
      <w:tblPr>
        <w:tblStyle w:val="5"/>
        <w:tblW w:w="94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268"/>
        <w:gridCol w:w="1437"/>
        <w:gridCol w:w="229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序号</w:t>
            </w:r>
          </w:p>
        </w:tc>
        <w:tc>
          <w:tcPr>
            <w:tcW w:w="1559"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采办包</w:t>
            </w:r>
          </w:p>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名称</w:t>
            </w:r>
          </w:p>
        </w:tc>
        <w:tc>
          <w:tcPr>
            <w:tcW w:w="2268"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采购范围与主要技术指标</w:t>
            </w:r>
          </w:p>
        </w:tc>
        <w:tc>
          <w:tcPr>
            <w:tcW w:w="1437"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预计发标时间</w:t>
            </w:r>
          </w:p>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（填写到月）</w:t>
            </w:r>
          </w:p>
        </w:tc>
        <w:tc>
          <w:tcPr>
            <w:tcW w:w="2295"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供应商资质基本要求</w:t>
            </w:r>
          </w:p>
        </w:tc>
        <w:tc>
          <w:tcPr>
            <w:tcW w:w="1365"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Times New Roman" w:hAnsi="Times New Roman" w:eastAsia="仿宋" w:cs="Times New Roman"/>
                <w:color w:val="auto"/>
                <w:kern w:val="0"/>
                <w:sz w:val="24"/>
                <w:szCs w:val="24"/>
                <w:highlight w:val="none"/>
              </w:rPr>
            </w:pPr>
          </w:p>
        </w:tc>
        <w:tc>
          <w:tcPr>
            <w:tcW w:w="1559" w:type="dxa"/>
            <w:vAlign w:val="center"/>
          </w:tcPr>
          <w:p>
            <w:pPr>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大榭石化-舟山厂区-工艺设备更新改造项目生产运行五部储水罐-202603-设备</w:t>
            </w:r>
          </w:p>
        </w:tc>
        <w:tc>
          <w:tcPr>
            <w:tcW w:w="2268" w:type="dxa"/>
            <w:vAlign w:val="center"/>
          </w:tcPr>
          <w:p>
            <w:pPr>
              <w:shd w:val="clear"/>
              <w:rPr>
                <w:rFonts w:hint="default"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储水罐/SH/T3530/20Y/常压kPaG/60℃/立式圆筒 1台</w:t>
            </w:r>
          </w:p>
        </w:tc>
        <w:tc>
          <w:tcPr>
            <w:tcW w:w="1437" w:type="dxa"/>
            <w:vAlign w:val="center"/>
          </w:tcPr>
          <w:p>
            <w:pPr>
              <w:rPr>
                <w:rFonts w:ascii="Times New Roman" w:hAnsi="Times New Roman" w:eastAsia="仿宋" w:cs="Times New Roman"/>
                <w:color w:val="auto"/>
                <w:kern w:val="0"/>
                <w:sz w:val="24"/>
                <w:szCs w:val="24"/>
                <w:highlight w:val="none"/>
                <w:u w:val="none"/>
              </w:rPr>
            </w:pPr>
            <w:r>
              <w:rPr>
                <w:rFonts w:hint="eastAsia" w:ascii="仿宋" w:hAnsi="仿宋" w:eastAsia="仿宋" w:cs="仿宋"/>
                <w:color w:val="auto"/>
                <w:kern w:val="0"/>
                <w:sz w:val="24"/>
                <w:szCs w:val="24"/>
                <w:highlight w:val="none"/>
                <w:u w:val="none"/>
                <w:shd w:val="clear"/>
                <w:lang w:val="en-US" w:eastAsia="zh-CN"/>
              </w:rPr>
              <w:t>2026年3月</w:t>
            </w:r>
          </w:p>
        </w:tc>
        <w:tc>
          <w:tcPr>
            <w:tcW w:w="2295" w:type="dxa"/>
            <w:vAlign w:val="center"/>
          </w:tcPr>
          <w:p>
            <w:pPr>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1.投标人应在中华人民共和国境内依法注册、具有独立法人资格且具有合法有效的营业执照,</w:t>
            </w:r>
          </w:p>
          <w:p>
            <w:pPr>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2.投标人成立需满三年。</w:t>
            </w:r>
          </w:p>
          <w:p>
            <w:pPr>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3.投标人具有良好的商业信誉，健全的财务会计制度，财务状况和市场行为良好，没有处于被有权机关吊销营业执照、吊销资质、停业整顿、取消投标资格以及财产被接管、冻结或进入破产程序等。</w:t>
            </w:r>
          </w:p>
          <w:p>
            <w:pPr>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4.投标人所提供物资需满足本计划要求，并要与原设备完全匹配。</w:t>
            </w:r>
          </w:p>
          <w:p>
            <w:pPr>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5.投标人需为制造商，不接受代理商贸易商。</w:t>
            </w:r>
          </w:p>
          <w:p>
            <w:pPr>
              <w:rPr>
                <w:rFonts w:hint="default"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6.业绩要求：2021年1月1日至今（以合同签署时间为准），投标人应在中国境内至少具有一台内防腐的压力容器供货业绩。</w:t>
            </w:r>
          </w:p>
          <w:p>
            <w:pPr>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投标人所提交的业绩证明文件中1）销售合同复印件（含相关技术附件）必须体现以下内容：合同首页、合同签署时间、合同签署页（应有双方盖章）、制造商名称、货物名称、供货数量、设备规格型号等（如合同内容本身不能涵盖上述信息，需在投标文件中进一步提供图纸等其他支持材料的复印件）；投标人所提交的业绩证明文件中2）到货验收材料包含但不限于：增值税发票复印件或有买方签字或盖章的验收证明（到货验收单或入库单或用户证明）等。</w:t>
            </w:r>
          </w:p>
          <w:p>
            <w:pPr>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未提交业绩证明文件，或所提供的业绩证明文件无法体现满足上述业绩要求的，均视为无效业绩。</w:t>
            </w:r>
          </w:p>
          <w:p>
            <w:pPr>
              <w:rPr>
                <w:rFonts w:hint="default" w:ascii="Times New Roman" w:hAnsi="Times New Roman" w:eastAsia="仿宋" w:cs="Times New Roman"/>
                <w:color w:val="auto"/>
                <w:kern w:val="0"/>
                <w:sz w:val="24"/>
                <w:szCs w:val="24"/>
                <w:highlight w:val="none"/>
                <w:u w:val="none"/>
                <w:lang w:val="en-US" w:eastAsia="zh-CN" w:bidi="ar-SA"/>
              </w:rPr>
            </w:pPr>
          </w:p>
        </w:tc>
        <w:tc>
          <w:tcPr>
            <w:tcW w:w="1365" w:type="dxa"/>
            <w:vAlign w:val="center"/>
          </w:tcPr>
          <w:p>
            <w:pPr>
              <w:widowControl/>
              <w:ind w:right="-29" w:rightChars="-14"/>
              <w:jc w:val="left"/>
              <w:textAlignment w:val="center"/>
              <w:rPr>
                <w:rFonts w:hint="default" w:ascii="Times New Roman" w:hAnsi="Times New Roman" w:eastAsia="仿宋" w:cs="Times New Roman"/>
                <w:color w:val="auto"/>
                <w:kern w:val="0"/>
                <w:sz w:val="24"/>
                <w:szCs w:val="24"/>
                <w:highlight w:val="none"/>
                <w:u w:val="single"/>
                <w:lang w:val="en-US" w:eastAsia="zh-CN" w:bidi="ar-SA"/>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本次公告有效期是（</w:t>
      </w:r>
      <w:r>
        <w:rPr>
          <w:rFonts w:hint="eastAsia" w:ascii="Times New Roman" w:hAnsi="Times New Roman" w:eastAsia="仿宋_GB2312" w:cs="Times New Roman"/>
          <w:color w:val="auto"/>
          <w:sz w:val="32"/>
          <w:szCs w:val="32"/>
          <w:highlight w:val="none"/>
          <w:lang w:val="en-US" w:eastAsia="zh-CN"/>
        </w:rPr>
        <w:t>2026</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日）至（</w:t>
      </w:r>
      <w:r>
        <w:rPr>
          <w:rFonts w:hint="eastAsia" w:ascii="Times New Roman" w:hAnsi="Times New Roman" w:eastAsia="仿宋_GB2312" w:cs="Times New Roman"/>
          <w:color w:val="auto"/>
          <w:sz w:val="32"/>
          <w:szCs w:val="32"/>
          <w:highlight w:val="none"/>
          <w:lang w:val="en-US" w:eastAsia="zh-CN"/>
        </w:rPr>
        <w:t>2026</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日）止。在此期间，有意参与某采办包的系统用户可在集团公司采办系统中提交反馈材料。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right="976" w:firstLine="640" w:firstLineChars="200"/>
        <w:jc w:val="both"/>
        <w:rPr>
          <w:rFonts w:ascii="Times New Roman" w:hAnsi="Times New Roman" w:eastAsia="仿宋_GB2312" w:cs="Times New Roman"/>
          <w:color w:val="auto"/>
          <w:sz w:val="32"/>
          <w:szCs w:val="32"/>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right="976"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宋体" w:hAnsi="宋体" w:eastAsia="宋体" w:cs="宋体"/>
          <w:b/>
          <w:bCs/>
          <w:color w:val="333333"/>
          <w:kern w:val="0"/>
          <w:sz w:val="24"/>
          <w:szCs w:val="24"/>
          <w:highlight w:val="none"/>
          <w:lang w:val="en-US" w:eastAsia="zh-CN" w:bidi="ar"/>
        </w:rPr>
        <w:t>中海石油炼化责任有限公司采办共享中心设备及配件品类部</w:t>
      </w:r>
      <w:r>
        <w:rPr>
          <w:rFonts w:ascii="Times New Roman" w:hAnsi="Times New Roman" w:eastAsia="仿宋_GB2312" w:cs="Times New Roman"/>
          <w:sz w:val="32"/>
          <w:szCs w:val="32"/>
          <w:highlight w:val="none"/>
        </w:rPr>
        <w:t>）</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highlight w:val="none"/>
        </w:rPr>
      </w:pPr>
      <w:r>
        <w:rPr>
          <w:rFonts w:hint="eastAsia" w:ascii="Times New Roman" w:hAnsi="Times New Roman" w:eastAsia="仿宋_GB2312" w:cs="Times New Roman"/>
          <w:sz w:val="32"/>
          <w:szCs w:val="32"/>
          <w:highlight w:val="none"/>
          <w:lang w:val="en-US" w:eastAsia="zh-CN"/>
        </w:rPr>
        <w:t>2026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 xml:space="preserve">日 </w:t>
      </w:r>
      <w:bookmarkEnd w:id="0"/>
      <w:r>
        <w:rPr>
          <w:rFonts w:ascii="Times New Roman" w:hAnsi="Times New Roman" w:eastAsia="仿宋_GB2312" w:cs="Times New Roman"/>
          <w:sz w:val="32"/>
          <w:szCs w:val="32"/>
          <w:highlight w:val="none"/>
        </w:rPr>
        <w:t xml:space="preserve">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2E3C4A"/>
    <w:rsid w:val="004029A6"/>
    <w:rsid w:val="00AE20AB"/>
    <w:rsid w:val="00E37720"/>
    <w:rsid w:val="00ED277A"/>
    <w:rsid w:val="0CCB585B"/>
    <w:rsid w:val="141D70AD"/>
    <w:rsid w:val="16616C2F"/>
    <w:rsid w:val="19091B31"/>
    <w:rsid w:val="199A1B30"/>
    <w:rsid w:val="1AA27273"/>
    <w:rsid w:val="1B0C48E6"/>
    <w:rsid w:val="1E0075F0"/>
    <w:rsid w:val="20FD3843"/>
    <w:rsid w:val="21923DB3"/>
    <w:rsid w:val="23877E11"/>
    <w:rsid w:val="250C0222"/>
    <w:rsid w:val="2568322D"/>
    <w:rsid w:val="289F22A3"/>
    <w:rsid w:val="2C9829F3"/>
    <w:rsid w:val="2E5C48EA"/>
    <w:rsid w:val="339A40A7"/>
    <w:rsid w:val="3463203C"/>
    <w:rsid w:val="366D1C52"/>
    <w:rsid w:val="37F61637"/>
    <w:rsid w:val="394C3E20"/>
    <w:rsid w:val="3B7369F6"/>
    <w:rsid w:val="3EC36826"/>
    <w:rsid w:val="40614C5E"/>
    <w:rsid w:val="41261532"/>
    <w:rsid w:val="447F7984"/>
    <w:rsid w:val="45261434"/>
    <w:rsid w:val="46A45D7B"/>
    <w:rsid w:val="502B73F4"/>
    <w:rsid w:val="53521849"/>
    <w:rsid w:val="5A671D48"/>
    <w:rsid w:val="5A811F20"/>
    <w:rsid w:val="5C5563C3"/>
    <w:rsid w:val="5D9066AB"/>
    <w:rsid w:val="5E763F02"/>
    <w:rsid w:val="5EA67626"/>
    <w:rsid w:val="5F3D785F"/>
    <w:rsid w:val="60403D32"/>
    <w:rsid w:val="65077C90"/>
    <w:rsid w:val="69716F48"/>
    <w:rsid w:val="6BC16DCB"/>
    <w:rsid w:val="6C181AB5"/>
    <w:rsid w:val="6E3F33E2"/>
    <w:rsid w:val="714C2A1C"/>
    <w:rsid w:val="74021985"/>
    <w:rsid w:val="74536EB2"/>
    <w:rsid w:val="7ABD5039"/>
    <w:rsid w:val="7D0B4E5D"/>
    <w:rsid w:val="7E317552"/>
    <w:rsid w:val="7F2C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qFormat/>
    <w:uiPriority w:val="99"/>
    <w:pPr>
      <w:tabs>
        <w:tab w:val="center" w:pos="4153"/>
        <w:tab w:val="right" w:pos="8306"/>
      </w:tabs>
      <w:snapToGrid w:val="0"/>
      <w:jc w:val="left"/>
    </w:pPr>
    <w:rPr>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style>
  <w:style w:type="character" w:styleId="8">
    <w:name w:val="FollowedHyperlink"/>
    <w:basedOn w:val="6"/>
    <w:semiHidden/>
    <w:unhideWhenUsed/>
    <w:qFormat/>
    <w:uiPriority w:val="99"/>
    <w:rPr>
      <w:color w:val="333333"/>
      <w:u w:val="none"/>
    </w:rPr>
  </w:style>
  <w:style w:type="character" w:styleId="9">
    <w:name w:val="Emphasis"/>
    <w:basedOn w:val="6"/>
    <w:qFormat/>
    <w:uiPriority w:val="20"/>
  </w:style>
  <w:style w:type="character" w:styleId="10">
    <w:name w:val="HTML Definition"/>
    <w:basedOn w:val="6"/>
    <w:semiHidden/>
    <w:unhideWhenUsed/>
    <w:qFormat/>
    <w:uiPriority w:val="99"/>
  </w:style>
  <w:style w:type="character" w:styleId="11">
    <w:name w:val="HTML Typewriter"/>
    <w:basedOn w:val="6"/>
    <w:semiHidden/>
    <w:unhideWhenUsed/>
    <w:qFormat/>
    <w:uiPriority w:val="99"/>
    <w:rPr>
      <w:rFonts w:hint="default" w:ascii="monospace" w:hAnsi="monospace" w:eastAsia="monospace" w:cs="monospace"/>
      <w:sz w:val="20"/>
    </w:rPr>
  </w:style>
  <w:style w:type="character" w:styleId="12">
    <w:name w:val="HTML Acronym"/>
    <w:basedOn w:val="6"/>
    <w:semiHidden/>
    <w:unhideWhenUsed/>
    <w:qFormat/>
    <w:uiPriority w:val="99"/>
  </w:style>
  <w:style w:type="character" w:styleId="13">
    <w:name w:val="HTML Variable"/>
    <w:basedOn w:val="6"/>
    <w:semiHidden/>
    <w:unhideWhenUsed/>
    <w:qFormat/>
    <w:uiPriority w:val="99"/>
  </w:style>
  <w:style w:type="character" w:styleId="14">
    <w:name w:val="Hyperlink"/>
    <w:basedOn w:val="6"/>
    <w:semiHidden/>
    <w:unhideWhenUsed/>
    <w:qFormat/>
    <w:uiPriority w:val="99"/>
    <w:rPr>
      <w:color w:val="333333"/>
      <w:u w:val="none"/>
    </w:rPr>
  </w:style>
  <w:style w:type="character" w:styleId="15">
    <w:name w:val="HTML Code"/>
    <w:basedOn w:val="6"/>
    <w:semiHidden/>
    <w:unhideWhenUsed/>
    <w:qFormat/>
    <w:uiPriority w:val="99"/>
    <w:rPr>
      <w:rFonts w:hint="default" w:ascii="monospace" w:hAnsi="monospace" w:eastAsia="monospace" w:cs="monospace"/>
      <w:sz w:val="20"/>
    </w:rPr>
  </w:style>
  <w:style w:type="character" w:styleId="16">
    <w:name w:val="HTML Cite"/>
    <w:basedOn w:val="6"/>
    <w:semiHidden/>
    <w:unhideWhenUsed/>
    <w:qFormat/>
    <w:uiPriority w:val="99"/>
  </w:style>
  <w:style w:type="character" w:styleId="17">
    <w:name w:val="HTML Keyboard"/>
    <w:basedOn w:val="6"/>
    <w:semiHidden/>
    <w:unhideWhenUsed/>
    <w:qFormat/>
    <w:uiPriority w:val="99"/>
    <w:rPr>
      <w:rFonts w:hint="default" w:ascii="monospace" w:hAnsi="monospace" w:eastAsia="monospace" w:cs="monospace"/>
      <w:sz w:val="20"/>
    </w:rPr>
  </w:style>
  <w:style w:type="character" w:styleId="18">
    <w:name w:val="HTML Sample"/>
    <w:basedOn w:val="6"/>
    <w:semiHidden/>
    <w:unhideWhenUsed/>
    <w:qFormat/>
    <w:uiPriority w:val="99"/>
    <w:rPr>
      <w:rFonts w:ascii="monospace" w:hAnsi="monospace" w:eastAsia="monospace" w:cs="monospace"/>
    </w:rPr>
  </w:style>
  <w:style w:type="character" w:customStyle="1" w:styleId="19">
    <w:name w:val="页眉 字符"/>
    <w:basedOn w:val="6"/>
    <w:link w:val="3"/>
    <w:qFormat/>
    <w:uiPriority w:val="99"/>
    <w:rPr>
      <w:sz w:val="18"/>
      <w:szCs w:val="18"/>
    </w:rPr>
  </w:style>
  <w:style w:type="character" w:customStyle="1" w:styleId="2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Words>
  <Characters>314</Characters>
  <Lines>2</Lines>
  <Paragraphs>1</Paragraphs>
  <TotalTime>64</TotalTime>
  <ScaleCrop>false</ScaleCrop>
  <LinksUpToDate>false</LinksUpToDate>
  <CharactersWithSpaces>368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井淼</cp:lastModifiedBy>
  <cp:lastPrinted>2024-04-30T01:00:00Z</cp:lastPrinted>
  <dcterms:modified xsi:type="dcterms:W3CDTF">2026-03-02T02:04:13Z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863F3EE8D67B4262935A16AF2897390D</vt:lpwstr>
  </property>
  <property fmtid="{D5CDD505-2E9C-101B-9397-08002B2CF9AE}" pid="4" name="KSOTemplateDocerSaveRecord">
    <vt:lpwstr>eyJoZGlkIjoiMTVmZjkxNGE3ZTJlYmZhMzE5NTYwYmE2MmU1OThmODQifQ==</vt:lpwstr>
  </property>
</Properties>
</file>