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宋体" w:hAnsi="宋体"/>
          <w:sz w:val="28"/>
          <w:szCs w:val="28"/>
        </w:rPr>
      </w:pPr>
      <w:bookmarkStart w:id="0" w:name="_Toc28095"/>
      <w:bookmarkStart w:id="1" w:name="_Toc29329"/>
      <w:bookmarkStart w:id="2" w:name="_Toc31355"/>
      <w:bookmarkStart w:id="3" w:name="_Toc23309"/>
      <w:bookmarkStart w:id="4" w:name="_Toc19210"/>
      <w:bookmarkStart w:id="5" w:name="_Toc27894"/>
      <w:bookmarkStart w:id="6" w:name="_Toc445215517"/>
      <w:bookmarkStart w:id="7" w:name="_Toc410207416"/>
      <w:r>
        <w:rPr>
          <w:rFonts w:hint="eastAsia" w:ascii="宋体" w:hAnsi="宋体"/>
          <w:sz w:val="28"/>
          <w:szCs w:val="28"/>
        </w:rPr>
        <w:t>附件一</w:t>
      </w:r>
      <w:bookmarkEnd w:id="0"/>
      <w:bookmarkEnd w:id="1"/>
      <w:bookmarkEnd w:id="2"/>
      <w:bookmarkEnd w:id="3"/>
      <w:bookmarkEnd w:id="4"/>
      <w:bookmarkEnd w:id="5"/>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bookmarkStart w:id="8" w:name="_Toc488396745"/>
      <w:bookmarkStart w:id="9" w:name="_Toc488217407"/>
      <w:r>
        <w:rPr>
          <w:rFonts w:hint="eastAsia" w:ascii="宋体" w:hAnsi="宋体" w:eastAsia="宋体" w:cs="新宋体"/>
          <w:b/>
          <w:bCs/>
          <w:kern w:val="0"/>
          <w:sz w:val="36"/>
          <w:szCs w:val="36"/>
        </w:rPr>
        <w:t>物资招标项目概况</w:t>
      </w:r>
      <w:bookmarkEnd w:id="8"/>
      <w:bookmarkEnd w:id="9"/>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501"/>
        <w:gridCol w:w="8309"/>
        <w:gridCol w:w="2268"/>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3" w:hRule="atLeast"/>
          <w:jc w:val="center"/>
        </w:trPr>
        <w:tc>
          <w:tcPr>
            <w:tcW w:w="850" w:type="dxa"/>
            <w:tcBorders>
              <w:bottom w:val="single" w:color="auto" w:sz="4" w:space="0"/>
            </w:tcBorders>
            <w:noWrap w:val="0"/>
            <w:vAlign w:val="center"/>
          </w:tcPr>
          <w:p>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序号</w:t>
            </w:r>
          </w:p>
        </w:tc>
        <w:tc>
          <w:tcPr>
            <w:tcW w:w="1501" w:type="dxa"/>
            <w:tcBorders>
              <w:bottom w:val="single" w:color="auto" w:sz="4" w:space="0"/>
            </w:tcBorders>
            <w:noWrap w:val="0"/>
            <w:vAlign w:val="center"/>
          </w:tcPr>
          <w:p>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项目全称</w:t>
            </w:r>
          </w:p>
        </w:tc>
        <w:tc>
          <w:tcPr>
            <w:tcW w:w="8309" w:type="dxa"/>
            <w:tcBorders>
              <w:bottom w:val="single" w:color="auto" w:sz="4" w:space="0"/>
            </w:tcBorders>
            <w:noWrap w:val="0"/>
            <w:vAlign w:val="center"/>
          </w:tcPr>
          <w:p>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项目概况（详细）</w:t>
            </w:r>
          </w:p>
        </w:tc>
        <w:tc>
          <w:tcPr>
            <w:tcW w:w="2268" w:type="dxa"/>
            <w:tcBorders>
              <w:bottom w:val="single" w:color="auto" w:sz="4" w:space="0"/>
            </w:tcBorders>
            <w:noWrap w:val="0"/>
            <w:vAlign w:val="center"/>
          </w:tcPr>
          <w:p>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项目通讯地址、物资部长、联系方式</w:t>
            </w:r>
          </w:p>
        </w:tc>
        <w:tc>
          <w:tcPr>
            <w:tcW w:w="1416" w:type="dxa"/>
            <w:tcBorders>
              <w:bottom w:val="single" w:color="auto" w:sz="4" w:space="0"/>
            </w:tcBorders>
            <w:noWrap w:val="0"/>
            <w:vAlign w:val="center"/>
          </w:tcPr>
          <w:p>
            <w:pPr>
              <w:kinsoku w:val="0"/>
              <w:overflowPunct w:val="0"/>
              <w:autoSpaceDE w:val="0"/>
              <w:autoSpaceDN w:val="0"/>
              <w:adjustRightInd w:val="0"/>
              <w:snapToGrid w:val="0"/>
              <w:spacing w:line="240" w:lineRule="atLeast"/>
              <w:jc w:val="center"/>
              <w:rPr>
                <w:rFonts w:ascii="宋体" w:hAnsi="宋体" w:cs="宋体"/>
                <w:b/>
                <w:bCs/>
                <w:kern w:val="0"/>
                <w:szCs w:val="21"/>
              </w:rPr>
            </w:pPr>
            <w:r>
              <w:rPr>
                <w:rFonts w:hint="eastAsia" w:ascii="宋体" w:hAnsi="宋体" w:cs="宋体"/>
                <w:b/>
                <w:bCs/>
                <w:kern w:val="0"/>
                <w:szCs w:val="21"/>
              </w:rPr>
              <w:t>所属单位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1</w:t>
            </w:r>
          </w:p>
        </w:tc>
        <w:tc>
          <w:tcPr>
            <w:tcW w:w="15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新疆墨玉县北部防沙治沙水源工程（一期）项目</w:t>
            </w:r>
          </w:p>
        </w:tc>
        <w:tc>
          <w:tcPr>
            <w:tcW w:w="83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墨玉县北部防沙治沙水源工程一期水源工程，主要包括引水渠工程、沉沙调节池。主要建设内容为新（改）建节制闸13座、分水闸22座、农桥11座，改建及新建引水渠10.593km，新建沉沙调节池1座（984万m3）。工程等别为Ⅲ等，工程规模为中型。引水工程、沉沙调节池主要建筑物级别为4级，次要建筑物级别为5级。工程合理使用年限为50年。</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新疆维吾尔自治区和田市墨玉县萨依巴格乡</w:t>
            </w:r>
          </w:p>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林伟18060910916</w:t>
            </w: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中铁二局集团有限公司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lang w:val="en-US" w:eastAsia="zh-CN"/>
              </w:rPr>
              <w:t>2</w:t>
            </w:r>
          </w:p>
        </w:tc>
        <w:tc>
          <w:tcPr>
            <w:tcW w:w="15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rPr>
              <w:t>南沙科创中心生命健康产业园项目设计施工总承包（标段一）</w:t>
            </w:r>
          </w:p>
        </w:tc>
        <w:tc>
          <w:tcPr>
            <w:tcW w:w="83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rPr>
              <w:t>广州市南沙科创中心生命健康产业园项目位于广州市南沙区万顷沙镇万泰路西南侧，十一涌西北，本标段规划用地面积约60000㎡，主要包括丙类中试厂房建筑面积约5.1万㎡、丙类孵化加速器建筑面积约5.36万㎡、丙类多层厂房建筑面积约1.4万㎡、相关配套用房建筑面积约4.94万㎡，合计计容建筑面积约16.8万㎡，地下室建筑面积根据实际需求设计。</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广东省广州市南沙区金岭北路广州南沙片区项目部</w:t>
            </w:r>
          </w:p>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rPr>
              <w:t>杨杰 13874442186</w:t>
            </w: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中铁二局集团有限公司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850"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default" w:ascii="仿宋_GB2312" w:eastAsia="宋体"/>
                <w:sz w:val="18"/>
                <w:szCs w:val="18"/>
                <w:lang w:val="en-US" w:eastAsia="zh-CN"/>
              </w:rPr>
            </w:pPr>
            <w:r>
              <w:rPr>
                <w:rFonts w:hint="eastAsia" w:ascii="仿宋_GB2312" w:eastAsia="宋体"/>
                <w:sz w:val="18"/>
                <w:szCs w:val="18"/>
                <w:lang w:val="en-US" w:eastAsia="zh-CN"/>
              </w:rPr>
              <w:t>3</w:t>
            </w:r>
          </w:p>
        </w:tc>
        <w:tc>
          <w:tcPr>
            <w:tcW w:w="1501"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lang w:val="en-US" w:eastAsia="zh-CN"/>
              </w:rPr>
              <w:t>中铁二局集团有限公司庆盛枢纽区块综合开发项目(庆盛科创教育核心区工程)项目经理部</w:t>
            </w:r>
          </w:p>
        </w:tc>
        <w:tc>
          <w:tcPr>
            <w:tcW w:w="8309"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eastAsia="宋体"/>
                <w:sz w:val="18"/>
                <w:szCs w:val="18"/>
              </w:rPr>
              <w:t>庆盛枢纽区块综合开发项目庆盛科创教育核心区工程城市绿地系统设计范围为广深港客运专线、京珠高速、规划一路、东部快速所围合区域，我分部占14个子单位工程的12个，分别是6处河涌景观（四龙涌、三沙涌、石涌、石排新涌、东涌公园、流江涌）、4处防护绿地（南二环两侧及桥下、京珠高速东侧、东涌地铁站、市政防护绿地）、2处街头绿地（纵三路、纵十路）。景观设计总面积约89.47万m,其中绿地面积68.97万㎡,园建面积18.56万㎡及附属用地面积1.94万㎡:建设内容包括园建、绿化、给排水、照明、海城市等专业工程。本次采购物资用于庆盛枢纽区块综合开发项目(庆盛科创教育核心区工程)项目经理部，项目位于广东省广州市南沙区黄阁在镇东胜街三巷18号中铁</w:t>
            </w:r>
            <w:r>
              <w:rPr>
                <w:rFonts w:hint="eastAsia" w:ascii="仿宋_GB2312" w:eastAsia="宋体"/>
                <w:sz w:val="18"/>
                <w:szCs w:val="18"/>
                <w:lang w:eastAsia="zh-CN"/>
              </w:rPr>
              <w:t>二局</w:t>
            </w:r>
            <w:r>
              <w:rPr>
                <w:rFonts w:hint="eastAsia" w:ascii="仿宋_GB2312" w:eastAsia="宋体"/>
                <w:sz w:val="18"/>
                <w:szCs w:val="18"/>
              </w:rPr>
              <w:t>，于2025年5月开工，计划2027年12月竣工。所采购</w:t>
            </w:r>
            <w:r>
              <w:rPr>
                <w:rFonts w:hint="eastAsia" w:ascii="仿宋_GB2312" w:eastAsia="宋体"/>
                <w:sz w:val="18"/>
                <w:szCs w:val="18"/>
                <w:lang w:val="en-US" w:eastAsia="zh-CN"/>
              </w:rPr>
              <w:t>绿化主材</w:t>
            </w:r>
            <w:r>
              <w:rPr>
                <w:rFonts w:hint="eastAsia" w:ascii="仿宋_GB2312" w:eastAsia="宋体"/>
                <w:sz w:val="18"/>
                <w:szCs w:val="18"/>
              </w:rPr>
              <w:t>总需求量约1批，共计1个包件，本次为第一次采购。</w:t>
            </w:r>
          </w:p>
        </w:tc>
        <w:tc>
          <w:tcPr>
            <w:tcW w:w="2268"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广东省广州市南沙区黄阁在镇东胜街三巷18号</w:t>
            </w:r>
          </w:p>
          <w:p>
            <w:pPr>
              <w:kinsoku w:val="0"/>
              <w:overflowPunct w:val="0"/>
              <w:autoSpaceDE w:val="0"/>
              <w:autoSpaceDN w:val="0"/>
              <w:adjustRightInd w:val="0"/>
              <w:snapToGrid w:val="0"/>
              <w:spacing w:line="240" w:lineRule="atLeast"/>
              <w:jc w:val="center"/>
              <w:rPr>
                <w:rFonts w:hint="eastAsia" w:ascii="仿宋_GB2312" w:eastAsia="宋体"/>
                <w:sz w:val="18"/>
                <w:szCs w:val="18"/>
                <w:lang w:val="en-US" w:eastAsia="zh-CN"/>
              </w:rPr>
            </w:pPr>
            <w:r>
              <w:rPr>
                <w:rFonts w:hint="eastAsia" w:ascii="仿宋_GB2312" w:hAnsi="Times New Roman" w:eastAsia="宋体" w:cs="Times New Roman"/>
                <w:sz w:val="18"/>
                <w:szCs w:val="18"/>
              </w:rPr>
              <w:t>黄永祥：13923781129</w:t>
            </w:r>
            <w:r>
              <w:rPr>
                <w:rFonts w:hint="eastAsia" w:ascii="仿宋_GB2312" w:eastAsia="宋体"/>
                <w:sz w:val="18"/>
                <w:szCs w:val="18"/>
              </w:rPr>
              <w:br w:type="textWrapping"/>
            </w:r>
          </w:p>
        </w:tc>
        <w:tc>
          <w:tcPr>
            <w:tcW w:w="1416" w:type="dxa"/>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pPr>
              <w:kinsoku w:val="0"/>
              <w:overflowPunct w:val="0"/>
              <w:autoSpaceDE w:val="0"/>
              <w:autoSpaceDN w:val="0"/>
              <w:adjustRightInd w:val="0"/>
              <w:snapToGrid w:val="0"/>
              <w:spacing w:line="240" w:lineRule="atLeast"/>
              <w:jc w:val="center"/>
              <w:rPr>
                <w:rFonts w:hint="eastAsia" w:ascii="仿宋_GB2312" w:eastAsia="宋体"/>
                <w:sz w:val="18"/>
                <w:szCs w:val="18"/>
              </w:rPr>
            </w:pPr>
            <w:r>
              <w:rPr>
                <w:rFonts w:hint="eastAsia" w:ascii="仿宋_GB2312" w:eastAsia="宋体"/>
                <w:sz w:val="18"/>
                <w:szCs w:val="18"/>
              </w:rPr>
              <w:t>中铁二局集团有限公司</w:t>
            </w:r>
          </w:p>
        </w:tc>
      </w:tr>
    </w:tbl>
    <w:p>
      <w:pPr>
        <w:outlineLvl w:val="1"/>
        <w:rPr>
          <w:rFonts w:hint="eastAsia" w:ascii="宋体" w:hAnsi="宋体"/>
          <w:sz w:val="28"/>
          <w:szCs w:val="28"/>
        </w:rPr>
      </w:pPr>
      <w:r>
        <w:rPr>
          <w:b/>
          <w:szCs w:val="28"/>
        </w:rPr>
        <w:br w:type="page"/>
      </w:r>
      <w:bookmarkStart w:id="10" w:name="_Toc24981"/>
      <w:bookmarkStart w:id="11" w:name="_Toc13606"/>
      <w:bookmarkStart w:id="12" w:name="_Toc5991"/>
      <w:bookmarkStart w:id="13" w:name="_Toc3326"/>
      <w:bookmarkStart w:id="14" w:name="_Toc18930"/>
      <w:bookmarkStart w:id="15" w:name="_Toc9747"/>
      <w:r>
        <w:rPr>
          <w:rFonts w:hint="eastAsia" w:ascii="宋体" w:hAnsi="宋体"/>
          <w:sz w:val="28"/>
          <w:szCs w:val="28"/>
        </w:rPr>
        <w:t>附件</w:t>
      </w:r>
      <w:bookmarkEnd w:id="6"/>
      <w:bookmarkEnd w:id="7"/>
      <w:r>
        <w:rPr>
          <w:rFonts w:hint="eastAsia" w:ascii="宋体" w:hAnsi="宋体"/>
          <w:sz w:val="28"/>
          <w:szCs w:val="28"/>
        </w:rPr>
        <w:t>二</w:t>
      </w:r>
      <w:bookmarkEnd w:id="10"/>
      <w:bookmarkEnd w:id="11"/>
      <w:bookmarkEnd w:id="12"/>
      <w:bookmarkEnd w:id="13"/>
      <w:bookmarkEnd w:id="14"/>
      <w:bookmarkEnd w:id="15"/>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新宋体"/>
          <w:b/>
          <w:bCs/>
          <w:kern w:val="0"/>
          <w:sz w:val="36"/>
          <w:szCs w:val="36"/>
        </w:rPr>
      </w:pPr>
      <w:r>
        <w:rPr>
          <w:rFonts w:hint="eastAsia" w:ascii="宋体" w:hAnsi="宋体" w:eastAsia="宋体" w:cs="新宋体"/>
          <w:b/>
          <w:bCs/>
          <w:kern w:val="0"/>
          <w:sz w:val="36"/>
          <w:szCs w:val="36"/>
        </w:rPr>
        <w:t>物资品种、包件划分、投标保证金、投标人资格要求</w:t>
      </w:r>
    </w:p>
    <w:tbl>
      <w:tblPr>
        <w:tblStyle w:val="10"/>
        <w:tblW w:w="0" w:type="auto"/>
        <w:jc w:val="center"/>
        <w:tblLayout w:type="fixed"/>
        <w:tblCellMar>
          <w:top w:w="0" w:type="dxa"/>
          <w:left w:w="108" w:type="dxa"/>
          <w:bottom w:w="0" w:type="dxa"/>
          <w:right w:w="108" w:type="dxa"/>
        </w:tblCellMar>
      </w:tblPr>
      <w:tblGrid>
        <w:gridCol w:w="989"/>
        <w:gridCol w:w="990"/>
        <w:gridCol w:w="990"/>
        <w:gridCol w:w="990"/>
        <w:gridCol w:w="1234"/>
        <w:gridCol w:w="2468"/>
        <w:gridCol w:w="1341"/>
        <w:gridCol w:w="1376"/>
        <w:gridCol w:w="3484"/>
      </w:tblGrid>
      <w:tr>
        <w:tblPrEx>
          <w:tblCellMar>
            <w:top w:w="0" w:type="dxa"/>
            <w:left w:w="108" w:type="dxa"/>
            <w:bottom w:w="0" w:type="dxa"/>
            <w:right w:w="108" w:type="dxa"/>
          </w:tblCellMar>
        </w:tblPrEx>
        <w:trPr>
          <w:trHeight w:val="280" w:hRule="atLeast"/>
          <w:jc w:val="center"/>
        </w:trPr>
        <w:tc>
          <w:tcPr>
            <w:tcW w:w="9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序号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物资名称</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包件号</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计量单位</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包件数量</w:t>
            </w:r>
          </w:p>
        </w:tc>
        <w:tc>
          <w:tcPr>
            <w:tcW w:w="2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项目名称</w:t>
            </w:r>
          </w:p>
        </w:tc>
        <w:tc>
          <w:tcPr>
            <w:tcW w:w="134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投标保证金（万元）</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val="en-US" w:eastAsia="zh-CN" w:bidi="ar"/>
              </w:rPr>
              <w:t>履约</w:t>
            </w:r>
            <w:r>
              <w:rPr>
                <w:rFonts w:hint="eastAsia" w:ascii="宋体" w:hAnsi="宋体" w:cs="宋体"/>
                <w:color w:val="000000"/>
                <w:kern w:val="0"/>
                <w:sz w:val="18"/>
                <w:szCs w:val="18"/>
                <w:lang w:bidi="ar"/>
              </w:rPr>
              <w:t>保证金（万元）</w:t>
            </w:r>
          </w:p>
        </w:tc>
        <w:tc>
          <w:tcPr>
            <w:tcW w:w="34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不含税最高限价（元）</w:t>
            </w:r>
          </w:p>
        </w:tc>
      </w:tr>
      <w:tr>
        <w:tblPrEx>
          <w:tblCellMar>
            <w:top w:w="0" w:type="dxa"/>
            <w:left w:w="108" w:type="dxa"/>
            <w:bottom w:w="0" w:type="dxa"/>
            <w:right w:w="108" w:type="dxa"/>
          </w:tblCellMar>
        </w:tblPrEx>
        <w:trPr>
          <w:trHeight w:val="480" w:hRule="atLeast"/>
          <w:jc w:val="center"/>
        </w:trPr>
        <w:tc>
          <w:tcPr>
            <w:tcW w:w="98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1</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Cs w:val="21"/>
                <w:lang w:bidi="ar"/>
              </w:rPr>
              <w:t>商品混凝土</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Cs w:val="21"/>
                <w:lang w:bidi="ar"/>
              </w:rPr>
              <w:t>HNT-01</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szCs w:val="21"/>
              </w:rPr>
              <w:t>m³</w:t>
            </w:r>
          </w:p>
        </w:tc>
        <w:tc>
          <w:tcPr>
            <w:tcW w:w="123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ascii="宋体" w:hAnsi="宋体" w:cs="仿宋_GB2312"/>
                <w:color w:val="000000"/>
                <w:kern w:val="0"/>
                <w:szCs w:val="21"/>
                <w:lang w:bidi="ar"/>
              </w:rPr>
              <w:t>124639</w:t>
            </w:r>
          </w:p>
        </w:tc>
        <w:tc>
          <w:tcPr>
            <w:tcW w:w="246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18"/>
                <w:szCs w:val="18"/>
              </w:rPr>
            </w:pPr>
            <w:r>
              <w:rPr>
                <w:rFonts w:hint="eastAsia" w:ascii="宋体" w:hAnsi="宋体" w:cs="宋体"/>
                <w:szCs w:val="21"/>
              </w:rPr>
              <w:t>新疆墨玉县北部防沙治沙水源工程（一期）项目</w:t>
            </w:r>
          </w:p>
        </w:tc>
        <w:tc>
          <w:tcPr>
            <w:tcW w:w="134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w:t>
            </w:r>
          </w:p>
        </w:tc>
        <w:tc>
          <w:tcPr>
            <w:tcW w:w="137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含税合同金额1%</w:t>
            </w:r>
          </w:p>
        </w:tc>
        <w:tc>
          <w:tcPr>
            <w:tcW w:w="348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18"/>
                <w:szCs w:val="18"/>
              </w:rPr>
            </w:pPr>
            <w:r>
              <w:rPr>
                <w:rFonts w:hint="eastAsia" w:ascii="宋体" w:hAnsi="宋体" w:eastAsia="宋体" w:cs="宋体"/>
                <w:b/>
                <w:bCs/>
                <w:i w:val="0"/>
                <w:iCs w:val="0"/>
                <w:color w:val="000000"/>
                <w:kern w:val="0"/>
                <w:sz w:val="20"/>
                <w:szCs w:val="20"/>
                <w:u w:val="none"/>
                <w:lang w:val="en-US" w:eastAsia="zh-CN" w:bidi="ar"/>
              </w:rPr>
              <w:t>43386730.00</w:t>
            </w:r>
          </w:p>
        </w:tc>
      </w:tr>
      <w:tr>
        <w:tblPrEx>
          <w:tblCellMar>
            <w:top w:w="0" w:type="dxa"/>
            <w:left w:w="108" w:type="dxa"/>
            <w:bottom w:w="0" w:type="dxa"/>
            <w:right w:w="108" w:type="dxa"/>
          </w:tblCellMar>
        </w:tblPrEx>
        <w:trPr>
          <w:trHeight w:val="2405" w:hRule="atLeast"/>
          <w:jc w:val="center"/>
        </w:trPr>
        <w:tc>
          <w:tcPr>
            <w:tcW w:w="13862" w:type="dxa"/>
            <w:gridSpan w:val="9"/>
            <w:tcBorders>
              <w:top w:val="single" w:color="000000" w:sz="4" w:space="0"/>
              <w:left w:val="single" w:color="000000" w:sz="4" w:space="0"/>
              <w:bottom w:val="single" w:color="000000" w:sz="4" w:space="0"/>
              <w:right w:val="single" w:color="000000" w:sz="4" w:space="0"/>
            </w:tcBorders>
            <w:noWrap w:val="0"/>
            <w:vAlign w:val="top"/>
          </w:tcPr>
          <w:p>
            <w:pPr>
              <w:widowControl/>
              <w:spacing w:line="276" w:lineRule="auto"/>
              <w:jc w:val="left"/>
              <w:rPr>
                <w:rFonts w:hint="eastAsia" w:ascii="宋体" w:hAnsi="宋体"/>
                <w:kern w:val="0"/>
                <w:sz w:val="18"/>
                <w:szCs w:val="18"/>
              </w:rPr>
            </w:pPr>
            <w:r>
              <w:rPr>
                <w:rFonts w:hint="eastAsia" w:ascii="宋体" w:hAnsi="宋体"/>
                <w:kern w:val="0"/>
                <w:sz w:val="18"/>
                <w:szCs w:val="18"/>
              </w:rPr>
              <w:t>1.营业范围要求</w:t>
            </w:r>
          </w:p>
          <w:p>
            <w:pPr>
              <w:widowControl/>
              <w:spacing w:line="276" w:lineRule="auto"/>
              <w:jc w:val="left"/>
              <w:rPr>
                <w:rFonts w:hint="eastAsia" w:ascii="宋体" w:hAnsi="宋体"/>
                <w:kern w:val="0"/>
                <w:sz w:val="18"/>
                <w:szCs w:val="18"/>
              </w:rPr>
            </w:pPr>
            <w:r>
              <w:rPr>
                <w:rFonts w:hint="eastAsia" w:ascii="宋体" w:hAnsi="宋体"/>
                <w:kern w:val="0"/>
                <w:sz w:val="18"/>
                <w:szCs w:val="18"/>
              </w:rPr>
              <w:t>投标人应在中华人民共和国境内依法注册，具有独立法人资格，具有招标物资生产或供应经验的生产商、代理商，具有合法、有效的营业执照。</w:t>
            </w:r>
          </w:p>
          <w:p>
            <w:pPr>
              <w:widowControl/>
              <w:spacing w:line="276" w:lineRule="auto"/>
              <w:jc w:val="left"/>
              <w:rPr>
                <w:rFonts w:hint="eastAsia" w:ascii="宋体" w:hAnsi="宋体"/>
                <w:kern w:val="0"/>
                <w:sz w:val="18"/>
                <w:szCs w:val="18"/>
              </w:rPr>
            </w:pPr>
            <w:r>
              <w:rPr>
                <w:rFonts w:hint="eastAsia" w:ascii="宋体" w:hAnsi="宋体"/>
                <w:kern w:val="0"/>
                <w:sz w:val="18"/>
                <w:szCs w:val="18"/>
              </w:rPr>
              <w:t>2.生产能力要求</w:t>
            </w:r>
          </w:p>
          <w:p>
            <w:pPr>
              <w:widowControl/>
              <w:spacing w:line="276" w:lineRule="auto"/>
              <w:jc w:val="left"/>
              <w:rPr>
                <w:rFonts w:hint="eastAsia" w:ascii="宋体" w:hAnsi="宋体"/>
                <w:kern w:val="0"/>
                <w:sz w:val="18"/>
                <w:szCs w:val="18"/>
              </w:rPr>
            </w:pPr>
            <w:r>
              <w:rPr>
                <w:rFonts w:hint="eastAsia" w:ascii="宋体" w:hAnsi="宋体"/>
                <w:kern w:val="0"/>
                <w:sz w:val="18"/>
                <w:szCs w:val="18"/>
              </w:rPr>
              <w:t>满足本次招标物资使用项目的检验检测、使用等需求。</w:t>
            </w:r>
          </w:p>
          <w:p>
            <w:pPr>
              <w:widowControl/>
              <w:spacing w:line="276" w:lineRule="auto"/>
              <w:jc w:val="left"/>
              <w:rPr>
                <w:rFonts w:hint="eastAsia" w:ascii="宋体" w:hAnsi="宋体"/>
                <w:kern w:val="0"/>
                <w:sz w:val="18"/>
                <w:szCs w:val="18"/>
              </w:rPr>
            </w:pPr>
            <w:r>
              <w:rPr>
                <w:rFonts w:hint="eastAsia" w:ascii="宋体" w:hAnsi="宋体"/>
                <w:kern w:val="0"/>
                <w:sz w:val="18"/>
                <w:szCs w:val="18"/>
              </w:rPr>
              <w:t>3.供货业绩要求</w:t>
            </w:r>
          </w:p>
          <w:p>
            <w:pPr>
              <w:widowControl/>
              <w:spacing w:line="276" w:lineRule="auto"/>
              <w:jc w:val="left"/>
              <w:rPr>
                <w:rFonts w:hint="eastAsia" w:ascii="宋体" w:hAnsi="宋体"/>
                <w:kern w:val="0"/>
                <w:sz w:val="18"/>
                <w:szCs w:val="18"/>
              </w:rPr>
            </w:pPr>
            <w:r>
              <w:rPr>
                <w:rFonts w:hint="eastAsia" w:ascii="宋体" w:hAnsi="宋体"/>
                <w:kern w:val="0"/>
                <w:sz w:val="18"/>
                <w:szCs w:val="18"/>
              </w:rPr>
              <w:t>投标人须提供202</w:t>
            </w:r>
            <w:r>
              <w:rPr>
                <w:rFonts w:hint="eastAsia" w:ascii="宋体" w:hAnsi="宋体"/>
                <w:kern w:val="0"/>
                <w:sz w:val="18"/>
                <w:szCs w:val="18"/>
                <w:lang w:val="en-US" w:eastAsia="zh-CN"/>
              </w:rPr>
              <w:t>2</w:t>
            </w:r>
            <w:r>
              <w:rPr>
                <w:rFonts w:hint="eastAsia" w:ascii="宋体" w:hAnsi="宋体"/>
                <w:kern w:val="0"/>
                <w:sz w:val="18"/>
                <w:szCs w:val="18"/>
              </w:rPr>
              <w:t>年</w:t>
            </w:r>
            <w:r>
              <w:rPr>
                <w:rFonts w:hint="eastAsia" w:ascii="宋体" w:hAnsi="宋体"/>
                <w:kern w:val="0"/>
                <w:sz w:val="18"/>
                <w:szCs w:val="18"/>
                <w:lang w:val="en-US" w:eastAsia="zh-CN"/>
              </w:rPr>
              <w:t>至今</w:t>
            </w:r>
            <w:r>
              <w:rPr>
                <w:rFonts w:hint="eastAsia" w:ascii="宋体" w:hAnsi="宋体"/>
                <w:kern w:val="0"/>
                <w:sz w:val="18"/>
                <w:szCs w:val="18"/>
              </w:rPr>
              <w:t>年铁路工程、公路工程、房建工程、市政工程、城市轨道等工程建设项目供货业绩至少1份（中标通知书或供货合同）。</w:t>
            </w:r>
          </w:p>
          <w:p>
            <w:pPr>
              <w:widowControl/>
              <w:spacing w:line="276" w:lineRule="auto"/>
              <w:jc w:val="left"/>
              <w:rPr>
                <w:rFonts w:hint="eastAsia" w:ascii="宋体" w:hAnsi="宋体"/>
                <w:kern w:val="0"/>
                <w:sz w:val="18"/>
                <w:szCs w:val="18"/>
              </w:rPr>
            </w:pPr>
            <w:r>
              <w:rPr>
                <w:rFonts w:hint="eastAsia" w:ascii="宋体" w:hAnsi="宋体"/>
                <w:kern w:val="0"/>
                <w:sz w:val="18"/>
                <w:szCs w:val="18"/>
              </w:rPr>
              <w:t>4.履约信用要求</w:t>
            </w:r>
          </w:p>
          <w:p>
            <w:pPr>
              <w:widowControl/>
              <w:spacing w:line="240" w:lineRule="auto"/>
              <w:jc w:val="left"/>
              <w:rPr>
                <w:rFonts w:hint="eastAsia" w:ascii="宋体" w:hAnsi="宋体" w:eastAsia="宋体" w:cs="宋体"/>
                <w:color w:val="000000"/>
                <w:kern w:val="0"/>
                <w:sz w:val="18"/>
                <w:szCs w:val="18"/>
                <w:highlight w:val="none"/>
              </w:rPr>
            </w:pPr>
            <w:r>
              <w:rPr>
                <w:rFonts w:hint="eastAsia" w:ascii="宋体" w:hAnsi="宋体"/>
                <w:kern w:val="0"/>
                <w:sz w:val="18"/>
                <w:szCs w:val="18"/>
              </w:rPr>
              <w:t>投标人具有良好的社会信誉，不接受存在以下任何一种情况的公司投标。</w:t>
            </w:r>
            <w:r>
              <w:rPr>
                <w:rFonts w:hint="eastAsia" w:ascii="宋体" w:hAnsi="宋体" w:eastAsia="宋体" w:cs="宋体"/>
                <w:color w:val="000000"/>
                <w:kern w:val="0"/>
                <w:sz w:val="18"/>
                <w:szCs w:val="18"/>
                <w:highlight w:val="none"/>
              </w:rPr>
              <w:t>请投标人提供不限于查询证明截图或承诺书等证明资料。</w:t>
            </w:r>
          </w:p>
          <w:p>
            <w:pPr>
              <w:widowControl/>
              <w:spacing w:line="276" w:lineRule="auto"/>
              <w:jc w:val="left"/>
              <w:rPr>
                <w:rFonts w:hint="eastAsia" w:ascii="宋体" w:hAnsi="宋体"/>
                <w:kern w:val="0"/>
                <w:sz w:val="18"/>
                <w:szCs w:val="18"/>
              </w:rPr>
            </w:pPr>
            <w:r>
              <w:rPr>
                <w:rFonts w:hint="eastAsia" w:ascii="宋体" w:hAnsi="宋体"/>
                <w:kern w:val="0"/>
                <w:sz w:val="18"/>
                <w:szCs w:val="18"/>
              </w:rPr>
              <w:t>（1）在“国家企业信用信息公示系统”（https://www.gsxt.gov.cn/index.html）被列入严重违法失信名单和经营异常名单。</w:t>
            </w:r>
          </w:p>
          <w:p>
            <w:pPr>
              <w:widowControl/>
              <w:spacing w:line="276" w:lineRule="auto"/>
              <w:jc w:val="left"/>
              <w:rPr>
                <w:rFonts w:hint="eastAsia" w:ascii="宋体" w:hAnsi="宋体"/>
                <w:kern w:val="0"/>
                <w:sz w:val="18"/>
                <w:szCs w:val="18"/>
              </w:rPr>
            </w:pPr>
            <w:r>
              <w:rPr>
                <w:rFonts w:hint="eastAsia" w:ascii="宋体" w:hAnsi="宋体"/>
                <w:kern w:val="0"/>
                <w:sz w:val="18"/>
                <w:szCs w:val="18"/>
              </w:rPr>
              <w:t>（2）在“中国执行信息公开网”(http://zxgk.court.gov.cn）被列入失信被执行人。</w:t>
            </w:r>
          </w:p>
          <w:p>
            <w:pPr>
              <w:widowControl/>
              <w:spacing w:line="276" w:lineRule="auto"/>
              <w:jc w:val="left"/>
              <w:rPr>
                <w:rFonts w:hint="eastAsia" w:ascii="宋体" w:hAnsi="宋体"/>
                <w:kern w:val="0"/>
                <w:sz w:val="18"/>
                <w:szCs w:val="18"/>
              </w:rPr>
            </w:pPr>
            <w:r>
              <w:rPr>
                <w:rFonts w:hint="eastAsia" w:ascii="宋体" w:hAnsi="宋体"/>
                <w:kern w:val="0"/>
                <w:sz w:val="18"/>
                <w:szCs w:val="18"/>
              </w:rPr>
              <w:t>（3）在纳税信用登记信息系统（https://12366.chinatax.gov.cn/）被列入纳税信用等级为 C、D 级的企业。</w:t>
            </w:r>
          </w:p>
          <w:p>
            <w:pPr>
              <w:widowControl/>
              <w:spacing w:line="276" w:lineRule="auto"/>
              <w:jc w:val="left"/>
              <w:rPr>
                <w:rFonts w:hint="eastAsia" w:ascii="宋体" w:hAnsi="宋体"/>
                <w:kern w:val="0"/>
                <w:sz w:val="18"/>
                <w:szCs w:val="18"/>
              </w:rPr>
            </w:pPr>
            <w:r>
              <w:rPr>
                <w:rFonts w:hint="eastAsia" w:ascii="宋体" w:hAnsi="宋体"/>
                <w:kern w:val="0"/>
                <w:sz w:val="18"/>
                <w:szCs w:val="18"/>
              </w:rPr>
              <w:t>（4）在信用中国(https://www.creditchina.gov.cn/?navPage=0）被列入严重失信和经营异常被执行人。</w:t>
            </w:r>
          </w:p>
          <w:p>
            <w:pPr>
              <w:widowControl/>
              <w:spacing w:line="276" w:lineRule="auto"/>
              <w:jc w:val="left"/>
              <w:rPr>
                <w:rFonts w:hint="eastAsia" w:ascii="宋体" w:hAnsi="宋体"/>
                <w:kern w:val="0"/>
                <w:sz w:val="18"/>
                <w:szCs w:val="18"/>
              </w:rPr>
            </w:pPr>
            <w:r>
              <w:rPr>
                <w:rFonts w:hint="eastAsia" w:ascii="宋体" w:hAnsi="宋体"/>
                <w:kern w:val="0"/>
                <w:sz w:val="18"/>
                <w:szCs w:val="18"/>
              </w:rPr>
              <w:t>（5）在中国中铁股份有限公司和中铁二局集团有限公司限制交易名单及处罚期内。</w:t>
            </w:r>
          </w:p>
          <w:p>
            <w:pPr>
              <w:widowControl/>
              <w:spacing w:line="276" w:lineRule="auto"/>
              <w:jc w:val="left"/>
              <w:rPr>
                <w:rFonts w:hint="eastAsia" w:ascii="宋体" w:hAnsi="宋体"/>
                <w:kern w:val="0"/>
                <w:sz w:val="18"/>
                <w:szCs w:val="18"/>
              </w:rPr>
            </w:pPr>
            <w:r>
              <w:rPr>
                <w:rFonts w:hint="eastAsia" w:ascii="宋体" w:hAnsi="宋体"/>
                <w:kern w:val="0"/>
                <w:sz w:val="18"/>
                <w:szCs w:val="18"/>
              </w:rPr>
              <w:t>5.质量保证能力要求</w:t>
            </w:r>
          </w:p>
          <w:p>
            <w:pPr>
              <w:widowControl/>
              <w:spacing w:line="276" w:lineRule="auto"/>
              <w:jc w:val="left"/>
              <w:rPr>
                <w:rFonts w:hint="eastAsia" w:ascii="宋体" w:hAnsi="宋体"/>
                <w:kern w:val="0"/>
                <w:sz w:val="18"/>
                <w:szCs w:val="18"/>
              </w:rPr>
            </w:pPr>
            <w:r>
              <w:rPr>
                <w:rFonts w:hint="eastAsia" w:ascii="宋体" w:hAnsi="宋体"/>
                <w:kern w:val="0"/>
                <w:sz w:val="18"/>
                <w:szCs w:val="18"/>
              </w:rPr>
              <w:t>投标产品符合国家现行标准和本次招标要求。</w:t>
            </w:r>
          </w:p>
          <w:p>
            <w:pPr>
              <w:widowControl/>
              <w:spacing w:line="276" w:lineRule="auto"/>
              <w:jc w:val="left"/>
              <w:rPr>
                <w:rFonts w:hint="eastAsia" w:ascii="宋体" w:hAnsi="宋体"/>
                <w:kern w:val="0"/>
                <w:sz w:val="18"/>
                <w:szCs w:val="18"/>
              </w:rPr>
            </w:pPr>
            <w:r>
              <w:rPr>
                <w:rFonts w:hint="eastAsia" w:ascii="宋体" w:hAnsi="宋体"/>
                <w:kern w:val="0"/>
                <w:sz w:val="18"/>
                <w:szCs w:val="18"/>
              </w:rPr>
              <w:t>6.其他书面要求</w:t>
            </w:r>
          </w:p>
        </w:tc>
      </w:tr>
    </w:tbl>
    <w:p>
      <w:pPr>
        <w:tabs>
          <w:tab w:val="left" w:pos="2245"/>
        </w:tabs>
        <w:jc w:val="left"/>
        <w:rPr>
          <w:rFonts w:hint="eastAsia"/>
        </w:rPr>
      </w:pPr>
    </w:p>
    <w:p>
      <w:pPr>
        <w:pStyle w:val="2"/>
        <w:rPr>
          <w:rFonts w:hint="eastAsia"/>
        </w:rPr>
      </w:pPr>
    </w:p>
    <w:p>
      <w:pPr>
        <w:rPr>
          <w:rFonts w:hint="eastAsia"/>
        </w:rPr>
      </w:pPr>
    </w:p>
    <w:p>
      <w:pPr>
        <w:pStyle w:val="2"/>
        <w:rPr>
          <w:rFonts w:hint="eastAsia"/>
        </w:rPr>
      </w:pPr>
    </w:p>
    <w:p>
      <w:pPr>
        <w:rPr>
          <w:rFonts w:hint="eastAsia"/>
        </w:rPr>
      </w:pPr>
    </w:p>
    <w:tbl>
      <w:tblPr>
        <w:tblStyle w:val="10"/>
        <w:tblW w:w="4918" w:type="pct"/>
        <w:jc w:val="center"/>
        <w:tblLayout w:type="autofit"/>
        <w:tblCellMar>
          <w:top w:w="0" w:type="dxa"/>
          <w:left w:w="108" w:type="dxa"/>
          <w:bottom w:w="0" w:type="dxa"/>
          <w:right w:w="108" w:type="dxa"/>
        </w:tblCellMar>
      </w:tblPr>
      <w:tblGrid>
        <w:gridCol w:w="767"/>
        <w:gridCol w:w="2438"/>
        <w:gridCol w:w="876"/>
        <w:gridCol w:w="1091"/>
        <w:gridCol w:w="1036"/>
        <w:gridCol w:w="2987"/>
        <w:gridCol w:w="1902"/>
        <w:gridCol w:w="1600"/>
        <w:gridCol w:w="1847"/>
      </w:tblGrid>
      <w:tr>
        <w:tblPrEx>
          <w:tblCellMar>
            <w:top w:w="0" w:type="dxa"/>
            <w:left w:w="108" w:type="dxa"/>
            <w:bottom w:w="0" w:type="dxa"/>
            <w:right w:w="108" w:type="dxa"/>
          </w:tblCellMar>
        </w:tblPrEx>
        <w:trPr>
          <w:trHeight w:val="274" w:hRule="atLeast"/>
          <w:jc w:val="center"/>
        </w:trPr>
        <w:tc>
          <w:tcPr>
            <w:tcW w:w="26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序号</w:t>
            </w:r>
          </w:p>
        </w:tc>
        <w:tc>
          <w:tcPr>
            <w:tcW w:w="83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物资名称</w:t>
            </w:r>
          </w:p>
        </w:tc>
        <w:tc>
          <w:tcPr>
            <w:tcW w:w="30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包件号</w:t>
            </w:r>
          </w:p>
        </w:tc>
        <w:tc>
          <w:tcPr>
            <w:tcW w:w="37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计量单位</w:t>
            </w:r>
          </w:p>
        </w:tc>
        <w:tc>
          <w:tcPr>
            <w:tcW w:w="35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包件数量</w:t>
            </w:r>
          </w:p>
        </w:tc>
        <w:tc>
          <w:tcPr>
            <w:tcW w:w="1027"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项目名称</w:t>
            </w:r>
          </w:p>
        </w:tc>
        <w:tc>
          <w:tcPr>
            <w:tcW w:w="654"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投标保证金（万元）</w:t>
            </w:r>
          </w:p>
        </w:tc>
        <w:tc>
          <w:tcPr>
            <w:tcW w:w="550"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履约保证金（万元）</w:t>
            </w:r>
          </w:p>
        </w:tc>
        <w:tc>
          <w:tcPr>
            <w:tcW w:w="18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不含税采购限价（元）</w:t>
            </w:r>
          </w:p>
        </w:tc>
      </w:tr>
      <w:tr>
        <w:tblPrEx>
          <w:tblCellMar>
            <w:top w:w="0" w:type="dxa"/>
            <w:left w:w="108" w:type="dxa"/>
            <w:bottom w:w="0" w:type="dxa"/>
            <w:right w:w="108" w:type="dxa"/>
          </w:tblCellMar>
        </w:tblPrEx>
        <w:trPr>
          <w:trHeight w:val="412" w:hRule="atLeast"/>
          <w:jc w:val="center"/>
        </w:trPr>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1</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18"/>
                <w:szCs w:val="18"/>
              </w:rPr>
            </w:pPr>
            <w:r>
              <w:rPr>
                <w:rFonts w:hint="eastAsia" w:ascii="宋体" w:hAnsi="宋体" w:cs="宋体"/>
                <w:sz w:val="18"/>
                <w:szCs w:val="18"/>
              </w:rPr>
              <w:t>砂浆</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SJ-01</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lang w:eastAsia="zh-CN"/>
              </w:rPr>
            </w:pPr>
            <w:r>
              <w:rPr>
                <w:rFonts w:hint="eastAsia" w:ascii="宋体" w:hAnsi="宋体" w:cs="宋体"/>
                <w:sz w:val="18"/>
                <w:szCs w:val="18"/>
                <w:lang w:val="en-US" w:eastAsia="zh-CN"/>
              </w:rPr>
              <w:t>t</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12040</w:t>
            </w:r>
          </w:p>
        </w:tc>
        <w:tc>
          <w:tcPr>
            <w:tcW w:w="102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18"/>
                <w:szCs w:val="18"/>
              </w:rPr>
            </w:pPr>
            <w:r>
              <w:rPr>
                <w:rFonts w:hint="eastAsia" w:ascii="宋体" w:hAnsi="宋体"/>
                <w:sz w:val="18"/>
                <w:szCs w:val="18"/>
              </w:rPr>
              <w:t>南沙科创中心生命健康产业园项目设计施工总承包（标段一）</w:t>
            </w:r>
          </w:p>
        </w:tc>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w:t>
            </w:r>
          </w:p>
        </w:tc>
        <w:tc>
          <w:tcPr>
            <w:tcW w:w="5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含税合同金额1%</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2732912.00</w:t>
            </w:r>
          </w:p>
        </w:tc>
      </w:tr>
      <w:tr>
        <w:tblPrEx>
          <w:tblCellMar>
            <w:top w:w="0" w:type="dxa"/>
            <w:left w:w="108" w:type="dxa"/>
            <w:bottom w:w="0" w:type="dxa"/>
            <w:right w:w="108" w:type="dxa"/>
          </w:tblCellMar>
        </w:tblPrEx>
        <w:trPr>
          <w:trHeight w:val="4258"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Pr>
          <w:p>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投标人资格要求</w:t>
            </w:r>
          </w:p>
          <w:p>
            <w:pPr>
              <w:widowControl/>
              <w:numPr>
                <w:ilvl w:val="0"/>
                <w:numId w:val="1"/>
              </w:numPr>
              <w:jc w:val="left"/>
              <w:rPr>
                <w:rFonts w:hint="eastAsia" w:ascii="宋体" w:hAnsi="宋体" w:cs="宋体"/>
                <w:color w:val="000000"/>
                <w:kern w:val="0"/>
                <w:sz w:val="18"/>
                <w:szCs w:val="18"/>
              </w:rPr>
            </w:pPr>
            <w:r>
              <w:rPr>
                <w:rFonts w:hint="eastAsia" w:ascii="宋体" w:hAnsi="宋体" w:cs="宋体"/>
                <w:color w:val="000000"/>
                <w:kern w:val="0"/>
                <w:sz w:val="18"/>
                <w:szCs w:val="18"/>
              </w:rPr>
              <w:t>营业范围要求：</w:t>
            </w:r>
            <w:r>
              <w:rPr>
                <w:rFonts w:ascii="宋体" w:hAnsi="宋体" w:cs="Arial"/>
                <w:kern w:val="0"/>
                <w:sz w:val="18"/>
                <w:szCs w:val="18"/>
              </w:rPr>
              <w:t>在中华人民共和国境内依法注册，具有</w:t>
            </w:r>
            <w:r>
              <w:rPr>
                <w:rFonts w:hint="eastAsia" w:ascii="宋体" w:hAnsi="宋体" w:cs="Arial"/>
                <w:kern w:val="0"/>
                <w:sz w:val="18"/>
                <w:szCs w:val="18"/>
              </w:rPr>
              <w:t>合法有效的营业执照，</w:t>
            </w:r>
            <w:r>
              <w:rPr>
                <w:rFonts w:ascii="宋体" w:hAnsi="宋体" w:cs="Arial"/>
                <w:kern w:val="0"/>
                <w:sz w:val="18"/>
                <w:szCs w:val="18"/>
              </w:rPr>
              <w:t>具有招标物资生产或供应经验的生产厂或代理商</w:t>
            </w:r>
            <w:r>
              <w:rPr>
                <w:rFonts w:hint="eastAsia" w:ascii="宋体" w:hAnsi="宋体" w:cs="宋体"/>
                <w:color w:val="000000"/>
                <w:kern w:val="0"/>
                <w:sz w:val="18"/>
                <w:szCs w:val="18"/>
              </w:rPr>
              <w:t>。</w:t>
            </w:r>
          </w:p>
          <w:p>
            <w:pPr>
              <w:widowControl/>
              <w:jc w:val="left"/>
              <w:rPr>
                <w:rFonts w:hint="eastAsia" w:ascii="宋体" w:hAnsi="宋体" w:cs="Arial"/>
                <w:kern w:val="0"/>
                <w:sz w:val="18"/>
                <w:szCs w:val="18"/>
              </w:rPr>
            </w:pPr>
            <w:r>
              <w:rPr>
                <w:rFonts w:hint="eastAsia" w:ascii="宋体" w:hAnsi="宋体"/>
                <w:kern w:val="0"/>
                <w:sz w:val="18"/>
                <w:szCs w:val="18"/>
              </w:rPr>
              <w:t>2．生产能力要求：</w:t>
            </w:r>
            <w:r>
              <w:rPr>
                <w:rFonts w:hint="eastAsia" w:ascii="宋体" w:hAnsi="宋体" w:cs="宋体"/>
                <w:color w:val="000000"/>
                <w:kern w:val="0"/>
                <w:sz w:val="18"/>
                <w:szCs w:val="18"/>
              </w:rPr>
              <w:t>生产工艺、装备必须符合国家产业发展政策的相关规定，生产厂生产能力满足本项目施工</w:t>
            </w:r>
            <w:r>
              <w:rPr>
                <w:rFonts w:hint="eastAsia" w:ascii="宋体" w:hAnsi="宋体" w:cs="Arial"/>
                <w:kern w:val="0"/>
                <w:sz w:val="18"/>
                <w:szCs w:val="18"/>
              </w:rPr>
              <w:t>。</w:t>
            </w:r>
          </w:p>
          <w:p>
            <w:pPr>
              <w:rPr>
                <w:rFonts w:hint="eastAsia" w:ascii="宋体" w:hAnsi="宋体"/>
                <w:kern w:val="0"/>
                <w:sz w:val="18"/>
                <w:szCs w:val="18"/>
              </w:rPr>
            </w:pPr>
            <w:r>
              <w:rPr>
                <w:rFonts w:hint="eastAsia" w:ascii="宋体" w:hAnsi="宋体"/>
                <w:kern w:val="0"/>
                <w:sz w:val="18"/>
                <w:szCs w:val="18"/>
              </w:rPr>
              <w:t>3．供货业绩要求：投标单位需具备2021年至开标日期间的房建工程、市政工程、城市轨道等相关工程建设项目供货业绩，并提供1份业绩证明资料，证明资料为中标通知书复印件或供货合同复印件等，若投标单位注册未满一年的无需提供以上业绩证明资料。</w:t>
            </w:r>
          </w:p>
          <w:p>
            <w:pPr>
              <w:widowControl/>
              <w:jc w:val="left"/>
              <w:rPr>
                <w:rFonts w:hint="eastAsia" w:ascii="宋体" w:hAnsi="宋体"/>
                <w:kern w:val="0"/>
                <w:sz w:val="18"/>
                <w:szCs w:val="18"/>
              </w:rPr>
            </w:pPr>
            <w:r>
              <w:rPr>
                <w:rFonts w:hint="eastAsia" w:ascii="宋体" w:hAnsi="宋体"/>
                <w:kern w:val="0"/>
                <w:sz w:val="18"/>
                <w:szCs w:val="18"/>
              </w:rPr>
              <w:t>4.履约信用要求：</w:t>
            </w:r>
          </w:p>
          <w:p>
            <w:pPr>
              <w:widowControl/>
              <w:jc w:val="left"/>
              <w:rPr>
                <w:rFonts w:hint="eastAsia" w:ascii="宋体" w:hAnsi="宋体" w:cs="宋体"/>
                <w:kern w:val="0"/>
                <w:sz w:val="18"/>
                <w:szCs w:val="18"/>
              </w:rPr>
            </w:pPr>
            <w:r>
              <w:rPr>
                <w:rFonts w:hint="eastAsia" w:ascii="宋体" w:hAnsi="宋体" w:cs="宋体"/>
                <w:kern w:val="0"/>
                <w:sz w:val="18"/>
                <w:szCs w:val="18"/>
              </w:rPr>
              <w:t>（1）具有良好的社会信誉，一年内没有在其他项目物资投标中提供虚假材料或违规违纪处于被取消投标资格状态的投标人；最近两年内没有与骗取合同有关的犯罪或严重违法行为而引起的诉讼和仲裁；财产未被接管或冻结，企业未处于禁止或取消投标状态。</w:t>
            </w:r>
          </w:p>
          <w:p>
            <w:pPr>
              <w:widowControl/>
              <w:jc w:val="left"/>
              <w:rPr>
                <w:rFonts w:hint="eastAsia" w:ascii="宋体" w:hAnsi="宋体" w:cs="宋体"/>
                <w:color w:val="000000"/>
                <w:kern w:val="0"/>
                <w:sz w:val="18"/>
                <w:szCs w:val="18"/>
              </w:rPr>
            </w:pPr>
            <w:r>
              <w:rPr>
                <w:rFonts w:hint="eastAsia" w:ascii="宋体" w:hAnsi="宋体" w:cs="宋体"/>
                <w:kern w:val="0"/>
                <w:sz w:val="18"/>
                <w:szCs w:val="18"/>
              </w:rPr>
              <w:t>（2）投标人不得存在的其他情形：</w:t>
            </w:r>
            <w:r>
              <w:rPr>
                <w:rFonts w:hint="eastAsia" w:ascii="宋体" w:hAnsi="宋体" w:cs="宋体"/>
                <w:color w:val="000000"/>
                <w:kern w:val="0"/>
                <w:sz w:val="18"/>
                <w:szCs w:val="18"/>
              </w:rPr>
              <w:t>请投标人提供不限于查询证明截图或承诺书等证明资料</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 xml:space="preserve">①在“国家企业信用信息公示系统”（https://www.gsxt.gov.cn/index.html）被列入严重违法失信名单和经营异常名单。 </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②在“中国执行信息公开网”(http://zxgk.court.gov.cn）被列入失信被执行人。</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③在纳税信用登记信息系统（https://12366.chinatax.gov.cn/）被列入纳税信用等级为 C、D 级的企业。</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④在信用中国(https://www.creditchina.gov.cn/?navPage=0）被列入严重失信和经营异常被执行人。</w:t>
            </w:r>
          </w:p>
          <w:p>
            <w:pPr>
              <w:widowControl/>
              <w:jc w:val="left"/>
              <w:rPr>
                <w:rFonts w:hint="eastAsia" w:ascii="宋体" w:hAnsi="宋体" w:cs="宋体"/>
                <w:kern w:val="0"/>
                <w:sz w:val="18"/>
                <w:szCs w:val="18"/>
              </w:rPr>
            </w:pPr>
            <w:r>
              <w:rPr>
                <w:rFonts w:hint="eastAsia" w:ascii="宋体" w:hAnsi="宋体" w:cs="宋体"/>
                <w:kern w:val="0"/>
                <w:sz w:val="18"/>
                <w:szCs w:val="18"/>
              </w:rPr>
              <w:t>⑤在中国中铁或中铁二局、建设单位处罚期的投标单位，</w:t>
            </w:r>
            <w:r>
              <w:rPr>
                <w:rFonts w:hint="eastAsia" w:ascii="宋体" w:hAnsi="宋体" w:cs="宋体"/>
                <w:color w:val="000000"/>
                <w:kern w:val="0"/>
                <w:sz w:val="18"/>
                <w:szCs w:val="18"/>
              </w:rPr>
              <w:t>无需投标人提供资料</w:t>
            </w:r>
            <w:r>
              <w:rPr>
                <w:rFonts w:hint="eastAsia" w:ascii="宋体" w:hAnsi="宋体" w:cs="宋体"/>
                <w:kern w:val="0"/>
                <w:sz w:val="18"/>
                <w:szCs w:val="18"/>
              </w:rPr>
              <w:t>。</w:t>
            </w:r>
          </w:p>
          <w:p>
            <w:pPr>
              <w:widowControl/>
              <w:jc w:val="left"/>
              <w:rPr>
                <w:rFonts w:hint="eastAsia" w:ascii="宋体" w:hAnsi="宋体" w:cs="宋体"/>
                <w:kern w:val="0"/>
                <w:sz w:val="18"/>
                <w:szCs w:val="18"/>
              </w:rPr>
            </w:pPr>
            <w:r>
              <w:rPr>
                <w:rFonts w:hint="eastAsia" w:ascii="宋体" w:hAnsi="宋体" w:cs="宋体"/>
                <w:kern w:val="0"/>
                <w:sz w:val="18"/>
                <w:szCs w:val="18"/>
              </w:rPr>
              <w:t>⑥存在不良行为被中国铁路总公司限制参与物资采购的，投标物资被中国铁路总公司禁止或暂停在铁路上使用的，在国家、行业以及中国铁路总公司信用评价处罚期内的，</w:t>
            </w:r>
            <w:r>
              <w:rPr>
                <w:rFonts w:hint="eastAsia" w:ascii="宋体" w:hAnsi="宋体" w:cs="宋体"/>
                <w:color w:val="000000"/>
                <w:kern w:val="0"/>
                <w:sz w:val="18"/>
                <w:szCs w:val="18"/>
              </w:rPr>
              <w:t>无需投标人提供资料</w:t>
            </w:r>
            <w:r>
              <w:rPr>
                <w:rFonts w:hint="eastAsia" w:ascii="宋体" w:hAnsi="宋体" w:cs="宋体"/>
                <w:kern w:val="0"/>
                <w:sz w:val="18"/>
                <w:szCs w:val="18"/>
              </w:rPr>
              <w:t>。</w:t>
            </w:r>
          </w:p>
          <w:p>
            <w:pPr>
              <w:widowControl/>
              <w:jc w:val="left"/>
              <w:rPr>
                <w:rFonts w:hint="eastAsia" w:ascii="宋体" w:hAnsi="宋体" w:cs="宋体"/>
                <w:b/>
                <w:bCs/>
                <w:kern w:val="0"/>
                <w:sz w:val="18"/>
                <w:szCs w:val="18"/>
              </w:rPr>
            </w:pPr>
            <w:r>
              <w:rPr>
                <w:rFonts w:hint="eastAsia" w:ascii="宋体" w:hAnsi="宋体" w:cs="宋体"/>
                <w:kern w:val="0"/>
                <w:sz w:val="18"/>
                <w:szCs w:val="18"/>
              </w:rPr>
              <w:t>5．质量保证能力要求：投标产品符合国家现行标准；需提供</w:t>
            </w:r>
            <w:r>
              <w:rPr>
                <w:rFonts w:hint="eastAsia" w:ascii="宋体" w:hAnsi="宋体" w:cs="宋体"/>
                <w:b/>
                <w:bCs/>
                <w:kern w:val="0"/>
                <w:sz w:val="18"/>
                <w:szCs w:val="18"/>
              </w:rPr>
              <w:t>投标产品2022年-开标日内取得专业检测资质的第三方检测机构出具的投标物资质量检验报告。</w:t>
            </w:r>
          </w:p>
          <w:p>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6.财务能力要求：-</w:t>
            </w:r>
          </w:p>
          <w:p>
            <w:pPr>
              <w:widowControl/>
              <w:jc w:val="left"/>
              <w:rPr>
                <w:rFonts w:hint="eastAsia" w:ascii="宋体" w:hAnsi="宋体"/>
                <w:kern w:val="0"/>
                <w:sz w:val="18"/>
                <w:szCs w:val="18"/>
              </w:rPr>
            </w:pPr>
            <w:r>
              <w:rPr>
                <w:rFonts w:hint="eastAsia" w:ascii="宋体" w:hAnsi="宋体" w:cs="宋体"/>
                <w:color w:val="000000"/>
                <w:kern w:val="0"/>
                <w:sz w:val="18"/>
                <w:szCs w:val="18"/>
              </w:rPr>
              <w:t>7.</w:t>
            </w:r>
            <w:r>
              <w:rPr>
                <w:rFonts w:hint="eastAsia" w:ascii="宋体" w:hAnsi="宋体" w:cs="宋体"/>
                <w:kern w:val="0"/>
                <w:sz w:val="18"/>
                <w:szCs w:val="18"/>
              </w:rPr>
              <w:t>其他要求：</w:t>
            </w:r>
            <w:r>
              <w:rPr>
                <w:rFonts w:hint="eastAsia" w:ascii="宋体" w:hAnsi="宋体" w:cs="Arial"/>
                <w:kern w:val="0"/>
                <w:sz w:val="18"/>
                <w:szCs w:val="18"/>
              </w:rPr>
              <w:t>不接受厂家及代理商同时参与投标。</w:t>
            </w:r>
            <w:r>
              <w:rPr>
                <w:rFonts w:hint="eastAsia" w:ascii="宋体" w:hAnsi="宋体" w:cs="Arial"/>
                <w:b/>
                <w:bCs/>
                <w:kern w:val="0"/>
                <w:sz w:val="18"/>
                <w:szCs w:val="18"/>
              </w:rPr>
              <w:t>不接受分公司投标。</w:t>
            </w:r>
            <w:r>
              <w:rPr>
                <w:rFonts w:hint="eastAsia" w:ascii="宋体" w:hAnsi="宋体" w:cs="宋体"/>
                <w:kern w:val="0"/>
                <w:sz w:val="18"/>
                <w:szCs w:val="18"/>
              </w:rPr>
              <w:t>本次招标设有最高限价，投标人报价不得超过该限价，否则将被列为重大偏差，投标被否决。</w:t>
            </w:r>
          </w:p>
        </w:tc>
      </w:tr>
    </w:tbl>
    <w:p>
      <w:pPr>
        <w:pStyle w:val="2"/>
        <w:rPr>
          <w:rFonts w:hint="eastAsia"/>
        </w:rPr>
      </w:pPr>
    </w:p>
    <w:p>
      <w:pPr>
        <w:rPr>
          <w:rFonts w:hint="eastAsia"/>
        </w:rPr>
      </w:pPr>
      <w:r>
        <w:rPr>
          <w:rFonts w:hint="eastAsia"/>
        </w:rPr>
        <w:br w:type="textWrapping"/>
      </w:r>
    </w:p>
    <w:p>
      <w:pPr>
        <w:rPr>
          <w:rFonts w:hint="eastAsia"/>
        </w:rPr>
      </w:pPr>
    </w:p>
    <w:tbl>
      <w:tblPr>
        <w:tblStyle w:val="10"/>
        <w:tblW w:w="5000" w:type="pct"/>
        <w:jc w:val="center"/>
        <w:tblLayout w:type="autofit"/>
        <w:tblCellMar>
          <w:top w:w="0" w:type="dxa"/>
          <w:left w:w="108" w:type="dxa"/>
          <w:bottom w:w="0" w:type="dxa"/>
          <w:right w:w="108" w:type="dxa"/>
        </w:tblCellMar>
      </w:tblPr>
      <w:tblGrid>
        <w:gridCol w:w="614"/>
        <w:gridCol w:w="1508"/>
        <w:gridCol w:w="843"/>
        <w:gridCol w:w="654"/>
        <w:gridCol w:w="1000"/>
        <w:gridCol w:w="4575"/>
        <w:gridCol w:w="2147"/>
        <w:gridCol w:w="1612"/>
        <w:gridCol w:w="1833"/>
      </w:tblGrid>
      <w:tr>
        <w:tblPrEx>
          <w:tblCellMar>
            <w:top w:w="0" w:type="dxa"/>
            <w:left w:w="108" w:type="dxa"/>
            <w:bottom w:w="0" w:type="dxa"/>
            <w:right w:w="108" w:type="dxa"/>
          </w:tblCellMar>
        </w:tblPrEx>
        <w:trPr>
          <w:trHeight w:val="280" w:hRule="atLeast"/>
          <w:jc w:val="center"/>
        </w:trPr>
        <w:tc>
          <w:tcPr>
            <w:tcW w:w="20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序号</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物资名称</w:t>
            </w:r>
          </w:p>
        </w:tc>
        <w:tc>
          <w:tcPr>
            <w:tcW w:w="2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包件号</w:t>
            </w:r>
          </w:p>
        </w:tc>
        <w:tc>
          <w:tcPr>
            <w:tcW w:w="22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计量</w:t>
            </w:r>
          </w:p>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单位</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包件</w:t>
            </w:r>
          </w:p>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数量</w:t>
            </w:r>
          </w:p>
        </w:tc>
        <w:tc>
          <w:tcPr>
            <w:tcW w:w="154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项目名称</w:t>
            </w:r>
          </w:p>
        </w:tc>
        <w:tc>
          <w:tcPr>
            <w:tcW w:w="7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投标保证金</w:t>
            </w:r>
          </w:p>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（万元）</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履约保证金</w:t>
            </w:r>
          </w:p>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（万元）</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bCs/>
                <w:color w:val="000000"/>
                <w:kern w:val="0"/>
                <w:sz w:val="21"/>
                <w:szCs w:val="21"/>
                <w:highlight w:val="none"/>
                <w:lang w:bidi="ar"/>
              </w:rPr>
            </w:pPr>
            <w:r>
              <w:rPr>
                <w:rFonts w:hint="eastAsia" w:ascii="宋体" w:hAnsi="宋体" w:eastAsia="宋体" w:cs="宋体"/>
                <w:b/>
                <w:bCs/>
                <w:color w:val="000000"/>
                <w:kern w:val="0"/>
                <w:sz w:val="21"/>
                <w:szCs w:val="21"/>
                <w:highlight w:val="none"/>
                <w:lang w:bidi="ar"/>
              </w:rPr>
              <w:t>不含税最高限价</w:t>
            </w:r>
          </w:p>
          <w:p>
            <w:pPr>
              <w:widowControl/>
              <w:jc w:val="center"/>
              <w:textAlignment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kern w:val="0"/>
                <w:sz w:val="21"/>
                <w:szCs w:val="21"/>
                <w:highlight w:val="none"/>
                <w:lang w:bidi="ar"/>
              </w:rPr>
              <w:t>（元）</w:t>
            </w:r>
          </w:p>
        </w:tc>
      </w:tr>
      <w:tr>
        <w:tblPrEx>
          <w:tblCellMar>
            <w:top w:w="0" w:type="dxa"/>
            <w:left w:w="108" w:type="dxa"/>
            <w:bottom w:w="0" w:type="dxa"/>
            <w:right w:w="108" w:type="dxa"/>
          </w:tblCellMar>
        </w:tblPrEx>
        <w:trPr>
          <w:trHeight w:val="480" w:hRule="atLeast"/>
          <w:jc w:val="center"/>
        </w:trPr>
        <w:tc>
          <w:tcPr>
            <w:tcW w:w="208" w:type="pct"/>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jc w:val="center"/>
              <w:rPr>
                <w:rFonts w:hint="eastAsia" w:ascii="宋体" w:hAnsi="宋体" w:eastAsia="宋体" w:cs="宋体"/>
                <w:b w:val="0"/>
                <w:bCs/>
                <w:color w:val="000000"/>
                <w:kern w:val="2"/>
                <w:sz w:val="21"/>
                <w:szCs w:val="21"/>
                <w:highlight w:val="none"/>
                <w:lang w:val="en-US" w:eastAsia="zh-CN" w:bidi="ar-SA"/>
              </w:rPr>
            </w:pPr>
            <w:r>
              <w:rPr>
                <w:rFonts w:hint="eastAsia" w:ascii="宋体" w:hAnsi="宋体" w:eastAsia="宋体" w:cs="宋体"/>
                <w:b w:val="0"/>
                <w:bCs/>
                <w:color w:val="000000"/>
                <w:sz w:val="21"/>
                <w:szCs w:val="21"/>
                <w:highlight w:val="none"/>
              </w:rPr>
              <w:t>1</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jc w:val="center"/>
              <w:rPr>
                <w:rFonts w:hint="eastAsia" w:ascii="宋体" w:hAnsi="宋体" w:eastAsia="宋体" w:cs="宋体"/>
                <w:b w:val="0"/>
                <w:bCs/>
                <w:color w:val="000000"/>
                <w:kern w:val="2"/>
                <w:sz w:val="21"/>
                <w:szCs w:val="21"/>
                <w:highlight w:val="none"/>
                <w:lang w:val="en-US" w:eastAsia="zh-CN" w:bidi="ar-SA"/>
              </w:rPr>
            </w:pPr>
            <w:r>
              <w:rPr>
                <w:rFonts w:hint="eastAsia" w:ascii="宋体" w:hAnsi="宋体" w:eastAsia="宋体" w:cs="宋体"/>
                <w:b w:val="0"/>
                <w:bCs/>
                <w:color w:val="000000"/>
                <w:kern w:val="2"/>
                <w:sz w:val="21"/>
                <w:szCs w:val="21"/>
                <w:highlight w:val="none"/>
                <w:lang w:val="en-US" w:eastAsia="zh-CN" w:bidi="ar-SA"/>
              </w:rPr>
              <w:t>钢材、混凝土、水泥等</w:t>
            </w:r>
          </w:p>
        </w:tc>
        <w:tc>
          <w:tcPr>
            <w:tcW w:w="2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b w:val="0"/>
                <w:bCs/>
                <w:color w:val="000000"/>
                <w:kern w:val="0"/>
                <w:sz w:val="21"/>
                <w:szCs w:val="21"/>
                <w:highlight w:val="none"/>
                <w:lang w:val="en-US" w:eastAsia="zh-CN" w:bidi="ar"/>
              </w:rPr>
            </w:pPr>
            <w:r>
              <w:rPr>
                <w:rFonts w:hint="eastAsia" w:ascii="宋体" w:hAnsi="宋体" w:eastAsia="宋体" w:cs="宋体"/>
                <w:b w:val="0"/>
                <w:bCs/>
                <w:color w:val="000000"/>
                <w:kern w:val="0"/>
                <w:sz w:val="21"/>
                <w:szCs w:val="21"/>
                <w:highlight w:val="none"/>
                <w:lang w:val="en-US" w:eastAsia="zh-CN" w:bidi="ar"/>
              </w:rPr>
              <w:t>CL-01</w:t>
            </w:r>
          </w:p>
        </w:tc>
        <w:tc>
          <w:tcPr>
            <w:tcW w:w="221"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批</w:t>
            </w:r>
          </w:p>
        </w:tc>
        <w:tc>
          <w:tcPr>
            <w:tcW w:w="338" w:type="pct"/>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jc w:val="center"/>
              <w:rPr>
                <w:rFonts w:hint="eastAsia" w:ascii="宋体" w:hAnsi="宋体" w:eastAsia="宋体" w:cs="宋体"/>
                <w:b w:val="0"/>
                <w:bCs/>
                <w:color w:val="000000"/>
                <w:kern w:val="2"/>
                <w:sz w:val="21"/>
                <w:szCs w:val="21"/>
                <w:highlight w:val="none"/>
                <w:lang w:val="en-US" w:eastAsia="zh-CN" w:bidi="ar-SA"/>
              </w:rPr>
            </w:pPr>
            <w:r>
              <w:rPr>
                <w:rFonts w:hint="eastAsia" w:ascii="宋体" w:hAnsi="宋体" w:eastAsia="宋体" w:cs="宋体"/>
                <w:b w:val="0"/>
                <w:bCs/>
                <w:color w:val="000000"/>
                <w:sz w:val="21"/>
                <w:szCs w:val="21"/>
                <w:highlight w:val="none"/>
                <w:lang w:val="en-US" w:eastAsia="zh-CN"/>
              </w:rPr>
              <w:t>1</w:t>
            </w:r>
          </w:p>
        </w:tc>
        <w:tc>
          <w:tcPr>
            <w:tcW w:w="1547"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中铁二局集团有限公司庆盛枢纽区块综合开发项目(庆盛科创教育核心区工程)项目经理部</w:t>
            </w:r>
          </w:p>
        </w:tc>
        <w:tc>
          <w:tcPr>
            <w:tcW w:w="72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5</w:t>
            </w:r>
          </w:p>
        </w:tc>
        <w:tc>
          <w:tcPr>
            <w:tcW w:w="54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0.5</w:t>
            </w:r>
          </w:p>
        </w:tc>
        <w:tc>
          <w:tcPr>
            <w:tcW w:w="61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2"/>
                <w:sz w:val="20"/>
                <w:szCs w:val="20"/>
                <w:highlight w:val="none"/>
                <w:u w:val="none"/>
                <w:lang w:val="en-US" w:eastAsia="zh-CN" w:bidi="ar-SA"/>
              </w:rPr>
            </w:pPr>
            <w:r>
              <w:rPr>
                <w:rFonts w:hint="eastAsia" w:ascii="宋体" w:hAnsi="宋体" w:eastAsia="宋体" w:cs="宋体"/>
                <w:b w:val="0"/>
                <w:bCs w:val="0"/>
                <w:i w:val="0"/>
                <w:iCs w:val="0"/>
                <w:color w:val="000000"/>
                <w:kern w:val="0"/>
                <w:sz w:val="20"/>
                <w:szCs w:val="20"/>
                <w:highlight w:val="none"/>
                <w:u w:val="none"/>
                <w:lang w:val="en-US" w:eastAsia="zh-CN" w:bidi="ar"/>
              </w:rPr>
              <w:t>48372200</w:t>
            </w:r>
          </w:p>
        </w:tc>
      </w:tr>
      <w:tr>
        <w:tblPrEx>
          <w:tblCellMar>
            <w:top w:w="0" w:type="dxa"/>
            <w:left w:w="108" w:type="dxa"/>
            <w:bottom w:w="0" w:type="dxa"/>
            <w:right w:w="108" w:type="dxa"/>
          </w:tblCellMar>
        </w:tblPrEx>
        <w:trPr>
          <w:trHeight w:val="2542"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val="0"/>
            <w:vAlign w:val="top"/>
          </w:tcPr>
          <w:p>
            <w:pPr>
              <w:spacing w:line="400" w:lineRule="exact"/>
              <w:ind w:firstLine="422" w:firstLineChars="200"/>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资格条件</w:t>
            </w:r>
          </w:p>
          <w:p>
            <w:pPr>
              <w:spacing w:line="400" w:lineRule="exact"/>
              <w:ind w:firstLine="422"/>
              <w:rPr>
                <w:rFonts w:hint="eastAsia" w:ascii="宋体" w:hAnsi="宋体" w:eastAsia="宋体" w:cs="宋体"/>
                <w:sz w:val="21"/>
                <w:szCs w:val="21"/>
                <w:highlight w:val="none"/>
              </w:rPr>
            </w:pPr>
            <w:r>
              <w:rPr>
                <w:rFonts w:hint="eastAsia" w:ascii="宋体" w:hAnsi="宋体" w:eastAsia="宋体" w:cs="宋体"/>
                <w:b/>
                <w:bCs/>
                <w:sz w:val="21"/>
                <w:szCs w:val="21"/>
                <w:highlight w:val="none"/>
              </w:rPr>
              <w:t>①营业范围要求：</w:t>
            </w:r>
            <w:r>
              <w:rPr>
                <w:rFonts w:hint="eastAsia" w:ascii="宋体" w:hAnsi="宋体" w:eastAsia="宋体" w:cs="宋体"/>
                <w:sz w:val="21"/>
                <w:szCs w:val="21"/>
                <w:highlight w:val="none"/>
              </w:rPr>
              <w:t>在中华人民共和国境内依法注册，具有独立法人资格，具有招标物资设备生产或供应经验的，具有合法、有效的营业执照的生产厂或代理商</w:t>
            </w:r>
            <w:r>
              <w:rPr>
                <w:rFonts w:hint="eastAsia" w:ascii="宋体" w:hAnsi="宋体" w:eastAsia="宋体" w:cs="宋体"/>
                <w:color w:val="000000"/>
                <w:sz w:val="21"/>
                <w:szCs w:val="21"/>
                <w:highlight w:val="none"/>
              </w:rPr>
              <w:t>。</w:t>
            </w:r>
          </w:p>
          <w:p>
            <w:pPr>
              <w:spacing w:line="40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②生产能力要求：</w:t>
            </w:r>
            <w:r>
              <w:rPr>
                <w:rFonts w:hint="eastAsia" w:ascii="宋体" w:hAnsi="宋体" w:eastAsia="宋体" w:cs="宋体"/>
                <w:sz w:val="21"/>
                <w:szCs w:val="21"/>
                <w:highlight w:val="none"/>
              </w:rPr>
              <w:t>生产产品能力满足招标文件要求即可。</w:t>
            </w:r>
          </w:p>
          <w:p>
            <w:pPr>
              <w:spacing w:line="360" w:lineRule="auto"/>
              <w:ind w:firstLine="422" w:firstLineChars="200"/>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sz w:val="21"/>
                <w:szCs w:val="21"/>
                <w:highlight w:val="none"/>
              </w:rPr>
              <w:t>③供货业绩要求</w:t>
            </w:r>
            <w:r>
              <w:rPr>
                <w:rFonts w:hint="eastAsia" w:ascii="宋体" w:hAnsi="宋体" w:eastAsia="宋体" w:cs="宋体"/>
                <w:sz w:val="21"/>
                <w:szCs w:val="21"/>
                <w:highlight w:val="none"/>
              </w:rPr>
              <w:t>：</w:t>
            </w:r>
            <w:r>
              <w:rPr>
                <w:rFonts w:hint="eastAsia" w:ascii="宋体" w:hAnsi="宋体" w:eastAsia="宋体" w:cs="宋体"/>
                <w:color w:val="000000"/>
                <w:sz w:val="21"/>
                <w:szCs w:val="21"/>
                <w:highlight w:val="none"/>
              </w:rPr>
              <w:t>投标单位需具有投标物资</w:t>
            </w:r>
            <w:r>
              <w:rPr>
                <w:rFonts w:hint="eastAsia" w:ascii="宋体" w:hAnsi="宋体" w:eastAsia="宋体" w:cs="宋体"/>
                <w:b/>
                <w:bCs/>
                <w:color w:val="000000"/>
                <w:sz w:val="21"/>
                <w:szCs w:val="21"/>
                <w:highlight w:val="none"/>
              </w:rPr>
              <w:t>2022</w:t>
            </w:r>
            <w:r>
              <w:rPr>
                <w:rFonts w:hint="eastAsia" w:ascii="宋体" w:hAnsi="宋体" w:eastAsia="宋体" w:cs="宋体"/>
                <w:b/>
                <w:bCs/>
                <w:color w:val="000000"/>
                <w:sz w:val="21"/>
                <w:szCs w:val="21"/>
                <w:highlight w:val="none"/>
                <w:lang w:val="en-US" w:eastAsia="zh-CN"/>
              </w:rPr>
              <w:t>年</w:t>
            </w:r>
            <w:r>
              <w:rPr>
                <w:rFonts w:hint="eastAsia" w:ascii="宋体" w:hAnsi="宋体" w:eastAsia="宋体" w:cs="宋体"/>
                <w:b/>
                <w:bCs/>
                <w:color w:val="000000"/>
                <w:sz w:val="21"/>
                <w:szCs w:val="21"/>
                <w:highlight w:val="none"/>
              </w:rPr>
              <w:t>至开标日</w:t>
            </w:r>
            <w:r>
              <w:rPr>
                <w:rFonts w:hint="eastAsia" w:ascii="宋体" w:hAnsi="宋体" w:eastAsia="宋体" w:cs="宋体"/>
                <w:color w:val="000000"/>
                <w:sz w:val="21"/>
                <w:szCs w:val="21"/>
                <w:highlight w:val="none"/>
              </w:rPr>
              <w:t>期间的供货业绩，</w:t>
            </w:r>
            <w:r>
              <w:rPr>
                <w:rFonts w:hint="eastAsia" w:ascii="宋体" w:hAnsi="宋体" w:eastAsia="宋体" w:cs="宋体"/>
                <w:b/>
                <w:bCs/>
                <w:color w:val="000000"/>
                <w:sz w:val="21"/>
                <w:szCs w:val="21"/>
                <w:highlight w:val="none"/>
              </w:rPr>
              <w:t>并提供</w:t>
            </w:r>
            <w:r>
              <w:rPr>
                <w:rFonts w:hint="eastAsia" w:ascii="宋体" w:hAnsi="宋体" w:eastAsia="宋体" w:cs="宋体"/>
                <w:b/>
                <w:bCs/>
                <w:color w:val="000000"/>
                <w:sz w:val="21"/>
                <w:szCs w:val="21"/>
                <w:highlight w:val="none"/>
                <w:lang w:val="en-US" w:eastAsia="zh-CN"/>
              </w:rPr>
              <w:t>招标物资</w:t>
            </w:r>
            <w:r>
              <w:rPr>
                <w:rFonts w:hint="eastAsia" w:ascii="宋体" w:hAnsi="宋体" w:eastAsia="宋体" w:cs="宋体"/>
                <w:b/>
                <w:bCs/>
                <w:color w:val="000000"/>
                <w:sz w:val="21"/>
                <w:szCs w:val="21"/>
                <w:highlight w:val="none"/>
              </w:rPr>
              <w:t>供货业绩证明材料，证明资料为供货合同复印件或中标通知书等</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lang w:val="en-US" w:eastAsia="zh-CN"/>
              </w:rPr>
              <w:t>业绩至少包含混凝土和钢材的业绩至少一份</w:t>
            </w:r>
            <w:r>
              <w:rPr>
                <w:rFonts w:hint="eastAsia" w:ascii="宋体" w:hAnsi="宋体" w:eastAsia="宋体" w:cs="宋体"/>
                <w:b/>
                <w:bCs/>
                <w:color w:val="000000"/>
                <w:sz w:val="21"/>
                <w:szCs w:val="21"/>
                <w:highlight w:val="none"/>
              </w:rPr>
              <w:t>。</w:t>
            </w:r>
          </w:p>
          <w:p>
            <w:pPr>
              <w:spacing w:line="400" w:lineRule="exact"/>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④履约信用要求</w:t>
            </w:r>
            <w:r>
              <w:rPr>
                <w:rFonts w:hint="eastAsia" w:ascii="宋体" w:hAnsi="宋体" w:eastAsia="宋体" w:cs="宋体"/>
                <w:b/>
                <w:bCs/>
                <w:color w:val="000000"/>
                <w:kern w:val="0"/>
                <w:sz w:val="21"/>
                <w:szCs w:val="21"/>
                <w:highlight w:val="none"/>
                <w:shd w:val="clear" w:color="auto" w:fill="FFFFFF"/>
              </w:rPr>
              <w:t>（提供承诺书即可）</w:t>
            </w:r>
            <w:r>
              <w:rPr>
                <w:rFonts w:hint="eastAsia" w:ascii="宋体" w:hAnsi="宋体" w:eastAsia="宋体" w:cs="宋体"/>
                <w:b/>
                <w:bCs/>
                <w:sz w:val="21"/>
                <w:szCs w:val="21"/>
                <w:highlight w:val="none"/>
              </w:rPr>
              <w:t>：</w:t>
            </w:r>
          </w:p>
          <w:p>
            <w:pPr>
              <w:spacing w:line="400" w:lineRule="exact"/>
              <w:ind w:firstLine="420" w:firstLineChars="2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投标人不得存在的其他情形：</w:t>
            </w:r>
          </w:p>
          <w:p>
            <w:pPr>
              <w:spacing w:line="400" w:lineRule="exact"/>
              <w:ind w:left="42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1.被列入“国家企业信用信息公示系统”（www.gsxt.gov.cn）“严重违法失信企业名单（黑名单）”和“经营异常名录”；</w:t>
            </w:r>
          </w:p>
          <w:p>
            <w:pPr>
              <w:spacing w:line="400" w:lineRule="exact"/>
              <w:ind w:left="42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2.被列入“中国执行信息公开网”（http://zxgk.court.gov.cn/）“失信被执行人”；</w:t>
            </w:r>
          </w:p>
          <w:p>
            <w:pPr>
              <w:spacing w:line="400" w:lineRule="exact"/>
              <w:ind w:left="42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3.纳税信用等级信息系统“纳税信用等级为C、D级”的企业。</w:t>
            </w:r>
          </w:p>
          <w:p>
            <w:pPr>
              <w:spacing w:line="400" w:lineRule="exact"/>
              <w:ind w:left="42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4.“信用中国”（www.creditchina.gov.cn）被列入失信被执行人；</w:t>
            </w:r>
          </w:p>
          <w:p>
            <w:pPr>
              <w:spacing w:line="400" w:lineRule="exact"/>
              <w:ind w:left="420"/>
              <w:rPr>
                <w:rFonts w:hint="eastAsia" w:ascii="宋体" w:hAnsi="宋体" w:eastAsia="宋体" w:cs="宋体"/>
                <w:kern w:val="0"/>
                <w:sz w:val="21"/>
                <w:szCs w:val="21"/>
                <w:highlight w:val="none"/>
              </w:rPr>
            </w:pPr>
            <w:r>
              <w:rPr>
                <w:rFonts w:hint="eastAsia" w:ascii="宋体" w:hAnsi="宋体" w:eastAsia="宋体" w:cs="宋体"/>
                <w:sz w:val="21"/>
                <w:szCs w:val="21"/>
                <w:highlight w:val="none"/>
              </w:rPr>
              <w:t>5.在铁路总公司、中国中铁或中铁二局限制交易期内的单位投标。</w:t>
            </w:r>
          </w:p>
          <w:p>
            <w:pPr>
              <w:spacing w:line="400" w:lineRule="exact"/>
              <w:ind w:firstLine="420" w:firstLineChars="200"/>
              <w:rPr>
                <w:rFonts w:hint="eastAsia" w:ascii="宋体" w:hAnsi="宋体" w:eastAsia="宋体" w:cs="宋体"/>
                <w:sz w:val="21"/>
                <w:szCs w:val="21"/>
                <w:highlight w:val="none"/>
              </w:rPr>
            </w:pPr>
            <w:r>
              <w:rPr>
                <w:rFonts w:hint="eastAsia" w:ascii="宋体" w:hAnsi="宋体" w:eastAsia="宋体" w:cs="宋体"/>
                <w:kern w:val="0"/>
                <w:sz w:val="21"/>
                <w:szCs w:val="21"/>
                <w:highlight w:val="none"/>
              </w:rPr>
              <w:t>6.如果为铁路项目，投标人不得存在不良行为被中国铁路总公司限制参与物资采购的；投标物资被中国铁路总公司禁止或暂停在铁路上使用的；在国家、行业以及中国铁路总公司信用评价处罚期内。</w:t>
            </w:r>
          </w:p>
          <w:p>
            <w:pPr>
              <w:spacing w:line="400" w:lineRule="exact"/>
              <w:ind w:firstLine="422" w:firstLineChars="200"/>
              <w:rPr>
                <w:rFonts w:hint="default" w:ascii="宋体" w:hAnsi="宋体" w:eastAsia="宋体" w:cs="宋体"/>
                <w:b/>
                <w:bCs/>
                <w:color w:val="000000"/>
                <w:sz w:val="21"/>
                <w:szCs w:val="21"/>
                <w:highlight w:val="none"/>
                <w:lang w:val="en-US"/>
              </w:rPr>
            </w:pPr>
            <w:r>
              <w:rPr>
                <w:rFonts w:hint="eastAsia" w:ascii="宋体" w:hAnsi="宋体" w:eastAsia="宋体" w:cs="宋体"/>
                <w:b/>
                <w:bCs/>
                <w:sz w:val="21"/>
                <w:szCs w:val="21"/>
                <w:highlight w:val="none"/>
              </w:rPr>
              <w:t>⑤质量保证能力要求</w:t>
            </w:r>
            <w:r>
              <w:rPr>
                <w:rFonts w:hint="eastAsia" w:ascii="宋体" w:hAnsi="宋体" w:eastAsia="宋体" w:cs="宋体"/>
                <w:sz w:val="21"/>
                <w:szCs w:val="21"/>
                <w:highlight w:val="none"/>
              </w:rPr>
              <w:t>：</w:t>
            </w:r>
            <w:r>
              <w:rPr>
                <w:rFonts w:hint="eastAsia" w:ascii="宋体" w:hAnsi="宋体" w:eastAsia="宋体" w:cs="宋体"/>
                <w:color w:val="000000"/>
                <w:sz w:val="21"/>
                <w:szCs w:val="21"/>
                <w:highlight w:val="none"/>
              </w:rPr>
              <w:t>提供的物资符合国家现行标准要求，具有取得资质认定的第三方专业检测机构出具的质量检验报告，</w:t>
            </w:r>
            <w:r>
              <w:rPr>
                <w:rFonts w:hint="eastAsia" w:ascii="宋体" w:hAnsi="宋体" w:eastAsia="宋体" w:cs="宋体"/>
                <w:b/>
                <w:bCs/>
                <w:color w:val="000000"/>
                <w:sz w:val="21"/>
                <w:szCs w:val="21"/>
                <w:highlight w:val="none"/>
              </w:rPr>
              <w:t>并至少提供</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份2022年至开标日期间内的合格物资质量检验报告</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lang w:val="en-US" w:eastAsia="zh-CN"/>
              </w:rPr>
              <w:t>检验报告至少包含混凝土和钢材各一份。</w:t>
            </w:r>
          </w:p>
          <w:p>
            <w:pPr>
              <w:spacing w:line="40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⑥财务能力要求</w:t>
            </w:r>
            <w:r>
              <w:rPr>
                <w:rFonts w:hint="eastAsia" w:ascii="宋体" w:hAnsi="宋体" w:eastAsia="宋体" w:cs="宋体"/>
                <w:sz w:val="21"/>
                <w:szCs w:val="21"/>
                <w:highlight w:val="none"/>
              </w:rPr>
              <w:t>：无要求。</w:t>
            </w:r>
          </w:p>
          <w:p>
            <w:pPr>
              <w:spacing w:line="400" w:lineRule="exact"/>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⑦其他要求：</w:t>
            </w:r>
          </w:p>
          <w:p>
            <w:pPr>
              <w:widowControl/>
              <w:shd w:val="clear" w:color="auto" w:fill="FFFFFF"/>
              <w:snapToGrid w:val="0"/>
              <w:spacing w:line="400" w:lineRule="exact"/>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1.本次招标设有最高限价，且在招标文件中已发布，投标人报价不得超过该限价，否则将被列为重大偏差，投标被否决。</w:t>
            </w:r>
          </w:p>
          <w:p>
            <w:pPr>
              <w:widowControl/>
              <w:shd w:val="clear" w:color="auto" w:fill="FFFFFF"/>
              <w:snapToGrid w:val="0"/>
              <w:spacing w:line="400" w:lineRule="exact"/>
              <w:ind w:firstLine="420" w:firstLineChars="200"/>
              <w:jc w:val="left"/>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2.不接受联合体投标，不接受个体工商户投标，</w:t>
            </w:r>
            <w:r>
              <w:rPr>
                <w:rFonts w:hint="eastAsia" w:ascii="宋体" w:hAnsi="宋体" w:eastAsia="宋体" w:cs="宋体"/>
                <w:b/>
                <w:bCs/>
                <w:sz w:val="21"/>
                <w:szCs w:val="21"/>
                <w:highlight w:val="none"/>
              </w:rPr>
              <w:t>不接受与采购项目存在工程分包合作关系的单位投标。</w:t>
            </w:r>
          </w:p>
          <w:p>
            <w:pPr>
              <w:widowControl/>
              <w:shd w:val="clear" w:color="auto" w:fill="FFFFFF"/>
              <w:snapToGrid w:val="0"/>
              <w:spacing w:line="400" w:lineRule="exact"/>
              <w:ind w:firstLine="420" w:firstLineChars="200"/>
              <w:jc w:val="left"/>
              <w:rPr>
                <w:rFonts w:hint="eastAsia" w:ascii="宋体" w:hAnsi="宋体" w:eastAsia="宋体" w:cs="宋体"/>
                <w:color w:val="FF0000"/>
                <w:sz w:val="21"/>
                <w:szCs w:val="21"/>
                <w:highlight w:val="none"/>
              </w:rPr>
            </w:pPr>
            <w:r>
              <w:rPr>
                <w:rFonts w:hint="eastAsia" w:ascii="宋体" w:hAnsi="宋体" w:eastAsia="宋体" w:cs="宋体"/>
                <w:sz w:val="21"/>
                <w:szCs w:val="21"/>
                <w:highlight w:val="none"/>
              </w:rPr>
              <w:t>3.</w:t>
            </w:r>
            <w:r>
              <w:rPr>
                <w:rFonts w:hint="eastAsia" w:ascii="宋体" w:hAnsi="宋体" w:eastAsia="宋体" w:cs="宋体"/>
                <w:b/>
                <w:bCs/>
                <w:sz w:val="21"/>
                <w:szCs w:val="21"/>
                <w:highlight w:val="none"/>
              </w:rPr>
              <w:t>代理商可以代理多个厂家的产品参与投标，生产商不得与其代理商共同参与同一项目的投标，生产商或代理商具备提供延伸服务的能力，具备跨地域的供应、集散能力。</w:t>
            </w:r>
          </w:p>
        </w:tc>
      </w:tr>
    </w:tbl>
    <w:p>
      <w:pPr>
        <w:pStyle w:val="2"/>
        <w:rPr>
          <w:rFonts w:hint="eastAsia"/>
        </w:rPr>
      </w:pPr>
    </w:p>
    <w:p>
      <w:pPr>
        <w:rPr>
          <w:rFonts w:hint="eastAsia"/>
        </w:rPr>
      </w:pPr>
    </w:p>
    <w:p>
      <w:pPr>
        <w:pStyle w:val="2"/>
        <w:rPr>
          <w:rFonts w:hint="eastAsia"/>
        </w:rPr>
        <w:sectPr>
          <w:pgSz w:w="16838" w:h="11906" w:orient="landscape"/>
          <w:pgMar w:top="1474" w:right="1134" w:bottom="993" w:left="1134" w:header="680" w:footer="1191" w:gutter="0"/>
          <w:cols w:space="720" w:num="1"/>
          <w:docGrid w:linePitch="312" w:charSpace="0"/>
        </w:sectPr>
      </w:pPr>
    </w:p>
    <w:p>
      <w:pPr>
        <w:outlineLvl w:val="1"/>
        <w:rPr>
          <w:rFonts w:ascii="宋体" w:hAnsi="宋体"/>
          <w:sz w:val="28"/>
          <w:szCs w:val="28"/>
        </w:rPr>
      </w:pPr>
      <w:bookmarkStart w:id="16" w:name="_Toc31915"/>
      <w:bookmarkStart w:id="17" w:name="_Toc31133"/>
      <w:bookmarkStart w:id="18" w:name="_Toc18301"/>
      <w:r>
        <w:rPr>
          <w:rFonts w:hint="eastAsia" w:ascii="宋体" w:hAnsi="宋体"/>
          <w:sz w:val="28"/>
          <w:szCs w:val="28"/>
        </w:rPr>
        <w:t>附件三</w:t>
      </w:r>
      <w:bookmarkEnd w:id="16"/>
      <w:bookmarkEnd w:id="17"/>
      <w:bookmarkEnd w:id="18"/>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宋体" w:hAnsi="宋体" w:cs="新宋体"/>
          <w:b/>
          <w:bCs/>
          <w:kern w:val="0"/>
          <w:sz w:val="36"/>
          <w:szCs w:val="36"/>
        </w:rPr>
      </w:pPr>
      <w:r>
        <w:rPr>
          <w:rFonts w:hint="eastAsia" w:ascii="宋体" w:hAnsi="宋体" w:cs="新宋体"/>
          <w:b/>
          <w:bCs/>
          <w:kern w:val="0"/>
          <w:sz w:val="36"/>
          <w:szCs w:val="36"/>
        </w:rPr>
        <w:t>投标申请表</w:t>
      </w:r>
    </w:p>
    <w:tbl>
      <w:tblPr>
        <w:tblStyle w:val="10"/>
        <w:tblW w:w="0" w:type="auto"/>
        <w:tblInd w:w="169"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82"/>
        <w:gridCol w:w="2431"/>
        <w:gridCol w:w="1747"/>
        <w:gridCol w:w="239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投标项目</w:t>
            </w:r>
          </w:p>
        </w:tc>
        <w:tc>
          <w:tcPr>
            <w:tcW w:w="6577" w:type="dxa"/>
            <w:gridSpan w:val="3"/>
            <w:tcBorders>
              <w:top w:val="single" w:color="auto" w:sz="8" w:space="0"/>
            </w:tcBorders>
            <w:noWrap w:val="0"/>
            <w:vAlign w:val="center"/>
          </w:tcPr>
          <w:p>
            <w:pPr>
              <w:widowControl/>
              <w:spacing w:line="440" w:lineRule="exact"/>
              <w:jc w:val="center"/>
              <w:rPr>
                <w:rFonts w:hint="eastAsia" w:ascii="宋体" w:hAnsi="宋体" w:cs="宋体"/>
                <w:kern w:val="0"/>
                <w:sz w:val="24"/>
                <w:szCs w:val="21"/>
              </w:rPr>
            </w:pPr>
            <w:r>
              <w:rPr>
                <w:rFonts w:hint="eastAsia" w:ascii="宋体" w:hAnsi="宋体" w:cs="宋体"/>
                <w:kern w:val="0"/>
                <w:sz w:val="24"/>
                <w:szCs w:val="21"/>
              </w:rPr>
              <w:t>可直接复制招标文件标题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tcBorders>
              <w:top w:val="single" w:color="auto" w:sz="8" w:space="0"/>
            </w:tcBorders>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投标人名称</w:t>
            </w:r>
          </w:p>
        </w:tc>
        <w:tc>
          <w:tcPr>
            <w:tcW w:w="6577" w:type="dxa"/>
            <w:gridSpan w:val="3"/>
            <w:tcBorders>
              <w:top w:val="single" w:color="auto" w:sz="8" w:space="0"/>
            </w:tcBorders>
            <w:noWrap w:val="0"/>
            <w:vAlign w:val="center"/>
          </w:tcPr>
          <w:p>
            <w:pPr>
              <w:widowControl/>
              <w:spacing w:line="440" w:lineRule="exact"/>
              <w:jc w:val="center"/>
              <w:rPr>
                <w:rFonts w:ascii="宋体" w:hAnsi="宋体" w:cs="宋体"/>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2282"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投标人联系地址</w:t>
            </w:r>
          </w:p>
        </w:tc>
        <w:tc>
          <w:tcPr>
            <w:tcW w:w="6577" w:type="dxa"/>
            <w:gridSpan w:val="3"/>
            <w:noWrap w:val="0"/>
            <w:vAlign w:val="center"/>
          </w:tcPr>
          <w:p>
            <w:pPr>
              <w:widowControl/>
              <w:spacing w:line="440" w:lineRule="exact"/>
              <w:jc w:val="center"/>
              <w:rPr>
                <w:rFonts w:ascii="宋体" w:hAnsi="宋体" w:cs="宋体"/>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法定代表人</w:t>
            </w:r>
          </w:p>
        </w:tc>
        <w:tc>
          <w:tcPr>
            <w:tcW w:w="2431" w:type="dxa"/>
            <w:noWrap w:val="0"/>
            <w:vAlign w:val="center"/>
          </w:tcPr>
          <w:p>
            <w:pPr>
              <w:widowControl/>
              <w:spacing w:line="440" w:lineRule="exact"/>
              <w:jc w:val="center"/>
              <w:rPr>
                <w:rFonts w:ascii="宋体" w:hAnsi="宋体" w:cs="宋体"/>
                <w:kern w:val="0"/>
                <w:sz w:val="24"/>
                <w:szCs w:val="21"/>
              </w:rPr>
            </w:pPr>
          </w:p>
        </w:tc>
        <w:tc>
          <w:tcPr>
            <w:tcW w:w="1747"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法人委托人</w:t>
            </w:r>
          </w:p>
        </w:tc>
        <w:tc>
          <w:tcPr>
            <w:tcW w:w="2399" w:type="dxa"/>
            <w:noWrap w:val="0"/>
            <w:vAlign w:val="center"/>
          </w:tcPr>
          <w:p>
            <w:pPr>
              <w:widowControl/>
              <w:spacing w:line="440" w:lineRule="exact"/>
              <w:jc w:val="center"/>
              <w:rPr>
                <w:rFonts w:ascii="宋体" w:hAnsi="宋体" w:cs="宋体"/>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投标联系人</w:t>
            </w:r>
          </w:p>
        </w:tc>
        <w:tc>
          <w:tcPr>
            <w:tcW w:w="2431" w:type="dxa"/>
            <w:noWrap w:val="0"/>
            <w:vAlign w:val="center"/>
          </w:tcPr>
          <w:p>
            <w:pPr>
              <w:widowControl/>
              <w:spacing w:line="440" w:lineRule="exact"/>
              <w:jc w:val="center"/>
              <w:rPr>
                <w:rFonts w:ascii="宋体" w:hAnsi="宋体" w:cs="宋体"/>
                <w:kern w:val="0"/>
                <w:sz w:val="24"/>
                <w:szCs w:val="21"/>
              </w:rPr>
            </w:pPr>
          </w:p>
        </w:tc>
        <w:tc>
          <w:tcPr>
            <w:tcW w:w="1747"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联系电话</w:t>
            </w:r>
          </w:p>
        </w:tc>
        <w:tc>
          <w:tcPr>
            <w:tcW w:w="2399" w:type="dxa"/>
            <w:noWrap w:val="0"/>
            <w:vAlign w:val="center"/>
          </w:tcPr>
          <w:p>
            <w:pPr>
              <w:widowControl/>
              <w:spacing w:line="440" w:lineRule="exact"/>
              <w:jc w:val="center"/>
              <w:rPr>
                <w:rFonts w:ascii="宋体" w:hAnsi="宋体" w:cs="宋体"/>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38" w:hRule="atLeast"/>
        </w:trPr>
        <w:tc>
          <w:tcPr>
            <w:tcW w:w="2282" w:type="dxa"/>
            <w:noWrap w:val="0"/>
            <w:vAlign w:val="center"/>
          </w:tcPr>
          <w:p>
            <w:pPr>
              <w:widowControl/>
              <w:spacing w:line="440" w:lineRule="exact"/>
              <w:jc w:val="center"/>
              <w:rPr>
                <w:rFonts w:ascii="宋体" w:hAnsi="宋体" w:cs="宋体"/>
                <w:kern w:val="0"/>
                <w:sz w:val="24"/>
                <w:szCs w:val="21"/>
              </w:rPr>
            </w:pPr>
            <w:r>
              <w:rPr>
                <w:rFonts w:hint="eastAsia" w:ascii="宋体" w:hAnsi="宋体" w:cs="宋体"/>
                <w:kern w:val="0"/>
                <w:sz w:val="24"/>
                <w:szCs w:val="21"/>
              </w:rPr>
              <w:t>电子邮箱（必填）</w:t>
            </w:r>
          </w:p>
        </w:tc>
        <w:tc>
          <w:tcPr>
            <w:tcW w:w="6577" w:type="dxa"/>
            <w:gridSpan w:val="3"/>
            <w:noWrap w:val="0"/>
            <w:vAlign w:val="center"/>
          </w:tcPr>
          <w:p>
            <w:pPr>
              <w:widowControl/>
              <w:spacing w:line="440" w:lineRule="exact"/>
              <w:jc w:val="center"/>
              <w:rPr>
                <w:rFonts w:ascii="宋体" w:hAnsi="宋体" w:cs="宋体"/>
                <w:kern w:val="0"/>
                <w:sz w:val="2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004" w:hRule="atLeast"/>
        </w:trPr>
        <w:tc>
          <w:tcPr>
            <w:tcW w:w="8859" w:type="dxa"/>
            <w:gridSpan w:val="4"/>
            <w:tcBorders>
              <w:bottom w:val="single" w:color="auto" w:sz="8" w:space="0"/>
            </w:tcBorders>
            <w:noWrap w:val="0"/>
            <w:vAlign w:val="center"/>
          </w:tcPr>
          <w:p>
            <w:pPr>
              <w:widowControl/>
              <w:spacing w:line="440" w:lineRule="exact"/>
              <w:jc w:val="left"/>
              <w:rPr>
                <w:rFonts w:ascii="宋体" w:hAnsi="宋体" w:cs="宋体"/>
                <w:kern w:val="0"/>
                <w:sz w:val="24"/>
                <w:szCs w:val="21"/>
              </w:rPr>
            </w:pPr>
            <w:r>
              <w:rPr>
                <w:rFonts w:ascii="宋体" w:hAnsi="宋体" w:cs="宋体"/>
                <w:kern w:val="0"/>
                <w:sz w:val="24"/>
                <w:szCs w:val="21"/>
              </w:rPr>
              <w:t>1.</w:t>
            </w:r>
            <w:r>
              <w:rPr>
                <w:rFonts w:hint="eastAsia" w:ascii="宋体" w:hAnsi="宋体" w:cs="宋体"/>
                <w:kern w:val="0"/>
                <w:sz w:val="24"/>
                <w:szCs w:val="21"/>
              </w:rPr>
              <w:t>获取招标文件方式：电子版</w:t>
            </w:r>
            <w:r>
              <w:rPr>
                <w:rFonts w:ascii="宋体" w:hAnsi="宋体" w:cs="宋体"/>
                <w:kern w:val="0"/>
                <w:sz w:val="24"/>
                <w:szCs w:val="21"/>
              </w:rPr>
              <w:t xml:space="preserve"> </w:t>
            </w:r>
          </w:p>
          <w:p>
            <w:pPr>
              <w:widowControl/>
              <w:spacing w:line="440" w:lineRule="exact"/>
              <w:jc w:val="left"/>
              <w:rPr>
                <w:rFonts w:ascii="宋体" w:hAnsi="宋体" w:cs="宋体"/>
                <w:kern w:val="0"/>
                <w:sz w:val="24"/>
                <w:szCs w:val="21"/>
              </w:rPr>
            </w:pPr>
          </w:p>
          <w:p>
            <w:pPr>
              <w:pStyle w:val="15"/>
              <w:ind w:firstLine="0" w:firstLineChars="0"/>
              <w:rPr>
                <w:rFonts w:hint="eastAsia"/>
              </w:rPr>
            </w:pPr>
          </w:p>
          <w:p>
            <w:pPr>
              <w:pStyle w:val="15"/>
              <w:ind w:firstLine="0" w:firstLineChars="0"/>
              <w:rPr>
                <w:rFonts w:hint="eastAsia"/>
              </w:rPr>
            </w:pPr>
          </w:p>
          <w:p>
            <w:pPr>
              <w:pStyle w:val="15"/>
              <w:ind w:firstLine="0" w:firstLineChars="0"/>
              <w:rPr>
                <w:rFonts w:hint="eastAsia"/>
              </w:rPr>
            </w:pPr>
          </w:p>
          <w:p>
            <w:pPr>
              <w:widowControl/>
              <w:spacing w:line="440" w:lineRule="exact"/>
              <w:jc w:val="left"/>
              <w:rPr>
                <w:rFonts w:ascii="宋体" w:hAnsi="宋体" w:cs="宋体"/>
                <w:kern w:val="0"/>
                <w:sz w:val="24"/>
                <w:szCs w:val="21"/>
              </w:rPr>
            </w:pPr>
            <w:r>
              <w:rPr>
                <w:rFonts w:ascii="宋体" w:hAnsi="宋体" w:cs="宋体"/>
                <w:kern w:val="0"/>
                <w:sz w:val="24"/>
                <w:szCs w:val="21"/>
              </w:rPr>
              <w:t>2.</w:t>
            </w:r>
            <w:r>
              <w:rPr>
                <w:rFonts w:hint="eastAsia" w:ascii="宋体" w:hAnsi="宋体" w:cs="宋体"/>
                <w:kern w:val="0"/>
                <w:sz w:val="24"/>
                <w:szCs w:val="21"/>
              </w:rPr>
              <w:t xml:space="preserve">申请投标招标编号：ZTEJ-2025XX </w:t>
            </w:r>
            <w:r>
              <w:rPr>
                <w:rFonts w:ascii="宋体" w:hAnsi="宋体" w:cs="宋体"/>
                <w:kern w:val="0"/>
                <w:sz w:val="24"/>
                <w:szCs w:val="21"/>
              </w:rPr>
              <w:t xml:space="preserve">           </w:t>
            </w:r>
            <w:r>
              <w:rPr>
                <w:rFonts w:hint="eastAsia" w:ascii="宋体" w:hAnsi="宋体" w:cs="宋体"/>
                <w:kern w:val="0"/>
                <w:sz w:val="24"/>
                <w:szCs w:val="21"/>
              </w:rPr>
              <w:t>包件：X</w:t>
            </w:r>
            <w:r>
              <w:rPr>
                <w:rFonts w:ascii="宋体" w:hAnsi="宋体" w:cs="宋体"/>
                <w:kern w:val="0"/>
                <w:sz w:val="24"/>
                <w:szCs w:val="21"/>
              </w:rPr>
              <w:t>X-01</w:t>
            </w:r>
          </w:p>
          <w:p>
            <w:pPr>
              <w:widowControl/>
              <w:spacing w:line="440" w:lineRule="exact"/>
              <w:jc w:val="left"/>
              <w:rPr>
                <w:rFonts w:ascii="宋体" w:hAnsi="宋体" w:cs="宋体"/>
                <w:kern w:val="0"/>
                <w:sz w:val="24"/>
                <w:szCs w:val="21"/>
              </w:rPr>
            </w:pPr>
          </w:p>
          <w:p>
            <w:pPr>
              <w:widowControl/>
              <w:spacing w:line="440" w:lineRule="exact"/>
              <w:jc w:val="left"/>
              <w:rPr>
                <w:rFonts w:ascii="宋体" w:hAnsi="宋体" w:cs="宋体"/>
                <w:kern w:val="0"/>
                <w:sz w:val="24"/>
                <w:szCs w:val="21"/>
              </w:rPr>
            </w:pPr>
          </w:p>
          <w:p>
            <w:pPr>
              <w:widowControl/>
              <w:spacing w:line="440" w:lineRule="exact"/>
              <w:jc w:val="left"/>
              <w:rPr>
                <w:rFonts w:ascii="宋体" w:hAnsi="宋体" w:cs="宋体"/>
                <w:kern w:val="0"/>
                <w:sz w:val="24"/>
                <w:szCs w:val="21"/>
              </w:rPr>
            </w:pPr>
          </w:p>
          <w:p>
            <w:pPr>
              <w:pStyle w:val="15"/>
              <w:ind w:firstLine="0" w:firstLineChars="0"/>
              <w:rPr>
                <w:rFonts w:hint="eastAsia"/>
              </w:rPr>
            </w:pPr>
          </w:p>
          <w:p>
            <w:pPr>
              <w:widowControl/>
              <w:spacing w:line="440" w:lineRule="exact"/>
              <w:jc w:val="left"/>
              <w:rPr>
                <w:rFonts w:ascii="宋体" w:hAnsi="宋体" w:cs="宋体"/>
                <w:kern w:val="0"/>
                <w:sz w:val="24"/>
                <w:szCs w:val="21"/>
              </w:rPr>
            </w:pPr>
            <w:r>
              <w:rPr>
                <w:rFonts w:ascii="宋体" w:hAnsi="宋体" w:cs="宋体"/>
                <w:kern w:val="0"/>
                <w:sz w:val="24"/>
                <w:szCs w:val="21"/>
              </w:rPr>
              <w:t>3.</w:t>
            </w:r>
            <w:r>
              <w:rPr>
                <w:rFonts w:hint="eastAsia" w:ascii="宋体" w:hAnsi="宋体" w:cs="宋体"/>
                <w:kern w:val="0"/>
                <w:sz w:val="24"/>
                <w:szCs w:val="21"/>
              </w:rPr>
              <w:t>其它说明：</w:t>
            </w:r>
          </w:p>
          <w:p>
            <w:pPr>
              <w:widowControl/>
              <w:spacing w:line="440" w:lineRule="exact"/>
              <w:jc w:val="left"/>
              <w:rPr>
                <w:rFonts w:ascii="宋体" w:hAnsi="宋体" w:cs="宋体"/>
                <w:kern w:val="0"/>
                <w:sz w:val="24"/>
                <w:szCs w:val="21"/>
              </w:rPr>
            </w:pPr>
          </w:p>
          <w:p>
            <w:pPr>
              <w:widowControl/>
              <w:spacing w:line="440" w:lineRule="exact"/>
              <w:jc w:val="left"/>
              <w:rPr>
                <w:rFonts w:ascii="宋体" w:hAnsi="宋体" w:cs="宋体"/>
                <w:kern w:val="0"/>
                <w:sz w:val="24"/>
                <w:szCs w:val="21"/>
              </w:rPr>
            </w:pPr>
          </w:p>
          <w:p>
            <w:pPr>
              <w:widowControl/>
              <w:spacing w:line="440" w:lineRule="exact"/>
              <w:jc w:val="left"/>
              <w:rPr>
                <w:rFonts w:ascii="宋体" w:hAnsi="宋体" w:cs="宋体"/>
                <w:kern w:val="0"/>
                <w:sz w:val="24"/>
                <w:szCs w:val="21"/>
              </w:rPr>
            </w:pPr>
          </w:p>
          <w:p>
            <w:pPr>
              <w:widowControl/>
              <w:spacing w:line="440" w:lineRule="exact"/>
              <w:jc w:val="left"/>
              <w:rPr>
                <w:rFonts w:ascii="宋体" w:hAnsi="宋体" w:cs="宋体"/>
                <w:kern w:val="0"/>
                <w:sz w:val="24"/>
                <w:szCs w:val="21"/>
              </w:rPr>
            </w:pPr>
          </w:p>
          <w:p>
            <w:pPr>
              <w:widowControl/>
              <w:spacing w:line="440" w:lineRule="exact"/>
              <w:ind w:right="480" w:firstLine="5280" w:firstLineChars="2200"/>
              <w:jc w:val="left"/>
              <w:rPr>
                <w:rFonts w:ascii="宋体" w:hAnsi="宋体" w:cs="宋体"/>
                <w:kern w:val="0"/>
                <w:sz w:val="24"/>
                <w:szCs w:val="21"/>
              </w:rPr>
            </w:pPr>
            <w:r>
              <w:rPr>
                <w:rFonts w:hint="eastAsia" w:ascii="宋体" w:hAnsi="宋体" w:cs="宋体"/>
                <w:kern w:val="0"/>
                <w:sz w:val="24"/>
                <w:szCs w:val="21"/>
              </w:rPr>
              <w:t>投标人（公章）</w:t>
            </w:r>
          </w:p>
          <w:p>
            <w:pPr>
              <w:widowControl/>
              <w:spacing w:line="440" w:lineRule="exact"/>
              <w:jc w:val="left"/>
              <w:rPr>
                <w:rFonts w:ascii="宋体" w:hAnsi="宋体" w:cs="宋体"/>
                <w:kern w:val="0"/>
                <w:sz w:val="24"/>
                <w:szCs w:val="21"/>
              </w:rPr>
            </w:pPr>
            <w:r>
              <w:rPr>
                <w:rFonts w:ascii="宋体" w:hAnsi="宋体" w:cs="宋体"/>
                <w:kern w:val="0"/>
                <w:sz w:val="24"/>
                <w:szCs w:val="21"/>
              </w:rPr>
              <w:t xml:space="preserve">                                            </w:t>
            </w:r>
          </w:p>
          <w:p>
            <w:pPr>
              <w:widowControl/>
              <w:spacing w:line="440" w:lineRule="exact"/>
              <w:ind w:firstLine="5160" w:firstLineChars="2150"/>
              <w:jc w:val="left"/>
              <w:rPr>
                <w:rFonts w:ascii="宋体" w:hAnsi="宋体" w:cs="宋体"/>
                <w:kern w:val="0"/>
                <w:sz w:val="24"/>
                <w:szCs w:val="21"/>
              </w:rPr>
            </w:pPr>
            <w:r>
              <w:rPr>
                <w:rFonts w:ascii="宋体" w:hAnsi="宋体" w:cs="宋体"/>
                <w:kern w:val="0"/>
                <w:sz w:val="24"/>
                <w:szCs w:val="21"/>
              </w:rPr>
              <w:t xml:space="preserve"> </w:t>
            </w:r>
            <w:r>
              <w:rPr>
                <w:rFonts w:hint="eastAsia" w:ascii="宋体" w:hAnsi="宋体" w:cs="宋体"/>
                <w:kern w:val="0"/>
                <w:sz w:val="24"/>
                <w:szCs w:val="21"/>
              </w:rPr>
              <w:t>年</w:t>
            </w:r>
            <w:r>
              <w:rPr>
                <w:rFonts w:ascii="宋体" w:hAnsi="宋体" w:cs="宋体"/>
                <w:kern w:val="0"/>
                <w:sz w:val="24"/>
                <w:szCs w:val="21"/>
              </w:rPr>
              <w:t xml:space="preserve">    </w:t>
            </w:r>
            <w:r>
              <w:rPr>
                <w:rFonts w:hint="eastAsia" w:ascii="宋体" w:hAnsi="宋体" w:cs="宋体"/>
                <w:kern w:val="0"/>
                <w:sz w:val="24"/>
                <w:szCs w:val="21"/>
              </w:rPr>
              <w:t>月</w:t>
            </w:r>
            <w:r>
              <w:rPr>
                <w:rFonts w:ascii="宋体" w:hAnsi="宋体" w:cs="宋体"/>
                <w:kern w:val="0"/>
                <w:sz w:val="24"/>
                <w:szCs w:val="21"/>
              </w:rPr>
              <w:t xml:space="preserve">    </w:t>
            </w:r>
            <w:r>
              <w:rPr>
                <w:rFonts w:hint="eastAsia" w:ascii="宋体" w:hAnsi="宋体" w:cs="宋体"/>
                <w:kern w:val="0"/>
                <w:sz w:val="24"/>
                <w:szCs w:val="21"/>
              </w:rPr>
              <w:t>日</w:t>
            </w:r>
          </w:p>
          <w:p>
            <w:pPr>
              <w:widowControl/>
              <w:spacing w:line="440" w:lineRule="exact"/>
              <w:ind w:firstLine="5160" w:firstLineChars="2150"/>
              <w:jc w:val="left"/>
              <w:rPr>
                <w:rFonts w:ascii="宋体" w:hAnsi="宋体" w:cs="宋体"/>
                <w:kern w:val="0"/>
                <w:sz w:val="24"/>
                <w:szCs w:val="21"/>
              </w:rPr>
            </w:pPr>
          </w:p>
        </w:tc>
      </w:tr>
    </w:tbl>
    <w:p>
      <w:pPr>
        <w:spacing w:line="400" w:lineRule="exact"/>
        <w:jc w:val="center"/>
        <w:rPr>
          <w:rFonts w:ascii="宋体" w:hAnsi="宋体"/>
          <w:bCs/>
          <w:sz w:val="28"/>
          <w:szCs w:val="28"/>
        </w:rPr>
      </w:pPr>
    </w:p>
    <w:p>
      <w:pPr>
        <w:outlineLvl w:val="1"/>
        <w:rPr>
          <w:rFonts w:hint="eastAsia" w:ascii="宋体" w:hAnsi="宋体"/>
          <w:sz w:val="28"/>
          <w:szCs w:val="28"/>
        </w:rPr>
      </w:pPr>
      <w:bookmarkStart w:id="19" w:name="_Toc129374161"/>
      <w:bookmarkStart w:id="20" w:name="_Toc8560"/>
      <w:bookmarkStart w:id="21" w:name="_Toc24014"/>
      <w:bookmarkStart w:id="22" w:name="_Toc129350252"/>
      <w:bookmarkStart w:id="23" w:name="_Toc28032"/>
      <w:r>
        <w:rPr>
          <w:rFonts w:hint="eastAsia" w:ascii="宋体" w:hAnsi="宋体"/>
          <w:sz w:val="28"/>
          <w:szCs w:val="28"/>
        </w:rPr>
        <w:t>附件四</w:t>
      </w:r>
      <w:bookmarkEnd w:id="19"/>
      <w:bookmarkEnd w:id="20"/>
      <w:bookmarkEnd w:id="21"/>
      <w:bookmarkEnd w:id="22"/>
      <w:bookmarkEnd w:id="23"/>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pPr>
      <w:bookmarkStart w:id="24" w:name="_Toc26513"/>
      <w:r>
        <w:rPr>
          <w:rFonts w:hint="eastAsia" w:ascii="宋体" w:hAnsi="宋体" w:cs="新宋体"/>
          <w:b/>
          <w:bCs/>
          <w:kern w:val="0"/>
          <w:sz w:val="36"/>
          <w:szCs w:val="36"/>
        </w:rPr>
        <w:t>客商申请所需信息</w:t>
      </w:r>
      <w:bookmarkEnd w:id="24"/>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933"/>
        <w:gridCol w:w="5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66" w:type="dxa"/>
            <w:tcBorders>
              <w:top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序号</w:t>
            </w:r>
          </w:p>
        </w:tc>
        <w:tc>
          <w:tcPr>
            <w:tcW w:w="2933" w:type="dxa"/>
            <w:tcBorders>
              <w:top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单位名称</w:t>
            </w:r>
          </w:p>
        </w:tc>
        <w:tc>
          <w:tcPr>
            <w:tcW w:w="5285" w:type="dxa"/>
            <w:tcBorders>
              <w:top w:val="single" w:color="auto" w:sz="4" w:space="0"/>
            </w:tcBorders>
            <w:noWrap/>
            <w:vAlign w:val="center"/>
          </w:tcPr>
          <w:p>
            <w:pPr>
              <w:widowControl/>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客商性质</w:t>
            </w:r>
          </w:p>
        </w:tc>
        <w:tc>
          <w:tcPr>
            <w:tcW w:w="5285"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国企/民企/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5"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2</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统一社会信用代码</w:t>
            </w:r>
          </w:p>
        </w:tc>
        <w:tc>
          <w:tcPr>
            <w:tcW w:w="5285" w:type="dxa"/>
            <w:noWrap/>
            <w:vAlign w:val="center"/>
          </w:tcPr>
          <w:p>
            <w:pPr>
              <w:widowControl/>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5"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3</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所在地</w:t>
            </w:r>
          </w:p>
        </w:tc>
        <w:tc>
          <w:tcPr>
            <w:tcW w:w="5285" w:type="dxa"/>
            <w:noWrap/>
            <w:vAlign w:val="center"/>
          </w:tcPr>
          <w:p>
            <w:pPr>
              <w:widowControl/>
              <w:jc w:val="center"/>
              <w:rPr>
                <w:rFonts w:ascii="宋体" w:hAnsi="宋体" w:cs="宋体"/>
                <w:color w:val="000000"/>
                <w:kern w:val="0"/>
                <w:sz w:val="24"/>
              </w:rPr>
            </w:pPr>
            <w:r>
              <w:rPr>
                <w:rFonts w:hint="eastAsia" w:ascii="宋体" w:hAnsi="宋体" w:eastAsia="宋体" w:cs="宋体"/>
                <w:color w:val="000000"/>
                <w:kern w:val="0"/>
                <w:sz w:val="24"/>
              </w:rPr>
              <w:t>XX省/</w:t>
            </w:r>
            <w:r>
              <w:rPr>
                <w:rFonts w:hint="eastAsia" w:ascii="宋体" w:hAnsi="宋体" w:eastAsia="宋体" w:cs="宋体"/>
                <w:color w:val="000000"/>
                <w:kern w:val="0"/>
                <w:sz w:val="24"/>
                <w:lang w:val="en-US" w:eastAsia="zh-CN"/>
              </w:rPr>
              <w:t>XX市、XX</w:t>
            </w:r>
            <w:r>
              <w:rPr>
                <w:rFonts w:hint="eastAsia" w:ascii="宋体" w:hAnsi="宋体" w:eastAsia="宋体" w:cs="宋体"/>
                <w:color w:val="000000"/>
                <w:kern w:val="0"/>
                <w:sz w:val="24"/>
              </w:rPr>
              <w:t>自治区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4</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法人姓名</w:t>
            </w:r>
          </w:p>
        </w:tc>
        <w:tc>
          <w:tcPr>
            <w:tcW w:w="5285" w:type="dxa"/>
            <w:noWrap/>
            <w:vAlign w:val="center"/>
          </w:tcPr>
          <w:p>
            <w:pPr>
              <w:widowControl/>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5"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5</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法人身份证号</w:t>
            </w:r>
          </w:p>
        </w:tc>
        <w:tc>
          <w:tcPr>
            <w:tcW w:w="5285" w:type="dxa"/>
            <w:noWrap/>
            <w:vAlign w:val="center"/>
          </w:tcPr>
          <w:p>
            <w:pPr>
              <w:widowControl/>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0"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6</w:t>
            </w:r>
          </w:p>
        </w:tc>
        <w:tc>
          <w:tcPr>
            <w:tcW w:w="2933"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纳税人类型</w:t>
            </w:r>
          </w:p>
        </w:tc>
        <w:tc>
          <w:tcPr>
            <w:tcW w:w="5285"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增值税一般纳税人/小规模纳税人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7</w:t>
            </w:r>
          </w:p>
        </w:tc>
        <w:tc>
          <w:tcPr>
            <w:tcW w:w="2933" w:type="dxa"/>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投标人付款账号</w:t>
            </w:r>
          </w:p>
        </w:tc>
        <w:tc>
          <w:tcPr>
            <w:tcW w:w="5285" w:type="dxa"/>
            <w:noWrap w:val="0"/>
            <w:vAlign w:val="center"/>
          </w:tcPr>
          <w:p>
            <w:pPr>
              <w:widowControl/>
              <w:jc w:val="left"/>
              <w:rPr>
                <w:rFonts w:ascii="宋体" w:hAnsi="宋体" w:cs="宋体"/>
                <w:color w:val="FF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66" w:type="dxa"/>
            <w:noWrap/>
            <w:vAlign w:val="center"/>
          </w:tcPr>
          <w:p>
            <w:pPr>
              <w:widowControl/>
              <w:jc w:val="center"/>
              <w:rPr>
                <w:rFonts w:hint="eastAsia" w:ascii="宋体" w:hAnsi="宋体" w:cs="宋体"/>
                <w:color w:val="000000"/>
                <w:kern w:val="0"/>
                <w:sz w:val="24"/>
              </w:rPr>
            </w:pPr>
            <w:r>
              <w:rPr>
                <w:rFonts w:hint="eastAsia" w:ascii="宋体" w:hAnsi="宋体" w:cs="宋体"/>
                <w:color w:val="000000"/>
                <w:kern w:val="0"/>
                <w:sz w:val="24"/>
              </w:rPr>
              <w:t>8</w:t>
            </w:r>
          </w:p>
        </w:tc>
        <w:tc>
          <w:tcPr>
            <w:tcW w:w="2933" w:type="dxa"/>
            <w:noWrap w:val="0"/>
            <w:vAlign w:val="center"/>
          </w:tcPr>
          <w:p>
            <w:pPr>
              <w:widowControl/>
              <w:jc w:val="center"/>
              <w:rPr>
                <w:rFonts w:ascii="宋体" w:hAnsi="宋体" w:cs="宋体"/>
                <w:color w:val="000000"/>
                <w:kern w:val="0"/>
                <w:sz w:val="24"/>
              </w:rPr>
            </w:pPr>
            <w:r>
              <w:rPr>
                <w:rFonts w:hint="eastAsia" w:ascii="宋体" w:hAnsi="宋体" w:cs="宋体"/>
                <w:color w:val="000000"/>
                <w:kern w:val="0"/>
                <w:sz w:val="24"/>
              </w:rPr>
              <w:t>投标人付款开户行和银行联行号</w:t>
            </w:r>
          </w:p>
        </w:tc>
        <w:tc>
          <w:tcPr>
            <w:tcW w:w="5285" w:type="dxa"/>
            <w:noWrap w:val="0"/>
            <w:vAlign w:val="center"/>
          </w:tcPr>
          <w:p>
            <w:pPr>
              <w:widowControl/>
              <w:jc w:val="left"/>
              <w:rPr>
                <w:rFonts w:ascii="宋体" w:hAnsi="宋体" w:cs="宋体"/>
                <w:color w:val="FF0000"/>
                <w:kern w:val="0"/>
                <w:sz w:val="24"/>
              </w:rPr>
            </w:pPr>
          </w:p>
        </w:tc>
      </w:tr>
    </w:tbl>
    <w:p>
      <w:pPr>
        <w:spacing w:line="400" w:lineRule="exact"/>
        <w:jc w:val="center"/>
        <w:rPr>
          <w:rFonts w:ascii="宋体" w:hAnsi="宋体"/>
          <w:bCs/>
          <w:sz w:val="28"/>
          <w:szCs w:val="28"/>
        </w:rPr>
      </w:pPr>
    </w:p>
    <w:p>
      <w:pPr>
        <w:spacing w:line="400" w:lineRule="exact"/>
        <w:jc w:val="center"/>
        <w:rPr>
          <w:rFonts w:ascii="宋体" w:hAnsi="宋体"/>
          <w:bCs/>
          <w:sz w:val="28"/>
          <w:szCs w:val="28"/>
        </w:rPr>
      </w:pPr>
    </w:p>
    <w:p>
      <w:pPr>
        <w:spacing w:line="400" w:lineRule="exact"/>
        <w:jc w:val="center"/>
        <w:rPr>
          <w:rFonts w:ascii="宋体" w:hAnsi="宋体"/>
          <w:bCs/>
          <w:sz w:val="28"/>
          <w:szCs w:val="28"/>
        </w:rPr>
        <w:sectPr>
          <w:footerReference r:id="rId3" w:type="default"/>
          <w:footerReference r:id="rId4" w:type="even"/>
          <w:pgSz w:w="11906" w:h="16838"/>
          <w:pgMar w:top="1134" w:right="1191" w:bottom="1134" w:left="1474" w:header="340" w:footer="1361" w:gutter="0"/>
          <w:cols w:space="720" w:num="1"/>
          <w:docGrid w:type="linesAndChars" w:linePitch="312" w:charSpace="0"/>
        </w:sectPr>
      </w:pPr>
    </w:p>
    <w:p>
      <w:pPr>
        <w:outlineLvl w:val="1"/>
        <w:rPr>
          <w:rFonts w:ascii="宋体" w:hAnsi="宋体"/>
          <w:sz w:val="28"/>
          <w:szCs w:val="28"/>
        </w:rPr>
      </w:pPr>
      <w:bookmarkStart w:id="25" w:name="_Toc27517"/>
      <w:bookmarkStart w:id="26" w:name="_Toc23392"/>
      <w:bookmarkStart w:id="27" w:name="_Toc17020"/>
      <w:r>
        <w:rPr>
          <w:rFonts w:hint="eastAsia" w:ascii="宋体" w:hAnsi="宋体"/>
          <w:sz w:val="28"/>
          <w:szCs w:val="28"/>
        </w:rPr>
        <w:t>附件五</w:t>
      </w:r>
      <w:bookmarkEnd w:id="25"/>
      <w:bookmarkEnd w:id="26"/>
      <w:bookmarkEnd w:id="27"/>
    </w:p>
    <w:p>
      <w:pPr>
        <w:spacing w:line="360" w:lineRule="auto"/>
        <w:jc w:val="center"/>
        <w:rPr>
          <w:b/>
          <w:sz w:val="30"/>
          <w:szCs w:val="30"/>
        </w:rPr>
      </w:pPr>
      <w:r>
        <w:rPr>
          <w:rFonts w:hint="eastAsia"/>
          <w:b/>
          <w:sz w:val="36"/>
          <w:szCs w:val="36"/>
        </w:rPr>
        <w:t>需求明细表</w:t>
      </w:r>
      <w:r>
        <w:rPr>
          <w:b/>
          <w:sz w:val="36"/>
          <w:szCs w:val="36"/>
        </w:rPr>
        <w:t>1</w:t>
      </w:r>
    </w:p>
    <w:p>
      <w:pPr>
        <w:rPr>
          <w:rFonts w:hint="eastAsia" w:ascii="宋体" w:hAnsi="宋体"/>
          <w:b/>
          <w:sz w:val="18"/>
          <w:szCs w:val="18"/>
        </w:rPr>
      </w:pPr>
      <w:r>
        <w:rPr>
          <w:sz w:val="18"/>
          <w:szCs w:val="18"/>
        </w:rPr>
        <w:t xml:space="preserve">                     </w:t>
      </w:r>
    </w:p>
    <w:p>
      <w:pPr>
        <w:jc w:val="left"/>
        <w:rPr>
          <w:rFonts w:hint="eastAsia" w:ascii="宋体" w:hAnsi="宋体" w:cs="宋体"/>
          <w:szCs w:val="21"/>
        </w:rPr>
      </w:pPr>
      <w:r>
        <w:rPr>
          <w:rFonts w:hint="eastAsia" w:ascii="宋体" w:hAnsi="宋体" w:cs="宋体"/>
          <w:szCs w:val="21"/>
        </w:rPr>
        <w:t>招标人名称：中铁二局集团有限公司                            招标编号:</w:t>
      </w:r>
      <w:r>
        <w:t xml:space="preserve"> </w:t>
      </w:r>
      <w:r>
        <w:rPr>
          <w:rFonts w:ascii="宋体" w:hAnsi="宋体" w:cs="宋体"/>
          <w:szCs w:val="21"/>
        </w:rPr>
        <w:t>ZTE</w:t>
      </w:r>
      <w:r>
        <w:rPr>
          <w:rFonts w:hint="eastAsia" w:ascii="宋体" w:hAnsi="宋体" w:cs="宋体"/>
          <w:szCs w:val="21"/>
          <w:lang w:val="en-US" w:eastAsia="zh-CN"/>
        </w:rPr>
        <w:t>-2025509</w:t>
      </w:r>
      <w:r>
        <w:rPr>
          <w:rFonts w:hint="eastAsia" w:ascii="宋体" w:hAnsi="宋体" w:cs="宋体"/>
          <w:szCs w:val="21"/>
        </w:rPr>
        <w:t xml:space="preserve">    </w:t>
      </w:r>
      <w:r>
        <w:rPr>
          <w:rFonts w:hint="eastAsia" w:ascii="宋体" w:hAnsi="宋体" w:cs="宋体"/>
          <w:color w:val="FF0000"/>
          <w:szCs w:val="21"/>
        </w:rPr>
        <w:t xml:space="preserve">                  </w:t>
      </w:r>
      <w:r>
        <w:rPr>
          <w:rFonts w:hint="eastAsia" w:ascii="宋体" w:hAnsi="宋体" w:cs="宋体"/>
          <w:szCs w:val="21"/>
        </w:rPr>
        <w:t xml:space="preserve">包件号：HNT-01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339"/>
        <w:gridCol w:w="987"/>
        <w:gridCol w:w="920"/>
        <w:gridCol w:w="907"/>
        <w:gridCol w:w="1117"/>
        <w:gridCol w:w="2039"/>
        <w:gridCol w:w="2004"/>
        <w:gridCol w:w="1173"/>
        <w:gridCol w:w="1330"/>
        <w:gridCol w:w="1243"/>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jc w:val="center"/>
              <w:rPr>
                <w:rFonts w:hint="eastAsia" w:ascii="宋体" w:hAnsi="宋体" w:cs="宋体"/>
                <w:b/>
                <w:kern w:val="0"/>
                <w:szCs w:val="21"/>
              </w:rPr>
            </w:pPr>
            <w:r>
              <w:rPr>
                <w:rFonts w:hint="eastAsia" w:ascii="宋体" w:hAnsi="宋体" w:cs="宋体"/>
                <w:b/>
                <w:kern w:val="0"/>
                <w:szCs w:val="21"/>
              </w:rPr>
              <w:t>序号</w:t>
            </w:r>
          </w:p>
        </w:tc>
        <w:tc>
          <w:tcPr>
            <w:tcW w:w="1339" w:type="dxa"/>
            <w:vAlign w:val="center"/>
          </w:tcPr>
          <w:p>
            <w:pPr>
              <w:jc w:val="center"/>
              <w:rPr>
                <w:rFonts w:hint="eastAsia" w:ascii="宋体" w:hAnsi="宋体" w:cs="宋体"/>
                <w:b/>
                <w:kern w:val="0"/>
                <w:szCs w:val="21"/>
              </w:rPr>
            </w:pPr>
            <w:r>
              <w:rPr>
                <w:rFonts w:hint="eastAsia" w:ascii="宋体" w:hAnsi="宋体" w:cs="宋体"/>
                <w:b/>
                <w:kern w:val="0"/>
                <w:szCs w:val="21"/>
              </w:rPr>
              <w:t>物资名称</w:t>
            </w:r>
          </w:p>
        </w:tc>
        <w:tc>
          <w:tcPr>
            <w:tcW w:w="987" w:type="dxa"/>
            <w:vAlign w:val="center"/>
          </w:tcPr>
          <w:p>
            <w:pPr>
              <w:jc w:val="center"/>
              <w:rPr>
                <w:rFonts w:hint="eastAsia" w:ascii="宋体" w:hAnsi="宋体" w:cs="宋体"/>
                <w:b/>
                <w:kern w:val="0"/>
                <w:szCs w:val="21"/>
              </w:rPr>
            </w:pPr>
            <w:r>
              <w:rPr>
                <w:rFonts w:hint="eastAsia" w:ascii="宋体" w:hAnsi="宋体" w:cs="宋体"/>
                <w:b/>
                <w:kern w:val="0"/>
                <w:szCs w:val="21"/>
              </w:rPr>
              <w:t>规格型号</w:t>
            </w:r>
          </w:p>
        </w:tc>
        <w:tc>
          <w:tcPr>
            <w:tcW w:w="920" w:type="dxa"/>
            <w:vAlign w:val="center"/>
          </w:tcPr>
          <w:p>
            <w:pPr>
              <w:jc w:val="center"/>
              <w:rPr>
                <w:rFonts w:hint="eastAsia" w:ascii="宋体" w:hAnsi="宋体" w:cs="宋体"/>
                <w:b/>
                <w:kern w:val="0"/>
                <w:szCs w:val="21"/>
              </w:rPr>
            </w:pPr>
            <w:r>
              <w:rPr>
                <w:rFonts w:hint="eastAsia" w:ascii="宋体" w:hAnsi="宋体" w:cs="宋体"/>
                <w:b/>
                <w:kern w:val="0"/>
                <w:szCs w:val="21"/>
              </w:rPr>
              <w:t>计量单位</w:t>
            </w:r>
          </w:p>
        </w:tc>
        <w:tc>
          <w:tcPr>
            <w:tcW w:w="907" w:type="dxa"/>
            <w:vAlign w:val="center"/>
          </w:tcPr>
          <w:p>
            <w:pPr>
              <w:jc w:val="center"/>
              <w:rPr>
                <w:rFonts w:hint="eastAsia" w:ascii="宋体" w:hAnsi="宋体" w:cs="宋体"/>
                <w:b/>
                <w:kern w:val="0"/>
                <w:szCs w:val="21"/>
              </w:rPr>
            </w:pPr>
            <w:r>
              <w:rPr>
                <w:rFonts w:hint="eastAsia" w:ascii="宋体" w:hAnsi="宋体" w:cs="宋体"/>
                <w:b/>
                <w:kern w:val="0"/>
                <w:szCs w:val="21"/>
              </w:rPr>
              <w:t>数量</w:t>
            </w:r>
          </w:p>
        </w:tc>
        <w:tc>
          <w:tcPr>
            <w:tcW w:w="1117" w:type="dxa"/>
            <w:vAlign w:val="center"/>
          </w:tcPr>
          <w:p>
            <w:pPr>
              <w:jc w:val="center"/>
              <w:rPr>
                <w:rFonts w:hint="eastAsia" w:ascii="宋体" w:hAnsi="宋体" w:cs="宋体"/>
                <w:b/>
                <w:kern w:val="0"/>
                <w:szCs w:val="21"/>
              </w:rPr>
            </w:pPr>
            <w:r>
              <w:rPr>
                <w:rFonts w:hint="eastAsia" w:ascii="宋体" w:hAnsi="宋体" w:cs="宋体"/>
                <w:b/>
                <w:kern w:val="0"/>
                <w:szCs w:val="21"/>
              </w:rPr>
              <w:t>技术标准及要求</w:t>
            </w:r>
          </w:p>
        </w:tc>
        <w:tc>
          <w:tcPr>
            <w:tcW w:w="0" w:type="auto"/>
            <w:vAlign w:val="center"/>
          </w:tcPr>
          <w:p>
            <w:pPr>
              <w:jc w:val="center"/>
              <w:rPr>
                <w:rFonts w:hint="eastAsia" w:ascii="宋体" w:hAnsi="宋体" w:cs="宋体"/>
                <w:b/>
                <w:kern w:val="0"/>
                <w:szCs w:val="21"/>
              </w:rPr>
            </w:pPr>
            <w:r>
              <w:rPr>
                <w:rFonts w:hint="eastAsia" w:ascii="宋体" w:hAnsi="宋体" w:cs="宋体"/>
                <w:b/>
                <w:kern w:val="0"/>
                <w:szCs w:val="21"/>
              </w:rPr>
              <w:t>交货地点</w:t>
            </w:r>
          </w:p>
        </w:tc>
        <w:tc>
          <w:tcPr>
            <w:tcW w:w="2004" w:type="dxa"/>
            <w:vAlign w:val="center"/>
          </w:tcPr>
          <w:p>
            <w:pPr>
              <w:jc w:val="center"/>
              <w:rPr>
                <w:rFonts w:hint="eastAsia" w:ascii="宋体" w:hAnsi="宋体" w:cs="宋体"/>
                <w:b/>
                <w:kern w:val="0"/>
                <w:szCs w:val="21"/>
              </w:rPr>
            </w:pPr>
            <w:r>
              <w:rPr>
                <w:rFonts w:hint="eastAsia" w:ascii="宋体" w:hAnsi="宋体" w:cs="宋体"/>
                <w:b/>
                <w:kern w:val="0"/>
                <w:szCs w:val="21"/>
              </w:rPr>
              <w:t>收货人</w:t>
            </w:r>
          </w:p>
        </w:tc>
        <w:tc>
          <w:tcPr>
            <w:tcW w:w="1173" w:type="dxa"/>
            <w:vAlign w:val="center"/>
          </w:tcPr>
          <w:p>
            <w:pPr>
              <w:jc w:val="center"/>
              <w:rPr>
                <w:rFonts w:hint="eastAsia" w:ascii="宋体" w:hAnsi="宋体" w:cs="宋体"/>
                <w:b/>
                <w:kern w:val="0"/>
                <w:szCs w:val="21"/>
              </w:rPr>
            </w:pPr>
            <w:r>
              <w:rPr>
                <w:rFonts w:hint="eastAsia" w:ascii="宋体" w:hAnsi="宋体" w:cs="宋体"/>
                <w:b/>
                <w:kern w:val="0"/>
                <w:szCs w:val="21"/>
              </w:rPr>
              <w:t>交货状态</w:t>
            </w:r>
          </w:p>
        </w:tc>
        <w:tc>
          <w:tcPr>
            <w:tcW w:w="1330" w:type="dxa"/>
            <w:vAlign w:val="center"/>
          </w:tcPr>
          <w:p>
            <w:pPr>
              <w:jc w:val="center"/>
              <w:rPr>
                <w:rFonts w:hint="eastAsia" w:ascii="宋体" w:hAnsi="宋体" w:cs="宋体"/>
                <w:b/>
                <w:kern w:val="0"/>
                <w:szCs w:val="21"/>
              </w:rPr>
            </w:pPr>
            <w:r>
              <w:rPr>
                <w:rFonts w:hint="eastAsia" w:ascii="宋体" w:hAnsi="宋体" w:cs="宋体"/>
                <w:b/>
                <w:kern w:val="0"/>
                <w:szCs w:val="21"/>
              </w:rPr>
              <w:t>交货条件</w:t>
            </w:r>
          </w:p>
        </w:tc>
        <w:tc>
          <w:tcPr>
            <w:tcW w:w="1243" w:type="dxa"/>
            <w:vAlign w:val="center"/>
          </w:tcPr>
          <w:p>
            <w:pPr>
              <w:jc w:val="center"/>
              <w:rPr>
                <w:rFonts w:hint="eastAsia" w:ascii="宋体" w:hAnsi="宋体" w:cs="宋体"/>
                <w:b/>
                <w:kern w:val="0"/>
                <w:szCs w:val="21"/>
              </w:rPr>
            </w:pPr>
            <w:r>
              <w:rPr>
                <w:rFonts w:hint="eastAsia" w:ascii="宋体" w:hAnsi="宋体" w:cs="宋体"/>
                <w:b/>
                <w:kern w:val="0"/>
                <w:szCs w:val="21"/>
              </w:rPr>
              <w:t>交货期</w:t>
            </w:r>
          </w:p>
        </w:tc>
        <w:tc>
          <w:tcPr>
            <w:tcW w:w="1120" w:type="dxa"/>
            <w:vAlign w:val="center"/>
          </w:tcPr>
          <w:p>
            <w:pPr>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1</w:t>
            </w:r>
          </w:p>
        </w:tc>
        <w:tc>
          <w:tcPr>
            <w:tcW w:w="1339"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C15泵送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3545</w:t>
            </w:r>
          </w:p>
        </w:tc>
        <w:tc>
          <w:tcPr>
            <w:tcW w:w="1117"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详见技术规格书</w:t>
            </w:r>
          </w:p>
        </w:tc>
        <w:tc>
          <w:tcPr>
            <w:tcW w:w="2039"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甘新疆维吾尔自治区和田地区墨玉县萨依巴格乡</w:t>
            </w:r>
          </w:p>
        </w:tc>
        <w:tc>
          <w:tcPr>
            <w:tcW w:w="2004" w:type="dxa"/>
            <w:vMerge w:val="restart"/>
            <w:vAlign w:val="center"/>
          </w:tcPr>
          <w:p>
            <w:pPr>
              <w:adjustRightInd w:val="0"/>
              <w:snapToGrid w:val="0"/>
              <w:jc w:val="center"/>
              <w:rPr>
                <w:rFonts w:hint="eastAsia" w:ascii="宋体" w:hAnsi="宋体" w:cs="宋体"/>
                <w:szCs w:val="21"/>
              </w:rPr>
            </w:pPr>
            <w:r>
              <w:rPr>
                <w:rFonts w:hint="eastAsia" w:ascii="宋体" w:hAnsi="宋体" w:cs="宋体"/>
                <w:szCs w:val="21"/>
              </w:rPr>
              <w:t>郑宽17629088932</w:t>
            </w:r>
          </w:p>
        </w:tc>
        <w:tc>
          <w:tcPr>
            <w:tcW w:w="1173" w:type="dxa"/>
            <w:vMerge w:val="restart"/>
            <w:vAlign w:val="center"/>
          </w:tcPr>
          <w:p>
            <w:pPr>
              <w:adjustRightInd w:val="0"/>
              <w:snapToGrid w:val="0"/>
              <w:jc w:val="left"/>
              <w:rPr>
                <w:rFonts w:hint="eastAsia" w:ascii="宋体" w:hAnsi="宋体" w:cs="宋体"/>
                <w:color w:val="000000"/>
                <w:kern w:val="0"/>
                <w:szCs w:val="21"/>
                <w:lang w:bidi="ar"/>
              </w:rPr>
            </w:pPr>
            <w:r>
              <w:rPr>
                <w:rFonts w:hint="eastAsia" w:ascii="宋体" w:hAnsi="宋体" w:cs="宋体"/>
                <w:color w:val="000000"/>
                <w:kern w:val="0"/>
                <w:szCs w:val="21"/>
                <w:lang w:bidi="ar"/>
              </w:rPr>
              <w:t>工地现场入模交货</w:t>
            </w:r>
          </w:p>
        </w:tc>
        <w:tc>
          <w:tcPr>
            <w:tcW w:w="1330" w:type="dxa"/>
            <w:vMerge w:val="restart"/>
            <w:vAlign w:val="center"/>
          </w:tcPr>
          <w:p>
            <w:pPr>
              <w:adjustRightInd w:val="0"/>
              <w:snapToGrid w:val="0"/>
              <w:rPr>
                <w:rFonts w:hint="eastAsia" w:ascii="宋体" w:hAnsi="宋体" w:cs="宋体"/>
                <w:color w:val="000000"/>
                <w:kern w:val="0"/>
                <w:szCs w:val="21"/>
                <w:lang w:bidi="ar"/>
              </w:rPr>
            </w:pPr>
            <w:r>
              <w:rPr>
                <w:rFonts w:hint="eastAsia" w:ascii="宋体" w:hAnsi="宋体" w:cs="宋体"/>
                <w:color w:val="000000"/>
                <w:kern w:val="0"/>
                <w:szCs w:val="21"/>
                <w:lang w:bidi="ar"/>
              </w:rPr>
              <w:t>质量符合规范要求</w:t>
            </w:r>
          </w:p>
        </w:tc>
        <w:tc>
          <w:tcPr>
            <w:tcW w:w="1243" w:type="dxa"/>
            <w:vMerge w:val="restart"/>
            <w:vAlign w:val="center"/>
          </w:tcPr>
          <w:p>
            <w:pPr>
              <w:jc w:val="center"/>
              <w:rPr>
                <w:rFonts w:hint="eastAsia" w:ascii="宋体" w:hAnsi="宋体" w:cs="宋体"/>
                <w:color w:val="000000"/>
                <w:kern w:val="0"/>
                <w:szCs w:val="21"/>
                <w:lang w:bidi="ar"/>
              </w:rPr>
            </w:pPr>
            <w:r>
              <w:rPr>
                <w:rFonts w:hint="eastAsia" w:ascii="宋体" w:hAnsi="宋体" w:cs="宋体"/>
                <w:color w:val="000000"/>
                <w:kern w:val="0"/>
                <w:szCs w:val="21"/>
                <w:lang w:bidi="ar"/>
              </w:rPr>
              <w:t>2025年8月至完工</w:t>
            </w: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2</w:t>
            </w:r>
          </w:p>
        </w:tc>
        <w:tc>
          <w:tcPr>
            <w:tcW w:w="1339"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C20泵送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800</w:t>
            </w:r>
          </w:p>
        </w:tc>
        <w:tc>
          <w:tcPr>
            <w:tcW w:w="1117" w:type="dxa"/>
            <w:vMerge w:val="continue"/>
            <w:vAlign w:val="center"/>
          </w:tcPr>
          <w:p>
            <w:pPr>
              <w:adjustRightInd w:val="0"/>
              <w:snapToGrid w:val="0"/>
              <w:jc w:val="center"/>
              <w:rPr>
                <w:rFonts w:hint="eastAsia" w:ascii="宋体" w:hAnsi="宋体" w:cs="宋体"/>
                <w:szCs w:val="21"/>
              </w:rPr>
            </w:pPr>
          </w:p>
        </w:tc>
        <w:tc>
          <w:tcPr>
            <w:tcW w:w="2039" w:type="dxa"/>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3</w:t>
            </w:r>
          </w:p>
        </w:tc>
        <w:tc>
          <w:tcPr>
            <w:tcW w:w="1339" w:type="dxa"/>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C25泵送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76285</w:t>
            </w:r>
          </w:p>
        </w:tc>
        <w:tc>
          <w:tcPr>
            <w:tcW w:w="1117" w:type="dxa"/>
            <w:vMerge w:val="continue"/>
            <w:vAlign w:val="center"/>
          </w:tcPr>
          <w:p>
            <w:pPr>
              <w:adjustRightInd w:val="0"/>
              <w:snapToGrid w:val="0"/>
              <w:jc w:val="center"/>
              <w:rPr>
                <w:rFonts w:hint="eastAsia" w:ascii="宋体" w:hAnsi="宋体" w:cs="宋体"/>
                <w:szCs w:val="21"/>
              </w:rPr>
            </w:pPr>
          </w:p>
        </w:tc>
        <w:tc>
          <w:tcPr>
            <w:tcW w:w="2039" w:type="dxa"/>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4</w:t>
            </w:r>
          </w:p>
        </w:tc>
        <w:tc>
          <w:tcPr>
            <w:tcW w:w="1339"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C30泵送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24536</w:t>
            </w:r>
          </w:p>
        </w:tc>
        <w:tc>
          <w:tcPr>
            <w:tcW w:w="1117" w:type="dxa"/>
            <w:vMerge w:val="continue"/>
            <w:vAlign w:val="center"/>
          </w:tcPr>
          <w:p>
            <w:pPr>
              <w:adjustRightInd w:val="0"/>
              <w:snapToGrid w:val="0"/>
              <w:jc w:val="center"/>
              <w:rPr>
                <w:rFonts w:hint="eastAsia" w:ascii="宋体" w:hAnsi="宋体" w:cs="宋体"/>
                <w:szCs w:val="21"/>
              </w:rPr>
            </w:pPr>
          </w:p>
        </w:tc>
        <w:tc>
          <w:tcPr>
            <w:tcW w:w="2039" w:type="dxa"/>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5</w:t>
            </w:r>
          </w:p>
        </w:tc>
        <w:tc>
          <w:tcPr>
            <w:tcW w:w="1339"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C35泵送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307</w:t>
            </w:r>
          </w:p>
        </w:tc>
        <w:tc>
          <w:tcPr>
            <w:tcW w:w="1117" w:type="dxa"/>
            <w:vMerge w:val="continue"/>
            <w:vAlign w:val="center"/>
          </w:tcPr>
          <w:p>
            <w:pPr>
              <w:adjustRightInd w:val="0"/>
              <w:snapToGrid w:val="0"/>
              <w:jc w:val="center"/>
              <w:rPr>
                <w:rFonts w:hint="eastAsia" w:ascii="宋体" w:hAnsi="宋体" w:cs="宋体"/>
                <w:szCs w:val="21"/>
              </w:rPr>
            </w:pPr>
          </w:p>
        </w:tc>
        <w:tc>
          <w:tcPr>
            <w:tcW w:w="2039" w:type="dxa"/>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6</w:t>
            </w:r>
          </w:p>
        </w:tc>
        <w:tc>
          <w:tcPr>
            <w:tcW w:w="1339"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商品混凝土</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C40泵送</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cs="Arial"/>
                <w:color w:val="000000"/>
                <w:sz w:val="20"/>
                <w:szCs w:val="20"/>
              </w:rPr>
              <w:t>18809</w:t>
            </w:r>
          </w:p>
        </w:tc>
        <w:tc>
          <w:tcPr>
            <w:tcW w:w="1117" w:type="dxa"/>
            <w:vMerge w:val="continue"/>
            <w:vAlign w:val="center"/>
          </w:tcPr>
          <w:p>
            <w:pPr>
              <w:adjustRightInd w:val="0"/>
              <w:snapToGrid w:val="0"/>
              <w:jc w:val="center"/>
              <w:rPr>
                <w:rFonts w:hint="eastAsia" w:ascii="宋体" w:hAnsi="宋体" w:cs="宋体"/>
                <w:szCs w:val="21"/>
              </w:rPr>
            </w:pPr>
          </w:p>
        </w:tc>
        <w:tc>
          <w:tcPr>
            <w:tcW w:w="2039" w:type="dxa"/>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vAlign w:val="center"/>
          </w:tcPr>
          <w:p>
            <w:pPr>
              <w:adjustRightInd w:val="0"/>
              <w:snapToGrid w:val="0"/>
              <w:jc w:val="center"/>
              <w:rPr>
                <w:rFonts w:hint="eastAsia" w:ascii="宋体" w:hAnsi="宋体" w:cs="宋体"/>
                <w:szCs w:val="21"/>
              </w:rPr>
            </w:pPr>
            <w:r>
              <w:rPr>
                <w:rFonts w:hint="eastAsia" w:ascii="宋体" w:hAnsi="宋体" w:cs="宋体"/>
                <w:szCs w:val="21"/>
              </w:rPr>
              <w:t>7</w:t>
            </w:r>
          </w:p>
        </w:tc>
        <w:tc>
          <w:tcPr>
            <w:tcW w:w="1339" w:type="dxa"/>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砂浆</w:t>
            </w: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M10</w:t>
            </w:r>
            <w:r>
              <w:rPr>
                <w:rFonts w:hint="eastAsia" w:ascii="宋体" w:hAnsi="宋体" w:cs="宋体"/>
                <w:color w:val="000000"/>
                <w:kern w:val="0"/>
                <w:szCs w:val="21"/>
                <w:lang w:bidi="ar"/>
              </w:rPr>
              <w:t xml:space="preserve"> </w:t>
            </w: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 w:val="20"/>
                <w:szCs w:val="20"/>
                <w:lang w:bidi="ar"/>
              </w:rPr>
              <w:t>m3</w:t>
            </w: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 w:val="20"/>
                <w:szCs w:val="20"/>
                <w:lang w:bidi="ar"/>
              </w:rPr>
            </w:pPr>
            <w:r>
              <w:rPr>
                <w:rFonts w:hint="eastAsia" w:cs="Arial"/>
                <w:color w:val="000000"/>
                <w:sz w:val="20"/>
                <w:szCs w:val="20"/>
              </w:rPr>
              <w:t>357</w:t>
            </w:r>
          </w:p>
        </w:tc>
        <w:tc>
          <w:tcPr>
            <w:tcW w:w="1117" w:type="dxa"/>
            <w:vMerge w:val="continue"/>
            <w:vAlign w:val="center"/>
          </w:tcPr>
          <w:p>
            <w:pPr>
              <w:adjustRightInd w:val="0"/>
              <w:snapToGrid w:val="0"/>
              <w:jc w:val="center"/>
              <w:rPr>
                <w:rFonts w:hint="eastAsia" w:ascii="宋体" w:hAnsi="宋体" w:cs="宋体"/>
                <w:szCs w:val="21"/>
              </w:rPr>
            </w:pPr>
          </w:p>
        </w:tc>
        <w:tc>
          <w:tcPr>
            <w:tcW w:w="0" w:type="auto"/>
            <w:vMerge w:val="continue"/>
            <w:vAlign w:val="center"/>
          </w:tcPr>
          <w:p>
            <w:pPr>
              <w:adjustRightInd w:val="0"/>
              <w:snapToGrid w:val="0"/>
              <w:jc w:val="center"/>
              <w:rPr>
                <w:rFonts w:hint="eastAsia" w:ascii="宋体" w:hAnsi="宋体" w:cs="宋体"/>
                <w:szCs w:val="21"/>
              </w:rPr>
            </w:pPr>
          </w:p>
        </w:tc>
        <w:tc>
          <w:tcPr>
            <w:tcW w:w="2004" w:type="dxa"/>
            <w:vMerge w:val="continue"/>
            <w:vAlign w:val="center"/>
          </w:tcPr>
          <w:p>
            <w:pPr>
              <w:adjustRightInd w:val="0"/>
              <w:snapToGrid w:val="0"/>
              <w:jc w:val="center"/>
              <w:rPr>
                <w:rFonts w:hint="eastAsia" w:ascii="宋体" w:hAnsi="宋体" w:cs="宋体"/>
                <w:szCs w:val="21"/>
              </w:rPr>
            </w:pPr>
          </w:p>
        </w:tc>
        <w:tc>
          <w:tcPr>
            <w:tcW w:w="1173" w:type="dxa"/>
            <w:vMerge w:val="continue"/>
            <w:vAlign w:val="center"/>
          </w:tcPr>
          <w:p>
            <w:pPr>
              <w:adjustRightInd w:val="0"/>
              <w:snapToGrid w:val="0"/>
              <w:jc w:val="left"/>
              <w:rPr>
                <w:rFonts w:hint="eastAsia" w:ascii="宋体" w:hAnsi="宋体" w:cs="宋体"/>
                <w:color w:val="000000"/>
                <w:kern w:val="0"/>
                <w:szCs w:val="21"/>
                <w:lang w:bidi="ar"/>
              </w:rPr>
            </w:pPr>
          </w:p>
        </w:tc>
        <w:tc>
          <w:tcPr>
            <w:tcW w:w="1330" w:type="dxa"/>
            <w:vMerge w:val="continue"/>
            <w:vAlign w:val="center"/>
          </w:tcPr>
          <w:p>
            <w:pPr>
              <w:adjustRightInd w:val="0"/>
              <w:snapToGrid w:val="0"/>
              <w:rPr>
                <w:rFonts w:hint="eastAsia" w:ascii="宋体" w:hAnsi="宋体" w:cs="宋体"/>
                <w:color w:val="000000"/>
                <w:kern w:val="0"/>
                <w:szCs w:val="21"/>
                <w:lang w:bidi="ar"/>
              </w:rPr>
            </w:pPr>
          </w:p>
        </w:tc>
        <w:tc>
          <w:tcPr>
            <w:tcW w:w="1243" w:type="dxa"/>
            <w:vMerge w:val="continue"/>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jc w:val="center"/>
        </w:trPr>
        <w:tc>
          <w:tcPr>
            <w:tcW w:w="0" w:type="auto"/>
            <w:vAlign w:val="center"/>
          </w:tcPr>
          <w:p>
            <w:pPr>
              <w:adjustRightInd w:val="0"/>
              <w:snapToGrid w:val="0"/>
              <w:jc w:val="center"/>
              <w:rPr>
                <w:rFonts w:hint="eastAsia" w:ascii="宋体" w:hAnsi="宋体" w:cs="宋体"/>
                <w:szCs w:val="21"/>
              </w:rPr>
            </w:pPr>
          </w:p>
        </w:tc>
        <w:tc>
          <w:tcPr>
            <w:tcW w:w="1339" w:type="dxa"/>
            <w:vAlign w:val="center"/>
          </w:tcPr>
          <w:p>
            <w:pPr>
              <w:widowControl/>
              <w:jc w:val="center"/>
              <w:textAlignment w:val="center"/>
              <w:rPr>
                <w:rFonts w:hint="eastAsia" w:ascii="宋体" w:hAnsi="宋体" w:cs="宋体"/>
                <w:color w:val="000000"/>
                <w:kern w:val="0"/>
                <w:szCs w:val="21"/>
                <w:lang w:bidi="ar"/>
              </w:rPr>
            </w:pPr>
          </w:p>
        </w:tc>
        <w:tc>
          <w:tcPr>
            <w:tcW w:w="9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p>
        </w:tc>
        <w:tc>
          <w:tcPr>
            <w:tcW w:w="920"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p>
        </w:tc>
        <w:tc>
          <w:tcPr>
            <w:tcW w:w="907" w:type="dxa"/>
            <w:tcBorders>
              <w:top w:val="single" w:color="auto" w:sz="4" w:space="0"/>
              <w:left w:val="nil"/>
              <w:bottom w:val="single" w:color="auto" w:sz="4" w:space="0"/>
              <w:right w:val="single" w:color="auto" w:sz="4" w:space="0"/>
            </w:tcBorders>
            <w:vAlign w:val="center"/>
          </w:tcPr>
          <w:p>
            <w:pPr>
              <w:widowControl/>
              <w:jc w:val="center"/>
              <w:textAlignment w:val="center"/>
              <w:rPr>
                <w:rFonts w:hint="eastAsia" w:ascii="宋体" w:hAnsi="宋体" w:cs="宋体"/>
                <w:color w:val="000000"/>
                <w:kern w:val="0"/>
                <w:szCs w:val="21"/>
                <w:lang w:bidi="ar"/>
              </w:rPr>
            </w:pPr>
            <w:r>
              <w:rPr>
                <w:rFonts w:ascii="宋体" w:hAnsi="宋体" w:cs="宋体"/>
                <w:color w:val="000000"/>
                <w:kern w:val="0"/>
                <w:sz w:val="20"/>
                <w:szCs w:val="20"/>
                <w:lang w:bidi="ar"/>
              </w:rPr>
              <w:t>124639</w:t>
            </w:r>
          </w:p>
        </w:tc>
        <w:tc>
          <w:tcPr>
            <w:tcW w:w="1117" w:type="dxa"/>
            <w:vAlign w:val="center"/>
          </w:tcPr>
          <w:p>
            <w:pPr>
              <w:adjustRightInd w:val="0"/>
              <w:snapToGrid w:val="0"/>
              <w:jc w:val="center"/>
              <w:rPr>
                <w:rFonts w:hint="eastAsia" w:ascii="宋体" w:hAnsi="宋体" w:cs="宋体"/>
                <w:szCs w:val="21"/>
              </w:rPr>
            </w:pPr>
          </w:p>
        </w:tc>
        <w:tc>
          <w:tcPr>
            <w:tcW w:w="0" w:type="auto"/>
            <w:vAlign w:val="center"/>
          </w:tcPr>
          <w:p>
            <w:pPr>
              <w:adjustRightInd w:val="0"/>
              <w:snapToGrid w:val="0"/>
              <w:jc w:val="center"/>
              <w:rPr>
                <w:rFonts w:hint="eastAsia" w:ascii="宋体" w:hAnsi="宋体" w:cs="宋体"/>
                <w:szCs w:val="21"/>
              </w:rPr>
            </w:pPr>
          </w:p>
        </w:tc>
        <w:tc>
          <w:tcPr>
            <w:tcW w:w="2004" w:type="dxa"/>
            <w:vAlign w:val="center"/>
          </w:tcPr>
          <w:p>
            <w:pPr>
              <w:adjustRightInd w:val="0"/>
              <w:snapToGrid w:val="0"/>
              <w:jc w:val="center"/>
              <w:rPr>
                <w:rFonts w:hint="eastAsia" w:ascii="宋体" w:hAnsi="宋体" w:cs="宋体"/>
                <w:szCs w:val="21"/>
              </w:rPr>
            </w:pPr>
          </w:p>
        </w:tc>
        <w:tc>
          <w:tcPr>
            <w:tcW w:w="1173" w:type="dxa"/>
            <w:vAlign w:val="center"/>
          </w:tcPr>
          <w:p>
            <w:pPr>
              <w:adjustRightInd w:val="0"/>
              <w:snapToGrid w:val="0"/>
              <w:jc w:val="left"/>
              <w:rPr>
                <w:rFonts w:hint="eastAsia" w:ascii="宋体" w:hAnsi="宋体" w:cs="宋体"/>
                <w:color w:val="000000"/>
                <w:kern w:val="0"/>
                <w:szCs w:val="21"/>
                <w:lang w:bidi="ar"/>
              </w:rPr>
            </w:pPr>
          </w:p>
        </w:tc>
        <w:tc>
          <w:tcPr>
            <w:tcW w:w="1330" w:type="dxa"/>
            <w:vAlign w:val="center"/>
          </w:tcPr>
          <w:p>
            <w:pPr>
              <w:adjustRightInd w:val="0"/>
              <w:snapToGrid w:val="0"/>
              <w:rPr>
                <w:rFonts w:hint="eastAsia" w:ascii="宋体" w:hAnsi="宋体" w:cs="宋体"/>
                <w:color w:val="000000"/>
                <w:kern w:val="0"/>
                <w:szCs w:val="21"/>
                <w:lang w:bidi="ar"/>
              </w:rPr>
            </w:pPr>
          </w:p>
        </w:tc>
        <w:tc>
          <w:tcPr>
            <w:tcW w:w="1243" w:type="dxa"/>
            <w:vAlign w:val="center"/>
          </w:tcPr>
          <w:p>
            <w:pPr>
              <w:jc w:val="center"/>
              <w:rPr>
                <w:rFonts w:hint="eastAsia" w:ascii="宋体" w:hAnsi="宋体" w:cs="宋体"/>
                <w:color w:val="000000"/>
                <w:kern w:val="0"/>
                <w:szCs w:val="21"/>
                <w:lang w:bidi="ar"/>
              </w:rPr>
            </w:pPr>
          </w:p>
        </w:tc>
        <w:tc>
          <w:tcPr>
            <w:tcW w:w="1120" w:type="dxa"/>
            <w:vAlign w:val="center"/>
          </w:tcPr>
          <w:p>
            <w:pPr>
              <w:jc w:val="center"/>
              <w:rPr>
                <w:rFonts w:hint="eastAsia" w:ascii="宋体" w:hAnsi="宋体" w:cs="宋体"/>
                <w:szCs w:val="21"/>
              </w:rPr>
            </w:pPr>
          </w:p>
        </w:tc>
      </w:tr>
    </w:tbl>
    <w:p>
      <w:pPr>
        <w:adjustRightInd w:val="0"/>
        <w:snapToGrid w:val="0"/>
        <w:ind w:firstLine="424" w:firstLineChars="236"/>
        <w:rPr>
          <w:rFonts w:hint="eastAsia" w:ascii="宋体" w:hAnsi="宋体"/>
          <w:sz w:val="18"/>
          <w:szCs w:val="18"/>
        </w:rPr>
      </w:pPr>
      <w:r>
        <w:rPr>
          <w:rFonts w:hint="eastAsia" w:ascii="宋体" w:hAnsi="宋体"/>
          <w:sz w:val="18"/>
          <w:szCs w:val="18"/>
        </w:rPr>
        <w:t xml:space="preserve">注： </w:t>
      </w:r>
    </w:p>
    <w:p>
      <w:pPr>
        <w:adjustRightInd w:val="0"/>
        <w:snapToGrid w:val="0"/>
        <w:ind w:firstLine="424" w:firstLineChars="236"/>
        <w:rPr>
          <w:rFonts w:hint="eastAsia" w:ascii="宋体" w:hAnsi="宋体" w:cs="宋体"/>
          <w:sz w:val="18"/>
          <w:szCs w:val="18"/>
        </w:rPr>
      </w:pPr>
      <w:r>
        <w:rPr>
          <w:rFonts w:hint="eastAsia" w:ascii="宋体" w:hAnsi="宋体" w:cs="宋体"/>
          <w:sz w:val="18"/>
          <w:szCs w:val="18"/>
        </w:rPr>
        <w:t>1、表中为初步设计规格数量，最终规格数量以施工图为准，使用单位可根据施工图对以上规格数量进行调整。</w:t>
      </w:r>
    </w:p>
    <w:p>
      <w:pPr>
        <w:adjustRightInd w:val="0"/>
        <w:snapToGrid w:val="0"/>
        <w:ind w:firstLine="424" w:firstLineChars="236"/>
        <w:rPr>
          <w:rFonts w:hint="eastAsia" w:ascii="宋体" w:hAnsi="宋体" w:cs="宋体"/>
          <w:sz w:val="18"/>
          <w:szCs w:val="18"/>
        </w:rPr>
      </w:pPr>
      <w:r>
        <w:rPr>
          <w:rFonts w:hint="eastAsia" w:ascii="宋体" w:hAnsi="宋体" w:cs="宋体"/>
          <w:sz w:val="18"/>
          <w:szCs w:val="18"/>
        </w:rPr>
        <w:t>2、交货时间：</w:t>
      </w:r>
      <w:r>
        <w:rPr>
          <w:rFonts w:hint="eastAsia" w:ascii="宋体" w:hAnsi="宋体" w:cs="宋体"/>
          <w:color w:val="000000"/>
          <w:kern w:val="0"/>
          <w:sz w:val="18"/>
          <w:szCs w:val="18"/>
          <w:lang w:bidi="ar"/>
        </w:rPr>
        <w:t>2025年8月至完工。</w:t>
      </w:r>
    </w:p>
    <w:p>
      <w:pPr>
        <w:adjustRightInd w:val="0"/>
        <w:snapToGrid w:val="0"/>
        <w:ind w:firstLine="424" w:firstLineChars="236"/>
        <w:rPr>
          <w:rFonts w:hint="eastAsia" w:ascii="宋体" w:hAnsi="宋体" w:cs="宋体"/>
          <w:sz w:val="18"/>
          <w:szCs w:val="18"/>
        </w:rPr>
      </w:pPr>
      <w:bookmarkStart w:id="28" w:name="_Toc1912"/>
      <w:r>
        <w:rPr>
          <w:rFonts w:hint="eastAsia" w:ascii="宋体" w:hAnsi="宋体" w:cs="宋体"/>
          <w:sz w:val="18"/>
          <w:szCs w:val="18"/>
        </w:rPr>
        <w:t>3、具体规格型号与电商平台不一致的，以标书文件为准。</w:t>
      </w:r>
      <w:bookmarkEnd w:id="28"/>
    </w:p>
    <w:p>
      <w:pPr>
        <w:adjustRightInd w:val="0"/>
        <w:snapToGrid w:val="0"/>
        <w:ind w:firstLine="424" w:firstLineChars="236"/>
        <w:rPr>
          <w:rFonts w:hint="eastAsia" w:ascii="宋体" w:hAnsi="宋体" w:cs="宋体"/>
          <w:sz w:val="18"/>
          <w:szCs w:val="18"/>
        </w:rPr>
      </w:pPr>
      <w:r>
        <w:rPr>
          <w:rFonts w:hint="eastAsia" w:ascii="宋体" w:hAnsi="宋体" w:cs="宋体"/>
          <w:sz w:val="18"/>
          <w:szCs w:val="18"/>
        </w:rPr>
        <w:t>4、本包件结算：</w:t>
      </w:r>
      <w:r>
        <w:rPr>
          <w:rFonts w:hint="eastAsia" w:ascii="宋体" w:hAnsi="宋体" w:cs="宋体"/>
          <w:color w:val="000000"/>
          <w:sz w:val="18"/>
          <w:szCs w:val="18"/>
        </w:rPr>
        <w:t>上月</w:t>
      </w:r>
      <w:r>
        <w:rPr>
          <w:rFonts w:hint="eastAsia" w:ascii="宋体" w:hAnsi="宋体" w:cs="宋体"/>
          <w:bCs/>
          <w:color w:val="000000"/>
          <w:kern w:val="0"/>
          <w:sz w:val="18"/>
          <w:szCs w:val="18"/>
          <w:u w:val="single"/>
        </w:rPr>
        <w:t>21</w:t>
      </w:r>
      <w:r>
        <w:rPr>
          <w:rFonts w:hint="eastAsia" w:ascii="宋体" w:hAnsi="宋体" w:cs="宋体"/>
          <w:bCs/>
          <w:color w:val="000000"/>
          <w:kern w:val="0"/>
          <w:sz w:val="18"/>
          <w:szCs w:val="18"/>
        </w:rPr>
        <w:t>日至本月的</w:t>
      </w:r>
      <w:r>
        <w:rPr>
          <w:rFonts w:hint="eastAsia" w:ascii="宋体" w:hAnsi="宋体" w:cs="宋体"/>
          <w:bCs/>
          <w:color w:val="000000"/>
          <w:kern w:val="0"/>
          <w:sz w:val="18"/>
          <w:szCs w:val="18"/>
          <w:u w:val="single"/>
        </w:rPr>
        <w:t>20</w:t>
      </w:r>
      <w:r>
        <w:rPr>
          <w:rFonts w:hint="eastAsia" w:ascii="宋体" w:hAnsi="宋体" w:cs="宋体"/>
          <w:bCs/>
          <w:color w:val="000000"/>
          <w:kern w:val="0"/>
          <w:sz w:val="18"/>
          <w:szCs w:val="18"/>
        </w:rPr>
        <w:t>日为一个结算周期，当月</w:t>
      </w:r>
      <w:r>
        <w:rPr>
          <w:rFonts w:hint="eastAsia" w:ascii="宋体" w:hAnsi="宋体" w:cs="宋体"/>
          <w:bCs/>
          <w:color w:val="000000"/>
          <w:kern w:val="0"/>
          <w:sz w:val="18"/>
          <w:szCs w:val="18"/>
          <w:u w:val="single"/>
        </w:rPr>
        <w:t xml:space="preserve"> 25 </w:t>
      </w:r>
      <w:r>
        <w:rPr>
          <w:rFonts w:hint="eastAsia" w:ascii="宋体" w:hAnsi="宋体" w:cs="宋体"/>
          <w:bCs/>
          <w:color w:val="000000"/>
          <w:kern w:val="0"/>
          <w:sz w:val="18"/>
          <w:szCs w:val="18"/>
        </w:rPr>
        <w:t>日为本月的结算截止日期。结算时根据甲方检验合格及双方共同签认的凭证计算当月实际收货数量，除此之外任何证明、收条、欠条、信函等文件，都不得作为结算、支付依据。</w:t>
      </w:r>
      <w:r>
        <w:rPr>
          <w:rFonts w:hint="eastAsia" w:ascii="宋体" w:hAnsi="宋体" w:cs="宋体"/>
          <w:sz w:val="18"/>
          <w:szCs w:val="18"/>
        </w:rPr>
        <w:t>付款方式：先货后款，分期支付每月20日办理当月材料结算，甲方在收到乙方开具正式的增值税专用发票后90日内，支付第一个月结算金额的60%，180天内支付第一个月结算金额的15%，270天内支付第一个月结算金额20%，剩余5%作为质保金在双方办理完合同清算，待项目完工，签订封账协议且竣工结算180天后一个月内无息付清，如发生纠纷，所有剩余未付款项无息延后至纠纷最终解决后30日内付清。。质量保证金的支付并不免除乙方对交付货物质量的保证责任。</w:t>
      </w:r>
    </w:p>
    <w:p>
      <w:pPr>
        <w:adjustRightInd w:val="0"/>
        <w:snapToGrid w:val="0"/>
        <w:ind w:firstLine="424" w:firstLineChars="236"/>
        <w:rPr>
          <w:rFonts w:hint="eastAsia" w:ascii="宋体" w:hAnsi="宋体" w:cs="宋体"/>
          <w:sz w:val="18"/>
          <w:szCs w:val="18"/>
        </w:rPr>
      </w:pPr>
      <w:r>
        <w:rPr>
          <w:rFonts w:hint="eastAsia" w:ascii="宋体" w:hAnsi="宋体" w:cs="宋体"/>
          <w:sz w:val="18"/>
          <w:szCs w:val="18"/>
        </w:rPr>
        <w:t>5、调价方式：不允许调价。</w:t>
      </w:r>
    </w:p>
    <w:p>
      <w:pPr>
        <w:adjustRightInd w:val="0"/>
        <w:snapToGrid w:val="0"/>
        <w:ind w:firstLine="424" w:firstLineChars="236"/>
        <w:rPr>
          <w:rFonts w:hint="eastAsia" w:ascii="宋体" w:hAnsi="宋体" w:cs="宋体"/>
          <w:sz w:val="18"/>
          <w:szCs w:val="18"/>
        </w:rPr>
      </w:pPr>
      <w:r>
        <w:rPr>
          <w:rFonts w:hint="eastAsia" w:ascii="宋体" w:hAnsi="宋体" w:cs="宋体"/>
          <w:sz w:val="18"/>
          <w:szCs w:val="18"/>
        </w:rPr>
        <w:t>6、其他条款：见技术规格书。</w:t>
      </w:r>
    </w:p>
    <w:p>
      <w:pPr>
        <w:adjustRightInd w:val="0"/>
        <w:snapToGrid w:val="0"/>
        <w:ind w:firstLine="424" w:firstLineChars="236"/>
        <w:sectPr>
          <w:pgSz w:w="16838" w:h="11906" w:orient="landscape"/>
          <w:pgMar w:top="1474" w:right="1134" w:bottom="1191" w:left="1134" w:header="851" w:footer="992" w:gutter="0"/>
          <w:cols w:space="720" w:num="1"/>
        </w:sectPr>
      </w:pPr>
      <w:r>
        <w:rPr>
          <w:rFonts w:hint="eastAsia" w:ascii="宋体" w:hAnsi="宋体" w:cs="宋体"/>
          <w:sz w:val="18"/>
          <w:szCs w:val="18"/>
        </w:rPr>
        <w:t>7、发票要求：一票制增值税专用发票</w:t>
      </w:r>
    </w:p>
    <w:p>
      <w:pPr>
        <w:pStyle w:val="16"/>
        <w:ind w:firstLine="360" w:firstLineChars="200"/>
        <w:rPr>
          <w:rFonts w:hint="eastAsia" w:ascii="宋体" w:hAnsi="宋体"/>
          <w:sz w:val="18"/>
          <w:szCs w:val="18"/>
        </w:rPr>
      </w:pPr>
    </w:p>
    <w:p>
      <w:pPr>
        <w:spacing w:line="360" w:lineRule="auto"/>
        <w:jc w:val="center"/>
        <w:rPr>
          <w:rFonts w:hint="eastAsia" w:eastAsia="宋体"/>
          <w:b/>
          <w:sz w:val="36"/>
          <w:szCs w:val="36"/>
          <w:lang w:val="en-US" w:eastAsia="zh-CN"/>
        </w:rPr>
      </w:pPr>
      <w:r>
        <w:rPr>
          <w:rFonts w:hint="eastAsia" w:eastAsia="宋体"/>
          <w:b/>
          <w:sz w:val="36"/>
          <w:szCs w:val="36"/>
        </w:rPr>
        <w:t>需求明细表</w:t>
      </w:r>
      <w:r>
        <w:rPr>
          <w:rFonts w:hint="eastAsia" w:eastAsia="宋体"/>
          <w:b/>
          <w:sz w:val="36"/>
          <w:szCs w:val="36"/>
          <w:lang w:val="en-US" w:eastAsia="zh-CN"/>
        </w:rPr>
        <w:t>2</w:t>
      </w:r>
    </w:p>
    <w:p>
      <w:pPr>
        <w:rPr>
          <w:szCs w:val="18"/>
        </w:rPr>
      </w:pPr>
      <w:r>
        <w:rPr>
          <w:rFonts w:hint="eastAsia"/>
          <w:szCs w:val="18"/>
        </w:rPr>
        <w:t xml:space="preserve">招标人名称：中铁二局集团有限公司南沙科创中心生命健康产业园项目      </w:t>
      </w:r>
      <w:r>
        <w:rPr>
          <w:rFonts w:hint="eastAsia"/>
          <w:szCs w:val="18"/>
          <w:highlight w:val="none"/>
        </w:rPr>
        <w:t xml:space="preserve"> 招标编号:</w:t>
      </w:r>
      <w:r>
        <w:rPr>
          <w:rFonts w:hint="eastAsia"/>
          <w:color w:val="000000" w:themeColor="text1"/>
          <w:szCs w:val="18"/>
          <w:highlight w:val="none"/>
          <w14:textFill>
            <w14:solidFill>
              <w14:schemeClr w14:val="tx1"/>
            </w14:solidFill>
          </w14:textFill>
        </w:rPr>
        <w:t>ZTEJ-</w:t>
      </w:r>
      <w:r>
        <w:rPr>
          <w:rFonts w:hint="eastAsia"/>
          <w:color w:val="000000" w:themeColor="text1"/>
          <w:szCs w:val="18"/>
          <w:highlight w:val="none"/>
          <w:lang w:val="en-US" w:eastAsia="zh-CN"/>
          <w14:textFill>
            <w14:solidFill>
              <w14:schemeClr w14:val="tx1"/>
            </w14:solidFill>
          </w14:textFill>
        </w:rPr>
        <w:t>2025509</w:t>
      </w:r>
      <w:r>
        <w:rPr>
          <w:rFonts w:hint="eastAsia"/>
          <w:szCs w:val="18"/>
          <w:highlight w:val="none"/>
        </w:rPr>
        <w:t xml:space="preserve">         包件号:</w:t>
      </w:r>
      <w:r>
        <w:rPr>
          <w:rFonts w:hint="eastAsia"/>
          <w:szCs w:val="18"/>
          <w:highlight w:val="none"/>
          <w:lang w:val="en-US" w:eastAsia="zh-CN"/>
        </w:rPr>
        <w:t>SJ</w:t>
      </w:r>
      <w:r>
        <w:rPr>
          <w:rFonts w:hint="eastAsia"/>
          <w:szCs w:val="18"/>
          <w:highlight w:val="none"/>
        </w:rPr>
        <w:t>-01</w:t>
      </w:r>
    </w:p>
    <w:tbl>
      <w:tblPr>
        <w:tblStyle w:val="10"/>
        <w:tblW w:w="5000" w:type="pct"/>
        <w:tblInd w:w="0" w:type="dxa"/>
        <w:tblLayout w:type="fixed"/>
        <w:tblCellMar>
          <w:top w:w="0" w:type="dxa"/>
          <w:left w:w="108" w:type="dxa"/>
          <w:bottom w:w="0" w:type="dxa"/>
          <w:right w:w="108" w:type="dxa"/>
        </w:tblCellMar>
      </w:tblPr>
      <w:tblGrid>
        <w:gridCol w:w="536"/>
        <w:gridCol w:w="1001"/>
        <w:gridCol w:w="967"/>
        <w:gridCol w:w="1733"/>
        <w:gridCol w:w="1156"/>
        <w:gridCol w:w="1000"/>
        <w:gridCol w:w="1022"/>
        <w:gridCol w:w="1433"/>
        <w:gridCol w:w="1267"/>
        <w:gridCol w:w="2643"/>
        <w:gridCol w:w="1416"/>
      </w:tblGrid>
      <w:tr>
        <w:tblPrEx>
          <w:tblCellMar>
            <w:top w:w="0" w:type="dxa"/>
            <w:left w:w="108" w:type="dxa"/>
            <w:bottom w:w="0" w:type="dxa"/>
            <w:right w:w="108" w:type="dxa"/>
          </w:tblCellMar>
        </w:tblPrEx>
        <w:trPr>
          <w:trHeight w:val="670" w:hRule="atLeast"/>
        </w:trPr>
        <w:tc>
          <w:tcPr>
            <w:tcW w:w="189"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序号</w:t>
            </w:r>
          </w:p>
        </w:tc>
        <w:tc>
          <w:tcPr>
            <w:tcW w:w="353"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标的名称</w:t>
            </w:r>
          </w:p>
        </w:tc>
        <w:tc>
          <w:tcPr>
            <w:tcW w:w="341"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规格型号</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b/>
                <w:bCs/>
                <w:sz w:val="18"/>
                <w:szCs w:val="18"/>
              </w:rPr>
              <w:t>订货要求</w:t>
            </w:r>
          </w:p>
        </w:tc>
        <w:tc>
          <w:tcPr>
            <w:tcW w:w="407"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20"/>
                <w:szCs w:val="20"/>
              </w:rPr>
              <w:t>技术标准及要求</w:t>
            </w:r>
          </w:p>
        </w:tc>
        <w:tc>
          <w:tcPr>
            <w:tcW w:w="352"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采购数量</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计量单位</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交货状态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交货条件</w:t>
            </w:r>
          </w:p>
        </w:tc>
        <w:tc>
          <w:tcPr>
            <w:tcW w:w="932"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详细交货地址</w:t>
            </w:r>
          </w:p>
        </w:tc>
        <w:tc>
          <w:tcPr>
            <w:tcW w:w="499" w:type="pct"/>
            <w:tcBorders>
              <w:top w:val="single" w:color="auto" w:sz="4" w:space="0"/>
              <w:left w:val="single" w:color="auto" w:sz="4" w:space="0"/>
              <w:bottom w:val="single" w:color="auto" w:sz="4" w:space="0"/>
              <w:right w:val="single" w:color="auto" w:sz="4" w:space="0"/>
            </w:tcBorders>
            <w:vAlign w:val="center"/>
          </w:tcPr>
          <w:p>
            <w:pPr>
              <w:jc w:val="center"/>
              <w:rPr>
                <w:b/>
                <w:bCs/>
                <w:sz w:val="18"/>
                <w:szCs w:val="18"/>
              </w:rPr>
            </w:pPr>
            <w:r>
              <w:rPr>
                <w:rFonts w:hint="eastAsia"/>
                <w:b/>
                <w:bCs/>
                <w:sz w:val="18"/>
                <w:szCs w:val="18"/>
              </w:rPr>
              <w:t>交货期</w:t>
            </w:r>
          </w:p>
        </w:tc>
      </w:tr>
      <w:tr>
        <w:tblPrEx>
          <w:tblCellMar>
            <w:top w:w="0" w:type="dxa"/>
            <w:left w:w="108" w:type="dxa"/>
            <w:bottom w:w="0" w:type="dxa"/>
            <w:right w:w="108" w:type="dxa"/>
          </w:tblCellMar>
        </w:tblPrEx>
        <w:trPr>
          <w:trHeight w:val="910" w:hRule="exact"/>
        </w:trPr>
        <w:tc>
          <w:tcPr>
            <w:tcW w:w="189"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eastAsia="宋体"/>
                <w:sz w:val="18"/>
                <w:szCs w:val="18"/>
                <w:lang w:eastAsia="zh-CN"/>
              </w:rPr>
            </w:pPr>
            <w:r>
              <w:rPr>
                <w:rFonts w:hint="eastAsia"/>
                <w:sz w:val="18"/>
                <w:szCs w:val="18"/>
                <w:lang w:val="en-US" w:eastAsia="zh-CN"/>
              </w:rPr>
              <w:t>1</w:t>
            </w:r>
          </w:p>
        </w:tc>
        <w:tc>
          <w:tcPr>
            <w:tcW w:w="353"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砂浆</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宋体"/>
                <w:color w:val="000000"/>
                <w:sz w:val="18"/>
                <w:szCs w:val="18"/>
                <w:lang w:val="en-US" w:eastAsia="zh-CN"/>
              </w:rPr>
            </w:pPr>
            <w:r>
              <w:rPr>
                <w:rFonts w:hint="eastAsia" w:ascii="宋体" w:hAnsi="宋体" w:cs="宋体"/>
                <w:sz w:val="18"/>
                <w:szCs w:val="18"/>
                <w:lang w:val="en-US" w:eastAsia="zh-CN"/>
              </w:rPr>
              <w:t>DM-M5</w:t>
            </w:r>
          </w:p>
        </w:tc>
        <w:tc>
          <w:tcPr>
            <w:tcW w:w="611" w:type="pct"/>
            <w:tcBorders>
              <w:left w:val="single" w:color="auto" w:sz="4" w:space="0"/>
              <w:bottom w:val="single" w:color="auto" w:sz="4" w:space="0"/>
              <w:right w:val="single" w:color="auto" w:sz="4" w:space="0"/>
            </w:tcBorders>
            <w:shd w:val="clear" w:color="000000" w:fill="FFFFFF"/>
            <w:vAlign w:val="center"/>
          </w:tcPr>
          <w:p>
            <w:pPr>
              <w:jc w:val="center"/>
              <w:rPr>
                <w:rFonts w:hint="default" w:eastAsia="宋体"/>
                <w:sz w:val="18"/>
                <w:szCs w:val="18"/>
                <w:lang w:val="en-US" w:eastAsia="zh-CN"/>
              </w:rPr>
            </w:pPr>
            <w:r>
              <w:rPr>
                <w:rFonts w:hint="eastAsia"/>
                <w:sz w:val="18"/>
                <w:szCs w:val="18"/>
                <w:lang w:val="en-US" w:eastAsia="zh-CN"/>
              </w:rPr>
              <w:t>质量技术标准满足技术规格书要求</w:t>
            </w:r>
          </w:p>
        </w:tc>
        <w:tc>
          <w:tcPr>
            <w:tcW w:w="407" w:type="pct"/>
            <w:tcBorders>
              <w:left w:val="single" w:color="auto" w:sz="4" w:space="0"/>
              <w:bottom w:val="single" w:color="auto" w:sz="4" w:space="0"/>
              <w:right w:val="single" w:color="auto" w:sz="4" w:space="0"/>
            </w:tcBorders>
            <w:shd w:val="clear" w:color="000000" w:fill="FFFFFF"/>
            <w:vAlign w:val="center"/>
          </w:tcPr>
          <w:p>
            <w:pPr>
              <w:jc w:val="center"/>
              <w:rPr>
                <w:rFonts w:hint="default" w:eastAsia="宋体"/>
                <w:sz w:val="18"/>
                <w:szCs w:val="18"/>
                <w:lang w:val="en-US" w:eastAsia="zh-CN"/>
              </w:rPr>
            </w:pPr>
            <w:r>
              <w:rPr>
                <w:rFonts w:hint="eastAsia"/>
                <w:sz w:val="18"/>
                <w:szCs w:val="18"/>
                <w:lang w:val="en-US" w:eastAsia="zh-CN"/>
              </w:rPr>
              <w:t>详见技术规格书</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7280</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t</w:t>
            </w:r>
          </w:p>
        </w:tc>
        <w:tc>
          <w:tcPr>
            <w:tcW w:w="50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符合各项技术、质量指标</w:t>
            </w:r>
          </w:p>
        </w:tc>
        <w:tc>
          <w:tcPr>
            <w:tcW w:w="446" w:type="pct"/>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sz w:val="18"/>
                <w:szCs w:val="18"/>
                <w:lang w:val="en-US" w:eastAsia="zh-CN"/>
              </w:rPr>
              <w:t>以现场实际通知为准</w:t>
            </w:r>
          </w:p>
        </w:tc>
        <w:tc>
          <w:tcPr>
            <w:tcW w:w="932" w:type="pct"/>
            <w:tcBorders>
              <w:left w:val="single" w:color="auto" w:sz="4" w:space="0"/>
              <w:bottom w:val="single" w:color="auto" w:sz="4" w:space="0"/>
              <w:right w:val="single" w:color="auto" w:sz="4" w:space="0"/>
            </w:tcBorders>
            <w:shd w:val="clear" w:color="000000" w:fill="FFFFFF"/>
            <w:vAlign w:val="center"/>
          </w:tcPr>
          <w:p>
            <w:pPr>
              <w:rPr>
                <w:rFonts w:hint="eastAsia" w:ascii="Times New Roman" w:hAnsi="Times New Roman" w:eastAsia="宋体" w:cs="Times New Roman"/>
                <w:kern w:val="2"/>
                <w:sz w:val="18"/>
                <w:szCs w:val="18"/>
                <w:lang w:val="en-US" w:eastAsia="zh-CN" w:bidi="ar-SA"/>
              </w:rPr>
            </w:pPr>
            <w:r>
              <w:rPr>
                <w:rFonts w:hint="eastAsia" w:ascii="宋体" w:hAnsi="宋体"/>
                <w:sz w:val="18"/>
                <w:szCs w:val="18"/>
              </w:rPr>
              <w:t>南沙科创中心生命健康产业园项目设计施工总承包（标段一）</w:t>
            </w:r>
          </w:p>
        </w:tc>
        <w:tc>
          <w:tcPr>
            <w:tcW w:w="499" w:type="pct"/>
            <w:tcBorders>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合同签订之日起至工程完工</w:t>
            </w:r>
          </w:p>
        </w:tc>
      </w:tr>
      <w:tr>
        <w:tblPrEx>
          <w:tblCellMar>
            <w:top w:w="0" w:type="dxa"/>
            <w:left w:w="108" w:type="dxa"/>
            <w:bottom w:w="0" w:type="dxa"/>
            <w:right w:w="108" w:type="dxa"/>
          </w:tblCellMar>
        </w:tblPrEx>
        <w:trPr>
          <w:trHeight w:val="878" w:hRule="exact"/>
        </w:trPr>
        <w:tc>
          <w:tcPr>
            <w:tcW w:w="189"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sz w:val="18"/>
                <w:szCs w:val="18"/>
                <w:lang w:val="en-US" w:eastAsia="zh-CN"/>
              </w:rPr>
            </w:pPr>
            <w:r>
              <w:rPr>
                <w:rFonts w:hint="eastAsia"/>
                <w:sz w:val="18"/>
                <w:szCs w:val="18"/>
                <w:lang w:val="en-US" w:eastAsia="zh-CN"/>
              </w:rPr>
              <w:t>2</w:t>
            </w:r>
          </w:p>
        </w:tc>
        <w:tc>
          <w:tcPr>
            <w:tcW w:w="353"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bidi="ar"/>
              </w:rPr>
              <w:t>砂浆</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000000"/>
                <w:kern w:val="2"/>
                <w:sz w:val="18"/>
                <w:szCs w:val="18"/>
                <w:lang w:val="en-US" w:eastAsia="zh-CN" w:bidi="ar-SA"/>
              </w:rPr>
            </w:pPr>
            <w:r>
              <w:rPr>
                <w:rFonts w:hint="eastAsia" w:ascii="宋体" w:hAnsi="宋体" w:cs="宋体"/>
                <w:sz w:val="18"/>
                <w:szCs w:val="18"/>
              </w:rPr>
              <w:t>DP-M15</w:t>
            </w:r>
          </w:p>
        </w:tc>
        <w:tc>
          <w:tcPr>
            <w:tcW w:w="611" w:type="pct"/>
            <w:tcBorders>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质量技术标准满足技术规格书要求</w:t>
            </w:r>
          </w:p>
        </w:tc>
        <w:tc>
          <w:tcPr>
            <w:tcW w:w="407" w:type="pct"/>
            <w:tcBorders>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详见技术规格书</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4200</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t</w:t>
            </w:r>
          </w:p>
        </w:tc>
        <w:tc>
          <w:tcPr>
            <w:tcW w:w="50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符合各项技术、质量指标</w:t>
            </w:r>
          </w:p>
        </w:tc>
        <w:tc>
          <w:tcPr>
            <w:tcW w:w="446" w:type="pct"/>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sz w:val="18"/>
                <w:szCs w:val="18"/>
                <w:lang w:val="en-US" w:eastAsia="zh-CN"/>
              </w:rPr>
              <w:t>以现场实际通知为准</w:t>
            </w:r>
          </w:p>
        </w:tc>
        <w:tc>
          <w:tcPr>
            <w:tcW w:w="932" w:type="pct"/>
            <w:tcBorders>
              <w:left w:val="single" w:color="auto" w:sz="4" w:space="0"/>
              <w:bottom w:val="single" w:color="auto" w:sz="4" w:space="0"/>
              <w:right w:val="single" w:color="auto" w:sz="4" w:space="0"/>
            </w:tcBorders>
            <w:shd w:val="clear" w:color="000000" w:fill="FFFFFF"/>
            <w:vAlign w:val="center"/>
          </w:tcPr>
          <w:p>
            <w:pPr>
              <w:rPr>
                <w:rFonts w:hint="eastAsia" w:ascii="Times New Roman" w:hAnsi="Times New Roman" w:eastAsia="宋体" w:cs="Times New Roman"/>
                <w:kern w:val="2"/>
                <w:sz w:val="18"/>
                <w:szCs w:val="18"/>
                <w:lang w:val="en-US" w:eastAsia="zh-CN" w:bidi="ar-SA"/>
              </w:rPr>
            </w:pPr>
            <w:r>
              <w:rPr>
                <w:rFonts w:hint="eastAsia" w:ascii="宋体" w:hAnsi="宋体"/>
                <w:sz w:val="18"/>
                <w:szCs w:val="18"/>
              </w:rPr>
              <w:t>南沙科创中心生命健康产业园项目设计施工总承包（标段一）</w:t>
            </w:r>
          </w:p>
        </w:tc>
        <w:tc>
          <w:tcPr>
            <w:tcW w:w="499" w:type="pct"/>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合同签订之日起至工程完工</w:t>
            </w:r>
          </w:p>
        </w:tc>
      </w:tr>
      <w:tr>
        <w:tblPrEx>
          <w:tblCellMar>
            <w:top w:w="0" w:type="dxa"/>
            <w:left w:w="108" w:type="dxa"/>
            <w:bottom w:w="0" w:type="dxa"/>
            <w:right w:w="108" w:type="dxa"/>
          </w:tblCellMar>
        </w:tblPrEx>
        <w:trPr>
          <w:trHeight w:val="844" w:hRule="exact"/>
        </w:trPr>
        <w:tc>
          <w:tcPr>
            <w:tcW w:w="189"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sz w:val="18"/>
                <w:szCs w:val="18"/>
                <w:lang w:val="en-US" w:eastAsia="zh-CN"/>
              </w:rPr>
            </w:pPr>
            <w:r>
              <w:rPr>
                <w:rFonts w:hint="eastAsia"/>
                <w:sz w:val="18"/>
                <w:szCs w:val="18"/>
                <w:lang w:val="en-US" w:eastAsia="zh-CN"/>
              </w:rPr>
              <w:t>3</w:t>
            </w:r>
          </w:p>
        </w:tc>
        <w:tc>
          <w:tcPr>
            <w:tcW w:w="353" w:type="pct"/>
            <w:tcBorders>
              <w:top w:val="single" w:color="auto" w:sz="4" w:space="0"/>
              <w:left w:val="single" w:color="auto" w:sz="4" w:space="0"/>
              <w:bottom w:val="single" w:color="auto" w:sz="4" w:space="0"/>
              <w:right w:val="single" w:color="auto" w:sz="4" w:space="0"/>
            </w:tcBorders>
            <w:shd w:val="clear" w:color="000000" w:fill="auto"/>
            <w:vAlign w:val="center"/>
          </w:tcPr>
          <w:p>
            <w:pPr>
              <w:widowControl/>
              <w:jc w:val="center"/>
              <w:textAlignment w:val="center"/>
              <w:rPr>
                <w:rFonts w:hint="eastAsia"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bidi="ar"/>
              </w:rPr>
              <w:t>砂浆</w:t>
            </w:r>
          </w:p>
        </w:tc>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kern w:val="2"/>
                <w:sz w:val="18"/>
                <w:szCs w:val="18"/>
                <w:lang w:val="en-US" w:eastAsia="zh-CN" w:bidi="ar-SA"/>
              </w:rPr>
            </w:pPr>
            <w:r>
              <w:rPr>
                <w:rFonts w:hint="eastAsia" w:ascii="宋体" w:hAnsi="宋体" w:cs="宋体"/>
                <w:sz w:val="18"/>
                <w:szCs w:val="18"/>
              </w:rPr>
              <w:t>D</w:t>
            </w:r>
            <w:r>
              <w:rPr>
                <w:rFonts w:hint="eastAsia" w:ascii="宋体" w:hAnsi="宋体" w:cs="宋体"/>
                <w:sz w:val="18"/>
                <w:szCs w:val="18"/>
                <w:lang w:val="en-US" w:eastAsia="zh-CN"/>
              </w:rPr>
              <w:t>S</w:t>
            </w:r>
            <w:r>
              <w:rPr>
                <w:rFonts w:hint="eastAsia" w:ascii="宋体" w:hAnsi="宋体" w:cs="宋体"/>
                <w:sz w:val="18"/>
                <w:szCs w:val="18"/>
              </w:rPr>
              <w:t>-M</w:t>
            </w:r>
            <w:r>
              <w:rPr>
                <w:rFonts w:hint="eastAsia" w:ascii="宋体" w:hAnsi="宋体" w:cs="宋体"/>
                <w:sz w:val="18"/>
                <w:szCs w:val="18"/>
                <w:lang w:val="en-US" w:eastAsia="zh-CN"/>
              </w:rPr>
              <w:t>20</w:t>
            </w:r>
          </w:p>
        </w:tc>
        <w:tc>
          <w:tcPr>
            <w:tcW w:w="611" w:type="pct"/>
            <w:tcBorders>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质量技术标准满足技术规格书要求</w:t>
            </w:r>
          </w:p>
        </w:tc>
        <w:tc>
          <w:tcPr>
            <w:tcW w:w="407" w:type="pct"/>
            <w:tcBorders>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详见技术规格书</w:t>
            </w:r>
          </w:p>
        </w:tc>
        <w:tc>
          <w:tcPr>
            <w:tcW w:w="35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560</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t</w:t>
            </w:r>
          </w:p>
        </w:tc>
        <w:tc>
          <w:tcPr>
            <w:tcW w:w="50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符合各项技术、质量指标</w:t>
            </w:r>
          </w:p>
        </w:tc>
        <w:tc>
          <w:tcPr>
            <w:tcW w:w="446" w:type="pct"/>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0000FF"/>
                <w:kern w:val="2"/>
                <w:sz w:val="18"/>
                <w:szCs w:val="18"/>
                <w:lang w:val="en-US" w:eastAsia="zh-CN" w:bidi="ar-SA"/>
              </w:rPr>
            </w:pPr>
            <w:r>
              <w:rPr>
                <w:rFonts w:hint="eastAsia" w:ascii="Times New Roman" w:hAnsi="Times New Roman" w:eastAsia="宋体" w:cs="Times New Roman"/>
                <w:color w:val="0000FF"/>
                <w:sz w:val="18"/>
                <w:szCs w:val="18"/>
                <w:lang w:val="en-US" w:eastAsia="zh-CN"/>
              </w:rPr>
              <w:t>以现场实际通知为准</w:t>
            </w:r>
          </w:p>
        </w:tc>
        <w:tc>
          <w:tcPr>
            <w:tcW w:w="932" w:type="pct"/>
            <w:tcBorders>
              <w:left w:val="single" w:color="auto" w:sz="4" w:space="0"/>
              <w:bottom w:val="single" w:color="auto" w:sz="4" w:space="0"/>
              <w:right w:val="single" w:color="auto" w:sz="4" w:space="0"/>
            </w:tcBorders>
            <w:shd w:val="clear" w:color="000000" w:fill="FFFFFF"/>
            <w:vAlign w:val="center"/>
          </w:tcPr>
          <w:p>
            <w:pPr>
              <w:rPr>
                <w:rFonts w:hint="eastAsia" w:ascii="Times New Roman" w:hAnsi="Times New Roman" w:eastAsia="宋体" w:cs="Times New Roman"/>
                <w:kern w:val="2"/>
                <w:sz w:val="18"/>
                <w:szCs w:val="18"/>
                <w:lang w:val="en-US" w:eastAsia="zh-CN" w:bidi="ar-SA"/>
              </w:rPr>
            </w:pPr>
            <w:r>
              <w:rPr>
                <w:rFonts w:hint="eastAsia" w:ascii="宋体" w:hAnsi="宋体"/>
                <w:sz w:val="18"/>
                <w:szCs w:val="18"/>
              </w:rPr>
              <w:t>南沙科创中心生命健康产业园项目设计施工总承包（标段一）</w:t>
            </w:r>
          </w:p>
        </w:tc>
        <w:tc>
          <w:tcPr>
            <w:tcW w:w="499" w:type="pct"/>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合同签订之日起至工程完工</w:t>
            </w:r>
          </w:p>
        </w:tc>
      </w:tr>
      <w:tr>
        <w:tblPrEx>
          <w:tblCellMar>
            <w:top w:w="0" w:type="dxa"/>
            <w:left w:w="108" w:type="dxa"/>
            <w:bottom w:w="0" w:type="dxa"/>
            <w:right w:w="108" w:type="dxa"/>
          </w:tblCellMar>
        </w:tblPrEx>
        <w:trPr>
          <w:trHeight w:val="427" w:hRule="exact"/>
        </w:trPr>
        <w:tc>
          <w:tcPr>
            <w:tcW w:w="189"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　</w:t>
            </w:r>
          </w:p>
        </w:tc>
        <w:tc>
          <w:tcPr>
            <w:tcW w:w="353"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r>
              <w:rPr>
                <w:rFonts w:hint="eastAsia"/>
                <w:b/>
                <w:bCs/>
                <w:sz w:val="18"/>
                <w:szCs w:val="18"/>
              </w:rPr>
              <w:t>小计</w:t>
            </w:r>
          </w:p>
        </w:tc>
        <w:tc>
          <w:tcPr>
            <w:tcW w:w="34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r>
              <w:rPr>
                <w:rFonts w:hint="eastAsia"/>
                <w:b/>
                <w:bCs/>
                <w:sz w:val="18"/>
                <w:szCs w:val="18"/>
              </w:rPr>
              <w:t>　</w:t>
            </w:r>
          </w:p>
        </w:tc>
        <w:tc>
          <w:tcPr>
            <w:tcW w:w="611"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p>
        </w:tc>
        <w:tc>
          <w:tcPr>
            <w:tcW w:w="407"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p>
        </w:tc>
        <w:tc>
          <w:tcPr>
            <w:tcW w:w="352"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textAlignment w:val="center"/>
              <w:rPr>
                <w:rFonts w:hint="default" w:eastAsia="宋体"/>
                <w:b/>
                <w:bCs/>
                <w:sz w:val="18"/>
                <w:szCs w:val="18"/>
                <w:lang w:val="en-US" w:eastAsia="zh-CN"/>
              </w:rPr>
            </w:pPr>
            <w:r>
              <w:rPr>
                <w:rFonts w:hint="eastAsia"/>
                <w:b/>
                <w:bCs/>
                <w:sz w:val="18"/>
                <w:szCs w:val="18"/>
                <w:lang w:val="en-US" w:eastAsia="zh-CN"/>
              </w:rPr>
              <w:t>12040</w:t>
            </w:r>
          </w:p>
        </w:tc>
        <w:tc>
          <w:tcPr>
            <w:tcW w:w="360"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r>
              <w:rPr>
                <w:rFonts w:hint="eastAsia" w:ascii="宋体" w:hAnsi="宋体" w:cs="宋体"/>
                <w:color w:val="000000"/>
                <w:kern w:val="0"/>
                <w:sz w:val="20"/>
                <w:szCs w:val="20"/>
                <w:lang w:val="en-US" w:eastAsia="zh-CN" w:bidi="ar"/>
              </w:rPr>
              <w:t>t</w:t>
            </w:r>
          </w:p>
        </w:tc>
        <w:tc>
          <w:tcPr>
            <w:tcW w:w="505"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b/>
                <w:bCs/>
                <w:sz w:val="18"/>
                <w:szCs w:val="18"/>
              </w:rPr>
            </w:pPr>
            <w:r>
              <w:rPr>
                <w:rFonts w:hint="eastAsia"/>
                <w:b/>
                <w:bCs/>
                <w:sz w:val="18"/>
                <w:szCs w:val="18"/>
              </w:rPr>
              <w:t>　</w:t>
            </w:r>
          </w:p>
        </w:tc>
        <w:tc>
          <w:tcPr>
            <w:tcW w:w="446"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　</w:t>
            </w:r>
          </w:p>
        </w:tc>
        <w:tc>
          <w:tcPr>
            <w:tcW w:w="932"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　</w:t>
            </w:r>
          </w:p>
        </w:tc>
        <w:tc>
          <w:tcPr>
            <w:tcW w:w="499" w:type="pct"/>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sz w:val="18"/>
                <w:szCs w:val="18"/>
              </w:rPr>
            </w:pPr>
            <w:r>
              <w:rPr>
                <w:rFonts w:hint="eastAsia"/>
                <w:sz w:val="18"/>
                <w:szCs w:val="18"/>
              </w:rPr>
              <w:t>　</w:t>
            </w:r>
          </w:p>
        </w:tc>
      </w:tr>
    </w:tbl>
    <w:p>
      <w:pPr>
        <w:rPr>
          <w:rFonts w:hint="eastAsia" w:cs="Arial"/>
          <w:sz w:val="18"/>
          <w:szCs w:val="18"/>
        </w:rPr>
      </w:pPr>
    </w:p>
    <w:p>
      <w:pPr>
        <w:rPr>
          <w:rFonts w:cs="Arial"/>
          <w:sz w:val="18"/>
          <w:szCs w:val="18"/>
        </w:rPr>
      </w:pPr>
      <w:r>
        <w:rPr>
          <w:rFonts w:hint="eastAsia" w:cs="Arial"/>
          <w:sz w:val="18"/>
          <w:szCs w:val="18"/>
        </w:rPr>
        <w:t>备注：</w:t>
      </w:r>
      <w:r>
        <w:rPr>
          <w:rFonts w:cs="Arial"/>
          <w:sz w:val="18"/>
          <w:szCs w:val="18"/>
        </w:rPr>
        <w:t>1</w:t>
      </w:r>
      <w:r>
        <w:rPr>
          <w:rFonts w:hint="eastAsia" w:cs="Arial"/>
          <w:sz w:val="18"/>
          <w:szCs w:val="18"/>
        </w:rPr>
        <w:t>.</w:t>
      </w:r>
      <w:r>
        <w:rPr>
          <w:rFonts w:cs="Arial"/>
          <w:sz w:val="18"/>
          <w:szCs w:val="18"/>
        </w:rPr>
        <w:t>表中为初步设计规格数量，使用单位可根据施工图对以上规格数量进行调整。</w:t>
      </w:r>
    </w:p>
    <w:p>
      <w:pPr>
        <w:ind w:firstLine="509" w:firstLineChars="283"/>
        <w:rPr>
          <w:rFonts w:cs="Arial"/>
          <w:sz w:val="18"/>
          <w:szCs w:val="18"/>
        </w:rPr>
      </w:pPr>
      <w:r>
        <w:rPr>
          <w:rFonts w:cs="Arial"/>
          <w:sz w:val="18"/>
          <w:szCs w:val="18"/>
        </w:rPr>
        <w:t>2</w:t>
      </w:r>
      <w:r>
        <w:rPr>
          <w:rFonts w:hint="eastAsia" w:cs="Arial"/>
          <w:sz w:val="18"/>
          <w:szCs w:val="18"/>
        </w:rPr>
        <w:t>.</w:t>
      </w:r>
      <w:r>
        <w:rPr>
          <w:rFonts w:cs="Arial"/>
          <w:sz w:val="18"/>
          <w:szCs w:val="18"/>
        </w:rPr>
        <w:t>交货时间及地点具体以使用单位的书面传真通知为准。</w:t>
      </w:r>
    </w:p>
    <w:p>
      <w:pPr>
        <w:ind w:firstLine="509" w:firstLineChars="283"/>
        <w:rPr>
          <w:rFonts w:cs="Arial"/>
          <w:sz w:val="18"/>
          <w:szCs w:val="18"/>
        </w:rPr>
      </w:pPr>
      <w:r>
        <w:rPr>
          <w:rFonts w:cs="Arial"/>
          <w:sz w:val="18"/>
          <w:szCs w:val="18"/>
        </w:rPr>
        <w:t>3</w:t>
      </w:r>
      <w:r>
        <w:rPr>
          <w:rFonts w:hint="eastAsia" w:cs="Arial"/>
          <w:sz w:val="18"/>
          <w:szCs w:val="18"/>
        </w:rPr>
        <w:t>.</w:t>
      </w:r>
      <w:r>
        <w:rPr>
          <w:rFonts w:cs="Arial"/>
          <w:sz w:val="18"/>
          <w:szCs w:val="18"/>
        </w:rPr>
        <w:t>具体规格型号与电商平台不一致的，以标书文件为准。</w:t>
      </w:r>
    </w:p>
    <w:p>
      <w:pPr>
        <w:ind w:firstLine="509" w:firstLineChars="283"/>
        <w:rPr>
          <w:sz w:val="18"/>
          <w:szCs w:val="18"/>
        </w:rPr>
      </w:pPr>
      <w:r>
        <w:rPr>
          <w:sz w:val="18"/>
          <w:szCs w:val="18"/>
        </w:rPr>
        <w:t>4</w:t>
      </w:r>
      <w:r>
        <w:rPr>
          <w:rFonts w:hint="eastAsia"/>
          <w:sz w:val="18"/>
          <w:szCs w:val="18"/>
        </w:rPr>
        <w:t>.</w:t>
      </w:r>
      <w:r>
        <w:rPr>
          <w:sz w:val="18"/>
          <w:szCs w:val="18"/>
        </w:rPr>
        <w:t>本包件</w:t>
      </w:r>
      <w:r>
        <w:rPr>
          <w:rFonts w:hint="eastAsia"/>
          <w:sz w:val="18"/>
          <w:szCs w:val="18"/>
        </w:rPr>
        <w:t>计量方式：小票计量。</w:t>
      </w:r>
    </w:p>
    <w:p>
      <w:pPr>
        <w:spacing w:line="390" w:lineRule="exact"/>
        <w:ind w:left="10" w:firstLine="486" w:firstLineChars="270"/>
        <w:rPr>
          <w:rFonts w:hint="eastAsia" w:ascii="宋体" w:hAnsi="宋体" w:cs="宋体"/>
          <w:b/>
          <w:color w:val="000000"/>
          <w:kern w:val="0"/>
          <w:sz w:val="24"/>
          <w:szCs w:val="24"/>
          <w:highlight w:val="yellow"/>
          <w:u w:val="double"/>
        </w:rPr>
      </w:pPr>
      <w:r>
        <w:rPr>
          <w:rFonts w:cs="Arial"/>
          <w:bCs/>
          <w:sz w:val="18"/>
          <w:szCs w:val="18"/>
        </w:rPr>
        <w:t>5</w:t>
      </w:r>
      <w:r>
        <w:rPr>
          <w:rFonts w:hint="eastAsia" w:cs="Arial"/>
          <w:bCs/>
          <w:sz w:val="18"/>
          <w:szCs w:val="18"/>
        </w:rPr>
        <w:t>.</w:t>
      </w:r>
      <w:r>
        <w:rPr>
          <w:rFonts w:hint="eastAsia" w:cs="Arial"/>
          <w:sz w:val="18"/>
          <w:szCs w:val="18"/>
        </w:rPr>
        <w:t>付款方式：</w:t>
      </w:r>
      <w:r>
        <w:rPr>
          <w:rFonts w:hint="eastAsia" w:ascii="Times New Roman" w:hAnsi="Times New Roman" w:eastAsia="宋体" w:cs="Times New Roman"/>
          <w:color w:val="0000FF"/>
          <w:sz w:val="18"/>
          <w:szCs w:val="18"/>
          <w:lang w:val="en-US" w:eastAsia="zh-CN"/>
        </w:rPr>
        <w:t>先货后款，货款分期支付。每月20日结算完成后，甲方在收到乙方开具的正式的增值税专用发票后120日内，向乙方支付当月结算金额的75%，210日内向乙方支付当月结算金额的20%。剩余5%作为质保金，在合同封账后1年内且质保期满后无息支付，如发生纠纷，则延后至纠纷最终解决后30天内付清。质量保证金的支付并不免除乙方对交付货物质量的保证责任</w:t>
      </w:r>
      <w:r>
        <w:rPr>
          <w:rFonts w:hint="eastAsia" w:cs="Times New Roman"/>
          <w:color w:val="0000FF"/>
          <w:sz w:val="18"/>
          <w:szCs w:val="18"/>
          <w:lang w:val="en-US" w:eastAsia="zh-CN"/>
        </w:rPr>
        <w:t>。</w:t>
      </w:r>
      <w:r>
        <w:rPr>
          <w:rFonts w:hint="eastAsia" w:ascii="Times New Roman" w:hAnsi="Times New Roman" w:eastAsia="宋体" w:cs="Times New Roman"/>
          <w:color w:val="0000FF"/>
          <w:sz w:val="18"/>
          <w:szCs w:val="18"/>
          <w:lang w:val="en-US" w:eastAsia="zh-CN"/>
        </w:rPr>
        <w:t>支付方式：银行转账、</w:t>
      </w:r>
      <w:bookmarkStart w:id="29" w:name="OLE_LINK2"/>
      <w:r>
        <w:rPr>
          <w:rFonts w:hint="eastAsia" w:ascii="Times New Roman" w:hAnsi="Times New Roman" w:eastAsia="宋体" w:cs="Times New Roman"/>
          <w:color w:val="0000FF"/>
          <w:sz w:val="18"/>
          <w:szCs w:val="18"/>
          <w:lang w:val="en-US" w:eastAsia="zh-CN"/>
        </w:rPr>
        <w:t>银行承兑汇票、应收账款电子凭证等</w:t>
      </w:r>
      <w:bookmarkEnd w:id="29"/>
      <w:r>
        <w:rPr>
          <w:rFonts w:hint="eastAsia" w:ascii="Times New Roman" w:hAnsi="Times New Roman" w:eastAsia="宋体" w:cs="Times New Roman"/>
          <w:color w:val="0000FF"/>
          <w:sz w:val="18"/>
          <w:szCs w:val="18"/>
          <w:lang w:val="en-US" w:eastAsia="zh-CN"/>
        </w:rPr>
        <w:t>方式。甲方使用银行承兑汇票支付本合同款项，甲方不承担贴现费用；甲方使用应收账款电子凭证支付本合同款项，实际贴息费用不包含在采购单价中，由乙方以“价外费”的形式对实际接收应收账款电子凭证贴现费用开具发票，贴现费用由甲乙双方协商确定。</w:t>
      </w:r>
    </w:p>
    <w:p>
      <w:pPr>
        <w:ind w:firstLine="509" w:firstLineChars="283"/>
        <w:rPr>
          <w:rFonts w:hint="eastAsia" w:ascii="宋体" w:hAnsi="宋体" w:eastAsia="宋体"/>
          <w:sz w:val="18"/>
          <w:szCs w:val="18"/>
          <w:lang w:val="en-US" w:eastAsia="zh-CN"/>
        </w:rPr>
        <w:sectPr>
          <w:footerReference r:id="rId5" w:type="default"/>
          <w:footerReference r:id="rId6" w:type="even"/>
          <w:pgSz w:w="16838" w:h="11906" w:orient="landscape"/>
          <w:pgMar w:top="1230" w:right="1440" w:bottom="663" w:left="1440" w:header="851" w:footer="992" w:gutter="0"/>
          <w:cols w:space="425" w:num="1"/>
          <w:docGrid w:type="lines" w:linePitch="312" w:charSpace="0"/>
        </w:sectPr>
      </w:pPr>
      <w:r>
        <w:rPr>
          <w:rFonts w:hint="eastAsia" w:cs="Arial"/>
          <w:sz w:val="18"/>
          <w:szCs w:val="18"/>
        </w:rPr>
        <w:t>6.发票要求：一票制增值税专用发票。如遇国家税率政策调整，合同结算单价应按照不含税价格不变，税率按最新税率计算的方法调整，双方应及时签订税率变更补充</w:t>
      </w:r>
      <w:r>
        <w:rPr>
          <w:rFonts w:hint="eastAsia" w:cs="Arial"/>
          <w:sz w:val="18"/>
          <w:szCs w:val="18"/>
          <w:lang w:val="en-US" w:eastAsia="zh-CN"/>
        </w:rPr>
        <w:t>协议。</w:t>
      </w:r>
    </w:p>
    <w:p>
      <w:pPr>
        <w:spacing w:line="360" w:lineRule="auto"/>
        <w:jc w:val="center"/>
        <w:rPr>
          <w:rFonts w:hint="eastAsia" w:eastAsia="宋体"/>
          <w:b/>
          <w:sz w:val="36"/>
          <w:szCs w:val="36"/>
          <w:lang w:val="en-US" w:eastAsia="zh-CN"/>
        </w:rPr>
      </w:pPr>
      <w:r>
        <w:rPr>
          <w:rFonts w:hint="eastAsia" w:eastAsia="宋体"/>
          <w:b/>
          <w:sz w:val="36"/>
          <w:szCs w:val="36"/>
        </w:rPr>
        <w:t>需求明细表</w:t>
      </w:r>
      <w:r>
        <w:rPr>
          <w:rFonts w:hint="eastAsia" w:eastAsia="宋体"/>
          <w:b/>
          <w:sz w:val="36"/>
          <w:szCs w:val="36"/>
          <w:lang w:val="en-US" w:eastAsia="zh-CN"/>
        </w:rPr>
        <w:t>3</w:t>
      </w:r>
    </w:p>
    <w:p>
      <w:pPr>
        <w:spacing w:line="360" w:lineRule="auto"/>
        <w:jc w:val="center"/>
        <w:rPr>
          <w:rFonts w:ascii="宋体" w:hAnsi="宋体" w:cs="仿宋_GB2312"/>
          <w:b/>
          <w:szCs w:val="21"/>
          <w:highlight w:val="none"/>
        </w:rPr>
      </w:pPr>
      <w:r>
        <w:rPr>
          <w:rFonts w:hint="eastAsia" w:ascii="宋体" w:hAnsi="宋体" w:cs="仿宋_GB2312"/>
          <w:b/>
          <w:szCs w:val="21"/>
          <w:highlight w:val="none"/>
        </w:rPr>
        <w:t>招标人名称：中铁二局集团有限公司                               招标编号:</w:t>
      </w:r>
      <w:r>
        <w:rPr>
          <w:rFonts w:hint="eastAsia" w:ascii="宋体" w:hAnsi="宋体" w:cs="仿宋_GB2312"/>
          <w:b/>
          <w:szCs w:val="21"/>
          <w:highlight w:val="none"/>
          <w:lang w:val="en-US" w:eastAsia="zh-CN"/>
        </w:rPr>
        <w:t>ZTEJ-2025509</w:t>
      </w:r>
      <w:r>
        <w:rPr>
          <w:rFonts w:hint="eastAsia" w:ascii="宋体" w:hAnsi="宋体" w:cs="仿宋_GB2312"/>
          <w:b/>
          <w:szCs w:val="21"/>
          <w:highlight w:val="none"/>
        </w:rPr>
        <w:t xml:space="preserve">                             包件：</w:t>
      </w:r>
      <w:r>
        <w:rPr>
          <w:rFonts w:hint="eastAsia" w:ascii="宋体" w:hAnsi="宋体" w:cs="仿宋_GB2312"/>
          <w:b/>
          <w:szCs w:val="21"/>
          <w:highlight w:val="none"/>
          <w:lang w:val="en-US" w:eastAsia="zh-CN"/>
        </w:rPr>
        <w:t>CL</w:t>
      </w:r>
      <w:r>
        <w:rPr>
          <w:rFonts w:hint="eastAsia" w:ascii="宋体" w:hAnsi="宋体" w:cs="仿宋_GB2312"/>
          <w:b/>
          <w:szCs w:val="21"/>
          <w:highlight w:val="none"/>
        </w:rPr>
        <w:t>-01</w:t>
      </w:r>
    </w:p>
    <w:tbl>
      <w:tblPr>
        <w:tblStyle w:val="10"/>
        <w:tblW w:w="15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93"/>
        <w:gridCol w:w="2431"/>
        <w:gridCol w:w="1090"/>
        <w:gridCol w:w="1944"/>
        <w:gridCol w:w="1358"/>
        <w:gridCol w:w="1315"/>
        <w:gridCol w:w="1416"/>
        <w:gridCol w:w="1785"/>
        <w:gridCol w:w="1300"/>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56"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序号</w:t>
            </w:r>
          </w:p>
        </w:tc>
        <w:tc>
          <w:tcPr>
            <w:tcW w:w="1093"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工程项目</w:t>
            </w:r>
          </w:p>
        </w:tc>
        <w:tc>
          <w:tcPr>
            <w:tcW w:w="2431"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标的名称</w:t>
            </w:r>
          </w:p>
        </w:tc>
        <w:tc>
          <w:tcPr>
            <w:tcW w:w="1090" w:type="dxa"/>
            <w:noWrap w:val="0"/>
            <w:vAlign w:val="center"/>
          </w:tcPr>
          <w:p>
            <w:pPr>
              <w:widowControl/>
              <w:jc w:val="center"/>
              <w:rPr>
                <w:rFonts w:hint="default"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价格类型</w:t>
            </w:r>
          </w:p>
        </w:tc>
        <w:tc>
          <w:tcPr>
            <w:tcW w:w="1944"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规格型号</w:t>
            </w:r>
          </w:p>
        </w:tc>
        <w:tc>
          <w:tcPr>
            <w:tcW w:w="1358"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计量单位</w:t>
            </w:r>
          </w:p>
        </w:tc>
        <w:tc>
          <w:tcPr>
            <w:tcW w:w="1315"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采购数量</w:t>
            </w:r>
          </w:p>
        </w:tc>
        <w:tc>
          <w:tcPr>
            <w:tcW w:w="1416"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定货要求</w:t>
            </w:r>
          </w:p>
        </w:tc>
        <w:tc>
          <w:tcPr>
            <w:tcW w:w="1785"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质量标准技术要求</w:t>
            </w:r>
          </w:p>
        </w:tc>
        <w:tc>
          <w:tcPr>
            <w:tcW w:w="1300"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详细地址</w:t>
            </w:r>
          </w:p>
        </w:tc>
        <w:tc>
          <w:tcPr>
            <w:tcW w:w="967" w:type="dxa"/>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1</w:t>
            </w:r>
          </w:p>
        </w:tc>
        <w:tc>
          <w:tcPr>
            <w:tcW w:w="1093" w:type="dxa"/>
            <w:vMerge w:val="restart"/>
            <w:shd w:val="clear" w:color="auto" w:fill="auto"/>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kern w:val="2"/>
                <w:sz w:val="21"/>
                <w:szCs w:val="21"/>
                <w:highlight w:val="none"/>
                <w:lang w:val="en-US" w:eastAsia="zh-CN" w:bidi="ar-SA"/>
              </w:rPr>
              <w:t>中铁二局集团有限公司庆盛枢纽区块综合开发项目(庆盛科创教育核心区工程)项目经理部</w:t>
            </w: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restart"/>
            <w:noWrap w:val="0"/>
            <w:vAlign w:val="center"/>
          </w:tcPr>
          <w:p>
            <w:pPr>
              <w:spacing w:beforeLines="0" w:afterLines="0"/>
              <w:jc w:val="center"/>
              <w:rPr>
                <w:rFonts w:hint="default" w:ascii="宋体" w:hAnsi="宋体" w:eastAsia="宋体" w:cs="宋体"/>
                <w:color w:val="000000"/>
                <w:sz w:val="20"/>
                <w:szCs w:val="24"/>
                <w:highlight w:val="none"/>
                <w:lang w:val="en-US" w:eastAsia="zh-CN"/>
              </w:rPr>
            </w:pPr>
            <w:r>
              <w:rPr>
                <w:rFonts w:hint="eastAsia" w:ascii="宋体" w:hAnsi="宋体" w:eastAsia="宋体" w:cs="宋体"/>
                <w:color w:val="000000"/>
                <w:sz w:val="20"/>
                <w:szCs w:val="24"/>
                <w:highlight w:val="none"/>
                <w:lang w:val="en-US" w:eastAsia="zh-CN"/>
              </w:rPr>
              <w:t>浮动价</w:t>
            </w: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C15</w:t>
            </w:r>
          </w:p>
        </w:tc>
        <w:tc>
          <w:tcPr>
            <w:tcW w:w="1358" w:type="dxa"/>
            <w:noWrap/>
            <w:vAlign w:val="center"/>
          </w:tcPr>
          <w:p>
            <w:pPr>
              <w:spacing w:beforeLines="0" w:afterLines="0"/>
              <w:jc w:val="center"/>
              <w:rPr>
                <w:rFonts w:hint="default"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724</w:t>
            </w:r>
          </w:p>
        </w:tc>
        <w:tc>
          <w:tcPr>
            <w:tcW w:w="1416" w:type="dxa"/>
            <w:vMerge w:val="restart"/>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运至工地指定地点，</w:t>
            </w:r>
            <w:r>
              <w:rPr>
                <w:rFonts w:hint="eastAsia" w:ascii="宋体" w:hAnsi="宋体" w:eastAsia="宋体" w:cs="宋体"/>
                <w:b w:val="0"/>
                <w:bCs w:val="0"/>
                <w:color w:val="000000"/>
                <w:kern w:val="0"/>
                <w:sz w:val="21"/>
                <w:szCs w:val="21"/>
                <w:highlight w:val="none"/>
                <w:lang w:val="en-US" w:eastAsia="zh-CN"/>
              </w:rPr>
              <w:t>包卸货，水泥按过磅数量计量，盘条按过磅计量，直条钢筋按理论重量计量，混凝土按送过单据签认数量计量</w:t>
            </w:r>
            <w:r>
              <w:rPr>
                <w:rFonts w:hint="eastAsia" w:ascii="宋体" w:hAnsi="宋体" w:eastAsia="宋体" w:cs="宋体"/>
                <w:b w:val="0"/>
                <w:bCs w:val="0"/>
                <w:color w:val="000000"/>
                <w:kern w:val="0"/>
                <w:sz w:val="21"/>
                <w:szCs w:val="21"/>
                <w:highlight w:val="none"/>
              </w:rPr>
              <w:t>。</w:t>
            </w:r>
          </w:p>
        </w:tc>
        <w:tc>
          <w:tcPr>
            <w:tcW w:w="1785" w:type="dxa"/>
            <w:vMerge w:val="restart"/>
            <w:noWrap w:val="0"/>
            <w:vAlign w:val="center"/>
          </w:tcPr>
          <w:p>
            <w:pPr>
              <w:widowControl/>
              <w:jc w:val="center"/>
              <w:rPr>
                <w:rFonts w:hint="eastAsia" w:ascii="宋体" w:hAnsi="宋体" w:eastAsia="宋体" w:cs="宋体"/>
                <w:b w:val="0"/>
                <w:bCs w:val="0"/>
                <w:color w:val="000000"/>
                <w:kern w:val="0"/>
                <w:sz w:val="21"/>
                <w:szCs w:val="21"/>
                <w:highlight w:val="none"/>
              </w:rPr>
            </w:pPr>
            <w:r>
              <w:rPr>
                <w:rFonts w:hint="eastAsia" w:ascii="宋体" w:hAnsi="宋体" w:eastAsia="宋体" w:cs="宋体"/>
                <w:b w:val="0"/>
                <w:bCs w:val="0"/>
                <w:color w:val="000000"/>
                <w:kern w:val="0"/>
                <w:sz w:val="21"/>
                <w:szCs w:val="21"/>
                <w:highlight w:val="none"/>
              </w:rPr>
              <w:t>详见附件六：技术规格书要求。</w:t>
            </w:r>
          </w:p>
        </w:tc>
        <w:tc>
          <w:tcPr>
            <w:tcW w:w="1300" w:type="dxa"/>
            <w:vMerge w:val="restart"/>
            <w:noWrap w:val="0"/>
            <w:vAlign w:val="center"/>
          </w:tcPr>
          <w:p>
            <w:pPr>
              <w:widowControl/>
              <w:tabs>
                <w:tab w:val="left" w:pos="455"/>
              </w:tabs>
              <w:jc w:val="center"/>
              <w:rPr>
                <w:rFonts w:hint="eastAsia" w:ascii="宋体" w:hAnsi="宋体" w:eastAsia="宋体" w:cs="宋体"/>
                <w:b w:val="0"/>
                <w:bCs w:val="0"/>
                <w:color w:val="000000"/>
                <w:kern w:val="0"/>
                <w:sz w:val="21"/>
                <w:szCs w:val="21"/>
                <w:highlight w:val="none"/>
                <w:lang w:eastAsia="zh-CN"/>
              </w:rPr>
            </w:pPr>
            <w:r>
              <w:rPr>
                <w:rFonts w:hint="eastAsia" w:ascii="宋体" w:hAnsi="宋体" w:eastAsia="宋体" w:cs="宋体"/>
                <w:b w:val="0"/>
                <w:bCs w:val="0"/>
                <w:color w:val="000000"/>
                <w:kern w:val="0"/>
                <w:sz w:val="21"/>
                <w:szCs w:val="21"/>
                <w:highlight w:val="none"/>
                <w:lang w:eastAsia="zh-CN"/>
              </w:rPr>
              <w:t>广州南沙庆盛枢纽区块</w:t>
            </w:r>
          </w:p>
        </w:tc>
        <w:tc>
          <w:tcPr>
            <w:tcW w:w="967" w:type="dxa"/>
            <w:vMerge w:val="restart"/>
            <w:noWrap w:val="0"/>
            <w:vAlign w:val="center"/>
          </w:tcPr>
          <w:p>
            <w:pPr>
              <w:widowControl/>
              <w:jc w:val="center"/>
              <w:rPr>
                <w:rFonts w:hint="eastAsia" w:ascii="宋体" w:hAnsi="宋体" w:eastAsia="宋体" w:cs="宋体"/>
                <w:b w:val="0"/>
                <w:bCs w:val="0"/>
                <w:color w:val="000000"/>
                <w:kern w:val="0"/>
                <w:sz w:val="21"/>
                <w:szCs w:val="21"/>
                <w:highlight w:val="none"/>
                <w:lang w:val="en-US" w:eastAsia="zh-CN"/>
              </w:rPr>
            </w:pPr>
            <w:r>
              <w:rPr>
                <w:rFonts w:hint="eastAsia" w:ascii="宋体" w:hAnsi="宋体" w:eastAsia="宋体" w:cs="宋体"/>
                <w:b w:val="0"/>
                <w:bCs w:val="0"/>
                <w:color w:val="000000"/>
                <w:kern w:val="0"/>
                <w:sz w:val="21"/>
                <w:szCs w:val="21"/>
                <w:highlight w:val="none"/>
                <w:lang w:val="en-US" w:eastAsia="zh-CN"/>
              </w:rPr>
              <w:t>2025年8月至工程结束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2</w:t>
            </w:r>
          </w:p>
        </w:tc>
        <w:tc>
          <w:tcPr>
            <w:tcW w:w="1093" w:type="dxa"/>
            <w:vMerge w:val="continue"/>
            <w:shd w:val="clear" w:color="auto" w:fill="auto"/>
            <w:noWrap w:val="0"/>
            <w:vAlign w:val="center"/>
          </w:tcPr>
          <w:p>
            <w:pPr>
              <w:widowControl/>
              <w:jc w:val="center"/>
              <w:rPr>
                <w:rFonts w:hint="eastAsia" w:ascii="宋体" w:hAnsi="宋体" w:eastAsia="宋体" w:cs="宋体"/>
                <w:b w:val="0"/>
                <w:bCs w:val="0"/>
                <w:kern w:val="2"/>
                <w:sz w:val="21"/>
                <w:szCs w:val="21"/>
                <w:highlight w:val="none"/>
                <w:lang w:val="en-US" w:eastAsia="zh-CN" w:bidi="ar-SA"/>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C20</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5018</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3</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C20细石</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66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4</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C25</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5885</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5</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C30</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3</w:t>
            </w:r>
            <w:r>
              <w:rPr>
                <w:rFonts w:hint="eastAsia" w:ascii="宋体" w:hAnsi="宋体" w:eastAsia="宋体" w:cs="宋体"/>
                <w:color w:val="000000"/>
                <w:sz w:val="20"/>
                <w:szCs w:val="24"/>
                <w:highlight w:val="none"/>
                <w:lang w:val="en-US" w:eastAsia="zh-CN"/>
              </w:rPr>
              <w:t>0</w:t>
            </w:r>
            <w:r>
              <w:rPr>
                <w:rFonts w:hint="eastAsia" w:ascii="宋体" w:hAnsi="宋体" w:eastAsia="宋体" w:cs="宋体"/>
                <w:color w:val="000000"/>
                <w:sz w:val="20"/>
                <w:szCs w:val="24"/>
                <w:highlight w:val="none"/>
              </w:rPr>
              <w:t>12</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6</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C35</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7036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7</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C40</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922</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000000"/>
                <w:kern w:val="2"/>
                <w:sz w:val="21"/>
                <w:szCs w:val="21"/>
                <w:highlight w:val="none"/>
                <w:lang w:val="en-US" w:eastAsia="zh-CN" w:bidi="ar"/>
              </w:rPr>
              <w:t>8</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普通干混砌筑砂浆</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M7.5</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default"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1146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9</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color w:val="000000"/>
                <w:kern w:val="2"/>
                <w:sz w:val="20"/>
                <w:szCs w:val="24"/>
                <w:highlight w:val="none"/>
                <w:lang w:val="en-US" w:eastAsia="zh-CN" w:bidi="ar-SA"/>
              </w:rPr>
            </w:pPr>
            <w:r>
              <w:rPr>
                <w:rFonts w:hint="eastAsia" w:ascii="宋体" w:hAnsi="宋体"/>
                <w:color w:val="000000"/>
                <w:sz w:val="20"/>
                <w:szCs w:val="24"/>
                <w:highlight w:val="none"/>
              </w:rPr>
              <w:t>普通硅酸盐水泥</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default"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P.O 42.5</w:t>
            </w:r>
            <w:r>
              <w:rPr>
                <w:rFonts w:hint="eastAsia" w:ascii="宋体" w:hAnsi="宋体" w:eastAsia="宋体" w:cs="宋体"/>
                <w:color w:val="000000"/>
                <w:sz w:val="20"/>
                <w:szCs w:val="24"/>
                <w:highlight w:val="none"/>
                <w:lang w:eastAsia="zh-CN"/>
              </w:rPr>
              <w:t>、</w:t>
            </w:r>
            <w:r>
              <w:rPr>
                <w:rFonts w:hint="eastAsia" w:ascii="宋体" w:hAnsi="宋体" w:eastAsia="宋体" w:cs="宋体"/>
                <w:color w:val="000000"/>
                <w:sz w:val="20"/>
                <w:szCs w:val="24"/>
                <w:highlight w:val="none"/>
                <w:lang w:val="en-US" w:eastAsia="zh-CN"/>
              </w:rPr>
              <w:t>散装</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238</w:t>
            </w:r>
            <w:r>
              <w:rPr>
                <w:rFonts w:hint="eastAsia" w:ascii="宋体" w:hAnsi="宋体" w:eastAsia="宋体" w:cs="宋体"/>
                <w:color w:val="000000"/>
                <w:sz w:val="20"/>
                <w:szCs w:val="24"/>
                <w:highlight w:val="none"/>
                <w:lang w:val="en-US" w:eastAsia="zh-CN"/>
              </w:rPr>
              <w:t>9</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10</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盘圆</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HPB300φ8</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4</w:t>
            </w:r>
            <w:r>
              <w:rPr>
                <w:rFonts w:hint="eastAsia" w:ascii="宋体" w:hAnsi="宋体" w:eastAsia="宋体" w:cs="宋体"/>
                <w:color w:val="000000"/>
                <w:sz w:val="20"/>
                <w:szCs w:val="24"/>
                <w:highlight w:val="none"/>
                <w:lang w:val="en-US" w:eastAsia="zh-CN"/>
              </w:rPr>
              <w:t>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11</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螺纹钢</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HRB400Eφ10</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38</w:t>
            </w:r>
            <w:r>
              <w:rPr>
                <w:rFonts w:hint="eastAsia" w:ascii="宋体" w:hAnsi="宋体" w:eastAsia="宋体" w:cs="宋体"/>
                <w:color w:val="000000"/>
                <w:sz w:val="20"/>
                <w:szCs w:val="24"/>
                <w:highlight w:val="none"/>
                <w:lang w:val="en-US" w:eastAsia="zh-CN"/>
              </w:rPr>
              <w:t>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12</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highlight w:val="none"/>
              </w:rPr>
              <w:t>螺纹钢</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HRB400Eφ12</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88</w:t>
            </w:r>
            <w:r>
              <w:rPr>
                <w:rFonts w:hint="eastAsia" w:ascii="宋体" w:hAnsi="宋体" w:eastAsia="宋体" w:cs="宋体"/>
                <w:color w:val="000000"/>
                <w:sz w:val="20"/>
                <w:szCs w:val="24"/>
                <w:highlight w:val="none"/>
                <w:lang w:val="en-US" w:eastAsia="zh-CN"/>
              </w:rPr>
              <w:t>3</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13</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highlight w:val="none"/>
              </w:rPr>
              <w:t>螺纹钢</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HRB400Eφ14</w:t>
            </w:r>
          </w:p>
        </w:tc>
        <w:tc>
          <w:tcPr>
            <w:tcW w:w="1358"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kern w:val="2"/>
                <w:sz w:val="20"/>
                <w:szCs w:val="24"/>
                <w:highlight w:val="none"/>
                <w:lang w:val="en-US" w:eastAsia="zh-CN" w:bidi="ar-SA"/>
              </w:rPr>
            </w:pPr>
            <w:r>
              <w:rPr>
                <w:rFonts w:hint="eastAsia" w:ascii="宋体" w:hAnsi="宋体" w:eastAsia="宋体" w:cs="宋体"/>
                <w:color w:val="000000"/>
                <w:sz w:val="20"/>
                <w:szCs w:val="24"/>
                <w:highlight w:val="none"/>
              </w:rPr>
              <w:t>37</w:t>
            </w:r>
            <w:r>
              <w:rPr>
                <w:rFonts w:hint="eastAsia" w:ascii="宋体" w:hAnsi="宋体" w:eastAsia="宋体" w:cs="宋体"/>
                <w:color w:val="000000"/>
                <w:sz w:val="20"/>
                <w:szCs w:val="24"/>
                <w:highlight w:val="none"/>
                <w:lang w:val="en-US" w:eastAsia="zh-CN"/>
              </w:rPr>
              <w:t>2</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14</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highlight w:val="none"/>
              </w:rPr>
            </w:pPr>
            <w:r>
              <w:rPr>
                <w:rFonts w:hint="eastAsia" w:ascii="宋体" w:hAnsi="宋体" w:eastAsia="宋体" w:cs="宋体"/>
                <w:highlight w:val="none"/>
              </w:rPr>
              <w:t>螺纹钢</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sz w:val="20"/>
                <w:szCs w:val="24"/>
                <w:highlight w:val="none"/>
              </w:rPr>
            </w:pPr>
            <w:r>
              <w:rPr>
                <w:rFonts w:hint="eastAsia" w:ascii="宋体" w:hAnsi="宋体" w:eastAsia="宋体" w:cs="宋体"/>
                <w:color w:val="000000"/>
                <w:sz w:val="20"/>
                <w:szCs w:val="24"/>
                <w:highlight w:val="none"/>
              </w:rPr>
              <w:t>HRB400Eφ16</w:t>
            </w:r>
          </w:p>
        </w:tc>
        <w:tc>
          <w:tcPr>
            <w:tcW w:w="1358" w:type="dxa"/>
            <w:noWrap/>
            <w:vAlign w:val="center"/>
          </w:tcPr>
          <w:p>
            <w:pPr>
              <w:spacing w:beforeLines="0" w:afterLines="0"/>
              <w:jc w:val="center"/>
              <w:rPr>
                <w:rFonts w:hint="eastAsia" w:ascii="宋体" w:hAnsi="宋体" w:eastAsia="宋体" w:cs="宋体"/>
                <w:color w:val="000000"/>
                <w:sz w:val="20"/>
                <w:szCs w:val="24"/>
                <w:highlight w:val="none"/>
                <w:lang w:val="en-US" w:eastAsia="zh-CN"/>
              </w:rPr>
            </w:pPr>
            <w:r>
              <w:rPr>
                <w:rFonts w:hint="eastAsia" w:ascii="宋体" w:hAnsi="宋体" w:eastAsia="宋体" w:cs="宋体"/>
                <w:color w:val="000000"/>
                <w:sz w:val="20"/>
                <w:szCs w:val="24"/>
                <w:highlight w:val="none"/>
                <w:lang w:val="en-US" w:eastAsia="zh-CN"/>
              </w:rPr>
              <w:t>吨</w:t>
            </w:r>
          </w:p>
        </w:tc>
        <w:tc>
          <w:tcPr>
            <w:tcW w:w="1315" w:type="dxa"/>
            <w:noWrap/>
            <w:vAlign w:val="center"/>
          </w:tcPr>
          <w:p>
            <w:pPr>
              <w:spacing w:beforeLines="0" w:afterLines="0"/>
              <w:jc w:val="center"/>
              <w:rPr>
                <w:rFonts w:hint="eastAsia" w:ascii="宋体" w:hAnsi="宋体" w:eastAsia="宋体" w:cs="宋体"/>
                <w:color w:val="000000"/>
                <w:sz w:val="20"/>
                <w:szCs w:val="24"/>
                <w:highlight w:val="none"/>
                <w:lang w:eastAsia="zh-CN"/>
              </w:rPr>
            </w:pPr>
            <w:r>
              <w:rPr>
                <w:rFonts w:hint="eastAsia" w:ascii="宋体" w:hAnsi="宋体" w:eastAsia="宋体" w:cs="宋体"/>
                <w:color w:val="000000"/>
                <w:sz w:val="20"/>
                <w:szCs w:val="24"/>
                <w:highlight w:val="none"/>
              </w:rPr>
              <w:t>1</w:t>
            </w:r>
            <w:r>
              <w:rPr>
                <w:rFonts w:hint="eastAsia" w:ascii="宋体" w:hAnsi="宋体" w:eastAsia="宋体" w:cs="宋体"/>
                <w:color w:val="000000"/>
                <w:sz w:val="20"/>
                <w:szCs w:val="24"/>
                <w:highlight w:val="none"/>
                <w:lang w:val="en-US" w:eastAsia="zh-CN"/>
              </w:rPr>
              <w:t>7</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15</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highlight w:val="none"/>
              </w:rPr>
            </w:pPr>
            <w:r>
              <w:rPr>
                <w:rFonts w:hint="eastAsia" w:ascii="宋体" w:hAnsi="宋体" w:eastAsia="宋体" w:cs="宋体"/>
                <w:color w:val="000000"/>
                <w:sz w:val="20"/>
                <w:szCs w:val="24"/>
                <w:highlight w:val="none"/>
              </w:rPr>
              <w:t>透水混凝土</w:t>
            </w:r>
          </w:p>
        </w:tc>
        <w:tc>
          <w:tcPr>
            <w:tcW w:w="1090" w:type="dxa"/>
            <w:vMerge w:val="restart"/>
            <w:noWrap w:val="0"/>
            <w:vAlign w:val="center"/>
          </w:tcPr>
          <w:p>
            <w:pPr>
              <w:spacing w:beforeLines="0" w:afterLines="0"/>
              <w:jc w:val="center"/>
              <w:rPr>
                <w:rFonts w:hint="default" w:ascii="宋体" w:hAnsi="宋体" w:eastAsia="宋体" w:cs="宋体"/>
                <w:color w:val="000000"/>
                <w:sz w:val="20"/>
                <w:szCs w:val="24"/>
                <w:highlight w:val="none"/>
                <w:lang w:val="en-US" w:eastAsia="zh-CN"/>
              </w:rPr>
            </w:pPr>
            <w:r>
              <w:rPr>
                <w:rFonts w:hint="eastAsia" w:ascii="宋体" w:hAnsi="宋体" w:eastAsia="宋体" w:cs="宋体"/>
                <w:color w:val="000000"/>
                <w:sz w:val="20"/>
                <w:szCs w:val="24"/>
                <w:highlight w:val="none"/>
                <w:lang w:val="en-US" w:eastAsia="zh-CN"/>
              </w:rPr>
              <w:t>固定价</w:t>
            </w:r>
          </w:p>
        </w:tc>
        <w:tc>
          <w:tcPr>
            <w:tcW w:w="1944" w:type="dxa"/>
            <w:noWrap w:val="0"/>
            <w:vAlign w:val="center"/>
          </w:tcPr>
          <w:p>
            <w:pPr>
              <w:spacing w:beforeLines="0" w:afterLines="0"/>
              <w:jc w:val="center"/>
              <w:rPr>
                <w:rFonts w:hint="eastAsia" w:ascii="宋体" w:hAnsi="宋体" w:eastAsia="宋体" w:cs="宋体"/>
                <w:color w:val="000000"/>
                <w:sz w:val="20"/>
                <w:szCs w:val="24"/>
                <w:highlight w:val="none"/>
              </w:rPr>
            </w:pPr>
            <w:r>
              <w:rPr>
                <w:rFonts w:hint="eastAsia" w:ascii="宋体" w:hAnsi="宋体" w:eastAsia="宋体" w:cs="宋体"/>
                <w:color w:val="000000"/>
                <w:sz w:val="20"/>
                <w:szCs w:val="24"/>
                <w:highlight w:val="none"/>
              </w:rPr>
              <w:t>C25</w:t>
            </w:r>
          </w:p>
        </w:tc>
        <w:tc>
          <w:tcPr>
            <w:tcW w:w="1358" w:type="dxa"/>
            <w:noWrap/>
            <w:vAlign w:val="center"/>
          </w:tcPr>
          <w:p>
            <w:pPr>
              <w:spacing w:beforeLines="0" w:afterLines="0"/>
              <w:jc w:val="center"/>
              <w:rPr>
                <w:rFonts w:hint="eastAsia" w:ascii="宋体" w:hAnsi="宋体" w:eastAsia="宋体" w:cs="宋体"/>
                <w:color w:val="000000"/>
                <w:sz w:val="20"/>
                <w:szCs w:val="24"/>
                <w:highlight w:val="none"/>
                <w:lang w:val="en-US" w:eastAsia="zh-CN"/>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sz w:val="20"/>
                <w:szCs w:val="24"/>
                <w:highlight w:val="none"/>
                <w:lang w:eastAsia="zh-CN"/>
              </w:rPr>
            </w:pPr>
            <w:r>
              <w:rPr>
                <w:rFonts w:hint="eastAsia" w:ascii="宋体" w:hAnsi="宋体" w:eastAsia="宋体" w:cs="宋体"/>
                <w:color w:val="000000"/>
                <w:sz w:val="20"/>
                <w:szCs w:val="24"/>
                <w:highlight w:val="none"/>
              </w:rPr>
              <w:t>1323</w:t>
            </w:r>
            <w:r>
              <w:rPr>
                <w:rFonts w:hint="eastAsia" w:ascii="宋体" w:hAnsi="宋体" w:eastAsia="宋体" w:cs="宋体"/>
                <w:color w:val="000000"/>
                <w:sz w:val="20"/>
                <w:szCs w:val="24"/>
                <w:highlight w:val="none"/>
                <w:lang w:val="en-US" w:eastAsia="zh-CN"/>
              </w:rPr>
              <w:t>5</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16</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highlight w:val="none"/>
              </w:rPr>
            </w:pPr>
            <w:r>
              <w:rPr>
                <w:rFonts w:hint="eastAsia" w:ascii="宋体" w:hAnsi="宋体" w:eastAsia="宋体" w:cs="宋体"/>
                <w:color w:val="000000"/>
                <w:sz w:val="20"/>
                <w:szCs w:val="24"/>
                <w:highlight w:val="none"/>
              </w:rPr>
              <w:t>彩色透水混凝土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sz w:val="20"/>
                <w:szCs w:val="24"/>
                <w:highlight w:val="none"/>
              </w:rPr>
            </w:pPr>
            <w:r>
              <w:rPr>
                <w:rFonts w:hint="eastAsia" w:ascii="宋体" w:hAnsi="宋体" w:eastAsia="宋体" w:cs="宋体"/>
                <w:color w:val="000000"/>
                <w:sz w:val="20"/>
                <w:szCs w:val="24"/>
                <w:highlight w:val="none"/>
              </w:rPr>
              <w:t>C25</w:t>
            </w:r>
          </w:p>
        </w:tc>
        <w:tc>
          <w:tcPr>
            <w:tcW w:w="1358" w:type="dxa"/>
            <w:noWrap/>
            <w:vAlign w:val="center"/>
          </w:tcPr>
          <w:p>
            <w:pPr>
              <w:spacing w:beforeLines="0" w:afterLines="0"/>
              <w:jc w:val="center"/>
              <w:rPr>
                <w:rFonts w:hint="eastAsia" w:ascii="宋体" w:hAnsi="宋体" w:eastAsia="宋体" w:cs="宋体"/>
                <w:color w:val="000000"/>
                <w:sz w:val="20"/>
                <w:szCs w:val="24"/>
                <w:highlight w:val="none"/>
                <w:lang w:val="en-US" w:eastAsia="zh-CN"/>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sz w:val="20"/>
                <w:szCs w:val="24"/>
                <w:highlight w:val="none"/>
                <w:lang w:eastAsia="zh-CN"/>
              </w:rPr>
            </w:pPr>
            <w:r>
              <w:rPr>
                <w:rFonts w:hint="eastAsia" w:ascii="宋体" w:hAnsi="宋体" w:eastAsia="宋体" w:cs="宋体"/>
                <w:color w:val="000000"/>
                <w:sz w:val="20"/>
                <w:szCs w:val="24"/>
                <w:highlight w:val="none"/>
              </w:rPr>
              <w:t>600</w:t>
            </w:r>
            <w:r>
              <w:rPr>
                <w:rFonts w:hint="eastAsia" w:ascii="宋体" w:hAnsi="宋体" w:eastAsia="宋体" w:cs="宋体"/>
                <w:color w:val="000000"/>
                <w:sz w:val="20"/>
                <w:szCs w:val="24"/>
                <w:highlight w:val="none"/>
                <w:lang w:val="en-US" w:eastAsia="zh-CN"/>
              </w:rPr>
              <w:t>5</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656" w:type="dxa"/>
            <w:shd w:val="clear" w:color="auto" w:fill="auto"/>
            <w:noWrap/>
            <w:vAlign w:val="center"/>
          </w:tcPr>
          <w:p>
            <w:pPr>
              <w:keepNext w:val="0"/>
              <w:keepLines w:val="0"/>
              <w:widowControl w:val="0"/>
              <w:suppressLineNumbers w:val="0"/>
              <w:spacing w:before="0" w:beforeLines="0" w:beforeAutospacing="0" w:after="0" w:afterLines="0" w:afterAutospacing="0"/>
              <w:ind w:left="0" w:leftChars="0" w:right="0" w:rightChars="0"/>
              <w:jc w:val="center"/>
              <w:rPr>
                <w:rFonts w:hint="default" w:ascii="宋体" w:hAnsi="宋体" w:eastAsia="宋体" w:cs="宋体"/>
                <w:b w:val="0"/>
                <w:bCs w:val="0"/>
                <w:color w:val="000000"/>
                <w:kern w:val="2"/>
                <w:sz w:val="21"/>
                <w:szCs w:val="21"/>
                <w:highlight w:val="none"/>
                <w:lang w:val="en-US" w:eastAsia="zh-CN" w:bidi="ar"/>
              </w:rPr>
            </w:pPr>
            <w:r>
              <w:rPr>
                <w:rFonts w:hint="eastAsia" w:ascii="宋体" w:hAnsi="宋体" w:eastAsia="宋体" w:cs="宋体"/>
                <w:b w:val="0"/>
                <w:bCs w:val="0"/>
                <w:color w:val="000000"/>
                <w:kern w:val="2"/>
                <w:sz w:val="21"/>
                <w:szCs w:val="21"/>
                <w:highlight w:val="none"/>
                <w:lang w:val="en-US" w:eastAsia="zh-CN" w:bidi="ar"/>
              </w:rPr>
              <w:t>17</w:t>
            </w:r>
          </w:p>
        </w:tc>
        <w:tc>
          <w:tcPr>
            <w:tcW w:w="1093" w:type="dxa"/>
            <w:vMerge w:val="continue"/>
            <w:shd w:val="clear" w:color="auto" w:fill="auto"/>
            <w:noWrap w:val="0"/>
            <w:vAlign w:val="center"/>
          </w:tcPr>
          <w:p>
            <w:pPr>
              <w:widowControl/>
              <w:jc w:val="center"/>
              <w:rPr>
                <w:rFonts w:hint="eastAsia" w:ascii="宋体" w:hAnsi="宋体" w:eastAsia="宋体" w:cs="宋体"/>
                <w:b w:val="0"/>
                <w:bCs w:val="0"/>
                <w:color w:val="000000"/>
                <w:sz w:val="21"/>
                <w:szCs w:val="21"/>
                <w:highlight w:val="none"/>
              </w:rPr>
            </w:pPr>
          </w:p>
        </w:tc>
        <w:tc>
          <w:tcPr>
            <w:tcW w:w="2431" w:type="dxa"/>
            <w:shd w:val="solid" w:color="FFFFFF" w:fill="auto"/>
            <w:noWrap w:val="0"/>
            <w:vAlign w:val="center"/>
          </w:tcPr>
          <w:p>
            <w:pPr>
              <w:spacing w:beforeLines="0" w:afterLines="0"/>
              <w:jc w:val="center"/>
              <w:rPr>
                <w:rFonts w:hint="eastAsia" w:ascii="宋体" w:hAnsi="宋体" w:eastAsia="宋体" w:cs="宋体"/>
                <w:highlight w:val="none"/>
              </w:rPr>
            </w:pPr>
            <w:r>
              <w:rPr>
                <w:rFonts w:hint="eastAsia" w:ascii="宋体" w:hAnsi="宋体" w:eastAsia="宋体" w:cs="宋体"/>
                <w:color w:val="000000"/>
                <w:sz w:val="20"/>
                <w:szCs w:val="24"/>
                <w:highlight w:val="none"/>
              </w:rPr>
              <w:t>气泡混合轻质土</w:t>
            </w:r>
          </w:p>
        </w:tc>
        <w:tc>
          <w:tcPr>
            <w:tcW w:w="1090" w:type="dxa"/>
            <w:vMerge w:val="continue"/>
            <w:noWrap w:val="0"/>
            <w:vAlign w:val="center"/>
          </w:tcPr>
          <w:p>
            <w:pPr>
              <w:spacing w:beforeLines="0" w:afterLines="0"/>
              <w:jc w:val="center"/>
              <w:rPr>
                <w:rFonts w:hint="eastAsia" w:ascii="宋体" w:hAnsi="宋体" w:eastAsia="宋体" w:cs="宋体"/>
                <w:color w:val="000000"/>
                <w:sz w:val="20"/>
                <w:szCs w:val="24"/>
                <w:highlight w:val="none"/>
              </w:rPr>
            </w:pPr>
          </w:p>
        </w:tc>
        <w:tc>
          <w:tcPr>
            <w:tcW w:w="1944" w:type="dxa"/>
            <w:noWrap w:val="0"/>
            <w:vAlign w:val="center"/>
          </w:tcPr>
          <w:p>
            <w:pPr>
              <w:spacing w:beforeLines="0" w:afterLines="0"/>
              <w:jc w:val="center"/>
              <w:rPr>
                <w:rFonts w:hint="eastAsia" w:ascii="宋体" w:hAnsi="宋体" w:eastAsia="宋体" w:cs="宋体"/>
                <w:color w:val="000000"/>
                <w:sz w:val="20"/>
                <w:szCs w:val="24"/>
                <w:highlight w:val="none"/>
              </w:rPr>
            </w:pPr>
            <w:r>
              <w:rPr>
                <w:rFonts w:hint="eastAsia" w:ascii="宋体" w:hAnsi="宋体" w:eastAsia="宋体" w:cs="宋体"/>
                <w:color w:val="000000"/>
                <w:sz w:val="20"/>
                <w:szCs w:val="24"/>
                <w:highlight w:val="none"/>
              </w:rPr>
              <w:t>/</w:t>
            </w:r>
          </w:p>
        </w:tc>
        <w:tc>
          <w:tcPr>
            <w:tcW w:w="1358" w:type="dxa"/>
            <w:noWrap/>
            <w:vAlign w:val="center"/>
          </w:tcPr>
          <w:p>
            <w:pPr>
              <w:spacing w:beforeLines="0" w:afterLines="0"/>
              <w:jc w:val="center"/>
              <w:rPr>
                <w:rFonts w:hint="eastAsia" w:ascii="宋体" w:hAnsi="宋体" w:eastAsia="宋体" w:cs="宋体"/>
                <w:color w:val="000000"/>
                <w:sz w:val="20"/>
                <w:szCs w:val="24"/>
                <w:highlight w:val="none"/>
                <w:lang w:val="en-US" w:eastAsia="zh-CN"/>
              </w:rPr>
            </w:pPr>
            <w:r>
              <w:rPr>
                <w:rFonts w:hint="eastAsia" w:ascii="宋体" w:hAnsi="宋体" w:eastAsia="宋体" w:cs="宋体"/>
                <w:color w:val="000000"/>
                <w:kern w:val="2"/>
                <w:sz w:val="20"/>
                <w:szCs w:val="24"/>
                <w:highlight w:val="none"/>
                <w:lang w:val="en-US" w:eastAsia="zh-CN" w:bidi="ar-SA"/>
              </w:rPr>
              <w:t>立方</w:t>
            </w:r>
          </w:p>
        </w:tc>
        <w:tc>
          <w:tcPr>
            <w:tcW w:w="1315" w:type="dxa"/>
            <w:noWrap/>
            <w:vAlign w:val="center"/>
          </w:tcPr>
          <w:p>
            <w:pPr>
              <w:spacing w:beforeLines="0" w:afterLines="0"/>
              <w:jc w:val="center"/>
              <w:rPr>
                <w:rFonts w:hint="eastAsia" w:ascii="宋体" w:hAnsi="宋体" w:eastAsia="宋体" w:cs="宋体"/>
                <w:color w:val="000000"/>
                <w:sz w:val="20"/>
                <w:szCs w:val="24"/>
                <w:highlight w:val="none"/>
                <w:lang w:eastAsia="zh-CN"/>
              </w:rPr>
            </w:pPr>
            <w:r>
              <w:rPr>
                <w:rFonts w:hint="eastAsia" w:ascii="宋体" w:hAnsi="宋体" w:eastAsia="宋体" w:cs="宋体"/>
                <w:color w:val="000000"/>
                <w:sz w:val="20"/>
                <w:szCs w:val="24"/>
                <w:highlight w:val="none"/>
              </w:rPr>
              <w:t>16039</w:t>
            </w:r>
            <w:r>
              <w:rPr>
                <w:rFonts w:hint="eastAsia" w:ascii="宋体" w:hAnsi="宋体" w:eastAsia="宋体" w:cs="宋体"/>
                <w:color w:val="000000"/>
                <w:sz w:val="20"/>
                <w:szCs w:val="24"/>
                <w:highlight w:val="none"/>
                <w:lang w:val="en-US" w:eastAsia="zh-CN"/>
              </w:rPr>
              <w:t>6</w:t>
            </w:r>
          </w:p>
        </w:tc>
        <w:tc>
          <w:tcPr>
            <w:tcW w:w="1416"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vMerge w:val="continue"/>
            <w:noWrap w:val="0"/>
            <w:vAlign w:val="center"/>
          </w:tcPr>
          <w:p>
            <w:pPr>
              <w:widowControl/>
              <w:jc w:val="center"/>
              <w:rPr>
                <w:rFonts w:hint="eastAsia" w:ascii="宋体" w:hAnsi="宋体" w:eastAsia="宋体" w:cs="宋体"/>
                <w:b w:val="0"/>
                <w:bCs w:val="0"/>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8572" w:type="dxa"/>
            <w:gridSpan w:val="6"/>
            <w:noWrap/>
            <w:vAlign w:val="center"/>
          </w:tcPr>
          <w:p>
            <w:pPr>
              <w:spacing w:beforeLines="0" w:afterLines="0"/>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合计</w:t>
            </w:r>
          </w:p>
        </w:tc>
        <w:tc>
          <w:tcPr>
            <w:tcW w:w="1315" w:type="dxa"/>
            <w:noWrap/>
            <w:vAlign w:val="center"/>
          </w:tcPr>
          <w:p>
            <w:pPr>
              <w:spacing w:beforeLines="0" w:afterLines="0"/>
              <w:jc w:val="center"/>
              <w:rPr>
                <w:rFonts w:hint="eastAsia" w:ascii="宋体" w:hAnsi="宋体" w:eastAsia="宋体" w:cs="宋体"/>
                <w:color w:val="000000"/>
                <w:sz w:val="21"/>
                <w:szCs w:val="21"/>
                <w:highlight w:val="none"/>
              </w:rPr>
            </w:pPr>
          </w:p>
        </w:tc>
        <w:tc>
          <w:tcPr>
            <w:tcW w:w="1416" w:type="dxa"/>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785" w:type="dxa"/>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1300" w:type="dxa"/>
            <w:noWrap w:val="0"/>
            <w:vAlign w:val="center"/>
          </w:tcPr>
          <w:p>
            <w:pPr>
              <w:widowControl/>
              <w:jc w:val="center"/>
              <w:rPr>
                <w:rFonts w:hint="eastAsia" w:ascii="宋体" w:hAnsi="宋体" w:eastAsia="宋体" w:cs="宋体"/>
                <w:b w:val="0"/>
                <w:bCs w:val="0"/>
                <w:color w:val="000000"/>
                <w:kern w:val="0"/>
                <w:sz w:val="21"/>
                <w:szCs w:val="21"/>
                <w:highlight w:val="none"/>
              </w:rPr>
            </w:pPr>
          </w:p>
        </w:tc>
        <w:tc>
          <w:tcPr>
            <w:tcW w:w="967" w:type="dxa"/>
            <w:noWrap w:val="0"/>
            <w:vAlign w:val="center"/>
          </w:tcPr>
          <w:p>
            <w:pPr>
              <w:widowControl/>
              <w:jc w:val="center"/>
              <w:rPr>
                <w:rFonts w:hint="eastAsia" w:ascii="宋体" w:hAnsi="宋体" w:eastAsia="宋体" w:cs="宋体"/>
                <w:b w:val="0"/>
                <w:bCs w:val="0"/>
                <w:color w:val="000000"/>
                <w:kern w:val="0"/>
                <w:sz w:val="21"/>
                <w:szCs w:val="21"/>
                <w:highlight w:val="none"/>
              </w:rPr>
            </w:pPr>
          </w:p>
        </w:tc>
      </w:tr>
    </w:tbl>
    <w:p>
      <w:pPr>
        <w:adjustRightInd w:val="0"/>
        <w:snapToGrid w:val="0"/>
        <w:spacing w:line="360" w:lineRule="auto"/>
        <w:ind w:firstLine="495" w:firstLineChars="236"/>
        <w:rPr>
          <w:rFonts w:hint="eastAsia" w:ascii="宋体" w:hAnsi="宋体" w:cs="仿宋_GB2312"/>
          <w:szCs w:val="21"/>
          <w:highlight w:val="none"/>
        </w:rPr>
      </w:pPr>
      <w:r>
        <w:rPr>
          <w:rFonts w:hint="eastAsia" w:ascii="宋体" w:hAnsi="宋体" w:cs="仿宋_GB2312"/>
          <w:szCs w:val="21"/>
          <w:highlight w:val="none"/>
        </w:rPr>
        <w:t xml:space="preserve">注： </w:t>
      </w:r>
    </w:p>
    <w:p>
      <w:pPr>
        <w:adjustRightInd w:val="0"/>
        <w:snapToGrid w:val="0"/>
        <w:spacing w:line="360" w:lineRule="auto"/>
        <w:ind w:firstLine="420" w:firstLineChars="200"/>
        <w:rPr>
          <w:rFonts w:hint="eastAsia" w:ascii="宋体" w:hAnsi="宋体" w:cs="仿宋_GB2312"/>
          <w:szCs w:val="21"/>
          <w:highlight w:val="none"/>
        </w:rPr>
      </w:pPr>
      <w:r>
        <w:rPr>
          <w:rFonts w:hint="eastAsia" w:ascii="宋体" w:hAnsi="宋体" w:cs="仿宋_GB2312"/>
          <w:szCs w:val="21"/>
          <w:highlight w:val="none"/>
        </w:rPr>
        <w:t>1.交货时间及地点具体以使用单位的书面通知为准，具体规格型号、数量与电商平台不一致的，以招标文件为准。</w:t>
      </w:r>
    </w:p>
    <w:p>
      <w:pPr>
        <w:adjustRightInd w:val="0"/>
        <w:snapToGrid w:val="0"/>
        <w:spacing w:line="360" w:lineRule="auto"/>
        <w:ind w:firstLine="420" w:firstLineChars="200"/>
        <w:rPr>
          <w:rFonts w:hint="eastAsia" w:ascii="宋体" w:hAnsi="宋体"/>
          <w:szCs w:val="21"/>
          <w:highlight w:val="none"/>
          <w:lang w:val="en-US" w:eastAsia="zh-CN"/>
        </w:rPr>
      </w:pPr>
      <w:r>
        <w:rPr>
          <w:rFonts w:hint="eastAsia" w:ascii="宋体" w:hAnsi="宋体" w:cs="仿宋_GB2312"/>
          <w:szCs w:val="21"/>
          <w:highlight w:val="none"/>
        </w:rPr>
        <w:t>2.</w:t>
      </w:r>
      <w:r>
        <w:rPr>
          <w:rFonts w:hint="eastAsia" w:ascii="宋体" w:hAnsi="宋体"/>
          <w:szCs w:val="21"/>
          <w:highlight w:val="none"/>
        </w:rPr>
        <w:t xml:space="preserve"> </w:t>
      </w:r>
      <w:r>
        <w:rPr>
          <w:rFonts w:hint="eastAsia" w:ascii="宋体" w:hAnsi="宋体"/>
          <w:szCs w:val="21"/>
          <w:highlight w:val="none"/>
          <w:lang w:val="en-US" w:eastAsia="zh-CN"/>
        </w:rPr>
        <w:t>混凝土、干混砂浆、水泥及钢材执行浮动单价结算，透水混凝土及轻质土执行固定单价结算。</w:t>
      </w:r>
      <w:r>
        <w:rPr>
          <w:rFonts w:hint="eastAsia" w:ascii="宋体" w:hAnsi="宋体" w:eastAsia="宋体" w:cs="仿宋_GB2312"/>
          <w:szCs w:val="21"/>
          <w:highlight w:val="none"/>
          <w:lang w:val="en-US" w:eastAsia="zh-CN"/>
        </w:rPr>
        <w:t>结</w:t>
      </w:r>
      <w:r>
        <w:rPr>
          <w:rFonts w:hint="eastAsia" w:ascii="宋体" w:hAnsi="宋体" w:eastAsia="宋体" w:cs="仿宋_GB2312"/>
          <w:szCs w:val="21"/>
          <w:highlight w:val="none"/>
        </w:rPr>
        <w:t>算价格为乙方将货物运送至甲方指定地点</w:t>
      </w:r>
      <w:r>
        <w:rPr>
          <w:rFonts w:hint="eastAsia" w:ascii="宋体" w:hAnsi="宋体" w:eastAsia="宋体" w:cs="仿宋_GB2312"/>
          <w:szCs w:val="21"/>
          <w:highlight w:val="none"/>
          <w:lang w:val="en-US" w:eastAsia="zh-CN"/>
        </w:rPr>
        <w:t>包卸货的</w:t>
      </w:r>
      <w:r>
        <w:rPr>
          <w:rFonts w:hint="eastAsia" w:ascii="宋体" w:hAnsi="宋体" w:eastAsia="宋体" w:cs="仿宋_GB2312"/>
          <w:szCs w:val="21"/>
          <w:highlight w:val="none"/>
        </w:rPr>
        <w:t>综合价格，包含乙方成本、运输、装卸、检测、</w:t>
      </w:r>
      <w:r>
        <w:rPr>
          <w:rFonts w:hint="eastAsia" w:ascii="宋体" w:hAnsi="宋体" w:eastAsia="宋体" w:cs="仿宋_GB2312"/>
          <w:szCs w:val="21"/>
          <w:highlight w:val="none"/>
          <w:lang w:val="en-US" w:eastAsia="zh-CN"/>
        </w:rPr>
        <w:t>合理利润及</w:t>
      </w:r>
      <w:r>
        <w:rPr>
          <w:rFonts w:hint="eastAsia" w:ascii="宋体" w:hAnsi="宋体" w:eastAsia="宋体" w:cs="仿宋_GB2312"/>
          <w:szCs w:val="21"/>
          <w:highlight w:val="none"/>
        </w:rPr>
        <w:t>售后服务等为履行本合同义务所需的一切费用及承担的风险，甲方不再另行支付其他费用。</w:t>
      </w:r>
      <w:r>
        <w:rPr>
          <w:rFonts w:hint="eastAsia" w:ascii="宋体" w:hAnsi="宋体"/>
          <w:szCs w:val="21"/>
          <w:highlight w:val="none"/>
        </w:rPr>
        <w:t xml:space="preserve"> </w:t>
      </w:r>
      <w:r>
        <w:rPr>
          <w:rFonts w:hint="eastAsia" w:ascii="宋体" w:hAnsi="宋体"/>
          <w:szCs w:val="21"/>
          <w:highlight w:val="none"/>
          <w:lang w:val="en-US" w:eastAsia="zh-CN"/>
        </w:rPr>
        <w:t>混凝土、干混砂浆、水泥及钢材价格 调整方式如下：</w:t>
      </w:r>
    </w:p>
    <w:p>
      <w:pPr>
        <w:adjustRightInd w:val="0"/>
        <w:snapToGrid w:val="0"/>
        <w:spacing w:line="360" w:lineRule="auto"/>
        <w:ind w:firstLine="420" w:firstLineChars="200"/>
        <w:rPr>
          <w:rFonts w:hint="eastAsia" w:ascii="宋体" w:hAnsi="宋体" w:eastAsia="宋体" w:cs="宋体"/>
          <w:b/>
          <w:bCs/>
          <w:szCs w:val="21"/>
          <w:highlight w:val="none"/>
          <w:lang w:val="en-US" w:eastAsia="zh-CN"/>
        </w:rPr>
      </w:pPr>
      <w:r>
        <w:rPr>
          <w:rFonts w:hint="default" w:ascii="宋体" w:hAnsi="宋体" w:eastAsia="宋体" w:cs="宋体"/>
          <w:b/>
          <w:bCs/>
          <w:szCs w:val="21"/>
          <w:highlight w:val="none"/>
          <w:lang w:eastAsia="zh-CN"/>
        </w:rPr>
        <w:t>①</w:t>
      </w:r>
      <w:r>
        <w:rPr>
          <w:rFonts w:hint="eastAsia" w:ascii="宋体" w:hAnsi="宋体" w:eastAsia="宋体" w:cs="宋体"/>
          <w:b/>
          <w:bCs/>
          <w:szCs w:val="21"/>
          <w:highlight w:val="none"/>
          <w:lang w:val="en-US" w:eastAsia="zh-CN"/>
        </w:rPr>
        <w:t>混凝土及干混砂浆：</w:t>
      </w:r>
    </w:p>
    <w:p>
      <w:pPr>
        <w:adjustRightInd w:val="0"/>
        <w:snapToGrid w:val="0"/>
        <w:spacing w:line="360" w:lineRule="auto"/>
        <w:ind w:firstLine="420" w:firstLineChars="200"/>
        <w:rPr>
          <w:rFonts w:hint="default" w:ascii="宋体" w:hAnsi="宋体" w:eastAsia="宋体" w:cs="宋体"/>
          <w:b w:val="0"/>
          <w:bCs w:val="0"/>
          <w:szCs w:val="21"/>
          <w:highlight w:val="none"/>
          <w:lang w:val="en-US" w:eastAsia="zh-CN"/>
        </w:rPr>
      </w:pPr>
      <w:r>
        <w:rPr>
          <w:rFonts w:hint="eastAsia" w:ascii="宋体" w:hAnsi="宋体" w:eastAsia="宋体" w:cs="宋体"/>
          <w:b w:val="0"/>
          <w:bCs w:val="0"/>
          <w:szCs w:val="21"/>
          <w:highlight w:val="none"/>
          <w:lang w:val="en-US" w:eastAsia="zh-CN"/>
        </w:rPr>
        <w:t>以供应月当期广州市建设工程造价管理站发布的广州市建设工程价格信息同强度等级标号混凝土税前综合价格“区间值均价”下浮</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%加</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%税作为相应材料结算价格。</w:t>
      </w:r>
    </w:p>
    <w:p>
      <w:pPr>
        <w:adjustRightInd w:val="0"/>
        <w:snapToGrid w:val="0"/>
        <w:spacing w:line="360" w:lineRule="auto"/>
        <w:ind w:firstLine="420" w:firstLineChars="200"/>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②水泥：</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结算单价=网价+综合单价</w:t>
      </w:r>
      <w:r>
        <w:rPr>
          <w:rFonts w:ascii="宋体" w:hAnsi="宋体"/>
          <w:szCs w:val="21"/>
          <w:highlight w:val="none"/>
        </w:rPr>
        <w:t>X</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投标单价与结算单价关系的重点说明：</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虚拟网价：为便于计算总报价，招标人统一设定</w:t>
      </w:r>
      <w:r>
        <w:rPr>
          <w:rFonts w:hint="eastAsia" w:ascii="宋体" w:hAnsi="宋体"/>
          <w:b/>
          <w:bCs/>
          <w:szCs w:val="21"/>
          <w:highlight w:val="none"/>
        </w:rPr>
        <w:t>含税</w:t>
      </w:r>
      <w:r>
        <w:rPr>
          <w:rFonts w:hint="eastAsia" w:ascii="宋体" w:hAnsi="宋体"/>
          <w:b/>
          <w:szCs w:val="21"/>
          <w:highlight w:val="none"/>
        </w:rPr>
        <w:t>虚拟网价为3</w:t>
      </w:r>
      <w:r>
        <w:rPr>
          <w:rFonts w:hint="eastAsia" w:ascii="宋体" w:hAnsi="宋体"/>
          <w:b/>
          <w:szCs w:val="21"/>
          <w:highlight w:val="none"/>
          <w:lang w:val="en-US" w:eastAsia="zh-CN"/>
        </w:rPr>
        <w:t>55</w:t>
      </w:r>
      <w:r>
        <w:rPr>
          <w:rFonts w:hint="eastAsia" w:ascii="宋体" w:hAnsi="宋体"/>
          <w:b/>
          <w:szCs w:val="21"/>
          <w:highlight w:val="none"/>
        </w:rPr>
        <w:t>元/吨，</w:t>
      </w:r>
      <w:r>
        <w:rPr>
          <w:rFonts w:hint="eastAsia" w:ascii="宋体" w:hAnsi="宋体"/>
          <w:szCs w:val="21"/>
          <w:highlight w:val="none"/>
        </w:rPr>
        <w:t>虚拟网价仅作为投标报价表合计总价的计算依据，不作为将来中标后的合同结算依据。</w:t>
      </w:r>
    </w:p>
    <w:p>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X值：是指投标人根据网价，核定除网价外的出库费、综合运杂费、投标人让利等其他费用。</w:t>
      </w:r>
      <w:r>
        <w:rPr>
          <w:rFonts w:hint="eastAsia" w:ascii="宋体" w:hAnsi="宋体"/>
          <w:b/>
          <w:szCs w:val="21"/>
          <w:highlight w:val="none"/>
        </w:rPr>
        <w:t>X可以为正值、可以为0、也可以为负值，要求X在同一包件中报价为唯一固定值，不同品种、不同类型、不同规格的</w:t>
      </w:r>
      <w:r>
        <w:rPr>
          <w:rFonts w:hint="eastAsia" w:ascii="宋体" w:hAnsi="宋体"/>
          <w:b/>
          <w:szCs w:val="21"/>
          <w:highlight w:val="none"/>
          <w:lang w:val="en-US" w:eastAsia="zh-CN"/>
        </w:rPr>
        <w:t>水泥</w:t>
      </w:r>
      <w:r>
        <w:rPr>
          <w:rFonts w:hint="eastAsia" w:ascii="宋体" w:hAnsi="宋体"/>
          <w:b/>
          <w:szCs w:val="21"/>
          <w:highlight w:val="none"/>
        </w:rPr>
        <w:t>在本报价中为一个固定值，X值在合同履约过程中保持不变。</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网价的核定方法：</w:t>
      </w:r>
      <w:r>
        <w:rPr>
          <w:rFonts w:hint="eastAsia" w:ascii="宋体" w:hAnsi="宋体"/>
          <w:szCs w:val="21"/>
          <w:highlight w:val="none"/>
          <w:lang w:eastAsia="zh-CN"/>
        </w:rPr>
        <w:t>以</w:t>
      </w:r>
      <w:r>
        <w:rPr>
          <w:rFonts w:hint="eastAsia" w:ascii="宋体" w:hAnsi="宋体"/>
          <w:szCs w:val="21"/>
          <w:highlight w:val="none"/>
          <w:lang w:val="en-US" w:eastAsia="zh-CN"/>
        </w:rPr>
        <w:t>供应</w:t>
      </w:r>
      <w:r>
        <w:rPr>
          <w:rFonts w:hint="eastAsia" w:ascii="宋体" w:hAnsi="宋体"/>
          <w:szCs w:val="21"/>
          <w:highlight w:val="none"/>
          <w:lang w:eastAsia="zh-CN"/>
        </w:rPr>
        <w:t>当月“数字水泥网”全国水泥市场价格汇总表P.O42.5散装水泥的市场到位价广州地区上旬和下旬平均价</w:t>
      </w:r>
      <w:r>
        <w:rPr>
          <w:rFonts w:hint="eastAsia" w:ascii="宋体" w:hAnsi="宋体"/>
          <w:szCs w:val="21"/>
          <w:highlight w:val="none"/>
          <w:lang w:val="en-US" w:eastAsia="zh-CN"/>
        </w:rPr>
        <w:t>为对应采购水泥的结算网价</w:t>
      </w:r>
      <w:r>
        <w:rPr>
          <w:rFonts w:hint="eastAsia" w:ascii="宋体" w:hAnsi="宋体"/>
          <w:szCs w:val="21"/>
          <w:highlight w:val="none"/>
        </w:rPr>
        <w:t>。</w:t>
      </w:r>
    </w:p>
    <w:p>
      <w:pPr>
        <w:adjustRightInd w:val="0"/>
        <w:snapToGrid w:val="0"/>
        <w:spacing w:line="360" w:lineRule="auto"/>
        <w:ind w:firstLine="420" w:firstLineChars="200"/>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③钢材：</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结算单价=网价+综合单价</w:t>
      </w:r>
      <w:r>
        <w:rPr>
          <w:rFonts w:ascii="宋体" w:hAnsi="宋体"/>
          <w:szCs w:val="21"/>
          <w:highlight w:val="none"/>
        </w:rPr>
        <w:t>X</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投标单价与结算单价关系的重点说明：</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虚拟网价：为便于计算总报价，招标人统一设定</w:t>
      </w:r>
      <w:r>
        <w:rPr>
          <w:rFonts w:hint="eastAsia" w:ascii="宋体" w:hAnsi="宋体"/>
          <w:b/>
          <w:bCs/>
          <w:szCs w:val="21"/>
          <w:highlight w:val="none"/>
        </w:rPr>
        <w:t>含税</w:t>
      </w:r>
      <w:r>
        <w:rPr>
          <w:rFonts w:hint="eastAsia" w:ascii="宋体" w:hAnsi="宋体"/>
          <w:b/>
          <w:szCs w:val="21"/>
          <w:highlight w:val="none"/>
        </w:rPr>
        <w:t>虚拟网价为3</w:t>
      </w:r>
      <w:r>
        <w:rPr>
          <w:rFonts w:hint="eastAsia" w:ascii="宋体" w:hAnsi="宋体"/>
          <w:b/>
          <w:szCs w:val="21"/>
          <w:highlight w:val="none"/>
          <w:lang w:val="en-US" w:eastAsia="zh-CN"/>
        </w:rPr>
        <w:t>5</w:t>
      </w:r>
      <w:r>
        <w:rPr>
          <w:rFonts w:hint="eastAsia" w:ascii="宋体" w:hAnsi="宋体"/>
          <w:b/>
          <w:szCs w:val="21"/>
          <w:highlight w:val="none"/>
        </w:rPr>
        <w:t>00元/吨，</w:t>
      </w:r>
      <w:r>
        <w:rPr>
          <w:rFonts w:hint="eastAsia" w:ascii="宋体" w:hAnsi="宋体"/>
          <w:szCs w:val="21"/>
          <w:highlight w:val="none"/>
        </w:rPr>
        <w:t>虚拟网价仅作为投标报价表合计总价的计算依据，不作为将来中标后的合同结算依据。</w:t>
      </w:r>
    </w:p>
    <w:p>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X值：是指投标人根据网价，核定除网价外的出库费、综合运杂费、投标人让利等其他费用。</w:t>
      </w:r>
      <w:r>
        <w:rPr>
          <w:rFonts w:hint="eastAsia" w:ascii="宋体" w:hAnsi="宋体"/>
          <w:b/>
          <w:szCs w:val="21"/>
          <w:highlight w:val="none"/>
        </w:rPr>
        <w:t>X可以为正值、可以为0、也可以为负值，要求X在同一包件中报价为唯一固定值，不同品种、不同类型、不同规格的钢材在本报价中为一个固定值，X值在合同履约过程中保持不变。</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网价的核定方法：在供应期（上月2</w:t>
      </w:r>
      <w:r>
        <w:rPr>
          <w:rFonts w:ascii="宋体" w:hAnsi="宋体"/>
          <w:szCs w:val="21"/>
          <w:highlight w:val="none"/>
        </w:rPr>
        <w:t>1</w:t>
      </w:r>
      <w:r>
        <w:rPr>
          <w:rFonts w:hint="eastAsia" w:ascii="宋体" w:hAnsi="宋体"/>
          <w:szCs w:val="21"/>
          <w:highlight w:val="none"/>
        </w:rPr>
        <w:t>日至本月2</w:t>
      </w:r>
      <w:r>
        <w:rPr>
          <w:rFonts w:ascii="宋体" w:hAnsi="宋体"/>
          <w:szCs w:val="21"/>
          <w:highlight w:val="none"/>
        </w:rPr>
        <w:t>0</w:t>
      </w:r>
      <w:r>
        <w:rPr>
          <w:rFonts w:hint="eastAsia" w:ascii="宋体" w:hAnsi="宋体"/>
          <w:szCs w:val="21"/>
          <w:highlight w:val="none"/>
        </w:rPr>
        <w:t>日）内，以货到当日《我的钢铁网》（</w:t>
      </w:r>
      <w:r>
        <w:rPr>
          <w:rFonts w:ascii="宋体" w:hAnsi="宋体"/>
          <w:szCs w:val="21"/>
          <w:highlight w:val="none"/>
        </w:rPr>
        <w:t>www.mysteel.com</w:t>
      </w:r>
      <w:r>
        <w:rPr>
          <w:rFonts w:hint="eastAsia" w:ascii="宋体" w:hAnsi="宋体"/>
          <w:szCs w:val="21"/>
          <w:highlight w:val="none"/>
        </w:rPr>
        <w:t>）</w:t>
      </w:r>
      <w:r>
        <w:rPr>
          <w:rFonts w:hint="eastAsia" w:ascii="宋体" w:hAnsi="宋体"/>
          <w:szCs w:val="21"/>
          <w:highlight w:val="none"/>
          <w:lang w:val="en-US" w:eastAsia="zh-CN"/>
        </w:rPr>
        <w:t>广州</w:t>
      </w:r>
      <w:r>
        <w:rPr>
          <w:rFonts w:hint="eastAsia" w:ascii="宋体" w:hAnsi="宋体"/>
          <w:szCs w:val="21"/>
          <w:highlight w:val="none"/>
        </w:rPr>
        <w:t>建筑钢材价格行情公布的同品牌同规格型号网价为采购物资的网价，</w:t>
      </w:r>
      <w:r>
        <w:rPr>
          <w:rFonts w:hint="eastAsia" w:ascii="宋体" w:hAnsi="宋体" w:eastAsia="宋体" w:cs="仿宋_GB2312"/>
          <w:szCs w:val="21"/>
          <w:highlight w:val="none"/>
        </w:rPr>
        <w:t>备注栏有价格的执行备注栏价格</w:t>
      </w:r>
      <w:r>
        <w:rPr>
          <w:rFonts w:hint="eastAsia" w:ascii="宋体" w:hAnsi="宋体"/>
          <w:szCs w:val="21"/>
          <w:highlight w:val="none"/>
        </w:rPr>
        <w:t>。</w:t>
      </w:r>
    </w:p>
    <w:p>
      <w:pPr>
        <w:adjustRightInd w:val="0"/>
        <w:snapToGrid w:val="0"/>
        <w:spacing w:line="360" w:lineRule="auto"/>
        <w:ind w:firstLine="420" w:firstLineChars="200"/>
        <w:rPr>
          <w:rFonts w:ascii="宋体" w:hAnsi="宋体"/>
          <w:szCs w:val="21"/>
          <w:highlight w:val="none"/>
        </w:rPr>
      </w:pPr>
      <w:r>
        <w:rPr>
          <w:rFonts w:ascii="宋体" w:hAnsi="宋体"/>
          <w:szCs w:val="21"/>
          <w:highlight w:val="none"/>
        </w:rPr>
        <w:t>A.</w:t>
      </w:r>
      <w:r>
        <w:rPr>
          <w:rFonts w:hint="eastAsia" w:ascii="宋体" w:hAnsi="宋体"/>
          <w:szCs w:val="21"/>
          <w:highlight w:val="none"/>
        </w:rPr>
        <w:t>若货到当日《我的钢铁网》公布多次价格的，则取</w:t>
      </w:r>
      <w:r>
        <w:rPr>
          <w:rFonts w:hint="eastAsia" w:ascii="宋体" w:hAnsi="宋体"/>
          <w:szCs w:val="21"/>
          <w:highlight w:val="none"/>
          <w:lang w:val="en-US" w:eastAsia="zh-CN"/>
        </w:rPr>
        <w:t>第一次公布的价格</w:t>
      </w:r>
      <w:r>
        <w:rPr>
          <w:rFonts w:hint="eastAsia" w:ascii="宋体" w:hAnsi="宋体"/>
          <w:szCs w:val="21"/>
          <w:highlight w:val="none"/>
        </w:rPr>
        <w:t>为采购</w:t>
      </w:r>
      <w:r>
        <w:rPr>
          <w:rFonts w:hint="eastAsia" w:ascii="宋体" w:hAnsi="宋体"/>
          <w:szCs w:val="21"/>
          <w:highlight w:val="none"/>
          <w:lang w:val="en-US" w:eastAsia="zh-CN"/>
        </w:rPr>
        <w:t>钢材对应的</w:t>
      </w:r>
      <w:r>
        <w:rPr>
          <w:rFonts w:hint="eastAsia" w:ascii="宋体" w:hAnsi="宋体"/>
          <w:szCs w:val="21"/>
          <w:highlight w:val="none"/>
        </w:rPr>
        <w:t>网价；</w:t>
      </w:r>
    </w:p>
    <w:p>
      <w:pPr>
        <w:adjustRightInd w:val="0"/>
        <w:snapToGrid w:val="0"/>
        <w:spacing w:line="360" w:lineRule="auto"/>
        <w:ind w:firstLine="420" w:firstLineChars="200"/>
        <w:rPr>
          <w:rFonts w:ascii="宋体" w:hAnsi="宋体"/>
          <w:szCs w:val="21"/>
          <w:highlight w:val="none"/>
        </w:rPr>
      </w:pPr>
      <w:r>
        <w:rPr>
          <w:rFonts w:ascii="宋体" w:hAnsi="宋体"/>
          <w:szCs w:val="21"/>
          <w:highlight w:val="none"/>
        </w:rPr>
        <w:t>B.</w:t>
      </w:r>
      <w:r>
        <w:rPr>
          <w:rFonts w:hint="eastAsia" w:ascii="宋体" w:hAnsi="宋体"/>
          <w:szCs w:val="21"/>
          <w:highlight w:val="none"/>
        </w:rPr>
        <w:t>若货到当日为周末或国家法定节假日，《我的钢铁网》未公布市场价格，则以放假后第一天公布的网价为采购物资网价；</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C.若收货当日取值钢厂部分型号网上没有公布价格的，网价首先按照最接近的小规格价格进行计算，若无小规格参照最接近大规格价格计算；</w:t>
      </w:r>
    </w:p>
    <w:p>
      <w:pPr>
        <w:adjustRightInd w:val="0"/>
        <w:snapToGrid w:val="0"/>
        <w:spacing w:line="360" w:lineRule="auto"/>
        <w:ind w:firstLine="420" w:firstLineChars="200"/>
        <w:rPr>
          <w:rFonts w:hint="eastAsia" w:ascii="宋体" w:hAnsi="宋体" w:eastAsia="宋体" w:cs="仿宋_GB2312"/>
          <w:szCs w:val="21"/>
          <w:highlight w:val="none"/>
          <w:lang w:eastAsia="zh-CN"/>
        </w:rPr>
      </w:pPr>
      <w:r>
        <w:rPr>
          <w:rFonts w:hint="eastAsia" w:ascii="宋体" w:hAnsi="宋体" w:cs="仿宋_GB2312"/>
          <w:szCs w:val="21"/>
          <w:highlight w:val="none"/>
        </w:rPr>
        <w:t>D.</w:t>
      </w:r>
      <w:r>
        <w:rPr>
          <w:rFonts w:hint="eastAsia" w:ascii="宋体" w:hAnsi="宋体" w:cs="仿宋_GB2312"/>
          <w:szCs w:val="21"/>
          <w:highlight w:val="none"/>
          <w:lang w:val="en-US" w:eastAsia="zh-CN"/>
        </w:rPr>
        <w:t>若所送钢材品牌网上未公示价格的</w:t>
      </w:r>
      <w:r>
        <w:rPr>
          <w:rFonts w:hint="eastAsia" w:ascii="宋体" w:hAnsi="宋体" w:eastAsia="宋体" w:cs="仿宋_GB2312"/>
          <w:szCs w:val="21"/>
          <w:highlight w:val="none"/>
        </w:rPr>
        <w:t>，参照韶钢、湘钢、珠海粤钢</w:t>
      </w:r>
      <w:r>
        <w:rPr>
          <w:rFonts w:hint="eastAsia" w:ascii="宋体" w:hAnsi="宋体" w:eastAsia="宋体" w:cs="仿宋_GB2312"/>
          <w:szCs w:val="21"/>
          <w:highlight w:val="none"/>
          <w:lang w:val="en-US" w:eastAsia="zh-CN"/>
        </w:rPr>
        <w:t>对应规格型号的</w:t>
      </w:r>
      <w:r>
        <w:rPr>
          <w:rFonts w:hint="eastAsia" w:ascii="宋体" w:hAnsi="宋体" w:eastAsia="宋体" w:cs="仿宋_GB2312"/>
          <w:szCs w:val="21"/>
          <w:highlight w:val="none"/>
        </w:rPr>
        <w:t>平均</w:t>
      </w:r>
      <w:r>
        <w:rPr>
          <w:rFonts w:hint="eastAsia" w:ascii="宋体" w:hAnsi="宋体" w:eastAsia="宋体" w:cs="仿宋_GB2312"/>
          <w:szCs w:val="21"/>
          <w:highlight w:val="none"/>
          <w:lang w:val="en-US" w:eastAsia="zh-CN"/>
        </w:rPr>
        <w:t>网价</w:t>
      </w:r>
      <w:r>
        <w:rPr>
          <w:rFonts w:hint="eastAsia" w:ascii="宋体" w:hAnsi="宋体" w:eastAsia="宋体" w:cs="仿宋_GB2312"/>
          <w:szCs w:val="21"/>
          <w:highlight w:val="none"/>
        </w:rPr>
        <w:t>。</w:t>
      </w:r>
    </w:p>
    <w:p>
      <w:pPr>
        <w:adjustRightInd w:val="0"/>
        <w:snapToGrid w:val="0"/>
        <w:spacing w:line="360" w:lineRule="auto"/>
        <w:ind w:firstLine="420" w:firstLineChars="200"/>
        <w:rPr>
          <w:rFonts w:ascii="宋体" w:hAnsi="宋体" w:cs="仿宋_GB2312"/>
          <w:szCs w:val="21"/>
          <w:highlight w:val="none"/>
        </w:rPr>
      </w:pPr>
      <w:r>
        <w:rPr>
          <w:rFonts w:hint="eastAsia" w:ascii="宋体" w:hAnsi="宋体" w:cs="仿宋_GB2312"/>
          <w:szCs w:val="21"/>
          <w:highlight w:val="none"/>
          <w:lang w:val="en-US" w:eastAsia="zh-CN"/>
        </w:rPr>
        <w:t>3</w:t>
      </w:r>
      <w:r>
        <w:rPr>
          <w:rFonts w:ascii="宋体" w:hAnsi="宋体" w:cs="仿宋_GB2312"/>
          <w:szCs w:val="21"/>
          <w:highlight w:val="none"/>
        </w:rPr>
        <w:t>.</w:t>
      </w:r>
      <w:r>
        <w:rPr>
          <w:rFonts w:hint="eastAsia" w:ascii="宋体" w:hAnsi="宋体" w:cs="仿宋_GB2312"/>
          <w:szCs w:val="21"/>
          <w:highlight w:val="none"/>
        </w:rPr>
        <w:t>付款条件：</w:t>
      </w:r>
    </w:p>
    <w:p>
      <w:pPr>
        <w:adjustRightInd w:val="0"/>
        <w:snapToGrid w:val="0"/>
        <w:spacing w:line="360" w:lineRule="auto"/>
        <w:ind w:firstLine="420" w:firstLineChars="200"/>
        <w:rPr>
          <w:rFonts w:hint="eastAsia" w:ascii="宋体" w:hAnsi="宋体" w:cs="仿宋_GB2312"/>
          <w:szCs w:val="21"/>
          <w:highlight w:val="none"/>
        </w:rPr>
      </w:pPr>
      <w:r>
        <w:rPr>
          <w:rFonts w:hint="eastAsia" w:ascii="宋体" w:hAnsi="宋体"/>
          <w:szCs w:val="21"/>
          <w:highlight w:val="none"/>
        </w:rPr>
        <w:t>先货后款：当月结算完成后，甲方在收到乙方开具的增值税专用发票后60日内，且收到业主支付当期工程款后，向乙方支付不高于当月结算金额的85%， 完成工程整体竣工结算评审且完成工程资料归档后最高支付比例提升至97%，甲方预留货款总价的3%作为质保金，在质保期满后1个月内无息支付，如发生纠纷，则延后至纠纷最终解决后30天内付清。质量保证金的支付并不免除乙方对交付货物质量的保证责任。如甲方出现资金困难，乙方同意给予3个月的付款宽限期。</w:t>
      </w:r>
    </w:p>
    <w:p>
      <w:pPr>
        <w:adjustRightInd w:val="0"/>
        <w:snapToGrid w:val="0"/>
        <w:spacing w:line="360" w:lineRule="auto"/>
        <w:ind w:firstLine="420" w:firstLineChars="200"/>
        <w:rPr>
          <w:rFonts w:ascii="宋体" w:hAnsi="宋体"/>
          <w:szCs w:val="21"/>
          <w:highlight w:val="none"/>
        </w:rPr>
      </w:pPr>
      <w:r>
        <w:rPr>
          <w:rFonts w:hint="eastAsia" w:ascii="宋体" w:hAnsi="宋体" w:cs="宋体"/>
          <w:color w:val="000000"/>
          <w:szCs w:val="21"/>
          <w:highlight w:val="none"/>
        </w:rPr>
        <w:t>支付方式：采用银行转账、信用证或供应链金融（包括但不限于商业承兑汇票、银行承兑汇票、建行E信通、以物抵债、邮储电子保理、应付账款反向保理等）方式支付</w:t>
      </w:r>
      <w:r>
        <w:rPr>
          <w:rFonts w:hint="eastAsia" w:ascii="宋体" w:hAnsi="宋体"/>
          <w:szCs w:val="21"/>
          <w:highlight w:val="none"/>
        </w:rPr>
        <w:t>。</w:t>
      </w:r>
    </w:p>
    <w:p>
      <w:pPr>
        <w:pStyle w:val="15"/>
        <w:spacing w:line="360" w:lineRule="auto"/>
        <w:ind w:firstLine="420"/>
        <w:rPr>
          <w:rFonts w:hint="eastAsia" w:ascii="宋体" w:hAnsi="宋体" w:cs="仿宋_GB2312"/>
          <w:highlight w:val="none"/>
        </w:rPr>
      </w:pPr>
      <w:r>
        <w:rPr>
          <w:rFonts w:ascii="宋体" w:hAnsi="宋体"/>
          <w:sz w:val="21"/>
          <w:szCs w:val="21"/>
          <w:highlight w:val="none"/>
        </w:rPr>
        <w:t>4.</w:t>
      </w:r>
      <w:r>
        <w:rPr>
          <w:rFonts w:hint="eastAsia" w:ascii="宋体" w:hAnsi="宋体"/>
          <w:sz w:val="21"/>
          <w:szCs w:val="21"/>
          <w:highlight w:val="none"/>
        </w:rPr>
        <w:t>发票要求：一票制，增值税专用发票</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5.为便于投标报价总价及单价审核，</w:t>
      </w:r>
      <w:r>
        <w:rPr>
          <w:rFonts w:hint="eastAsia" w:ascii="宋体" w:hAnsi="宋体"/>
          <w:szCs w:val="21"/>
          <w:highlight w:val="none"/>
          <w:lang w:val="en-US" w:eastAsia="zh-CN"/>
        </w:rPr>
        <w:t>混凝土及干混砂浆</w:t>
      </w:r>
      <w:r>
        <w:rPr>
          <w:rFonts w:hint="eastAsia" w:ascii="宋体" w:hAnsi="宋体"/>
          <w:szCs w:val="21"/>
          <w:highlight w:val="none"/>
        </w:rPr>
        <w:t>投标报价请各报价单位以</w:t>
      </w:r>
      <w:r>
        <w:rPr>
          <w:rFonts w:ascii="宋体" w:hAnsi="宋体"/>
          <w:szCs w:val="21"/>
          <w:highlight w:val="none"/>
        </w:rPr>
        <w:t>202</w:t>
      </w:r>
      <w:r>
        <w:rPr>
          <w:rFonts w:hint="eastAsia" w:ascii="宋体" w:hAnsi="宋体"/>
          <w:szCs w:val="21"/>
          <w:highlight w:val="none"/>
        </w:rPr>
        <w:t>5年</w:t>
      </w:r>
      <w:r>
        <w:rPr>
          <w:rFonts w:hint="eastAsia" w:ascii="宋体" w:hAnsi="宋体"/>
          <w:szCs w:val="21"/>
          <w:highlight w:val="none"/>
          <w:lang w:val="en-US" w:eastAsia="zh-CN"/>
        </w:rPr>
        <w:t>6</w:t>
      </w:r>
      <w:r>
        <w:rPr>
          <w:rFonts w:hint="eastAsia" w:ascii="宋体" w:hAnsi="宋体"/>
          <w:szCs w:val="21"/>
          <w:highlight w:val="none"/>
        </w:rPr>
        <w:t>月广州市建设工程造价管理站发布的普通混凝土税前综合价格为基准进行报价，具体信息价如下：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758"/>
        <w:gridCol w:w="1218"/>
        <w:gridCol w:w="2326"/>
        <w:gridCol w:w="1076"/>
        <w:gridCol w:w="1552"/>
        <w:gridCol w:w="1442"/>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5"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序号</w:t>
            </w:r>
          </w:p>
        </w:tc>
        <w:tc>
          <w:tcPr>
            <w:tcW w:w="1758"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物资名称</w:t>
            </w:r>
          </w:p>
        </w:tc>
        <w:tc>
          <w:tcPr>
            <w:tcW w:w="1218"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规格型号</w:t>
            </w:r>
          </w:p>
        </w:tc>
        <w:tc>
          <w:tcPr>
            <w:tcW w:w="2326"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税前综合价格</w:t>
            </w:r>
            <w:r>
              <w:rPr>
                <w:rFonts w:ascii="宋体" w:hAnsi="宋体" w:eastAsia="宋体" w:cs="仿宋_GB2312"/>
                <w:b/>
                <w:bCs/>
                <w:sz w:val="21"/>
                <w:szCs w:val="21"/>
                <w:highlight w:val="none"/>
              </w:rPr>
              <w:t>(</w:t>
            </w:r>
            <w:r>
              <w:rPr>
                <w:rFonts w:hint="eastAsia" w:ascii="宋体" w:hAnsi="宋体" w:eastAsia="宋体" w:cs="仿宋_GB2312"/>
                <w:b/>
                <w:bCs/>
                <w:sz w:val="21"/>
                <w:szCs w:val="21"/>
                <w:highlight w:val="none"/>
              </w:rPr>
              <w:t>元</w:t>
            </w:r>
            <w:r>
              <w:rPr>
                <w:rFonts w:ascii="宋体" w:hAnsi="宋体" w:eastAsia="宋体" w:cs="仿宋_GB2312"/>
                <w:b/>
                <w:bCs/>
                <w:sz w:val="21"/>
                <w:szCs w:val="21"/>
                <w:highlight w:val="none"/>
              </w:rPr>
              <w:t>/m³)</w:t>
            </w:r>
          </w:p>
        </w:tc>
        <w:tc>
          <w:tcPr>
            <w:tcW w:w="1076"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序号</w:t>
            </w:r>
          </w:p>
        </w:tc>
        <w:tc>
          <w:tcPr>
            <w:tcW w:w="1552"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物资名称</w:t>
            </w:r>
          </w:p>
        </w:tc>
        <w:tc>
          <w:tcPr>
            <w:tcW w:w="1442"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规格型号</w:t>
            </w:r>
          </w:p>
        </w:tc>
        <w:tc>
          <w:tcPr>
            <w:tcW w:w="2411" w:type="dxa"/>
            <w:noWrap w:val="0"/>
            <w:vAlign w:val="center"/>
          </w:tcPr>
          <w:p>
            <w:pPr>
              <w:pStyle w:val="16"/>
              <w:spacing w:line="360" w:lineRule="auto"/>
              <w:jc w:val="center"/>
              <w:rPr>
                <w:rFonts w:hint="eastAsia" w:ascii="宋体" w:hAnsi="宋体" w:eastAsia="宋体" w:cs="仿宋_GB2312"/>
                <w:b/>
                <w:bCs/>
                <w:sz w:val="21"/>
                <w:szCs w:val="21"/>
                <w:highlight w:val="none"/>
              </w:rPr>
            </w:pPr>
            <w:r>
              <w:rPr>
                <w:rFonts w:hint="eastAsia" w:ascii="宋体" w:hAnsi="宋体" w:eastAsia="宋体" w:cs="仿宋_GB2312"/>
                <w:b/>
                <w:bCs/>
                <w:sz w:val="21"/>
                <w:szCs w:val="21"/>
                <w:highlight w:val="none"/>
              </w:rPr>
              <w:t>税前综合价格</w:t>
            </w:r>
            <w:r>
              <w:rPr>
                <w:rFonts w:ascii="宋体" w:hAnsi="宋体" w:eastAsia="宋体" w:cs="仿宋_GB2312"/>
                <w:b/>
                <w:bCs/>
                <w:sz w:val="21"/>
                <w:szCs w:val="21"/>
                <w:highlight w:val="none"/>
              </w:rPr>
              <w:t>(</w:t>
            </w:r>
            <w:r>
              <w:rPr>
                <w:rFonts w:hint="eastAsia" w:ascii="宋体" w:hAnsi="宋体" w:eastAsia="宋体" w:cs="仿宋_GB2312"/>
                <w:b/>
                <w:bCs/>
                <w:sz w:val="21"/>
                <w:szCs w:val="21"/>
                <w:highlight w:val="none"/>
              </w:rPr>
              <w:t>元</w:t>
            </w:r>
            <w:r>
              <w:rPr>
                <w:rFonts w:ascii="宋体" w:hAnsi="宋体" w:eastAsia="宋体" w:cs="仿宋_GB2312"/>
                <w:b/>
                <w:bCs/>
                <w:sz w:val="21"/>
                <w:szCs w:val="21"/>
                <w:highlight w:val="none"/>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85"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cs="仿宋_GB2312"/>
                <w:sz w:val="21"/>
                <w:szCs w:val="21"/>
                <w:highlight w:val="none"/>
              </w:rPr>
              <w:t>1</w:t>
            </w:r>
          </w:p>
        </w:tc>
        <w:tc>
          <w:tcPr>
            <w:tcW w:w="1758" w:type="dxa"/>
            <w:noWrap w:val="0"/>
            <w:vAlign w:val="top"/>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普通混凝土</w:t>
            </w:r>
          </w:p>
        </w:tc>
        <w:tc>
          <w:tcPr>
            <w:tcW w:w="1218"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C15</w:t>
            </w:r>
          </w:p>
        </w:tc>
        <w:tc>
          <w:tcPr>
            <w:tcW w:w="2326" w:type="dxa"/>
            <w:noWrap w:val="0"/>
            <w:vAlign w:val="center"/>
          </w:tcPr>
          <w:p>
            <w:pPr>
              <w:pStyle w:val="16"/>
              <w:spacing w:line="360" w:lineRule="auto"/>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366</w:t>
            </w:r>
          </w:p>
        </w:tc>
        <w:tc>
          <w:tcPr>
            <w:tcW w:w="1076"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cs="仿宋_GB2312"/>
                <w:sz w:val="21"/>
                <w:szCs w:val="21"/>
                <w:highlight w:val="none"/>
              </w:rPr>
              <w:t>6</w:t>
            </w:r>
          </w:p>
        </w:tc>
        <w:tc>
          <w:tcPr>
            <w:tcW w:w="1552" w:type="dxa"/>
            <w:noWrap w:val="0"/>
            <w:vAlign w:val="top"/>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普通混凝土</w:t>
            </w:r>
          </w:p>
        </w:tc>
        <w:tc>
          <w:tcPr>
            <w:tcW w:w="1442"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C40</w:t>
            </w:r>
          </w:p>
        </w:tc>
        <w:tc>
          <w:tcPr>
            <w:tcW w:w="2411" w:type="dxa"/>
            <w:noWrap w:val="0"/>
            <w:vAlign w:val="center"/>
          </w:tcPr>
          <w:p>
            <w:pPr>
              <w:pStyle w:val="16"/>
              <w:spacing w:line="36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441.5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5"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cs="仿宋_GB2312"/>
                <w:sz w:val="21"/>
                <w:szCs w:val="21"/>
                <w:highlight w:val="none"/>
              </w:rPr>
              <w:t>2</w:t>
            </w:r>
          </w:p>
        </w:tc>
        <w:tc>
          <w:tcPr>
            <w:tcW w:w="1758" w:type="dxa"/>
            <w:noWrap w:val="0"/>
            <w:vAlign w:val="top"/>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普通混凝土</w:t>
            </w:r>
          </w:p>
        </w:tc>
        <w:tc>
          <w:tcPr>
            <w:tcW w:w="1218"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C20</w:t>
            </w:r>
          </w:p>
        </w:tc>
        <w:tc>
          <w:tcPr>
            <w:tcW w:w="2326" w:type="dxa"/>
            <w:noWrap w:val="0"/>
            <w:vAlign w:val="center"/>
          </w:tcPr>
          <w:p>
            <w:pPr>
              <w:pStyle w:val="16"/>
              <w:spacing w:line="360" w:lineRule="auto"/>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381.5</w:t>
            </w:r>
          </w:p>
        </w:tc>
        <w:tc>
          <w:tcPr>
            <w:tcW w:w="1076"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7</w:t>
            </w:r>
          </w:p>
        </w:tc>
        <w:tc>
          <w:tcPr>
            <w:tcW w:w="1552" w:type="dxa"/>
            <w:noWrap w:val="0"/>
            <w:vAlign w:val="top"/>
          </w:tcPr>
          <w:p>
            <w:pPr>
              <w:pStyle w:val="16"/>
              <w:spacing w:line="360" w:lineRule="auto"/>
              <w:jc w:val="center"/>
              <w:rPr>
                <w:rFonts w:hint="eastAsia" w:ascii="宋体" w:hAnsi="宋体" w:eastAsia="宋体"/>
                <w:sz w:val="21"/>
                <w:szCs w:val="21"/>
                <w:highlight w:val="none"/>
              </w:rPr>
            </w:pPr>
            <w:r>
              <w:rPr>
                <w:rFonts w:hint="eastAsia" w:ascii="宋体" w:hAnsi="宋体" w:eastAsia="宋体" w:cs="宋体"/>
                <w:color w:val="000000"/>
                <w:sz w:val="20"/>
                <w:szCs w:val="24"/>
                <w:highlight w:val="none"/>
              </w:rPr>
              <w:t>干混砌筑砂浆</w:t>
            </w:r>
          </w:p>
        </w:tc>
        <w:tc>
          <w:tcPr>
            <w:tcW w:w="1442"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M7.5</w:t>
            </w:r>
          </w:p>
        </w:tc>
        <w:tc>
          <w:tcPr>
            <w:tcW w:w="2411" w:type="dxa"/>
            <w:noWrap w:val="0"/>
            <w:vAlign w:val="center"/>
          </w:tcPr>
          <w:p>
            <w:pPr>
              <w:pStyle w:val="16"/>
              <w:spacing w:line="36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272.5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5"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cs="仿宋_GB2312"/>
                <w:sz w:val="21"/>
                <w:szCs w:val="21"/>
                <w:highlight w:val="none"/>
              </w:rPr>
              <w:t>3</w:t>
            </w:r>
          </w:p>
        </w:tc>
        <w:tc>
          <w:tcPr>
            <w:tcW w:w="1758" w:type="dxa"/>
            <w:noWrap w:val="0"/>
            <w:vAlign w:val="top"/>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普通混凝土</w:t>
            </w:r>
          </w:p>
        </w:tc>
        <w:tc>
          <w:tcPr>
            <w:tcW w:w="1218"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C25</w:t>
            </w:r>
          </w:p>
        </w:tc>
        <w:tc>
          <w:tcPr>
            <w:tcW w:w="2326" w:type="dxa"/>
            <w:noWrap w:val="0"/>
            <w:vAlign w:val="center"/>
          </w:tcPr>
          <w:p>
            <w:pPr>
              <w:pStyle w:val="16"/>
              <w:spacing w:line="360" w:lineRule="auto"/>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395</w:t>
            </w:r>
          </w:p>
        </w:tc>
        <w:tc>
          <w:tcPr>
            <w:tcW w:w="1076"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8</w:t>
            </w:r>
          </w:p>
        </w:tc>
        <w:tc>
          <w:tcPr>
            <w:tcW w:w="1552" w:type="dxa"/>
            <w:noWrap w:val="0"/>
            <w:vAlign w:val="top"/>
          </w:tcPr>
          <w:p>
            <w:pPr>
              <w:pStyle w:val="16"/>
              <w:spacing w:line="360" w:lineRule="auto"/>
              <w:jc w:val="center"/>
              <w:rPr>
                <w:rFonts w:hint="eastAsia" w:ascii="宋体" w:hAnsi="宋体" w:eastAsia="宋体"/>
                <w:sz w:val="21"/>
                <w:szCs w:val="21"/>
                <w:highlight w:val="none"/>
              </w:rPr>
            </w:pPr>
          </w:p>
        </w:tc>
        <w:tc>
          <w:tcPr>
            <w:tcW w:w="1442" w:type="dxa"/>
            <w:noWrap w:val="0"/>
            <w:vAlign w:val="center"/>
          </w:tcPr>
          <w:p>
            <w:pPr>
              <w:pStyle w:val="16"/>
              <w:spacing w:line="360" w:lineRule="auto"/>
              <w:jc w:val="center"/>
              <w:rPr>
                <w:rFonts w:hint="eastAsia" w:ascii="宋体" w:hAnsi="宋体" w:eastAsia="宋体"/>
                <w:sz w:val="21"/>
                <w:szCs w:val="21"/>
                <w:highlight w:val="none"/>
              </w:rPr>
            </w:pPr>
          </w:p>
        </w:tc>
        <w:tc>
          <w:tcPr>
            <w:tcW w:w="2411" w:type="dxa"/>
            <w:noWrap w:val="0"/>
            <w:vAlign w:val="center"/>
          </w:tcPr>
          <w:p>
            <w:pPr>
              <w:pStyle w:val="16"/>
              <w:spacing w:line="360" w:lineRule="auto"/>
              <w:jc w:val="center"/>
              <w:rPr>
                <w:rFonts w:hint="eastAsia" w:ascii="宋体" w:hAnsi="宋体" w:eastAsia="宋体" w:cs="仿宋_GB231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5"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cs="仿宋_GB2312"/>
                <w:sz w:val="21"/>
                <w:szCs w:val="21"/>
                <w:highlight w:val="none"/>
              </w:rPr>
              <w:t>4</w:t>
            </w:r>
          </w:p>
        </w:tc>
        <w:tc>
          <w:tcPr>
            <w:tcW w:w="1758" w:type="dxa"/>
            <w:noWrap w:val="0"/>
            <w:vAlign w:val="top"/>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普通混凝土</w:t>
            </w:r>
          </w:p>
        </w:tc>
        <w:tc>
          <w:tcPr>
            <w:tcW w:w="1218"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sz w:val="21"/>
                <w:szCs w:val="21"/>
                <w:highlight w:val="none"/>
              </w:rPr>
              <w:t>C30</w:t>
            </w:r>
          </w:p>
        </w:tc>
        <w:tc>
          <w:tcPr>
            <w:tcW w:w="2326" w:type="dxa"/>
            <w:noWrap w:val="0"/>
            <w:vAlign w:val="center"/>
          </w:tcPr>
          <w:p>
            <w:pPr>
              <w:pStyle w:val="16"/>
              <w:spacing w:line="360" w:lineRule="auto"/>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407</w:t>
            </w:r>
          </w:p>
        </w:tc>
        <w:tc>
          <w:tcPr>
            <w:tcW w:w="1076"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9</w:t>
            </w:r>
          </w:p>
        </w:tc>
        <w:tc>
          <w:tcPr>
            <w:tcW w:w="1552" w:type="dxa"/>
            <w:noWrap w:val="0"/>
            <w:vAlign w:val="top"/>
          </w:tcPr>
          <w:p>
            <w:pPr>
              <w:pStyle w:val="16"/>
              <w:spacing w:line="360" w:lineRule="auto"/>
              <w:jc w:val="center"/>
              <w:rPr>
                <w:rFonts w:hint="eastAsia" w:ascii="宋体" w:hAnsi="宋体" w:eastAsia="宋体"/>
                <w:sz w:val="21"/>
                <w:szCs w:val="21"/>
                <w:highlight w:val="none"/>
              </w:rPr>
            </w:pPr>
          </w:p>
        </w:tc>
        <w:tc>
          <w:tcPr>
            <w:tcW w:w="1442" w:type="dxa"/>
            <w:noWrap w:val="0"/>
            <w:vAlign w:val="center"/>
          </w:tcPr>
          <w:p>
            <w:pPr>
              <w:pStyle w:val="16"/>
              <w:spacing w:line="360" w:lineRule="auto"/>
              <w:jc w:val="center"/>
              <w:rPr>
                <w:rFonts w:hint="eastAsia" w:ascii="宋体" w:hAnsi="宋体" w:eastAsia="宋体"/>
                <w:sz w:val="21"/>
                <w:szCs w:val="21"/>
                <w:highlight w:val="none"/>
              </w:rPr>
            </w:pPr>
          </w:p>
        </w:tc>
        <w:tc>
          <w:tcPr>
            <w:tcW w:w="2411" w:type="dxa"/>
            <w:noWrap w:val="0"/>
            <w:vAlign w:val="center"/>
          </w:tcPr>
          <w:p>
            <w:pPr>
              <w:pStyle w:val="16"/>
              <w:spacing w:line="360" w:lineRule="auto"/>
              <w:jc w:val="center"/>
              <w:rPr>
                <w:rFonts w:hint="eastAsia" w:ascii="宋体" w:hAnsi="宋体" w:eastAsia="宋体" w:cs="仿宋_GB231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5" w:type="dxa"/>
            <w:noWrap w:val="0"/>
            <w:vAlign w:val="center"/>
          </w:tcPr>
          <w:p>
            <w:pPr>
              <w:pStyle w:val="16"/>
              <w:spacing w:line="360" w:lineRule="auto"/>
              <w:jc w:val="center"/>
              <w:rPr>
                <w:rFonts w:hint="eastAsia" w:ascii="宋体" w:hAnsi="宋体" w:eastAsia="宋体" w:cs="仿宋_GB2312"/>
                <w:sz w:val="21"/>
                <w:szCs w:val="21"/>
                <w:highlight w:val="none"/>
              </w:rPr>
            </w:pPr>
            <w:r>
              <w:rPr>
                <w:rFonts w:hint="eastAsia" w:ascii="宋体" w:hAnsi="宋体" w:eastAsia="宋体" w:cs="仿宋_GB2312"/>
                <w:sz w:val="21"/>
                <w:szCs w:val="21"/>
                <w:highlight w:val="none"/>
              </w:rPr>
              <w:t>5</w:t>
            </w:r>
          </w:p>
        </w:tc>
        <w:tc>
          <w:tcPr>
            <w:tcW w:w="1758" w:type="dxa"/>
            <w:noWrap w:val="0"/>
            <w:vAlign w:val="top"/>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普通混凝土</w:t>
            </w:r>
          </w:p>
        </w:tc>
        <w:tc>
          <w:tcPr>
            <w:tcW w:w="1218"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C35</w:t>
            </w:r>
          </w:p>
        </w:tc>
        <w:tc>
          <w:tcPr>
            <w:tcW w:w="2326" w:type="dxa"/>
            <w:noWrap w:val="0"/>
            <w:vAlign w:val="center"/>
          </w:tcPr>
          <w:p>
            <w:pPr>
              <w:pStyle w:val="16"/>
              <w:spacing w:line="360" w:lineRule="auto"/>
              <w:jc w:val="center"/>
              <w:rPr>
                <w:rFonts w:hint="default" w:ascii="宋体" w:hAnsi="宋体" w:eastAsia="宋体"/>
                <w:sz w:val="21"/>
                <w:szCs w:val="21"/>
                <w:highlight w:val="none"/>
                <w:lang w:val="en-US" w:eastAsia="zh-CN"/>
              </w:rPr>
            </w:pPr>
            <w:r>
              <w:rPr>
                <w:rFonts w:hint="eastAsia" w:ascii="宋体" w:hAnsi="宋体" w:eastAsia="宋体"/>
                <w:sz w:val="21"/>
                <w:szCs w:val="21"/>
                <w:highlight w:val="none"/>
                <w:lang w:val="en-US" w:eastAsia="zh-CN"/>
              </w:rPr>
              <w:t>423.5</w:t>
            </w:r>
          </w:p>
        </w:tc>
        <w:tc>
          <w:tcPr>
            <w:tcW w:w="1076" w:type="dxa"/>
            <w:noWrap w:val="0"/>
            <w:vAlign w:val="center"/>
          </w:tcPr>
          <w:p>
            <w:pPr>
              <w:pStyle w:val="16"/>
              <w:spacing w:line="360" w:lineRule="auto"/>
              <w:jc w:val="center"/>
              <w:rPr>
                <w:rFonts w:hint="eastAsia" w:ascii="宋体" w:hAnsi="宋体" w:eastAsia="宋体"/>
                <w:sz w:val="21"/>
                <w:szCs w:val="21"/>
                <w:highlight w:val="none"/>
              </w:rPr>
            </w:pPr>
            <w:r>
              <w:rPr>
                <w:rFonts w:hint="eastAsia" w:ascii="宋体" w:hAnsi="宋体" w:eastAsia="宋体"/>
                <w:sz w:val="21"/>
                <w:szCs w:val="21"/>
                <w:highlight w:val="none"/>
              </w:rPr>
              <w:t>10</w:t>
            </w:r>
          </w:p>
        </w:tc>
        <w:tc>
          <w:tcPr>
            <w:tcW w:w="1552" w:type="dxa"/>
            <w:noWrap w:val="0"/>
            <w:vAlign w:val="top"/>
          </w:tcPr>
          <w:p>
            <w:pPr>
              <w:pStyle w:val="16"/>
              <w:spacing w:line="360" w:lineRule="auto"/>
              <w:jc w:val="center"/>
              <w:rPr>
                <w:rFonts w:hint="eastAsia" w:ascii="宋体" w:hAnsi="宋体" w:eastAsia="宋体"/>
                <w:sz w:val="21"/>
                <w:szCs w:val="21"/>
                <w:highlight w:val="none"/>
              </w:rPr>
            </w:pPr>
          </w:p>
        </w:tc>
        <w:tc>
          <w:tcPr>
            <w:tcW w:w="1442" w:type="dxa"/>
            <w:noWrap w:val="0"/>
            <w:vAlign w:val="center"/>
          </w:tcPr>
          <w:p>
            <w:pPr>
              <w:pStyle w:val="16"/>
              <w:spacing w:line="360" w:lineRule="auto"/>
              <w:jc w:val="center"/>
              <w:rPr>
                <w:rFonts w:hint="eastAsia" w:ascii="宋体" w:hAnsi="宋体" w:eastAsia="宋体"/>
                <w:sz w:val="21"/>
                <w:szCs w:val="21"/>
                <w:highlight w:val="none"/>
              </w:rPr>
            </w:pPr>
          </w:p>
        </w:tc>
        <w:tc>
          <w:tcPr>
            <w:tcW w:w="2411" w:type="dxa"/>
            <w:noWrap w:val="0"/>
            <w:vAlign w:val="center"/>
          </w:tcPr>
          <w:p>
            <w:pPr>
              <w:pStyle w:val="16"/>
              <w:spacing w:line="360" w:lineRule="auto"/>
              <w:jc w:val="center"/>
              <w:rPr>
                <w:rFonts w:hint="eastAsia" w:ascii="宋体" w:hAnsi="宋体" w:eastAsia="宋体" w:cs="仿宋_GB2312"/>
                <w:sz w:val="21"/>
                <w:szCs w:val="21"/>
                <w:highlight w:val="none"/>
              </w:rPr>
            </w:pPr>
          </w:p>
        </w:tc>
      </w:tr>
    </w:tbl>
    <w:p>
      <w:pPr>
        <w:pStyle w:val="15"/>
        <w:spacing w:line="360" w:lineRule="auto"/>
        <w:ind w:left="0" w:leftChars="0" w:firstLine="0" w:firstLineChars="0"/>
        <w:rPr>
          <w:rFonts w:hint="eastAsia" w:ascii="宋体" w:hAnsi="宋体" w:cs="仿宋_GB2312"/>
          <w:highlight w:val="none"/>
        </w:rPr>
        <w:sectPr>
          <w:footerReference r:id="rId7" w:type="default"/>
          <w:pgSz w:w="16838" w:h="11906" w:orient="landscape"/>
          <w:pgMar w:top="1474" w:right="1134" w:bottom="1191" w:left="1134" w:header="340" w:footer="1361" w:gutter="0"/>
          <w:pgNumType w:start="1"/>
          <w:cols w:space="720" w:num="1"/>
          <w:docGrid w:type="linesAndChars" w:linePitch="312" w:charSpace="0"/>
        </w:sectPr>
      </w:pPr>
    </w:p>
    <w:p>
      <w:pPr>
        <w:outlineLvl w:val="1"/>
        <w:rPr>
          <w:rFonts w:ascii="宋体" w:hAnsi="宋体"/>
          <w:sz w:val="28"/>
          <w:szCs w:val="28"/>
        </w:rPr>
      </w:pPr>
      <w:bookmarkStart w:id="30" w:name="_Toc3418"/>
      <w:r>
        <w:rPr>
          <w:rFonts w:hint="eastAsia" w:ascii="宋体" w:hAnsi="宋体"/>
          <w:sz w:val="28"/>
          <w:szCs w:val="28"/>
        </w:rPr>
        <w:t>附件六</w:t>
      </w:r>
      <w:bookmarkEnd w:id="30"/>
    </w:p>
    <w:p>
      <w:pPr>
        <w:pStyle w:val="15"/>
        <w:ind w:firstLine="480"/>
        <w:rPr>
          <w:rFonts w:hint="default" w:eastAsia="宋体"/>
          <w:lang w:val="en-US" w:eastAsia="zh-CN"/>
        </w:rPr>
      </w:pPr>
      <w:bookmarkStart w:id="31" w:name="_Toc5296"/>
      <w:r>
        <w:rPr>
          <w:rFonts w:hint="eastAsia" w:eastAsia="宋体"/>
          <w:lang w:val="en-US" w:eastAsia="zh-CN"/>
        </w:rPr>
        <w:t>结算方式</w:t>
      </w:r>
      <w:bookmarkEnd w:id="31"/>
    </w:p>
    <w:p>
      <w:pPr>
        <w:pStyle w:val="15"/>
        <w:ind w:firstLine="480"/>
        <w:rPr>
          <w:rFonts w:hint="eastAsia" w:eastAsia="宋体"/>
        </w:rPr>
      </w:pPr>
      <w:r>
        <w:rPr>
          <w:rFonts w:hint="eastAsia" w:eastAsia="宋体"/>
        </w:rPr>
        <w:t>商品混凝土结算方式（包件号：HNT-01）</w:t>
      </w:r>
    </w:p>
    <w:p>
      <w:pPr>
        <w:pStyle w:val="15"/>
        <w:ind w:firstLine="480"/>
        <w:rPr>
          <w:rFonts w:hint="eastAsia" w:eastAsia="宋体"/>
        </w:rPr>
      </w:pPr>
      <w:r>
        <w:rPr>
          <w:rFonts w:hint="eastAsia" w:eastAsia="宋体"/>
        </w:rPr>
        <w:t>1. 本包件实行固定单价结算，结算方式如下：</w:t>
      </w:r>
    </w:p>
    <w:p>
      <w:pPr>
        <w:pStyle w:val="15"/>
        <w:ind w:firstLine="480"/>
        <w:rPr>
          <w:rFonts w:hint="eastAsia" w:eastAsia="宋体"/>
        </w:rPr>
      </w:pPr>
      <w:r>
        <w:rPr>
          <w:rFonts w:hint="eastAsia" w:eastAsia="宋体"/>
        </w:rPr>
        <w:t>1.1商品混凝土结算价：固定单价;</w:t>
      </w:r>
    </w:p>
    <w:p>
      <w:pPr>
        <w:pStyle w:val="15"/>
        <w:ind w:firstLine="480"/>
        <w:rPr>
          <w:rFonts w:hint="eastAsia" w:eastAsia="宋体"/>
        </w:rPr>
      </w:pPr>
      <w:r>
        <w:rPr>
          <w:rFonts w:hint="eastAsia" w:eastAsia="宋体"/>
        </w:rPr>
        <w:t>1.2上述单价包括产品送达供货地点含泵送入模在内的所有费用，包括产品成本（含利润）、运杂费（含装卸费）、保险费、协调费及所有其它费用。</w:t>
      </w:r>
    </w:p>
    <w:p>
      <w:pPr>
        <w:pStyle w:val="15"/>
        <w:ind w:firstLine="480"/>
        <w:rPr>
          <w:rFonts w:hint="eastAsia" w:eastAsia="宋体"/>
        </w:rPr>
      </w:pPr>
      <w:r>
        <w:rPr>
          <w:rFonts w:hint="eastAsia" w:eastAsia="宋体"/>
        </w:rPr>
        <w:t xml:space="preserve">2.支付模式：先货后款，分期支付：每月20日办理当月材料结算，甲方在收到乙方开具正式的增值税专用发票后90日内，支付第一个月结算金额的60%，180天内支付第一个月结算金额的15%，270天内支付第一个月结算金额20%，剩余5%作为质保金在双方办理完合同清算，待项目完工，签订封账协议且竣工结算180天后一个月内无息付清，如发生纠纷，所有剩余未付款项无息延后至纠纷最终解决后30日内付清。质量保证金的支付并不免除乙方对交付货物质量的保证责任。 </w:t>
      </w:r>
    </w:p>
    <w:p>
      <w:pPr>
        <w:pStyle w:val="15"/>
        <w:ind w:firstLine="480"/>
        <w:rPr>
          <w:rFonts w:hint="eastAsia" w:eastAsia="宋体"/>
        </w:rPr>
      </w:pPr>
      <w:r>
        <w:rPr>
          <w:rFonts w:hint="eastAsia" w:eastAsia="宋体"/>
        </w:rPr>
        <w:t>3. 支付方式：甲乙双方协商一致同意采用银行转账、银行承兑汇票、应收账款电子凭证等方式支付本款项。甲方使用银行承兑汇票支付本合同款项，甲方不承担贴现费用；甲方使用应收账款电子凭证支付本合同款项，实际贴息费用不包含在采购单价中，由乙方以“价外费”的形式对实际接收应收账款电子凭证贴现费用开具发票，由甲方承担。</w:t>
      </w:r>
    </w:p>
    <w:p>
      <w:pPr>
        <w:pStyle w:val="15"/>
        <w:ind w:firstLine="480"/>
        <w:rPr>
          <w:rFonts w:hint="eastAsia" w:eastAsia="宋体"/>
        </w:rPr>
      </w:pPr>
      <w:r>
        <w:rPr>
          <w:rFonts w:hint="eastAsia" w:eastAsia="宋体"/>
        </w:rPr>
        <w:t>4. 发票：增值税专用发票。</w:t>
      </w:r>
    </w:p>
    <w:p>
      <w:pPr>
        <w:pStyle w:val="15"/>
        <w:ind w:firstLine="480"/>
        <w:rPr>
          <w:rFonts w:hint="eastAsia" w:eastAsia="宋体"/>
        </w:rPr>
      </w:pPr>
      <w:r>
        <w:rPr>
          <w:rFonts w:hint="eastAsia" w:eastAsia="宋体"/>
        </w:rPr>
        <w:t>5. 收货方式：用过磅换算计量方式。甲方有权随时过磅抽查或全数过磅，如发现方数或重量有出入，则同批次混凝土方量按最小值计量，乙方对此不得有任何异议。</w:t>
      </w:r>
    </w:p>
    <w:p>
      <w:pPr>
        <w:pStyle w:val="15"/>
        <w:ind w:firstLine="480"/>
        <w:rPr>
          <w:rFonts w:hint="eastAsia"/>
        </w:rPr>
      </w:pPr>
      <w:r>
        <w:rPr>
          <w:rFonts w:hint="eastAsia"/>
        </w:rPr>
        <w:t>地材结算（固定价）</w:t>
      </w:r>
    </w:p>
    <w:p>
      <w:pPr>
        <w:pStyle w:val="15"/>
        <w:ind w:firstLine="480"/>
        <w:rPr>
          <w:rFonts w:hint="eastAsia"/>
        </w:rPr>
      </w:pPr>
      <w:r>
        <w:rPr>
          <w:rFonts w:hint="eastAsia"/>
        </w:rPr>
        <w:t>（1）结算方式：采取固定单价结算。</w:t>
      </w:r>
    </w:p>
    <w:p>
      <w:pPr>
        <w:pStyle w:val="15"/>
        <w:ind w:firstLine="480"/>
        <w:rPr>
          <w:rFonts w:hint="eastAsia"/>
        </w:rPr>
      </w:pPr>
      <w:r>
        <w:rPr>
          <w:rFonts w:hint="eastAsia"/>
        </w:rPr>
        <w:t>（2）到工地单价指物资运至招标人指定工地的价格</w:t>
      </w:r>
    </w:p>
    <w:p>
      <w:pPr>
        <w:pStyle w:val="15"/>
        <w:ind w:firstLine="480"/>
        <w:rPr>
          <w:rFonts w:hint="eastAsia"/>
        </w:rPr>
      </w:pPr>
      <w:r>
        <w:rPr>
          <w:rFonts w:hint="eastAsia"/>
        </w:rPr>
        <w:t>到工地单价＝出厂（库）单价＋运杂费单价。</w:t>
      </w:r>
    </w:p>
    <w:p>
      <w:pPr>
        <w:pStyle w:val="15"/>
        <w:ind w:firstLine="480"/>
        <w:rPr>
          <w:rFonts w:hint="eastAsia"/>
        </w:rPr>
      </w:pPr>
      <w:r>
        <w:rPr>
          <w:rFonts w:hint="eastAsia"/>
        </w:rPr>
        <w:t>出厂（库）单价：出厂（库）单价指在物资的生产所在地装车发运前的价格，包含但不限于材料费、加工费、试验费、包装费、搬运、储存、装车费、服务费及售后服务费等以及所有相关税项费用。</w:t>
      </w:r>
    </w:p>
    <w:p>
      <w:pPr>
        <w:pStyle w:val="15"/>
        <w:ind w:firstLine="480"/>
        <w:rPr>
          <w:rFonts w:hint="eastAsia"/>
        </w:rPr>
      </w:pPr>
      <w:r>
        <w:rPr>
          <w:rFonts w:hint="eastAsia"/>
        </w:rPr>
        <w:t xml:space="preserve">运杂费：运杂费指投标人将物资由生产所在地完好无损地运至招标人指定交货地点（按招标文件规定的交货方式交货）所发生的一切费用（如运输费、装车费、管理费、利润、税金、供货风险等）。  </w:t>
      </w:r>
    </w:p>
    <w:p>
      <w:pPr>
        <w:pStyle w:val="15"/>
        <w:ind w:firstLine="480"/>
        <w:rPr>
          <w:rFonts w:hint="eastAsia"/>
        </w:rPr>
        <w:sectPr>
          <w:pgSz w:w="11906" w:h="16838"/>
          <w:pgMar w:top="1134" w:right="1191" w:bottom="1134" w:left="1474" w:header="340" w:footer="1361" w:gutter="0"/>
          <w:cols w:space="720" w:num="1"/>
          <w:docGrid w:type="linesAndChars" w:linePitch="312" w:charSpace="0"/>
        </w:sectPr>
      </w:pPr>
      <w:r>
        <w:rPr>
          <w:rFonts w:hint="eastAsia"/>
        </w:rPr>
        <w:t>（3）结算数量以施工现场实际安装完成并验收合格的数量为依据，不以进场数量为准。</w:t>
      </w:r>
    </w:p>
    <w:p>
      <w:pPr>
        <w:outlineLvl w:val="1"/>
        <w:rPr>
          <w:rFonts w:ascii="宋体" w:hAnsi="宋体"/>
          <w:sz w:val="28"/>
          <w:szCs w:val="28"/>
        </w:rPr>
      </w:pPr>
      <w:bookmarkStart w:id="32" w:name="_Toc774"/>
      <w:bookmarkStart w:id="33" w:name="_Toc7318"/>
      <w:bookmarkStart w:id="34" w:name="_Toc26222"/>
      <w:bookmarkStart w:id="35" w:name="_Toc6047"/>
      <w:bookmarkStart w:id="36" w:name="_Toc4860"/>
      <w:bookmarkStart w:id="37" w:name="_Toc94"/>
      <w:bookmarkStart w:id="38" w:name="_Toc465236863"/>
      <w:r>
        <w:rPr>
          <w:rFonts w:hint="eastAsia" w:ascii="宋体" w:hAnsi="宋体"/>
          <w:sz w:val="28"/>
          <w:szCs w:val="28"/>
        </w:rPr>
        <w:t>附件</w:t>
      </w:r>
      <w:bookmarkEnd w:id="32"/>
      <w:bookmarkEnd w:id="33"/>
      <w:bookmarkEnd w:id="34"/>
      <w:bookmarkEnd w:id="35"/>
      <w:bookmarkEnd w:id="36"/>
      <w:bookmarkStart w:id="39" w:name="_Toc387225471"/>
      <w:bookmarkStart w:id="40" w:name="_Toc435111035"/>
      <w:bookmarkStart w:id="41" w:name="_Toc453423265"/>
      <w:bookmarkStart w:id="42" w:name="_Toc434398107"/>
      <w:r>
        <w:rPr>
          <w:rFonts w:hint="eastAsia" w:ascii="宋体" w:hAnsi="宋体"/>
          <w:sz w:val="28"/>
          <w:szCs w:val="28"/>
        </w:rPr>
        <w:t>七</w:t>
      </w:r>
      <w:bookmarkEnd w:id="37"/>
    </w:p>
    <w:p>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ascii="宋体" w:hAnsi="宋体" w:eastAsia="宋体" w:cs="新宋体"/>
          <w:b/>
          <w:bCs/>
          <w:kern w:val="0"/>
          <w:sz w:val="36"/>
          <w:szCs w:val="36"/>
          <w:lang w:val="en-US" w:eastAsia="zh-CN"/>
        </w:rPr>
      </w:pPr>
      <w:bookmarkStart w:id="43" w:name="_Toc19441"/>
      <w:bookmarkStart w:id="44" w:name="_Toc132117171"/>
      <w:bookmarkStart w:id="45" w:name="_Toc132116571"/>
      <w:r>
        <w:rPr>
          <w:rFonts w:hint="eastAsia" w:ascii="宋体" w:hAnsi="宋体" w:eastAsia="宋体" w:cs="新宋体"/>
          <w:b/>
          <w:bCs/>
          <w:kern w:val="0"/>
          <w:sz w:val="36"/>
          <w:szCs w:val="36"/>
          <w:lang w:val="en-US" w:eastAsia="zh-CN"/>
        </w:rPr>
        <w:t>物资技术规格书</w:t>
      </w:r>
      <w:bookmarkEnd w:id="43"/>
      <w:bookmarkEnd w:id="44"/>
      <w:bookmarkEnd w:id="45"/>
    </w:p>
    <w:bookmarkEnd w:id="38"/>
    <w:bookmarkEnd w:id="39"/>
    <w:bookmarkEnd w:id="40"/>
    <w:bookmarkEnd w:id="41"/>
    <w:bookmarkEnd w:id="42"/>
    <w:p>
      <w:pPr>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b/>
          <w:sz w:val="28"/>
          <w:szCs w:val="28"/>
        </w:rPr>
      </w:pPr>
      <w:r>
        <w:rPr>
          <w:rFonts w:hint="eastAsia" w:ascii="宋体" w:hAnsi="宋体"/>
          <w:b/>
          <w:sz w:val="28"/>
          <w:szCs w:val="28"/>
          <w:lang w:val="en-US" w:eastAsia="zh-CN"/>
        </w:rPr>
        <w:t>HNT-01</w:t>
      </w:r>
      <w:r>
        <w:rPr>
          <w:rFonts w:ascii="宋体" w:hAnsi="宋体"/>
          <w:b/>
          <w:sz w:val="28"/>
          <w:szCs w:val="28"/>
        </w:rPr>
        <w:t>技术</w:t>
      </w:r>
      <w:r>
        <w:rPr>
          <w:rFonts w:hint="eastAsia" w:ascii="宋体" w:hAnsi="宋体"/>
          <w:b/>
          <w:sz w:val="28"/>
          <w:szCs w:val="28"/>
        </w:rPr>
        <w:t>规格书</w:t>
      </w:r>
    </w:p>
    <w:p>
      <w:pPr>
        <w:pStyle w:val="5"/>
        <w:spacing w:before="234" w:line="325" w:lineRule="auto"/>
        <w:ind w:left="24" w:right="13" w:firstLine="496"/>
        <w:rPr>
          <w:rFonts w:hint="eastAsia" w:ascii="仿宋_GB2312" w:hAnsi="仿宋_GB2312" w:eastAsia="仿宋_GB2312" w:cs="仿宋_GB2312"/>
          <w:sz w:val="24"/>
        </w:rPr>
      </w:pPr>
      <w:r>
        <w:rPr>
          <w:rFonts w:hint="eastAsia" w:ascii="仿宋_GB2312" w:hAnsi="仿宋_GB2312" w:eastAsia="仿宋_GB2312" w:cs="仿宋_GB2312"/>
          <w:spacing w:val="-2"/>
          <w:sz w:val="24"/>
        </w:rPr>
        <w:t>1、混凝土原材料及各项质量指标符合：国家标准GB/T</w:t>
      </w:r>
      <w:r>
        <w:rPr>
          <w:rFonts w:hint="eastAsia" w:ascii="仿宋_GB2312" w:hAnsi="仿宋_GB2312" w:eastAsia="仿宋_GB2312" w:cs="仿宋_GB2312"/>
          <w:spacing w:val="-33"/>
          <w:sz w:val="24"/>
        </w:rPr>
        <w:t xml:space="preserve"> </w:t>
      </w:r>
      <w:r>
        <w:rPr>
          <w:rFonts w:hint="eastAsia" w:ascii="仿宋_GB2312" w:hAnsi="仿宋_GB2312" w:eastAsia="仿宋_GB2312" w:cs="仿宋_GB2312"/>
          <w:spacing w:val="-2"/>
          <w:sz w:val="24"/>
        </w:rPr>
        <w:t>14902</w:t>
      </w:r>
      <w:r>
        <w:rPr>
          <w:rFonts w:hint="eastAsia" w:ascii="仿宋_GB2312" w:hAnsi="仿宋_GB2312" w:eastAsia="仿宋_GB2312" w:cs="仿宋_GB2312"/>
          <w:spacing w:val="-3"/>
          <w:sz w:val="24"/>
        </w:rPr>
        <w:t>-2012、</w:t>
      </w:r>
      <w:r>
        <w:rPr>
          <w:rFonts w:hint="eastAsia" w:ascii="仿宋_GB2312" w:hAnsi="仿宋_GB2312" w:eastAsia="仿宋_GB2312" w:cs="仿宋_GB2312"/>
          <w:sz w:val="24"/>
        </w:rPr>
        <w:t>《混凝土强度检验评定标准》GB/T 50107-2010</w:t>
      </w:r>
      <w:r>
        <w:rPr>
          <w:rFonts w:hint="eastAsia" w:ascii="仿宋_GB2312" w:hAnsi="仿宋_GB2312" w:eastAsia="仿宋_GB2312" w:cs="仿宋_GB2312"/>
          <w:spacing w:val="-3"/>
          <w:sz w:val="24"/>
        </w:rPr>
        <w:t>。同时应符合施工工艺有关规定并取得甲</w:t>
      </w:r>
      <w:r>
        <w:rPr>
          <w:rFonts w:hint="eastAsia" w:ascii="仿宋_GB2312" w:hAnsi="仿宋_GB2312" w:eastAsia="仿宋_GB2312" w:cs="仿宋_GB2312"/>
          <w:spacing w:val="-2"/>
          <w:sz w:val="24"/>
        </w:rPr>
        <w:t>方、监理同意。</w:t>
      </w:r>
    </w:p>
    <w:p>
      <w:pPr>
        <w:pStyle w:val="5"/>
        <w:spacing w:before="182" w:line="332" w:lineRule="auto"/>
        <w:ind w:left="25" w:right="13" w:firstLine="482"/>
        <w:rPr>
          <w:rFonts w:hint="eastAsia" w:ascii="仿宋_GB2312" w:hAnsi="仿宋_GB2312" w:eastAsia="仿宋_GB2312" w:cs="仿宋_GB2312"/>
          <w:sz w:val="24"/>
        </w:rPr>
      </w:pPr>
      <w:r>
        <w:rPr>
          <w:rFonts w:hint="eastAsia" w:ascii="仿宋_GB2312" w:hAnsi="仿宋_GB2312" w:eastAsia="仿宋_GB2312" w:cs="仿宋_GB2312"/>
          <w:sz w:val="24"/>
        </w:rPr>
        <w:t>2、混凝土有关性能指标要求：以甲方书面通知为准。乙方所供混凝土应达 到甲方所要求的力学性能、耐久性能、和易性能、坍落度、初凝、终凝时间及其 它性能要求，并按相关国家和行业标准进行检验合格。</w:t>
      </w:r>
    </w:p>
    <w:p>
      <w:pPr>
        <w:pStyle w:val="5"/>
        <w:spacing w:before="182" w:line="332" w:lineRule="auto"/>
        <w:ind w:left="25" w:right="13" w:firstLine="482"/>
        <w:rPr>
          <w:rFonts w:hint="eastAsia" w:ascii="仿宋_GB2312" w:hAnsi="仿宋_GB2312" w:eastAsia="仿宋_GB2312" w:cs="仿宋_GB2312"/>
          <w:sz w:val="24"/>
        </w:rPr>
      </w:pPr>
      <w:r>
        <w:rPr>
          <w:rFonts w:hint="eastAsia" w:ascii="仿宋_GB2312" w:hAnsi="仿宋_GB2312" w:eastAsia="仿宋_GB2312" w:cs="仿宋_GB2312"/>
          <w:sz w:val="24"/>
        </w:rPr>
        <w:t>3、混凝土所用原材料均应满足如下要求：原材料质量符合现行国家标准，</w:t>
      </w:r>
      <w:r>
        <w:rPr>
          <w:rFonts w:hint="eastAsia" w:ascii="仿宋_GB2312" w:hAnsi="仿宋_GB2312" w:eastAsia="仿宋_GB2312" w:cs="仿宋_GB2312"/>
          <w:spacing w:val="11"/>
          <w:sz w:val="24"/>
        </w:rPr>
        <w:t xml:space="preserve"> </w:t>
      </w:r>
      <w:r>
        <w:rPr>
          <w:rFonts w:hint="eastAsia" w:ascii="仿宋_GB2312" w:hAnsi="仿宋_GB2312" w:eastAsia="仿宋_GB2312" w:cs="仿宋_GB2312"/>
          <w:spacing w:val="-3"/>
          <w:sz w:val="24"/>
        </w:rPr>
        <w:t>如在本合同有效期内国家颁布了新标准或对上述标准进行了修订，则应按照新标</w:t>
      </w:r>
      <w:r>
        <w:rPr>
          <w:rFonts w:hint="eastAsia" w:ascii="仿宋_GB2312" w:hAnsi="仿宋_GB2312" w:eastAsia="仿宋_GB2312" w:cs="仿宋_GB2312"/>
          <w:sz w:val="24"/>
        </w:rPr>
        <w:t xml:space="preserve"> </w:t>
      </w:r>
      <w:r>
        <w:rPr>
          <w:rFonts w:hint="eastAsia" w:ascii="仿宋_GB2312" w:hAnsi="仿宋_GB2312" w:eastAsia="仿宋_GB2312" w:cs="仿宋_GB2312"/>
          <w:spacing w:val="-3"/>
          <w:sz w:val="24"/>
        </w:rPr>
        <w:t>准或修订后的标准执行。原材料由乙方负责检验并对其质量负责，如乙方使用不符合规定的原材料，给甲方造成的一切责任和损失均由乙方承担，甲方及监理随</w:t>
      </w:r>
      <w:r>
        <w:rPr>
          <w:rFonts w:hint="eastAsia" w:ascii="仿宋_GB2312" w:hAnsi="仿宋_GB2312" w:eastAsia="仿宋_GB2312" w:cs="仿宋_GB2312"/>
          <w:spacing w:val="-1"/>
          <w:sz w:val="24"/>
        </w:rPr>
        <w:t>时可对其进行检查、监督。</w:t>
      </w:r>
    </w:p>
    <w:p>
      <w:pPr>
        <w:pStyle w:val="5"/>
        <w:spacing w:before="183" w:line="313" w:lineRule="auto"/>
        <w:ind w:left="23" w:right="40" w:firstLine="479"/>
        <w:rPr>
          <w:rFonts w:hint="eastAsia" w:ascii="仿宋_GB2312" w:hAnsi="仿宋_GB2312" w:eastAsia="仿宋_GB2312" w:cs="仿宋_GB2312"/>
          <w:sz w:val="24"/>
        </w:rPr>
      </w:pPr>
      <w:r>
        <w:rPr>
          <w:rFonts w:hint="eastAsia" w:ascii="仿宋_GB2312" w:hAnsi="仿宋_GB2312" w:eastAsia="仿宋_GB2312" w:cs="仿宋_GB2312"/>
          <w:sz w:val="24"/>
        </w:rPr>
        <w:t>4、乙方应按照甲方确定且经监理批准的混凝土配合</w:t>
      </w:r>
      <w:r>
        <w:rPr>
          <w:rFonts w:hint="eastAsia" w:ascii="仿宋_GB2312" w:hAnsi="仿宋_GB2312" w:eastAsia="仿宋_GB2312" w:cs="仿宋_GB2312"/>
          <w:spacing w:val="-1"/>
          <w:sz w:val="24"/>
        </w:rPr>
        <w:t>比进行生产，乙方在生</w:t>
      </w:r>
      <w:r>
        <w:rPr>
          <w:rFonts w:hint="eastAsia" w:ascii="仿宋_GB2312" w:hAnsi="仿宋_GB2312" w:eastAsia="仿宋_GB2312" w:cs="仿宋_GB2312"/>
          <w:sz w:val="24"/>
        </w:rPr>
        <w:t xml:space="preserve"> 产过程中，甲方有权派试验员进行监控,但甲方试验员</w:t>
      </w:r>
      <w:r>
        <w:rPr>
          <w:rFonts w:hint="eastAsia" w:ascii="仿宋_GB2312" w:hAnsi="仿宋_GB2312" w:eastAsia="仿宋_GB2312" w:cs="仿宋_GB2312"/>
          <w:spacing w:val="-1"/>
          <w:sz w:val="24"/>
        </w:rPr>
        <w:t>的监控不能减轻或免除乙</w:t>
      </w:r>
      <w:r>
        <w:rPr>
          <w:rFonts w:hint="eastAsia" w:ascii="仿宋_GB2312" w:hAnsi="仿宋_GB2312" w:eastAsia="仿宋_GB2312" w:cs="仿宋_GB2312"/>
          <w:sz w:val="24"/>
        </w:rPr>
        <w:t xml:space="preserve"> </w:t>
      </w:r>
      <w:r>
        <w:rPr>
          <w:rFonts w:hint="eastAsia" w:ascii="仿宋_GB2312" w:hAnsi="仿宋_GB2312" w:eastAsia="仿宋_GB2312" w:cs="仿宋_GB2312"/>
          <w:spacing w:val="-1"/>
          <w:sz w:val="24"/>
        </w:rPr>
        <w:t>方的产品和技术责任。</w:t>
      </w:r>
    </w:p>
    <w:p>
      <w:pPr>
        <w:adjustRightInd w:val="0"/>
        <w:spacing w:line="440" w:lineRule="exact"/>
        <w:jc w:val="center"/>
        <w:textAlignment w:val="baseline"/>
        <w:rPr>
          <w:rFonts w:hint="eastAsia" w:ascii="宋体" w:hAnsi="宋体"/>
        </w:rPr>
      </w:pPr>
      <w:r>
        <w:rPr>
          <w:rFonts w:hint="eastAsia" w:ascii="仿宋_GB2312" w:hAnsi="仿宋_GB2312" w:eastAsia="仿宋_GB2312" w:cs="仿宋_GB2312"/>
          <w:spacing w:val="-1"/>
          <w:sz w:val="24"/>
        </w:rPr>
        <w:t>5、若在合同执行过程中国家颁布新的标准，则按最新标准执行</w:t>
      </w: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Style w:val="16"/>
        <w:rPr>
          <w:rFonts w:hint="eastAsia"/>
        </w:rPr>
      </w:pPr>
    </w:p>
    <w:p>
      <w:pPr>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b/>
          <w:sz w:val="28"/>
          <w:szCs w:val="28"/>
          <w:lang w:val="en-US" w:eastAsia="zh-CN"/>
        </w:rPr>
      </w:pPr>
      <w:r>
        <w:rPr>
          <w:rFonts w:hint="eastAsia" w:ascii="宋体" w:hAnsi="宋体" w:eastAsia="宋体"/>
          <w:b/>
          <w:sz w:val="28"/>
          <w:szCs w:val="28"/>
          <w:lang w:val="en-US" w:eastAsia="zh-CN"/>
        </w:rPr>
        <w:t>SJ-01技术规格书</w:t>
      </w:r>
    </w:p>
    <w:p>
      <w:pPr>
        <w:spacing w:line="480" w:lineRule="exact"/>
        <w:rPr>
          <w:sz w:val="18"/>
          <w:szCs w:val="18"/>
        </w:rPr>
      </w:pPr>
      <w:bookmarkStart w:id="46" w:name="_Toc22668"/>
      <w:bookmarkStart w:id="47" w:name="_Toc458941617"/>
      <w:bookmarkStart w:id="48" w:name="_Toc9209"/>
      <w:r>
        <w:rPr>
          <w:rFonts w:hint="eastAsia"/>
          <w:sz w:val="18"/>
          <w:szCs w:val="18"/>
        </w:rPr>
        <w:t>1.招标物资名称及技术要求</w:t>
      </w:r>
      <w:bookmarkEnd w:id="46"/>
      <w:bookmarkEnd w:id="47"/>
      <w:bookmarkEnd w:id="48"/>
      <w:r>
        <w:rPr>
          <w:rFonts w:hint="eastAsia"/>
          <w:sz w:val="18"/>
          <w:szCs w:val="18"/>
        </w:rPr>
        <w:t>及交货状态</w:t>
      </w:r>
    </w:p>
    <w:p>
      <w:pPr>
        <w:spacing w:line="480" w:lineRule="exact"/>
        <w:rPr>
          <w:sz w:val="18"/>
          <w:szCs w:val="18"/>
        </w:rPr>
      </w:pPr>
      <w:r>
        <w:rPr>
          <w:rFonts w:hint="eastAsia"/>
          <w:sz w:val="18"/>
          <w:szCs w:val="18"/>
        </w:rPr>
        <w:t>本次招标物资：</w:t>
      </w:r>
      <w:r>
        <w:rPr>
          <w:rFonts w:hint="eastAsia"/>
          <w:sz w:val="18"/>
          <w:szCs w:val="18"/>
          <w:lang w:val="en-US" w:eastAsia="zh-CN"/>
        </w:rPr>
        <w:t>砂浆</w:t>
      </w:r>
      <w:r>
        <w:rPr>
          <w:rFonts w:hint="eastAsia"/>
          <w:sz w:val="18"/>
          <w:szCs w:val="18"/>
        </w:rPr>
        <w:t>；满足技术标准及要求：《</w:t>
      </w:r>
      <w:r>
        <w:rPr>
          <w:rFonts w:hint="eastAsia"/>
          <w:szCs w:val="21"/>
        </w:rPr>
        <w:t>GB/T25181-2019</w:t>
      </w:r>
      <w:r>
        <w:rPr>
          <w:rFonts w:hint="eastAsia"/>
          <w:sz w:val="18"/>
          <w:szCs w:val="18"/>
        </w:rPr>
        <w:t>》 ；交货状态：运至现场，落地交货（含卸车），业主验收通过为准。</w:t>
      </w:r>
    </w:p>
    <w:p>
      <w:pPr>
        <w:rPr>
          <w:szCs w:val="21"/>
        </w:rPr>
      </w:pPr>
      <w:r>
        <w:rPr>
          <w:rFonts w:hint="eastAsia"/>
          <w:szCs w:val="21"/>
          <w:lang w:val="en-US" w:eastAsia="zh-CN"/>
        </w:rPr>
        <w:t>1.</w:t>
      </w:r>
      <w:r>
        <w:rPr>
          <w:rFonts w:hint="eastAsia"/>
          <w:szCs w:val="21"/>
        </w:rPr>
        <w:t>2砂浆。</w:t>
      </w:r>
    </w:p>
    <w:p>
      <w:pPr>
        <w:widowControl/>
        <w:ind w:firstLine="420" w:firstLineChars="200"/>
        <w:jc w:val="left"/>
        <w:rPr>
          <w:szCs w:val="21"/>
        </w:rPr>
      </w:pPr>
      <w:r>
        <w:rPr>
          <w:rFonts w:hint="eastAsia"/>
          <w:szCs w:val="21"/>
        </w:rPr>
        <w:t>满足技术标准《GB/T25181-2019》的</w:t>
      </w:r>
      <w:bookmarkStart w:id="49" w:name="_Toc458941619"/>
      <w:bookmarkStart w:id="50" w:name="_Toc452401919"/>
      <w:bookmarkStart w:id="51" w:name="_Toc22491"/>
      <w:bookmarkStart w:id="52" w:name="_Toc4949"/>
      <w:bookmarkStart w:id="53" w:name="_Toc428768209"/>
      <w:r>
        <w:rPr>
          <w:rFonts w:hint="eastAsia"/>
          <w:szCs w:val="21"/>
        </w:rPr>
        <w:t>要求</w:t>
      </w:r>
      <w:bookmarkEnd w:id="49"/>
      <w:bookmarkEnd w:id="50"/>
      <w:bookmarkEnd w:id="51"/>
      <w:bookmarkEnd w:id="52"/>
      <w:bookmarkEnd w:id="53"/>
    </w:p>
    <w:p>
      <w:pPr>
        <w:pStyle w:val="16"/>
      </w:pPr>
      <w:r>
        <w:drawing>
          <wp:inline distT="0" distB="0" distL="114300" distR="114300">
            <wp:extent cx="4509135" cy="5981700"/>
            <wp:effectExtent l="0" t="0" r="1206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tretch>
                      <a:fillRect/>
                    </a:stretch>
                  </pic:blipFill>
                  <pic:spPr>
                    <a:xfrm>
                      <a:off x="0" y="0"/>
                      <a:ext cx="4509135" cy="5981700"/>
                    </a:xfrm>
                    <a:prstGeom prst="rect">
                      <a:avLst/>
                    </a:prstGeom>
                    <a:noFill/>
                    <a:ln>
                      <a:noFill/>
                    </a:ln>
                  </pic:spPr>
                </pic:pic>
              </a:graphicData>
            </a:graphic>
          </wp:inline>
        </w:drawing>
      </w:r>
    </w:p>
    <w:p>
      <w:pPr>
        <w:pStyle w:val="16"/>
      </w:pPr>
    </w:p>
    <w:p>
      <w:pPr>
        <w:pStyle w:val="16"/>
      </w:pPr>
    </w:p>
    <w:p>
      <w:pPr>
        <w:pStyle w:val="16"/>
      </w:pPr>
    </w:p>
    <w:p>
      <w:pPr>
        <w:pStyle w:val="16"/>
      </w:pPr>
    </w:p>
    <w:p>
      <w:pPr>
        <w:pStyle w:val="16"/>
      </w:pPr>
    </w:p>
    <w:p>
      <w:pPr>
        <w:pStyle w:val="16"/>
      </w:pPr>
    </w:p>
    <w:p>
      <w:pPr>
        <w:pStyle w:val="16"/>
      </w:pPr>
    </w:p>
    <w:p>
      <w:pPr>
        <w:bidi w:val="0"/>
        <w:spacing w:line="360" w:lineRule="auto"/>
        <w:jc w:val="center"/>
        <w:rPr>
          <w:rFonts w:hint="eastAsia"/>
          <w:b/>
          <w:bCs/>
          <w:highlight w:val="none"/>
          <w:lang w:val="en-US" w:eastAsia="zh-CN"/>
        </w:rPr>
      </w:pPr>
      <w:r>
        <w:rPr>
          <w:rFonts w:hint="eastAsia"/>
          <w:lang w:val="en-US" w:eastAsia="zh-CN"/>
        </w:rPr>
        <w:t>庆盛枢纽CL-01</w:t>
      </w:r>
      <w:r>
        <w:rPr>
          <w:rFonts w:hint="eastAsia"/>
          <w:b/>
          <w:bCs/>
          <w:highlight w:val="none"/>
          <w:lang w:val="en-US" w:eastAsia="zh-CN"/>
        </w:rPr>
        <w:t>混凝土</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一、总则</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1.1本次招标的混凝土所描述的技术说明仅供招标响应人在编制报价文件时做参考,其中如有相关的说明、要求和工程数量等与设计文件和有关的规范、规定、验收标准等有冲突的情况，应以设计文件和有关的规范、规定、验收标准为准。</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1.2招标响应人在满足本次招标的有关资质的前提下，必须熟练掌握并执行有关国家法规、行规及有关交通工程材料专业技术设计与施工规范，以便能够更好地做好成交后的售后服务工作。</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1.3招标响应人在成交后的供货期间，生产作业及运输应符合环境保护及国家相关安全要求，严格贯彻国家及相关部门颁发的生产规范、规程，严格按规操作。</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1.4招标文件中的材料规格数量仅供报价中参考用，具体供应材料规格数量以施工图为准。</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1.5本说明中的专业技术要求为主要技术指导性原则，详细的施工技术要求、施工作业规定均应遵守国家及相关行业部门的强制规范及规定。</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1.6.施工过程中满足业主、监理、质监站、甲方上级单位及上级检测部门的质量要求。</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1.7.在工程实施过程中，所引用的国家或行业标准或规范如果有修改或新颁，应由竞争性招标组织单位决定是否适用新标准或新规范，对此招标响应人应予理解并承担风险。</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二、采购物资技术要求：</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2.1执行标准</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乙方负责提供混凝土出厂合格证；交货检验按《预拌混凝土生产施工技术规程》DBJ12-42-2012和《混凝土结构工程质量验收规范》GB/T50204执行，强度试验结果评定以GB/T50107-2019《混凝土强度检验标准》。乙方供应材料质量应符合工程建设单位为本工程编制的《招标文件》、施工图设计及其引用的相关国家或行业标准与规范《预拌混凝土》（GB/T 14902-2012）、《混凝土结构耐久性设计标准》（GB/T50476-2019）、《混凝土质量控制标准》（GB 50164-2011）、符合中华人民共和国《预拌混凝土》GB/T14902-2012标准。符合强度试验结果评定以《混凝土强度检验评定标准》GB/T50107-2019、水泥质量符合《通用硅酸盐水泥》GB/175-2007、粉煤灰质量符合《用于水泥和混凝土中的粉煤灰》GB/T1596-2017、矿粉符合《用于水泥和混凝土中的粒化高炉矿渣粉》GB/T18046-2017、混凝土用细骨料应符合《建筑用砂》GB/T14684-2022、混凝土用粗骨料应符合《建筑用卵石、碎石》GB/T14685-2022、混凝土用外加剂质量符合《混凝土外加剂》GB8076-2008、使用应符合《混凝土外加剂应用技术规范》GB/50119-2013、拌合水其品质应符合《混凝土用水标准》JGJ63-2006、混凝土质量控制标准应符合《混凝土质量控制标准》GB50164-2011、《混凝土结构设计规范》GB50010-2010(2015年版）、《地下工程防水技术规范》GB50108-2008、混凝土用外加剂质量符合《混凝土外加剂应用技术规范》（GB50119-2013）的要求。上述标准出现不一致的，应执行最严格最新的标准。在项目开工至通过交工验收之日，国家、行业标准或规范出现修改或新颁，由竞争性招标组织单位决定是否采用新标准或新规范，价格不因标准和规范适用的变化而调整。</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2.2包装、标志和质量证明书执行相关国家标准。</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2.3检查及验收：乙方签发的送货单、出厂检测报告。必须准确填写车号、混凝土强度等级、塌落度、数量、使用部位和发货时间、到工地时间及卸货时间。</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三、检验与验收</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3.1混凝土供货现场卸货前对乙方所供混凝土数量进行验收，以乙方提供的配合比为依据计算重量标准，并指定联系人签认乙方的送货单。甲方可采取过磅形式随时对混凝土进行每车检查，如结果与乙方送货单数量误差在±2%以内，视为双方认可；如任意一车结果数量负差超过2%，则本批次结算数量按缺少比例同比例扣除。</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3.2应按订货要求提供合格产品，混凝土送至工地后，甲乙双方应在20分钟内实测混凝土拌合物的坍落度，和易性等指标。若所供应的混凝土拌合物、坍落度、和易性等指标不符合要求，甲方有权拒收。并要求乙方在45分钟之内保证后续合格混凝土供应至现场。如后续供应混凝土还无法满足订货要求，第一次出现甲方将以书面形式对乙方提出警告，第二次出现时甲方视情节严重性对乙方进行处罚10000元/次并赔偿因此给甲方造成的损失；出现三次以上甲方有权新增供应单位，同时乙方不得以任何理由进行调价或终止合同。</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3.3主要性能未详尽部分及不妥之处按国家颁布执行的最新标准及相关引用标准执行。</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四、合同交货计划</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详细交货计划和具体供货时间由甲方按需提供。</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五、招标物资详细的运输和供应方案</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5.1招标响应人交付的物资应分别按照合同要求交至指定的到货地点。</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5.2招标响应人应充分考虑和了解施工地点的地理位置和运输条件，采用合适有效的运输和货物交付方式，制定保证工程所需物资按时、按量供应的具体措施。</w:t>
      </w:r>
    </w:p>
    <w:p>
      <w:pPr>
        <w:spacing w:line="360" w:lineRule="auto"/>
        <w:ind w:firstLine="422" w:firstLineChars="200"/>
        <w:jc w:val="left"/>
        <w:rPr>
          <w:rFonts w:hint="eastAsia" w:ascii="宋体" w:hAnsi="宋体"/>
          <w:b/>
          <w:bCs/>
          <w:szCs w:val="21"/>
          <w:highlight w:val="none"/>
        </w:rPr>
      </w:pPr>
      <w:r>
        <w:rPr>
          <w:rFonts w:hint="eastAsia" w:ascii="宋体" w:hAnsi="宋体"/>
          <w:b/>
          <w:bCs/>
          <w:szCs w:val="21"/>
          <w:highlight w:val="none"/>
        </w:rPr>
        <w:t>六、质量保证</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6.1确保全部工程质量达到国家和业主现行的工程质量验收有关标准、规定及设计文件要求。</w:t>
      </w:r>
    </w:p>
    <w:p>
      <w:pPr>
        <w:spacing w:line="360" w:lineRule="auto"/>
        <w:ind w:firstLine="420" w:firstLineChars="200"/>
        <w:jc w:val="left"/>
        <w:rPr>
          <w:rFonts w:hint="eastAsia" w:ascii="宋体" w:hAnsi="宋体"/>
          <w:szCs w:val="21"/>
          <w:highlight w:val="none"/>
        </w:rPr>
      </w:pPr>
      <w:r>
        <w:rPr>
          <w:rFonts w:hint="eastAsia" w:ascii="宋体" w:hAnsi="宋体"/>
          <w:szCs w:val="21"/>
          <w:highlight w:val="none"/>
        </w:rPr>
        <w:t>6.2乙方对供应的混凝土质量终身负责。甲方使用后出现工程质量问题，并经第三方机构检验确认是由乙方混凝土质量缺陷引起的，乙方须承担该质量缺陷工程所有直接经济损失。</w:t>
      </w:r>
    </w:p>
    <w:p>
      <w:pPr>
        <w:bidi w:val="0"/>
        <w:spacing w:line="360" w:lineRule="auto"/>
        <w:jc w:val="center"/>
        <w:rPr>
          <w:rFonts w:hint="eastAsia"/>
          <w:b/>
          <w:bCs/>
          <w:highlight w:val="none"/>
          <w:lang w:val="en-US" w:eastAsia="zh-CN"/>
        </w:rPr>
      </w:pPr>
      <w:r>
        <w:rPr>
          <w:rFonts w:hint="eastAsia"/>
          <w:b/>
          <w:bCs/>
          <w:highlight w:val="none"/>
          <w:lang w:val="en-US" w:eastAsia="zh-CN"/>
        </w:rPr>
        <w:t>水泥</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1．招标物资名称及技术要求。</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1.1</w:t>
      </w:r>
      <w:r>
        <w:rPr>
          <w:rFonts w:ascii="宋体" w:hAnsi="宋体"/>
          <w:szCs w:val="21"/>
          <w:highlight w:val="none"/>
        </w:rPr>
        <w:t>普通硅酸盐水泥</w:t>
      </w:r>
      <w:r>
        <w:rPr>
          <w:rFonts w:hint="eastAsia" w:ascii="宋体" w:hAnsi="宋体"/>
          <w:szCs w:val="21"/>
          <w:highlight w:val="none"/>
        </w:rPr>
        <w:t>、硅酸盐水泥、矿渣硅酸盐水泥、复合硅酸盐水泥</w:t>
      </w:r>
    </w:p>
    <w:p>
      <w:pPr>
        <w:spacing w:line="360" w:lineRule="auto"/>
        <w:ind w:firstLine="420" w:firstLineChars="200"/>
        <w:rPr>
          <w:rFonts w:hint="eastAsia" w:ascii="宋体" w:hAnsi="宋体"/>
          <w:szCs w:val="21"/>
          <w:highlight w:val="none"/>
        </w:rPr>
      </w:pPr>
      <w:r>
        <w:rPr>
          <w:rFonts w:hint="eastAsia" w:ascii="宋体" w:hAnsi="宋体"/>
          <w:szCs w:val="21"/>
          <w:highlight w:val="none"/>
        </w:rPr>
        <w:t>水泥及矿物掺和料的技术要求除满足国标</w:t>
      </w:r>
      <w:r>
        <w:rPr>
          <w:rFonts w:ascii="宋体" w:hAnsi="宋体"/>
          <w:szCs w:val="21"/>
          <w:highlight w:val="none"/>
        </w:rPr>
        <w:t>GB175-20</w:t>
      </w:r>
      <w:r>
        <w:rPr>
          <w:rFonts w:hint="eastAsia" w:ascii="宋体" w:hAnsi="宋体"/>
          <w:szCs w:val="21"/>
          <w:highlight w:val="none"/>
        </w:rPr>
        <w:t>23的相关规定，还应满足《预拌砂浆应用技术规程》（JGJ/T223-2010）中的相关规定：</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低碱水泥的技术要求、检验方法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222"/>
        <w:gridCol w:w="3282"/>
        <w:gridCol w:w="2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81" w:type="dxa"/>
            <w:vMerge w:val="restart"/>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序号</w:t>
            </w:r>
          </w:p>
        </w:tc>
        <w:tc>
          <w:tcPr>
            <w:tcW w:w="2222" w:type="dxa"/>
            <w:vMerge w:val="restart"/>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检验项目</w:t>
            </w:r>
          </w:p>
        </w:tc>
        <w:tc>
          <w:tcPr>
            <w:tcW w:w="3282" w:type="dxa"/>
            <w:vMerge w:val="restart"/>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技术要求</w:t>
            </w:r>
          </w:p>
        </w:tc>
        <w:tc>
          <w:tcPr>
            <w:tcW w:w="2634" w:type="dxa"/>
            <w:vMerge w:val="restart"/>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81" w:type="dxa"/>
            <w:vMerge w:val="continue"/>
            <w:noWrap w:val="0"/>
            <w:vAlign w:val="center"/>
          </w:tcPr>
          <w:p>
            <w:pPr>
              <w:spacing w:line="360" w:lineRule="auto"/>
              <w:rPr>
                <w:rFonts w:hint="eastAsia" w:ascii="宋体" w:hAnsi="宋体" w:cs="宋体"/>
                <w:szCs w:val="21"/>
                <w:highlight w:val="none"/>
              </w:rPr>
            </w:pPr>
          </w:p>
        </w:tc>
        <w:tc>
          <w:tcPr>
            <w:tcW w:w="2222" w:type="dxa"/>
            <w:vMerge w:val="continue"/>
            <w:noWrap w:val="0"/>
            <w:vAlign w:val="center"/>
          </w:tcPr>
          <w:p>
            <w:pPr>
              <w:spacing w:line="360" w:lineRule="auto"/>
              <w:rPr>
                <w:rFonts w:hint="eastAsia" w:ascii="宋体" w:hAnsi="宋体" w:cs="宋体"/>
                <w:szCs w:val="21"/>
                <w:highlight w:val="none"/>
              </w:rPr>
            </w:pPr>
          </w:p>
        </w:tc>
        <w:tc>
          <w:tcPr>
            <w:tcW w:w="3282" w:type="dxa"/>
            <w:vMerge w:val="continue"/>
            <w:noWrap w:val="0"/>
            <w:vAlign w:val="center"/>
          </w:tcPr>
          <w:p>
            <w:pPr>
              <w:spacing w:line="360" w:lineRule="auto"/>
              <w:rPr>
                <w:rFonts w:hint="eastAsia" w:ascii="宋体" w:hAnsi="宋体" w:cs="宋体"/>
                <w:szCs w:val="21"/>
                <w:highlight w:val="none"/>
              </w:rPr>
            </w:pPr>
          </w:p>
        </w:tc>
        <w:tc>
          <w:tcPr>
            <w:tcW w:w="2634" w:type="dxa"/>
            <w:vMerge w:val="continue"/>
            <w:noWrap w:val="0"/>
            <w:vAlign w:val="center"/>
          </w:tcPr>
          <w:p>
            <w:pPr>
              <w:spacing w:line="360" w:lineRule="auto"/>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1"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比表面积</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300～350</w:t>
            </w:r>
            <w:r>
              <w:rPr>
                <w:rFonts w:ascii="宋体" w:hAnsi="宋体"/>
                <w:szCs w:val="21"/>
                <w:highlight w:val="none"/>
              </w:rPr>
              <w:t xml:space="preserve"> m</w:t>
            </w:r>
            <w:r>
              <w:rPr>
                <w:rFonts w:ascii="宋体" w:hAnsi="宋体"/>
                <w:szCs w:val="21"/>
                <w:highlight w:val="none"/>
                <w:vertAlign w:val="superscript"/>
              </w:rPr>
              <w:t>2</w:t>
            </w:r>
            <w:r>
              <w:rPr>
                <w:rFonts w:ascii="宋体" w:hAnsi="宋体"/>
                <w:szCs w:val="21"/>
                <w:highlight w:val="none"/>
              </w:rPr>
              <w:t>/Kg</w:t>
            </w:r>
            <w:r>
              <w:rPr>
                <w:rFonts w:hint="eastAsia" w:ascii="宋体" w:hAnsi="宋体" w:cs="宋体"/>
                <w:szCs w:val="21"/>
                <w:highlight w:val="none"/>
              </w:rPr>
              <w:t>（对硅酸盐水泥、普通硅酸盐水泥）</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GB/T8074</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2</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凝结时间</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初凝≥</w:t>
            </w:r>
            <w:r>
              <w:rPr>
                <w:rFonts w:ascii="宋体" w:hAnsi="宋体"/>
                <w:szCs w:val="21"/>
                <w:highlight w:val="none"/>
              </w:rPr>
              <w:t>45min</w:t>
            </w:r>
            <w:r>
              <w:rPr>
                <w:rFonts w:hint="eastAsia" w:ascii="宋体" w:hAnsi="宋体" w:cs="宋体"/>
                <w:szCs w:val="21"/>
                <w:highlight w:val="none"/>
              </w:rPr>
              <w:t>，终凝≤</w:t>
            </w:r>
            <w:r>
              <w:rPr>
                <w:rFonts w:ascii="宋体" w:hAnsi="宋体"/>
                <w:szCs w:val="21"/>
                <w:highlight w:val="none"/>
              </w:rPr>
              <w:t>600min</w:t>
            </w:r>
            <w:r>
              <w:rPr>
                <w:rFonts w:hint="eastAsia" w:ascii="宋体" w:hAnsi="宋体" w:cs="宋体"/>
                <w:szCs w:val="21"/>
                <w:highlight w:val="none"/>
              </w:rPr>
              <w:t>（硅酸盐水泥终凝≤</w:t>
            </w:r>
            <w:r>
              <w:rPr>
                <w:rFonts w:ascii="宋体" w:hAnsi="宋体"/>
                <w:szCs w:val="21"/>
                <w:highlight w:val="none"/>
              </w:rPr>
              <w:t>390min</w:t>
            </w:r>
            <w:r>
              <w:rPr>
                <w:rFonts w:hint="eastAsia" w:ascii="宋体" w:hAnsi="宋体" w:cs="宋体"/>
                <w:szCs w:val="21"/>
                <w:highlight w:val="none"/>
              </w:rPr>
              <w:t>）</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GB/T1346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3</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安定性</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沸煮法合格</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GB/T1346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4</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强度</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详见</w:t>
            </w:r>
            <w:r>
              <w:rPr>
                <w:rFonts w:hint="eastAsia" w:ascii="宋体" w:hAnsi="宋体"/>
                <w:szCs w:val="21"/>
                <w:highlight w:val="none"/>
              </w:rPr>
              <w:t>T</w:t>
            </w:r>
            <w:r>
              <w:rPr>
                <w:rFonts w:ascii="宋体" w:hAnsi="宋体"/>
                <w:szCs w:val="21"/>
                <w:highlight w:val="none"/>
              </w:rPr>
              <w:t>B</w:t>
            </w:r>
            <w:r>
              <w:rPr>
                <w:rFonts w:hint="eastAsia" w:ascii="宋体" w:hAnsi="宋体"/>
                <w:szCs w:val="21"/>
                <w:highlight w:val="none"/>
              </w:rPr>
              <w:t>10424-2010</w:t>
            </w:r>
            <w:r>
              <w:rPr>
                <w:rFonts w:hint="eastAsia" w:ascii="宋体" w:hAnsi="宋体" w:cs="宋体"/>
                <w:szCs w:val="21"/>
                <w:highlight w:val="none"/>
              </w:rPr>
              <w:t>表</w:t>
            </w:r>
            <w:r>
              <w:rPr>
                <w:rFonts w:hint="eastAsia" w:ascii="宋体" w:hAnsi="宋体"/>
                <w:szCs w:val="21"/>
                <w:highlight w:val="none"/>
              </w:rPr>
              <w:t>6.2.1-2</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GB/T17671</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5</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烧失量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szCs w:val="21"/>
                <w:highlight w:val="none"/>
              </w:rPr>
              <w:t>5.0%</w:t>
            </w:r>
            <w:r>
              <w:rPr>
                <w:rFonts w:hint="eastAsia" w:ascii="宋体" w:hAnsi="宋体" w:cs="宋体"/>
                <w:szCs w:val="21"/>
                <w:highlight w:val="none"/>
              </w:rPr>
              <w:t>（</w:t>
            </w:r>
            <w:r>
              <w:rPr>
                <w:rFonts w:ascii="宋体" w:hAnsi="宋体"/>
                <w:szCs w:val="21"/>
                <w:highlight w:val="none"/>
              </w:rPr>
              <w:t>P.O</w:t>
            </w:r>
            <w:r>
              <w:rPr>
                <w:rFonts w:hint="eastAsia" w:ascii="宋体" w:hAnsi="宋体" w:cs="宋体"/>
                <w:szCs w:val="21"/>
                <w:highlight w:val="none"/>
              </w:rPr>
              <w:t>）；≤</w:t>
            </w:r>
            <w:r>
              <w:rPr>
                <w:rFonts w:ascii="宋体" w:hAnsi="宋体"/>
                <w:szCs w:val="21"/>
                <w:highlight w:val="none"/>
              </w:rPr>
              <w:t>3.5%</w:t>
            </w:r>
            <w:r>
              <w:rPr>
                <w:rFonts w:hint="eastAsia" w:ascii="宋体" w:hAnsi="宋体" w:cs="宋体"/>
                <w:szCs w:val="21"/>
                <w:highlight w:val="none"/>
              </w:rPr>
              <w:t>（</w:t>
            </w:r>
            <w:r>
              <w:rPr>
                <w:rFonts w:ascii="宋体" w:hAnsi="宋体"/>
                <w:szCs w:val="21"/>
                <w:highlight w:val="none"/>
              </w:rPr>
              <w:t>P.</w:t>
            </w:r>
            <w:r>
              <w:rPr>
                <w:rFonts w:hint="eastAsia" w:ascii="宋体" w:hAnsi="宋体" w:cs="宋体"/>
                <w:szCs w:val="21"/>
                <w:highlight w:val="none"/>
              </w:rPr>
              <w:t>Ⅱ）；≤</w:t>
            </w:r>
            <w:r>
              <w:rPr>
                <w:rFonts w:ascii="宋体" w:hAnsi="宋体"/>
                <w:szCs w:val="21"/>
                <w:highlight w:val="none"/>
              </w:rPr>
              <w:t>3.0%</w:t>
            </w:r>
            <w:r>
              <w:rPr>
                <w:rFonts w:hint="eastAsia" w:ascii="宋体" w:hAnsi="宋体" w:cs="宋体"/>
                <w:szCs w:val="21"/>
                <w:highlight w:val="none"/>
              </w:rPr>
              <w:t>（</w:t>
            </w:r>
            <w:r>
              <w:rPr>
                <w:rFonts w:ascii="宋体" w:hAnsi="宋体"/>
                <w:szCs w:val="21"/>
                <w:highlight w:val="none"/>
              </w:rPr>
              <w:t>P.</w:t>
            </w:r>
            <w:r>
              <w:rPr>
                <w:rFonts w:hint="eastAsia" w:ascii="宋体" w:hAnsi="宋体" w:cs="宋体"/>
                <w:szCs w:val="21"/>
                <w:highlight w:val="none"/>
              </w:rPr>
              <w:t>Ⅰ）</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6</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游离氧化钙</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szCs w:val="21"/>
                <w:highlight w:val="none"/>
              </w:rPr>
              <w:t>1.0%</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hint="eastAsia" w:ascii="宋体" w:hAnsi="宋体"/>
                <w:szCs w:val="21"/>
                <w:highlight w:val="none"/>
              </w:rPr>
              <w:t>7</w:t>
            </w:r>
          </w:p>
        </w:tc>
        <w:tc>
          <w:tcPr>
            <w:tcW w:w="2222" w:type="dxa"/>
            <w:noWrap w:val="0"/>
            <w:vAlign w:val="center"/>
          </w:tcPr>
          <w:p>
            <w:pPr>
              <w:spacing w:line="360" w:lineRule="auto"/>
              <w:rPr>
                <w:rFonts w:hint="eastAsia" w:ascii="宋体" w:hAnsi="宋体"/>
                <w:szCs w:val="21"/>
                <w:highlight w:val="none"/>
              </w:rPr>
            </w:pPr>
            <w:r>
              <w:rPr>
                <w:rFonts w:hint="eastAsia" w:ascii="宋体" w:hAnsi="宋体" w:cs="宋体"/>
                <w:szCs w:val="21"/>
                <w:highlight w:val="none"/>
              </w:rPr>
              <w:t>氧化钙</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1.</w:t>
            </w:r>
            <w:r>
              <w:rPr>
                <w:rFonts w:hint="eastAsia" w:ascii="宋体" w:hAnsi="宋体" w:cs="宋体"/>
                <w:szCs w:val="21"/>
                <w:highlight w:val="none"/>
              </w:rPr>
              <w:t>5</w:t>
            </w:r>
            <w:r>
              <w:rPr>
                <w:rFonts w:ascii="宋体" w:hAnsi="宋体" w:cs="宋体"/>
                <w:szCs w:val="21"/>
                <w:highlight w:val="none"/>
              </w:rPr>
              <w:t>%</w:t>
            </w:r>
            <w:r>
              <w:rPr>
                <w:rFonts w:hint="eastAsia" w:ascii="宋体" w:hAnsi="宋体" w:cs="宋体"/>
                <w:szCs w:val="21"/>
                <w:highlight w:val="none"/>
              </w:rPr>
              <w:t>（梁）</w:t>
            </w:r>
          </w:p>
        </w:tc>
        <w:tc>
          <w:tcPr>
            <w:tcW w:w="2634" w:type="dxa"/>
            <w:noWrap w:val="0"/>
            <w:vAlign w:val="center"/>
          </w:tcPr>
          <w:p>
            <w:pPr>
              <w:spacing w:line="360" w:lineRule="auto"/>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hint="eastAsia" w:ascii="宋体" w:hAnsi="宋体"/>
                <w:szCs w:val="21"/>
                <w:highlight w:val="none"/>
              </w:rPr>
              <w:t>8</w:t>
            </w:r>
          </w:p>
        </w:tc>
        <w:tc>
          <w:tcPr>
            <w:tcW w:w="2222" w:type="dxa"/>
            <w:noWrap w:val="0"/>
            <w:vAlign w:val="center"/>
          </w:tcPr>
          <w:p>
            <w:pPr>
              <w:spacing w:line="360" w:lineRule="auto"/>
              <w:rPr>
                <w:rFonts w:hint="eastAsia" w:ascii="宋体" w:hAnsi="宋体"/>
                <w:szCs w:val="21"/>
                <w:highlight w:val="none"/>
              </w:rPr>
            </w:pPr>
            <w:r>
              <w:rPr>
                <w:rFonts w:ascii="宋体" w:hAnsi="宋体"/>
                <w:szCs w:val="21"/>
                <w:highlight w:val="none"/>
              </w:rPr>
              <w:t>MgO</w:t>
            </w:r>
            <w:r>
              <w:rPr>
                <w:rFonts w:hint="eastAsia" w:ascii="宋体" w:hAnsi="宋体"/>
                <w:szCs w:val="21"/>
                <w:highlight w:val="none"/>
              </w:rPr>
              <w:t>含量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5.0%</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hint="eastAsia" w:ascii="宋体" w:hAnsi="宋体"/>
                <w:szCs w:val="21"/>
                <w:highlight w:val="none"/>
              </w:rPr>
              <w:t>9</w:t>
            </w:r>
          </w:p>
        </w:tc>
        <w:tc>
          <w:tcPr>
            <w:tcW w:w="2222" w:type="dxa"/>
            <w:noWrap w:val="0"/>
            <w:vAlign w:val="center"/>
          </w:tcPr>
          <w:p>
            <w:pPr>
              <w:spacing w:line="360" w:lineRule="auto"/>
              <w:rPr>
                <w:rFonts w:hint="eastAsia" w:ascii="宋体" w:hAnsi="宋体"/>
                <w:szCs w:val="21"/>
                <w:highlight w:val="none"/>
              </w:rPr>
            </w:pPr>
            <w:r>
              <w:rPr>
                <w:rFonts w:ascii="宋体" w:hAnsi="宋体"/>
                <w:szCs w:val="21"/>
                <w:highlight w:val="none"/>
              </w:rPr>
              <w:t>SO</w:t>
            </w:r>
            <w:r>
              <w:rPr>
                <w:rFonts w:ascii="宋体" w:hAnsi="宋体"/>
                <w:szCs w:val="21"/>
                <w:highlight w:val="none"/>
                <w:vertAlign w:val="subscript"/>
              </w:rPr>
              <w:t>3</w:t>
            </w:r>
            <w:r>
              <w:rPr>
                <w:rFonts w:hint="eastAsia" w:ascii="宋体" w:hAnsi="宋体"/>
                <w:szCs w:val="21"/>
                <w:highlight w:val="none"/>
              </w:rPr>
              <w:t>含量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3.5%</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hint="eastAsia" w:ascii="宋体" w:hAnsi="宋体"/>
                <w:szCs w:val="21"/>
                <w:highlight w:val="none"/>
              </w:rPr>
              <w:t>10</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氯离子含量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0.06%</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JC/T420</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r>
              <w:rPr>
                <w:rFonts w:hint="eastAsia" w:ascii="宋体" w:hAnsi="宋体"/>
                <w:szCs w:val="21"/>
                <w:highlight w:val="none"/>
              </w:rPr>
              <w:t>1</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碱含量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低碱≤</w:t>
            </w:r>
            <w:r>
              <w:rPr>
                <w:rFonts w:ascii="宋体" w:hAnsi="宋体" w:cs="宋体"/>
                <w:szCs w:val="21"/>
                <w:highlight w:val="none"/>
              </w:rPr>
              <w:t>0.</w:t>
            </w:r>
            <w:r>
              <w:rPr>
                <w:rFonts w:hint="eastAsia" w:ascii="宋体" w:hAnsi="宋体" w:cs="宋体"/>
                <w:szCs w:val="21"/>
                <w:highlight w:val="none"/>
              </w:rPr>
              <w:t>6</w:t>
            </w:r>
            <w:r>
              <w:rPr>
                <w:rFonts w:ascii="宋体" w:hAnsi="宋体" w:cs="宋体"/>
                <w:szCs w:val="21"/>
                <w:highlight w:val="none"/>
              </w:rPr>
              <w:t>0%</w:t>
            </w:r>
            <w:r>
              <w:rPr>
                <w:rFonts w:hint="eastAsia" w:ascii="宋体" w:hAnsi="宋体" w:cs="宋体"/>
                <w:szCs w:val="21"/>
                <w:highlight w:val="none"/>
              </w:rPr>
              <w:t>，普通≤</w:t>
            </w:r>
            <w:r>
              <w:rPr>
                <w:rFonts w:ascii="宋体" w:hAnsi="宋体" w:cs="宋体"/>
                <w:szCs w:val="21"/>
                <w:highlight w:val="none"/>
              </w:rPr>
              <w:t>0.</w:t>
            </w:r>
            <w:r>
              <w:rPr>
                <w:rFonts w:hint="eastAsia" w:ascii="宋体" w:hAnsi="宋体" w:cs="宋体"/>
                <w:szCs w:val="21"/>
                <w:highlight w:val="none"/>
              </w:rPr>
              <w:t>8</w:t>
            </w:r>
            <w:r>
              <w:rPr>
                <w:rFonts w:ascii="宋体" w:hAnsi="宋体" w:cs="宋体"/>
                <w:szCs w:val="21"/>
                <w:highlight w:val="none"/>
              </w:rPr>
              <w:t>0%</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GB/T176</w:t>
            </w:r>
            <w:r>
              <w:rPr>
                <w:rFonts w:hint="eastAsia" w:ascii="宋体" w:hAnsi="宋体" w:cs="宋体"/>
                <w:szCs w:val="21"/>
                <w:highlight w:val="none"/>
              </w:rPr>
              <w:t>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r>
              <w:rPr>
                <w:rFonts w:hint="eastAsia" w:ascii="宋体" w:hAnsi="宋体"/>
                <w:szCs w:val="21"/>
                <w:highlight w:val="none"/>
              </w:rPr>
              <w:t>2</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助磨剂种类及掺量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详见</w:t>
            </w:r>
            <w:r>
              <w:rPr>
                <w:rFonts w:ascii="宋体" w:hAnsi="宋体"/>
                <w:szCs w:val="21"/>
                <w:highlight w:val="none"/>
              </w:rPr>
              <w:t>GB175-2007</w:t>
            </w:r>
            <w:r>
              <w:rPr>
                <w:rFonts w:hint="eastAsia" w:ascii="宋体" w:hAnsi="宋体" w:cs="宋体"/>
                <w:szCs w:val="21"/>
                <w:highlight w:val="none"/>
              </w:rPr>
              <w:t>的</w:t>
            </w:r>
            <w:r>
              <w:rPr>
                <w:rFonts w:ascii="宋体" w:hAnsi="宋体"/>
                <w:szCs w:val="21"/>
                <w:highlight w:val="none"/>
              </w:rPr>
              <w:t>5.2</w:t>
            </w:r>
          </w:p>
        </w:tc>
        <w:tc>
          <w:tcPr>
            <w:tcW w:w="2634" w:type="dxa"/>
            <w:vMerge w:val="restart"/>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GB175</w:t>
            </w:r>
            <w:r>
              <w:rPr>
                <w:rFonts w:hint="eastAsia" w:ascii="宋体" w:hAnsi="宋体" w:cs="宋体"/>
                <w:szCs w:val="21"/>
                <w:highlight w:val="none"/>
              </w:rPr>
              <w:t>相关规定检验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r>
              <w:rPr>
                <w:rFonts w:hint="eastAsia" w:ascii="宋体" w:hAnsi="宋体"/>
                <w:szCs w:val="21"/>
                <w:highlight w:val="none"/>
              </w:rPr>
              <w:t>3</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石膏种类及掺量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详见</w:t>
            </w:r>
            <w:r>
              <w:rPr>
                <w:rFonts w:ascii="宋体" w:hAnsi="宋体"/>
                <w:szCs w:val="21"/>
                <w:highlight w:val="none"/>
              </w:rPr>
              <w:t>GB175-2007</w:t>
            </w:r>
            <w:r>
              <w:rPr>
                <w:rFonts w:hint="eastAsia" w:ascii="宋体" w:hAnsi="宋体" w:cs="宋体"/>
                <w:szCs w:val="21"/>
                <w:highlight w:val="none"/>
              </w:rPr>
              <w:t>的</w:t>
            </w:r>
            <w:r>
              <w:rPr>
                <w:rFonts w:ascii="宋体" w:hAnsi="宋体"/>
                <w:szCs w:val="21"/>
                <w:highlight w:val="none"/>
              </w:rPr>
              <w:t>5.2</w:t>
            </w:r>
          </w:p>
        </w:tc>
        <w:tc>
          <w:tcPr>
            <w:tcW w:w="2634" w:type="dxa"/>
            <w:vMerge w:val="continue"/>
            <w:noWrap w:val="0"/>
            <w:vAlign w:val="center"/>
          </w:tcPr>
          <w:p>
            <w:pPr>
              <w:spacing w:line="360" w:lineRule="auto"/>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r>
              <w:rPr>
                <w:rFonts w:hint="eastAsia" w:ascii="宋体" w:hAnsi="宋体"/>
                <w:szCs w:val="21"/>
                <w:highlight w:val="none"/>
              </w:rPr>
              <w:t>4</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混合材种类及掺量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详见</w:t>
            </w:r>
            <w:r>
              <w:rPr>
                <w:rFonts w:ascii="宋体" w:hAnsi="宋体"/>
                <w:szCs w:val="21"/>
                <w:highlight w:val="none"/>
              </w:rPr>
              <w:t>GB175-2007</w:t>
            </w:r>
            <w:r>
              <w:rPr>
                <w:rFonts w:hint="eastAsia" w:ascii="宋体" w:hAnsi="宋体" w:cs="宋体"/>
                <w:szCs w:val="21"/>
                <w:highlight w:val="none"/>
              </w:rPr>
              <w:t>的</w:t>
            </w:r>
            <w:r>
              <w:rPr>
                <w:rFonts w:ascii="宋体" w:hAnsi="宋体"/>
                <w:szCs w:val="21"/>
                <w:highlight w:val="none"/>
              </w:rPr>
              <w:t>5.2</w:t>
            </w:r>
          </w:p>
        </w:tc>
        <w:tc>
          <w:tcPr>
            <w:tcW w:w="2634" w:type="dxa"/>
            <w:vMerge w:val="continue"/>
            <w:noWrap w:val="0"/>
            <w:vAlign w:val="center"/>
          </w:tcPr>
          <w:p>
            <w:pPr>
              <w:spacing w:line="360" w:lineRule="auto"/>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6" w:hRule="atLeast"/>
          <w:jc w:val="center"/>
        </w:trPr>
        <w:tc>
          <w:tcPr>
            <w:tcW w:w="781" w:type="dxa"/>
            <w:noWrap w:val="0"/>
            <w:vAlign w:val="center"/>
          </w:tcPr>
          <w:p>
            <w:pPr>
              <w:spacing w:line="360" w:lineRule="auto"/>
              <w:rPr>
                <w:rFonts w:hint="eastAsia" w:ascii="宋体" w:hAnsi="宋体"/>
                <w:szCs w:val="21"/>
                <w:highlight w:val="none"/>
              </w:rPr>
            </w:pPr>
            <w:r>
              <w:rPr>
                <w:rFonts w:ascii="宋体" w:hAnsi="宋体"/>
                <w:szCs w:val="21"/>
                <w:highlight w:val="none"/>
              </w:rPr>
              <w:t>1</w:t>
            </w:r>
            <w:r>
              <w:rPr>
                <w:rFonts w:hint="eastAsia" w:ascii="宋体" w:hAnsi="宋体"/>
                <w:szCs w:val="21"/>
                <w:highlight w:val="none"/>
              </w:rPr>
              <w:t>5</w:t>
            </w:r>
          </w:p>
        </w:tc>
        <w:tc>
          <w:tcPr>
            <w:tcW w:w="222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熟料中的</w:t>
            </w:r>
            <w:r>
              <w:rPr>
                <w:rFonts w:ascii="宋体" w:hAnsi="宋体"/>
                <w:szCs w:val="21"/>
                <w:highlight w:val="none"/>
              </w:rPr>
              <w:t>C</w:t>
            </w:r>
            <w:r>
              <w:rPr>
                <w:rFonts w:ascii="宋体" w:hAnsi="宋体"/>
                <w:szCs w:val="21"/>
                <w:highlight w:val="none"/>
                <w:vertAlign w:val="subscript"/>
              </w:rPr>
              <w:t>3</w:t>
            </w:r>
            <w:r>
              <w:rPr>
                <w:rFonts w:ascii="宋体" w:hAnsi="宋体"/>
                <w:szCs w:val="21"/>
                <w:highlight w:val="none"/>
              </w:rPr>
              <w:t>A</w:t>
            </w:r>
            <w:r>
              <w:rPr>
                <w:rFonts w:hint="eastAsia" w:ascii="宋体" w:hAnsi="宋体" w:cs="宋体"/>
                <w:szCs w:val="21"/>
                <w:highlight w:val="none"/>
              </w:rPr>
              <w:t>含量</w:t>
            </w:r>
          </w:p>
        </w:tc>
        <w:tc>
          <w:tcPr>
            <w:tcW w:w="3282"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w:t>
            </w:r>
            <w:r>
              <w:rPr>
                <w:rFonts w:ascii="宋体" w:hAnsi="宋体"/>
                <w:szCs w:val="21"/>
                <w:highlight w:val="none"/>
              </w:rPr>
              <w:t>8%</w:t>
            </w:r>
          </w:p>
        </w:tc>
        <w:tc>
          <w:tcPr>
            <w:tcW w:w="2634" w:type="dxa"/>
            <w:noWrap w:val="0"/>
            <w:vAlign w:val="center"/>
          </w:tcPr>
          <w:p>
            <w:pPr>
              <w:spacing w:line="360" w:lineRule="auto"/>
              <w:rPr>
                <w:rFonts w:hint="eastAsia" w:ascii="宋体" w:hAnsi="宋体" w:cs="宋体"/>
                <w:szCs w:val="21"/>
                <w:highlight w:val="none"/>
              </w:rPr>
            </w:pPr>
            <w:r>
              <w:rPr>
                <w:rFonts w:hint="eastAsia" w:ascii="宋体" w:hAnsi="宋体" w:cs="宋体"/>
                <w:szCs w:val="21"/>
                <w:highlight w:val="none"/>
              </w:rPr>
              <w:t>按</w:t>
            </w:r>
            <w:r>
              <w:rPr>
                <w:rFonts w:ascii="宋体" w:hAnsi="宋体"/>
                <w:szCs w:val="21"/>
                <w:highlight w:val="none"/>
              </w:rPr>
              <w:t>GB/T21372</w:t>
            </w:r>
            <w:r>
              <w:rPr>
                <w:rFonts w:hint="eastAsia" w:ascii="宋体" w:hAnsi="宋体" w:cs="宋体"/>
                <w:szCs w:val="21"/>
                <w:highlight w:val="none"/>
              </w:rPr>
              <w:t>检验</w:t>
            </w:r>
          </w:p>
        </w:tc>
      </w:tr>
    </w:tbl>
    <w:p>
      <w:pPr>
        <w:spacing w:line="360" w:lineRule="auto"/>
        <w:ind w:firstLine="420" w:firstLineChars="200"/>
        <w:rPr>
          <w:rFonts w:hint="eastAsia" w:ascii="宋体" w:hAnsi="宋体"/>
          <w:szCs w:val="21"/>
          <w:highlight w:val="none"/>
        </w:rPr>
      </w:pPr>
      <w:r>
        <w:rPr>
          <w:rFonts w:hint="eastAsia" w:ascii="宋体" w:hAnsi="宋体"/>
          <w:szCs w:val="21"/>
          <w:highlight w:val="none"/>
        </w:rPr>
        <w:t>注： ①骨料具有碱</w:t>
      </w:r>
      <w:r>
        <w:rPr>
          <w:rFonts w:ascii="宋体" w:hAnsi="宋体"/>
          <w:szCs w:val="21"/>
          <w:highlight w:val="none"/>
        </w:rPr>
        <w:noBreakHyphen/>
      </w:r>
      <w:r>
        <w:rPr>
          <w:rFonts w:ascii="宋体" w:hAnsi="宋体"/>
          <w:szCs w:val="21"/>
          <w:highlight w:val="none"/>
        </w:rPr>
        <w:noBreakHyphen/>
      </w:r>
      <w:r>
        <w:rPr>
          <w:rFonts w:hint="eastAsia" w:ascii="宋体" w:hAnsi="宋体"/>
          <w:szCs w:val="21"/>
          <w:highlight w:val="none"/>
        </w:rPr>
        <w:t>硅酸反应活性时，水泥的碱含量不应超过0.60%。</w:t>
      </w:r>
    </w:p>
    <w:p>
      <w:pPr>
        <w:spacing w:line="360" w:lineRule="auto"/>
        <w:ind w:firstLine="420" w:firstLineChars="200"/>
        <w:rPr>
          <w:rFonts w:hint="eastAsia" w:ascii="宋体" w:hAnsi="宋体"/>
          <w:szCs w:val="21"/>
          <w:highlight w:val="none"/>
        </w:rPr>
      </w:pPr>
      <w:r>
        <w:rPr>
          <w:rFonts w:hint="eastAsia" w:ascii="宋体" w:hAnsi="宋体"/>
          <w:szCs w:val="21"/>
          <w:highlight w:val="none"/>
        </w:rPr>
        <w:t xml:space="preserve">     ②C40及以上强度等级混凝土用水泥的碱含量不宜超过0.60%。</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1.2碱含量</w:t>
      </w:r>
    </w:p>
    <w:p>
      <w:pPr>
        <w:spacing w:line="360" w:lineRule="auto"/>
        <w:ind w:firstLine="420" w:firstLineChars="200"/>
        <w:rPr>
          <w:rFonts w:hint="eastAsia" w:ascii="宋体" w:hAnsi="宋体"/>
          <w:szCs w:val="21"/>
          <w:highlight w:val="none"/>
        </w:rPr>
      </w:pPr>
      <w:r>
        <w:rPr>
          <w:rFonts w:hint="eastAsia" w:ascii="宋体" w:hAnsi="宋体"/>
          <w:szCs w:val="21"/>
          <w:highlight w:val="none"/>
        </w:rPr>
        <w:t>高性能混凝土用低碱普通硅酸盐水泥除满足普通硅酸盐水泥上述性能指标外，碱含量不超过</w:t>
      </w:r>
      <w:r>
        <w:rPr>
          <w:rFonts w:ascii="宋体" w:hAnsi="宋体"/>
          <w:szCs w:val="21"/>
          <w:highlight w:val="none"/>
        </w:rPr>
        <w:t>0.60%</w:t>
      </w:r>
      <w:r>
        <w:rPr>
          <w:rFonts w:hint="eastAsia" w:ascii="宋体" w:hAnsi="宋体"/>
          <w:szCs w:val="21"/>
          <w:highlight w:val="none"/>
        </w:rPr>
        <w:t>。</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2.生产工艺要求。</w:t>
      </w:r>
    </w:p>
    <w:p>
      <w:pPr>
        <w:spacing w:line="360" w:lineRule="auto"/>
        <w:ind w:firstLine="420" w:firstLineChars="200"/>
        <w:rPr>
          <w:rFonts w:hint="eastAsia" w:ascii="宋体" w:hAnsi="宋体"/>
          <w:szCs w:val="21"/>
          <w:highlight w:val="none"/>
        </w:rPr>
      </w:pPr>
      <w:r>
        <w:rPr>
          <w:rFonts w:hint="eastAsia" w:ascii="宋体" w:hAnsi="宋体"/>
          <w:szCs w:val="21"/>
          <w:highlight w:val="none"/>
        </w:rPr>
        <w:t>投标产品可由投标人异地粉磨站加工生产，但为保证产品质量，投标人应在投标文件中注明，并提供粉磨站所需全部熟料来源为投标人唯一熟料生产厂的证明或承诺。</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3．质量保证期。</w:t>
      </w:r>
    </w:p>
    <w:p>
      <w:pPr>
        <w:spacing w:line="360" w:lineRule="auto"/>
        <w:ind w:firstLine="420" w:firstLineChars="200"/>
        <w:rPr>
          <w:rFonts w:hint="eastAsia" w:ascii="宋体" w:hAnsi="宋体"/>
          <w:szCs w:val="21"/>
          <w:highlight w:val="none"/>
        </w:rPr>
      </w:pPr>
      <w:r>
        <w:rPr>
          <w:rFonts w:hint="eastAsia" w:ascii="宋体" w:hAnsi="宋体"/>
          <w:szCs w:val="21"/>
          <w:highlight w:val="none"/>
        </w:rPr>
        <w:t>自物资交货验收合格之日起</w:t>
      </w:r>
      <w:r>
        <w:rPr>
          <w:rFonts w:hint="eastAsia" w:ascii="宋体" w:hAnsi="宋体"/>
          <w:szCs w:val="21"/>
          <w:highlight w:val="none"/>
          <w:lang w:val="en-US" w:eastAsia="zh-CN"/>
        </w:rPr>
        <w:t>6</w:t>
      </w:r>
      <w:r>
        <w:rPr>
          <w:rFonts w:hint="eastAsia" w:ascii="宋体" w:hAnsi="宋体"/>
          <w:szCs w:val="21"/>
          <w:highlight w:val="none"/>
        </w:rPr>
        <w:t>个月；</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4.包装。</w:t>
      </w:r>
    </w:p>
    <w:p>
      <w:pPr>
        <w:spacing w:line="360" w:lineRule="auto"/>
        <w:ind w:firstLine="420" w:firstLineChars="200"/>
        <w:rPr>
          <w:rFonts w:hint="eastAsia" w:ascii="宋体" w:hAnsi="宋体"/>
          <w:szCs w:val="21"/>
          <w:highlight w:val="none"/>
        </w:rPr>
      </w:pPr>
      <w:r>
        <w:rPr>
          <w:rFonts w:hint="eastAsia" w:ascii="宋体" w:hAnsi="宋体"/>
          <w:szCs w:val="21"/>
          <w:highlight w:val="none"/>
        </w:rPr>
        <w:t>防潮袋装交货，其它要求按国标GB175-2023执行；</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5. 出厂试验报告必须包括：</w:t>
      </w:r>
    </w:p>
    <w:p>
      <w:pPr>
        <w:spacing w:line="360" w:lineRule="auto"/>
        <w:ind w:firstLine="420" w:firstLineChars="200"/>
        <w:rPr>
          <w:rFonts w:hint="eastAsia" w:ascii="宋体" w:hAnsi="宋体"/>
          <w:szCs w:val="21"/>
          <w:highlight w:val="none"/>
        </w:rPr>
      </w:pPr>
      <w:r>
        <w:rPr>
          <w:rFonts w:hint="eastAsia" w:ascii="宋体" w:hAnsi="宋体"/>
          <w:szCs w:val="21"/>
          <w:highlight w:val="none"/>
        </w:rPr>
        <w:t>比表面积、烧失量、游离CaO含量、氧化钙、MgO含量、SO3含量、Cl－含量、细度、凝结时间、安定性、强度、碱含量、助磨剂名称及掺量、石膏名称及掺量、混合材名称及掺量、熟料C3A含量等项目。</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6. 投标物资详细的运输和供应方案。</w:t>
      </w:r>
    </w:p>
    <w:p>
      <w:pPr>
        <w:spacing w:line="360" w:lineRule="auto"/>
        <w:ind w:firstLine="420" w:firstLineChars="200"/>
        <w:rPr>
          <w:rFonts w:hint="eastAsia" w:ascii="宋体" w:hAnsi="宋体"/>
          <w:szCs w:val="21"/>
          <w:highlight w:val="none"/>
        </w:rPr>
      </w:pPr>
      <w:r>
        <w:rPr>
          <w:rFonts w:hint="eastAsia" w:ascii="宋体" w:hAnsi="宋体"/>
          <w:szCs w:val="21"/>
          <w:highlight w:val="none"/>
        </w:rPr>
        <w:t>6.1</w:t>
      </w:r>
      <w:r>
        <w:rPr>
          <w:rFonts w:ascii="宋体" w:hAnsi="宋体"/>
          <w:szCs w:val="21"/>
          <w:highlight w:val="none"/>
        </w:rPr>
        <w:t>投标人交付的物资应分别</w:t>
      </w:r>
      <w:r>
        <w:rPr>
          <w:rFonts w:hint="eastAsia" w:ascii="宋体" w:hAnsi="宋体"/>
          <w:szCs w:val="21"/>
          <w:highlight w:val="none"/>
        </w:rPr>
        <w:t>按照合同要求</w:t>
      </w:r>
      <w:r>
        <w:rPr>
          <w:rFonts w:ascii="宋体" w:hAnsi="宋体"/>
          <w:szCs w:val="21"/>
          <w:highlight w:val="none"/>
        </w:rPr>
        <w:t>交至指定的</w:t>
      </w:r>
      <w:r>
        <w:rPr>
          <w:rFonts w:hint="eastAsia" w:ascii="宋体" w:hAnsi="宋体"/>
          <w:szCs w:val="21"/>
          <w:highlight w:val="none"/>
        </w:rPr>
        <w:t>到货</w:t>
      </w:r>
      <w:r>
        <w:rPr>
          <w:rFonts w:ascii="宋体" w:hAnsi="宋体"/>
          <w:szCs w:val="21"/>
          <w:highlight w:val="none"/>
        </w:rPr>
        <w:t>地点。</w:t>
      </w:r>
    </w:p>
    <w:p>
      <w:pPr>
        <w:spacing w:line="360" w:lineRule="auto"/>
        <w:ind w:firstLine="420" w:firstLineChars="200"/>
        <w:rPr>
          <w:rFonts w:hint="eastAsia" w:ascii="宋体" w:hAnsi="宋体"/>
          <w:szCs w:val="21"/>
          <w:highlight w:val="none"/>
        </w:rPr>
      </w:pPr>
      <w:r>
        <w:rPr>
          <w:rFonts w:hint="eastAsia" w:ascii="宋体" w:hAnsi="宋体"/>
          <w:szCs w:val="21"/>
          <w:highlight w:val="none"/>
        </w:rPr>
        <w:t>6.2</w:t>
      </w:r>
      <w:r>
        <w:rPr>
          <w:rFonts w:ascii="宋体" w:hAnsi="宋体"/>
          <w:szCs w:val="21"/>
          <w:highlight w:val="none"/>
        </w:rPr>
        <w:t>投标人应充分考虑和了解施工地点的地理位置和运输条件，采用合适有效的运输和货物交付方式</w:t>
      </w:r>
      <w:r>
        <w:rPr>
          <w:rFonts w:hint="eastAsia" w:ascii="宋体" w:hAnsi="宋体"/>
          <w:szCs w:val="21"/>
          <w:highlight w:val="none"/>
        </w:rPr>
        <w:t>，制定保证工程所需物资按时、按量供应的具体措施。</w:t>
      </w:r>
    </w:p>
    <w:p>
      <w:pPr>
        <w:spacing w:line="360" w:lineRule="auto"/>
        <w:ind w:firstLine="420" w:firstLineChars="200"/>
        <w:rPr>
          <w:rFonts w:hint="eastAsia" w:ascii="宋体" w:hAnsi="宋体"/>
          <w:szCs w:val="21"/>
          <w:highlight w:val="none"/>
        </w:rPr>
      </w:pPr>
      <w:r>
        <w:rPr>
          <w:rFonts w:hint="eastAsia" w:ascii="宋体" w:hAnsi="宋体"/>
          <w:szCs w:val="21"/>
          <w:highlight w:val="none"/>
        </w:rPr>
        <w:t>6.3 运输:水泥在运输时不得受潮和混入杂物，不同品种和强度等级的水泥应分别装运，不得混杂。</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7． 散装水泥专用条款。</w:t>
      </w:r>
    </w:p>
    <w:p>
      <w:pPr>
        <w:spacing w:line="360" w:lineRule="auto"/>
        <w:ind w:firstLine="420" w:firstLineChars="200"/>
        <w:rPr>
          <w:rFonts w:hint="eastAsia" w:ascii="宋体" w:hAnsi="宋体"/>
          <w:szCs w:val="21"/>
          <w:highlight w:val="none"/>
        </w:rPr>
      </w:pPr>
      <w:r>
        <w:rPr>
          <w:rFonts w:hint="eastAsia" w:ascii="宋体" w:hAnsi="宋体"/>
          <w:szCs w:val="21"/>
          <w:highlight w:val="none"/>
        </w:rPr>
        <w:t>散装水泥要求具有足够的运输保障能力和运输组织能力；投标人须对投标运杂费进行分析，明确吨公里单价。</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 xml:space="preserve">8. </w:t>
      </w:r>
      <w:r>
        <w:rPr>
          <w:rFonts w:ascii="宋体" w:hAnsi="宋体"/>
          <w:b/>
          <w:szCs w:val="21"/>
          <w:highlight w:val="none"/>
        </w:rPr>
        <w:t>验收标准</w:t>
      </w:r>
      <w:r>
        <w:rPr>
          <w:rFonts w:hint="eastAsia" w:ascii="宋体" w:hAnsi="宋体"/>
          <w:b/>
          <w:szCs w:val="21"/>
          <w:highlight w:val="none"/>
        </w:rPr>
        <w:t>。</w:t>
      </w:r>
    </w:p>
    <w:p>
      <w:pPr>
        <w:spacing w:line="360" w:lineRule="auto"/>
        <w:ind w:firstLine="420" w:firstLineChars="200"/>
        <w:rPr>
          <w:rFonts w:hint="eastAsia" w:ascii="宋体" w:hAnsi="宋体" w:eastAsia="宋体" w:cs="Times New Roman"/>
          <w:szCs w:val="21"/>
          <w:highlight w:val="none"/>
        </w:rPr>
      </w:pPr>
      <w:r>
        <w:rPr>
          <w:rFonts w:ascii="宋体" w:hAnsi="宋体"/>
          <w:szCs w:val="21"/>
          <w:highlight w:val="none"/>
        </w:rPr>
        <w:t>水泥进场时，必须对其</w:t>
      </w:r>
      <w:r>
        <w:rPr>
          <w:rFonts w:hint="eastAsia" w:ascii="宋体" w:hAnsi="宋体"/>
          <w:szCs w:val="21"/>
          <w:highlight w:val="none"/>
        </w:rPr>
        <w:t>数量、</w:t>
      </w:r>
      <w:r>
        <w:rPr>
          <w:rFonts w:ascii="宋体" w:hAnsi="宋体"/>
          <w:szCs w:val="21"/>
          <w:highlight w:val="none"/>
        </w:rPr>
        <w:t>品种、级别、包装或散装仓号、袋装质量、出厂日期等进行验</w:t>
      </w:r>
      <w:r>
        <w:rPr>
          <w:rFonts w:hint="eastAsia" w:ascii="宋体" w:hAnsi="宋体" w:eastAsia="宋体" w:cs="Times New Roman"/>
          <w:szCs w:val="21"/>
          <w:highlight w:val="none"/>
        </w:rPr>
        <w:t>收，并对其强度、凝结时间、安定性进行实验，其质量必须符合现行国家标准的规定。</w:t>
      </w:r>
    </w:p>
    <w:p>
      <w:pPr>
        <w:spacing w:line="360" w:lineRule="auto"/>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袋装水泥数量判断标准遵照GB175-2007规定，每袋净含量50kg，且不得少于标志质量98％，随机抽取20袋总质量不得少于1000kg。散装水泥数量验收以施工现场实际过磅为准，若卖方对数量有异议时，由买方验收单位与卖方共同选择第三方进行复磅（复磅应选择技术监督局检验合格且距离施工现场较近的公磅处进行），复磅数量与送货单数量之差若不超过±3‰范围，以送货单为准；若超出±3‰范围，则以复磅数量为准，复磅发生的费用由卖方负责。</w:t>
      </w:r>
    </w:p>
    <w:p>
      <w:pPr>
        <w:pStyle w:val="2"/>
        <w:rPr>
          <w:rFonts w:hint="eastAsia" w:ascii="宋体" w:hAnsi="宋体" w:eastAsia="宋体" w:cs="Times New Roman"/>
          <w:szCs w:val="21"/>
          <w:highlight w:val="none"/>
        </w:rPr>
      </w:pPr>
    </w:p>
    <w:p>
      <w:pPr>
        <w:rPr>
          <w:rFonts w:hint="eastAsia" w:ascii="宋体" w:hAnsi="宋体" w:eastAsia="宋体" w:cs="Times New Roman"/>
          <w:szCs w:val="21"/>
          <w:highlight w:val="none"/>
        </w:rPr>
      </w:pPr>
    </w:p>
    <w:p>
      <w:pPr>
        <w:pStyle w:val="2"/>
        <w:rPr>
          <w:rFonts w:hint="eastAsia" w:ascii="宋体" w:hAnsi="宋体" w:eastAsia="宋体" w:cs="Times New Roman"/>
          <w:szCs w:val="21"/>
          <w:highlight w:val="none"/>
        </w:rPr>
      </w:pPr>
    </w:p>
    <w:p>
      <w:pPr>
        <w:rPr>
          <w:rFonts w:hint="eastAsia" w:ascii="宋体" w:hAnsi="宋体" w:eastAsia="宋体" w:cs="Times New Roman"/>
          <w:szCs w:val="21"/>
          <w:highlight w:val="none"/>
        </w:rPr>
      </w:pPr>
    </w:p>
    <w:p>
      <w:pPr>
        <w:pStyle w:val="2"/>
        <w:rPr>
          <w:rFonts w:hint="eastAsia" w:ascii="宋体" w:hAnsi="宋体" w:eastAsia="宋体" w:cs="Times New Roman"/>
          <w:szCs w:val="21"/>
          <w:highlight w:val="none"/>
        </w:rPr>
      </w:pPr>
    </w:p>
    <w:p>
      <w:pPr>
        <w:rPr>
          <w:rFonts w:hint="eastAsia" w:ascii="宋体" w:hAnsi="宋体" w:eastAsia="宋体" w:cs="Times New Roman"/>
          <w:szCs w:val="21"/>
          <w:highlight w:val="none"/>
        </w:rPr>
      </w:pPr>
    </w:p>
    <w:p>
      <w:pPr>
        <w:pStyle w:val="2"/>
        <w:rPr>
          <w:rFonts w:hint="eastAsia" w:ascii="宋体" w:hAnsi="宋体" w:eastAsia="宋体" w:cs="Times New Roman"/>
          <w:szCs w:val="21"/>
          <w:highlight w:val="none"/>
        </w:rPr>
      </w:pPr>
    </w:p>
    <w:p>
      <w:pPr>
        <w:rPr>
          <w:rFonts w:hint="eastAsia" w:ascii="宋体" w:hAnsi="宋体" w:eastAsia="宋体" w:cs="Times New Roman"/>
          <w:szCs w:val="21"/>
          <w:highlight w:val="none"/>
        </w:rPr>
      </w:pPr>
    </w:p>
    <w:p>
      <w:pPr>
        <w:bidi w:val="0"/>
        <w:rPr>
          <w:rFonts w:hint="eastAsia"/>
          <w:highlight w:val="none"/>
          <w:lang w:val="en-US" w:eastAsia="zh-CN"/>
        </w:rPr>
      </w:pPr>
    </w:p>
    <w:p>
      <w:pPr>
        <w:spacing w:line="360" w:lineRule="auto"/>
        <w:jc w:val="center"/>
        <w:rPr>
          <w:rFonts w:hint="eastAsia"/>
          <w:b/>
          <w:bCs/>
          <w:highlight w:val="none"/>
          <w:lang w:val="en-US" w:eastAsia="zh-CN"/>
        </w:rPr>
      </w:pPr>
    </w:p>
    <w:p>
      <w:pPr>
        <w:spacing w:line="360" w:lineRule="auto"/>
        <w:jc w:val="center"/>
        <w:rPr>
          <w:rFonts w:hint="eastAsia"/>
          <w:b/>
          <w:bCs/>
          <w:highlight w:val="none"/>
          <w:lang w:val="en-US" w:eastAsia="zh-CN"/>
        </w:rPr>
      </w:pPr>
    </w:p>
    <w:p>
      <w:pPr>
        <w:spacing w:line="360" w:lineRule="auto"/>
        <w:jc w:val="center"/>
        <w:rPr>
          <w:rFonts w:hint="eastAsia"/>
          <w:b/>
          <w:bCs/>
          <w:highlight w:val="none"/>
          <w:lang w:val="en-US" w:eastAsia="zh-CN"/>
        </w:rPr>
      </w:pPr>
    </w:p>
    <w:p>
      <w:pPr>
        <w:spacing w:line="360" w:lineRule="auto"/>
        <w:jc w:val="center"/>
        <w:rPr>
          <w:rFonts w:hint="default"/>
          <w:b/>
          <w:bCs/>
          <w:highlight w:val="none"/>
          <w:lang w:val="en-US" w:eastAsia="zh-CN"/>
        </w:rPr>
      </w:pPr>
      <w:r>
        <w:rPr>
          <w:rFonts w:hint="eastAsia"/>
          <w:b/>
          <w:bCs/>
          <w:highlight w:val="none"/>
          <w:lang w:val="en-US" w:eastAsia="zh-CN"/>
        </w:rPr>
        <w:t>钢材</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 xml:space="preserve">1．钢筋混凝土用热轧光圆钢筋 </w:t>
      </w:r>
    </w:p>
    <w:p>
      <w:pPr>
        <w:spacing w:line="360" w:lineRule="auto"/>
        <w:ind w:firstLine="420" w:firstLineChars="200"/>
        <w:rPr>
          <w:rFonts w:hint="eastAsia" w:ascii="宋体" w:hAnsi="宋体"/>
          <w:szCs w:val="21"/>
          <w:highlight w:val="none"/>
        </w:rPr>
      </w:pPr>
      <w:r>
        <w:rPr>
          <w:rFonts w:hint="eastAsia" w:ascii="宋体" w:hAnsi="宋体"/>
          <w:szCs w:val="21"/>
          <w:highlight w:val="none"/>
        </w:rPr>
        <w:t>牌号：</w:t>
      </w:r>
      <w:r>
        <w:rPr>
          <w:rFonts w:ascii="宋体" w:hAnsi="宋体"/>
          <w:szCs w:val="21"/>
          <w:highlight w:val="none"/>
        </w:rPr>
        <w:t>HPB300</w:t>
      </w:r>
      <w:r>
        <w:rPr>
          <w:rFonts w:hint="eastAsia" w:ascii="宋体" w:hAnsi="宋体"/>
          <w:szCs w:val="21"/>
          <w:highlight w:val="none"/>
        </w:rPr>
        <w:t>执行</w:t>
      </w:r>
      <w:r>
        <w:rPr>
          <w:rFonts w:ascii="宋体" w:hAnsi="宋体"/>
          <w:szCs w:val="21"/>
          <w:highlight w:val="none"/>
        </w:rPr>
        <w:t>GB 1499.1-2024</w:t>
      </w:r>
      <w:r>
        <w:rPr>
          <w:rFonts w:hint="eastAsia" w:ascii="宋体" w:hAnsi="宋体"/>
          <w:szCs w:val="21"/>
          <w:highlight w:val="none"/>
        </w:rPr>
        <w:t>《钢筋混凝土用钢</w:t>
      </w:r>
      <w:r>
        <w:rPr>
          <w:rFonts w:ascii="宋体" w:hAnsi="宋体"/>
          <w:szCs w:val="21"/>
          <w:highlight w:val="none"/>
        </w:rPr>
        <w:t xml:space="preserve"> </w:t>
      </w:r>
      <w:r>
        <w:rPr>
          <w:rFonts w:hint="eastAsia" w:ascii="宋体" w:hAnsi="宋体"/>
          <w:szCs w:val="21"/>
          <w:highlight w:val="none"/>
        </w:rPr>
        <w:t>第</w:t>
      </w:r>
      <w:r>
        <w:rPr>
          <w:rFonts w:ascii="宋体" w:hAnsi="宋体"/>
          <w:szCs w:val="21"/>
          <w:highlight w:val="none"/>
        </w:rPr>
        <w:t>1</w:t>
      </w:r>
      <w:r>
        <w:rPr>
          <w:rFonts w:hint="eastAsia" w:ascii="宋体" w:hAnsi="宋体"/>
          <w:szCs w:val="21"/>
          <w:highlight w:val="none"/>
        </w:rPr>
        <w:t>部分：热轧光圆钢筋》及其引用标准，表面形状：光圆钢筋</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1.1强度等级：</w:t>
      </w:r>
      <w:r>
        <w:rPr>
          <w:rFonts w:ascii="宋体" w:hAnsi="宋体"/>
          <w:szCs w:val="21"/>
          <w:highlight w:val="none"/>
        </w:rPr>
        <w:t>HPB300</w:t>
      </w:r>
      <w:r>
        <w:rPr>
          <w:rFonts w:hint="eastAsia" w:ascii="宋体" w:hAnsi="宋体"/>
          <w:szCs w:val="21"/>
          <w:highlight w:val="none"/>
        </w:rPr>
        <w:t>公称直径6（6.5）、8、</w:t>
      </w:r>
      <w:r>
        <w:rPr>
          <w:rFonts w:ascii="宋体" w:hAnsi="宋体"/>
          <w:szCs w:val="21"/>
          <w:highlight w:val="none"/>
        </w:rPr>
        <w:t>1</w:t>
      </w:r>
      <w:r>
        <w:rPr>
          <w:rFonts w:hint="eastAsia" w:ascii="宋体" w:hAnsi="宋体"/>
          <w:szCs w:val="21"/>
          <w:highlight w:val="none"/>
        </w:rPr>
        <w:t>0</w:t>
      </w:r>
      <w:r>
        <w:rPr>
          <w:rFonts w:ascii="宋体" w:hAnsi="宋体"/>
          <w:szCs w:val="21"/>
          <w:highlight w:val="none"/>
        </w:rPr>
        <w:t>mm</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.1</w:t>
      </w:r>
      <w:r>
        <w:rPr>
          <w:rFonts w:hint="eastAsia" w:ascii="宋体" w:hAnsi="宋体"/>
          <w:szCs w:val="21"/>
          <w:highlight w:val="none"/>
        </w:rPr>
        <w:t>.1尺寸、外形、重量及允许偏差执行</w:t>
      </w:r>
      <w:r>
        <w:rPr>
          <w:rFonts w:ascii="宋体" w:hAnsi="宋体"/>
          <w:szCs w:val="21"/>
          <w:highlight w:val="none"/>
        </w:rPr>
        <w:t>GB1499.1-20</w:t>
      </w:r>
      <w:r>
        <w:rPr>
          <w:rFonts w:hint="eastAsia" w:ascii="宋体" w:hAnsi="宋体"/>
          <w:szCs w:val="21"/>
          <w:highlight w:val="none"/>
        </w:rPr>
        <w:t>24国家标准。其中：公称直径允许偏差：</w:t>
      </w:r>
      <w:r>
        <w:rPr>
          <w:rFonts w:ascii="宋体" w:hAnsi="宋体"/>
          <w:szCs w:val="21"/>
          <w:highlight w:val="none"/>
        </w:rPr>
        <w:t>B</w:t>
      </w:r>
      <w:r>
        <w:rPr>
          <w:rFonts w:hint="eastAsia" w:ascii="宋体" w:hAnsi="宋体"/>
          <w:szCs w:val="21"/>
          <w:highlight w:val="none"/>
        </w:rPr>
        <w:t>级精度。外形不圆度：</w:t>
      </w:r>
      <w:r>
        <w:rPr>
          <w:rFonts w:ascii="宋体" w:hAnsi="宋体"/>
          <w:szCs w:val="21"/>
          <w:highlight w:val="none"/>
        </w:rPr>
        <w:t>B</w:t>
      </w:r>
      <w:r>
        <w:rPr>
          <w:rFonts w:hint="eastAsia" w:ascii="宋体" w:hAnsi="宋体"/>
          <w:szCs w:val="21"/>
          <w:highlight w:val="none"/>
        </w:rPr>
        <w:t>级精度。</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1.2验收、包装、标志和质量证明书执行</w:t>
      </w:r>
      <w:r>
        <w:rPr>
          <w:rFonts w:ascii="宋体" w:hAnsi="宋体"/>
          <w:szCs w:val="21"/>
          <w:highlight w:val="none"/>
        </w:rPr>
        <w:t>GB1499.1-20</w:t>
      </w:r>
      <w:r>
        <w:rPr>
          <w:rFonts w:hint="eastAsia" w:ascii="宋体" w:hAnsi="宋体"/>
          <w:szCs w:val="21"/>
          <w:highlight w:val="none"/>
        </w:rPr>
        <w:t>24国家标准。其中：</w:t>
      </w:r>
      <w:r>
        <w:rPr>
          <w:rFonts w:ascii="宋体" w:hAnsi="宋体"/>
          <w:szCs w:val="21"/>
          <w:highlight w:val="none"/>
        </w:rPr>
        <w:t>1000kg</w:t>
      </w:r>
      <w:r>
        <w:rPr>
          <w:rFonts w:hint="eastAsia" w:ascii="宋体" w:hAnsi="宋体"/>
          <w:szCs w:val="21"/>
          <w:highlight w:val="none"/>
        </w:rPr>
        <w:t>≤每盘（捆）≤</w:t>
      </w:r>
      <w:r>
        <w:rPr>
          <w:rFonts w:ascii="宋体" w:hAnsi="宋体"/>
          <w:szCs w:val="21"/>
          <w:highlight w:val="none"/>
        </w:rPr>
        <w:t>2500kg</w:t>
      </w:r>
      <w:r>
        <w:rPr>
          <w:rFonts w:hint="eastAsia" w:ascii="宋体" w:hAnsi="宋体"/>
          <w:szCs w:val="21"/>
          <w:highlight w:val="none"/>
        </w:rPr>
        <w:t>，在交货地点按实际盘重过磅（检斤）计量交货。</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1.2强度等级：</w:t>
      </w:r>
      <w:r>
        <w:rPr>
          <w:rFonts w:ascii="宋体" w:hAnsi="宋体"/>
          <w:szCs w:val="21"/>
          <w:highlight w:val="none"/>
        </w:rPr>
        <w:t xml:space="preserve">HPB300 </w:t>
      </w:r>
      <w:r>
        <w:rPr>
          <w:rFonts w:hint="eastAsia" w:ascii="宋体" w:hAnsi="宋体"/>
          <w:szCs w:val="21"/>
          <w:highlight w:val="none"/>
        </w:rPr>
        <w:t>公称直径</w:t>
      </w:r>
      <w:r>
        <w:rPr>
          <w:rFonts w:ascii="宋体" w:hAnsi="宋体"/>
          <w:szCs w:val="21"/>
          <w:highlight w:val="none"/>
        </w:rPr>
        <w:t>12</w:t>
      </w:r>
      <w:r>
        <w:rPr>
          <w:rFonts w:hint="eastAsia" w:ascii="宋体" w:hAnsi="宋体"/>
          <w:szCs w:val="21"/>
          <w:highlight w:val="none"/>
        </w:rPr>
        <w:t>、</w:t>
      </w:r>
      <w:r>
        <w:rPr>
          <w:rFonts w:ascii="宋体" w:hAnsi="宋体"/>
          <w:szCs w:val="21"/>
          <w:highlight w:val="none"/>
        </w:rPr>
        <w:t>14</w:t>
      </w:r>
      <w:r>
        <w:rPr>
          <w:rFonts w:hint="eastAsia" w:ascii="宋体" w:hAnsi="宋体"/>
          <w:szCs w:val="21"/>
          <w:highlight w:val="none"/>
        </w:rPr>
        <w:t>、</w:t>
      </w:r>
      <w:r>
        <w:rPr>
          <w:rFonts w:ascii="宋体" w:hAnsi="宋体"/>
          <w:szCs w:val="21"/>
          <w:highlight w:val="none"/>
        </w:rPr>
        <w:t>16</w:t>
      </w:r>
      <w:r>
        <w:rPr>
          <w:rFonts w:hint="eastAsia" w:ascii="宋体" w:hAnsi="宋体"/>
          <w:szCs w:val="21"/>
          <w:highlight w:val="none"/>
        </w:rPr>
        <w:t>、</w:t>
      </w:r>
      <w:r>
        <w:rPr>
          <w:rFonts w:ascii="宋体" w:hAnsi="宋体"/>
          <w:szCs w:val="21"/>
          <w:highlight w:val="none"/>
        </w:rPr>
        <w:t>18</w:t>
      </w:r>
      <w:r>
        <w:rPr>
          <w:rFonts w:hint="eastAsia" w:ascii="宋体" w:hAnsi="宋体"/>
          <w:szCs w:val="21"/>
          <w:highlight w:val="none"/>
        </w:rPr>
        <w:t>、</w:t>
      </w:r>
      <w:r>
        <w:rPr>
          <w:rFonts w:ascii="宋体" w:hAnsi="宋体"/>
          <w:szCs w:val="21"/>
          <w:highlight w:val="none"/>
        </w:rPr>
        <w:t>20</w:t>
      </w:r>
      <w:r>
        <w:rPr>
          <w:rFonts w:hint="eastAsia" w:ascii="宋体" w:hAnsi="宋体"/>
          <w:szCs w:val="21"/>
          <w:highlight w:val="none"/>
        </w:rPr>
        <w:t>、</w:t>
      </w:r>
      <w:r>
        <w:rPr>
          <w:rFonts w:ascii="宋体" w:hAnsi="宋体"/>
          <w:szCs w:val="21"/>
          <w:highlight w:val="none"/>
        </w:rPr>
        <w:t>22mm</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2.1尺寸、外形、重量及允许偏差执行</w:t>
      </w:r>
      <w:r>
        <w:rPr>
          <w:rFonts w:ascii="宋体" w:hAnsi="宋体"/>
          <w:szCs w:val="21"/>
          <w:highlight w:val="none"/>
        </w:rPr>
        <w:t>GB1499.1-20</w:t>
      </w:r>
      <w:r>
        <w:rPr>
          <w:rFonts w:hint="eastAsia" w:ascii="宋体" w:hAnsi="宋体"/>
          <w:szCs w:val="21"/>
          <w:highlight w:val="none"/>
        </w:rPr>
        <w:t>24国家标准。按在交货地点理论换算（检尺）交货。</w:t>
      </w:r>
    </w:p>
    <w:p>
      <w:pPr>
        <w:spacing w:line="360" w:lineRule="auto"/>
        <w:ind w:firstLine="420" w:firstLineChars="200"/>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.2</w:t>
      </w:r>
      <w:r>
        <w:rPr>
          <w:rFonts w:hint="eastAsia" w:ascii="宋体" w:hAnsi="宋体"/>
          <w:szCs w:val="21"/>
          <w:highlight w:val="none"/>
        </w:rPr>
        <w:t>.2验收、包装、标志和质量证明书执行</w:t>
      </w:r>
      <w:r>
        <w:rPr>
          <w:rFonts w:ascii="宋体" w:hAnsi="宋体"/>
          <w:szCs w:val="21"/>
          <w:highlight w:val="none"/>
        </w:rPr>
        <w:t>GB1499.1-20</w:t>
      </w:r>
      <w:r>
        <w:rPr>
          <w:rFonts w:hint="eastAsia" w:ascii="宋体" w:hAnsi="宋体"/>
          <w:szCs w:val="21"/>
          <w:highlight w:val="none"/>
        </w:rPr>
        <w:t>24国家标准。其中：按</w:t>
      </w:r>
      <w:r>
        <w:rPr>
          <w:rFonts w:ascii="宋体" w:hAnsi="宋体"/>
          <w:szCs w:val="21"/>
          <w:highlight w:val="none"/>
        </w:rPr>
        <w:t>1</w:t>
      </w:r>
      <w:r>
        <w:rPr>
          <w:rFonts w:hint="eastAsia" w:ascii="宋体" w:hAnsi="宋体"/>
          <w:szCs w:val="21"/>
          <w:highlight w:val="none"/>
        </w:rPr>
        <w:t>类包装类别包装，</w:t>
      </w:r>
      <w:r>
        <w:rPr>
          <w:rFonts w:ascii="宋体" w:hAnsi="宋体"/>
          <w:szCs w:val="21"/>
          <w:highlight w:val="none"/>
        </w:rPr>
        <w:t>2000kg</w:t>
      </w:r>
      <w:r>
        <w:rPr>
          <w:rFonts w:hint="eastAsia" w:ascii="宋体" w:hAnsi="宋体"/>
          <w:szCs w:val="21"/>
          <w:highlight w:val="none"/>
        </w:rPr>
        <w:t>≤每捆≤</w:t>
      </w:r>
      <w:r>
        <w:rPr>
          <w:rFonts w:ascii="宋体" w:hAnsi="宋体"/>
          <w:szCs w:val="21"/>
          <w:highlight w:val="none"/>
        </w:rPr>
        <w:t>3000kg</w:t>
      </w:r>
      <w:r>
        <w:rPr>
          <w:rFonts w:hint="eastAsia" w:ascii="宋体" w:hAnsi="宋体"/>
          <w:szCs w:val="21"/>
          <w:highlight w:val="none"/>
        </w:rPr>
        <w:t>，标准定尺</w:t>
      </w:r>
      <w:r>
        <w:rPr>
          <w:rFonts w:ascii="宋体" w:hAnsi="宋体"/>
          <w:szCs w:val="21"/>
          <w:highlight w:val="none"/>
        </w:rPr>
        <w:t>9</w:t>
      </w:r>
      <w:r>
        <w:rPr>
          <w:rFonts w:hint="eastAsia" w:ascii="宋体" w:hAnsi="宋体"/>
          <w:szCs w:val="21"/>
          <w:highlight w:val="none"/>
        </w:rPr>
        <w:t>米。</w:t>
      </w:r>
    </w:p>
    <w:p>
      <w:pPr>
        <w:spacing w:line="360" w:lineRule="auto"/>
        <w:ind w:firstLine="420" w:firstLineChars="200"/>
        <w:rPr>
          <w:rFonts w:hint="eastAsia" w:ascii="宋体" w:hAnsi="宋体"/>
          <w:szCs w:val="21"/>
          <w:highlight w:val="none"/>
        </w:rPr>
      </w:pPr>
      <w:r>
        <w:rPr>
          <w:rFonts w:hint="eastAsia" w:ascii="宋体" w:hAnsi="宋体"/>
          <w:szCs w:val="21"/>
          <w:highlight w:val="none"/>
        </w:rPr>
        <w:t>公称直径</w:t>
      </w:r>
      <w:r>
        <w:rPr>
          <w:rFonts w:ascii="宋体" w:hAnsi="宋体"/>
          <w:szCs w:val="21"/>
          <w:highlight w:val="none"/>
        </w:rPr>
        <w:t>6-12mm</w:t>
      </w:r>
      <w:r>
        <w:rPr>
          <w:rFonts w:hint="eastAsia" w:ascii="宋体" w:hAnsi="宋体"/>
          <w:szCs w:val="21"/>
          <w:highlight w:val="none"/>
        </w:rPr>
        <w:t>允许偏差正负</w:t>
      </w:r>
      <w:r>
        <w:rPr>
          <w:rFonts w:ascii="宋体" w:hAnsi="宋体"/>
          <w:szCs w:val="21"/>
          <w:highlight w:val="none"/>
        </w:rPr>
        <w:t>0.3mm,</w:t>
      </w:r>
    </w:p>
    <w:p>
      <w:pPr>
        <w:spacing w:line="360" w:lineRule="auto"/>
        <w:ind w:firstLine="1260" w:firstLineChars="600"/>
        <w:rPr>
          <w:rFonts w:hint="eastAsia" w:ascii="宋体" w:hAnsi="宋体"/>
          <w:szCs w:val="21"/>
          <w:highlight w:val="none"/>
        </w:rPr>
      </w:pPr>
      <w:r>
        <w:rPr>
          <w:rFonts w:ascii="宋体" w:hAnsi="宋体"/>
          <w:szCs w:val="21"/>
          <w:highlight w:val="none"/>
        </w:rPr>
        <w:t>14-22mm</w:t>
      </w:r>
      <w:r>
        <w:rPr>
          <w:rFonts w:hint="eastAsia" w:ascii="宋体" w:hAnsi="宋体"/>
          <w:szCs w:val="21"/>
          <w:highlight w:val="none"/>
        </w:rPr>
        <w:t>允许偏差正负</w:t>
      </w:r>
      <w:r>
        <w:rPr>
          <w:rFonts w:ascii="宋体" w:hAnsi="宋体"/>
          <w:szCs w:val="21"/>
          <w:highlight w:val="none"/>
        </w:rPr>
        <w:t>0.4mm</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外形不圆度：≯公称直径公差的</w:t>
      </w:r>
      <w:r>
        <w:rPr>
          <w:rFonts w:ascii="宋体" w:hAnsi="宋体"/>
          <w:szCs w:val="21"/>
          <w:highlight w:val="none"/>
        </w:rPr>
        <w:t>50%.</w:t>
      </w:r>
      <w:r>
        <w:rPr>
          <w:rFonts w:hint="eastAsia" w:ascii="宋体" w:hAnsi="宋体"/>
          <w:szCs w:val="21"/>
          <w:highlight w:val="none"/>
        </w:rPr>
        <w:t>（≦0.4mm）</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 xml:space="preserve">2．钢筋混凝土用热轧带肋钢筋 </w:t>
      </w:r>
    </w:p>
    <w:p>
      <w:pPr>
        <w:spacing w:line="360" w:lineRule="auto"/>
        <w:ind w:firstLine="420" w:firstLineChars="200"/>
        <w:rPr>
          <w:rFonts w:hint="eastAsia" w:ascii="宋体" w:hAnsi="宋体"/>
          <w:szCs w:val="21"/>
          <w:highlight w:val="none"/>
        </w:rPr>
      </w:pPr>
      <w:r>
        <w:rPr>
          <w:rFonts w:hint="eastAsia" w:ascii="宋体" w:hAnsi="宋体"/>
          <w:szCs w:val="21"/>
          <w:highlight w:val="none"/>
        </w:rPr>
        <w:t>牌号：HRB400E、HRB500E。执行</w:t>
      </w:r>
      <w:r>
        <w:rPr>
          <w:rFonts w:ascii="宋体" w:hAnsi="宋体"/>
          <w:szCs w:val="21"/>
          <w:highlight w:val="none"/>
        </w:rPr>
        <w:t>GB 1499.2-2024</w:t>
      </w:r>
      <w:r>
        <w:rPr>
          <w:rFonts w:hint="eastAsia" w:ascii="宋体" w:hAnsi="宋体"/>
          <w:szCs w:val="21"/>
          <w:highlight w:val="none"/>
        </w:rPr>
        <w:t>《钢筋混凝土用钢</w:t>
      </w:r>
      <w:r>
        <w:rPr>
          <w:rFonts w:ascii="宋体" w:hAnsi="宋体"/>
          <w:szCs w:val="21"/>
          <w:highlight w:val="none"/>
        </w:rPr>
        <w:t xml:space="preserve"> </w:t>
      </w:r>
      <w:r>
        <w:rPr>
          <w:rFonts w:hint="eastAsia" w:ascii="宋体" w:hAnsi="宋体"/>
          <w:szCs w:val="21"/>
          <w:highlight w:val="none"/>
        </w:rPr>
        <w:t>第</w:t>
      </w:r>
      <w:r>
        <w:rPr>
          <w:rFonts w:ascii="宋体" w:hAnsi="宋体"/>
          <w:szCs w:val="21"/>
          <w:highlight w:val="none"/>
        </w:rPr>
        <w:t>2</w:t>
      </w:r>
      <w:r>
        <w:rPr>
          <w:rFonts w:hint="eastAsia" w:ascii="宋体" w:hAnsi="宋体"/>
          <w:szCs w:val="21"/>
          <w:highlight w:val="none"/>
        </w:rPr>
        <w:t>部分：热轧带肋钢筋》及其引用标准，表面形状：月牙肋</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2.1公称直径6、8、10</w:t>
      </w:r>
      <w:r>
        <w:rPr>
          <w:rFonts w:ascii="宋体" w:hAnsi="宋体"/>
          <w:szCs w:val="21"/>
          <w:highlight w:val="none"/>
        </w:rPr>
        <w:t>mm</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验收、包装、标志和质量证明书执行GB1499.2-2024国家标准。其中：1000kg≤每盘（捆）≤2500kg，在交货地点按实际盘重过磅（检斤）计量交货。</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2.2公称直径</w:t>
      </w:r>
      <w:r>
        <w:rPr>
          <w:rFonts w:ascii="宋体" w:hAnsi="宋体"/>
          <w:szCs w:val="21"/>
          <w:highlight w:val="none"/>
        </w:rPr>
        <w:t>12</w:t>
      </w:r>
      <w:r>
        <w:rPr>
          <w:rFonts w:hint="eastAsia" w:ascii="宋体" w:hAnsi="宋体"/>
          <w:szCs w:val="21"/>
          <w:highlight w:val="none"/>
        </w:rPr>
        <w:t>、</w:t>
      </w:r>
      <w:r>
        <w:rPr>
          <w:rFonts w:ascii="宋体" w:hAnsi="宋体"/>
          <w:szCs w:val="21"/>
          <w:highlight w:val="none"/>
        </w:rPr>
        <w:t>14</w:t>
      </w:r>
      <w:r>
        <w:rPr>
          <w:rFonts w:hint="eastAsia" w:ascii="宋体" w:hAnsi="宋体"/>
          <w:szCs w:val="21"/>
          <w:highlight w:val="none"/>
        </w:rPr>
        <w:t>、</w:t>
      </w:r>
      <w:r>
        <w:rPr>
          <w:rFonts w:ascii="宋体" w:hAnsi="宋体"/>
          <w:szCs w:val="21"/>
          <w:highlight w:val="none"/>
        </w:rPr>
        <w:t>16</w:t>
      </w:r>
      <w:r>
        <w:rPr>
          <w:rFonts w:hint="eastAsia" w:ascii="宋体" w:hAnsi="宋体"/>
          <w:szCs w:val="21"/>
          <w:highlight w:val="none"/>
        </w:rPr>
        <w:t>、</w:t>
      </w:r>
      <w:r>
        <w:rPr>
          <w:rFonts w:ascii="宋体" w:hAnsi="宋体"/>
          <w:szCs w:val="21"/>
          <w:highlight w:val="none"/>
        </w:rPr>
        <w:t>18</w:t>
      </w:r>
      <w:r>
        <w:rPr>
          <w:rFonts w:hint="eastAsia" w:ascii="宋体" w:hAnsi="宋体"/>
          <w:szCs w:val="21"/>
          <w:highlight w:val="none"/>
        </w:rPr>
        <w:t>、</w:t>
      </w:r>
      <w:r>
        <w:rPr>
          <w:rFonts w:ascii="宋体" w:hAnsi="宋体"/>
          <w:szCs w:val="21"/>
          <w:highlight w:val="none"/>
        </w:rPr>
        <w:t>20</w:t>
      </w:r>
      <w:r>
        <w:rPr>
          <w:rFonts w:hint="eastAsia" w:ascii="宋体" w:hAnsi="宋体"/>
          <w:szCs w:val="21"/>
          <w:highlight w:val="none"/>
        </w:rPr>
        <w:t>、</w:t>
      </w:r>
      <w:r>
        <w:rPr>
          <w:rFonts w:ascii="宋体" w:hAnsi="宋体"/>
          <w:szCs w:val="21"/>
          <w:highlight w:val="none"/>
        </w:rPr>
        <w:t>22</w:t>
      </w:r>
      <w:r>
        <w:rPr>
          <w:rFonts w:hint="eastAsia" w:ascii="宋体" w:hAnsi="宋体"/>
          <w:szCs w:val="21"/>
          <w:highlight w:val="none"/>
        </w:rPr>
        <w:t>、</w:t>
      </w:r>
      <w:r>
        <w:rPr>
          <w:rFonts w:ascii="宋体" w:hAnsi="宋体"/>
          <w:szCs w:val="21"/>
          <w:highlight w:val="none"/>
        </w:rPr>
        <w:t>25</w:t>
      </w:r>
      <w:r>
        <w:rPr>
          <w:rFonts w:hint="eastAsia" w:ascii="宋体" w:hAnsi="宋体"/>
          <w:szCs w:val="21"/>
          <w:highlight w:val="none"/>
        </w:rPr>
        <w:t>、</w:t>
      </w:r>
      <w:r>
        <w:rPr>
          <w:rFonts w:ascii="宋体" w:hAnsi="宋体"/>
          <w:szCs w:val="21"/>
          <w:highlight w:val="none"/>
        </w:rPr>
        <w:t>28</w:t>
      </w:r>
      <w:r>
        <w:rPr>
          <w:rFonts w:hint="eastAsia" w:ascii="宋体" w:hAnsi="宋体"/>
          <w:szCs w:val="21"/>
          <w:highlight w:val="none"/>
        </w:rPr>
        <w:t>、</w:t>
      </w:r>
      <w:r>
        <w:rPr>
          <w:rFonts w:ascii="宋体" w:hAnsi="宋体"/>
          <w:szCs w:val="21"/>
          <w:highlight w:val="none"/>
        </w:rPr>
        <w:t>32</w:t>
      </w:r>
      <w:r>
        <w:rPr>
          <w:rFonts w:hint="eastAsia" w:ascii="宋体" w:hAnsi="宋体"/>
          <w:szCs w:val="21"/>
          <w:highlight w:val="none"/>
        </w:rPr>
        <w:t>、</w:t>
      </w:r>
      <w:r>
        <w:rPr>
          <w:rFonts w:ascii="宋体" w:hAnsi="宋体"/>
          <w:szCs w:val="21"/>
          <w:highlight w:val="none"/>
        </w:rPr>
        <w:t>36</w:t>
      </w:r>
      <w:r>
        <w:rPr>
          <w:rFonts w:hint="eastAsia" w:ascii="宋体" w:hAnsi="宋体"/>
          <w:szCs w:val="21"/>
          <w:highlight w:val="none"/>
        </w:rPr>
        <w:t>、40</w:t>
      </w:r>
      <w:r>
        <w:rPr>
          <w:rFonts w:ascii="宋体" w:hAnsi="宋体"/>
          <w:szCs w:val="21"/>
          <w:highlight w:val="none"/>
        </w:rPr>
        <w:t>mm</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2.2.1包装、标志和质量证明书：带肋钢筋表面轧上牌号标志、厂名和直径数字，其它按</w:t>
      </w:r>
      <w:r>
        <w:rPr>
          <w:rFonts w:ascii="宋体" w:hAnsi="宋体"/>
          <w:szCs w:val="21"/>
          <w:highlight w:val="none"/>
        </w:rPr>
        <w:t>GB/T2101</w:t>
      </w:r>
      <w:r>
        <w:rPr>
          <w:rFonts w:hint="eastAsia" w:ascii="宋体" w:hAnsi="宋体"/>
          <w:szCs w:val="21"/>
          <w:highlight w:val="none"/>
        </w:rPr>
        <w:t>国家标准的规定执行。其中：按</w:t>
      </w:r>
      <w:r>
        <w:rPr>
          <w:rFonts w:ascii="宋体" w:hAnsi="宋体"/>
          <w:szCs w:val="21"/>
          <w:highlight w:val="none"/>
        </w:rPr>
        <w:t>1</w:t>
      </w:r>
      <w:r>
        <w:rPr>
          <w:rFonts w:hint="eastAsia" w:ascii="宋体" w:hAnsi="宋体"/>
          <w:szCs w:val="21"/>
          <w:highlight w:val="none"/>
        </w:rPr>
        <w:t>类包装类别包装，</w:t>
      </w:r>
      <w:r>
        <w:rPr>
          <w:rFonts w:ascii="宋体" w:hAnsi="宋体"/>
          <w:szCs w:val="21"/>
          <w:highlight w:val="none"/>
        </w:rPr>
        <w:t>2000kg</w:t>
      </w:r>
      <w:r>
        <w:rPr>
          <w:rFonts w:hint="eastAsia" w:ascii="宋体" w:hAnsi="宋体"/>
          <w:szCs w:val="21"/>
          <w:highlight w:val="none"/>
        </w:rPr>
        <w:t>≤每捆≤</w:t>
      </w:r>
      <w:r>
        <w:rPr>
          <w:rFonts w:ascii="宋体" w:hAnsi="宋体"/>
          <w:szCs w:val="21"/>
          <w:highlight w:val="none"/>
        </w:rPr>
        <w:t>3000kg</w:t>
      </w:r>
      <w:r>
        <w:rPr>
          <w:rFonts w:hint="eastAsia" w:ascii="宋体" w:hAnsi="宋体"/>
          <w:szCs w:val="21"/>
          <w:highlight w:val="none"/>
        </w:rPr>
        <w:t>，定尺长度</w:t>
      </w:r>
      <w:r>
        <w:rPr>
          <w:rFonts w:ascii="宋体" w:hAnsi="宋体"/>
          <w:szCs w:val="21"/>
          <w:highlight w:val="none"/>
        </w:rPr>
        <w:t>9</w:t>
      </w:r>
      <w:r>
        <w:rPr>
          <w:rFonts w:hint="eastAsia" w:ascii="宋体" w:hAnsi="宋体"/>
          <w:szCs w:val="21"/>
          <w:highlight w:val="none"/>
        </w:rPr>
        <w:t>米；</w:t>
      </w:r>
    </w:p>
    <w:p>
      <w:pPr>
        <w:spacing w:line="360" w:lineRule="auto"/>
        <w:ind w:firstLine="420" w:firstLineChars="200"/>
        <w:rPr>
          <w:rFonts w:hint="eastAsia" w:ascii="宋体" w:hAnsi="宋体"/>
          <w:szCs w:val="21"/>
          <w:highlight w:val="none"/>
        </w:rPr>
      </w:pPr>
      <w:r>
        <w:rPr>
          <w:rFonts w:hint="eastAsia" w:ascii="宋体" w:hAnsi="宋体"/>
          <w:szCs w:val="21"/>
          <w:highlight w:val="none"/>
        </w:rPr>
        <w:t>2.2.2检查及验收：按</w:t>
      </w:r>
      <w:r>
        <w:rPr>
          <w:rFonts w:ascii="宋体" w:hAnsi="宋体"/>
          <w:szCs w:val="21"/>
          <w:highlight w:val="none"/>
        </w:rPr>
        <w:t>GB1499.2-20</w:t>
      </w:r>
      <w:r>
        <w:rPr>
          <w:rFonts w:hint="eastAsia" w:ascii="宋体" w:hAnsi="宋体"/>
          <w:szCs w:val="21"/>
          <w:highlight w:val="none"/>
        </w:rPr>
        <w:t>24国家标准的规定执行，按在交货地点理论换算（检尺）交货。</w:t>
      </w:r>
      <w:r>
        <w:rPr>
          <w:rFonts w:hint="eastAsia" w:ascii="宋体" w:hAnsi="宋体"/>
          <w:bCs/>
          <w:szCs w:val="21"/>
          <w:highlight w:val="none"/>
        </w:rPr>
        <w:t>对</w:t>
      </w:r>
      <w:r>
        <w:rPr>
          <w:rFonts w:hint="eastAsia" w:ascii="宋体" w:hAnsi="宋体"/>
          <w:b/>
          <w:szCs w:val="21"/>
          <w:highlight w:val="none"/>
        </w:rPr>
        <w:t>热轧带肋钢筋</w:t>
      </w:r>
      <w:r>
        <w:rPr>
          <w:rFonts w:hint="eastAsia" w:ascii="宋体" w:hAnsi="宋体"/>
          <w:bCs/>
          <w:szCs w:val="21"/>
          <w:highlight w:val="none"/>
        </w:rPr>
        <w:t>尚应符合碳当量不大于0.5％的规定（预制梁技术条件）</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3．检查及验收</w:t>
      </w:r>
    </w:p>
    <w:p>
      <w:pPr>
        <w:spacing w:line="360" w:lineRule="auto"/>
        <w:ind w:firstLine="420" w:firstLineChars="200"/>
        <w:rPr>
          <w:rFonts w:hint="eastAsia" w:ascii="宋体" w:hAnsi="宋体"/>
          <w:szCs w:val="21"/>
          <w:highlight w:val="none"/>
        </w:rPr>
      </w:pPr>
      <w:r>
        <w:rPr>
          <w:rFonts w:hint="eastAsia" w:ascii="宋体" w:hAnsi="宋体"/>
          <w:szCs w:val="21"/>
          <w:highlight w:val="none"/>
        </w:rPr>
        <w:t>钢筋的检查和验收按</w:t>
      </w:r>
      <w:r>
        <w:rPr>
          <w:rFonts w:ascii="宋体" w:hAnsi="宋体"/>
          <w:szCs w:val="21"/>
          <w:highlight w:val="none"/>
        </w:rPr>
        <w:t>GB</w:t>
      </w:r>
      <w:r>
        <w:rPr>
          <w:rFonts w:hint="eastAsia" w:ascii="宋体" w:hAnsi="宋体"/>
          <w:szCs w:val="21"/>
          <w:highlight w:val="none"/>
        </w:rPr>
        <w:t>1499的规定进行；钢筋应按批进行检查和验收，每批重量不大于</w:t>
      </w:r>
      <w:r>
        <w:rPr>
          <w:rFonts w:ascii="宋体" w:hAnsi="宋体"/>
          <w:szCs w:val="21"/>
          <w:highlight w:val="none"/>
        </w:rPr>
        <w:t>60</w:t>
      </w:r>
      <w:r>
        <w:rPr>
          <w:rFonts w:hint="eastAsia" w:ascii="宋体" w:hAnsi="宋体"/>
          <w:szCs w:val="21"/>
          <w:highlight w:val="none"/>
        </w:rPr>
        <w:t>吨；允许由同一牌号、同一冶炼方法的不同炉罐号可装混合批，但各炉罐号含碳量之差不大于</w:t>
      </w:r>
      <w:r>
        <w:rPr>
          <w:rFonts w:ascii="宋体" w:hAnsi="宋体"/>
          <w:szCs w:val="21"/>
          <w:highlight w:val="none"/>
        </w:rPr>
        <w:t>0.02%</w:t>
      </w:r>
      <w:r>
        <w:rPr>
          <w:rFonts w:hint="eastAsia" w:ascii="宋体" w:hAnsi="宋体"/>
          <w:szCs w:val="21"/>
          <w:highlight w:val="none"/>
        </w:rPr>
        <w:t>，含锰量之差不大于</w:t>
      </w:r>
      <w:r>
        <w:rPr>
          <w:rFonts w:ascii="宋体" w:hAnsi="宋体"/>
          <w:szCs w:val="21"/>
          <w:highlight w:val="none"/>
        </w:rPr>
        <w:t>0.15%</w:t>
      </w:r>
      <w:r>
        <w:rPr>
          <w:rFonts w:hint="eastAsia" w:ascii="宋体" w:hAnsi="宋体"/>
          <w:szCs w:val="21"/>
          <w:highlight w:val="none"/>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质量证明书（质保书）</w:t>
      </w:r>
      <w:r>
        <w:rPr>
          <w:rFonts w:ascii="宋体" w:hAnsi="宋体"/>
          <w:szCs w:val="21"/>
          <w:highlight w:val="none"/>
        </w:rPr>
        <w:t>:</w:t>
      </w:r>
      <w:r>
        <w:rPr>
          <w:rFonts w:hint="eastAsia" w:ascii="宋体" w:hAnsi="宋体"/>
          <w:szCs w:val="21"/>
          <w:highlight w:val="none"/>
        </w:rPr>
        <w:t>每批交货产品检验合格所附的证明文件。其内容包括材料名称、牌号、规格、质量等级、合同和标准规定的全部检验项目的检验结果、合同号、标准号、检验批号、交货件数、重量等。质量证明书是供方对该批产品检验结果的确认和保证，也是需方进行复验和使用的依据，质量证明书是重要的技术文件必须随货发出。</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4</w:t>
      </w:r>
      <w:r>
        <w:rPr>
          <w:rFonts w:ascii="宋体" w:hAnsi="宋体"/>
          <w:b/>
          <w:szCs w:val="21"/>
          <w:highlight w:val="none"/>
        </w:rPr>
        <w:t>.</w:t>
      </w:r>
      <w:r>
        <w:rPr>
          <w:rFonts w:hint="eastAsia" w:ascii="宋体" w:hAnsi="宋体"/>
          <w:b/>
          <w:szCs w:val="21"/>
          <w:highlight w:val="none"/>
        </w:rPr>
        <w:t>投标物资详细的运输和供应方案。</w:t>
      </w:r>
    </w:p>
    <w:p>
      <w:pPr>
        <w:spacing w:line="360" w:lineRule="auto"/>
        <w:ind w:firstLine="420" w:firstLineChars="200"/>
        <w:rPr>
          <w:rFonts w:hint="eastAsia" w:ascii="宋体" w:hAnsi="宋体"/>
          <w:szCs w:val="21"/>
          <w:highlight w:val="none"/>
        </w:rPr>
      </w:pPr>
      <w:r>
        <w:rPr>
          <w:rFonts w:hint="eastAsia" w:ascii="宋体" w:hAnsi="宋体"/>
          <w:szCs w:val="21"/>
          <w:highlight w:val="none"/>
        </w:rPr>
        <w:t>5.1投标人交付的物资应分别按照合同要求交至指定的到货地点。</w:t>
      </w:r>
    </w:p>
    <w:p>
      <w:pPr>
        <w:spacing w:line="360" w:lineRule="auto"/>
        <w:ind w:firstLine="420" w:firstLineChars="200"/>
        <w:rPr>
          <w:rFonts w:hint="eastAsia" w:ascii="宋体" w:hAnsi="宋体"/>
          <w:szCs w:val="21"/>
          <w:highlight w:val="none"/>
        </w:rPr>
      </w:pPr>
      <w:r>
        <w:rPr>
          <w:rFonts w:hint="eastAsia" w:ascii="宋体" w:hAnsi="宋体"/>
          <w:szCs w:val="21"/>
          <w:highlight w:val="none"/>
        </w:rPr>
        <w:t>5.2投标人应充分考虑和了解施工地点的地理位置和运输条件，采用合适有效的运输和货物交付方式，制定保证工程所需物资按时、按量供应的具体措施。</w:t>
      </w:r>
    </w:p>
    <w:p>
      <w:pPr>
        <w:spacing w:line="360" w:lineRule="auto"/>
        <w:ind w:firstLine="420" w:firstLineChars="200"/>
        <w:rPr>
          <w:rFonts w:hint="eastAsia" w:ascii="宋体" w:hAnsi="宋体"/>
          <w:szCs w:val="21"/>
          <w:highlight w:val="none"/>
        </w:rPr>
      </w:pPr>
      <w:r>
        <w:rPr>
          <w:rFonts w:hint="eastAsia" w:ascii="宋体" w:hAnsi="宋体"/>
          <w:szCs w:val="21"/>
          <w:highlight w:val="none"/>
        </w:rPr>
        <w:t>5.3投标人须承诺向本项目提供的投标物资来源稳定，供应投标物资的制造地、生产线、生产工艺及原材料等始终与投标承诺一致；代理商可代理多个符合招标要求的生产企业的产品投标，并有切实可行的组织、供应、运输方案措施和跨地域组织调配资源能力。</w:t>
      </w:r>
    </w:p>
    <w:p>
      <w:pPr>
        <w:spacing w:line="360" w:lineRule="auto"/>
        <w:ind w:firstLine="422" w:firstLineChars="200"/>
        <w:rPr>
          <w:rFonts w:hint="eastAsia" w:ascii="宋体" w:hAnsi="宋体"/>
          <w:b/>
          <w:szCs w:val="21"/>
          <w:highlight w:val="none"/>
        </w:rPr>
      </w:pPr>
      <w:r>
        <w:rPr>
          <w:rFonts w:hint="eastAsia" w:ascii="宋体" w:hAnsi="宋体"/>
          <w:b/>
          <w:szCs w:val="21"/>
          <w:highlight w:val="none"/>
        </w:rPr>
        <w:t>5.钢筋品牌要求：无。</w:t>
      </w:r>
    </w:p>
    <w:p>
      <w:pPr>
        <w:snapToGrid w:val="0"/>
        <w:spacing w:line="360" w:lineRule="auto"/>
        <w:ind w:firstLine="422" w:firstLineChars="200"/>
        <w:rPr>
          <w:rFonts w:hint="eastAsia" w:ascii="宋体" w:hAnsi="宋体"/>
          <w:b/>
          <w:szCs w:val="21"/>
          <w:highlight w:val="none"/>
        </w:rPr>
      </w:pPr>
      <w:r>
        <w:rPr>
          <w:rFonts w:hint="eastAsia" w:ascii="宋体" w:hAnsi="宋体"/>
          <w:b/>
          <w:szCs w:val="21"/>
          <w:highlight w:val="none"/>
        </w:rPr>
        <w:t>6.</w:t>
      </w:r>
      <w:r>
        <w:rPr>
          <w:rFonts w:ascii="宋体" w:hAnsi="宋体"/>
          <w:b/>
          <w:szCs w:val="21"/>
          <w:highlight w:val="none"/>
        </w:rPr>
        <w:t>质量保证期</w:t>
      </w:r>
    </w:p>
    <w:p>
      <w:pPr>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自验收合格之日起6个月</w:t>
      </w:r>
      <w:r>
        <w:rPr>
          <w:rFonts w:ascii="宋体" w:hAnsi="宋体"/>
          <w:szCs w:val="21"/>
          <w:highlight w:val="none"/>
        </w:rPr>
        <w:t>。</w:t>
      </w:r>
    </w:p>
    <w:p>
      <w:pPr>
        <w:spacing w:line="360" w:lineRule="auto"/>
        <w:ind w:firstLine="422" w:firstLineChars="200"/>
        <w:jc w:val="left"/>
        <w:rPr>
          <w:rFonts w:hint="eastAsia" w:ascii="宋体" w:hAnsi="宋体"/>
          <w:b/>
          <w:sz w:val="21"/>
          <w:szCs w:val="21"/>
          <w:highlight w:val="none"/>
        </w:rPr>
      </w:pPr>
      <w:r>
        <w:rPr>
          <w:rFonts w:hint="eastAsia" w:ascii="宋体" w:hAnsi="宋体"/>
          <w:b/>
          <w:sz w:val="21"/>
          <w:szCs w:val="21"/>
          <w:highlight w:val="none"/>
        </w:rPr>
        <w:t>7.严禁供应无生产许可证企业生产的产品、地条钢。禁止供应“采用余热处理（高压穿水）工艺”的螺纹钢筋和“贴牌”建筑钢筋。</w:t>
      </w: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both"/>
        <w:rPr>
          <w:rFonts w:hint="eastAsia"/>
          <w:b/>
          <w:bCs/>
          <w:sz w:val="21"/>
          <w:szCs w:val="21"/>
          <w:highlight w:val="none"/>
        </w:rPr>
      </w:pPr>
    </w:p>
    <w:p>
      <w:pPr>
        <w:pStyle w:val="17"/>
        <w:spacing w:after="0" w:line="360" w:lineRule="auto"/>
        <w:ind w:firstLine="0"/>
        <w:jc w:val="center"/>
        <w:rPr>
          <w:rFonts w:eastAsia="PMingLiU"/>
          <w:b/>
          <w:bCs/>
          <w:sz w:val="21"/>
          <w:szCs w:val="21"/>
          <w:highlight w:val="none"/>
        </w:rPr>
      </w:pPr>
      <w:r>
        <w:rPr>
          <w:rFonts w:hint="eastAsia"/>
          <w:b/>
          <w:bCs/>
          <w:sz w:val="21"/>
          <w:szCs w:val="21"/>
          <w:highlight w:val="none"/>
        </w:rPr>
        <w:t>气泡混合轻质土</w:t>
      </w:r>
    </w:p>
    <w:p>
      <w:pPr>
        <w:widowControl/>
        <w:spacing w:line="240" w:lineRule="auto"/>
        <w:jc w:val="left"/>
        <w:rPr>
          <w:rFonts w:ascii="宋体" w:hAnsi="宋体" w:eastAsia="PMingLiU" w:cs="宋体"/>
          <w:b/>
          <w:bCs/>
          <w:kern w:val="0"/>
          <w:sz w:val="24"/>
          <w:szCs w:val="24"/>
          <w:highlight w:val="none"/>
          <w:lang w:val="zh-TW" w:eastAsia="zh-TW" w:bidi="zh-TW"/>
        </w:rPr>
      </w:pPr>
      <w:r>
        <w:rPr>
          <w:highlight w:val="none"/>
        </w:rPr>
        <w:drawing>
          <wp:inline distT="0" distB="0" distL="114300" distR="114300">
            <wp:extent cx="5565140" cy="7348855"/>
            <wp:effectExtent l="0" t="0" r="1016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5"/>
                    <a:stretch>
                      <a:fillRect/>
                    </a:stretch>
                  </pic:blipFill>
                  <pic:spPr>
                    <a:xfrm>
                      <a:off x="0" y="0"/>
                      <a:ext cx="5565140" cy="7348855"/>
                    </a:xfrm>
                    <a:prstGeom prst="rect">
                      <a:avLst/>
                    </a:prstGeom>
                    <a:noFill/>
                    <a:ln>
                      <a:noFill/>
                    </a:ln>
                  </pic:spPr>
                </pic:pic>
              </a:graphicData>
            </a:graphic>
          </wp:inline>
        </w:drawing>
      </w:r>
      <w:r>
        <w:rPr>
          <w:rFonts w:eastAsia="PMingLiU"/>
          <w:b/>
          <w:bCs/>
          <w:sz w:val="24"/>
          <w:szCs w:val="24"/>
          <w:highlight w:val="none"/>
        </w:rPr>
        <w:br w:type="page"/>
      </w:r>
      <w:r>
        <w:rPr>
          <w:highlight w:val="none"/>
        </w:rPr>
        <w:drawing>
          <wp:inline distT="0" distB="0" distL="114300" distR="114300">
            <wp:extent cx="5651500" cy="7680325"/>
            <wp:effectExtent l="0" t="0" r="0"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6"/>
                    <a:stretch>
                      <a:fillRect/>
                    </a:stretch>
                  </pic:blipFill>
                  <pic:spPr>
                    <a:xfrm>
                      <a:off x="0" y="0"/>
                      <a:ext cx="5651500" cy="7680325"/>
                    </a:xfrm>
                    <a:prstGeom prst="rect">
                      <a:avLst/>
                    </a:prstGeom>
                    <a:noFill/>
                    <a:ln>
                      <a:noFill/>
                    </a:ln>
                  </pic:spPr>
                </pic:pic>
              </a:graphicData>
            </a:graphic>
          </wp:inline>
        </w:drawing>
      </w:r>
      <w:r>
        <w:rPr>
          <w:highlight w:val="none"/>
        </w:rPr>
        <w:t xml:space="preserve"> </w:t>
      </w:r>
      <w:r>
        <w:rPr>
          <w:highlight w:val="none"/>
        </w:rPr>
        <w:drawing>
          <wp:inline distT="0" distB="0" distL="114300" distR="114300">
            <wp:extent cx="5603240" cy="2828925"/>
            <wp:effectExtent l="0" t="0" r="10160"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7"/>
                    <a:stretch>
                      <a:fillRect/>
                    </a:stretch>
                  </pic:blipFill>
                  <pic:spPr>
                    <a:xfrm>
                      <a:off x="0" y="0"/>
                      <a:ext cx="5603240" cy="2828925"/>
                    </a:xfrm>
                    <a:prstGeom prst="rect">
                      <a:avLst/>
                    </a:prstGeom>
                    <a:noFill/>
                    <a:ln>
                      <a:noFill/>
                    </a:ln>
                  </pic:spPr>
                </pic:pic>
              </a:graphicData>
            </a:graphic>
          </wp:inline>
        </w:drawing>
      </w:r>
    </w:p>
    <w:p>
      <w:pPr>
        <w:bidi w:val="0"/>
        <w:spacing w:line="360" w:lineRule="auto"/>
        <w:jc w:val="center"/>
        <w:rPr>
          <w:rFonts w:hint="eastAsia"/>
          <w:b/>
          <w:bCs/>
          <w:highlight w:val="none"/>
        </w:rPr>
      </w:pPr>
    </w:p>
    <w:p>
      <w:pPr>
        <w:pStyle w:val="2"/>
        <w:rPr>
          <w:rFonts w:hint="eastAsia"/>
          <w:b/>
          <w:bCs/>
          <w:highlight w:val="none"/>
        </w:rPr>
      </w:pPr>
    </w:p>
    <w:p>
      <w:pPr>
        <w:rPr>
          <w:rFonts w:hint="eastAsia"/>
          <w:b/>
          <w:bCs/>
          <w:highlight w:val="none"/>
        </w:rPr>
      </w:pPr>
    </w:p>
    <w:p>
      <w:pPr>
        <w:pStyle w:val="2"/>
        <w:rPr>
          <w:rFonts w:hint="eastAsia"/>
          <w:b/>
          <w:bCs/>
          <w:highlight w:val="none"/>
        </w:rPr>
      </w:pPr>
    </w:p>
    <w:p>
      <w:pPr>
        <w:rPr>
          <w:rFonts w:hint="eastAsia"/>
          <w:b/>
          <w:bCs/>
          <w:highlight w:val="none"/>
        </w:rPr>
      </w:pPr>
    </w:p>
    <w:p>
      <w:pPr>
        <w:pStyle w:val="2"/>
        <w:rPr>
          <w:rFonts w:hint="eastAsia"/>
          <w:b/>
          <w:bCs/>
          <w:highlight w:val="none"/>
        </w:rPr>
      </w:pPr>
    </w:p>
    <w:p>
      <w:pPr>
        <w:rPr>
          <w:rFonts w:hint="eastAsia"/>
          <w:b/>
          <w:bCs/>
          <w:highlight w:val="none"/>
        </w:rPr>
      </w:pPr>
    </w:p>
    <w:p>
      <w:pPr>
        <w:bidi w:val="0"/>
        <w:rPr>
          <w:rFonts w:hint="eastAsia"/>
          <w:highlight w:val="none"/>
        </w:rPr>
      </w:pPr>
    </w:p>
    <w:p>
      <w:pPr>
        <w:bidi w:val="0"/>
        <w:rPr>
          <w:rFonts w:hint="eastAsia"/>
          <w:highlight w:val="none"/>
        </w:rPr>
      </w:pPr>
    </w:p>
    <w:p>
      <w:pPr>
        <w:bidi w:val="0"/>
        <w:spacing w:line="360" w:lineRule="auto"/>
        <w:jc w:val="center"/>
        <w:rPr>
          <w:rFonts w:hint="eastAsia"/>
          <w:b/>
          <w:bCs/>
          <w:highlight w:val="none"/>
        </w:rPr>
      </w:pPr>
    </w:p>
    <w:p>
      <w:pPr>
        <w:bidi w:val="0"/>
        <w:spacing w:line="360" w:lineRule="auto"/>
        <w:jc w:val="center"/>
        <w:rPr>
          <w:rFonts w:hint="eastAsia"/>
          <w:b/>
          <w:bCs/>
          <w:highlight w:val="none"/>
        </w:rPr>
      </w:pPr>
    </w:p>
    <w:p>
      <w:pPr>
        <w:bidi w:val="0"/>
        <w:spacing w:line="360" w:lineRule="auto"/>
        <w:jc w:val="center"/>
        <w:rPr>
          <w:rFonts w:hint="eastAsia"/>
          <w:b/>
          <w:bCs/>
          <w:highlight w:val="none"/>
        </w:rPr>
      </w:pPr>
      <w:r>
        <w:rPr>
          <w:rFonts w:hint="eastAsia"/>
          <w:b/>
          <w:bCs/>
          <w:highlight w:val="none"/>
        </w:rPr>
        <w:t>透水混凝土</w:t>
      </w:r>
    </w:p>
    <w:p>
      <w:pPr>
        <w:bidi w:val="0"/>
        <w:spacing w:line="360" w:lineRule="auto"/>
        <w:ind w:firstLine="422" w:firstLineChars="200"/>
        <w:jc w:val="both"/>
        <w:rPr>
          <w:rFonts w:hint="eastAsia"/>
          <w:b/>
          <w:bCs/>
          <w:highlight w:val="none"/>
        </w:rPr>
      </w:pPr>
      <w:r>
        <w:rPr>
          <w:rFonts w:hint="eastAsia"/>
          <w:b/>
          <w:bCs/>
          <w:highlight w:val="none"/>
          <w:lang w:val="en-US" w:eastAsia="zh-CN"/>
        </w:rPr>
        <w:t>各项要求应满足</w:t>
      </w:r>
      <w:r>
        <w:rPr>
          <w:rFonts w:hint="eastAsia"/>
          <w:b/>
          <w:bCs/>
          <w:highlight w:val="none"/>
        </w:rPr>
        <w:t>JC/T 2558-2020技术</w:t>
      </w:r>
      <w:r>
        <w:rPr>
          <w:rFonts w:hint="eastAsia"/>
          <w:b/>
          <w:bCs/>
          <w:highlight w:val="none"/>
          <w:lang w:val="en-US" w:eastAsia="zh-CN"/>
        </w:rPr>
        <w:t>标准</w:t>
      </w:r>
      <w:r>
        <w:rPr>
          <w:rFonts w:hint="eastAsia"/>
          <w:b/>
          <w:bCs/>
          <w:highlight w:val="none"/>
        </w:rPr>
        <w:t>要求。</w:t>
      </w:r>
    </w:p>
    <w:p>
      <w:pPr>
        <w:widowControl/>
        <w:spacing w:line="240" w:lineRule="auto"/>
        <w:jc w:val="left"/>
        <w:rPr>
          <w:rFonts w:hint="eastAsia" w:ascii="宋体" w:hAnsi="宋体"/>
          <w:b/>
          <w:color w:val="000000"/>
          <w:sz w:val="24"/>
          <w:highlight w:val="none"/>
        </w:rPr>
      </w:pPr>
      <w:r>
        <w:rPr>
          <w:highlight w:val="none"/>
        </w:rPr>
        <w:drawing>
          <wp:inline distT="0" distB="0" distL="114300" distR="114300">
            <wp:extent cx="5538470" cy="6056630"/>
            <wp:effectExtent l="0" t="0" r="1143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5538470" cy="6056630"/>
                    </a:xfrm>
                    <a:prstGeom prst="rect">
                      <a:avLst/>
                    </a:prstGeom>
                    <a:noFill/>
                    <a:ln>
                      <a:noFill/>
                    </a:ln>
                  </pic:spPr>
                </pic:pic>
              </a:graphicData>
            </a:graphic>
          </wp:inline>
        </w:drawing>
      </w:r>
    </w:p>
    <w:p>
      <w:pPr>
        <w:widowControl/>
        <w:spacing w:line="240" w:lineRule="auto"/>
        <w:jc w:val="left"/>
        <w:rPr>
          <w:rFonts w:hint="eastAsia" w:ascii="宋体" w:hAnsi="宋体" w:eastAsia="宋体" w:cs="宋体"/>
          <w:sz w:val="21"/>
          <w:szCs w:val="21"/>
          <w:highlight w:val="none"/>
        </w:rPr>
      </w:pPr>
    </w:p>
    <w:p>
      <w:pPr>
        <w:widowControl/>
        <w:spacing w:line="240" w:lineRule="auto"/>
        <w:jc w:val="left"/>
        <w:rPr>
          <w:rFonts w:hint="eastAsia" w:ascii="宋体" w:hAnsi="宋体" w:eastAsia="宋体" w:cs="宋体"/>
          <w:sz w:val="21"/>
          <w:szCs w:val="21"/>
          <w:highlight w:val="none"/>
        </w:rPr>
      </w:pPr>
    </w:p>
    <w:p>
      <w:pPr>
        <w:spacing w:line="420" w:lineRule="exact"/>
        <w:ind w:firstLine="482" w:firstLineChars="200"/>
        <w:jc w:val="left"/>
        <w:rPr>
          <w:rFonts w:ascii="宋体" w:hAnsi="宋体"/>
          <w:b/>
          <w:sz w:val="24"/>
          <w:szCs w:val="24"/>
          <w:highlight w:val="none"/>
        </w:rPr>
      </w:pPr>
      <w:r>
        <w:rPr>
          <w:rFonts w:hint="eastAsia" w:ascii="宋体" w:hAnsi="宋体"/>
          <w:b/>
          <w:sz w:val="24"/>
          <w:szCs w:val="24"/>
          <w:highlight w:val="none"/>
        </w:rPr>
        <w:t>。</w:t>
      </w:r>
    </w:p>
    <w:p>
      <w:pPr>
        <w:pStyle w:val="16"/>
        <w:rPr>
          <w:rFonts w:hint="default" w:eastAsia="黑体"/>
          <w:lang w:val="en-US" w:eastAsia="zh-CN"/>
        </w:rPr>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rPr>
          <w:rFonts w:hint="eastAsia"/>
        </w:rPr>
      </w:pPr>
    </w:p>
    <w:p>
      <w:pPr>
        <w:pStyle w:val="16"/>
      </w:pPr>
    </w:p>
    <w:p>
      <w:pPr>
        <w:pStyle w:val="16"/>
      </w:pPr>
    </w:p>
    <w:p>
      <w:pPr>
        <w:pStyle w:val="16"/>
      </w:pPr>
    </w:p>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jc w:val="center"/>
        <w:textAlignment w:val="auto"/>
        <w:rPr>
          <w:rFonts w:hint="default" w:ascii="宋体" w:hAnsi="宋体" w:eastAsia="宋体" w:cs="新宋体"/>
          <w:b/>
          <w:bCs/>
          <w:kern w:val="0"/>
          <w:sz w:val="36"/>
          <w:szCs w:val="36"/>
          <w:lang w:val="en-US" w:eastAsia="zh-CN"/>
        </w:rPr>
      </w:pPr>
      <w:bookmarkStart w:id="54" w:name="_Toc16977"/>
      <w:r>
        <w:rPr>
          <w:rFonts w:hint="eastAsia" w:ascii="宋体" w:hAnsi="宋体"/>
          <w:sz w:val="28"/>
          <w:szCs w:val="28"/>
        </w:rPr>
        <w:t>附件八</w:t>
      </w:r>
      <w:bookmarkEnd w:id="54"/>
      <w:bookmarkStart w:id="55" w:name="_Toc1298"/>
      <w:bookmarkStart w:id="56" w:name="_Hlk184651441"/>
      <w:r>
        <w:rPr>
          <w:rFonts w:hint="eastAsia" w:ascii="宋体" w:hAnsi="宋体" w:eastAsia="宋体" w:cs="新宋体"/>
          <w:b/>
          <w:bCs/>
          <w:kern w:val="0"/>
          <w:sz w:val="36"/>
          <w:szCs w:val="36"/>
          <w:lang w:val="en-US" w:eastAsia="zh-CN"/>
        </w:rPr>
        <w:t>物资合同模版</w:t>
      </w:r>
      <w:bookmarkEnd w:id="55"/>
    </w:p>
    <w:p>
      <w:pPr>
        <w:spacing w:before="91" w:line="220" w:lineRule="auto"/>
        <w:ind w:left="23"/>
        <w:rPr>
          <w:rFonts w:eastAsia="Times New Roman"/>
          <w:sz w:val="28"/>
          <w:szCs w:val="28"/>
        </w:rPr>
      </w:pPr>
      <w:r>
        <w:rPr>
          <w:rFonts w:ascii="宋体" w:hAnsi="宋体" w:cs="宋体"/>
          <w:spacing w:val="-2"/>
          <w:sz w:val="28"/>
          <w:szCs w:val="28"/>
          <w14:textOutline w14:w="5105" w14:cap="sq" w14:cmpd="sng" w14:algn="ctr">
            <w14:solidFill>
              <w14:srgbClr w14:val="000000"/>
            </w14:solidFill>
            <w14:prstDash w14:val="solid"/>
            <w14:bevel/>
          </w14:textOutline>
        </w:rPr>
        <w:t>合同编号：</w:t>
      </w:r>
      <w:r>
        <w:rPr>
          <w:rFonts w:eastAsia="Times New Roman"/>
          <w:b/>
          <w:bCs/>
          <w:spacing w:val="-2"/>
          <w:sz w:val="28"/>
          <w:szCs w:val="28"/>
          <w:u w:val="single"/>
        </w:rPr>
        <w:t xml:space="preserve">  </w:t>
      </w:r>
      <w:r>
        <w:rPr>
          <w:rFonts w:hint="eastAsia" w:eastAsia="Times New Roman"/>
          <w:b/>
          <w:bCs/>
          <w:spacing w:val="-2"/>
          <w:sz w:val="28"/>
          <w:szCs w:val="28"/>
          <w:u w:val="single"/>
        </w:rPr>
        <w:t>ZTEJ-</w:t>
      </w:r>
      <w:r>
        <w:rPr>
          <w:rFonts w:hint="eastAsia" w:eastAsiaTheme="minorEastAsia"/>
          <w:b/>
          <w:bCs/>
          <w:spacing w:val="-2"/>
          <w:sz w:val="28"/>
          <w:szCs w:val="28"/>
          <w:u w:val="single"/>
        </w:rPr>
        <w:t>MY-</w:t>
      </w:r>
      <w:r>
        <w:rPr>
          <w:rFonts w:hint="eastAsia" w:eastAsia="Times New Roman"/>
          <w:b/>
          <w:bCs/>
          <w:spacing w:val="-2"/>
          <w:sz w:val="28"/>
          <w:szCs w:val="28"/>
          <w:u w:val="single"/>
        </w:rPr>
        <w:t>202</w:t>
      </w:r>
      <w:r>
        <w:rPr>
          <w:rFonts w:hint="eastAsia"/>
          <w:b/>
          <w:bCs/>
          <w:spacing w:val="-2"/>
          <w:sz w:val="28"/>
          <w:szCs w:val="28"/>
          <w:u w:val="single"/>
        </w:rPr>
        <w:t>5</w:t>
      </w:r>
      <w:r>
        <w:rPr>
          <w:rFonts w:hint="eastAsia"/>
          <w:b/>
          <w:bCs/>
          <w:spacing w:val="-2"/>
          <w:sz w:val="28"/>
          <w:szCs w:val="28"/>
          <w:u w:val="single"/>
          <w:lang w:val="en-US" w:eastAsia="zh-CN"/>
        </w:rPr>
        <w:t>08</w:t>
      </w:r>
      <w:r>
        <w:rPr>
          <w:rFonts w:hint="eastAsia" w:eastAsia="Times New Roman"/>
          <w:b/>
          <w:bCs/>
          <w:spacing w:val="-2"/>
          <w:sz w:val="28"/>
          <w:szCs w:val="28"/>
          <w:u w:val="single"/>
        </w:rPr>
        <w:t>-</w:t>
      </w:r>
      <w:r>
        <w:rPr>
          <w:rFonts w:hint="eastAsia"/>
          <w:b/>
          <w:bCs/>
          <w:spacing w:val="-2"/>
          <w:sz w:val="28"/>
          <w:szCs w:val="28"/>
          <w:u w:val="single"/>
        </w:rPr>
        <w:t>HNT-</w:t>
      </w:r>
      <w:r>
        <w:rPr>
          <w:rFonts w:hint="eastAsia" w:eastAsia="Times New Roman"/>
          <w:b/>
          <w:bCs/>
          <w:spacing w:val="-2"/>
          <w:sz w:val="28"/>
          <w:szCs w:val="28"/>
          <w:u w:val="single"/>
        </w:rPr>
        <w:t>01</w:t>
      </w:r>
    </w:p>
    <w:p>
      <w:pPr>
        <w:pStyle w:val="5"/>
        <w:spacing w:line="243" w:lineRule="auto"/>
      </w:pPr>
    </w:p>
    <w:p>
      <w:pPr>
        <w:pStyle w:val="5"/>
        <w:spacing w:line="243" w:lineRule="auto"/>
      </w:pPr>
    </w:p>
    <w:p>
      <w:pPr>
        <w:pStyle w:val="5"/>
        <w:spacing w:line="243" w:lineRule="auto"/>
      </w:pPr>
    </w:p>
    <w:p>
      <w:pPr>
        <w:pStyle w:val="5"/>
        <w:spacing w:line="243" w:lineRule="auto"/>
      </w:pPr>
    </w:p>
    <w:p>
      <w:pPr>
        <w:pStyle w:val="5"/>
        <w:spacing w:line="243" w:lineRule="auto"/>
      </w:pPr>
    </w:p>
    <w:p>
      <w:pPr>
        <w:pStyle w:val="5"/>
        <w:spacing w:line="244" w:lineRule="auto"/>
      </w:pPr>
    </w:p>
    <w:p>
      <w:pPr>
        <w:pStyle w:val="5"/>
        <w:spacing w:line="244" w:lineRule="auto"/>
      </w:pPr>
    </w:p>
    <w:p>
      <w:pPr>
        <w:pStyle w:val="5"/>
        <w:spacing w:line="244" w:lineRule="auto"/>
      </w:pPr>
    </w:p>
    <w:p>
      <w:pPr>
        <w:pStyle w:val="5"/>
        <w:spacing w:line="244" w:lineRule="auto"/>
      </w:pPr>
    </w:p>
    <w:p>
      <w:pPr>
        <w:pStyle w:val="5"/>
        <w:spacing w:line="244" w:lineRule="auto"/>
      </w:pPr>
    </w:p>
    <w:p>
      <w:pPr>
        <w:pStyle w:val="5"/>
        <w:spacing w:line="244" w:lineRule="auto"/>
      </w:pPr>
    </w:p>
    <w:p>
      <w:pPr>
        <w:pStyle w:val="5"/>
        <w:spacing w:line="244" w:lineRule="auto"/>
      </w:pPr>
    </w:p>
    <w:p>
      <w:pPr>
        <w:tabs>
          <w:tab w:val="left" w:pos="2211"/>
        </w:tabs>
        <w:spacing w:before="140" w:line="223" w:lineRule="auto"/>
        <w:ind w:left="1965"/>
        <w:rPr>
          <w:rFonts w:hint="eastAsia" w:ascii="宋体" w:hAnsi="宋体" w:cs="宋体"/>
          <w:sz w:val="43"/>
          <w:szCs w:val="43"/>
        </w:rPr>
      </w:pPr>
      <w:r>
        <w:rPr>
          <w:rFonts w:hint="eastAsia" w:ascii="宋体" w:hAnsi="宋体" w:cs="宋体"/>
          <w:sz w:val="43"/>
          <w:szCs w:val="43"/>
          <w:u w:val="single"/>
        </w:rPr>
        <w:t>新疆墨玉县北部防沙治沙水源工程（一期）项目</w:t>
      </w:r>
      <w:r>
        <w:rPr>
          <w:rFonts w:ascii="宋体" w:hAnsi="宋体" w:cs="宋体"/>
          <w:spacing w:val="4"/>
          <w:sz w:val="43"/>
          <w:szCs w:val="43"/>
          <w14:textOutline w14:w="7975" w14:cap="sq" w14:cmpd="sng" w14:algn="ctr">
            <w14:solidFill>
              <w14:srgbClr w14:val="000000"/>
            </w14:solidFill>
            <w14:prstDash w14:val="solid"/>
            <w14:bevel/>
          </w14:textOutline>
        </w:rPr>
        <w:t>工程</w:t>
      </w:r>
    </w:p>
    <w:p>
      <w:pPr>
        <w:pStyle w:val="5"/>
        <w:spacing w:line="271" w:lineRule="auto"/>
      </w:pPr>
    </w:p>
    <w:p>
      <w:pPr>
        <w:pStyle w:val="5"/>
        <w:spacing w:line="271" w:lineRule="auto"/>
      </w:pPr>
    </w:p>
    <w:p>
      <w:pPr>
        <w:pStyle w:val="5"/>
        <w:spacing w:line="271" w:lineRule="auto"/>
      </w:pPr>
    </w:p>
    <w:p>
      <w:pPr>
        <w:spacing w:line="400" w:lineRule="exact"/>
        <w:jc w:val="center"/>
        <w:rPr>
          <w:b/>
          <w:sz w:val="10"/>
          <w:szCs w:val="10"/>
        </w:rPr>
      </w:pPr>
      <w:bookmarkStart w:id="57" w:name="bookmark5"/>
      <w:bookmarkEnd w:id="57"/>
      <w:r>
        <w:rPr>
          <w:rFonts w:hint="eastAsia"/>
          <w:b/>
          <w:sz w:val="36"/>
        </w:rPr>
        <w:t>商品混凝土买卖合同</w:t>
      </w:r>
    </w:p>
    <w:p>
      <w:pPr>
        <w:pStyle w:val="5"/>
        <w:spacing w:line="246" w:lineRule="auto"/>
        <w:jc w:val="center"/>
      </w:pPr>
    </w:p>
    <w:p>
      <w:pPr>
        <w:pStyle w:val="5"/>
        <w:spacing w:line="246" w:lineRule="auto"/>
      </w:pPr>
    </w:p>
    <w:p>
      <w:pPr>
        <w:pStyle w:val="5"/>
        <w:spacing w:line="246" w:lineRule="auto"/>
      </w:pPr>
    </w:p>
    <w:p>
      <w:pPr>
        <w:pStyle w:val="5"/>
        <w:spacing w:line="247" w:lineRule="auto"/>
      </w:pPr>
    </w:p>
    <w:p>
      <w:pPr>
        <w:pStyle w:val="5"/>
        <w:spacing w:line="247" w:lineRule="auto"/>
      </w:pPr>
    </w:p>
    <w:p>
      <w:pPr>
        <w:pStyle w:val="5"/>
        <w:spacing w:line="247" w:lineRule="auto"/>
      </w:pPr>
    </w:p>
    <w:p>
      <w:pPr>
        <w:pStyle w:val="5"/>
        <w:spacing w:line="247" w:lineRule="auto"/>
      </w:pPr>
    </w:p>
    <w:p>
      <w:pPr>
        <w:pStyle w:val="5"/>
        <w:spacing w:line="247" w:lineRule="auto"/>
      </w:pPr>
    </w:p>
    <w:p>
      <w:pPr>
        <w:pStyle w:val="5"/>
        <w:spacing w:line="247" w:lineRule="auto"/>
      </w:pPr>
    </w:p>
    <w:p>
      <w:pPr>
        <w:pStyle w:val="5"/>
        <w:spacing w:line="247" w:lineRule="auto"/>
      </w:pPr>
    </w:p>
    <w:p>
      <w:pPr>
        <w:pStyle w:val="5"/>
        <w:spacing w:line="247" w:lineRule="auto"/>
      </w:pPr>
    </w:p>
    <w:p>
      <w:pPr>
        <w:spacing w:before="101" w:line="225" w:lineRule="auto"/>
        <w:ind w:left="36"/>
        <w:rPr>
          <w:rFonts w:hint="eastAsia" w:ascii="宋体" w:hAnsi="宋体" w:cs="宋体"/>
          <w:sz w:val="28"/>
          <w:szCs w:val="28"/>
        </w:rPr>
      </w:pPr>
      <w:r>
        <w:rPr>
          <w:rFonts w:ascii="宋体" w:hAnsi="宋体" w:cs="宋体"/>
          <w:sz w:val="31"/>
          <w:szCs w:val="31"/>
        </w:rPr>
        <w:t>买方：</w:t>
      </w:r>
      <w:r>
        <w:rPr>
          <w:rFonts w:ascii="宋体" w:hAnsi="宋体" w:cs="宋体"/>
          <w:sz w:val="28"/>
          <w:szCs w:val="28"/>
          <w:u w:val="single"/>
        </w:rPr>
        <w:t>中铁二局集团有限公司</w:t>
      </w:r>
      <w:r>
        <w:rPr>
          <w:rFonts w:hint="eastAsia" w:ascii="宋体" w:hAnsi="宋体" w:cs="宋体"/>
          <w:sz w:val="28"/>
          <w:szCs w:val="28"/>
          <w:u w:val="single"/>
        </w:rPr>
        <w:t xml:space="preserve">新疆墨玉分公司       </w:t>
      </w:r>
      <w:r>
        <w:rPr>
          <w:rFonts w:ascii="宋体" w:hAnsi="宋体" w:cs="宋体"/>
          <w:sz w:val="28"/>
          <w:szCs w:val="28"/>
          <w:u w:val="single"/>
        </w:rPr>
        <w:t xml:space="preserve"> </w:t>
      </w:r>
    </w:p>
    <w:p>
      <w:pPr>
        <w:spacing w:before="244" w:line="225" w:lineRule="auto"/>
        <w:ind w:left="24"/>
        <w:rPr>
          <w:rFonts w:hint="eastAsia" w:ascii="宋体" w:hAnsi="宋体" w:cs="宋体"/>
          <w:sz w:val="28"/>
          <w:szCs w:val="28"/>
        </w:rPr>
      </w:pPr>
      <w:r>
        <w:rPr>
          <w:rFonts w:ascii="宋体" w:hAnsi="宋体" w:cs="宋体"/>
          <w:sz w:val="31"/>
          <w:szCs w:val="31"/>
        </w:rPr>
        <w:t>卖方</w:t>
      </w:r>
      <w:r>
        <w:rPr>
          <w:rFonts w:ascii="宋体" w:hAnsi="宋体" w:cs="宋体"/>
          <w:sz w:val="28"/>
          <w:szCs w:val="28"/>
        </w:rPr>
        <w:t>：</w:t>
      </w:r>
      <w:r>
        <w:rPr>
          <w:rFonts w:ascii="宋体" w:hAnsi="宋体" w:cs="宋体"/>
          <w:sz w:val="28"/>
          <w:szCs w:val="28"/>
          <w:u w:val="single"/>
        </w:rPr>
        <w:t xml:space="preserve">                                           </w:t>
      </w:r>
    </w:p>
    <w:p>
      <w:pPr>
        <w:spacing w:before="242" w:line="227" w:lineRule="auto"/>
        <w:ind w:left="24"/>
        <w:rPr>
          <w:rFonts w:hint="eastAsia" w:ascii="宋体" w:hAnsi="宋体" w:cs="宋体"/>
          <w:sz w:val="28"/>
          <w:szCs w:val="28"/>
        </w:rPr>
      </w:pPr>
      <w:r>
        <w:rPr>
          <w:rFonts w:ascii="宋体" w:hAnsi="宋体" w:cs="宋体"/>
          <w:spacing w:val="2"/>
          <w:sz w:val="31"/>
          <w:szCs w:val="31"/>
        </w:rPr>
        <w:t>签订地点：</w:t>
      </w:r>
      <w:r>
        <w:rPr>
          <w:rFonts w:ascii="宋体" w:hAnsi="宋体" w:cs="宋体"/>
          <w:spacing w:val="2"/>
          <w:sz w:val="28"/>
          <w:szCs w:val="28"/>
          <w:u w:val="single"/>
        </w:rPr>
        <w:t xml:space="preserve"> </w:t>
      </w:r>
      <w:r>
        <w:rPr>
          <w:rFonts w:hint="eastAsia" w:ascii="宋体" w:hAnsi="宋体" w:cs="宋体"/>
          <w:spacing w:val="2"/>
          <w:sz w:val="28"/>
          <w:szCs w:val="28"/>
          <w:u w:val="single"/>
        </w:rPr>
        <w:t>新疆和田地区墨玉县</w:t>
      </w:r>
      <w:r>
        <w:rPr>
          <w:rFonts w:ascii="宋体" w:hAnsi="宋体" w:cs="宋体"/>
          <w:spacing w:val="2"/>
          <w:sz w:val="28"/>
          <w:szCs w:val="28"/>
          <w:u w:val="single"/>
        </w:rPr>
        <w:t xml:space="preserve">   </w:t>
      </w:r>
      <w:r>
        <w:rPr>
          <w:rFonts w:hint="eastAsia" w:ascii="宋体" w:hAnsi="宋体" w:cs="宋体"/>
          <w:spacing w:val="2"/>
          <w:sz w:val="28"/>
          <w:szCs w:val="28"/>
          <w:u w:val="single"/>
        </w:rPr>
        <w:t xml:space="preserve">                </w:t>
      </w:r>
    </w:p>
    <w:p>
      <w:pPr>
        <w:spacing w:line="227" w:lineRule="auto"/>
        <w:rPr>
          <w:rFonts w:hint="eastAsia" w:ascii="宋体" w:hAnsi="宋体" w:cs="宋体"/>
          <w:sz w:val="28"/>
          <w:szCs w:val="28"/>
        </w:rPr>
        <w:sectPr>
          <w:footerReference r:id="rId8" w:type="default"/>
          <w:pgSz w:w="11906" w:h="16839"/>
          <w:pgMar w:top="1424" w:right="1785" w:bottom="1147" w:left="1785" w:header="0" w:footer="960" w:gutter="0"/>
          <w:cols w:space="720" w:num="1"/>
        </w:sectPr>
      </w:pPr>
    </w:p>
    <w:p>
      <w:pPr>
        <w:spacing w:line="44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商品混凝土买卖合同</w:t>
      </w:r>
    </w:p>
    <w:p>
      <w:pPr>
        <w:spacing w:line="440" w:lineRule="exact"/>
        <w:ind w:right="420" w:firstLine="4410" w:firstLineChars="2100"/>
        <w:rPr>
          <w:rFonts w:hint="eastAsia" w:ascii="宋体" w:hAnsi="宋体"/>
          <w:szCs w:val="21"/>
        </w:rPr>
      </w:pPr>
    </w:p>
    <w:p>
      <w:pPr>
        <w:spacing w:line="440" w:lineRule="exact"/>
        <w:ind w:firstLine="561"/>
        <w:rPr>
          <w:rFonts w:hint="eastAsia" w:ascii="宋体" w:hAnsi="宋体"/>
          <w:szCs w:val="21"/>
          <w:u w:val="single"/>
        </w:rPr>
      </w:pPr>
    </w:p>
    <w:p>
      <w:pPr>
        <w:spacing w:line="390" w:lineRule="exact"/>
        <w:rPr>
          <w:rFonts w:hint="eastAsia" w:ascii="宋体" w:hAnsi="宋体"/>
          <w:sz w:val="24"/>
          <w:u w:val="single"/>
        </w:rPr>
      </w:pPr>
      <w:r>
        <w:rPr>
          <w:rFonts w:hint="eastAsia" w:ascii="宋体" w:hAnsi="宋体"/>
          <w:b/>
          <w:sz w:val="24"/>
        </w:rPr>
        <w:t>买方：</w:t>
      </w:r>
      <w:r>
        <w:rPr>
          <w:rFonts w:hint="eastAsia" w:ascii="宋体" w:hAnsi="宋体"/>
          <w:sz w:val="24"/>
          <w:u w:val="single"/>
        </w:rPr>
        <w:t xml:space="preserve">                                   </w:t>
      </w:r>
      <w:r>
        <w:rPr>
          <w:rFonts w:hint="eastAsia" w:ascii="宋体" w:hAnsi="宋体"/>
          <w:sz w:val="24"/>
        </w:rPr>
        <w:t>（以下简称甲方）</w:t>
      </w:r>
    </w:p>
    <w:p>
      <w:pPr>
        <w:spacing w:line="390" w:lineRule="exact"/>
        <w:rPr>
          <w:rFonts w:hint="eastAsia" w:ascii="宋体" w:hAnsi="宋体"/>
          <w:sz w:val="24"/>
        </w:rPr>
      </w:pPr>
      <w:r>
        <w:rPr>
          <w:rFonts w:hint="eastAsia" w:ascii="宋体" w:hAnsi="宋体"/>
          <w:b/>
          <w:sz w:val="24"/>
        </w:rPr>
        <w:t>卖方：</w:t>
      </w:r>
      <w:r>
        <w:rPr>
          <w:rFonts w:hint="eastAsia" w:ascii="宋体" w:hAnsi="宋体"/>
          <w:sz w:val="24"/>
          <w:u w:val="single"/>
        </w:rPr>
        <w:t xml:space="preserve">                                   </w:t>
      </w:r>
      <w:r>
        <w:rPr>
          <w:rFonts w:hint="eastAsia" w:ascii="宋体" w:hAnsi="宋体"/>
          <w:sz w:val="24"/>
        </w:rPr>
        <w:t>（以下简称乙方）</w:t>
      </w:r>
    </w:p>
    <w:p>
      <w:pPr>
        <w:pStyle w:val="2"/>
        <w:spacing w:beforeLines="0"/>
        <w:jc w:val="left"/>
        <w:rPr>
          <w:rFonts w:hint="eastAsia" w:ascii="宋体" w:hAnsi="宋体" w:eastAsia="宋体" w:cs="宋体"/>
          <w:b/>
          <w:bCs/>
          <w:highlight w:val="yellow"/>
        </w:rPr>
      </w:pPr>
      <w:r>
        <w:rPr>
          <w:rFonts w:hint="eastAsia" w:ascii="宋体" w:hAnsi="宋体" w:eastAsia="宋体" w:cs="宋体"/>
          <w:b/>
          <w:bCs/>
          <w:sz w:val="24"/>
          <w:szCs w:val="24"/>
          <w:highlight w:val="yellow"/>
        </w:rPr>
        <w:t>卖方企业类型：            （详见附件二企业类型声明书）</w:t>
      </w:r>
    </w:p>
    <w:p>
      <w:pPr>
        <w:tabs>
          <w:tab w:val="left" w:pos="360"/>
          <w:tab w:val="left" w:pos="540"/>
        </w:tabs>
        <w:spacing w:line="390" w:lineRule="exact"/>
        <w:ind w:firstLine="410" w:firstLineChars="171"/>
        <w:rPr>
          <w:rFonts w:hint="eastAsia" w:ascii="宋体" w:hAnsi="宋体"/>
          <w:sz w:val="24"/>
        </w:rPr>
      </w:pPr>
      <w:r>
        <w:rPr>
          <w:rFonts w:hint="eastAsia" w:ascii="宋体" w:hAnsi="宋体" w:cs="宋体"/>
          <w:kern w:val="0"/>
          <w:sz w:val="24"/>
        </w:rPr>
        <w:t>根据《中华人民共和国民法典》及有关法律法规，</w:t>
      </w:r>
      <w:r>
        <w:rPr>
          <w:rFonts w:hint="eastAsia" w:ascii="宋体" w:hAnsi="宋体"/>
          <w:sz w:val="24"/>
        </w:rPr>
        <w:t>甲乙双方经充分平等友好协商，现就商品混凝土供应达成如下条款并共同遵守：</w:t>
      </w:r>
    </w:p>
    <w:p>
      <w:pPr>
        <w:pStyle w:val="18"/>
        <w:keepNext/>
        <w:keepLines/>
        <w:spacing w:line="390" w:lineRule="exact"/>
        <w:ind w:firstLine="482"/>
        <w:outlineLvl w:val="0"/>
        <w:rPr>
          <w:rFonts w:ascii="Calibri" w:hAnsi="Calibri"/>
          <w:b/>
          <w:bCs/>
          <w:kern w:val="44"/>
          <w:sz w:val="24"/>
        </w:rPr>
      </w:pPr>
      <w:r>
        <w:rPr>
          <w:rFonts w:hint="eastAsia" w:ascii="Calibri" w:hAnsi="Calibri"/>
          <w:b/>
          <w:bCs/>
          <w:kern w:val="44"/>
          <w:sz w:val="24"/>
        </w:rPr>
        <w:t>第一条 产品名称、型号规格、数量、价格等</w:t>
      </w:r>
    </w:p>
    <w:tbl>
      <w:tblPr>
        <w:tblStyle w:val="10"/>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
        <w:gridCol w:w="707"/>
        <w:gridCol w:w="976"/>
        <w:gridCol w:w="708"/>
        <w:gridCol w:w="993"/>
        <w:gridCol w:w="1277"/>
        <w:gridCol w:w="1276"/>
        <w:gridCol w:w="1136"/>
        <w:gridCol w:w="990"/>
        <w:gridCol w:w="709"/>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514" w:type="dxa"/>
            <w:vAlign w:val="center"/>
          </w:tcPr>
          <w:p>
            <w:pPr>
              <w:spacing w:line="390" w:lineRule="exact"/>
              <w:jc w:val="center"/>
              <w:rPr>
                <w:rFonts w:hint="eastAsia" w:ascii="宋体" w:hAnsi="宋体"/>
                <w:bCs/>
                <w:sz w:val="24"/>
              </w:rPr>
            </w:pPr>
            <w:r>
              <w:rPr>
                <w:rFonts w:hint="eastAsia" w:ascii="宋体" w:hAnsi="宋体"/>
                <w:bCs/>
                <w:sz w:val="24"/>
              </w:rPr>
              <w:t>序号</w:t>
            </w:r>
          </w:p>
        </w:tc>
        <w:tc>
          <w:tcPr>
            <w:tcW w:w="707" w:type="dxa"/>
            <w:vAlign w:val="center"/>
          </w:tcPr>
          <w:p>
            <w:pPr>
              <w:spacing w:line="390" w:lineRule="exact"/>
              <w:jc w:val="center"/>
              <w:rPr>
                <w:rFonts w:hint="eastAsia" w:ascii="宋体" w:hAnsi="宋体"/>
                <w:bCs/>
                <w:sz w:val="24"/>
              </w:rPr>
            </w:pPr>
            <w:r>
              <w:rPr>
                <w:rFonts w:hint="eastAsia" w:ascii="宋体" w:hAnsi="宋体"/>
                <w:bCs/>
                <w:sz w:val="24"/>
              </w:rPr>
              <w:t>物资</w:t>
            </w:r>
            <w:r>
              <w:rPr>
                <w:rFonts w:ascii="宋体" w:hAnsi="宋体"/>
                <w:bCs/>
                <w:sz w:val="24"/>
              </w:rPr>
              <w:t>名称</w:t>
            </w:r>
          </w:p>
        </w:tc>
        <w:tc>
          <w:tcPr>
            <w:tcW w:w="976" w:type="dxa"/>
            <w:vAlign w:val="center"/>
          </w:tcPr>
          <w:p>
            <w:pPr>
              <w:spacing w:line="390" w:lineRule="exact"/>
              <w:jc w:val="center"/>
              <w:rPr>
                <w:rFonts w:hint="eastAsia" w:ascii="宋体" w:hAnsi="宋体"/>
                <w:bCs/>
                <w:sz w:val="24"/>
              </w:rPr>
            </w:pPr>
            <w:r>
              <w:rPr>
                <w:rFonts w:ascii="宋体" w:hAnsi="宋体"/>
                <w:bCs/>
                <w:sz w:val="24"/>
              </w:rPr>
              <w:t>规格</w:t>
            </w:r>
          </w:p>
          <w:p>
            <w:pPr>
              <w:spacing w:line="390" w:lineRule="exact"/>
              <w:jc w:val="center"/>
              <w:rPr>
                <w:rFonts w:hint="eastAsia" w:ascii="宋体" w:hAnsi="宋体"/>
                <w:bCs/>
                <w:sz w:val="24"/>
              </w:rPr>
            </w:pPr>
            <w:r>
              <w:rPr>
                <w:rFonts w:hint="eastAsia" w:ascii="宋体" w:hAnsi="宋体"/>
                <w:bCs/>
                <w:sz w:val="24"/>
              </w:rPr>
              <w:t>型号</w:t>
            </w:r>
          </w:p>
        </w:tc>
        <w:tc>
          <w:tcPr>
            <w:tcW w:w="708" w:type="dxa"/>
            <w:vAlign w:val="center"/>
          </w:tcPr>
          <w:p>
            <w:pPr>
              <w:spacing w:line="390" w:lineRule="exact"/>
              <w:jc w:val="center"/>
              <w:rPr>
                <w:rFonts w:hint="eastAsia" w:ascii="宋体" w:hAnsi="宋体"/>
                <w:bCs/>
                <w:sz w:val="24"/>
              </w:rPr>
            </w:pPr>
            <w:r>
              <w:rPr>
                <w:rFonts w:ascii="宋体" w:hAnsi="宋体"/>
                <w:bCs/>
                <w:sz w:val="24"/>
              </w:rPr>
              <w:t>单位</w:t>
            </w:r>
          </w:p>
        </w:tc>
        <w:tc>
          <w:tcPr>
            <w:tcW w:w="993" w:type="dxa"/>
            <w:vAlign w:val="center"/>
          </w:tcPr>
          <w:p>
            <w:pPr>
              <w:spacing w:line="390" w:lineRule="exact"/>
              <w:jc w:val="center"/>
              <w:rPr>
                <w:rFonts w:hint="eastAsia" w:ascii="宋体" w:hAnsi="宋体"/>
                <w:bCs/>
                <w:sz w:val="24"/>
              </w:rPr>
            </w:pPr>
            <w:r>
              <w:rPr>
                <w:rFonts w:ascii="宋体" w:hAnsi="宋体"/>
                <w:bCs/>
                <w:sz w:val="24"/>
              </w:rPr>
              <w:t>数量</w:t>
            </w:r>
          </w:p>
        </w:tc>
        <w:tc>
          <w:tcPr>
            <w:tcW w:w="1277" w:type="dxa"/>
            <w:vAlign w:val="center"/>
          </w:tcPr>
          <w:p>
            <w:pPr>
              <w:spacing w:line="390" w:lineRule="exact"/>
              <w:jc w:val="center"/>
              <w:rPr>
                <w:rFonts w:hint="eastAsia" w:ascii="宋体" w:hAnsi="宋体"/>
                <w:bCs/>
                <w:sz w:val="24"/>
              </w:rPr>
            </w:pPr>
            <w:r>
              <w:rPr>
                <w:rFonts w:hint="eastAsia" w:ascii="宋体" w:hAnsi="宋体"/>
                <w:bCs/>
                <w:sz w:val="24"/>
              </w:rPr>
              <w:t>不含增值税单价（元）</w:t>
            </w:r>
          </w:p>
        </w:tc>
        <w:tc>
          <w:tcPr>
            <w:tcW w:w="1276" w:type="dxa"/>
            <w:vAlign w:val="center"/>
          </w:tcPr>
          <w:p>
            <w:pPr>
              <w:spacing w:line="390" w:lineRule="exact"/>
              <w:jc w:val="center"/>
              <w:rPr>
                <w:rFonts w:hint="eastAsia" w:ascii="宋体" w:hAnsi="宋体"/>
                <w:bCs/>
                <w:sz w:val="24"/>
              </w:rPr>
            </w:pPr>
            <w:r>
              <w:rPr>
                <w:rFonts w:hint="eastAsia" w:ascii="宋体" w:hAnsi="宋体"/>
                <w:bCs/>
                <w:sz w:val="24"/>
              </w:rPr>
              <w:t>不含增值税</w:t>
            </w:r>
            <w:r>
              <w:rPr>
                <w:rFonts w:ascii="宋体" w:hAnsi="宋体"/>
                <w:bCs/>
                <w:sz w:val="24"/>
              </w:rPr>
              <w:t>总价</w:t>
            </w:r>
            <w:r>
              <w:rPr>
                <w:rFonts w:hint="eastAsia" w:ascii="宋体" w:hAnsi="宋体"/>
                <w:bCs/>
                <w:sz w:val="24"/>
              </w:rPr>
              <w:t>（元）</w:t>
            </w:r>
          </w:p>
        </w:tc>
        <w:tc>
          <w:tcPr>
            <w:tcW w:w="1136" w:type="dxa"/>
            <w:vAlign w:val="center"/>
          </w:tcPr>
          <w:p>
            <w:pPr>
              <w:spacing w:line="390" w:lineRule="exact"/>
              <w:jc w:val="center"/>
              <w:rPr>
                <w:rFonts w:hint="eastAsia" w:ascii="宋体" w:hAnsi="宋体"/>
                <w:bCs/>
                <w:sz w:val="24"/>
              </w:rPr>
            </w:pPr>
            <w:r>
              <w:rPr>
                <w:rFonts w:hint="eastAsia" w:ascii="宋体" w:hAnsi="宋体"/>
                <w:bCs/>
                <w:sz w:val="24"/>
              </w:rPr>
              <w:t>含增值税单价（元）</w:t>
            </w:r>
          </w:p>
        </w:tc>
        <w:tc>
          <w:tcPr>
            <w:tcW w:w="990" w:type="dxa"/>
            <w:vAlign w:val="center"/>
          </w:tcPr>
          <w:p>
            <w:pPr>
              <w:spacing w:line="390" w:lineRule="exact"/>
              <w:jc w:val="center"/>
              <w:rPr>
                <w:rFonts w:hint="eastAsia" w:ascii="宋体" w:hAnsi="宋体"/>
                <w:bCs/>
                <w:sz w:val="24"/>
              </w:rPr>
            </w:pPr>
            <w:r>
              <w:rPr>
                <w:rFonts w:hint="eastAsia" w:ascii="宋体" w:hAnsi="宋体"/>
                <w:bCs/>
                <w:sz w:val="24"/>
              </w:rPr>
              <w:t>含增值税</w:t>
            </w:r>
            <w:r>
              <w:rPr>
                <w:rFonts w:ascii="宋体" w:hAnsi="宋体"/>
                <w:bCs/>
                <w:sz w:val="24"/>
              </w:rPr>
              <w:t>总价</w:t>
            </w:r>
            <w:r>
              <w:rPr>
                <w:rFonts w:hint="eastAsia" w:ascii="宋体" w:hAnsi="宋体"/>
                <w:bCs/>
                <w:sz w:val="24"/>
              </w:rPr>
              <w:t>（元）</w:t>
            </w:r>
          </w:p>
        </w:tc>
        <w:tc>
          <w:tcPr>
            <w:tcW w:w="709" w:type="dxa"/>
            <w:vAlign w:val="center"/>
          </w:tcPr>
          <w:p>
            <w:pPr>
              <w:spacing w:line="390" w:lineRule="exact"/>
              <w:jc w:val="center"/>
              <w:rPr>
                <w:rFonts w:hint="eastAsia" w:ascii="宋体" w:hAnsi="宋体"/>
                <w:bCs/>
                <w:sz w:val="24"/>
              </w:rPr>
            </w:pPr>
            <w:r>
              <w:rPr>
                <w:rFonts w:hint="eastAsia" w:ascii="宋体" w:hAnsi="宋体"/>
                <w:bCs/>
                <w:sz w:val="24"/>
              </w:rPr>
              <w:t>生产厂家</w:t>
            </w:r>
          </w:p>
        </w:tc>
        <w:tc>
          <w:tcPr>
            <w:tcW w:w="567" w:type="dxa"/>
            <w:vAlign w:val="center"/>
          </w:tcPr>
          <w:p>
            <w:pPr>
              <w:spacing w:line="390" w:lineRule="exact"/>
              <w:jc w:val="center"/>
              <w:rPr>
                <w:rFonts w:hint="eastAsia" w:ascii="宋体" w:hAnsi="宋体"/>
                <w:bCs/>
                <w:sz w:val="24"/>
              </w:rPr>
            </w:pPr>
            <w:r>
              <w:rPr>
                <w:rFonts w:hint="eastAsia" w:ascii="宋体" w:hAnsi="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14" w:type="dxa"/>
            <w:vAlign w:val="center"/>
          </w:tcPr>
          <w:p>
            <w:pPr>
              <w:spacing w:line="390" w:lineRule="exact"/>
              <w:jc w:val="center"/>
              <w:rPr>
                <w:rFonts w:hint="eastAsia" w:ascii="宋体" w:hAnsi="宋体"/>
                <w:sz w:val="24"/>
              </w:rPr>
            </w:pPr>
          </w:p>
        </w:tc>
        <w:tc>
          <w:tcPr>
            <w:tcW w:w="707" w:type="dxa"/>
            <w:vAlign w:val="center"/>
          </w:tcPr>
          <w:p>
            <w:pPr>
              <w:spacing w:line="390" w:lineRule="exact"/>
              <w:rPr>
                <w:rFonts w:hint="eastAsia" w:ascii="宋体" w:hAnsi="宋体"/>
                <w:sz w:val="24"/>
              </w:rPr>
            </w:pPr>
          </w:p>
        </w:tc>
        <w:tc>
          <w:tcPr>
            <w:tcW w:w="976" w:type="dxa"/>
            <w:vAlign w:val="center"/>
          </w:tcPr>
          <w:p>
            <w:pPr>
              <w:spacing w:line="390" w:lineRule="exact"/>
              <w:rPr>
                <w:rFonts w:hint="eastAsia" w:ascii="宋体" w:hAnsi="宋体"/>
                <w:sz w:val="24"/>
              </w:rPr>
            </w:pPr>
          </w:p>
        </w:tc>
        <w:tc>
          <w:tcPr>
            <w:tcW w:w="708" w:type="dxa"/>
            <w:vAlign w:val="center"/>
          </w:tcPr>
          <w:p>
            <w:pPr>
              <w:spacing w:line="390" w:lineRule="exact"/>
              <w:rPr>
                <w:rFonts w:hint="eastAsia" w:ascii="宋体" w:hAnsi="宋体"/>
                <w:sz w:val="24"/>
              </w:rPr>
            </w:pPr>
          </w:p>
        </w:tc>
        <w:tc>
          <w:tcPr>
            <w:tcW w:w="993" w:type="dxa"/>
            <w:vAlign w:val="center"/>
          </w:tcPr>
          <w:p>
            <w:pPr>
              <w:spacing w:line="390" w:lineRule="exact"/>
              <w:rPr>
                <w:rFonts w:hint="eastAsia" w:ascii="宋体" w:hAnsi="宋体"/>
                <w:sz w:val="24"/>
              </w:rPr>
            </w:pPr>
          </w:p>
        </w:tc>
        <w:tc>
          <w:tcPr>
            <w:tcW w:w="1277" w:type="dxa"/>
            <w:vAlign w:val="center"/>
          </w:tcPr>
          <w:p>
            <w:pPr>
              <w:spacing w:line="390" w:lineRule="exact"/>
              <w:rPr>
                <w:rFonts w:hint="eastAsia" w:ascii="宋体" w:hAnsi="宋体"/>
                <w:sz w:val="24"/>
              </w:rPr>
            </w:pPr>
          </w:p>
        </w:tc>
        <w:tc>
          <w:tcPr>
            <w:tcW w:w="1276" w:type="dxa"/>
            <w:vAlign w:val="center"/>
          </w:tcPr>
          <w:p>
            <w:pPr>
              <w:spacing w:line="390" w:lineRule="exact"/>
              <w:rPr>
                <w:rFonts w:hint="eastAsia" w:ascii="宋体" w:hAnsi="宋体"/>
                <w:sz w:val="24"/>
              </w:rPr>
            </w:pPr>
          </w:p>
        </w:tc>
        <w:tc>
          <w:tcPr>
            <w:tcW w:w="1136" w:type="dxa"/>
          </w:tcPr>
          <w:p>
            <w:pPr>
              <w:spacing w:line="390" w:lineRule="exact"/>
              <w:rPr>
                <w:rFonts w:hint="eastAsia" w:ascii="宋体" w:hAnsi="宋体"/>
                <w:sz w:val="24"/>
              </w:rPr>
            </w:pPr>
          </w:p>
        </w:tc>
        <w:tc>
          <w:tcPr>
            <w:tcW w:w="990" w:type="dxa"/>
          </w:tcPr>
          <w:p>
            <w:pPr>
              <w:spacing w:line="390" w:lineRule="exact"/>
              <w:rPr>
                <w:rFonts w:hint="eastAsia" w:ascii="宋体" w:hAnsi="宋体"/>
                <w:sz w:val="24"/>
              </w:rPr>
            </w:pPr>
          </w:p>
        </w:tc>
        <w:tc>
          <w:tcPr>
            <w:tcW w:w="709" w:type="dxa"/>
          </w:tcPr>
          <w:p>
            <w:pPr>
              <w:spacing w:line="390" w:lineRule="exact"/>
              <w:rPr>
                <w:rFonts w:hint="eastAsia" w:ascii="宋体" w:hAnsi="宋体"/>
                <w:sz w:val="24"/>
              </w:rPr>
            </w:pPr>
          </w:p>
        </w:tc>
        <w:tc>
          <w:tcPr>
            <w:tcW w:w="567" w:type="dxa"/>
            <w:vAlign w:val="center"/>
          </w:tcPr>
          <w:p>
            <w:pPr>
              <w:spacing w:line="39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14" w:type="dxa"/>
            <w:vAlign w:val="center"/>
          </w:tcPr>
          <w:p>
            <w:pPr>
              <w:spacing w:line="390" w:lineRule="exact"/>
              <w:jc w:val="center"/>
              <w:rPr>
                <w:rFonts w:hint="eastAsia" w:ascii="宋体" w:hAnsi="宋体"/>
                <w:sz w:val="24"/>
              </w:rPr>
            </w:pPr>
          </w:p>
        </w:tc>
        <w:tc>
          <w:tcPr>
            <w:tcW w:w="707" w:type="dxa"/>
            <w:vAlign w:val="center"/>
          </w:tcPr>
          <w:p>
            <w:pPr>
              <w:spacing w:line="390" w:lineRule="exact"/>
              <w:rPr>
                <w:rFonts w:hint="eastAsia" w:ascii="宋体" w:hAnsi="宋体"/>
                <w:sz w:val="24"/>
              </w:rPr>
            </w:pPr>
          </w:p>
        </w:tc>
        <w:tc>
          <w:tcPr>
            <w:tcW w:w="976" w:type="dxa"/>
            <w:vAlign w:val="center"/>
          </w:tcPr>
          <w:p>
            <w:pPr>
              <w:spacing w:line="390" w:lineRule="exact"/>
              <w:rPr>
                <w:rFonts w:hint="eastAsia" w:ascii="宋体" w:hAnsi="宋体"/>
                <w:sz w:val="24"/>
              </w:rPr>
            </w:pPr>
          </w:p>
        </w:tc>
        <w:tc>
          <w:tcPr>
            <w:tcW w:w="708" w:type="dxa"/>
            <w:vAlign w:val="center"/>
          </w:tcPr>
          <w:p>
            <w:pPr>
              <w:spacing w:line="390" w:lineRule="exact"/>
              <w:rPr>
                <w:rFonts w:hint="eastAsia" w:ascii="宋体" w:hAnsi="宋体"/>
                <w:sz w:val="24"/>
              </w:rPr>
            </w:pPr>
          </w:p>
        </w:tc>
        <w:tc>
          <w:tcPr>
            <w:tcW w:w="993" w:type="dxa"/>
            <w:vAlign w:val="center"/>
          </w:tcPr>
          <w:p>
            <w:pPr>
              <w:spacing w:line="390" w:lineRule="exact"/>
              <w:rPr>
                <w:rFonts w:hint="eastAsia" w:ascii="宋体" w:hAnsi="宋体"/>
                <w:sz w:val="24"/>
              </w:rPr>
            </w:pPr>
          </w:p>
        </w:tc>
        <w:tc>
          <w:tcPr>
            <w:tcW w:w="1277" w:type="dxa"/>
            <w:vAlign w:val="center"/>
          </w:tcPr>
          <w:p>
            <w:pPr>
              <w:spacing w:line="390" w:lineRule="exact"/>
              <w:rPr>
                <w:rFonts w:hint="eastAsia" w:ascii="宋体" w:hAnsi="宋体"/>
                <w:sz w:val="24"/>
              </w:rPr>
            </w:pPr>
          </w:p>
        </w:tc>
        <w:tc>
          <w:tcPr>
            <w:tcW w:w="1276" w:type="dxa"/>
            <w:vAlign w:val="center"/>
          </w:tcPr>
          <w:p>
            <w:pPr>
              <w:spacing w:line="390" w:lineRule="exact"/>
              <w:rPr>
                <w:rFonts w:hint="eastAsia" w:ascii="宋体" w:hAnsi="宋体"/>
                <w:sz w:val="24"/>
              </w:rPr>
            </w:pPr>
          </w:p>
        </w:tc>
        <w:tc>
          <w:tcPr>
            <w:tcW w:w="1136" w:type="dxa"/>
          </w:tcPr>
          <w:p>
            <w:pPr>
              <w:spacing w:line="390" w:lineRule="exact"/>
              <w:rPr>
                <w:rFonts w:hint="eastAsia" w:ascii="宋体" w:hAnsi="宋体"/>
                <w:sz w:val="24"/>
              </w:rPr>
            </w:pPr>
          </w:p>
        </w:tc>
        <w:tc>
          <w:tcPr>
            <w:tcW w:w="990" w:type="dxa"/>
          </w:tcPr>
          <w:p>
            <w:pPr>
              <w:spacing w:line="390" w:lineRule="exact"/>
              <w:rPr>
                <w:rFonts w:hint="eastAsia" w:ascii="宋体" w:hAnsi="宋体"/>
                <w:sz w:val="24"/>
              </w:rPr>
            </w:pPr>
          </w:p>
        </w:tc>
        <w:tc>
          <w:tcPr>
            <w:tcW w:w="709" w:type="dxa"/>
          </w:tcPr>
          <w:p>
            <w:pPr>
              <w:spacing w:line="390" w:lineRule="exact"/>
              <w:rPr>
                <w:rFonts w:hint="eastAsia" w:ascii="宋体" w:hAnsi="宋体"/>
                <w:sz w:val="24"/>
              </w:rPr>
            </w:pPr>
          </w:p>
        </w:tc>
        <w:tc>
          <w:tcPr>
            <w:tcW w:w="567" w:type="dxa"/>
            <w:vAlign w:val="center"/>
          </w:tcPr>
          <w:p>
            <w:pPr>
              <w:spacing w:line="39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221" w:type="dxa"/>
            <w:gridSpan w:val="2"/>
            <w:vAlign w:val="center"/>
          </w:tcPr>
          <w:p>
            <w:pPr>
              <w:spacing w:line="390" w:lineRule="exact"/>
              <w:jc w:val="center"/>
              <w:rPr>
                <w:rFonts w:hint="eastAsia" w:ascii="宋体" w:hAnsi="宋体"/>
                <w:sz w:val="24"/>
              </w:rPr>
            </w:pPr>
            <w:r>
              <w:rPr>
                <w:rFonts w:hint="eastAsia" w:ascii="宋体" w:hAnsi="宋体"/>
                <w:bCs/>
                <w:sz w:val="24"/>
              </w:rPr>
              <w:t>小计</w:t>
            </w:r>
          </w:p>
        </w:tc>
        <w:tc>
          <w:tcPr>
            <w:tcW w:w="976" w:type="dxa"/>
            <w:vAlign w:val="center"/>
          </w:tcPr>
          <w:p>
            <w:pPr>
              <w:spacing w:line="390" w:lineRule="exact"/>
              <w:rPr>
                <w:rFonts w:hint="eastAsia" w:ascii="宋体" w:hAnsi="宋体"/>
                <w:sz w:val="24"/>
              </w:rPr>
            </w:pPr>
          </w:p>
        </w:tc>
        <w:tc>
          <w:tcPr>
            <w:tcW w:w="708" w:type="dxa"/>
            <w:vAlign w:val="center"/>
          </w:tcPr>
          <w:p>
            <w:pPr>
              <w:spacing w:line="390" w:lineRule="exact"/>
              <w:rPr>
                <w:rFonts w:hint="eastAsia" w:ascii="宋体" w:hAnsi="宋体"/>
                <w:sz w:val="24"/>
              </w:rPr>
            </w:pPr>
          </w:p>
        </w:tc>
        <w:tc>
          <w:tcPr>
            <w:tcW w:w="993" w:type="dxa"/>
            <w:vAlign w:val="center"/>
          </w:tcPr>
          <w:p>
            <w:pPr>
              <w:spacing w:line="390" w:lineRule="exact"/>
              <w:rPr>
                <w:rFonts w:hint="eastAsia" w:ascii="宋体" w:hAnsi="宋体"/>
                <w:sz w:val="24"/>
              </w:rPr>
            </w:pPr>
          </w:p>
        </w:tc>
        <w:tc>
          <w:tcPr>
            <w:tcW w:w="1277" w:type="dxa"/>
            <w:vAlign w:val="center"/>
          </w:tcPr>
          <w:p>
            <w:pPr>
              <w:spacing w:line="390" w:lineRule="exact"/>
              <w:rPr>
                <w:rFonts w:hint="eastAsia" w:ascii="宋体" w:hAnsi="宋体"/>
                <w:sz w:val="24"/>
              </w:rPr>
            </w:pPr>
          </w:p>
        </w:tc>
        <w:tc>
          <w:tcPr>
            <w:tcW w:w="1276" w:type="dxa"/>
            <w:vAlign w:val="center"/>
          </w:tcPr>
          <w:p>
            <w:pPr>
              <w:spacing w:line="390" w:lineRule="exact"/>
              <w:rPr>
                <w:rFonts w:hint="eastAsia" w:ascii="宋体" w:hAnsi="宋体"/>
                <w:sz w:val="24"/>
              </w:rPr>
            </w:pPr>
          </w:p>
        </w:tc>
        <w:tc>
          <w:tcPr>
            <w:tcW w:w="1136" w:type="dxa"/>
          </w:tcPr>
          <w:p>
            <w:pPr>
              <w:spacing w:line="390" w:lineRule="exact"/>
              <w:rPr>
                <w:rFonts w:hint="eastAsia" w:ascii="宋体" w:hAnsi="宋体"/>
                <w:sz w:val="24"/>
              </w:rPr>
            </w:pPr>
          </w:p>
        </w:tc>
        <w:tc>
          <w:tcPr>
            <w:tcW w:w="990" w:type="dxa"/>
          </w:tcPr>
          <w:p>
            <w:pPr>
              <w:spacing w:line="390" w:lineRule="exact"/>
              <w:rPr>
                <w:rFonts w:hint="eastAsia" w:ascii="宋体" w:hAnsi="宋体"/>
                <w:sz w:val="24"/>
              </w:rPr>
            </w:pPr>
          </w:p>
        </w:tc>
        <w:tc>
          <w:tcPr>
            <w:tcW w:w="709" w:type="dxa"/>
          </w:tcPr>
          <w:p>
            <w:pPr>
              <w:spacing w:line="390" w:lineRule="exact"/>
              <w:rPr>
                <w:rFonts w:hint="eastAsia" w:ascii="宋体" w:hAnsi="宋体"/>
                <w:sz w:val="24"/>
              </w:rPr>
            </w:pPr>
          </w:p>
        </w:tc>
        <w:tc>
          <w:tcPr>
            <w:tcW w:w="567" w:type="dxa"/>
            <w:vAlign w:val="center"/>
          </w:tcPr>
          <w:p>
            <w:pPr>
              <w:spacing w:line="390" w:lineRule="exac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853" w:type="dxa"/>
            <w:gridSpan w:val="11"/>
            <w:vAlign w:val="center"/>
          </w:tcPr>
          <w:p>
            <w:pPr>
              <w:spacing w:line="390" w:lineRule="exact"/>
              <w:rPr>
                <w:rFonts w:hint="eastAsia" w:ascii="宋体" w:hAnsi="宋体"/>
                <w:sz w:val="24"/>
              </w:rPr>
            </w:pPr>
            <w:r>
              <w:rPr>
                <w:rFonts w:hint="eastAsia" w:ascii="宋体" w:hAnsi="宋体"/>
                <w:bCs/>
                <w:sz w:val="24"/>
              </w:rPr>
              <w:t>增值税税率为</w:t>
            </w:r>
            <w:r>
              <w:rPr>
                <w:rFonts w:hint="eastAsia" w:ascii="宋体" w:hAnsi="宋体"/>
                <w:bCs/>
                <w:sz w:val="24"/>
                <w:u w:val="single"/>
              </w:rPr>
              <w:t xml:space="preserve"> </w:t>
            </w:r>
            <w:r>
              <w:rPr>
                <w:rFonts w:ascii="宋体" w:hAnsi="宋体"/>
                <w:bCs/>
                <w:sz w:val="24"/>
                <w:u w:val="single"/>
              </w:rPr>
              <w:t xml:space="preserve">  </w:t>
            </w:r>
            <w:r>
              <w:rPr>
                <w:rFonts w:hint="eastAsia" w:ascii="宋体" w:hAnsi="宋体"/>
                <w:bCs/>
                <w:sz w:val="24"/>
                <w:u w:val="single"/>
              </w:rPr>
              <w:t xml:space="preserve">  </w:t>
            </w:r>
            <w:r>
              <w:rPr>
                <w:rFonts w:hint="eastAsia" w:ascii="宋体" w:hAnsi="宋体"/>
                <w:bCs/>
                <w:sz w:val="24"/>
              </w:rPr>
              <w:t>%，增值税额：</w:t>
            </w:r>
            <w:r>
              <w:rPr>
                <w:rFonts w:hint="eastAsia" w:ascii="宋体" w:hAnsi="宋体"/>
                <w:bCs/>
                <w:sz w:val="24"/>
                <w:u w:val="single"/>
              </w:rPr>
              <w:t xml:space="preserve">            </w:t>
            </w:r>
            <w:r>
              <w:rPr>
                <w:rFonts w:hint="eastAsia" w:ascii="宋体" w:hAnsi="宋体"/>
                <w:bCs/>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853" w:type="dxa"/>
            <w:gridSpan w:val="11"/>
            <w:vAlign w:val="center"/>
          </w:tcPr>
          <w:p>
            <w:pPr>
              <w:spacing w:line="390" w:lineRule="exact"/>
              <w:rPr>
                <w:rFonts w:hint="eastAsia" w:ascii="宋体" w:hAnsi="宋体"/>
                <w:sz w:val="24"/>
              </w:rPr>
            </w:pPr>
            <w:r>
              <w:rPr>
                <w:rFonts w:ascii="宋体" w:hAnsi="宋体"/>
                <w:sz w:val="24"/>
              </w:rPr>
              <w:t>含增值税总价</w:t>
            </w:r>
            <w:r>
              <w:rPr>
                <w:rFonts w:hint="eastAsia" w:ascii="宋体" w:hAnsi="宋体"/>
                <w:sz w:val="24"/>
              </w:rPr>
              <w:t>（大写）：</w:t>
            </w:r>
            <w:r>
              <w:rPr>
                <w:rFonts w:hint="eastAsia" w:ascii="宋体" w:hAnsi="宋体"/>
                <w:sz w:val="24"/>
                <w:u w:val="single"/>
              </w:rPr>
              <w:t xml:space="preserve">                      </w:t>
            </w:r>
            <w:r>
              <w:rPr>
                <w:rFonts w:hint="eastAsia" w:ascii="宋体" w:hAnsi="宋体"/>
                <w:sz w:val="24"/>
              </w:rPr>
              <w:t xml:space="preserve"> （小写）：</w:t>
            </w:r>
            <w:r>
              <w:rPr>
                <w:rFonts w:hint="eastAsia" w:ascii="宋体" w:hAnsi="宋体"/>
                <w:sz w:val="24"/>
                <w:u w:val="single"/>
              </w:rPr>
              <w:t xml:space="preserve">                  </w:t>
            </w:r>
            <w:r>
              <w:rPr>
                <w:rFonts w:hint="eastAsia" w:ascii="宋体" w:hAnsi="宋体"/>
                <w:sz w:val="24"/>
              </w:rPr>
              <w:t>元。</w:t>
            </w:r>
          </w:p>
        </w:tc>
      </w:tr>
    </w:tbl>
    <w:p>
      <w:pPr>
        <w:pStyle w:val="18"/>
        <w:keepNext/>
        <w:keepLines/>
        <w:spacing w:line="390" w:lineRule="exact"/>
        <w:ind w:left="840" w:firstLine="0" w:firstLineChars="0"/>
        <w:outlineLvl w:val="0"/>
        <w:rPr>
          <w:rFonts w:ascii="Calibri" w:hAnsi="Calibri"/>
          <w:b/>
          <w:bCs/>
          <w:kern w:val="44"/>
          <w:sz w:val="24"/>
        </w:rPr>
      </w:pPr>
    </w:p>
    <w:p>
      <w:pPr>
        <w:spacing w:line="390" w:lineRule="exact"/>
        <w:ind w:firstLine="480" w:firstLineChars="200"/>
        <w:rPr>
          <w:rFonts w:hint="eastAsia" w:ascii="宋体" w:hAnsi="宋体"/>
          <w:sz w:val="24"/>
        </w:rPr>
      </w:pPr>
      <w:r>
        <w:rPr>
          <w:rFonts w:hint="eastAsia" w:ascii="宋体" w:hAnsi="宋体"/>
          <w:sz w:val="24"/>
        </w:rPr>
        <w:t>1.1 上述单价包括产品送达供货地点含入模在内的所有费用，包括产品成本（含利润）、运杂费（含装卸费）、保险费、协调费及所有其它费用；如乙方负责泵送则价格上调</w:t>
      </w:r>
      <w:r>
        <w:rPr>
          <w:rFonts w:hint="eastAsia" w:ascii="宋体" w:hAnsi="宋体"/>
          <w:sz w:val="24"/>
          <w:u w:val="single"/>
        </w:rPr>
        <w:t xml:space="preserve">   </w:t>
      </w:r>
      <w:r>
        <w:rPr>
          <w:rFonts w:hint="eastAsia" w:ascii="宋体" w:hAnsi="宋体"/>
          <w:sz w:val="24"/>
        </w:rPr>
        <w:t>元/立方米。若因国家税务政策变化导致税率调整，不含增值税价格不变，具体税金以变更后的税率计算。</w:t>
      </w:r>
    </w:p>
    <w:p>
      <w:pPr>
        <w:widowControl/>
        <w:tabs>
          <w:tab w:val="left" w:pos="8364"/>
        </w:tabs>
        <w:spacing w:line="390" w:lineRule="exact"/>
        <w:ind w:firstLine="480" w:firstLineChars="200"/>
        <w:rPr>
          <w:rFonts w:hint="eastAsia" w:ascii="宋体" w:hAnsi="宋体"/>
          <w:sz w:val="24"/>
        </w:rPr>
      </w:pPr>
      <w:r>
        <w:rPr>
          <w:rFonts w:hint="eastAsia" w:ascii="宋体" w:hAnsi="宋体"/>
          <w:sz w:val="24"/>
        </w:rPr>
        <w:t>1.2表中单价为综合单价，系货物到达甲方指定交货地点的一切费用,包含出厂价、运杂费（含装吊、捆扎、运输、中转、卸货、仓储）、管理费、保险费、利润等费用</w:t>
      </w:r>
      <w:r>
        <w:rPr>
          <w:rFonts w:hint="eastAsia" w:ascii="宋体" w:hAnsi="宋体"/>
          <w:color w:val="000000"/>
          <w:sz w:val="24"/>
        </w:rPr>
        <w:t>，且合同价款已充分考虑支付条件、支付期限、支付方式等因素。</w:t>
      </w:r>
    </w:p>
    <w:p>
      <w:pPr>
        <w:spacing w:line="390" w:lineRule="exact"/>
        <w:ind w:firstLine="480" w:firstLineChars="200"/>
        <w:rPr>
          <w:rFonts w:hint="eastAsia" w:ascii="宋体" w:hAnsi="宋体"/>
          <w:sz w:val="24"/>
        </w:rPr>
      </w:pPr>
      <w:r>
        <w:rPr>
          <w:rFonts w:hint="eastAsia" w:ascii="宋体" w:hAnsi="宋体"/>
          <w:sz w:val="24"/>
        </w:rPr>
        <w:t>1.3此单价在合同履行期内</w:t>
      </w:r>
      <w:r>
        <w:rPr>
          <w:rFonts w:hint="eastAsia" w:ascii="宋体" w:hAnsi="宋体"/>
          <w:sz w:val="24"/>
          <w:u w:val="single"/>
        </w:rPr>
        <w:t xml:space="preserve">     </w:t>
      </w:r>
      <w:r>
        <w:rPr>
          <w:rFonts w:hint="eastAsia" w:ascii="宋体" w:hAnsi="宋体"/>
          <w:sz w:val="24"/>
        </w:rPr>
        <w:t>调整，调整方式为：</w:t>
      </w:r>
      <w:r>
        <w:rPr>
          <w:rFonts w:hint="eastAsia" w:ascii="宋体" w:hAnsi="宋体"/>
          <w:sz w:val="24"/>
          <w:u w:val="single"/>
        </w:rPr>
        <w:t xml:space="preserve">            </w:t>
      </w:r>
      <w:r>
        <w:rPr>
          <w:rFonts w:hint="eastAsia" w:ascii="宋体" w:hAnsi="宋体"/>
          <w:sz w:val="24"/>
        </w:rPr>
        <w:t>。</w:t>
      </w:r>
    </w:p>
    <w:p>
      <w:pPr>
        <w:spacing w:line="390" w:lineRule="exact"/>
        <w:ind w:firstLine="480" w:firstLineChars="200"/>
        <w:rPr>
          <w:rFonts w:hint="eastAsia" w:ascii="宋体" w:hAnsi="宋体" w:cs="宋体"/>
          <w:bCs/>
          <w:kern w:val="0"/>
          <w:sz w:val="24"/>
        </w:rPr>
      </w:pPr>
      <w:r>
        <w:rPr>
          <w:rFonts w:hint="eastAsia" w:ascii="宋体" w:hAnsi="宋体"/>
          <w:sz w:val="24"/>
        </w:rPr>
        <w:t>1.4以上数量为暂定量，甲方可根据实际需要进行数量增减。甲方减少数量的，不属于违约；甲方增加数量的，乙方应按合同其他条款执行。结算</w:t>
      </w:r>
      <w:r>
        <w:rPr>
          <w:rFonts w:hint="eastAsia" w:ascii="宋体" w:hAnsi="宋体" w:cs="宋体"/>
          <w:bCs/>
          <w:kern w:val="0"/>
          <w:sz w:val="24"/>
        </w:rPr>
        <w:t>以本合同第七条为准。</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第二条 合同供货期限</w:t>
      </w:r>
    </w:p>
    <w:p>
      <w:pPr>
        <w:spacing w:line="390" w:lineRule="exact"/>
        <w:ind w:firstLine="480" w:firstLineChars="200"/>
        <w:rPr>
          <w:rFonts w:hint="eastAsia" w:ascii="宋体" w:hAnsi="宋体"/>
          <w:sz w:val="24"/>
        </w:rPr>
      </w:pPr>
      <w:r>
        <w:rPr>
          <w:rFonts w:hint="eastAsia" w:ascii="宋体" w:hAnsi="宋体"/>
          <w:sz w:val="24"/>
        </w:rPr>
        <w:t>合同履行期限自</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日至</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日；该期限为暂定期限，甲方有权根据施工需要单方调整合同供货期限，但应提前</w:t>
      </w:r>
      <w:r>
        <w:rPr>
          <w:rFonts w:hint="eastAsia" w:ascii="宋体" w:hAnsi="宋体"/>
          <w:sz w:val="24"/>
          <w:u w:val="single"/>
        </w:rPr>
        <w:t xml:space="preserve">    </w:t>
      </w:r>
      <w:r>
        <w:rPr>
          <w:rFonts w:hint="eastAsia" w:ascii="宋体" w:hAnsi="宋体"/>
          <w:sz w:val="24"/>
        </w:rPr>
        <w:t>日通知乙方。</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第三条 交货时间、地点与方式</w:t>
      </w:r>
    </w:p>
    <w:p>
      <w:pPr>
        <w:spacing w:line="390" w:lineRule="exact"/>
        <w:ind w:firstLine="480" w:firstLineChars="200"/>
        <w:rPr>
          <w:rFonts w:hint="eastAsia" w:ascii="宋体" w:hAnsi="宋体"/>
          <w:bCs/>
          <w:sz w:val="24"/>
        </w:rPr>
      </w:pPr>
      <w:r>
        <w:rPr>
          <w:rFonts w:hint="eastAsia" w:ascii="宋体" w:hAnsi="宋体"/>
          <w:bCs/>
          <w:sz w:val="24"/>
        </w:rPr>
        <w:t xml:space="preserve">3.1 </w:t>
      </w:r>
      <w:r>
        <w:rPr>
          <w:rFonts w:hint="eastAsia" w:ascii="宋体" w:hAnsi="宋体"/>
          <w:sz w:val="24"/>
        </w:rPr>
        <w:t>甲方于当月的</w:t>
      </w:r>
      <w:r>
        <w:rPr>
          <w:rFonts w:hint="eastAsia" w:ascii="宋体" w:hAnsi="宋体"/>
          <w:sz w:val="24"/>
          <w:u w:val="single"/>
        </w:rPr>
        <w:t xml:space="preserve">    </w:t>
      </w:r>
      <w:r>
        <w:rPr>
          <w:rFonts w:hint="eastAsia" w:ascii="宋体" w:hAnsi="宋体"/>
          <w:sz w:val="24"/>
        </w:rPr>
        <w:t>号前向乙方提供下月使用计划，每次提前</w:t>
      </w:r>
      <w:r>
        <w:rPr>
          <w:rFonts w:hint="eastAsia" w:ascii="宋体" w:hAnsi="宋体"/>
          <w:sz w:val="24"/>
          <w:u w:val="single"/>
        </w:rPr>
        <w:t xml:space="preserve">   </w:t>
      </w:r>
      <w:r>
        <w:rPr>
          <w:rFonts w:hint="eastAsia" w:ascii="宋体" w:hAnsi="宋体"/>
          <w:sz w:val="24"/>
        </w:rPr>
        <w:t>天预报使用混凝土标号、用量、地点及时间至乙方，浇注前提前</w:t>
      </w:r>
      <w:r>
        <w:rPr>
          <w:rFonts w:hint="eastAsia" w:ascii="宋体" w:hAnsi="宋体"/>
          <w:sz w:val="24"/>
          <w:u w:val="single"/>
        </w:rPr>
        <w:t xml:space="preserve">    </w:t>
      </w:r>
      <w:r>
        <w:rPr>
          <w:rFonts w:hint="eastAsia" w:ascii="宋体" w:hAnsi="宋体"/>
          <w:sz w:val="24"/>
        </w:rPr>
        <w:t>小时正式通知乙方开盘时间。</w:t>
      </w:r>
    </w:p>
    <w:p>
      <w:pPr>
        <w:spacing w:line="390" w:lineRule="exact"/>
        <w:ind w:firstLine="480" w:firstLineChars="200"/>
        <w:rPr>
          <w:rFonts w:hint="eastAsia" w:ascii="宋体" w:hAnsi="宋体"/>
          <w:b/>
          <w:sz w:val="24"/>
          <w:u w:val="single"/>
        </w:rPr>
      </w:pPr>
      <w:r>
        <w:rPr>
          <w:rFonts w:hint="eastAsia" w:ascii="宋体" w:hAnsi="宋体"/>
          <w:bCs/>
          <w:sz w:val="24"/>
        </w:rPr>
        <w:t>3.2 交货地点：</w:t>
      </w:r>
      <w:r>
        <w:rPr>
          <w:rFonts w:hint="eastAsia" w:ascii="宋体" w:hAnsi="宋体"/>
          <w:b/>
          <w:sz w:val="24"/>
          <w:u w:val="single"/>
        </w:rPr>
        <w:t xml:space="preserve">                       </w:t>
      </w:r>
      <w:r>
        <w:rPr>
          <w:rFonts w:hint="eastAsia" w:ascii="宋体" w:hAnsi="宋体"/>
          <w:sz w:val="24"/>
        </w:rPr>
        <w:t>。</w:t>
      </w:r>
    </w:p>
    <w:p>
      <w:pPr>
        <w:spacing w:line="390" w:lineRule="exact"/>
        <w:ind w:firstLine="480" w:firstLineChars="200"/>
        <w:rPr>
          <w:rFonts w:hint="eastAsia" w:ascii="宋体" w:hAnsi="宋体"/>
          <w:sz w:val="24"/>
        </w:rPr>
      </w:pPr>
      <w:r>
        <w:rPr>
          <w:rFonts w:hint="eastAsia" w:ascii="宋体" w:hAnsi="宋体"/>
          <w:sz w:val="24"/>
        </w:rPr>
        <w:t>3.3 交货方式：</w:t>
      </w:r>
      <w:r>
        <w:rPr>
          <w:rFonts w:hint="eastAsia" w:ascii="宋体" w:hAnsi="宋体"/>
          <w:sz w:val="24"/>
          <w:u w:val="single"/>
        </w:rPr>
        <w:t xml:space="preserve">                     </w:t>
      </w:r>
      <w:r>
        <w:rPr>
          <w:rFonts w:hint="eastAsia" w:ascii="宋体" w:hAnsi="宋体"/>
          <w:sz w:val="24"/>
        </w:rPr>
        <w:t>。</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第四条 质量标准及相关要求</w:t>
      </w:r>
    </w:p>
    <w:p>
      <w:pPr>
        <w:spacing w:line="390" w:lineRule="exact"/>
        <w:ind w:firstLine="480" w:firstLineChars="200"/>
        <w:rPr>
          <w:rFonts w:hint="eastAsia" w:ascii="宋体" w:hAnsi="宋体"/>
          <w:sz w:val="24"/>
        </w:rPr>
      </w:pPr>
      <w:r>
        <w:rPr>
          <w:rFonts w:hint="eastAsia" w:ascii="宋体" w:hAnsi="宋体"/>
          <w:sz w:val="24"/>
        </w:rPr>
        <w:t>4.1 混凝土原材料及各项质量指标符合：</w:t>
      </w:r>
      <w:r>
        <w:rPr>
          <w:rFonts w:hint="eastAsia" w:ascii="宋体" w:hAnsi="宋体"/>
          <w:sz w:val="24"/>
          <w:u w:val="single"/>
        </w:rPr>
        <w:t xml:space="preserve">                         </w:t>
      </w:r>
      <w:r>
        <w:rPr>
          <w:rFonts w:hint="eastAsia" w:ascii="宋体" w:hAnsi="宋体"/>
          <w:sz w:val="24"/>
        </w:rPr>
        <w:t>。同时应符合施工工艺有关规定并取得甲方、监理同意。</w:t>
      </w:r>
    </w:p>
    <w:p>
      <w:pPr>
        <w:spacing w:line="390" w:lineRule="exact"/>
        <w:ind w:firstLine="480" w:firstLineChars="200"/>
        <w:rPr>
          <w:rFonts w:hint="eastAsia" w:ascii="宋体" w:hAnsi="宋体"/>
          <w:sz w:val="24"/>
        </w:rPr>
      </w:pPr>
      <w:r>
        <w:rPr>
          <w:rFonts w:hint="eastAsia" w:ascii="宋体" w:hAnsi="宋体"/>
          <w:sz w:val="24"/>
        </w:rPr>
        <w:t>4.2 混凝土有关性能指标要求：以甲方书面通知为准。乙方所供混凝土应达到甲方所要求的力学性能、耐久性能和易性能、坍落度、初凝、终凝时间及其他性能要求，并按相关国家和行业标准进行检验合格。</w:t>
      </w:r>
    </w:p>
    <w:p>
      <w:pPr>
        <w:tabs>
          <w:tab w:val="left" w:pos="540"/>
          <w:tab w:val="left" w:pos="720"/>
        </w:tabs>
        <w:spacing w:line="390" w:lineRule="exact"/>
        <w:ind w:firstLine="480" w:firstLineChars="200"/>
        <w:rPr>
          <w:rFonts w:hint="eastAsia" w:ascii="宋体" w:hAnsi="宋体"/>
          <w:sz w:val="24"/>
        </w:rPr>
      </w:pPr>
      <w:r>
        <w:rPr>
          <w:rFonts w:hint="eastAsia" w:ascii="宋体" w:hAnsi="宋体"/>
          <w:sz w:val="24"/>
        </w:rPr>
        <w:t>4.3混凝土所用原材料均应满足如下要求：</w:t>
      </w:r>
      <w:r>
        <w:rPr>
          <w:rFonts w:hint="eastAsia" w:ascii="宋体" w:hAnsi="宋体"/>
          <w:sz w:val="24"/>
          <w:u w:val="single"/>
        </w:rPr>
        <w:t xml:space="preserve">                    </w:t>
      </w:r>
      <w:r>
        <w:rPr>
          <w:rFonts w:hint="eastAsia" w:ascii="宋体" w:hAnsi="宋体"/>
          <w:sz w:val="24"/>
        </w:rPr>
        <w:t>。原材料由乙方负责检验并对其质量负责，如乙方使用不符合规定的原材料，给甲方造成的一切责任和损失均由乙方承担，甲方及监理随时可对其进行检查、监督。</w:t>
      </w:r>
    </w:p>
    <w:p>
      <w:pPr>
        <w:tabs>
          <w:tab w:val="left" w:pos="540"/>
          <w:tab w:val="left" w:pos="720"/>
        </w:tabs>
        <w:spacing w:line="390" w:lineRule="exact"/>
        <w:ind w:firstLine="480" w:firstLineChars="200"/>
        <w:rPr>
          <w:rFonts w:hint="eastAsia" w:ascii="宋体" w:hAnsi="宋体"/>
          <w:sz w:val="24"/>
        </w:rPr>
      </w:pPr>
      <w:r>
        <w:rPr>
          <w:rFonts w:hint="eastAsia" w:ascii="宋体" w:hAnsi="宋体"/>
          <w:sz w:val="24"/>
        </w:rPr>
        <w:t>4.4 乙方应按照甲方确定且经监理批准的混凝土配合比进行生产，乙方在生产过程中，甲方有权派试验员进行监控,但甲方试验员的监控不能减轻或免除乙方的产品和技术责任。</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 xml:space="preserve">第五条 计量方式 </w:t>
      </w:r>
    </w:p>
    <w:p>
      <w:pPr>
        <w:spacing w:line="390" w:lineRule="exact"/>
        <w:ind w:firstLine="480" w:firstLineChars="200"/>
        <w:rPr>
          <w:rFonts w:hint="eastAsia" w:ascii="宋体" w:hAnsi="宋体"/>
          <w:sz w:val="24"/>
        </w:rPr>
      </w:pPr>
      <w:r>
        <w:rPr>
          <w:rFonts w:hint="eastAsia" w:ascii="宋体" w:hAnsi="宋体"/>
          <w:sz w:val="24"/>
        </w:rPr>
        <w:t>5.1 采用下列第</w:t>
      </w:r>
      <w:r>
        <w:rPr>
          <w:rFonts w:hint="eastAsia" w:ascii="宋体" w:hAnsi="宋体"/>
          <w:sz w:val="24"/>
          <w:u w:val="single"/>
        </w:rPr>
        <w:t xml:space="preserve">  2   </w:t>
      </w:r>
      <w:r>
        <w:rPr>
          <w:rFonts w:hint="eastAsia" w:ascii="宋体" w:hAnsi="宋体"/>
          <w:sz w:val="24"/>
        </w:rPr>
        <w:t>项计量方式</w:t>
      </w:r>
    </w:p>
    <w:p>
      <w:pPr>
        <w:spacing w:line="390" w:lineRule="exact"/>
        <w:ind w:firstLine="480" w:firstLineChars="200"/>
        <w:rPr>
          <w:rFonts w:hint="eastAsia" w:ascii="宋体" w:hAnsi="宋体"/>
          <w:sz w:val="24"/>
        </w:rPr>
      </w:pPr>
      <w:r>
        <w:rPr>
          <w:rFonts w:hint="eastAsia" w:ascii="宋体" w:hAnsi="宋体"/>
          <w:sz w:val="24"/>
        </w:rPr>
        <w:t>（1）按施工图设计的结构物尺寸（扣除波纹管、钢筋等所占体积）计算混凝土方量。试件混凝土不单独计量，各种损耗（含砂浆等）已计入混凝土单价中。</w:t>
      </w:r>
    </w:p>
    <w:p>
      <w:pPr>
        <w:spacing w:line="390" w:lineRule="exact"/>
        <w:ind w:firstLine="480" w:firstLineChars="200"/>
        <w:rPr>
          <w:rFonts w:hint="eastAsia" w:ascii="宋体" w:hAnsi="宋体"/>
          <w:sz w:val="24"/>
        </w:rPr>
      </w:pPr>
      <w:r>
        <w:rPr>
          <w:rFonts w:hint="eastAsia" w:ascii="宋体" w:hAnsi="宋体"/>
          <w:sz w:val="24"/>
        </w:rPr>
        <w:t>（2）采用过磅换算计量方式。甲方有权随时过磅抽查或全数过磅，如发现方数或重量有出入，则同批次混凝土方量按最小值计量，乙方对此不得有任何异议。</w:t>
      </w:r>
    </w:p>
    <w:p>
      <w:pPr>
        <w:spacing w:line="390" w:lineRule="exact"/>
        <w:ind w:firstLine="480" w:firstLineChars="200"/>
        <w:rPr>
          <w:rFonts w:hint="eastAsia" w:ascii="宋体" w:hAnsi="宋体"/>
          <w:sz w:val="24"/>
        </w:rPr>
      </w:pPr>
      <w:r>
        <w:rPr>
          <w:rFonts w:hint="eastAsia" w:ascii="宋体" w:hAnsi="宋体"/>
          <w:sz w:val="24"/>
        </w:rPr>
        <w:t>5.2 每批次浇筑完工</w:t>
      </w:r>
      <w:r>
        <w:rPr>
          <w:rFonts w:hint="eastAsia" w:ascii="宋体" w:hAnsi="宋体"/>
          <w:sz w:val="24"/>
          <w:u w:val="single"/>
        </w:rPr>
        <w:t xml:space="preserve">     </w:t>
      </w:r>
      <w:r>
        <w:rPr>
          <w:rFonts w:hint="eastAsia" w:ascii="宋体" w:hAnsi="宋体"/>
          <w:sz w:val="24"/>
        </w:rPr>
        <w:t>天内，双方对完成混凝土方量核算签认。</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第六条 验收及异议处理：</w:t>
      </w:r>
    </w:p>
    <w:p>
      <w:pPr>
        <w:spacing w:line="390" w:lineRule="exact"/>
        <w:ind w:firstLine="480" w:firstLineChars="200"/>
        <w:rPr>
          <w:rFonts w:hint="eastAsia" w:ascii="宋体" w:hAnsi="宋体"/>
          <w:sz w:val="24"/>
        </w:rPr>
      </w:pPr>
      <w:r>
        <w:rPr>
          <w:rFonts w:hint="eastAsia" w:ascii="宋体" w:hAnsi="宋体"/>
          <w:sz w:val="24"/>
        </w:rPr>
        <w:t>6</w:t>
      </w:r>
      <w:r>
        <w:rPr>
          <w:rFonts w:ascii="宋体" w:hAnsi="宋体"/>
          <w:sz w:val="24"/>
        </w:rPr>
        <w:t xml:space="preserve">.1 </w:t>
      </w:r>
      <w:r>
        <w:rPr>
          <w:rFonts w:hint="eastAsia" w:ascii="宋体" w:hAnsi="宋体"/>
          <w:sz w:val="24"/>
        </w:rPr>
        <w:t>商品混凝土拌和站根据工程项目需求提出初步配合比，需提供监理方</w:t>
      </w:r>
      <w:r>
        <w:rPr>
          <w:rFonts w:ascii="宋体" w:hAnsi="宋体"/>
          <w:sz w:val="24"/>
        </w:rPr>
        <w:t>认可</w:t>
      </w:r>
      <w:r>
        <w:rPr>
          <w:rFonts w:hint="eastAsia" w:ascii="宋体" w:hAnsi="宋体"/>
          <w:sz w:val="24"/>
        </w:rPr>
        <w:t>的第三方</w:t>
      </w:r>
      <w:r>
        <w:rPr>
          <w:rFonts w:ascii="宋体" w:hAnsi="宋体"/>
          <w:sz w:val="24"/>
        </w:rPr>
        <w:t>配合比验证报告，在</w:t>
      </w:r>
      <w:r>
        <w:rPr>
          <w:rFonts w:hint="eastAsia" w:ascii="宋体" w:hAnsi="宋体"/>
          <w:sz w:val="24"/>
        </w:rPr>
        <w:t>配合比确认后，商品混凝土拌和站不得私自改变。</w:t>
      </w:r>
    </w:p>
    <w:p>
      <w:pPr>
        <w:spacing w:line="390" w:lineRule="exact"/>
        <w:ind w:firstLine="480" w:firstLineChars="200"/>
        <w:rPr>
          <w:rFonts w:hint="eastAsia" w:ascii="宋体" w:hAnsi="宋体"/>
          <w:sz w:val="24"/>
        </w:rPr>
      </w:pPr>
      <w:r>
        <w:rPr>
          <w:rFonts w:ascii="宋体" w:hAnsi="宋体"/>
          <w:sz w:val="24"/>
        </w:rPr>
        <w:t xml:space="preserve">6.2 </w:t>
      </w:r>
      <w:r>
        <w:rPr>
          <w:rFonts w:hint="eastAsia" w:ascii="宋体" w:hAnsi="宋体"/>
          <w:sz w:val="24"/>
        </w:rPr>
        <w:t>商品混凝土拌和站应按</w:t>
      </w:r>
      <w:r>
        <w:rPr>
          <w:rFonts w:hint="eastAsia" w:ascii="宋体" w:hAnsi="宋体"/>
          <w:sz w:val="24"/>
          <w:u w:val="single"/>
        </w:rPr>
        <w:t>《预拌混凝土》GB/T 14902</w:t>
      </w:r>
      <w:r>
        <w:rPr>
          <w:rFonts w:hint="eastAsia" w:ascii="宋体" w:hAnsi="宋体"/>
          <w:sz w:val="24"/>
        </w:rPr>
        <w:t>要求对原材料进行检验验收，并将本项目原材料检测报告及质量保证资料的交项目部存档，项目部定期或不定期对商品混凝土拌和站原材料进行抽检，每种材料每月不少于1次。</w:t>
      </w:r>
    </w:p>
    <w:p>
      <w:pPr>
        <w:spacing w:line="390" w:lineRule="exact"/>
        <w:ind w:firstLine="480" w:firstLineChars="200"/>
        <w:rPr>
          <w:rFonts w:hint="eastAsia" w:ascii="宋体" w:hAnsi="宋体"/>
          <w:sz w:val="24"/>
        </w:rPr>
      </w:pPr>
      <w:r>
        <w:rPr>
          <w:rFonts w:ascii="宋体" w:hAnsi="宋体"/>
          <w:sz w:val="24"/>
        </w:rPr>
        <w:t xml:space="preserve">6.3 </w:t>
      </w:r>
      <w:r>
        <w:rPr>
          <w:rFonts w:hint="eastAsia" w:ascii="宋体" w:hAnsi="宋体"/>
          <w:sz w:val="24"/>
        </w:rPr>
        <w:t>商品混凝土拌和站应加强拌和站的管理，按约定配合比生产并确保计量准确。项目试验室应定期或不定期对计量系统进行抽查，对原材料、混凝土施工配合比、搅拌时间等复核。</w:t>
      </w:r>
    </w:p>
    <w:p>
      <w:pPr>
        <w:spacing w:line="390" w:lineRule="exact"/>
        <w:ind w:firstLine="480" w:firstLineChars="200"/>
        <w:rPr>
          <w:rFonts w:hint="eastAsia" w:ascii="宋体" w:hAnsi="宋体"/>
          <w:sz w:val="24"/>
        </w:rPr>
      </w:pPr>
      <w:r>
        <w:rPr>
          <w:rFonts w:ascii="宋体" w:hAnsi="宋体"/>
          <w:sz w:val="24"/>
        </w:rPr>
        <w:t xml:space="preserve">6.4 </w:t>
      </w:r>
      <w:r>
        <w:rPr>
          <w:rFonts w:hint="eastAsia" w:ascii="宋体" w:hAnsi="宋体"/>
          <w:sz w:val="24"/>
        </w:rPr>
        <w:t>商品混凝土拌和站应当按</w:t>
      </w:r>
      <w:r>
        <w:rPr>
          <w:rFonts w:hint="eastAsia" w:ascii="宋体" w:hAnsi="宋体"/>
          <w:sz w:val="24"/>
          <w:u w:val="single"/>
        </w:rPr>
        <w:t>《预拌混凝土》</w:t>
      </w:r>
      <w:r>
        <w:rPr>
          <w:rFonts w:ascii="宋体" w:hAnsi="宋体"/>
          <w:sz w:val="24"/>
          <w:u w:val="single"/>
        </w:rPr>
        <w:t>GB/T 14902</w:t>
      </w:r>
      <w:r>
        <w:rPr>
          <w:rFonts w:hint="eastAsia" w:ascii="宋体" w:hAnsi="宋体"/>
          <w:sz w:val="24"/>
        </w:rPr>
        <w:t>要求对出厂的商品混凝土的坍落度、拌合物性能进行出厂检验，检验合格后方可出厂，并出具相应的生产票据。</w:t>
      </w:r>
    </w:p>
    <w:p>
      <w:pPr>
        <w:spacing w:line="390" w:lineRule="exact"/>
        <w:ind w:firstLine="480" w:firstLineChars="200"/>
        <w:rPr>
          <w:rFonts w:hint="eastAsia" w:ascii="宋体" w:hAnsi="宋体"/>
          <w:sz w:val="24"/>
        </w:rPr>
      </w:pPr>
      <w:r>
        <w:rPr>
          <w:rFonts w:ascii="宋体" w:hAnsi="宋体"/>
          <w:sz w:val="24"/>
        </w:rPr>
        <w:t xml:space="preserve">6.5 </w:t>
      </w:r>
      <w:r>
        <w:rPr>
          <w:rFonts w:hint="eastAsia" w:ascii="宋体" w:hAnsi="宋体"/>
          <w:sz w:val="24"/>
        </w:rPr>
        <w:t>混凝土到达现场后，甲方检查复核混凝土的供货单位、强度等级，试验人员按</w:t>
      </w:r>
      <w:r>
        <w:rPr>
          <w:rFonts w:hint="eastAsia" w:ascii="宋体" w:hAnsi="宋体"/>
          <w:sz w:val="24"/>
          <w:u w:val="single"/>
        </w:rPr>
        <w:t>《混凝土强度检验评定标准》</w:t>
      </w:r>
      <w:r>
        <w:rPr>
          <w:rFonts w:ascii="宋体" w:hAnsi="宋体"/>
          <w:sz w:val="24"/>
          <w:u w:val="single"/>
        </w:rPr>
        <w:t>GB/T 50107</w:t>
      </w:r>
      <w:r>
        <w:rPr>
          <w:rFonts w:hint="eastAsia" w:ascii="宋体" w:hAnsi="宋体"/>
          <w:sz w:val="24"/>
        </w:rPr>
        <w:t>要求对混凝土入模温度、含气量、坍落度等施工性能进行检查验收。</w:t>
      </w:r>
    </w:p>
    <w:p>
      <w:pPr>
        <w:spacing w:line="390" w:lineRule="exact"/>
        <w:ind w:firstLine="480" w:firstLineChars="200"/>
        <w:rPr>
          <w:rFonts w:hint="eastAsia" w:ascii="宋体" w:hAnsi="宋体"/>
          <w:sz w:val="24"/>
        </w:rPr>
      </w:pPr>
      <w:r>
        <w:rPr>
          <w:rFonts w:ascii="宋体" w:hAnsi="宋体"/>
          <w:sz w:val="24"/>
        </w:rPr>
        <w:t xml:space="preserve">6.6 </w:t>
      </w:r>
      <w:r>
        <w:rPr>
          <w:rFonts w:hint="eastAsia" w:ascii="宋体" w:hAnsi="宋体"/>
          <w:sz w:val="24"/>
        </w:rPr>
        <w:t>试验人员按</w:t>
      </w:r>
      <w:r>
        <w:rPr>
          <w:rFonts w:hint="eastAsia" w:ascii="宋体" w:hAnsi="宋体"/>
          <w:sz w:val="24"/>
          <w:u w:val="single"/>
        </w:rPr>
        <w:t>《混凝土强度检验评定标准》</w:t>
      </w:r>
      <w:r>
        <w:rPr>
          <w:rFonts w:ascii="宋体" w:hAnsi="宋体"/>
          <w:sz w:val="24"/>
          <w:u w:val="single"/>
        </w:rPr>
        <w:t>GB/T 50107</w:t>
      </w:r>
      <w:r>
        <w:rPr>
          <w:rFonts w:hint="eastAsia" w:ascii="宋体" w:hAnsi="宋体"/>
          <w:sz w:val="24"/>
        </w:rPr>
        <w:t>要求随机取样检测混凝土强度、弹性模量及耐久性能。</w:t>
      </w:r>
    </w:p>
    <w:p>
      <w:pPr>
        <w:widowControl/>
        <w:tabs>
          <w:tab w:val="left" w:pos="8364"/>
        </w:tabs>
        <w:spacing w:line="390" w:lineRule="exact"/>
        <w:ind w:firstLine="480" w:firstLineChars="200"/>
        <w:rPr>
          <w:rFonts w:hint="eastAsia" w:ascii="宋体" w:hAnsi="宋体" w:cs="宋体"/>
          <w:bCs/>
          <w:kern w:val="0"/>
          <w:sz w:val="24"/>
        </w:rPr>
      </w:pPr>
      <w:r>
        <w:rPr>
          <w:rFonts w:hint="eastAsia" w:ascii="宋体" w:hAnsi="宋体" w:cs="宋体"/>
          <w:bCs/>
          <w:kern w:val="0"/>
          <w:sz w:val="24"/>
        </w:rPr>
        <w:t>6.</w:t>
      </w:r>
      <w:r>
        <w:rPr>
          <w:rFonts w:ascii="宋体" w:hAnsi="宋体" w:cs="宋体"/>
          <w:bCs/>
          <w:kern w:val="0"/>
          <w:sz w:val="24"/>
        </w:rPr>
        <w:t>7</w:t>
      </w:r>
      <w:r>
        <w:rPr>
          <w:rFonts w:hint="eastAsia" w:ascii="宋体" w:hAnsi="宋体" w:cs="宋体"/>
          <w:bCs/>
          <w:kern w:val="0"/>
          <w:sz w:val="24"/>
        </w:rPr>
        <w:t xml:space="preserve"> 验收时间：</w:t>
      </w:r>
      <w:r>
        <w:rPr>
          <w:rFonts w:hint="eastAsia" w:ascii="宋体" w:hAnsi="宋体" w:cs="宋体"/>
          <w:b/>
          <w:bCs/>
          <w:kern w:val="0"/>
          <w:sz w:val="24"/>
          <w:u w:val="single"/>
        </w:rPr>
        <w:t xml:space="preserve">            </w:t>
      </w:r>
      <w:r>
        <w:rPr>
          <w:rFonts w:hint="eastAsia" w:ascii="宋体" w:hAnsi="宋体" w:cs="宋体"/>
          <w:b/>
          <w:bCs/>
          <w:kern w:val="0"/>
          <w:sz w:val="24"/>
        </w:rPr>
        <w:t>；</w:t>
      </w:r>
      <w:r>
        <w:rPr>
          <w:rFonts w:hint="eastAsia" w:ascii="宋体" w:hAnsi="宋体" w:cs="宋体"/>
          <w:bCs/>
          <w:kern w:val="0"/>
          <w:sz w:val="24"/>
        </w:rPr>
        <w:t>验收地点：</w:t>
      </w:r>
      <w:r>
        <w:rPr>
          <w:rFonts w:hint="eastAsia" w:ascii="宋体" w:hAnsi="宋体" w:cs="宋体"/>
          <w:bCs/>
          <w:kern w:val="0"/>
          <w:sz w:val="24"/>
          <w:u w:val="single"/>
        </w:rPr>
        <w:t xml:space="preserve">            </w:t>
      </w:r>
      <w:r>
        <w:rPr>
          <w:rFonts w:hint="eastAsia" w:ascii="宋体" w:hAnsi="宋体" w:cs="宋体"/>
          <w:bCs/>
          <w:kern w:val="0"/>
          <w:sz w:val="24"/>
        </w:rPr>
        <w:t>。</w:t>
      </w:r>
    </w:p>
    <w:p>
      <w:pPr>
        <w:spacing w:line="390" w:lineRule="exact"/>
        <w:ind w:firstLine="480" w:firstLineChars="200"/>
        <w:rPr>
          <w:rFonts w:hint="eastAsia" w:ascii="宋体" w:hAnsi="宋体"/>
          <w:sz w:val="24"/>
        </w:rPr>
      </w:pPr>
      <w:r>
        <w:rPr>
          <w:rFonts w:hint="eastAsia" w:ascii="宋体" w:hAnsi="宋体"/>
          <w:sz w:val="24"/>
        </w:rPr>
        <w:t>6.</w:t>
      </w:r>
      <w:r>
        <w:rPr>
          <w:rFonts w:ascii="宋体" w:hAnsi="宋体"/>
          <w:sz w:val="24"/>
        </w:rPr>
        <w:t>8</w:t>
      </w:r>
      <w:r>
        <w:rPr>
          <w:rFonts w:hint="eastAsia" w:ascii="宋体" w:hAnsi="宋体"/>
          <w:sz w:val="24"/>
        </w:rPr>
        <w:t>甲方有权在乙方混凝土生产场地或灌注场地随时取样并检验,取样合格的,并不免除乙方对混凝土的质量责任。</w:t>
      </w:r>
    </w:p>
    <w:p>
      <w:pPr>
        <w:spacing w:line="390" w:lineRule="exact"/>
        <w:ind w:firstLine="480" w:firstLineChars="200"/>
        <w:rPr>
          <w:rFonts w:hint="eastAsia" w:ascii="宋体" w:hAnsi="宋体"/>
          <w:color w:val="0070C0"/>
          <w:sz w:val="24"/>
        </w:rPr>
      </w:pPr>
      <w:r>
        <w:rPr>
          <w:rFonts w:hint="eastAsia" w:ascii="宋体" w:hAnsi="宋体"/>
          <w:sz w:val="24"/>
        </w:rPr>
        <w:t>6.</w:t>
      </w:r>
      <w:r>
        <w:rPr>
          <w:rFonts w:ascii="宋体" w:hAnsi="宋体"/>
          <w:sz w:val="24"/>
        </w:rPr>
        <w:t>9</w:t>
      </w:r>
      <w:r>
        <w:rPr>
          <w:rFonts w:hint="eastAsia" w:ascii="宋体" w:hAnsi="宋体"/>
          <w:sz w:val="24"/>
        </w:rPr>
        <w:t>双方对产品质量有争议时，可以进行复检。复检由甲乙双方共同取样后送</w:t>
      </w:r>
      <w:r>
        <w:rPr>
          <w:rFonts w:hint="eastAsia" w:ascii="宋体" w:hAnsi="宋体"/>
          <w:sz w:val="24"/>
          <w:u w:val="single"/>
        </w:rPr>
        <w:t xml:space="preserve">             </w:t>
      </w:r>
      <w:r>
        <w:rPr>
          <w:rFonts w:hint="eastAsia" w:ascii="宋体" w:hAnsi="宋体"/>
          <w:sz w:val="24"/>
        </w:rPr>
        <w:t>复检，检验结果作为最终判定依据。复检费用由过错方承担。</w:t>
      </w:r>
    </w:p>
    <w:p>
      <w:pPr>
        <w:spacing w:line="390" w:lineRule="exact"/>
        <w:ind w:firstLine="480" w:firstLineChars="200"/>
        <w:rPr>
          <w:rFonts w:hint="eastAsia" w:ascii="宋体" w:hAnsi="宋体"/>
          <w:sz w:val="24"/>
        </w:rPr>
      </w:pPr>
      <w:r>
        <w:rPr>
          <w:rFonts w:hint="eastAsia" w:ascii="宋体" w:hAnsi="宋体"/>
          <w:sz w:val="24"/>
        </w:rPr>
        <w:t>6.</w:t>
      </w:r>
      <w:r>
        <w:rPr>
          <w:rFonts w:ascii="宋体" w:hAnsi="宋体"/>
          <w:sz w:val="24"/>
        </w:rPr>
        <w:t>10</w:t>
      </w:r>
      <w:r>
        <w:rPr>
          <w:rFonts w:hint="eastAsia" w:ascii="宋体" w:hAnsi="宋体"/>
          <w:sz w:val="24"/>
        </w:rPr>
        <w:t>甲方指定</w:t>
      </w:r>
      <w:r>
        <w:rPr>
          <w:rFonts w:hint="eastAsia" w:ascii="宋体" w:hAnsi="宋体"/>
          <w:sz w:val="24"/>
          <w:u w:val="single"/>
        </w:rPr>
        <w:t xml:space="preserve">    </w:t>
      </w:r>
      <w:r>
        <w:rPr>
          <w:rFonts w:hint="eastAsia" w:ascii="宋体" w:hAnsi="宋体"/>
          <w:sz w:val="24"/>
        </w:rPr>
        <w:t xml:space="preserve">负责材料的验收、签认；乙方指定 </w:t>
      </w:r>
      <w:r>
        <w:rPr>
          <w:rFonts w:hint="eastAsia" w:ascii="宋体" w:hAnsi="宋体"/>
          <w:sz w:val="24"/>
          <w:u w:val="single"/>
        </w:rPr>
        <w:t xml:space="preserve">       </w:t>
      </w:r>
      <w:r>
        <w:rPr>
          <w:rFonts w:hint="eastAsia" w:ascii="宋体" w:hAnsi="宋体"/>
          <w:sz w:val="24"/>
        </w:rPr>
        <w:t xml:space="preserve"> （身份证号：</w:t>
      </w:r>
      <w:r>
        <w:rPr>
          <w:rFonts w:ascii="宋体" w:hAnsi="宋体"/>
          <w:sz w:val="24"/>
          <w:u w:val="single"/>
        </w:rPr>
        <w:t xml:space="preserve">  </w:t>
      </w:r>
      <w:r>
        <w:rPr>
          <w:rFonts w:hint="eastAsia" w:ascii="宋体" w:hAnsi="宋体"/>
          <w:sz w:val="24"/>
        </w:rPr>
        <w:t>）负责材料的交验、签认。甲方指定的上述人员是甲方唯一的收货代表，其在乙方送货清单上签字，作为乙方材料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w:t>
      </w:r>
    </w:p>
    <w:p>
      <w:pPr>
        <w:spacing w:line="390" w:lineRule="exact"/>
        <w:ind w:firstLine="480" w:firstLineChars="200"/>
        <w:rPr>
          <w:rFonts w:hint="eastAsia" w:ascii="宋体" w:hAnsi="宋体"/>
          <w:sz w:val="24"/>
        </w:rPr>
      </w:pPr>
      <w:r>
        <w:rPr>
          <w:rFonts w:hint="eastAsia" w:ascii="宋体" w:hAnsi="宋体"/>
          <w:sz w:val="24"/>
        </w:rPr>
        <w:t xml:space="preserve">甲方对材料的验收，并不视为免除乙方对产品质量和技术应负的责任。 </w:t>
      </w:r>
    </w:p>
    <w:p>
      <w:pPr>
        <w:spacing w:line="390" w:lineRule="exact"/>
        <w:ind w:firstLine="480" w:firstLineChars="200"/>
        <w:rPr>
          <w:rFonts w:hint="eastAsia" w:ascii="宋体" w:hAnsi="宋体"/>
          <w:sz w:val="24"/>
        </w:rPr>
      </w:pPr>
      <w:r>
        <w:rPr>
          <w:rFonts w:hint="eastAsia" w:ascii="宋体" w:hAnsi="宋体"/>
          <w:sz w:val="24"/>
        </w:rPr>
        <w:t>运到浇注地点的混凝土不符合要求时，甲方要求按照退货处理的，乙方不得将此批混凝土重新处理后，再送至甲方工地。</w:t>
      </w:r>
    </w:p>
    <w:p>
      <w:pPr>
        <w:spacing w:line="390" w:lineRule="exact"/>
        <w:ind w:firstLine="480" w:firstLineChars="200"/>
        <w:rPr>
          <w:rFonts w:hint="eastAsia" w:ascii="宋体" w:hAnsi="宋体"/>
          <w:sz w:val="24"/>
        </w:rPr>
      </w:pPr>
      <w:r>
        <w:rPr>
          <w:rFonts w:hint="eastAsia" w:ascii="宋体" w:hAnsi="宋体"/>
          <w:sz w:val="24"/>
        </w:rPr>
        <w:t>6.</w:t>
      </w:r>
      <w:r>
        <w:rPr>
          <w:rFonts w:ascii="宋体" w:hAnsi="宋体"/>
          <w:sz w:val="24"/>
        </w:rPr>
        <w:t>11</w:t>
      </w:r>
      <w:r>
        <w:rPr>
          <w:rFonts w:hint="eastAsia" w:ascii="宋体" w:hAnsi="宋体"/>
          <w:sz w:val="24"/>
        </w:rPr>
        <w:t>本合同约定货物的质保期为</w:t>
      </w:r>
      <w:r>
        <w:rPr>
          <w:rFonts w:hint="eastAsia" w:ascii="宋体" w:hAnsi="宋体"/>
          <w:sz w:val="24"/>
          <w:u w:val="single"/>
        </w:rPr>
        <w:t xml:space="preserve"> </w:t>
      </w:r>
      <w:r>
        <w:rPr>
          <w:rFonts w:ascii="宋体" w:hAnsi="宋体"/>
          <w:sz w:val="24"/>
          <w:u w:val="single"/>
        </w:rPr>
        <w:t xml:space="preserve">  </w:t>
      </w:r>
      <w:r>
        <w:rPr>
          <w:rFonts w:ascii="宋体" w:hAnsi="宋体"/>
          <w:sz w:val="24"/>
        </w:rPr>
        <w:t>个</w:t>
      </w:r>
      <w:r>
        <w:rPr>
          <w:rFonts w:hint="eastAsia" w:ascii="宋体" w:hAnsi="宋体"/>
          <w:sz w:val="24"/>
        </w:rPr>
        <w:t>月，自最后一批次供货验收合格之日起计算。如果乙方对货物有另外承诺的质保期且与本合同约定不一致的，双方同意以期限较长的为准。</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第七条 结算与付款</w:t>
      </w:r>
    </w:p>
    <w:p>
      <w:pPr>
        <w:spacing w:line="390" w:lineRule="exact"/>
        <w:ind w:firstLine="480" w:firstLineChars="200"/>
        <w:rPr>
          <w:rFonts w:hint="eastAsia" w:ascii="宋体" w:hAnsi="宋体" w:cs="宋体"/>
          <w:bCs/>
          <w:color w:val="000000"/>
          <w:kern w:val="0"/>
          <w:sz w:val="24"/>
        </w:rPr>
      </w:pPr>
      <w:r>
        <w:rPr>
          <w:rFonts w:hint="eastAsia" w:ascii="宋体" w:hAnsi="宋体"/>
          <w:sz w:val="24"/>
        </w:rPr>
        <w:t>7.</w:t>
      </w:r>
      <w:r>
        <w:rPr>
          <w:rFonts w:ascii="宋体" w:hAnsi="宋体"/>
          <w:sz w:val="24"/>
        </w:rPr>
        <w:t>1</w:t>
      </w:r>
      <w:r>
        <w:rPr>
          <w:rFonts w:hint="eastAsia" w:ascii="宋体" w:hAnsi="宋体"/>
          <w:color w:val="000000"/>
          <w:sz w:val="24"/>
        </w:rPr>
        <w:t>上月</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日至本月的</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日为一个结算周期，当月</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日为本月的结算截止日期。结算时根据甲方检验合格及双方共同签认的凭证计算当月实际收货数量，除此之外任何证明、收条、欠条、信函等文件，都不得作为结算、支付依据。</w:t>
      </w:r>
    </w:p>
    <w:p>
      <w:pPr>
        <w:spacing w:line="390" w:lineRule="exact"/>
        <w:ind w:firstLine="480" w:firstLineChars="200"/>
        <w:rPr>
          <w:rFonts w:hint="eastAsia" w:ascii="宋体" w:hAnsi="宋体"/>
          <w:color w:val="5B9BD5" w:themeColor="accent1"/>
          <w:sz w:val="24"/>
          <w14:textFill>
            <w14:solidFill>
              <w14:schemeClr w14:val="accent1"/>
            </w14:solidFill>
          </w14:textFill>
        </w:rPr>
      </w:pPr>
      <w:r>
        <w:rPr>
          <w:rFonts w:hint="eastAsia" w:ascii="宋体" w:hAnsi="宋体"/>
          <w:sz w:val="24"/>
        </w:rPr>
        <w:t>7.</w:t>
      </w:r>
      <w:r>
        <w:rPr>
          <w:rFonts w:ascii="宋体" w:hAnsi="宋体"/>
          <w:sz w:val="24"/>
        </w:rPr>
        <w:t>2</w:t>
      </w:r>
      <w:r>
        <w:rPr>
          <w:rFonts w:hint="eastAsia" w:ascii="宋体" w:hAnsi="宋体"/>
          <w:sz w:val="24"/>
        </w:rPr>
        <w:t>双方特别约定：遵循“先开票、后付款”的原则，甲方支付前，乙方应按双方确认的应付金额向甲方提供增值税专用发票，并于发票开具后</w:t>
      </w:r>
      <w:r>
        <w:rPr>
          <w:rFonts w:hint="eastAsia" w:ascii="宋体" w:hAnsi="宋体"/>
          <w:sz w:val="24"/>
          <w:u w:val="single"/>
        </w:rPr>
        <w:t xml:space="preserve">    </w:t>
      </w:r>
      <w:r>
        <w:rPr>
          <w:rFonts w:hint="eastAsia" w:ascii="宋体" w:hAnsi="宋体"/>
          <w:sz w:val="24"/>
        </w:rPr>
        <w:t>日内提交给甲方。甲方收到乙方发票后，按合同约定向乙方付款。</w:t>
      </w:r>
    </w:p>
    <w:p>
      <w:pPr>
        <w:spacing w:line="39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7.</w:t>
      </w:r>
      <w:r>
        <w:rPr>
          <w:rFonts w:ascii="宋体" w:hAnsi="宋体" w:cs="宋体"/>
          <w:bCs/>
          <w:color w:val="000000"/>
          <w:kern w:val="0"/>
          <w:sz w:val="24"/>
        </w:rPr>
        <w:t>3</w:t>
      </w:r>
      <w:r>
        <w:rPr>
          <w:rFonts w:hint="eastAsia" w:ascii="宋体" w:hAnsi="宋体" w:cs="宋体"/>
          <w:bCs/>
          <w:color w:val="000000"/>
          <w:kern w:val="0"/>
          <w:sz w:val="24"/>
        </w:rPr>
        <w:t>货款支付采用下列第</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项：</w:t>
      </w:r>
    </w:p>
    <w:p>
      <w:pPr>
        <w:spacing w:line="390" w:lineRule="exact"/>
        <w:ind w:firstLine="480" w:firstLineChars="200"/>
        <w:rPr>
          <w:rFonts w:hint="eastAsia" w:ascii="宋体" w:hAnsi="宋体" w:cs="宋体"/>
          <w:bCs/>
          <w:kern w:val="0"/>
          <w:sz w:val="24"/>
        </w:rPr>
      </w:pPr>
      <w:r>
        <w:rPr>
          <w:rFonts w:ascii="宋体" w:hAnsi="宋体" w:cs="宋体"/>
          <w:bCs/>
          <w:kern w:val="0"/>
          <w:sz w:val="24"/>
        </w:rPr>
        <w:t>7.3.1</w:t>
      </w:r>
      <w:r>
        <w:rPr>
          <w:rFonts w:hint="eastAsia" w:ascii="宋体" w:hAnsi="宋体" w:cs="宋体"/>
          <w:bCs/>
          <w:kern w:val="0"/>
          <w:sz w:val="24"/>
        </w:rPr>
        <w:t>先款后货：全额预付。</w:t>
      </w:r>
    </w:p>
    <w:p>
      <w:pPr>
        <w:spacing w:line="390" w:lineRule="exact"/>
        <w:ind w:firstLine="480" w:firstLineChars="200"/>
        <w:rPr>
          <w:rFonts w:hint="eastAsia" w:ascii="宋体" w:hAnsi="宋体" w:cs="宋体"/>
          <w:bCs/>
          <w:kern w:val="0"/>
          <w:sz w:val="24"/>
          <w:u w:val="single"/>
        </w:rPr>
      </w:pPr>
      <w:r>
        <w:rPr>
          <w:rFonts w:ascii="宋体" w:hAnsi="宋体" w:cs="宋体"/>
          <w:bCs/>
          <w:kern w:val="0"/>
          <w:sz w:val="24"/>
        </w:rPr>
        <w:t>7.3.2先款后货：部分预付；</w:t>
      </w:r>
      <w:r>
        <w:rPr>
          <w:rFonts w:hint="eastAsia" w:ascii="宋体" w:hAnsi="宋体" w:cs="宋体"/>
          <w:bCs/>
          <w:kern w:val="0"/>
          <w:sz w:val="24"/>
        </w:rPr>
        <w:t>甲方于乙方发货前支付每批所购物资金额的</w:t>
      </w:r>
      <w:r>
        <w:rPr>
          <w:rFonts w:ascii="宋体" w:hAnsi="宋体" w:cs="宋体"/>
          <w:bCs/>
          <w:kern w:val="0"/>
          <w:sz w:val="24"/>
          <w:u w:val="single"/>
        </w:rPr>
        <w:t xml:space="preserve">   </w:t>
      </w:r>
      <w:r>
        <w:rPr>
          <w:rFonts w:ascii="宋体" w:hAnsi="宋体" w:cs="宋体"/>
          <w:bCs/>
          <w:kern w:val="0"/>
          <w:sz w:val="24"/>
        </w:rPr>
        <w:t>%，</w:t>
      </w:r>
      <w:r>
        <w:rPr>
          <w:rFonts w:ascii="宋体" w:hAnsi="宋体" w:cs="宋体"/>
          <w:bCs/>
          <w:kern w:val="0"/>
          <w:sz w:val="24"/>
          <w:u w:val="single"/>
        </w:rPr>
        <w:t xml:space="preserve">    </w:t>
      </w:r>
      <w:r>
        <w:rPr>
          <w:rFonts w:hint="eastAsia" w:ascii="宋体" w:hAnsi="宋体" w:cs="宋体"/>
          <w:bCs/>
          <w:kern w:val="0"/>
          <w:sz w:val="24"/>
        </w:rPr>
        <w:t>日内支付该批物资金额的</w:t>
      </w:r>
      <w:r>
        <w:rPr>
          <w:rFonts w:ascii="宋体" w:hAnsi="宋体" w:cs="宋体"/>
          <w:bCs/>
          <w:kern w:val="0"/>
          <w:sz w:val="24"/>
          <w:u w:val="single"/>
        </w:rPr>
        <w:t xml:space="preserve">    </w:t>
      </w:r>
      <w:r>
        <w:rPr>
          <w:rFonts w:ascii="宋体" w:hAnsi="宋体" w:cs="宋体"/>
          <w:bCs/>
          <w:kern w:val="0"/>
          <w:sz w:val="24"/>
        </w:rPr>
        <w:t>%，</w:t>
      </w:r>
      <w:r>
        <w:rPr>
          <w:rFonts w:ascii="宋体" w:hAnsi="宋体" w:cs="宋体"/>
          <w:bCs/>
          <w:kern w:val="0"/>
          <w:sz w:val="24"/>
          <w:u w:val="single"/>
        </w:rPr>
        <w:t xml:space="preserve">    </w:t>
      </w:r>
      <w:r>
        <w:rPr>
          <w:rFonts w:hint="eastAsia" w:ascii="宋体" w:hAnsi="宋体" w:cs="宋体"/>
          <w:bCs/>
          <w:kern w:val="0"/>
          <w:sz w:val="24"/>
        </w:rPr>
        <w:t>日内支付该批物资金额的</w:t>
      </w:r>
      <w:r>
        <w:rPr>
          <w:rFonts w:ascii="宋体" w:hAnsi="宋体" w:cs="宋体"/>
          <w:bCs/>
          <w:kern w:val="0"/>
          <w:sz w:val="24"/>
          <w:u w:val="single"/>
        </w:rPr>
        <w:t xml:space="preserve">    </w:t>
      </w:r>
      <w:r>
        <w:rPr>
          <w:rFonts w:ascii="宋体" w:hAnsi="宋体" w:cs="宋体"/>
          <w:bCs/>
          <w:kern w:val="0"/>
          <w:sz w:val="24"/>
        </w:rPr>
        <w:t xml:space="preserve">%。 </w:t>
      </w:r>
    </w:p>
    <w:p>
      <w:pPr>
        <w:spacing w:line="390" w:lineRule="exact"/>
        <w:ind w:firstLine="480" w:firstLineChars="200"/>
        <w:rPr>
          <w:rFonts w:hint="eastAsia" w:ascii="宋体" w:hAnsi="宋体"/>
          <w:color w:val="000000"/>
          <w:sz w:val="24"/>
        </w:rPr>
      </w:pPr>
      <w:r>
        <w:rPr>
          <w:rFonts w:ascii="宋体" w:hAnsi="宋体" w:cs="宋体"/>
          <w:bCs/>
          <w:kern w:val="0"/>
          <w:sz w:val="24"/>
        </w:rPr>
        <w:t>7.3.3先货后款</w:t>
      </w:r>
      <w:r>
        <w:rPr>
          <w:rFonts w:hint="eastAsia" w:ascii="宋体" w:hAnsi="宋体" w:cs="宋体"/>
          <w:bCs/>
          <w:kern w:val="0"/>
          <w:sz w:val="24"/>
        </w:rPr>
        <w:t>：货款分期支付。</w:t>
      </w:r>
      <w:r>
        <w:rPr>
          <w:rFonts w:hint="eastAsia" w:ascii="宋体" w:hAnsi="宋体" w:cs="宋体"/>
          <w:bCs/>
          <w:color w:val="000000"/>
          <w:spacing w:val="4"/>
          <w:kern w:val="0"/>
          <w:sz w:val="24"/>
        </w:rPr>
        <w:t>结算完成后，甲方在收到乙方开具的正式的增值税专用发票后</w:t>
      </w:r>
      <w:r>
        <w:rPr>
          <w:rFonts w:hint="eastAsia" w:ascii="宋体" w:hAnsi="宋体" w:cs="宋体"/>
          <w:bCs/>
          <w:color w:val="000000"/>
          <w:spacing w:val="4"/>
          <w:kern w:val="0"/>
          <w:sz w:val="24"/>
          <w:u w:val="single"/>
        </w:rPr>
        <w:t xml:space="preserve">  </w:t>
      </w:r>
      <w:r>
        <w:rPr>
          <w:rFonts w:ascii="宋体" w:hAnsi="宋体" w:cs="宋体"/>
          <w:bCs/>
          <w:color w:val="000000"/>
          <w:spacing w:val="4"/>
          <w:kern w:val="0"/>
          <w:sz w:val="24"/>
          <w:u w:val="single"/>
        </w:rPr>
        <w:t xml:space="preserve"> </w:t>
      </w:r>
      <w:r>
        <w:rPr>
          <w:rFonts w:hint="eastAsia" w:ascii="宋体" w:hAnsi="宋体" w:cs="宋体"/>
          <w:bCs/>
          <w:color w:val="000000"/>
          <w:spacing w:val="4"/>
          <w:kern w:val="0"/>
          <w:sz w:val="24"/>
        </w:rPr>
        <w:t>日内，向乙方支付当月结算金额的</w:t>
      </w:r>
      <w:r>
        <w:rPr>
          <w:rFonts w:hint="eastAsia" w:ascii="宋体" w:hAnsi="宋体" w:cs="宋体"/>
          <w:bCs/>
          <w:color w:val="000000"/>
          <w:spacing w:val="4"/>
          <w:kern w:val="0"/>
          <w:sz w:val="24"/>
          <w:u w:val="single"/>
        </w:rPr>
        <w:t xml:space="preserve">      </w:t>
      </w:r>
      <w:r>
        <w:rPr>
          <w:rFonts w:hint="eastAsia" w:ascii="宋体" w:hAnsi="宋体" w:cs="宋体"/>
          <w:bCs/>
          <w:color w:val="000000"/>
          <w:spacing w:val="4"/>
          <w:kern w:val="0"/>
          <w:sz w:val="24"/>
        </w:rPr>
        <w:t>%，</w:t>
      </w:r>
      <w:r>
        <w:rPr>
          <w:rFonts w:hint="eastAsia" w:ascii="宋体" w:hAnsi="宋体" w:cs="宋体"/>
          <w:bCs/>
          <w:color w:val="000000"/>
          <w:spacing w:val="4"/>
          <w:kern w:val="0"/>
          <w:sz w:val="24"/>
          <w:u w:val="single"/>
        </w:rPr>
        <w:t xml:space="preserve">  </w:t>
      </w:r>
      <w:r>
        <w:rPr>
          <w:rFonts w:hint="eastAsia" w:ascii="宋体" w:hAnsi="宋体" w:cs="宋体"/>
          <w:bCs/>
          <w:color w:val="000000"/>
          <w:spacing w:val="4"/>
          <w:kern w:val="0"/>
          <w:sz w:val="24"/>
        </w:rPr>
        <w:t>日内，向乙方支付当月结算金额的</w:t>
      </w:r>
      <w:r>
        <w:rPr>
          <w:rFonts w:hint="eastAsia" w:ascii="宋体" w:hAnsi="宋体" w:cs="宋体"/>
          <w:bCs/>
          <w:color w:val="000000"/>
          <w:spacing w:val="4"/>
          <w:kern w:val="0"/>
          <w:sz w:val="24"/>
          <w:u w:val="single"/>
        </w:rPr>
        <w:t xml:space="preserve">      </w:t>
      </w:r>
      <w:r>
        <w:rPr>
          <w:rFonts w:hint="eastAsia" w:ascii="宋体" w:hAnsi="宋体" w:cs="宋体"/>
          <w:bCs/>
          <w:color w:val="000000"/>
          <w:spacing w:val="4"/>
          <w:kern w:val="0"/>
          <w:sz w:val="24"/>
        </w:rPr>
        <w:t>%。</w:t>
      </w:r>
      <w:r>
        <w:rPr>
          <w:rFonts w:hint="eastAsia" w:ascii="宋体" w:hAnsi="宋体" w:cs="宋体"/>
          <w:bCs/>
          <w:color w:val="000000"/>
          <w:kern w:val="0"/>
          <w:sz w:val="24"/>
        </w:rPr>
        <w:t>剩余</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%作为质保金，在质保期满后</w:t>
      </w:r>
      <w:r>
        <w:rPr>
          <w:rFonts w:ascii="宋体" w:hAnsi="宋体" w:cs="宋体"/>
          <w:bCs/>
          <w:color w:val="000000"/>
          <w:kern w:val="0"/>
          <w:sz w:val="24"/>
          <w:u w:val="single"/>
        </w:rPr>
        <w:t>1</w:t>
      </w:r>
      <w:r>
        <w:rPr>
          <w:rFonts w:hint="eastAsia" w:ascii="宋体" w:hAnsi="宋体" w:cs="宋体"/>
          <w:bCs/>
          <w:color w:val="000000"/>
          <w:kern w:val="0"/>
          <w:sz w:val="24"/>
        </w:rPr>
        <w:t>个月内无息支付，</w:t>
      </w:r>
      <w:r>
        <w:rPr>
          <w:rFonts w:hint="eastAsia" w:ascii="宋体" w:hAnsi="宋体" w:cs="宋体"/>
          <w:bCs/>
          <w:color w:val="000000"/>
          <w:spacing w:val="4"/>
          <w:kern w:val="0"/>
          <w:sz w:val="24"/>
        </w:rPr>
        <w:t>如发生纠纷，则延后至纠纷最终解决后30天内付清。质量保证金的支付并不免除乙方对交付</w:t>
      </w:r>
      <w:r>
        <w:rPr>
          <w:rFonts w:hint="eastAsia" w:ascii="宋体" w:hAnsi="宋体" w:cs="宋体"/>
          <w:bCs/>
          <w:color w:val="000000"/>
          <w:kern w:val="0"/>
          <w:sz w:val="24"/>
        </w:rPr>
        <w:t>货物质量的保证责任。</w:t>
      </w:r>
    </w:p>
    <w:p>
      <w:pPr>
        <w:spacing w:line="390" w:lineRule="exact"/>
        <w:ind w:firstLine="480" w:firstLineChars="200"/>
        <w:rPr>
          <w:rFonts w:hint="eastAsia" w:ascii="宋体" w:hAnsi="宋体" w:cs="宋体"/>
          <w:bCs/>
          <w:color w:val="000000"/>
          <w:kern w:val="0"/>
          <w:sz w:val="24"/>
        </w:rPr>
      </w:pPr>
      <w:r>
        <w:rPr>
          <w:rFonts w:hint="eastAsia" w:ascii="宋体" w:hAnsi="宋体" w:cs="宋体"/>
          <w:bCs/>
          <w:kern w:val="0"/>
          <w:sz w:val="24"/>
        </w:rPr>
        <w:t>7.</w:t>
      </w:r>
      <w:r>
        <w:rPr>
          <w:rFonts w:ascii="宋体" w:hAnsi="宋体" w:cs="宋体"/>
          <w:bCs/>
          <w:kern w:val="0"/>
          <w:sz w:val="24"/>
        </w:rPr>
        <w:t>3</w:t>
      </w:r>
      <w:r>
        <w:rPr>
          <w:rFonts w:hint="eastAsia" w:ascii="宋体" w:hAnsi="宋体" w:cs="宋体"/>
          <w:bCs/>
          <w:kern w:val="0"/>
          <w:sz w:val="24"/>
        </w:rPr>
        <w:t>.4先货后款：</w:t>
      </w:r>
      <w:r>
        <w:rPr>
          <w:rFonts w:hint="eastAsia" w:ascii="宋体" w:hAnsi="宋体" w:cs="宋体"/>
          <w:bCs/>
          <w:color w:val="000000"/>
          <w:kern w:val="0"/>
          <w:sz w:val="24"/>
        </w:rPr>
        <w:t>货款一次性支付。结算完成后，甲方收到乙方开具的正式增值税专用发票后</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日内，向乙方支付当月结算金额的</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%，剩余</w:t>
      </w:r>
      <w:r>
        <w:rPr>
          <w:rFonts w:hint="eastAsia" w:ascii="宋体" w:hAnsi="宋体" w:cs="宋体"/>
          <w:bCs/>
          <w:color w:val="000000"/>
          <w:kern w:val="0"/>
          <w:sz w:val="24"/>
          <w:u w:val="single"/>
        </w:rPr>
        <w:t xml:space="preserve">     </w:t>
      </w:r>
      <w:r>
        <w:rPr>
          <w:rFonts w:hint="eastAsia" w:ascii="宋体" w:hAnsi="宋体" w:cs="宋体"/>
          <w:bCs/>
          <w:color w:val="000000"/>
          <w:kern w:val="0"/>
          <w:sz w:val="24"/>
        </w:rPr>
        <w:t>%作为质保金，待质保期满后</w:t>
      </w:r>
      <w:r>
        <w:rPr>
          <w:rFonts w:hint="eastAsia" w:ascii="宋体" w:hAnsi="宋体" w:cs="宋体"/>
          <w:bCs/>
          <w:color w:val="000000"/>
          <w:kern w:val="0"/>
          <w:sz w:val="24"/>
          <w:u w:val="single"/>
        </w:rPr>
        <w:t xml:space="preserve">  1 </w:t>
      </w:r>
      <w:r>
        <w:rPr>
          <w:rFonts w:hint="eastAsia" w:ascii="宋体" w:hAnsi="宋体" w:cs="宋体"/>
          <w:bCs/>
          <w:color w:val="000000"/>
          <w:kern w:val="0"/>
          <w:sz w:val="24"/>
        </w:rPr>
        <w:t>个月内无息支付，如发生纠纷，则延后至纠纷最终解决后30天内付清。质量保证金支付不免除乙方对交付货物质量保证责任。</w:t>
      </w:r>
    </w:p>
    <w:p>
      <w:pPr>
        <w:spacing w:line="390" w:lineRule="exact"/>
        <w:ind w:firstLine="482" w:firstLineChars="200"/>
        <w:rPr>
          <w:rFonts w:hint="eastAsia" w:ascii="宋体" w:hAnsi="宋体" w:cs="宋体"/>
          <w:b/>
          <w:color w:val="000000"/>
          <w:kern w:val="0"/>
          <w:sz w:val="24"/>
          <w:szCs w:val="24"/>
          <w:highlight w:val="none"/>
          <w:u w:val="double"/>
        </w:rPr>
      </w:pPr>
      <w:r>
        <w:rPr>
          <w:rFonts w:hint="eastAsia" w:ascii="宋体" w:hAnsi="宋体" w:cs="宋体"/>
          <w:b/>
          <w:color w:val="000000"/>
          <w:kern w:val="0"/>
          <w:sz w:val="24"/>
          <w:highlight w:val="none"/>
        </w:rPr>
        <w:t>7.4货款支付方式：</w:t>
      </w:r>
      <w:r>
        <w:rPr>
          <w:rFonts w:hint="eastAsia" w:ascii="宋体" w:hAnsi="宋体" w:cs="宋体"/>
          <w:b/>
          <w:color w:val="000000"/>
          <w:kern w:val="0"/>
          <w:sz w:val="24"/>
          <w:szCs w:val="24"/>
          <w:highlight w:val="none"/>
          <w:u w:val="double"/>
        </w:rPr>
        <w:t>甲乙双方协商一致同意采用银行转账、银行承兑汇票、应收账款电子凭证等方式支付本合同款</w:t>
      </w:r>
      <w:r>
        <w:rPr>
          <w:rFonts w:hint="eastAsia" w:ascii="宋体" w:hAnsi="宋体" w:cs="宋体"/>
          <w:b/>
          <w:kern w:val="0"/>
          <w:sz w:val="24"/>
          <w:szCs w:val="24"/>
          <w:highlight w:val="none"/>
          <w:u w:val="double"/>
        </w:rPr>
        <w:t>项。</w:t>
      </w:r>
      <w:r>
        <w:rPr>
          <w:rFonts w:hint="eastAsia" w:ascii="宋体" w:hAnsi="宋体" w:cs="宋体"/>
          <w:b/>
          <w:color w:val="000000"/>
          <w:kern w:val="0"/>
          <w:sz w:val="24"/>
          <w:szCs w:val="24"/>
          <w:highlight w:val="none"/>
          <w:u w:val="double"/>
        </w:rPr>
        <w:t>甲方使用银行承兑汇票支付本合同款项，甲方不承担贴现费用；甲方使用应收账款电子凭证支付本合同款项，实际贴息费用不包含在采购单价中，由乙方以“价外费”的形式对实际接收应收账款电子凭证贴现费用开具发票，</w:t>
      </w:r>
      <w:r>
        <w:rPr>
          <w:rFonts w:hint="eastAsia" w:ascii="宋体" w:hAnsi="宋体" w:cs="宋体"/>
          <w:b/>
          <w:color w:val="000000"/>
          <w:kern w:val="0"/>
          <w:sz w:val="24"/>
          <w:szCs w:val="24"/>
          <w:highlight w:val="none"/>
          <w:u w:val="double"/>
          <w:lang w:val="en-US" w:eastAsia="zh-CN"/>
        </w:rPr>
        <w:t>贴现</w:t>
      </w:r>
      <w:r>
        <w:rPr>
          <w:rFonts w:hint="eastAsia" w:ascii="宋体" w:hAnsi="宋体" w:cs="宋体"/>
          <w:b/>
          <w:color w:val="000000"/>
          <w:kern w:val="0"/>
          <w:sz w:val="24"/>
          <w:szCs w:val="24"/>
          <w:highlight w:val="none"/>
          <w:u w:val="double"/>
        </w:rPr>
        <w:t>费用由甲方承担     %，乙方承担     %。</w:t>
      </w:r>
    </w:p>
    <w:p>
      <w:pPr>
        <w:spacing w:line="39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乙方指定联系人                 （身份证号：                  ），联系方式                         。</w:t>
      </w:r>
    </w:p>
    <w:p>
      <w:pPr>
        <w:spacing w:line="390" w:lineRule="exact"/>
        <w:ind w:firstLine="480" w:firstLineChars="200"/>
        <w:rPr>
          <w:rFonts w:hint="eastAsia" w:ascii="宋体" w:hAnsi="宋体" w:cs="宋体"/>
          <w:bCs/>
          <w:color w:val="000000"/>
          <w:kern w:val="0"/>
          <w:sz w:val="24"/>
        </w:rPr>
      </w:pPr>
      <w:r>
        <w:rPr>
          <w:rFonts w:hint="eastAsia" w:ascii="宋体" w:hAnsi="宋体" w:cs="宋体"/>
          <w:bCs/>
          <w:color w:val="000000"/>
          <w:kern w:val="0"/>
          <w:sz w:val="24"/>
        </w:rPr>
        <w:t>6.6 如甲方出现资金困难，乙方同意给予</w:t>
      </w:r>
      <w:r>
        <w:rPr>
          <w:rFonts w:hint="eastAsia" w:ascii="宋体" w:hAnsi="宋体" w:cs="宋体"/>
          <w:bCs/>
          <w:color w:val="000000"/>
          <w:kern w:val="0"/>
          <w:sz w:val="24"/>
          <w:u w:val="single"/>
        </w:rPr>
        <w:t>3</w:t>
      </w:r>
      <w:r>
        <w:rPr>
          <w:rFonts w:hint="eastAsia" w:ascii="宋体" w:hAnsi="宋体" w:cs="宋体"/>
          <w:bCs/>
          <w:color w:val="000000"/>
          <w:kern w:val="0"/>
          <w:sz w:val="24"/>
        </w:rPr>
        <w:t>个月的付款宽限期，在此宽期间内不视为甲方违约且不计息，乙方不得以此为由中断本项目的货物供应。</w:t>
      </w:r>
    </w:p>
    <w:p>
      <w:pPr>
        <w:tabs>
          <w:tab w:val="left" w:pos="360"/>
        </w:tabs>
        <w:spacing w:line="390" w:lineRule="exact"/>
        <w:ind w:firstLine="482" w:firstLineChars="200"/>
        <w:rPr>
          <w:rFonts w:hint="eastAsia" w:ascii="宋体" w:hAnsi="宋体"/>
          <w:b/>
          <w:bCs/>
          <w:kern w:val="44"/>
          <w:sz w:val="24"/>
        </w:rPr>
      </w:pPr>
      <w:r>
        <w:rPr>
          <w:rFonts w:hint="eastAsia" w:ascii="宋体" w:hAnsi="宋体"/>
          <w:b/>
          <w:bCs/>
          <w:kern w:val="44"/>
          <w:sz w:val="24"/>
        </w:rPr>
        <w:t>第八条 甲方的权利和义务</w:t>
      </w:r>
    </w:p>
    <w:p>
      <w:pPr>
        <w:spacing w:line="390" w:lineRule="exact"/>
        <w:ind w:firstLine="480" w:firstLineChars="200"/>
        <w:rPr>
          <w:rFonts w:hint="eastAsia" w:ascii="宋体" w:hAnsi="宋体"/>
          <w:b/>
          <w:sz w:val="24"/>
        </w:rPr>
      </w:pPr>
      <w:r>
        <w:rPr>
          <w:rFonts w:ascii="宋体" w:hAnsi="宋体"/>
          <w:sz w:val="24"/>
        </w:rPr>
        <w:t>8</w:t>
      </w:r>
      <w:r>
        <w:rPr>
          <w:rFonts w:hint="eastAsia" w:ascii="宋体" w:hAnsi="宋体"/>
          <w:sz w:val="24"/>
        </w:rPr>
        <w:t>.1为乙方提供施工区域内商品混凝土运输便道以及电、水条件。</w:t>
      </w:r>
    </w:p>
    <w:p>
      <w:pPr>
        <w:spacing w:line="390" w:lineRule="exact"/>
        <w:ind w:firstLine="480" w:firstLineChars="200"/>
        <w:rPr>
          <w:rFonts w:hint="eastAsia" w:ascii="宋体" w:hAnsi="宋体"/>
          <w:sz w:val="24"/>
        </w:rPr>
      </w:pPr>
      <w:r>
        <w:rPr>
          <w:rFonts w:ascii="宋体" w:hAnsi="宋体"/>
          <w:sz w:val="24"/>
        </w:rPr>
        <w:t>8</w:t>
      </w:r>
      <w:r>
        <w:rPr>
          <w:rFonts w:hint="eastAsia" w:ascii="宋体" w:hAnsi="宋体"/>
          <w:sz w:val="24"/>
        </w:rPr>
        <w:t>.2泵送施工时，制定泵送施工方案，组织人员铺设、迁移、拆卸、保管泵管，保障商品混凝土泵送施工正常进行。</w:t>
      </w:r>
    </w:p>
    <w:p>
      <w:pPr>
        <w:spacing w:line="390" w:lineRule="exact"/>
        <w:ind w:firstLine="480" w:firstLineChars="200"/>
        <w:rPr>
          <w:rFonts w:hint="eastAsia" w:ascii="宋体" w:hAnsi="宋体"/>
          <w:sz w:val="24"/>
        </w:rPr>
      </w:pPr>
      <w:r>
        <w:rPr>
          <w:rFonts w:ascii="宋体" w:hAnsi="宋体"/>
          <w:sz w:val="24"/>
        </w:rPr>
        <w:t>8</w:t>
      </w:r>
      <w:r>
        <w:rPr>
          <w:rFonts w:hint="eastAsia" w:ascii="宋体" w:hAnsi="宋体"/>
          <w:sz w:val="24"/>
        </w:rPr>
        <w:t>.</w:t>
      </w:r>
      <w:r>
        <w:rPr>
          <w:rFonts w:ascii="宋体" w:hAnsi="宋体"/>
          <w:sz w:val="24"/>
        </w:rPr>
        <w:t>3</w:t>
      </w:r>
      <w:r>
        <w:rPr>
          <w:rFonts w:hint="eastAsia" w:ascii="宋体" w:hAnsi="宋体"/>
          <w:sz w:val="24"/>
        </w:rPr>
        <w:t xml:space="preserve"> 及时办理结算和支付商品混凝土货款。</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第九条 乙方的权利和义务</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.1按照合同约定的供货时间按时发货，保证施工进度和工程连续浇筑混凝土的需要，并对所提供商品混凝土的质量负责。</w:t>
      </w:r>
    </w:p>
    <w:p>
      <w:pPr>
        <w:tabs>
          <w:tab w:val="left" w:pos="900"/>
        </w:tabs>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.2 乙方保证各种原材料的储备充足，并严格按照现行有关规范标准进行原材料检验，向甲方提供相应的检测报告，同时应无条件地配合甲方对原材料质量不定期的抽检。</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.3 按混凝土技术规范和有关规定组织生产，按批量随机取样，检验其相应的性能并在混凝土浇筑后</w:t>
      </w:r>
      <w:r>
        <w:rPr>
          <w:rFonts w:hint="eastAsia" w:ascii="宋体" w:hAnsi="宋体"/>
          <w:sz w:val="24"/>
          <w:u w:val="single"/>
        </w:rPr>
        <w:t xml:space="preserve">    </w:t>
      </w:r>
      <w:r>
        <w:rPr>
          <w:rFonts w:hint="eastAsia" w:ascii="宋体" w:hAnsi="宋体"/>
          <w:sz w:val="24"/>
        </w:rPr>
        <w:t>日内向甲方报告相关资料；甲方在施工现场进行混凝土取样和成型中，乙方技术人员应在现场配合。</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.4 保证搅拌设备具备微机控制、原材料自动投料、自动计量功能，并保管相应生产的原始数据；设置汽车磅等计量器具，保证供货数量。</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.5 乙方应在供应中派人24小时在甲方工地现场协调工作，并服从甲方现场调度的指挥，对甲方现场负责人提出的要求应予以充分配合。</w:t>
      </w:r>
    </w:p>
    <w:p>
      <w:pPr>
        <w:tabs>
          <w:tab w:val="left" w:pos="900"/>
        </w:tabs>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.6 根据甲方需要无条件地投入足够的机械设备，保证备足拌和站（</w:t>
      </w:r>
      <w:r>
        <w:rPr>
          <w:rFonts w:hint="eastAsia" w:ascii="宋体" w:hAnsi="宋体"/>
          <w:sz w:val="24"/>
          <w:u w:val="single"/>
        </w:rPr>
        <w:t xml:space="preserve">   </w:t>
      </w:r>
      <w:r>
        <w:rPr>
          <w:rFonts w:hint="eastAsia" w:ascii="宋体" w:hAnsi="宋体"/>
          <w:sz w:val="24"/>
        </w:rPr>
        <w:t>套），输送车（</w:t>
      </w:r>
      <w:r>
        <w:rPr>
          <w:rFonts w:hint="eastAsia" w:ascii="宋体" w:hAnsi="宋体"/>
          <w:sz w:val="24"/>
          <w:u w:val="single"/>
        </w:rPr>
        <w:t xml:space="preserve">   </w:t>
      </w:r>
      <w:r>
        <w:rPr>
          <w:rFonts w:hint="eastAsia" w:ascii="宋体" w:hAnsi="宋体"/>
          <w:sz w:val="24"/>
        </w:rPr>
        <w:t>台），输送泵（</w:t>
      </w:r>
      <w:r>
        <w:rPr>
          <w:rFonts w:hint="eastAsia" w:ascii="宋体" w:hAnsi="宋体"/>
          <w:sz w:val="24"/>
          <w:u w:val="single"/>
        </w:rPr>
        <w:t xml:space="preserve">   </w:t>
      </w:r>
      <w:r>
        <w:rPr>
          <w:rFonts w:hint="eastAsia" w:ascii="宋体" w:hAnsi="宋体"/>
          <w:sz w:val="24"/>
        </w:rPr>
        <w:t>台），水平距离大于</w:t>
      </w:r>
      <w:r>
        <w:rPr>
          <w:rFonts w:hint="eastAsia" w:ascii="宋体" w:hAnsi="宋体"/>
          <w:sz w:val="24"/>
          <w:u w:val="single"/>
        </w:rPr>
        <w:t xml:space="preserve">    </w:t>
      </w:r>
      <w:r>
        <w:rPr>
          <w:rFonts w:hint="eastAsia" w:ascii="宋体" w:hAnsi="宋体"/>
          <w:sz w:val="24"/>
        </w:rPr>
        <w:t>m、垂直高度大于</w:t>
      </w:r>
      <w:r>
        <w:rPr>
          <w:rFonts w:hint="eastAsia" w:ascii="宋体" w:hAnsi="宋体"/>
          <w:sz w:val="24"/>
          <w:u w:val="single"/>
        </w:rPr>
        <w:t xml:space="preserve">    </w:t>
      </w:r>
      <w:r>
        <w:rPr>
          <w:rFonts w:hint="eastAsia" w:ascii="宋体" w:hAnsi="宋体"/>
          <w:sz w:val="24"/>
        </w:rPr>
        <w:t>m泵车（至少1台），</w:t>
      </w:r>
      <w:r>
        <w:rPr>
          <w:rFonts w:hint="eastAsia" w:ascii="宋体" w:hAnsi="宋体"/>
          <w:sz w:val="24"/>
          <w:u w:val="single"/>
        </w:rPr>
        <w:t xml:space="preserve">    </w:t>
      </w:r>
      <w:r>
        <w:rPr>
          <w:rFonts w:hint="eastAsia" w:ascii="宋体" w:hAnsi="宋体"/>
          <w:sz w:val="24"/>
        </w:rPr>
        <w:t>m以上的泵管，原材料，人员，备用动力电源及设备故障补救措施等，保证甲方混凝土浇筑的连续性。</w:t>
      </w:r>
    </w:p>
    <w:p>
      <w:pPr>
        <w:tabs>
          <w:tab w:val="left" w:pos="900"/>
        </w:tabs>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.7 同一强度级别的混凝土应采取同一颜色的集料，所用水必须纯净且达到规范要求，否则视为乙方违约，并承担由此造成的损失。</w:t>
      </w:r>
    </w:p>
    <w:p>
      <w:pPr>
        <w:tabs>
          <w:tab w:val="left" w:pos="900"/>
        </w:tabs>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.8 乙方应自觉遵守国家有关安全生产和道路交通的法规，在生产、运输过程中的安全事故责任、交通事故责任由乙方承担。</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.9 若需泵送则泵管安拆由乙方负责指导，甲方派人安拆，浇筑混凝土时乙方应指派一名现场负责人协调混凝土供应工作。</w:t>
      </w:r>
    </w:p>
    <w:p>
      <w:pPr>
        <w:widowControl/>
        <w:tabs>
          <w:tab w:val="left" w:pos="8364"/>
        </w:tabs>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.10</w:t>
      </w:r>
      <w:r>
        <w:rPr>
          <w:rFonts w:hint="eastAsia" w:ascii="宋体" w:hAnsi="宋体" w:cs="宋体"/>
          <w:kern w:val="0"/>
          <w:sz w:val="24"/>
        </w:rPr>
        <w:t>乙方必须做好运输、装卸等过程中的环境保护，遵守国家和行业的有关规定，因违反规定而受到任何处罚的，乙方承担全部责任。</w:t>
      </w:r>
      <w:r>
        <w:rPr>
          <w:rFonts w:hint="eastAsia" w:ascii="宋体" w:hAnsi="宋体"/>
          <w:sz w:val="24"/>
        </w:rPr>
        <w:t>在货物交付甲方之前，对道路、环境、人身、财产等造成损害的，乙方应承担赔偿责任。</w:t>
      </w:r>
    </w:p>
    <w:p>
      <w:pPr>
        <w:spacing w:line="390" w:lineRule="exact"/>
        <w:ind w:firstLine="480" w:firstLineChars="200"/>
        <w:rPr>
          <w:rFonts w:hint="eastAsia" w:ascii="宋体" w:hAnsi="宋体"/>
          <w:sz w:val="24"/>
        </w:rPr>
      </w:pPr>
      <w:r>
        <w:rPr>
          <w:rFonts w:ascii="宋体" w:hAnsi="宋体"/>
          <w:sz w:val="24"/>
        </w:rPr>
        <w:t>9</w:t>
      </w:r>
      <w:r>
        <w:rPr>
          <w:rFonts w:hint="eastAsia" w:ascii="宋体" w:hAnsi="宋体"/>
          <w:sz w:val="24"/>
        </w:rPr>
        <w:t>.11</w:t>
      </w:r>
      <w:r>
        <w:rPr>
          <w:rFonts w:hint="eastAsia" w:ascii="宋体" w:hAnsi="宋体" w:cs="宋体"/>
          <w:bCs/>
          <w:kern w:val="0"/>
          <w:sz w:val="24"/>
        </w:rPr>
        <w:t>乙方积极协助甲方在税法规定期限内办理有关的进项税额的认证申办手续。乙方开具的增值税专用发票在送达甲方后如发生丢失、灭失，乙方同意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pPr>
        <w:spacing w:line="390" w:lineRule="exact"/>
        <w:ind w:firstLine="480" w:firstLineChars="200"/>
        <w:rPr>
          <w:rFonts w:hint="eastAsia" w:ascii="宋体" w:hAnsi="宋体"/>
          <w:sz w:val="24"/>
        </w:rPr>
      </w:pPr>
      <w:r>
        <w:rPr>
          <w:rFonts w:hint="eastAsia" w:ascii="宋体" w:hAnsi="宋体"/>
          <w:sz w:val="24"/>
        </w:rPr>
        <w:t>9.12 在涉及到商品混凝土质量问题的退货行为时,如果退货行为涉及到开具红字增值税专用发票的行为,乙方应当履行相关协助义务。</w:t>
      </w:r>
    </w:p>
    <w:p>
      <w:pPr>
        <w:widowControl/>
        <w:tabs>
          <w:tab w:val="left" w:pos="8364"/>
        </w:tabs>
        <w:spacing w:line="390" w:lineRule="exact"/>
        <w:ind w:firstLine="480" w:firstLineChars="200"/>
        <w:rPr>
          <w:rFonts w:hint="eastAsia" w:ascii="宋体" w:hAnsi="宋体"/>
          <w:sz w:val="24"/>
        </w:rPr>
      </w:pPr>
      <w:r>
        <w:rPr>
          <w:rFonts w:hint="eastAsia" w:ascii="宋体" w:hAnsi="宋体"/>
          <w:sz w:val="24"/>
        </w:rPr>
        <w:t>9.13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pPr>
        <w:spacing w:line="390" w:lineRule="exact"/>
        <w:ind w:firstLine="480" w:firstLineChars="200"/>
        <w:rPr>
          <w:rFonts w:hint="eastAsia" w:ascii="宋体" w:hAnsi="宋体"/>
          <w:sz w:val="24"/>
        </w:rPr>
      </w:pPr>
      <w:r>
        <w:rPr>
          <w:rFonts w:hint="eastAsia" w:ascii="宋体" w:hAnsi="宋体"/>
          <w:sz w:val="24"/>
        </w:rPr>
        <w:t>9.14乙方必须满足甲方发包方和监理的有关要求。</w:t>
      </w:r>
    </w:p>
    <w:p>
      <w:pPr>
        <w:spacing w:line="390" w:lineRule="exact"/>
        <w:ind w:firstLine="480" w:firstLineChars="200"/>
        <w:rPr>
          <w:rFonts w:hint="eastAsia" w:ascii="宋体" w:hAnsi="宋体"/>
          <w:sz w:val="24"/>
        </w:rPr>
      </w:pPr>
      <w:r>
        <w:rPr>
          <w:rFonts w:hint="eastAsia" w:ascii="宋体" w:hAnsi="宋体"/>
          <w:sz w:val="24"/>
        </w:rPr>
        <w:t>9.15 乙方其他义务：</w:t>
      </w:r>
      <w:r>
        <w:rPr>
          <w:rFonts w:hint="eastAsia" w:ascii="宋体" w:hAnsi="宋体"/>
          <w:sz w:val="24"/>
          <w:u w:val="single"/>
        </w:rPr>
        <w:t xml:space="preserve">                          </w:t>
      </w:r>
      <w:r>
        <w:rPr>
          <w:rFonts w:hint="eastAsia" w:ascii="宋体" w:hAnsi="宋体"/>
          <w:sz w:val="24"/>
        </w:rPr>
        <w:t>。</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第十条 违约责任</w:t>
      </w:r>
    </w:p>
    <w:p>
      <w:pPr>
        <w:widowControl/>
        <w:tabs>
          <w:tab w:val="left" w:pos="8364"/>
        </w:tabs>
        <w:spacing w:line="390" w:lineRule="exact"/>
        <w:ind w:firstLine="482" w:firstLineChars="200"/>
        <w:rPr>
          <w:rFonts w:hint="eastAsia" w:ascii="宋体" w:hAnsi="宋体"/>
          <w:b/>
          <w:bCs/>
          <w:sz w:val="24"/>
          <w:highlight w:val="none"/>
        </w:rPr>
      </w:pPr>
      <w:r>
        <w:rPr>
          <w:rFonts w:hint="eastAsia" w:ascii="宋体" w:hAnsi="宋体"/>
          <w:b/>
          <w:bCs/>
          <w:sz w:val="24"/>
          <w:highlight w:val="none"/>
        </w:rPr>
        <w:t>10.1甲方在宽限期后，仍逾期支付货款的（乙方未履行向甲方开具增值税专用发票等合同约定的义务除外），甲方对逾期付款部分从宽限期满的次日起向乙方支付资金占用费。资金占用费按合同订立时一年期贷款市场报价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pPr>
        <w:tabs>
          <w:tab w:val="left" w:pos="900"/>
        </w:tabs>
        <w:spacing w:line="390" w:lineRule="exact"/>
        <w:ind w:firstLine="480" w:firstLineChars="200"/>
        <w:rPr>
          <w:rFonts w:hint="eastAsia" w:ascii="宋体" w:hAnsi="宋体"/>
          <w:b/>
          <w:sz w:val="24"/>
        </w:rPr>
      </w:pPr>
      <w:r>
        <w:rPr>
          <w:rFonts w:ascii="宋体" w:hAnsi="宋体"/>
          <w:sz w:val="24"/>
        </w:rPr>
        <w:t>10</w:t>
      </w:r>
      <w:r>
        <w:rPr>
          <w:rFonts w:hint="eastAsia" w:ascii="宋体" w:hAnsi="宋体"/>
          <w:sz w:val="24"/>
        </w:rPr>
        <w:t>.2 由于乙方未按合同约定向甲方提供合格的商品混凝土而给甲方造成损失的，由乙方负责赔偿。</w:t>
      </w:r>
    </w:p>
    <w:p>
      <w:pPr>
        <w:tabs>
          <w:tab w:val="left" w:pos="900"/>
        </w:tabs>
        <w:spacing w:line="390" w:lineRule="exact"/>
        <w:ind w:firstLine="480" w:firstLineChars="200"/>
        <w:rPr>
          <w:rFonts w:hint="eastAsia" w:ascii="宋体" w:hAnsi="宋体"/>
          <w:sz w:val="24"/>
        </w:rPr>
      </w:pPr>
      <w:r>
        <w:rPr>
          <w:rFonts w:ascii="宋体" w:hAnsi="宋体"/>
          <w:sz w:val="24"/>
        </w:rPr>
        <w:t>10</w:t>
      </w:r>
      <w:r>
        <w:rPr>
          <w:rFonts w:hint="eastAsia" w:ascii="宋体" w:hAnsi="宋体"/>
          <w:sz w:val="24"/>
        </w:rPr>
        <w:t>.3 乙方未按合同约定或未按甲方确定的供货时间供货，每逾期一日，乙方</w:t>
      </w:r>
      <w:r>
        <w:rPr>
          <w:rFonts w:hint="eastAsia" w:ascii="宋体" w:hAnsi="宋体"/>
          <w:spacing w:val="2"/>
          <w:sz w:val="24"/>
        </w:rPr>
        <w:t>按逾期交货金额的</w:t>
      </w:r>
      <w:r>
        <w:rPr>
          <w:rFonts w:hint="eastAsia" w:ascii="宋体" w:hAnsi="宋体"/>
          <w:spacing w:val="2"/>
          <w:sz w:val="24"/>
          <w:u w:val="single"/>
        </w:rPr>
        <w:t xml:space="preserve">     </w:t>
      </w:r>
      <w:r>
        <w:rPr>
          <w:rFonts w:hint="eastAsia" w:ascii="宋体" w:hAnsi="宋体"/>
          <w:spacing w:val="2"/>
          <w:sz w:val="24"/>
        </w:rPr>
        <w:t>%支付违约金，且甲方有权向第三方采购或部分采购物资，所增加的费用由乙方承担；累计逾期时间超过</w:t>
      </w:r>
      <w:r>
        <w:rPr>
          <w:rFonts w:hint="eastAsia" w:ascii="宋体" w:hAnsi="宋体"/>
          <w:spacing w:val="2"/>
          <w:sz w:val="24"/>
          <w:u w:val="single"/>
        </w:rPr>
        <w:t xml:space="preserve">     </w:t>
      </w:r>
      <w:r>
        <w:rPr>
          <w:rFonts w:hint="eastAsia" w:ascii="宋体" w:hAnsi="宋体"/>
          <w:spacing w:val="2"/>
          <w:sz w:val="24"/>
        </w:rPr>
        <w:t>日的，甲方有权解除合同，乙方还应赔偿由此给甲方造成的一切损失。</w:t>
      </w:r>
    </w:p>
    <w:p>
      <w:pPr>
        <w:tabs>
          <w:tab w:val="left" w:pos="900"/>
        </w:tabs>
        <w:spacing w:line="390" w:lineRule="exact"/>
        <w:ind w:firstLine="480" w:firstLineChars="200"/>
        <w:rPr>
          <w:rFonts w:hint="eastAsia" w:ascii="宋体" w:hAnsi="宋体" w:cs="宋体"/>
          <w:b/>
          <w:bCs/>
          <w:kern w:val="0"/>
          <w:sz w:val="24"/>
        </w:rPr>
      </w:pPr>
      <w:r>
        <w:rPr>
          <w:rFonts w:ascii="宋体" w:hAnsi="宋体"/>
          <w:sz w:val="24"/>
        </w:rPr>
        <w:t>10</w:t>
      </w:r>
      <w:r>
        <w:rPr>
          <w:rFonts w:hint="eastAsia" w:ascii="宋体" w:hAnsi="宋体"/>
          <w:sz w:val="24"/>
        </w:rPr>
        <w:t>.4乙方未向甲方提供混凝土的使用要求，未将原材料复试报告和产品合格证给甲方查验，甲方有权拒绝验收乙方所提供的商品混凝土，</w:t>
      </w:r>
      <w:r>
        <w:rPr>
          <w:rFonts w:hint="eastAsia" w:ascii="宋体" w:hAnsi="宋体" w:cs="宋体"/>
          <w:bCs/>
          <w:kern w:val="0"/>
          <w:sz w:val="24"/>
        </w:rPr>
        <w:t>乙方应无条件承担退货等费用，并向甲方支付合同金额的</w:t>
      </w:r>
      <w:r>
        <w:rPr>
          <w:rFonts w:hint="eastAsia" w:ascii="宋体" w:hAnsi="宋体" w:cs="宋体"/>
          <w:bCs/>
          <w:kern w:val="0"/>
          <w:sz w:val="24"/>
          <w:u w:val="single"/>
        </w:rPr>
        <w:t xml:space="preserve">    </w:t>
      </w:r>
      <w:r>
        <w:rPr>
          <w:rFonts w:hint="eastAsia" w:ascii="宋体" w:hAnsi="宋体" w:cs="宋体"/>
          <w:bCs/>
          <w:kern w:val="0"/>
          <w:sz w:val="24"/>
        </w:rPr>
        <w:t>%的违约金，并由此承担给甲方造成的损失。</w:t>
      </w:r>
    </w:p>
    <w:p>
      <w:pPr>
        <w:spacing w:line="390" w:lineRule="exact"/>
        <w:ind w:firstLine="480" w:firstLineChars="200"/>
        <w:rPr>
          <w:rFonts w:hint="eastAsia" w:ascii="宋体" w:hAnsi="宋体" w:cs="宋体"/>
          <w:kern w:val="0"/>
          <w:sz w:val="24"/>
        </w:rPr>
      </w:pPr>
      <w:r>
        <w:rPr>
          <w:rFonts w:ascii="宋体" w:hAnsi="宋体" w:cs="宋体"/>
          <w:kern w:val="0"/>
          <w:sz w:val="24"/>
        </w:rPr>
        <w:t>10</w:t>
      </w:r>
      <w:r>
        <w:rPr>
          <w:rFonts w:hint="eastAsia" w:ascii="宋体" w:hAnsi="宋体" w:cs="宋体"/>
          <w:kern w:val="0"/>
          <w:sz w:val="24"/>
        </w:rPr>
        <w:t>.5 乙方不得擅自停止供货，否则甲方有权重新选择其他供应商，乙方应承担</w:t>
      </w:r>
      <w:r>
        <w:rPr>
          <w:rFonts w:hint="eastAsia" w:ascii="宋体" w:hAnsi="宋体" w:cs="宋体"/>
          <w:bCs/>
          <w:kern w:val="0"/>
          <w:sz w:val="24"/>
        </w:rPr>
        <w:t>本合同第一条中含增值税总价</w:t>
      </w:r>
      <w:r>
        <w:rPr>
          <w:rFonts w:ascii="宋体" w:hAnsi="宋体" w:cs="宋体"/>
          <w:kern w:val="0"/>
          <w:sz w:val="24"/>
          <w:u w:val="single"/>
        </w:rPr>
        <w:t xml:space="preserve">   </w:t>
      </w:r>
      <w:r>
        <w:rPr>
          <w:rFonts w:ascii="宋体" w:hAnsi="宋体" w:cs="宋体"/>
          <w:kern w:val="0"/>
          <w:sz w:val="24"/>
        </w:rPr>
        <w:t>%</w:t>
      </w:r>
      <w:r>
        <w:rPr>
          <w:rFonts w:hint="eastAsia" w:ascii="宋体" w:hAnsi="宋体" w:cs="宋体"/>
          <w:kern w:val="0"/>
          <w:sz w:val="24"/>
        </w:rPr>
        <w:t>的违约金并赔偿因断货给甲方造成的损失。</w:t>
      </w:r>
    </w:p>
    <w:p>
      <w:pPr>
        <w:spacing w:line="390" w:lineRule="exact"/>
        <w:ind w:firstLine="480" w:firstLineChars="200"/>
        <w:rPr>
          <w:rFonts w:hint="eastAsia" w:ascii="宋体" w:hAnsi="宋体" w:cs="宋体"/>
          <w:kern w:val="0"/>
          <w:sz w:val="24"/>
        </w:rPr>
      </w:pPr>
      <w:r>
        <w:rPr>
          <w:rFonts w:ascii="宋体" w:hAnsi="宋体" w:cs="宋体"/>
          <w:kern w:val="0"/>
          <w:sz w:val="24"/>
        </w:rPr>
        <w:t>10</w:t>
      </w:r>
      <w:r>
        <w:rPr>
          <w:rFonts w:hint="eastAsia" w:ascii="宋体" w:hAnsi="宋体" w:cs="宋体"/>
          <w:kern w:val="0"/>
          <w:sz w:val="24"/>
        </w:rPr>
        <w:t>.6 由于乙方的原因，致使甲方单方解除合同的，乙方在接到甲方书面解除合同通知后，必须在48小时内撤走自己所有的机械设备及材料，否则甲方有权自行处理。</w:t>
      </w:r>
    </w:p>
    <w:p>
      <w:pPr>
        <w:spacing w:line="390" w:lineRule="exact"/>
        <w:ind w:firstLine="480" w:firstLineChars="200"/>
        <w:rPr>
          <w:rFonts w:hint="eastAsia" w:ascii="宋体" w:hAnsi="宋体" w:cs="宋体"/>
          <w:color w:val="5B9BD5" w:themeColor="accent1"/>
          <w:kern w:val="0"/>
          <w:sz w:val="24"/>
          <w14:textFill>
            <w14:solidFill>
              <w14:schemeClr w14:val="accent1"/>
            </w14:solidFill>
          </w14:textFill>
        </w:rPr>
      </w:pPr>
      <w:r>
        <w:rPr>
          <w:rFonts w:ascii="宋体" w:hAnsi="宋体" w:cs="宋体"/>
          <w:kern w:val="0"/>
          <w:sz w:val="24"/>
        </w:rPr>
        <w:t>10</w:t>
      </w:r>
      <w:r>
        <w:rPr>
          <w:rFonts w:hint="eastAsia" w:ascii="宋体" w:hAnsi="宋体" w:cs="宋体"/>
          <w:kern w:val="0"/>
          <w:sz w:val="24"/>
        </w:rPr>
        <w:t>.7</w:t>
      </w:r>
      <w:r>
        <w:rPr>
          <w:rFonts w:hint="eastAsia" w:ascii="宋体" w:hAnsi="宋体"/>
          <w:sz w:val="24"/>
        </w:rPr>
        <w:t>乙方保证提供的产品、服务不侵犯任何第三方知识产权和其他任何权利。任何第三方提出侵权指控时，乙方负责与第三方交涉并承担一切可能发生的经济上、法律上的责任，由此给甲方带来损失的，乙方无条件予以赔偿。</w:t>
      </w:r>
    </w:p>
    <w:p>
      <w:pPr>
        <w:spacing w:line="390" w:lineRule="exact"/>
        <w:ind w:firstLine="480" w:firstLineChars="200"/>
        <w:rPr>
          <w:rFonts w:hint="eastAsia" w:ascii="宋体" w:hAnsi="宋体"/>
          <w:sz w:val="24"/>
        </w:rPr>
      </w:pPr>
      <w:r>
        <w:rPr>
          <w:rFonts w:ascii="宋体" w:hAnsi="宋体"/>
          <w:sz w:val="24"/>
        </w:rPr>
        <w:t>10</w:t>
      </w:r>
      <w:r>
        <w:rPr>
          <w:rFonts w:hint="eastAsia" w:ascii="宋体" w:hAnsi="宋体"/>
          <w:sz w:val="24"/>
        </w:rPr>
        <w:t>.8</w:t>
      </w:r>
      <w:r>
        <w:rPr>
          <w:rFonts w:ascii="宋体" w:hAnsi="宋体"/>
          <w:sz w:val="24"/>
        </w:rPr>
        <w:t>乙方未能按甲方要求提供增值税专用发票（含税务机关代开），甲方有权拒付相应</w:t>
      </w:r>
      <w:r>
        <w:rPr>
          <w:rFonts w:hint="eastAsia" w:ascii="宋体" w:hAnsi="宋体"/>
          <w:sz w:val="24"/>
        </w:rPr>
        <w:t>货款</w:t>
      </w:r>
      <w:r>
        <w:rPr>
          <w:rFonts w:ascii="宋体" w:hAnsi="宋体"/>
          <w:sz w:val="24"/>
        </w:rPr>
        <w:t>。</w:t>
      </w:r>
    </w:p>
    <w:p>
      <w:pPr>
        <w:spacing w:line="390" w:lineRule="exact"/>
        <w:ind w:firstLine="480" w:firstLineChars="200"/>
        <w:rPr>
          <w:rFonts w:hint="eastAsia" w:ascii="宋体" w:hAnsi="宋体"/>
          <w:sz w:val="24"/>
        </w:rPr>
      </w:pPr>
      <w:r>
        <w:rPr>
          <w:rFonts w:ascii="宋体" w:hAnsi="宋体"/>
          <w:sz w:val="24"/>
        </w:rPr>
        <w:t>10</w:t>
      </w:r>
      <w:r>
        <w:rPr>
          <w:rFonts w:hint="eastAsia" w:ascii="宋体" w:hAnsi="宋体"/>
          <w:sz w:val="24"/>
        </w:rPr>
        <w:t>.9</w:t>
      </w:r>
      <w:r>
        <w:rPr>
          <w:rFonts w:ascii="宋体" w:hAnsi="宋体"/>
          <w:sz w:val="24"/>
        </w:rPr>
        <w:t>若因逾期送达发票造成甲方无法抵扣发票相应税款的，乙方还应赔偿甲方由此遭受的损失，金额相当于逾期送达发票可抵扣金额，并加收按逾期送达发票金额____%的违约金。</w:t>
      </w:r>
    </w:p>
    <w:p>
      <w:pPr>
        <w:spacing w:line="390" w:lineRule="exact"/>
        <w:ind w:firstLine="480" w:firstLineChars="200"/>
        <w:rPr>
          <w:rFonts w:hint="eastAsia" w:ascii="宋体" w:hAnsi="宋体"/>
          <w:sz w:val="24"/>
        </w:rPr>
      </w:pPr>
      <w:r>
        <w:rPr>
          <w:rFonts w:ascii="宋体" w:hAnsi="宋体"/>
          <w:sz w:val="24"/>
        </w:rPr>
        <w:t>10</w:t>
      </w:r>
      <w:r>
        <w:rPr>
          <w:rFonts w:hint="eastAsia" w:ascii="宋体" w:hAnsi="宋体"/>
          <w:sz w:val="24"/>
        </w:rPr>
        <w:t>.10</w:t>
      </w:r>
      <w:r>
        <w:rPr>
          <w:rFonts w:ascii="宋体" w:hAnsi="宋体"/>
          <w:sz w:val="24"/>
        </w:rPr>
        <w:t>乙方应提供真实、有效、合格的发票，如发现乙方提供虚假发票或虚开增值税专用发票的情况，乙方须按发票金额的_____%向甲方支付违约金，并承担对甲方造成的全部损失。由于乙方原因造成甲方无法抵扣相应税款，发现问题后退回，乙方应无条件更换为有效发票，拒绝或逾期不更换发票的，造成甲方损失及相关风险，由乙方予以承担。发生上述情况时，甲方有权选择解除合同。</w:t>
      </w:r>
    </w:p>
    <w:p>
      <w:pPr>
        <w:spacing w:line="390" w:lineRule="exact"/>
        <w:ind w:firstLine="480" w:firstLineChars="200"/>
        <w:rPr>
          <w:rFonts w:hint="eastAsia" w:ascii="宋体" w:hAnsi="宋体"/>
          <w:sz w:val="24"/>
        </w:rPr>
      </w:pPr>
      <w:r>
        <w:rPr>
          <w:rFonts w:ascii="宋体" w:hAnsi="宋体"/>
          <w:sz w:val="24"/>
        </w:rPr>
        <w:t>10</w:t>
      </w:r>
      <w:r>
        <w:rPr>
          <w:rFonts w:hint="eastAsia" w:ascii="宋体" w:hAnsi="宋体"/>
          <w:sz w:val="24"/>
        </w:rPr>
        <w:t>.11</w:t>
      </w:r>
      <w:r>
        <w:rPr>
          <w:rFonts w:ascii="宋体" w:hAnsi="宋体"/>
          <w:sz w:val="24"/>
        </w:rPr>
        <w:t>乙方有义务配合甲方接受税务机关、审计部门的检查工作，如果乙方拒不配合，由乙方支付_____元的违约金，并承担对甲方造成的损失。</w:t>
      </w:r>
    </w:p>
    <w:p>
      <w:pPr>
        <w:spacing w:line="390" w:lineRule="exact"/>
        <w:ind w:firstLine="480" w:firstLineChars="200"/>
        <w:rPr>
          <w:rFonts w:hint="eastAsia" w:ascii="宋体" w:hAnsi="宋体"/>
          <w:color w:val="0070C0"/>
          <w:sz w:val="24"/>
        </w:rPr>
      </w:pPr>
      <w:r>
        <w:rPr>
          <w:rFonts w:ascii="宋体" w:hAnsi="宋体"/>
          <w:sz w:val="24"/>
        </w:rPr>
        <w:t>10</w:t>
      </w:r>
      <w:r>
        <w:rPr>
          <w:rFonts w:hint="eastAsia" w:ascii="宋体" w:hAnsi="宋体"/>
          <w:sz w:val="24"/>
        </w:rPr>
        <w:t>.12如乙方被中国铁路总公司、建设单位或中国中铁股份有限公司及其关联企业、列入“限制交易供应商名单”“不合格供应商名单”或“供应商黑名单”等限制交易名单，甲方可以单方解除合同，解除合同的一切后果由乙方承担。</w:t>
      </w:r>
    </w:p>
    <w:p>
      <w:pPr>
        <w:widowControl/>
        <w:tabs>
          <w:tab w:val="left" w:pos="8364"/>
        </w:tabs>
        <w:spacing w:line="390" w:lineRule="exact"/>
        <w:ind w:firstLine="480" w:firstLineChars="200"/>
        <w:rPr>
          <w:rFonts w:hint="eastAsia" w:ascii="宋体" w:hAnsi="宋体" w:cs="宋体"/>
          <w:kern w:val="0"/>
          <w:sz w:val="24"/>
        </w:rPr>
      </w:pPr>
      <w:r>
        <w:rPr>
          <w:rFonts w:ascii="宋体" w:hAnsi="宋体" w:cs="宋体"/>
          <w:kern w:val="0"/>
          <w:sz w:val="24"/>
        </w:rPr>
        <w:t>10</w:t>
      </w:r>
      <w:r>
        <w:rPr>
          <w:rFonts w:hint="eastAsia" w:ascii="宋体" w:hAnsi="宋体" w:cs="宋体"/>
          <w:kern w:val="0"/>
          <w:sz w:val="24"/>
        </w:rPr>
        <w:t>.13乙方其他违约责任：</w:t>
      </w:r>
      <w:r>
        <w:rPr>
          <w:rFonts w:hint="eastAsia" w:ascii="宋体" w:hAnsi="宋体" w:cs="宋体"/>
          <w:kern w:val="0"/>
          <w:sz w:val="24"/>
          <w:u w:val="single"/>
        </w:rPr>
        <w:t xml:space="preserve">                    </w:t>
      </w:r>
      <w:r>
        <w:rPr>
          <w:rFonts w:hint="eastAsia" w:ascii="宋体" w:hAnsi="宋体" w:cs="宋体"/>
          <w:kern w:val="0"/>
          <w:sz w:val="24"/>
        </w:rPr>
        <w:t>。</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第十条 争议解决</w:t>
      </w:r>
    </w:p>
    <w:p>
      <w:pPr>
        <w:widowControl/>
        <w:tabs>
          <w:tab w:val="left" w:pos="8364"/>
        </w:tabs>
        <w:spacing w:line="390" w:lineRule="exact"/>
        <w:ind w:firstLine="480" w:firstLineChars="200"/>
        <w:rPr>
          <w:rFonts w:hint="eastAsia" w:ascii="宋体" w:hAnsi="宋体"/>
          <w:sz w:val="24"/>
        </w:rPr>
      </w:pPr>
      <w:r>
        <w:rPr>
          <w:rFonts w:hint="eastAsia" w:ascii="宋体" w:hAnsi="宋体"/>
          <w:sz w:val="24"/>
        </w:rPr>
        <w:t>10.1若发生乙方需向甲方主张权益或反映问题时，承诺先行向甲方内部投诉平台进行情况反映，投诉事项从甲方收到投诉次日起5个月的处理时限。在此期间，乙方承诺不得向国家或地方相关部门和各级信访部门进行投诉，也不得提起诉讼。否则，乙方自愿接受按照5万元/次承担违约责任。</w:t>
      </w:r>
    </w:p>
    <w:p>
      <w:pPr>
        <w:pStyle w:val="6"/>
        <w:spacing w:line="390" w:lineRule="exact"/>
        <w:ind w:firstLine="480" w:firstLineChars="200"/>
        <w:rPr>
          <w:rFonts w:hint="eastAsia" w:ascii="宋体" w:hAnsi="宋体" w:eastAsia="宋体" w:cs="宋体"/>
          <w:b w:val="0"/>
          <w:bCs w:val="0"/>
          <w:color w:val="000000"/>
          <w:sz w:val="24"/>
          <w:highlight w:val="none"/>
        </w:rPr>
      </w:pPr>
      <w:r>
        <w:rPr>
          <w:rFonts w:hint="eastAsia" w:ascii="宋体" w:hAnsi="宋体" w:eastAsia="宋体" w:cs="宋体"/>
          <w:b w:val="0"/>
          <w:bCs w:val="0"/>
          <w:sz w:val="24"/>
          <w:highlight w:val="none"/>
        </w:rPr>
        <w:t>10.2</w:t>
      </w:r>
      <w:r>
        <w:rPr>
          <w:rFonts w:hint="eastAsia" w:ascii="宋体" w:hAnsi="宋体" w:eastAsia="宋体" w:cs="宋体"/>
          <w:b w:val="0"/>
          <w:bCs w:val="0"/>
          <w:color w:val="000000"/>
          <w:sz w:val="24"/>
          <w:highlight w:val="none"/>
        </w:rPr>
        <w:t>甲乙双方在履行合同时发生争议的，应协商解决。协商不成的，提交</w:t>
      </w:r>
      <w:r>
        <w:rPr>
          <w:rFonts w:hint="eastAsia" w:ascii="宋体" w:hAnsi="宋体" w:eastAsia="宋体" w:cs="宋体"/>
          <w:b w:val="0"/>
          <w:bCs w:val="0"/>
          <w:sz w:val="24"/>
          <w:highlight w:val="none"/>
        </w:rPr>
        <w:t>成都仲裁委员</w:t>
      </w:r>
      <w:r>
        <w:rPr>
          <w:rFonts w:hint="eastAsia" w:ascii="宋体" w:hAnsi="宋体" w:eastAsia="宋体" w:cs="宋体"/>
          <w:b w:val="0"/>
          <w:bCs w:val="0"/>
          <w:color w:val="000000"/>
          <w:sz w:val="24"/>
          <w:highlight w:val="none"/>
        </w:rPr>
        <w:t>仲裁委员会进行仲裁。</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第十一条 人员和组织</w:t>
      </w:r>
    </w:p>
    <w:p>
      <w:pPr>
        <w:spacing w:line="390" w:lineRule="exact"/>
        <w:ind w:firstLine="480" w:firstLineChars="200"/>
        <w:rPr>
          <w:rFonts w:hint="eastAsia" w:ascii="宋体" w:hAnsi="宋体"/>
          <w:sz w:val="24"/>
        </w:rPr>
      </w:pPr>
      <w:r>
        <w:rPr>
          <w:rFonts w:hint="eastAsia" w:ascii="宋体" w:hAnsi="宋体"/>
          <w:sz w:val="24"/>
        </w:rPr>
        <w:t>11.1甲方指定1名生产调度与乙方联系。甲方联系人为</w:t>
      </w:r>
      <w:r>
        <w:rPr>
          <w:rFonts w:hint="eastAsia" w:ascii="宋体" w:hAnsi="宋体"/>
          <w:sz w:val="24"/>
          <w:u w:val="single"/>
        </w:rPr>
        <w:t xml:space="preserve">       </w:t>
      </w: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w:t>
      </w:r>
    </w:p>
    <w:p>
      <w:pPr>
        <w:spacing w:line="390" w:lineRule="exact"/>
        <w:ind w:firstLine="480" w:firstLineChars="200"/>
        <w:rPr>
          <w:rFonts w:hint="eastAsia" w:ascii="宋体" w:hAnsi="宋体"/>
          <w:b/>
          <w:sz w:val="24"/>
        </w:rPr>
      </w:pPr>
      <w:r>
        <w:rPr>
          <w:rFonts w:hint="eastAsia" w:ascii="宋体" w:hAnsi="宋体"/>
          <w:sz w:val="24"/>
        </w:rPr>
        <w:t>11.2 乙方应有专人负责混凝土生产、前后台联系、试验和计量工作。乙方联系人为</w:t>
      </w:r>
      <w:r>
        <w:rPr>
          <w:rFonts w:hint="eastAsia" w:ascii="宋体" w:hAnsi="宋体"/>
          <w:sz w:val="24"/>
          <w:u w:val="single"/>
        </w:rPr>
        <w:t xml:space="preserve">        </w:t>
      </w:r>
      <w:r>
        <w:rPr>
          <w:rFonts w:hint="eastAsia" w:ascii="宋体" w:hAnsi="宋体"/>
          <w:sz w:val="24"/>
        </w:rPr>
        <w:t>（身份证号：            ），联系方式：</w:t>
      </w:r>
      <w:r>
        <w:rPr>
          <w:rFonts w:hint="eastAsia" w:ascii="宋体" w:hAnsi="宋体"/>
          <w:sz w:val="24"/>
          <w:u w:val="single"/>
        </w:rPr>
        <w:t xml:space="preserve">            </w:t>
      </w:r>
      <w:r>
        <w:rPr>
          <w:rFonts w:hint="eastAsia" w:ascii="宋体" w:hAnsi="宋体"/>
          <w:sz w:val="24"/>
        </w:rPr>
        <w:t>。</w:t>
      </w:r>
      <w:r>
        <w:rPr>
          <w:rFonts w:hint="eastAsia" w:ascii="宋体" w:hAnsi="宋体"/>
          <w:b/>
          <w:sz w:val="24"/>
        </w:rPr>
        <w:t xml:space="preserve"> </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 xml:space="preserve">第十二条　廉政条款 </w:t>
      </w:r>
    </w:p>
    <w:p>
      <w:pPr>
        <w:tabs>
          <w:tab w:val="left" w:pos="360"/>
        </w:tabs>
        <w:spacing w:line="390" w:lineRule="exact"/>
        <w:ind w:firstLine="480" w:firstLineChars="200"/>
        <w:rPr>
          <w:rFonts w:hint="eastAsia" w:ascii="宋体" w:hAnsi="宋体" w:cs="宋体"/>
          <w:kern w:val="0"/>
          <w:sz w:val="24"/>
        </w:rPr>
      </w:pPr>
      <w:r>
        <w:rPr>
          <w:rFonts w:ascii="宋体" w:hAnsi="宋体" w:cs="宋体"/>
          <w:kern w:val="0"/>
          <w:sz w:val="24"/>
        </w:rPr>
        <w:t>乙方承诺：乙方及</w:t>
      </w:r>
      <w:r>
        <w:rPr>
          <w:rFonts w:hint="eastAsia" w:ascii="宋体" w:hAnsi="宋体" w:cs="宋体"/>
          <w:kern w:val="0"/>
          <w:sz w:val="24"/>
        </w:rPr>
        <w:t>其</w:t>
      </w:r>
      <w:r>
        <w:rPr>
          <w:rFonts w:ascii="宋体" w:hAnsi="宋体" w:cs="宋体"/>
          <w:kern w:val="0"/>
          <w:sz w:val="24"/>
        </w:rPr>
        <w:t>工作人员不向甲方工作人员赠送礼金、礼品、有价证券、购物卡</w:t>
      </w:r>
      <w:r>
        <w:rPr>
          <w:rFonts w:hint="eastAsia" w:ascii="宋体" w:hAnsi="宋体" w:cs="宋体"/>
          <w:kern w:val="0"/>
          <w:sz w:val="24"/>
        </w:rPr>
        <w:t>及其他有</w:t>
      </w:r>
      <w:r>
        <w:rPr>
          <w:rFonts w:ascii="宋体" w:hAnsi="宋体" w:cs="宋体"/>
          <w:kern w:val="0"/>
          <w:sz w:val="24"/>
        </w:rPr>
        <w:t>价物品等，不邀请甲方工作人员吃喝游玩</w:t>
      </w:r>
      <w:r>
        <w:rPr>
          <w:rFonts w:hint="eastAsia" w:ascii="宋体" w:hAnsi="宋体" w:cs="宋体"/>
          <w:kern w:val="0"/>
          <w:sz w:val="24"/>
        </w:rPr>
        <w:t>及其他</w:t>
      </w:r>
      <w:r>
        <w:rPr>
          <w:rFonts w:ascii="宋体" w:hAnsi="宋体" w:cs="宋体"/>
          <w:kern w:val="0"/>
          <w:sz w:val="24"/>
        </w:rPr>
        <w:t>娱乐性消费；不向甲方工作人员提供任何工作以外的便利和好处；在合同履行过程中不弄虚作假。若乙方违背上述承诺且经甲方法人单位或其上级纪委监察机关查实认定，或国家司法机关立案查处，视为乙方违约，乙方承担暂定合同总价的</w:t>
      </w:r>
      <w:r>
        <w:rPr>
          <w:rFonts w:ascii="宋体" w:hAnsi="宋体" w:cs="宋体"/>
          <w:kern w:val="0"/>
          <w:sz w:val="24"/>
          <w:u w:val="single"/>
        </w:rPr>
        <w:t xml:space="preserve">    </w:t>
      </w:r>
      <w:r>
        <w:rPr>
          <w:rFonts w:ascii="宋体" w:hAnsi="宋体" w:cs="宋体"/>
          <w:kern w:val="0"/>
          <w:sz w:val="24"/>
        </w:rPr>
        <w:t>%的违约金，违约金及乙方因违背承诺行为所取得的不当利益一并在结算中扣除。</w:t>
      </w:r>
    </w:p>
    <w:p>
      <w:pPr>
        <w:tabs>
          <w:tab w:val="left" w:pos="360"/>
        </w:tabs>
        <w:spacing w:line="390" w:lineRule="exact"/>
        <w:ind w:firstLine="480" w:firstLineChars="200"/>
        <w:rPr>
          <w:rFonts w:hint="eastAsia" w:ascii="宋体" w:hAnsi="宋体" w:cs="宋体"/>
          <w:kern w:val="0"/>
          <w:sz w:val="24"/>
        </w:rPr>
      </w:pPr>
      <w:r>
        <w:rPr>
          <w:rFonts w:hint="eastAsia" w:ascii="宋体" w:hAnsi="宋体" w:cs="宋体"/>
          <w:kern w:val="0"/>
          <w:sz w:val="24"/>
        </w:rPr>
        <w:t>甲方工作人员向乙方索贿的，乙方及其工作人员应向甲方法人单位或其上级纪检监察部门、国家司法机关检举。</w:t>
      </w:r>
    </w:p>
    <w:p>
      <w:pPr>
        <w:keepNext/>
        <w:keepLines/>
        <w:spacing w:line="390" w:lineRule="exact"/>
        <w:ind w:firstLine="482" w:firstLineChars="200"/>
        <w:rPr>
          <w:rFonts w:hint="eastAsia" w:ascii="宋体" w:hAnsi="宋体"/>
          <w:b/>
          <w:bCs/>
          <w:kern w:val="44"/>
          <w:sz w:val="24"/>
        </w:rPr>
      </w:pPr>
      <w:r>
        <w:rPr>
          <w:rFonts w:hint="eastAsia" w:ascii="宋体" w:hAnsi="宋体"/>
          <w:b/>
          <w:bCs/>
          <w:kern w:val="44"/>
          <w:sz w:val="24"/>
        </w:rPr>
        <w:t>第十三条 其他事项</w:t>
      </w:r>
    </w:p>
    <w:p>
      <w:pPr>
        <w:tabs>
          <w:tab w:val="left" w:pos="360"/>
        </w:tabs>
        <w:spacing w:line="390" w:lineRule="exact"/>
        <w:ind w:firstLine="480" w:firstLineChars="200"/>
        <w:rPr>
          <w:rFonts w:hint="eastAsia" w:ascii="宋体" w:hAnsi="宋体"/>
          <w:sz w:val="24"/>
        </w:rPr>
      </w:pPr>
      <w:r>
        <w:rPr>
          <w:rFonts w:hint="eastAsia" w:ascii="宋体" w:hAnsi="宋体" w:cs="宋体"/>
          <w:kern w:val="0"/>
          <w:sz w:val="24"/>
        </w:rPr>
        <w:t>1</w:t>
      </w:r>
      <w:r>
        <w:rPr>
          <w:rFonts w:ascii="宋体" w:hAnsi="宋体" w:cs="宋体"/>
          <w:kern w:val="0"/>
          <w:sz w:val="24"/>
        </w:rPr>
        <w:t>3</w:t>
      </w:r>
      <w:r>
        <w:rPr>
          <w:rFonts w:hint="eastAsia" w:ascii="宋体" w:hAnsi="宋体" w:cs="宋体"/>
          <w:kern w:val="0"/>
          <w:sz w:val="24"/>
        </w:rPr>
        <w:t>.1</w:t>
      </w:r>
      <w:r>
        <w:rPr>
          <w:rFonts w:hint="eastAsia" w:ascii="宋体" w:hAnsi="宋体"/>
          <w:sz w:val="24"/>
        </w:rPr>
        <w:t>本合同中所</w:t>
      </w:r>
      <w:r>
        <w:rPr>
          <w:rFonts w:ascii="宋体" w:hAnsi="宋体"/>
          <w:sz w:val="24"/>
        </w:rPr>
        <w:t>涉及</w:t>
      </w:r>
      <w:r>
        <w:rPr>
          <w:rFonts w:hint="eastAsia" w:ascii="宋体" w:hAnsi="宋体"/>
          <w:sz w:val="24"/>
        </w:rPr>
        <w:t>的债权，</w:t>
      </w:r>
      <w:r>
        <w:rPr>
          <w:rFonts w:ascii="宋体" w:hAnsi="宋体"/>
          <w:sz w:val="24"/>
        </w:rPr>
        <w:t>乙方</w:t>
      </w:r>
      <w:r>
        <w:rPr>
          <w:rFonts w:hint="eastAsia" w:ascii="宋体" w:hAnsi="宋体"/>
          <w:sz w:val="24"/>
        </w:rPr>
        <w:t>不得转让，也不得用于任何形式的担保。若乙方擅自转让或用于担保的，则该行为无效，乙方应赔偿甲方因此受到的全部损失。</w:t>
      </w:r>
    </w:p>
    <w:p>
      <w:pPr>
        <w:tabs>
          <w:tab w:val="left" w:pos="360"/>
        </w:tabs>
        <w:spacing w:line="390" w:lineRule="exact"/>
        <w:ind w:firstLine="482" w:firstLineChars="200"/>
        <w:rPr>
          <w:rFonts w:hint="eastAsia" w:ascii="宋体" w:hAnsi="宋体" w:cs="宋体"/>
          <w:kern w:val="0"/>
          <w:sz w:val="24"/>
          <w:highlight w:val="none"/>
        </w:rPr>
      </w:pPr>
      <w:r>
        <w:rPr>
          <w:rFonts w:ascii="宋体" w:hAnsi="宋体" w:cs="宋体"/>
          <w:b/>
          <w:bCs/>
          <w:kern w:val="0"/>
          <w:sz w:val="24"/>
          <w:highlight w:val="none"/>
        </w:rPr>
        <w:t>13.2</w:t>
      </w:r>
      <w:r>
        <w:rPr>
          <w:rFonts w:hint="eastAsia" w:ascii="宋体" w:hAnsi="宋体"/>
          <w:b/>
          <w:bCs/>
          <w:sz w:val="24"/>
          <w:highlight w:val="none"/>
        </w:rPr>
        <w:t>乙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p>
    <w:p>
      <w:pPr>
        <w:tabs>
          <w:tab w:val="left" w:pos="360"/>
        </w:tabs>
        <w:spacing w:line="390" w:lineRule="exact"/>
        <w:ind w:firstLine="480" w:firstLineChars="200"/>
        <w:rPr>
          <w:rFonts w:hint="eastAsia" w:ascii="宋体" w:hAnsi="宋体" w:cs="宋体"/>
          <w:kern w:val="0"/>
          <w:sz w:val="24"/>
        </w:rPr>
      </w:pPr>
      <w:r>
        <w:rPr>
          <w:rFonts w:ascii="宋体" w:hAnsi="宋体" w:cs="宋体"/>
          <w:kern w:val="0"/>
          <w:sz w:val="24"/>
        </w:rPr>
        <w:t>13.3乙方在甲方场所发生工伤事故时，乙方必须第一时间妥善处置事故，及时通知项目部并配合项目部做好安置、取证等相关工作。乙方未及时通知导致损失扩大，乙方承担事故发生的全部损失，不得以任何理由干扰甲方正常工作。</w:t>
      </w:r>
    </w:p>
    <w:p>
      <w:pPr>
        <w:tabs>
          <w:tab w:val="left" w:pos="360"/>
        </w:tabs>
        <w:spacing w:line="390" w:lineRule="exact"/>
        <w:ind w:firstLine="480" w:firstLineChars="200"/>
        <w:rPr>
          <w:rFonts w:hint="eastAsia" w:ascii="宋体" w:hAnsi="宋体" w:cs="宋体"/>
          <w:kern w:val="0"/>
          <w:sz w:val="24"/>
        </w:rPr>
      </w:pPr>
      <w:r>
        <w:rPr>
          <w:rFonts w:ascii="宋体" w:hAnsi="宋体" w:cs="宋体"/>
          <w:kern w:val="0"/>
          <w:sz w:val="24"/>
        </w:rPr>
        <w:t>13.</w:t>
      </w:r>
      <w:bookmarkStart w:id="58" w:name="_Hlk142310143"/>
      <w:r>
        <w:rPr>
          <w:rFonts w:ascii="宋体" w:hAnsi="宋体" w:cs="宋体"/>
          <w:kern w:val="0"/>
          <w:sz w:val="24"/>
        </w:rPr>
        <w:t>4乙方与乙方使用的作业人员发生劳动争议、侵权、伤亡等纠纷，未妥善处置，导致甲方被诉（含仲裁、信访、行政处罚等）的，除直接导致甲方损失的费用全额由乙方承担外，每发生一人次，乙方还应向甲方支付   元/人次违约金，并承担由此给甲方造成的处理被诉案件的全部费用。</w:t>
      </w:r>
      <w:bookmarkEnd w:id="58"/>
    </w:p>
    <w:p>
      <w:pPr>
        <w:tabs>
          <w:tab w:val="left" w:pos="360"/>
        </w:tabs>
        <w:spacing w:line="390" w:lineRule="exact"/>
        <w:ind w:firstLine="480" w:firstLineChars="200"/>
        <w:rPr>
          <w:rFonts w:hint="eastAsia" w:ascii="宋体" w:hAnsi="宋体" w:cs="宋体"/>
          <w:kern w:val="0"/>
          <w:sz w:val="24"/>
        </w:rPr>
      </w:pPr>
      <w:r>
        <w:rPr>
          <w:rFonts w:ascii="宋体" w:hAnsi="宋体"/>
          <w:color w:val="000000" w:themeColor="text1"/>
          <w:sz w:val="24"/>
          <w14:textFill>
            <w14:solidFill>
              <w14:schemeClr w14:val="tx1"/>
            </w14:solidFill>
          </w14:textFill>
        </w:rPr>
        <w:t>13</w:t>
      </w:r>
      <w:r>
        <w:rPr>
          <w:rFonts w:hint="eastAsia" w:ascii="宋体" w:hAnsi="宋体" w:cs="宋体"/>
          <w:kern w:val="0"/>
          <w:sz w:val="24"/>
        </w:rPr>
        <w:t xml:space="preserve">.2在本合同履行过程中，如任何一方发生税务登记、公司名称等重大信息的变更事项，应在重大信息变更后的 </w:t>
      </w:r>
      <w:r>
        <w:rPr>
          <w:rFonts w:hint="eastAsia" w:ascii="宋体" w:hAnsi="宋体" w:cs="宋体"/>
          <w:kern w:val="0"/>
          <w:sz w:val="24"/>
          <w:u w:val="single"/>
        </w:rPr>
        <w:t xml:space="preserve">   </w:t>
      </w:r>
      <w:r>
        <w:rPr>
          <w:rFonts w:hint="eastAsia" w:ascii="宋体" w:hAnsi="宋体" w:cs="宋体"/>
          <w:kern w:val="0"/>
          <w:sz w:val="24"/>
        </w:rPr>
        <w:t>日内书面通知对方及相关机构变更情况，并提供相关信息资料。</w:t>
      </w:r>
    </w:p>
    <w:p>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1</w:t>
      </w:r>
      <w:r>
        <w:rPr>
          <w:rFonts w:ascii="宋体" w:hAnsi="宋体" w:cs="宋体"/>
          <w:kern w:val="0"/>
          <w:sz w:val="24"/>
        </w:rPr>
        <w:t>3</w:t>
      </w:r>
      <w:r>
        <w:rPr>
          <w:rFonts w:hint="eastAsia" w:ascii="宋体" w:hAnsi="宋体" w:cs="宋体"/>
          <w:kern w:val="0"/>
          <w:sz w:val="24"/>
        </w:rPr>
        <w:t>.3双方确定所预留的以下地址为往来函件法院（仲裁、公证等机构）法律文书应当送达双方法人所在地，任一方变更送达地址必须在变更之日起</w:t>
      </w:r>
      <w:r>
        <w:rPr>
          <w:rFonts w:ascii="宋体" w:hAnsi="宋体" w:cs="宋体"/>
          <w:kern w:val="0"/>
          <w:sz w:val="24"/>
        </w:rPr>
        <w:t xml:space="preserve"> 7</w:t>
      </w:r>
      <w:r>
        <w:rPr>
          <w:rFonts w:hint="eastAsia" w:ascii="宋体" w:hAnsi="宋体" w:cs="宋体"/>
          <w:kern w:val="0"/>
          <w:sz w:val="24"/>
        </w:rPr>
        <w:t>日内书面通知对方，否则不发生送达地址变更的法律效力，对方按原地址送达仍然为有效送达。</w:t>
      </w:r>
    </w:p>
    <w:p>
      <w:pPr>
        <w:tabs>
          <w:tab w:val="left" w:pos="360"/>
        </w:tabs>
        <w:spacing w:line="390" w:lineRule="exact"/>
        <w:ind w:firstLine="480" w:firstLineChars="200"/>
        <w:rPr>
          <w:rFonts w:hint="eastAsia" w:ascii="宋体" w:hAnsi="宋体"/>
          <w:sz w:val="24"/>
        </w:rPr>
      </w:pPr>
      <w:r>
        <w:rPr>
          <w:rFonts w:hint="eastAsia" w:ascii="宋体" w:hAnsi="宋体"/>
          <w:sz w:val="24"/>
        </w:rPr>
        <w:t>甲方送达地址：</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联系人</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联系电话</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电子邮箱</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hint="eastAsia" w:ascii="宋体" w:hAnsi="宋体"/>
          <w:sz w:val="24"/>
        </w:rPr>
        <w:t>乙方送达地址：</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联系人</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联系电话</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tabs>
          <w:tab w:val="left" w:pos="360"/>
        </w:tabs>
        <w:spacing w:line="390" w:lineRule="exact"/>
        <w:ind w:firstLine="480" w:firstLineChars="200"/>
        <w:rPr>
          <w:rFonts w:hint="eastAsia" w:ascii="宋体" w:hAnsi="宋体"/>
          <w:sz w:val="24"/>
        </w:rPr>
      </w:pPr>
      <w:r>
        <w:rPr>
          <w:rFonts w:ascii="宋体" w:hAnsi="宋体"/>
          <w:sz w:val="24"/>
        </w:rPr>
        <w:t>电子邮箱</w:t>
      </w:r>
      <w:r>
        <w:rPr>
          <w:rFonts w:hint="eastAsia" w:ascii="宋体" w:hAnsi="宋体"/>
          <w:sz w:val="24"/>
        </w:rPr>
        <w:t>：</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hint="eastAsia" w:ascii="宋体" w:hAnsi="宋体"/>
          <w:sz w:val="24"/>
        </w:rPr>
        <w:t>。</w:t>
      </w:r>
    </w:p>
    <w:p>
      <w:pPr>
        <w:widowControl/>
        <w:tabs>
          <w:tab w:val="left" w:pos="8364"/>
        </w:tabs>
        <w:spacing w:line="390" w:lineRule="exact"/>
        <w:ind w:firstLine="480" w:firstLineChars="200"/>
        <w:rPr>
          <w:rFonts w:hint="eastAsia" w:ascii="宋体" w:hAnsi="宋体" w:cs="宋体"/>
          <w:kern w:val="0"/>
          <w:sz w:val="24"/>
        </w:rPr>
      </w:pPr>
      <w:r>
        <w:rPr>
          <w:rFonts w:ascii="宋体" w:hAnsi="宋体" w:cs="宋体"/>
          <w:kern w:val="0"/>
          <w:sz w:val="24"/>
        </w:rPr>
        <w:t>13.4</w:t>
      </w:r>
      <w:r>
        <w:rPr>
          <w:rFonts w:hint="eastAsia" w:ascii="宋体" w:hAnsi="宋体" w:cs="宋体"/>
          <w:kern w:val="0"/>
          <w:sz w:val="24"/>
        </w:rPr>
        <w:t>合同如有未尽事宜，经双方共同协商后签订补充协议。</w:t>
      </w:r>
    </w:p>
    <w:p>
      <w:pPr>
        <w:widowControl/>
        <w:tabs>
          <w:tab w:val="left" w:pos="8364"/>
        </w:tabs>
        <w:spacing w:line="390" w:lineRule="exact"/>
        <w:ind w:firstLine="480" w:firstLineChars="200"/>
        <w:rPr>
          <w:rFonts w:hint="eastAsia" w:ascii="宋体" w:hAnsi="宋体" w:cs="宋体"/>
          <w:kern w:val="0"/>
          <w:sz w:val="24"/>
        </w:rPr>
      </w:pPr>
      <w:r>
        <w:rPr>
          <w:rFonts w:ascii="宋体" w:hAnsi="宋体" w:cs="宋体"/>
          <w:kern w:val="0"/>
          <w:sz w:val="24"/>
        </w:rPr>
        <w:t>13.5</w:t>
      </w:r>
      <w:r>
        <w:rPr>
          <w:rFonts w:hint="eastAsia" w:ascii="宋体" w:hAnsi="宋体" w:cs="宋体"/>
          <w:kern w:val="0"/>
          <w:sz w:val="24"/>
        </w:rPr>
        <w:t>本合同自双方签字并盖章之日起生效。本合同一式</w:t>
      </w:r>
      <w:r>
        <w:rPr>
          <w:rFonts w:hint="eastAsia" w:ascii="宋体" w:hAnsi="宋体" w:cs="宋体"/>
          <w:kern w:val="0"/>
          <w:sz w:val="24"/>
          <w:u w:val="single"/>
        </w:rPr>
        <w:t xml:space="preserve">    </w:t>
      </w:r>
      <w:r>
        <w:rPr>
          <w:rFonts w:hint="eastAsia" w:ascii="宋体" w:hAnsi="宋体" w:cs="宋体"/>
          <w:kern w:val="0"/>
          <w:sz w:val="24"/>
        </w:rPr>
        <w:t>份，双方各执</w:t>
      </w:r>
    </w:p>
    <w:p>
      <w:pPr>
        <w:widowControl/>
        <w:tabs>
          <w:tab w:val="left" w:pos="8364"/>
        </w:tabs>
        <w:spacing w:line="390" w:lineRule="exact"/>
        <w:ind w:firstLine="480" w:firstLineChars="200"/>
        <w:rPr>
          <w:rFonts w:hint="eastAsia" w:ascii="宋体" w:hAnsi="宋体" w:cs="宋体"/>
          <w:kern w:val="0"/>
          <w:sz w:val="24"/>
        </w:rPr>
      </w:pPr>
      <w:r>
        <w:rPr>
          <w:rFonts w:hint="eastAsia" w:ascii="宋体" w:hAnsi="宋体" w:cs="宋体"/>
          <w:kern w:val="0"/>
          <w:sz w:val="24"/>
        </w:rPr>
        <w:t>份。</w:t>
      </w:r>
    </w:p>
    <w:p>
      <w:pPr>
        <w:spacing w:line="390" w:lineRule="exact"/>
        <w:ind w:firstLine="477" w:firstLineChars="198"/>
        <w:rPr>
          <w:rFonts w:hint="eastAsia" w:ascii="宋体" w:hAnsi="宋体" w:cs="宋体"/>
          <w:b/>
          <w:bCs/>
          <w:strike w:val="0"/>
          <w:dstrike w:val="0"/>
          <w:color w:val="FF0000"/>
          <w:kern w:val="0"/>
          <w:sz w:val="24"/>
          <w:szCs w:val="24"/>
          <w:highlight w:val="none"/>
          <w:u w:val="single"/>
        </w:rPr>
      </w:pPr>
      <w:r>
        <w:rPr>
          <w:rFonts w:hint="eastAsia" w:ascii="宋体" w:hAnsi="宋体" w:cs="宋体"/>
          <w:b/>
          <w:bCs/>
          <w:strike w:val="0"/>
          <w:dstrike w:val="0"/>
          <w:color w:val="FF0000"/>
          <w:kern w:val="0"/>
          <w:sz w:val="24"/>
          <w:szCs w:val="24"/>
          <w:highlight w:val="none"/>
          <w:u w:val="single"/>
          <w:lang w:val="en-US" w:eastAsia="zh-CN"/>
        </w:rPr>
        <w:t>(</w:t>
      </w:r>
      <w:r>
        <w:rPr>
          <w:rFonts w:hint="eastAsia" w:ascii="宋体" w:hAnsi="宋体" w:cs="宋体"/>
          <w:b/>
          <w:bCs/>
          <w:strike w:val="0"/>
          <w:dstrike w:val="0"/>
          <w:color w:val="FF0000"/>
          <w:kern w:val="0"/>
          <w:sz w:val="24"/>
          <w:szCs w:val="24"/>
          <w:highlight w:val="none"/>
          <w:u w:val="single"/>
        </w:rPr>
        <w:t>手写部分内容：乙方基于与甲方充分谈判、协商一致而签订本合同，已认真审阅本合同条款，尤其是对本合同加粗、标识等涉及结算、支付等关键内容予以充分理解并接受）</w:t>
      </w:r>
    </w:p>
    <w:p>
      <w:pPr>
        <w:spacing w:line="390" w:lineRule="exact"/>
        <w:ind w:firstLine="477" w:firstLineChars="198"/>
        <w:rPr>
          <w:rFonts w:hint="eastAsia" w:ascii="宋体" w:hAnsi="宋体" w:cs="宋体"/>
          <w:b/>
          <w:bCs/>
          <w:strike w:val="0"/>
          <w:dstrike w:val="0"/>
          <w:color w:val="FF0000"/>
          <w:kern w:val="0"/>
          <w:sz w:val="24"/>
          <w:szCs w:val="24"/>
          <w:highlight w:val="none"/>
          <w:u w:val="single"/>
        </w:rPr>
      </w:pPr>
      <w:r>
        <w:rPr>
          <w:rFonts w:hint="eastAsia" w:ascii="宋体" w:hAnsi="宋体" w:cs="宋体"/>
          <w:b/>
          <w:bCs/>
          <w:strike w:val="0"/>
          <w:dstrike w:val="0"/>
          <w:color w:val="FF0000"/>
          <w:kern w:val="0"/>
          <w:sz w:val="24"/>
          <w:szCs w:val="24"/>
          <w:highlight w:val="none"/>
          <w:u w:val="single"/>
        </w:rPr>
        <w:t xml:space="preserve">                                                                      </w:t>
      </w:r>
    </w:p>
    <w:p>
      <w:pPr>
        <w:spacing w:line="390" w:lineRule="exact"/>
        <w:ind w:firstLine="477" w:firstLineChars="198"/>
        <w:rPr>
          <w:rFonts w:hint="eastAsia" w:ascii="宋体" w:hAnsi="宋体" w:cs="宋体"/>
          <w:b/>
          <w:bCs/>
          <w:strike w:val="0"/>
          <w:dstrike w:val="0"/>
          <w:color w:val="FF0000"/>
          <w:kern w:val="0"/>
          <w:sz w:val="24"/>
          <w:szCs w:val="24"/>
          <w:highlight w:val="none"/>
          <w:u w:val="single"/>
        </w:rPr>
      </w:pPr>
      <w:r>
        <w:rPr>
          <w:rFonts w:hint="eastAsia" w:ascii="宋体" w:hAnsi="宋体" w:cs="宋体"/>
          <w:b/>
          <w:bCs/>
          <w:strike w:val="0"/>
          <w:dstrike w:val="0"/>
          <w:color w:val="FF0000"/>
          <w:kern w:val="0"/>
          <w:sz w:val="24"/>
          <w:szCs w:val="24"/>
          <w:highlight w:val="none"/>
          <w:u w:val="single"/>
        </w:rPr>
        <w:t xml:space="preserve">                                                                      </w:t>
      </w:r>
    </w:p>
    <w:p>
      <w:pPr>
        <w:spacing w:line="390" w:lineRule="exact"/>
        <w:ind w:firstLine="477" w:firstLineChars="198"/>
        <w:rPr>
          <w:rFonts w:hint="eastAsia" w:ascii="宋体" w:hAnsi="宋体" w:cs="宋体"/>
          <w:b/>
          <w:bCs/>
          <w:strike w:val="0"/>
          <w:dstrike w:val="0"/>
          <w:color w:val="FF0000"/>
          <w:kern w:val="0"/>
          <w:sz w:val="24"/>
          <w:szCs w:val="24"/>
          <w:highlight w:val="none"/>
          <w:u w:val="single"/>
        </w:rPr>
      </w:pPr>
      <w:r>
        <w:rPr>
          <w:rFonts w:hint="eastAsia" w:ascii="宋体" w:hAnsi="宋体" w:cs="宋体"/>
          <w:b/>
          <w:bCs/>
          <w:strike w:val="0"/>
          <w:dstrike w:val="0"/>
          <w:color w:val="FF0000"/>
          <w:kern w:val="0"/>
          <w:sz w:val="24"/>
          <w:szCs w:val="24"/>
          <w:highlight w:val="none"/>
          <w:u w:val="single"/>
        </w:rPr>
        <w:t xml:space="preserve">                                                                      </w:t>
      </w:r>
    </w:p>
    <w:p>
      <w:pPr>
        <w:spacing w:line="390" w:lineRule="exact"/>
        <w:ind w:firstLine="477" w:firstLineChars="198"/>
        <w:rPr>
          <w:rFonts w:hint="eastAsia" w:ascii="宋体" w:hAnsi="宋体" w:cs="宋体"/>
          <w:b/>
          <w:bCs/>
          <w:strike w:val="0"/>
          <w:dstrike w:val="0"/>
          <w:color w:val="FF0000"/>
          <w:kern w:val="0"/>
          <w:sz w:val="24"/>
          <w:szCs w:val="24"/>
          <w:highlight w:val="none"/>
          <w:u w:val="single"/>
        </w:rPr>
      </w:pPr>
      <w:r>
        <w:rPr>
          <w:rFonts w:hint="eastAsia" w:ascii="宋体" w:hAnsi="宋体" w:cs="宋体"/>
          <w:b/>
          <w:bCs/>
          <w:strike w:val="0"/>
          <w:dstrike w:val="0"/>
          <w:color w:val="FF0000"/>
          <w:kern w:val="0"/>
          <w:sz w:val="24"/>
          <w:szCs w:val="24"/>
          <w:highlight w:val="none"/>
          <w:u w:val="single"/>
        </w:rPr>
        <w:t xml:space="preserve">                                                                      </w:t>
      </w:r>
    </w:p>
    <w:p>
      <w:pPr>
        <w:spacing w:line="390" w:lineRule="exact"/>
        <w:ind w:firstLine="477" w:firstLineChars="198"/>
        <w:rPr>
          <w:rFonts w:hint="eastAsia" w:ascii="宋体" w:hAnsi="宋体"/>
          <w:sz w:val="24"/>
        </w:rPr>
      </w:pPr>
      <w:r>
        <w:rPr>
          <w:rFonts w:hint="eastAsia" w:ascii="宋体" w:hAnsi="宋体" w:cs="宋体"/>
          <w:b/>
          <w:bCs/>
          <w:strike w:val="0"/>
          <w:dstrike w:val="0"/>
          <w:color w:val="FF0000"/>
          <w:kern w:val="0"/>
          <w:sz w:val="24"/>
          <w:szCs w:val="24"/>
          <w:highlight w:val="none"/>
          <w:u w:val="single"/>
        </w:rPr>
        <w:t xml:space="preserve">                                    （乙方合同签署人签字：           ）</w:t>
      </w:r>
      <w:r>
        <w:rPr>
          <w:rFonts w:hint="eastAsia" w:ascii="宋体" w:hAnsi="宋体"/>
          <w:sz w:val="24"/>
        </w:rPr>
        <w:t>（以下无合同正文）</w:t>
      </w:r>
    </w:p>
    <w:tbl>
      <w:tblPr>
        <w:tblStyle w:val="10"/>
        <w:tblW w:w="8814" w:type="dxa"/>
        <w:tblInd w:w="0" w:type="dxa"/>
        <w:tblLayout w:type="fixed"/>
        <w:tblCellMar>
          <w:top w:w="0" w:type="dxa"/>
          <w:left w:w="108" w:type="dxa"/>
          <w:bottom w:w="0" w:type="dxa"/>
          <w:right w:w="108" w:type="dxa"/>
        </w:tblCellMar>
      </w:tblPr>
      <w:tblGrid>
        <w:gridCol w:w="4407"/>
        <w:gridCol w:w="4407"/>
      </w:tblGrid>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买方：（盖章）</w:t>
            </w:r>
          </w:p>
        </w:tc>
        <w:tc>
          <w:tcPr>
            <w:tcW w:w="4407" w:type="dxa"/>
          </w:tcPr>
          <w:p>
            <w:pPr>
              <w:spacing w:line="390" w:lineRule="exact"/>
              <w:rPr>
                <w:rFonts w:hint="eastAsia" w:ascii="宋体" w:hAnsi="宋体"/>
                <w:sz w:val="24"/>
              </w:rPr>
            </w:pPr>
            <w:r>
              <w:rPr>
                <w:rFonts w:hint="eastAsia" w:ascii="宋体" w:hAnsi="宋体"/>
                <w:sz w:val="24"/>
              </w:rPr>
              <w:t>卖方：（盖章）</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住所地址：</w:t>
            </w:r>
          </w:p>
        </w:tc>
        <w:tc>
          <w:tcPr>
            <w:tcW w:w="4407" w:type="dxa"/>
          </w:tcPr>
          <w:p>
            <w:pPr>
              <w:spacing w:line="390" w:lineRule="exact"/>
              <w:rPr>
                <w:rFonts w:hint="eastAsia" w:ascii="宋体" w:hAnsi="宋体"/>
                <w:sz w:val="24"/>
              </w:rPr>
            </w:pPr>
            <w:r>
              <w:rPr>
                <w:rFonts w:hint="eastAsia" w:ascii="宋体" w:hAnsi="宋体"/>
                <w:sz w:val="24"/>
              </w:rPr>
              <w:t>住所地址：</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法定代表人：</w:t>
            </w:r>
          </w:p>
        </w:tc>
        <w:tc>
          <w:tcPr>
            <w:tcW w:w="4407" w:type="dxa"/>
          </w:tcPr>
          <w:p>
            <w:pPr>
              <w:spacing w:line="390" w:lineRule="exact"/>
              <w:rPr>
                <w:rFonts w:hint="eastAsia" w:ascii="宋体" w:hAnsi="宋体"/>
                <w:sz w:val="24"/>
              </w:rPr>
            </w:pPr>
            <w:r>
              <w:rPr>
                <w:rFonts w:hint="eastAsia" w:ascii="宋体" w:hAnsi="宋体"/>
                <w:sz w:val="24"/>
              </w:rPr>
              <w:t>法定代表人：</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委托代理人：</w:t>
            </w:r>
          </w:p>
        </w:tc>
        <w:tc>
          <w:tcPr>
            <w:tcW w:w="4407" w:type="dxa"/>
          </w:tcPr>
          <w:p>
            <w:pPr>
              <w:spacing w:line="390" w:lineRule="exact"/>
              <w:rPr>
                <w:rFonts w:hint="eastAsia" w:ascii="宋体" w:hAnsi="宋体"/>
                <w:sz w:val="24"/>
              </w:rPr>
            </w:pPr>
            <w:r>
              <w:rPr>
                <w:rFonts w:hint="eastAsia" w:ascii="宋体" w:hAnsi="宋体"/>
                <w:sz w:val="24"/>
              </w:rPr>
              <w:t>委托代理人：</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电话：</w:t>
            </w:r>
          </w:p>
        </w:tc>
        <w:tc>
          <w:tcPr>
            <w:tcW w:w="4407" w:type="dxa"/>
          </w:tcPr>
          <w:p>
            <w:pPr>
              <w:spacing w:line="390" w:lineRule="exact"/>
              <w:rPr>
                <w:rFonts w:hint="eastAsia" w:ascii="宋体" w:hAnsi="宋体"/>
                <w:sz w:val="24"/>
              </w:rPr>
            </w:pPr>
            <w:r>
              <w:rPr>
                <w:rFonts w:hint="eastAsia" w:ascii="宋体" w:hAnsi="宋体"/>
                <w:sz w:val="24"/>
              </w:rPr>
              <w:t>电话：</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纳税人识别号：</w:t>
            </w:r>
          </w:p>
        </w:tc>
        <w:tc>
          <w:tcPr>
            <w:tcW w:w="4407" w:type="dxa"/>
          </w:tcPr>
          <w:p>
            <w:pPr>
              <w:spacing w:line="390" w:lineRule="exact"/>
              <w:rPr>
                <w:rFonts w:hint="eastAsia" w:ascii="宋体" w:hAnsi="宋体"/>
                <w:sz w:val="24"/>
              </w:rPr>
            </w:pPr>
            <w:r>
              <w:rPr>
                <w:rFonts w:hint="eastAsia" w:ascii="宋体" w:hAnsi="宋体"/>
                <w:sz w:val="24"/>
              </w:rPr>
              <w:t>纳税人识别号：</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开户银行：</w:t>
            </w:r>
          </w:p>
        </w:tc>
        <w:tc>
          <w:tcPr>
            <w:tcW w:w="4407" w:type="dxa"/>
          </w:tcPr>
          <w:p>
            <w:pPr>
              <w:spacing w:line="390" w:lineRule="exact"/>
              <w:rPr>
                <w:rFonts w:hint="eastAsia" w:ascii="宋体" w:hAnsi="宋体"/>
                <w:sz w:val="24"/>
              </w:rPr>
            </w:pPr>
            <w:r>
              <w:rPr>
                <w:rFonts w:hint="eastAsia" w:ascii="宋体" w:hAnsi="宋体"/>
                <w:sz w:val="24"/>
              </w:rPr>
              <w:t>开户银行：</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hint="eastAsia" w:ascii="宋体" w:hAnsi="宋体"/>
                <w:sz w:val="24"/>
              </w:rPr>
            </w:pPr>
            <w:r>
              <w:rPr>
                <w:rFonts w:hint="eastAsia" w:ascii="宋体" w:hAnsi="宋体"/>
                <w:sz w:val="24"/>
              </w:rPr>
              <w:t>账号：</w:t>
            </w:r>
          </w:p>
          <w:p>
            <w:pPr>
              <w:spacing w:line="390" w:lineRule="exact"/>
              <w:rPr>
                <w:rFonts w:hint="eastAsia" w:ascii="宋体" w:hAnsi="宋体"/>
                <w:sz w:val="24"/>
              </w:rPr>
            </w:pPr>
          </w:p>
          <w:p>
            <w:pPr>
              <w:spacing w:line="390" w:lineRule="exact"/>
              <w:rPr>
                <w:rFonts w:hint="eastAsia" w:ascii="宋体" w:hAnsi="宋体"/>
                <w:sz w:val="24"/>
              </w:rPr>
            </w:pPr>
            <w:r>
              <w:rPr>
                <w:rFonts w:ascii="宋体" w:hAnsi="宋体"/>
                <w:sz w:val="24"/>
              </w:rPr>
              <w:t>签订日期</w:t>
            </w:r>
            <w:r>
              <w:rPr>
                <w:rFonts w:hint="eastAsia" w:ascii="宋体" w:hAnsi="宋体"/>
                <w:sz w:val="24"/>
              </w:rPr>
              <w:t>：</w:t>
            </w:r>
          </w:p>
        </w:tc>
        <w:tc>
          <w:tcPr>
            <w:tcW w:w="4407" w:type="dxa"/>
          </w:tcPr>
          <w:p>
            <w:pPr>
              <w:spacing w:line="390" w:lineRule="exact"/>
              <w:rPr>
                <w:rFonts w:hint="eastAsia" w:ascii="宋体" w:hAnsi="宋体"/>
                <w:sz w:val="24"/>
              </w:rPr>
            </w:pPr>
            <w:r>
              <w:rPr>
                <w:rFonts w:hint="eastAsia" w:ascii="宋体" w:hAnsi="宋体"/>
                <w:sz w:val="24"/>
              </w:rPr>
              <w:t>账号：</w:t>
            </w:r>
          </w:p>
          <w:p>
            <w:pPr>
              <w:spacing w:line="390" w:lineRule="exact"/>
              <w:rPr>
                <w:rFonts w:hint="eastAsia" w:ascii="宋体" w:hAnsi="宋体"/>
                <w:sz w:val="24"/>
              </w:rPr>
            </w:pPr>
          </w:p>
          <w:p>
            <w:pPr>
              <w:spacing w:line="390" w:lineRule="exact"/>
              <w:rPr>
                <w:rFonts w:hint="eastAsia" w:ascii="宋体" w:hAnsi="宋体"/>
                <w:sz w:val="24"/>
              </w:rPr>
            </w:pPr>
            <w:r>
              <w:rPr>
                <w:rFonts w:ascii="宋体" w:hAnsi="宋体"/>
                <w:sz w:val="24"/>
              </w:rPr>
              <w:t>签订日期</w:t>
            </w:r>
            <w:r>
              <w:rPr>
                <w:rFonts w:hint="eastAsia" w:ascii="宋体" w:hAnsi="宋体"/>
                <w:sz w:val="24"/>
              </w:rPr>
              <w:t>：</w:t>
            </w:r>
          </w:p>
        </w:tc>
      </w:tr>
    </w:tbl>
    <w:p>
      <w:pPr>
        <w:pStyle w:val="2"/>
        <w:spacing w:beforeLines="0"/>
        <w:jc w:val="both"/>
      </w:pPr>
    </w:p>
    <w:p>
      <w:pPr>
        <w:pStyle w:val="2"/>
        <w:spacing w:beforeLines="0"/>
        <w:jc w:val="both"/>
      </w:pPr>
    </w:p>
    <w:p>
      <w:pPr>
        <w:pStyle w:val="2"/>
        <w:spacing w:beforeLines="0"/>
        <w:jc w:val="both"/>
      </w:pPr>
    </w:p>
    <w:p>
      <w:pPr>
        <w:pStyle w:val="2"/>
        <w:spacing w:beforeLines="0"/>
        <w:jc w:val="both"/>
        <w:rPr>
          <w:rFonts w:hint="eastAsia" w:ascii="宋体" w:hAnsi="宋体"/>
          <w:color w:val="000000"/>
          <w:sz w:val="36"/>
          <w:szCs w:val="36"/>
        </w:rPr>
      </w:pPr>
      <w:r>
        <w:rPr>
          <w:rFonts w:hint="eastAsia"/>
        </w:rPr>
        <w:t>附件一</w:t>
      </w:r>
    </w:p>
    <w:p>
      <w:pPr>
        <w:tabs>
          <w:tab w:val="left" w:pos="360"/>
        </w:tabs>
        <w:spacing w:line="390" w:lineRule="exact"/>
        <w:jc w:val="center"/>
        <w:rPr>
          <w:rFonts w:hint="eastAsia" w:ascii="宋体" w:hAnsi="宋体"/>
          <w:color w:val="000000"/>
          <w:sz w:val="36"/>
          <w:szCs w:val="36"/>
        </w:rPr>
      </w:pPr>
    </w:p>
    <w:p>
      <w:pPr>
        <w:tabs>
          <w:tab w:val="left" w:pos="360"/>
        </w:tabs>
        <w:spacing w:line="390" w:lineRule="exact"/>
        <w:jc w:val="center"/>
        <w:rPr>
          <w:rFonts w:hint="eastAsia" w:ascii="宋体" w:hAnsi="宋体"/>
          <w:color w:val="000000"/>
          <w:sz w:val="36"/>
          <w:szCs w:val="36"/>
        </w:rPr>
      </w:pPr>
      <w:r>
        <w:rPr>
          <w:rFonts w:hint="eastAsia" w:ascii="宋体" w:hAnsi="宋体"/>
          <w:color w:val="000000"/>
          <w:sz w:val="36"/>
          <w:szCs w:val="36"/>
        </w:rPr>
        <w:t>先行内部投诉平台投诉的承诺书</w:t>
      </w:r>
    </w:p>
    <w:p>
      <w:pPr>
        <w:tabs>
          <w:tab w:val="left" w:pos="360"/>
        </w:tabs>
        <w:spacing w:line="390" w:lineRule="exact"/>
        <w:ind w:firstLine="480" w:firstLineChars="200"/>
        <w:rPr>
          <w:rFonts w:hint="eastAsia" w:ascii="宋体" w:hAnsi="宋体"/>
          <w:color w:val="000000"/>
          <w:sz w:val="24"/>
        </w:rPr>
      </w:pPr>
    </w:p>
    <w:p>
      <w:pPr>
        <w:tabs>
          <w:tab w:val="left" w:pos="360"/>
        </w:tabs>
        <w:spacing w:line="390" w:lineRule="exact"/>
        <w:rPr>
          <w:rFonts w:hint="eastAsia" w:ascii="宋体" w:hAnsi="宋体"/>
          <w:color w:val="000000"/>
          <w:sz w:val="24"/>
        </w:rPr>
      </w:pPr>
      <w:r>
        <w:rPr>
          <w:rFonts w:hint="eastAsia" w:ascii="宋体" w:hAnsi="宋体"/>
          <w:color w:val="000000"/>
          <w:sz w:val="24"/>
        </w:rPr>
        <w:t>致：中铁二局集团     公司</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我公司为贵公司     工程的分包商（供应商），为确保贵公司与我公司双方的合法权益，快捷解决双方争议，我公司对贵公司承诺如下：</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我公司已知悉贵公司公布的内部投诉渠道如下：</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项目部投诉电话：                        。</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公司投诉电话：                          。</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中铁二局集团公司投诉平台：</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 xml:space="preserve">微信公众号《中铁二局合作方反馈意见处理平台》 </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中铁二局集团公司劳务工欠薪投诉电话：</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中铁二局集团公司信访办电话：</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按照5万元/次承担违约责任。</w:t>
      </w:r>
    </w:p>
    <w:p>
      <w:pPr>
        <w:tabs>
          <w:tab w:val="left" w:pos="360"/>
        </w:tabs>
        <w:spacing w:line="390" w:lineRule="exact"/>
        <w:ind w:firstLine="480" w:firstLineChars="200"/>
        <w:rPr>
          <w:rFonts w:hint="eastAsia" w:ascii="宋体" w:hAnsi="宋体"/>
          <w:color w:val="000000"/>
          <w:sz w:val="24"/>
        </w:rPr>
      </w:pPr>
      <w:r>
        <w:rPr>
          <w:rFonts w:hint="eastAsia" w:ascii="宋体" w:hAnsi="宋体"/>
          <w:color w:val="000000"/>
          <w:sz w:val="24"/>
        </w:rPr>
        <w:t>特此承诺！</w:t>
      </w:r>
    </w:p>
    <w:p>
      <w:pPr>
        <w:tabs>
          <w:tab w:val="left" w:pos="360"/>
        </w:tabs>
        <w:spacing w:line="390" w:lineRule="exact"/>
        <w:ind w:firstLine="480" w:firstLineChars="200"/>
        <w:rPr>
          <w:rFonts w:hint="eastAsia" w:ascii="宋体" w:hAnsi="宋体"/>
          <w:color w:val="000000"/>
          <w:sz w:val="24"/>
        </w:rPr>
      </w:pPr>
    </w:p>
    <w:p>
      <w:pPr>
        <w:tabs>
          <w:tab w:val="left" w:pos="360"/>
        </w:tabs>
        <w:spacing w:line="390" w:lineRule="exact"/>
        <w:ind w:firstLine="480" w:firstLineChars="200"/>
        <w:rPr>
          <w:rFonts w:hint="eastAsia" w:ascii="宋体" w:hAnsi="宋体"/>
          <w:color w:val="000000"/>
          <w:sz w:val="24"/>
        </w:rPr>
      </w:pPr>
    </w:p>
    <w:p>
      <w:pPr>
        <w:spacing w:line="360" w:lineRule="auto"/>
        <w:ind w:firstLine="480" w:firstLineChars="200"/>
        <w:rPr>
          <w:sz w:val="24"/>
        </w:rPr>
      </w:pPr>
    </w:p>
    <w:p>
      <w:pPr>
        <w:ind w:firstLine="1200" w:firstLineChars="500"/>
        <w:rPr>
          <w:sz w:val="24"/>
        </w:rPr>
      </w:pPr>
      <w:r>
        <w:rPr>
          <w:rFonts w:hint="eastAsia"/>
          <w:sz w:val="24"/>
        </w:rPr>
        <w:t xml:space="preserve">甲方：                               乙方： </w:t>
      </w:r>
    </w:p>
    <w:p>
      <w:pPr>
        <w:ind w:firstLine="480" w:firstLineChars="200"/>
        <w:rPr>
          <w:sz w:val="24"/>
        </w:rPr>
      </w:pPr>
    </w:p>
    <w:p>
      <w:pPr>
        <w:ind w:firstLine="480" w:firstLineChars="200"/>
        <w:rPr>
          <w:sz w:val="24"/>
        </w:rPr>
      </w:pPr>
    </w:p>
    <w:p>
      <w:pPr>
        <w:ind w:firstLine="480" w:firstLineChars="200"/>
        <w:rPr>
          <w:sz w:val="24"/>
        </w:rPr>
      </w:pPr>
    </w:p>
    <w:p>
      <w:pPr>
        <w:snapToGrid w:val="0"/>
        <w:jc w:val="right"/>
        <w:rPr>
          <w:sz w:val="24"/>
        </w:rPr>
        <w:sectPr>
          <w:footerReference r:id="rId9" w:type="default"/>
          <w:pgSz w:w="11906" w:h="16838"/>
          <w:pgMar w:top="2154" w:right="1474" w:bottom="2041" w:left="1587" w:header="851" w:footer="992" w:gutter="0"/>
          <w:cols w:space="425" w:num="1"/>
          <w:docGrid w:type="lines" w:linePitch="312" w:charSpace="0"/>
        </w:sectPr>
      </w:pPr>
      <w:r>
        <w:rPr>
          <w:rFonts w:hint="eastAsia"/>
          <w:sz w:val="24"/>
        </w:rPr>
        <w:t>日期：   年   月  日</w:t>
      </w:r>
    </w:p>
    <w:p>
      <w:pPr>
        <w:snapToGrid w:val="0"/>
        <w:jc w:val="left"/>
        <w:rPr>
          <w:sz w:val="24"/>
        </w:rPr>
      </w:pPr>
      <w:r>
        <w:rPr>
          <w:rFonts w:hint="eastAsia"/>
          <w:sz w:val="24"/>
        </w:rPr>
        <w:t>附件二</w:t>
      </w:r>
    </w:p>
    <w:p>
      <w:pPr>
        <w:pStyle w:val="2"/>
        <w:snapToGrid w:val="0"/>
        <w:spacing w:before="156" w:beforeLines="0"/>
      </w:pPr>
      <w:r>
        <w:rPr>
          <w:rFonts w:hint="eastAsia"/>
        </w:rPr>
        <w:t>声明书</w:t>
      </w:r>
    </w:p>
    <w:p/>
    <w:p>
      <w:pPr>
        <w:tabs>
          <w:tab w:val="left" w:pos="360"/>
        </w:tabs>
        <w:spacing w:line="390" w:lineRule="exact"/>
        <w:ind w:firstLine="1440" w:firstLineChars="600"/>
        <w:rPr>
          <w:rFonts w:hint="eastAsia" w:ascii="宋体" w:hAnsi="宋体"/>
          <w:color w:val="000000"/>
          <w:sz w:val="24"/>
        </w:rPr>
      </w:pPr>
    </w:p>
    <w:p>
      <w:pPr>
        <w:tabs>
          <w:tab w:val="left" w:pos="360"/>
        </w:tabs>
        <w:spacing w:line="390" w:lineRule="exact"/>
        <w:rPr>
          <w:rFonts w:hint="eastAsia" w:ascii="宋体" w:hAnsi="宋体"/>
          <w:color w:val="000000"/>
          <w:sz w:val="24"/>
        </w:rPr>
      </w:pPr>
      <w:r>
        <w:rPr>
          <w:rFonts w:hint="eastAsia" w:ascii="宋体" w:hAnsi="宋体"/>
          <w:color w:val="000000"/>
          <w:sz w:val="24"/>
        </w:rPr>
        <w:t>致：中铁二局集团     公司</w:t>
      </w:r>
    </w:p>
    <w:p>
      <w:pPr>
        <w:spacing w:line="390" w:lineRule="exact"/>
        <w:ind w:firstLine="480" w:firstLineChars="200"/>
        <w:rPr>
          <w:sz w:val="24"/>
        </w:rPr>
      </w:pPr>
      <w:r>
        <w:rPr>
          <w:rFonts w:hint="eastAsia"/>
          <w:sz w:val="24"/>
        </w:rPr>
        <w:t>本公司郑重声明，根据《中华人民共和国中小企业促进法》《工业和信息化部、国家统计局、国家发展和改革委员会、财政部关于印发中小企业划型标准规定的通知》及《国家统计局关于印发&lt;统计上大中小微型企业划分办法(2017)&gt;的通知》等规定，我公司经认定或自测，在此声明：我司</w:t>
      </w:r>
      <w:r>
        <w:rPr>
          <w:rFonts w:hint="eastAsia"/>
          <w:sz w:val="24"/>
          <w:u w:val="single"/>
        </w:rPr>
        <w:t xml:space="preserve">          </w:t>
      </w:r>
      <w:r>
        <w:rPr>
          <w:rFonts w:hint="eastAsia"/>
          <w:sz w:val="24"/>
        </w:rPr>
        <w:t>（属于/不属于）中小型企业，并承诺上述信息真实有效。如有虚假，我公司同意视不同阶段作出如下处理：</w:t>
      </w:r>
    </w:p>
    <w:p>
      <w:pPr>
        <w:spacing w:line="390" w:lineRule="exact"/>
        <w:ind w:firstLine="480" w:firstLineChars="200"/>
        <w:rPr>
          <w:sz w:val="24"/>
        </w:rPr>
      </w:pPr>
      <w:r>
        <w:rPr>
          <w:sz w:val="24"/>
        </w:rPr>
        <w:t>1.</w:t>
      </w:r>
      <w:r>
        <w:rPr>
          <w:rFonts w:hint="eastAsia"/>
          <w:sz w:val="24"/>
        </w:rPr>
        <w:t>投标作无效投标处理，已中标的，中标无效，贵司有权没收本公司的投标保证金和中标服务费。</w:t>
      </w:r>
    </w:p>
    <w:p>
      <w:pPr>
        <w:spacing w:line="390" w:lineRule="exact"/>
        <w:ind w:firstLine="480" w:firstLineChars="200"/>
        <w:rPr>
          <w:sz w:val="24"/>
        </w:rPr>
      </w:pPr>
      <w:r>
        <w:rPr>
          <w:rFonts w:hint="eastAsia"/>
          <w:sz w:val="24"/>
        </w:rPr>
        <w:t>2.已签订合同的，自愿放弃法律法规规定及合同约定的中小企业专项权利，并赔偿给贵司造成的额外支出及全部损失。</w:t>
      </w:r>
    </w:p>
    <w:p>
      <w:pPr>
        <w:pStyle w:val="2"/>
        <w:spacing w:before="159"/>
        <w:rPr>
          <w:b w:val="0"/>
          <w:bCs w:val="0"/>
          <w:kern w:val="2"/>
          <w:sz w:val="24"/>
          <w:szCs w:val="24"/>
        </w:rPr>
      </w:pPr>
    </w:p>
    <w:p>
      <w:pPr>
        <w:rPr>
          <w:sz w:val="24"/>
        </w:rPr>
      </w:pPr>
      <w:r>
        <w:rPr>
          <w:rFonts w:hint="eastAsia"/>
          <w:sz w:val="24"/>
        </w:rPr>
        <w:t xml:space="preserve">                                            声明人（盖章）：</w:t>
      </w:r>
    </w:p>
    <w:p>
      <w:pPr>
        <w:pStyle w:val="2"/>
        <w:spacing w:before="159"/>
        <w:jc w:val="left"/>
        <w:rPr>
          <w:b w:val="0"/>
          <w:bCs w:val="0"/>
          <w:kern w:val="2"/>
          <w:sz w:val="24"/>
          <w:szCs w:val="24"/>
        </w:rPr>
      </w:pPr>
      <w:r>
        <w:rPr>
          <w:rFonts w:hint="eastAsia"/>
          <w:b w:val="0"/>
          <w:bCs w:val="0"/>
          <w:kern w:val="2"/>
          <w:sz w:val="24"/>
          <w:szCs w:val="24"/>
        </w:rPr>
        <w:t xml:space="preserve">                                                    年   月  日</w:t>
      </w:r>
    </w:p>
    <w:p>
      <w:pPr>
        <w:pStyle w:val="2"/>
        <w:spacing w:before="159"/>
        <w:rPr>
          <w:sz w:val="24"/>
          <w:szCs w:val="24"/>
          <w:highlight w:val="yellow"/>
        </w:rPr>
      </w:pPr>
    </w:p>
    <w:p>
      <w:pPr>
        <w:rPr>
          <w:sz w:val="24"/>
          <w:highlight w:val="green"/>
        </w:rPr>
      </w:pPr>
    </w:p>
    <w:p>
      <w:pPr>
        <w:pStyle w:val="2"/>
        <w:spacing w:before="159"/>
      </w:pPr>
    </w:p>
    <w:p>
      <w:pPr>
        <w:tabs>
          <w:tab w:val="left" w:pos="360"/>
        </w:tabs>
        <w:spacing w:line="390" w:lineRule="exact"/>
        <w:ind w:firstLine="1440" w:firstLineChars="600"/>
        <w:rPr>
          <w:rFonts w:hint="eastAsia" w:ascii="宋体" w:hAnsi="宋体"/>
          <w:color w:val="000000"/>
          <w:sz w:val="24"/>
        </w:rPr>
      </w:pPr>
    </w:p>
    <w:p>
      <w:pPr>
        <w:wordWrap w:val="0"/>
        <w:spacing w:line="400" w:lineRule="exact"/>
        <w:ind w:right="560"/>
        <w:rPr>
          <w:b/>
          <w:sz w:val="28"/>
          <w:szCs w:val="28"/>
        </w:rPr>
      </w:pPr>
    </w:p>
    <w:p>
      <w:pPr>
        <w:pStyle w:val="19"/>
        <w:spacing w:line="360" w:lineRule="auto"/>
        <w:ind w:firstLine="0" w:firstLineChars="0"/>
        <w:rPr>
          <w:rFonts w:hint="eastAsia" w:asciiTheme="minorEastAsia" w:hAnsiTheme="minorEastAsia" w:eastAsiaTheme="minorEastAsia" w:cstheme="minorEastAsia"/>
          <w:sz w:val="28"/>
          <w:szCs w:val="28"/>
        </w:rPr>
      </w:pPr>
    </w:p>
    <w:p>
      <w:pPr>
        <w:pStyle w:val="19"/>
        <w:spacing w:line="360" w:lineRule="auto"/>
        <w:ind w:firstLine="0" w:firstLineChars="0"/>
        <w:rPr>
          <w:rFonts w:hint="eastAsia" w:asciiTheme="minorEastAsia" w:hAnsiTheme="minorEastAsia" w:eastAsiaTheme="minorEastAsia" w:cstheme="minorEastAsia"/>
          <w:sz w:val="28"/>
          <w:szCs w:val="28"/>
        </w:rPr>
      </w:pPr>
    </w:p>
    <w:p>
      <w:pPr>
        <w:pStyle w:val="19"/>
        <w:spacing w:line="360" w:lineRule="auto"/>
        <w:ind w:firstLine="0" w:firstLineChars="0"/>
        <w:rPr>
          <w:rFonts w:hint="eastAsia" w:asciiTheme="minorEastAsia" w:hAnsiTheme="minorEastAsia" w:eastAsiaTheme="minorEastAsia" w:cstheme="minorEastAsia"/>
          <w:sz w:val="28"/>
          <w:szCs w:val="28"/>
        </w:rPr>
      </w:pPr>
    </w:p>
    <w:p>
      <w:pPr>
        <w:jc w:val="center"/>
        <w:rPr>
          <w:rFonts w:hint="eastAsia" w:ascii="黑体" w:hAnsi="黑体" w:eastAsia="黑体" w:cs="宋体"/>
          <w:b/>
          <w:sz w:val="32"/>
          <w:szCs w:val="32"/>
        </w:rPr>
      </w:pPr>
    </w:p>
    <w:p>
      <w:pPr>
        <w:jc w:val="center"/>
        <w:rPr>
          <w:rFonts w:hint="eastAsia" w:ascii="黑体" w:hAnsi="黑体" w:eastAsia="黑体" w:cs="宋体"/>
          <w:b/>
          <w:sz w:val="32"/>
          <w:szCs w:val="32"/>
        </w:rPr>
      </w:pPr>
    </w:p>
    <w:p>
      <w:pPr>
        <w:jc w:val="center"/>
        <w:rPr>
          <w:rFonts w:hint="eastAsia" w:ascii="黑体" w:hAnsi="黑体" w:eastAsia="黑体" w:cs="宋体"/>
          <w:b/>
          <w:sz w:val="32"/>
          <w:szCs w:val="32"/>
        </w:rPr>
      </w:pPr>
    </w:p>
    <w:p>
      <w:pPr>
        <w:jc w:val="center"/>
        <w:rPr>
          <w:rFonts w:hint="eastAsia" w:ascii="黑体" w:hAnsi="黑体" w:eastAsia="黑体" w:cs="宋体"/>
          <w:b/>
          <w:sz w:val="32"/>
          <w:szCs w:val="32"/>
        </w:rPr>
      </w:pPr>
    </w:p>
    <w:p>
      <w:pPr>
        <w:jc w:val="center"/>
        <w:rPr>
          <w:rFonts w:hint="eastAsia" w:ascii="黑体" w:hAnsi="黑体" w:eastAsia="黑体" w:cs="宋体"/>
          <w:b/>
          <w:sz w:val="32"/>
          <w:szCs w:val="32"/>
        </w:rPr>
      </w:pPr>
      <w:r>
        <w:rPr>
          <w:rFonts w:hint="eastAsia" w:ascii="黑体" w:hAnsi="黑体" w:eastAsia="黑体" w:cs="宋体"/>
          <w:b/>
          <w:sz w:val="32"/>
          <w:szCs w:val="32"/>
        </w:rPr>
        <w:t>廉洁共建协议书</w:t>
      </w:r>
    </w:p>
    <w:p>
      <w:pPr>
        <w:adjustRightInd w:val="0"/>
        <w:snapToGrid w:val="0"/>
        <w:spacing w:line="560" w:lineRule="exact"/>
        <w:ind w:firstLine="4200" w:firstLineChars="1500"/>
        <w:rPr>
          <w:rFonts w:ascii="仿宋_GB2312" w:eastAsia="仿宋_GB2312" w:hAnsiTheme="minorHAnsi" w:cstheme="minorBidi"/>
          <w:sz w:val="28"/>
          <w:szCs w:val="28"/>
        </w:rPr>
      </w:pPr>
    </w:p>
    <w:p>
      <w:pPr>
        <w:adjustRightInd w:val="0"/>
        <w:snapToGrid w:val="0"/>
        <w:spacing w:line="560" w:lineRule="exact"/>
        <w:jc w:val="left"/>
        <w:rPr>
          <w:rFonts w:ascii="仿宋_GB2312" w:eastAsia="仿宋_GB2312" w:hAnsiTheme="minorHAnsi" w:cstheme="minorBidi"/>
          <w:sz w:val="24"/>
        </w:rPr>
      </w:pPr>
      <w:r>
        <w:rPr>
          <w:rFonts w:hint="eastAsia" w:ascii="仿宋_GB2312" w:eastAsia="仿宋_GB2312" w:hAnsiTheme="minorHAnsi" w:cstheme="minorBidi"/>
          <w:sz w:val="24"/>
        </w:rPr>
        <w:t>甲方：中铁二局集团有限公司新疆墨玉分公司</w:t>
      </w:r>
    </w:p>
    <w:p>
      <w:pPr>
        <w:adjustRightInd w:val="0"/>
        <w:snapToGrid w:val="0"/>
        <w:spacing w:line="560" w:lineRule="exact"/>
        <w:jc w:val="left"/>
        <w:rPr>
          <w:rFonts w:ascii="仿宋_GB2312" w:eastAsia="仿宋_GB2312" w:hAnsiTheme="minorHAnsi" w:cstheme="minorBidi"/>
          <w:sz w:val="24"/>
        </w:rPr>
      </w:pPr>
      <w:r>
        <w:rPr>
          <w:rFonts w:hint="eastAsia" w:ascii="仿宋_GB2312" w:eastAsia="仿宋_GB2312" w:hAnsiTheme="minorHAnsi" w:cstheme="minorBidi"/>
          <w:sz w:val="24"/>
        </w:rPr>
        <w:t>乙方：</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鉴于双方签署了物资采购合同，在甲乙双方开展业务过程中，为营造公平竞争、廉洁从业的氛围，实现互利共赢的目标，防止各种不正当行为的发生，甲乙双方补充订立本协议如下：</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一、甲乙双方应当自觉遵守国家、地方法律法规以及本协议的约定，在开展业务、合同订立、履行过程中廉洁自律。</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二、乙方及相关人员应当保持与甲方的正常业务交往，不得以各种名义赠送甲方工作人员（含</w:t>
      </w:r>
      <w:r>
        <w:rPr>
          <w:rFonts w:ascii="仿宋_GB2312" w:eastAsia="仿宋_GB2312"/>
          <w:sz w:val="24"/>
        </w:rPr>
        <w:t>与</w:t>
      </w:r>
      <w:r>
        <w:rPr>
          <w:rFonts w:hint="eastAsia" w:ascii="仿宋_GB2312" w:eastAsia="仿宋_GB2312"/>
          <w:sz w:val="24"/>
        </w:rPr>
        <w:t>工作人员</w:t>
      </w:r>
      <w:r>
        <w:rPr>
          <w:rFonts w:ascii="仿宋_GB2312" w:eastAsia="仿宋_GB2312"/>
          <w:sz w:val="24"/>
        </w:rPr>
        <w:t>有夫妻关系、直系血亲关系、三代以内旁系血亲以及近姻亲关系的人员及其它亲戚、朋友</w:t>
      </w:r>
      <w:r>
        <w:rPr>
          <w:rFonts w:hint="eastAsia" w:ascii="仿宋_GB2312" w:eastAsia="仿宋_GB2312" w:hAnsiTheme="minorHAnsi" w:cstheme="minorBidi"/>
          <w:sz w:val="24"/>
        </w:rPr>
        <w:t>，下同）任何财物（含礼金、礼品、有价证券、购物卡等其它有价物品）。</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三、乙方及相关人员不得邀请甲方工作人员参加可能对公正开展业务有影响的宴请、健身、娱乐、旅游等活动。</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四、乙方及相关人员不得为甲方工作人员的任何私事提供赞助和其他便利，如住房装修、婚丧嫁娶、家属和子女的工作安排以及出国等方面。</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五、乙方同意并承诺本公司管理人员与甲方的业务主管人员没有亲属关系或其他特殊关系，如有必须书面告知甲方。</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六、乙方及相关人员不得与甲方工作人员发生任何经济往来。不得违反</w:t>
      </w:r>
      <w:r>
        <w:rPr>
          <w:rFonts w:hint="eastAsia" w:ascii="仿宋_GB2312" w:eastAsia="仿宋_GB2312"/>
          <w:sz w:val="24"/>
        </w:rPr>
        <w:t>其他廉洁相关规定。</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七、乙方如发现甲方工作人员有违反上述协议者，应如实向甲方举报。甲方对举报属实和严格遵守廉洁协议的乙方，在同等条件下优先考虑与乙方继续合作。甲方承诺对举报者严格保密。（举报邮箱：ztejxagsjw@163.com）</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八、甲方发现乙方有违反协议之规定，或者甲方业务人员向司法机关交待了与乙方相关的受贿事实，甲方有权解除本合同，乙方应承担暂定合同总价5%的违约金。涉嫌犯罪的，移交司法机关追究刑事责任。甲方有权从应付给乙方的款项中直接扣除，款项不足支付的，在接到甲方书面通知后，乙方承诺在一个月内以支票或汇款方式支付给甲方。但若乙方积极配合甲方的相关调查工作，则甲方将视情节减免乙方的违约责任或违约金。</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九、本协议书一经签署，即对双方发生的所有业务包括追溯至双方第一次发生的业务之时以及将来所发生的业务均有效。本协议对双方具有永久约束力，不因合同履行情况而失效。如果乙方主动或者在甲方提供的情况下向甲方提供实际发生的全部违约事实以及相关证据材料，则甲方可视乙方配合程度减轻或直至免除追究乙方以上违约责任。</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十、如双方在执行过程中发生纠纷，可提交甲方所在地人民法院诉讼解决。</w:t>
      </w:r>
    </w:p>
    <w:p>
      <w:pPr>
        <w:adjustRightInd w:val="0"/>
        <w:snapToGrid w:val="0"/>
        <w:spacing w:line="560" w:lineRule="exact"/>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十一、本协议书一式三份，甲乙双方各执一份，一份报甲方纪委备案。</w:t>
      </w:r>
    </w:p>
    <w:p>
      <w:pPr>
        <w:spacing w:line="360" w:lineRule="auto"/>
        <w:rPr>
          <w:rFonts w:ascii="仿宋_GB2312" w:eastAsia="仿宋_GB2312" w:hAnsiTheme="minorHAnsi" w:cstheme="minorBidi"/>
          <w:sz w:val="24"/>
        </w:rPr>
      </w:pPr>
    </w:p>
    <w:p>
      <w:pPr>
        <w:spacing w:line="360" w:lineRule="auto"/>
        <w:ind w:firstLine="480" w:firstLineChars="200"/>
        <w:rPr>
          <w:rFonts w:ascii="仿宋_GB2312" w:eastAsia="仿宋_GB2312" w:hAnsiTheme="minorHAnsi" w:cstheme="minorBidi"/>
          <w:sz w:val="24"/>
        </w:rPr>
      </w:pPr>
      <w:r>
        <w:rPr>
          <w:rFonts w:hint="eastAsia" w:ascii="仿宋_GB2312" w:eastAsia="仿宋_GB2312" w:hAnsiTheme="minorHAnsi" w:cstheme="minorBidi"/>
          <w:sz w:val="24"/>
        </w:rPr>
        <w:t xml:space="preserve">甲方： </w:t>
      </w:r>
      <w:r>
        <w:rPr>
          <w:rFonts w:ascii="仿宋_GB2312" w:eastAsia="仿宋_GB2312" w:hAnsiTheme="minorHAnsi" w:cstheme="minorBidi"/>
          <w:sz w:val="24"/>
        </w:rPr>
        <w:t xml:space="preserve">      </w:t>
      </w:r>
      <w:r>
        <w:rPr>
          <w:rFonts w:hint="eastAsia" w:ascii="仿宋_GB2312" w:eastAsia="仿宋_GB2312" w:hAnsiTheme="minorHAnsi" w:cstheme="minorBidi"/>
          <w:sz w:val="24"/>
        </w:rPr>
        <w:t xml:space="preserve">                乙方：（公章）      </w:t>
      </w:r>
    </w:p>
    <w:p>
      <w:pPr>
        <w:spacing w:line="360" w:lineRule="auto"/>
        <w:rPr>
          <w:rFonts w:ascii="仿宋_GB2312" w:eastAsia="仿宋_GB2312" w:hAnsiTheme="minorHAnsi" w:cstheme="minorBidi"/>
          <w:sz w:val="24"/>
        </w:rPr>
      </w:pPr>
      <w:r>
        <w:rPr>
          <w:rFonts w:hint="eastAsia" w:ascii="仿宋_GB2312" w:eastAsia="仿宋_GB2312" w:hAnsiTheme="minorHAnsi" w:cstheme="minorBidi"/>
          <w:sz w:val="24"/>
        </w:rPr>
        <w:t xml:space="preserve">    法定代表人：                 法定代表人：          </w:t>
      </w:r>
    </w:p>
    <w:p>
      <w:pPr>
        <w:spacing w:line="360" w:lineRule="auto"/>
        <w:rPr>
          <w:rFonts w:ascii="仿宋_GB2312" w:eastAsia="仿宋_GB2312" w:hAnsiTheme="minorHAnsi" w:cstheme="minorBidi"/>
          <w:sz w:val="24"/>
        </w:rPr>
      </w:pPr>
      <w:r>
        <w:rPr>
          <w:rFonts w:hint="eastAsia" w:ascii="仿宋_GB2312" w:eastAsia="仿宋_GB2312" w:hAnsiTheme="minorHAnsi" w:cstheme="minorBidi"/>
          <w:sz w:val="24"/>
        </w:rPr>
        <w:t xml:space="preserve">    委托代理人：                 委托代理人：          </w:t>
      </w:r>
    </w:p>
    <w:p>
      <w:pPr>
        <w:spacing w:line="360" w:lineRule="auto"/>
        <w:ind w:firstLine="480" w:firstLineChars="200"/>
        <w:rPr>
          <w:rFonts w:hint="eastAsia" w:asciiTheme="minorEastAsia" w:hAnsiTheme="minorEastAsia" w:eastAsiaTheme="minorEastAsia" w:cstheme="minorEastAsia"/>
          <w:sz w:val="24"/>
        </w:rPr>
      </w:pPr>
      <w:r>
        <w:rPr>
          <w:rFonts w:hint="eastAsia" w:ascii="仿宋_GB2312" w:eastAsia="仿宋_GB2312" w:hAnsiTheme="minorHAnsi" w:cstheme="minorBidi"/>
          <w:sz w:val="24"/>
        </w:rPr>
        <w:t>电  话：　　　　　　　　     电  话：</w:t>
      </w:r>
    </w:p>
    <w:p>
      <w:pPr>
        <w:wordWrap w:val="0"/>
        <w:spacing w:line="400" w:lineRule="exact"/>
        <w:ind w:right="560"/>
        <w:rPr>
          <w:rFonts w:ascii="宋体" w:hAnsi="宋体"/>
          <w:szCs w:val="21"/>
        </w:rPr>
      </w:pPr>
      <w:r>
        <w:rPr>
          <w:rFonts w:hint="eastAsia"/>
          <w:b/>
          <w:sz w:val="28"/>
          <w:szCs w:val="28"/>
        </w:rPr>
        <w:t>合同编号：</w:t>
      </w:r>
      <w:r>
        <w:rPr>
          <w:rFonts w:hint="eastAsia"/>
          <w:b/>
          <w:sz w:val="28"/>
          <w:szCs w:val="28"/>
          <w:u w:val="single"/>
        </w:rPr>
        <w:t xml:space="preserve">             </w:t>
      </w: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Cs/>
          <w:sz w:val="44"/>
          <w:szCs w:val="48"/>
          <w:u w:val="single"/>
        </w:rPr>
      </w:pPr>
    </w:p>
    <w:p>
      <w:pPr>
        <w:spacing w:line="400" w:lineRule="exact"/>
        <w:jc w:val="center"/>
        <w:rPr>
          <w:b/>
          <w:sz w:val="44"/>
          <w:szCs w:val="48"/>
        </w:rPr>
      </w:pPr>
      <w:r>
        <w:rPr>
          <w:rFonts w:hint="eastAsia"/>
          <w:bCs/>
          <w:sz w:val="44"/>
          <w:szCs w:val="48"/>
          <w:u w:val="single"/>
        </w:rPr>
        <w:t xml:space="preserve">                  </w:t>
      </w:r>
      <w:r>
        <w:rPr>
          <w:rFonts w:hint="eastAsia"/>
          <w:b/>
          <w:sz w:val="44"/>
          <w:szCs w:val="48"/>
        </w:rPr>
        <w:t>工程</w:t>
      </w:r>
    </w:p>
    <w:p>
      <w:pPr>
        <w:spacing w:line="400" w:lineRule="exact"/>
        <w:jc w:val="center"/>
        <w:rPr>
          <w:b/>
          <w:sz w:val="36"/>
          <w:szCs w:val="24"/>
        </w:rPr>
      </w:pPr>
    </w:p>
    <w:p>
      <w:pPr>
        <w:spacing w:line="400" w:lineRule="exact"/>
        <w:jc w:val="center"/>
        <w:rPr>
          <w:b/>
          <w:sz w:val="10"/>
          <w:szCs w:val="10"/>
        </w:rPr>
      </w:pPr>
      <w:r>
        <w:rPr>
          <w:rFonts w:hint="eastAsia"/>
          <w:b/>
          <w:sz w:val="36"/>
          <w:szCs w:val="24"/>
          <w:lang w:val="en-US" w:eastAsia="zh-CN"/>
        </w:rPr>
        <w:t>XX</w:t>
      </w:r>
      <w:r>
        <w:rPr>
          <w:rFonts w:hint="eastAsia"/>
          <w:b/>
          <w:sz w:val="36"/>
          <w:szCs w:val="24"/>
        </w:rPr>
        <w:t>买卖合同</w:t>
      </w:r>
    </w:p>
    <w:p>
      <w:pPr>
        <w:spacing w:line="400" w:lineRule="exact"/>
        <w:ind w:firstLine="2873" w:firstLineChars="795"/>
        <w:rPr>
          <w:b/>
          <w:sz w:val="36"/>
          <w:szCs w:val="24"/>
        </w:rPr>
      </w:pPr>
    </w:p>
    <w:p>
      <w:pPr>
        <w:pStyle w:val="2"/>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400" w:lineRule="exact"/>
        <w:ind w:firstLine="2873" w:firstLineChars="795"/>
        <w:rPr>
          <w:b/>
          <w:sz w:val="36"/>
          <w:szCs w:val="24"/>
        </w:rPr>
      </w:pPr>
    </w:p>
    <w:p>
      <w:pPr>
        <w:spacing w:line="360" w:lineRule="auto"/>
        <w:jc w:val="left"/>
        <w:rPr>
          <w:sz w:val="32"/>
          <w:szCs w:val="32"/>
        </w:rPr>
      </w:pPr>
      <w:r>
        <w:rPr>
          <w:rFonts w:hint="eastAsia"/>
          <w:sz w:val="32"/>
          <w:szCs w:val="32"/>
        </w:rPr>
        <w:t>买方：</w:t>
      </w:r>
      <w:r>
        <w:rPr>
          <w:rFonts w:hint="eastAsia"/>
          <w:sz w:val="32"/>
          <w:szCs w:val="32"/>
          <w:u w:val="single"/>
        </w:rPr>
        <w:t xml:space="preserve">                                            </w:t>
      </w:r>
    </w:p>
    <w:p>
      <w:pPr>
        <w:spacing w:line="360" w:lineRule="auto"/>
        <w:jc w:val="left"/>
        <w:rPr>
          <w:sz w:val="32"/>
          <w:szCs w:val="32"/>
        </w:rPr>
      </w:pPr>
      <w:r>
        <w:rPr>
          <w:rFonts w:hint="eastAsia"/>
          <w:sz w:val="32"/>
          <w:szCs w:val="32"/>
        </w:rPr>
        <w:t>卖方：</w:t>
      </w:r>
      <w:r>
        <w:rPr>
          <w:rFonts w:hint="eastAsia"/>
          <w:sz w:val="32"/>
          <w:szCs w:val="32"/>
          <w:u w:val="single"/>
        </w:rPr>
        <w:t xml:space="preserve">                                            </w:t>
      </w:r>
    </w:p>
    <w:p>
      <w:pPr>
        <w:spacing w:line="360" w:lineRule="auto"/>
        <w:jc w:val="left"/>
        <w:rPr>
          <w:rFonts w:hint="default" w:eastAsia="宋体"/>
          <w:sz w:val="32"/>
          <w:szCs w:val="32"/>
          <w:u w:val="single"/>
          <w:lang w:val="en-US" w:eastAsia="zh-CN"/>
        </w:rPr>
      </w:pPr>
      <w:r>
        <w:rPr>
          <w:rFonts w:hint="eastAsia"/>
          <w:sz w:val="32"/>
          <w:szCs w:val="32"/>
        </w:rPr>
        <w:t>签订地点：</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p>
    <w:p>
      <w:pPr>
        <w:spacing w:line="460" w:lineRule="atLeast"/>
        <w:jc w:val="center"/>
        <w:rPr>
          <w:rFonts w:ascii="黑体" w:eastAsia="黑体"/>
          <w:color w:val="000000"/>
          <w:sz w:val="36"/>
          <w:szCs w:val="36"/>
        </w:rPr>
      </w:pPr>
    </w:p>
    <w:p>
      <w:pPr>
        <w:pStyle w:val="2"/>
        <w:rPr>
          <w:rFonts w:ascii="黑体" w:eastAsia="黑体"/>
          <w:color w:val="000000"/>
          <w:sz w:val="36"/>
          <w:szCs w:val="36"/>
        </w:rPr>
      </w:pPr>
    </w:p>
    <w:p/>
    <w:p>
      <w:pPr>
        <w:spacing w:line="460" w:lineRule="atLeast"/>
        <w:jc w:val="center"/>
        <w:rPr>
          <w:rFonts w:hint="eastAsia" w:ascii="黑体" w:eastAsia="黑体"/>
          <w:color w:val="000000"/>
          <w:sz w:val="36"/>
          <w:szCs w:val="36"/>
        </w:rPr>
      </w:pPr>
      <w:r>
        <w:rPr>
          <w:rFonts w:hint="eastAsia" w:ascii="黑体" w:eastAsia="黑体"/>
          <w:color w:val="000000"/>
          <w:sz w:val="36"/>
          <w:szCs w:val="36"/>
        </w:rPr>
        <w:t>买卖合同</w:t>
      </w:r>
    </w:p>
    <w:p>
      <w:pPr>
        <w:pStyle w:val="2"/>
      </w:pPr>
    </w:p>
    <w:p>
      <w:pPr>
        <w:widowControl/>
        <w:spacing w:line="390" w:lineRule="exact"/>
        <w:rPr>
          <w:rFonts w:ascii="宋体" w:hAnsi="宋体" w:cs="宋体"/>
          <w:bCs/>
          <w:kern w:val="0"/>
          <w:sz w:val="24"/>
          <w:szCs w:val="24"/>
        </w:rPr>
      </w:pPr>
      <w:r>
        <w:rPr>
          <w:rFonts w:hint="eastAsia" w:ascii="宋体" w:hAnsi="宋体" w:cs="宋体"/>
          <w:b/>
          <w:bCs/>
          <w:kern w:val="0"/>
          <w:sz w:val="24"/>
          <w:szCs w:val="24"/>
        </w:rPr>
        <w:t>买方</w:t>
      </w:r>
      <w:r>
        <w:rPr>
          <w:rFonts w:hint="eastAsia" w:ascii="宋体" w:hAnsi="宋体" w:cs="宋体"/>
          <w:bCs/>
          <w:kern w:val="0"/>
          <w:sz w:val="24"/>
          <w:szCs w:val="24"/>
        </w:rPr>
        <w:t>：</w:t>
      </w:r>
      <w:r>
        <w:rPr>
          <w:rFonts w:hint="eastAsia" w:ascii="宋体" w:hAnsi="宋体" w:cs="宋体"/>
          <w:bCs/>
          <w:kern w:val="0"/>
          <w:sz w:val="24"/>
          <w:szCs w:val="24"/>
          <w:u w:val="single"/>
        </w:rPr>
        <w:t xml:space="preserve">                            </w:t>
      </w:r>
      <w:r>
        <w:rPr>
          <w:rFonts w:hint="eastAsia" w:ascii="宋体" w:hAnsi="宋体" w:cs="宋体"/>
          <w:bCs/>
          <w:kern w:val="0"/>
          <w:sz w:val="24"/>
          <w:szCs w:val="24"/>
        </w:rPr>
        <w:t>（以下简称甲方）</w:t>
      </w:r>
    </w:p>
    <w:p>
      <w:pPr>
        <w:spacing w:before="156"/>
        <w:jc w:val="left"/>
        <w:outlineLvl w:val="9"/>
        <w:rPr>
          <w:rFonts w:hint="eastAsia" w:ascii="宋体" w:hAnsi="宋体" w:cs="宋体"/>
          <w:bCs/>
          <w:kern w:val="0"/>
          <w:sz w:val="24"/>
          <w:szCs w:val="24"/>
        </w:rPr>
      </w:pPr>
      <w:r>
        <w:rPr>
          <w:rFonts w:hint="eastAsia" w:ascii="宋体" w:hAnsi="宋体" w:cs="宋体"/>
          <w:b/>
          <w:bCs/>
          <w:kern w:val="0"/>
          <w:sz w:val="24"/>
          <w:szCs w:val="24"/>
        </w:rPr>
        <w:t>卖方</w:t>
      </w:r>
      <w:r>
        <w:rPr>
          <w:rFonts w:hint="eastAsia" w:ascii="宋体" w:hAnsi="宋体" w:cs="宋体"/>
          <w:bCs/>
          <w:kern w:val="0"/>
          <w:sz w:val="24"/>
          <w:szCs w:val="24"/>
        </w:rPr>
        <w:t>：</w:t>
      </w:r>
      <w:r>
        <w:rPr>
          <w:rFonts w:hint="eastAsia" w:ascii="宋体" w:hAnsi="宋体" w:cs="宋体"/>
          <w:bCs/>
          <w:kern w:val="0"/>
          <w:sz w:val="24"/>
          <w:szCs w:val="24"/>
          <w:u w:val="single"/>
        </w:rPr>
        <w:t xml:space="preserve">                            </w:t>
      </w:r>
      <w:r>
        <w:rPr>
          <w:rFonts w:hint="eastAsia" w:ascii="宋体" w:hAnsi="宋体" w:cs="宋体"/>
          <w:bCs/>
          <w:kern w:val="0"/>
          <w:sz w:val="24"/>
          <w:szCs w:val="24"/>
        </w:rPr>
        <w:t>（以下简称乙方）</w:t>
      </w:r>
    </w:p>
    <w:p>
      <w:pPr>
        <w:spacing w:before="156"/>
        <w:jc w:val="left"/>
        <w:outlineLvl w:val="9"/>
        <w:rPr>
          <w:bCs w:val="0"/>
          <w:sz w:val="24"/>
          <w:szCs w:val="24"/>
          <w:highlight w:val="none"/>
        </w:rPr>
      </w:pPr>
      <w:r>
        <w:rPr>
          <w:rFonts w:hint="eastAsia"/>
          <w:sz w:val="24"/>
          <w:szCs w:val="24"/>
          <w:highlight w:val="none"/>
        </w:rPr>
        <w:t>卖方企业类型：</w:t>
      </w:r>
      <w:r>
        <w:rPr>
          <w:sz w:val="24"/>
          <w:szCs w:val="24"/>
          <w:highlight w:val="none"/>
          <w:u w:val="single"/>
        </w:rPr>
        <w:t xml:space="preserve">            </w:t>
      </w:r>
      <w:r>
        <w:rPr>
          <w:rFonts w:hint="eastAsia"/>
          <w:sz w:val="24"/>
          <w:szCs w:val="24"/>
          <w:highlight w:val="none"/>
        </w:rPr>
        <w:t>（详见附件二企业类型声明书）</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根据《中华人民共和国共和国</w:t>
      </w:r>
      <w:r>
        <w:rPr>
          <w:rFonts w:hint="eastAsia" w:ascii="宋体" w:hAnsi="宋体"/>
          <w:color w:val="000000"/>
          <w:sz w:val="24"/>
          <w:szCs w:val="24"/>
          <w:lang w:val="en-US" w:eastAsia="zh-CN"/>
        </w:rPr>
        <w:t>民法典</w:t>
      </w:r>
      <w:r>
        <w:rPr>
          <w:rFonts w:hint="eastAsia" w:ascii="宋体" w:hAnsi="宋体"/>
          <w:color w:val="000000"/>
          <w:sz w:val="24"/>
          <w:szCs w:val="24"/>
        </w:rPr>
        <w:t>》及相关法律法规的规定，在平等、自愿、公平和诚实信用的基础上，甲乙双方经充分协商，特订立本合同。</w:t>
      </w:r>
    </w:p>
    <w:p>
      <w:pPr>
        <w:keepNext/>
        <w:keepLines/>
        <w:spacing w:line="390" w:lineRule="exact"/>
        <w:outlineLvl w:val="0"/>
        <w:rPr>
          <w:rFonts w:ascii="宋体" w:hAnsi="宋体"/>
          <w:b/>
          <w:bCs/>
          <w:kern w:val="44"/>
          <w:sz w:val="24"/>
          <w:szCs w:val="24"/>
        </w:rPr>
      </w:pPr>
      <w:r>
        <w:rPr>
          <w:rFonts w:hint="eastAsia" w:ascii="宋体" w:hAnsi="宋体"/>
          <w:b/>
          <w:bCs/>
          <w:kern w:val="44"/>
          <w:sz w:val="24"/>
          <w:szCs w:val="24"/>
        </w:rPr>
        <w:t>第一条　名称、品种、规格和质量</w:t>
      </w:r>
    </w:p>
    <w:tbl>
      <w:tblPr>
        <w:tblStyle w:val="10"/>
        <w:tblW w:w="87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04"/>
        <w:gridCol w:w="925"/>
        <w:gridCol w:w="450"/>
        <w:gridCol w:w="625"/>
        <w:gridCol w:w="979"/>
        <w:gridCol w:w="1075"/>
        <w:gridCol w:w="975"/>
        <w:gridCol w:w="975"/>
        <w:gridCol w:w="825"/>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525" w:type="dxa"/>
            <w:vAlign w:val="center"/>
          </w:tcPr>
          <w:p>
            <w:pPr>
              <w:spacing w:line="390" w:lineRule="exact"/>
              <w:jc w:val="center"/>
              <w:rPr>
                <w:rFonts w:ascii="宋体" w:hAnsi="宋体"/>
                <w:bCs/>
                <w:sz w:val="24"/>
                <w:szCs w:val="24"/>
              </w:rPr>
            </w:pPr>
            <w:r>
              <w:rPr>
                <w:rFonts w:hint="eastAsia" w:ascii="宋体" w:hAnsi="宋体"/>
                <w:bCs/>
                <w:sz w:val="24"/>
                <w:szCs w:val="24"/>
              </w:rPr>
              <w:t>序号</w:t>
            </w:r>
          </w:p>
        </w:tc>
        <w:tc>
          <w:tcPr>
            <w:tcW w:w="804" w:type="dxa"/>
            <w:vAlign w:val="center"/>
          </w:tcPr>
          <w:p>
            <w:pPr>
              <w:spacing w:line="390" w:lineRule="exact"/>
              <w:jc w:val="center"/>
              <w:rPr>
                <w:rFonts w:ascii="宋体" w:hAnsi="宋体"/>
                <w:bCs/>
                <w:sz w:val="24"/>
                <w:szCs w:val="24"/>
              </w:rPr>
            </w:pPr>
            <w:r>
              <w:rPr>
                <w:rFonts w:hint="eastAsia" w:ascii="宋体" w:hAnsi="宋体"/>
                <w:bCs/>
                <w:sz w:val="24"/>
                <w:szCs w:val="24"/>
              </w:rPr>
              <w:t>物资</w:t>
            </w:r>
            <w:r>
              <w:rPr>
                <w:rFonts w:ascii="宋体" w:hAnsi="宋体"/>
                <w:bCs/>
                <w:sz w:val="24"/>
                <w:szCs w:val="24"/>
              </w:rPr>
              <w:t>名称</w:t>
            </w:r>
          </w:p>
        </w:tc>
        <w:tc>
          <w:tcPr>
            <w:tcW w:w="925" w:type="dxa"/>
            <w:vAlign w:val="center"/>
          </w:tcPr>
          <w:p>
            <w:pPr>
              <w:spacing w:line="390" w:lineRule="exact"/>
              <w:jc w:val="center"/>
              <w:rPr>
                <w:rFonts w:ascii="宋体" w:hAnsi="宋体"/>
                <w:bCs/>
                <w:sz w:val="24"/>
                <w:szCs w:val="24"/>
              </w:rPr>
            </w:pPr>
            <w:r>
              <w:rPr>
                <w:rFonts w:ascii="宋体" w:hAnsi="宋体"/>
                <w:bCs/>
                <w:sz w:val="24"/>
                <w:szCs w:val="24"/>
              </w:rPr>
              <w:t>规格</w:t>
            </w:r>
          </w:p>
          <w:p>
            <w:pPr>
              <w:spacing w:line="390" w:lineRule="exact"/>
              <w:jc w:val="center"/>
              <w:rPr>
                <w:rFonts w:ascii="宋体" w:hAnsi="宋体"/>
                <w:bCs/>
                <w:sz w:val="24"/>
                <w:szCs w:val="24"/>
              </w:rPr>
            </w:pPr>
            <w:r>
              <w:rPr>
                <w:rFonts w:hint="eastAsia" w:ascii="宋体" w:hAnsi="宋体"/>
                <w:bCs/>
                <w:sz w:val="24"/>
                <w:szCs w:val="24"/>
              </w:rPr>
              <w:t>型号</w:t>
            </w:r>
          </w:p>
        </w:tc>
        <w:tc>
          <w:tcPr>
            <w:tcW w:w="450" w:type="dxa"/>
            <w:vAlign w:val="center"/>
          </w:tcPr>
          <w:p>
            <w:pPr>
              <w:spacing w:line="390" w:lineRule="exact"/>
              <w:jc w:val="center"/>
              <w:rPr>
                <w:rFonts w:ascii="宋体" w:hAnsi="宋体"/>
                <w:bCs/>
                <w:sz w:val="24"/>
                <w:szCs w:val="24"/>
              </w:rPr>
            </w:pPr>
            <w:r>
              <w:rPr>
                <w:rFonts w:ascii="宋体" w:hAnsi="宋体"/>
                <w:bCs/>
                <w:sz w:val="24"/>
                <w:szCs w:val="24"/>
              </w:rPr>
              <w:t>单位</w:t>
            </w:r>
          </w:p>
        </w:tc>
        <w:tc>
          <w:tcPr>
            <w:tcW w:w="625" w:type="dxa"/>
            <w:vAlign w:val="center"/>
          </w:tcPr>
          <w:p>
            <w:pPr>
              <w:spacing w:line="390" w:lineRule="exact"/>
              <w:jc w:val="center"/>
              <w:rPr>
                <w:rFonts w:ascii="宋体" w:hAnsi="宋体"/>
                <w:bCs/>
                <w:sz w:val="24"/>
                <w:szCs w:val="24"/>
              </w:rPr>
            </w:pPr>
            <w:r>
              <w:rPr>
                <w:rFonts w:ascii="宋体" w:hAnsi="宋体"/>
                <w:bCs/>
                <w:sz w:val="24"/>
                <w:szCs w:val="24"/>
              </w:rPr>
              <w:t>数量</w:t>
            </w:r>
          </w:p>
        </w:tc>
        <w:tc>
          <w:tcPr>
            <w:tcW w:w="979" w:type="dxa"/>
            <w:vAlign w:val="center"/>
          </w:tcPr>
          <w:p>
            <w:pPr>
              <w:spacing w:line="390" w:lineRule="exact"/>
              <w:jc w:val="center"/>
              <w:rPr>
                <w:rFonts w:ascii="宋体" w:hAnsi="宋体"/>
                <w:bCs/>
                <w:sz w:val="24"/>
                <w:szCs w:val="24"/>
              </w:rPr>
            </w:pPr>
            <w:r>
              <w:rPr>
                <w:rFonts w:hint="eastAsia" w:ascii="宋体" w:hAnsi="宋体"/>
                <w:bCs/>
                <w:sz w:val="24"/>
                <w:szCs w:val="24"/>
              </w:rPr>
              <w:t>不含增值税单价（元）</w:t>
            </w:r>
          </w:p>
        </w:tc>
        <w:tc>
          <w:tcPr>
            <w:tcW w:w="1075" w:type="dxa"/>
            <w:vAlign w:val="center"/>
          </w:tcPr>
          <w:p>
            <w:pPr>
              <w:spacing w:line="390" w:lineRule="exact"/>
              <w:jc w:val="center"/>
              <w:rPr>
                <w:rFonts w:ascii="宋体" w:hAnsi="宋体"/>
                <w:bCs/>
                <w:sz w:val="24"/>
                <w:szCs w:val="24"/>
              </w:rPr>
            </w:pPr>
            <w:r>
              <w:rPr>
                <w:rFonts w:hint="eastAsia" w:ascii="宋体" w:hAnsi="宋体"/>
                <w:bCs/>
                <w:sz w:val="24"/>
                <w:szCs w:val="24"/>
              </w:rPr>
              <w:t>不含增值税</w:t>
            </w:r>
            <w:r>
              <w:rPr>
                <w:rFonts w:ascii="宋体" w:hAnsi="宋体"/>
                <w:bCs/>
                <w:sz w:val="24"/>
                <w:szCs w:val="24"/>
              </w:rPr>
              <w:t>总价</w:t>
            </w:r>
            <w:r>
              <w:rPr>
                <w:rFonts w:hint="eastAsia" w:ascii="宋体" w:hAnsi="宋体"/>
                <w:bCs/>
                <w:sz w:val="24"/>
                <w:szCs w:val="24"/>
              </w:rPr>
              <w:t>（元）</w:t>
            </w:r>
          </w:p>
        </w:tc>
        <w:tc>
          <w:tcPr>
            <w:tcW w:w="975" w:type="dxa"/>
            <w:vAlign w:val="center"/>
          </w:tcPr>
          <w:p>
            <w:pPr>
              <w:spacing w:line="390" w:lineRule="exact"/>
              <w:jc w:val="center"/>
              <w:rPr>
                <w:rFonts w:ascii="宋体" w:hAnsi="宋体"/>
                <w:bCs/>
                <w:sz w:val="24"/>
                <w:szCs w:val="24"/>
              </w:rPr>
            </w:pPr>
            <w:r>
              <w:rPr>
                <w:rFonts w:hint="eastAsia" w:ascii="宋体" w:hAnsi="宋体"/>
                <w:bCs/>
                <w:sz w:val="24"/>
                <w:szCs w:val="24"/>
              </w:rPr>
              <w:t>含增值税单价（元）</w:t>
            </w:r>
          </w:p>
        </w:tc>
        <w:tc>
          <w:tcPr>
            <w:tcW w:w="975" w:type="dxa"/>
            <w:vAlign w:val="center"/>
          </w:tcPr>
          <w:p>
            <w:pPr>
              <w:spacing w:line="390" w:lineRule="exact"/>
              <w:jc w:val="center"/>
              <w:rPr>
                <w:rFonts w:ascii="宋体" w:hAnsi="宋体"/>
                <w:bCs/>
                <w:sz w:val="24"/>
                <w:szCs w:val="24"/>
              </w:rPr>
            </w:pPr>
            <w:r>
              <w:rPr>
                <w:rFonts w:hint="eastAsia" w:ascii="宋体" w:hAnsi="宋体"/>
                <w:bCs/>
                <w:sz w:val="24"/>
                <w:szCs w:val="24"/>
              </w:rPr>
              <w:t>含增值税</w:t>
            </w:r>
            <w:r>
              <w:rPr>
                <w:rFonts w:ascii="宋体" w:hAnsi="宋体"/>
                <w:bCs/>
                <w:sz w:val="24"/>
                <w:szCs w:val="24"/>
              </w:rPr>
              <w:t>总价</w:t>
            </w:r>
            <w:r>
              <w:rPr>
                <w:rFonts w:hint="eastAsia" w:ascii="宋体" w:hAnsi="宋体"/>
                <w:bCs/>
                <w:sz w:val="24"/>
                <w:szCs w:val="24"/>
              </w:rPr>
              <w:t>（元）</w:t>
            </w:r>
          </w:p>
        </w:tc>
        <w:tc>
          <w:tcPr>
            <w:tcW w:w="825" w:type="dxa"/>
            <w:vAlign w:val="center"/>
          </w:tcPr>
          <w:p>
            <w:pPr>
              <w:spacing w:line="390" w:lineRule="exact"/>
              <w:jc w:val="center"/>
              <w:rPr>
                <w:rFonts w:ascii="宋体" w:hAnsi="宋体"/>
                <w:bCs/>
                <w:sz w:val="24"/>
                <w:szCs w:val="24"/>
              </w:rPr>
            </w:pPr>
            <w:r>
              <w:rPr>
                <w:rFonts w:hint="eastAsia" w:ascii="宋体" w:hAnsi="宋体"/>
                <w:bCs/>
                <w:sz w:val="24"/>
                <w:szCs w:val="24"/>
              </w:rPr>
              <w:t>生产厂家</w:t>
            </w:r>
          </w:p>
        </w:tc>
        <w:tc>
          <w:tcPr>
            <w:tcW w:w="613" w:type="dxa"/>
            <w:vAlign w:val="center"/>
          </w:tcPr>
          <w:p>
            <w:pPr>
              <w:spacing w:line="390" w:lineRule="exact"/>
              <w:jc w:val="center"/>
              <w:rPr>
                <w:rFonts w:ascii="宋体" w:hAnsi="宋体"/>
                <w:bCs/>
                <w:sz w:val="24"/>
                <w:szCs w:val="24"/>
              </w:rPr>
            </w:pPr>
            <w:r>
              <w:rPr>
                <w:rFonts w:hint="eastAsia" w:ascii="宋体" w:hAnsi="宋体"/>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25" w:type="dxa"/>
            <w:vAlign w:val="center"/>
          </w:tcPr>
          <w:p>
            <w:pPr>
              <w:spacing w:line="390" w:lineRule="exact"/>
              <w:jc w:val="center"/>
              <w:rPr>
                <w:rFonts w:ascii="宋体" w:hAnsi="宋体"/>
                <w:sz w:val="24"/>
                <w:szCs w:val="24"/>
              </w:rPr>
            </w:pPr>
            <w:r>
              <w:rPr>
                <w:rFonts w:hint="eastAsia" w:ascii="宋体" w:hAnsi="宋体"/>
                <w:sz w:val="24"/>
                <w:szCs w:val="24"/>
              </w:rPr>
              <w:t>1</w:t>
            </w:r>
          </w:p>
        </w:tc>
        <w:tc>
          <w:tcPr>
            <w:tcW w:w="804" w:type="dxa"/>
            <w:vAlign w:val="center"/>
          </w:tcPr>
          <w:p>
            <w:pPr>
              <w:spacing w:line="390" w:lineRule="exact"/>
              <w:rPr>
                <w:rFonts w:ascii="宋体" w:hAnsi="宋体"/>
                <w:sz w:val="24"/>
                <w:szCs w:val="24"/>
              </w:rPr>
            </w:pPr>
          </w:p>
        </w:tc>
        <w:tc>
          <w:tcPr>
            <w:tcW w:w="925" w:type="dxa"/>
            <w:vAlign w:val="center"/>
          </w:tcPr>
          <w:p>
            <w:pPr>
              <w:spacing w:line="390" w:lineRule="exact"/>
              <w:rPr>
                <w:rFonts w:ascii="宋体" w:hAnsi="宋体"/>
                <w:sz w:val="24"/>
                <w:szCs w:val="24"/>
              </w:rPr>
            </w:pPr>
          </w:p>
        </w:tc>
        <w:tc>
          <w:tcPr>
            <w:tcW w:w="450" w:type="dxa"/>
            <w:vAlign w:val="center"/>
          </w:tcPr>
          <w:p>
            <w:pPr>
              <w:spacing w:line="390" w:lineRule="exact"/>
              <w:rPr>
                <w:rFonts w:ascii="宋体" w:hAnsi="宋体"/>
                <w:sz w:val="24"/>
                <w:szCs w:val="24"/>
              </w:rPr>
            </w:pPr>
          </w:p>
        </w:tc>
        <w:tc>
          <w:tcPr>
            <w:tcW w:w="625" w:type="dxa"/>
            <w:vAlign w:val="center"/>
          </w:tcPr>
          <w:p>
            <w:pPr>
              <w:spacing w:line="390" w:lineRule="exact"/>
              <w:rPr>
                <w:rFonts w:ascii="宋体" w:hAnsi="宋体"/>
                <w:sz w:val="24"/>
                <w:szCs w:val="24"/>
              </w:rPr>
            </w:pPr>
          </w:p>
        </w:tc>
        <w:tc>
          <w:tcPr>
            <w:tcW w:w="979" w:type="dxa"/>
            <w:vAlign w:val="center"/>
          </w:tcPr>
          <w:p>
            <w:pPr>
              <w:spacing w:line="390" w:lineRule="exact"/>
              <w:rPr>
                <w:rFonts w:ascii="宋体" w:hAnsi="宋体"/>
                <w:sz w:val="24"/>
                <w:szCs w:val="24"/>
              </w:rPr>
            </w:pPr>
          </w:p>
        </w:tc>
        <w:tc>
          <w:tcPr>
            <w:tcW w:w="1075" w:type="dxa"/>
            <w:vAlign w:val="center"/>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825" w:type="dxa"/>
          </w:tcPr>
          <w:p>
            <w:pPr>
              <w:spacing w:line="390" w:lineRule="exact"/>
              <w:rPr>
                <w:rFonts w:ascii="宋体" w:hAnsi="宋体"/>
                <w:sz w:val="24"/>
                <w:szCs w:val="24"/>
              </w:rPr>
            </w:pPr>
          </w:p>
        </w:tc>
        <w:tc>
          <w:tcPr>
            <w:tcW w:w="613" w:type="dxa"/>
            <w:vAlign w:val="center"/>
          </w:tcPr>
          <w:p>
            <w:pPr>
              <w:spacing w:line="39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25" w:type="dxa"/>
            <w:vAlign w:val="center"/>
          </w:tcPr>
          <w:p>
            <w:pPr>
              <w:spacing w:line="390" w:lineRule="exact"/>
              <w:jc w:val="center"/>
              <w:rPr>
                <w:rFonts w:ascii="宋体" w:hAnsi="宋体"/>
                <w:sz w:val="24"/>
                <w:szCs w:val="24"/>
              </w:rPr>
            </w:pPr>
            <w:r>
              <w:rPr>
                <w:rFonts w:hint="eastAsia" w:ascii="宋体" w:hAnsi="宋体"/>
                <w:sz w:val="24"/>
                <w:szCs w:val="24"/>
              </w:rPr>
              <w:t>2</w:t>
            </w:r>
          </w:p>
        </w:tc>
        <w:tc>
          <w:tcPr>
            <w:tcW w:w="804" w:type="dxa"/>
            <w:vAlign w:val="center"/>
          </w:tcPr>
          <w:p>
            <w:pPr>
              <w:spacing w:line="390" w:lineRule="exact"/>
              <w:rPr>
                <w:rFonts w:ascii="宋体" w:hAnsi="宋体"/>
                <w:sz w:val="24"/>
                <w:szCs w:val="24"/>
              </w:rPr>
            </w:pPr>
          </w:p>
        </w:tc>
        <w:tc>
          <w:tcPr>
            <w:tcW w:w="925" w:type="dxa"/>
            <w:vAlign w:val="center"/>
          </w:tcPr>
          <w:p>
            <w:pPr>
              <w:spacing w:line="390" w:lineRule="exact"/>
              <w:rPr>
                <w:rFonts w:ascii="宋体" w:hAnsi="宋体"/>
                <w:sz w:val="24"/>
                <w:szCs w:val="24"/>
              </w:rPr>
            </w:pPr>
          </w:p>
        </w:tc>
        <w:tc>
          <w:tcPr>
            <w:tcW w:w="450" w:type="dxa"/>
            <w:vAlign w:val="center"/>
          </w:tcPr>
          <w:p>
            <w:pPr>
              <w:spacing w:line="390" w:lineRule="exact"/>
              <w:rPr>
                <w:rFonts w:ascii="宋体" w:hAnsi="宋体"/>
                <w:sz w:val="24"/>
                <w:szCs w:val="24"/>
              </w:rPr>
            </w:pPr>
          </w:p>
        </w:tc>
        <w:tc>
          <w:tcPr>
            <w:tcW w:w="625" w:type="dxa"/>
            <w:vAlign w:val="center"/>
          </w:tcPr>
          <w:p>
            <w:pPr>
              <w:spacing w:line="390" w:lineRule="exact"/>
              <w:rPr>
                <w:rFonts w:ascii="宋体" w:hAnsi="宋体"/>
                <w:sz w:val="24"/>
                <w:szCs w:val="24"/>
              </w:rPr>
            </w:pPr>
          </w:p>
        </w:tc>
        <w:tc>
          <w:tcPr>
            <w:tcW w:w="979" w:type="dxa"/>
            <w:vAlign w:val="center"/>
          </w:tcPr>
          <w:p>
            <w:pPr>
              <w:spacing w:line="390" w:lineRule="exact"/>
              <w:rPr>
                <w:rFonts w:ascii="宋体" w:hAnsi="宋体"/>
                <w:sz w:val="24"/>
                <w:szCs w:val="24"/>
              </w:rPr>
            </w:pPr>
          </w:p>
        </w:tc>
        <w:tc>
          <w:tcPr>
            <w:tcW w:w="1075" w:type="dxa"/>
            <w:vAlign w:val="center"/>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825" w:type="dxa"/>
          </w:tcPr>
          <w:p>
            <w:pPr>
              <w:spacing w:line="390" w:lineRule="exact"/>
              <w:rPr>
                <w:rFonts w:ascii="宋体" w:hAnsi="宋体"/>
                <w:sz w:val="24"/>
                <w:szCs w:val="24"/>
              </w:rPr>
            </w:pPr>
          </w:p>
        </w:tc>
        <w:tc>
          <w:tcPr>
            <w:tcW w:w="613" w:type="dxa"/>
            <w:vAlign w:val="center"/>
          </w:tcPr>
          <w:p>
            <w:pPr>
              <w:spacing w:line="39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25" w:type="dxa"/>
            <w:vAlign w:val="center"/>
          </w:tcPr>
          <w:p>
            <w:pPr>
              <w:spacing w:line="390" w:lineRule="exact"/>
              <w:jc w:val="center"/>
              <w:rPr>
                <w:rFonts w:ascii="宋体" w:hAnsi="宋体"/>
                <w:sz w:val="24"/>
                <w:szCs w:val="24"/>
              </w:rPr>
            </w:pPr>
            <w:r>
              <w:rPr>
                <w:rFonts w:hint="eastAsia" w:ascii="宋体" w:hAnsi="宋体"/>
                <w:sz w:val="24"/>
                <w:szCs w:val="24"/>
              </w:rPr>
              <w:t>3</w:t>
            </w:r>
          </w:p>
        </w:tc>
        <w:tc>
          <w:tcPr>
            <w:tcW w:w="804" w:type="dxa"/>
            <w:vAlign w:val="center"/>
          </w:tcPr>
          <w:p>
            <w:pPr>
              <w:spacing w:line="390" w:lineRule="exact"/>
              <w:rPr>
                <w:rFonts w:ascii="宋体" w:hAnsi="宋体"/>
                <w:sz w:val="24"/>
                <w:szCs w:val="24"/>
              </w:rPr>
            </w:pPr>
          </w:p>
        </w:tc>
        <w:tc>
          <w:tcPr>
            <w:tcW w:w="925" w:type="dxa"/>
            <w:vAlign w:val="center"/>
          </w:tcPr>
          <w:p>
            <w:pPr>
              <w:spacing w:line="390" w:lineRule="exact"/>
              <w:rPr>
                <w:rFonts w:ascii="宋体" w:hAnsi="宋体"/>
                <w:sz w:val="24"/>
                <w:szCs w:val="24"/>
              </w:rPr>
            </w:pPr>
          </w:p>
        </w:tc>
        <w:tc>
          <w:tcPr>
            <w:tcW w:w="450" w:type="dxa"/>
            <w:vAlign w:val="center"/>
          </w:tcPr>
          <w:p>
            <w:pPr>
              <w:spacing w:line="390" w:lineRule="exact"/>
              <w:rPr>
                <w:rFonts w:ascii="宋体" w:hAnsi="宋体"/>
                <w:sz w:val="24"/>
                <w:szCs w:val="24"/>
              </w:rPr>
            </w:pPr>
          </w:p>
        </w:tc>
        <w:tc>
          <w:tcPr>
            <w:tcW w:w="625" w:type="dxa"/>
            <w:vAlign w:val="center"/>
          </w:tcPr>
          <w:p>
            <w:pPr>
              <w:spacing w:line="390" w:lineRule="exact"/>
              <w:rPr>
                <w:rFonts w:ascii="宋体" w:hAnsi="宋体"/>
                <w:sz w:val="24"/>
                <w:szCs w:val="24"/>
              </w:rPr>
            </w:pPr>
          </w:p>
        </w:tc>
        <w:tc>
          <w:tcPr>
            <w:tcW w:w="979" w:type="dxa"/>
            <w:vAlign w:val="center"/>
          </w:tcPr>
          <w:p>
            <w:pPr>
              <w:spacing w:line="390" w:lineRule="exact"/>
              <w:rPr>
                <w:rFonts w:ascii="宋体" w:hAnsi="宋体"/>
                <w:sz w:val="24"/>
                <w:szCs w:val="24"/>
              </w:rPr>
            </w:pPr>
          </w:p>
        </w:tc>
        <w:tc>
          <w:tcPr>
            <w:tcW w:w="1075" w:type="dxa"/>
            <w:vAlign w:val="center"/>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825" w:type="dxa"/>
          </w:tcPr>
          <w:p>
            <w:pPr>
              <w:spacing w:line="390" w:lineRule="exact"/>
              <w:rPr>
                <w:rFonts w:ascii="宋体" w:hAnsi="宋体"/>
                <w:sz w:val="24"/>
                <w:szCs w:val="24"/>
              </w:rPr>
            </w:pPr>
          </w:p>
        </w:tc>
        <w:tc>
          <w:tcPr>
            <w:tcW w:w="613" w:type="dxa"/>
            <w:vAlign w:val="center"/>
          </w:tcPr>
          <w:p>
            <w:pPr>
              <w:spacing w:line="39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525" w:type="dxa"/>
            <w:vAlign w:val="center"/>
          </w:tcPr>
          <w:p>
            <w:pPr>
              <w:spacing w:line="390" w:lineRule="exact"/>
              <w:jc w:val="center"/>
              <w:rPr>
                <w:rFonts w:ascii="宋体" w:hAnsi="宋体"/>
                <w:sz w:val="24"/>
                <w:szCs w:val="24"/>
              </w:rPr>
            </w:pPr>
            <w:r>
              <w:rPr>
                <w:rFonts w:ascii="宋体" w:hAnsi="宋体"/>
                <w:sz w:val="24"/>
                <w:szCs w:val="24"/>
              </w:rPr>
              <w:t>…</w:t>
            </w:r>
          </w:p>
        </w:tc>
        <w:tc>
          <w:tcPr>
            <w:tcW w:w="804" w:type="dxa"/>
            <w:vAlign w:val="center"/>
          </w:tcPr>
          <w:p>
            <w:pPr>
              <w:spacing w:line="390" w:lineRule="exact"/>
              <w:rPr>
                <w:rFonts w:ascii="宋体" w:hAnsi="宋体"/>
                <w:sz w:val="24"/>
                <w:szCs w:val="24"/>
              </w:rPr>
            </w:pPr>
            <w:r>
              <w:rPr>
                <w:rFonts w:ascii="宋体" w:hAnsi="宋体"/>
                <w:sz w:val="24"/>
                <w:szCs w:val="24"/>
              </w:rPr>
              <w:t>…</w:t>
            </w:r>
          </w:p>
        </w:tc>
        <w:tc>
          <w:tcPr>
            <w:tcW w:w="925" w:type="dxa"/>
            <w:vAlign w:val="center"/>
          </w:tcPr>
          <w:p>
            <w:pPr>
              <w:spacing w:line="390" w:lineRule="exact"/>
              <w:rPr>
                <w:rFonts w:ascii="宋体" w:hAnsi="宋体"/>
                <w:sz w:val="24"/>
                <w:szCs w:val="24"/>
              </w:rPr>
            </w:pPr>
          </w:p>
        </w:tc>
        <w:tc>
          <w:tcPr>
            <w:tcW w:w="450" w:type="dxa"/>
            <w:vAlign w:val="center"/>
          </w:tcPr>
          <w:p>
            <w:pPr>
              <w:spacing w:line="390" w:lineRule="exact"/>
              <w:rPr>
                <w:rFonts w:ascii="宋体" w:hAnsi="宋体"/>
                <w:sz w:val="24"/>
                <w:szCs w:val="24"/>
              </w:rPr>
            </w:pPr>
          </w:p>
        </w:tc>
        <w:tc>
          <w:tcPr>
            <w:tcW w:w="625" w:type="dxa"/>
            <w:vAlign w:val="center"/>
          </w:tcPr>
          <w:p>
            <w:pPr>
              <w:spacing w:line="390" w:lineRule="exact"/>
              <w:rPr>
                <w:rFonts w:ascii="宋体" w:hAnsi="宋体"/>
                <w:sz w:val="24"/>
                <w:szCs w:val="24"/>
              </w:rPr>
            </w:pPr>
          </w:p>
        </w:tc>
        <w:tc>
          <w:tcPr>
            <w:tcW w:w="979" w:type="dxa"/>
            <w:vAlign w:val="center"/>
          </w:tcPr>
          <w:p>
            <w:pPr>
              <w:spacing w:line="390" w:lineRule="exact"/>
              <w:rPr>
                <w:rFonts w:ascii="宋体" w:hAnsi="宋体"/>
                <w:sz w:val="24"/>
                <w:szCs w:val="24"/>
              </w:rPr>
            </w:pPr>
          </w:p>
        </w:tc>
        <w:tc>
          <w:tcPr>
            <w:tcW w:w="1075" w:type="dxa"/>
            <w:vAlign w:val="center"/>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825" w:type="dxa"/>
          </w:tcPr>
          <w:p>
            <w:pPr>
              <w:spacing w:line="390" w:lineRule="exact"/>
              <w:rPr>
                <w:rFonts w:ascii="宋体" w:hAnsi="宋体"/>
                <w:sz w:val="24"/>
                <w:szCs w:val="24"/>
              </w:rPr>
            </w:pPr>
          </w:p>
        </w:tc>
        <w:tc>
          <w:tcPr>
            <w:tcW w:w="613" w:type="dxa"/>
            <w:vAlign w:val="center"/>
          </w:tcPr>
          <w:p>
            <w:pPr>
              <w:spacing w:line="39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329" w:type="dxa"/>
            <w:gridSpan w:val="2"/>
            <w:vAlign w:val="center"/>
          </w:tcPr>
          <w:p>
            <w:pPr>
              <w:spacing w:line="390" w:lineRule="exact"/>
              <w:jc w:val="center"/>
              <w:rPr>
                <w:rFonts w:ascii="宋体" w:hAnsi="宋体"/>
                <w:sz w:val="24"/>
                <w:szCs w:val="24"/>
              </w:rPr>
            </w:pPr>
            <w:r>
              <w:rPr>
                <w:rFonts w:hint="eastAsia" w:ascii="宋体" w:hAnsi="宋体"/>
                <w:bCs/>
                <w:sz w:val="24"/>
                <w:szCs w:val="24"/>
              </w:rPr>
              <w:t>小计</w:t>
            </w:r>
          </w:p>
        </w:tc>
        <w:tc>
          <w:tcPr>
            <w:tcW w:w="925" w:type="dxa"/>
            <w:vAlign w:val="center"/>
          </w:tcPr>
          <w:p>
            <w:pPr>
              <w:spacing w:line="390" w:lineRule="exact"/>
              <w:rPr>
                <w:rFonts w:ascii="宋体" w:hAnsi="宋体"/>
                <w:sz w:val="24"/>
                <w:szCs w:val="24"/>
              </w:rPr>
            </w:pPr>
          </w:p>
        </w:tc>
        <w:tc>
          <w:tcPr>
            <w:tcW w:w="450" w:type="dxa"/>
            <w:vAlign w:val="center"/>
          </w:tcPr>
          <w:p>
            <w:pPr>
              <w:spacing w:line="390" w:lineRule="exact"/>
              <w:rPr>
                <w:rFonts w:ascii="宋体" w:hAnsi="宋体"/>
                <w:sz w:val="24"/>
                <w:szCs w:val="24"/>
              </w:rPr>
            </w:pPr>
          </w:p>
        </w:tc>
        <w:tc>
          <w:tcPr>
            <w:tcW w:w="625" w:type="dxa"/>
            <w:vAlign w:val="center"/>
          </w:tcPr>
          <w:p>
            <w:pPr>
              <w:spacing w:line="390" w:lineRule="exact"/>
              <w:rPr>
                <w:rFonts w:ascii="宋体" w:hAnsi="宋体"/>
                <w:sz w:val="24"/>
                <w:szCs w:val="24"/>
              </w:rPr>
            </w:pPr>
          </w:p>
        </w:tc>
        <w:tc>
          <w:tcPr>
            <w:tcW w:w="979" w:type="dxa"/>
            <w:vAlign w:val="center"/>
          </w:tcPr>
          <w:p>
            <w:pPr>
              <w:spacing w:line="390" w:lineRule="exact"/>
              <w:rPr>
                <w:rFonts w:ascii="宋体" w:hAnsi="宋体"/>
                <w:sz w:val="24"/>
                <w:szCs w:val="24"/>
              </w:rPr>
            </w:pPr>
          </w:p>
        </w:tc>
        <w:tc>
          <w:tcPr>
            <w:tcW w:w="1075" w:type="dxa"/>
            <w:vAlign w:val="center"/>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975" w:type="dxa"/>
          </w:tcPr>
          <w:p>
            <w:pPr>
              <w:spacing w:line="390" w:lineRule="exact"/>
              <w:rPr>
                <w:rFonts w:ascii="宋体" w:hAnsi="宋体"/>
                <w:sz w:val="24"/>
                <w:szCs w:val="24"/>
              </w:rPr>
            </w:pPr>
          </w:p>
        </w:tc>
        <w:tc>
          <w:tcPr>
            <w:tcW w:w="825" w:type="dxa"/>
          </w:tcPr>
          <w:p>
            <w:pPr>
              <w:spacing w:line="390" w:lineRule="exact"/>
              <w:rPr>
                <w:rFonts w:ascii="宋体" w:hAnsi="宋体"/>
                <w:sz w:val="24"/>
                <w:szCs w:val="24"/>
              </w:rPr>
            </w:pPr>
          </w:p>
        </w:tc>
        <w:tc>
          <w:tcPr>
            <w:tcW w:w="613" w:type="dxa"/>
            <w:vAlign w:val="center"/>
          </w:tcPr>
          <w:p>
            <w:pPr>
              <w:spacing w:line="390" w:lineRule="exact"/>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771" w:type="dxa"/>
            <w:gridSpan w:val="11"/>
            <w:vAlign w:val="center"/>
          </w:tcPr>
          <w:p>
            <w:pPr>
              <w:spacing w:line="390" w:lineRule="exact"/>
              <w:rPr>
                <w:rFonts w:ascii="宋体" w:hAnsi="宋体"/>
                <w:sz w:val="24"/>
                <w:szCs w:val="24"/>
              </w:rPr>
            </w:pPr>
            <w:r>
              <w:rPr>
                <w:rFonts w:hint="eastAsia" w:ascii="宋体" w:hAnsi="宋体"/>
                <w:bCs/>
                <w:sz w:val="24"/>
                <w:szCs w:val="24"/>
              </w:rPr>
              <w:t>增值税税率为</w:t>
            </w:r>
            <w:r>
              <w:rPr>
                <w:rFonts w:hint="eastAsia" w:ascii="宋体" w:hAnsi="宋体"/>
                <w:bCs/>
                <w:sz w:val="24"/>
                <w:szCs w:val="24"/>
                <w:u w:val="single"/>
              </w:rPr>
              <w:t xml:space="preserve"> </w:t>
            </w:r>
            <w:r>
              <w:rPr>
                <w:rFonts w:ascii="宋体" w:hAnsi="宋体"/>
                <w:bCs/>
                <w:sz w:val="24"/>
                <w:szCs w:val="24"/>
                <w:u w:val="single"/>
              </w:rPr>
              <w:t xml:space="preserve">  </w:t>
            </w:r>
            <w:r>
              <w:rPr>
                <w:rFonts w:hint="eastAsia" w:ascii="宋体" w:hAnsi="宋体"/>
                <w:bCs/>
                <w:sz w:val="24"/>
                <w:szCs w:val="24"/>
                <w:u w:val="single"/>
              </w:rPr>
              <w:t xml:space="preserve">  </w:t>
            </w:r>
            <w:r>
              <w:rPr>
                <w:rFonts w:hint="eastAsia" w:ascii="宋体" w:hAnsi="宋体"/>
                <w:bCs/>
                <w:sz w:val="24"/>
                <w:szCs w:val="24"/>
              </w:rPr>
              <w:t>%，增值税额：</w:t>
            </w:r>
            <w:r>
              <w:rPr>
                <w:rFonts w:hint="eastAsia" w:ascii="宋体" w:hAnsi="宋体"/>
                <w:bCs/>
                <w:sz w:val="24"/>
                <w:szCs w:val="24"/>
                <w:u w:val="single"/>
              </w:rPr>
              <w:t xml:space="preserve">            </w:t>
            </w:r>
            <w:r>
              <w:rPr>
                <w:rFonts w:hint="eastAsia" w:ascii="宋体" w:hAnsi="宋体"/>
                <w:bCs/>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8771" w:type="dxa"/>
            <w:gridSpan w:val="11"/>
            <w:vAlign w:val="center"/>
          </w:tcPr>
          <w:p>
            <w:pPr>
              <w:spacing w:line="390" w:lineRule="exact"/>
              <w:rPr>
                <w:rFonts w:ascii="宋体" w:hAnsi="宋体"/>
                <w:sz w:val="24"/>
                <w:szCs w:val="24"/>
              </w:rPr>
            </w:pPr>
            <w:r>
              <w:rPr>
                <w:rFonts w:ascii="宋体" w:hAnsi="宋体"/>
                <w:sz w:val="24"/>
                <w:szCs w:val="24"/>
              </w:rPr>
              <w:t>含增值税总价</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 xml:space="preserve"> （小写）：</w:t>
            </w:r>
            <w:r>
              <w:rPr>
                <w:rFonts w:hint="eastAsia" w:ascii="宋体" w:hAnsi="宋体"/>
                <w:sz w:val="24"/>
                <w:szCs w:val="24"/>
                <w:u w:val="single"/>
              </w:rPr>
              <w:t xml:space="preserve">                  </w:t>
            </w:r>
            <w:r>
              <w:rPr>
                <w:rFonts w:hint="eastAsia" w:ascii="宋体" w:hAnsi="宋体"/>
                <w:sz w:val="24"/>
                <w:szCs w:val="24"/>
              </w:rPr>
              <w:t>元。</w:t>
            </w:r>
          </w:p>
        </w:tc>
      </w:tr>
    </w:tbl>
    <w:p>
      <w:pPr>
        <w:spacing w:line="390" w:lineRule="exact"/>
        <w:ind w:firstLine="720" w:firstLineChars="300"/>
        <w:rPr>
          <w:rFonts w:hint="eastAsia" w:ascii="宋体" w:hAnsi="宋体"/>
          <w:sz w:val="24"/>
          <w:szCs w:val="24"/>
        </w:rPr>
      </w:pPr>
      <w:r>
        <w:rPr>
          <w:rFonts w:hint="eastAsia" w:ascii="宋体" w:hAnsi="宋体"/>
          <w:sz w:val="24"/>
          <w:szCs w:val="24"/>
          <w:lang w:val="en-US" w:eastAsia="zh-CN"/>
        </w:rPr>
        <w:t>1.1</w:t>
      </w:r>
      <w:r>
        <w:rPr>
          <w:rFonts w:hint="eastAsia" w:ascii="宋体" w:hAnsi="宋体"/>
          <w:sz w:val="24"/>
          <w:szCs w:val="24"/>
        </w:rPr>
        <w:t>本合同暂定总价（含增值税）</w:t>
      </w:r>
      <w:r>
        <w:rPr>
          <w:rFonts w:hint="eastAsia" w:ascii="宋体" w:hAnsi="宋体"/>
          <w:sz w:val="24"/>
          <w:szCs w:val="24"/>
          <w:u w:val="single"/>
        </w:rPr>
        <w:t xml:space="preserve">        </w:t>
      </w:r>
      <w:r>
        <w:rPr>
          <w:rFonts w:hint="eastAsia" w:ascii="宋体" w:hAnsi="宋体"/>
          <w:sz w:val="24"/>
          <w:szCs w:val="24"/>
        </w:rPr>
        <w:t xml:space="preserve"> 元（大写：人民币</w:t>
      </w:r>
      <w:r>
        <w:rPr>
          <w:rFonts w:hint="eastAsia" w:ascii="宋体" w:hAnsi="宋体"/>
          <w:sz w:val="24"/>
          <w:szCs w:val="24"/>
          <w:u w:val="single"/>
        </w:rPr>
        <w:t xml:space="preserve">        </w:t>
      </w:r>
      <w:r>
        <w:rPr>
          <w:rFonts w:hint="eastAsia" w:ascii="宋体" w:hAnsi="宋体"/>
          <w:sz w:val="24"/>
          <w:szCs w:val="24"/>
        </w:rPr>
        <w:t>元）。其中，不含增值税价款为</w:t>
      </w:r>
      <w:r>
        <w:rPr>
          <w:rFonts w:hint="eastAsia" w:ascii="宋体" w:hAnsi="宋体"/>
          <w:sz w:val="24"/>
          <w:szCs w:val="24"/>
          <w:u w:val="single"/>
        </w:rPr>
        <w:t xml:space="preserve">      </w:t>
      </w:r>
      <w:r>
        <w:rPr>
          <w:rFonts w:hint="eastAsia" w:ascii="宋体" w:hAnsi="宋体"/>
          <w:sz w:val="24"/>
          <w:szCs w:val="24"/>
        </w:rPr>
        <w:t>元（大写：人民币</w:t>
      </w:r>
      <w:r>
        <w:rPr>
          <w:rFonts w:hint="eastAsia" w:ascii="宋体" w:hAnsi="宋体"/>
          <w:sz w:val="24"/>
          <w:szCs w:val="24"/>
          <w:u w:val="single"/>
        </w:rPr>
        <w:t xml:space="preserve">     </w:t>
      </w:r>
      <w:r>
        <w:rPr>
          <w:rFonts w:hint="eastAsia" w:ascii="宋体" w:hAnsi="宋体"/>
          <w:sz w:val="24"/>
          <w:szCs w:val="24"/>
        </w:rPr>
        <w:t>元），增值税税率为</w:t>
      </w:r>
      <w:r>
        <w:rPr>
          <w:rFonts w:hint="eastAsia" w:ascii="宋体" w:hAnsi="宋体"/>
          <w:sz w:val="24"/>
          <w:szCs w:val="24"/>
          <w:u w:val="single"/>
        </w:rPr>
        <w:t xml:space="preserve">    </w:t>
      </w:r>
      <w:r>
        <w:rPr>
          <w:rFonts w:hint="eastAsia" w:ascii="宋体" w:hAnsi="宋体"/>
          <w:sz w:val="24"/>
          <w:szCs w:val="24"/>
        </w:rPr>
        <w:t>%，增值税</w:t>
      </w:r>
      <w:r>
        <w:rPr>
          <w:rFonts w:hint="eastAsia" w:ascii="宋体" w:hAnsi="宋体"/>
          <w:sz w:val="24"/>
          <w:szCs w:val="24"/>
          <w:u w:val="single"/>
        </w:rPr>
        <w:t xml:space="preserve">      </w:t>
      </w:r>
      <w:r>
        <w:rPr>
          <w:rFonts w:hint="eastAsia" w:ascii="宋体" w:hAnsi="宋体"/>
          <w:sz w:val="24"/>
          <w:szCs w:val="24"/>
        </w:rPr>
        <w:t>元（大写：人民币</w:t>
      </w:r>
      <w:r>
        <w:rPr>
          <w:rFonts w:hint="eastAsia" w:ascii="宋体" w:hAnsi="宋体"/>
          <w:sz w:val="24"/>
          <w:szCs w:val="24"/>
          <w:u w:val="single"/>
        </w:rPr>
        <w:t xml:space="preserve">      </w:t>
      </w:r>
      <w:r>
        <w:rPr>
          <w:rFonts w:hint="eastAsia" w:ascii="宋体" w:hAnsi="宋体"/>
          <w:sz w:val="24"/>
          <w:szCs w:val="24"/>
        </w:rPr>
        <w:t>元）。若因国家税务政策变化导致税率调整，不含增值税价格不变，具体税金以变更后的税率计算。</w:t>
      </w:r>
    </w:p>
    <w:p>
      <w:pPr>
        <w:spacing w:line="390" w:lineRule="exact"/>
        <w:ind w:firstLine="600" w:firstLineChars="25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2</w:t>
      </w:r>
      <w:r>
        <w:rPr>
          <w:rFonts w:hint="eastAsia" w:ascii="宋体" w:hAnsi="宋体"/>
          <w:color w:val="000000"/>
          <w:sz w:val="24"/>
          <w:szCs w:val="24"/>
        </w:rPr>
        <w:t>名称、品种、规格、产地：_________。</w:t>
      </w:r>
    </w:p>
    <w:p>
      <w:pPr>
        <w:spacing w:line="390" w:lineRule="exact"/>
        <w:ind w:firstLine="600" w:firstLineChars="25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3</w:t>
      </w:r>
      <w:r>
        <w:rPr>
          <w:rFonts w:hint="eastAsia" w:ascii="宋体" w:hAnsi="宋体"/>
          <w:color w:val="000000"/>
          <w:sz w:val="24"/>
          <w:szCs w:val="24"/>
        </w:rPr>
        <w:t>质量，按下列第_________项执行：</w:t>
      </w:r>
    </w:p>
    <w:p>
      <w:pPr>
        <w:spacing w:line="390" w:lineRule="exact"/>
        <w:ind w:firstLine="600" w:firstLineChars="25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3</w:t>
      </w:r>
      <w:r>
        <w:rPr>
          <w:rFonts w:hint="eastAsia" w:ascii="宋体" w:hAnsi="宋体"/>
          <w:color w:val="000000"/>
          <w:sz w:val="24"/>
          <w:szCs w:val="24"/>
        </w:rPr>
        <w:t>.1按照_________标准执行。</w:t>
      </w:r>
    </w:p>
    <w:p>
      <w:pPr>
        <w:spacing w:line="390" w:lineRule="exact"/>
        <w:ind w:firstLine="600" w:firstLineChars="250"/>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3</w:t>
      </w:r>
      <w:r>
        <w:rPr>
          <w:rFonts w:hint="eastAsia" w:ascii="宋体" w:hAnsi="宋体"/>
          <w:color w:val="000000"/>
          <w:sz w:val="24"/>
          <w:szCs w:val="24"/>
        </w:rPr>
        <w:t>.2按样本，样本作为合同的附件（应注明样本封存及保管方式）。</w:t>
      </w:r>
    </w:p>
    <w:p>
      <w:pPr>
        <w:spacing w:line="390" w:lineRule="exact"/>
        <w:ind w:firstLine="604" w:firstLineChars="252"/>
        <w:rPr>
          <w:rFonts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3</w:t>
      </w:r>
      <w:r>
        <w:rPr>
          <w:rFonts w:hint="eastAsia" w:ascii="宋体" w:hAnsi="宋体"/>
          <w:color w:val="000000"/>
          <w:sz w:val="24"/>
          <w:szCs w:val="24"/>
        </w:rPr>
        <w:t>.3按双方商定要求执行，具体为：</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r>
        <w:rPr>
          <w:rFonts w:hint="eastAsia" w:ascii="宋体" w:hAnsi="宋体"/>
          <w:color w:val="000000"/>
          <w:sz w:val="24"/>
          <w:szCs w:val="24"/>
        </w:rPr>
        <w:t>。</w:t>
      </w:r>
    </w:p>
    <w:p>
      <w:pPr>
        <w:keepNext/>
        <w:keepLines/>
        <w:spacing w:line="390" w:lineRule="exact"/>
        <w:ind w:left="0" w:leftChars="0" w:firstLine="638" w:firstLineChars="266"/>
        <w:outlineLvl w:val="9"/>
        <w:rPr>
          <w:rFonts w:hint="eastAsia" w:ascii="宋体" w:hAnsi="宋体" w:eastAsia="宋体" w:cs="宋体"/>
          <w:sz w:val="24"/>
          <w:szCs w:val="24"/>
        </w:rPr>
      </w:pPr>
      <w:r>
        <w:rPr>
          <w:rFonts w:hint="eastAsia" w:ascii="宋体" w:hAnsi="宋体" w:eastAsia="宋体" w:cs="Times New Roman"/>
          <w:b w:val="0"/>
          <w:bCs w:val="0"/>
          <w:color w:val="000000"/>
          <w:kern w:val="2"/>
          <w:sz w:val="24"/>
          <w:szCs w:val="24"/>
          <w:lang w:val="en-US" w:eastAsia="zh-CN" w:bidi="ar-SA"/>
        </w:rPr>
        <w:t>1.</w:t>
      </w:r>
      <w:r>
        <w:rPr>
          <w:rFonts w:hint="eastAsia" w:ascii="宋体" w:hAnsi="宋体" w:cs="Times New Roman"/>
          <w:b w:val="0"/>
          <w:bCs w:val="0"/>
          <w:color w:val="000000"/>
          <w:kern w:val="2"/>
          <w:sz w:val="24"/>
          <w:szCs w:val="24"/>
          <w:lang w:val="en-US" w:eastAsia="zh-CN" w:bidi="ar-SA"/>
        </w:rPr>
        <w:t>3</w:t>
      </w:r>
      <w:r>
        <w:rPr>
          <w:rFonts w:hint="eastAsia" w:ascii="宋体" w:hAnsi="宋体" w:eastAsia="宋体" w:cs="Times New Roman"/>
          <w:b w:val="0"/>
          <w:bCs w:val="0"/>
          <w:color w:val="000000"/>
          <w:kern w:val="2"/>
          <w:sz w:val="24"/>
          <w:szCs w:val="24"/>
          <w:lang w:val="en-US" w:eastAsia="zh-CN" w:bidi="ar-SA"/>
        </w:rPr>
        <w:t>.4</w:t>
      </w:r>
      <w:r>
        <w:rPr>
          <w:rFonts w:hint="eastAsia" w:ascii="宋体" w:hAnsi="宋体" w:cs="Times New Roman"/>
          <w:b w:val="0"/>
          <w:bCs w:val="0"/>
          <w:color w:val="000000"/>
          <w:kern w:val="2"/>
          <w:sz w:val="24"/>
          <w:szCs w:val="24"/>
          <w:lang w:val="en-US" w:eastAsia="zh-CN" w:bidi="ar-SA"/>
        </w:rPr>
        <w:t xml:space="preserve"> </w:t>
      </w:r>
      <w:r>
        <w:rPr>
          <w:rFonts w:hint="eastAsia" w:ascii="宋体" w:hAnsi="宋体" w:eastAsia="宋体" w:cs="宋体"/>
          <w:sz w:val="24"/>
          <w:szCs w:val="24"/>
        </w:rPr>
        <w:t>此不含税单价在合同履行期间内</w:t>
      </w:r>
      <w:r>
        <w:rPr>
          <w:rFonts w:hint="eastAsia" w:ascii="宋体" w:hAnsi="宋体" w:cs="宋体"/>
          <w:sz w:val="24"/>
          <w:szCs w:val="24"/>
          <w:u w:val="single"/>
          <w:lang w:val="en-US" w:eastAsia="zh-CN"/>
        </w:rPr>
        <w:t xml:space="preserve"> 可 </w:t>
      </w:r>
      <w:r>
        <w:rPr>
          <w:rFonts w:hint="eastAsia" w:ascii="宋体" w:hAnsi="宋体" w:eastAsia="宋体" w:cs="宋体"/>
          <w:sz w:val="24"/>
          <w:szCs w:val="24"/>
        </w:rPr>
        <w:t>调整，</w:t>
      </w:r>
      <w:r>
        <w:rPr>
          <w:rFonts w:hint="eastAsia" w:ascii="宋体" w:hAnsi="宋体" w:eastAsia="宋体" w:cs="宋体"/>
          <w:kern w:val="0"/>
          <w:sz w:val="24"/>
          <w:szCs w:val="24"/>
        </w:rPr>
        <w:t>调整</w:t>
      </w:r>
      <w:r>
        <w:rPr>
          <w:rFonts w:hint="eastAsia" w:ascii="宋体" w:hAnsi="宋体" w:eastAsia="宋体" w:cs="宋体"/>
          <w:kern w:val="0"/>
          <w:sz w:val="24"/>
          <w:szCs w:val="24"/>
          <w:lang w:val="en-US" w:eastAsia="zh-CN"/>
        </w:rPr>
        <w:t>及取价规则</w:t>
      </w:r>
      <w:r>
        <w:rPr>
          <w:rFonts w:hint="eastAsia" w:ascii="宋体" w:hAnsi="宋体" w:eastAsia="宋体" w:cs="宋体"/>
          <w:kern w:val="0"/>
          <w:sz w:val="24"/>
          <w:szCs w:val="24"/>
        </w:rPr>
        <w:t>为</w:t>
      </w:r>
      <w:r>
        <w:rPr>
          <w:rFonts w:hint="eastAsia" w:ascii="宋体" w:hAnsi="宋体" w:eastAsia="宋体" w:cs="宋体"/>
          <w:sz w:val="24"/>
          <w:szCs w:val="24"/>
        </w:rPr>
        <w:t>：</w:t>
      </w:r>
    </w:p>
    <w:p>
      <w:pPr>
        <w:keepNext/>
        <w:keepLines/>
        <w:spacing w:line="390" w:lineRule="exact"/>
        <w:ind w:left="0" w:leftChars="0" w:firstLine="638" w:firstLineChars="266"/>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（1）采用浮动价结算。</w:t>
      </w:r>
    </w:p>
    <w:p>
      <w:pPr>
        <w:keepNext/>
        <w:keepLines/>
        <w:spacing w:line="390" w:lineRule="exact"/>
        <w:ind w:left="0" w:leftChars="0" w:firstLine="638" w:firstLineChars="266"/>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（2）结算方式：结算单价=网价*（1+X）。</w:t>
      </w:r>
    </w:p>
    <w:p>
      <w:pPr>
        <w:keepNext/>
        <w:keepLines/>
        <w:spacing w:line="390" w:lineRule="exact"/>
        <w:ind w:left="0" w:leftChars="0" w:firstLine="638" w:firstLineChars="266"/>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（3）投标单价与结算单价关系的重点说明：</w:t>
      </w:r>
    </w:p>
    <w:p>
      <w:pPr>
        <w:keepNext/>
        <w:keepLines/>
        <w:spacing w:line="390" w:lineRule="exact"/>
        <w:ind w:left="0" w:leftChars="0" w:firstLine="638" w:firstLineChars="266"/>
        <w:outlineLvl w:val="9"/>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（4）虚拟单价：为便于计算总报价，招标人统一设定砂浆各型号不含税虚拟单价见附表一。虚拟单价仅作为投标报价表合计总价的计算依据，不是结算价格。</w:t>
      </w:r>
    </w:p>
    <w:tbl>
      <w:tblPr>
        <w:tblStyle w:val="10"/>
        <w:tblW w:w="4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1892"/>
        <w:gridCol w:w="1892"/>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widowControl w:val="0"/>
              <w:autoSpaceDE w:val="0"/>
              <w:autoSpaceDN w:val="0"/>
              <w:adjustRightInd w:val="0"/>
              <w:spacing w:before="0" w:beforeAutospacing="0" w:after="0" w:afterAutospacing="0"/>
              <w:jc w:val="center"/>
              <w:rPr>
                <w:rFonts w:hint="eastAsia"/>
                <w:sz w:val="18"/>
                <w:szCs w:val="18"/>
                <w:highlight w:val="none"/>
              </w:rPr>
            </w:pPr>
            <w:r>
              <w:rPr>
                <w:rFonts w:hint="eastAsia"/>
                <w:color w:val="000000"/>
                <w:kern w:val="2"/>
                <w:sz w:val="18"/>
                <w:szCs w:val="18"/>
                <w:highlight w:val="none"/>
                <w:lang w:bidi="ar"/>
              </w:rPr>
              <w:t>规格型号</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sz w:val="18"/>
                <w:szCs w:val="18"/>
                <w:highlight w:val="none"/>
                <w:lang w:val="en-US" w:eastAsia="zh-CN" w:bidi="ar"/>
              </w:rPr>
            </w:pPr>
            <w:r>
              <w:rPr>
                <w:rFonts w:hint="eastAsia" w:ascii="宋体" w:hAnsi="宋体" w:cs="宋体"/>
                <w:sz w:val="18"/>
                <w:szCs w:val="18"/>
                <w:highlight w:val="none"/>
                <w:lang w:val="en-US" w:eastAsia="zh-CN"/>
              </w:rPr>
              <w:t>DM</w:t>
            </w:r>
            <w:r>
              <w:rPr>
                <w:rFonts w:hint="eastAsia" w:ascii="宋体" w:hAnsi="宋体" w:cs="宋体"/>
                <w:sz w:val="18"/>
                <w:szCs w:val="18"/>
                <w:highlight w:val="none"/>
              </w:rPr>
              <w:t>-M5</w:t>
            </w:r>
            <w:r>
              <w:rPr>
                <w:rFonts w:hint="eastAsia" w:ascii="宋体" w:hAnsi="宋体" w:cs="宋体"/>
                <w:sz w:val="18"/>
                <w:szCs w:val="18"/>
                <w:highlight w:val="none"/>
                <w:lang w:val="en-US" w:eastAsia="zh-CN"/>
              </w:rPr>
              <w:t>干混砌筑砂浆</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DP-M15干混抹灰砂浆</w:t>
            </w:r>
          </w:p>
        </w:tc>
        <w:tc>
          <w:tcPr>
            <w:tcW w:w="121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s="宋体"/>
                <w:sz w:val="18"/>
                <w:szCs w:val="18"/>
                <w:highlight w:val="none"/>
              </w:rPr>
            </w:pPr>
            <w:r>
              <w:rPr>
                <w:rFonts w:hint="eastAsia" w:ascii="宋体" w:hAnsi="宋体" w:cs="宋体"/>
                <w:sz w:val="18"/>
                <w:szCs w:val="18"/>
                <w:highlight w:val="none"/>
                <w:lang w:val="en-US" w:eastAsia="zh-CN"/>
              </w:rPr>
              <w:t>DS-M20干混地面砂浆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6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widowControl w:val="0"/>
              <w:autoSpaceDE w:val="0"/>
              <w:autoSpaceDN w:val="0"/>
              <w:adjustRightInd w:val="0"/>
              <w:spacing w:before="0" w:beforeAutospacing="0" w:after="0" w:afterAutospacing="0"/>
              <w:jc w:val="center"/>
              <w:rPr>
                <w:rFonts w:hint="eastAsia"/>
                <w:b/>
                <w:sz w:val="18"/>
                <w:szCs w:val="18"/>
                <w:highlight w:val="none"/>
              </w:rPr>
            </w:pPr>
            <w:r>
              <w:rPr>
                <w:rFonts w:hint="eastAsia"/>
                <w:b/>
                <w:color w:val="000000"/>
                <w:kern w:val="2"/>
                <w:sz w:val="18"/>
                <w:szCs w:val="18"/>
                <w:highlight w:val="none"/>
                <w:lang w:bidi="ar"/>
              </w:rPr>
              <w:t>不含税虚拟单价</w:t>
            </w:r>
          </w:p>
          <w:p>
            <w:pPr>
              <w:pStyle w:val="9"/>
              <w:widowControl w:val="0"/>
              <w:autoSpaceDE w:val="0"/>
              <w:autoSpaceDN w:val="0"/>
              <w:adjustRightInd w:val="0"/>
              <w:spacing w:before="0" w:beforeAutospacing="0" w:after="0" w:afterAutospacing="0"/>
              <w:jc w:val="center"/>
              <w:rPr>
                <w:rFonts w:hint="eastAsia"/>
                <w:b/>
                <w:sz w:val="18"/>
                <w:szCs w:val="18"/>
                <w:highlight w:val="none"/>
              </w:rPr>
            </w:pPr>
            <w:r>
              <w:rPr>
                <w:rFonts w:hint="eastAsia"/>
                <w:b/>
                <w:color w:val="000000"/>
                <w:kern w:val="2"/>
                <w:sz w:val="18"/>
                <w:szCs w:val="18"/>
                <w:highlight w:val="none"/>
                <w:lang w:bidi="ar"/>
              </w:rPr>
              <w:t>(元/</w:t>
            </w:r>
            <w:r>
              <w:rPr>
                <w:rFonts w:hint="eastAsia"/>
                <w:b/>
                <w:color w:val="000000"/>
                <w:kern w:val="2"/>
                <w:sz w:val="18"/>
                <w:szCs w:val="18"/>
                <w:highlight w:val="none"/>
                <w:lang w:val="en-US" w:eastAsia="zh-CN" w:bidi="ar"/>
              </w:rPr>
              <w:t>吨</w:t>
            </w:r>
            <w:r>
              <w:rPr>
                <w:rFonts w:hint="eastAsia"/>
                <w:b/>
                <w:color w:val="000000"/>
                <w:kern w:val="2"/>
                <w:sz w:val="18"/>
                <w:szCs w:val="18"/>
                <w:highlight w:val="none"/>
                <w:lang w:bidi="ar"/>
              </w:rPr>
              <w:t>）</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widowControl w:val="0"/>
              <w:autoSpaceDE w:val="0"/>
              <w:autoSpaceDN w:val="0"/>
              <w:adjustRightInd w:val="0"/>
              <w:spacing w:before="0" w:beforeAutospacing="0" w:after="0" w:afterAutospacing="0"/>
              <w:jc w:val="center"/>
              <w:rPr>
                <w:rFonts w:hint="default"/>
                <w:b/>
                <w:sz w:val="18"/>
                <w:szCs w:val="18"/>
                <w:highlight w:val="none"/>
                <w:lang w:val="en-US"/>
              </w:rPr>
            </w:pPr>
            <w:r>
              <w:rPr>
                <w:rFonts w:hint="eastAsia"/>
                <w:b/>
                <w:color w:val="000000"/>
                <w:kern w:val="2"/>
                <w:sz w:val="18"/>
                <w:szCs w:val="18"/>
                <w:highlight w:val="none"/>
                <w:lang w:val="en-US" w:eastAsia="zh-CN" w:bidi="ar"/>
              </w:rPr>
              <w:t>273</w:t>
            </w:r>
          </w:p>
        </w:tc>
        <w:tc>
          <w:tcPr>
            <w:tcW w:w="121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widowControl w:val="0"/>
              <w:autoSpaceDE w:val="0"/>
              <w:autoSpaceDN w:val="0"/>
              <w:adjustRightInd w:val="0"/>
              <w:spacing w:before="0" w:beforeAutospacing="0" w:after="0" w:afterAutospacing="0"/>
              <w:jc w:val="center"/>
              <w:rPr>
                <w:rFonts w:hint="default"/>
                <w:b/>
                <w:color w:val="000000"/>
                <w:kern w:val="2"/>
                <w:sz w:val="18"/>
                <w:szCs w:val="18"/>
                <w:highlight w:val="none"/>
                <w:lang w:val="en-US" w:eastAsia="zh-CN" w:bidi="ar"/>
              </w:rPr>
            </w:pPr>
            <w:r>
              <w:rPr>
                <w:rFonts w:hint="eastAsia"/>
                <w:b/>
                <w:color w:val="000000"/>
                <w:kern w:val="2"/>
                <w:sz w:val="18"/>
                <w:szCs w:val="18"/>
                <w:highlight w:val="none"/>
                <w:lang w:val="en-US" w:eastAsia="zh-CN" w:bidi="ar"/>
              </w:rPr>
              <w:t>301.5</w:t>
            </w:r>
          </w:p>
        </w:tc>
        <w:tc>
          <w:tcPr>
            <w:tcW w:w="121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9"/>
              <w:widowControl w:val="0"/>
              <w:autoSpaceDE w:val="0"/>
              <w:autoSpaceDN w:val="0"/>
              <w:adjustRightInd w:val="0"/>
              <w:spacing w:before="0" w:beforeAutospacing="0" w:after="0" w:afterAutospacing="0"/>
              <w:jc w:val="center"/>
              <w:rPr>
                <w:rFonts w:hint="default"/>
                <w:b/>
                <w:color w:val="000000"/>
                <w:kern w:val="2"/>
                <w:sz w:val="18"/>
                <w:szCs w:val="18"/>
                <w:highlight w:val="none"/>
                <w:lang w:val="en-US" w:eastAsia="zh-CN" w:bidi="ar"/>
              </w:rPr>
            </w:pPr>
            <w:r>
              <w:rPr>
                <w:rFonts w:hint="eastAsia"/>
                <w:b/>
                <w:color w:val="000000"/>
                <w:kern w:val="2"/>
                <w:sz w:val="18"/>
                <w:szCs w:val="18"/>
                <w:highlight w:val="none"/>
                <w:lang w:val="en-US" w:eastAsia="zh-CN" w:bidi="ar"/>
              </w:rPr>
              <w:t>290</w:t>
            </w:r>
          </w:p>
        </w:tc>
      </w:tr>
    </w:tbl>
    <w:p>
      <w:pPr>
        <w:keepNext/>
        <w:keepLines/>
        <w:numPr>
          <w:ilvl w:val="0"/>
          <w:numId w:val="2"/>
        </w:numPr>
        <w:spacing w:line="390" w:lineRule="exact"/>
        <w:ind w:left="0" w:leftChars="0" w:firstLine="638" w:firstLineChars="266"/>
        <w:outlineLvl w:val="9"/>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X值：是指投标人根据网价，核定的出库费、综合运杂费、投标人让利等其他费用。X值可以为正值、可以为0、也可以为负值, X值不含税价在合同履行期内固定不变，增值税按国家最新适用税率执行。X值为当期信息价基础为上调或下浮比例，为百分比（%）的形式。</w:t>
      </w:r>
    </w:p>
    <w:p>
      <w:pPr>
        <w:keepNext/>
        <w:keepLines/>
        <w:numPr>
          <w:ilvl w:val="0"/>
          <w:numId w:val="2"/>
        </w:numPr>
        <w:spacing w:line="390" w:lineRule="exact"/>
        <w:ind w:left="0" w:leftChars="0" w:firstLine="638" w:firstLineChars="266"/>
        <w:outlineLvl w:val="9"/>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以当月广州市发布的《广州市混凝土行业协会信息网》混凝土相应规格型号不含税信息价为基准（如当月发布信息价为区间值的话以区间值的平均值为基准价），下浮实际比例为信息价下浮</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lang w:val="en-US" w:eastAsia="zh-CN"/>
        </w:rPr>
        <w:t>%，信息价未公布时不予结算。</w:t>
      </w:r>
    </w:p>
    <w:p>
      <w:pPr>
        <w:keepNext/>
        <w:keepLines/>
        <w:spacing w:line="390" w:lineRule="exact"/>
        <w:ind w:left="0" w:leftChars="0" w:firstLine="638" w:firstLineChars="266"/>
        <w:outlineLvl w:val="9"/>
        <w:rPr>
          <w:rFonts w:hint="eastAsia" w:ascii="宋体" w:hAnsi="宋体" w:eastAsia="宋体" w:cs="宋体"/>
          <w:sz w:val="24"/>
          <w:szCs w:val="24"/>
        </w:rPr>
      </w:pPr>
      <w:r>
        <w:rPr>
          <w:rFonts w:hint="eastAsia" w:ascii="宋体" w:hAnsi="宋体"/>
          <w:color w:val="000000"/>
          <w:sz w:val="24"/>
          <w:szCs w:val="24"/>
        </w:rPr>
        <w:t>本合同价格为乙方将货物运送至甲方指定地点的综合价格，包含乙方成本、运输、装卸、检测、售后服务等为履行本合同义务所需的一切费用及承担的风险</w:t>
      </w:r>
      <w:r>
        <w:rPr>
          <w:rFonts w:hint="eastAsia" w:ascii="宋体" w:hAnsi="宋体"/>
          <w:color w:val="000000"/>
          <w:sz w:val="24"/>
          <w:szCs w:val="24"/>
          <w:highlight w:val="none"/>
        </w:rPr>
        <w:t>，</w:t>
      </w:r>
      <w:r>
        <w:rPr>
          <w:rFonts w:hint="eastAsia" w:ascii="宋体" w:hAnsi="宋体"/>
          <w:b/>
          <w:bCs/>
          <w:color w:val="000000"/>
          <w:sz w:val="24"/>
          <w:szCs w:val="24"/>
          <w:highlight w:val="none"/>
        </w:rPr>
        <w:t>且合同价款已</w:t>
      </w:r>
      <w:r>
        <w:rPr>
          <w:rFonts w:hint="eastAsia" w:ascii="仿宋" w:hAnsi="仿宋"/>
          <w:b/>
          <w:bCs/>
          <w:sz w:val="24"/>
          <w:highlight w:val="none"/>
          <w:lang w:val="en-US" w:eastAsia="zh-CN"/>
        </w:rPr>
        <w:t>充分</w:t>
      </w:r>
      <w:r>
        <w:rPr>
          <w:rFonts w:hint="eastAsia" w:ascii="宋体" w:hAnsi="宋体"/>
          <w:b/>
          <w:bCs/>
          <w:color w:val="000000"/>
          <w:sz w:val="24"/>
          <w:szCs w:val="24"/>
          <w:highlight w:val="none"/>
        </w:rPr>
        <w:t>考虑支付条件、支付期限、支付方式等因素。</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第二条　数量和计量单位、计量方法</w:t>
      </w:r>
    </w:p>
    <w:p>
      <w:pPr>
        <w:spacing w:line="390" w:lineRule="exact"/>
        <w:ind w:firstLine="480" w:firstLineChars="200"/>
        <w:rPr>
          <w:rFonts w:ascii="宋体" w:hAnsi="宋体"/>
          <w:sz w:val="24"/>
          <w:szCs w:val="24"/>
        </w:rPr>
      </w:pPr>
      <w:r>
        <w:rPr>
          <w:rFonts w:hint="eastAsia" w:ascii="宋体" w:hAnsi="宋体"/>
          <w:color w:val="000000"/>
          <w:sz w:val="24"/>
          <w:szCs w:val="24"/>
        </w:rPr>
        <w:t>2.1数量：_________ 。该数量为暂定数量，甲方可根据实际需要进行数量增减。甲方减少数量的，不属于违约；甲方增加数量的，乙方应按合同其他条款执行。</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2.2计量单位和方法：_________。</w:t>
      </w:r>
    </w:p>
    <w:p>
      <w:pPr>
        <w:spacing w:line="390" w:lineRule="exact"/>
        <w:ind w:firstLine="484" w:firstLineChars="202"/>
        <w:rPr>
          <w:rFonts w:ascii="宋体" w:hAnsi="宋体"/>
          <w:color w:val="000000"/>
          <w:sz w:val="24"/>
          <w:szCs w:val="24"/>
        </w:rPr>
      </w:pPr>
      <w:r>
        <w:rPr>
          <w:rFonts w:hint="eastAsia" w:ascii="宋体" w:hAnsi="宋体"/>
          <w:color w:val="000000"/>
          <w:sz w:val="24"/>
          <w:szCs w:val="24"/>
        </w:rPr>
        <w:t>2.3交货数量的正负尾差、合理磅差和在途自然增（减）量规定及计算方法：_________。</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2.4包装方式和包装品的处理：_________。包装材料由乙方提供，包装费用由乙方承担。</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第三条　合同供货期限</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本合同</w:t>
      </w:r>
      <w:r>
        <w:rPr>
          <w:rFonts w:ascii="宋体" w:hAnsi="宋体"/>
          <w:color w:val="000000"/>
          <w:sz w:val="24"/>
          <w:szCs w:val="24"/>
        </w:rPr>
        <w:t>供货</w:t>
      </w:r>
      <w:r>
        <w:rPr>
          <w:rFonts w:hint="eastAsia" w:ascii="宋体" w:hAnsi="宋体"/>
          <w:color w:val="000000"/>
          <w:sz w:val="24"/>
          <w:szCs w:val="24"/>
        </w:rPr>
        <w:t>期限自</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日至</w:t>
      </w:r>
      <w:r>
        <w:rPr>
          <w:rFonts w:hint="eastAsia" w:ascii="宋体" w:hAnsi="宋体"/>
          <w:color w:val="000000"/>
          <w:sz w:val="24"/>
          <w:szCs w:val="24"/>
          <w:u w:val="single"/>
        </w:rPr>
        <w:t xml:space="preserve">   </w:t>
      </w:r>
      <w:r>
        <w:rPr>
          <w:rFonts w:hint="eastAsia" w:ascii="宋体" w:hAnsi="宋体"/>
          <w:color w:val="000000"/>
          <w:sz w:val="24"/>
          <w:szCs w:val="24"/>
        </w:rPr>
        <w:t>年</w:t>
      </w:r>
      <w:r>
        <w:rPr>
          <w:rFonts w:hint="eastAsia" w:ascii="宋体" w:hAnsi="宋体"/>
          <w:color w:val="000000"/>
          <w:sz w:val="24"/>
          <w:szCs w:val="24"/>
          <w:u w:val="single"/>
        </w:rPr>
        <w:t xml:space="preserve">   </w:t>
      </w:r>
      <w:r>
        <w:rPr>
          <w:rFonts w:hint="eastAsia" w:ascii="宋体" w:hAnsi="宋体"/>
          <w:color w:val="000000"/>
          <w:sz w:val="24"/>
          <w:szCs w:val="24"/>
        </w:rPr>
        <w:t>月</w:t>
      </w:r>
      <w:r>
        <w:rPr>
          <w:rFonts w:hint="eastAsia" w:ascii="宋体" w:hAnsi="宋体"/>
          <w:color w:val="000000"/>
          <w:sz w:val="24"/>
          <w:szCs w:val="24"/>
          <w:u w:val="single"/>
        </w:rPr>
        <w:t xml:space="preserve">   </w:t>
      </w:r>
      <w:r>
        <w:rPr>
          <w:rFonts w:hint="eastAsia" w:ascii="宋体" w:hAnsi="宋体"/>
          <w:color w:val="000000"/>
          <w:sz w:val="24"/>
          <w:szCs w:val="24"/>
        </w:rPr>
        <w:t>日；该期限为暂定期限，甲方有权根据施工需要单方调整合同供货期限，但应提前</w:t>
      </w:r>
      <w:r>
        <w:rPr>
          <w:rFonts w:hint="eastAsia" w:ascii="宋体" w:hAnsi="宋体"/>
          <w:color w:val="000000"/>
          <w:sz w:val="24"/>
          <w:szCs w:val="24"/>
          <w:u w:val="single"/>
        </w:rPr>
        <w:t xml:space="preserve">   </w:t>
      </w:r>
      <w:r>
        <w:rPr>
          <w:rFonts w:hint="eastAsia" w:ascii="宋体" w:hAnsi="宋体"/>
          <w:color w:val="000000"/>
          <w:sz w:val="24"/>
          <w:szCs w:val="24"/>
        </w:rPr>
        <w:t>日通知乙方。</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第四条  运输方式和交货地点</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4.1交货时间：</w:t>
      </w:r>
      <w:r>
        <w:rPr>
          <w:rFonts w:hint="eastAsia" w:ascii="宋体" w:hAnsi="宋体"/>
          <w:color w:val="000000"/>
          <w:sz w:val="24"/>
          <w:szCs w:val="24"/>
          <w:u w:val="single"/>
        </w:rPr>
        <w:t>每批次交货时间以甲方通知为准</w:t>
      </w:r>
      <w:r>
        <w:rPr>
          <w:rFonts w:hint="eastAsia" w:ascii="宋体" w:hAnsi="宋体"/>
          <w:color w:val="000000"/>
          <w:sz w:val="24"/>
          <w:szCs w:val="24"/>
        </w:rPr>
        <w:t>。</w:t>
      </w:r>
    </w:p>
    <w:p>
      <w:pPr>
        <w:spacing w:line="390" w:lineRule="exact"/>
        <w:ind w:firstLine="480" w:firstLineChars="200"/>
        <w:rPr>
          <w:rFonts w:ascii="宋体" w:hAnsi="宋体"/>
          <w:color w:val="5B9BD5" w:themeColor="accent1"/>
          <w:sz w:val="24"/>
          <w:szCs w:val="24"/>
          <w14:textFill>
            <w14:solidFill>
              <w14:schemeClr w14:val="accent1"/>
            </w14:solidFill>
          </w14:textFill>
        </w:rPr>
      </w:pPr>
      <w:r>
        <w:rPr>
          <w:rFonts w:hint="eastAsia" w:ascii="宋体" w:hAnsi="宋体"/>
          <w:color w:val="000000"/>
          <w:sz w:val="24"/>
          <w:szCs w:val="24"/>
        </w:rPr>
        <w:t>4.2交货地点：</w:t>
      </w:r>
      <w:r>
        <w:rPr>
          <w:rFonts w:hint="eastAsia" w:ascii="宋体" w:hAnsi="宋体"/>
          <w:color w:val="000000"/>
          <w:sz w:val="24"/>
          <w:szCs w:val="24"/>
          <w:u w:val="single"/>
        </w:rPr>
        <w:t>由乙方负责运输至甲方指定地点交货</w:t>
      </w:r>
      <w:r>
        <w:rPr>
          <w:rFonts w:hint="eastAsia" w:ascii="宋体" w:hAnsi="宋体"/>
          <w:color w:val="000000"/>
          <w:sz w:val="24"/>
          <w:szCs w:val="24"/>
        </w:rPr>
        <w:t>_。运输费用由乙方承担。</w:t>
      </w:r>
      <w:r>
        <w:rPr>
          <w:rFonts w:hint="eastAsia" w:ascii="宋体" w:hAnsi="宋体"/>
          <w:sz w:val="24"/>
          <w:szCs w:val="24"/>
        </w:rPr>
        <w:t>货物验收合格交付前，货物的灭失、毁损风险由乙方承担。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4.3运输方式：</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rPr>
        <w:t>。卸货由___方负责，卸货费用由_____方承担。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4.4保 险：_________。</w:t>
      </w:r>
    </w:p>
    <w:p>
      <w:pPr>
        <w:spacing w:line="390" w:lineRule="exact"/>
        <w:ind w:firstLine="480" w:firstLineChars="200"/>
        <w:rPr>
          <w:rFonts w:hint="eastAsia" w:ascii="宋体" w:hAnsi="宋体"/>
          <w:color w:val="000000"/>
          <w:sz w:val="24"/>
          <w:szCs w:val="24"/>
        </w:rPr>
      </w:pPr>
      <w:r>
        <w:rPr>
          <w:rFonts w:hint="eastAsia" w:ascii="宋体" w:hAnsi="宋体"/>
          <w:color w:val="000000"/>
          <w:sz w:val="24"/>
          <w:szCs w:val="24"/>
        </w:rPr>
        <w:t>4.5货物附随单证的转移：_________。</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第五条　验收</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5.1验收时间：货物运输至甲方指定地点后，双方在</w:t>
      </w:r>
      <w:r>
        <w:rPr>
          <w:rFonts w:hint="eastAsia" w:ascii="宋体" w:hAnsi="宋体"/>
          <w:color w:val="000000"/>
          <w:sz w:val="24"/>
          <w:szCs w:val="24"/>
          <w:u w:val="single"/>
        </w:rPr>
        <w:t>24</w:t>
      </w:r>
      <w:r>
        <w:rPr>
          <w:rFonts w:hint="eastAsia" w:ascii="宋体" w:hAnsi="宋体"/>
          <w:color w:val="000000"/>
          <w:sz w:val="24"/>
          <w:szCs w:val="24"/>
        </w:rPr>
        <w:t>小时内对品种、型号、规格、数量进行初步验收；如品种、型号、规格、数量不符合规定和合同约定的，甲方在验收完毕后的</w:t>
      </w:r>
      <w:r>
        <w:rPr>
          <w:rFonts w:hint="eastAsia" w:ascii="宋体" w:hAnsi="宋体"/>
          <w:color w:val="000000"/>
          <w:sz w:val="24"/>
          <w:szCs w:val="24"/>
          <w:u w:val="single"/>
        </w:rPr>
        <w:t>2</w:t>
      </w:r>
      <w:r>
        <w:rPr>
          <w:rFonts w:hint="eastAsia" w:ascii="宋体" w:hAnsi="宋体"/>
          <w:color w:val="000000"/>
          <w:sz w:val="24"/>
          <w:szCs w:val="24"/>
        </w:rPr>
        <w:t>日内向乙方提出异议和处理意见。对货物质量的异议不受时间限制，随时发现可以随时提出异议。乙方在收到甲方异议后，应在</w:t>
      </w:r>
      <w:r>
        <w:rPr>
          <w:rFonts w:hint="eastAsia" w:ascii="宋体" w:hAnsi="宋体"/>
          <w:color w:val="000000"/>
          <w:sz w:val="24"/>
          <w:szCs w:val="24"/>
          <w:u w:val="single"/>
        </w:rPr>
        <w:t>2</w:t>
      </w:r>
      <w:r>
        <w:rPr>
          <w:rFonts w:hint="eastAsia" w:ascii="宋体" w:hAnsi="宋体"/>
          <w:color w:val="000000"/>
          <w:sz w:val="24"/>
          <w:szCs w:val="24"/>
        </w:rPr>
        <w:t>日内负责处理；如果乙方逾期不予处理或收到异议通知后置之不理的，视为同意甲方提出的异议和处理意见，甲方有权将收到的货物自行处理，因此发生的费用和损失由乙方承担。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5.2验收方式：_________。</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5.3验收如发生争议，由_________检验机构按_________检验标准和方法，对产品进行检验。</w:t>
      </w:r>
    </w:p>
    <w:p>
      <w:pPr>
        <w:spacing w:line="390" w:lineRule="exact"/>
        <w:ind w:firstLine="480" w:firstLineChars="200"/>
        <w:rPr>
          <w:rFonts w:ascii="宋体" w:hAnsi="宋体"/>
          <w:sz w:val="24"/>
          <w:szCs w:val="24"/>
          <w:highlight w:val="none"/>
        </w:rPr>
      </w:pPr>
      <w:r>
        <w:rPr>
          <w:rFonts w:hint="eastAsia" w:ascii="宋体" w:hAnsi="宋体"/>
          <w:sz w:val="24"/>
          <w:szCs w:val="24"/>
          <w:highlight w:val="none"/>
        </w:rPr>
        <w:t>检测费用约定： 乙方声明在合同生效后，首次委外检测费用由乙方承担，若双方对后续检测结果有异议，再次委外检测结果不合格，检测费用由乙方承担，检测结果合格，检测费用由甲方承担。</w:t>
      </w:r>
    </w:p>
    <w:p>
      <w:pPr>
        <w:spacing w:line="390" w:lineRule="exact"/>
        <w:ind w:firstLine="480" w:firstLineChars="200"/>
        <w:rPr>
          <w:rFonts w:ascii="宋体" w:hAnsi="宋体"/>
          <w:sz w:val="24"/>
          <w:szCs w:val="24"/>
        </w:rPr>
      </w:pPr>
      <w:r>
        <w:rPr>
          <w:rFonts w:hint="eastAsia" w:ascii="宋体" w:hAnsi="宋体"/>
          <w:color w:val="000000"/>
          <w:sz w:val="24"/>
          <w:szCs w:val="24"/>
        </w:rPr>
        <w:t>5.4</w:t>
      </w:r>
      <w:r>
        <w:rPr>
          <w:rFonts w:hint="eastAsia" w:ascii="宋体" w:hAnsi="宋体"/>
          <w:sz w:val="24"/>
          <w:szCs w:val="24"/>
        </w:rPr>
        <w:t>甲方指定</w:t>
      </w:r>
      <w:r>
        <w:rPr>
          <w:rFonts w:hint="eastAsia" w:ascii="宋体" w:hAnsi="宋体"/>
          <w:sz w:val="24"/>
          <w:szCs w:val="24"/>
          <w:u w:val="single"/>
        </w:rPr>
        <w:t xml:space="preserve">    </w:t>
      </w:r>
      <w:r>
        <w:rPr>
          <w:rFonts w:hint="eastAsia" w:ascii="宋体" w:hAnsi="宋体"/>
          <w:sz w:val="24"/>
          <w:szCs w:val="24"/>
        </w:rPr>
        <w:t xml:space="preserve">负责货物的验收、签认；乙方指定 </w:t>
      </w:r>
      <w:r>
        <w:rPr>
          <w:rFonts w:hint="eastAsia" w:ascii="宋体" w:hAnsi="宋体"/>
          <w:sz w:val="24"/>
          <w:szCs w:val="24"/>
          <w:u w:val="single"/>
        </w:rPr>
        <w:t xml:space="preserve">       </w:t>
      </w:r>
      <w:r>
        <w:rPr>
          <w:rFonts w:hint="eastAsia" w:ascii="宋体" w:hAnsi="宋体"/>
          <w:sz w:val="24"/>
          <w:szCs w:val="24"/>
        </w:rPr>
        <w:t xml:space="preserve"> （身份证号：    ）负责货物的交验、签认。甲方指定的上述人员是甲方唯一的收货代表，其在乙方送货清单上签字，作为乙方货物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w:t>
      </w:r>
    </w:p>
    <w:p>
      <w:pPr>
        <w:spacing w:line="390" w:lineRule="exact"/>
        <w:ind w:firstLine="480" w:firstLineChars="200"/>
        <w:rPr>
          <w:rFonts w:ascii="宋体" w:hAnsi="宋体"/>
          <w:sz w:val="24"/>
          <w:szCs w:val="24"/>
        </w:rPr>
      </w:pPr>
      <w:r>
        <w:rPr>
          <w:rFonts w:hint="eastAsia" w:ascii="宋体" w:hAnsi="宋体"/>
          <w:sz w:val="24"/>
          <w:szCs w:val="24"/>
        </w:rPr>
        <w:t xml:space="preserve">甲方对货物的验收，并不视为免除乙方对产品质量和技术应负的责任。 </w:t>
      </w:r>
    </w:p>
    <w:p>
      <w:pPr>
        <w:spacing w:line="390" w:lineRule="exact"/>
        <w:ind w:firstLine="480" w:firstLineChars="200"/>
        <w:rPr>
          <w:rFonts w:hint="eastAsia" w:ascii="宋体" w:hAnsi="宋体"/>
          <w:sz w:val="24"/>
          <w:szCs w:val="24"/>
        </w:rPr>
      </w:pPr>
      <w:r>
        <w:rPr>
          <w:rFonts w:hint="eastAsia" w:ascii="宋体" w:hAnsi="宋体"/>
          <w:sz w:val="24"/>
          <w:szCs w:val="24"/>
        </w:rPr>
        <w:t>5.5本合同约定货物的质保期为</w:t>
      </w:r>
      <w:r>
        <w:rPr>
          <w:rFonts w:hint="eastAsia" w:ascii="宋体" w:hAnsi="宋体"/>
          <w:sz w:val="24"/>
          <w:szCs w:val="24"/>
          <w:u w:val="single"/>
        </w:rPr>
        <w:t xml:space="preserve">    </w:t>
      </w:r>
      <w:r>
        <w:rPr>
          <w:rFonts w:hint="eastAsia" w:ascii="宋体" w:hAnsi="宋体"/>
          <w:sz w:val="24"/>
          <w:szCs w:val="24"/>
        </w:rPr>
        <w:t>个月，自最后一批次供货验收合格之日起计算。如果乙方对货物有另外承诺的质保期且与本合同约定不一致的，双方同意以期限较长的为准。</w:t>
      </w:r>
    </w:p>
    <w:p>
      <w:pPr>
        <w:spacing w:line="39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在质保期内，因货物使用过程中出现任何问题影响到甲方正常使用的，乙方须在收到甲方通知后</w:t>
      </w:r>
      <w:r>
        <w:rPr>
          <w:rFonts w:hint="eastAsia"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日内进行维修或更换，因此产生的费用由乙方承担。质保期满后，乙方接到甲方通知后</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u w:val="single"/>
          <w:lang w:val="en-US" w:eastAsia="zh-CN"/>
          <w14:textFill>
            <w14:solidFill>
              <w14:schemeClr w14:val="tx1"/>
            </w14:solidFill>
          </w14:textFill>
        </w:rPr>
        <w:t xml:space="preserve"> </w:t>
      </w:r>
      <w:r>
        <w:rPr>
          <w:rFonts w:ascii="宋体" w:hAnsi="宋体"/>
          <w:color w:val="000000" w:themeColor="text1"/>
          <w:sz w:val="24"/>
          <w:szCs w:val="24"/>
          <w:u w:val="single"/>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日内进行维修等服务，乙方可对甲方合理收费。</w:t>
      </w:r>
    </w:p>
    <w:p>
      <w:pPr>
        <w:spacing w:line="390" w:lineRule="exact"/>
        <w:ind w:firstLine="480" w:firstLineChars="200"/>
        <w:rPr>
          <w:rFonts w:hint="eastAsia" w:ascii="宋体" w:hAnsi="宋体"/>
          <w:sz w:val="24"/>
          <w:szCs w:val="24"/>
        </w:rPr>
      </w:pPr>
      <w:r>
        <w:rPr>
          <w:rFonts w:hint="eastAsia" w:ascii="宋体" w:hAnsi="宋体"/>
          <w:sz w:val="24"/>
          <w:szCs w:val="24"/>
          <w:lang w:val="en-US" w:eastAsia="zh-CN"/>
        </w:rPr>
        <w:t>5.6</w:t>
      </w:r>
      <w:r>
        <w:rPr>
          <w:rFonts w:hint="eastAsia" w:ascii="宋体" w:hAnsi="宋体"/>
          <w:sz w:val="24"/>
          <w:szCs w:val="24"/>
        </w:rPr>
        <w:t>甲方如发现产品的品种、型号、规格和数量等不符合规定和合同约定的，应自收到产品后</w:t>
      </w:r>
      <w:r>
        <w:rPr>
          <w:rFonts w:hint="eastAsia" w:ascii="宋体" w:hAnsi="宋体"/>
          <w:sz w:val="24"/>
          <w:szCs w:val="24"/>
          <w:u w:val="single"/>
        </w:rPr>
        <w:t xml:space="preserve">    </w:t>
      </w:r>
      <w:r>
        <w:rPr>
          <w:rFonts w:hint="eastAsia" w:ascii="宋体" w:hAnsi="宋体"/>
          <w:sz w:val="24"/>
          <w:szCs w:val="24"/>
        </w:rPr>
        <w:t>日内向乙方提出异议和处理意见，乙方在接到甲方异议后，应在</w:t>
      </w:r>
      <w:r>
        <w:rPr>
          <w:rFonts w:hint="eastAsia" w:ascii="宋体" w:hAnsi="宋体"/>
          <w:sz w:val="24"/>
          <w:szCs w:val="24"/>
          <w:u w:val="single"/>
        </w:rPr>
        <w:t xml:space="preserve">    </w:t>
      </w:r>
      <w:r>
        <w:rPr>
          <w:rFonts w:hint="eastAsia" w:ascii="宋体" w:hAnsi="宋体"/>
          <w:sz w:val="24"/>
          <w:szCs w:val="24"/>
        </w:rPr>
        <w:t>日内按照甲方要求负责处理,否则即视为违约，且甲方有权自行处理收到的产品或重新进行采购，造成的损失由乙方自行承担。甲方对产品质量的异议不受该时间的限制，随时发现可随时提出异议和处理意见。</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第六条　</w:t>
      </w:r>
      <w:r>
        <w:rPr>
          <w:rFonts w:hint="eastAsia" w:ascii="宋体" w:hAnsi="宋体"/>
          <w:b/>
          <w:bCs/>
          <w:kern w:val="44"/>
          <w:sz w:val="24"/>
          <w:szCs w:val="24"/>
          <w:lang w:eastAsia="zh-CN"/>
        </w:rPr>
        <w:t>结算</w:t>
      </w:r>
      <w:r>
        <w:rPr>
          <w:rFonts w:hint="eastAsia" w:ascii="宋体" w:hAnsi="宋体"/>
          <w:b/>
          <w:bCs/>
          <w:kern w:val="44"/>
          <w:sz w:val="24"/>
          <w:szCs w:val="24"/>
        </w:rPr>
        <w:t>与货款支付</w:t>
      </w:r>
    </w:p>
    <w:p>
      <w:pPr>
        <w:spacing w:line="390" w:lineRule="exact"/>
        <w:ind w:firstLine="480" w:firstLineChars="200"/>
        <w:rPr>
          <w:rFonts w:hint="eastAsia" w:ascii="宋体" w:hAnsi="宋体" w:eastAsia="宋体" w:cs="宋体"/>
          <w:bCs/>
          <w:kern w:val="0"/>
          <w:sz w:val="24"/>
          <w:szCs w:val="24"/>
        </w:rPr>
      </w:pPr>
      <w:r>
        <w:rPr>
          <w:rFonts w:hint="eastAsia" w:ascii="宋体" w:hAnsi="宋体"/>
          <w:color w:val="000000"/>
          <w:sz w:val="24"/>
          <w:szCs w:val="24"/>
        </w:rPr>
        <w:t>6.1</w:t>
      </w:r>
      <w:r>
        <w:rPr>
          <w:rFonts w:hint="eastAsia" w:ascii="宋体" w:hAnsi="宋体" w:eastAsia="宋体" w:cs="宋体"/>
          <w:bCs/>
          <w:kern w:val="0"/>
          <w:sz w:val="24"/>
          <w:szCs w:val="24"/>
        </w:rPr>
        <w:t>每月的</w:t>
      </w:r>
      <w:r>
        <w:rPr>
          <w:rFonts w:hint="eastAsia" w:ascii="宋体" w:hAnsi="宋体" w:eastAsia="宋体" w:cs="宋体"/>
          <w:bCs/>
          <w:kern w:val="0"/>
          <w:sz w:val="24"/>
          <w:szCs w:val="24"/>
          <w:u w:val="single"/>
        </w:rPr>
        <w:t xml:space="preserve">    </w:t>
      </w:r>
      <w:r>
        <w:rPr>
          <w:rFonts w:hint="eastAsia" w:ascii="宋体" w:hAnsi="宋体" w:eastAsia="宋体" w:cs="宋体"/>
          <w:bCs/>
          <w:kern w:val="0"/>
          <w:sz w:val="24"/>
          <w:szCs w:val="24"/>
        </w:rPr>
        <w:t>日为当月的结算截止日期，甲乙双方根据甲方检验合格及共同签认的凭证计算当月</w:t>
      </w:r>
      <w:r>
        <w:rPr>
          <w:rFonts w:hint="eastAsia" w:ascii="宋体" w:hAnsi="宋体" w:cs="宋体"/>
          <w:bCs/>
          <w:kern w:val="0"/>
          <w:sz w:val="24"/>
          <w:szCs w:val="24"/>
          <w:lang w:val="en-US" w:eastAsia="zh-CN"/>
        </w:rPr>
        <w:t>采购数量及金额</w:t>
      </w:r>
      <w:r>
        <w:rPr>
          <w:rFonts w:hint="eastAsia" w:ascii="宋体" w:hAnsi="宋体" w:eastAsia="宋体" w:cs="宋体"/>
          <w:bCs/>
          <w:kern w:val="0"/>
          <w:sz w:val="24"/>
          <w:szCs w:val="24"/>
        </w:rPr>
        <w:t>，除此之外任何证明、收条、欠条、信函等文件，都不得作为结算、支付依据。</w:t>
      </w:r>
    </w:p>
    <w:p>
      <w:pPr>
        <w:spacing w:line="390" w:lineRule="exact"/>
        <w:ind w:firstLine="480" w:firstLineChars="200"/>
        <w:rPr>
          <w:rFonts w:ascii="宋体" w:hAnsi="宋体"/>
          <w:sz w:val="24"/>
          <w:szCs w:val="24"/>
        </w:rPr>
      </w:pPr>
      <w:r>
        <w:rPr>
          <w:rFonts w:hint="eastAsia" w:ascii="宋体" w:hAnsi="宋体" w:cs="宋体"/>
          <w:bCs/>
          <w:color w:val="000000"/>
          <w:kern w:val="0"/>
          <w:sz w:val="24"/>
          <w:szCs w:val="24"/>
        </w:rPr>
        <w:t>6.</w:t>
      </w:r>
      <w:r>
        <w:rPr>
          <w:rFonts w:hint="eastAsia" w:ascii="宋体" w:hAnsi="宋体" w:cs="宋体"/>
          <w:bCs/>
          <w:color w:val="000000"/>
          <w:kern w:val="0"/>
          <w:sz w:val="24"/>
          <w:szCs w:val="24"/>
          <w:lang w:val="en-US" w:eastAsia="zh-CN"/>
        </w:rPr>
        <w:t>2</w:t>
      </w:r>
      <w:r>
        <w:rPr>
          <w:rFonts w:hint="eastAsia" w:ascii="宋体" w:hAnsi="宋体"/>
          <w:sz w:val="24"/>
          <w:szCs w:val="24"/>
        </w:rPr>
        <w:t>双</w:t>
      </w:r>
      <w:r>
        <w:rPr>
          <w:rFonts w:hint="eastAsia" w:ascii="宋体" w:hAnsi="宋体"/>
          <w:color w:val="000000" w:themeColor="text1"/>
          <w:sz w:val="24"/>
          <w:szCs w:val="24"/>
          <w14:textFill>
            <w14:solidFill>
              <w14:schemeClr w14:val="tx1"/>
            </w14:solidFill>
          </w14:textFill>
        </w:rPr>
        <w:t>方特别约定：遵循“先开票、后付款”的原则，甲方支付前，乙方应按双方确认的当期结算金</w:t>
      </w:r>
      <w:r>
        <w:rPr>
          <w:rFonts w:hint="eastAsia" w:ascii="宋体" w:hAnsi="宋体"/>
          <w:sz w:val="24"/>
          <w:szCs w:val="24"/>
        </w:rPr>
        <w:t>额向甲方提供增值税专用发票，并于发票开具后</w:t>
      </w:r>
      <w:r>
        <w:rPr>
          <w:rFonts w:hint="eastAsia" w:ascii="宋体" w:hAnsi="宋体"/>
          <w:sz w:val="24"/>
          <w:szCs w:val="24"/>
          <w:u w:val="single"/>
        </w:rPr>
        <w:t xml:space="preserve">    </w:t>
      </w:r>
      <w:r>
        <w:rPr>
          <w:rFonts w:hint="eastAsia" w:ascii="宋体" w:hAnsi="宋体"/>
          <w:sz w:val="24"/>
          <w:szCs w:val="24"/>
        </w:rPr>
        <w:t>日内提交给甲方。甲方收到乙方发票后，按合同约定向乙方付款。</w:t>
      </w:r>
    </w:p>
    <w:p>
      <w:pPr>
        <w:spacing w:line="390" w:lineRule="exact"/>
        <w:ind w:firstLine="480" w:firstLineChars="200"/>
        <w:rPr>
          <w:rFonts w:ascii="宋体" w:hAnsi="宋体" w:cs="宋体"/>
          <w:bCs/>
          <w:color w:val="000000"/>
          <w:kern w:val="0"/>
          <w:sz w:val="24"/>
          <w:szCs w:val="24"/>
        </w:rPr>
      </w:pPr>
      <w:r>
        <w:rPr>
          <w:rFonts w:hint="eastAsia" w:ascii="宋体" w:hAnsi="宋体" w:cs="宋体"/>
          <w:bCs/>
          <w:color w:val="000000"/>
          <w:kern w:val="0"/>
          <w:sz w:val="24"/>
          <w:szCs w:val="24"/>
        </w:rPr>
        <w:t>6.4货款支付采用下列第</w:t>
      </w:r>
      <w:r>
        <w:rPr>
          <w:rFonts w:hint="eastAsia" w:ascii="宋体" w:hAnsi="宋体" w:cs="宋体"/>
          <w:bCs/>
          <w:color w:val="000000"/>
          <w:kern w:val="0"/>
          <w:sz w:val="24"/>
          <w:szCs w:val="24"/>
          <w:u w:val="single"/>
        </w:rPr>
        <w:t xml:space="preserve">    </w:t>
      </w:r>
      <w:r>
        <w:rPr>
          <w:rFonts w:hint="eastAsia" w:ascii="宋体" w:hAnsi="宋体" w:cs="宋体"/>
          <w:bCs/>
          <w:color w:val="000000"/>
          <w:kern w:val="0"/>
          <w:sz w:val="24"/>
          <w:szCs w:val="24"/>
        </w:rPr>
        <w:t>项：</w:t>
      </w:r>
    </w:p>
    <w:p>
      <w:pPr>
        <w:spacing w:line="440" w:lineRule="exact"/>
        <w:ind w:firstLine="480" w:firstLineChars="200"/>
        <w:rPr>
          <w:rFonts w:hint="eastAsia" w:ascii="宋体" w:hAnsi="宋体" w:cs="宋体"/>
          <w:bCs/>
          <w:kern w:val="0"/>
          <w:sz w:val="24"/>
          <w:szCs w:val="24"/>
        </w:rPr>
      </w:pPr>
      <w:r>
        <w:rPr>
          <w:rFonts w:ascii="宋体" w:hAnsi="宋体" w:cs="宋体"/>
          <w:bCs/>
          <w:kern w:val="0"/>
          <w:sz w:val="24"/>
          <w:szCs w:val="24"/>
        </w:rPr>
        <w:t>6.</w:t>
      </w:r>
      <w:r>
        <w:rPr>
          <w:rFonts w:hint="eastAsia" w:ascii="宋体" w:hAnsi="宋体" w:cs="宋体"/>
          <w:bCs/>
          <w:kern w:val="0"/>
          <w:sz w:val="24"/>
          <w:szCs w:val="24"/>
        </w:rPr>
        <w:t>4</w:t>
      </w:r>
      <w:r>
        <w:rPr>
          <w:rFonts w:ascii="宋体" w:hAnsi="宋体" w:cs="宋体"/>
          <w:bCs/>
          <w:kern w:val="0"/>
          <w:sz w:val="24"/>
          <w:szCs w:val="24"/>
        </w:rPr>
        <w:t>.1</w:t>
      </w:r>
      <w:r>
        <w:rPr>
          <w:rFonts w:hint="eastAsia" w:ascii="宋体" w:hAnsi="宋体" w:cs="宋体"/>
          <w:bCs/>
          <w:kern w:val="0"/>
          <w:sz w:val="24"/>
          <w:szCs w:val="24"/>
          <w:highlight w:val="none"/>
        </w:rPr>
        <w:t>先款后货：全额预付</w:t>
      </w:r>
      <w:r>
        <w:rPr>
          <w:rFonts w:hint="eastAsia" w:ascii="宋体" w:hAnsi="宋体" w:cs="宋体"/>
          <w:bCs/>
          <w:kern w:val="0"/>
          <w:sz w:val="24"/>
          <w:szCs w:val="24"/>
        </w:rPr>
        <w:t>。</w:t>
      </w:r>
    </w:p>
    <w:p>
      <w:pPr>
        <w:spacing w:line="440" w:lineRule="exact"/>
        <w:ind w:firstLine="480" w:firstLineChars="200"/>
        <w:rPr>
          <w:rFonts w:ascii="宋体" w:hAnsi="宋体" w:cs="宋体"/>
          <w:bCs/>
          <w:kern w:val="0"/>
          <w:sz w:val="24"/>
          <w:szCs w:val="24"/>
        </w:rPr>
      </w:pPr>
      <w:r>
        <w:rPr>
          <w:rFonts w:ascii="宋体" w:hAnsi="宋体" w:cs="宋体"/>
          <w:bCs/>
          <w:kern w:val="0"/>
          <w:sz w:val="24"/>
          <w:szCs w:val="24"/>
        </w:rPr>
        <w:t>6.</w:t>
      </w:r>
      <w:r>
        <w:rPr>
          <w:rFonts w:hint="eastAsia" w:ascii="宋体" w:hAnsi="宋体" w:cs="宋体"/>
          <w:bCs/>
          <w:kern w:val="0"/>
          <w:sz w:val="24"/>
          <w:szCs w:val="24"/>
        </w:rPr>
        <w:t>4</w:t>
      </w:r>
      <w:r>
        <w:rPr>
          <w:rFonts w:ascii="宋体" w:hAnsi="宋体" w:cs="宋体"/>
          <w:bCs/>
          <w:kern w:val="0"/>
          <w:sz w:val="24"/>
          <w:szCs w:val="24"/>
        </w:rPr>
        <w:t>.2</w:t>
      </w:r>
      <w:r>
        <w:rPr>
          <w:rFonts w:ascii="宋体" w:hAnsi="宋体" w:cs="宋体"/>
          <w:bCs/>
          <w:kern w:val="0"/>
          <w:sz w:val="24"/>
          <w:szCs w:val="24"/>
          <w:highlight w:val="none"/>
        </w:rPr>
        <w:t>先款后货：部分预付；</w:t>
      </w:r>
      <w:r>
        <w:rPr>
          <w:rFonts w:hint="eastAsia" w:ascii="宋体" w:hAnsi="宋体" w:cs="宋体"/>
          <w:bCs/>
          <w:kern w:val="0"/>
          <w:sz w:val="24"/>
          <w:szCs w:val="24"/>
          <w:highlight w:val="none"/>
        </w:rPr>
        <w:t>甲方于乙方发货前支付每批所购物资金额的</w:t>
      </w:r>
      <w:r>
        <w:rPr>
          <w:rFonts w:ascii="宋体" w:hAnsi="宋体" w:cs="宋体"/>
          <w:bCs/>
          <w:kern w:val="0"/>
          <w:sz w:val="24"/>
          <w:szCs w:val="24"/>
          <w:highlight w:val="none"/>
          <w:u w:val="single"/>
        </w:rPr>
        <w:t xml:space="preserve">   </w:t>
      </w:r>
      <w:r>
        <w:rPr>
          <w:rFonts w:ascii="宋体" w:hAnsi="宋体" w:cs="宋体"/>
          <w:bCs/>
          <w:kern w:val="0"/>
          <w:sz w:val="24"/>
          <w:szCs w:val="24"/>
          <w:highlight w:val="none"/>
        </w:rPr>
        <w:t>%，</w:t>
      </w:r>
      <w:r>
        <w:rPr>
          <w:rFonts w:ascii="宋体" w:hAnsi="宋体" w:cs="宋体"/>
          <w:bCs/>
          <w:kern w:val="0"/>
          <w:sz w:val="24"/>
          <w:szCs w:val="24"/>
          <w:highlight w:val="none"/>
          <w:u w:val="single"/>
        </w:rPr>
        <w:t xml:space="preserve">    </w:t>
      </w:r>
      <w:r>
        <w:rPr>
          <w:rFonts w:hint="eastAsia" w:ascii="宋体" w:hAnsi="宋体" w:cs="宋体"/>
          <w:bCs/>
          <w:kern w:val="0"/>
          <w:sz w:val="24"/>
          <w:szCs w:val="24"/>
          <w:highlight w:val="none"/>
        </w:rPr>
        <w:t>日内支付该批物资金额的</w:t>
      </w:r>
      <w:r>
        <w:rPr>
          <w:rFonts w:ascii="宋体" w:hAnsi="宋体" w:cs="宋体"/>
          <w:bCs/>
          <w:kern w:val="0"/>
          <w:sz w:val="24"/>
          <w:szCs w:val="24"/>
          <w:highlight w:val="none"/>
          <w:u w:val="single"/>
        </w:rPr>
        <w:t xml:space="preserve">    </w:t>
      </w:r>
      <w:r>
        <w:rPr>
          <w:rFonts w:ascii="宋体" w:hAnsi="宋体" w:cs="宋体"/>
          <w:bCs/>
          <w:kern w:val="0"/>
          <w:sz w:val="24"/>
          <w:szCs w:val="24"/>
          <w:highlight w:val="none"/>
        </w:rPr>
        <w:t>%，</w:t>
      </w:r>
      <w:r>
        <w:rPr>
          <w:rFonts w:ascii="宋体" w:hAnsi="宋体" w:cs="宋体"/>
          <w:bCs/>
          <w:kern w:val="0"/>
          <w:sz w:val="24"/>
          <w:szCs w:val="24"/>
          <w:highlight w:val="none"/>
          <w:u w:val="single"/>
        </w:rPr>
        <w:t xml:space="preserve">    </w:t>
      </w:r>
      <w:r>
        <w:rPr>
          <w:rFonts w:hint="eastAsia" w:ascii="宋体" w:hAnsi="宋体" w:cs="宋体"/>
          <w:bCs/>
          <w:kern w:val="0"/>
          <w:sz w:val="24"/>
          <w:szCs w:val="24"/>
          <w:highlight w:val="none"/>
        </w:rPr>
        <w:t>日内支付该批物资金额的</w:t>
      </w:r>
      <w:r>
        <w:rPr>
          <w:rFonts w:ascii="宋体" w:hAnsi="宋体" w:cs="宋体"/>
          <w:bCs/>
          <w:kern w:val="0"/>
          <w:sz w:val="24"/>
          <w:szCs w:val="24"/>
          <w:highlight w:val="none"/>
          <w:u w:val="single"/>
        </w:rPr>
        <w:t xml:space="preserve">    </w:t>
      </w:r>
      <w:r>
        <w:rPr>
          <w:rFonts w:ascii="宋体" w:hAnsi="宋体" w:cs="宋体"/>
          <w:bCs/>
          <w:kern w:val="0"/>
          <w:sz w:val="24"/>
          <w:szCs w:val="24"/>
          <w:highlight w:val="none"/>
        </w:rPr>
        <w:t>%。</w:t>
      </w:r>
      <w:r>
        <w:rPr>
          <w:rFonts w:ascii="宋体" w:hAnsi="宋体" w:cs="宋体"/>
          <w:bCs/>
          <w:kern w:val="0"/>
          <w:sz w:val="24"/>
          <w:szCs w:val="24"/>
        </w:rPr>
        <w:t xml:space="preserve"> </w:t>
      </w:r>
    </w:p>
    <w:p>
      <w:pPr>
        <w:spacing w:line="390" w:lineRule="exact"/>
        <w:ind w:firstLine="480" w:firstLineChars="200"/>
        <w:rPr>
          <w:rFonts w:ascii="宋体" w:hAnsi="宋体"/>
          <w:color w:val="000000"/>
          <w:sz w:val="24"/>
          <w:szCs w:val="24"/>
        </w:rPr>
      </w:pPr>
      <w:r>
        <w:rPr>
          <w:rFonts w:ascii="宋体" w:hAnsi="宋体" w:cs="宋体"/>
          <w:bCs/>
          <w:kern w:val="0"/>
          <w:sz w:val="24"/>
          <w:szCs w:val="24"/>
        </w:rPr>
        <w:t>6.</w:t>
      </w:r>
      <w:r>
        <w:rPr>
          <w:rFonts w:hint="eastAsia" w:ascii="宋体" w:hAnsi="宋体" w:cs="宋体"/>
          <w:bCs/>
          <w:kern w:val="0"/>
          <w:sz w:val="24"/>
          <w:szCs w:val="24"/>
        </w:rPr>
        <w:t>4</w:t>
      </w:r>
      <w:r>
        <w:rPr>
          <w:rFonts w:ascii="宋体" w:hAnsi="宋体" w:cs="宋体"/>
          <w:bCs/>
          <w:kern w:val="0"/>
          <w:sz w:val="24"/>
          <w:szCs w:val="24"/>
        </w:rPr>
        <w:t>.3</w:t>
      </w:r>
      <w:r>
        <w:rPr>
          <w:rFonts w:hint="eastAsia" w:ascii="宋体" w:hAnsi="宋体" w:cs="宋体"/>
          <w:b/>
          <w:bCs w:val="0"/>
          <w:kern w:val="0"/>
          <w:sz w:val="24"/>
          <w:szCs w:val="24"/>
          <w:highlight w:val="none"/>
        </w:rPr>
        <w:t>先货后款，货款分期支付。每月 20 日结算完成后，甲方在收到乙方开具的正式的增值税专用发票后</w:t>
      </w:r>
      <w:r>
        <w:rPr>
          <w:rFonts w:hint="eastAsia" w:ascii="宋体" w:hAnsi="宋体" w:cs="宋体"/>
          <w:b/>
          <w:bCs w:val="0"/>
          <w:kern w:val="0"/>
          <w:sz w:val="24"/>
          <w:szCs w:val="24"/>
          <w:highlight w:val="none"/>
          <w:u w:val="single"/>
        </w:rPr>
        <w:t>120日内</w:t>
      </w:r>
      <w:r>
        <w:rPr>
          <w:rFonts w:hint="eastAsia" w:ascii="宋体" w:hAnsi="宋体" w:cs="宋体"/>
          <w:b/>
          <w:bCs w:val="0"/>
          <w:kern w:val="0"/>
          <w:sz w:val="24"/>
          <w:szCs w:val="24"/>
          <w:highlight w:val="none"/>
        </w:rPr>
        <w:t>，向乙方支付当月结算金额的</w:t>
      </w:r>
      <w:r>
        <w:rPr>
          <w:rFonts w:hint="eastAsia" w:ascii="宋体" w:hAnsi="宋体" w:cs="宋体"/>
          <w:b/>
          <w:bCs w:val="0"/>
          <w:kern w:val="0"/>
          <w:sz w:val="24"/>
          <w:szCs w:val="24"/>
          <w:highlight w:val="none"/>
          <w:u w:val="single"/>
        </w:rPr>
        <w:t>7</w:t>
      </w:r>
      <w:r>
        <w:rPr>
          <w:rFonts w:hint="eastAsia" w:ascii="宋体" w:hAnsi="宋体" w:cs="宋体"/>
          <w:b/>
          <w:bCs w:val="0"/>
          <w:kern w:val="0"/>
          <w:sz w:val="24"/>
          <w:szCs w:val="24"/>
          <w:highlight w:val="none"/>
          <w:u w:val="single"/>
          <w:lang w:val="en-US" w:eastAsia="zh-CN"/>
        </w:rPr>
        <w:t>5</w:t>
      </w:r>
      <w:r>
        <w:rPr>
          <w:rFonts w:hint="eastAsia" w:ascii="宋体" w:hAnsi="宋体" w:cs="宋体"/>
          <w:b/>
          <w:bCs w:val="0"/>
          <w:kern w:val="0"/>
          <w:sz w:val="24"/>
          <w:szCs w:val="24"/>
          <w:highlight w:val="none"/>
          <w:u w:val="single"/>
        </w:rPr>
        <w:t>%</w:t>
      </w:r>
      <w:r>
        <w:rPr>
          <w:rFonts w:hint="eastAsia" w:ascii="宋体" w:hAnsi="宋体" w:cs="宋体"/>
          <w:b/>
          <w:bCs w:val="0"/>
          <w:kern w:val="0"/>
          <w:sz w:val="24"/>
          <w:szCs w:val="24"/>
          <w:highlight w:val="none"/>
        </w:rPr>
        <w:t>，</w:t>
      </w:r>
      <w:r>
        <w:rPr>
          <w:rFonts w:hint="eastAsia" w:ascii="宋体" w:hAnsi="宋体" w:cs="宋体"/>
          <w:b/>
          <w:bCs w:val="0"/>
          <w:kern w:val="0"/>
          <w:sz w:val="24"/>
          <w:szCs w:val="24"/>
          <w:highlight w:val="none"/>
          <w:u w:val="single"/>
        </w:rPr>
        <w:t>210日</w:t>
      </w:r>
      <w:r>
        <w:rPr>
          <w:rFonts w:hint="eastAsia" w:ascii="宋体" w:hAnsi="宋体" w:cs="宋体"/>
          <w:b/>
          <w:bCs w:val="0"/>
          <w:kern w:val="0"/>
          <w:sz w:val="24"/>
          <w:szCs w:val="24"/>
          <w:highlight w:val="none"/>
        </w:rPr>
        <w:t>内向乙方支付当月结算金额的</w:t>
      </w:r>
      <w:r>
        <w:rPr>
          <w:rFonts w:hint="eastAsia" w:ascii="宋体" w:hAnsi="宋体" w:cs="宋体"/>
          <w:b/>
          <w:bCs w:val="0"/>
          <w:kern w:val="0"/>
          <w:sz w:val="24"/>
          <w:szCs w:val="24"/>
          <w:highlight w:val="none"/>
          <w:u w:val="single"/>
        </w:rPr>
        <w:t>2</w:t>
      </w:r>
      <w:r>
        <w:rPr>
          <w:rFonts w:hint="eastAsia" w:ascii="宋体" w:hAnsi="宋体" w:cs="宋体"/>
          <w:b/>
          <w:bCs w:val="0"/>
          <w:kern w:val="0"/>
          <w:sz w:val="24"/>
          <w:szCs w:val="24"/>
          <w:highlight w:val="none"/>
          <w:u w:val="single"/>
          <w:lang w:val="en-US" w:eastAsia="zh-CN"/>
        </w:rPr>
        <w:t>0</w:t>
      </w:r>
      <w:r>
        <w:rPr>
          <w:rFonts w:hint="eastAsia" w:ascii="宋体" w:hAnsi="宋体" w:cs="宋体"/>
          <w:b/>
          <w:bCs w:val="0"/>
          <w:kern w:val="0"/>
          <w:sz w:val="24"/>
          <w:szCs w:val="24"/>
          <w:highlight w:val="none"/>
          <w:u w:val="single"/>
        </w:rPr>
        <w:t>%</w:t>
      </w:r>
      <w:r>
        <w:rPr>
          <w:rFonts w:hint="eastAsia" w:ascii="宋体" w:hAnsi="宋体" w:cs="宋体"/>
          <w:b/>
          <w:bCs w:val="0"/>
          <w:kern w:val="0"/>
          <w:sz w:val="24"/>
          <w:szCs w:val="24"/>
          <w:highlight w:val="none"/>
        </w:rPr>
        <w:t>。剩余</w:t>
      </w:r>
      <w:r>
        <w:rPr>
          <w:rFonts w:hint="eastAsia" w:ascii="宋体" w:hAnsi="宋体" w:cs="宋体"/>
          <w:b/>
          <w:bCs w:val="0"/>
          <w:kern w:val="0"/>
          <w:sz w:val="24"/>
          <w:szCs w:val="24"/>
          <w:highlight w:val="none"/>
          <w:u w:val="single"/>
        </w:rPr>
        <w:t>5%</w:t>
      </w:r>
      <w:r>
        <w:rPr>
          <w:rFonts w:hint="eastAsia" w:ascii="宋体" w:hAnsi="宋体" w:cs="宋体"/>
          <w:b/>
          <w:bCs w:val="0"/>
          <w:kern w:val="0"/>
          <w:sz w:val="24"/>
          <w:szCs w:val="24"/>
          <w:highlight w:val="none"/>
        </w:rPr>
        <w:t>作为质保金，在合同封账后</w:t>
      </w:r>
      <w:r>
        <w:rPr>
          <w:rFonts w:hint="eastAsia" w:ascii="宋体" w:hAnsi="宋体" w:cs="宋体"/>
          <w:b/>
          <w:bCs w:val="0"/>
          <w:kern w:val="0"/>
          <w:sz w:val="24"/>
          <w:szCs w:val="24"/>
          <w:highlight w:val="none"/>
          <w:u w:val="single"/>
        </w:rPr>
        <w:t>1年内</w:t>
      </w:r>
      <w:r>
        <w:rPr>
          <w:rFonts w:hint="eastAsia" w:ascii="宋体" w:hAnsi="宋体" w:cs="宋体"/>
          <w:b/>
          <w:bCs w:val="0"/>
          <w:kern w:val="0"/>
          <w:sz w:val="24"/>
          <w:szCs w:val="24"/>
          <w:highlight w:val="none"/>
        </w:rPr>
        <w:t>且质保期满后无息支付，如发生纠纷，则延后至纠纷最终解决后30天内付清。质量保证金的支付并不免除乙方对交付货物质量的保证责任。</w:t>
      </w:r>
    </w:p>
    <w:p>
      <w:pPr>
        <w:spacing w:line="390" w:lineRule="exact"/>
        <w:ind w:left="10" w:firstLine="408" w:firstLineChars="170"/>
        <w:rPr>
          <w:rFonts w:ascii="宋体" w:hAnsi="宋体" w:cs="宋体"/>
          <w:bCs/>
          <w:color w:val="000000"/>
          <w:kern w:val="0"/>
          <w:sz w:val="24"/>
          <w:szCs w:val="24"/>
        </w:rPr>
      </w:pPr>
      <w:r>
        <w:rPr>
          <w:rFonts w:hint="eastAsia" w:ascii="宋体" w:hAnsi="宋体" w:cs="宋体"/>
          <w:bCs/>
          <w:kern w:val="0"/>
          <w:sz w:val="24"/>
          <w:szCs w:val="24"/>
        </w:rPr>
        <w:t>6.4.4</w:t>
      </w:r>
      <w:r>
        <w:rPr>
          <w:rFonts w:hint="eastAsia" w:ascii="宋体" w:hAnsi="宋体" w:cs="宋体"/>
          <w:bCs/>
          <w:kern w:val="0"/>
          <w:sz w:val="24"/>
          <w:szCs w:val="24"/>
          <w:highlight w:val="none"/>
        </w:rPr>
        <w:t>先货后款：</w:t>
      </w:r>
      <w:r>
        <w:rPr>
          <w:rFonts w:hint="eastAsia" w:ascii="宋体" w:hAnsi="宋体" w:cs="宋体"/>
          <w:bCs/>
          <w:color w:val="000000"/>
          <w:kern w:val="0"/>
          <w:sz w:val="24"/>
          <w:szCs w:val="24"/>
          <w:highlight w:val="none"/>
        </w:rPr>
        <w:t>货款一次性支付。结算完成后，甲方收到乙方开具的正式增值税专用发票后</w:t>
      </w:r>
      <w:r>
        <w:rPr>
          <w:rFonts w:hint="eastAsia" w:ascii="宋体" w:hAnsi="宋体" w:cs="宋体"/>
          <w:bCs/>
          <w:color w:val="000000"/>
          <w:kern w:val="0"/>
          <w:sz w:val="24"/>
          <w:szCs w:val="24"/>
          <w:highlight w:val="none"/>
          <w:u w:val="single"/>
        </w:rPr>
        <w:t xml:space="preserve"> </w:t>
      </w:r>
      <w:r>
        <w:rPr>
          <w:rFonts w:ascii="宋体" w:hAnsi="宋体" w:cs="宋体"/>
          <w:bCs/>
          <w:color w:val="000000"/>
          <w:kern w:val="0"/>
          <w:sz w:val="24"/>
          <w:szCs w:val="24"/>
          <w:highlight w:val="none"/>
          <w:u w:val="single"/>
        </w:rPr>
        <w:t xml:space="preserve"> </w:t>
      </w:r>
      <w:r>
        <w:rPr>
          <w:rFonts w:hint="eastAsia" w:ascii="宋体" w:hAnsi="宋体" w:cs="宋体"/>
          <w:bCs/>
          <w:color w:val="000000"/>
          <w:kern w:val="0"/>
          <w:sz w:val="24"/>
          <w:szCs w:val="24"/>
          <w:highlight w:val="none"/>
          <w:u w:val="single"/>
        </w:rPr>
        <w:t xml:space="preserve">  </w:t>
      </w:r>
      <w:r>
        <w:rPr>
          <w:rFonts w:hint="eastAsia" w:ascii="宋体" w:hAnsi="宋体" w:cs="宋体"/>
          <w:bCs/>
          <w:color w:val="000000"/>
          <w:kern w:val="0"/>
          <w:sz w:val="24"/>
          <w:szCs w:val="24"/>
          <w:highlight w:val="none"/>
        </w:rPr>
        <w:t>日内，向乙方支付当月结算金额的</w:t>
      </w:r>
      <w:r>
        <w:rPr>
          <w:rFonts w:hint="eastAsia" w:ascii="宋体" w:hAnsi="宋体" w:cs="宋体"/>
          <w:bCs/>
          <w:color w:val="000000"/>
          <w:kern w:val="0"/>
          <w:sz w:val="24"/>
          <w:szCs w:val="24"/>
          <w:highlight w:val="none"/>
          <w:u w:val="single"/>
        </w:rPr>
        <w:t xml:space="preserve">     </w:t>
      </w:r>
      <w:r>
        <w:rPr>
          <w:rFonts w:hint="eastAsia" w:ascii="宋体" w:hAnsi="宋体" w:cs="宋体"/>
          <w:bCs/>
          <w:color w:val="000000"/>
          <w:kern w:val="0"/>
          <w:sz w:val="24"/>
          <w:szCs w:val="24"/>
          <w:highlight w:val="none"/>
        </w:rPr>
        <w:t>%，剩余</w:t>
      </w:r>
      <w:r>
        <w:rPr>
          <w:rFonts w:hint="eastAsia" w:ascii="宋体" w:hAnsi="宋体" w:cs="宋体"/>
          <w:bCs/>
          <w:color w:val="000000"/>
          <w:kern w:val="0"/>
          <w:sz w:val="24"/>
          <w:szCs w:val="24"/>
          <w:highlight w:val="none"/>
          <w:u w:val="single"/>
        </w:rPr>
        <w:t xml:space="preserve">     </w:t>
      </w:r>
      <w:r>
        <w:rPr>
          <w:rFonts w:hint="eastAsia" w:ascii="宋体" w:hAnsi="宋体" w:cs="宋体"/>
          <w:bCs/>
          <w:color w:val="000000"/>
          <w:kern w:val="0"/>
          <w:sz w:val="24"/>
          <w:szCs w:val="24"/>
          <w:highlight w:val="none"/>
        </w:rPr>
        <w:t>%作为质保金，待质保期满后</w:t>
      </w:r>
      <w:r>
        <w:rPr>
          <w:rFonts w:hint="eastAsia" w:ascii="宋体" w:hAnsi="宋体" w:cs="宋体"/>
          <w:bCs/>
          <w:color w:val="000000"/>
          <w:kern w:val="0"/>
          <w:sz w:val="24"/>
          <w:szCs w:val="24"/>
          <w:highlight w:val="none"/>
          <w:u w:val="single"/>
        </w:rPr>
        <w:t xml:space="preserve">  1 </w:t>
      </w:r>
      <w:r>
        <w:rPr>
          <w:rFonts w:hint="eastAsia" w:ascii="宋体" w:hAnsi="宋体" w:cs="宋体"/>
          <w:bCs/>
          <w:color w:val="000000"/>
          <w:kern w:val="0"/>
          <w:sz w:val="24"/>
          <w:szCs w:val="24"/>
          <w:highlight w:val="none"/>
        </w:rPr>
        <w:t>个月内无息支付，如发生纠纷，则延后至纠纷最终解决后30天内付清。质量保证金支付不免除乙方对交付货物质量保证责任。</w:t>
      </w:r>
    </w:p>
    <w:p>
      <w:pPr>
        <w:spacing w:line="390" w:lineRule="exact"/>
        <w:ind w:left="10" w:firstLine="408" w:firstLineChars="170"/>
        <w:rPr>
          <w:rFonts w:ascii="宋体" w:hAnsi="宋体" w:cs="宋体"/>
          <w:bCs/>
          <w:color w:val="FF0000"/>
          <w:kern w:val="0"/>
          <w:sz w:val="24"/>
          <w:szCs w:val="24"/>
          <w:highlight w:val="none"/>
        </w:rPr>
      </w:pPr>
      <w:r>
        <w:rPr>
          <w:rFonts w:hint="eastAsia" w:ascii="宋体" w:hAnsi="宋体" w:cs="宋体"/>
          <w:b w:val="0"/>
          <w:bCs/>
          <w:color w:val="000000"/>
          <w:kern w:val="0"/>
          <w:sz w:val="24"/>
          <w:szCs w:val="24"/>
        </w:rPr>
        <w:t>6.5货款支付方式：</w:t>
      </w:r>
      <w:r>
        <w:rPr>
          <w:rFonts w:hint="eastAsia" w:ascii="宋体" w:hAnsi="宋体" w:cs="宋体"/>
          <w:b/>
          <w:color w:val="000000"/>
          <w:kern w:val="0"/>
          <w:sz w:val="24"/>
          <w:szCs w:val="24"/>
          <w:highlight w:val="none"/>
          <w:u w:val="double"/>
        </w:rPr>
        <w:t>甲乙双方协商一致同意采用银行转账、</w:t>
      </w:r>
      <w:bookmarkStart w:id="59" w:name="OLE_LINK1"/>
      <w:r>
        <w:rPr>
          <w:rFonts w:hint="eastAsia" w:ascii="宋体" w:hAnsi="宋体" w:cs="宋体"/>
          <w:b/>
          <w:color w:val="000000"/>
          <w:kern w:val="0"/>
          <w:sz w:val="24"/>
          <w:szCs w:val="24"/>
          <w:highlight w:val="none"/>
          <w:u w:val="double"/>
        </w:rPr>
        <w:t>银行承兑汇票、应收账款电子凭证等方式支付</w:t>
      </w:r>
      <w:bookmarkEnd w:id="59"/>
      <w:r>
        <w:rPr>
          <w:rFonts w:hint="eastAsia" w:ascii="宋体" w:hAnsi="宋体" w:cs="宋体"/>
          <w:b/>
          <w:color w:val="000000"/>
          <w:kern w:val="0"/>
          <w:sz w:val="24"/>
          <w:szCs w:val="24"/>
          <w:highlight w:val="none"/>
          <w:u w:val="double"/>
        </w:rPr>
        <w:t>本合同款</w:t>
      </w:r>
      <w:r>
        <w:rPr>
          <w:rFonts w:hint="eastAsia" w:ascii="宋体" w:hAnsi="宋体" w:cs="宋体"/>
          <w:b/>
          <w:kern w:val="0"/>
          <w:sz w:val="24"/>
          <w:szCs w:val="24"/>
          <w:highlight w:val="none"/>
          <w:u w:val="double"/>
        </w:rPr>
        <w:t>项。</w:t>
      </w:r>
    </w:p>
    <w:p>
      <w:pPr>
        <w:spacing w:line="390" w:lineRule="exact"/>
        <w:ind w:left="10" w:firstLine="410" w:firstLineChars="170"/>
        <w:rPr>
          <w:rFonts w:hint="eastAsia" w:ascii="宋体" w:hAnsi="宋体" w:cs="宋体"/>
          <w:b/>
          <w:color w:val="000000"/>
          <w:kern w:val="0"/>
          <w:sz w:val="24"/>
          <w:szCs w:val="24"/>
          <w:highlight w:val="none"/>
          <w:u w:val="double"/>
        </w:rPr>
      </w:pPr>
      <w:r>
        <w:rPr>
          <w:rFonts w:hint="eastAsia" w:ascii="宋体" w:hAnsi="宋体" w:cs="宋体"/>
          <w:b/>
          <w:color w:val="000000"/>
          <w:kern w:val="0"/>
          <w:sz w:val="24"/>
          <w:szCs w:val="24"/>
          <w:highlight w:val="none"/>
          <w:u w:val="double"/>
        </w:rPr>
        <w:t>甲方使用银行承兑汇票支付本合同款项，甲方不承担贴现费用；甲方使用应收账款电子凭证支付本合同款项，实际贴息费用不包含在采购单价中，由乙方以“价外费”的形式对实际接收应收账款电子凭证贴现费用开具发票，</w:t>
      </w:r>
      <w:r>
        <w:rPr>
          <w:rFonts w:hint="eastAsia" w:ascii="宋体" w:hAnsi="宋体" w:cs="宋体"/>
          <w:b/>
          <w:color w:val="000000"/>
          <w:kern w:val="0"/>
          <w:sz w:val="24"/>
          <w:szCs w:val="24"/>
          <w:highlight w:val="none"/>
          <w:u w:val="double"/>
          <w:lang w:val="en-US" w:eastAsia="zh-CN"/>
        </w:rPr>
        <w:t>贴现</w:t>
      </w:r>
      <w:r>
        <w:rPr>
          <w:rFonts w:hint="eastAsia" w:ascii="宋体" w:hAnsi="宋体" w:cs="宋体"/>
          <w:b/>
          <w:color w:val="000000"/>
          <w:kern w:val="0"/>
          <w:sz w:val="24"/>
          <w:szCs w:val="24"/>
          <w:highlight w:val="none"/>
          <w:u w:val="double"/>
        </w:rPr>
        <w:t>费用由甲方承担     %，乙方承担     %。</w:t>
      </w:r>
    </w:p>
    <w:p>
      <w:pPr>
        <w:spacing w:line="390" w:lineRule="exact"/>
        <w:ind w:firstLine="600" w:firstLineChars="250"/>
        <w:rPr>
          <w:rFonts w:ascii="宋体" w:hAnsi="宋体"/>
          <w:sz w:val="24"/>
          <w:szCs w:val="24"/>
        </w:rPr>
      </w:pPr>
      <w:r>
        <w:rPr>
          <w:rFonts w:hint="eastAsia" w:ascii="仿宋_GB2312" w:hAnsi="宋体" w:eastAsia="仿宋_GB2312"/>
          <w:color w:val="FF0000"/>
          <w:sz w:val="24"/>
          <w:szCs w:val="24"/>
        </w:rPr>
        <w:t xml:space="preserve"> </w:t>
      </w:r>
      <w:r>
        <w:rPr>
          <w:rFonts w:hint="eastAsia" w:ascii="宋体" w:hAnsi="宋体"/>
          <w:sz w:val="24"/>
          <w:szCs w:val="24"/>
        </w:rPr>
        <w:t>乙方指定联系人</w:t>
      </w:r>
      <w:r>
        <w:rPr>
          <w:rFonts w:hint="eastAsia" w:ascii="宋体" w:hAnsi="宋体"/>
          <w:sz w:val="24"/>
          <w:szCs w:val="24"/>
          <w:u w:val="single"/>
        </w:rPr>
        <w:t xml:space="preserve">          （身份证号：      ）</w:t>
      </w:r>
      <w:r>
        <w:rPr>
          <w:rFonts w:hint="eastAsia" w:ascii="宋体" w:hAnsi="宋体"/>
          <w:sz w:val="24"/>
          <w:szCs w:val="24"/>
        </w:rPr>
        <w:t>，联系方式</w:t>
      </w:r>
      <w:r>
        <w:rPr>
          <w:rFonts w:hint="eastAsia" w:ascii="宋体" w:hAnsi="宋体"/>
          <w:sz w:val="24"/>
          <w:szCs w:val="24"/>
          <w:u w:val="single"/>
        </w:rPr>
        <w:t xml:space="preserve">                         。</w:t>
      </w:r>
      <w:r>
        <w:rPr>
          <w:rFonts w:hint="eastAsia" w:ascii="宋体" w:hAnsi="宋体"/>
          <w:sz w:val="24"/>
          <w:szCs w:val="24"/>
        </w:rPr>
        <w:t xml:space="preserve">  </w:t>
      </w:r>
    </w:p>
    <w:p>
      <w:pPr>
        <w:spacing w:line="390" w:lineRule="exact"/>
        <w:ind w:left="10" w:firstLine="408" w:firstLineChars="170"/>
        <w:rPr>
          <w:rFonts w:hint="eastAsia" w:ascii="宋体" w:hAnsi="宋体" w:cs="宋体"/>
          <w:bCs/>
          <w:color w:val="000000"/>
          <w:kern w:val="0"/>
          <w:sz w:val="24"/>
          <w:szCs w:val="24"/>
          <w:highlight w:val="yellow"/>
        </w:rPr>
      </w:pPr>
      <w:r>
        <w:rPr>
          <w:rFonts w:ascii="宋体" w:hAnsi="宋体"/>
          <w:sz w:val="24"/>
          <w:szCs w:val="24"/>
        </w:rPr>
        <w:t xml:space="preserve">6.6 </w:t>
      </w:r>
      <w:r>
        <w:rPr>
          <w:rFonts w:hint="eastAsia" w:ascii="宋体" w:hAnsi="宋体" w:cs="宋体"/>
          <w:b/>
          <w:bCs w:val="0"/>
          <w:color w:val="000000"/>
          <w:kern w:val="0"/>
          <w:sz w:val="24"/>
          <w:szCs w:val="24"/>
          <w:highlight w:val="none"/>
        </w:rPr>
        <w:t>如甲方出现资金困难，乙方同意给予不少于</w:t>
      </w:r>
      <w:r>
        <w:rPr>
          <w:rFonts w:hint="eastAsia" w:ascii="宋体" w:hAnsi="宋体" w:cs="宋体"/>
          <w:b/>
          <w:bCs w:val="0"/>
          <w:color w:val="000000"/>
          <w:kern w:val="0"/>
          <w:sz w:val="24"/>
          <w:szCs w:val="24"/>
          <w:highlight w:val="none"/>
          <w:u w:val="single"/>
        </w:rPr>
        <w:t>365天</w:t>
      </w:r>
      <w:r>
        <w:rPr>
          <w:rFonts w:hint="eastAsia" w:ascii="宋体" w:hAnsi="宋体" w:cs="宋体"/>
          <w:b/>
          <w:bCs w:val="0"/>
          <w:color w:val="000000"/>
          <w:kern w:val="0"/>
          <w:sz w:val="24"/>
          <w:szCs w:val="24"/>
          <w:highlight w:val="none"/>
        </w:rPr>
        <w:t>的付款宽限期，在此宽期间内不视为甲方违约，甲方按</w:t>
      </w:r>
      <w:r>
        <w:rPr>
          <w:rFonts w:hint="eastAsia" w:ascii="宋体" w:hAnsi="宋体" w:cs="宋体"/>
          <w:b/>
          <w:bCs w:val="0"/>
          <w:color w:val="000000"/>
          <w:kern w:val="0"/>
          <w:sz w:val="24"/>
          <w:szCs w:val="24"/>
          <w:highlight w:val="none"/>
          <w:lang w:val="en-US" w:eastAsia="zh-CN"/>
        </w:rPr>
        <w:t>8.3</w:t>
      </w:r>
      <w:r>
        <w:rPr>
          <w:rFonts w:hint="eastAsia" w:ascii="宋体" w:hAnsi="宋体" w:cs="宋体"/>
          <w:b/>
          <w:bCs w:val="0"/>
          <w:color w:val="000000"/>
          <w:kern w:val="0"/>
          <w:sz w:val="24"/>
          <w:szCs w:val="24"/>
          <w:highlight w:val="none"/>
        </w:rPr>
        <w:t>条约定支付资金占用费，在此宽期间内乙方不得以此为由中断本项目的货物供应并采取投诉、上述、起诉等催款措施。</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第七条  双方权利义务</w:t>
      </w:r>
    </w:p>
    <w:p>
      <w:pPr>
        <w:tabs>
          <w:tab w:val="left" w:pos="360"/>
        </w:tabs>
        <w:spacing w:line="390" w:lineRule="exact"/>
        <w:ind w:firstLine="482" w:firstLineChars="200"/>
        <w:rPr>
          <w:rFonts w:ascii="宋体" w:hAnsi="宋体"/>
          <w:b/>
          <w:bCs/>
          <w:color w:val="000000"/>
          <w:sz w:val="24"/>
          <w:szCs w:val="24"/>
        </w:rPr>
      </w:pPr>
      <w:r>
        <w:rPr>
          <w:rFonts w:hint="eastAsia" w:ascii="宋体" w:hAnsi="宋体"/>
          <w:b/>
          <w:bCs/>
          <w:color w:val="000000"/>
          <w:sz w:val="24"/>
          <w:szCs w:val="24"/>
        </w:rPr>
        <w:t>7.1 甲方的权利义务</w:t>
      </w:r>
    </w:p>
    <w:p>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7.1.1甲方负责提供供货计划和准确的交货地点。</w:t>
      </w:r>
    </w:p>
    <w:p>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7.1.2按合同约定支付合同价款。</w:t>
      </w:r>
    </w:p>
    <w:p>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7.1.3甲方不得无故拒绝接收供货计划范围内的货物。</w:t>
      </w:r>
    </w:p>
    <w:p>
      <w:pPr>
        <w:spacing w:line="390" w:lineRule="exact"/>
        <w:ind w:firstLine="480" w:firstLineChars="200"/>
        <w:rPr>
          <w:rFonts w:ascii="宋体" w:hAnsi="宋体"/>
          <w:bCs/>
          <w:color w:val="000000"/>
          <w:sz w:val="24"/>
          <w:szCs w:val="24"/>
        </w:rPr>
      </w:pPr>
      <w:r>
        <w:rPr>
          <w:rFonts w:hint="eastAsia" w:ascii="宋体" w:hAnsi="宋体"/>
          <w:bCs/>
          <w:color w:val="000000"/>
          <w:sz w:val="24"/>
          <w:szCs w:val="24"/>
        </w:rPr>
        <w:t>7.1.4按合同约定对货物进行检验和验收。</w:t>
      </w:r>
    </w:p>
    <w:p>
      <w:pPr>
        <w:spacing w:line="390" w:lineRule="exact"/>
        <w:ind w:firstLine="480" w:firstLineChars="200"/>
        <w:rPr>
          <w:rFonts w:ascii="宋体" w:hAnsi="宋体"/>
          <w:color w:val="FF0000"/>
          <w:sz w:val="24"/>
          <w:szCs w:val="24"/>
        </w:rPr>
      </w:pPr>
      <w:r>
        <w:rPr>
          <w:rFonts w:hint="eastAsia" w:ascii="宋体" w:hAnsi="宋体"/>
          <w:bCs/>
          <w:color w:val="000000"/>
          <w:sz w:val="24"/>
          <w:szCs w:val="24"/>
        </w:rPr>
        <w:t>7.1.5接受乙方提供的培训和保修服务。</w:t>
      </w:r>
    </w:p>
    <w:p>
      <w:pPr>
        <w:spacing w:line="390" w:lineRule="exact"/>
        <w:ind w:firstLine="482" w:firstLineChars="200"/>
        <w:rPr>
          <w:rFonts w:ascii="宋体" w:hAnsi="宋体"/>
          <w:b/>
          <w:bCs/>
          <w:color w:val="000000"/>
          <w:sz w:val="24"/>
          <w:szCs w:val="24"/>
        </w:rPr>
      </w:pPr>
      <w:r>
        <w:rPr>
          <w:rFonts w:hint="eastAsia" w:ascii="宋体" w:hAnsi="宋体"/>
          <w:b/>
          <w:bCs/>
          <w:color w:val="000000"/>
          <w:sz w:val="24"/>
          <w:szCs w:val="24"/>
        </w:rPr>
        <w:t>7.2乙方的权利义务</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7.2.1按合同约定的技术标准和质量要求供应货物；同时乙方应考虑甲方的施工特点，精心组织、配备足够的运输能力和必要的储存场地以保证甲方需要。</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7.2.2及时向甲方提供货物合格证书及甲方要求</w:t>
      </w:r>
      <w:r>
        <w:rPr>
          <w:rFonts w:hint="eastAsia" w:ascii="宋体" w:hAnsi="宋体"/>
          <w:color w:val="000000"/>
          <w:sz w:val="24"/>
          <w:szCs w:val="24"/>
          <w:lang w:eastAsia="zh-CN"/>
        </w:rPr>
        <w:t>的其他</w:t>
      </w:r>
      <w:r>
        <w:rPr>
          <w:rFonts w:hint="eastAsia" w:ascii="宋体" w:hAnsi="宋体"/>
          <w:color w:val="000000"/>
          <w:sz w:val="24"/>
          <w:szCs w:val="24"/>
        </w:rPr>
        <w:t>相关资料。</w:t>
      </w:r>
    </w:p>
    <w:p>
      <w:pPr>
        <w:spacing w:line="390" w:lineRule="exact"/>
        <w:ind w:firstLine="480" w:firstLineChars="200"/>
        <w:rPr>
          <w:rFonts w:ascii="宋体" w:hAnsi="宋体" w:cs="宋体"/>
          <w:color w:val="000000"/>
          <w:kern w:val="0"/>
          <w:sz w:val="24"/>
          <w:szCs w:val="24"/>
        </w:rPr>
      </w:pPr>
      <w:r>
        <w:rPr>
          <w:rFonts w:hint="eastAsia" w:ascii="宋体" w:hAnsi="宋体"/>
          <w:color w:val="000000"/>
          <w:sz w:val="24"/>
          <w:szCs w:val="24"/>
        </w:rPr>
        <w:t>7.2.3</w:t>
      </w:r>
      <w:r>
        <w:rPr>
          <w:rFonts w:hint="eastAsia" w:ascii="宋体" w:hAnsi="宋体" w:cs="宋体"/>
          <w:color w:val="000000"/>
          <w:kern w:val="0"/>
          <w:sz w:val="24"/>
          <w:szCs w:val="24"/>
        </w:rPr>
        <w:t>乙方与第三方发生的任何经济往来和债务纠纷均与甲方无关，乙方保证货物无权属上的瑕疵、无知识产权争议，如给甲方造成的任何损失均由乙方承担。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7.2.4乙方对甲方相关人员提供技术培训，培训时间</w:t>
      </w:r>
      <w:r>
        <w:rPr>
          <w:rFonts w:hint="eastAsia" w:ascii="宋体" w:hAnsi="宋体"/>
          <w:color w:val="000000"/>
          <w:sz w:val="24"/>
          <w:szCs w:val="24"/>
          <w:u w:val="single"/>
        </w:rPr>
        <w:t xml:space="preserve">        </w:t>
      </w:r>
      <w:r>
        <w:rPr>
          <w:rFonts w:hint="eastAsia" w:ascii="宋体" w:hAnsi="宋体"/>
          <w:color w:val="000000"/>
          <w:sz w:val="24"/>
          <w:szCs w:val="24"/>
        </w:rPr>
        <w:t>；培训内容包括货物安装、调试、操作、维护保养、故障处理等。培训费用已包含在本合同价款中，乙方不再另行收取。</w:t>
      </w:r>
    </w:p>
    <w:p>
      <w:pPr>
        <w:spacing w:line="390" w:lineRule="exact"/>
        <w:ind w:firstLine="480" w:firstLineChars="200"/>
        <w:rPr>
          <w:rFonts w:ascii="宋体" w:hAnsi="宋体"/>
          <w:sz w:val="24"/>
          <w:szCs w:val="24"/>
          <w:highlight w:val="yellow"/>
        </w:rPr>
      </w:pPr>
      <w:r>
        <w:rPr>
          <w:rFonts w:hint="eastAsia" w:ascii="宋体" w:hAnsi="宋体"/>
          <w:sz w:val="24"/>
          <w:szCs w:val="24"/>
        </w:rPr>
        <w:t>7.2.5</w:t>
      </w:r>
      <w:r>
        <w:rPr>
          <w:rFonts w:hint="eastAsia" w:ascii="宋体" w:hAnsi="宋体" w:cs="宋体"/>
          <w:bCs/>
          <w:kern w:val="0"/>
          <w:sz w:val="24"/>
          <w:szCs w:val="24"/>
        </w:rPr>
        <w:t xml:space="preserve"> 乙方积极协助甲方在税法规定期限内办理有关的进项税额的认证申办手续。乙方开具的增值税专用发票在送达甲方后如发生丢失、灭失，乙方应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pPr>
        <w:spacing w:line="390" w:lineRule="exact"/>
        <w:ind w:firstLine="480" w:firstLineChars="200"/>
        <w:rPr>
          <w:rFonts w:ascii="宋体" w:hAnsi="宋体" w:cs="宋体"/>
          <w:bCs/>
          <w:kern w:val="0"/>
          <w:sz w:val="24"/>
          <w:szCs w:val="24"/>
        </w:rPr>
      </w:pPr>
      <w:r>
        <w:rPr>
          <w:rFonts w:hint="eastAsia" w:ascii="宋体" w:hAnsi="宋体" w:cs="宋体"/>
          <w:bCs/>
          <w:kern w:val="0"/>
          <w:sz w:val="24"/>
          <w:szCs w:val="24"/>
        </w:rPr>
        <w:t>7.2.6在涉及到货物质量问题的退货行为时,如果退货行为涉及到开具红字增值税专用发票的行为,乙方应当履行相关协助义务。</w:t>
      </w:r>
    </w:p>
    <w:p>
      <w:pPr>
        <w:spacing w:line="390" w:lineRule="exact"/>
        <w:ind w:firstLine="480" w:firstLineChars="200"/>
        <w:rPr>
          <w:rFonts w:ascii="宋体" w:hAnsi="宋体"/>
          <w:color w:val="000000"/>
          <w:sz w:val="24"/>
          <w:szCs w:val="24"/>
        </w:rPr>
      </w:pPr>
      <w:r>
        <w:rPr>
          <w:rFonts w:hint="eastAsia" w:ascii="宋体" w:hAnsi="宋体"/>
          <w:sz w:val="24"/>
          <w:szCs w:val="24"/>
        </w:rPr>
        <w:t>7.2.7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第八条　甲方违约责任</w:t>
      </w:r>
    </w:p>
    <w:p>
      <w:pPr>
        <w:spacing w:line="390" w:lineRule="exact"/>
        <w:ind w:firstLine="480" w:firstLineChars="200"/>
        <w:rPr>
          <w:rFonts w:ascii="宋体" w:hAnsi="宋体"/>
          <w:color w:val="0070C0"/>
          <w:sz w:val="24"/>
          <w:szCs w:val="24"/>
        </w:rPr>
      </w:pPr>
      <w:r>
        <w:rPr>
          <w:rFonts w:hint="eastAsia" w:ascii="宋体" w:hAnsi="宋体"/>
          <w:color w:val="000000"/>
          <w:sz w:val="24"/>
          <w:szCs w:val="24"/>
        </w:rPr>
        <w:t>8.1乙方按甲方的供货计划供货并已实际交付甲方后，如甲方违反合同中途退货的，应向乙方赔偿退货部分货款的_________％违约金。</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8.2甲方无故拒绝接受货物的，应承担因此给乙方造成的损失。</w:t>
      </w:r>
    </w:p>
    <w:p>
      <w:pPr>
        <w:spacing w:line="390" w:lineRule="exact"/>
        <w:ind w:firstLine="480" w:firstLineChars="200"/>
        <w:rPr>
          <w:rFonts w:ascii="宋体" w:hAnsi="宋体"/>
          <w:b/>
          <w:bCs/>
          <w:color w:val="000000"/>
          <w:sz w:val="24"/>
          <w:szCs w:val="24"/>
        </w:rPr>
      </w:pPr>
      <w:r>
        <w:rPr>
          <w:rFonts w:hint="eastAsia" w:ascii="宋体" w:hAnsi="宋体" w:cs="Times New Roman"/>
          <w:b w:val="0"/>
          <w:bCs w:val="0"/>
          <w:color w:val="000000"/>
          <w:sz w:val="24"/>
          <w:szCs w:val="24"/>
        </w:rPr>
        <w:t>8.3</w:t>
      </w:r>
      <w:r>
        <w:rPr>
          <w:rFonts w:hint="eastAsia" w:ascii="宋体" w:hAnsi="宋体" w:eastAsia="宋体" w:cs="宋体"/>
          <w:b w:val="0"/>
          <w:bCs/>
          <w:kern w:val="0"/>
          <w:sz w:val="24"/>
          <w:szCs w:val="24"/>
          <w:highlight w:val="none"/>
        </w:rPr>
        <w:t>甲方逾期支付货款的（乙方未履行向甲方开具增值税专用发票等合同约定的义务除外），甲方对逾期付款部分从</w:t>
      </w:r>
      <w:r>
        <w:rPr>
          <w:rFonts w:hint="eastAsia" w:ascii="宋体" w:hAnsi="宋体" w:eastAsia="宋体" w:cs="宋体"/>
          <w:b w:val="0"/>
          <w:bCs/>
          <w:kern w:val="0"/>
          <w:sz w:val="24"/>
          <w:szCs w:val="24"/>
          <w:highlight w:val="none"/>
          <w:lang w:val="en-US" w:eastAsia="zh-CN"/>
        </w:rPr>
        <w:t>逾期日</w:t>
      </w:r>
      <w:r>
        <w:rPr>
          <w:rFonts w:hint="eastAsia" w:ascii="宋体" w:hAnsi="宋体" w:eastAsia="宋体" w:cs="宋体"/>
          <w:b w:val="0"/>
          <w:bCs/>
          <w:kern w:val="0"/>
          <w:sz w:val="24"/>
          <w:szCs w:val="24"/>
          <w:highlight w:val="none"/>
        </w:rPr>
        <w:t>的次日起向乙方支付资金占用费。</w:t>
      </w:r>
      <w:r>
        <w:rPr>
          <w:rFonts w:hint="eastAsia" w:ascii="宋体" w:hAnsi="宋体"/>
          <w:b/>
          <w:bCs/>
          <w:color w:val="000000"/>
          <w:sz w:val="24"/>
          <w:szCs w:val="24"/>
          <w:highlight w:val="none"/>
        </w:rPr>
        <w:t>资金占用费按合同订立时一年期贷款市场报价利率计算</w:t>
      </w:r>
      <w:r>
        <w:rPr>
          <w:rFonts w:hint="eastAsia" w:ascii="宋体" w:hAnsi="宋体" w:eastAsia="宋体" w:cs="宋体"/>
          <w:b w:val="0"/>
          <w:bCs/>
          <w:kern w:val="0"/>
          <w:sz w:val="24"/>
          <w:szCs w:val="24"/>
          <w:highlight w:val="none"/>
        </w:rPr>
        <w:t>，计算的基数以甲方最后一笔付款时剩余欠款金额为准，不包括前期逾期但现已支付部分的货款。资金占用费由乙方以“价外费”的形式开具发票。除此之外，甲方不再承担其他任何违约责任。</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第九条　乙方的违约责任</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9.1乙方不能交货的，向甲方偿付不能交货部分货款_________％的违约金，甲方有权解除合同。</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9.2乙方所交货物种类、型号、规格、花色、包装不符合同规定的，如甲方同意使用，应按质论价；甲方不同意使用的，应根据具体情况，由乙方负责包换或包修，并承担修理、调换或退货而支付的实际费用。因此给甲方造成的一切损失均由乙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9.3乙方逾期交货的，每逾期一日，应按照合同总金额_________%向甲方支付违约金，并赔偿甲方因此所遭受的损失；同时，甲方有权向第三人采购同种类货物，因此增加的费用由乙方承担。如逾期超过_________日，甲方有权终止合同并可就遭受的损失向乙方索赔。同时，甲方有权向第三人采购同种类货物，因此增加的费用由乙方承担。</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9.4乙方提前交付货物的，甲方无需提前付款，如因乙方提前交付货物导致甲方增加费用的，该增加的费用由乙方承担。</w:t>
      </w:r>
    </w:p>
    <w:p>
      <w:pPr>
        <w:spacing w:line="390" w:lineRule="exact"/>
        <w:ind w:firstLine="480" w:firstLineChars="200"/>
        <w:rPr>
          <w:rFonts w:ascii="宋体" w:hAnsi="宋体"/>
          <w:sz w:val="24"/>
          <w:szCs w:val="24"/>
        </w:rPr>
      </w:pPr>
      <w:r>
        <w:rPr>
          <w:rFonts w:hint="eastAsia" w:ascii="宋体" w:hAnsi="宋体" w:cs="宋体"/>
          <w:bCs/>
          <w:kern w:val="0"/>
          <w:sz w:val="24"/>
          <w:szCs w:val="24"/>
        </w:rPr>
        <w:t>9.5 乙方不得擅自停止供货，否则甲方有权重新选择</w:t>
      </w:r>
      <w:r>
        <w:rPr>
          <w:rFonts w:hint="eastAsia" w:ascii="宋体" w:hAnsi="宋体" w:cs="宋体"/>
          <w:bCs/>
          <w:kern w:val="0"/>
          <w:sz w:val="24"/>
          <w:szCs w:val="24"/>
          <w:lang w:eastAsia="zh-CN"/>
        </w:rPr>
        <w:t>其他</w:t>
      </w:r>
      <w:r>
        <w:rPr>
          <w:rFonts w:hint="eastAsia" w:ascii="宋体" w:hAnsi="宋体" w:cs="宋体"/>
          <w:bCs/>
          <w:kern w:val="0"/>
          <w:sz w:val="24"/>
          <w:szCs w:val="24"/>
        </w:rPr>
        <w:t>供应商，同时乙方承担本合同第一条中含增值税总价</w:t>
      </w:r>
      <w:r>
        <w:rPr>
          <w:rFonts w:hint="eastAsia" w:ascii="宋体" w:hAnsi="宋体" w:cs="宋体"/>
          <w:bCs/>
          <w:kern w:val="0"/>
          <w:sz w:val="24"/>
          <w:szCs w:val="24"/>
          <w:u w:val="single"/>
        </w:rPr>
        <w:t xml:space="preserve">   </w:t>
      </w:r>
      <w:r>
        <w:rPr>
          <w:rFonts w:ascii="宋体" w:hAnsi="宋体" w:cs="宋体"/>
          <w:bCs/>
          <w:kern w:val="0"/>
          <w:sz w:val="24"/>
          <w:szCs w:val="24"/>
          <w:u w:val="single"/>
        </w:rPr>
        <w:t xml:space="preserve">   </w:t>
      </w:r>
      <w:r>
        <w:rPr>
          <w:rFonts w:hint="eastAsia" w:ascii="宋体" w:hAnsi="宋体" w:cs="宋体"/>
          <w:bCs/>
          <w:kern w:val="0"/>
          <w:sz w:val="24"/>
          <w:szCs w:val="24"/>
        </w:rPr>
        <w:t>%的违约金并赔偿断货给甲方造成的一切损失。</w:t>
      </w:r>
    </w:p>
    <w:p>
      <w:pPr>
        <w:spacing w:line="390" w:lineRule="exact"/>
        <w:ind w:firstLine="480" w:firstLineChars="200"/>
        <w:rPr>
          <w:rFonts w:ascii="宋体" w:hAnsi="宋体"/>
          <w:color w:val="000000"/>
          <w:sz w:val="24"/>
          <w:szCs w:val="24"/>
        </w:rPr>
      </w:pPr>
      <w:r>
        <w:rPr>
          <w:rFonts w:hint="eastAsia" w:ascii="宋体" w:hAnsi="宋体" w:cs="宋体"/>
          <w:bCs/>
          <w:color w:val="000000"/>
          <w:kern w:val="0"/>
          <w:sz w:val="24"/>
          <w:szCs w:val="24"/>
        </w:rPr>
        <w:t>9.6乙方不能随车提供货物合格证书或其他</w:t>
      </w:r>
      <w:r>
        <w:rPr>
          <w:rFonts w:hint="eastAsia" w:ascii="宋体" w:hAnsi="宋体" w:cs="宋体"/>
          <w:bCs/>
          <w:kern w:val="0"/>
          <w:sz w:val="24"/>
          <w:szCs w:val="24"/>
        </w:rPr>
        <w:t>约定</w:t>
      </w:r>
      <w:r>
        <w:rPr>
          <w:rFonts w:hint="eastAsia" w:ascii="宋体" w:hAnsi="宋体" w:cs="宋体"/>
          <w:bCs/>
          <w:color w:val="000000"/>
          <w:kern w:val="0"/>
          <w:sz w:val="24"/>
          <w:szCs w:val="24"/>
        </w:rPr>
        <w:t>单证的，甲方有权拒绝收货，因此产生的费用和损失由乙方负责。</w:t>
      </w:r>
    </w:p>
    <w:p>
      <w:pPr>
        <w:spacing w:line="390" w:lineRule="exact"/>
        <w:ind w:firstLine="480" w:firstLineChars="200"/>
        <w:rPr>
          <w:rFonts w:ascii="宋体" w:hAnsi="宋体"/>
          <w:color w:val="000000"/>
          <w:sz w:val="24"/>
          <w:szCs w:val="24"/>
        </w:rPr>
      </w:pPr>
      <w:r>
        <w:rPr>
          <w:rFonts w:hint="eastAsia" w:ascii="宋体" w:hAnsi="宋体"/>
          <w:color w:val="000000"/>
          <w:sz w:val="24"/>
          <w:szCs w:val="24"/>
        </w:rPr>
        <w:t>9.7在质保期内，乙方未按甲方要求进行维修或更换的，乙方应向甲方支付</w:t>
      </w:r>
      <w:r>
        <w:rPr>
          <w:rFonts w:hint="eastAsia" w:ascii="宋体" w:hAnsi="宋体"/>
          <w:color w:val="000000"/>
          <w:sz w:val="24"/>
          <w:szCs w:val="24"/>
          <w:u w:val="single"/>
        </w:rPr>
        <w:t xml:space="preserve">     </w:t>
      </w:r>
      <w:r>
        <w:rPr>
          <w:rFonts w:hint="eastAsia" w:ascii="宋体" w:hAnsi="宋体"/>
          <w:color w:val="000000"/>
          <w:sz w:val="24"/>
          <w:szCs w:val="24"/>
        </w:rPr>
        <w:t>违约金</w:t>
      </w:r>
      <w:r>
        <w:rPr>
          <w:rFonts w:hint="eastAsia" w:ascii="宋体" w:hAnsi="宋体"/>
          <w:color w:val="000000"/>
          <w:sz w:val="24"/>
          <w:szCs w:val="24"/>
          <w:u w:val="single"/>
        </w:rPr>
        <w:t xml:space="preserve">   </w:t>
      </w:r>
      <w:r>
        <w:rPr>
          <w:rFonts w:ascii="宋体" w:hAnsi="宋体"/>
          <w:color w:val="000000"/>
          <w:sz w:val="24"/>
          <w:szCs w:val="24"/>
          <w:u w:val="single"/>
        </w:rPr>
        <w:t xml:space="preserve">  </w:t>
      </w:r>
      <w:r>
        <w:rPr>
          <w:rFonts w:hint="eastAsia" w:ascii="宋体" w:hAnsi="宋体"/>
          <w:color w:val="000000"/>
          <w:sz w:val="24"/>
          <w:szCs w:val="24"/>
        </w:rPr>
        <w:t>元/次，甲方有权交由第三方进行维修，由此产生的费用和损失亦由乙方承担。因货物质量原因造成甲方损失的，乙方还应承担赔偿责任。</w:t>
      </w:r>
    </w:p>
    <w:p>
      <w:pPr>
        <w:spacing w:line="390" w:lineRule="exact"/>
        <w:ind w:firstLine="480" w:firstLineChars="200"/>
        <w:rPr>
          <w:rFonts w:ascii="宋体" w:hAnsi="宋体"/>
          <w:sz w:val="24"/>
          <w:szCs w:val="24"/>
        </w:rPr>
      </w:pPr>
      <w:r>
        <w:rPr>
          <w:rFonts w:hint="eastAsia" w:ascii="宋体" w:hAnsi="宋体"/>
          <w:sz w:val="24"/>
          <w:szCs w:val="24"/>
        </w:rPr>
        <w:t>9.8</w:t>
      </w:r>
      <w:r>
        <w:rPr>
          <w:rFonts w:ascii="宋体" w:hAnsi="宋体"/>
          <w:sz w:val="24"/>
          <w:szCs w:val="24"/>
        </w:rPr>
        <w:t>乙方未能按甲方要求提供增值税专用发票（含税务机关代开），甲方有权拒付相应</w:t>
      </w:r>
      <w:r>
        <w:rPr>
          <w:rFonts w:hint="eastAsia" w:ascii="宋体" w:hAnsi="宋体"/>
          <w:sz w:val="24"/>
          <w:szCs w:val="24"/>
        </w:rPr>
        <w:t>货款</w:t>
      </w:r>
      <w:r>
        <w:rPr>
          <w:rFonts w:ascii="宋体" w:hAnsi="宋体"/>
          <w:sz w:val="24"/>
          <w:szCs w:val="24"/>
        </w:rPr>
        <w:t>。</w:t>
      </w:r>
    </w:p>
    <w:p>
      <w:pPr>
        <w:spacing w:line="390" w:lineRule="exact"/>
        <w:ind w:firstLine="480" w:firstLineChars="200"/>
        <w:rPr>
          <w:rFonts w:ascii="宋体" w:hAnsi="宋体"/>
          <w:sz w:val="24"/>
          <w:szCs w:val="24"/>
        </w:rPr>
      </w:pPr>
      <w:r>
        <w:rPr>
          <w:rFonts w:hint="eastAsia" w:ascii="宋体" w:hAnsi="宋体"/>
          <w:sz w:val="24"/>
          <w:szCs w:val="24"/>
        </w:rPr>
        <w:t xml:space="preserve">9.9 </w:t>
      </w:r>
      <w:r>
        <w:rPr>
          <w:rFonts w:ascii="宋体" w:hAnsi="宋体"/>
          <w:sz w:val="24"/>
          <w:szCs w:val="24"/>
        </w:rPr>
        <w:t>若因逾期送达造成甲方无法抵扣发票相应税款的，乙方还应赔偿甲方由此遭受的损失，金额相当于逾期送达发票可抵扣金额，并加收按逾期送达发票金额____%的违约金。</w:t>
      </w:r>
    </w:p>
    <w:p>
      <w:pPr>
        <w:spacing w:line="390" w:lineRule="exact"/>
        <w:ind w:firstLine="480" w:firstLineChars="200"/>
        <w:rPr>
          <w:rFonts w:ascii="宋体" w:hAnsi="宋体"/>
          <w:sz w:val="24"/>
          <w:szCs w:val="24"/>
        </w:rPr>
      </w:pPr>
      <w:r>
        <w:rPr>
          <w:rFonts w:hint="eastAsia" w:ascii="宋体" w:hAnsi="宋体"/>
          <w:sz w:val="24"/>
          <w:szCs w:val="24"/>
        </w:rPr>
        <w:t>9.10</w:t>
      </w:r>
      <w:r>
        <w:rPr>
          <w:rFonts w:ascii="宋体" w:hAnsi="宋体"/>
          <w:sz w:val="24"/>
          <w:szCs w:val="24"/>
        </w:rPr>
        <w:t>乙方应提供真实、有效、合格的发票，如发现乙方提供虚假发票或虚开增值税专用发票的情况，乙方须按发票金额的_____%向甲方支付违约金，并承担对甲方造成的全部损失。由于乙方原因造成甲方无法抵扣相应税款，发现问题后退回，乙方应无条件更换为有效发票，拒绝或逾期不更换发票的，造成甲方损失及相关风险，由乙方予以承担。发生上述情况时，甲方有权选择解除合同。</w:t>
      </w:r>
    </w:p>
    <w:p>
      <w:pPr>
        <w:spacing w:line="390" w:lineRule="exact"/>
        <w:ind w:firstLine="480" w:firstLineChars="200"/>
        <w:rPr>
          <w:rFonts w:ascii="宋体" w:hAnsi="宋体"/>
          <w:sz w:val="24"/>
          <w:szCs w:val="24"/>
        </w:rPr>
      </w:pPr>
      <w:r>
        <w:rPr>
          <w:rFonts w:hint="eastAsia" w:ascii="宋体" w:hAnsi="宋体"/>
          <w:sz w:val="24"/>
          <w:szCs w:val="24"/>
        </w:rPr>
        <w:t>9.11</w:t>
      </w:r>
      <w:r>
        <w:rPr>
          <w:rFonts w:ascii="宋体" w:hAnsi="宋体"/>
          <w:sz w:val="24"/>
          <w:szCs w:val="24"/>
        </w:rPr>
        <w:t>乙方有义务配合甲方接受税务机关、审计部门</w:t>
      </w:r>
      <w:r>
        <w:rPr>
          <w:rFonts w:hint="eastAsia" w:ascii="宋体" w:hAnsi="宋体"/>
          <w:sz w:val="24"/>
          <w:szCs w:val="24"/>
        </w:rPr>
        <w:t>、</w:t>
      </w:r>
      <w:r>
        <w:rPr>
          <w:rFonts w:ascii="宋体" w:hAnsi="宋体"/>
          <w:sz w:val="24"/>
          <w:szCs w:val="24"/>
        </w:rPr>
        <w:t>纪检部门的检查工作，如果乙方拒不配合，由乙方支付_____元的违约金，并承担对甲方造成的损失。</w:t>
      </w:r>
    </w:p>
    <w:p>
      <w:pPr>
        <w:spacing w:line="390" w:lineRule="exact"/>
        <w:ind w:firstLine="480" w:firstLineChars="200"/>
        <w:rPr>
          <w:rFonts w:ascii="宋体" w:hAnsi="宋体"/>
          <w:sz w:val="24"/>
          <w:szCs w:val="24"/>
        </w:rPr>
      </w:pPr>
      <w:r>
        <w:rPr>
          <w:rFonts w:ascii="宋体" w:hAnsi="宋体"/>
          <w:sz w:val="24"/>
          <w:szCs w:val="24"/>
        </w:rPr>
        <w:t>9.1</w:t>
      </w:r>
      <w:r>
        <w:rPr>
          <w:rFonts w:hint="eastAsia" w:ascii="宋体" w:hAnsi="宋体"/>
          <w:sz w:val="24"/>
          <w:szCs w:val="24"/>
        </w:rPr>
        <w:t>2乙方保证提供的产品、服务不侵犯任何第三方知识产权和其他任何权利。任何第三方提出侵权指控时，乙方负责与第三方交涉并承担一切可能发生的经济上、法律上的责任，由此给甲方带来损失的，乙方无条件予以赔偿。</w:t>
      </w:r>
    </w:p>
    <w:p>
      <w:pPr>
        <w:spacing w:line="390" w:lineRule="exact"/>
        <w:ind w:firstLine="480" w:firstLineChars="200"/>
        <w:rPr>
          <w:rFonts w:ascii="宋体" w:hAnsi="宋体"/>
          <w:sz w:val="24"/>
          <w:szCs w:val="24"/>
        </w:rPr>
      </w:pPr>
      <w:r>
        <w:rPr>
          <w:rFonts w:ascii="宋体" w:hAnsi="宋体"/>
          <w:sz w:val="24"/>
          <w:szCs w:val="24"/>
        </w:rPr>
        <w:t>9.1</w:t>
      </w:r>
      <w:r>
        <w:rPr>
          <w:rFonts w:hint="eastAsia" w:ascii="宋体" w:hAnsi="宋体"/>
          <w:sz w:val="24"/>
          <w:szCs w:val="24"/>
        </w:rPr>
        <w:t>3如乙方被中国铁路总公司、建设单位或中国中铁股份有限公司及其关联企业、列入“限制交易供应商名单”、“不合格供应商名单”或“供应商黑名单”等限制交易名单，甲方可以单方解除合同，解除合同的一切后果由乙方承担。</w:t>
      </w:r>
    </w:p>
    <w:p>
      <w:pPr>
        <w:autoSpaceDE w:val="0"/>
        <w:autoSpaceDN w:val="0"/>
        <w:adjustRightInd w:val="0"/>
        <w:spacing w:line="390" w:lineRule="exact"/>
        <w:ind w:firstLine="480" w:firstLineChars="200"/>
        <w:rPr>
          <w:rFonts w:hint="eastAsia" w:ascii="宋体" w:hAnsi="宋体" w:cs="宋体"/>
          <w:kern w:val="0"/>
          <w:sz w:val="24"/>
          <w:szCs w:val="24"/>
          <w:lang w:val="zh-CN"/>
        </w:rPr>
      </w:pPr>
      <w:r>
        <w:rPr>
          <w:rFonts w:hint="eastAsia" w:ascii="宋体" w:hAnsi="宋体"/>
          <w:sz w:val="24"/>
          <w:szCs w:val="24"/>
        </w:rPr>
        <w:t>9.1</w:t>
      </w:r>
      <w:r>
        <w:rPr>
          <w:rFonts w:ascii="宋体" w:hAnsi="宋体"/>
          <w:sz w:val="24"/>
          <w:szCs w:val="24"/>
        </w:rPr>
        <w:t xml:space="preserve">4 </w:t>
      </w:r>
      <w:r>
        <w:rPr>
          <w:rFonts w:hint="eastAsia" w:ascii="宋体" w:hAnsi="宋体" w:cs="宋体"/>
          <w:kern w:val="0"/>
          <w:sz w:val="24"/>
          <w:szCs w:val="24"/>
          <w:lang w:val="zh-CN"/>
        </w:rPr>
        <w:t>乙方其他违约责任：</w:t>
      </w:r>
      <w:r>
        <w:rPr>
          <w:rFonts w:hint="eastAsia" w:ascii="宋体" w:hAnsi="宋体" w:cs="宋体"/>
          <w:kern w:val="0"/>
          <w:sz w:val="24"/>
          <w:szCs w:val="24"/>
          <w:u w:val="single"/>
          <w:lang w:val="zh-CN"/>
        </w:rPr>
        <w:t xml:space="preserve">                    </w:t>
      </w:r>
      <w:r>
        <w:rPr>
          <w:rFonts w:hint="eastAsia" w:ascii="宋体" w:hAnsi="宋体" w:cs="宋体"/>
          <w:kern w:val="0"/>
          <w:sz w:val="24"/>
          <w:szCs w:val="24"/>
          <w:lang w:val="zh-CN"/>
        </w:rPr>
        <w:t>。</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 xml:space="preserve">第十条　争议解决 </w:t>
      </w:r>
    </w:p>
    <w:p>
      <w:pPr>
        <w:pStyle w:val="6"/>
        <w:spacing w:line="390" w:lineRule="exact"/>
        <w:ind w:firstLine="480" w:firstLineChars="200"/>
        <w:rPr>
          <w:rFonts w:hint="eastAsia" w:ascii="宋体" w:hAnsi="宋体" w:eastAsia="宋体" w:cs="Times New Roman"/>
          <w:b w:val="0"/>
          <w:bCs w:val="0"/>
          <w:color w:val="000000"/>
          <w:sz w:val="24"/>
          <w:szCs w:val="24"/>
          <w:lang w:val="en-US" w:eastAsia="zh-CN"/>
        </w:rPr>
      </w:pPr>
      <w:r>
        <w:rPr>
          <w:rFonts w:hint="eastAsia" w:ascii="宋体" w:hAnsi="宋体" w:cs="宋体"/>
          <w:b w:val="0"/>
          <w:bCs w:val="0"/>
          <w:color w:val="000000"/>
          <w:sz w:val="24"/>
          <w:szCs w:val="24"/>
          <w:lang w:val="en-US" w:eastAsia="zh-CN"/>
        </w:rPr>
        <w:t>1</w:t>
      </w:r>
      <w:r>
        <w:rPr>
          <w:rFonts w:hint="eastAsia" w:hAnsi="宋体" w:cs="宋体"/>
          <w:b w:val="0"/>
          <w:bCs w:val="0"/>
          <w:color w:val="000000"/>
          <w:sz w:val="24"/>
          <w:szCs w:val="24"/>
          <w:lang w:val="en-US" w:eastAsia="zh-CN"/>
        </w:rPr>
        <w:t>0</w:t>
      </w:r>
      <w:r>
        <w:rPr>
          <w:rFonts w:hint="eastAsia" w:ascii="宋体" w:hAnsi="宋体" w:cs="宋体"/>
          <w:b w:val="0"/>
          <w:bCs w:val="0"/>
          <w:color w:val="000000"/>
          <w:sz w:val="24"/>
          <w:szCs w:val="24"/>
          <w:lang w:val="en-US" w:eastAsia="zh-CN"/>
        </w:rPr>
        <w:t>.1</w:t>
      </w:r>
      <w:r>
        <w:rPr>
          <w:rFonts w:hint="eastAsia" w:ascii="宋体" w:hAnsi="宋体" w:cs="Times New Roman"/>
          <w:b w:val="0"/>
          <w:bCs w:val="0"/>
          <w:color w:val="000000"/>
          <w:sz w:val="24"/>
          <w:szCs w:val="24"/>
        </w:rPr>
        <w:t>若发生</w:t>
      </w:r>
      <w:r>
        <w:rPr>
          <w:rFonts w:hint="eastAsia" w:ascii="宋体" w:hAnsi="宋体" w:cs="Times New Roman"/>
          <w:b w:val="0"/>
          <w:bCs w:val="0"/>
          <w:color w:val="000000"/>
          <w:sz w:val="24"/>
          <w:szCs w:val="24"/>
          <w:lang w:val="en-US" w:eastAsia="zh-CN"/>
        </w:rPr>
        <w:t>乙方</w:t>
      </w:r>
      <w:r>
        <w:rPr>
          <w:rFonts w:hint="eastAsia" w:ascii="宋体" w:hAnsi="宋体" w:cs="Times New Roman"/>
          <w:b w:val="0"/>
          <w:bCs w:val="0"/>
          <w:color w:val="000000"/>
          <w:sz w:val="24"/>
          <w:szCs w:val="24"/>
        </w:rPr>
        <w:t>需向</w:t>
      </w:r>
      <w:r>
        <w:rPr>
          <w:rFonts w:hint="eastAsia" w:ascii="宋体" w:hAnsi="宋体" w:cs="Times New Roman"/>
          <w:b w:val="0"/>
          <w:bCs w:val="0"/>
          <w:color w:val="000000"/>
          <w:sz w:val="24"/>
          <w:szCs w:val="24"/>
          <w:lang w:val="en-US" w:eastAsia="zh-CN"/>
        </w:rPr>
        <w:t>甲方</w:t>
      </w:r>
      <w:r>
        <w:rPr>
          <w:rFonts w:hint="eastAsia" w:ascii="宋体" w:hAnsi="宋体" w:cs="Times New Roman"/>
          <w:b w:val="0"/>
          <w:bCs w:val="0"/>
          <w:color w:val="000000"/>
          <w:sz w:val="24"/>
          <w:szCs w:val="24"/>
        </w:rPr>
        <w:t>主张权益或反映问题时，承诺先行向</w:t>
      </w:r>
      <w:r>
        <w:rPr>
          <w:rFonts w:hint="eastAsia" w:ascii="宋体" w:hAnsi="宋体" w:cs="Times New Roman"/>
          <w:b w:val="0"/>
          <w:bCs w:val="0"/>
          <w:color w:val="000000"/>
          <w:sz w:val="24"/>
          <w:szCs w:val="24"/>
          <w:lang w:val="en-US" w:eastAsia="zh-CN"/>
        </w:rPr>
        <w:t>甲方</w:t>
      </w:r>
      <w:r>
        <w:rPr>
          <w:rFonts w:hint="eastAsia" w:ascii="宋体" w:hAnsi="宋体" w:cs="Times New Roman"/>
          <w:b w:val="0"/>
          <w:bCs w:val="0"/>
          <w:color w:val="000000"/>
          <w:sz w:val="24"/>
          <w:szCs w:val="24"/>
        </w:rPr>
        <w:t>内部投诉平台进行情况反映，投诉事项从</w:t>
      </w:r>
      <w:r>
        <w:rPr>
          <w:rFonts w:hint="eastAsia" w:ascii="宋体" w:hAnsi="宋体" w:cs="Times New Roman"/>
          <w:b w:val="0"/>
          <w:bCs w:val="0"/>
          <w:color w:val="000000"/>
          <w:sz w:val="24"/>
          <w:szCs w:val="24"/>
          <w:lang w:val="en-US" w:eastAsia="zh-CN"/>
        </w:rPr>
        <w:t>甲方</w:t>
      </w:r>
      <w:r>
        <w:rPr>
          <w:rFonts w:hint="eastAsia" w:ascii="宋体" w:hAnsi="宋体" w:cs="Times New Roman"/>
          <w:b w:val="0"/>
          <w:bCs w:val="0"/>
          <w:color w:val="000000"/>
          <w:sz w:val="24"/>
          <w:szCs w:val="24"/>
        </w:rPr>
        <w:t>收到投诉次日起5个月的处理时限。在此期间，</w:t>
      </w:r>
      <w:r>
        <w:rPr>
          <w:rFonts w:hint="eastAsia" w:ascii="宋体" w:hAnsi="宋体" w:cs="Times New Roman"/>
          <w:b w:val="0"/>
          <w:bCs w:val="0"/>
          <w:color w:val="000000"/>
          <w:sz w:val="24"/>
          <w:szCs w:val="24"/>
          <w:lang w:val="en-US" w:eastAsia="zh-CN"/>
        </w:rPr>
        <w:t>乙方</w:t>
      </w:r>
      <w:r>
        <w:rPr>
          <w:rFonts w:hint="eastAsia" w:ascii="宋体" w:hAnsi="宋体" w:cs="Times New Roman"/>
          <w:b w:val="0"/>
          <w:bCs w:val="0"/>
          <w:color w:val="000000"/>
          <w:sz w:val="24"/>
          <w:szCs w:val="24"/>
        </w:rPr>
        <w:t>承诺不得向国家或地方相关部门和各级信访部门进行投诉，也不得提起诉讼。否则，</w:t>
      </w:r>
      <w:r>
        <w:rPr>
          <w:rFonts w:hint="eastAsia" w:ascii="宋体" w:hAnsi="宋体" w:cs="Times New Roman"/>
          <w:b w:val="0"/>
          <w:bCs w:val="0"/>
          <w:color w:val="000000"/>
          <w:sz w:val="24"/>
          <w:szCs w:val="24"/>
          <w:lang w:val="en-US" w:eastAsia="zh-CN"/>
        </w:rPr>
        <w:t>乙方</w:t>
      </w:r>
      <w:r>
        <w:rPr>
          <w:rFonts w:hint="eastAsia" w:ascii="宋体" w:hAnsi="宋体" w:cs="Times New Roman"/>
          <w:b w:val="0"/>
          <w:bCs w:val="0"/>
          <w:color w:val="000000"/>
          <w:sz w:val="24"/>
          <w:szCs w:val="24"/>
        </w:rPr>
        <w:t>自愿接受</w:t>
      </w:r>
      <w:r>
        <w:rPr>
          <w:rFonts w:hint="eastAsia" w:ascii="宋体" w:hAnsi="宋体" w:cs="Times New Roman"/>
          <w:b w:val="0"/>
          <w:bCs w:val="0"/>
          <w:color w:val="000000"/>
          <w:sz w:val="24"/>
          <w:szCs w:val="24"/>
          <w:lang w:val="en-US" w:eastAsia="zh-CN"/>
        </w:rPr>
        <w:t>甲方</w:t>
      </w:r>
      <w:r>
        <w:rPr>
          <w:rFonts w:hint="eastAsia" w:ascii="宋体" w:hAnsi="宋体" w:cs="Times New Roman"/>
          <w:b w:val="0"/>
          <w:bCs w:val="0"/>
          <w:color w:val="000000"/>
          <w:sz w:val="24"/>
          <w:szCs w:val="24"/>
        </w:rPr>
        <w:t>将</w:t>
      </w:r>
      <w:r>
        <w:rPr>
          <w:rFonts w:hint="eastAsia" w:ascii="宋体" w:hAnsi="宋体" w:cs="Times New Roman"/>
          <w:b w:val="0"/>
          <w:bCs w:val="0"/>
          <w:color w:val="000000"/>
          <w:sz w:val="24"/>
          <w:szCs w:val="24"/>
          <w:lang w:val="en-US" w:eastAsia="zh-CN"/>
        </w:rPr>
        <w:t>乙方</w:t>
      </w:r>
      <w:r>
        <w:rPr>
          <w:rFonts w:hint="eastAsia" w:ascii="宋体" w:hAnsi="宋体" w:cs="Times New Roman"/>
          <w:b w:val="0"/>
          <w:bCs w:val="0"/>
          <w:color w:val="000000"/>
          <w:sz w:val="24"/>
          <w:szCs w:val="24"/>
        </w:rPr>
        <w:t>纳入《中铁二局限制交易名单》《中铁二局谨慎交易名单》中进行信用惩戒。并按照5万元/次承担违约责任。</w:t>
      </w:r>
    </w:p>
    <w:p>
      <w:pPr>
        <w:pStyle w:val="6"/>
        <w:spacing w:line="390" w:lineRule="exact"/>
        <w:ind w:firstLine="480" w:firstLineChars="200"/>
        <w:rPr>
          <w:rFonts w:hint="eastAsia" w:ascii="宋体" w:hAnsi="宋体" w:eastAsia="宋体" w:cs="宋体"/>
          <w:bCs/>
          <w:kern w:val="0"/>
          <w:sz w:val="24"/>
          <w:szCs w:val="24"/>
          <w:highlight w:val="yellow"/>
        </w:rPr>
      </w:pPr>
      <w:r>
        <w:rPr>
          <w:rFonts w:hint="eastAsia" w:ascii="宋体" w:hAnsi="宋体" w:cs="宋体"/>
          <w:b w:val="0"/>
          <w:bCs w:val="0"/>
          <w:color w:val="000000"/>
          <w:sz w:val="24"/>
          <w:szCs w:val="24"/>
          <w:lang w:val="en-US" w:eastAsia="zh-CN"/>
        </w:rPr>
        <w:t>1</w:t>
      </w:r>
      <w:r>
        <w:rPr>
          <w:rFonts w:hint="eastAsia" w:hAnsi="宋体" w:cs="宋体"/>
          <w:b w:val="0"/>
          <w:bCs w:val="0"/>
          <w:color w:val="000000"/>
          <w:sz w:val="24"/>
          <w:szCs w:val="24"/>
          <w:lang w:val="en-US" w:eastAsia="zh-CN"/>
        </w:rPr>
        <w:t>0</w:t>
      </w:r>
      <w:r>
        <w:rPr>
          <w:rFonts w:hint="eastAsia" w:ascii="宋体" w:hAnsi="宋体" w:cs="宋体"/>
          <w:b w:val="0"/>
          <w:bCs w:val="0"/>
          <w:color w:val="000000"/>
          <w:sz w:val="24"/>
          <w:szCs w:val="24"/>
          <w:lang w:val="en-US" w:eastAsia="zh-CN"/>
        </w:rPr>
        <w:t>.2</w:t>
      </w:r>
      <w:r>
        <w:rPr>
          <w:rFonts w:hint="eastAsia" w:ascii="宋体" w:hAnsi="宋体" w:eastAsia="宋体" w:cs="宋体"/>
          <w:bCs/>
          <w:kern w:val="0"/>
          <w:sz w:val="24"/>
          <w:szCs w:val="24"/>
          <w:highlight w:val="none"/>
        </w:rPr>
        <w:t>甲乙双方在履行合同时发生争议的，应协商解决。协商不成的，</w:t>
      </w:r>
      <w:r>
        <w:rPr>
          <w:rFonts w:hint="eastAsia" w:ascii="宋体" w:hAnsi="宋体" w:eastAsia="宋体" w:cs="宋体"/>
          <w:bCs/>
          <w:kern w:val="0"/>
          <w:sz w:val="24"/>
          <w:szCs w:val="24"/>
          <w:highlight w:val="none"/>
          <w:lang w:val="en-US" w:eastAsia="zh-CN"/>
        </w:rPr>
        <w:t>提交成都仲裁委员会进行仲裁</w:t>
      </w:r>
      <w:r>
        <w:rPr>
          <w:rFonts w:hint="eastAsia" w:ascii="宋体" w:hAnsi="宋体" w:eastAsia="宋体" w:cs="宋体"/>
          <w:bCs/>
          <w:kern w:val="0"/>
          <w:sz w:val="24"/>
          <w:szCs w:val="24"/>
          <w:highlight w:val="none"/>
        </w:rPr>
        <w:t>。</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第十</w:t>
      </w:r>
      <w:r>
        <w:rPr>
          <w:rFonts w:hint="eastAsia" w:ascii="宋体" w:hAnsi="宋体"/>
          <w:b/>
          <w:bCs/>
          <w:kern w:val="44"/>
          <w:sz w:val="24"/>
          <w:szCs w:val="24"/>
          <w:lang w:eastAsia="zh-CN"/>
        </w:rPr>
        <w:t>一</w:t>
      </w:r>
      <w:r>
        <w:rPr>
          <w:rFonts w:hint="eastAsia" w:ascii="宋体" w:hAnsi="宋体"/>
          <w:b/>
          <w:bCs/>
          <w:kern w:val="44"/>
          <w:sz w:val="24"/>
          <w:szCs w:val="24"/>
        </w:rPr>
        <w:t xml:space="preserve">条　廉政条款 </w:t>
      </w:r>
    </w:p>
    <w:p>
      <w:pPr>
        <w:tabs>
          <w:tab w:val="left" w:pos="360"/>
        </w:tabs>
        <w:spacing w:line="390" w:lineRule="exact"/>
        <w:ind w:firstLine="424" w:firstLineChars="177"/>
        <w:rPr>
          <w:rFonts w:ascii="宋体" w:hAnsi="宋体" w:cs="宋体"/>
          <w:kern w:val="0"/>
          <w:sz w:val="24"/>
          <w:szCs w:val="24"/>
        </w:rPr>
      </w:pPr>
      <w:r>
        <w:rPr>
          <w:rFonts w:ascii="宋体" w:hAnsi="宋体" w:cs="宋体"/>
          <w:kern w:val="0"/>
          <w:sz w:val="24"/>
          <w:szCs w:val="24"/>
        </w:rPr>
        <w:t>乙方承诺：乙方及</w:t>
      </w:r>
      <w:r>
        <w:rPr>
          <w:rFonts w:hint="eastAsia" w:ascii="宋体" w:hAnsi="宋体" w:cs="宋体"/>
          <w:kern w:val="0"/>
          <w:sz w:val="24"/>
          <w:szCs w:val="24"/>
        </w:rPr>
        <w:t>其</w:t>
      </w:r>
      <w:r>
        <w:rPr>
          <w:rFonts w:ascii="宋体" w:hAnsi="宋体" w:cs="宋体"/>
          <w:kern w:val="0"/>
          <w:sz w:val="24"/>
          <w:szCs w:val="24"/>
        </w:rPr>
        <w:t>工作人员不向甲方工作人员赠送礼金、礼品、有价证券、购物卡</w:t>
      </w:r>
      <w:r>
        <w:rPr>
          <w:rFonts w:hint="eastAsia" w:ascii="宋体" w:hAnsi="宋体" w:cs="宋体"/>
          <w:kern w:val="0"/>
          <w:sz w:val="24"/>
          <w:szCs w:val="24"/>
          <w:lang w:eastAsia="zh-CN"/>
        </w:rPr>
        <w:t>及其他有</w:t>
      </w:r>
      <w:r>
        <w:rPr>
          <w:rFonts w:ascii="宋体" w:hAnsi="宋体" w:cs="宋体"/>
          <w:kern w:val="0"/>
          <w:sz w:val="24"/>
          <w:szCs w:val="24"/>
        </w:rPr>
        <w:t>价物品等，不邀请甲方工作人员吃喝游玩</w:t>
      </w:r>
      <w:r>
        <w:rPr>
          <w:rFonts w:hint="eastAsia" w:ascii="宋体" w:hAnsi="宋体" w:cs="宋体"/>
          <w:kern w:val="0"/>
          <w:sz w:val="24"/>
          <w:szCs w:val="24"/>
          <w:lang w:eastAsia="zh-CN"/>
        </w:rPr>
        <w:t>及其他</w:t>
      </w:r>
      <w:r>
        <w:rPr>
          <w:rFonts w:ascii="宋体" w:hAnsi="宋体" w:cs="宋体"/>
          <w:kern w:val="0"/>
          <w:sz w:val="24"/>
          <w:szCs w:val="24"/>
        </w:rPr>
        <w:t>娱乐性消费；不向甲方工作人员提供任何工作以外的便利和好处；在合同履行过程中不弄虚作假。若乙方违背上述承诺且经甲方法人单位或其上级纪委监察机关查实认定，或国家司法机关立案查处，视为乙方违约，乙方承担暂定合同总价的</w:t>
      </w:r>
      <w:r>
        <w:rPr>
          <w:rFonts w:ascii="宋体" w:hAnsi="宋体" w:cs="宋体"/>
          <w:kern w:val="0"/>
          <w:sz w:val="24"/>
          <w:szCs w:val="24"/>
          <w:u w:val="single"/>
        </w:rPr>
        <w:t xml:space="preserve">    </w:t>
      </w:r>
      <w:r>
        <w:rPr>
          <w:rFonts w:ascii="宋体" w:hAnsi="宋体" w:cs="宋体"/>
          <w:kern w:val="0"/>
          <w:sz w:val="24"/>
          <w:szCs w:val="24"/>
        </w:rPr>
        <w:t>%的违约金，违约金及乙方因违背承诺行为所取得的不当利益一并在结算中扣除。</w:t>
      </w:r>
    </w:p>
    <w:p>
      <w:pPr>
        <w:tabs>
          <w:tab w:val="left" w:pos="360"/>
        </w:tabs>
        <w:spacing w:line="390" w:lineRule="exact"/>
        <w:ind w:firstLine="424" w:firstLineChars="177"/>
        <w:rPr>
          <w:rFonts w:hint="eastAsia" w:ascii="宋体" w:hAnsi="宋体" w:cs="宋体"/>
          <w:kern w:val="0"/>
          <w:sz w:val="24"/>
          <w:szCs w:val="24"/>
        </w:rPr>
      </w:pPr>
      <w:r>
        <w:rPr>
          <w:rFonts w:hint="eastAsia" w:ascii="宋体" w:hAnsi="宋体" w:cs="宋体"/>
          <w:kern w:val="0"/>
          <w:sz w:val="24"/>
          <w:szCs w:val="24"/>
        </w:rPr>
        <w:t>甲方工作人员向乙方索贿的，乙方及其工作人员应向甲方法人单位或其上级纪检监察部门、国家司法机关检举。</w:t>
      </w:r>
    </w:p>
    <w:p>
      <w:pPr>
        <w:keepNext/>
        <w:keepLines/>
        <w:spacing w:line="390" w:lineRule="exact"/>
        <w:ind w:firstLine="482" w:firstLineChars="200"/>
        <w:outlineLvl w:val="0"/>
        <w:rPr>
          <w:rFonts w:ascii="宋体" w:hAnsi="宋体"/>
          <w:b/>
          <w:bCs/>
          <w:kern w:val="44"/>
          <w:sz w:val="24"/>
          <w:szCs w:val="24"/>
        </w:rPr>
      </w:pPr>
      <w:r>
        <w:rPr>
          <w:rFonts w:hint="eastAsia" w:ascii="宋体" w:hAnsi="宋体"/>
          <w:b/>
          <w:bCs/>
          <w:kern w:val="44"/>
          <w:sz w:val="24"/>
          <w:szCs w:val="24"/>
        </w:rPr>
        <w:t>第十</w:t>
      </w:r>
      <w:r>
        <w:rPr>
          <w:rFonts w:hint="eastAsia" w:ascii="宋体" w:hAnsi="宋体"/>
          <w:b/>
          <w:bCs/>
          <w:kern w:val="44"/>
          <w:sz w:val="24"/>
          <w:szCs w:val="24"/>
          <w:lang w:eastAsia="zh-CN"/>
        </w:rPr>
        <w:t>二</w:t>
      </w:r>
      <w:r>
        <w:rPr>
          <w:rFonts w:hint="eastAsia" w:ascii="宋体" w:hAnsi="宋体"/>
          <w:b/>
          <w:bCs/>
          <w:kern w:val="44"/>
          <w:sz w:val="24"/>
          <w:szCs w:val="24"/>
        </w:rPr>
        <w:t>条　</w:t>
      </w:r>
      <w:r>
        <w:rPr>
          <w:rFonts w:hint="eastAsia" w:ascii="宋体" w:hAnsi="宋体"/>
          <w:b/>
          <w:bCs/>
          <w:kern w:val="44"/>
          <w:sz w:val="24"/>
          <w:szCs w:val="24"/>
          <w:lang w:eastAsia="zh-CN"/>
        </w:rPr>
        <w:t>其他事项</w:t>
      </w:r>
    </w:p>
    <w:p>
      <w:pPr>
        <w:tabs>
          <w:tab w:val="left" w:pos="360"/>
        </w:tabs>
        <w:spacing w:line="390" w:lineRule="exact"/>
        <w:ind w:firstLine="400" w:firstLineChars="167"/>
        <w:rPr>
          <w:rFonts w:ascii="宋体" w:hAnsi="宋体"/>
          <w:color w:val="0070C0"/>
          <w:sz w:val="24"/>
          <w:szCs w:val="24"/>
        </w:rPr>
      </w:pPr>
      <w:r>
        <w:rPr>
          <w:rFonts w:ascii="宋体" w:hAnsi="宋体"/>
          <w:sz w:val="24"/>
          <w:szCs w:val="24"/>
        </w:rPr>
        <w:t>1</w:t>
      </w:r>
      <w:r>
        <w:rPr>
          <w:rFonts w:hint="eastAsia" w:ascii="宋体" w:hAnsi="宋体"/>
          <w:sz w:val="24"/>
          <w:szCs w:val="24"/>
          <w:lang w:val="en-US" w:eastAsia="zh-CN"/>
        </w:rPr>
        <w:t>2</w:t>
      </w:r>
      <w:r>
        <w:rPr>
          <w:rFonts w:ascii="宋体" w:hAnsi="宋体"/>
          <w:sz w:val="24"/>
          <w:szCs w:val="24"/>
        </w:rPr>
        <w:t>.1</w:t>
      </w:r>
      <w:r>
        <w:rPr>
          <w:rFonts w:hint="eastAsia" w:ascii="宋体" w:hAnsi="宋体"/>
          <w:sz w:val="24"/>
          <w:szCs w:val="24"/>
        </w:rPr>
        <w:t>本合同中所</w:t>
      </w:r>
      <w:r>
        <w:rPr>
          <w:rFonts w:ascii="宋体" w:hAnsi="宋体"/>
          <w:sz w:val="24"/>
          <w:szCs w:val="24"/>
        </w:rPr>
        <w:t>涉及</w:t>
      </w:r>
      <w:r>
        <w:rPr>
          <w:rFonts w:hint="eastAsia" w:ascii="宋体" w:hAnsi="宋体"/>
          <w:sz w:val="24"/>
          <w:szCs w:val="24"/>
        </w:rPr>
        <w:t>的债权，</w:t>
      </w:r>
      <w:r>
        <w:rPr>
          <w:rFonts w:ascii="宋体" w:hAnsi="宋体"/>
          <w:sz w:val="24"/>
          <w:szCs w:val="24"/>
        </w:rPr>
        <w:t>乙方</w:t>
      </w:r>
      <w:r>
        <w:rPr>
          <w:rFonts w:hint="eastAsia" w:ascii="宋体" w:hAnsi="宋体"/>
          <w:sz w:val="24"/>
          <w:szCs w:val="24"/>
        </w:rPr>
        <w:t>不得转让，也不得用于任何形式的担保。若乙方擅自转让或用于担保的，则该行为无效，乙方应赔偿甲方因此受到的全部损失。</w:t>
      </w:r>
    </w:p>
    <w:p>
      <w:pPr>
        <w:tabs>
          <w:tab w:val="left" w:pos="360"/>
        </w:tabs>
        <w:spacing w:line="390" w:lineRule="exact"/>
        <w:ind w:firstLine="400" w:firstLineChars="167"/>
        <w:rPr>
          <w:rFonts w:hint="eastAsia" w:ascii="宋体" w:hAnsi="宋体" w:cs="Times New Roman"/>
          <w:b w:val="0"/>
          <w:bCs w:val="0"/>
          <w:sz w:val="24"/>
          <w:szCs w:val="24"/>
        </w:rPr>
      </w:pPr>
      <w:r>
        <w:rPr>
          <w:rFonts w:hint="eastAsia" w:ascii="宋体" w:hAnsi="宋体" w:cs="Times New Roman"/>
          <w:b w:val="0"/>
          <w:bCs w:val="0"/>
          <w:sz w:val="24"/>
          <w:szCs w:val="24"/>
          <w:lang w:val="en-US" w:eastAsia="zh-CN"/>
        </w:rPr>
        <w:t>12.2</w:t>
      </w:r>
      <w:r>
        <w:rPr>
          <w:rFonts w:hint="eastAsia" w:ascii="宋体" w:hAnsi="宋体"/>
          <w:sz w:val="24"/>
          <w:szCs w:val="24"/>
          <w:highlight w:val="none"/>
        </w:rPr>
        <w:t>乙</w:t>
      </w:r>
      <w:r>
        <w:rPr>
          <w:rFonts w:hint="eastAsia" w:ascii="宋体" w:hAnsi="宋体"/>
          <w:bCs/>
          <w:sz w:val="24"/>
          <w:szCs w:val="24"/>
          <w:highlight w:val="none"/>
        </w:rPr>
        <w:t>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r>
        <w:rPr>
          <w:rFonts w:hint="eastAsia" w:ascii="宋体" w:hAnsi="宋体"/>
          <w:sz w:val="24"/>
          <w:szCs w:val="24"/>
          <w:highlight w:val="none"/>
        </w:rPr>
        <w:t>。</w:t>
      </w:r>
    </w:p>
    <w:p>
      <w:pPr>
        <w:tabs>
          <w:tab w:val="left" w:pos="360"/>
        </w:tabs>
        <w:spacing w:line="390" w:lineRule="exact"/>
        <w:ind w:firstLine="400" w:firstLineChars="167"/>
        <w:rPr>
          <w:rFonts w:hint="eastAsia" w:ascii="宋体" w:hAnsi="宋体" w:cs="Times New Roman"/>
          <w:b w:val="0"/>
          <w:bCs w:val="0"/>
          <w:sz w:val="24"/>
          <w:szCs w:val="24"/>
        </w:rPr>
      </w:pPr>
      <w:r>
        <w:rPr>
          <w:rFonts w:hint="eastAsia" w:ascii="宋体" w:hAnsi="宋体" w:cs="Times New Roman"/>
          <w:b w:val="0"/>
          <w:bCs w:val="0"/>
          <w:sz w:val="24"/>
          <w:szCs w:val="24"/>
        </w:rPr>
        <w:t>经甲方审计发现对乙方计量计价依据严重不足，不符合计量计价原则导致对乙方多计量计价错误，或《封账协议》（含封账单）中对乙方多付或漏扣少扣，乙方认可甲方审计结论，并无条件按照审计结果和甲方通知退回多收款项。</w:t>
      </w:r>
    </w:p>
    <w:p>
      <w:pPr>
        <w:tabs>
          <w:tab w:val="left" w:pos="360"/>
        </w:tabs>
        <w:spacing w:line="390" w:lineRule="exact"/>
        <w:ind w:firstLine="400" w:firstLineChars="167"/>
        <w:rPr>
          <w:rFonts w:hint="eastAsia" w:ascii="宋体" w:hAnsi="宋体" w:cs="Times New Roman"/>
          <w:b w:val="0"/>
          <w:bCs w:val="0"/>
          <w:sz w:val="24"/>
          <w:szCs w:val="24"/>
          <w:lang w:eastAsia="zh-CN"/>
        </w:rPr>
      </w:pPr>
      <w:r>
        <w:rPr>
          <w:rFonts w:hint="eastAsia" w:ascii="宋体" w:hAnsi="宋体" w:cs="Times New Roman"/>
          <w:b w:val="0"/>
          <w:bCs w:val="0"/>
          <w:sz w:val="24"/>
          <w:szCs w:val="24"/>
          <w:lang w:val="en-US" w:eastAsia="zh-CN"/>
        </w:rPr>
        <w:t>12.3乙方在甲方场所</w:t>
      </w:r>
      <w:r>
        <w:rPr>
          <w:rFonts w:hint="eastAsia" w:ascii="宋体" w:hAnsi="宋体" w:cs="Times New Roman"/>
          <w:b w:val="0"/>
          <w:bCs w:val="0"/>
          <w:sz w:val="24"/>
          <w:szCs w:val="24"/>
        </w:rPr>
        <w:t>发生工伤事故时，乙方必须第一时间妥善处置事故，及时通知项目部并配合项目部做好安置、取证等相关工作。乙方未及时通知导致损失扩大，乙方承担事故发生的全部损失，不得以任何理由干扰甲方正常工作</w:t>
      </w:r>
      <w:r>
        <w:rPr>
          <w:rFonts w:hint="eastAsia" w:ascii="宋体" w:hAnsi="宋体" w:cs="Times New Roman"/>
          <w:b w:val="0"/>
          <w:bCs w:val="0"/>
          <w:sz w:val="24"/>
          <w:szCs w:val="24"/>
          <w:lang w:eastAsia="zh-CN"/>
        </w:rPr>
        <w:t>。</w:t>
      </w:r>
    </w:p>
    <w:p>
      <w:pPr>
        <w:tabs>
          <w:tab w:val="left" w:pos="360"/>
        </w:tabs>
        <w:spacing w:line="390" w:lineRule="exact"/>
        <w:ind w:firstLine="400" w:firstLineChars="167"/>
        <w:rPr>
          <w:rFonts w:hint="eastAsia" w:ascii="宋体" w:hAnsi="宋体" w:cs="Times New Roman"/>
          <w:b w:val="0"/>
          <w:bCs w:val="0"/>
          <w:sz w:val="24"/>
          <w:szCs w:val="24"/>
        </w:rPr>
      </w:pPr>
      <w:r>
        <w:rPr>
          <w:rFonts w:hint="eastAsia" w:ascii="宋体" w:hAnsi="宋体" w:cs="Times New Roman"/>
          <w:b w:val="0"/>
          <w:bCs w:val="0"/>
          <w:sz w:val="24"/>
          <w:szCs w:val="24"/>
          <w:lang w:val="en-US" w:eastAsia="zh-CN"/>
        </w:rPr>
        <w:t>12.4</w:t>
      </w:r>
      <w:r>
        <w:rPr>
          <w:rFonts w:hint="eastAsia" w:ascii="宋体" w:hAnsi="宋体" w:cs="Times New Roman"/>
          <w:b w:val="0"/>
          <w:bCs w:val="0"/>
          <w:sz w:val="24"/>
          <w:szCs w:val="24"/>
        </w:rPr>
        <w:t>乙方与乙方使用的作业人员发生劳动争议、侵权、伤亡等纠纷，未妥善处置，导致甲方被诉（含仲裁、信访、行政处罚等）的，除直接导致甲方损失的费用全额由乙方承担外，每发生一人次，乙方还应向甲方支付   元/人次违约金，并承担由此给甲方造成的处理被诉案件的全部费用。</w:t>
      </w:r>
    </w:p>
    <w:p>
      <w:pPr>
        <w:tabs>
          <w:tab w:val="left" w:pos="360"/>
        </w:tabs>
        <w:spacing w:line="390" w:lineRule="exact"/>
        <w:ind w:firstLine="400" w:firstLineChars="167"/>
        <w:rPr>
          <w:rFonts w:ascii="宋体" w:hAnsi="宋体" w:cs="宋体"/>
          <w:kern w:val="0"/>
          <w:sz w:val="24"/>
          <w:szCs w:val="24"/>
        </w:rPr>
      </w:pPr>
      <w:r>
        <w:rPr>
          <w:rFonts w:hint="eastAsia" w:ascii="宋体" w:hAnsi="宋体"/>
          <w:sz w:val="24"/>
          <w:szCs w:val="24"/>
        </w:rPr>
        <w:t>1</w:t>
      </w:r>
      <w:r>
        <w:rPr>
          <w:rFonts w:hint="eastAsia" w:ascii="宋体" w:hAnsi="宋体"/>
          <w:sz w:val="24"/>
          <w:szCs w:val="24"/>
          <w:lang w:val="en-US" w:eastAsia="zh-CN"/>
        </w:rPr>
        <w:t>2</w:t>
      </w:r>
      <w:r>
        <w:rPr>
          <w:rFonts w:hint="eastAsia" w:ascii="宋体" w:hAnsi="宋体"/>
          <w:sz w:val="24"/>
          <w:szCs w:val="24"/>
        </w:rPr>
        <w:t>.</w:t>
      </w:r>
      <w:r>
        <w:rPr>
          <w:rFonts w:hint="eastAsia" w:ascii="宋体" w:hAnsi="宋体"/>
          <w:sz w:val="24"/>
          <w:szCs w:val="24"/>
          <w:lang w:val="en-US" w:eastAsia="zh-CN"/>
        </w:rPr>
        <w:t>5</w:t>
      </w:r>
      <w:r>
        <w:rPr>
          <w:rFonts w:hint="eastAsia" w:ascii="宋体" w:hAnsi="宋体" w:cs="Times New Roman"/>
          <w:kern w:val="2"/>
          <w:sz w:val="24"/>
          <w:szCs w:val="24"/>
        </w:rPr>
        <w:t>双方确定所预留的以下地址为往来函件</w:t>
      </w:r>
      <w:r>
        <w:rPr>
          <w:rFonts w:hint="eastAsia" w:ascii="宋体" w:hAnsi="宋体" w:cs="Times New Roman"/>
          <w:b w:val="0"/>
          <w:bCs w:val="0"/>
          <w:kern w:val="2"/>
          <w:sz w:val="24"/>
          <w:szCs w:val="24"/>
        </w:rPr>
        <w:t>的送达地址，法院（仲裁、公证等机构）法律文书</w:t>
      </w:r>
      <w:r>
        <w:rPr>
          <w:rFonts w:hint="eastAsia" w:ascii="宋体" w:hAnsi="宋体" w:cs="Times New Roman"/>
          <w:b w:val="0"/>
          <w:bCs w:val="0"/>
          <w:kern w:val="2"/>
          <w:sz w:val="24"/>
          <w:szCs w:val="24"/>
          <w:lang w:val="en-US" w:eastAsia="zh-CN"/>
        </w:rPr>
        <w:t>应当送达双方法人所在地，</w:t>
      </w:r>
      <w:r>
        <w:rPr>
          <w:rFonts w:hint="eastAsia" w:ascii="宋体" w:hAnsi="宋体" w:cs="宋体"/>
          <w:kern w:val="0"/>
          <w:sz w:val="24"/>
          <w:szCs w:val="24"/>
        </w:rPr>
        <w:t>，任一方变更送达地址必须在变更之日起</w:t>
      </w:r>
      <w:r>
        <w:rPr>
          <w:rFonts w:ascii="宋体" w:hAnsi="宋体" w:cs="宋体"/>
          <w:kern w:val="0"/>
          <w:sz w:val="24"/>
          <w:szCs w:val="24"/>
        </w:rPr>
        <w:t xml:space="preserve"> 7日内书面通知对方，否则不发生送达地址变更的法律效力，对方按原地址送达仍然为有效送达。</w:t>
      </w:r>
    </w:p>
    <w:p>
      <w:pPr>
        <w:tabs>
          <w:tab w:val="left" w:pos="360"/>
        </w:tabs>
        <w:spacing w:line="390" w:lineRule="exact"/>
        <w:ind w:firstLine="424" w:firstLineChars="177"/>
        <w:rPr>
          <w:rFonts w:ascii="宋体" w:hAnsi="宋体"/>
          <w:sz w:val="24"/>
          <w:szCs w:val="24"/>
        </w:rPr>
      </w:pPr>
      <w:r>
        <w:rPr>
          <w:rFonts w:hint="eastAsia" w:ascii="宋体" w:hAnsi="宋体"/>
          <w:sz w:val="24"/>
          <w:szCs w:val="24"/>
        </w:rPr>
        <w:t>甲方送达地址：</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联系人</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联系电话</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电子邮箱</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hint="eastAsia" w:ascii="宋体" w:hAnsi="宋体"/>
          <w:sz w:val="24"/>
          <w:szCs w:val="24"/>
        </w:rPr>
        <w:t>乙方送达地址：</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联系人</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联系电话</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24" w:firstLineChars="177"/>
        <w:rPr>
          <w:rFonts w:ascii="宋体" w:hAnsi="宋体"/>
          <w:sz w:val="24"/>
          <w:szCs w:val="24"/>
        </w:rPr>
      </w:pPr>
      <w:r>
        <w:rPr>
          <w:rFonts w:ascii="宋体" w:hAnsi="宋体"/>
          <w:sz w:val="24"/>
          <w:szCs w:val="24"/>
        </w:rPr>
        <w:t>电子邮箱</w:t>
      </w:r>
      <w:r>
        <w:rPr>
          <w:rFonts w:hint="eastAsia" w:ascii="宋体" w:hAnsi="宋体"/>
          <w:sz w:val="24"/>
          <w:szCs w:val="24"/>
        </w:rPr>
        <w:t>：</w:t>
      </w:r>
      <w:r>
        <w:rPr>
          <w:rFonts w:ascii="宋体" w:hAnsi="宋体"/>
          <w:sz w:val="24"/>
          <w:szCs w:val="24"/>
          <w:u w:val="single"/>
        </w:rPr>
        <w:t xml:space="preserve">                         </w:t>
      </w:r>
      <w:r>
        <w:rPr>
          <w:rFonts w:ascii="宋体" w:hAnsi="宋体"/>
          <w:sz w:val="24"/>
          <w:szCs w:val="24"/>
        </w:rPr>
        <w:t xml:space="preserve"> 。</w:t>
      </w:r>
    </w:p>
    <w:p>
      <w:pPr>
        <w:tabs>
          <w:tab w:val="left" w:pos="360"/>
        </w:tabs>
        <w:spacing w:line="390" w:lineRule="exact"/>
        <w:ind w:firstLine="480" w:firstLineChars="200"/>
        <w:rPr>
          <w:rFonts w:ascii="宋体" w:hAnsi="宋体"/>
          <w:strike/>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6</w:t>
      </w:r>
      <w:r>
        <w:rPr>
          <w:rFonts w:hint="eastAsia" w:ascii="宋体" w:hAnsi="宋体"/>
          <w:color w:val="000000"/>
          <w:sz w:val="24"/>
          <w:szCs w:val="24"/>
        </w:rPr>
        <w:t>合同如有未尽事宜，由双方协商解决，签订补</w:t>
      </w:r>
      <w:r>
        <w:rPr>
          <w:rFonts w:hint="eastAsia" w:ascii="宋体" w:hAnsi="宋体"/>
          <w:color w:val="000000"/>
          <w:sz w:val="24"/>
          <w:szCs w:val="24"/>
          <w:lang w:val="en-US" w:eastAsia="zh-CN"/>
        </w:rPr>
        <w:t>充</w:t>
      </w:r>
      <w:r>
        <w:rPr>
          <w:rFonts w:hint="eastAsia" w:ascii="宋体" w:hAnsi="宋体"/>
          <w:color w:val="000000"/>
          <w:sz w:val="24"/>
          <w:szCs w:val="24"/>
        </w:rPr>
        <w:t>协议。</w:t>
      </w:r>
    </w:p>
    <w:p>
      <w:pPr>
        <w:pStyle w:val="6"/>
        <w:spacing w:line="390" w:lineRule="exact"/>
        <w:ind w:firstLine="481"/>
        <w:rPr>
          <w:rFonts w:hint="eastAsia" w:ascii="宋体" w:hAnsi="宋体"/>
          <w:color w:val="000000"/>
          <w:sz w:val="24"/>
          <w:szCs w:val="24"/>
        </w:rPr>
      </w:pPr>
      <w:r>
        <w:rPr>
          <w:rFonts w:hint="eastAsia" w:ascii="宋体" w:hAnsi="宋体"/>
          <w:color w:val="000000"/>
          <w:sz w:val="24"/>
          <w:szCs w:val="24"/>
        </w:rPr>
        <w:t>1</w:t>
      </w:r>
      <w:r>
        <w:rPr>
          <w:rFonts w:hint="eastAsia" w:ascii="宋体" w:hAnsi="宋体"/>
          <w:color w:val="000000"/>
          <w:sz w:val="24"/>
          <w:szCs w:val="24"/>
          <w:lang w:val="en-US" w:eastAsia="zh-CN"/>
        </w:rPr>
        <w:t>2</w:t>
      </w:r>
      <w:r>
        <w:rPr>
          <w:rFonts w:hint="eastAsia" w:ascii="宋体" w:hAnsi="宋体"/>
          <w:color w:val="000000"/>
          <w:sz w:val="24"/>
          <w:szCs w:val="24"/>
        </w:rPr>
        <w:t>.</w:t>
      </w:r>
      <w:r>
        <w:rPr>
          <w:rFonts w:hint="eastAsia" w:ascii="宋体" w:hAnsi="宋体"/>
          <w:color w:val="000000"/>
          <w:sz w:val="24"/>
          <w:szCs w:val="24"/>
          <w:lang w:val="en-US" w:eastAsia="zh-CN"/>
        </w:rPr>
        <w:t>7</w:t>
      </w:r>
      <w:r>
        <w:rPr>
          <w:rFonts w:hint="eastAsia" w:ascii="宋体" w:hAnsi="宋体"/>
          <w:color w:val="000000"/>
          <w:sz w:val="24"/>
          <w:szCs w:val="24"/>
        </w:rPr>
        <w:t>合同自双方签字并盖章之日起生效。本合同一式_________份，双方各执_________份。</w:t>
      </w:r>
    </w:p>
    <w:p>
      <w:pPr>
        <w:pStyle w:val="6"/>
        <w:spacing w:line="390" w:lineRule="exact"/>
        <w:ind w:firstLine="481"/>
        <w:rPr>
          <w:rFonts w:hint="eastAsia" w:ascii="华文仿宋" w:hAnsi="华文仿宋" w:cs="宋体"/>
          <w:b/>
          <w:color w:val="FF0000"/>
          <w:sz w:val="24"/>
          <w:szCs w:val="24"/>
          <w:highlight w:val="none"/>
          <w:lang w:val="en-US" w:eastAsia="zh-CN"/>
        </w:rPr>
      </w:pPr>
      <w:r>
        <w:rPr>
          <w:rFonts w:hint="eastAsia" w:ascii="华文仿宋" w:hAnsi="华文仿宋" w:cs="宋体"/>
          <w:b/>
          <w:color w:val="FF0000"/>
          <w:sz w:val="24"/>
          <w:szCs w:val="24"/>
          <w:highlight w:val="none"/>
          <w:lang w:val="en-US" w:eastAsia="zh-CN"/>
        </w:rPr>
        <w:t>（手写部分内容：乙方基于与甲方充分谈判、协商一致而签订本合同，已认真审阅本合同条款，尤其是对本合同加粗、标识等涉及结算、支付等关键内容予以充分理解并接受）</w:t>
      </w:r>
    </w:p>
    <w:p>
      <w:pPr>
        <w:pStyle w:val="6"/>
        <w:shd w:val="clear" w:fill="FFFF00"/>
        <w:spacing w:line="360" w:lineRule="auto"/>
        <w:ind w:firstLine="482"/>
        <w:rPr>
          <w:rFonts w:hint="eastAsia" w:ascii="华文仿宋" w:hAnsi="华文仿宋" w:cs="宋体"/>
          <w:color w:val="FF0000"/>
          <w:sz w:val="24"/>
          <w:szCs w:val="24"/>
          <w:highlight w:val="none"/>
          <w:u w:val="single"/>
          <w:lang w:val="en-US" w:eastAsia="zh-CN"/>
        </w:rPr>
      </w:pPr>
      <w:r>
        <w:rPr>
          <w:rFonts w:ascii="华文仿宋" w:hAnsi="华文仿宋" w:cs="宋体"/>
          <w:color w:val="FF0000"/>
          <w:sz w:val="24"/>
          <w:szCs w:val="24"/>
          <w:highlight w:val="none"/>
          <w:u w:val="single"/>
        </w:rPr>
        <w:t xml:space="preserve">   </w:t>
      </w:r>
      <w:r>
        <w:rPr>
          <w:rFonts w:hint="eastAsia" w:ascii="华文仿宋" w:hAnsi="华文仿宋" w:cs="宋体"/>
          <w:color w:val="FF0000"/>
          <w:sz w:val="24"/>
          <w:szCs w:val="24"/>
          <w:highlight w:val="none"/>
          <w:u w:val="single"/>
          <w:lang w:val="en-US" w:eastAsia="zh-CN"/>
        </w:rPr>
        <w:t xml:space="preserve">                                                                   </w:t>
      </w:r>
    </w:p>
    <w:p>
      <w:pPr>
        <w:pStyle w:val="6"/>
        <w:shd w:val="clear" w:fill="FFFF00"/>
        <w:spacing w:line="360" w:lineRule="auto"/>
        <w:ind w:firstLine="482"/>
        <w:rPr>
          <w:rFonts w:hint="eastAsia" w:ascii="华文仿宋" w:hAnsi="华文仿宋" w:cs="宋体"/>
          <w:color w:val="FF0000"/>
          <w:sz w:val="24"/>
          <w:szCs w:val="24"/>
          <w:highlight w:val="none"/>
          <w:u w:val="single"/>
          <w:lang w:val="en-US" w:eastAsia="zh-CN"/>
        </w:rPr>
      </w:pPr>
      <w:r>
        <w:rPr>
          <w:rFonts w:hint="eastAsia" w:ascii="华文仿宋" w:hAnsi="华文仿宋" w:cs="宋体"/>
          <w:color w:val="FF0000"/>
          <w:sz w:val="24"/>
          <w:szCs w:val="24"/>
          <w:highlight w:val="none"/>
          <w:u w:val="single"/>
          <w:lang w:val="en-US" w:eastAsia="zh-CN"/>
        </w:rPr>
        <w:t xml:space="preserve">                                                                      </w:t>
      </w:r>
    </w:p>
    <w:p>
      <w:pPr>
        <w:pStyle w:val="6"/>
        <w:shd w:val="clear" w:fill="FFFF00"/>
        <w:spacing w:line="360" w:lineRule="auto"/>
        <w:ind w:firstLine="482"/>
        <w:rPr>
          <w:rFonts w:hint="eastAsia" w:ascii="华文仿宋" w:hAnsi="华文仿宋" w:cs="宋体"/>
          <w:color w:val="FF0000"/>
          <w:sz w:val="24"/>
          <w:szCs w:val="24"/>
          <w:highlight w:val="none"/>
          <w:u w:val="single"/>
          <w:lang w:val="en-US" w:eastAsia="zh-CN"/>
        </w:rPr>
      </w:pPr>
      <w:r>
        <w:rPr>
          <w:rFonts w:hint="eastAsia" w:ascii="华文仿宋" w:hAnsi="华文仿宋" w:cs="宋体"/>
          <w:color w:val="FF0000"/>
          <w:sz w:val="24"/>
          <w:szCs w:val="24"/>
          <w:highlight w:val="none"/>
          <w:u w:val="single"/>
          <w:lang w:val="en-US" w:eastAsia="zh-CN"/>
        </w:rPr>
        <w:t xml:space="preserve">                                                                      </w:t>
      </w:r>
    </w:p>
    <w:p>
      <w:pPr>
        <w:pStyle w:val="6"/>
        <w:shd w:val="clear" w:fill="FFFF00"/>
        <w:spacing w:line="360" w:lineRule="auto"/>
        <w:ind w:firstLine="482"/>
        <w:rPr>
          <w:rFonts w:hint="eastAsia" w:ascii="华文仿宋" w:hAnsi="华文仿宋" w:cs="宋体"/>
          <w:color w:val="FF0000"/>
          <w:sz w:val="24"/>
          <w:szCs w:val="24"/>
          <w:highlight w:val="none"/>
          <w:u w:val="single"/>
          <w:lang w:val="en-US" w:eastAsia="zh-CN"/>
        </w:rPr>
      </w:pPr>
      <w:r>
        <w:rPr>
          <w:rFonts w:hint="eastAsia" w:ascii="华文仿宋" w:hAnsi="华文仿宋" w:cs="宋体"/>
          <w:color w:val="FF0000"/>
          <w:sz w:val="24"/>
          <w:szCs w:val="24"/>
          <w:highlight w:val="none"/>
          <w:u w:val="single"/>
          <w:lang w:val="en-US" w:eastAsia="zh-CN"/>
        </w:rPr>
        <w:t xml:space="preserve">                                                                      </w:t>
      </w:r>
    </w:p>
    <w:p>
      <w:pPr>
        <w:tabs>
          <w:tab w:val="left" w:pos="360"/>
        </w:tabs>
        <w:spacing w:line="390" w:lineRule="exact"/>
        <w:ind w:firstLine="480" w:firstLineChars="200"/>
        <w:jc w:val="both"/>
        <w:rPr>
          <w:rFonts w:hint="eastAsia" w:ascii="宋体" w:hAnsi="宋体"/>
          <w:color w:val="000000"/>
          <w:sz w:val="24"/>
          <w:szCs w:val="24"/>
          <w:highlight w:val="none"/>
        </w:rPr>
      </w:pPr>
      <w:r>
        <w:rPr>
          <w:rFonts w:hint="eastAsia" w:ascii="华文仿宋" w:hAnsi="华文仿宋" w:cs="宋体"/>
          <w:color w:val="FF0000"/>
          <w:sz w:val="24"/>
          <w:szCs w:val="24"/>
          <w:highlight w:val="none"/>
          <w:u w:val="single"/>
          <w:lang w:val="en-US" w:eastAsia="zh-CN"/>
        </w:rPr>
        <w:t xml:space="preserve">                                    （乙方合同签署人签字：           ）</w:t>
      </w:r>
    </w:p>
    <w:p>
      <w:pPr>
        <w:widowControl/>
        <w:tabs>
          <w:tab w:val="left" w:pos="8364"/>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附件一：</w:t>
      </w:r>
      <w:r>
        <w:rPr>
          <w:rFonts w:hint="eastAsia" w:ascii="宋体" w:hAnsi="宋体" w:eastAsia="宋体" w:cs="宋体"/>
          <w:kern w:val="0"/>
          <w:sz w:val="24"/>
          <w:szCs w:val="24"/>
          <w:lang w:val="en-US" w:eastAsia="zh-CN"/>
        </w:rPr>
        <w:t>先行内部投诉平台投诉的承诺书</w:t>
      </w:r>
    </w:p>
    <w:p>
      <w:pPr>
        <w:widowControl/>
        <w:tabs>
          <w:tab w:val="left" w:pos="8364"/>
        </w:tabs>
        <w:spacing w:line="39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附件二：企业类型声明书</w:t>
      </w:r>
    </w:p>
    <w:p>
      <w:pPr>
        <w:widowControl/>
        <w:tabs>
          <w:tab w:val="left" w:pos="8364"/>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三</w:t>
      </w:r>
      <w:r>
        <w:rPr>
          <w:rFonts w:hint="eastAsia" w:ascii="宋体" w:hAnsi="宋体" w:eastAsia="宋体" w:cs="宋体"/>
          <w:kern w:val="0"/>
          <w:sz w:val="24"/>
          <w:szCs w:val="24"/>
          <w:lang w:eastAsia="zh-CN"/>
        </w:rPr>
        <w:t>：订货明细表</w:t>
      </w:r>
    </w:p>
    <w:p>
      <w:pPr>
        <w:widowControl/>
        <w:tabs>
          <w:tab w:val="left" w:pos="8364"/>
        </w:tabs>
        <w:spacing w:line="39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四</w:t>
      </w:r>
      <w:r>
        <w:rPr>
          <w:rFonts w:hint="eastAsia" w:ascii="宋体" w:hAnsi="宋体" w:eastAsia="宋体" w:cs="宋体"/>
          <w:kern w:val="0"/>
          <w:sz w:val="24"/>
          <w:szCs w:val="24"/>
          <w:lang w:eastAsia="zh-CN"/>
        </w:rPr>
        <w:t>：需求明细表</w:t>
      </w:r>
    </w:p>
    <w:p>
      <w:pPr>
        <w:widowControl/>
        <w:tabs>
          <w:tab w:val="left" w:pos="8364"/>
        </w:tabs>
        <w:spacing w:line="39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lang w:eastAsia="zh-CN"/>
        </w:rPr>
        <w:t>：技术规格书</w:t>
      </w:r>
    </w:p>
    <w:p>
      <w:pPr>
        <w:widowControl/>
        <w:tabs>
          <w:tab w:val="left" w:pos="8364"/>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六</w:t>
      </w:r>
      <w:r>
        <w:rPr>
          <w:rFonts w:hint="eastAsia" w:ascii="宋体" w:hAnsi="宋体" w:eastAsia="宋体" w:cs="宋体"/>
          <w:kern w:val="0"/>
          <w:sz w:val="24"/>
          <w:szCs w:val="24"/>
          <w:lang w:eastAsia="zh-CN"/>
        </w:rPr>
        <w:t>：中标通知书</w:t>
      </w:r>
      <w:r>
        <w:rPr>
          <w:rFonts w:hint="eastAsia" w:ascii="宋体" w:hAnsi="宋体" w:eastAsia="宋体" w:cs="宋体"/>
          <w:kern w:val="0"/>
          <w:sz w:val="24"/>
          <w:szCs w:val="24"/>
          <w:lang w:val="en-US" w:eastAsia="zh-CN"/>
        </w:rPr>
        <w:t>/公司采购批复</w:t>
      </w:r>
    </w:p>
    <w:p>
      <w:pPr>
        <w:widowControl/>
        <w:tabs>
          <w:tab w:val="left" w:pos="8364"/>
        </w:tabs>
        <w:spacing w:line="390" w:lineRule="exact"/>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七</w:t>
      </w:r>
      <w:r>
        <w:rPr>
          <w:rFonts w:hint="eastAsia" w:ascii="宋体" w:hAnsi="宋体" w:eastAsia="宋体" w:cs="宋体"/>
          <w:kern w:val="0"/>
          <w:sz w:val="24"/>
          <w:szCs w:val="24"/>
          <w:lang w:eastAsia="zh-CN"/>
        </w:rPr>
        <w:t>：投标文件（含经招标人接受的澄清和补充资料）</w:t>
      </w:r>
    </w:p>
    <w:p>
      <w:pPr>
        <w:widowControl/>
        <w:tabs>
          <w:tab w:val="left" w:pos="8364"/>
        </w:tabs>
        <w:spacing w:line="390" w:lineRule="exact"/>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附件八：两级合同评审、交底</w:t>
      </w:r>
    </w:p>
    <w:p>
      <w:pPr>
        <w:widowControl/>
        <w:tabs>
          <w:tab w:val="left" w:pos="8364"/>
        </w:tabs>
        <w:spacing w:line="390" w:lineRule="exact"/>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九</w:t>
      </w:r>
      <w:r>
        <w:rPr>
          <w:rFonts w:hint="eastAsia" w:ascii="宋体" w:hAnsi="宋体" w:eastAsia="宋体" w:cs="宋体"/>
          <w:kern w:val="0"/>
          <w:sz w:val="24"/>
          <w:szCs w:val="24"/>
          <w:lang w:eastAsia="zh-CN"/>
        </w:rPr>
        <w:t>：乙方资质证照</w:t>
      </w:r>
    </w:p>
    <w:p>
      <w:pPr>
        <w:tabs>
          <w:tab w:val="left" w:pos="360"/>
        </w:tabs>
        <w:spacing w:line="390" w:lineRule="exact"/>
        <w:ind w:firstLine="480" w:firstLineChars="200"/>
        <w:jc w:val="both"/>
        <w:rPr>
          <w:rFonts w:hint="eastAsia" w:ascii="宋体" w:hAnsi="宋体" w:eastAsia="宋体" w:cs="宋体"/>
          <w:sz w:val="24"/>
          <w:szCs w:val="24"/>
          <w:lang w:eastAsia="zh-CN"/>
        </w:rPr>
      </w:pPr>
      <w:r>
        <w:rPr>
          <w:rFonts w:hint="eastAsia" w:ascii="宋体" w:hAnsi="宋体" w:eastAsia="宋体" w:cs="宋体"/>
          <w:kern w:val="0"/>
          <w:sz w:val="24"/>
          <w:szCs w:val="24"/>
          <w:lang w:eastAsia="zh-CN"/>
        </w:rPr>
        <w:t>附件</w:t>
      </w:r>
      <w:r>
        <w:rPr>
          <w:rFonts w:hint="eastAsia" w:ascii="宋体" w:hAnsi="宋体" w:eastAsia="宋体" w:cs="宋体"/>
          <w:kern w:val="0"/>
          <w:sz w:val="24"/>
          <w:szCs w:val="24"/>
          <w:lang w:val="en-US" w:eastAsia="zh-CN"/>
        </w:rPr>
        <w:t>十</w:t>
      </w:r>
      <w:r>
        <w:rPr>
          <w:rFonts w:hint="eastAsia" w:ascii="宋体" w:hAnsi="宋体" w:eastAsia="宋体" w:cs="宋体"/>
          <w:kern w:val="0"/>
          <w:sz w:val="24"/>
          <w:szCs w:val="24"/>
          <w:lang w:eastAsia="zh-CN"/>
        </w:rPr>
        <w:t>：本合同其他条款和上述文件提到的其他有关文件</w:t>
      </w:r>
    </w:p>
    <w:p>
      <w:pPr>
        <w:spacing w:line="390" w:lineRule="exact"/>
        <w:ind w:firstLine="475" w:firstLineChars="198"/>
        <w:rPr>
          <w:rFonts w:ascii="宋体" w:hAnsi="宋体"/>
          <w:sz w:val="24"/>
          <w:szCs w:val="24"/>
        </w:rPr>
      </w:pPr>
      <w:r>
        <w:rPr>
          <w:rFonts w:hint="eastAsia" w:ascii="宋体" w:hAnsi="宋体"/>
          <w:sz w:val="24"/>
          <w:szCs w:val="24"/>
        </w:rPr>
        <w:t>（以下无合同正文）</w:t>
      </w:r>
    </w:p>
    <w:tbl>
      <w:tblPr>
        <w:tblStyle w:val="10"/>
        <w:tblW w:w="8814" w:type="dxa"/>
        <w:tblInd w:w="0" w:type="dxa"/>
        <w:tblLayout w:type="fixed"/>
        <w:tblCellMar>
          <w:top w:w="0" w:type="dxa"/>
          <w:left w:w="108" w:type="dxa"/>
          <w:bottom w:w="0" w:type="dxa"/>
          <w:right w:w="108" w:type="dxa"/>
        </w:tblCellMar>
      </w:tblPr>
      <w:tblGrid>
        <w:gridCol w:w="4407"/>
        <w:gridCol w:w="4407"/>
      </w:tblGrid>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买方：（盖章）</w:t>
            </w:r>
          </w:p>
        </w:tc>
        <w:tc>
          <w:tcPr>
            <w:tcW w:w="4407" w:type="dxa"/>
          </w:tcPr>
          <w:p>
            <w:pPr>
              <w:spacing w:line="390" w:lineRule="exact"/>
              <w:rPr>
                <w:rFonts w:ascii="宋体" w:hAnsi="宋体"/>
                <w:sz w:val="24"/>
                <w:szCs w:val="24"/>
              </w:rPr>
            </w:pPr>
            <w:r>
              <w:rPr>
                <w:rFonts w:hint="eastAsia" w:ascii="宋体" w:hAnsi="宋体"/>
                <w:sz w:val="24"/>
                <w:szCs w:val="24"/>
              </w:rPr>
              <w:t>卖方：（盖章）</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住所地址：</w:t>
            </w:r>
          </w:p>
        </w:tc>
        <w:tc>
          <w:tcPr>
            <w:tcW w:w="4407" w:type="dxa"/>
          </w:tcPr>
          <w:p>
            <w:pPr>
              <w:spacing w:line="390" w:lineRule="exact"/>
              <w:rPr>
                <w:rFonts w:ascii="宋体" w:hAnsi="宋体"/>
                <w:sz w:val="24"/>
                <w:szCs w:val="24"/>
              </w:rPr>
            </w:pPr>
            <w:r>
              <w:rPr>
                <w:rFonts w:hint="eastAsia" w:ascii="宋体" w:hAnsi="宋体"/>
                <w:sz w:val="24"/>
                <w:szCs w:val="24"/>
              </w:rPr>
              <w:t>住所地址：</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法定代表人：</w:t>
            </w:r>
          </w:p>
        </w:tc>
        <w:tc>
          <w:tcPr>
            <w:tcW w:w="4407" w:type="dxa"/>
          </w:tcPr>
          <w:p>
            <w:pPr>
              <w:spacing w:line="390" w:lineRule="exact"/>
              <w:rPr>
                <w:rFonts w:ascii="宋体" w:hAnsi="宋体"/>
                <w:sz w:val="24"/>
                <w:szCs w:val="24"/>
              </w:rPr>
            </w:pPr>
            <w:r>
              <w:rPr>
                <w:rFonts w:hint="eastAsia" w:ascii="宋体" w:hAnsi="宋体"/>
                <w:sz w:val="24"/>
                <w:szCs w:val="24"/>
              </w:rPr>
              <w:t>法定代表人：</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委托代理人：</w:t>
            </w:r>
          </w:p>
        </w:tc>
        <w:tc>
          <w:tcPr>
            <w:tcW w:w="4407" w:type="dxa"/>
          </w:tcPr>
          <w:p>
            <w:pPr>
              <w:spacing w:line="390" w:lineRule="exact"/>
              <w:rPr>
                <w:rFonts w:ascii="宋体" w:hAnsi="宋体"/>
                <w:sz w:val="24"/>
                <w:szCs w:val="24"/>
              </w:rPr>
            </w:pPr>
            <w:r>
              <w:rPr>
                <w:rFonts w:hint="eastAsia" w:ascii="宋体" w:hAnsi="宋体"/>
                <w:sz w:val="24"/>
                <w:szCs w:val="24"/>
              </w:rPr>
              <w:t>委托代理人：</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电话：</w:t>
            </w:r>
          </w:p>
        </w:tc>
        <w:tc>
          <w:tcPr>
            <w:tcW w:w="4407" w:type="dxa"/>
          </w:tcPr>
          <w:p>
            <w:pPr>
              <w:spacing w:line="390" w:lineRule="exact"/>
              <w:rPr>
                <w:rFonts w:ascii="宋体" w:hAnsi="宋体"/>
                <w:sz w:val="24"/>
                <w:szCs w:val="24"/>
              </w:rPr>
            </w:pPr>
            <w:r>
              <w:rPr>
                <w:rFonts w:hint="eastAsia" w:ascii="宋体" w:hAnsi="宋体"/>
                <w:sz w:val="24"/>
                <w:szCs w:val="24"/>
              </w:rPr>
              <w:t>电话：</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纳税人识别号：</w:t>
            </w:r>
          </w:p>
        </w:tc>
        <w:tc>
          <w:tcPr>
            <w:tcW w:w="4407" w:type="dxa"/>
          </w:tcPr>
          <w:p>
            <w:pPr>
              <w:spacing w:line="390" w:lineRule="exact"/>
              <w:rPr>
                <w:rFonts w:ascii="宋体" w:hAnsi="宋体"/>
                <w:sz w:val="24"/>
                <w:szCs w:val="24"/>
              </w:rPr>
            </w:pPr>
            <w:r>
              <w:rPr>
                <w:rFonts w:hint="eastAsia" w:ascii="宋体" w:hAnsi="宋体"/>
                <w:sz w:val="24"/>
                <w:szCs w:val="24"/>
              </w:rPr>
              <w:t>纳税人识别号：</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开户银行：</w:t>
            </w:r>
          </w:p>
        </w:tc>
        <w:tc>
          <w:tcPr>
            <w:tcW w:w="4407" w:type="dxa"/>
          </w:tcPr>
          <w:p>
            <w:pPr>
              <w:spacing w:line="390" w:lineRule="exact"/>
              <w:rPr>
                <w:rFonts w:ascii="宋体" w:hAnsi="宋体"/>
                <w:sz w:val="24"/>
                <w:szCs w:val="24"/>
              </w:rPr>
            </w:pPr>
            <w:r>
              <w:rPr>
                <w:rFonts w:hint="eastAsia" w:ascii="宋体" w:hAnsi="宋体"/>
                <w:sz w:val="24"/>
                <w:szCs w:val="24"/>
              </w:rPr>
              <w:t>开户银行：</w:t>
            </w:r>
          </w:p>
        </w:tc>
      </w:tr>
      <w:tr>
        <w:tblPrEx>
          <w:tblCellMar>
            <w:top w:w="0" w:type="dxa"/>
            <w:left w:w="108" w:type="dxa"/>
            <w:bottom w:w="0" w:type="dxa"/>
            <w:right w:w="108" w:type="dxa"/>
          </w:tblCellMar>
        </w:tblPrEx>
        <w:trPr>
          <w:trHeight w:val="639" w:hRule="atLeast"/>
        </w:trPr>
        <w:tc>
          <w:tcPr>
            <w:tcW w:w="4407" w:type="dxa"/>
          </w:tcPr>
          <w:p>
            <w:pPr>
              <w:spacing w:line="390" w:lineRule="exact"/>
              <w:rPr>
                <w:rFonts w:ascii="宋体" w:hAnsi="宋体"/>
                <w:sz w:val="24"/>
                <w:szCs w:val="24"/>
              </w:rPr>
            </w:pPr>
            <w:r>
              <w:rPr>
                <w:rFonts w:hint="eastAsia" w:ascii="宋体" w:hAnsi="宋体"/>
                <w:sz w:val="24"/>
                <w:szCs w:val="24"/>
              </w:rPr>
              <w:t>账号：</w:t>
            </w:r>
          </w:p>
          <w:p>
            <w:pPr>
              <w:spacing w:line="390" w:lineRule="exact"/>
              <w:rPr>
                <w:rFonts w:ascii="宋体" w:hAnsi="宋体"/>
                <w:sz w:val="24"/>
                <w:szCs w:val="24"/>
              </w:rPr>
            </w:pPr>
          </w:p>
          <w:p>
            <w:pPr>
              <w:spacing w:line="390" w:lineRule="exact"/>
              <w:rPr>
                <w:rFonts w:ascii="宋体" w:hAnsi="宋体"/>
                <w:sz w:val="24"/>
                <w:szCs w:val="24"/>
              </w:rPr>
            </w:pPr>
            <w:r>
              <w:rPr>
                <w:rFonts w:ascii="宋体" w:hAnsi="宋体"/>
                <w:sz w:val="24"/>
                <w:szCs w:val="24"/>
              </w:rPr>
              <w:t>签订日期</w:t>
            </w:r>
            <w:r>
              <w:rPr>
                <w:rFonts w:hint="eastAsia" w:ascii="宋体" w:hAnsi="宋体"/>
                <w:sz w:val="24"/>
                <w:szCs w:val="24"/>
              </w:rPr>
              <w:t>：</w:t>
            </w:r>
          </w:p>
        </w:tc>
        <w:tc>
          <w:tcPr>
            <w:tcW w:w="4407" w:type="dxa"/>
          </w:tcPr>
          <w:p>
            <w:pPr>
              <w:spacing w:line="390" w:lineRule="exact"/>
              <w:rPr>
                <w:rFonts w:ascii="宋体" w:hAnsi="宋体"/>
                <w:sz w:val="24"/>
                <w:szCs w:val="24"/>
              </w:rPr>
            </w:pPr>
            <w:r>
              <w:rPr>
                <w:rFonts w:hint="eastAsia" w:ascii="宋体" w:hAnsi="宋体"/>
                <w:sz w:val="24"/>
                <w:szCs w:val="24"/>
              </w:rPr>
              <w:t>账号：</w:t>
            </w:r>
          </w:p>
          <w:p>
            <w:pPr>
              <w:spacing w:line="390" w:lineRule="exact"/>
              <w:rPr>
                <w:rFonts w:ascii="宋体" w:hAnsi="宋体"/>
                <w:sz w:val="24"/>
                <w:szCs w:val="24"/>
              </w:rPr>
            </w:pPr>
          </w:p>
          <w:p>
            <w:pPr>
              <w:spacing w:line="390" w:lineRule="exact"/>
              <w:rPr>
                <w:rFonts w:ascii="宋体" w:hAnsi="宋体"/>
                <w:sz w:val="24"/>
                <w:szCs w:val="24"/>
              </w:rPr>
            </w:pPr>
            <w:r>
              <w:rPr>
                <w:rFonts w:ascii="宋体" w:hAnsi="宋体"/>
                <w:sz w:val="24"/>
                <w:szCs w:val="24"/>
              </w:rPr>
              <w:t>签订日期</w:t>
            </w:r>
            <w:r>
              <w:rPr>
                <w:rFonts w:hint="eastAsia" w:ascii="宋体" w:hAnsi="宋体"/>
                <w:sz w:val="24"/>
                <w:szCs w:val="24"/>
              </w:rPr>
              <w:t>：</w:t>
            </w:r>
          </w:p>
        </w:tc>
      </w:tr>
    </w:tbl>
    <w:p>
      <w:pPr>
        <w:spacing w:line="240" w:lineRule="auto"/>
        <w:ind w:firstLine="0" w:firstLineChars="0"/>
        <w:rPr>
          <w:rFonts w:hint="eastAsia" w:ascii="宋体" w:hAnsi="宋体"/>
          <w:color w:val="FF0000"/>
          <w:sz w:val="24"/>
          <w:szCs w:val="24"/>
        </w:rPr>
      </w:pPr>
      <w:r>
        <w:rPr>
          <w:rFonts w:hint="eastAsia" w:ascii="宋体" w:hAnsi="宋体"/>
          <w:color w:val="FF0000"/>
          <w:sz w:val="24"/>
          <w:szCs w:val="24"/>
        </w:rPr>
        <w:br w:type="page"/>
      </w:r>
    </w:p>
    <w:p>
      <w:pPr>
        <w:pStyle w:val="2"/>
        <w:jc w:val="both"/>
        <w:rPr>
          <w:rFonts w:hint="eastAsia"/>
          <w:lang w:val="en-US" w:eastAsia="zh-CN"/>
        </w:rPr>
      </w:pPr>
      <w:r>
        <w:rPr>
          <w:rFonts w:hint="eastAsia"/>
          <w:lang w:val="en-US" w:eastAsia="zh-CN"/>
        </w:rPr>
        <w:t>附件一</w:t>
      </w:r>
    </w:p>
    <w:p>
      <w:pPr>
        <w:tabs>
          <w:tab w:val="left" w:pos="360"/>
        </w:tabs>
        <w:spacing w:line="390" w:lineRule="exact"/>
        <w:ind w:firstLine="0" w:firstLineChars="0"/>
        <w:jc w:val="center"/>
        <w:rPr>
          <w:rFonts w:hint="eastAsia" w:ascii="宋体" w:hAnsi="宋体"/>
          <w:color w:val="000000"/>
          <w:sz w:val="36"/>
          <w:szCs w:val="36"/>
          <w:lang w:val="en-US" w:eastAsia="zh-CN"/>
        </w:rPr>
      </w:pPr>
      <w:r>
        <w:rPr>
          <w:rFonts w:hint="eastAsia" w:ascii="宋体" w:hAnsi="宋体"/>
          <w:color w:val="000000"/>
          <w:sz w:val="36"/>
          <w:szCs w:val="36"/>
          <w:lang w:val="en-US" w:eastAsia="zh-CN"/>
        </w:rPr>
        <w:t>先行内部投诉平台投诉的承诺书</w:t>
      </w:r>
    </w:p>
    <w:p>
      <w:pPr>
        <w:tabs>
          <w:tab w:val="left" w:pos="360"/>
        </w:tabs>
        <w:spacing w:line="390" w:lineRule="exact"/>
        <w:ind w:firstLine="480" w:firstLineChars="200"/>
        <w:rPr>
          <w:rFonts w:hint="eastAsia" w:ascii="宋体" w:hAnsi="宋体"/>
          <w:color w:val="000000"/>
          <w:sz w:val="24"/>
          <w:szCs w:val="24"/>
          <w:lang w:val="en-US" w:eastAsia="zh-CN"/>
        </w:rPr>
      </w:pPr>
    </w:p>
    <w:p>
      <w:pPr>
        <w:tabs>
          <w:tab w:val="left" w:pos="360"/>
        </w:tabs>
        <w:spacing w:line="390" w:lineRule="exact"/>
        <w:ind w:firstLine="0" w:firstLineChars="0"/>
        <w:rPr>
          <w:rFonts w:hint="eastAsia" w:ascii="宋体" w:hAnsi="宋体"/>
          <w:color w:val="000000"/>
          <w:sz w:val="24"/>
          <w:szCs w:val="24"/>
          <w:lang w:val="en-US" w:eastAsia="zh-CN"/>
        </w:rPr>
      </w:pPr>
      <w:r>
        <w:rPr>
          <w:rFonts w:hint="eastAsia" w:ascii="宋体" w:hAnsi="宋体"/>
          <w:color w:val="000000"/>
          <w:sz w:val="24"/>
          <w:szCs w:val="24"/>
          <w:lang w:val="en-US" w:eastAsia="zh-CN"/>
        </w:rPr>
        <w:t>致：中铁二局集团     公司</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我公司为贵公司     工程的分包商（供应商），为确保贵公司与我公司双方的合法权益，快捷解决双方争议，我公司对贵公司承诺如下：</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我公司已知悉贵公司公布的内部投诉渠道如下：</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项目部投诉电话：                        。</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公司投诉电话：                          。</w:t>
      </w:r>
      <w:r>
        <w:rPr>
          <w:rFonts w:ascii="新宋体" w:hAnsi="新宋体" w:eastAsia="新宋体"/>
          <w:sz w:val="24"/>
        </w:rPr>
        <w:drawing>
          <wp:anchor distT="0" distB="0" distL="114300" distR="114300" simplePos="0" relativeHeight="251662336" behindDoc="0" locked="0" layoutInCell="1" allowOverlap="1">
            <wp:simplePos x="0" y="0"/>
            <wp:positionH relativeFrom="column">
              <wp:posOffset>3981450</wp:posOffset>
            </wp:positionH>
            <wp:positionV relativeFrom="paragraph">
              <wp:posOffset>-412750</wp:posOffset>
            </wp:positionV>
            <wp:extent cx="1327150" cy="1548130"/>
            <wp:effectExtent l="0" t="0" r="6350" b="1270"/>
            <wp:wrapNone/>
            <wp:docPr id="1577128686" name="图片 2" descr="170446639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28686" name="图片 2" descr="1704466394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27150" cy="1548130"/>
                    </a:xfrm>
                    <a:prstGeom prst="rect">
                      <a:avLst/>
                    </a:prstGeom>
                    <a:noFill/>
                    <a:ln>
                      <a:noFill/>
                    </a:ln>
                  </pic:spPr>
                </pic:pic>
              </a:graphicData>
            </a:graphic>
          </wp:anchor>
        </w:drawing>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中铁二局集团公司投诉平台：</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 xml:space="preserve">微信公众号《中铁二局合作方反馈意见处理平台》 </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中铁二局集团公司劳务工欠薪投诉电话：</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中铁二局集团公司信访办电话：</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贵公司将我公司纳入《中铁二局限制交易名单》《中铁二局谨慎交易名单》中进行信用惩戒。并按照5万元/次承担违约责任。</w:t>
      </w:r>
    </w:p>
    <w:p>
      <w:pPr>
        <w:tabs>
          <w:tab w:val="left" w:pos="360"/>
        </w:tabs>
        <w:spacing w:line="390" w:lineRule="exact"/>
        <w:ind w:firstLine="480" w:firstLineChars="200"/>
        <w:rPr>
          <w:rFonts w:hint="eastAsia" w:ascii="宋体" w:hAnsi="宋体"/>
          <w:color w:val="000000"/>
          <w:sz w:val="24"/>
          <w:szCs w:val="24"/>
          <w:lang w:val="en-US" w:eastAsia="zh-CN"/>
        </w:rPr>
      </w:pPr>
      <w:r>
        <w:rPr>
          <w:rFonts w:hint="eastAsia" w:ascii="宋体" w:hAnsi="宋体"/>
          <w:color w:val="000000"/>
          <w:sz w:val="24"/>
          <w:szCs w:val="24"/>
          <w:lang w:val="en-US" w:eastAsia="zh-CN"/>
        </w:rPr>
        <w:t>特此承诺！</w:t>
      </w:r>
    </w:p>
    <w:p>
      <w:pPr>
        <w:tabs>
          <w:tab w:val="left" w:pos="360"/>
        </w:tabs>
        <w:spacing w:line="390" w:lineRule="exact"/>
        <w:ind w:firstLine="480" w:firstLineChars="200"/>
        <w:rPr>
          <w:rFonts w:hint="eastAsia" w:ascii="宋体" w:hAnsi="宋体"/>
          <w:color w:val="000000"/>
          <w:sz w:val="24"/>
          <w:szCs w:val="24"/>
          <w:lang w:val="en-US" w:eastAsia="zh-CN"/>
        </w:rPr>
      </w:pPr>
    </w:p>
    <w:p>
      <w:pPr>
        <w:tabs>
          <w:tab w:val="left" w:pos="360"/>
        </w:tabs>
        <w:spacing w:line="390" w:lineRule="exact"/>
        <w:ind w:firstLine="480" w:firstLineChars="200"/>
        <w:rPr>
          <w:rFonts w:hint="eastAsia" w:ascii="宋体" w:hAnsi="宋体"/>
          <w:color w:val="000000"/>
          <w:sz w:val="24"/>
          <w:szCs w:val="24"/>
          <w:lang w:val="en-US" w:eastAsia="zh-CN"/>
        </w:rPr>
      </w:pPr>
    </w:p>
    <w:p>
      <w:pPr>
        <w:spacing w:line="360" w:lineRule="auto"/>
        <w:ind w:firstLine="480" w:firstLineChars="200"/>
        <w:rPr>
          <w:rFonts w:hint="eastAsia"/>
          <w:sz w:val="24"/>
          <w:lang w:val="en-US" w:eastAsia="zh-CN"/>
        </w:rPr>
      </w:pPr>
    </w:p>
    <w:p>
      <w:pPr>
        <w:ind w:firstLine="1200" w:firstLineChars="500"/>
        <w:rPr>
          <w:sz w:val="24"/>
        </w:rPr>
      </w:pPr>
      <w:r>
        <w:rPr>
          <w:rFonts w:hint="eastAsia"/>
          <w:sz w:val="24"/>
        </w:rPr>
        <w:t xml:space="preserve">甲方：                               乙方： </w:t>
      </w:r>
    </w:p>
    <w:p>
      <w:pPr>
        <w:ind w:firstLine="480" w:firstLineChars="200"/>
        <w:rPr>
          <w:sz w:val="24"/>
        </w:rPr>
      </w:pPr>
    </w:p>
    <w:p>
      <w:pPr>
        <w:ind w:firstLine="480" w:firstLineChars="200"/>
        <w:rPr>
          <w:sz w:val="24"/>
        </w:rPr>
      </w:pPr>
    </w:p>
    <w:p>
      <w:pPr>
        <w:ind w:firstLine="480" w:firstLineChars="200"/>
        <w:rPr>
          <w:sz w:val="24"/>
        </w:rPr>
      </w:pPr>
    </w:p>
    <w:p>
      <w:pPr>
        <w:snapToGrid w:val="0"/>
        <w:jc w:val="right"/>
        <w:rPr>
          <w:rFonts w:hint="eastAsia"/>
          <w:sz w:val="24"/>
        </w:rPr>
      </w:pPr>
      <w:r>
        <w:rPr>
          <w:rFonts w:hint="eastAsia"/>
          <w:sz w:val="24"/>
        </w:rPr>
        <w:t>日期：   年   月  日</w:t>
      </w:r>
    </w:p>
    <w:p>
      <w:pPr>
        <w:tabs>
          <w:tab w:val="left" w:pos="360"/>
        </w:tabs>
        <w:spacing w:line="390" w:lineRule="exact"/>
        <w:ind w:firstLine="1440" w:firstLineChars="600"/>
        <w:rPr>
          <w:rFonts w:hint="default" w:ascii="宋体" w:hAnsi="宋体"/>
          <w:color w:val="000000"/>
          <w:sz w:val="24"/>
          <w:szCs w:val="24"/>
          <w:lang w:val="en-US" w:eastAsia="zh-CN"/>
        </w:rPr>
      </w:pPr>
    </w:p>
    <w:p>
      <w:pPr>
        <w:outlineLvl w:val="9"/>
      </w:pPr>
    </w:p>
    <w:p>
      <w:pPr>
        <w:outlineLvl w:val="9"/>
      </w:pPr>
    </w:p>
    <w:p>
      <w:pPr>
        <w:outlineLvl w:val="9"/>
      </w:pPr>
    </w:p>
    <w:p>
      <w:pPr>
        <w:outlineLvl w:val="9"/>
      </w:pPr>
    </w:p>
    <w:p>
      <w:pPr>
        <w:pStyle w:val="2"/>
        <w:jc w:val="both"/>
        <w:rPr>
          <w:rFonts w:hint="eastAsia"/>
          <w:lang w:val="en-US" w:eastAsia="zh-CN"/>
        </w:rPr>
      </w:pPr>
      <w:r>
        <w:rPr>
          <w:rFonts w:hint="eastAsia"/>
          <w:lang w:val="en-US" w:eastAsia="zh-CN"/>
        </w:rPr>
        <w:t>附件二</w:t>
      </w:r>
    </w:p>
    <w:p>
      <w:pPr>
        <w:snapToGrid w:val="0"/>
        <w:spacing w:before="156"/>
        <w:jc w:val="center"/>
        <w:outlineLvl w:val="9"/>
        <w:rPr>
          <w:rFonts w:ascii="宋体" w:hAnsi="宋体" w:eastAsia="宋体" w:cs="宋体"/>
          <w:highlight w:val="none"/>
        </w:rPr>
      </w:pPr>
      <w:r>
        <w:rPr>
          <w:rFonts w:hint="eastAsia" w:ascii="宋体" w:hAnsi="宋体" w:eastAsia="宋体" w:cs="宋体"/>
          <w:b/>
          <w:bCs/>
          <w:sz w:val="36"/>
          <w:szCs w:val="40"/>
          <w:highlight w:val="none"/>
        </w:rPr>
        <w:t>声明书</w:t>
      </w:r>
    </w:p>
    <w:p>
      <w:pPr>
        <w:rPr>
          <w:rFonts w:ascii="宋体" w:hAnsi="宋体" w:eastAsia="宋体" w:cs="宋体"/>
          <w:highlight w:val="none"/>
        </w:rPr>
      </w:pPr>
    </w:p>
    <w:p>
      <w:pPr>
        <w:tabs>
          <w:tab w:val="left" w:pos="360"/>
        </w:tabs>
        <w:spacing w:line="390" w:lineRule="exact"/>
        <w:ind w:firstLine="1440" w:firstLineChars="600"/>
        <w:rPr>
          <w:rFonts w:ascii="宋体" w:hAnsi="宋体" w:eastAsia="宋体" w:cs="宋体"/>
          <w:color w:val="000000"/>
          <w:sz w:val="24"/>
          <w:szCs w:val="24"/>
          <w:highlight w:val="none"/>
        </w:rPr>
      </w:pPr>
    </w:p>
    <w:p>
      <w:pPr>
        <w:tabs>
          <w:tab w:val="left" w:pos="360"/>
        </w:tabs>
        <w:spacing w:line="390" w:lineRule="exact"/>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致：中铁二局集团     公司</w:t>
      </w:r>
    </w:p>
    <w:p>
      <w:pPr>
        <w:spacing w:line="39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本公司郑重声明，根据《</w:t>
      </w:r>
      <w:r>
        <w:rPr>
          <w:rFonts w:hint="eastAsia" w:ascii="宋体" w:hAnsi="宋体" w:eastAsia="宋体" w:cs="宋体"/>
          <w:sz w:val="24"/>
          <w:szCs w:val="24"/>
          <w:highlight w:val="none"/>
          <w:lang w:eastAsia="zh-CN"/>
        </w:rPr>
        <w:t>中华人民共和国中小企业促进法</w:t>
      </w:r>
      <w:r>
        <w:rPr>
          <w:rFonts w:hint="eastAsia" w:ascii="宋体" w:hAnsi="宋体" w:eastAsia="宋体" w:cs="宋体"/>
          <w:sz w:val="24"/>
          <w:szCs w:val="24"/>
          <w:highlight w:val="none"/>
        </w:rPr>
        <w:t>》《工业和信息化部、国家统计局、国家发展和改革委员会、财政部关于印发中小企业划型标准规定的通知》及《国家统计局关于印发&lt;统计上大中小微型企业划分办法(2017)&gt;的通知》等规定，我公司经认定或自测，在此声明：我司</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（属于/不属于）中小型企业，并承诺上述信息真实有效。如有虚假，我公司同意视不同阶段作出如下处理：</w:t>
      </w:r>
    </w:p>
    <w:p>
      <w:pPr>
        <w:spacing w:line="39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1.投标作无效投标处理，已中标的，中标无效，贵司有权没收本公司的投标保证金和中标服务费</w:t>
      </w:r>
      <w:r>
        <w:rPr>
          <w:rFonts w:hint="eastAsia" w:ascii="宋体" w:hAnsi="宋体" w:eastAsia="宋体" w:cs="宋体"/>
          <w:sz w:val="24"/>
          <w:szCs w:val="24"/>
          <w:highlight w:val="none"/>
          <w:lang w:eastAsia="zh-CN"/>
        </w:rPr>
        <w:t>。</w:t>
      </w:r>
    </w:p>
    <w:p>
      <w:pPr>
        <w:spacing w:line="39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2.已签订合同的，自愿放弃法律法规规定及合同约定的中小企业专项权利，并赔偿给贵司造成的额外支出及全部损失。</w:t>
      </w:r>
    </w:p>
    <w:p>
      <w:pPr>
        <w:outlineLvl w:val="9"/>
        <w:rPr>
          <w:rFonts w:hint="eastAsia" w:ascii="宋体" w:hAnsi="宋体" w:eastAsia="宋体" w:cs="宋体"/>
          <w:b w:val="0"/>
          <w:bCs w:val="0"/>
          <w:kern w:val="2"/>
          <w:sz w:val="24"/>
          <w:szCs w:val="24"/>
          <w:highlight w:val="none"/>
        </w:rPr>
      </w:pPr>
    </w:p>
    <w:p>
      <w:pPr>
        <w:outlineLvl w:val="9"/>
        <w:rPr>
          <w:rFonts w:hint="eastAsia" w:ascii="宋体" w:hAnsi="宋体" w:eastAsia="宋体" w:cs="宋体"/>
          <w:b w:val="0"/>
          <w:bCs w:val="0"/>
          <w:kern w:val="2"/>
          <w:sz w:val="24"/>
          <w:szCs w:val="24"/>
          <w:highlight w:val="none"/>
        </w:rPr>
      </w:pPr>
      <w:r>
        <w:rPr>
          <w:rFonts w:hint="eastAsia" w:ascii="宋体" w:hAnsi="宋体" w:eastAsia="宋体" w:cs="宋体"/>
          <w:b w:val="0"/>
          <w:bCs w:val="0"/>
          <w:kern w:val="2"/>
          <w:sz w:val="24"/>
          <w:szCs w:val="24"/>
          <w:highlight w:val="none"/>
        </w:rPr>
        <w:t xml:space="preserve">                                            声明人（盖章）：</w:t>
      </w:r>
    </w:p>
    <w:p>
      <w:pPr>
        <w:spacing w:line="390" w:lineRule="exact"/>
        <w:rPr>
          <w:rFonts w:hint="eastAsia" w:ascii="宋体" w:hAnsi="宋体" w:eastAsia="宋体" w:cs="宋体"/>
          <w:b/>
          <w:sz w:val="28"/>
          <w:szCs w:val="28"/>
          <w:highlight w:val="none"/>
          <w:u w:val="single"/>
        </w:rPr>
      </w:pPr>
      <w:r>
        <w:rPr>
          <w:rFonts w:hint="eastAsia" w:ascii="宋体" w:hAnsi="宋体" w:eastAsia="宋体" w:cs="宋体"/>
          <w:b w:val="0"/>
          <w:bCs w:val="0"/>
          <w:kern w:val="2"/>
          <w:sz w:val="24"/>
          <w:szCs w:val="24"/>
          <w:highlight w:val="none"/>
        </w:rPr>
        <w:t xml:space="preserve">                              </w:t>
      </w:r>
      <w:r>
        <w:rPr>
          <w:rFonts w:hint="eastAsia" w:ascii="宋体" w:hAnsi="宋体" w:eastAsia="宋体" w:cs="宋体"/>
          <w:b/>
          <w:sz w:val="28"/>
          <w:szCs w:val="28"/>
          <w:highlight w:val="none"/>
        </w:rPr>
        <w:t>编号：</w:t>
      </w:r>
      <w:r>
        <w:rPr>
          <w:rFonts w:hint="eastAsia" w:ascii="宋体" w:hAnsi="宋体" w:eastAsia="宋体" w:cs="宋体"/>
          <w:b/>
          <w:sz w:val="28"/>
          <w:szCs w:val="28"/>
          <w:highlight w:val="none"/>
          <w:u w:val="single"/>
        </w:rPr>
        <w:t xml:space="preserve">  深司</w:t>
      </w:r>
      <w:r>
        <w:rPr>
          <w:rFonts w:hint="eastAsia" w:ascii="宋体" w:hAnsi="宋体" w:eastAsia="宋体" w:cs="宋体"/>
          <w:b/>
          <w:color w:val="000000"/>
          <w:sz w:val="28"/>
          <w:szCs w:val="28"/>
          <w:highlight w:val="none"/>
          <w:u w:val="single"/>
        </w:rPr>
        <w:t>（物设部）</w:t>
      </w:r>
      <w:r>
        <w:rPr>
          <w:rFonts w:hint="eastAsia" w:ascii="宋体" w:hAnsi="宋体" w:eastAsia="宋体" w:cs="宋体"/>
          <w:b/>
          <w:color w:val="FF0000"/>
          <w:sz w:val="28"/>
          <w:szCs w:val="28"/>
          <w:highlight w:val="none"/>
          <w:u w:val="single"/>
        </w:rPr>
        <w:t>-XXX项目</w:t>
      </w:r>
      <w:r>
        <w:rPr>
          <w:rFonts w:hint="eastAsia" w:ascii="宋体" w:hAnsi="宋体" w:eastAsia="宋体" w:cs="宋体"/>
          <w:b/>
          <w:color w:val="000000"/>
          <w:sz w:val="28"/>
          <w:szCs w:val="28"/>
          <w:highlight w:val="none"/>
          <w:u w:val="single"/>
        </w:rPr>
        <w:t>(买卖合同)</w:t>
      </w:r>
      <w:r>
        <w:rPr>
          <w:rFonts w:hint="eastAsia" w:ascii="宋体" w:hAnsi="宋体" w:eastAsia="宋体" w:cs="宋体"/>
          <w:b/>
          <w:sz w:val="28"/>
          <w:szCs w:val="28"/>
          <w:highlight w:val="none"/>
          <w:u w:val="single"/>
        </w:rPr>
        <w:t>202</w:t>
      </w:r>
      <w:r>
        <w:rPr>
          <w:rFonts w:hint="eastAsia" w:ascii="宋体" w:hAnsi="宋体" w:eastAsia="宋体" w:cs="宋体"/>
          <w:b/>
          <w:color w:val="FF0000"/>
          <w:sz w:val="28"/>
          <w:szCs w:val="28"/>
          <w:highlight w:val="none"/>
          <w:u w:val="single"/>
        </w:rPr>
        <w:t>X</w:t>
      </w:r>
      <w:r>
        <w:rPr>
          <w:rFonts w:hint="eastAsia" w:ascii="宋体" w:hAnsi="宋体" w:eastAsia="宋体" w:cs="宋体"/>
          <w:b/>
          <w:sz w:val="28"/>
          <w:szCs w:val="28"/>
          <w:highlight w:val="none"/>
          <w:u w:val="single"/>
        </w:rPr>
        <w:t xml:space="preserve">年 </w:t>
      </w:r>
      <w:r>
        <w:rPr>
          <w:rFonts w:hint="eastAsia" w:ascii="宋体" w:hAnsi="宋体" w:eastAsia="宋体" w:cs="宋体"/>
          <w:b/>
          <w:color w:val="FF0000"/>
          <w:sz w:val="28"/>
          <w:szCs w:val="28"/>
          <w:highlight w:val="none"/>
          <w:u w:val="single"/>
        </w:rPr>
        <w:t>0X号</w:t>
      </w:r>
      <w:r>
        <w:rPr>
          <w:rFonts w:hint="eastAsia" w:ascii="宋体" w:hAnsi="宋体" w:eastAsia="宋体" w:cs="宋体"/>
          <w:b/>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bCs/>
          <w:sz w:val="28"/>
          <w:szCs w:val="28"/>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textAlignment w:val="auto"/>
        <w:rPr>
          <w:rFonts w:hint="eastAsia" w:ascii="宋体" w:hAnsi="宋体" w:eastAsia="宋体" w:cs="宋体"/>
          <w:b/>
          <w:bCs w:val="0"/>
          <w:sz w:val="32"/>
          <w:szCs w:val="32"/>
          <w:highlight w:val="none"/>
          <w:u w:val="single"/>
        </w:rPr>
      </w:pPr>
    </w:p>
    <w:p>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rPr>
          <w:rFonts w:hint="eastAsia" w:ascii="宋体" w:hAnsi="宋体" w:eastAsia="宋体" w:cs="宋体"/>
          <w:b/>
          <w:bCs w:val="0"/>
          <w:sz w:val="32"/>
          <w:szCs w:val="32"/>
          <w:highlight w:val="none"/>
        </w:rPr>
      </w:pPr>
      <w:bookmarkStart w:id="60" w:name="_Hlk58612443"/>
      <w:r>
        <w:rPr>
          <w:rFonts w:hint="eastAsia" w:ascii="宋体" w:hAnsi="宋体" w:eastAsia="宋体" w:cs="宋体"/>
          <w:b/>
          <w:bCs w:val="0"/>
          <w:sz w:val="32"/>
          <w:szCs w:val="32"/>
          <w:highlight w:val="none"/>
          <w:u w:val="single"/>
        </w:rPr>
        <w:t xml:space="preserve">             （填写全称）            </w:t>
      </w:r>
      <w:r>
        <w:rPr>
          <w:rFonts w:hint="eastAsia" w:ascii="宋体" w:hAnsi="宋体" w:eastAsia="宋体" w:cs="宋体"/>
          <w:b/>
          <w:bCs w:val="0"/>
          <w:sz w:val="32"/>
          <w:szCs w:val="32"/>
          <w:highlight w:val="none"/>
        </w:rPr>
        <w:t>工程</w:t>
      </w:r>
    </w:p>
    <w:bookmarkEnd w:id="60"/>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rPr>
        <w:t xml:space="preserve"> 买  卖  合 同</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jc w:val="center"/>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lang w:val="en-US" w:eastAsia="zh-CN"/>
        </w:rPr>
        <w:t>买  方</w:t>
      </w:r>
      <w:r>
        <w:rPr>
          <w:rFonts w:hint="eastAsia" w:ascii="宋体" w:hAnsi="宋体" w:eastAsia="宋体" w:cs="宋体"/>
          <w:b/>
          <w:bCs w:val="0"/>
          <w:sz w:val="32"/>
          <w:szCs w:val="32"/>
          <w:highlight w:val="none"/>
        </w:rPr>
        <w:t>：</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u w:val="single"/>
          <w:lang w:val="en-US" w:eastAsia="zh-CN"/>
        </w:rPr>
        <w:t>中铁二局集团有限公司</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u w:val="single"/>
          <w:lang w:val="en-US" w:eastAsia="zh-CN"/>
        </w:rPr>
        <w:t xml:space="preserve">   </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u w:val="single"/>
          <w:lang w:val="en-US" w:eastAsia="zh-CN"/>
        </w:rPr>
        <w:t xml:space="preserve">       </w:t>
      </w:r>
      <w:r>
        <w:rPr>
          <w:rFonts w:hint="eastAsia" w:ascii="宋体" w:hAnsi="宋体" w:eastAsia="宋体" w:cs="宋体"/>
          <w:b/>
          <w:bCs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lang w:val="en-US" w:eastAsia="zh-CN"/>
        </w:rPr>
        <w:t>卖  方</w:t>
      </w:r>
      <w:r>
        <w:rPr>
          <w:rFonts w:hint="eastAsia" w:ascii="宋体" w:hAnsi="宋体" w:eastAsia="宋体" w:cs="宋体"/>
          <w:b/>
          <w:bCs w:val="0"/>
          <w:sz w:val="32"/>
          <w:szCs w:val="32"/>
          <w:highlight w:val="none"/>
        </w:rPr>
        <w:t>：</w:t>
      </w:r>
      <w:r>
        <w:rPr>
          <w:rFonts w:hint="eastAsia" w:ascii="宋体" w:hAnsi="宋体" w:eastAsia="宋体" w:cs="宋体"/>
          <w:b/>
          <w:bCs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32"/>
          <w:szCs w:val="32"/>
          <w:highlight w:val="none"/>
          <w:u w:val="single"/>
        </w:rPr>
      </w:pPr>
      <w:r>
        <w:rPr>
          <w:rFonts w:hint="eastAsia" w:ascii="宋体" w:hAnsi="宋体" w:eastAsia="宋体" w:cs="宋体"/>
          <w:b/>
          <w:bCs w:val="0"/>
          <w:sz w:val="32"/>
          <w:szCs w:val="32"/>
          <w:highlight w:val="none"/>
        </w:rPr>
        <w:t>签订地点：</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u w:val="single"/>
          <w:lang w:val="en-US" w:eastAsia="zh-CN"/>
        </w:rPr>
        <w:t>成都市金牛区</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u w:val="single"/>
          <w:lang w:val="en-US" w:eastAsia="zh-CN"/>
        </w:rPr>
        <w:t xml:space="preserve">    </w:t>
      </w:r>
      <w:r>
        <w:rPr>
          <w:rFonts w:hint="eastAsia" w:ascii="宋体" w:hAnsi="宋体" w:eastAsia="宋体" w:cs="宋体"/>
          <w:b/>
          <w:bCs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sz w:val="32"/>
          <w:szCs w:val="32"/>
          <w:highlight w:val="none"/>
        </w:rPr>
      </w:pPr>
      <w:r>
        <w:rPr>
          <w:rFonts w:hint="eastAsia" w:ascii="宋体" w:hAnsi="宋体" w:eastAsia="宋体" w:cs="宋体"/>
          <w:b/>
          <w:bCs w:val="0"/>
          <w:sz w:val="32"/>
          <w:szCs w:val="32"/>
          <w:highlight w:val="none"/>
        </w:rPr>
        <w:t>签订日期：</w:t>
      </w:r>
      <w:r>
        <w:rPr>
          <w:rFonts w:hint="eastAsia" w:ascii="宋体" w:hAnsi="宋体" w:eastAsia="宋体" w:cs="宋体"/>
          <w:b/>
          <w:bCs w:val="0"/>
          <w:sz w:val="32"/>
          <w:szCs w:val="32"/>
          <w:highlight w:val="none"/>
          <w:u w:val="single"/>
        </w:rPr>
        <w:t xml:space="preserve">20   </w:t>
      </w:r>
      <w:r>
        <w:rPr>
          <w:rFonts w:hint="eastAsia" w:ascii="宋体" w:hAnsi="宋体" w:eastAsia="宋体" w:cs="宋体"/>
          <w:b/>
          <w:bCs w:val="0"/>
          <w:sz w:val="32"/>
          <w:szCs w:val="32"/>
          <w:highlight w:val="none"/>
        </w:rPr>
        <w:t xml:space="preserve"> 年</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rPr>
        <w:t>月</w:t>
      </w:r>
      <w:r>
        <w:rPr>
          <w:rFonts w:hint="eastAsia" w:ascii="宋体" w:hAnsi="宋体" w:eastAsia="宋体" w:cs="宋体"/>
          <w:b/>
          <w:bCs w:val="0"/>
          <w:sz w:val="32"/>
          <w:szCs w:val="32"/>
          <w:highlight w:val="none"/>
          <w:u w:val="single"/>
        </w:rPr>
        <w:t xml:space="preserve">    </w:t>
      </w:r>
      <w:r>
        <w:rPr>
          <w:rFonts w:hint="eastAsia" w:ascii="宋体" w:hAnsi="宋体" w:eastAsia="宋体" w:cs="宋体"/>
          <w:b/>
          <w:bCs w:val="0"/>
          <w:sz w:val="32"/>
          <w:szCs w:val="32"/>
          <w:highlight w:val="none"/>
        </w:rPr>
        <w:t>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val="0"/>
          <w:sz w:val="32"/>
          <w:szCs w:val="32"/>
          <w:highlight w:val="none"/>
        </w:rPr>
        <w:sectPr>
          <w:footerReference r:id="rId10" w:type="default"/>
          <w:pgSz w:w="11906" w:h="16838"/>
          <w:pgMar w:top="2154" w:right="1474" w:bottom="2041" w:left="1587" w:header="851" w:footer="992" w:gutter="0"/>
          <w:pgNumType w:fmt="decimal"/>
          <w:cols w:space="720" w:num="1"/>
          <w:docGrid w:linePitch="312" w:charSpace="0"/>
        </w:sectPr>
      </w:pPr>
    </w:p>
    <w:p>
      <w:pPr>
        <w:pStyle w:val="6"/>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第一部分  合同协议书</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买方</w:t>
      </w:r>
      <w:r>
        <w:rPr>
          <w:rFonts w:hint="eastAsia" w:ascii="宋体" w:hAnsi="宋体" w:eastAsia="宋体" w:cs="宋体"/>
          <w:b/>
          <w:sz w:val="21"/>
          <w:szCs w:val="21"/>
          <w:highlight w:val="none"/>
        </w:rPr>
        <w:t>：</w:t>
      </w:r>
      <w:r>
        <w:rPr>
          <w:rFonts w:hint="eastAsia" w:ascii="宋体" w:hAnsi="宋体" w:eastAsia="宋体" w:cs="宋体"/>
          <w:sz w:val="21"/>
          <w:szCs w:val="21"/>
          <w:highlight w:val="none"/>
          <w:u w:val="single"/>
        </w:rPr>
        <w:t xml:space="preserve">  </w:t>
      </w:r>
      <w:bookmarkStart w:id="61" w:name="_Hlk49761518"/>
      <w:r>
        <w:rPr>
          <w:rFonts w:hint="eastAsia" w:ascii="宋体" w:hAnsi="宋体" w:eastAsia="宋体" w:cs="宋体"/>
          <w:sz w:val="21"/>
          <w:szCs w:val="21"/>
          <w:highlight w:val="none"/>
          <w:u w:val="single"/>
        </w:rPr>
        <w:t>中铁二局</w:t>
      </w:r>
      <w:r>
        <w:rPr>
          <w:rFonts w:hint="eastAsia" w:ascii="宋体" w:hAnsi="宋体" w:eastAsia="宋体" w:cs="宋体"/>
          <w:sz w:val="21"/>
          <w:szCs w:val="21"/>
          <w:highlight w:val="none"/>
          <w:u w:val="single"/>
          <w:lang w:val="en-US" w:eastAsia="zh-CN"/>
        </w:rPr>
        <w:t>集团</w:t>
      </w:r>
      <w:r>
        <w:rPr>
          <w:rFonts w:hint="eastAsia" w:ascii="宋体" w:hAnsi="宋体" w:eastAsia="宋体" w:cs="宋体"/>
          <w:sz w:val="21"/>
          <w:szCs w:val="21"/>
          <w:highlight w:val="none"/>
          <w:u w:val="single"/>
        </w:rPr>
        <w:t>有限公司</w:t>
      </w:r>
      <w:bookmarkEnd w:id="61"/>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（以下简称“甲方”）</w:t>
      </w:r>
      <w:bookmarkStart w:id="62" w:name="_Hlk26619800"/>
    </w:p>
    <w:bookmarkEnd w:id="62"/>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卖方</w:t>
      </w:r>
      <w:r>
        <w:rPr>
          <w:rFonts w:hint="eastAsia" w:ascii="宋体" w:hAnsi="宋体" w:eastAsia="宋体" w:cs="宋体"/>
          <w:b/>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（以下简称“乙方”）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cs="宋体"/>
          <w:sz w:val="21"/>
          <w:szCs w:val="21"/>
          <w:highlight w:val="none"/>
          <w:u w:val="single"/>
          <w:lang w:val="en-US" w:eastAsia="zh-CN"/>
        </w:rPr>
      </w:pPr>
      <w:r>
        <w:rPr>
          <w:rFonts w:hint="eastAsia" w:ascii="宋体" w:hAnsi="宋体" w:eastAsia="宋体" w:cs="宋体"/>
          <w:b/>
          <w:bCs/>
          <w:sz w:val="21"/>
          <w:szCs w:val="21"/>
          <w:highlight w:val="none"/>
        </w:rPr>
        <w:t>卖方企业类型</w:t>
      </w:r>
      <w:r>
        <w:rPr>
          <w:rFonts w:hint="eastAsia" w:ascii="宋体" w:hAnsi="宋体" w:eastAsia="宋体" w:cs="宋体"/>
          <w:b/>
          <w:bCs/>
          <w:sz w:val="21"/>
          <w:szCs w:val="21"/>
          <w:highlight w:val="none"/>
          <w:lang w:eastAsia="zh-CN"/>
        </w:rPr>
        <w:t>：</w:t>
      </w:r>
      <w:r>
        <w:rPr>
          <w:rFonts w:hint="eastAsia" w:ascii="宋体" w:hAnsi="宋体" w:eastAsia="宋体" w:cs="宋体"/>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依照《中华人民共和国民法典》</w:t>
      </w:r>
      <w:r>
        <w:rPr>
          <w:rFonts w:hint="eastAsia" w:ascii="宋体" w:hAnsi="宋体" w:eastAsia="宋体" w:cs="宋体"/>
          <w:color w:val="000000"/>
          <w:sz w:val="21"/>
          <w:szCs w:val="21"/>
          <w:highlight w:val="none"/>
        </w:rPr>
        <w:t>及相关法律法规的规定，在平等、自愿、公平和诚实信用的基础上，甲乙双方经充分协商，特订立本合同</w:t>
      </w:r>
      <w:r>
        <w:rPr>
          <w:rFonts w:hint="eastAsia" w:ascii="宋体" w:hAnsi="宋体" w:eastAsia="宋体" w:cs="宋体"/>
          <w:sz w:val="21"/>
          <w:szCs w:val="21"/>
          <w:highlight w:val="none"/>
        </w:rPr>
        <w:t>，共同达成如下协议：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rPr>
      </w:pPr>
      <w:bookmarkStart w:id="63" w:name="_Hlk49762385"/>
      <w:r>
        <w:rPr>
          <w:rFonts w:hint="eastAsia" w:ascii="宋体" w:hAnsi="宋体" w:eastAsia="宋体" w:cs="宋体"/>
          <w:b/>
          <w:sz w:val="21"/>
          <w:szCs w:val="21"/>
          <w:highlight w:val="none"/>
          <w:lang w:val="en-US" w:eastAsia="zh-CN"/>
        </w:rPr>
        <w:t>第一条 采购物资</w:t>
      </w:r>
      <w:r>
        <w:rPr>
          <w:rFonts w:hint="eastAsia" w:ascii="宋体" w:hAnsi="宋体" w:eastAsia="宋体" w:cs="宋体"/>
          <w:b/>
          <w:bCs/>
          <w:kern w:val="44"/>
          <w:sz w:val="21"/>
          <w:szCs w:val="21"/>
          <w:highlight w:val="none"/>
        </w:rPr>
        <w:t>名称、品种、规格</w:t>
      </w:r>
    </w:p>
    <w:tbl>
      <w:tblPr>
        <w:tblStyle w:val="10"/>
        <w:tblpPr w:leftFromText="180" w:rightFromText="180" w:vertAnchor="text" w:horzAnchor="page" w:tblpXSpec="center" w:tblpY="418"/>
        <w:tblOverlap w:val="never"/>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044"/>
        <w:gridCol w:w="749"/>
        <w:gridCol w:w="452"/>
        <w:gridCol w:w="873"/>
        <w:gridCol w:w="1110"/>
        <w:gridCol w:w="1123"/>
        <w:gridCol w:w="873"/>
        <w:gridCol w:w="998"/>
        <w:gridCol w:w="1010"/>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0" w:hRule="atLeast"/>
          <w:jc w:val="center"/>
        </w:trPr>
        <w:tc>
          <w:tcPr>
            <w:tcW w:w="5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序号</w:t>
            </w:r>
          </w:p>
        </w:tc>
        <w:tc>
          <w:tcPr>
            <w:tcW w:w="10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物资名称</w:t>
            </w: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规格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型号</w:t>
            </w: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单位</w:t>
            </w: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数量</w:t>
            </w: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不含增值税单价（元）</w:t>
            </w: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不含增值税总价（元）</w:t>
            </w: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含增值税单价（元）</w:t>
            </w:r>
          </w:p>
        </w:tc>
        <w:tc>
          <w:tcPr>
            <w:tcW w:w="99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含增值税总价（元）</w:t>
            </w:r>
          </w:p>
        </w:tc>
        <w:tc>
          <w:tcPr>
            <w:tcW w:w="10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生产厂家</w:t>
            </w: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5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9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0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5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9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0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5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9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0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506"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10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w:t>
            </w: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9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0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15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小计</w:t>
            </w:r>
          </w:p>
        </w:tc>
        <w:tc>
          <w:tcPr>
            <w:tcW w:w="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45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1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1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873"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998"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101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c>
          <w:tcPr>
            <w:tcW w:w="67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9412" w:type="dxa"/>
            <w:gridSpan w:val="1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r>
              <w:rPr>
                <w:rFonts w:hint="eastAsia" w:ascii="宋体" w:hAnsi="宋体" w:eastAsia="宋体" w:cs="宋体"/>
                <w:bCs/>
                <w:sz w:val="21"/>
                <w:szCs w:val="21"/>
                <w:highlight w:val="none"/>
              </w:rPr>
              <w:t>增值税税率为</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rPr>
              <w:t>%，增值税额：</w:t>
            </w:r>
            <w:r>
              <w:rPr>
                <w:rFonts w:hint="eastAsia" w:ascii="宋体" w:hAnsi="宋体" w:eastAsia="宋体" w:cs="宋体"/>
                <w:bCs/>
                <w:sz w:val="21"/>
                <w:szCs w:val="21"/>
                <w:highlight w:val="none"/>
                <w:u w:val="single"/>
              </w:rPr>
              <w:t xml:space="preserve">            </w:t>
            </w:r>
            <w:r>
              <w:rPr>
                <w:rFonts w:hint="eastAsia" w:ascii="宋体" w:hAnsi="宋体" w:eastAsia="宋体" w:cs="宋体"/>
                <w:bCs/>
                <w:sz w:val="21"/>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412" w:type="dxa"/>
            <w:gridSpan w:val="11"/>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含增值税总价（大写）：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（小写）：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w:t>
            </w:r>
          </w:p>
        </w:tc>
      </w:tr>
      <w:bookmarkEnd w:id="63"/>
    </w:tbl>
    <w:p>
      <w:pPr>
        <w:spacing w:line="360" w:lineRule="auto"/>
        <w:ind w:firstLine="525" w:firstLineChars="2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1.1名称、品种、规格、产地：_________。</w:t>
      </w:r>
    </w:p>
    <w:p>
      <w:pPr>
        <w:spacing w:line="360" w:lineRule="auto"/>
        <w:ind w:firstLine="525" w:firstLineChars="2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1.2质量，按下列第_________项执行：</w:t>
      </w:r>
    </w:p>
    <w:p>
      <w:pPr>
        <w:spacing w:line="360" w:lineRule="auto"/>
        <w:ind w:firstLine="525" w:firstLineChars="2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1.2.1按照_________标准执行。</w:t>
      </w:r>
    </w:p>
    <w:p>
      <w:pPr>
        <w:spacing w:line="360" w:lineRule="auto"/>
        <w:ind w:firstLine="525" w:firstLineChars="25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1.2.2按样本，样本作为合同的附件（应注明样本封存及保管方式）。</w:t>
      </w:r>
    </w:p>
    <w:p>
      <w:pPr>
        <w:spacing w:line="360" w:lineRule="auto"/>
        <w:ind w:firstLine="529" w:firstLineChars="252"/>
        <w:rPr>
          <w:rFonts w:hint="eastAsia" w:ascii="宋体" w:hAnsi="宋体" w:eastAsia="宋体" w:cs="宋体"/>
          <w:b/>
          <w:sz w:val="21"/>
          <w:szCs w:val="21"/>
          <w:highlight w:val="none"/>
          <w:lang w:val="en-US" w:eastAsia="zh-CN"/>
        </w:rPr>
      </w:pPr>
      <w:r>
        <w:rPr>
          <w:rFonts w:hint="eastAsia" w:ascii="宋体" w:hAnsi="宋体" w:eastAsia="宋体" w:cs="宋体"/>
          <w:color w:val="000000"/>
          <w:sz w:val="21"/>
          <w:szCs w:val="21"/>
          <w:highlight w:val="none"/>
        </w:rPr>
        <w:t>1.2.3按双方商定要求执行，具体为：_________</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第二条 合同供货期限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本合同供货期限自</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日至</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日；该期限为暂定期限，甲方有权根据施工需要单方调整合同供货期限，但应提前</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5</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日通知乙方。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第三条 合同价款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单价：_________；</w:t>
      </w:r>
      <w:r>
        <w:rPr>
          <w:rFonts w:hint="eastAsia" w:ascii="宋体" w:hAnsi="宋体" w:eastAsia="宋体" w:cs="宋体"/>
          <w:sz w:val="21"/>
          <w:szCs w:val="21"/>
          <w:highlight w:val="none"/>
        </w:rPr>
        <w:t>本合同暂定总价（含增值税）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元）。其中，不含税价款为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元），增值税税率为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%，增值税</w:t>
      </w:r>
      <w:r>
        <w:rPr>
          <w:rFonts w:hint="eastAsia" w:ascii="宋体" w:hAnsi="宋体" w:eastAsia="宋体" w:cs="宋体"/>
          <w:color w:val="000000"/>
          <w:sz w:val="21"/>
          <w:szCs w:val="21"/>
          <w:highlight w:val="none"/>
        </w:rPr>
        <w:t>_________</w:t>
      </w:r>
      <w:r>
        <w:rPr>
          <w:rFonts w:hint="eastAsia" w:ascii="宋体" w:hAnsi="宋体" w:eastAsia="宋体" w:cs="宋体"/>
          <w:sz w:val="21"/>
          <w:szCs w:val="21"/>
          <w:highlight w:val="none"/>
        </w:rPr>
        <w:t>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元）。若因国家税务政策变化导致税率调整，不含增值税价格不变，具体税金以变更后的税率计算。</w:t>
      </w:r>
    </w:p>
    <w:p>
      <w:pPr>
        <w:keepNext w:val="0"/>
        <w:keepLines w:val="0"/>
        <w:pageBreakBefore w:val="0"/>
        <w:widowControl w:val="0"/>
        <w:kinsoku/>
        <w:wordWrap/>
        <w:overflowPunct/>
        <w:topLinePunct w:val="0"/>
        <w:autoSpaceDE/>
        <w:autoSpaceDN/>
        <w:bidi w:val="0"/>
        <w:spacing w:line="360" w:lineRule="auto"/>
        <w:ind w:firstLine="422"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w:t>
      </w:r>
      <w:r>
        <w:rPr>
          <w:rFonts w:hint="eastAsia" w:ascii="宋体" w:hAnsi="宋体" w:eastAsia="宋体" w:cs="宋体"/>
          <w:b/>
          <w:color w:val="auto"/>
          <w:sz w:val="21"/>
          <w:szCs w:val="21"/>
          <w:highlight w:val="none"/>
          <w:lang w:val="en-US" w:eastAsia="zh-CN"/>
        </w:rPr>
        <w:t>四</w:t>
      </w:r>
      <w:r>
        <w:rPr>
          <w:rFonts w:hint="eastAsia" w:ascii="宋体" w:hAnsi="宋体" w:eastAsia="宋体" w:cs="宋体"/>
          <w:b/>
          <w:color w:val="auto"/>
          <w:sz w:val="21"/>
          <w:szCs w:val="21"/>
          <w:highlight w:val="none"/>
        </w:rPr>
        <w:t>条 合同文件组成及解释次序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本合同协议书及所附下列文件是构成合同不可分割的部分：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（1）中标通知书；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zh-CN"/>
        </w:rPr>
        <w:t>（2）</w:t>
      </w:r>
      <w:r>
        <w:rPr>
          <w:rFonts w:hint="eastAsia" w:ascii="宋体" w:hAnsi="宋体" w:eastAsia="宋体" w:cs="宋体"/>
          <w:color w:val="000000"/>
          <w:sz w:val="21"/>
          <w:szCs w:val="21"/>
          <w:highlight w:val="none"/>
          <w:lang w:val="en-US" w:eastAsia="zh-CN"/>
        </w:rPr>
        <w:t>合同协议书；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（3）专用合同条款；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lang w:val="zh-CN"/>
        </w:rPr>
        <w:t>）通用合同条款；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highlight w:val="none"/>
          <w:lang w:val="zh-CN"/>
        </w:rPr>
      </w:pP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val="zh-CN"/>
        </w:rPr>
        <w:t>）本合同其他条款和上述文件提到的其他有关文件。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color w:val="000000"/>
          <w:sz w:val="21"/>
          <w:szCs w:val="21"/>
          <w:highlight w:val="none"/>
          <w:lang w:val="zh-CN"/>
        </w:rPr>
        <w:t>上述文件应相互补充和相互解释，在不明确或矛盾时，应按以上顺序在先者为准；仍然不明确或矛盾时，应在不影响合同履行的情况下，由甲乙双方协商解决</w:t>
      </w:r>
      <w:r>
        <w:rPr>
          <w:rFonts w:hint="eastAsia" w:ascii="宋体" w:hAnsi="宋体" w:eastAsia="宋体" w:cs="宋体"/>
          <w:sz w:val="21"/>
          <w:szCs w:val="21"/>
          <w:highlight w:val="none"/>
          <w:lang w:val="zh-CN"/>
        </w:rPr>
        <w:t>；双方协商不成时，按本合同通用条款关于争议的约定处理。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第五条  双方确认</w:t>
      </w:r>
    </w:p>
    <w:p>
      <w:pPr>
        <w:pStyle w:val="6"/>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及其附件是甲乙双方经过平等协商拟定，不构成任何一方的格式条款，甲乙双方对有疑义之条款，进行了充分的沟通和说明，双方已充分约定和理解其全部条款的内容，并对其无异议，在此基础上签订本协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第六条 合同的生效</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合同订立时间：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2025</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合同订立地点：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成都市金牛区</w:t>
      </w:r>
      <w:r>
        <w:rPr>
          <w:rFonts w:hint="eastAsia" w:ascii="宋体" w:hAnsi="宋体" w:eastAsia="宋体" w:cs="宋体"/>
          <w:sz w:val="21"/>
          <w:szCs w:val="21"/>
          <w:highlight w:val="none"/>
          <w:u w:val="single"/>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本合同双方约定经双方签字或盖章后成立，并自</w:t>
      </w:r>
      <w:r>
        <w:rPr>
          <w:rFonts w:hint="eastAsia" w:ascii="宋体" w:hAnsi="宋体" w:eastAsia="宋体" w:cs="宋体"/>
          <w:sz w:val="21"/>
          <w:szCs w:val="21"/>
          <w:highlight w:val="none"/>
          <w:lang w:val="en-US" w:eastAsia="zh-CN"/>
        </w:rPr>
        <w:t>甲方向乙方发出供货通知</w:t>
      </w:r>
      <w:r>
        <w:rPr>
          <w:rFonts w:hint="eastAsia" w:ascii="宋体" w:hAnsi="宋体" w:eastAsia="宋体" w:cs="宋体"/>
          <w:sz w:val="21"/>
          <w:szCs w:val="21"/>
          <w:highlight w:val="none"/>
        </w:rPr>
        <w:t>后生效。</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第七条 合同份数</w:t>
      </w:r>
    </w:p>
    <w:p>
      <w:pPr>
        <w:pStyle w:val="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陆</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份，均具有同等法律效力，</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执</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伍</w:t>
      </w:r>
      <w:r>
        <w:rPr>
          <w:rFonts w:hint="eastAsia" w:ascii="宋体" w:hAnsi="宋体" w:eastAsia="宋体" w:cs="宋体"/>
          <w:sz w:val="21"/>
          <w:szCs w:val="21"/>
          <w:highlight w:val="none"/>
        </w:rPr>
        <w:t>份，</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执</w:t>
      </w:r>
      <w:r>
        <w:rPr>
          <w:rFonts w:hint="eastAsia" w:ascii="宋体" w:hAnsi="宋体" w:eastAsia="宋体" w:cs="宋体"/>
          <w:sz w:val="21"/>
          <w:szCs w:val="21"/>
          <w:highlight w:val="none"/>
          <w:u w:val="single"/>
          <w:lang w:val="en-US" w:eastAsia="zh-CN"/>
        </w:rPr>
        <w:t xml:space="preserve"> 壹 </w:t>
      </w:r>
      <w:r>
        <w:rPr>
          <w:rFonts w:hint="eastAsia" w:ascii="宋体" w:hAnsi="宋体" w:eastAsia="宋体" w:cs="宋体"/>
          <w:sz w:val="21"/>
          <w:szCs w:val="21"/>
          <w:highlight w:val="none"/>
        </w:rPr>
        <w:t>份。</w:t>
      </w:r>
    </w:p>
    <w:p>
      <w:pPr>
        <w:pStyle w:val="6"/>
        <w:spacing w:line="360" w:lineRule="auto"/>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第八条 双方送达地址</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甲方送达地址：</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联系电话：</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电子邮箱：</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乙方送达地址：</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联系电话：</w:t>
      </w:r>
      <w:r>
        <w:rPr>
          <w:rFonts w:hint="eastAsia" w:ascii="宋体" w:hAnsi="宋体" w:eastAsia="宋体" w:cs="宋体"/>
          <w:kern w:val="0"/>
          <w:sz w:val="21"/>
          <w:szCs w:val="21"/>
          <w:highlight w:val="none"/>
          <w:u w:val="single"/>
        </w:rPr>
        <w:t xml:space="preserve">                                       </w:t>
      </w:r>
    </w:p>
    <w:p>
      <w:pPr>
        <w:tabs>
          <w:tab w:val="left" w:pos="360"/>
        </w:tabs>
        <w:spacing w:line="360" w:lineRule="auto"/>
        <w:ind w:firstLine="371" w:firstLineChars="177"/>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电子邮箱：</w:t>
      </w:r>
      <w:r>
        <w:rPr>
          <w:rFonts w:hint="eastAsia" w:ascii="宋体" w:hAnsi="宋体" w:eastAsia="宋体" w:cs="宋体"/>
          <w:kern w:val="0"/>
          <w:sz w:val="21"/>
          <w:szCs w:val="21"/>
          <w:highlight w:val="none"/>
          <w:u w:val="single"/>
        </w:rPr>
        <w:t xml:space="preserve">                                       </w:t>
      </w:r>
    </w:p>
    <w:tbl>
      <w:tblPr>
        <w:tblStyle w:val="10"/>
        <w:tblpPr w:leftFromText="180" w:rightFromText="180" w:vertAnchor="text" w:horzAnchor="page" w:tblpXSpec="center" w:tblpY="243"/>
        <w:tblOverlap w:val="never"/>
        <w:tblW w:w="86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47"/>
        <w:gridCol w:w="42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180" w:hRule="atLeast"/>
          <w:jc w:val="center"/>
        </w:trPr>
        <w:tc>
          <w:tcPr>
            <w:tcW w:w="4347" w:type="dxa"/>
            <w:noWrap w:val="0"/>
            <w:vAlign w:val="top"/>
          </w:tcPr>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lang w:val="en-US" w:eastAsia="zh-CN"/>
              </w:rPr>
            </w:pPr>
          </w:p>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231F20"/>
                <w:sz w:val="21"/>
                <w:szCs w:val="21"/>
                <w:highlight w:val="none"/>
                <w:lang w:val="en-US" w:eastAsia="zh-CN"/>
              </w:rPr>
              <w:t>买方(甲方）</w:t>
            </w:r>
            <w:r>
              <w:rPr>
                <w:rFonts w:hint="eastAsia" w:ascii="宋体" w:hAnsi="宋体" w:eastAsia="宋体" w:cs="宋体"/>
                <w:color w:val="231F20"/>
                <w:spacing w:val="-165"/>
                <w:sz w:val="21"/>
                <w:szCs w:val="21"/>
                <w:highlight w:val="none"/>
              </w:rPr>
              <w:t>：</w:t>
            </w:r>
            <w:r>
              <w:rPr>
                <w:rFonts w:hint="eastAsia" w:ascii="宋体" w:hAnsi="宋体" w:eastAsia="宋体" w:cs="宋体"/>
                <w:color w:val="231F20"/>
                <w:sz w:val="21"/>
                <w:szCs w:val="21"/>
                <w:highlight w:val="none"/>
                <w:lang w:val="en-US" w:eastAsia="zh-CN"/>
              </w:rPr>
              <w:t xml:space="preserve"> </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lang w:eastAsia="zh-CN"/>
              </w:rPr>
              <w:t>）</w:t>
            </w:r>
            <w:r>
              <w:rPr>
                <w:rFonts w:hint="eastAsia" w:ascii="宋体" w:hAnsi="宋体" w:eastAsia="宋体" w:cs="宋体"/>
                <w:color w:val="231F20"/>
                <w:sz w:val="21"/>
                <w:szCs w:val="21"/>
                <w:highlight w:val="none"/>
                <w:lang w:val="en-US" w:eastAsia="zh-CN"/>
              </w:rPr>
              <w:t>中铁二局集团有限公司</w:t>
            </w:r>
          </w:p>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rPr>
            </w:pPr>
            <w:r>
              <w:rPr>
                <w:rFonts w:hint="eastAsia" w:ascii="宋体" w:hAnsi="宋体" w:eastAsia="宋体" w:cs="宋体"/>
                <w:color w:val="231F20"/>
                <w:sz w:val="21"/>
                <w:szCs w:val="21"/>
                <w:highlight w:val="none"/>
              </w:rPr>
              <w:t>法定代表人或其委托代理人（签字）：</w:t>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rPr>
              <w:t>统一社会信用代码</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auto"/>
              </w:rPr>
              <w:t>91510100MA61RKR7X3</w:t>
            </w:r>
            <w:r>
              <w:rPr>
                <w:rFonts w:hint="eastAsia" w:ascii="宋体" w:hAnsi="宋体" w:eastAsia="宋体" w:cs="宋体"/>
                <w:color w:val="231F20"/>
                <w:sz w:val="21"/>
                <w:szCs w:val="21"/>
                <w:highlight w:val="none"/>
                <w:u w:val="single" w:color="231F20"/>
              </w:rPr>
              <w:tab/>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rPr>
              <w:t>地址</w:t>
            </w:r>
            <w:r>
              <w:rPr>
                <w:rFonts w:hint="eastAsia" w:ascii="宋体" w:hAnsi="宋体" w:eastAsia="宋体" w:cs="宋体"/>
                <w:color w:val="231F20"/>
                <w:sz w:val="21"/>
                <w:szCs w:val="21"/>
                <w:highlight w:val="none"/>
                <w:u w:val="single" w:color="231F20"/>
              </w:rPr>
              <w:t xml:space="preserve">： </w:t>
            </w:r>
            <w:r>
              <w:rPr>
                <w:rFonts w:hint="eastAsia" w:ascii="宋体" w:hAnsi="宋体" w:eastAsia="宋体" w:cs="宋体"/>
                <w:color w:val="231F20"/>
                <w:sz w:val="21"/>
                <w:szCs w:val="21"/>
                <w:highlight w:val="none"/>
                <w:u w:val="single"/>
              </w:rPr>
              <w:t>成都市金牛区通锦路16号</w:t>
            </w:r>
            <w:r>
              <w:rPr>
                <w:rFonts w:hint="eastAsia" w:ascii="宋体" w:hAnsi="宋体" w:eastAsia="宋体" w:cs="宋体"/>
                <w:color w:val="231F20"/>
                <w:sz w:val="21"/>
                <w:szCs w:val="21"/>
                <w:highlight w:val="none"/>
                <w:u w:val="single" w:color="231F20"/>
              </w:rPr>
              <w:tab/>
            </w:r>
            <w:r>
              <w:rPr>
                <w:rFonts w:hint="eastAsia" w:ascii="宋体" w:hAnsi="宋体" w:eastAsia="宋体" w:cs="宋体"/>
                <w:color w:val="231F20"/>
                <w:sz w:val="21"/>
                <w:szCs w:val="21"/>
                <w:highlight w:val="none"/>
                <w:u w:val="single" w:color="231F20"/>
              </w:rPr>
              <w:t xml:space="preserve"> </w:t>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w w:val="12"/>
                <w:sz w:val="21"/>
                <w:szCs w:val="21"/>
                <w:highlight w:val="none"/>
                <w:u w:val="single" w:color="231F20"/>
                <w:lang w:val="en-US" w:eastAsia="zh-CN"/>
              </w:rPr>
            </w:pPr>
            <w:r>
              <w:rPr>
                <w:rFonts w:hint="eastAsia" w:ascii="宋体" w:hAnsi="宋体" w:eastAsia="宋体" w:cs="宋体"/>
                <w:color w:val="231F20"/>
                <w:sz w:val="21"/>
                <w:szCs w:val="21"/>
                <w:highlight w:val="none"/>
              </w:rPr>
              <w:t>邮政编码</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lang w:val="en-US" w:eastAsia="zh-CN"/>
              </w:rPr>
              <w:t xml:space="preserve">      </w:t>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lang w:val="en-US" w:eastAsia="zh-CN"/>
              </w:rPr>
              <w:t>纳税人识别号</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auto"/>
              </w:rPr>
              <w:t>91510100MA61RKR7X3</w:t>
            </w:r>
            <w:r>
              <w:rPr>
                <w:rFonts w:hint="eastAsia" w:ascii="宋体" w:hAnsi="宋体" w:eastAsia="宋体" w:cs="宋体"/>
                <w:color w:val="231F20"/>
                <w:sz w:val="21"/>
                <w:szCs w:val="21"/>
                <w:highlight w:val="none"/>
                <w:u w:val="single" w:color="auto"/>
              </w:rPr>
              <w:tab/>
            </w:r>
            <w:r>
              <w:rPr>
                <w:rFonts w:hint="eastAsia" w:ascii="宋体" w:hAnsi="宋体" w:eastAsia="宋体" w:cs="宋体"/>
                <w:color w:val="231F20"/>
                <w:sz w:val="21"/>
                <w:szCs w:val="21"/>
                <w:highlight w:val="none"/>
                <w:u w:val="single" w:color="auto"/>
              </w:rPr>
              <w:t xml:space="preserve"> </w:t>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rPr>
              <w:t>开户银行</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auto"/>
              </w:rPr>
              <w:t>建行成都铁道支行</w:t>
            </w:r>
            <w:r>
              <w:rPr>
                <w:rFonts w:hint="eastAsia" w:ascii="宋体" w:hAnsi="宋体" w:eastAsia="宋体" w:cs="宋体"/>
                <w:color w:val="231F20"/>
                <w:sz w:val="21"/>
                <w:szCs w:val="21"/>
                <w:highlight w:val="none"/>
                <w:u w:val="single" w:color="231F20"/>
              </w:rPr>
              <w:tab/>
            </w:r>
          </w:p>
          <w:p>
            <w:pPr>
              <w:pStyle w:val="20"/>
              <w:keepNext w:val="0"/>
              <w:keepLines w:val="0"/>
              <w:pageBreakBefore w:val="0"/>
              <w:widowControl w:val="0"/>
              <w:tabs>
                <w:tab w:val="left" w:pos="3350"/>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rPr>
            </w:pPr>
            <w:r>
              <w:rPr>
                <w:rFonts w:hint="eastAsia" w:ascii="宋体" w:hAnsi="宋体" w:eastAsia="宋体" w:cs="宋体"/>
                <w:color w:val="231F20"/>
                <w:w w:val="12"/>
                <w:sz w:val="21"/>
                <w:szCs w:val="21"/>
                <w:highlight w:val="none"/>
                <w:u w:val="single" w:color="231F20"/>
              </w:rPr>
              <w:t xml:space="preserve"> </w:t>
            </w:r>
            <w:r>
              <w:rPr>
                <w:rFonts w:hint="eastAsia" w:ascii="宋体" w:hAnsi="宋体" w:eastAsia="宋体" w:cs="宋体"/>
                <w:color w:val="231F20"/>
                <w:sz w:val="21"/>
                <w:szCs w:val="21"/>
                <w:highlight w:val="none"/>
              </w:rPr>
              <w:t>账号</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auto"/>
              </w:rPr>
              <w:t>51050188083609123456</w:t>
            </w:r>
            <w:r>
              <w:rPr>
                <w:rFonts w:hint="eastAsia" w:ascii="宋体" w:hAnsi="宋体" w:eastAsia="宋体" w:cs="宋体"/>
                <w:color w:val="231F20"/>
                <w:sz w:val="21"/>
                <w:szCs w:val="21"/>
                <w:highlight w:val="none"/>
                <w:u w:val="single" w:color="231F20"/>
              </w:rPr>
              <w:tab/>
            </w:r>
          </w:p>
        </w:tc>
        <w:tc>
          <w:tcPr>
            <w:tcW w:w="4283" w:type="dxa"/>
            <w:noWrap w:val="0"/>
            <w:vAlign w:val="top"/>
          </w:tcPr>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lang w:val="en-US" w:eastAsia="zh-CN"/>
              </w:rPr>
            </w:pPr>
          </w:p>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rPr>
            </w:pPr>
            <w:r>
              <w:rPr>
                <w:rFonts w:hint="eastAsia" w:ascii="宋体" w:hAnsi="宋体" w:eastAsia="宋体" w:cs="宋体"/>
                <w:color w:val="231F20"/>
                <w:sz w:val="21"/>
                <w:szCs w:val="21"/>
                <w:highlight w:val="none"/>
                <w:lang w:val="en-US" w:eastAsia="zh-CN"/>
              </w:rPr>
              <w:t>卖方</w:t>
            </w:r>
            <w:r>
              <w:rPr>
                <w:rFonts w:hint="eastAsia" w:ascii="宋体" w:hAnsi="宋体" w:eastAsia="宋体" w:cs="宋体"/>
                <w:color w:val="231F20"/>
                <w:sz w:val="21"/>
                <w:szCs w:val="21"/>
                <w:highlight w:val="none"/>
                <w:lang w:eastAsia="zh-CN"/>
              </w:rPr>
              <w:t>（</w:t>
            </w:r>
            <w:r>
              <w:rPr>
                <w:rFonts w:hint="eastAsia" w:ascii="宋体" w:hAnsi="宋体" w:eastAsia="宋体" w:cs="宋体"/>
                <w:color w:val="231F20"/>
                <w:sz w:val="21"/>
                <w:szCs w:val="21"/>
                <w:highlight w:val="none"/>
                <w:lang w:val="en-US" w:eastAsia="zh-CN"/>
              </w:rPr>
              <w:t>乙方</w:t>
            </w:r>
            <w:r>
              <w:rPr>
                <w:rFonts w:hint="eastAsia" w:ascii="宋体" w:hAnsi="宋体" w:eastAsia="宋体" w:cs="宋体"/>
                <w:color w:val="231F20"/>
                <w:sz w:val="21"/>
                <w:szCs w:val="21"/>
                <w:highlight w:val="none"/>
                <w:lang w:eastAsia="zh-CN"/>
              </w:rPr>
              <w:t>）</w:t>
            </w:r>
            <w:r>
              <w:rPr>
                <w:rFonts w:hint="eastAsia" w:ascii="宋体" w:hAnsi="宋体" w:eastAsia="宋体" w:cs="宋体"/>
                <w:color w:val="231F20"/>
                <w:spacing w:val="-165"/>
                <w:sz w:val="21"/>
                <w:szCs w:val="21"/>
                <w:highlight w:val="none"/>
              </w:rPr>
              <w:t>：</w:t>
            </w:r>
            <w:r>
              <w:rPr>
                <w:rFonts w:hint="eastAsia" w:ascii="宋体" w:hAnsi="宋体" w:eastAsia="宋体" w:cs="宋体"/>
                <w:color w:val="231F20"/>
                <w:sz w:val="21"/>
                <w:szCs w:val="21"/>
                <w:highlight w:val="none"/>
              </w:rPr>
              <w:t>（</w:t>
            </w:r>
            <w:r>
              <w:rPr>
                <w:rFonts w:hint="eastAsia" w:ascii="宋体" w:hAnsi="宋体" w:eastAsia="宋体" w:cs="宋体"/>
                <w:color w:val="231F20"/>
                <w:sz w:val="21"/>
                <w:szCs w:val="21"/>
                <w:highlight w:val="none"/>
                <w:lang w:val="en-US" w:eastAsia="zh-CN"/>
              </w:rPr>
              <w:t>盖章</w:t>
            </w:r>
            <w:r>
              <w:rPr>
                <w:rFonts w:hint="eastAsia" w:ascii="宋体" w:hAnsi="宋体" w:eastAsia="宋体" w:cs="宋体"/>
                <w:color w:val="231F20"/>
                <w:sz w:val="21"/>
                <w:szCs w:val="21"/>
                <w:highlight w:val="none"/>
              </w:rPr>
              <w:t>）</w:t>
            </w:r>
          </w:p>
          <w:p>
            <w:pPr>
              <w:pStyle w:val="20"/>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rPr>
            </w:pPr>
            <w:r>
              <w:rPr>
                <w:rFonts w:hint="eastAsia" w:ascii="宋体" w:hAnsi="宋体" w:eastAsia="宋体" w:cs="宋体"/>
                <w:color w:val="231F20"/>
                <w:sz w:val="21"/>
                <w:szCs w:val="21"/>
                <w:highlight w:val="none"/>
              </w:rPr>
              <w:t>法定代表人或其委托代理人（签字）：</w:t>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w w:val="25"/>
                <w:sz w:val="21"/>
                <w:szCs w:val="21"/>
                <w:highlight w:val="none"/>
                <w:u w:val="single" w:color="231F20"/>
              </w:rPr>
            </w:pPr>
            <w:r>
              <w:rPr>
                <w:rFonts w:hint="eastAsia" w:ascii="宋体" w:hAnsi="宋体" w:eastAsia="宋体" w:cs="宋体"/>
                <w:color w:val="231F20"/>
                <w:sz w:val="21"/>
                <w:szCs w:val="21"/>
                <w:highlight w:val="none"/>
              </w:rPr>
              <w:t>统一社会信用代码</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r>
              <w:rPr>
                <w:rFonts w:hint="eastAsia" w:ascii="宋体" w:hAnsi="宋体" w:eastAsia="宋体" w:cs="宋体"/>
                <w:color w:val="231F20"/>
                <w:w w:val="25"/>
                <w:sz w:val="21"/>
                <w:szCs w:val="21"/>
                <w:highlight w:val="none"/>
                <w:u w:val="single" w:color="231F20"/>
              </w:rPr>
              <w:t xml:space="preserve"> </w:t>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rPr>
              <w:t>地址</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w w:val="12"/>
                <w:sz w:val="21"/>
                <w:szCs w:val="21"/>
                <w:highlight w:val="none"/>
                <w:u w:val="single" w:color="231F20"/>
              </w:rPr>
            </w:pPr>
            <w:r>
              <w:rPr>
                <w:rFonts w:hint="eastAsia" w:ascii="宋体" w:hAnsi="宋体" w:eastAsia="宋体" w:cs="宋体"/>
                <w:color w:val="231F20"/>
                <w:sz w:val="21"/>
                <w:szCs w:val="21"/>
                <w:highlight w:val="none"/>
              </w:rPr>
              <w:t>邮政编码</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r>
              <w:rPr>
                <w:rFonts w:hint="eastAsia" w:ascii="宋体" w:hAnsi="宋体" w:eastAsia="宋体" w:cs="宋体"/>
                <w:color w:val="231F20"/>
                <w:w w:val="12"/>
                <w:sz w:val="21"/>
                <w:szCs w:val="21"/>
                <w:highlight w:val="none"/>
                <w:u w:val="single" w:color="231F20"/>
              </w:rPr>
              <w:t xml:space="preserve"> </w:t>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w w:val="18"/>
                <w:sz w:val="21"/>
                <w:szCs w:val="21"/>
                <w:highlight w:val="none"/>
                <w:u w:val="single" w:color="231F20"/>
              </w:rPr>
            </w:pPr>
            <w:r>
              <w:rPr>
                <w:rFonts w:hint="eastAsia" w:ascii="宋体" w:hAnsi="宋体" w:eastAsia="宋体" w:cs="宋体"/>
                <w:color w:val="231F20"/>
                <w:sz w:val="21"/>
                <w:szCs w:val="21"/>
                <w:highlight w:val="none"/>
              </w:rPr>
              <w:t>法定代表人</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r>
              <w:rPr>
                <w:rFonts w:hint="eastAsia" w:ascii="宋体" w:hAnsi="宋体" w:eastAsia="宋体" w:cs="宋体"/>
                <w:color w:val="231F20"/>
                <w:w w:val="18"/>
                <w:sz w:val="21"/>
                <w:szCs w:val="21"/>
                <w:highlight w:val="none"/>
                <w:u w:val="single" w:color="231F20"/>
              </w:rPr>
              <w:t xml:space="preserve"> </w:t>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sz w:val="21"/>
                <w:szCs w:val="21"/>
                <w:highlight w:val="none"/>
                <w:u w:val="single" w:color="231F20"/>
              </w:rPr>
            </w:pPr>
            <w:r>
              <w:rPr>
                <w:rFonts w:hint="eastAsia" w:ascii="宋体" w:hAnsi="宋体" w:eastAsia="宋体" w:cs="宋体"/>
                <w:color w:val="231F20"/>
                <w:sz w:val="21"/>
                <w:szCs w:val="21"/>
                <w:highlight w:val="none"/>
                <w:lang w:val="en-US" w:eastAsia="zh-CN"/>
              </w:rPr>
              <w:t>纳税人识别号</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color w:val="231F20"/>
                <w:w w:val="12"/>
                <w:sz w:val="21"/>
                <w:szCs w:val="21"/>
                <w:highlight w:val="none"/>
                <w:u w:val="single" w:color="231F20"/>
              </w:rPr>
            </w:pPr>
            <w:r>
              <w:rPr>
                <w:rFonts w:hint="eastAsia" w:ascii="宋体" w:hAnsi="宋体" w:eastAsia="宋体" w:cs="宋体"/>
                <w:color w:val="231F20"/>
                <w:sz w:val="21"/>
                <w:szCs w:val="21"/>
                <w:highlight w:val="none"/>
              </w:rPr>
              <w:t>开户银行</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r>
              <w:rPr>
                <w:rFonts w:hint="eastAsia" w:ascii="宋体" w:hAnsi="宋体" w:eastAsia="宋体" w:cs="宋体"/>
                <w:color w:val="231F20"/>
                <w:w w:val="12"/>
                <w:sz w:val="21"/>
                <w:szCs w:val="21"/>
                <w:highlight w:val="none"/>
                <w:u w:val="single" w:color="231F20"/>
              </w:rPr>
              <w:t xml:space="preserve"> </w:t>
            </w:r>
          </w:p>
          <w:p>
            <w:pPr>
              <w:pStyle w:val="20"/>
              <w:keepNext w:val="0"/>
              <w:keepLines w:val="0"/>
              <w:pageBreakBefore w:val="0"/>
              <w:widowControl w:val="0"/>
              <w:tabs>
                <w:tab w:val="left" w:pos="3919"/>
              </w:tabs>
              <w:kinsoku/>
              <w:wordWrap/>
              <w:overflowPunct/>
              <w:topLinePunct w:val="0"/>
              <w:autoSpaceDE/>
              <w:autoSpaceDN/>
              <w:bidi w:val="0"/>
              <w:adjustRightInd/>
              <w:snapToGrid/>
              <w:spacing w:line="360" w:lineRule="auto"/>
              <w:ind w:right="0"/>
              <w:jc w:val="both"/>
              <w:textAlignment w:val="auto"/>
              <w:rPr>
                <w:rFonts w:hint="eastAsia" w:ascii="宋体" w:hAnsi="宋体" w:eastAsia="宋体" w:cs="宋体"/>
                <w:sz w:val="21"/>
                <w:szCs w:val="21"/>
                <w:highlight w:val="none"/>
              </w:rPr>
            </w:pPr>
            <w:r>
              <w:rPr>
                <w:rFonts w:hint="eastAsia" w:ascii="宋体" w:hAnsi="宋体" w:eastAsia="宋体" w:cs="宋体"/>
                <w:color w:val="231F20"/>
                <w:sz w:val="21"/>
                <w:szCs w:val="21"/>
                <w:highlight w:val="none"/>
              </w:rPr>
              <w:t>账号</w:t>
            </w:r>
            <w:r>
              <w:rPr>
                <w:rFonts w:hint="eastAsia" w:ascii="宋体" w:hAnsi="宋体" w:eastAsia="宋体" w:cs="宋体"/>
                <w:color w:val="231F20"/>
                <w:sz w:val="21"/>
                <w:szCs w:val="21"/>
                <w:highlight w:val="none"/>
                <w:u w:val="single" w:color="231F20"/>
              </w:rPr>
              <w:t>：</w:t>
            </w:r>
            <w:r>
              <w:rPr>
                <w:rFonts w:hint="eastAsia" w:ascii="宋体" w:hAnsi="宋体" w:eastAsia="宋体" w:cs="宋体"/>
                <w:color w:val="231F20"/>
                <w:sz w:val="21"/>
                <w:szCs w:val="21"/>
                <w:highlight w:val="none"/>
                <w:u w:val="single" w:color="231F20"/>
              </w:rPr>
              <w:tab/>
            </w:r>
          </w:p>
        </w:tc>
      </w:tr>
    </w:tbl>
    <w:p>
      <w:pPr>
        <w:pStyle w:val="6"/>
        <w:spacing w:line="360" w:lineRule="auto"/>
        <w:ind w:firstLine="420" w:firstLineChars="200"/>
        <w:rPr>
          <w:rFonts w:hint="eastAsia" w:ascii="宋体" w:hAnsi="宋体" w:eastAsia="宋体" w:cs="宋体"/>
          <w:sz w:val="21"/>
          <w:szCs w:val="21"/>
          <w:highlight w:val="none"/>
          <w:lang w:val="en-US" w:eastAsia="zh-CN"/>
        </w:rPr>
      </w:pPr>
    </w:p>
    <w:p>
      <w:pPr>
        <w:spacing w:line="360" w:lineRule="auto"/>
        <w:jc w:val="center"/>
        <w:rPr>
          <w:rFonts w:hint="eastAsia" w:ascii="宋体" w:hAnsi="宋体" w:eastAsia="宋体" w:cs="宋体"/>
          <w:b/>
          <w:sz w:val="21"/>
          <w:szCs w:val="21"/>
          <w:highlight w:val="none"/>
          <w:lang w:val="en-US" w:eastAsia="zh-CN"/>
        </w:rPr>
      </w:pPr>
      <w:r>
        <w:rPr>
          <w:rFonts w:hint="eastAsia" w:ascii="宋体" w:hAnsi="宋体" w:eastAsia="宋体" w:cs="宋体"/>
          <w:sz w:val="21"/>
          <w:szCs w:val="21"/>
          <w:highlight w:val="none"/>
        </w:rPr>
        <w:br w:type="page"/>
      </w:r>
      <w:r>
        <w:rPr>
          <w:rFonts w:hint="eastAsia" w:ascii="宋体" w:hAnsi="宋体" w:eastAsia="宋体" w:cs="宋体"/>
          <w:b/>
          <w:sz w:val="21"/>
          <w:szCs w:val="21"/>
          <w:highlight w:val="none"/>
          <w:lang w:val="en-US" w:eastAsia="zh-CN"/>
        </w:rPr>
        <w:t>第二部分  专用条款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第一条 数量和计量单位、计量方法</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bookmarkStart w:id="64" w:name="_Toc22423"/>
      <w:r>
        <w:rPr>
          <w:rFonts w:hint="eastAsia" w:ascii="宋体" w:hAnsi="宋体" w:eastAsia="宋体" w:cs="宋体"/>
          <w:color w:val="000000"/>
          <w:sz w:val="21"/>
          <w:szCs w:val="21"/>
          <w:highlight w:val="none"/>
          <w:lang w:val="en-US" w:eastAsia="zh-CN"/>
        </w:rPr>
        <w:t>1.1</w:t>
      </w:r>
      <w:r>
        <w:rPr>
          <w:rFonts w:hint="eastAsia" w:ascii="宋体" w:hAnsi="宋体" w:eastAsia="宋体" w:cs="宋体"/>
          <w:color w:val="000000"/>
          <w:sz w:val="21"/>
          <w:szCs w:val="21"/>
          <w:highlight w:val="none"/>
        </w:rPr>
        <w:t>数量：__</w:t>
      </w:r>
      <w:r>
        <w:rPr>
          <w:rFonts w:hint="eastAsia" w:ascii="宋体" w:hAnsi="宋体" w:eastAsia="宋体" w:cs="宋体"/>
          <w:color w:val="000000"/>
          <w:sz w:val="21"/>
          <w:szCs w:val="21"/>
          <w:highlight w:val="none"/>
          <w:u w:val="single"/>
          <w:lang w:val="en-US" w:eastAsia="zh-CN"/>
        </w:rPr>
        <w:t>见第一部分合同协议书1.1</w:t>
      </w:r>
      <w:r>
        <w:rPr>
          <w:rFonts w:hint="eastAsia" w:ascii="宋体" w:hAnsi="宋体" w:eastAsia="宋体" w:cs="宋体"/>
          <w:color w:val="000000"/>
          <w:sz w:val="21"/>
          <w:szCs w:val="21"/>
          <w:highlight w:val="none"/>
        </w:rPr>
        <w:t>__。</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FF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.2计量单位和方法：采用现场点</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数计量方式，经甲方指定签收人或甲方其它书面委托人验查后在乙方提供的《产品出仓单》上签字或盖章即为验收完毕，交货数量以甲方或甲方委托人签认的《产品出仓单》或《产品销售及运输费结算清单》的数量为准。</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.3交货数量的正负尾差、合理磅差和在途自然增（减）量规定及计算方法：_________。</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.4包装方式和包装品的处理：_________。</w:t>
      </w:r>
    </w:p>
    <w:bookmarkEnd w:id="64"/>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第二条 运输方式和交货地点</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运输方式：</w:t>
      </w:r>
      <w:r>
        <w:rPr>
          <w:rFonts w:hint="eastAsia" w:ascii="宋体" w:hAnsi="宋体" w:eastAsia="宋体" w:cs="宋体"/>
          <w:color w:val="000000"/>
          <w:sz w:val="21"/>
          <w:szCs w:val="21"/>
          <w:highlight w:val="none"/>
          <w:u w:val="single"/>
        </w:rPr>
        <w:t xml:space="preserve">     汽车运输       </w:t>
      </w:r>
      <w:r>
        <w:rPr>
          <w:rFonts w:hint="eastAsia" w:ascii="宋体" w:hAnsi="宋体" w:eastAsia="宋体" w:cs="宋体"/>
          <w:color w:val="000000"/>
          <w:sz w:val="21"/>
          <w:szCs w:val="21"/>
          <w:highlight w:val="none"/>
        </w:rPr>
        <w:t>。卸货由</w:t>
      </w:r>
      <w:r>
        <w:rPr>
          <w:rFonts w:hint="eastAsia" w:ascii="宋体" w:hAnsi="宋体" w:eastAsia="宋体" w:cs="宋体"/>
          <w:color w:val="000000"/>
          <w:sz w:val="21"/>
          <w:szCs w:val="21"/>
          <w:highlight w:val="none"/>
          <w:u w:val="single"/>
        </w:rPr>
        <w:t>_</w:t>
      </w:r>
      <w:r>
        <w:rPr>
          <w:rFonts w:hint="eastAsia" w:ascii="宋体" w:hAnsi="宋体" w:eastAsia="宋体" w:cs="宋体"/>
          <w:color w:val="000000"/>
          <w:sz w:val="21"/>
          <w:szCs w:val="21"/>
          <w:highlight w:val="none"/>
          <w:u w:val="single"/>
          <w:lang w:val="en-US" w:eastAsia="zh-CN"/>
        </w:rPr>
        <w:t>乙</w:t>
      </w:r>
      <w:r>
        <w:rPr>
          <w:rFonts w:hint="eastAsia" w:ascii="宋体" w:hAnsi="宋体" w:eastAsia="宋体" w:cs="宋体"/>
          <w:color w:val="000000"/>
          <w:sz w:val="21"/>
          <w:szCs w:val="21"/>
          <w:highlight w:val="none"/>
          <w:u w:val="single"/>
        </w:rPr>
        <w:t>_</w:t>
      </w:r>
      <w:r>
        <w:rPr>
          <w:rFonts w:hint="eastAsia" w:ascii="宋体" w:hAnsi="宋体" w:eastAsia="宋体" w:cs="宋体"/>
          <w:color w:val="000000"/>
          <w:sz w:val="21"/>
          <w:szCs w:val="21"/>
          <w:highlight w:val="none"/>
        </w:rPr>
        <w:t>_方负责，卸货费用由__</w:t>
      </w:r>
      <w:r>
        <w:rPr>
          <w:rFonts w:hint="eastAsia" w:ascii="宋体" w:hAnsi="宋体" w:eastAsia="宋体" w:cs="宋体"/>
          <w:color w:val="000000"/>
          <w:sz w:val="21"/>
          <w:szCs w:val="21"/>
          <w:highlight w:val="none"/>
          <w:lang w:val="en-US" w:eastAsia="zh-CN"/>
        </w:rPr>
        <w:t>乙</w:t>
      </w:r>
      <w:r>
        <w:rPr>
          <w:rFonts w:hint="eastAsia" w:ascii="宋体" w:hAnsi="宋体" w:eastAsia="宋体" w:cs="宋体"/>
          <w:color w:val="000000"/>
          <w:sz w:val="21"/>
          <w:szCs w:val="21"/>
          <w:highlight w:val="none"/>
        </w:rPr>
        <w:t>__方承担。</w:t>
      </w:r>
      <w:r>
        <w:rPr>
          <w:rFonts w:hint="eastAsia" w:ascii="宋体" w:hAnsi="宋体" w:eastAsia="宋体" w:cs="宋体"/>
          <w:color w:val="000000"/>
          <w:sz w:val="21"/>
          <w:szCs w:val="21"/>
          <w:highlight w:val="none"/>
          <w:lang w:val="en-US" w:eastAsia="zh-CN"/>
        </w:rPr>
        <w:t>卸货发生的一切安全事故、意外事故等责任由</w:t>
      </w:r>
      <w:r>
        <w:rPr>
          <w:rFonts w:hint="eastAsia" w:ascii="宋体" w:hAnsi="宋体" w:eastAsia="宋体" w:cs="宋体"/>
          <w:color w:val="000000"/>
          <w:sz w:val="21"/>
          <w:szCs w:val="21"/>
          <w:highlight w:val="none"/>
        </w:rPr>
        <w:t>_</w:t>
      </w:r>
      <w:r>
        <w:rPr>
          <w:rFonts w:hint="eastAsia" w:ascii="宋体" w:hAnsi="宋体" w:eastAsia="宋体" w:cs="宋体"/>
          <w:color w:val="000000"/>
          <w:sz w:val="21"/>
          <w:szCs w:val="21"/>
          <w:highlight w:val="none"/>
          <w:u w:val="single"/>
          <w:lang w:val="en-US" w:eastAsia="zh-CN"/>
        </w:rPr>
        <w:t>乙</w:t>
      </w:r>
      <w:r>
        <w:rPr>
          <w:rFonts w:hint="eastAsia" w:ascii="宋体" w:hAnsi="宋体" w:eastAsia="宋体" w:cs="宋体"/>
          <w:color w:val="000000"/>
          <w:sz w:val="21"/>
          <w:szCs w:val="21"/>
          <w:highlight w:val="none"/>
        </w:rPr>
        <w:t>_</w:t>
      </w:r>
      <w:r>
        <w:rPr>
          <w:rFonts w:hint="eastAsia" w:ascii="宋体" w:hAnsi="宋体" w:eastAsia="宋体" w:cs="宋体"/>
          <w:color w:val="000000"/>
          <w:sz w:val="21"/>
          <w:szCs w:val="21"/>
          <w:highlight w:val="none"/>
          <w:lang w:val="en-US" w:eastAsia="zh-CN"/>
        </w:rPr>
        <w:t>方承担。</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保 险：_________。</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FF0000"/>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货物附随单证的转移：_________。</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第三条 验收</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FF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.1.验收方式：_________。</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验收如发生争议，由_________检验机构按_________检验标准和方法，对产品进行检验。</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sz w:val="21"/>
          <w:szCs w:val="21"/>
          <w:highlight w:val="none"/>
        </w:rPr>
        <w:t>甲方指定</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负责货物的验收、签认；乙方指定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（身份证号：    ）负责货物的交验、签认。</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本合同约定货物的质保期为</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个月，自最后一批次供货验收合格之日起计算。</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第四条 价格与货款支付</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4F81BD"/>
          <w:sz w:val="21"/>
          <w:szCs w:val="21"/>
          <w:highlight w:val="none"/>
        </w:rPr>
      </w:pP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.1单价：_________；</w:t>
      </w:r>
      <w:r>
        <w:rPr>
          <w:rFonts w:hint="eastAsia" w:ascii="宋体" w:hAnsi="宋体" w:eastAsia="宋体" w:cs="宋体"/>
          <w:sz w:val="21"/>
          <w:szCs w:val="21"/>
          <w:highlight w:val="none"/>
        </w:rPr>
        <w:t>本合同暂定总价（含增值税）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元）。其中，不含税价款为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元），增值税税率为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%，增值税</w:t>
      </w:r>
      <w:r>
        <w:rPr>
          <w:rFonts w:hint="eastAsia" w:ascii="宋体" w:hAnsi="宋体" w:eastAsia="宋体" w:cs="宋体"/>
          <w:color w:val="000000"/>
          <w:sz w:val="21"/>
          <w:szCs w:val="21"/>
          <w:highlight w:val="none"/>
        </w:rPr>
        <w:t>_________</w:t>
      </w:r>
      <w:r>
        <w:rPr>
          <w:rFonts w:hint="eastAsia" w:ascii="宋体" w:hAnsi="宋体" w:eastAsia="宋体" w:cs="宋体"/>
          <w:sz w:val="21"/>
          <w:szCs w:val="21"/>
          <w:highlight w:val="none"/>
        </w:rPr>
        <w:t>元（大写：人民币</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元）。若因国家税务政策变化导致税率调整，不含增值税价格不变，具体税金以变更后的税率计算。</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szCs w:val="21"/>
          <w:highlight w:val="none"/>
          <w:lang w:val="en-US" w:eastAsia="zh-CN"/>
        </w:rPr>
      </w:pPr>
      <w:r>
        <w:rPr>
          <w:rFonts w:hint="eastAsia" w:ascii="宋体" w:hAnsi="宋体" w:eastAsia="宋体" w:cs="仿宋_GB2312"/>
          <w:szCs w:val="21"/>
          <w:highlight w:val="none"/>
          <w:lang w:val="en-US" w:eastAsia="zh-CN"/>
        </w:rPr>
        <w:t>结</w:t>
      </w:r>
      <w:r>
        <w:rPr>
          <w:rFonts w:hint="eastAsia" w:ascii="宋体" w:hAnsi="宋体" w:eastAsia="宋体" w:cs="仿宋_GB2312"/>
          <w:szCs w:val="21"/>
          <w:highlight w:val="none"/>
        </w:rPr>
        <w:t>算价格为乙方将货物运送至甲方指定地点</w:t>
      </w:r>
      <w:r>
        <w:rPr>
          <w:rFonts w:hint="eastAsia" w:ascii="宋体" w:hAnsi="宋体" w:eastAsia="宋体" w:cs="仿宋_GB2312"/>
          <w:szCs w:val="21"/>
          <w:highlight w:val="none"/>
          <w:lang w:val="en-US" w:eastAsia="zh-CN"/>
        </w:rPr>
        <w:t>包卸货的</w:t>
      </w:r>
      <w:r>
        <w:rPr>
          <w:rFonts w:hint="eastAsia" w:ascii="宋体" w:hAnsi="宋体" w:eastAsia="宋体" w:cs="仿宋_GB2312"/>
          <w:szCs w:val="21"/>
          <w:highlight w:val="none"/>
        </w:rPr>
        <w:t>综合价格，包含乙方成本、运输、装卸、检测、</w:t>
      </w:r>
      <w:r>
        <w:rPr>
          <w:rFonts w:hint="eastAsia" w:ascii="宋体" w:hAnsi="宋体" w:eastAsia="宋体" w:cs="仿宋_GB2312"/>
          <w:szCs w:val="21"/>
          <w:highlight w:val="none"/>
          <w:lang w:val="en-US" w:eastAsia="zh-CN"/>
        </w:rPr>
        <w:t>合理利润及</w:t>
      </w:r>
      <w:r>
        <w:rPr>
          <w:rFonts w:hint="eastAsia" w:ascii="宋体" w:hAnsi="宋体" w:eastAsia="宋体" w:cs="仿宋_GB2312"/>
          <w:szCs w:val="21"/>
          <w:highlight w:val="none"/>
        </w:rPr>
        <w:t>售后服务等为履行本合同义务所需的一切费用及承担的风险，甲方不再另行支付其他费用。</w:t>
      </w:r>
      <w:r>
        <w:rPr>
          <w:rFonts w:hint="eastAsia" w:ascii="宋体" w:hAnsi="宋体"/>
          <w:szCs w:val="21"/>
          <w:highlight w:val="none"/>
        </w:rPr>
        <w:t xml:space="preserve"> </w:t>
      </w:r>
      <w:r>
        <w:rPr>
          <w:rFonts w:hint="eastAsia" w:ascii="宋体" w:hAnsi="宋体" w:eastAsia="宋体" w:cs="宋体"/>
          <w:color w:val="000000"/>
          <w:sz w:val="21"/>
          <w:szCs w:val="21"/>
          <w:highlight w:val="none"/>
        </w:rPr>
        <w:t>此单价在合同履行期限内</w:t>
      </w:r>
      <w:r>
        <w:rPr>
          <w:rFonts w:hint="eastAsia" w:ascii="宋体" w:hAnsi="宋体" w:eastAsia="宋体" w:cs="宋体"/>
          <w:color w:val="000000"/>
          <w:sz w:val="21"/>
          <w:szCs w:val="21"/>
          <w:highlight w:val="none"/>
          <w:lang w:eastAsia="zh-CN"/>
        </w:rPr>
        <w:t>，</w:t>
      </w:r>
      <w:r>
        <w:rPr>
          <w:rFonts w:hint="eastAsia" w:ascii="宋体" w:hAnsi="宋体"/>
          <w:szCs w:val="21"/>
          <w:highlight w:val="none"/>
          <w:lang w:val="en-US" w:eastAsia="zh-CN"/>
        </w:rPr>
        <w:t>混凝土、干混砂浆、水泥及钢材按浮动单价结算，透水混凝土及轻质土执行固定单价结算。混凝土、干混砂浆、水泥及钢材价格 调整方式如下：</w:t>
      </w:r>
    </w:p>
    <w:p>
      <w:pPr>
        <w:adjustRightInd w:val="0"/>
        <w:snapToGrid w:val="0"/>
        <w:spacing w:line="360" w:lineRule="auto"/>
        <w:ind w:firstLine="422" w:firstLineChars="200"/>
        <w:rPr>
          <w:rFonts w:hint="eastAsia" w:ascii="宋体" w:hAnsi="宋体" w:eastAsia="宋体" w:cs="宋体"/>
          <w:b/>
          <w:bCs/>
          <w:szCs w:val="21"/>
          <w:highlight w:val="none"/>
          <w:lang w:val="en-US" w:eastAsia="zh-CN"/>
        </w:rPr>
      </w:pPr>
      <w:r>
        <w:rPr>
          <w:rFonts w:hint="default" w:ascii="宋体" w:hAnsi="宋体" w:eastAsia="宋体" w:cs="宋体"/>
          <w:b/>
          <w:bCs/>
          <w:szCs w:val="21"/>
          <w:highlight w:val="none"/>
          <w:lang w:eastAsia="zh-CN"/>
        </w:rPr>
        <w:t>①</w:t>
      </w:r>
      <w:r>
        <w:rPr>
          <w:rFonts w:hint="eastAsia" w:ascii="宋体" w:hAnsi="宋体" w:eastAsia="宋体" w:cs="宋体"/>
          <w:b/>
          <w:bCs/>
          <w:szCs w:val="21"/>
          <w:highlight w:val="none"/>
          <w:lang w:val="en-US" w:eastAsia="zh-CN"/>
        </w:rPr>
        <w:t>混凝土及干混砂浆：</w:t>
      </w:r>
    </w:p>
    <w:p>
      <w:pPr>
        <w:adjustRightInd w:val="0"/>
        <w:snapToGrid w:val="0"/>
        <w:spacing w:line="360" w:lineRule="auto"/>
        <w:ind w:firstLine="420" w:firstLineChars="200"/>
        <w:rPr>
          <w:rFonts w:hint="default" w:ascii="宋体" w:hAnsi="宋体" w:eastAsia="宋体" w:cs="宋体"/>
          <w:b w:val="0"/>
          <w:bCs w:val="0"/>
          <w:szCs w:val="21"/>
          <w:highlight w:val="none"/>
          <w:lang w:val="en-US" w:eastAsia="zh-CN"/>
        </w:rPr>
      </w:pPr>
      <w:r>
        <w:rPr>
          <w:rFonts w:hint="eastAsia" w:ascii="宋体" w:hAnsi="宋体" w:eastAsia="宋体" w:cs="宋体"/>
          <w:b w:val="0"/>
          <w:bCs w:val="0"/>
          <w:szCs w:val="21"/>
          <w:highlight w:val="none"/>
          <w:lang w:val="en-US" w:eastAsia="zh-CN"/>
        </w:rPr>
        <w:t>以供应月当期广州市建设工程造价管理站发布的广州市建设工程价格信息同强度等级标号混凝土税前综合价格“区间值均价”下浮</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%加</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%税作为相应材料结算价格。</w:t>
      </w:r>
    </w:p>
    <w:p>
      <w:pPr>
        <w:adjustRightInd w:val="0"/>
        <w:snapToGrid w:val="0"/>
        <w:spacing w:line="360" w:lineRule="auto"/>
        <w:ind w:firstLine="422" w:firstLineChars="200"/>
        <w:rPr>
          <w:rFonts w:hint="default"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②水泥：</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结算单价=网价+综合单价</w:t>
      </w:r>
      <w:r>
        <w:rPr>
          <w:rFonts w:ascii="宋体" w:hAnsi="宋体"/>
          <w:szCs w:val="21"/>
          <w:highlight w:val="none"/>
        </w:rPr>
        <w:t>X</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投标单价与结算单价关系的重点说明：</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虚拟网价：为便于计算总报价，招标人统一设定</w:t>
      </w:r>
      <w:r>
        <w:rPr>
          <w:rFonts w:hint="eastAsia" w:ascii="宋体" w:hAnsi="宋体"/>
          <w:b/>
          <w:bCs/>
          <w:szCs w:val="21"/>
          <w:highlight w:val="none"/>
        </w:rPr>
        <w:t>含税</w:t>
      </w:r>
      <w:r>
        <w:rPr>
          <w:rFonts w:hint="eastAsia" w:ascii="宋体" w:hAnsi="宋体"/>
          <w:b/>
          <w:szCs w:val="21"/>
          <w:highlight w:val="none"/>
        </w:rPr>
        <w:t>虚拟网价为3</w:t>
      </w:r>
      <w:r>
        <w:rPr>
          <w:rFonts w:hint="eastAsia" w:ascii="宋体" w:hAnsi="宋体"/>
          <w:b/>
          <w:szCs w:val="21"/>
          <w:highlight w:val="none"/>
          <w:lang w:val="en-US" w:eastAsia="zh-CN"/>
        </w:rPr>
        <w:t>55</w:t>
      </w:r>
      <w:r>
        <w:rPr>
          <w:rFonts w:hint="eastAsia" w:ascii="宋体" w:hAnsi="宋体"/>
          <w:b/>
          <w:szCs w:val="21"/>
          <w:highlight w:val="none"/>
        </w:rPr>
        <w:t>元/吨，</w:t>
      </w:r>
      <w:r>
        <w:rPr>
          <w:rFonts w:hint="eastAsia" w:ascii="宋体" w:hAnsi="宋体"/>
          <w:szCs w:val="21"/>
          <w:highlight w:val="none"/>
        </w:rPr>
        <w:t>虚拟网价仅作为投标报价表合计总价的计算依据，不作为将来中标后的合同结算依据。</w:t>
      </w:r>
    </w:p>
    <w:p>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X值：是指投标人根据网价，核定除网价外的出库费、综合运杂费、投标人让利等其他费用。</w:t>
      </w:r>
      <w:r>
        <w:rPr>
          <w:rFonts w:hint="eastAsia" w:ascii="宋体" w:hAnsi="宋体"/>
          <w:b/>
          <w:szCs w:val="21"/>
          <w:highlight w:val="none"/>
        </w:rPr>
        <w:t>X可以为正值、可以为0、也可以为负值，要求X在同一包件中报价为唯一固定值，不同品种、不同类型、不同规格的</w:t>
      </w:r>
      <w:r>
        <w:rPr>
          <w:rFonts w:hint="eastAsia" w:ascii="宋体" w:hAnsi="宋体"/>
          <w:b/>
          <w:szCs w:val="21"/>
          <w:highlight w:val="none"/>
          <w:lang w:val="en-US" w:eastAsia="zh-CN"/>
        </w:rPr>
        <w:t>水泥</w:t>
      </w:r>
      <w:r>
        <w:rPr>
          <w:rFonts w:hint="eastAsia" w:ascii="宋体" w:hAnsi="宋体"/>
          <w:b/>
          <w:szCs w:val="21"/>
          <w:highlight w:val="none"/>
        </w:rPr>
        <w:t>在本报价中为一个固定值，X值在合同履约过程中保持不变。</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网价的核定方法：</w:t>
      </w:r>
      <w:r>
        <w:rPr>
          <w:rFonts w:hint="eastAsia" w:ascii="宋体" w:hAnsi="宋体"/>
          <w:szCs w:val="21"/>
          <w:highlight w:val="none"/>
          <w:lang w:eastAsia="zh-CN"/>
        </w:rPr>
        <w:t>以</w:t>
      </w:r>
      <w:r>
        <w:rPr>
          <w:rFonts w:hint="eastAsia" w:ascii="宋体" w:hAnsi="宋体"/>
          <w:szCs w:val="21"/>
          <w:highlight w:val="none"/>
          <w:lang w:val="en-US" w:eastAsia="zh-CN"/>
        </w:rPr>
        <w:t>供应</w:t>
      </w:r>
      <w:r>
        <w:rPr>
          <w:rFonts w:hint="eastAsia" w:ascii="宋体" w:hAnsi="宋体"/>
          <w:szCs w:val="21"/>
          <w:highlight w:val="none"/>
          <w:lang w:eastAsia="zh-CN"/>
        </w:rPr>
        <w:t>当月“数字水泥网”全国水泥市场价格汇总表P.O42.5散装水泥的市场到位价广州地区上旬和下旬平均价</w:t>
      </w:r>
      <w:r>
        <w:rPr>
          <w:rFonts w:hint="eastAsia" w:ascii="宋体" w:hAnsi="宋体"/>
          <w:szCs w:val="21"/>
          <w:highlight w:val="none"/>
          <w:lang w:val="en-US" w:eastAsia="zh-CN"/>
        </w:rPr>
        <w:t>为对应采购水泥的结算网价</w:t>
      </w:r>
      <w:r>
        <w:rPr>
          <w:rFonts w:hint="eastAsia" w:ascii="宋体" w:hAnsi="宋体"/>
          <w:szCs w:val="21"/>
          <w:highlight w:val="none"/>
        </w:rPr>
        <w:t>。</w:t>
      </w:r>
    </w:p>
    <w:p>
      <w:pPr>
        <w:adjustRightInd w:val="0"/>
        <w:snapToGrid w:val="0"/>
        <w:spacing w:line="360" w:lineRule="auto"/>
        <w:ind w:firstLine="422" w:firstLineChars="200"/>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③钢材：</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结算单价=网价+综合单价</w:t>
      </w:r>
      <w:r>
        <w:rPr>
          <w:rFonts w:ascii="宋体" w:hAnsi="宋体"/>
          <w:szCs w:val="21"/>
          <w:highlight w:val="none"/>
        </w:rPr>
        <w:t>X</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投标单价与结算单价关系的重点说明：</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虚拟网价：为便于计算总报价，招标人统一设定</w:t>
      </w:r>
      <w:r>
        <w:rPr>
          <w:rFonts w:hint="eastAsia" w:ascii="宋体" w:hAnsi="宋体"/>
          <w:b/>
          <w:bCs/>
          <w:szCs w:val="21"/>
          <w:highlight w:val="none"/>
        </w:rPr>
        <w:t>含税</w:t>
      </w:r>
      <w:r>
        <w:rPr>
          <w:rFonts w:hint="eastAsia" w:ascii="宋体" w:hAnsi="宋体"/>
          <w:b/>
          <w:szCs w:val="21"/>
          <w:highlight w:val="none"/>
        </w:rPr>
        <w:t>虚拟网价为3</w:t>
      </w:r>
      <w:r>
        <w:rPr>
          <w:rFonts w:hint="eastAsia" w:ascii="宋体" w:hAnsi="宋体"/>
          <w:b/>
          <w:szCs w:val="21"/>
          <w:highlight w:val="none"/>
          <w:lang w:val="en-US" w:eastAsia="zh-CN"/>
        </w:rPr>
        <w:t>5</w:t>
      </w:r>
      <w:r>
        <w:rPr>
          <w:rFonts w:hint="eastAsia" w:ascii="宋体" w:hAnsi="宋体"/>
          <w:b/>
          <w:szCs w:val="21"/>
          <w:highlight w:val="none"/>
        </w:rPr>
        <w:t>00元/吨，</w:t>
      </w:r>
      <w:r>
        <w:rPr>
          <w:rFonts w:hint="eastAsia" w:ascii="宋体" w:hAnsi="宋体"/>
          <w:szCs w:val="21"/>
          <w:highlight w:val="none"/>
        </w:rPr>
        <w:t>虚拟网价仅作为投标报价表合计总价的计算依据，不作为将来中标后的合同结算依据。</w:t>
      </w:r>
    </w:p>
    <w:p>
      <w:pPr>
        <w:adjustRightInd w:val="0"/>
        <w:snapToGrid w:val="0"/>
        <w:spacing w:line="360" w:lineRule="auto"/>
        <w:ind w:firstLine="420" w:firstLineChars="200"/>
        <w:rPr>
          <w:rFonts w:ascii="宋体" w:hAnsi="宋体"/>
          <w:b/>
          <w:szCs w:val="21"/>
          <w:highlight w:val="none"/>
        </w:rPr>
      </w:pPr>
      <w:r>
        <w:rPr>
          <w:rFonts w:hint="eastAsia" w:ascii="宋体" w:hAnsi="宋体"/>
          <w:szCs w:val="21"/>
          <w:highlight w:val="none"/>
        </w:rPr>
        <w:t>X值：是指投标人根据网价，核定除网价外的出库费、综合运杂费、投标人让利等其他费用。</w:t>
      </w:r>
      <w:r>
        <w:rPr>
          <w:rFonts w:hint="eastAsia" w:ascii="宋体" w:hAnsi="宋体"/>
          <w:b/>
          <w:szCs w:val="21"/>
          <w:highlight w:val="none"/>
        </w:rPr>
        <w:t>X可以为正值、可以为0、也可以为负值，要求X在同一包件中报价为唯一固定值，不同品种、不同类型、不同规格的钢材在本报价中为一个固定值，X值在合同履约过程中保持不变。</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网价的核定方法：在供应期（上月2</w:t>
      </w:r>
      <w:r>
        <w:rPr>
          <w:rFonts w:ascii="宋体" w:hAnsi="宋体"/>
          <w:szCs w:val="21"/>
          <w:highlight w:val="none"/>
        </w:rPr>
        <w:t>1</w:t>
      </w:r>
      <w:r>
        <w:rPr>
          <w:rFonts w:hint="eastAsia" w:ascii="宋体" w:hAnsi="宋体"/>
          <w:szCs w:val="21"/>
          <w:highlight w:val="none"/>
        </w:rPr>
        <w:t>日至本月2</w:t>
      </w:r>
      <w:r>
        <w:rPr>
          <w:rFonts w:ascii="宋体" w:hAnsi="宋体"/>
          <w:szCs w:val="21"/>
          <w:highlight w:val="none"/>
        </w:rPr>
        <w:t>0</w:t>
      </w:r>
      <w:r>
        <w:rPr>
          <w:rFonts w:hint="eastAsia" w:ascii="宋体" w:hAnsi="宋体"/>
          <w:szCs w:val="21"/>
          <w:highlight w:val="none"/>
        </w:rPr>
        <w:t>日）内，以货到当日《我的钢铁网》（</w:t>
      </w:r>
      <w:r>
        <w:rPr>
          <w:rFonts w:ascii="宋体" w:hAnsi="宋体"/>
          <w:szCs w:val="21"/>
          <w:highlight w:val="none"/>
        </w:rPr>
        <w:t>www.mysteel.com</w:t>
      </w:r>
      <w:r>
        <w:rPr>
          <w:rFonts w:hint="eastAsia" w:ascii="宋体" w:hAnsi="宋体"/>
          <w:szCs w:val="21"/>
          <w:highlight w:val="none"/>
        </w:rPr>
        <w:t>）</w:t>
      </w:r>
      <w:r>
        <w:rPr>
          <w:rFonts w:hint="eastAsia" w:ascii="宋体" w:hAnsi="宋体"/>
          <w:szCs w:val="21"/>
          <w:highlight w:val="none"/>
          <w:lang w:val="en-US" w:eastAsia="zh-CN"/>
        </w:rPr>
        <w:t>广州</w:t>
      </w:r>
      <w:r>
        <w:rPr>
          <w:rFonts w:hint="eastAsia" w:ascii="宋体" w:hAnsi="宋体"/>
          <w:szCs w:val="21"/>
          <w:highlight w:val="none"/>
        </w:rPr>
        <w:t>建筑钢材价格行情公布的同品牌同规格型号网价为采购物资的网价，</w:t>
      </w:r>
      <w:r>
        <w:rPr>
          <w:rFonts w:hint="eastAsia" w:ascii="宋体" w:hAnsi="宋体" w:eastAsia="宋体" w:cs="仿宋_GB2312"/>
          <w:szCs w:val="21"/>
          <w:highlight w:val="none"/>
        </w:rPr>
        <w:t>备注栏有价格的执行备注栏价格</w:t>
      </w:r>
      <w:r>
        <w:rPr>
          <w:rFonts w:hint="eastAsia" w:ascii="宋体" w:hAnsi="宋体"/>
          <w:szCs w:val="21"/>
          <w:highlight w:val="none"/>
        </w:rPr>
        <w:t>。</w:t>
      </w:r>
    </w:p>
    <w:p>
      <w:pPr>
        <w:adjustRightInd w:val="0"/>
        <w:snapToGrid w:val="0"/>
        <w:spacing w:line="360" w:lineRule="auto"/>
        <w:ind w:firstLine="420" w:firstLineChars="200"/>
        <w:rPr>
          <w:rFonts w:ascii="宋体" w:hAnsi="宋体"/>
          <w:szCs w:val="21"/>
          <w:highlight w:val="none"/>
        </w:rPr>
      </w:pPr>
      <w:r>
        <w:rPr>
          <w:rFonts w:ascii="宋体" w:hAnsi="宋体"/>
          <w:szCs w:val="21"/>
          <w:highlight w:val="none"/>
        </w:rPr>
        <w:t>A.</w:t>
      </w:r>
      <w:r>
        <w:rPr>
          <w:rFonts w:hint="eastAsia" w:ascii="宋体" w:hAnsi="宋体"/>
          <w:szCs w:val="21"/>
          <w:highlight w:val="none"/>
        </w:rPr>
        <w:t>若货到当日《我的钢铁网》公布多次价格的，则取</w:t>
      </w:r>
      <w:r>
        <w:rPr>
          <w:rFonts w:hint="eastAsia" w:ascii="宋体" w:hAnsi="宋体"/>
          <w:szCs w:val="21"/>
          <w:highlight w:val="none"/>
          <w:lang w:val="en-US" w:eastAsia="zh-CN"/>
        </w:rPr>
        <w:t>第一次公布的价格</w:t>
      </w:r>
      <w:r>
        <w:rPr>
          <w:rFonts w:hint="eastAsia" w:ascii="宋体" w:hAnsi="宋体"/>
          <w:szCs w:val="21"/>
          <w:highlight w:val="none"/>
        </w:rPr>
        <w:t>为采购</w:t>
      </w:r>
      <w:r>
        <w:rPr>
          <w:rFonts w:hint="eastAsia" w:ascii="宋体" w:hAnsi="宋体"/>
          <w:szCs w:val="21"/>
          <w:highlight w:val="none"/>
          <w:lang w:val="en-US" w:eastAsia="zh-CN"/>
        </w:rPr>
        <w:t>钢材对应的</w:t>
      </w:r>
      <w:r>
        <w:rPr>
          <w:rFonts w:hint="eastAsia" w:ascii="宋体" w:hAnsi="宋体"/>
          <w:szCs w:val="21"/>
          <w:highlight w:val="none"/>
        </w:rPr>
        <w:t>网价；</w:t>
      </w:r>
    </w:p>
    <w:p>
      <w:pPr>
        <w:adjustRightInd w:val="0"/>
        <w:snapToGrid w:val="0"/>
        <w:spacing w:line="360" w:lineRule="auto"/>
        <w:ind w:firstLine="420" w:firstLineChars="200"/>
        <w:rPr>
          <w:rFonts w:ascii="宋体" w:hAnsi="宋体"/>
          <w:szCs w:val="21"/>
          <w:highlight w:val="none"/>
        </w:rPr>
      </w:pPr>
      <w:r>
        <w:rPr>
          <w:rFonts w:ascii="宋体" w:hAnsi="宋体"/>
          <w:szCs w:val="21"/>
          <w:highlight w:val="none"/>
        </w:rPr>
        <w:t>B.</w:t>
      </w:r>
      <w:r>
        <w:rPr>
          <w:rFonts w:hint="eastAsia" w:ascii="宋体" w:hAnsi="宋体"/>
          <w:szCs w:val="21"/>
          <w:highlight w:val="none"/>
        </w:rPr>
        <w:t>若货到当日为周末或国家法定节假日，《我的钢铁网》未公布市场价格，则以放假后第一天公布的网价为采购物资网价；</w:t>
      </w:r>
    </w:p>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C.若收货当日取值钢厂部分型号网上没有公布价格的，网价首先按照最接近的小规格价格进行计算，若无小规格参照最接近大规格价格计算；</w:t>
      </w:r>
    </w:p>
    <w:p>
      <w:pPr>
        <w:adjustRightInd w:val="0"/>
        <w:snapToGrid w:val="0"/>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仿宋_GB2312"/>
          <w:szCs w:val="21"/>
          <w:highlight w:val="none"/>
        </w:rPr>
        <w:t>D.</w:t>
      </w:r>
      <w:r>
        <w:rPr>
          <w:rFonts w:hint="eastAsia" w:ascii="宋体" w:hAnsi="宋体" w:cs="仿宋_GB2312"/>
          <w:szCs w:val="21"/>
          <w:highlight w:val="none"/>
          <w:lang w:val="en-US" w:eastAsia="zh-CN"/>
        </w:rPr>
        <w:t>若所送钢材品牌网上未公示价格的</w:t>
      </w:r>
      <w:r>
        <w:rPr>
          <w:rFonts w:hint="eastAsia" w:ascii="宋体" w:hAnsi="宋体" w:eastAsia="宋体" w:cs="仿宋_GB2312"/>
          <w:szCs w:val="21"/>
          <w:highlight w:val="none"/>
        </w:rPr>
        <w:t>，参照韶钢、湘钢、珠海粤钢</w:t>
      </w:r>
      <w:r>
        <w:rPr>
          <w:rFonts w:hint="eastAsia" w:ascii="宋体" w:hAnsi="宋体" w:eastAsia="宋体" w:cs="仿宋_GB2312"/>
          <w:szCs w:val="21"/>
          <w:highlight w:val="none"/>
          <w:lang w:val="en-US" w:eastAsia="zh-CN"/>
        </w:rPr>
        <w:t>对应规格型号的</w:t>
      </w:r>
      <w:r>
        <w:rPr>
          <w:rFonts w:hint="eastAsia" w:ascii="宋体" w:hAnsi="宋体" w:eastAsia="宋体" w:cs="仿宋_GB2312"/>
          <w:szCs w:val="21"/>
          <w:highlight w:val="none"/>
        </w:rPr>
        <w:t>平均</w:t>
      </w:r>
      <w:r>
        <w:rPr>
          <w:rFonts w:hint="eastAsia" w:ascii="宋体" w:hAnsi="宋体" w:eastAsia="宋体" w:cs="仿宋_GB2312"/>
          <w:szCs w:val="21"/>
          <w:highlight w:val="none"/>
          <w:lang w:val="en-US" w:eastAsia="zh-CN"/>
        </w:rPr>
        <w:t>网价</w:t>
      </w:r>
      <w:r>
        <w:rPr>
          <w:rFonts w:hint="eastAsia" w:ascii="宋体" w:hAnsi="宋体" w:eastAsia="宋体" w:cs="仿宋_GB2312"/>
          <w:szCs w:val="21"/>
          <w:highlight w:val="none"/>
        </w:rPr>
        <w:t>。</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000000"/>
          <w:kern w:val="0"/>
          <w:sz w:val="21"/>
          <w:szCs w:val="21"/>
          <w:highlight w:val="none"/>
        </w:rPr>
      </w:pP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.2上月</w:t>
      </w:r>
      <w:r>
        <w:rPr>
          <w:rFonts w:hint="eastAsia" w:ascii="宋体" w:hAnsi="宋体" w:eastAsia="宋体" w:cs="宋体"/>
          <w:bCs/>
          <w:color w:val="000000"/>
          <w:kern w:val="0"/>
          <w:sz w:val="21"/>
          <w:szCs w:val="21"/>
          <w:highlight w:val="none"/>
          <w:u w:val="single"/>
        </w:rPr>
        <w:t xml:space="preserve">   </w:t>
      </w:r>
      <w:r>
        <w:rPr>
          <w:rFonts w:hint="eastAsia" w:ascii="宋体" w:hAnsi="宋体" w:eastAsia="宋体" w:cs="宋体"/>
          <w:bCs/>
          <w:color w:val="000000"/>
          <w:kern w:val="0"/>
          <w:sz w:val="21"/>
          <w:szCs w:val="21"/>
          <w:highlight w:val="none"/>
        </w:rPr>
        <w:t>日至本月的</w:t>
      </w:r>
      <w:r>
        <w:rPr>
          <w:rFonts w:hint="eastAsia" w:ascii="宋体" w:hAnsi="宋体" w:eastAsia="宋体" w:cs="宋体"/>
          <w:bCs/>
          <w:color w:val="000000"/>
          <w:kern w:val="0"/>
          <w:sz w:val="21"/>
          <w:szCs w:val="21"/>
          <w:highlight w:val="none"/>
          <w:u w:val="single"/>
        </w:rPr>
        <w:t xml:space="preserve">   </w:t>
      </w:r>
      <w:r>
        <w:rPr>
          <w:rFonts w:hint="eastAsia" w:ascii="宋体" w:hAnsi="宋体" w:eastAsia="宋体" w:cs="宋体"/>
          <w:bCs/>
          <w:color w:val="000000"/>
          <w:kern w:val="0"/>
          <w:sz w:val="21"/>
          <w:szCs w:val="21"/>
          <w:highlight w:val="none"/>
        </w:rPr>
        <w:t>日为一个结算周期，当月</w:t>
      </w:r>
      <w:r>
        <w:rPr>
          <w:rFonts w:hint="eastAsia" w:ascii="宋体" w:hAnsi="宋体" w:eastAsia="宋体" w:cs="宋体"/>
          <w:bCs/>
          <w:color w:val="000000"/>
          <w:kern w:val="0"/>
          <w:sz w:val="21"/>
          <w:szCs w:val="21"/>
          <w:highlight w:val="none"/>
          <w:u w:val="single"/>
        </w:rPr>
        <w:t xml:space="preserve">   </w:t>
      </w:r>
      <w:r>
        <w:rPr>
          <w:rFonts w:hint="eastAsia" w:ascii="宋体" w:hAnsi="宋体" w:eastAsia="宋体" w:cs="宋体"/>
          <w:bCs/>
          <w:color w:val="000000"/>
          <w:kern w:val="0"/>
          <w:sz w:val="21"/>
          <w:szCs w:val="21"/>
          <w:highlight w:val="none"/>
        </w:rPr>
        <w:t>日为本月的结算截止日期。结算时根据甲方检验合格及双方共同签认的凭证计算当月实际收货数量，除此之外任何证明、收条、欠条、信函等文件，都不得作为结算、支付依据。</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000000"/>
          <w:kern w:val="0"/>
          <w:sz w:val="21"/>
          <w:szCs w:val="21"/>
          <w:highlight w:val="none"/>
        </w:rPr>
      </w:pPr>
      <w:r>
        <w:rPr>
          <w:rFonts w:hint="eastAsia" w:ascii="宋体" w:hAnsi="宋体" w:eastAsia="宋体" w:cs="宋体"/>
          <w:bCs/>
          <w:color w:val="000000"/>
          <w:kern w:val="0"/>
          <w:sz w:val="21"/>
          <w:szCs w:val="21"/>
          <w:highlight w:val="none"/>
          <w:lang w:val="en-US" w:eastAsia="zh-CN"/>
        </w:rPr>
        <w:t>4</w:t>
      </w:r>
      <w:r>
        <w:rPr>
          <w:rFonts w:hint="eastAsia" w:ascii="宋体" w:hAnsi="宋体" w:eastAsia="宋体" w:cs="宋体"/>
          <w:bCs/>
          <w:color w:val="000000"/>
          <w:kern w:val="0"/>
          <w:sz w:val="21"/>
          <w:szCs w:val="21"/>
          <w:highlight w:val="none"/>
        </w:rPr>
        <w:t>.4货款支付</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rPr>
        <w:t>先货后款：</w:t>
      </w:r>
      <w:r>
        <w:rPr>
          <w:rFonts w:hint="eastAsia" w:ascii="宋体" w:hAnsi="宋体" w:eastAsia="宋体" w:cs="宋体"/>
          <w:bCs/>
          <w:kern w:val="0"/>
          <w:sz w:val="21"/>
          <w:szCs w:val="21"/>
          <w:highlight w:val="none"/>
          <w:lang w:val="en-US" w:eastAsia="zh-CN"/>
        </w:rPr>
        <w:t>当月结算完成后，甲方在收到乙方开具的增值税专用发票后60日内，且收到业主支付当期工程款后，向乙方支付不高于当月结算金额的85%， 完成工程整体竣工结算评审且完成工程资料归档后最高支付比例提升至97%，甲方预留货款总价的3%作为质保金，在质保期满后1个月内无息支付，如发生纠纷，则延后至纠纷最终解决后30天内付清。质量保证金的支付并不免除乙方对交付货物质量的保证责任。</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.5货款支付方式：</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采</w:t>
      </w:r>
      <w:r>
        <w:rPr>
          <w:rFonts w:hint="eastAsia" w:ascii="宋体" w:hAnsi="宋体" w:eastAsia="宋体" w:cs="宋体"/>
          <w:color w:val="000000"/>
          <w:sz w:val="21"/>
          <w:szCs w:val="21"/>
          <w:highlight w:val="none"/>
          <w:u w:val="single"/>
        </w:rPr>
        <w:t>用银行转账、信用证或供应链金融（包括但不限于商业承兑汇票、银行承兑汇票、建行E信通、</w:t>
      </w:r>
      <w:r>
        <w:rPr>
          <w:rFonts w:hint="eastAsia" w:ascii="宋体" w:hAnsi="宋体" w:eastAsia="宋体" w:cs="宋体"/>
          <w:color w:val="000000"/>
          <w:sz w:val="21"/>
          <w:szCs w:val="21"/>
          <w:highlight w:val="none"/>
          <w:u w:val="single"/>
          <w:lang w:val="en-US" w:eastAsia="zh-CN"/>
        </w:rPr>
        <w:t>以物抵债</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邮储电子保理、应付账款反向保理等）方式支付。</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①若甲方采用商业承兑汇票支付，乙方须在甲方指定的银行开户办理商票贴现业务，甲方按实际贴现费用给予乙方补偿，若乙方持有到期或未在甲方指定的金融机构办理商票贴现业务，甲方以不高于指定金融机构当期利率为限给予乙方补偿；</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②若甲方采用银行承兑汇票支付，乙方须在甲方指定的银行办理贴现业务，甲方按实际贴现费用给予乙方补偿；若乙方持有到期或未在甲方指定的银行办理贴现业务，甲方以指定金融机构当期利率为限给予乙方补偿；</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③若甲方采用航信、云信支付，乙方须在甲方指定的银行办理贴现业务，甲方按实际贴现费用给予乙方补偿；若乙方持有到期或未在甲方指定的银行办理贴现业务，甲方以指定金融机构当期利率为限给予乙方补偿；</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④若甲方采用E信通支付，乙方须在甲方指定的银行办理贴现业务，甲方按实际贴现费用给予乙方补偿；若乙方持有到期或未在甲方指定的银行办理贴现业务，甲方以指定金融机构当期利率为限给予乙方补偿。如乙方不配合开户，导致资金拨付不到位的，与甲方无关。</w:t>
      </w:r>
    </w:p>
    <w:p>
      <w:pPr>
        <w:spacing w:line="360" w:lineRule="auto"/>
        <w:ind w:firstLine="420" w:firstLineChars="200"/>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⑤若甲方采用中铁E信支付，乙方须在甲方指定的银行办理贴现业务，甲方按实际贴现费用给予乙方补偿；若乙方持有到期或未在甲方指定的银行办理贴现业务，甲方以指定金融机构当期利率为限给予乙方补偿。如乙方不配合开户，导致资金拨付不到位的，与甲方无关。</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FF0000"/>
          <w:sz w:val="21"/>
          <w:szCs w:val="21"/>
          <w:highlight w:val="none"/>
        </w:rPr>
        <w:t xml:space="preserve"> </w:t>
      </w:r>
      <w:r>
        <w:rPr>
          <w:rFonts w:hint="eastAsia" w:ascii="宋体" w:hAnsi="宋体" w:eastAsia="宋体" w:cs="宋体"/>
          <w:sz w:val="21"/>
          <w:szCs w:val="21"/>
          <w:highlight w:val="none"/>
        </w:rPr>
        <w:t>乙方指定联系人</w:t>
      </w:r>
      <w:r>
        <w:rPr>
          <w:rFonts w:hint="eastAsia" w:ascii="宋体" w:hAnsi="宋体" w:eastAsia="宋体" w:cs="宋体"/>
          <w:sz w:val="21"/>
          <w:szCs w:val="21"/>
          <w:highlight w:val="none"/>
          <w:u w:val="single"/>
        </w:rPr>
        <w:t xml:space="preserve">          （身份证号：      ）</w:t>
      </w:r>
      <w:r>
        <w:rPr>
          <w:rFonts w:hint="eastAsia" w:ascii="宋体" w:hAnsi="宋体" w:eastAsia="宋体" w:cs="宋体"/>
          <w:sz w:val="21"/>
          <w:szCs w:val="21"/>
          <w:highlight w:val="none"/>
        </w:rPr>
        <w:t>，联系方式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kern w:val="0"/>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 xml:space="preserve">.6 </w:t>
      </w:r>
      <w:r>
        <w:rPr>
          <w:rFonts w:hint="eastAsia" w:ascii="宋体" w:hAnsi="宋体" w:eastAsia="宋体" w:cs="宋体"/>
          <w:bCs/>
          <w:kern w:val="0"/>
          <w:sz w:val="21"/>
          <w:szCs w:val="21"/>
          <w:highlight w:val="none"/>
        </w:rPr>
        <w:t>如甲方出现资金困难，乙方同意给予</w:t>
      </w:r>
      <w:r>
        <w:rPr>
          <w:rFonts w:hint="eastAsia" w:ascii="宋体" w:hAnsi="宋体" w:eastAsia="宋体" w:cs="宋体"/>
          <w:bCs/>
          <w:kern w:val="0"/>
          <w:sz w:val="21"/>
          <w:szCs w:val="21"/>
          <w:highlight w:val="none"/>
          <w:u w:val="single"/>
        </w:rPr>
        <w:t xml:space="preserve"> </w:t>
      </w:r>
      <w:r>
        <w:rPr>
          <w:rFonts w:hint="eastAsia" w:ascii="宋体" w:hAnsi="宋体" w:eastAsia="宋体" w:cs="宋体"/>
          <w:bCs/>
          <w:kern w:val="0"/>
          <w:sz w:val="21"/>
          <w:szCs w:val="21"/>
          <w:highlight w:val="none"/>
          <w:u w:val="single"/>
          <w:lang w:val="en-US" w:eastAsia="zh-CN"/>
        </w:rPr>
        <w:t xml:space="preserve">3 </w:t>
      </w:r>
      <w:r>
        <w:rPr>
          <w:rFonts w:hint="eastAsia" w:ascii="宋体" w:hAnsi="宋体" w:eastAsia="宋体" w:cs="宋体"/>
          <w:bCs/>
          <w:kern w:val="0"/>
          <w:sz w:val="21"/>
          <w:szCs w:val="21"/>
          <w:highlight w:val="none"/>
        </w:rPr>
        <w:t>个月的付款宽限期，在此宽期间内不视为甲方违约且不计息，乙方不得以此为由中断本项目的货物供应。</w:t>
      </w:r>
    </w:p>
    <w:p>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color w:val="000000"/>
          <w:kern w:val="0"/>
          <w:sz w:val="21"/>
          <w:szCs w:val="21"/>
          <w:highlight w:val="none"/>
          <w:lang w:val="en-US" w:eastAsia="zh-CN"/>
        </w:rPr>
      </w:pPr>
      <w:r>
        <w:rPr>
          <w:rFonts w:hint="eastAsia" w:ascii="宋体" w:hAnsi="宋体" w:eastAsia="宋体" w:cs="宋体"/>
          <w:bCs/>
          <w:color w:val="000000"/>
          <w:kern w:val="0"/>
          <w:sz w:val="21"/>
          <w:szCs w:val="21"/>
          <w:highlight w:val="none"/>
          <w:lang w:val="en-US" w:eastAsia="zh-CN"/>
        </w:rPr>
        <w:t>4.7 履约保证金</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4.7.1</w:t>
      </w:r>
      <w:r>
        <w:rPr>
          <w:rFonts w:hint="eastAsia" w:ascii="宋体" w:hAnsi="宋体" w:eastAsia="宋体" w:cs="宋体"/>
          <w:color w:val="000000"/>
          <w:sz w:val="21"/>
          <w:szCs w:val="21"/>
          <w:highlight w:val="none"/>
        </w:rPr>
        <w:t>履约保证金金额：</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伍万元整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4.7.2</w:t>
      </w:r>
      <w:r>
        <w:rPr>
          <w:rFonts w:hint="eastAsia" w:ascii="宋体" w:hAnsi="宋体" w:eastAsia="宋体" w:cs="宋体"/>
          <w:color w:val="000000"/>
          <w:sz w:val="21"/>
          <w:szCs w:val="21"/>
          <w:highlight w:val="none"/>
        </w:rPr>
        <w:t>.履约保证金形式：乙方应于签订本合同前以电汇现金或银行保函（优先选用银行保函）形式向甲方缴纳履约保证金，保函开具银行应为国有五大银行（中行、建行、工商、农业、交通银行）或国内上市股份制银行。</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4.7.3</w:t>
      </w:r>
      <w:r>
        <w:rPr>
          <w:rFonts w:hint="eastAsia" w:ascii="宋体" w:hAnsi="宋体" w:eastAsia="宋体" w:cs="宋体"/>
          <w:color w:val="000000"/>
          <w:sz w:val="21"/>
          <w:szCs w:val="21"/>
          <w:highlight w:val="none"/>
        </w:rPr>
        <w:t>合同执行过程中，由于乙方原因停止供货，甲方可另向市场其他商家采购,增加的采购成本，则采购成本从履约保证金中支出，直至支出完毕。</w:t>
      </w:r>
    </w:p>
    <w:p>
      <w:pPr>
        <w:spacing w:line="360" w:lineRule="auto"/>
        <w:ind w:firstLine="420" w:firstLineChars="200"/>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4.7.4履约保证金的退还时间：双方签订封账协议后1个月内无息支付。</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第五条 双方权利和义务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000000"/>
          <w:sz w:val="21"/>
          <w:szCs w:val="21"/>
          <w:highlight w:val="none"/>
          <w:u w:val="single"/>
          <w:lang w:val="en-US" w:eastAsia="zh-CN"/>
        </w:rPr>
      </w:pPr>
      <w:r>
        <w:rPr>
          <w:rFonts w:hint="eastAsia" w:ascii="宋体" w:hAnsi="宋体" w:eastAsia="宋体" w:cs="宋体"/>
          <w:color w:val="231F20"/>
          <w:sz w:val="21"/>
          <w:szCs w:val="21"/>
          <w:highlight w:val="none"/>
          <w:lang w:val="en-US" w:eastAsia="zh-CN"/>
        </w:rPr>
        <w:t xml:space="preserve">5.1 </w:t>
      </w:r>
      <w:r>
        <w:rPr>
          <w:rFonts w:hint="eastAsia" w:ascii="宋体" w:hAnsi="宋体" w:eastAsia="宋体" w:cs="宋体"/>
          <w:color w:val="231F20"/>
          <w:sz w:val="21"/>
          <w:szCs w:val="21"/>
          <w:highlight w:val="none"/>
        </w:rPr>
        <w:t>乙方对甲方相关人员提供技术培训，培训时间</w:t>
      </w:r>
      <w:r>
        <w:rPr>
          <w:rFonts w:hint="eastAsia" w:ascii="宋体" w:hAnsi="宋体" w:eastAsia="宋体" w:cs="宋体"/>
          <w:color w:val="231F20"/>
          <w:sz w:val="21"/>
          <w:szCs w:val="21"/>
          <w:highlight w:val="none"/>
          <w:lang w:val="en-US" w:eastAsia="zh-CN"/>
        </w:rPr>
        <w:t>为</w:t>
      </w:r>
      <w:r>
        <w:rPr>
          <w:rFonts w:hint="eastAsia" w:ascii="宋体" w:hAnsi="宋体" w:eastAsia="宋体" w:cs="宋体"/>
          <w:color w:val="000000"/>
          <w:sz w:val="21"/>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5.2关于双方权利义务的其他约定</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bookmarkStart w:id="65" w:name="_Toc21595"/>
      <w:bookmarkStart w:id="66" w:name="_Toc3278"/>
      <w:r>
        <w:rPr>
          <w:rFonts w:hint="eastAsia" w:ascii="宋体" w:hAnsi="宋体" w:eastAsia="宋体" w:cs="宋体"/>
          <w:b/>
          <w:sz w:val="21"/>
          <w:szCs w:val="21"/>
          <w:highlight w:val="none"/>
          <w:lang w:val="en-US" w:eastAsia="zh-CN"/>
        </w:rPr>
        <w:t>第六条 甲方违约责任</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6.1 </w:t>
      </w:r>
      <w:r>
        <w:rPr>
          <w:rFonts w:hint="eastAsia" w:ascii="宋体" w:hAnsi="宋体" w:eastAsia="宋体" w:cs="宋体"/>
          <w:color w:val="000000"/>
          <w:sz w:val="21"/>
          <w:szCs w:val="21"/>
          <w:highlight w:val="none"/>
        </w:rPr>
        <w:t>关于</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231F20"/>
          <w:sz w:val="21"/>
          <w:szCs w:val="21"/>
          <w:highlight w:val="none"/>
        </w:rPr>
        <w:t>违约</w:t>
      </w:r>
      <w:r>
        <w:rPr>
          <w:rFonts w:hint="eastAsia" w:ascii="宋体" w:hAnsi="宋体" w:eastAsia="宋体" w:cs="宋体"/>
          <w:color w:val="231F20"/>
          <w:sz w:val="21"/>
          <w:szCs w:val="21"/>
          <w:highlight w:val="none"/>
          <w:lang w:val="en-US" w:eastAsia="zh-CN"/>
        </w:rPr>
        <w:t>责任</w:t>
      </w:r>
      <w:r>
        <w:rPr>
          <w:rFonts w:hint="eastAsia" w:ascii="宋体" w:hAnsi="宋体" w:eastAsia="宋体" w:cs="宋体"/>
          <w:color w:val="000000"/>
          <w:sz w:val="21"/>
          <w:szCs w:val="21"/>
          <w:highlight w:val="none"/>
        </w:rPr>
        <w:t>的其他约定：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第七条 乙方的违约责任</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b/>
          <w:sz w:val="21"/>
          <w:szCs w:val="21"/>
          <w:highlight w:val="none"/>
          <w:lang w:val="en-US" w:eastAsia="zh-CN"/>
        </w:rPr>
      </w:pPr>
      <w:r>
        <w:rPr>
          <w:rFonts w:hint="eastAsia" w:ascii="宋体" w:hAnsi="宋体" w:eastAsia="宋体" w:cs="宋体"/>
          <w:color w:val="000000"/>
          <w:sz w:val="21"/>
          <w:szCs w:val="21"/>
          <w:highlight w:val="none"/>
          <w:lang w:val="en-US" w:eastAsia="zh-CN"/>
        </w:rPr>
        <w:t xml:space="preserve">7.1 </w:t>
      </w:r>
      <w:r>
        <w:rPr>
          <w:rFonts w:hint="eastAsia" w:ascii="宋体" w:hAnsi="宋体" w:eastAsia="宋体" w:cs="宋体"/>
          <w:color w:val="000000"/>
          <w:sz w:val="21"/>
          <w:szCs w:val="21"/>
          <w:highlight w:val="none"/>
        </w:rPr>
        <w:t>关于</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231F20"/>
          <w:sz w:val="21"/>
          <w:szCs w:val="21"/>
          <w:highlight w:val="none"/>
        </w:rPr>
        <w:t>违约</w:t>
      </w:r>
      <w:r>
        <w:rPr>
          <w:rFonts w:hint="eastAsia" w:ascii="宋体" w:hAnsi="宋体" w:eastAsia="宋体" w:cs="宋体"/>
          <w:color w:val="231F20"/>
          <w:sz w:val="21"/>
          <w:szCs w:val="21"/>
          <w:highlight w:val="none"/>
          <w:lang w:val="en-US" w:eastAsia="zh-CN"/>
        </w:rPr>
        <w:t>责任</w:t>
      </w:r>
      <w:r>
        <w:rPr>
          <w:rFonts w:hint="eastAsia" w:ascii="宋体" w:hAnsi="宋体" w:eastAsia="宋体" w:cs="宋体"/>
          <w:color w:val="000000"/>
          <w:sz w:val="21"/>
          <w:szCs w:val="21"/>
          <w:highlight w:val="none"/>
        </w:rPr>
        <w:t>的其他约定：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0"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第八条 不可抗力</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8.1 </w:t>
      </w:r>
      <w:r>
        <w:rPr>
          <w:rFonts w:hint="eastAsia" w:ascii="宋体" w:hAnsi="宋体" w:eastAsia="宋体" w:cs="宋体"/>
          <w:color w:val="000000"/>
          <w:sz w:val="21"/>
          <w:szCs w:val="21"/>
          <w:highlight w:val="none"/>
        </w:rPr>
        <w:t>关于</w:t>
      </w:r>
      <w:r>
        <w:rPr>
          <w:rFonts w:hint="eastAsia" w:ascii="宋体" w:hAnsi="宋体" w:eastAsia="宋体" w:cs="宋体"/>
          <w:color w:val="231F20"/>
          <w:sz w:val="21"/>
          <w:szCs w:val="21"/>
          <w:highlight w:val="none"/>
          <w:lang w:val="en-US" w:eastAsia="zh-CN"/>
        </w:rPr>
        <w:t>不可抗力</w:t>
      </w:r>
      <w:r>
        <w:rPr>
          <w:rFonts w:hint="eastAsia" w:ascii="宋体" w:hAnsi="宋体" w:eastAsia="宋体" w:cs="宋体"/>
          <w:color w:val="000000"/>
          <w:sz w:val="21"/>
          <w:szCs w:val="21"/>
          <w:highlight w:val="none"/>
        </w:rPr>
        <w:t>的其他约定：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bookmarkEnd w:id="65"/>
    <w:bookmarkEnd w:id="66"/>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第九条 争议解决</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9.1 </w:t>
      </w:r>
      <w:r>
        <w:rPr>
          <w:rFonts w:hint="eastAsia" w:ascii="宋体" w:hAnsi="宋体" w:eastAsia="宋体" w:cs="宋体"/>
          <w:color w:val="000000"/>
          <w:sz w:val="21"/>
          <w:szCs w:val="21"/>
          <w:highlight w:val="none"/>
        </w:rPr>
        <w:t>关于</w:t>
      </w:r>
      <w:r>
        <w:rPr>
          <w:rFonts w:hint="eastAsia" w:ascii="宋体" w:hAnsi="宋体" w:eastAsia="宋体" w:cs="宋体"/>
          <w:color w:val="231F20"/>
          <w:sz w:val="21"/>
          <w:szCs w:val="21"/>
          <w:highlight w:val="none"/>
          <w:lang w:val="en-US" w:eastAsia="zh-CN"/>
        </w:rPr>
        <w:t>争议解决</w:t>
      </w:r>
      <w:r>
        <w:rPr>
          <w:rFonts w:hint="eastAsia" w:ascii="宋体" w:hAnsi="宋体" w:eastAsia="宋体" w:cs="宋体"/>
          <w:color w:val="000000"/>
          <w:sz w:val="21"/>
          <w:szCs w:val="21"/>
          <w:highlight w:val="none"/>
        </w:rPr>
        <w:t>的其他约定：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第十条 廉政条款</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 xml:space="preserve">10.1 </w:t>
      </w:r>
      <w:r>
        <w:rPr>
          <w:rFonts w:hint="eastAsia" w:ascii="宋体" w:hAnsi="宋体" w:eastAsia="宋体" w:cs="宋体"/>
          <w:color w:val="000000"/>
          <w:sz w:val="21"/>
          <w:szCs w:val="21"/>
          <w:highlight w:val="none"/>
        </w:rPr>
        <w:t>关于</w:t>
      </w:r>
      <w:r>
        <w:rPr>
          <w:rFonts w:hint="eastAsia" w:ascii="宋体" w:hAnsi="宋体" w:eastAsia="宋体" w:cs="宋体"/>
          <w:color w:val="231F20"/>
          <w:sz w:val="21"/>
          <w:szCs w:val="21"/>
          <w:highlight w:val="none"/>
          <w:lang w:val="en-US" w:eastAsia="zh-CN"/>
        </w:rPr>
        <w:t>廉政条款</w:t>
      </w:r>
      <w:r>
        <w:rPr>
          <w:rFonts w:hint="eastAsia" w:ascii="宋体" w:hAnsi="宋体" w:eastAsia="宋体" w:cs="宋体"/>
          <w:color w:val="000000"/>
          <w:sz w:val="21"/>
          <w:szCs w:val="21"/>
          <w:highlight w:val="none"/>
        </w:rPr>
        <w:t>的其他约定：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第十一条 其他</w:t>
      </w:r>
    </w:p>
    <w:p>
      <w:pPr>
        <w:keepNext w:val="0"/>
        <w:keepLines w:val="0"/>
        <w:pageBreakBefore w:val="0"/>
        <w:widowControl/>
        <w:numPr>
          <w:ilvl w:val="1"/>
          <w:numId w:val="0"/>
        </w:numPr>
        <w:tabs>
          <w:tab w:val="left" w:pos="0"/>
        </w:tabs>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color w:val="000000"/>
          <w:sz w:val="21"/>
          <w:szCs w:val="21"/>
          <w:highlight w:val="none"/>
        </w:rPr>
      </w:pPr>
      <w:r>
        <w:rPr>
          <w:rFonts w:hint="eastAsia" w:ascii="宋体" w:hAnsi="宋体" w:eastAsia="宋体" w:cs="宋体"/>
          <w:color w:val="000000"/>
          <w:kern w:val="2"/>
          <w:sz w:val="21"/>
          <w:szCs w:val="21"/>
          <w:highlight w:val="none"/>
          <w:lang w:val="en-US" w:eastAsia="zh-CN" w:bidi="ar-SA"/>
        </w:rPr>
        <w:t>11.1</w:t>
      </w:r>
      <w:r>
        <w:rPr>
          <w:rFonts w:hint="eastAsia" w:ascii="宋体" w:hAnsi="宋体" w:eastAsia="宋体" w:cs="宋体"/>
          <w:color w:val="000000"/>
          <w:sz w:val="21"/>
          <w:szCs w:val="21"/>
          <w:highlight w:val="none"/>
        </w:rPr>
        <w:t>其他约定：</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无</w:t>
      </w:r>
      <w:r>
        <w:rPr>
          <w:rFonts w:hint="eastAsia" w:ascii="宋体" w:hAnsi="宋体" w:eastAsia="宋体" w:cs="宋体"/>
          <w:color w:val="000000"/>
          <w:sz w:val="21"/>
          <w:szCs w:val="21"/>
          <w:highlight w:val="none"/>
          <w:u w:val="single"/>
        </w:rPr>
        <w:t xml:space="preserve">  </w:t>
      </w:r>
    </w:p>
    <w:p>
      <w:pPr>
        <w:spacing w:line="360" w:lineRule="auto"/>
        <w:ind w:firstLine="420" w:firstLineChars="200"/>
        <w:rPr>
          <w:rFonts w:hint="eastAsia"/>
          <w:highlight w:val="none"/>
          <w:lang w:val="en-US" w:eastAsia="zh-CN"/>
        </w:rPr>
      </w:pPr>
      <w:r>
        <w:rPr>
          <w:rFonts w:hint="eastAsia"/>
          <w:highlight w:val="none"/>
          <w:lang w:val="en-US" w:eastAsia="zh-CN"/>
        </w:rPr>
        <w:t>附件一：中标通知书</w:t>
      </w:r>
    </w:p>
    <w:p>
      <w:pPr>
        <w:spacing w:line="360" w:lineRule="auto"/>
        <w:ind w:firstLine="420" w:firstLineChars="200"/>
        <w:rPr>
          <w:rFonts w:hint="eastAsia"/>
          <w:highlight w:val="none"/>
          <w:lang w:val="en-US" w:eastAsia="zh-CN"/>
        </w:rPr>
      </w:pPr>
      <w:r>
        <w:rPr>
          <w:rFonts w:hint="eastAsia"/>
          <w:highlight w:val="none"/>
          <w:lang w:val="en-US" w:eastAsia="zh-CN"/>
        </w:rPr>
        <w:t>附件二：先行内部投诉平台投诉的承诺书</w:t>
      </w:r>
    </w:p>
    <w:p>
      <w:pPr>
        <w:spacing w:line="360" w:lineRule="auto"/>
        <w:ind w:firstLine="420" w:firstLineChars="200"/>
        <w:rPr>
          <w:rFonts w:hint="eastAsia"/>
          <w:highlight w:val="none"/>
          <w:lang w:val="en-US" w:eastAsia="zh-CN"/>
        </w:rPr>
      </w:pPr>
      <w:r>
        <w:rPr>
          <w:rFonts w:hint="eastAsia"/>
          <w:highlight w:val="none"/>
          <w:lang w:val="en-US" w:eastAsia="zh-CN"/>
        </w:rPr>
        <w:t>附件三：声明书</w:t>
      </w: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spacing w:line="360" w:lineRule="auto"/>
        <w:ind w:firstLine="420" w:firstLineChars="200"/>
        <w:rPr>
          <w:rFonts w:hint="eastAsia"/>
          <w:highlight w:val="none"/>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Chars="0" w:firstLine="422" w:firstLineChars="200"/>
        <w:jc w:val="center"/>
        <w:textAlignment w:val="auto"/>
        <w:outlineLvl w:val="0"/>
        <w:rPr>
          <w:rFonts w:hint="eastAsia" w:ascii="宋体" w:hAnsi="宋体" w:eastAsia="宋体" w:cs="宋体"/>
          <w:b/>
          <w:sz w:val="21"/>
          <w:szCs w:val="21"/>
          <w:highlight w:val="none"/>
          <w:lang w:val="en-US"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leftChars="0" w:firstLine="422" w:firstLineChars="200"/>
        <w:jc w:val="center"/>
        <w:textAlignment w:val="auto"/>
        <w:outlineLvl w:val="0"/>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第三部分  通用条款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第一条 数量和计量单位、计量方法</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1.1</w:t>
      </w:r>
      <w:r>
        <w:rPr>
          <w:rFonts w:hint="eastAsia" w:ascii="宋体" w:hAnsi="宋体" w:eastAsia="宋体" w:cs="宋体"/>
          <w:color w:val="000000"/>
          <w:sz w:val="21"/>
          <w:szCs w:val="21"/>
          <w:highlight w:val="none"/>
        </w:rPr>
        <w:t>数量：</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。该数量为暂定数量，甲方可根据实际需要进行数量增减。甲方减少数量的，不属于违约；甲方增加数量的，乙方应按合同其他条款执行。</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包装方式和包装品的处理：</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。包装材料由乙方提供，包装费用由乙方承担。</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第二条 运输方式和交货地点</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2.1</w:t>
      </w:r>
      <w:r>
        <w:rPr>
          <w:rFonts w:hint="eastAsia" w:ascii="宋体" w:hAnsi="宋体" w:eastAsia="宋体" w:cs="宋体"/>
          <w:color w:val="000000"/>
          <w:sz w:val="21"/>
          <w:szCs w:val="21"/>
          <w:highlight w:val="none"/>
        </w:rPr>
        <w:t>交货时间：</w:t>
      </w:r>
      <w:r>
        <w:rPr>
          <w:rFonts w:hint="eastAsia" w:ascii="宋体" w:hAnsi="宋体" w:eastAsia="宋体" w:cs="宋体"/>
          <w:color w:val="000000"/>
          <w:sz w:val="21"/>
          <w:szCs w:val="21"/>
          <w:highlight w:val="none"/>
          <w:u w:val="single"/>
        </w:rPr>
        <w:t>每批次交货时间以甲方通知为准</w:t>
      </w:r>
      <w:r>
        <w:rPr>
          <w:rFonts w:hint="eastAsia" w:ascii="宋体" w:hAnsi="宋体" w:eastAsia="宋体" w:cs="宋体"/>
          <w:color w:val="000000"/>
          <w:sz w:val="21"/>
          <w:szCs w:val="21"/>
          <w:highlight w:val="none"/>
        </w:rPr>
        <w:t>。</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4F81BD"/>
          <w:sz w:val="21"/>
          <w:szCs w:val="21"/>
          <w:highlight w:val="none"/>
        </w:rPr>
      </w:pP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rPr>
        <w:t>.2交货地点：</w:t>
      </w:r>
      <w:r>
        <w:rPr>
          <w:rFonts w:hint="eastAsia" w:ascii="宋体" w:hAnsi="宋体" w:eastAsia="宋体" w:cs="宋体"/>
          <w:color w:val="000000"/>
          <w:sz w:val="21"/>
          <w:szCs w:val="21"/>
          <w:highlight w:val="none"/>
          <w:u w:val="single"/>
        </w:rPr>
        <w:t>由乙方负责运输至甲方指定地点交货</w:t>
      </w:r>
      <w:r>
        <w:rPr>
          <w:rFonts w:hint="eastAsia" w:ascii="宋体" w:hAnsi="宋体" w:eastAsia="宋体" w:cs="宋体"/>
          <w:color w:val="000000"/>
          <w:sz w:val="21"/>
          <w:szCs w:val="21"/>
          <w:highlight w:val="none"/>
        </w:rPr>
        <w:t>_。运输费用由乙方承担。</w:t>
      </w:r>
      <w:r>
        <w:rPr>
          <w:rFonts w:hint="eastAsia" w:ascii="宋体" w:hAnsi="宋体" w:eastAsia="宋体" w:cs="宋体"/>
          <w:sz w:val="21"/>
          <w:szCs w:val="21"/>
          <w:highlight w:val="none"/>
        </w:rPr>
        <w:t>货物验收合格交付前，货物的灭失、毁损风险由乙方承担。</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第三条 验收</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.1验收时间：货物运输至甲方指定地点后，双方在</w:t>
      </w:r>
      <w:r>
        <w:rPr>
          <w:rFonts w:hint="eastAsia" w:ascii="宋体" w:hAnsi="宋体" w:eastAsia="宋体" w:cs="宋体"/>
          <w:color w:val="000000"/>
          <w:sz w:val="21"/>
          <w:szCs w:val="21"/>
          <w:highlight w:val="none"/>
          <w:u w:val="single"/>
        </w:rPr>
        <w:t>24</w:t>
      </w:r>
      <w:r>
        <w:rPr>
          <w:rFonts w:hint="eastAsia" w:ascii="宋体" w:hAnsi="宋体" w:eastAsia="宋体" w:cs="宋体"/>
          <w:color w:val="000000"/>
          <w:sz w:val="21"/>
          <w:szCs w:val="21"/>
          <w:highlight w:val="none"/>
        </w:rPr>
        <w:t>小时内对品种、型号、规格、数量进行初步验收；如品种、型号、规格、数量不符合规定和合同约定的，甲方在验收完毕后的</w:t>
      </w:r>
      <w:r>
        <w:rPr>
          <w:rFonts w:hint="eastAsia" w:ascii="宋体" w:hAnsi="宋体" w:eastAsia="宋体" w:cs="宋体"/>
          <w:color w:val="000000"/>
          <w:sz w:val="21"/>
          <w:szCs w:val="21"/>
          <w:highlight w:val="none"/>
          <w:u w:val="single"/>
        </w:rPr>
        <w:t>2</w:t>
      </w:r>
      <w:r>
        <w:rPr>
          <w:rFonts w:hint="eastAsia" w:ascii="宋体" w:hAnsi="宋体" w:eastAsia="宋体" w:cs="宋体"/>
          <w:color w:val="000000"/>
          <w:sz w:val="21"/>
          <w:szCs w:val="21"/>
          <w:highlight w:val="none"/>
        </w:rPr>
        <w:t>日内向乙方提出异议和处理意见。对货物质量的异议不受时间限制，随时发现可以随时提出异议。乙方在收到甲方异议后，应在</w:t>
      </w:r>
      <w:r>
        <w:rPr>
          <w:rFonts w:hint="eastAsia" w:ascii="宋体" w:hAnsi="宋体" w:eastAsia="宋体" w:cs="宋体"/>
          <w:color w:val="000000"/>
          <w:sz w:val="21"/>
          <w:szCs w:val="21"/>
          <w:highlight w:val="none"/>
          <w:u w:val="single"/>
        </w:rPr>
        <w:t>2</w:t>
      </w:r>
      <w:r>
        <w:rPr>
          <w:rFonts w:hint="eastAsia" w:ascii="宋体" w:hAnsi="宋体" w:eastAsia="宋体" w:cs="宋体"/>
          <w:color w:val="000000"/>
          <w:sz w:val="21"/>
          <w:szCs w:val="21"/>
          <w:highlight w:val="none"/>
        </w:rPr>
        <w:t>日内负责处理；如果乙方逾期不予处理或收到异议通知后置之不理的，视为同意甲方提出的异议和处理意见，甲方有权将收到的货物自行处理，因此发生的费用和损失由乙方承担。</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.2验收方式：</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_。</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.3验收如发生争议，由</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检验机构按</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检验标准和方法，对产品进行检验。</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检测费用约定： 乙方声明在合同生效后，首次委外检测费用由乙方承担，若双方对后续检测结果有异议，再次委外检测结果不合格，检测费用由乙方承担，检测结果合格，检测费用由甲方承担。</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.4</w:t>
      </w:r>
      <w:r>
        <w:rPr>
          <w:rFonts w:hint="eastAsia" w:ascii="宋体" w:hAnsi="宋体" w:eastAsia="宋体" w:cs="宋体"/>
          <w:sz w:val="21"/>
          <w:szCs w:val="21"/>
          <w:highlight w:val="none"/>
        </w:rPr>
        <w:t>甲方指定</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sz w:val="21"/>
          <w:szCs w:val="21"/>
          <w:highlight w:val="none"/>
        </w:rPr>
        <w:t xml:space="preserve">负责货物的验收、签认；乙方指定 </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sz w:val="21"/>
          <w:szCs w:val="21"/>
          <w:highlight w:val="none"/>
        </w:rPr>
        <w:t>（身份证号：    ）负责货物的交验、签认。甲方指定的上述人员是甲方唯一的收货代表，其在乙方送货清单上签字，作为乙方货物已到现场的证明，指定人员以外其他人员的验收、签认，对另一方不发生效力。一方指定人员发生变化时，应当及时告知对方，并自书面通知到达对方时产生效力。送货清单（或相应票据）中事先印刷的相关备注文字（双方验收人员签署的备注内容除外）内容不构成合同文件的组成部分。</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甲方对货物的验收，并不视为免除乙方对产品质量和技术应负的责任。 </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.5本合同约定货物的质保期为</w:t>
      </w:r>
      <w:r>
        <w:rPr>
          <w:rFonts w:hint="eastAsia" w:ascii="宋体" w:hAnsi="宋体" w:eastAsia="宋体" w:cs="宋体"/>
          <w:color w:val="000000"/>
          <w:sz w:val="21"/>
          <w:szCs w:val="21"/>
          <w:highlight w:val="none"/>
          <w:u w:val="single"/>
          <w:lang w:val="en-US" w:eastAsia="zh-CN"/>
        </w:rPr>
        <w:t>见专用条款</w:t>
      </w:r>
      <w:r>
        <w:rPr>
          <w:rFonts w:hint="eastAsia" w:ascii="宋体" w:hAnsi="宋体" w:eastAsia="宋体" w:cs="宋体"/>
          <w:color w:val="000000"/>
          <w:sz w:val="21"/>
          <w:szCs w:val="21"/>
          <w:highlight w:val="none"/>
        </w:rPr>
        <w:t>个月，自最后一批次供货验收合格之日起计算。如果乙方对货物有另外承诺的质保期且与本合同约定不一致的，双方同意以期限较长的为准。</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甲方如发现产品的品种、型号、规格和数量等不符合规定和合同约定的，应自收到产品后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5</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日内向乙方提出异议和处理意见，乙方在接到甲方异议后，应在</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3</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日内按照甲方要求负责处理,否则即视为违约，且甲方有权自行处理收到的产品或重新进行采购，造成的损失由乙方自行承担。甲方对产品质量的异议不受该时间的限制，随时发现可随时提出异议和处理意见。</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在质保期内，因货物使用过程中出现任何问题影响到甲方正常使用的，乙方须在收到甲方通知后</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日内进行维修或更换，因此产生的费用由乙方承担。质保期满后，乙方接到甲方通知后</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5</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日内进行维修等服务，乙方可对甲方合理收费。</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第四条 价格与货款支付</w:t>
      </w:r>
    </w:p>
    <w:p>
      <w:pPr>
        <w:keepNext w:val="0"/>
        <w:keepLines w:val="0"/>
        <w:pageBreakBefore w:val="0"/>
        <w:widowControl w:val="0"/>
        <w:kinsoku/>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val="0"/>
          <w:sz w:val="21"/>
          <w:szCs w:val="21"/>
          <w:highlight w:val="none"/>
        </w:rPr>
      </w:pPr>
      <w:r>
        <w:rPr>
          <w:rFonts w:hint="eastAsia" w:ascii="宋体" w:hAnsi="宋体" w:eastAsia="宋体" w:cs="宋体"/>
          <w:b/>
          <w:bCs w:val="0"/>
          <w:color w:val="000000"/>
          <w:kern w:val="0"/>
          <w:sz w:val="21"/>
          <w:szCs w:val="21"/>
          <w:highlight w:val="none"/>
          <w:lang w:val="en-US" w:eastAsia="zh-CN"/>
        </w:rPr>
        <w:t>4.1</w:t>
      </w:r>
      <w:r>
        <w:rPr>
          <w:rFonts w:hint="eastAsia" w:ascii="宋体" w:hAnsi="宋体" w:eastAsia="宋体" w:cs="宋体"/>
          <w:b/>
          <w:bCs w:val="0"/>
          <w:sz w:val="21"/>
          <w:szCs w:val="21"/>
          <w:highlight w:val="none"/>
        </w:rPr>
        <w:t>双</w:t>
      </w:r>
      <w:r>
        <w:rPr>
          <w:rFonts w:hint="eastAsia" w:ascii="宋体" w:hAnsi="宋体" w:eastAsia="宋体" w:cs="宋体"/>
          <w:b/>
          <w:bCs w:val="0"/>
          <w:color w:val="000000"/>
          <w:sz w:val="21"/>
          <w:szCs w:val="21"/>
          <w:highlight w:val="none"/>
        </w:rPr>
        <w:t>方特别约定：遵循“先开票、后付款”的原则，甲方支付前，乙方应按双方确认的当期结算金</w:t>
      </w:r>
      <w:r>
        <w:rPr>
          <w:rFonts w:hint="eastAsia" w:ascii="宋体" w:hAnsi="宋体" w:eastAsia="宋体" w:cs="宋体"/>
          <w:b/>
          <w:bCs w:val="0"/>
          <w:sz w:val="21"/>
          <w:szCs w:val="21"/>
          <w:highlight w:val="none"/>
        </w:rPr>
        <w:t>额向甲方提供增值税专用发票，并于发票开具后</w:t>
      </w:r>
      <w:r>
        <w:rPr>
          <w:rFonts w:hint="eastAsia" w:ascii="宋体" w:hAnsi="宋体" w:eastAsia="宋体" w:cs="宋体"/>
          <w:b/>
          <w:bCs w:val="0"/>
          <w:sz w:val="21"/>
          <w:szCs w:val="21"/>
          <w:highlight w:val="none"/>
          <w:u w:val="single"/>
        </w:rPr>
        <w:t xml:space="preserve"> </w:t>
      </w:r>
      <w:r>
        <w:rPr>
          <w:rFonts w:hint="eastAsia" w:ascii="宋体" w:hAnsi="宋体" w:eastAsia="宋体" w:cs="宋体"/>
          <w:b/>
          <w:bCs w:val="0"/>
          <w:sz w:val="21"/>
          <w:szCs w:val="21"/>
          <w:highlight w:val="none"/>
          <w:u w:val="single"/>
          <w:lang w:val="en-US" w:eastAsia="zh-CN"/>
        </w:rPr>
        <w:t>15</w:t>
      </w:r>
      <w:r>
        <w:rPr>
          <w:rFonts w:hint="eastAsia" w:ascii="宋体" w:hAnsi="宋体" w:eastAsia="宋体" w:cs="宋体"/>
          <w:b/>
          <w:bCs w:val="0"/>
          <w:sz w:val="21"/>
          <w:szCs w:val="21"/>
          <w:highlight w:val="none"/>
          <w:u w:val="single"/>
        </w:rPr>
        <w:t xml:space="preserve"> </w:t>
      </w:r>
      <w:r>
        <w:rPr>
          <w:rFonts w:hint="eastAsia" w:ascii="宋体" w:hAnsi="宋体" w:eastAsia="宋体" w:cs="宋体"/>
          <w:b/>
          <w:bCs w:val="0"/>
          <w:sz w:val="21"/>
          <w:szCs w:val="21"/>
          <w:highlight w:val="none"/>
        </w:rPr>
        <w:t>日内提交给甲方。甲方收到乙方发票后，按合同约定向乙方付款。</w:t>
      </w:r>
      <w:r>
        <w:rPr>
          <w:rFonts w:hint="eastAsia" w:ascii="宋体" w:hAnsi="宋体" w:eastAsia="宋体" w:cs="宋体"/>
          <w:b/>
          <w:bCs w:val="0"/>
          <w:sz w:val="21"/>
          <w:szCs w:val="21"/>
          <w:highlight w:val="none"/>
          <w:lang w:val="en-US" w:eastAsia="zh-CN"/>
        </w:rPr>
        <w:t>过程中因特殊情况需要，甲方在乙方提供发票前先行支付款项的，不视为对本条款约定的变更。</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70C0"/>
          <w:sz w:val="21"/>
          <w:szCs w:val="21"/>
          <w:highlight w:val="none"/>
        </w:rPr>
      </w:pPr>
      <w:r>
        <w:rPr>
          <w:rFonts w:hint="eastAsia" w:ascii="宋体" w:hAnsi="宋体" w:eastAsia="宋体" w:cs="宋体"/>
          <w:color w:val="000000"/>
          <w:sz w:val="21"/>
          <w:szCs w:val="21"/>
          <w:highlight w:val="none"/>
        </w:rPr>
        <w:t>乙方开具增值税专用发票必须交甲方办理发票交接手续，无甲方经办人员签认，视为乙方未提供增值税专用发票，如发生增值税专用发票丢失，由乙方承担责任。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第五条 双方权利和义务</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5.1.</w:t>
      </w:r>
      <w:r>
        <w:rPr>
          <w:rFonts w:hint="eastAsia" w:ascii="宋体" w:hAnsi="宋体" w:eastAsia="宋体" w:cs="宋体"/>
          <w:b/>
          <w:bCs/>
          <w:sz w:val="21"/>
          <w:szCs w:val="21"/>
          <w:highlight w:val="none"/>
          <w:lang w:val="en-US" w:eastAsia="zh-CN"/>
        </w:rPr>
        <w:t>甲方的</w:t>
      </w:r>
      <w:r>
        <w:rPr>
          <w:rFonts w:hint="eastAsia" w:ascii="宋体" w:hAnsi="宋体" w:eastAsia="宋体" w:cs="宋体"/>
          <w:b/>
          <w:bCs/>
          <w:color w:val="231F20"/>
          <w:sz w:val="21"/>
          <w:szCs w:val="21"/>
          <w:highlight w:val="none"/>
          <w:lang w:val="en-US" w:eastAsia="zh-CN"/>
        </w:rPr>
        <w:t>权利</w:t>
      </w:r>
      <w:r>
        <w:rPr>
          <w:rFonts w:hint="eastAsia" w:ascii="宋体" w:hAnsi="宋体" w:eastAsia="宋体" w:cs="宋体"/>
          <w:b/>
          <w:bCs/>
          <w:sz w:val="21"/>
          <w:szCs w:val="21"/>
          <w:highlight w:val="none"/>
          <w:lang w:val="en-US" w:eastAsia="zh-CN"/>
        </w:rPr>
        <w:t>和义务</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lang w:val="en-US" w:eastAsia="zh-CN"/>
        </w:rPr>
      </w:pPr>
      <w:r>
        <w:rPr>
          <w:rFonts w:hint="eastAsia" w:ascii="宋体" w:hAnsi="宋体" w:eastAsia="宋体" w:cs="宋体"/>
          <w:color w:val="231F20"/>
          <w:kern w:val="2"/>
          <w:sz w:val="21"/>
          <w:szCs w:val="21"/>
          <w:highlight w:val="none"/>
          <w:lang w:val="en-US" w:eastAsia="zh-CN" w:bidi="ar-SA"/>
        </w:rPr>
        <w:t>5.1.1.</w:t>
      </w:r>
      <w:r>
        <w:rPr>
          <w:rFonts w:hint="eastAsia" w:ascii="宋体" w:hAnsi="宋体" w:eastAsia="宋体" w:cs="宋体"/>
          <w:color w:val="231F20"/>
          <w:sz w:val="21"/>
          <w:szCs w:val="21"/>
          <w:highlight w:val="none"/>
          <w:lang w:val="en-US" w:eastAsia="zh-CN"/>
        </w:rPr>
        <w:t>甲方负责提供供货计划和准确的交货地点。</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lang w:val="en-US" w:eastAsia="zh-CN"/>
        </w:rPr>
      </w:pPr>
      <w:r>
        <w:rPr>
          <w:rFonts w:hint="eastAsia" w:ascii="宋体" w:hAnsi="宋体" w:eastAsia="宋体" w:cs="宋体"/>
          <w:color w:val="231F20"/>
          <w:kern w:val="2"/>
          <w:sz w:val="21"/>
          <w:szCs w:val="21"/>
          <w:highlight w:val="none"/>
          <w:lang w:val="en-US" w:eastAsia="zh-CN" w:bidi="ar-SA"/>
        </w:rPr>
        <w:t>5.1.2.</w:t>
      </w:r>
      <w:r>
        <w:rPr>
          <w:rFonts w:hint="eastAsia" w:ascii="宋体" w:hAnsi="宋体" w:eastAsia="宋体" w:cs="宋体"/>
          <w:color w:val="231F20"/>
          <w:sz w:val="21"/>
          <w:szCs w:val="21"/>
          <w:highlight w:val="none"/>
          <w:lang w:val="en-US" w:eastAsia="zh-CN"/>
        </w:rPr>
        <w:t>按合同约定支付合同价款。</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lang w:val="en-US" w:eastAsia="zh-CN"/>
        </w:rPr>
      </w:pPr>
      <w:r>
        <w:rPr>
          <w:rFonts w:hint="eastAsia" w:ascii="宋体" w:hAnsi="宋体" w:eastAsia="宋体" w:cs="宋体"/>
          <w:color w:val="231F20"/>
          <w:kern w:val="2"/>
          <w:sz w:val="21"/>
          <w:szCs w:val="21"/>
          <w:highlight w:val="none"/>
          <w:lang w:val="en-US" w:eastAsia="zh-CN" w:bidi="ar-SA"/>
        </w:rPr>
        <w:t>5.1.3.</w:t>
      </w:r>
      <w:r>
        <w:rPr>
          <w:rFonts w:hint="eastAsia" w:ascii="宋体" w:hAnsi="宋体" w:eastAsia="宋体" w:cs="宋体"/>
          <w:color w:val="231F20"/>
          <w:sz w:val="21"/>
          <w:szCs w:val="21"/>
          <w:highlight w:val="none"/>
          <w:lang w:val="en-US" w:eastAsia="zh-CN"/>
        </w:rPr>
        <w:t>甲方不得无故拒绝接收供货计划范围内的货物。</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lang w:val="en-US" w:eastAsia="zh-CN"/>
        </w:rPr>
      </w:pPr>
      <w:r>
        <w:rPr>
          <w:rFonts w:hint="eastAsia" w:ascii="宋体" w:hAnsi="宋体" w:eastAsia="宋体" w:cs="宋体"/>
          <w:color w:val="231F20"/>
          <w:kern w:val="2"/>
          <w:sz w:val="21"/>
          <w:szCs w:val="21"/>
          <w:highlight w:val="none"/>
          <w:lang w:val="en-US" w:eastAsia="zh-CN" w:bidi="ar-SA"/>
        </w:rPr>
        <w:t>5.1.4.</w:t>
      </w:r>
      <w:r>
        <w:rPr>
          <w:rFonts w:hint="eastAsia" w:ascii="宋体" w:hAnsi="宋体" w:eastAsia="宋体" w:cs="宋体"/>
          <w:color w:val="231F20"/>
          <w:sz w:val="21"/>
          <w:szCs w:val="21"/>
          <w:highlight w:val="none"/>
          <w:lang w:val="en-US" w:eastAsia="zh-CN"/>
        </w:rPr>
        <w:t>按合同约定对货物进行检验和验收。</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lang w:val="en-US" w:eastAsia="zh-CN"/>
        </w:rPr>
      </w:pPr>
      <w:r>
        <w:rPr>
          <w:rFonts w:hint="eastAsia" w:ascii="宋体" w:hAnsi="宋体" w:eastAsia="宋体" w:cs="宋体"/>
          <w:color w:val="231F20"/>
          <w:kern w:val="2"/>
          <w:sz w:val="21"/>
          <w:szCs w:val="21"/>
          <w:highlight w:val="none"/>
          <w:lang w:val="en-US" w:eastAsia="zh-CN" w:bidi="ar-SA"/>
        </w:rPr>
        <w:t>5.1.5.</w:t>
      </w:r>
      <w:r>
        <w:rPr>
          <w:rFonts w:hint="eastAsia" w:ascii="宋体" w:hAnsi="宋体" w:eastAsia="宋体" w:cs="宋体"/>
          <w:color w:val="231F20"/>
          <w:sz w:val="21"/>
          <w:szCs w:val="21"/>
          <w:highlight w:val="none"/>
          <w:lang w:val="en-US" w:eastAsia="zh-CN"/>
        </w:rPr>
        <w:t>接受乙方提供的培训和保修服务。</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2" w:firstLineChars="200"/>
        <w:jc w:val="left"/>
        <w:textAlignment w:val="auto"/>
        <w:outlineLvl w:val="9"/>
        <w:rPr>
          <w:rFonts w:hint="eastAsia" w:ascii="宋体" w:hAnsi="宋体" w:eastAsia="宋体" w:cs="宋体"/>
          <w:b/>
          <w:bCs/>
          <w:sz w:val="21"/>
          <w:szCs w:val="21"/>
          <w:highlight w:val="none"/>
        </w:rPr>
      </w:pPr>
      <w:r>
        <w:rPr>
          <w:rFonts w:hint="eastAsia" w:ascii="宋体" w:hAnsi="宋体" w:eastAsia="宋体" w:cs="宋体"/>
          <w:b/>
          <w:bCs/>
          <w:kern w:val="2"/>
          <w:sz w:val="21"/>
          <w:szCs w:val="21"/>
          <w:highlight w:val="none"/>
          <w:lang w:val="en-US" w:eastAsia="zh-CN" w:bidi="ar-SA"/>
        </w:rPr>
        <w:t>5.2.</w:t>
      </w:r>
      <w:r>
        <w:rPr>
          <w:rFonts w:hint="eastAsia" w:ascii="宋体" w:hAnsi="宋体" w:eastAsia="宋体" w:cs="宋体"/>
          <w:b/>
          <w:bCs/>
          <w:sz w:val="21"/>
          <w:szCs w:val="21"/>
          <w:highlight w:val="none"/>
          <w:lang w:val="en-US" w:eastAsia="zh-CN"/>
        </w:rPr>
        <w:t>乙方的权利和义务</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5.2.1.</w:t>
      </w:r>
      <w:r>
        <w:rPr>
          <w:rFonts w:hint="eastAsia" w:ascii="宋体" w:hAnsi="宋体" w:eastAsia="宋体" w:cs="宋体"/>
          <w:color w:val="231F20"/>
          <w:sz w:val="21"/>
          <w:szCs w:val="21"/>
          <w:highlight w:val="none"/>
        </w:rPr>
        <w:t>按合同约定的技术标准和质量要求供应货物；同时乙方应考虑甲方的施工特点，精心组织、配备足够的运输能力和必要的储存场地以保证甲方需要。</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5.2.2.</w:t>
      </w:r>
      <w:r>
        <w:rPr>
          <w:rFonts w:hint="eastAsia" w:ascii="宋体" w:hAnsi="宋体" w:eastAsia="宋体" w:cs="宋体"/>
          <w:color w:val="231F20"/>
          <w:sz w:val="21"/>
          <w:szCs w:val="21"/>
          <w:highlight w:val="none"/>
        </w:rPr>
        <w:t>及时向甲方提供货物合格证书及甲方要求的其它相关资料。</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5.2.3.</w:t>
      </w:r>
      <w:r>
        <w:rPr>
          <w:rFonts w:hint="eastAsia" w:ascii="宋体" w:hAnsi="宋体" w:eastAsia="宋体" w:cs="宋体"/>
          <w:color w:val="231F20"/>
          <w:sz w:val="21"/>
          <w:szCs w:val="21"/>
          <w:highlight w:val="none"/>
        </w:rPr>
        <w:t>乙方与第三方发生的任何经济往来和债务纠纷均与甲方无关，乙方保证货物无权属上的瑕疵、无知识产权争议，如给甲方造成的任何损失均由乙方承担。</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5.2.4.</w:t>
      </w:r>
      <w:r>
        <w:rPr>
          <w:rFonts w:hint="eastAsia" w:ascii="宋体" w:hAnsi="宋体" w:eastAsia="宋体" w:cs="宋体"/>
          <w:color w:val="231F20"/>
          <w:sz w:val="21"/>
          <w:szCs w:val="21"/>
          <w:highlight w:val="none"/>
        </w:rPr>
        <w:t>乙方对甲方相关人员提供技术培训，培训时间</w:t>
      </w:r>
      <w:r>
        <w:rPr>
          <w:rFonts w:hint="eastAsia" w:ascii="宋体" w:hAnsi="宋体" w:eastAsia="宋体" w:cs="宋体"/>
          <w:color w:val="231F20"/>
          <w:sz w:val="21"/>
          <w:szCs w:val="21"/>
          <w:highlight w:val="none"/>
          <w:lang w:val="en-US" w:eastAsia="zh-CN"/>
        </w:rPr>
        <w:t>为</w:t>
      </w:r>
      <w:r>
        <w:rPr>
          <w:rFonts w:hint="eastAsia" w:ascii="宋体" w:hAnsi="宋体" w:eastAsia="宋体" w:cs="宋体"/>
          <w:color w:val="000000"/>
          <w:sz w:val="21"/>
          <w:szCs w:val="21"/>
          <w:highlight w:val="none"/>
          <w:u w:val="single"/>
          <w:lang w:val="en-US" w:eastAsia="zh-CN"/>
        </w:rPr>
        <w:t xml:space="preserve">   见专用条款    </w:t>
      </w:r>
      <w:r>
        <w:rPr>
          <w:rFonts w:hint="eastAsia" w:ascii="宋体" w:hAnsi="宋体" w:eastAsia="宋体" w:cs="宋体"/>
          <w:color w:val="231F20"/>
          <w:sz w:val="21"/>
          <w:szCs w:val="21"/>
          <w:highlight w:val="none"/>
        </w:rPr>
        <w:t>；培训内容包括货物安装、调试、操作、维护保养、故障处理等。培训费用已包含在本合同价款中，乙方不再另行收取。</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5.2.5.</w:t>
      </w:r>
      <w:r>
        <w:rPr>
          <w:rFonts w:hint="eastAsia" w:ascii="宋体" w:hAnsi="宋体" w:eastAsia="宋体" w:cs="宋体"/>
          <w:color w:val="231F20"/>
          <w:sz w:val="21"/>
          <w:szCs w:val="21"/>
          <w:highlight w:val="none"/>
        </w:rPr>
        <w:t>乙方积极协助甲方在税法规定期限内办理有关的进项税额的认证申办手续。乙方开具的增值税专用发票在送达甲方后如发生丢失、灭失，乙方应按照税法规定和甲方的要求及时向甲方提供该发票的存根联复印件，以及乙方所在地主管税务机关开具的《丢失增值税发票（专用发票/普通发票）已报税证明单》，如因乙方拒绝履行配合义务，造成甲方经济损失的，应由乙方承担。</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color w:val="231F20"/>
          <w:sz w:val="21"/>
          <w:szCs w:val="21"/>
          <w:highlight w:val="none"/>
        </w:rPr>
      </w:pPr>
      <w:r>
        <w:rPr>
          <w:rFonts w:hint="eastAsia" w:ascii="宋体" w:hAnsi="宋体" w:eastAsia="宋体" w:cs="宋体"/>
          <w:color w:val="231F20"/>
          <w:kern w:val="2"/>
          <w:sz w:val="21"/>
          <w:szCs w:val="21"/>
          <w:highlight w:val="none"/>
          <w:lang w:val="en-US" w:eastAsia="zh-CN" w:bidi="ar-SA"/>
        </w:rPr>
        <w:t>5.2.6.</w:t>
      </w:r>
      <w:r>
        <w:rPr>
          <w:rFonts w:hint="eastAsia" w:ascii="宋体" w:hAnsi="宋体" w:eastAsia="宋体" w:cs="宋体"/>
          <w:color w:val="231F20"/>
          <w:sz w:val="21"/>
          <w:szCs w:val="21"/>
          <w:highlight w:val="none"/>
        </w:rPr>
        <w:t>在涉及到货物质量问题的退货行为时,如果退货行为涉及到开具红字增值税专用发票的行为,乙方应当履行相关协助义务。</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5.2.7.</w:t>
      </w:r>
      <w:r>
        <w:rPr>
          <w:rFonts w:hint="eastAsia" w:ascii="宋体" w:hAnsi="宋体" w:eastAsia="宋体" w:cs="宋体"/>
          <w:color w:val="231F20"/>
          <w:sz w:val="21"/>
          <w:szCs w:val="21"/>
          <w:highlight w:val="none"/>
        </w:rPr>
        <w:t>在本合同发生变更涉及增值税专用发票记载项目发生变化时，如果甲方取得增值税专用发票尚未认证抵扣,乙方应于专用发票认证期限内办理红字增值税专用发票开具申请，并重新开具增值税专用发票。如果原增值税专用发票已经抵扣，乙方就合同增加的金额补开增值税专用发票，就减少的金额甲方负责办理红字增值税专用发票开具申请，乙方开具红字增值税专用发票。</w:t>
      </w:r>
    </w:p>
    <w:p>
      <w:pPr>
        <w:pStyle w:val="18"/>
        <w:keepNext w:val="0"/>
        <w:keepLines w:val="0"/>
        <w:pageBreakBefore w:val="0"/>
        <w:widowControl w:val="0"/>
        <w:numPr>
          <w:ilvl w:val="2"/>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0" w:firstLineChars="200"/>
        <w:jc w:val="left"/>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5.2.8.</w:t>
      </w:r>
      <w:r>
        <w:rPr>
          <w:rFonts w:hint="eastAsia" w:ascii="宋体" w:hAnsi="宋体" w:eastAsia="宋体" w:cs="宋体"/>
          <w:sz w:val="21"/>
          <w:szCs w:val="21"/>
          <w:highlight w:val="none"/>
        </w:rPr>
        <w:t>甲方已通过ISOGB/T9000-2016、GB/T24001-2016、GB/T28001-2011即质量、环境和职业健康安全认证，乙方应无条件遵守甲方有关此方面的规定及相应国家、地方政府的规章制度。</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第六条 甲方违约责任</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.1甲方无故拒绝接受货物的，应承担因此给乙方造成的损失。</w:t>
      </w:r>
    </w:p>
    <w:p>
      <w:pPr>
        <w:keepNext w:val="0"/>
        <w:keepLines w:val="0"/>
        <w:pageBreakBefore w:val="0"/>
        <w:widowControl w:val="0"/>
        <w:kinsoku/>
        <w:overflowPunct/>
        <w:topLinePunct w:val="0"/>
        <w:autoSpaceDE/>
        <w:autoSpaceDN/>
        <w:bidi w:val="0"/>
        <w:adjustRightInd/>
        <w:snapToGrid/>
        <w:spacing w:line="360" w:lineRule="auto"/>
        <w:ind w:leftChars="0" w:firstLine="430" w:firstLineChars="200"/>
        <w:textAlignment w:val="auto"/>
        <w:rPr>
          <w:rFonts w:hint="eastAsia" w:ascii="宋体" w:hAnsi="宋体" w:eastAsia="宋体" w:cs="宋体"/>
          <w:b/>
          <w:bCs/>
          <w:color w:val="auto"/>
          <w:spacing w:val="2"/>
          <w:sz w:val="21"/>
          <w:szCs w:val="21"/>
          <w:highlight w:val="none"/>
          <w:u w:val="none"/>
        </w:rPr>
      </w:pPr>
      <w:r>
        <w:rPr>
          <w:rFonts w:hint="eastAsia" w:ascii="宋体" w:hAnsi="宋体" w:eastAsia="宋体" w:cs="宋体"/>
          <w:b/>
          <w:bCs/>
          <w:color w:val="auto"/>
          <w:spacing w:val="2"/>
          <w:sz w:val="21"/>
          <w:szCs w:val="21"/>
          <w:highlight w:val="none"/>
          <w:u w:val="none"/>
          <w:lang w:val="en-US" w:eastAsia="zh-CN"/>
        </w:rPr>
        <w:t>6</w:t>
      </w:r>
      <w:r>
        <w:rPr>
          <w:rFonts w:hint="eastAsia" w:ascii="宋体" w:hAnsi="宋体" w:eastAsia="宋体" w:cs="宋体"/>
          <w:b/>
          <w:bCs/>
          <w:color w:val="auto"/>
          <w:spacing w:val="2"/>
          <w:sz w:val="21"/>
          <w:szCs w:val="21"/>
          <w:highlight w:val="none"/>
          <w:u w:val="none"/>
        </w:rPr>
        <w:t>.</w:t>
      </w:r>
      <w:r>
        <w:rPr>
          <w:rFonts w:hint="eastAsia" w:ascii="宋体" w:hAnsi="宋体" w:eastAsia="宋体" w:cs="宋体"/>
          <w:b/>
          <w:bCs/>
          <w:color w:val="auto"/>
          <w:spacing w:val="2"/>
          <w:sz w:val="21"/>
          <w:szCs w:val="21"/>
          <w:highlight w:val="none"/>
          <w:u w:val="none"/>
          <w:lang w:val="en-US" w:eastAsia="zh-CN"/>
        </w:rPr>
        <w:t>2</w:t>
      </w:r>
      <w:r>
        <w:rPr>
          <w:rFonts w:hint="eastAsia" w:ascii="宋体" w:hAnsi="宋体" w:eastAsia="宋体" w:cs="宋体"/>
          <w:b/>
          <w:bCs/>
          <w:color w:val="auto"/>
          <w:spacing w:val="2"/>
          <w:sz w:val="21"/>
          <w:szCs w:val="21"/>
          <w:highlight w:val="none"/>
          <w:u w:val="none"/>
        </w:rPr>
        <w:t>甲方在宽限期后，仍逾期支付货款的（乙方未履行向甲方开具增值税专用发票等合同约定的义务除外），甲方对逾期付款部分从宽限期满的次日起向乙方支付资金占用费。资金占用费按合同订立时一年期贷款市场报价利率计算，计算的基数以甲方最后一笔付款时剩余欠款金额为准，不包括前期逾期但现已支付部分的货款，资金占用费最高不得超过本合同项下双方结算价款（不含增值税）的1%。资金占用费由乙方以“价外费”的形式开具发票。除此之外，甲方不再承担其他任何违约责任。</w:t>
      </w:r>
    </w:p>
    <w:p>
      <w:pPr>
        <w:keepNext w:val="0"/>
        <w:keepLines w:val="0"/>
        <w:pageBreakBefore w:val="0"/>
        <w:widowControl w:val="0"/>
        <w:kinsoku/>
        <w:overflowPunct/>
        <w:topLinePunct w:val="0"/>
        <w:autoSpaceDE/>
        <w:autoSpaceDN/>
        <w:bidi w:val="0"/>
        <w:adjustRightInd/>
        <w:snapToGrid/>
        <w:spacing w:line="360" w:lineRule="auto"/>
        <w:ind w:leftChars="0" w:firstLine="430" w:firstLineChars="200"/>
        <w:textAlignment w:val="auto"/>
        <w:rPr>
          <w:rFonts w:hint="eastAsia" w:ascii="宋体" w:hAnsi="宋体" w:eastAsia="宋体" w:cs="宋体"/>
          <w:sz w:val="21"/>
          <w:szCs w:val="21"/>
          <w:highlight w:val="none"/>
          <w:u w:val="none"/>
        </w:rPr>
      </w:pPr>
      <w:r>
        <w:rPr>
          <w:rFonts w:hint="eastAsia" w:ascii="宋体" w:hAnsi="宋体" w:eastAsia="宋体" w:cs="宋体"/>
          <w:b/>
          <w:bCs/>
          <w:color w:val="auto"/>
          <w:spacing w:val="2"/>
          <w:sz w:val="21"/>
          <w:szCs w:val="21"/>
          <w:highlight w:val="none"/>
          <w:u w:val="none"/>
        </w:rPr>
        <w:t>乙方充分认识到建设工程承包、分包的风险，充分理解甲方收款的困难，乙方完全自愿接受本条款约定，不存在显失公平。除此之外，甲方不再承担其他任何违约责任。乙方充分认识到建设工程</w:t>
      </w:r>
      <w:r>
        <w:rPr>
          <w:rFonts w:hint="eastAsia" w:ascii="宋体" w:hAnsi="宋体" w:eastAsia="宋体" w:cs="宋体"/>
          <w:b/>
          <w:bCs/>
          <w:color w:val="auto"/>
          <w:spacing w:val="2"/>
          <w:sz w:val="21"/>
          <w:szCs w:val="21"/>
          <w:highlight w:val="none"/>
          <w:u w:val="none"/>
          <w:lang w:val="en-US" w:eastAsia="zh-CN"/>
        </w:rPr>
        <w:t>项目</w:t>
      </w:r>
      <w:r>
        <w:rPr>
          <w:rFonts w:hint="eastAsia" w:ascii="宋体" w:hAnsi="宋体" w:eastAsia="宋体" w:cs="宋体"/>
          <w:b/>
          <w:bCs/>
          <w:color w:val="auto"/>
          <w:spacing w:val="2"/>
          <w:sz w:val="21"/>
          <w:szCs w:val="21"/>
          <w:highlight w:val="none"/>
          <w:u w:val="none"/>
        </w:rPr>
        <w:t>的风险，充分理解甲方收款的困难，乙方完全自愿接受本条款约定，不存在显失公平。</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第七条 乙方的违约责任</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.1乙方不能交货的，向甲方偿付不能交货部分货款</w:t>
      </w:r>
      <w:r>
        <w:rPr>
          <w:rFonts w:hint="eastAsia" w:ascii="宋体" w:hAnsi="宋体" w:eastAsia="宋体" w:cs="宋体"/>
          <w:color w:val="000000"/>
          <w:sz w:val="21"/>
          <w:szCs w:val="21"/>
          <w:highlight w:val="none"/>
          <w:lang w:val="en-US" w:eastAsia="zh-CN"/>
        </w:rPr>
        <w:t>30</w:t>
      </w:r>
      <w:r>
        <w:rPr>
          <w:rFonts w:hint="eastAsia" w:ascii="宋体" w:hAnsi="宋体" w:eastAsia="宋体" w:cs="宋体"/>
          <w:color w:val="000000"/>
          <w:sz w:val="21"/>
          <w:szCs w:val="21"/>
          <w:highlight w:val="none"/>
        </w:rPr>
        <w:t>％的违约金，甲方有权解除合同。</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2乙方所交货物种类、型号、规格、花色、包装不符合同规定的，如甲方同意使用，应按质论价；甲方不同意使用的，应根据具体情况，由乙方负责包换或包修，并承担修理、调换或退货而支付的实际费用。因此给甲方造成的一切损失均由乙方承担。</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.3乙方逾期交货的，每逾期一日，应按照合同总金额</w:t>
      </w:r>
      <w:r>
        <w:rPr>
          <w:rFonts w:hint="eastAsia" w:ascii="宋体" w:hAnsi="宋体" w:eastAsia="宋体" w:cs="宋体"/>
          <w:color w:val="000000"/>
          <w:sz w:val="21"/>
          <w:szCs w:val="21"/>
          <w:highlight w:val="none"/>
          <w:u w:val="single"/>
          <w:lang w:val="en-US" w:eastAsia="zh-CN"/>
        </w:rPr>
        <w:t xml:space="preserve"> 1 </w:t>
      </w:r>
      <w:r>
        <w:rPr>
          <w:rFonts w:hint="eastAsia" w:ascii="宋体" w:hAnsi="宋体" w:eastAsia="宋体" w:cs="宋体"/>
          <w:color w:val="000000"/>
          <w:sz w:val="21"/>
          <w:szCs w:val="21"/>
          <w:highlight w:val="none"/>
        </w:rPr>
        <w:t>%向甲方支付违约金，并赔偿甲方因此所遭受的损失；同时，甲方有权向第三人采购同种类货物，因此增加的费用由乙方承担。如逾期超过</w:t>
      </w:r>
      <w:r>
        <w:rPr>
          <w:rFonts w:hint="eastAsia" w:ascii="宋体" w:hAnsi="宋体" w:eastAsia="宋体" w:cs="宋体"/>
          <w:color w:val="000000"/>
          <w:sz w:val="21"/>
          <w:szCs w:val="21"/>
          <w:highlight w:val="none"/>
          <w:u w:val="single"/>
          <w:lang w:val="en-US" w:eastAsia="zh-CN"/>
        </w:rPr>
        <w:t xml:space="preserve"> 15 </w:t>
      </w:r>
      <w:r>
        <w:rPr>
          <w:rFonts w:hint="eastAsia" w:ascii="宋体" w:hAnsi="宋体" w:eastAsia="宋体" w:cs="宋体"/>
          <w:color w:val="000000"/>
          <w:sz w:val="21"/>
          <w:szCs w:val="21"/>
          <w:highlight w:val="none"/>
        </w:rPr>
        <w:t>日，甲方有权终止合同并可就遭受的损失向乙方索赔。同时，甲方有权向第三人采购同种类货物，因此增加的费用由乙方承担。</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.4乙方提前交付货物的，甲方无需提前付款，如因乙方提前交付货物导致甲方增加费用的，该增加的费用由乙方承担。</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bCs/>
          <w:kern w:val="0"/>
          <w:sz w:val="21"/>
          <w:szCs w:val="21"/>
          <w:highlight w:val="none"/>
          <w:lang w:val="en-US" w:eastAsia="zh-CN"/>
        </w:rPr>
        <w:t>7</w:t>
      </w:r>
      <w:r>
        <w:rPr>
          <w:rFonts w:hint="eastAsia" w:ascii="宋体" w:hAnsi="宋体" w:eastAsia="宋体" w:cs="宋体"/>
          <w:bCs/>
          <w:kern w:val="0"/>
          <w:sz w:val="21"/>
          <w:szCs w:val="21"/>
          <w:highlight w:val="none"/>
        </w:rPr>
        <w:t>.5 乙方不得擅自停止供货，否则甲方有权重新选择</w:t>
      </w:r>
      <w:r>
        <w:rPr>
          <w:rFonts w:hint="eastAsia" w:ascii="宋体" w:hAnsi="宋体" w:eastAsia="宋体" w:cs="宋体"/>
          <w:bCs/>
          <w:kern w:val="0"/>
          <w:sz w:val="21"/>
          <w:szCs w:val="21"/>
          <w:highlight w:val="none"/>
          <w:lang w:eastAsia="zh-CN"/>
        </w:rPr>
        <w:t>其他</w:t>
      </w:r>
      <w:r>
        <w:rPr>
          <w:rFonts w:hint="eastAsia" w:ascii="宋体" w:hAnsi="宋体" w:eastAsia="宋体" w:cs="宋体"/>
          <w:bCs/>
          <w:kern w:val="0"/>
          <w:sz w:val="21"/>
          <w:szCs w:val="21"/>
          <w:highlight w:val="none"/>
        </w:rPr>
        <w:t>供应商，同时乙方承担本合同</w:t>
      </w:r>
      <w:r>
        <w:rPr>
          <w:rFonts w:hint="eastAsia" w:ascii="宋体" w:hAnsi="宋体" w:eastAsia="宋体" w:cs="宋体"/>
          <w:bCs/>
          <w:kern w:val="0"/>
          <w:sz w:val="21"/>
          <w:szCs w:val="21"/>
          <w:highlight w:val="none"/>
          <w:lang w:val="en-US" w:eastAsia="zh-CN"/>
        </w:rPr>
        <w:t>协议书部分</w:t>
      </w:r>
      <w:r>
        <w:rPr>
          <w:rFonts w:hint="eastAsia" w:ascii="宋体" w:hAnsi="宋体" w:eastAsia="宋体" w:cs="宋体"/>
          <w:bCs/>
          <w:kern w:val="0"/>
          <w:sz w:val="21"/>
          <w:szCs w:val="21"/>
          <w:highlight w:val="none"/>
        </w:rPr>
        <w:t>含增值税总价</w:t>
      </w:r>
      <w:r>
        <w:rPr>
          <w:rFonts w:hint="eastAsia" w:ascii="宋体" w:hAnsi="宋体" w:eastAsia="宋体" w:cs="宋体"/>
          <w:bCs/>
          <w:kern w:val="0"/>
          <w:sz w:val="21"/>
          <w:szCs w:val="21"/>
          <w:highlight w:val="none"/>
          <w:u w:val="single"/>
        </w:rPr>
        <w:t xml:space="preserve"> </w:t>
      </w:r>
      <w:r>
        <w:rPr>
          <w:rFonts w:hint="eastAsia" w:ascii="宋体" w:hAnsi="宋体" w:eastAsia="宋体" w:cs="宋体"/>
          <w:bCs/>
          <w:kern w:val="0"/>
          <w:sz w:val="21"/>
          <w:szCs w:val="21"/>
          <w:highlight w:val="none"/>
          <w:u w:val="single"/>
          <w:lang w:val="en-US" w:eastAsia="zh-CN"/>
        </w:rPr>
        <w:t>30</w:t>
      </w:r>
      <w:r>
        <w:rPr>
          <w:rFonts w:hint="eastAsia" w:ascii="宋体" w:hAnsi="宋体" w:eastAsia="宋体" w:cs="宋体"/>
          <w:bCs/>
          <w:kern w:val="0"/>
          <w:sz w:val="21"/>
          <w:szCs w:val="21"/>
          <w:highlight w:val="none"/>
          <w:u w:val="single"/>
        </w:rPr>
        <w:t xml:space="preserve"> </w:t>
      </w:r>
      <w:r>
        <w:rPr>
          <w:rFonts w:hint="eastAsia" w:ascii="宋体" w:hAnsi="宋体" w:eastAsia="宋体" w:cs="宋体"/>
          <w:bCs/>
          <w:kern w:val="0"/>
          <w:sz w:val="21"/>
          <w:szCs w:val="21"/>
          <w:highlight w:val="none"/>
        </w:rPr>
        <w:t>%的违约金并赔偿断货给甲方造成的一切损失。</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bCs/>
          <w:color w:val="000000"/>
          <w:kern w:val="0"/>
          <w:sz w:val="21"/>
          <w:szCs w:val="21"/>
          <w:highlight w:val="none"/>
          <w:lang w:val="en-US" w:eastAsia="zh-CN"/>
        </w:rPr>
        <w:t>7</w:t>
      </w:r>
      <w:r>
        <w:rPr>
          <w:rFonts w:hint="eastAsia" w:ascii="宋体" w:hAnsi="宋体" w:eastAsia="宋体" w:cs="宋体"/>
          <w:bCs/>
          <w:color w:val="000000"/>
          <w:kern w:val="0"/>
          <w:sz w:val="21"/>
          <w:szCs w:val="21"/>
          <w:highlight w:val="none"/>
        </w:rPr>
        <w:t>.6乙方不能随车提供货物合格证书或其他</w:t>
      </w:r>
      <w:r>
        <w:rPr>
          <w:rFonts w:hint="eastAsia" w:ascii="宋体" w:hAnsi="宋体" w:eastAsia="宋体" w:cs="宋体"/>
          <w:bCs/>
          <w:kern w:val="0"/>
          <w:sz w:val="21"/>
          <w:szCs w:val="21"/>
          <w:highlight w:val="none"/>
        </w:rPr>
        <w:t>约定</w:t>
      </w:r>
      <w:r>
        <w:rPr>
          <w:rFonts w:hint="eastAsia" w:ascii="宋体" w:hAnsi="宋体" w:eastAsia="宋体" w:cs="宋体"/>
          <w:bCs/>
          <w:color w:val="000000"/>
          <w:kern w:val="0"/>
          <w:sz w:val="21"/>
          <w:szCs w:val="21"/>
          <w:highlight w:val="none"/>
        </w:rPr>
        <w:t>单证的，甲方有权拒绝收货，因此产生的费用和损失由乙方负责。</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.7在质保期内，乙方未按甲方要求进行维修或更换的，乙方应向甲方支付违约金</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u w:val="single"/>
          <w:lang w:val="en-US" w:eastAsia="zh-CN"/>
        </w:rPr>
        <w:t>10000</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元/次，甲方有权交由第三方进行维修，由此产生的费用和损失亦由乙方承担。因货物质量原因造成甲方损失的，乙方还应承担赔偿责任。</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.8乙方未能按甲方要求提供增值税专用发票（含税务机关代开），甲方有权拒付相应货款。</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.9 若因逾期送达造成甲方无法抵扣发票相应税款的，乙方还应赔偿甲方由此遭受的损失，金额相当于逾期送达发票可抵扣金额，并加收按逾期送达发票金额</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%的违约金。</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.10乙方应提供真实、有效、合格的发票，如发现乙方提供虚假发票或虚开增值税专用发票的情况，乙方须按发票金额的</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向甲方支付违约金，并承担对甲方造成的全部损失。由于乙方原因造成甲方无法抵扣相应税款，发现问题后退回，乙方应无条件更换为有效发票，拒绝或逾期不更换发票的，造成甲方损失及相关风险，由乙方予以承担。发生上述情况时，甲方有权选择解除合同。</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.11乙方有义务配合甲方接受税务机关、审计部门、纪检部门的检查工作，如果乙方拒不配合，由乙方支付</w:t>
      </w:r>
      <w:r>
        <w:rPr>
          <w:rFonts w:hint="eastAsia" w:ascii="宋体" w:hAnsi="宋体" w:eastAsia="宋体" w:cs="宋体"/>
          <w:sz w:val="21"/>
          <w:szCs w:val="21"/>
          <w:highlight w:val="none"/>
          <w:lang w:val="en-US" w:eastAsia="zh-CN"/>
        </w:rPr>
        <w:t>20000</w:t>
      </w:r>
      <w:r>
        <w:rPr>
          <w:rFonts w:hint="eastAsia" w:ascii="宋体" w:hAnsi="宋体" w:eastAsia="宋体" w:cs="宋体"/>
          <w:sz w:val="21"/>
          <w:szCs w:val="21"/>
          <w:highlight w:val="none"/>
        </w:rPr>
        <w:t>元的违约金，并承担对甲方造成的损失。</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12乙方保证提供的产品、服务不侵犯任何第三方知识产权和其他任何权利。任何第三方提出侵权指控时，乙方负责与第三方交涉并承担一切可能发生的经济上、法律上的责任，由此给甲方带来损失的，乙方无条件予以赔偿。</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13如乙方被中国铁路总公司、建设单位或中国中铁股份有限公司及其关联企业、列入“限制交易供应商名单”、“不合格供应商名单”或“供应商黑名单”等限制交易名单，甲方可以单方解除合同，解除合同的一切后果由乙方承担。</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第八条 不可抗力</w:t>
      </w:r>
    </w:p>
    <w:p>
      <w:pPr>
        <w:keepNext w:val="0"/>
        <w:keepLines w:val="0"/>
        <w:pageBreakBefore w:val="0"/>
        <w:widowControl w:val="0"/>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任何一方由于不可抗力原因不能履行合同时，应在不可抗力事件发生后</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小时内通知对方，并在不可抗力事件结束后</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日内将有权机构出具的不可抗力证明提交对方后，允许延期履行、部分履行或者不履行合同，并根据情况可部分或全部</w:t>
      </w:r>
      <w:r>
        <w:rPr>
          <w:rFonts w:hint="eastAsia" w:ascii="宋体" w:hAnsi="宋体" w:eastAsia="宋体" w:cs="宋体"/>
          <w:color w:val="000000"/>
          <w:sz w:val="21"/>
          <w:szCs w:val="21"/>
          <w:highlight w:val="none"/>
          <w:lang w:eastAsia="zh-CN"/>
        </w:rPr>
        <w:t>免于</w:t>
      </w:r>
      <w:r>
        <w:rPr>
          <w:rFonts w:hint="eastAsia" w:ascii="宋体" w:hAnsi="宋体" w:eastAsia="宋体" w:cs="宋体"/>
          <w:color w:val="000000"/>
          <w:sz w:val="21"/>
          <w:szCs w:val="21"/>
          <w:highlight w:val="none"/>
        </w:rPr>
        <w:t>承担违约责任。</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第九条 争议解决</w:t>
      </w:r>
    </w:p>
    <w:p>
      <w:pPr>
        <w:pStyle w:val="6"/>
        <w:spacing w:line="360" w:lineRule="auto"/>
        <w:ind w:firstLine="420" w:firstLineChars="200"/>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9.1</w:t>
      </w:r>
      <w:r>
        <w:rPr>
          <w:rFonts w:hint="eastAsia" w:ascii="宋体" w:hAnsi="宋体" w:eastAsia="宋体" w:cs="宋体"/>
          <w:bCs/>
          <w:kern w:val="0"/>
          <w:sz w:val="21"/>
          <w:szCs w:val="21"/>
          <w:highlight w:val="none"/>
        </w:rPr>
        <w:t>若发生</w:t>
      </w:r>
      <w:r>
        <w:rPr>
          <w:rFonts w:hint="eastAsia" w:ascii="宋体" w:hAnsi="宋体" w:eastAsia="宋体" w:cs="宋体"/>
          <w:bCs/>
          <w:kern w:val="0"/>
          <w:sz w:val="21"/>
          <w:szCs w:val="21"/>
          <w:highlight w:val="none"/>
          <w:lang w:val="en-US" w:eastAsia="zh-CN"/>
        </w:rPr>
        <w:t>乙方</w:t>
      </w:r>
      <w:r>
        <w:rPr>
          <w:rFonts w:hint="eastAsia" w:ascii="宋体" w:hAnsi="宋体" w:eastAsia="宋体" w:cs="宋体"/>
          <w:bCs/>
          <w:kern w:val="0"/>
          <w:sz w:val="21"/>
          <w:szCs w:val="21"/>
          <w:highlight w:val="none"/>
        </w:rPr>
        <w:t>需向</w:t>
      </w:r>
      <w:r>
        <w:rPr>
          <w:rFonts w:hint="eastAsia" w:ascii="宋体" w:hAnsi="宋体" w:eastAsia="宋体" w:cs="宋体"/>
          <w:bCs/>
          <w:kern w:val="0"/>
          <w:sz w:val="21"/>
          <w:szCs w:val="21"/>
          <w:highlight w:val="none"/>
          <w:lang w:val="en-US" w:eastAsia="zh-CN"/>
        </w:rPr>
        <w:t>甲方</w:t>
      </w:r>
      <w:r>
        <w:rPr>
          <w:rFonts w:hint="eastAsia" w:ascii="宋体" w:hAnsi="宋体" w:eastAsia="宋体" w:cs="宋体"/>
          <w:bCs/>
          <w:kern w:val="0"/>
          <w:sz w:val="21"/>
          <w:szCs w:val="21"/>
          <w:highlight w:val="none"/>
        </w:rPr>
        <w:t>主张权益或反映问题时，承诺先行向</w:t>
      </w:r>
      <w:r>
        <w:rPr>
          <w:rFonts w:hint="eastAsia" w:ascii="宋体" w:hAnsi="宋体" w:eastAsia="宋体" w:cs="宋体"/>
          <w:bCs/>
          <w:kern w:val="0"/>
          <w:sz w:val="21"/>
          <w:szCs w:val="21"/>
          <w:highlight w:val="none"/>
          <w:lang w:val="en-US" w:eastAsia="zh-CN"/>
        </w:rPr>
        <w:t>甲方</w:t>
      </w:r>
      <w:r>
        <w:rPr>
          <w:rFonts w:hint="eastAsia" w:ascii="宋体" w:hAnsi="宋体" w:eastAsia="宋体" w:cs="宋体"/>
          <w:bCs/>
          <w:kern w:val="0"/>
          <w:sz w:val="21"/>
          <w:szCs w:val="21"/>
          <w:highlight w:val="none"/>
        </w:rPr>
        <w:t>内部投诉平台进行情况反映，投诉事项从</w:t>
      </w:r>
      <w:r>
        <w:rPr>
          <w:rFonts w:hint="eastAsia" w:ascii="宋体" w:hAnsi="宋体" w:eastAsia="宋体" w:cs="宋体"/>
          <w:bCs/>
          <w:kern w:val="0"/>
          <w:sz w:val="21"/>
          <w:szCs w:val="21"/>
          <w:highlight w:val="none"/>
          <w:lang w:val="en-US" w:eastAsia="zh-CN"/>
        </w:rPr>
        <w:t>甲方</w:t>
      </w:r>
      <w:r>
        <w:rPr>
          <w:rFonts w:hint="eastAsia" w:ascii="宋体" w:hAnsi="宋体" w:eastAsia="宋体" w:cs="宋体"/>
          <w:bCs/>
          <w:kern w:val="0"/>
          <w:sz w:val="21"/>
          <w:szCs w:val="21"/>
          <w:highlight w:val="none"/>
        </w:rPr>
        <w:t>收到投诉次日起5个月的处理时限。在此期间，</w:t>
      </w:r>
      <w:r>
        <w:rPr>
          <w:rFonts w:hint="eastAsia" w:ascii="宋体" w:hAnsi="宋体" w:eastAsia="宋体" w:cs="宋体"/>
          <w:bCs/>
          <w:kern w:val="0"/>
          <w:sz w:val="21"/>
          <w:szCs w:val="21"/>
          <w:highlight w:val="none"/>
          <w:lang w:val="en-US" w:eastAsia="zh-CN"/>
        </w:rPr>
        <w:t>乙方</w:t>
      </w:r>
      <w:r>
        <w:rPr>
          <w:rFonts w:hint="eastAsia" w:ascii="宋体" w:hAnsi="宋体" w:eastAsia="宋体" w:cs="宋体"/>
          <w:bCs/>
          <w:kern w:val="0"/>
          <w:sz w:val="21"/>
          <w:szCs w:val="21"/>
          <w:highlight w:val="none"/>
        </w:rPr>
        <w:t>承诺不得向国家或地方相关部门和各级信访部门进行投诉，也不得提起诉讼。否则，</w:t>
      </w:r>
      <w:r>
        <w:rPr>
          <w:rFonts w:hint="eastAsia" w:ascii="宋体" w:hAnsi="宋体" w:eastAsia="宋体" w:cs="宋体"/>
          <w:bCs/>
          <w:kern w:val="0"/>
          <w:sz w:val="21"/>
          <w:szCs w:val="21"/>
          <w:highlight w:val="none"/>
          <w:lang w:val="en-US" w:eastAsia="zh-CN"/>
        </w:rPr>
        <w:t>乙方</w:t>
      </w:r>
      <w:r>
        <w:rPr>
          <w:rFonts w:hint="eastAsia" w:ascii="宋体" w:hAnsi="宋体" w:eastAsia="宋体" w:cs="宋体"/>
          <w:bCs/>
          <w:kern w:val="0"/>
          <w:sz w:val="21"/>
          <w:szCs w:val="21"/>
          <w:highlight w:val="none"/>
        </w:rPr>
        <w:t>自愿接受</w:t>
      </w:r>
      <w:r>
        <w:rPr>
          <w:rFonts w:hint="eastAsia" w:ascii="宋体" w:hAnsi="宋体" w:eastAsia="宋体" w:cs="宋体"/>
          <w:bCs/>
          <w:kern w:val="0"/>
          <w:sz w:val="21"/>
          <w:szCs w:val="21"/>
          <w:highlight w:val="none"/>
          <w:lang w:val="en-US" w:eastAsia="zh-CN"/>
        </w:rPr>
        <w:t>甲方</w:t>
      </w:r>
      <w:r>
        <w:rPr>
          <w:rFonts w:hint="eastAsia" w:ascii="宋体" w:hAnsi="宋体" w:eastAsia="宋体" w:cs="宋体"/>
          <w:bCs/>
          <w:kern w:val="0"/>
          <w:sz w:val="21"/>
          <w:szCs w:val="21"/>
          <w:highlight w:val="none"/>
        </w:rPr>
        <w:t>将</w:t>
      </w:r>
      <w:r>
        <w:rPr>
          <w:rFonts w:hint="eastAsia" w:ascii="宋体" w:hAnsi="宋体" w:eastAsia="宋体" w:cs="宋体"/>
          <w:bCs/>
          <w:kern w:val="0"/>
          <w:sz w:val="21"/>
          <w:szCs w:val="21"/>
          <w:highlight w:val="none"/>
          <w:lang w:val="en-US" w:eastAsia="zh-CN"/>
        </w:rPr>
        <w:t>乙方</w:t>
      </w:r>
      <w:r>
        <w:rPr>
          <w:rFonts w:hint="eastAsia" w:ascii="宋体" w:hAnsi="宋体" w:eastAsia="宋体" w:cs="宋体"/>
          <w:bCs/>
          <w:kern w:val="0"/>
          <w:sz w:val="21"/>
          <w:szCs w:val="21"/>
          <w:highlight w:val="none"/>
        </w:rPr>
        <w:t>纳入《中铁二局限制交易名单》《中铁二局谨慎交易名单》中进行信用惩戒。并按照5万元/次承担违约责任。</w:t>
      </w:r>
    </w:p>
    <w:p>
      <w:pPr>
        <w:keepNext w:val="0"/>
        <w:keepLines w:val="0"/>
        <w:pageBreakBefore w:val="0"/>
        <w:widowControl w:val="0"/>
        <w:kinsoku/>
        <w:wordWrap w:val="0"/>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lang w:val="en-US" w:eastAsia="zh-CN"/>
        </w:rPr>
        <w:t>9.2</w:t>
      </w:r>
      <w:r>
        <w:rPr>
          <w:rFonts w:hint="eastAsia" w:ascii="宋体" w:hAnsi="宋体" w:eastAsia="宋体" w:cs="宋体"/>
          <w:color w:val="000000"/>
          <w:sz w:val="21"/>
          <w:szCs w:val="21"/>
          <w:highlight w:val="none"/>
        </w:rPr>
        <w:t>甲乙双方在履行合同时发生争议的，应协商解决。协商不成的，选择以下第</w:t>
      </w:r>
      <w:r>
        <w:rPr>
          <w:rFonts w:hint="eastAsia" w:ascii="宋体" w:hAnsi="宋体" w:eastAsia="宋体" w:cs="宋体"/>
          <w:color w:val="000000"/>
          <w:sz w:val="21"/>
          <w:szCs w:val="21"/>
          <w:highlight w:val="none"/>
          <w:u w:val="single"/>
          <w:lang w:val="en-US" w:eastAsia="zh-CN"/>
        </w:rPr>
        <w:t>②</w:t>
      </w:r>
      <w:r>
        <w:rPr>
          <w:rFonts w:hint="eastAsia" w:ascii="宋体" w:hAnsi="宋体" w:eastAsia="宋体" w:cs="宋体"/>
          <w:color w:val="000000"/>
          <w:sz w:val="21"/>
          <w:szCs w:val="21"/>
          <w:highlight w:val="none"/>
        </w:rPr>
        <w:t>种方式：①提交</w:t>
      </w:r>
      <w:r>
        <w:rPr>
          <w:rFonts w:hint="eastAsia" w:ascii="宋体" w:hAnsi="宋体" w:eastAsia="宋体" w:cs="宋体"/>
          <w:color w:val="000000"/>
          <w:sz w:val="21"/>
          <w:szCs w:val="21"/>
          <w:highlight w:val="none"/>
          <w:u w:val="single"/>
          <w:lang w:val="en-US" w:eastAsia="zh-CN"/>
        </w:rPr>
        <w:t>甲方所在地深圳市南山区人民</w:t>
      </w:r>
      <w:r>
        <w:rPr>
          <w:rFonts w:hint="eastAsia" w:ascii="宋体" w:hAnsi="宋体" w:eastAsia="宋体" w:cs="宋体"/>
          <w:color w:val="000000"/>
          <w:sz w:val="21"/>
          <w:szCs w:val="21"/>
          <w:highlight w:val="none"/>
        </w:rPr>
        <w:t>法院进行诉讼；②由</w:t>
      </w:r>
      <w:r>
        <w:rPr>
          <w:rFonts w:hint="eastAsia" w:ascii="宋体" w:hAnsi="宋体" w:eastAsia="宋体" w:cs="宋体"/>
          <w:color w:val="000000"/>
          <w:sz w:val="21"/>
          <w:szCs w:val="21"/>
          <w:highlight w:val="none"/>
          <w:u w:val="single"/>
          <w:lang w:val="en-US" w:eastAsia="zh-CN"/>
        </w:rPr>
        <w:t>成都仲裁委员会</w:t>
      </w:r>
      <w:r>
        <w:rPr>
          <w:rFonts w:hint="eastAsia" w:ascii="宋体" w:hAnsi="宋体" w:eastAsia="宋体" w:cs="宋体"/>
          <w:color w:val="000000"/>
          <w:sz w:val="21"/>
          <w:szCs w:val="21"/>
          <w:highlight w:val="none"/>
        </w:rPr>
        <w:t>进行仲裁。</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第十条 廉政条款</w:t>
      </w:r>
    </w:p>
    <w:p>
      <w:pPr>
        <w:keepNext w:val="0"/>
        <w:keepLines w:val="0"/>
        <w:pageBreakBefore w:val="0"/>
        <w:widowControl w:val="0"/>
        <w:tabs>
          <w:tab w:val="left" w:pos="360"/>
        </w:tabs>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乙方承诺：乙方及其工作人员不向甲方工作人员赠送礼金、礼品、有价证券、购物卡</w:t>
      </w:r>
      <w:r>
        <w:rPr>
          <w:rFonts w:hint="eastAsia" w:ascii="宋体" w:hAnsi="宋体" w:eastAsia="宋体" w:cs="宋体"/>
          <w:kern w:val="0"/>
          <w:sz w:val="21"/>
          <w:szCs w:val="21"/>
          <w:highlight w:val="none"/>
          <w:lang w:eastAsia="zh-CN"/>
        </w:rPr>
        <w:t>及其他有</w:t>
      </w:r>
      <w:r>
        <w:rPr>
          <w:rFonts w:hint="eastAsia" w:ascii="宋体" w:hAnsi="宋体" w:eastAsia="宋体" w:cs="宋体"/>
          <w:kern w:val="0"/>
          <w:sz w:val="21"/>
          <w:szCs w:val="21"/>
          <w:highlight w:val="none"/>
        </w:rPr>
        <w:t>价物品等，不邀请甲方工作人员吃喝游玩</w:t>
      </w:r>
      <w:r>
        <w:rPr>
          <w:rFonts w:hint="eastAsia" w:ascii="宋体" w:hAnsi="宋体" w:eastAsia="宋体" w:cs="宋体"/>
          <w:kern w:val="0"/>
          <w:sz w:val="21"/>
          <w:szCs w:val="21"/>
          <w:highlight w:val="none"/>
          <w:lang w:eastAsia="zh-CN"/>
        </w:rPr>
        <w:t>及其他</w:t>
      </w:r>
      <w:r>
        <w:rPr>
          <w:rFonts w:hint="eastAsia" w:ascii="宋体" w:hAnsi="宋体" w:eastAsia="宋体" w:cs="宋体"/>
          <w:kern w:val="0"/>
          <w:sz w:val="21"/>
          <w:szCs w:val="21"/>
          <w:highlight w:val="none"/>
        </w:rPr>
        <w:t>娱乐性消费；不向甲方工作人员提供任何工作以外的便利和好处；在合同履行过程中不弄虚作假。若乙方违背上述承诺且经甲方法人单位或其上级纪委监察机关查实认定，或国家司法机关立案查处，视为乙方违约，乙方承担暂定合同总价的</w:t>
      </w:r>
      <w:r>
        <w:rPr>
          <w:rFonts w:hint="eastAsia" w:ascii="宋体" w:hAnsi="宋体" w:eastAsia="宋体" w:cs="宋体"/>
          <w:kern w:val="0"/>
          <w:sz w:val="21"/>
          <w:szCs w:val="21"/>
          <w:highlight w:val="none"/>
          <w:u w:val="none"/>
          <w:lang w:val="en-US" w:eastAsia="zh-CN"/>
        </w:rPr>
        <w:t>30</w:t>
      </w:r>
      <w:r>
        <w:rPr>
          <w:rFonts w:hint="eastAsia" w:ascii="宋体" w:hAnsi="宋体" w:eastAsia="宋体" w:cs="宋体"/>
          <w:kern w:val="0"/>
          <w:sz w:val="21"/>
          <w:szCs w:val="21"/>
          <w:highlight w:val="none"/>
        </w:rPr>
        <w:t>%的违约金，违约金及乙方因违背承诺行为所取得的不当利益一并在结算中扣除。</w:t>
      </w:r>
    </w:p>
    <w:p>
      <w:pPr>
        <w:keepNext w:val="0"/>
        <w:keepLines w:val="0"/>
        <w:pageBreakBefore w:val="0"/>
        <w:widowControl w:val="0"/>
        <w:tabs>
          <w:tab w:val="left" w:pos="360"/>
        </w:tabs>
        <w:kinsoku/>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甲方工作人员向乙方索贿的，乙方及其工作人员应向甲方法人单位或其上级纪检监察部门、国家司法机关检举。</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right="0" w:rightChars="0" w:firstLine="422" w:firstLineChars="200"/>
        <w:textAlignment w:val="auto"/>
        <w:outlineLvl w:val="1"/>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第十一条 其他</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2" w:firstLineChars="200"/>
        <w:jc w:val="left"/>
        <w:textAlignment w:val="auto"/>
        <w:outlineLvl w:val="9"/>
        <w:rPr>
          <w:rFonts w:hint="eastAsia" w:ascii="宋体" w:hAnsi="宋体" w:eastAsia="宋体" w:cs="宋体"/>
          <w:b/>
          <w:bCs/>
          <w:color w:val="231F20"/>
          <w:sz w:val="21"/>
          <w:szCs w:val="21"/>
          <w:highlight w:val="none"/>
        </w:rPr>
      </w:pPr>
      <w:r>
        <w:rPr>
          <w:rFonts w:hint="eastAsia" w:ascii="宋体" w:hAnsi="宋体" w:eastAsia="宋体" w:cs="宋体"/>
          <w:b/>
          <w:bCs/>
          <w:color w:val="231F20"/>
          <w:kern w:val="2"/>
          <w:sz w:val="21"/>
          <w:szCs w:val="21"/>
          <w:highlight w:val="none"/>
          <w:lang w:val="en-US" w:eastAsia="zh-CN" w:bidi="ar-SA"/>
        </w:rPr>
        <w:t>11.1.</w:t>
      </w:r>
      <w:r>
        <w:rPr>
          <w:rFonts w:hint="eastAsia" w:ascii="宋体" w:hAnsi="宋体" w:eastAsia="宋体" w:cs="宋体"/>
          <w:b/>
          <w:bCs/>
          <w:color w:val="231F20"/>
          <w:sz w:val="21"/>
          <w:szCs w:val="21"/>
          <w:highlight w:val="none"/>
          <w:lang w:val="en-US" w:eastAsia="zh-CN"/>
        </w:rPr>
        <w:t>债权转让</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本合同中所涉及的债权，乙方不得转让，也不得用于任何形式的担保。若乙方擅自转让或用于担保的，则该行为无效，乙方应赔偿甲方因此受到的全部损失。</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2" w:firstLineChars="200"/>
        <w:jc w:val="left"/>
        <w:textAlignment w:val="auto"/>
        <w:outlineLvl w:val="9"/>
        <w:rPr>
          <w:rFonts w:hint="eastAsia" w:ascii="宋体" w:hAnsi="宋体" w:eastAsia="宋体" w:cs="宋体"/>
          <w:b/>
          <w:bCs/>
          <w:color w:val="231F20"/>
          <w:sz w:val="21"/>
          <w:szCs w:val="21"/>
          <w:highlight w:val="none"/>
          <w:lang w:val="en-US" w:eastAsia="zh-CN"/>
        </w:rPr>
      </w:pPr>
      <w:r>
        <w:rPr>
          <w:rFonts w:hint="eastAsia" w:ascii="宋体" w:hAnsi="宋体" w:eastAsia="宋体" w:cs="宋体"/>
          <w:b/>
          <w:bCs/>
          <w:color w:val="231F20"/>
          <w:kern w:val="2"/>
          <w:sz w:val="21"/>
          <w:szCs w:val="21"/>
          <w:highlight w:val="none"/>
          <w:lang w:val="en-US" w:eastAsia="zh-CN" w:bidi="ar-SA"/>
        </w:rPr>
        <w:t>11.2.</w:t>
      </w:r>
      <w:r>
        <w:rPr>
          <w:rFonts w:hint="eastAsia" w:ascii="宋体" w:hAnsi="宋体" w:eastAsia="宋体" w:cs="宋体"/>
          <w:b/>
          <w:bCs/>
          <w:color w:val="231F20"/>
          <w:sz w:val="21"/>
          <w:szCs w:val="21"/>
          <w:highlight w:val="none"/>
          <w:lang w:val="en-US" w:eastAsia="zh-CN"/>
        </w:rPr>
        <w:t>通知</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在本合同履行过程中，如任何一方发生税务登记、公司名称等重大信息的变更事项，应在重大信息变更后的</w:t>
      </w:r>
      <w:r>
        <w:rPr>
          <w:rFonts w:hint="eastAsia" w:ascii="宋体" w:hAnsi="宋体" w:eastAsia="宋体" w:cs="宋体"/>
          <w:sz w:val="21"/>
          <w:szCs w:val="21"/>
          <w:highlight w:val="none"/>
          <w:u w:val="none"/>
          <w:lang w:val="en-US" w:eastAsia="zh-CN"/>
        </w:rPr>
        <w:t>7</w:t>
      </w:r>
      <w:r>
        <w:rPr>
          <w:rFonts w:hint="eastAsia" w:ascii="宋体" w:hAnsi="宋体" w:eastAsia="宋体" w:cs="宋体"/>
          <w:sz w:val="21"/>
          <w:szCs w:val="21"/>
          <w:highlight w:val="none"/>
        </w:rPr>
        <w:t>日内书面通知对方变更情况，并提供相关信息资料。</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双方确定所预留的</w:t>
      </w:r>
      <w:r>
        <w:rPr>
          <w:rFonts w:hint="eastAsia" w:ascii="宋体" w:hAnsi="宋体" w:eastAsia="宋体" w:cs="宋体"/>
          <w:kern w:val="0"/>
          <w:sz w:val="21"/>
          <w:szCs w:val="21"/>
          <w:highlight w:val="none"/>
          <w:lang w:val="en-US" w:eastAsia="zh-CN"/>
        </w:rPr>
        <w:t>送达</w:t>
      </w:r>
      <w:r>
        <w:rPr>
          <w:rFonts w:hint="eastAsia" w:ascii="宋体" w:hAnsi="宋体" w:eastAsia="宋体" w:cs="宋体"/>
          <w:kern w:val="0"/>
          <w:sz w:val="21"/>
          <w:szCs w:val="21"/>
          <w:highlight w:val="none"/>
        </w:rPr>
        <w:t>地址为往来函件、法院（仲裁、公证等机构）法律文书的送达地址，任一方变更送达地址必须在变更之日起7日内书面通知对方，否则不发生送达地址变更的法律效力，对方按原地址送达仍然为有效送达。</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left="0" w:leftChars="0" w:right="0" w:rightChars="0" w:firstLine="422" w:firstLineChars="200"/>
        <w:jc w:val="left"/>
        <w:textAlignment w:val="auto"/>
        <w:outlineLvl w:val="9"/>
        <w:rPr>
          <w:rFonts w:hint="eastAsia" w:ascii="宋体" w:hAnsi="宋体" w:eastAsia="宋体" w:cs="宋体"/>
          <w:b/>
          <w:bCs/>
          <w:color w:val="231F20"/>
          <w:sz w:val="21"/>
          <w:szCs w:val="21"/>
          <w:highlight w:val="none"/>
          <w:lang w:val="en-US" w:eastAsia="zh-CN"/>
        </w:rPr>
      </w:pPr>
      <w:r>
        <w:rPr>
          <w:rFonts w:hint="eastAsia" w:ascii="宋体" w:hAnsi="宋体" w:eastAsia="宋体" w:cs="宋体"/>
          <w:b/>
          <w:bCs/>
          <w:color w:val="231F20"/>
          <w:kern w:val="2"/>
          <w:sz w:val="21"/>
          <w:szCs w:val="21"/>
          <w:highlight w:val="none"/>
          <w:lang w:val="en-US" w:eastAsia="zh-CN" w:bidi="ar-SA"/>
        </w:rPr>
        <w:t>11.3.</w:t>
      </w:r>
      <w:r>
        <w:rPr>
          <w:rFonts w:hint="eastAsia" w:ascii="宋体" w:hAnsi="宋体" w:eastAsia="宋体" w:cs="宋体"/>
          <w:b/>
          <w:bCs/>
          <w:color w:val="231F20"/>
          <w:sz w:val="21"/>
          <w:szCs w:val="21"/>
          <w:highlight w:val="none"/>
          <w:lang w:val="en-US" w:eastAsia="zh-CN"/>
        </w:rPr>
        <w:t>协议变更、补充</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2" w:firstLineChars="20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rPr>
        <w:t>合同如有未尽事宜，由双方协商解决，签订</w:t>
      </w:r>
      <w:r>
        <w:rPr>
          <w:rFonts w:hint="eastAsia" w:ascii="宋体" w:hAnsi="宋体" w:eastAsia="宋体" w:cs="宋体"/>
          <w:b/>
          <w:bCs/>
          <w:color w:val="000000"/>
          <w:sz w:val="21"/>
          <w:szCs w:val="21"/>
          <w:highlight w:val="none"/>
          <w:lang w:val="en-US" w:eastAsia="zh-CN"/>
        </w:rPr>
        <w:t>补充</w:t>
      </w:r>
      <w:r>
        <w:rPr>
          <w:rFonts w:hint="eastAsia" w:ascii="宋体" w:hAnsi="宋体" w:eastAsia="宋体" w:cs="宋体"/>
          <w:b/>
          <w:bCs/>
          <w:color w:val="000000"/>
          <w:sz w:val="21"/>
          <w:szCs w:val="21"/>
          <w:highlight w:val="none"/>
        </w:rPr>
        <w:t>协议。</w:t>
      </w:r>
      <w:r>
        <w:rPr>
          <w:rFonts w:hint="eastAsia" w:ascii="宋体" w:hAnsi="宋体" w:eastAsia="宋体" w:cs="宋体"/>
          <w:b/>
          <w:bCs/>
          <w:color w:val="000000"/>
          <w:sz w:val="21"/>
          <w:szCs w:val="21"/>
          <w:highlight w:val="none"/>
          <w:lang w:val="en-US" w:eastAsia="zh-CN"/>
        </w:rPr>
        <w:t>双方确认，如双方达成具有补充、变更、调整、调价等性质的条款或意见，只能由双方签订正式书面补充合同或补充协议，并加盖与本合同样式一致的甲方公司公章或合同专用章，其余的仅甲方人员签字、承诺或加盖项目印章等形式均不发生调整、变更合同的效力。</w:t>
      </w:r>
    </w:p>
    <w:p>
      <w:pPr>
        <w:pStyle w:val="18"/>
        <w:keepNext w:val="0"/>
        <w:keepLines w:val="0"/>
        <w:pageBreakBefore w:val="0"/>
        <w:widowControl w:val="0"/>
        <w:numPr>
          <w:ilvl w:val="1"/>
          <w:numId w:val="0"/>
        </w:numPr>
        <w:tabs>
          <w:tab w:val="left" w:pos="876"/>
        </w:tabs>
        <w:kinsoku/>
        <w:wordWrap/>
        <w:overflowPunct/>
        <w:topLinePunct w:val="0"/>
        <w:autoSpaceDE/>
        <w:autoSpaceDN/>
        <w:bidi w:val="0"/>
        <w:adjustRightInd/>
        <w:snapToGrid/>
        <w:spacing w:before="0" w:after="0" w:line="360" w:lineRule="auto"/>
        <w:ind w:right="0" w:rightChars="0" w:firstLine="422" w:firstLineChars="200"/>
        <w:jc w:val="left"/>
        <w:textAlignment w:val="auto"/>
        <w:outlineLvl w:val="9"/>
        <w:rPr>
          <w:rFonts w:hint="eastAsia" w:ascii="宋体" w:hAnsi="宋体" w:eastAsia="宋体" w:cs="宋体"/>
          <w:b/>
          <w:bCs/>
          <w:color w:val="231F20"/>
          <w:sz w:val="21"/>
          <w:szCs w:val="21"/>
          <w:highlight w:val="none"/>
          <w:lang w:val="en-US" w:eastAsia="zh-CN"/>
        </w:rPr>
      </w:pPr>
      <w:r>
        <w:rPr>
          <w:rFonts w:hint="eastAsia" w:ascii="宋体" w:hAnsi="宋体" w:eastAsia="宋体" w:cs="宋体"/>
          <w:b/>
          <w:bCs/>
          <w:color w:val="231F20"/>
          <w:kern w:val="2"/>
          <w:sz w:val="21"/>
          <w:szCs w:val="21"/>
          <w:highlight w:val="none"/>
          <w:lang w:val="en-US" w:eastAsia="zh-CN" w:bidi="ar-SA"/>
        </w:rPr>
        <w:t>11.4.</w:t>
      </w:r>
      <w:r>
        <w:rPr>
          <w:rFonts w:hint="eastAsia" w:ascii="宋体" w:hAnsi="宋体" w:eastAsia="宋体" w:cs="宋体"/>
          <w:b/>
          <w:bCs/>
          <w:color w:val="231F20"/>
          <w:sz w:val="21"/>
          <w:szCs w:val="21"/>
          <w:highlight w:val="none"/>
          <w:lang w:val="en-US" w:eastAsia="zh-CN"/>
        </w:rPr>
        <w:t>乙方人员管理</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rPr>
        <w:t>乙方在送货过程中需遵守甲方各项安全规定，乙方人员必须由甲方专人指引方可进入施工现场。在施工现场内，因乙方人员违章操作和未按甲方专人指引线路行走发生安全事故，由乙方承担全部经济损失。</w:t>
      </w:r>
      <w:r>
        <w:rPr>
          <w:rFonts w:hint="eastAsia" w:ascii="宋体" w:hAnsi="宋体" w:eastAsia="宋体" w:cs="宋体"/>
          <w:color w:val="000000"/>
          <w:sz w:val="21"/>
          <w:szCs w:val="21"/>
          <w:highlight w:val="none"/>
          <w:lang w:val="en-US" w:eastAsia="zh-CN"/>
        </w:rPr>
        <w:t>乙方人员进入施工现场活动范围限定于与材料运输、卸载紧密相关，并做好防护措施，若乙方违反本合同约定给甲方造成损失的，损失包括但不限于乙方人员人身损害、给甲方造成的损害以及给第三方造成的损害，损失由乙方承担，并向甲方承担本合同暂定金额10%的违约金。</w:t>
      </w:r>
    </w:p>
    <w:p>
      <w:pPr>
        <w:tabs>
          <w:tab w:val="left" w:pos="360"/>
        </w:tabs>
        <w:spacing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乙方在甲方场所</w:t>
      </w:r>
      <w:r>
        <w:rPr>
          <w:rFonts w:hint="eastAsia" w:ascii="宋体" w:hAnsi="宋体" w:eastAsia="宋体" w:cs="宋体"/>
          <w:b w:val="0"/>
          <w:bCs w:val="0"/>
          <w:sz w:val="21"/>
          <w:szCs w:val="21"/>
          <w:highlight w:val="none"/>
        </w:rPr>
        <w:t>发生工伤事故时，乙方必须第一时间妥善处置事故，及时通知项目部并配合项目部做好安置、取证等相关工作。乙方未及时通知导致损失扩大，乙方承担事故发生的全部损失，不得以任何理由干扰甲方正常工作</w:t>
      </w:r>
      <w:r>
        <w:rPr>
          <w:rFonts w:hint="eastAsia" w:ascii="宋体" w:hAnsi="宋体" w:eastAsia="宋体" w:cs="宋体"/>
          <w:b w:val="0"/>
          <w:bCs w:val="0"/>
          <w:sz w:val="21"/>
          <w:szCs w:val="21"/>
          <w:highlight w:val="none"/>
          <w:lang w:eastAsia="zh-CN"/>
        </w:rPr>
        <w:t>。</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0" w:firstLineChars="200"/>
        <w:textAlignment w:val="auto"/>
        <w:outlineLvl w:val="9"/>
        <w:rPr>
          <w:rFonts w:hint="eastAsia" w:ascii="宋体" w:hAnsi="宋体" w:eastAsia="宋体" w:cs="宋体"/>
          <w:color w:val="000000"/>
          <w:sz w:val="21"/>
          <w:szCs w:val="21"/>
          <w:highlight w:val="none"/>
          <w:lang w:val="en-US" w:eastAsia="zh-CN"/>
        </w:rPr>
      </w:pPr>
      <w:r>
        <w:rPr>
          <w:rFonts w:hint="eastAsia" w:ascii="宋体" w:hAnsi="宋体" w:eastAsia="宋体" w:cs="宋体"/>
          <w:b w:val="0"/>
          <w:bCs w:val="0"/>
          <w:sz w:val="21"/>
          <w:szCs w:val="21"/>
          <w:highlight w:val="none"/>
        </w:rPr>
        <w:t>乙方与乙方使用的作业人员发生劳动争议、侵权、伤亡等纠纷，未妥善处置，导致甲方被诉（含仲裁、信访、行政处罚等）的，除直接导致甲方损失的费用全额由乙方承担外，每发生一人次，乙方还应向甲方支付</w:t>
      </w:r>
      <w:r>
        <w:rPr>
          <w:rFonts w:hint="eastAsia" w:ascii="宋体" w:hAnsi="宋体" w:eastAsia="宋体" w:cs="宋体"/>
          <w:b w:val="0"/>
          <w:bCs w:val="0"/>
          <w:sz w:val="21"/>
          <w:szCs w:val="21"/>
          <w:highlight w:val="none"/>
          <w:lang w:val="en-US" w:eastAsia="zh-CN"/>
        </w:rPr>
        <w:t>50000</w:t>
      </w:r>
      <w:r>
        <w:rPr>
          <w:rFonts w:hint="eastAsia" w:ascii="宋体" w:hAnsi="宋体" w:eastAsia="宋体" w:cs="宋体"/>
          <w:b w:val="0"/>
          <w:bCs w:val="0"/>
          <w:sz w:val="21"/>
          <w:szCs w:val="21"/>
          <w:highlight w:val="none"/>
        </w:rPr>
        <w:t>元/人次违约金，并承担由此给甲方造成的处理被诉案件的全部费用</w:t>
      </w:r>
      <w:r>
        <w:rPr>
          <w:rFonts w:hint="eastAsia" w:ascii="宋体" w:hAnsi="宋体" w:eastAsia="宋体" w:cs="宋体"/>
          <w:color w:val="000000"/>
          <w:sz w:val="21"/>
          <w:szCs w:val="21"/>
          <w:highlight w:val="none"/>
          <w:lang w:val="en-US" w:eastAsia="zh-CN"/>
        </w:rPr>
        <w:t>。</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2" w:firstLineChars="20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11.5审计</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2" w:firstLineChars="200"/>
        <w:textAlignment w:val="auto"/>
        <w:outlineLvl w:val="9"/>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sz w:val="21"/>
          <w:szCs w:val="21"/>
          <w:highlight w:val="none"/>
          <w:lang w:val="en-US" w:eastAsia="zh-CN"/>
        </w:rPr>
        <w:t>乙方作为有经验的供应方，知悉建设工程施工具有复杂性、关联性，乙方从事合同内容的最终结算与审计认定事实密切相关，乙方认可发包人、甲方、相关部门等对本工程的审计或鉴定结论对乙方在事实认定上具有约束力。若审计或鉴定结论对标的物数量、价款、质量等的认定与甲乙双方认定结果有差异的，乙方同意据实调整合同价款，并在乙方拨付款、保证金等款项中扣除或由乙方补足。</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Chars="0" w:firstLine="422" w:firstLineChars="200"/>
        <w:textAlignment w:val="auto"/>
        <w:outlineLvl w:val="9"/>
        <w:rPr>
          <w:rFonts w:hint="eastAsia" w:ascii="宋体" w:hAnsi="宋体" w:eastAsia="宋体" w:cs="宋体"/>
          <w:b/>
          <w:bCs/>
          <w:color w:val="000000"/>
          <w:sz w:val="21"/>
          <w:szCs w:val="21"/>
          <w:highlight w:val="none"/>
          <w:lang w:val="en-US" w:eastAsia="zh-CN"/>
        </w:rPr>
        <w:sectPr>
          <w:footerReference r:id="rId11" w:type="default"/>
          <w:pgSz w:w="11906" w:h="16838"/>
          <w:pgMar w:top="2154" w:right="1474" w:bottom="2041" w:left="1587" w:header="851" w:footer="992" w:gutter="0"/>
          <w:pgNumType w:fmt="decimal"/>
          <w:cols w:space="720" w:num="1"/>
          <w:docGrid w:type="lines" w:linePitch="312" w:charSpace="0"/>
        </w:sectPr>
      </w:pPr>
      <w:r>
        <w:rPr>
          <w:rFonts w:hint="eastAsia" w:ascii="宋体" w:hAnsi="宋体" w:eastAsia="宋体" w:cs="宋体"/>
          <w:b/>
          <w:bCs/>
          <w:color w:val="000000"/>
          <w:sz w:val="21"/>
          <w:szCs w:val="21"/>
          <w:highlight w:val="none"/>
          <w:lang w:val="en-US" w:eastAsia="zh-CN"/>
        </w:rPr>
        <w:t>11.6乙方基于与甲方充分谈判、协商一致而签订本合同，已认真审阅本合同条款，尤其是对本合同加粗、标识等涉及结算、支付等关键内容予以充分理解并接受。</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附件一：中标通知书</w:t>
      </w:r>
    </w:p>
    <w:p>
      <w:pPr>
        <w:rPr>
          <w:rFonts w:hint="default" w:ascii="宋体" w:hAnsi="宋体" w:eastAsia="宋体" w:cs="宋体"/>
          <w:b/>
          <w:bCs/>
          <w:kern w:val="2"/>
          <w:sz w:val="21"/>
          <w:szCs w:val="21"/>
          <w:highlight w:val="none"/>
          <w:lang w:val="en-US" w:eastAsia="zh-CN" w:bidi="ar-SA"/>
        </w:rPr>
      </w:pPr>
      <w:r>
        <w:rPr>
          <w:rFonts w:hint="eastAsia" w:ascii="宋体" w:hAnsi="宋体"/>
          <w:color w:val="FF0000"/>
          <w:sz w:val="24"/>
          <w:szCs w:val="24"/>
          <w:highlight w:val="none"/>
        </w:rPr>
        <w:br w:type="page"/>
      </w:r>
      <w:r>
        <w:rPr>
          <w:rFonts w:hint="eastAsia" w:ascii="宋体" w:hAnsi="宋体" w:eastAsia="宋体" w:cs="宋体"/>
          <w:b/>
          <w:bCs/>
          <w:kern w:val="2"/>
          <w:sz w:val="21"/>
          <w:szCs w:val="21"/>
          <w:highlight w:val="none"/>
          <w:lang w:val="en-US" w:eastAsia="zh-CN" w:bidi="ar-SA"/>
        </w:rPr>
        <w:t>附件二</w:t>
      </w:r>
    </w:p>
    <w:p>
      <w:pPr>
        <w:tabs>
          <w:tab w:val="left" w:pos="360"/>
        </w:tabs>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先行内部投诉平台投诉的承诺书</w:t>
      </w:r>
    </w:p>
    <w:p>
      <w:pPr>
        <w:tabs>
          <w:tab w:val="left" w:pos="360"/>
        </w:tabs>
        <w:spacing w:line="360" w:lineRule="auto"/>
        <w:ind w:firstLine="420" w:firstLineChars="200"/>
        <w:rPr>
          <w:rFonts w:hint="eastAsia" w:ascii="宋体" w:hAnsi="宋体" w:eastAsia="宋体" w:cs="宋体"/>
          <w:color w:val="auto"/>
          <w:sz w:val="21"/>
          <w:szCs w:val="21"/>
          <w:highlight w:val="none"/>
        </w:rPr>
      </w:pPr>
    </w:p>
    <w:p>
      <w:pPr>
        <w:tabs>
          <w:tab w:val="left" w:pos="360"/>
        </w:tabs>
        <w:spacing w:line="360" w:lineRule="auto"/>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中铁二局</w:t>
      </w:r>
      <w:r>
        <w:rPr>
          <w:rFonts w:hint="eastAsia" w:ascii="宋体" w:hAnsi="宋体" w:eastAsia="宋体" w:cs="宋体"/>
          <w:color w:val="auto"/>
          <w:sz w:val="21"/>
          <w:szCs w:val="21"/>
          <w:highlight w:val="none"/>
          <w:u w:val="single"/>
          <w:lang w:val="en-US" w:eastAsia="zh-CN"/>
        </w:rPr>
        <w:t>集团</w:t>
      </w:r>
      <w:r>
        <w:rPr>
          <w:rFonts w:hint="eastAsia" w:ascii="宋体" w:hAnsi="宋体" w:eastAsia="宋体" w:cs="宋体"/>
          <w:color w:val="auto"/>
          <w:sz w:val="21"/>
          <w:szCs w:val="21"/>
          <w:highlight w:val="none"/>
          <w:u w:val="single"/>
        </w:rPr>
        <w:t>有限公司</w:t>
      </w:r>
      <w:r>
        <w:rPr>
          <w:rFonts w:hint="eastAsia" w:ascii="宋体" w:hAnsi="宋体" w:eastAsia="宋体" w:cs="宋体"/>
          <w:color w:val="auto"/>
          <w:sz w:val="21"/>
          <w:szCs w:val="21"/>
          <w:highlight w:val="none"/>
          <w:u w:val="single"/>
          <w:lang w:val="en-US" w:eastAsia="zh-CN"/>
        </w:rPr>
        <w:t xml:space="preserve"> </w:t>
      </w: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我公司为贵公司</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的分包商（供应商），为确保贵公司与我公司双方的合法权益，快捷解决双方争议，我公司对贵公司承诺如下：</w:t>
      </w: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我公司已知悉贵公司公布的内部投诉渠道如下：</w:t>
      </w: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项目部投诉电话：</w:t>
      </w:r>
      <w:r>
        <w:rPr>
          <w:rFonts w:hint="eastAsia" w:ascii="宋体" w:hAnsi="宋体" w:eastAsia="宋体" w:cs="宋体"/>
          <w:color w:val="auto"/>
          <w:sz w:val="21"/>
          <w:szCs w:val="21"/>
          <w:highlight w:val="none"/>
          <w:u w:val="single"/>
        </w:rPr>
        <w:t xml:space="preserve"> 项目商务经理：            项目经理：               </w:t>
      </w:r>
      <w:r>
        <w:rPr>
          <w:rFonts w:hint="eastAsia" w:ascii="宋体" w:hAnsi="宋体" w:eastAsia="宋体" w:cs="宋体"/>
          <w:color w:val="auto"/>
          <w:sz w:val="21"/>
          <w:szCs w:val="21"/>
          <w:highlight w:val="none"/>
        </w:rPr>
        <w:t>。</w:t>
      </w:r>
    </w:p>
    <w:p>
      <w:pPr>
        <w:tabs>
          <w:tab w:val="left" w:pos="360"/>
        </w:tabs>
        <w:spacing w:line="360" w:lineRule="auto"/>
        <w:ind w:firstLine="420" w:firstLineChars="200"/>
        <w:rPr>
          <w:rFonts w:hint="eastAsia" w:ascii="宋体" w:hAnsi="宋体" w:eastAsia="宋体" w:cs="宋体"/>
          <w:color w:val="auto"/>
          <w:sz w:val="21"/>
          <w:szCs w:val="21"/>
          <w:highlight w:val="none"/>
        </w:rPr>
      </w:pP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中铁二局集团有限公司投诉平台：</w:t>
      </w:r>
    </w:p>
    <w:p>
      <w:pPr>
        <w:tabs>
          <w:tab w:val="left" w:pos="360"/>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3242945" cy="971550"/>
            <wp:effectExtent l="0" t="0" r="8255" b="63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tretch>
                      <a:fillRect/>
                    </a:stretch>
                  </pic:blipFill>
                  <pic:spPr>
                    <a:xfrm>
                      <a:off x="0" y="0"/>
                      <a:ext cx="3242945" cy="971550"/>
                    </a:xfrm>
                    <a:prstGeom prst="rect">
                      <a:avLst/>
                    </a:prstGeom>
                    <a:noFill/>
                    <a:ln>
                      <a:noFill/>
                    </a:ln>
                  </pic:spPr>
                </pic:pic>
              </a:graphicData>
            </a:graphic>
          </wp:inline>
        </w:drawing>
      </w:r>
    </w:p>
    <w:p>
      <w:pPr>
        <w:tabs>
          <w:tab w:val="left" w:pos="360"/>
        </w:tabs>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中铁二局集团有限公司劳务工欠薪投诉电话：</w:t>
      </w:r>
      <w:r>
        <w:rPr>
          <w:rFonts w:hint="eastAsia" w:ascii="宋体" w:hAnsi="宋体" w:eastAsia="宋体" w:cs="宋体"/>
          <w:color w:val="auto"/>
          <w:sz w:val="21"/>
          <w:szCs w:val="21"/>
          <w:highlight w:val="none"/>
          <w:u w:val="single"/>
        </w:rPr>
        <w:t xml:space="preserve">  028-86442040  </w:t>
      </w:r>
    </w:p>
    <w:p>
      <w:pPr>
        <w:tabs>
          <w:tab w:val="left" w:pos="360"/>
        </w:tabs>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中铁二局集团有限公司信访办电话：</w:t>
      </w:r>
      <w:r>
        <w:rPr>
          <w:rFonts w:hint="eastAsia" w:ascii="宋体" w:hAnsi="宋体" w:eastAsia="宋体" w:cs="宋体"/>
          <w:color w:val="auto"/>
          <w:sz w:val="21"/>
          <w:szCs w:val="21"/>
          <w:highlight w:val="none"/>
          <w:u w:val="single"/>
        </w:rPr>
        <w:t xml:space="preserve"> 028-86442040 </w:t>
      </w: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发生我公司需向贵公司主张权益或反映问题时，承诺先行向贵公司内部投诉平台进行情况反映，对我公司的投诉事项从贵公司收到投诉次日起5个月的处理时限。在此期间，我公司承诺不得向国家或地方相关部门和各级信访部门进行投诉，也不得提起诉讼。否则，我公司自愿接受贵公司将我公司纳入《中铁二局限制交易名单》《中铁二局谨慎交易名单》中进行信用惩戒。并按照5万元/次承担违约责任。</w:t>
      </w:r>
    </w:p>
    <w:p>
      <w:pPr>
        <w:tabs>
          <w:tab w:val="left" w:pos="360"/>
        </w:tabs>
        <w:spacing w:line="360" w:lineRule="auto"/>
        <w:ind w:firstLine="420" w:firstLineChars="200"/>
        <w:rPr>
          <w:rFonts w:hint="eastAsia" w:ascii="宋体" w:hAnsi="宋体" w:eastAsia="宋体" w:cs="宋体"/>
          <w:color w:val="auto"/>
          <w:sz w:val="21"/>
          <w:szCs w:val="21"/>
          <w:highlight w:val="none"/>
        </w:rPr>
      </w:pPr>
    </w:p>
    <w:p>
      <w:pPr>
        <w:tabs>
          <w:tab w:val="left" w:pos="36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甲方：                                       乙方： </w:t>
      </w:r>
    </w:p>
    <w:p>
      <w:pPr>
        <w:pStyle w:val="7"/>
        <w:spacing w:line="360" w:lineRule="auto"/>
        <w:rPr>
          <w:rFonts w:hint="eastAsia" w:ascii="宋体" w:hAnsi="宋体" w:eastAsia="宋体" w:cs="宋体"/>
          <w:sz w:val="21"/>
          <w:szCs w:val="21"/>
          <w:highlight w:val="none"/>
        </w:rPr>
      </w:pPr>
    </w:p>
    <w:p>
      <w:pPr>
        <w:tabs>
          <w:tab w:val="left" w:pos="360"/>
        </w:tabs>
        <w:spacing w:line="390" w:lineRule="exact"/>
        <w:ind w:firstLine="480" w:firstLineChars="200"/>
        <w:rPr>
          <w:rFonts w:hint="eastAsia" w:ascii="宋体" w:hAnsi="宋体"/>
          <w:color w:val="000000"/>
          <w:sz w:val="24"/>
          <w:szCs w:val="24"/>
          <w:highlight w:val="none"/>
          <w:lang w:val="en-US" w:eastAsia="zh-CN"/>
        </w:rPr>
      </w:pPr>
    </w:p>
    <w:p>
      <w:pPr>
        <w:tabs>
          <w:tab w:val="left" w:pos="360"/>
        </w:tabs>
        <w:spacing w:line="390" w:lineRule="exact"/>
        <w:ind w:firstLine="480" w:firstLineChars="200"/>
        <w:rPr>
          <w:rFonts w:hint="eastAsia" w:ascii="宋体" w:hAnsi="宋体"/>
          <w:color w:val="000000"/>
          <w:sz w:val="24"/>
          <w:szCs w:val="24"/>
          <w:highlight w:val="none"/>
          <w:lang w:val="en-US" w:eastAsia="zh-CN"/>
        </w:rPr>
      </w:pPr>
    </w:p>
    <w:p>
      <w:pPr>
        <w:spacing w:line="360" w:lineRule="auto"/>
        <w:ind w:firstLine="480" w:firstLineChars="200"/>
        <w:rPr>
          <w:rFonts w:hint="eastAsia"/>
          <w:sz w:val="24"/>
          <w:highlight w:val="none"/>
          <w:lang w:val="en-US" w:eastAsia="zh-CN"/>
        </w:rPr>
      </w:pPr>
    </w:p>
    <w:p>
      <w:pPr>
        <w:rPr>
          <w:rFonts w:hint="default" w:ascii="宋体" w:hAnsi="宋体"/>
          <w:color w:val="000000"/>
          <w:sz w:val="24"/>
          <w:szCs w:val="24"/>
          <w:highlight w:val="none"/>
          <w:lang w:val="en-US" w:eastAsia="zh-CN"/>
        </w:rPr>
      </w:pPr>
    </w:p>
    <w:p>
      <w:pPr>
        <w:pStyle w:val="2"/>
        <w:rPr>
          <w:rFonts w:hint="default" w:ascii="宋体" w:hAnsi="宋体"/>
          <w:color w:val="000000"/>
          <w:sz w:val="24"/>
          <w:szCs w:val="24"/>
          <w:highlight w:val="none"/>
          <w:lang w:val="en-US" w:eastAsia="zh-CN"/>
        </w:rPr>
      </w:pPr>
    </w:p>
    <w:p>
      <w:pPr>
        <w:rPr>
          <w:rFonts w:hint="default" w:ascii="宋体" w:hAnsi="宋体"/>
          <w:color w:val="000000"/>
          <w:sz w:val="24"/>
          <w:szCs w:val="24"/>
          <w:highlight w:val="none"/>
          <w:lang w:val="en-US" w:eastAsia="zh-CN"/>
        </w:rPr>
      </w:pPr>
    </w:p>
    <w:p>
      <w:pPr>
        <w:snapToGrid w:val="0"/>
        <w:spacing w:line="360" w:lineRule="auto"/>
        <w:jc w:val="left"/>
        <w:rPr>
          <w:rFonts w:hint="eastAsia" w:eastAsia="宋体"/>
          <w:b/>
          <w:bCs/>
          <w:sz w:val="21"/>
          <w:szCs w:val="21"/>
          <w:highlight w:val="none"/>
          <w:lang w:val="en-US" w:eastAsia="zh-CN"/>
        </w:rPr>
      </w:pPr>
      <w:r>
        <w:rPr>
          <w:rFonts w:hint="eastAsia"/>
          <w:b/>
          <w:bCs/>
          <w:sz w:val="21"/>
          <w:szCs w:val="21"/>
          <w:highlight w:val="none"/>
        </w:rPr>
        <w:t>附件</w:t>
      </w:r>
      <w:r>
        <w:rPr>
          <w:rFonts w:hint="eastAsia"/>
          <w:b/>
          <w:bCs/>
          <w:sz w:val="21"/>
          <w:szCs w:val="21"/>
          <w:highlight w:val="none"/>
          <w:lang w:val="en-US" w:eastAsia="zh-CN"/>
        </w:rPr>
        <w:t>三</w:t>
      </w:r>
    </w:p>
    <w:p>
      <w:pPr>
        <w:pStyle w:val="2"/>
        <w:spacing w:before="0" w:after="0" w:line="360" w:lineRule="auto"/>
        <w:jc w:val="center"/>
        <w:rPr>
          <w:rFonts w:ascii="宋体" w:hAnsi="宋体"/>
          <w:color w:val="000000"/>
          <w:sz w:val="24"/>
          <w:szCs w:val="24"/>
          <w:highlight w:val="none"/>
        </w:rPr>
      </w:pPr>
      <w:r>
        <w:rPr>
          <w:rFonts w:hint="eastAsia"/>
          <w:highlight w:val="none"/>
        </w:rPr>
        <w:t>声明书</w:t>
      </w:r>
    </w:p>
    <w:p>
      <w:pPr>
        <w:tabs>
          <w:tab w:val="left" w:pos="360"/>
        </w:tabs>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致：</w:t>
      </w:r>
      <w:r>
        <w:rPr>
          <w:rFonts w:hint="eastAsia" w:ascii="宋体" w:hAnsi="宋体" w:eastAsia="宋体" w:cs="宋体"/>
          <w:color w:val="000000"/>
          <w:sz w:val="21"/>
          <w:szCs w:val="21"/>
          <w:highlight w:val="none"/>
          <w:lang w:val="en-US" w:eastAsia="zh-CN"/>
        </w:rPr>
        <w:t>深圳中铁二局工程有限公司</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郑重声明，根据《中华人民共和国中小企业促进法》《工业和信息化部、国家统计局、国家发展和改革委员会、财政部关于印发中小企业划型标准规定的通知》及《国家统计局关于印发&lt;统计上大中小微型企业划分办法(2017)&gt;的通知》</w:t>
      </w:r>
      <w:r>
        <w:rPr>
          <w:rFonts w:hint="eastAsia" w:ascii="宋体" w:hAnsi="宋体" w:eastAsia="宋体" w:cs="宋体"/>
          <w:color w:val="000000"/>
          <w:sz w:val="21"/>
          <w:szCs w:val="21"/>
          <w:highlight w:val="none"/>
        </w:rPr>
        <w:t>等</w:t>
      </w:r>
      <w:r>
        <w:rPr>
          <w:rFonts w:hint="eastAsia" w:ascii="宋体" w:hAnsi="宋体" w:eastAsia="宋体" w:cs="宋体"/>
          <w:sz w:val="21"/>
          <w:szCs w:val="21"/>
          <w:highlight w:val="none"/>
        </w:rPr>
        <w:t>规定，我公司</w:t>
      </w:r>
      <w:r>
        <w:rPr>
          <w:rFonts w:hint="eastAsia" w:ascii="宋体" w:hAnsi="宋体" w:eastAsia="宋体" w:cs="宋体"/>
          <w:color w:val="000000"/>
          <w:sz w:val="21"/>
          <w:szCs w:val="21"/>
          <w:highlight w:val="none"/>
        </w:rPr>
        <w:t>经认定或</w:t>
      </w:r>
      <w:r>
        <w:rPr>
          <w:rFonts w:hint="eastAsia" w:ascii="宋体" w:hAnsi="宋体" w:eastAsia="宋体" w:cs="宋体"/>
          <w:sz w:val="21"/>
          <w:szCs w:val="21"/>
          <w:highlight w:val="none"/>
        </w:rPr>
        <w:t>自测，在此声明：我司</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（属于/不属于）中小型企业，并承诺上述信息真实有效。如有虚假，我公司同意视不同阶段作出如下处理：</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1.投标作无效投标处理，已中标的，中标无效，贵司有权没收本公司的投标保证金和中标服务费。</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2.已签订合同的，自愿放弃法律法规规定及合同约定的中小企业专项权利，并赔偿给贵司造成的额外支出及全部损失。</w:t>
      </w:r>
    </w:p>
    <w:p>
      <w:pPr>
        <w:pStyle w:val="2"/>
        <w:spacing w:before="156"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                                            声明人（盖章）：</w:t>
      </w:r>
    </w:p>
    <w:p>
      <w:pPr>
        <w:spacing w:line="360" w:lineRule="auto"/>
        <w:rPr>
          <w:rFonts w:hint="eastAsia" w:ascii="宋体" w:hAnsi="宋体" w:cs="仿宋_GB2312"/>
          <w:sz w:val="21"/>
          <w:szCs w:val="21"/>
          <w:highlight w:val="none"/>
        </w:rPr>
      </w:pPr>
      <w:r>
        <w:rPr>
          <w:rFonts w:hint="eastAsia" w:ascii="宋体" w:hAnsi="宋体" w:eastAsia="宋体" w:cs="宋体"/>
          <w:color w:val="000000"/>
          <w:sz w:val="21"/>
          <w:szCs w:val="21"/>
          <w:highlight w:val="none"/>
        </w:rPr>
        <w:t xml:space="preserve">                                                    年   月  日</w:t>
      </w:r>
    </w:p>
    <w:p>
      <w:pPr>
        <w:pStyle w:val="15"/>
        <w:spacing w:line="360" w:lineRule="auto"/>
        <w:ind w:firstLine="0" w:firstLineChars="0"/>
        <w:rPr>
          <w:rFonts w:hint="eastAsia" w:ascii="宋体" w:hAnsi="宋体" w:cs="仿宋_GB2312"/>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pStyle w:val="15"/>
        <w:spacing w:line="360" w:lineRule="auto"/>
        <w:ind w:firstLine="0" w:firstLineChars="0"/>
        <w:rPr>
          <w:rFonts w:ascii="宋体" w:hAnsi="宋体" w:cs="仿宋_GB2312"/>
          <w:b/>
          <w:bCs/>
          <w:sz w:val="21"/>
          <w:szCs w:val="21"/>
          <w:highlight w:val="none"/>
        </w:rPr>
      </w:pPr>
    </w:p>
    <w:p>
      <w:pPr>
        <w:spacing w:line="360" w:lineRule="auto"/>
        <w:rPr>
          <w:rFonts w:hint="eastAsia" w:ascii="宋体" w:hAnsi="宋体" w:cs="仿宋_GB2312"/>
          <w:szCs w:val="21"/>
          <w:highlight w:val="none"/>
        </w:rPr>
      </w:pPr>
    </w:p>
    <w:p>
      <w:pPr>
        <w:pStyle w:val="15"/>
        <w:spacing w:line="360" w:lineRule="auto"/>
        <w:ind w:firstLine="0" w:firstLineChars="0"/>
        <w:rPr>
          <w:rFonts w:hint="eastAsia" w:ascii="宋体" w:hAnsi="宋体" w:cs="仿宋_GB2312"/>
          <w:sz w:val="21"/>
          <w:szCs w:val="21"/>
          <w:highlight w:val="none"/>
        </w:rPr>
        <w:sectPr>
          <w:footerReference r:id="rId12" w:type="default"/>
          <w:pgSz w:w="11906" w:h="16838"/>
          <w:pgMar w:top="1440" w:right="1797" w:bottom="1440" w:left="1797" w:header="340" w:footer="907" w:gutter="0"/>
          <w:cols w:space="720" w:num="1"/>
          <w:docGrid w:linePitch="312" w:charSpace="0"/>
        </w:sectPr>
      </w:pPr>
    </w:p>
    <w:p>
      <w:pPr>
        <w:pStyle w:val="21"/>
        <w:spacing w:before="0" w:line="360" w:lineRule="auto"/>
        <w:jc w:val="left"/>
        <w:rPr>
          <w:rFonts w:hint="eastAsia" w:ascii="宋体" w:hAnsi="宋体" w:eastAsia="宋体" w:cs="仿宋_GB2312"/>
          <w:b/>
          <w:highlight w:val="none"/>
        </w:rPr>
      </w:pPr>
      <w:r>
        <w:rPr>
          <w:rFonts w:hint="eastAsia" w:ascii="宋体" w:hAnsi="宋体" w:eastAsia="宋体" w:cs="仿宋_GB2312"/>
          <w:b/>
          <w:highlight w:val="none"/>
        </w:rPr>
        <w:t>附件六．投标报价资料</w:t>
      </w:r>
    </w:p>
    <w:p>
      <w:pPr>
        <w:pStyle w:val="22"/>
        <w:spacing w:line="360" w:lineRule="auto"/>
        <w:outlineLvl w:val="9"/>
        <w:rPr>
          <w:rFonts w:hint="eastAsia" w:ascii="宋体" w:hAnsi="宋体" w:eastAsia="宋体" w:cs="仿宋_GB2312"/>
          <w:sz w:val="21"/>
          <w:szCs w:val="21"/>
          <w:highlight w:val="none"/>
        </w:rPr>
      </w:pPr>
      <w:r>
        <w:rPr>
          <w:rFonts w:hint="eastAsia" w:ascii="宋体" w:hAnsi="宋体" w:eastAsia="宋体" w:cs="仿宋_GB2312"/>
          <w:b/>
          <w:sz w:val="21"/>
          <w:szCs w:val="21"/>
          <w:highlight w:val="none"/>
        </w:rPr>
        <w:t>4.1投标物资报价表</w:t>
      </w:r>
    </w:p>
    <w:p>
      <w:pPr>
        <w:spacing w:line="360" w:lineRule="auto"/>
        <w:rPr>
          <w:rFonts w:hint="eastAsia" w:ascii="宋体" w:hAnsi="宋体"/>
          <w:szCs w:val="21"/>
          <w:highlight w:val="none"/>
        </w:rPr>
      </w:pPr>
      <w:r>
        <w:rPr>
          <w:rFonts w:ascii="宋体" w:hAnsi="宋体"/>
          <w:szCs w:val="21"/>
          <w:highlight w:val="none"/>
        </w:rPr>
        <w:t xml:space="preserve">投标单位名称（章）：                     </w:t>
      </w:r>
      <w:r>
        <w:rPr>
          <w:rFonts w:hint="eastAsia" w:ascii="宋体" w:hAnsi="宋体"/>
          <w:szCs w:val="21"/>
          <w:highlight w:val="none"/>
        </w:rPr>
        <w:t xml:space="preserve">    </w:t>
      </w:r>
      <w:r>
        <w:rPr>
          <w:rFonts w:ascii="宋体" w:hAnsi="宋体"/>
          <w:szCs w:val="21"/>
          <w:highlight w:val="none"/>
        </w:rPr>
        <w:t xml:space="preserve"> </w:t>
      </w:r>
      <w:r>
        <w:rPr>
          <w:rFonts w:hint="eastAsia" w:ascii="宋体" w:hAnsi="宋体"/>
          <w:szCs w:val="21"/>
          <w:highlight w:val="none"/>
        </w:rPr>
        <w:t xml:space="preserve">    </w:t>
      </w:r>
      <w:r>
        <w:rPr>
          <w:rFonts w:ascii="宋体" w:hAnsi="宋体"/>
          <w:szCs w:val="21"/>
          <w:highlight w:val="none"/>
        </w:rPr>
        <w:t xml:space="preserve">             </w:t>
      </w:r>
      <w:r>
        <w:rPr>
          <w:rFonts w:hint="eastAsia" w:ascii="宋体" w:hAnsi="宋体"/>
          <w:szCs w:val="21"/>
          <w:highlight w:val="none"/>
        </w:rPr>
        <w:t xml:space="preserve">    </w:t>
      </w:r>
      <w:r>
        <w:rPr>
          <w:rFonts w:ascii="宋体" w:hAnsi="宋体"/>
          <w:szCs w:val="21"/>
          <w:highlight w:val="none"/>
        </w:rPr>
        <w:t xml:space="preserve">         </w:t>
      </w:r>
      <w:r>
        <w:rPr>
          <w:rFonts w:hint="eastAsia" w:ascii="宋体" w:hAnsi="宋体"/>
          <w:szCs w:val="21"/>
          <w:highlight w:val="none"/>
        </w:rPr>
        <w:t xml:space="preserve">  采购编号：         包件号：</w:t>
      </w:r>
    </w:p>
    <w:tbl>
      <w:tblPr>
        <w:tblStyle w:val="10"/>
        <w:tblW w:w="15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950"/>
        <w:gridCol w:w="1616"/>
        <w:gridCol w:w="624"/>
        <w:gridCol w:w="863"/>
        <w:gridCol w:w="1356"/>
        <w:gridCol w:w="1150"/>
        <w:gridCol w:w="1254"/>
        <w:gridCol w:w="1128"/>
        <w:gridCol w:w="1122"/>
        <w:gridCol w:w="1646"/>
        <w:gridCol w:w="1003"/>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序号</w:t>
            </w:r>
          </w:p>
        </w:tc>
        <w:tc>
          <w:tcPr>
            <w:tcW w:w="1950"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物资名称</w:t>
            </w:r>
          </w:p>
        </w:tc>
        <w:tc>
          <w:tcPr>
            <w:tcW w:w="1616"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规格型号</w:t>
            </w:r>
          </w:p>
        </w:tc>
        <w:tc>
          <w:tcPr>
            <w:tcW w:w="624"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单位</w:t>
            </w:r>
          </w:p>
        </w:tc>
        <w:tc>
          <w:tcPr>
            <w:tcW w:w="863"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数量</w:t>
            </w:r>
          </w:p>
        </w:tc>
        <w:tc>
          <w:tcPr>
            <w:tcW w:w="4888" w:type="dxa"/>
            <w:gridSpan w:val="4"/>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不含增值税价（元）</w:t>
            </w:r>
          </w:p>
        </w:tc>
        <w:tc>
          <w:tcPr>
            <w:tcW w:w="1122"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增值税税率（%）</w:t>
            </w:r>
          </w:p>
        </w:tc>
        <w:tc>
          <w:tcPr>
            <w:tcW w:w="1646"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含增值税到工地合价（元）</w:t>
            </w:r>
          </w:p>
        </w:tc>
        <w:tc>
          <w:tcPr>
            <w:tcW w:w="1003"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运距（km）</w:t>
            </w:r>
          </w:p>
        </w:tc>
        <w:tc>
          <w:tcPr>
            <w:tcW w:w="988" w:type="dxa"/>
            <w:vMerge w:val="restart"/>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67" w:type="dxa"/>
            <w:vMerge w:val="continue"/>
            <w:noWrap w:val="0"/>
            <w:vAlign w:val="center"/>
          </w:tcPr>
          <w:p>
            <w:pPr>
              <w:jc w:val="left"/>
              <w:rPr>
                <w:rFonts w:hint="eastAsia" w:ascii="宋体" w:hAnsi="宋体" w:cs="仿宋_GB2312"/>
                <w:color w:val="000000"/>
                <w:szCs w:val="21"/>
                <w:highlight w:val="none"/>
              </w:rPr>
            </w:pPr>
          </w:p>
        </w:tc>
        <w:tc>
          <w:tcPr>
            <w:tcW w:w="1950" w:type="dxa"/>
            <w:vMerge w:val="continue"/>
            <w:noWrap w:val="0"/>
            <w:vAlign w:val="center"/>
          </w:tcPr>
          <w:p>
            <w:pPr>
              <w:jc w:val="left"/>
              <w:rPr>
                <w:rFonts w:hint="eastAsia" w:ascii="宋体" w:hAnsi="宋体" w:cs="仿宋_GB2312"/>
                <w:color w:val="000000"/>
                <w:szCs w:val="21"/>
                <w:highlight w:val="none"/>
              </w:rPr>
            </w:pPr>
          </w:p>
        </w:tc>
        <w:tc>
          <w:tcPr>
            <w:tcW w:w="1616" w:type="dxa"/>
            <w:vMerge w:val="continue"/>
            <w:noWrap w:val="0"/>
            <w:vAlign w:val="center"/>
          </w:tcPr>
          <w:p>
            <w:pPr>
              <w:jc w:val="left"/>
              <w:rPr>
                <w:rFonts w:hint="eastAsia" w:ascii="宋体" w:hAnsi="宋体" w:cs="仿宋_GB2312"/>
                <w:color w:val="000000"/>
                <w:szCs w:val="21"/>
                <w:highlight w:val="none"/>
              </w:rPr>
            </w:pPr>
          </w:p>
        </w:tc>
        <w:tc>
          <w:tcPr>
            <w:tcW w:w="624" w:type="dxa"/>
            <w:vMerge w:val="continue"/>
            <w:noWrap w:val="0"/>
            <w:vAlign w:val="center"/>
          </w:tcPr>
          <w:p>
            <w:pPr>
              <w:jc w:val="left"/>
              <w:rPr>
                <w:rFonts w:hint="eastAsia" w:ascii="宋体" w:hAnsi="宋体" w:cs="仿宋_GB2312"/>
                <w:color w:val="000000"/>
                <w:szCs w:val="21"/>
                <w:highlight w:val="none"/>
              </w:rPr>
            </w:pPr>
          </w:p>
        </w:tc>
        <w:tc>
          <w:tcPr>
            <w:tcW w:w="863" w:type="dxa"/>
            <w:vMerge w:val="continue"/>
            <w:noWrap w:val="0"/>
            <w:vAlign w:val="center"/>
          </w:tcPr>
          <w:p>
            <w:pPr>
              <w:jc w:val="left"/>
              <w:rPr>
                <w:rFonts w:hint="eastAsia" w:ascii="宋体" w:hAnsi="宋体" w:cs="仿宋_GB2312"/>
                <w:color w:val="000000"/>
                <w:szCs w:val="21"/>
                <w:highlight w:val="none"/>
              </w:rPr>
            </w:pPr>
          </w:p>
        </w:tc>
        <w:tc>
          <w:tcPr>
            <w:tcW w:w="1356" w:type="dxa"/>
            <w:noWrap w:val="0"/>
            <w:vAlign w:val="center"/>
          </w:tcPr>
          <w:p>
            <w:pPr>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rPr>
              <w:t>约定报价信息价</w:t>
            </w:r>
            <w:r>
              <w:rPr>
                <w:rFonts w:hint="eastAsia" w:ascii="宋体" w:hAnsi="宋体" w:cs="仿宋_GB2312"/>
                <w:color w:val="000000"/>
                <w:szCs w:val="21"/>
                <w:highlight w:val="none"/>
                <w:lang w:val="en-US" w:eastAsia="zh-CN"/>
              </w:rPr>
              <w:t>/网价</w:t>
            </w:r>
          </w:p>
        </w:tc>
        <w:tc>
          <w:tcPr>
            <w:tcW w:w="1150"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下浮率</w:t>
            </w:r>
            <w:r>
              <w:rPr>
                <w:rFonts w:hint="eastAsia" w:ascii="宋体" w:hAnsi="宋体" w:cs="仿宋_GB2312"/>
                <w:color w:val="000000"/>
                <w:szCs w:val="21"/>
                <w:highlight w:val="none"/>
                <w:lang w:val="en-US" w:eastAsia="zh-CN"/>
              </w:rPr>
              <w:t>/综合单价</w:t>
            </w:r>
          </w:p>
        </w:tc>
        <w:tc>
          <w:tcPr>
            <w:tcW w:w="1254"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到工地单价</w:t>
            </w:r>
          </w:p>
        </w:tc>
        <w:tc>
          <w:tcPr>
            <w:tcW w:w="1128"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到工地合价</w:t>
            </w:r>
          </w:p>
        </w:tc>
        <w:tc>
          <w:tcPr>
            <w:tcW w:w="1122" w:type="dxa"/>
            <w:vMerge w:val="continue"/>
            <w:noWrap w:val="0"/>
            <w:vAlign w:val="center"/>
          </w:tcPr>
          <w:p>
            <w:pPr>
              <w:jc w:val="left"/>
              <w:rPr>
                <w:rFonts w:hint="eastAsia" w:ascii="宋体" w:hAnsi="宋体" w:cs="仿宋_GB2312"/>
                <w:color w:val="000000"/>
                <w:szCs w:val="21"/>
                <w:highlight w:val="none"/>
              </w:rPr>
            </w:pPr>
          </w:p>
        </w:tc>
        <w:tc>
          <w:tcPr>
            <w:tcW w:w="1646" w:type="dxa"/>
            <w:vMerge w:val="continue"/>
            <w:noWrap w:val="0"/>
            <w:vAlign w:val="center"/>
          </w:tcPr>
          <w:p>
            <w:pPr>
              <w:jc w:val="left"/>
              <w:rPr>
                <w:rFonts w:hint="eastAsia" w:ascii="宋体" w:hAnsi="宋体" w:cs="仿宋_GB2312"/>
                <w:color w:val="000000"/>
                <w:szCs w:val="21"/>
                <w:highlight w:val="none"/>
              </w:rPr>
            </w:pPr>
          </w:p>
        </w:tc>
        <w:tc>
          <w:tcPr>
            <w:tcW w:w="1003" w:type="dxa"/>
            <w:vMerge w:val="continue"/>
            <w:noWrap w:val="0"/>
            <w:vAlign w:val="center"/>
          </w:tcPr>
          <w:p>
            <w:pPr>
              <w:jc w:val="left"/>
              <w:rPr>
                <w:rFonts w:hint="eastAsia" w:ascii="宋体" w:hAnsi="宋体" w:cs="仿宋_GB2312"/>
                <w:color w:val="000000"/>
                <w:szCs w:val="21"/>
                <w:highlight w:val="none"/>
              </w:rPr>
            </w:pPr>
          </w:p>
        </w:tc>
        <w:tc>
          <w:tcPr>
            <w:tcW w:w="988" w:type="dxa"/>
            <w:vMerge w:val="continue"/>
            <w:noWrap w:val="0"/>
            <w:vAlign w:val="center"/>
          </w:tcPr>
          <w:p>
            <w:pPr>
              <w:jc w:val="left"/>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67" w:type="dxa"/>
            <w:vMerge w:val="continue"/>
            <w:noWrap w:val="0"/>
            <w:vAlign w:val="center"/>
          </w:tcPr>
          <w:p>
            <w:pPr>
              <w:jc w:val="left"/>
              <w:rPr>
                <w:rFonts w:hint="eastAsia" w:ascii="宋体" w:hAnsi="宋体" w:cs="仿宋_GB2312"/>
                <w:color w:val="000000"/>
                <w:szCs w:val="21"/>
                <w:highlight w:val="none"/>
              </w:rPr>
            </w:pPr>
          </w:p>
        </w:tc>
        <w:tc>
          <w:tcPr>
            <w:tcW w:w="1950" w:type="dxa"/>
            <w:vMerge w:val="continue"/>
            <w:noWrap w:val="0"/>
            <w:vAlign w:val="center"/>
          </w:tcPr>
          <w:p>
            <w:pPr>
              <w:jc w:val="left"/>
              <w:rPr>
                <w:rFonts w:hint="eastAsia" w:ascii="宋体" w:hAnsi="宋体" w:cs="仿宋_GB2312"/>
                <w:color w:val="000000"/>
                <w:szCs w:val="21"/>
                <w:highlight w:val="none"/>
              </w:rPr>
            </w:pPr>
          </w:p>
        </w:tc>
        <w:tc>
          <w:tcPr>
            <w:tcW w:w="1616" w:type="dxa"/>
            <w:vMerge w:val="continue"/>
            <w:noWrap w:val="0"/>
            <w:vAlign w:val="center"/>
          </w:tcPr>
          <w:p>
            <w:pPr>
              <w:jc w:val="left"/>
              <w:rPr>
                <w:rFonts w:hint="eastAsia" w:ascii="宋体" w:hAnsi="宋体" w:cs="仿宋_GB2312"/>
                <w:color w:val="000000"/>
                <w:szCs w:val="21"/>
                <w:highlight w:val="none"/>
              </w:rPr>
            </w:pPr>
          </w:p>
        </w:tc>
        <w:tc>
          <w:tcPr>
            <w:tcW w:w="624" w:type="dxa"/>
            <w:vMerge w:val="continue"/>
            <w:noWrap w:val="0"/>
            <w:vAlign w:val="center"/>
          </w:tcPr>
          <w:p>
            <w:pPr>
              <w:jc w:val="left"/>
              <w:rPr>
                <w:rFonts w:hint="eastAsia" w:ascii="宋体" w:hAnsi="宋体" w:cs="仿宋_GB2312"/>
                <w:color w:val="000000"/>
                <w:szCs w:val="21"/>
                <w:highlight w:val="none"/>
              </w:rPr>
            </w:pPr>
          </w:p>
        </w:tc>
        <w:tc>
          <w:tcPr>
            <w:tcW w:w="863"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1</w:t>
            </w:r>
          </w:p>
        </w:tc>
        <w:tc>
          <w:tcPr>
            <w:tcW w:w="1356"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2</w:t>
            </w:r>
          </w:p>
        </w:tc>
        <w:tc>
          <w:tcPr>
            <w:tcW w:w="1150"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3</w:t>
            </w:r>
          </w:p>
        </w:tc>
        <w:tc>
          <w:tcPr>
            <w:tcW w:w="1254"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4</w:t>
            </w:r>
          </w:p>
        </w:tc>
        <w:tc>
          <w:tcPr>
            <w:tcW w:w="1128"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5=1*4</w:t>
            </w:r>
          </w:p>
        </w:tc>
        <w:tc>
          <w:tcPr>
            <w:tcW w:w="1122"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6</w:t>
            </w:r>
          </w:p>
        </w:tc>
        <w:tc>
          <w:tcPr>
            <w:tcW w:w="1646" w:type="dxa"/>
            <w:noWrap w:val="0"/>
            <w:vAlign w:val="center"/>
          </w:tcPr>
          <w:p>
            <w:pPr>
              <w:jc w:val="center"/>
              <w:rPr>
                <w:rFonts w:hint="eastAsia" w:ascii="宋体" w:hAnsi="宋体" w:cs="仿宋_GB2312"/>
                <w:color w:val="000000"/>
                <w:szCs w:val="21"/>
                <w:highlight w:val="none"/>
              </w:rPr>
            </w:pPr>
            <w:r>
              <w:rPr>
                <w:rFonts w:hint="eastAsia" w:ascii="宋体" w:hAnsi="宋体" w:cs="仿宋_GB2312"/>
                <w:color w:val="000000"/>
                <w:szCs w:val="21"/>
                <w:highlight w:val="none"/>
              </w:rPr>
              <w:t>7=5*（100%+6）</w:t>
            </w:r>
          </w:p>
        </w:tc>
        <w:tc>
          <w:tcPr>
            <w:tcW w:w="1003" w:type="dxa"/>
            <w:noWrap w:val="0"/>
            <w:vAlign w:val="center"/>
          </w:tcPr>
          <w:p>
            <w:pPr>
              <w:jc w:val="center"/>
              <w:rPr>
                <w:rFonts w:hint="eastAsia" w:ascii="宋体" w:hAnsi="宋体" w:cs="仿宋_GB2312"/>
                <w:color w:val="000000"/>
                <w:szCs w:val="21"/>
                <w:highlight w:val="none"/>
              </w:rPr>
            </w:pPr>
          </w:p>
        </w:tc>
        <w:tc>
          <w:tcPr>
            <w:tcW w:w="988" w:type="dxa"/>
            <w:noWrap w:val="0"/>
            <w:vAlign w:val="center"/>
          </w:tcPr>
          <w:p>
            <w:pPr>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1</w:t>
            </w:r>
          </w:p>
        </w:tc>
        <w:tc>
          <w:tcPr>
            <w:tcW w:w="1950"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C15</w:t>
            </w:r>
          </w:p>
        </w:tc>
        <w:tc>
          <w:tcPr>
            <w:tcW w:w="624"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724</w:t>
            </w:r>
          </w:p>
        </w:tc>
        <w:tc>
          <w:tcPr>
            <w:tcW w:w="1356"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366</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2</w:t>
            </w:r>
          </w:p>
        </w:tc>
        <w:tc>
          <w:tcPr>
            <w:tcW w:w="1950"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C20</w:t>
            </w:r>
          </w:p>
        </w:tc>
        <w:tc>
          <w:tcPr>
            <w:tcW w:w="624"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仿宋_GB2312"/>
                <w:color w:val="000000"/>
                <w:szCs w:val="21"/>
                <w:highlight w:val="none"/>
              </w:rPr>
            </w:pPr>
            <w:r>
              <w:rPr>
                <w:rFonts w:hint="eastAsia" w:ascii="宋体" w:hAnsi="宋体" w:eastAsia="宋体" w:cs="宋体"/>
                <w:color w:val="000000"/>
                <w:sz w:val="20"/>
                <w:szCs w:val="24"/>
                <w:highlight w:val="none"/>
              </w:rPr>
              <w:t>5018</w:t>
            </w:r>
          </w:p>
        </w:tc>
        <w:tc>
          <w:tcPr>
            <w:tcW w:w="1356"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381.5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3</w:t>
            </w:r>
          </w:p>
        </w:tc>
        <w:tc>
          <w:tcPr>
            <w:tcW w:w="1950" w:type="dxa"/>
            <w:noWrap w:val="0"/>
            <w:vAlign w:val="center"/>
          </w:tcPr>
          <w:p>
            <w:pPr>
              <w:spacing w:beforeLines="0" w:afterLines="0"/>
              <w:jc w:val="center"/>
              <w:rPr>
                <w:rFonts w:hint="eastAsia" w:ascii="宋体" w:hAnsi="宋体" w:cs="宋体"/>
                <w:color w:val="000000"/>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color w:val="000000"/>
                <w:szCs w:val="21"/>
                <w:highlight w:val="none"/>
              </w:rPr>
            </w:pPr>
            <w:r>
              <w:rPr>
                <w:rFonts w:hint="eastAsia" w:ascii="宋体" w:hAnsi="宋体" w:eastAsia="宋体" w:cs="宋体"/>
                <w:color w:val="000000"/>
                <w:sz w:val="20"/>
                <w:szCs w:val="24"/>
                <w:highlight w:val="none"/>
              </w:rPr>
              <w:t>C20细石</w:t>
            </w:r>
          </w:p>
        </w:tc>
        <w:tc>
          <w:tcPr>
            <w:tcW w:w="624" w:type="dxa"/>
            <w:noWrap w:val="0"/>
            <w:vAlign w:val="center"/>
          </w:tcPr>
          <w:p>
            <w:pPr>
              <w:spacing w:beforeLines="0" w:afterLines="0"/>
              <w:jc w:val="center"/>
              <w:rPr>
                <w:rFonts w:hint="eastAsia" w:ascii="宋体" w:hAnsi="宋体" w:cs="宋体"/>
                <w:color w:val="00000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olor w:val="000000"/>
                <w:szCs w:val="21"/>
                <w:highlight w:val="none"/>
              </w:rPr>
            </w:pPr>
            <w:r>
              <w:rPr>
                <w:rFonts w:hint="eastAsia" w:ascii="宋体" w:hAnsi="宋体" w:eastAsia="宋体" w:cs="宋体"/>
                <w:color w:val="000000"/>
                <w:sz w:val="20"/>
                <w:szCs w:val="24"/>
                <w:highlight w:val="none"/>
              </w:rPr>
              <w:t>66</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color w:val="000000"/>
                <w:szCs w:val="21"/>
                <w:highlight w:val="none"/>
                <w:lang w:val="en-US" w:eastAsia="zh-CN"/>
              </w:rPr>
              <w:t>381.5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4</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C25</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5885</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395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5</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C30</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3</w:t>
            </w:r>
            <w:r>
              <w:rPr>
                <w:rFonts w:hint="eastAsia" w:ascii="宋体" w:hAnsi="宋体" w:eastAsia="宋体" w:cs="宋体"/>
                <w:color w:val="000000"/>
                <w:sz w:val="20"/>
                <w:szCs w:val="24"/>
                <w:highlight w:val="none"/>
                <w:lang w:val="en-US" w:eastAsia="zh-CN"/>
              </w:rPr>
              <w:t>0</w:t>
            </w:r>
            <w:r>
              <w:rPr>
                <w:rFonts w:hint="eastAsia" w:ascii="宋体" w:hAnsi="宋体" w:eastAsia="宋体" w:cs="宋体"/>
                <w:color w:val="000000"/>
                <w:sz w:val="20"/>
                <w:szCs w:val="24"/>
                <w:highlight w:val="none"/>
              </w:rPr>
              <w:t>12</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407</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6</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C35</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7036</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423.5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7</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C40</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922</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441.5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8</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普通干混砌筑砂浆</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M7.5</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1146</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szCs w:val="21"/>
                <w:highlight w:val="none"/>
              </w:rPr>
              <w:t>272.5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9</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color w:val="000000"/>
                <w:sz w:val="20"/>
                <w:szCs w:val="24"/>
                <w:highlight w:val="none"/>
              </w:rPr>
              <w:t>普通硅酸盐水泥</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PO42.5</w:t>
            </w:r>
            <w:r>
              <w:rPr>
                <w:rFonts w:hint="eastAsia" w:ascii="宋体" w:hAnsi="宋体" w:eastAsia="宋体" w:cs="宋体"/>
                <w:color w:val="000000"/>
                <w:sz w:val="20"/>
                <w:szCs w:val="24"/>
                <w:highlight w:val="none"/>
                <w:lang w:eastAsia="zh-CN"/>
              </w:rPr>
              <w:t>、</w:t>
            </w:r>
            <w:r>
              <w:rPr>
                <w:rFonts w:hint="eastAsia" w:ascii="宋体" w:hAnsi="宋体" w:eastAsia="宋体" w:cs="宋体"/>
                <w:color w:val="000000"/>
                <w:sz w:val="20"/>
                <w:szCs w:val="24"/>
                <w:highlight w:val="none"/>
                <w:lang w:val="en-US" w:eastAsia="zh-CN"/>
              </w:rPr>
              <w:t>散装</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238</w:t>
            </w:r>
            <w:r>
              <w:rPr>
                <w:rFonts w:hint="eastAsia" w:ascii="宋体" w:hAnsi="宋体" w:eastAsia="宋体" w:cs="宋体"/>
                <w:color w:val="000000"/>
                <w:sz w:val="20"/>
                <w:szCs w:val="24"/>
                <w:highlight w:val="none"/>
                <w:lang w:val="en-US" w:eastAsia="zh-CN"/>
              </w:rPr>
              <w:t>9</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314.16</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10</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盘圆</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HPB300φ8</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4</w:t>
            </w:r>
            <w:r>
              <w:rPr>
                <w:rFonts w:hint="eastAsia" w:ascii="宋体" w:hAnsi="宋体" w:eastAsia="宋体" w:cs="宋体"/>
                <w:color w:val="000000"/>
                <w:sz w:val="20"/>
                <w:szCs w:val="24"/>
                <w:highlight w:val="none"/>
                <w:lang w:val="en-US" w:eastAsia="zh-CN"/>
              </w:rPr>
              <w:t>6</w:t>
            </w:r>
          </w:p>
        </w:tc>
        <w:tc>
          <w:tcPr>
            <w:tcW w:w="1356" w:type="dxa"/>
            <w:noWrap w:val="0"/>
            <w:vAlign w:val="center"/>
          </w:tcPr>
          <w:p>
            <w:pPr>
              <w:spacing w:line="276"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3097.35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11</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螺纹钢</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HRB400Eφ10</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38</w:t>
            </w:r>
            <w:r>
              <w:rPr>
                <w:rFonts w:hint="eastAsia" w:ascii="宋体" w:hAnsi="宋体" w:eastAsia="宋体" w:cs="宋体"/>
                <w:color w:val="000000"/>
                <w:sz w:val="20"/>
                <w:szCs w:val="24"/>
                <w:highlight w:val="none"/>
                <w:lang w:val="en-US" w:eastAsia="zh-CN"/>
              </w:rPr>
              <w:t>6</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szCs w:val="21"/>
                <w:highlight w:val="none"/>
                <w:lang w:val="en-US" w:eastAsia="zh-CN"/>
              </w:rPr>
              <w:t>3097.35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12</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highlight w:val="none"/>
              </w:rPr>
              <w:t>螺纹钢</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HRB400Eφ12</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88</w:t>
            </w:r>
            <w:r>
              <w:rPr>
                <w:rFonts w:hint="eastAsia" w:ascii="宋体" w:hAnsi="宋体" w:eastAsia="宋体" w:cs="宋体"/>
                <w:color w:val="000000"/>
                <w:sz w:val="20"/>
                <w:szCs w:val="24"/>
                <w:highlight w:val="none"/>
                <w:lang w:val="en-US" w:eastAsia="zh-CN"/>
              </w:rPr>
              <w:t>3</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szCs w:val="21"/>
                <w:highlight w:val="none"/>
                <w:lang w:val="en-US" w:eastAsia="zh-CN"/>
              </w:rPr>
              <w:t>3097.35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13</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highlight w:val="none"/>
              </w:rPr>
              <w:t>螺纹钢</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HRB400Eφ14</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37</w:t>
            </w:r>
            <w:r>
              <w:rPr>
                <w:rFonts w:hint="eastAsia" w:ascii="宋体" w:hAnsi="宋体" w:eastAsia="宋体" w:cs="宋体"/>
                <w:color w:val="000000"/>
                <w:sz w:val="20"/>
                <w:szCs w:val="24"/>
                <w:highlight w:val="none"/>
                <w:lang w:val="en-US" w:eastAsia="zh-CN"/>
              </w:rPr>
              <w:t>2</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szCs w:val="21"/>
                <w:highlight w:val="none"/>
                <w:lang w:val="en-US" w:eastAsia="zh-CN"/>
              </w:rPr>
              <w:t>3097.35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14</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highlight w:val="none"/>
              </w:rPr>
              <w:t>螺纹钢</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HRB400Eφ16</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lang w:val="en-US" w:eastAsia="zh-CN"/>
              </w:rPr>
              <w:t>吨</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1</w:t>
            </w:r>
            <w:r>
              <w:rPr>
                <w:rFonts w:hint="eastAsia" w:ascii="宋体" w:hAnsi="宋体" w:eastAsia="宋体" w:cs="宋体"/>
                <w:color w:val="000000"/>
                <w:sz w:val="20"/>
                <w:szCs w:val="24"/>
                <w:highlight w:val="none"/>
                <w:lang w:val="en-US" w:eastAsia="zh-CN"/>
              </w:rPr>
              <w:t>7</w:t>
            </w:r>
          </w:p>
        </w:tc>
        <w:tc>
          <w:tcPr>
            <w:tcW w:w="1356" w:type="dxa"/>
            <w:noWrap w:val="0"/>
            <w:vAlign w:val="center"/>
          </w:tcPr>
          <w:p>
            <w:pPr>
              <w:spacing w:line="276" w:lineRule="auto"/>
              <w:jc w:val="center"/>
              <w:rPr>
                <w:rFonts w:hint="eastAsia" w:ascii="宋体" w:hAnsi="宋体" w:cs="仿宋_GB2312"/>
                <w:szCs w:val="21"/>
                <w:highlight w:val="none"/>
              </w:rPr>
            </w:pPr>
            <w:r>
              <w:rPr>
                <w:rFonts w:hint="eastAsia" w:ascii="宋体" w:hAnsi="宋体" w:cs="仿宋_GB2312"/>
                <w:szCs w:val="21"/>
                <w:highlight w:val="none"/>
                <w:lang w:val="en-US" w:eastAsia="zh-CN"/>
              </w:rPr>
              <w:t>3097.35</w:t>
            </w: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15</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透水混凝土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C25</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1323</w:t>
            </w:r>
            <w:r>
              <w:rPr>
                <w:rFonts w:hint="eastAsia" w:ascii="宋体" w:hAnsi="宋体" w:eastAsia="宋体" w:cs="宋体"/>
                <w:color w:val="000000"/>
                <w:sz w:val="20"/>
                <w:szCs w:val="24"/>
                <w:highlight w:val="none"/>
                <w:lang w:val="en-US" w:eastAsia="zh-CN"/>
              </w:rPr>
              <w:t>5</w:t>
            </w:r>
          </w:p>
        </w:tc>
        <w:tc>
          <w:tcPr>
            <w:tcW w:w="1356" w:type="dxa"/>
            <w:noWrap w:val="0"/>
            <w:vAlign w:val="center"/>
          </w:tcPr>
          <w:p>
            <w:pPr>
              <w:spacing w:line="276" w:lineRule="auto"/>
              <w:jc w:val="center"/>
              <w:rPr>
                <w:rFonts w:hint="eastAsia" w:ascii="宋体" w:hAnsi="宋体" w:eastAsia="宋体" w:cs="仿宋_GB2312"/>
                <w:szCs w:val="21"/>
                <w:highlight w:val="none"/>
                <w:lang w:val="en-US" w:eastAsia="zh-CN"/>
              </w:rPr>
            </w:pPr>
            <w:r>
              <w:rPr>
                <w:rFonts w:hint="eastAsia" w:ascii="宋体" w:hAnsi="宋体" w:cs="仿宋_GB2312"/>
                <w:szCs w:val="21"/>
                <w:highlight w:val="none"/>
                <w:lang w:val="en-US" w:eastAsia="zh-CN"/>
              </w:rPr>
              <w:t>/</w:t>
            </w:r>
          </w:p>
        </w:tc>
        <w:tc>
          <w:tcPr>
            <w:tcW w:w="1150" w:type="dxa"/>
            <w:noWrap w:val="0"/>
            <w:vAlign w:val="center"/>
          </w:tcPr>
          <w:p>
            <w:pPr>
              <w:spacing w:line="276" w:lineRule="auto"/>
              <w:jc w:val="center"/>
              <w:rPr>
                <w:rFonts w:hint="eastAsia"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w:t>
            </w: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16</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彩色透水混凝土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C25</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600</w:t>
            </w:r>
            <w:r>
              <w:rPr>
                <w:rFonts w:hint="eastAsia" w:ascii="宋体" w:hAnsi="宋体" w:eastAsia="宋体" w:cs="宋体"/>
                <w:color w:val="000000"/>
                <w:sz w:val="20"/>
                <w:szCs w:val="24"/>
                <w:highlight w:val="none"/>
                <w:lang w:val="en-US" w:eastAsia="zh-CN"/>
              </w:rPr>
              <w:t>5</w:t>
            </w:r>
          </w:p>
        </w:tc>
        <w:tc>
          <w:tcPr>
            <w:tcW w:w="1356" w:type="dxa"/>
            <w:noWrap w:val="0"/>
            <w:vAlign w:val="center"/>
          </w:tcPr>
          <w:p>
            <w:pPr>
              <w:spacing w:line="276" w:lineRule="auto"/>
              <w:jc w:val="center"/>
              <w:rPr>
                <w:rFonts w:hint="eastAsia" w:ascii="宋体" w:hAnsi="宋体" w:eastAsia="宋体" w:cs="仿宋_GB2312"/>
                <w:szCs w:val="21"/>
                <w:highlight w:val="none"/>
                <w:lang w:val="en-US" w:eastAsia="zh-CN"/>
              </w:rPr>
            </w:pPr>
            <w:r>
              <w:rPr>
                <w:rFonts w:hint="eastAsia" w:ascii="宋体" w:hAnsi="宋体" w:cs="仿宋_GB2312"/>
                <w:szCs w:val="21"/>
                <w:highlight w:val="none"/>
                <w:lang w:val="en-US" w:eastAsia="zh-CN"/>
              </w:rPr>
              <w:t>/</w:t>
            </w:r>
          </w:p>
        </w:tc>
        <w:tc>
          <w:tcPr>
            <w:tcW w:w="1150"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lang w:val="en-US" w:eastAsia="zh-CN"/>
              </w:rPr>
              <w:t>/</w:t>
            </w: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67" w:type="dxa"/>
            <w:noWrap w:val="0"/>
            <w:vAlign w:val="center"/>
          </w:tcPr>
          <w:p>
            <w:pPr>
              <w:spacing w:line="276" w:lineRule="auto"/>
              <w:jc w:val="center"/>
              <w:rPr>
                <w:rFonts w:hint="default" w:ascii="宋体" w:hAnsi="宋体" w:eastAsia="宋体" w:cs="仿宋_GB2312"/>
                <w:color w:val="000000"/>
                <w:szCs w:val="21"/>
                <w:highlight w:val="none"/>
                <w:lang w:val="en-US" w:eastAsia="zh-CN"/>
              </w:rPr>
            </w:pPr>
            <w:r>
              <w:rPr>
                <w:rFonts w:hint="eastAsia" w:ascii="宋体" w:hAnsi="宋体" w:cs="仿宋_GB2312"/>
                <w:color w:val="000000"/>
                <w:szCs w:val="21"/>
                <w:highlight w:val="none"/>
                <w:lang w:val="en-US" w:eastAsia="zh-CN"/>
              </w:rPr>
              <w:t>17</w:t>
            </w:r>
          </w:p>
        </w:tc>
        <w:tc>
          <w:tcPr>
            <w:tcW w:w="1950"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气泡混合轻质土</w:t>
            </w:r>
          </w:p>
        </w:tc>
        <w:tc>
          <w:tcPr>
            <w:tcW w:w="1616" w:type="dxa"/>
            <w:noWrap w:val="0"/>
            <w:vAlign w:val="center"/>
          </w:tcPr>
          <w:p>
            <w:pPr>
              <w:spacing w:beforeLines="0" w:afterLines="0"/>
              <w:jc w:val="center"/>
              <w:rPr>
                <w:rFonts w:hint="eastAsia" w:ascii="宋体" w:hAnsi="宋体"/>
                <w:szCs w:val="21"/>
                <w:highlight w:val="none"/>
              </w:rPr>
            </w:pPr>
            <w:r>
              <w:rPr>
                <w:rFonts w:hint="eastAsia" w:ascii="宋体" w:hAnsi="宋体" w:eastAsia="宋体" w:cs="宋体"/>
                <w:color w:val="000000"/>
                <w:sz w:val="20"/>
                <w:szCs w:val="24"/>
                <w:highlight w:val="none"/>
              </w:rPr>
              <w:t>/</w:t>
            </w:r>
          </w:p>
        </w:tc>
        <w:tc>
          <w:tcPr>
            <w:tcW w:w="624"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kern w:val="2"/>
                <w:sz w:val="20"/>
                <w:szCs w:val="24"/>
                <w:highlight w:val="none"/>
                <w:lang w:val="en-US" w:eastAsia="zh-CN" w:bidi="ar-SA"/>
              </w:rPr>
              <w:t>立方</w:t>
            </w:r>
          </w:p>
        </w:tc>
        <w:tc>
          <w:tcPr>
            <w:tcW w:w="863" w:type="dxa"/>
            <w:noWrap w:val="0"/>
            <w:vAlign w:val="center"/>
          </w:tcPr>
          <w:p>
            <w:pPr>
              <w:spacing w:beforeLines="0" w:afterLines="0"/>
              <w:jc w:val="center"/>
              <w:rPr>
                <w:rFonts w:hint="eastAsia" w:ascii="宋体" w:hAnsi="宋体" w:cs="宋体"/>
                <w:color w:val="000000"/>
                <w:kern w:val="0"/>
                <w:szCs w:val="21"/>
                <w:highlight w:val="none"/>
              </w:rPr>
            </w:pPr>
            <w:r>
              <w:rPr>
                <w:rFonts w:hint="eastAsia" w:ascii="宋体" w:hAnsi="宋体" w:eastAsia="宋体" w:cs="宋体"/>
                <w:color w:val="000000"/>
                <w:sz w:val="20"/>
                <w:szCs w:val="24"/>
                <w:highlight w:val="none"/>
              </w:rPr>
              <w:t>16039</w:t>
            </w:r>
            <w:r>
              <w:rPr>
                <w:rFonts w:hint="eastAsia" w:ascii="宋体" w:hAnsi="宋体" w:eastAsia="宋体" w:cs="宋体"/>
                <w:color w:val="000000"/>
                <w:sz w:val="20"/>
                <w:szCs w:val="24"/>
                <w:highlight w:val="none"/>
                <w:lang w:val="en-US" w:eastAsia="zh-CN"/>
              </w:rPr>
              <w:t>6</w:t>
            </w:r>
          </w:p>
        </w:tc>
        <w:tc>
          <w:tcPr>
            <w:tcW w:w="1356" w:type="dxa"/>
            <w:noWrap w:val="0"/>
            <w:vAlign w:val="center"/>
          </w:tcPr>
          <w:p>
            <w:pPr>
              <w:spacing w:line="276" w:lineRule="auto"/>
              <w:jc w:val="center"/>
              <w:rPr>
                <w:rFonts w:hint="eastAsia" w:ascii="宋体" w:hAnsi="宋体" w:eastAsia="宋体" w:cs="仿宋_GB2312"/>
                <w:szCs w:val="21"/>
                <w:highlight w:val="none"/>
                <w:lang w:val="en-US" w:eastAsia="zh-CN"/>
              </w:rPr>
            </w:pPr>
            <w:r>
              <w:rPr>
                <w:rFonts w:hint="eastAsia" w:ascii="宋体" w:hAnsi="宋体" w:cs="仿宋_GB2312"/>
                <w:szCs w:val="21"/>
                <w:highlight w:val="none"/>
                <w:lang w:val="en-US" w:eastAsia="zh-CN"/>
              </w:rPr>
              <w:t>/</w:t>
            </w:r>
          </w:p>
        </w:tc>
        <w:tc>
          <w:tcPr>
            <w:tcW w:w="1150"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lang w:val="en-US" w:eastAsia="zh-CN"/>
              </w:rPr>
              <w:t>/</w:t>
            </w: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67" w:type="dxa"/>
            <w:noWrap w:val="0"/>
            <w:vAlign w:val="center"/>
          </w:tcPr>
          <w:p>
            <w:pPr>
              <w:spacing w:line="276" w:lineRule="auto"/>
              <w:jc w:val="center"/>
              <w:rPr>
                <w:rFonts w:hint="eastAsia" w:ascii="宋体" w:hAnsi="宋体" w:eastAsia="宋体" w:cs="仿宋_GB2312"/>
                <w:color w:val="000000"/>
                <w:szCs w:val="21"/>
                <w:highlight w:val="none"/>
                <w:lang w:val="en-US" w:eastAsia="zh-CN"/>
              </w:rPr>
            </w:pPr>
            <w:r>
              <w:rPr>
                <w:rFonts w:hint="eastAsia" w:ascii="宋体" w:hAnsi="宋体" w:cs="仿宋_GB2312"/>
                <w:color w:val="000000"/>
                <w:szCs w:val="21"/>
                <w:highlight w:val="none"/>
              </w:rPr>
              <w:t>1</w:t>
            </w:r>
            <w:r>
              <w:rPr>
                <w:rFonts w:hint="eastAsia" w:ascii="宋体" w:hAnsi="宋体" w:cs="仿宋_GB2312"/>
                <w:color w:val="000000"/>
                <w:szCs w:val="21"/>
                <w:highlight w:val="none"/>
                <w:lang w:val="en-US" w:eastAsia="zh-CN"/>
              </w:rPr>
              <w:t>8</w:t>
            </w:r>
          </w:p>
        </w:tc>
        <w:tc>
          <w:tcPr>
            <w:tcW w:w="4190" w:type="dxa"/>
            <w:gridSpan w:val="3"/>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合计</w:t>
            </w:r>
          </w:p>
        </w:tc>
        <w:tc>
          <w:tcPr>
            <w:tcW w:w="863" w:type="dxa"/>
            <w:noWrap w:val="0"/>
            <w:vAlign w:val="center"/>
          </w:tcPr>
          <w:p>
            <w:pPr>
              <w:spacing w:line="276" w:lineRule="auto"/>
              <w:jc w:val="center"/>
              <w:rPr>
                <w:rFonts w:hint="eastAsia" w:ascii="宋体" w:hAnsi="宋体" w:cs="仿宋_GB2312"/>
                <w:color w:val="000000"/>
                <w:szCs w:val="21"/>
                <w:highlight w:val="none"/>
              </w:rPr>
            </w:pPr>
          </w:p>
        </w:tc>
        <w:tc>
          <w:tcPr>
            <w:tcW w:w="1356" w:type="dxa"/>
            <w:noWrap w:val="0"/>
            <w:vAlign w:val="center"/>
          </w:tcPr>
          <w:p>
            <w:pPr>
              <w:spacing w:line="276" w:lineRule="auto"/>
              <w:jc w:val="center"/>
              <w:rPr>
                <w:rFonts w:hint="eastAsia" w:ascii="宋体" w:hAnsi="宋体" w:cs="仿宋_GB2312"/>
                <w:color w:val="000000"/>
                <w:szCs w:val="21"/>
                <w:highlight w:val="none"/>
              </w:rPr>
            </w:pPr>
          </w:p>
        </w:tc>
        <w:tc>
          <w:tcPr>
            <w:tcW w:w="1150" w:type="dxa"/>
            <w:noWrap w:val="0"/>
            <w:vAlign w:val="center"/>
          </w:tcPr>
          <w:p>
            <w:pPr>
              <w:spacing w:line="276" w:lineRule="auto"/>
              <w:jc w:val="center"/>
              <w:rPr>
                <w:rFonts w:hint="eastAsia" w:ascii="宋体" w:hAnsi="宋体" w:cs="仿宋_GB2312"/>
                <w:color w:val="000000"/>
                <w:szCs w:val="21"/>
                <w:highlight w:val="none"/>
              </w:rPr>
            </w:pPr>
          </w:p>
        </w:tc>
        <w:tc>
          <w:tcPr>
            <w:tcW w:w="1254" w:type="dxa"/>
            <w:noWrap w:val="0"/>
            <w:vAlign w:val="center"/>
          </w:tcPr>
          <w:p>
            <w:pPr>
              <w:spacing w:line="276" w:lineRule="auto"/>
              <w:jc w:val="center"/>
              <w:rPr>
                <w:rFonts w:hint="eastAsia" w:ascii="宋体" w:hAnsi="宋体" w:cs="仿宋_GB2312"/>
                <w:color w:val="000000"/>
                <w:szCs w:val="21"/>
                <w:highlight w:val="none"/>
              </w:rPr>
            </w:pPr>
          </w:p>
        </w:tc>
        <w:tc>
          <w:tcPr>
            <w:tcW w:w="1128" w:type="dxa"/>
            <w:noWrap w:val="0"/>
            <w:vAlign w:val="center"/>
          </w:tcPr>
          <w:p>
            <w:pPr>
              <w:spacing w:line="276" w:lineRule="auto"/>
              <w:jc w:val="center"/>
              <w:rPr>
                <w:rFonts w:hint="eastAsia" w:ascii="宋体" w:hAnsi="宋体" w:cs="仿宋_GB2312"/>
                <w:color w:val="000000"/>
                <w:szCs w:val="21"/>
                <w:highlight w:val="none"/>
              </w:rPr>
            </w:pPr>
          </w:p>
        </w:tc>
        <w:tc>
          <w:tcPr>
            <w:tcW w:w="1122" w:type="dxa"/>
            <w:noWrap w:val="0"/>
            <w:vAlign w:val="center"/>
          </w:tcPr>
          <w:p>
            <w:pPr>
              <w:spacing w:line="276" w:lineRule="auto"/>
              <w:jc w:val="center"/>
              <w:rPr>
                <w:rFonts w:hint="eastAsia" w:ascii="宋体" w:hAnsi="宋体" w:cs="仿宋_GB2312"/>
                <w:color w:val="000000"/>
                <w:szCs w:val="21"/>
                <w:highlight w:val="none"/>
              </w:rPr>
            </w:pPr>
          </w:p>
        </w:tc>
        <w:tc>
          <w:tcPr>
            <w:tcW w:w="1646" w:type="dxa"/>
            <w:noWrap w:val="0"/>
            <w:vAlign w:val="center"/>
          </w:tcPr>
          <w:p>
            <w:pPr>
              <w:spacing w:line="276" w:lineRule="auto"/>
              <w:jc w:val="center"/>
              <w:rPr>
                <w:rFonts w:hint="eastAsia" w:ascii="宋体" w:hAnsi="宋体" w:cs="仿宋_GB2312"/>
                <w:color w:val="000000"/>
                <w:szCs w:val="21"/>
                <w:highlight w:val="none"/>
              </w:rPr>
            </w:pPr>
          </w:p>
        </w:tc>
        <w:tc>
          <w:tcPr>
            <w:tcW w:w="1003" w:type="dxa"/>
            <w:noWrap w:val="0"/>
            <w:vAlign w:val="center"/>
          </w:tcPr>
          <w:p>
            <w:pPr>
              <w:spacing w:line="276" w:lineRule="auto"/>
              <w:jc w:val="center"/>
              <w:rPr>
                <w:rFonts w:hint="eastAsia" w:ascii="宋体" w:hAnsi="宋体" w:cs="仿宋_GB2312"/>
                <w:color w:val="000000"/>
                <w:szCs w:val="21"/>
                <w:highlight w:val="none"/>
              </w:rPr>
            </w:pPr>
          </w:p>
        </w:tc>
        <w:tc>
          <w:tcPr>
            <w:tcW w:w="988" w:type="dxa"/>
            <w:noWrap w:val="0"/>
            <w:vAlign w:val="center"/>
          </w:tcPr>
          <w:p>
            <w:pPr>
              <w:spacing w:line="276" w:lineRule="auto"/>
              <w:jc w:val="center"/>
              <w:rPr>
                <w:rFonts w:hint="eastAsia" w:ascii="宋体" w:hAnsi="宋体" w:cs="仿宋_GB2312"/>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67" w:type="dxa"/>
            <w:noWrap w:val="0"/>
            <w:vAlign w:val="center"/>
          </w:tcPr>
          <w:p>
            <w:pPr>
              <w:spacing w:line="276" w:lineRule="auto"/>
              <w:jc w:val="center"/>
              <w:rPr>
                <w:rFonts w:hint="eastAsia" w:ascii="宋体" w:hAnsi="宋体" w:cs="仿宋_GB2312"/>
                <w:color w:val="000000"/>
                <w:szCs w:val="21"/>
                <w:highlight w:val="none"/>
              </w:rPr>
            </w:pPr>
            <w:r>
              <w:rPr>
                <w:rFonts w:hint="eastAsia" w:ascii="宋体" w:hAnsi="宋体" w:cs="仿宋_GB2312"/>
                <w:color w:val="000000"/>
                <w:szCs w:val="21"/>
                <w:highlight w:val="none"/>
              </w:rPr>
              <w:t>13</w:t>
            </w:r>
          </w:p>
        </w:tc>
        <w:tc>
          <w:tcPr>
            <w:tcW w:w="14700" w:type="dxa"/>
            <w:gridSpan w:val="12"/>
            <w:noWrap w:val="0"/>
            <w:vAlign w:val="center"/>
          </w:tcPr>
          <w:p>
            <w:pPr>
              <w:adjustRightInd w:val="0"/>
              <w:snapToGrid w:val="0"/>
              <w:spacing w:line="360" w:lineRule="auto"/>
              <w:ind w:firstLine="420" w:firstLineChars="200"/>
              <w:rPr>
                <w:rFonts w:hint="eastAsia" w:ascii="宋体" w:hAnsi="宋体"/>
                <w:szCs w:val="21"/>
                <w:highlight w:val="none"/>
              </w:rPr>
            </w:pPr>
            <w:r>
              <w:rPr>
                <w:rFonts w:hint="eastAsia" w:ascii="宋体" w:hAnsi="宋体"/>
                <w:szCs w:val="21"/>
                <w:highlight w:val="none"/>
              </w:rPr>
              <w:t>价格调整方式：</w:t>
            </w:r>
          </w:p>
          <w:p>
            <w:pPr>
              <w:adjustRightInd w:val="0"/>
              <w:snapToGrid w:val="0"/>
              <w:spacing w:line="360" w:lineRule="auto"/>
              <w:ind w:firstLine="422" w:firstLineChars="200"/>
              <w:rPr>
                <w:rFonts w:hint="eastAsia" w:ascii="宋体" w:hAnsi="宋体" w:cs="仿宋_GB2312"/>
                <w:szCs w:val="21"/>
                <w:highlight w:val="none"/>
              </w:rPr>
            </w:pPr>
            <w:r>
              <w:rPr>
                <w:rFonts w:hint="eastAsia" w:ascii="宋体" w:hAnsi="宋体" w:eastAsia="宋体" w:cs="宋体"/>
                <w:b/>
                <w:bCs/>
                <w:szCs w:val="21"/>
                <w:highlight w:val="none"/>
                <w:lang w:val="en-US" w:eastAsia="zh-CN"/>
              </w:rPr>
              <w:t>混凝土：</w:t>
            </w:r>
            <w:r>
              <w:rPr>
                <w:rFonts w:hint="eastAsia" w:ascii="宋体" w:hAnsi="宋体" w:eastAsia="宋体" w:cs="宋体"/>
                <w:b w:val="0"/>
                <w:bCs w:val="0"/>
                <w:szCs w:val="21"/>
                <w:highlight w:val="none"/>
                <w:lang w:val="en-US" w:eastAsia="zh-CN"/>
              </w:rPr>
              <w:t>以供应月当期广州市建设工程造价管理站发布的广州市建设工程价格信息同强度等级标号混凝土税前综合价格“区间值均价”下浮</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%加</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%税作为相应材料含税结算价格</w:t>
            </w:r>
            <w:r>
              <w:rPr>
                <w:rFonts w:hint="eastAsia" w:ascii="宋体" w:hAnsi="宋体" w:cs="仿宋_GB2312"/>
                <w:szCs w:val="21"/>
                <w:highlight w:val="none"/>
              </w:rPr>
              <w:t>。</w:t>
            </w:r>
          </w:p>
          <w:p>
            <w:pPr>
              <w:adjustRightInd w:val="0"/>
              <w:snapToGrid w:val="0"/>
              <w:spacing w:line="360" w:lineRule="auto"/>
              <w:ind w:firstLine="422" w:firstLineChars="200"/>
              <w:rPr>
                <w:rFonts w:hint="eastAsia" w:ascii="宋体" w:hAnsi="宋体" w:eastAsia="宋体" w:cs="仿宋_GB2312"/>
                <w:szCs w:val="21"/>
                <w:highlight w:val="none"/>
              </w:rPr>
            </w:pPr>
            <w:r>
              <w:rPr>
                <w:rFonts w:hint="eastAsia" w:ascii="宋体" w:hAnsi="宋体" w:eastAsia="宋体" w:cs="宋体"/>
                <w:b/>
                <w:bCs/>
                <w:szCs w:val="21"/>
                <w:highlight w:val="none"/>
                <w:lang w:val="en-US" w:eastAsia="zh-CN"/>
              </w:rPr>
              <w:t>干混砂浆：</w:t>
            </w:r>
            <w:r>
              <w:rPr>
                <w:rFonts w:hint="eastAsia" w:ascii="宋体" w:hAnsi="宋体" w:eastAsia="宋体" w:cs="宋体"/>
                <w:b w:val="0"/>
                <w:bCs w:val="0"/>
                <w:szCs w:val="21"/>
                <w:highlight w:val="none"/>
                <w:lang w:val="en-US" w:eastAsia="zh-CN"/>
              </w:rPr>
              <w:t>以供应月当期广州市建设工程造价管理站发布的广州市建设工程价格信息同强度等级标号干混砌筑砂浆税前综合价格“区间值均价”下浮</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%加</w:t>
            </w:r>
            <w:r>
              <w:rPr>
                <w:rFonts w:hint="eastAsia" w:ascii="宋体" w:hAnsi="宋体" w:eastAsia="宋体" w:cs="宋体"/>
                <w:b w:val="0"/>
                <w:bCs w:val="0"/>
                <w:szCs w:val="21"/>
                <w:highlight w:val="none"/>
                <w:u w:val="single"/>
                <w:lang w:val="en-US" w:eastAsia="zh-CN"/>
              </w:rPr>
              <w:t xml:space="preserve">   </w:t>
            </w:r>
            <w:r>
              <w:rPr>
                <w:rFonts w:hint="eastAsia" w:ascii="宋体" w:hAnsi="宋体" w:eastAsia="宋体" w:cs="宋体"/>
                <w:b w:val="0"/>
                <w:bCs w:val="0"/>
                <w:szCs w:val="21"/>
                <w:highlight w:val="none"/>
                <w:lang w:val="en-US" w:eastAsia="zh-CN"/>
              </w:rPr>
              <w:t xml:space="preserve"> %税作为相应材料含税结算价格</w:t>
            </w:r>
            <w:r>
              <w:rPr>
                <w:rFonts w:hint="eastAsia" w:ascii="宋体" w:hAnsi="宋体" w:eastAsia="宋体" w:cs="仿宋_GB2312"/>
                <w:szCs w:val="21"/>
                <w:highlight w:val="none"/>
              </w:rPr>
              <w:t>。</w:t>
            </w:r>
          </w:p>
          <w:p>
            <w:pPr>
              <w:adjustRightInd w:val="0"/>
              <w:snapToGrid w:val="0"/>
              <w:spacing w:line="360" w:lineRule="auto"/>
              <w:ind w:firstLine="422" w:firstLineChars="200"/>
              <w:rPr>
                <w:rFonts w:hint="eastAsia" w:ascii="宋体" w:hAnsi="宋体"/>
                <w:szCs w:val="21"/>
                <w:highlight w:val="none"/>
              </w:rPr>
            </w:pPr>
            <w:r>
              <w:rPr>
                <w:rFonts w:hint="eastAsia"/>
                <w:b/>
                <w:bCs/>
                <w:highlight w:val="none"/>
                <w:lang w:val="en-US" w:eastAsia="zh-CN"/>
              </w:rPr>
              <w:t>水泥：</w:t>
            </w:r>
            <w:r>
              <w:rPr>
                <w:rFonts w:hint="eastAsia" w:ascii="宋体" w:hAnsi="宋体"/>
                <w:szCs w:val="21"/>
                <w:highlight w:val="none"/>
                <w:lang w:eastAsia="zh-CN"/>
              </w:rPr>
              <w:t>以</w:t>
            </w:r>
            <w:r>
              <w:rPr>
                <w:rFonts w:hint="eastAsia" w:ascii="宋体" w:hAnsi="宋体"/>
                <w:szCs w:val="21"/>
                <w:highlight w:val="none"/>
                <w:lang w:val="en-US" w:eastAsia="zh-CN"/>
              </w:rPr>
              <w:t>供应</w:t>
            </w:r>
            <w:r>
              <w:rPr>
                <w:rFonts w:hint="eastAsia" w:ascii="宋体" w:hAnsi="宋体"/>
                <w:szCs w:val="21"/>
                <w:highlight w:val="none"/>
                <w:lang w:eastAsia="zh-CN"/>
              </w:rPr>
              <w:t>当月“数字水泥网”全国水泥市场价格汇总表P.O42.5散装水泥的市场到位价广州地区上旬和下旬平均价</w:t>
            </w:r>
            <w:r>
              <w:rPr>
                <w:rFonts w:hint="eastAsia" w:ascii="宋体" w:hAnsi="宋体"/>
                <w:szCs w:val="21"/>
                <w:highlight w:val="none"/>
                <w:lang w:val="en-US" w:eastAsia="zh-CN"/>
              </w:rPr>
              <w:t>+综合单价</w:t>
            </w:r>
            <w:r>
              <w:rPr>
                <w:rFonts w:hint="eastAsia" w:ascii="宋体" w:hAnsi="宋体"/>
                <w:szCs w:val="21"/>
                <w:highlight w:val="none"/>
                <w:u w:val="single"/>
                <w:lang w:val="en-US" w:eastAsia="zh-CN"/>
              </w:rPr>
              <w:t xml:space="preserve">    </w:t>
            </w:r>
            <w:r>
              <w:rPr>
                <w:rFonts w:hint="eastAsia" w:ascii="宋体" w:hAnsi="宋体"/>
                <w:szCs w:val="21"/>
                <w:highlight w:val="none"/>
                <w:u w:val="none"/>
                <w:lang w:val="en-US" w:eastAsia="zh-CN"/>
              </w:rPr>
              <w:t>元/吨作为相应材料含税结算价格</w:t>
            </w:r>
            <w:r>
              <w:rPr>
                <w:rFonts w:hint="eastAsia" w:ascii="宋体" w:hAnsi="宋体"/>
                <w:szCs w:val="21"/>
                <w:highlight w:val="none"/>
              </w:rPr>
              <w:t>。</w:t>
            </w:r>
          </w:p>
          <w:p>
            <w:pPr>
              <w:adjustRightInd w:val="0"/>
              <w:snapToGrid w:val="0"/>
              <w:spacing w:line="360" w:lineRule="auto"/>
              <w:ind w:firstLine="422" w:firstLineChars="200"/>
              <w:rPr>
                <w:rFonts w:hint="eastAsia"/>
                <w:highlight w:val="none"/>
              </w:rPr>
            </w:pPr>
            <w:r>
              <w:rPr>
                <w:rFonts w:hint="eastAsia" w:ascii="宋体" w:hAnsi="宋体" w:eastAsia="宋体" w:cs="Times New Roman"/>
                <w:b/>
                <w:bCs/>
                <w:kern w:val="2"/>
                <w:sz w:val="21"/>
                <w:szCs w:val="21"/>
                <w:highlight w:val="none"/>
                <w:lang w:val="en-US" w:eastAsia="zh-CN" w:bidi="ar-SA"/>
              </w:rPr>
              <w:t>钢材：</w:t>
            </w:r>
            <w:r>
              <w:rPr>
                <w:rFonts w:hint="eastAsia" w:ascii="宋体" w:hAnsi="宋体" w:eastAsia="宋体" w:cs="Times New Roman"/>
                <w:b w:val="0"/>
                <w:bCs w:val="0"/>
                <w:kern w:val="2"/>
                <w:sz w:val="21"/>
                <w:szCs w:val="21"/>
                <w:highlight w:val="none"/>
                <w:lang w:val="en-US" w:eastAsia="zh-CN" w:bidi="ar-SA"/>
              </w:rPr>
              <w:t>在供应期（上月21日至本月20日）内，以货到当日《我的钢铁网》（www.mysteel.com）广州建筑钢材价格行情公布的同品牌同规格型号网价+综合单价</w:t>
            </w:r>
            <w:r>
              <w:rPr>
                <w:rFonts w:hint="eastAsia" w:ascii="宋体" w:hAnsi="宋体" w:eastAsia="宋体" w:cs="Times New Roman"/>
                <w:b w:val="0"/>
                <w:bCs w:val="0"/>
                <w:kern w:val="2"/>
                <w:sz w:val="21"/>
                <w:szCs w:val="21"/>
                <w:highlight w:val="none"/>
                <w:u w:val="single"/>
                <w:lang w:val="en-US" w:eastAsia="zh-CN" w:bidi="ar-SA"/>
              </w:rPr>
              <w:t xml:space="preserve">    </w:t>
            </w:r>
            <w:r>
              <w:rPr>
                <w:rFonts w:hint="eastAsia" w:ascii="宋体" w:hAnsi="宋体" w:eastAsia="宋体" w:cs="Times New Roman"/>
                <w:b w:val="0"/>
                <w:bCs w:val="0"/>
                <w:kern w:val="2"/>
                <w:sz w:val="21"/>
                <w:szCs w:val="21"/>
                <w:highlight w:val="none"/>
                <w:lang w:val="en-US" w:eastAsia="zh-CN" w:bidi="ar-SA"/>
              </w:rPr>
              <w:t>元/吨作为相应材料含税结算价格。</w:t>
            </w:r>
          </w:p>
        </w:tc>
      </w:tr>
    </w:tbl>
    <w:p>
      <w:pPr>
        <w:spacing w:line="360" w:lineRule="auto"/>
        <w:rPr>
          <w:rFonts w:hint="eastAsia" w:ascii="宋体" w:hAnsi="宋体"/>
          <w:b/>
          <w:szCs w:val="21"/>
          <w:highlight w:val="none"/>
          <w:lang w:val="en-US" w:eastAsia="zh-CN"/>
        </w:rPr>
      </w:pPr>
    </w:p>
    <w:p>
      <w:pPr>
        <w:spacing w:line="360" w:lineRule="auto"/>
        <w:ind w:firstLine="422" w:firstLineChars="200"/>
        <w:rPr>
          <w:rFonts w:hint="eastAsia" w:ascii="宋体" w:hAnsi="宋体"/>
          <w:b/>
          <w:szCs w:val="21"/>
          <w:highlight w:val="none"/>
          <w:lang w:val="en-US" w:eastAsia="zh-CN"/>
        </w:rPr>
      </w:pPr>
      <w:r>
        <w:rPr>
          <w:rFonts w:hint="eastAsia" w:ascii="宋体" w:hAnsi="宋体"/>
          <w:b/>
          <w:szCs w:val="21"/>
          <w:highlight w:val="none"/>
          <w:lang w:val="en-US" w:eastAsia="zh-CN"/>
        </w:rPr>
        <w:t>报价说明：</w:t>
      </w:r>
    </w:p>
    <w:p>
      <w:pPr>
        <w:bidi w:val="0"/>
        <w:spacing w:line="360" w:lineRule="auto"/>
        <w:ind w:firstLine="420" w:firstLineChars="200"/>
        <w:rPr>
          <w:rFonts w:hint="eastAsia"/>
          <w:highlight w:val="none"/>
          <w:lang w:val="en-US" w:eastAsia="zh-CN"/>
        </w:rPr>
      </w:pPr>
      <w:r>
        <w:rPr>
          <w:rFonts w:hint="eastAsia"/>
          <w:highlight w:val="none"/>
          <w:lang w:val="en-US" w:eastAsia="zh-CN"/>
        </w:rPr>
        <w:t>①约定报价信息价/网价不能修改，按表中数据核算报价即可，其中水泥和钢材的网价已按约定的含税网价扣除相关税费进行反算不含税网价。</w:t>
      </w:r>
    </w:p>
    <w:p>
      <w:pPr>
        <w:bidi w:val="0"/>
        <w:spacing w:line="360" w:lineRule="auto"/>
        <w:ind w:firstLine="420"/>
        <w:rPr>
          <w:rFonts w:hint="eastAsia"/>
          <w:highlight w:val="none"/>
          <w:lang w:val="en-US" w:eastAsia="zh-CN"/>
        </w:rPr>
      </w:pPr>
      <w:r>
        <w:rPr>
          <w:rFonts w:hint="eastAsia"/>
          <w:highlight w:val="none"/>
          <w:lang w:val="en-US" w:eastAsia="zh-CN"/>
        </w:rPr>
        <w:t>②混凝土及干混砂浆报价时，第3列下浮率，如为下浮10%，则相关列填写-10%，到工地不含税结算单价计算为约定信息价*（100%+浮动比例），水泥及钢材报价，以水泥为例，如最终含税报价时网价+综合单价10元/吨，不含税报价时，第3列综合单价填写为10/（1+税率），到工地不含税结算单价=不含税信息价+不含税综合单价。钢材报价以此类推。透水混凝土及轻质土报价不需填写约定报价信息和下浮率两列数据。</w:t>
      </w:r>
    </w:p>
    <w:p>
      <w:pPr>
        <w:bidi w:val="0"/>
        <w:ind w:firstLine="420"/>
        <w:rPr>
          <w:rFonts w:hint="eastAsia"/>
          <w:highlight w:val="none"/>
          <w:lang w:val="en-US" w:eastAsia="zh-CN"/>
        </w:rPr>
      </w:pPr>
      <w:r>
        <w:rPr>
          <w:rFonts w:hint="eastAsia"/>
          <w:highlight w:val="none"/>
          <w:lang w:val="en-US" w:eastAsia="zh-CN"/>
        </w:rPr>
        <w:t>③以上数据在计算时保留2为小数，第三位小数进行四舍五入处理。</w:t>
      </w:r>
    </w:p>
    <w:p>
      <w:pPr>
        <w:bidi w:val="0"/>
        <w:rPr>
          <w:rFonts w:hint="default"/>
          <w:highlight w:val="none"/>
          <w:lang w:val="en-US" w:eastAsia="zh-CN"/>
        </w:rPr>
      </w:pPr>
    </w:p>
    <w:p>
      <w:pPr>
        <w:spacing w:line="360" w:lineRule="auto"/>
        <w:rPr>
          <w:rFonts w:hint="eastAsia" w:ascii="宋体" w:hAnsi="宋体"/>
          <w:b/>
          <w:szCs w:val="21"/>
          <w:highlight w:val="none"/>
        </w:rPr>
      </w:pPr>
      <w:r>
        <w:rPr>
          <w:rFonts w:ascii="宋体" w:hAnsi="宋体"/>
          <w:b/>
          <w:szCs w:val="21"/>
          <w:highlight w:val="none"/>
        </w:rPr>
        <w:t>到工地含税合价总计（人民币大写）：</w:t>
      </w:r>
    </w:p>
    <w:p>
      <w:pPr>
        <w:spacing w:line="360" w:lineRule="auto"/>
        <w:rPr>
          <w:rFonts w:hint="eastAsia" w:ascii="宋体" w:hAnsi="宋体"/>
          <w:b/>
          <w:szCs w:val="21"/>
          <w:highlight w:val="none"/>
        </w:rPr>
      </w:pPr>
      <w:r>
        <w:rPr>
          <w:rFonts w:ascii="宋体" w:hAnsi="宋体"/>
          <w:b/>
          <w:szCs w:val="21"/>
          <w:highlight w:val="none"/>
        </w:rPr>
        <w:t xml:space="preserve">投标单位名称（加盖公章）：                                   </w:t>
      </w:r>
    </w:p>
    <w:p>
      <w:pPr>
        <w:spacing w:line="360" w:lineRule="auto"/>
        <w:rPr>
          <w:rFonts w:ascii="宋体" w:hAnsi="宋体"/>
          <w:b/>
          <w:szCs w:val="21"/>
          <w:highlight w:val="none"/>
        </w:rPr>
      </w:pPr>
      <w:r>
        <w:rPr>
          <w:rFonts w:ascii="宋体" w:hAnsi="宋体"/>
          <w:b/>
          <w:szCs w:val="21"/>
          <w:highlight w:val="none"/>
        </w:rPr>
        <w:t>法定代表人或被授权代理人签字：         日期：   年    月     日</w:t>
      </w:r>
    </w:p>
    <w:p>
      <w:pPr>
        <w:pStyle w:val="2"/>
        <w:rPr>
          <w:rFonts w:hint="eastAsia"/>
        </w:rPr>
      </w:pPr>
      <w:r>
        <w:rPr>
          <w:rFonts w:hint="eastAsia" w:ascii="宋体" w:hAnsi="宋体" w:eastAsia="宋体" w:cs="宋体"/>
          <w:b w:val="0"/>
          <w:bCs w:val="0"/>
          <w:kern w:val="2"/>
          <w:sz w:val="24"/>
          <w:szCs w:val="24"/>
          <w:highlight w:val="none"/>
        </w:rPr>
        <w:t xml:space="preserve">                      年   月  日</w:t>
      </w:r>
    </w:p>
    <w:p>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p>
    <w:p>
      <w:pPr>
        <w:pageBreakBefore w:val="0"/>
        <w:widowControl w:val="0"/>
        <w:kinsoku w:val="0"/>
        <w:wordWrap/>
        <w:overflowPunct w:val="0"/>
        <w:topLinePunct w:val="0"/>
        <w:autoSpaceDE w:val="0"/>
        <w:autoSpaceDN w:val="0"/>
        <w:bidi w:val="0"/>
        <w:adjustRightInd w:val="0"/>
        <w:snapToGrid w:val="0"/>
        <w:spacing w:line="240" w:lineRule="atLeast"/>
        <w:ind w:left="885" w:leftChars="0" w:hanging="885" w:hangingChars="315"/>
        <w:jc w:val="center"/>
        <w:textAlignment w:val="auto"/>
        <w:rPr>
          <w:rFonts w:hint="eastAsia" w:ascii="宋体" w:hAnsi="宋体" w:cs="宋体"/>
          <w:b/>
          <w:kern w:val="0"/>
          <w:sz w:val="28"/>
          <w:szCs w:val="28"/>
        </w:rPr>
      </w:pPr>
      <w:r>
        <w:rPr>
          <w:rFonts w:hint="eastAsia" w:ascii="宋体" w:hAnsi="宋体" w:cs="宋体"/>
          <w:b/>
          <w:kern w:val="0"/>
          <w:sz w:val="28"/>
          <w:szCs w:val="28"/>
        </w:rPr>
        <w:t>供应商维权告知书</w:t>
      </w:r>
    </w:p>
    <w:p>
      <w:pPr>
        <w:spacing w:line="440" w:lineRule="exact"/>
        <w:ind w:firstLine="482" w:firstLineChars="200"/>
        <w:jc w:val="left"/>
        <w:rPr>
          <w:rFonts w:hint="eastAsia" w:ascii="宋体" w:hAnsi="宋体"/>
          <w:b/>
          <w:sz w:val="24"/>
        </w:rPr>
      </w:pPr>
      <w:r>
        <w:rPr>
          <w:rFonts w:hint="eastAsia" w:ascii="宋体" w:hAnsi="宋体"/>
          <w:b/>
          <w:sz w:val="24"/>
        </w:rPr>
        <w:t>各供应商朋友：</w:t>
      </w:r>
    </w:p>
    <w:p>
      <w:pPr>
        <w:spacing w:line="440" w:lineRule="exact"/>
        <w:ind w:firstLine="420" w:firstLineChars="200"/>
        <w:jc w:val="left"/>
        <w:rPr>
          <w:rFonts w:hint="eastAsia" w:ascii="宋体" w:hAnsi="宋体"/>
          <w:szCs w:val="21"/>
        </w:rPr>
      </w:pPr>
      <w:r>
        <w:rPr>
          <w:rFonts w:hint="eastAsia" w:ascii="宋体" w:hAnsi="宋体"/>
          <w:szCs w:val="21"/>
        </w:rPr>
        <w:t>首先，感谢各位供应商朋友一直以来对本公司的鼎力支持。纵观整个行业环境，我们既有大好的发展机遇，也面临着严峻的挑战，当前阶段因项目业主方资金未能及时到位，一定程度上给项目增大了债务压力。但困难是暂时的，我们将想方设法履行责任和义务，为维护公平、友好、长期的合作关系，特告知如下。</w:t>
      </w:r>
    </w:p>
    <w:p>
      <w:pPr>
        <w:spacing w:line="440" w:lineRule="exact"/>
        <w:ind w:firstLine="482" w:firstLineChars="200"/>
        <w:jc w:val="left"/>
        <w:rPr>
          <w:rFonts w:hint="eastAsia" w:ascii="宋体" w:hAnsi="宋体"/>
          <w:b/>
          <w:sz w:val="24"/>
        </w:rPr>
      </w:pPr>
      <w:r>
        <w:rPr>
          <w:rFonts w:hint="eastAsia" w:ascii="宋体" w:hAnsi="宋体"/>
          <w:b/>
          <w:sz w:val="24"/>
        </w:rPr>
        <w:t>一、畅通内部沟通渠道</w:t>
      </w:r>
    </w:p>
    <w:p>
      <w:pPr>
        <w:spacing w:line="440" w:lineRule="exact"/>
        <w:ind w:firstLine="420" w:firstLineChars="200"/>
        <w:jc w:val="left"/>
        <w:rPr>
          <w:rFonts w:hint="eastAsia" w:ascii="宋体" w:hAnsi="宋体"/>
          <w:szCs w:val="21"/>
        </w:rPr>
      </w:pPr>
      <w:r>
        <w:rPr>
          <w:rFonts w:hint="eastAsia" w:ascii="宋体" w:hAnsi="宋体"/>
          <w:szCs w:val="21"/>
        </w:rPr>
        <w:t>若过程中确实存在争议，请遵循以下顺次协商解决：</w:t>
      </w:r>
    </w:p>
    <w:p>
      <w:pPr>
        <w:spacing w:line="440" w:lineRule="exact"/>
        <w:ind w:firstLine="422" w:firstLineChars="200"/>
        <w:jc w:val="left"/>
        <w:rPr>
          <w:rFonts w:hint="eastAsia" w:ascii="宋体" w:hAnsi="宋体"/>
          <w:szCs w:val="21"/>
        </w:rPr>
      </w:pPr>
      <w:r>
        <w:rPr>
          <w:rFonts w:hint="eastAsia" w:ascii="宋体" w:hAnsi="宋体"/>
          <w:b/>
          <w:bCs/>
          <w:szCs w:val="21"/>
        </w:rPr>
        <w:t>顺序1：</w:t>
      </w:r>
      <w:r>
        <w:rPr>
          <w:rFonts w:hint="eastAsia" w:ascii="宋体" w:hAnsi="宋体"/>
          <w:szCs w:val="21"/>
        </w:rPr>
        <w:t>首先与项目经理部协商解决，项目经理部联系方式：详见附件一</w:t>
      </w:r>
    </w:p>
    <w:p>
      <w:pPr>
        <w:spacing w:line="440" w:lineRule="exact"/>
        <w:ind w:firstLine="422" w:firstLineChars="200"/>
        <w:jc w:val="left"/>
        <w:rPr>
          <w:rFonts w:hint="eastAsia" w:ascii="宋体" w:hAnsi="宋体"/>
          <w:szCs w:val="21"/>
        </w:rPr>
      </w:pPr>
      <w:r>
        <w:rPr>
          <w:rFonts w:hint="eastAsia" w:ascii="宋体" w:hAnsi="宋体"/>
          <w:b/>
          <w:bCs/>
          <w:szCs w:val="21"/>
        </w:rPr>
        <w:t>顺序2：</w:t>
      </w:r>
      <w:r>
        <w:rPr>
          <w:rFonts w:hint="eastAsia" w:ascii="宋体" w:hAnsi="宋体"/>
          <w:szCs w:val="21"/>
        </w:rPr>
        <w:t xml:space="preserve">若按顺序1协商不成的请继续联系上级职能部门调解;详见附件一 </w:t>
      </w:r>
    </w:p>
    <w:p>
      <w:pPr>
        <w:spacing w:line="440" w:lineRule="exact"/>
        <w:ind w:firstLine="420" w:firstLineChars="200"/>
        <w:jc w:val="left"/>
        <w:rPr>
          <w:rFonts w:hint="eastAsia" w:ascii="宋体" w:hAnsi="宋体"/>
          <w:szCs w:val="21"/>
        </w:rPr>
      </w:pPr>
      <w:r>
        <w:drawing>
          <wp:anchor distT="0" distB="0" distL="114300" distR="114300" simplePos="0" relativeHeight="251659264" behindDoc="1" locked="0" layoutInCell="1" allowOverlap="1">
            <wp:simplePos x="0" y="0"/>
            <wp:positionH relativeFrom="column">
              <wp:align>center</wp:align>
            </wp:positionH>
            <wp:positionV relativeFrom="paragraph">
              <wp:posOffset>33655</wp:posOffset>
            </wp:positionV>
            <wp:extent cx="1733550" cy="1666875"/>
            <wp:effectExtent l="0" t="0" r="6350" b="9525"/>
            <wp:wrapNone/>
            <wp:docPr id="5"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QR 代码&#10;&#10;描述已自动生成"/>
                    <pic:cNvPicPr>
                      <a:picLocks noChangeAspect="1"/>
                    </pic:cNvPicPr>
                  </pic:nvPicPr>
                  <pic:blipFill>
                    <a:blip r:embed="rId21"/>
                    <a:stretch>
                      <a:fillRect/>
                    </a:stretch>
                  </pic:blipFill>
                  <pic:spPr>
                    <a:xfrm>
                      <a:off x="0" y="0"/>
                      <a:ext cx="1733550" cy="1666875"/>
                    </a:xfrm>
                    <a:prstGeom prst="rect">
                      <a:avLst/>
                    </a:prstGeom>
                    <a:noFill/>
                    <a:ln>
                      <a:noFill/>
                    </a:ln>
                  </pic:spPr>
                </pic:pic>
              </a:graphicData>
            </a:graphic>
          </wp:anchor>
        </w:drawing>
      </w:r>
    </w:p>
    <w:p>
      <w:pPr>
        <w:spacing w:line="440" w:lineRule="exact"/>
        <w:ind w:firstLine="420" w:firstLineChars="200"/>
        <w:jc w:val="left"/>
        <w:rPr>
          <w:rFonts w:hint="eastAsia" w:ascii="宋体" w:hAnsi="宋体"/>
          <w:szCs w:val="21"/>
        </w:rPr>
      </w:pPr>
    </w:p>
    <w:p>
      <w:pPr>
        <w:spacing w:line="440" w:lineRule="exact"/>
        <w:ind w:firstLine="420" w:firstLineChars="200"/>
        <w:jc w:val="left"/>
        <w:rPr>
          <w:rFonts w:hint="eastAsia" w:ascii="宋体" w:hAnsi="宋体"/>
          <w:szCs w:val="21"/>
        </w:rPr>
      </w:pPr>
    </w:p>
    <w:p>
      <w:pPr>
        <w:spacing w:line="440" w:lineRule="exact"/>
        <w:ind w:firstLine="420" w:firstLineChars="200"/>
        <w:jc w:val="left"/>
        <w:rPr>
          <w:rFonts w:hint="eastAsia" w:ascii="宋体" w:hAnsi="宋体"/>
          <w:szCs w:val="21"/>
        </w:rPr>
      </w:pPr>
    </w:p>
    <w:p>
      <w:pPr>
        <w:spacing w:line="440" w:lineRule="exact"/>
        <w:ind w:firstLine="420" w:firstLineChars="200"/>
        <w:jc w:val="left"/>
        <w:rPr>
          <w:rFonts w:hint="eastAsia" w:ascii="宋体" w:hAnsi="宋体"/>
          <w:szCs w:val="21"/>
        </w:rPr>
      </w:pPr>
    </w:p>
    <w:p>
      <w:pPr>
        <w:spacing w:line="440" w:lineRule="exact"/>
        <w:ind w:firstLine="420" w:firstLineChars="200"/>
        <w:jc w:val="left"/>
        <w:rPr>
          <w:rFonts w:hint="eastAsia" w:ascii="宋体" w:hAnsi="宋体"/>
          <w:szCs w:val="21"/>
        </w:rPr>
      </w:pPr>
    </w:p>
    <w:p>
      <w:pPr>
        <w:spacing w:line="440" w:lineRule="exact"/>
        <w:ind w:firstLine="420" w:firstLineChars="200"/>
        <w:jc w:val="left"/>
        <w:rPr>
          <w:rFonts w:hint="eastAsia" w:ascii="宋体" w:hAnsi="宋体"/>
          <w:szCs w:val="21"/>
        </w:rPr>
      </w:pPr>
    </w:p>
    <w:p>
      <w:pPr>
        <w:spacing w:line="440" w:lineRule="exact"/>
        <w:ind w:firstLine="422" w:firstLineChars="200"/>
        <w:jc w:val="left"/>
        <w:rPr>
          <w:rFonts w:hint="eastAsia" w:ascii="宋体" w:hAnsi="宋体"/>
          <w:szCs w:val="21"/>
        </w:rPr>
      </w:pPr>
      <w:r>
        <w:rPr>
          <w:rFonts w:hint="eastAsia" w:ascii="宋体" w:hAnsi="宋体"/>
          <w:b/>
          <w:bCs/>
          <w:szCs w:val="21"/>
        </w:rPr>
        <w:t>顺序3：</w:t>
      </w:r>
      <w:r>
        <w:fldChar w:fldCharType="begin"/>
      </w:r>
      <w:r>
        <w:instrText xml:space="preserve"> HYPERLINK "mailto:如上述2个途径仍未有效解决问题，各供应商可继续通过邮箱ztejwqxx@163.com，或者扫描" </w:instrText>
      </w:r>
      <w:r>
        <w:fldChar w:fldCharType="separate"/>
      </w:r>
      <w:r>
        <w:rPr>
          <w:rStyle w:val="13"/>
          <w:rFonts w:hint="eastAsia" w:ascii="宋体" w:hAnsi="宋体"/>
          <w:szCs w:val="21"/>
        </w:rPr>
        <w:t>如上述2个途径仍未有效解决问题，各供应商可继续通过邮箱ztejwqxx@163.com，或者扫描“二维码二”进一步反映问题。若乙方在反应货款支付问题时，未通过上述途径、未遵循上述顺序，采取其他方式手段的，视为乙方严重违约，甲方将按规定对乙方在中铁二局范围内进行限制交易处理。</w:t>
      </w:r>
      <w:r>
        <w:rPr>
          <w:rStyle w:val="13"/>
          <w:rFonts w:hint="eastAsia" w:ascii="宋体" w:hAnsi="宋体"/>
          <w:szCs w:val="21"/>
        </w:rPr>
        <w:fldChar w:fldCharType="end"/>
      </w:r>
    </w:p>
    <w:p>
      <w:pPr>
        <w:spacing w:line="440" w:lineRule="exact"/>
        <w:jc w:val="left"/>
        <w:rPr>
          <w:rFonts w:hint="eastAsia" w:ascii="宋体" w:hAnsi="宋体"/>
          <w:szCs w:val="21"/>
        </w:rPr>
      </w:pPr>
    </w:p>
    <w:p>
      <w:pPr>
        <w:spacing w:line="440" w:lineRule="exact"/>
        <w:jc w:val="left"/>
        <w:rPr>
          <w:rFonts w:hint="eastAsia" w:ascii="宋体" w:hAnsi="宋体"/>
          <w:szCs w:val="21"/>
        </w:rPr>
      </w:pPr>
    </w:p>
    <w:p>
      <w:pPr>
        <w:spacing w:line="440" w:lineRule="exact"/>
        <w:jc w:val="left"/>
        <w:rPr>
          <w:rFonts w:hint="eastAsia" w:ascii="宋体" w:hAnsi="宋体"/>
          <w:szCs w:val="21"/>
        </w:rPr>
      </w:pPr>
    </w:p>
    <w:p>
      <w:pPr>
        <w:spacing w:line="440" w:lineRule="exact"/>
        <w:jc w:val="left"/>
        <w:rPr>
          <w:rFonts w:hint="eastAsia" w:ascii="宋体" w:hAnsi="宋体"/>
          <w:szCs w:val="21"/>
        </w:rPr>
      </w:pPr>
    </w:p>
    <w:p>
      <w:pPr>
        <w:spacing w:line="440" w:lineRule="exact"/>
        <w:jc w:val="left"/>
        <w:rPr>
          <w:rFonts w:hint="eastAsia" w:ascii="宋体" w:hAnsi="宋体"/>
          <w:szCs w:val="21"/>
        </w:rPr>
      </w:pPr>
    </w:p>
    <w:p>
      <w:pPr>
        <w:spacing w:line="440" w:lineRule="exact"/>
        <w:jc w:val="left"/>
        <w:rPr>
          <w:rFonts w:hint="eastAsia" w:ascii="宋体" w:hAnsi="宋体"/>
          <w:szCs w:val="21"/>
        </w:rPr>
      </w:pPr>
      <w:r>
        <w:rPr>
          <w:rFonts w:hint="eastAsia" w:ascii="宋体" w:hAnsi="宋体"/>
          <w:szCs w:val="21"/>
        </w:rPr>
        <w:drawing>
          <wp:anchor distT="0" distB="0" distL="114300" distR="114300" simplePos="0" relativeHeight="251661312" behindDoc="1" locked="0" layoutInCell="1" allowOverlap="1">
            <wp:simplePos x="0" y="0"/>
            <wp:positionH relativeFrom="column">
              <wp:align>center</wp:align>
            </wp:positionH>
            <wp:positionV relativeFrom="paragraph">
              <wp:posOffset>-1379220</wp:posOffset>
            </wp:positionV>
            <wp:extent cx="1466850" cy="1600200"/>
            <wp:effectExtent l="0" t="0" r="6350" b="0"/>
            <wp:wrapTight wrapText="bothSides">
              <wp:wrapPolygon>
                <wp:start x="0" y="0"/>
                <wp:lineTo x="0" y="21429"/>
                <wp:lineTo x="21506" y="21429"/>
                <wp:lineTo x="21506" y="0"/>
                <wp:lineTo x="0"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1466850" cy="1600200"/>
                    </a:xfrm>
                    <a:prstGeom prst="rect">
                      <a:avLst/>
                    </a:prstGeom>
                    <a:noFill/>
                    <a:ln>
                      <a:noFill/>
                    </a:ln>
                  </pic:spPr>
                </pic:pic>
              </a:graphicData>
            </a:graphic>
          </wp:anchor>
        </w:drawing>
      </w:r>
    </w:p>
    <w:p>
      <w:pPr>
        <w:spacing w:line="440" w:lineRule="exact"/>
        <w:ind w:firstLine="482" w:firstLineChars="200"/>
        <w:jc w:val="left"/>
        <w:rPr>
          <w:rFonts w:hint="eastAsia" w:ascii="宋体" w:hAnsi="宋体"/>
          <w:b/>
          <w:sz w:val="24"/>
        </w:rPr>
      </w:pPr>
      <w:r>
        <w:rPr>
          <w:rFonts w:hint="eastAsia" w:ascii="宋体" w:hAnsi="宋体"/>
          <w:b/>
          <w:sz w:val="24"/>
        </w:rPr>
        <w:t>二、避免平台误投风险</w:t>
      </w:r>
    </w:p>
    <w:p>
      <w:pPr>
        <w:spacing w:line="440" w:lineRule="exact"/>
        <w:ind w:firstLine="420" w:firstLineChars="200"/>
        <w:jc w:val="left"/>
        <w:rPr>
          <w:rFonts w:hint="eastAsia" w:ascii="宋体" w:hAnsi="宋体"/>
          <w:szCs w:val="21"/>
        </w:rPr>
      </w:pPr>
      <w:r>
        <w:rPr>
          <w:rFonts w:hint="eastAsia" w:ascii="宋体" w:hAnsi="宋体"/>
          <w:szCs w:val="21"/>
        </w:rPr>
        <w:t>1.若各供应商在支付问题时，未通过上述</w:t>
      </w:r>
      <w:r>
        <w:rPr>
          <w:rFonts w:hint="eastAsia" w:ascii="宋体" w:hAnsi="宋体"/>
          <w:b/>
          <w:szCs w:val="21"/>
        </w:rPr>
        <w:t>途径</w:t>
      </w:r>
      <w:r>
        <w:rPr>
          <w:rFonts w:hint="eastAsia" w:ascii="宋体" w:hAnsi="宋体"/>
          <w:szCs w:val="21"/>
        </w:rPr>
        <w:t>、未遵循上述问题反应</w:t>
      </w:r>
      <w:r>
        <w:rPr>
          <w:rFonts w:ascii="宋体" w:hAnsi="宋体"/>
          <w:b/>
          <w:szCs w:val="21"/>
        </w:rPr>
        <w:t>顺序</w:t>
      </w:r>
      <w:r>
        <w:rPr>
          <w:rFonts w:ascii="宋体" w:hAnsi="宋体"/>
          <w:szCs w:val="21"/>
        </w:rPr>
        <w:t>，</w:t>
      </w:r>
      <w:r>
        <w:rPr>
          <w:rFonts w:hint="eastAsia" w:ascii="宋体" w:hAnsi="宋体"/>
          <w:szCs w:val="21"/>
        </w:rPr>
        <w:t>采取其他方式手段投诉，</w:t>
      </w:r>
      <w:r>
        <w:rPr>
          <w:rFonts w:ascii="宋体" w:hAnsi="宋体"/>
          <w:szCs w:val="21"/>
        </w:rPr>
        <w:t>视为</w:t>
      </w:r>
      <w:r>
        <w:rPr>
          <w:rFonts w:hint="eastAsia" w:ascii="宋体" w:hAnsi="宋体"/>
          <w:szCs w:val="21"/>
        </w:rPr>
        <w:t>供应商严重违约，该行为将被采购人认定为特大不良行为，采购人将按规定在中铁二局范围内对违约供应商及同一法人公司进行限制交易处理。</w:t>
      </w:r>
    </w:p>
    <w:p>
      <w:pPr>
        <w:spacing w:line="440" w:lineRule="exact"/>
        <w:ind w:firstLine="420" w:firstLineChars="200"/>
        <w:jc w:val="left"/>
        <w:rPr>
          <w:rFonts w:hint="eastAsia" w:ascii="宋体" w:hAnsi="宋体"/>
          <w:szCs w:val="21"/>
        </w:rPr>
      </w:pPr>
      <w:r>
        <w:rPr>
          <w:rFonts w:hint="eastAsia" w:ascii="宋体" w:hAnsi="宋体"/>
          <w:szCs w:val="21"/>
        </w:rPr>
        <w:t>2.若各供应商恶意或者不实投诉，造成甲方信用、声誉、经济、经营、业绩等实质性损失或者恶劣影响的，采购人将按规定在中铁二局范围内对相关供应商及同一法人公司进行永久限制交易处理。</w:t>
      </w:r>
    </w:p>
    <w:p>
      <w:pPr>
        <w:spacing w:line="440" w:lineRule="exact"/>
        <w:ind w:firstLine="482" w:firstLineChars="200"/>
        <w:jc w:val="left"/>
        <w:rPr>
          <w:rFonts w:hint="eastAsia" w:ascii="宋体" w:hAnsi="宋体"/>
          <w:b/>
          <w:sz w:val="24"/>
        </w:rPr>
      </w:pPr>
      <w:r>
        <w:rPr>
          <w:rFonts w:hint="eastAsia" w:ascii="宋体" w:hAnsi="宋体"/>
          <w:b/>
          <w:sz w:val="24"/>
        </w:rPr>
        <w:t>三、同舟共济砥砺前行</w:t>
      </w:r>
    </w:p>
    <w:p>
      <w:pPr>
        <w:spacing w:line="440" w:lineRule="exact"/>
        <w:ind w:firstLine="420" w:firstLineChars="200"/>
        <w:jc w:val="left"/>
        <w:rPr>
          <w:rFonts w:hint="eastAsia" w:ascii="宋体" w:hAnsi="宋体"/>
          <w:szCs w:val="21"/>
        </w:rPr>
      </w:pPr>
      <w:r>
        <w:rPr>
          <w:rFonts w:hint="eastAsia" w:ascii="宋体" w:hAnsi="宋体"/>
          <w:szCs w:val="21"/>
        </w:rPr>
        <w:t>建筑行业持续低迷，让我们比任何时候都更加深刻的体会到命运共同体的意义，大道不孤，天下一家，上下同欲者胜，风雨同舟者兴。我们衷心希望能和各位供应商朋友携手共济，共克时艰，一起向阳生长、静待花开。在此，向所有与我们并肩作战的各位供应商朋友表示最诚挚的感谢和最深切的敬意。愿我们的合作之舟乘风破浪，直抵成功的彼岸！</w:t>
      </w:r>
    </w:p>
    <w:p>
      <w:pPr>
        <w:spacing w:line="440" w:lineRule="exact"/>
        <w:ind w:firstLine="420" w:firstLineChars="200"/>
        <w:jc w:val="left"/>
        <w:rPr>
          <w:rFonts w:hint="eastAsia" w:ascii="宋体" w:hAnsi="宋体"/>
          <w:szCs w:val="21"/>
        </w:rPr>
      </w:pPr>
      <w:r>
        <w:rPr>
          <w:rFonts w:hint="eastAsia" w:ascii="宋体" w:hAnsi="宋体"/>
          <w:szCs w:val="21"/>
        </w:rPr>
        <w:t>顺祝商祺！</w:t>
      </w:r>
    </w:p>
    <w:bookmarkEnd w:id="56"/>
    <w:p>
      <w:pPr>
        <w:jc w:val="center"/>
        <w:rPr>
          <w:rFonts w:hint="eastAsia" w:ascii="宋体" w:hAnsi="宋体"/>
          <w:b/>
          <w:sz w:val="28"/>
          <w:szCs w:val="28"/>
        </w:rPr>
      </w:pPr>
      <w:r>
        <w:rPr>
          <w:rFonts w:hint="eastAsia" w:ascii="宋体" w:hAnsi="宋体"/>
          <w:b/>
          <w:sz w:val="28"/>
          <w:szCs w:val="28"/>
        </w:rPr>
        <w:t>维权承诺书</w:t>
      </w:r>
    </w:p>
    <w:p>
      <w:pPr>
        <w:wordWrap w:val="0"/>
        <w:spacing w:line="480" w:lineRule="auto"/>
        <w:rPr>
          <w:rFonts w:hint="eastAsia" w:ascii="宋体" w:hAnsi="宋体"/>
          <w:kern w:val="0"/>
          <w:szCs w:val="21"/>
        </w:rPr>
      </w:pPr>
      <w:r>
        <w:rPr>
          <w:rFonts w:hint="eastAsia" w:ascii="宋体" w:hAnsi="宋体"/>
          <w:kern w:val="0"/>
          <w:szCs w:val="21"/>
        </w:rPr>
        <w:t xml:space="preserve">致（买方/甲方）： </w:t>
      </w:r>
    </w:p>
    <w:p>
      <w:pPr>
        <w:wordWrap w:val="0"/>
        <w:spacing w:line="480" w:lineRule="auto"/>
        <w:ind w:firstLine="420" w:firstLineChars="200"/>
        <w:rPr>
          <w:rFonts w:hint="eastAsia" w:ascii="宋体" w:hAnsi="宋体"/>
          <w:kern w:val="0"/>
          <w:szCs w:val="21"/>
        </w:rPr>
      </w:pPr>
      <w:r>
        <w:rPr>
          <w:rFonts w:hint="eastAsia" w:ascii="宋体" w:hAnsi="宋体"/>
          <w:kern w:val="0"/>
          <w:szCs w:val="21"/>
        </w:rPr>
        <w:t>关于（项目名称</w:t>
      </w:r>
      <w:r>
        <w:rPr>
          <w:rFonts w:hint="eastAsia" w:ascii="宋体" w:hAnsi="宋体"/>
          <w:kern w:val="0"/>
          <w:szCs w:val="21"/>
          <w:u w:val="single"/>
        </w:rPr>
        <w:t xml:space="preserve">            </w:t>
      </w:r>
      <w:r>
        <w:rPr>
          <w:rFonts w:hint="eastAsia" w:ascii="宋体" w:hAnsi="宋体"/>
          <w:kern w:val="0"/>
          <w:szCs w:val="21"/>
        </w:rPr>
        <w:t>）招标文件（招标编号为：</w:t>
      </w:r>
      <w:r>
        <w:rPr>
          <w:rFonts w:hint="eastAsia" w:ascii="宋体" w:hAnsi="宋体"/>
          <w:kern w:val="0"/>
          <w:szCs w:val="21"/>
          <w:u w:val="single"/>
        </w:rPr>
        <w:t xml:space="preserve">         </w:t>
      </w:r>
      <w:r>
        <w:rPr>
          <w:rFonts w:hint="eastAsia" w:ascii="宋体" w:hAnsi="宋体"/>
          <w:kern w:val="0"/>
          <w:szCs w:val="21"/>
        </w:rPr>
        <w:t xml:space="preserve">），乙方作为投标人已熟知，并参加    物资     包件的投标，现乙方作为中标供应商与甲方签订合同，同时承诺如下： </w:t>
      </w:r>
    </w:p>
    <w:p>
      <w:pPr>
        <w:wordWrap w:val="0"/>
        <w:spacing w:line="480" w:lineRule="auto"/>
        <w:ind w:firstLine="420" w:firstLineChars="200"/>
        <w:rPr>
          <w:rFonts w:hint="eastAsia" w:ascii="宋体" w:hAnsi="宋体"/>
          <w:kern w:val="0"/>
          <w:szCs w:val="21"/>
        </w:rPr>
      </w:pPr>
      <w:r>
        <w:rPr>
          <w:rFonts w:hint="eastAsia" w:ascii="宋体" w:hAnsi="宋体"/>
          <w:kern w:val="0"/>
          <w:szCs w:val="21"/>
        </w:rPr>
        <w:t>若在合同执行过程中出现物资设备款项支付、合作纠纷等相关问题，乙方遵循以下顺序逐级协商解决：</w:t>
      </w:r>
    </w:p>
    <w:p>
      <w:pPr>
        <w:spacing w:line="440" w:lineRule="exact"/>
        <w:ind w:firstLine="422" w:firstLineChars="200"/>
        <w:jc w:val="left"/>
        <w:rPr>
          <w:rFonts w:hint="eastAsia" w:ascii="宋体" w:hAnsi="宋体"/>
          <w:color w:val="FF0000"/>
          <w:szCs w:val="21"/>
        </w:rPr>
      </w:pPr>
      <w:r>
        <w:rPr>
          <w:rFonts w:hint="eastAsia" w:ascii="宋体" w:hAnsi="宋体"/>
          <w:b/>
          <w:bCs/>
          <w:szCs w:val="21"/>
        </w:rPr>
        <w:t>顺序1：</w:t>
      </w:r>
      <w:r>
        <w:rPr>
          <w:rFonts w:hint="eastAsia" w:ascii="宋体" w:hAnsi="宋体"/>
          <w:szCs w:val="21"/>
        </w:rPr>
        <w:t>首先与项目经理部协商解决，项目物资部联系方式：详见附件一</w:t>
      </w:r>
    </w:p>
    <w:p>
      <w:pPr>
        <w:spacing w:line="440" w:lineRule="exact"/>
        <w:ind w:firstLine="422" w:firstLineChars="200"/>
        <w:jc w:val="left"/>
        <w:rPr>
          <w:rFonts w:ascii="宋体" w:hAnsi="宋体"/>
          <w:szCs w:val="21"/>
        </w:rPr>
      </w:pPr>
      <w:r>
        <w:rPr>
          <w:rFonts w:hint="eastAsia" w:ascii="宋体" w:hAnsi="宋体"/>
          <w:b/>
          <w:bCs/>
          <w:szCs w:val="21"/>
        </w:rPr>
        <w:t>顺序2：</w:t>
      </w:r>
      <w:r>
        <w:rPr>
          <w:rFonts w:hint="eastAsia" w:ascii="宋体" w:hAnsi="宋体"/>
          <w:szCs w:val="21"/>
        </w:rPr>
        <w:t>若按顺序1协商不成的请继续联系上级职能部门调解：详见附件一</w:t>
      </w:r>
    </w:p>
    <w:p>
      <w:pPr>
        <w:spacing w:line="440" w:lineRule="exact"/>
        <w:ind w:firstLine="420" w:firstLineChars="200"/>
        <w:jc w:val="left"/>
        <w:rPr>
          <w:rFonts w:ascii="宋体" w:hAnsi="宋体"/>
          <w:szCs w:val="21"/>
        </w:rPr>
      </w:pPr>
    </w:p>
    <w:p>
      <w:pPr>
        <w:spacing w:line="240" w:lineRule="auto"/>
        <w:ind w:firstLine="420" w:firstLineChars="200"/>
        <w:jc w:val="left"/>
        <w:rPr>
          <w:rFonts w:hint="eastAsia" w:ascii="宋体" w:hAnsi="宋体" w:eastAsia="宋体"/>
          <w:szCs w:val="21"/>
          <w:lang w:eastAsia="zh-CN"/>
        </w:rPr>
      </w:pPr>
      <w:r>
        <w:rPr>
          <w:rFonts w:hint="eastAsia" w:ascii="宋体" w:hAnsi="宋体"/>
          <w:szCs w:val="21"/>
          <w:lang w:val="en-US" w:eastAsia="zh-CN"/>
        </w:rPr>
        <w:t xml:space="preserve">                               </w:t>
      </w:r>
      <w:r>
        <w:rPr>
          <w:rFonts w:hint="eastAsia" w:ascii="宋体" w:hAnsi="宋体" w:eastAsia="宋体"/>
          <w:szCs w:val="21"/>
          <w:lang w:eastAsia="zh-CN"/>
        </w:rPr>
        <w:drawing>
          <wp:inline distT="0" distB="0" distL="114300" distR="114300">
            <wp:extent cx="1257300" cy="1362075"/>
            <wp:effectExtent l="0" t="0" r="0" b="9525"/>
            <wp:docPr id="1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图片1"/>
                    <pic:cNvPicPr>
                      <a:picLocks noChangeAspect="1"/>
                    </pic:cNvPicPr>
                  </pic:nvPicPr>
                  <pic:blipFill>
                    <a:blip r:embed="rId23"/>
                    <a:stretch>
                      <a:fillRect/>
                    </a:stretch>
                  </pic:blipFill>
                  <pic:spPr>
                    <a:xfrm>
                      <a:off x="0" y="0"/>
                      <a:ext cx="1257300" cy="1362075"/>
                    </a:xfrm>
                    <a:prstGeom prst="rect">
                      <a:avLst/>
                    </a:prstGeom>
                    <a:noFill/>
                    <a:ln>
                      <a:noFill/>
                    </a:ln>
                  </pic:spPr>
                </pic:pic>
              </a:graphicData>
            </a:graphic>
          </wp:inline>
        </w:drawing>
      </w:r>
    </w:p>
    <w:p>
      <w:pPr>
        <w:spacing w:line="440" w:lineRule="exact"/>
        <w:ind w:firstLine="4322" w:firstLineChars="2050"/>
        <w:jc w:val="left"/>
        <w:rPr>
          <w:rFonts w:hint="eastAsia" w:ascii="宋体" w:hAnsi="宋体"/>
          <w:b/>
          <w:bCs/>
          <w:szCs w:val="21"/>
        </w:rPr>
      </w:pPr>
      <w:r>
        <w:rPr>
          <w:rFonts w:hint="eastAsia" w:ascii="宋体" w:hAnsi="宋体"/>
          <w:b/>
          <w:bCs/>
          <w:szCs w:val="21"/>
        </w:rPr>
        <w:t>二维码1</w:t>
      </w:r>
    </w:p>
    <w:p>
      <w:pPr>
        <w:spacing w:line="440" w:lineRule="exact"/>
        <w:ind w:firstLine="422" w:firstLineChars="200"/>
        <w:jc w:val="left"/>
        <w:rPr>
          <w:rFonts w:hint="eastAsia" w:ascii="宋体" w:hAnsi="宋体"/>
          <w:szCs w:val="21"/>
        </w:rPr>
      </w:pPr>
      <w:r>
        <w:rPr>
          <w:rFonts w:hint="eastAsia" w:ascii="宋体" w:hAnsi="宋体"/>
          <w:b/>
          <w:bCs/>
          <w:szCs w:val="21"/>
        </w:rPr>
        <w:t>顺序3：</w:t>
      </w:r>
      <w:r>
        <w:rPr>
          <w:rFonts w:hint="eastAsia" w:hAnsi="宋体"/>
        </w:rPr>
        <w:t>如上述2个途径仍未有效解决问题，各供应商可继续通过邮箱维权邮</w:t>
      </w:r>
      <w:r>
        <w:rPr>
          <w:rFonts w:hint="eastAsia" w:hAnsi="宋体"/>
          <w:b/>
          <w:bCs/>
        </w:rPr>
        <w:t>ztejwqxx@163.com，</w:t>
      </w:r>
      <w:r>
        <w:rPr>
          <w:rFonts w:hint="eastAsia" w:hAnsi="宋体"/>
        </w:rPr>
        <w:t>或者扫描“二维码2”（中铁二局维权投诉平台）进一步反映问题，平台将在</w:t>
      </w:r>
      <w:r>
        <w:rPr>
          <w:rFonts w:hAnsi="宋体"/>
        </w:rPr>
        <w:t>20</w:t>
      </w:r>
      <w:r>
        <w:rPr>
          <w:rFonts w:hint="eastAsia" w:hAnsi="宋体"/>
        </w:rPr>
        <w:t>个工作日内核实处理。</w:t>
      </w:r>
    </w:p>
    <w:p>
      <w:pPr>
        <w:spacing w:line="240" w:lineRule="auto"/>
        <w:jc w:val="left"/>
        <w:rPr>
          <w:rFonts w:hint="eastAsia" w:ascii="宋体" w:hAnsi="宋体" w:eastAsia="宋体"/>
          <w:bCs/>
          <w:szCs w:val="21"/>
          <w:lang w:eastAsia="zh-CN"/>
        </w:rPr>
      </w:pPr>
      <w:r>
        <w:rPr>
          <w:rFonts w:hint="eastAsia" w:ascii="宋体" w:hAnsi="宋体"/>
          <w:bCs/>
          <w:szCs w:val="21"/>
          <w:lang w:val="en-US" w:eastAsia="zh-CN"/>
        </w:rPr>
        <w:t xml:space="preserve">                                  </w:t>
      </w:r>
      <w:r>
        <w:rPr>
          <w:rFonts w:hint="eastAsia" w:ascii="宋体" w:hAnsi="宋体"/>
          <w:bCs/>
          <w:szCs w:val="21"/>
        </w:rPr>
        <w:t xml:space="preserve"> </w:t>
      </w:r>
      <w:r>
        <w:rPr>
          <w:rFonts w:hint="eastAsia" w:ascii="宋体" w:hAnsi="宋体" w:eastAsia="宋体"/>
          <w:bCs/>
          <w:szCs w:val="21"/>
          <w:lang w:eastAsia="zh-CN"/>
        </w:rPr>
        <w:drawing>
          <wp:inline distT="0" distB="0" distL="114300" distR="114300">
            <wp:extent cx="1289685" cy="1343660"/>
            <wp:effectExtent l="0" t="0" r="5715" b="2540"/>
            <wp:docPr id="9"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2"/>
                    <pic:cNvPicPr>
                      <a:picLocks noChangeAspect="1"/>
                    </pic:cNvPicPr>
                  </pic:nvPicPr>
                  <pic:blipFill>
                    <a:blip r:embed="rId19"/>
                    <a:stretch>
                      <a:fillRect/>
                    </a:stretch>
                  </pic:blipFill>
                  <pic:spPr>
                    <a:xfrm>
                      <a:off x="0" y="0"/>
                      <a:ext cx="1289685" cy="1343660"/>
                    </a:xfrm>
                    <a:prstGeom prst="rect">
                      <a:avLst/>
                    </a:prstGeom>
                    <a:noFill/>
                    <a:ln>
                      <a:noFill/>
                    </a:ln>
                  </pic:spPr>
                </pic:pic>
              </a:graphicData>
            </a:graphic>
          </wp:inline>
        </w:drawing>
      </w:r>
    </w:p>
    <w:p>
      <w:pPr>
        <w:spacing w:line="440" w:lineRule="exact"/>
        <w:ind w:firstLine="4322" w:firstLineChars="2050"/>
        <w:jc w:val="left"/>
        <w:rPr>
          <w:rFonts w:hint="eastAsia" w:ascii="宋体" w:hAnsi="宋体"/>
          <w:b/>
          <w:szCs w:val="21"/>
        </w:rPr>
      </w:pPr>
      <w:r>
        <w:rPr>
          <w:rFonts w:hint="eastAsia" w:ascii="宋体" w:hAnsi="宋体"/>
          <w:b/>
          <w:szCs w:val="21"/>
        </w:rPr>
        <w:t>二维码2</w:t>
      </w:r>
    </w:p>
    <w:p>
      <w:pPr>
        <w:wordWrap w:val="0"/>
        <w:spacing w:line="480" w:lineRule="auto"/>
        <w:ind w:firstLine="420" w:firstLineChars="200"/>
        <w:rPr>
          <w:rFonts w:hint="eastAsia" w:ascii="宋体" w:hAnsi="宋体"/>
          <w:kern w:val="0"/>
          <w:szCs w:val="21"/>
        </w:rPr>
      </w:pPr>
      <w:r>
        <w:rPr>
          <w:rFonts w:hint="eastAsia" w:ascii="宋体" w:hAnsi="宋体"/>
          <w:kern w:val="0"/>
          <w:szCs w:val="21"/>
        </w:rPr>
        <w:t>乙方若不按以上顺序逐级协商处理，造成甲方信用、声誉、经济、经营、业绩等实质性损失或者恶劣影响的，乙方接受甲方相应处罚。</w:t>
      </w:r>
    </w:p>
    <w:p>
      <w:pPr>
        <w:wordWrap w:val="0"/>
        <w:spacing w:line="480" w:lineRule="auto"/>
        <w:ind w:firstLine="420" w:firstLineChars="200"/>
        <w:rPr>
          <w:rFonts w:ascii="宋体" w:hAnsi="宋体"/>
          <w:kern w:val="0"/>
          <w:szCs w:val="21"/>
        </w:rPr>
      </w:pPr>
      <w:r>
        <w:rPr>
          <w:rFonts w:hint="eastAsia" w:ascii="宋体" w:hAnsi="宋体"/>
          <w:kern w:val="0"/>
          <w:szCs w:val="21"/>
        </w:rPr>
        <w:t>乙方若恶意或者不实投诉，造成甲方信用、声誉、经济、经营、业绩等实质性损失或者恶劣影响的，甲方有权取消乙方的合作资格，并接受甲方相应处罚，承担相关法律、经济责任。</w:t>
      </w:r>
    </w:p>
    <w:p>
      <w:pPr>
        <w:pStyle w:val="15"/>
        <w:ind w:firstLine="480"/>
      </w:pPr>
    </w:p>
    <w:p>
      <w:pPr>
        <w:pStyle w:val="15"/>
        <w:ind w:firstLine="480"/>
        <w:rPr>
          <w:rFonts w:hint="eastAsia"/>
        </w:rPr>
      </w:pPr>
    </w:p>
    <w:p>
      <w:pPr>
        <w:wordWrap w:val="0"/>
        <w:spacing w:line="480" w:lineRule="auto"/>
        <w:ind w:firstLine="4620" w:firstLineChars="2200"/>
        <w:rPr>
          <w:rFonts w:hint="eastAsia" w:ascii="宋体" w:hAnsi="宋体"/>
          <w:kern w:val="0"/>
          <w:szCs w:val="21"/>
          <w:u w:val="single"/>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卖方/乙方（公章）： </w:t>
      </w:r>
    </w:p>
    <w:p>
      <w:pPr>
        <w:wordWrap w:val="0"/>
        <w:spacing w:line="480" w:lineRule="auto"/>
        <w:rPr>
          <w:rFonts w:hint="eastAsia" w:ascii="宋体" w:hAnsi="宋体"/>
          <w:kern w:val="0"/>
          <w:szCs w:val="21"/>
        </w:rPr>
      </w:pP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 </w:t>
      </w:r>
      <w:r>
        <w:rPr>
          <w:rFonts w:ascii="宋体" w:hAnsi="宋体"/>
          <w:kern w:val="0"/>
          <w:szCs w:val="21"/>
        </w:rPr>
        <w:t xml:space="preserve">     </w:t>
      </w:r>
      <w:r>
        <w:rPr>
          <w:rFonts w:hint="eastAsia" w:ascii="宋体" w:hAnsi="宋体"/>
          <w:kern w:val="0"/>
          <w:szCs w:val="21"/>
        </w:rPr>
        <w:t xml:space="preserve">法定代表人或其授权人签字： </w:t>
      </w:r>
    </w:p>
    <w:p>
      <w:pPr>
        <w:wordWrap w:val="0"/>
        <w:spacing w:line="480" w:lineRule="auto"/>
        <w:ind w:firstLine="5040" w:firstLineChars="2400"/>
        <w:rPr>
          <w:rFonts w:ascii="宋体" w:hAnsi="宋体"/>
          <w:kern w:val="0"/>
          <w:szCs w:val="21"/>
        </w:rPr>
      </w:pPr>
      <w:r>
        <w:rPr>
          <w:rFonts w:hint="eastAsia" w:ascii="宋体" w:hAnsi="宋体"/>
          <w:kern w:val="0"/>
          <w:szCs w:val="21"/>
        </w:rPr>
        <w:t xml:space="preserve">日期：  </w:t>
      </w:r>
      <w:r>
        <w:rPr>
          <w:rFonts w:ascii="宋体" w:hAnsi="宋体"/>
          <w:kern w:val="0"/>
          <w:szCs w:val="21"/>
        </w:rPr>
        <w:t xml:space="preserve">   </w:t>
      </w:r>
      <w:r>
        <w:rPr>
          <w:rFonts w:hint="eastAsia" w:ascii="宋体" w:hAnsi="宋体"/>
          <w:kern w:val="0"/>
          <w:szCs w:val="21"/>
        </w:rPr>
        <w:t xml:space="preserve"> 年   月   日</w:t>
      </w:r>
    </w:p>
    <w:p>
      <w:pPr>
        <w:rPr>
          <w:rFonts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p>
    <w:p>
      <w:pPr>
        <w:outlineLvl w:val="1"/>
        <w:rPr>
          <w:rFonts w:hint="eastAsia" w:ascii="宋体" w:hAnsi="宋体"/>
          <w:sz w:val="28"/>
          <w:szCs w:val="28"/>
        </w:rPr>
      </w:pPr>
      <w:bookmarkStart w:id="67" w:name="_Toc30623"/>
      <w:r>
        <w:rPr>
          <w:rFonts w:hint="eastAsia" w:ascii="宋体" w:hAnsi="宋体"/>
          <w:sz w:val="28"/>
          <w:szCs w:val="28"/>
        </w:rPr>
        <w:t>附件九</w:t>
      </w:r>
      <w:bookmarkEnd w:id="67"/>
    </w:p>
    <w:p>
      <w:pPr>
        <w:snapToGrid w:val="0"/>
        <w:spacing w:before="60" w:after="60" w:line="312" w:lineRule="auto"/>
        <w:jc w:val="center"/>
        <w:rPr>
          <w:rFonts w:hint="eastAsia" w:ascii="宋体" w:hAnsi="宋体" w:eastAsia="宋体" w:cs="新宋体"/>
          <w:b/>
          <w:bCs/>
          <w:kern w:val="0"/>
          <w:sz w:val="36"/>
          <w:szCs w:val="36"/>
          <w:lang w:val="en-US" w:eastAsia="zh-CN" w:bidi="ar-SA"/>
        </w:rPr>
      </w:pPr>
      <w:r>
        <w:rPr>
          <w:rFonts w:hint="eastAsia" w:ascii="宋体" w:hAnsi="宋体" w:eastAsia="宋体" w:cs="新宋体"/>
          <w:b/>
          <w:bCs/>
          <w:kern w:val="0"/>
          <w:sz w:val="36"/>
          <w:szCs w:val="36"/>
          <w:lang w:val="en-US" w:eastAsia="zh-CN" w:bidi="ar-SA"/>
        </w:rPr>
        <w:t>投标供应商付款操作指南</w:t>
      </w:r>
    </w:p>
    <w:p>
      <w:pPr>
        <w:keepNext/>
        <w:keepLines/>
        <w:snapToGrid w:val="0"/>
        <w:spacing w:line="408" w:lineRule="auto"/>
        <w:jc w:val="left"/>
        <w:outlineLvl w:val="0"/>
        <w:rPr>
          <w:rFonts w:ascii="minorHAnsi" w:hAnsi="minorHAnsi" w:eastAsia="等线"/>
          <w:b/>
          <w:bCs/>
          <w:color w:val="1A1A1A"/>
          <w:sz w:val="28"/>
          <w:szCs w:val="36"/>
        </w:rPr>
      </w:pPr>
      <w:bookmarkStart w:id="68" w:name="_Toc10812"/>
      <w:r>
        <w:rPr>
          <w:rFonts w:ascii="minorHAnsi" w:hAnsi="minorHAnsi" w:eastAsia="等线"/>
          <w:b/>
          <w:bCs/>
          <w:color w:val="1A1A1A"/>
          <w:sz w:val="28"/>
          <w:szCs w:val="36"/>
        </w:rPr>
        <w:t>一、收款开户行</w:t>
      </w:r>
      <w:bookmarkEnd w:id="68"/>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开户行名称：中国农业银行股份有限公司总行营业部（非转汇行）</w:t>
      </w:r>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联行号：103100000018</w:t>
      </w:r>
    </w:p>
    <w:p>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注意：</w:t>
      </w:r>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①开户行名称必须填写完整，包括“</w:t>
      </w:r>
      <w:r>
        <w:rPr>
          <w:rFonts w:ascii="宋体" w:hAnsi="宋体" w:cs="宋体"/>
          <w:b/>
          <w:color w:val="FF0000"/>
          <w:sz w:val="24"/>
          <w:szCs w:val="22"/>
        </w:rPr>
        <w:t>（非转汇行）</w:t>
      </w:r>
      <w:r>
        <w:rPr>
          <w:rFonts w:ascii="宋体" w:hAnsi="宋体" w:cs="宋体"/>
          <w:color w:val="000000"/>
          <w:sz w:val="24"/>
          <w:szCs w:val="22"/>
        </w:rPr>
        <w:t>”，字符括号为</w:t>
      </w:r>
      <w:r>
        <w:rPr>
          <w:rFonts w:ascii="宋体" w:hAnsi="宋体" w:cs="宋体"/>
          <w:b/>
          <w:color w:val="FF0000"/>
          <w:sz w:val="24"/>
          <w:szCs w:val="22"/>
        </w:rPr>
        <w:t>全角</w:t>
      </w:r>
      <w:r>
        <w:rPr>
          <w:rFonts w:ascii="宋体" w:hAnsi="宋体" w:cs="宋体"/>
          <w:color w:val="000000"/>
          <w:sz w:val="24"/>
          <w:szCs w:val="22"/>
        </w:rPr>
        <w:t>格式。与前后字符相隔较远的为全角，紧挨着前后字符的为半角。</w:t>
      </w:r>
    </w:p>
    <w:p>
      <w:pPr>
        <w:ind w:left="-708" w:leftChars="-337" w:right="-624" w:rightChars="-297"/>
        <w:rPr>
          <w:rFonts w:hint="eastAsia" w:ascii="宋体" w:hAnsi="宋体" w:cs="宋体"/>
          <w:b/>
          <w:color w:val="000000"/>
          <w:sz w:val="32"/>
          <w:szCs w:val="22"/>
        </w:rPr>
      </w:pPr>
    </w:p>
    <w:p>
      <w:pPr>
        <w:keepNext/>
        <w:keepLines/>
        <w:snapToGrid w:val="0"/>
        <w:spacing w:line="408" w:lineRule="auto"/>
        <w:jc w:val="left"/>
        <w:outlineLvl w:val="0"/>
        <w:rPr>
          <w:rFonts w:ascii="minorHAnsi" w:hAnsi="minorHAnsi" w:eastAsia="等线"/>
          <w:b/>
          <w:bCs/>
          <w:color w:val="1A1A1A"/>
          <w:sz w:val="36"/>
          <w:szCs w:val="36"/>
        </w:rPr>
      </w:pPr>
      <w:bookmarkStart w:id="69" w:name="_Toc908"/>
      <w:r>
        <w:rPr>
          <w:rFonts w:ascii="minorHAnsi" w:hAnsi="minorHAnsi" w:eastAsia="等线"/>
          <w:b/>
          <w:bCs/>
          <w:color w:val="1A1A1A"/>
          <w:sz w:val="28"/>
          <w:szCs w:val="36"/>
        </w:rPr>
        <w:t>二、汇款注意事项</w:t>
      </w:r>
      <w:bookmarkEnd w:id="69"/>
    </w:p>
    <w:p>
      <w:pPr>
        <w:keepNext/>
        <w:keepLines/>
        <w:snapToGrid w:val="0"/>
        <w:spacing w:line="408" w:lineRule="auto"/>
        <w:jc w:val="left"/>
        <w:outlineLvl w:val="1"/>
        <w:rPr>
          <w:rFonts w:ascii="minorHAnsi" w:hAnsi="minorHAnsi" w:eastAsia="等线"/>
          <w:b/>
          <w:bCs/>
          <w:color w:val="1A1A1A"/>
          <w:sz w:val="32"/>
          <w:szCs w:val="32"/>
        </w:rPr>
      </w:pPr>
      <w:bookmarkStart w:id="70" w:name="_Toc13400"/>
      <w:r>
        <w:rPr>
          <w:rFonts w:ascii="minorHAnsi" w:hAnsi="minorHAnsi" w:eastAsia="等线"/>
          <w:b/>
          <w:bCs/>
          <w:color w:val="1A1A1A"/>
          <w:sz w:val="28"/>
          <w:szCs w:val="32"/>
        </w:rPr>
        <w:t>（1）通过企业网上银行支付</w:t>
      </w:r>
      <w:bookmarkEnd w:id="70"/>
    </w:p>
    <w:p>
      <w:pPr>
        <w:snapToGrid w:val="0"/>
        <w:ind w:firstLine="480" w:firstLineChars="200"/>
        <w:jc w:val="left"/>
        <w:rPr>
          <w:rFonts w:hint="eastAsia" w:ascii="宋体" w:hAnsi="宋体" w:cs="宋体"/>
          <w:color w:val="000000"/>
          <w:sz w:val="24"/>
          <w:szCs w:val="22"/>
        </w:rPr>
      </w:pPr>
      <w:r>
        <w:rPr>
          <w:rFonts w:ascii="宋体" w:hAnsi="宋体" w:cs="宋体"/>
          <w:color w:val="000000"/>
          <w:sz w:val="24"/>
          <w:szCs w:val="22"/>
        </w:rPr>
        <w:t>①</w:t>
      </w:r>
      <w:r>
        <w:rPr>
          <w:rFonts w:ascii="宋体" w:hAnsi="宋体" w:cs="宋体"/>
          <w:b/>
          <w:color w:val="FF0000"/>
          <w:sz w:val="24"/>
          <w:szCs w:val="22"/>
        </w:rPr>
        <w:t>付款方银行</w:t>
      </w:r>
      <w:r>
        <w:rPr>
          <w:rFonts w:ascii="宋体" w:hAnsi="宋体" w:cs="宋体"/>
          <w:color w:val="000000"/>
          <w:sz w:val="24"/>
          <w:szCs w:val="22"/>
        </w:rPr>
        <w:t>无论从哪个银行汇出，均要选择“</w:t>
      </w:r>
      <w:r>
        <w:rPr>
          <w:rFonts w:ascii="宋体" w:hAnsi="宋体" w:cs="宋体"/>
          <w:b/>
          <w:color w:val="FF0000"/>
          <w:sz w:val="24"/>
          <w:szCs w:val="22"/>
        </w:rPr>
        <w:t>跨行</w:t>
      </w:r>
      <w:r>
        <w:rPr>
          <w:rFonts w:ascii="宋体" w:hAnsi="宋体" w:cs="宋体"/>
          <w:color w:val="000000"/>
          <w:sz w:val="24"/>
          <w:szCs w:val="22"/>
        </w:rPr>
        <w:t xml:space="preserve">”交易，但收款方开户行类别要根据出款银行做区分： </w:t>
      </w:r>
      <w:r>
        <w:rPr>
          <w:rFonts w:ascii="宋体" w:hAnsi="宋体" w:cs="宋体"/>
          <w:color w:val="000000"/>
          <w:sz w:val="24"/>
          <w:szCs w:val="22"/>
        </w:rPr>
        <w:drawing>
          <wp:inline distT="0" distB="0" distL="114300" distR="114300">
            <wp:extent cx="6181090" cy="952500"/>
            <wp:effectExtent l="0" t="0" r="3810" b="0"/>
            <wp:docPr id="11" name="图片 3" descr="descript"/>
            <wp:cNvGraphicFramePr/>
            <a:graphic xmlns:a="http://schemas.openxmlformats.org/drawingml/2006/main">
              <a:graphicData uri="http://schemas.openxmlformats.org/drawingml/2006/picture">
                <pic:pic xmlns:pic="http://schemas.openxmlformats.org/drawingml/2006/picture">
                  <pic:nvPicPr>
                    <pic:cNvPr id="11" name="图片 3" descr="descript"/>
                    <pic:cNvPicPr/>
                  </pic:nvPicPr>
                  <pic:blipFill>
                    <a:blip r:embed="rId24"/>
                    <a:stretch>
                      <a:fillRect/>
                    </a:stretch>
                  </pic:blipFill>
                  <pic:spPr>
                    <a:xfrm>
                      <a:off x="0" y="0"/>
                      <a:ext cx="6181090" cy="952500"/>
                    </a:xfrm>
                    <a:prstGeom prst="rect">
                      <a:avLst/>
                    </a:prstGeom>
                    <a:solidFill>
                      <a:srgbClr val="FFFFFF"/>
                    </a:solidFill>
                    <a:ln>
                      <a:noFill/>
                    </a:ln>
                  </pic:spPr>
                </pic:pic>
              </a:graphicData>
            </a:graphic>
          </wp:inline>
        </w:drawing>
      </w:r>
    </w:p>
    <w:p>
      <w:pPr>
        <w:snapToGrid w:val="0"/>
        <w:ind w:firstLine="480" w:firstLineChars="200"/>
        <w:jc w:val="left"/>
        <w:rPr>
          <w:rFonts w:hint="eastAsia" w:ascii="宋体" w:hAnsi="宋体" w:cs="宋体"/>
          <w:color w:val="000000"/>
          <w:szCs w:val="22"/>
        </w:rPr>
      </w:pPr>
      <w:r>
        <w:rPr>
          <w:rFonts w:ascii="宋体" w:hAnsi="宋体" w:cs="宋体"/>
          <w:color w:val="000000"/>
          <w:sz w:val="24"/>
          <w:szCs w:val="22"/>
        </w:rPr>
        <w:t>②</w:t>
      </w:r>
      <w:r>
        <w:rPr>
          <w:rFonts w:ascii="宋体" w:hAnsi="宋体" w:cs="宋体"/>
          <w:color w:val="FF0000"/>
          <w:sz w:val="24"/>
          <w:szCs w:val="22"/>
        </w:rPr>
        <w:t>付款用途</w:t>
      </w:r>
      <w:r>
        <w:rPr>
          <w:rFonts w:ascii="宋体" w:hAnsi="宋体" w:cs="宋体"/>
          <w:color w:val="000000"/>
          <w:sz w:val="24"/>
          <w:szCs w:val="22"/>
        </w:rPr>
        <w:t>要写在“附言”项里，也就是常说的摘要/备注。附言不超30个字。</w:t>
      </w:r>
    </w:p>
    <w:p>
      <w:pPr>
        <w:snapToGrid w:val="0"/>
        <w:ind w:firstLine="420" w:firstLineChars="200"/>
        <w:jc w:val="left"/>
        <w:rPr>
          <w:rFonts w:hint="eastAsia" w:ascii="宋体" w:hAnsi="宋体" w:cs="宋体"/>
          <w:color w:val="000000"/>
          <w:szCs w:val="22"/>
        </w:rPr>
      </w:pPr>
    </w:p>
    <w:p>
      <w:pPr>
        <w:snapToGrid w:val="0"/>
        <w:ind w:firstLine="420" w:firstLineChars="200"/>
        <w:jc w:val="left"/>
        <w:rPr>
          <w:rFonts w:hint="eastAsia" w:ascii="宋体" w:hAnsi="宋体" w:cs="宋体"/>
          <w:color w:val="000000"/>
          <w:szCs w:val="22"/>
        </w:rPr>
      </w:pPr>
      <w:r>
        <w:rPr>
          <w:rFonts w:ascii="宋体" w:hAnsi="宋体" w:cs="宋体"/>
          <w:color w:val="000000"/>
          <w:szCs w:val="22"/>
        </w:rPr>
        <w:drawing>
          <wp:inline distT="0" distB="0" distL="114300" distR="114300">
            <wp:extent cx="5370830" cy="4427220"/>
            <wp:effectExtent l="0" t="0" r="1270" b="5080"/>
            <wp:docPr id="13"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descript"/>
                    <pic:cNvPicPr>
                      <a:picLocks noChangeAspect="1"/>
                    </pic:cNvPicPr>
                  </pic:nvPicPr>
                  <pic:blipFill>
                    <a:blip r:embed="rId25"/>
                    <a:stretch>
                      <a:fillRect/>
                    </a:stretch>
                  </pic:blipFill>
                  <pic:spPr>
                    <a:xfrm>
                      <a:off x="0" y="0"/>
                      <a:ext cx="5370830" cy="4427220"/>
                    </a:xfrm>
                    <a:prstGeom prst="rect">
                      <a:avLst/>
                    </a:prstGeom>
                    <a:noFill/>
                    <a:ln>
                      <a:noFill/>
                    </a:ln>
                  </pic:spPr>
                </pic:pic>
              </a:graphicData>
            </a:graphic>
          </wp:inline>
        </w:drawing>
      </w:r>
    </w:p>
    <w:p>
      <w:pPr>
        <w:spacing w:line="360" w:lineRule="auto"/>
        <w:ind w:left="-708" w:leftChars="-337" w:right="-624" w:rightChars="-297" w:firstLine="420" w:firstLineChars="200"/>
        <w:rPr>
          <w:rFonts w:hint="eastAsia" w:ascii="宋体" w:hAnsi="宋体" w:cs="宋体"/>
          <w:color w:val="000000"/>
          <w:szCs w:val="22"/>
        </w:rPr>
      </w:pPr>
    </w:p>
    <w:p>
      <w:pPr>
        <w:keepNext/>
        <w:keepLines/>
        <w:snapToGrid w:val="0"/>
        <w:spacing w:line="408" w:lineRule="auto"/>
        <w:jc w:val="left"/>
        <w:outlineLvl w:val="1"/>
        <w:rPr>
          <w:rFonts w:ascii="minorHAnsi" w:hAnsi="minorHAnsi" w:eastAsia="等线"/>
          <w:b/>
          <w:bCs/>
          <w:color w:val="1A1A1A"/>
          <w:sz w:val="28"/>
          <w:szCs w:val="32"/>
        </w:rPr>
      </w:pPr>
      <w:bookmarkStart w:id="71" w:name="_Toc31533"/>
      <w:r>
        <w:rPr>
          <w:rFonts w:ascii="minorHAnsi" w:hAnsi="minorHAnsi" w:eastAsia="等线"/>
          <w:b/>
          <w:bCs/>
          <w:color w:val="1A1A1A"/>
          <w:sz w:val="28"/>
          <w:szCs w:val="32"/>
        </w:rPr>
        <w:t>农行网银付款注意事项：</w:t>
      </w:r>
      <w:bookmarkEnd w:id="71"/>
    </w:p>
    <w:p>
      <w:pPr>
        <w:spacing w:line="360" w:lineRule="auto"/>
        <w:ind w:firstLine="482" w:firstLineChars="200"/>
        <w:rPr>
          <w:rFonts w:hint="eastAsia" w:ascii="宋体" w:hAnsi="宋体" w:cs="宋体"/>
          <w:b/>
          <w:color w:val="000000"/>
          <w:sz w:val="24"/>
          <w:szCs w:val="22"/>
        </w:rPr>
      </w:pPr>
      <w:r>
        <w:rPr>
          <w:rFonts w:ascii="宋体" w:hAnsi="宋体" w:cs="宋体"/>
          <w:b/>
          <w:color w:val="000000"/>
          <w:sz w:val="24"/>
          <w:szCs w:val="22"/>
        </w:rPr>
        <w:t>投标供应商采用</w:t>
      </w:r>
      <w:r>
        <w:rPr>
          <w:rFonts w:ascii="宋体" w:hAnsi="宋体" w:cs="宋体"/>
          <w:b/>
          <w:color w:val="FF0000"/>
          <w:sz w:val="24"/>
          <w:szCs w:val="22"/>
        </w:rPr>
        <w:t>农行网银</w:t>
      </w:r>
      <w:r>
        <w:rPr>
          <w:rFonts w:ascii="宋体" w:hAnsi="宋体" w:cs="宋体"/>
          <w:b/>
          <w:color w:val="000000"/>
          <w:sz w:val="24"/>
          <w:szCs w:val="22"/>
        </w:rPr>
        <w:t>付款时，必须</w:t>
      </w:r>
      <w:r>
        <w:rPr>
          <w:rFonts w:ascii="宋体" w:hAnsi="宋体" w:cs="宋体"/>
          <w:b/>
          <w:color w:val="FF0000"/>
          <w:sz w:val="24"/>
          <w:szCs w:val="22"/>
        </w:rPr>
        <w:t>先进行收款方信息维护</w:t>
      </w:r>
      <w:r>
        <w:rPr>
          <w:rFonts w:ascii="宋体" w:hAnsi="宋体" w:cs="宋体"/>
          <w:b/>
          <w:color w:val="000000"/>
          <w:sz w:val="24"/>
          <w:szCs w:val="22"/>
        </w:rPr>
        <w:t>再付款，维护详见步骤一、二。</w:t>
      </w:r>
    </w:p>
    <w:p>
      <w:pPr>
        <w:spacing w:line="360" w:lineRule="auto"/>
        <w:ind w:firstLine="482" w:firstLineChars="200"/>
        <w:rPr>
          <w:rFonts w:hint="eastAsia" w:ascii="宋体" w:hAnsi="宋体" w:cs="宋体"/>
          <w:color w:val="000000"/>
          <w:szCs w:val="22"/>
        </w:rPr>
      </w:pPr>
      <w:r>
        <w:rPr>
          <w:rFonts w:ascii="宋体" w:hAnsi="宋体" w:cs="宋体"/>
          <w:b/>
          <w:color w:val="000000"/>
          <w:sz w:val="24"/>
          <w:szCs w:val="22"/>
        </w:rPr>
        <w:t>维护完成后进行转账支付，点击</w:t>
      </w:r>
      <w:r>
        <w:rPr>
          <w:rFonts w:ascii="宋体" w:hAnsi="宋体" w:cs="宋体"/>
          <w:b/>
          <w:color w:val="FF0000"/>
          <w:sz w:val="24"/>
          <w:szCs w:val="22"/>
        </w:rPr>
        <w:t>收款方名册</w:t>
      </w:r>
      <w:r>
        <w:rPr>
          <w:rFonts w:ascii="宋体" w:hAnsi="宋体" w:cs="宋体"/>
          <w:b/>
          <w:color w:val="000000"/>
          <w:sz w:val="24"/>
          <w:szCs w:val="22"/>
        </w:rPr>
        <w:t>选择收款单位，转账方式选择“</w:t>
      </w:r>
      <w:r>
        <w:rPr>
          <w:rFonts w:ascii="宋体" w:hAnsi="宋体" w:cs="宋体"/>
          <w:b/>
          <w:color w:val="FF0000"/>
          <w:sz w:val="24"/>
          <w:szCs w:val="22"/>
        </w:rPr>
        <w:t>普通转账</w:t>
      </w:r>
      <w:r>
        <w:rPr>
          <w:rFonts w:ascii="宋体" w:hAnsi="宋体" w:cs="宋体"/>
          <w:b/>
          <w:color w:val="000000"/>
          <w:sz w:val="24"/>
          <w:szCs w:val="22"/>
        </w:rPr>
        <w:t>”。</w:t>
      </w:r>
    </w:p>
    <w:p>
      <w:pPr>
        <w:ind w:right="-624" w:rightChars="-297"/>
        <w:jc w:val="left"/>
        <w:rPr>
          <w:rFonts w:hint="eastAsia" w:ascii="宋体" w:hAnsi="宋体" w:cs="宋体"/>
          <w:color w:val="000000"/>
          <w:szCs w:val="22"/>
        </w:rPr>
      </w:pPr>
    </w:p>
    <w:p>
      <w:pPr>
        <w:keepNext/>
        <w:keepLines/>
        <w:snapToGrid w:val="0"/>
        <w:spacing w:line="408" w:lineRule="auto"/>
        <w:jc w:val="left"/>
        <w:outlineLvl w:val="1"/>
        <w:rPr>
          <w:rFonts w:ascii="minorHAnsi" w:hAnsi="minorHAnsi" w:eastAsia="等线"/>
          <w:b/>
          <w:bCs/>
          <w:color w:val="1A1A1A"/>
          <w:sz w:val="28"/>
          <w:szCs w:val="32"/>
        </w:rPr>
      </w:pPr>
      <w:bookmarkStart w:id="72" w:name="_Toc11443"/>
      <w:r>
        <w:rPr>
          <w:rFonts w:ascii="minorHAnsi" w:hAnsi="minorHAnsi" w:eastAsia="等线"/>
          <w:b/>
          <w:bCs/>
          <w:color w:val="1A1A1A"/>
          <w:sz w:val="28"/>
          <w:szCs w:val="32"/>
        </w:rPr>
        <w:t>收款方信息维护步骤一：</w:t>
      </w:r>
      <w:bookmarkEnd w:id="72"/>
    </w:p>
    <w:p>
      <w:pPr>
        <w:spacing w:line="360" w:lineRule="auto"/>
        <w:ind w:firstLine="480" w:firstLineChars="200"/>
        <w:rPr>
          <w:rFonts w:hint="eastAsia" w:ascii="宋体" w:hAnsi="宋体" w:cs="宋体"/>
          <w:b/>
          <w:color w:val="FF0000"/>
          <w:szCs w:val="22"/>
        </w:rPr>
      </w:pPr>
      <w:r>
        <w:rPr>
          <w:rFonts w:ascii="宋体" w:hAnsi="宋体" w:cs="宋体"/>
          <w:color w:val="000000"/>
          <w:sz w:val="24"/>
          <w:szCs w:val="22"/>
        </w:rPr>
        <w:t>进行</w:t>
      </w:r>
      <w:r>
        <w:rPr>
          <w:rFonts w:ascii="宋体" w:hAnsi="宋体" w:cs="宋体"/>
          <w:color w:val="FF0000"/>
          <w:sz w:val="24"/>
          <w:szCs w:val="22"/>
        </w:rPr>
        <w:t>收款方信息维护</w:t>
      </w:r>
      <w:r>
        <w:rPr>
          <w:rFonts w:ascii="宋体" w:hAnsi="宋体" w:cs="宋体"/>
          <w:color w:val="000000"/>
          <w:sz w:val="24"/>
          <w:szCs w:val="22"/>
        </w:rPr>
        <w:t>-</w:t>
      </w:r>
      <w:r>
        <w:rPr>
          <w:rFonts w:ascii="宋体" w:hAnsi="宋体" w:cs="宋体"/>
          <w:color w:val="FF0000"/>
          <w:sz w:val="24"/>
          <w:szCs w:val="22"/>
        </w:rPr>
        <w:t>新增收款方</w:t>
      </w:r>
      <w:r>
        <w:rPr>
          <w:rFonts w:ascii="宋体" w:hAnsi="宋体" w:cs="宋体"/>
          <w:color w:val="000000"/>
          <w:sz w:val="24"/>
          <w:szCs w:val="22"/>
        </w:rPr>
        <w:t>-需选择“</w:t>
      </w:r>
      <w:r>
        <w:rPr>
          <w:rFonts w:ascii="宋体" w:hAnsi="宋体" w:cs="宋体"/>
          <w:color w:val="FF0000"/>
          <w:sz w:val="24"/>
          <w:szCs w:val="22"/>
        </w:rPr>
        <w:t>特殊账户类型录入</w:t>
      </w:r>
      <w:r>
        <w:rPr>
          <w:rFonts w:ascii="宋体" w:hAnsi="宋体" w:cs="宋体"/>
          <w:color w:val="000000"/>
          <w:sz w:val="24"/>
          <w:szCs w:val="22"/>
        </w:rPr>
        <w:t>”-“</w:t>
      </w:r>
      <w:r>
        <w:rPr>
          <w:rFonts w:ascii="宋体" w:hAnsi="宋体" w:cs="宋体"/>
          <w:color w:val="FF0000"/>
          <w:sz w:val="24"/>
          <w:szCs w:val="22"/>
        </w:rPr>
        <w:t>内部合约</w:t>
      </w:r>
      <w:r>
        <w:rPr>
          <w:rFonts w:ascii="宋体" w:hAnsi="宋体" w:cs="宋体"/>
          <w:color w:val="000000"/>
          <w:sz w:val="24"/>
          <w:szCs w:val="22"/>
        </w:rPr>
        <w:t>”，如图所示：</w:t>
      </w:r>
    </w:p>
    <w:p>
      <w:pPr>
        <w:ind w:left="-709" w:right="-624" w:rightChars="-297" w:firstLine="424" w:firstLineChars="202"/>
        <w:jc w:val="left"/>
        <w:rPr>
          <w:rFonts w:hint="eastAsia" w:ascii="宋体" w:hAnsi="宋体" w:cs="宋体"/>
          <w:color w:val="333333"/>
          <w:szCs w:val="22"/>
        </w:rPr>
      </w:pPr>
    </w:p>
    <w:p>
      <w:pPr>
        <w:ind w:left="-709" w:right="-624" w:rightChars="-297" w:firstLine="424" w:firstLineChars="202"/>
        <w:jc w:val="center"/>
        <w:rPr>
          <w:rFonts w:hint="eastAsia" w:ascii="宋体" w:hAnsi="宋体" w:cs="宋体"/>
          <w:color w:val="000000"/>
          <w:szCs w:val="22"/>
        </w:rPr>
      </w:pPr>
      <w:r>
        <w:rPr>
          <w:rFonts w:ascii="宋体" w:hAnsi="宋体" w:cs="宋体"/>
          <w:color w:val="000000"/>
          <w:szCs w:val="22"/>
        </w:rPr>
        <w:t xml:space="preserve">   </w:t>
      </w:r>
      <w:r>
        <w:rPr>
          <w:rFonts w:ascii="宋体" w:hAnsi="宋体" w:cs="宋体"/>
          <w:color w:val="000000"/>
          <w:szCs w:val="22"/>
        </w:rPr>
        <w:drawing>
          <wp:inline distT="0" distB="0" distL="114300" distR="114300">
            <wp:extent cx="6208395" cy="3369945"/>
            <wp:effectExtent l="0" t="0" r="1905" b="8255"/>
            <wp:docPr id="14"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escript"/>
                    <pic:cNvPicPr>
                      <a:picLocks noChangeAspect="1"/>
                    </pic:cNvPicPr>
                  </pic:nvPicPr>
                  <pic:blipFill>
                    <a:blip r:embed="rId26"/>
                    <a:stretch>
                      <a:fillRect/>
                    </a:stretch>
                  </pic:blipFill>
                  <pic:spPr>
                    <a:xfrm>
                      <a:off x="0" y="0"/>
                      <a:ext cx="6208395" cy="3369945"/>
                    </a:xfrm>
                    <a:prstGeom prst="rect">
                      <a:avLst/>
                    </a:prstGeom>
                    <a:noFill/>
                    <a:ln>
                      <a:noFill/>
                    </a:ln>
                  </pic:spPr>
                </pic:pic>
              </a:graphicData>
            </a:graphic>
          </wp:inline>
        </w:drawing>
      </w:r>
    </w:p>
    <w:p>
      <w:pPr>
        <w:keepNext/>
        <w:keepLines/>
        <w:snapToGrid w:val="0"/>
        <w:spacing w:line="408" w:lineRule="auto"/>
        <w:jc w:val="left"/>
        <w:outlineLvl w:val="1"/>
        <w:rPr>
          <w:rFonts w:ascii="minorHAnsi" w:hAnsi="minorHAnsi" w:eastAsia="等线"/>
          <w:b/>
          <w:bCs/>
          <w:color w:val="1A1A1A"/>
          <w:sz w:val="28"/>
          <w:szCs w:val="32"/>
        </w:rPr>
      </w:pPr>
      <w:bookmarkStart w:id="73" w:name="_Toc4352"/>
      <w:r>
        <w:rPr>
          <w:rFonts w:ascii="minorHAnsi" w:hAnsi="minorHAnsi" w:eastAsia="等线"/>
          <w:b/>
          <w:bCs/>
          <w:color w:val="1A1A1A"/>
          <w:sz w:val="28"/>
          <w:szCs w:val="32"/>
        </w:rPr>
        <w:t>收款方信息维护步骤二：</w:t>
      </w:r>
      <w:bookmarkEnd w:id="73"/>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按要求维护完毕后进行消息确认，如图所示：</w:t>
      </w:r>
    </w:p>
    <w:p>
      <w:pPr>
        <w:ind w:left="-709" w:right="-624" w:rightChars="-297" w:firstLine="444" w:firstLineChars="202"/>
        <w:jc w:val="left"/>
        <w:rPr>
          <w:rFonts w:hint="eastAsia" w:ascii="宋体" w:hAnsi="宋体" w:cs="宋体"/>
          <w:color w:val="333333"/>
          <w:sz w:val="22"/>
          <w:szCs w:val="22"/>
        </w:rPr>
      </w:pPr>
    </w:p>
    <w:p>
      <w:pPr>
        <w:ind w:left="-709" w:right="-624" w:rightChars="-297" w:firstLine="444" w:firstLineChars="202"/>
        <w:jc w:val="center"/>
        <w:rPr>
          <w:rFonts w:hint="eastAsia" w:ascii="宋体" w:hAnsi="宋体" w:cs="宋体"/>
          <w:color w:val="333333"/>
          <w:sz w:val="22"/>
          <w:szCs w:val="22"/>
        </w:rPr>
      </w:pPr>
      <w:r>
        <w:rPr>
          <w:rFonts w:ascii="宋体" w:hAnsi="宋体" w:cs="宋体"/>
          <w:color w:val="333333"/>
          <w:sz w:val="22"/>
          <w:szCs w:val="22"/>
        </w:rPr>
        <w:drawing>
          <wp:inline distT="0" distB="0" distL="114300" distR="114300">
            <wp:extent cx="5123815" cy="3109595"/>
            <wp:effectExtent l="0" t="0" r="6985" b="1905"/>
            <wp:docPr id="4"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descript"/>
                    <pic:cNvPicPr>
                      <a:picLocks noChangeAspect="1"/>
                    </pic:cNvPicPr>
                  </pic:nvPicPr>
                  <pic:blipFill>
                    <a:blip r:embed="rId27"/>
                    <a:stretch>
                      <a:fillRect/>
                    </a:stretch>
                  </pic:blipFill>
                  <pic:spPr>
                    <a:xfrm>
                      <a:off x="0" y="0"/>
                      <a:ext cx="5123815" cy="3109595"/>
                    </a:xfrm>
                    <a:prstGeom prst="rect">
                      <a:avLst/>
                    </a:prstGeom>
                    <a:noFill/>
                    <a:ln>
                      <a:noFill/>
                    </a:ln>
                  </pic:spPr>
                </pic:pic>
              </a:graphicData>
            </a:graphic>
          </wp:inline>
        </w:drawing>
      </w:r>
    </w:p>
    <w:p>
      <w:pPr>
        <w:ind w:left="-709" w:right="-624" w:rightChars="-297" w:firstLine="444" w:firstLineChars="202"/>
        <w:jc w:val="left"/>
        <w:rPr>
          <w:rFonts w:hint="eastAsia" w:ascii="宋体" w:hAnsi="宋体" w:cs="宋体"/>
          <w:color w:val="333333"/>
          <w:sz w:val="22"/>
          <w:szCs w:val="22"/>
        </w:rPr>
      </w:pPr>
    </w:p>
    <w:p>
      <w:pPr>
        <w:keepNext/>
        <w:keepLines/>
        <w:snapToGrid w:val="0"/>
        <w:spacing w:line="408" w:lineRule="auto"/>
        <w:jc w:val="left"/>
        <w:outlineLvl w:val="1"/>
        <w:rPr>
          <w:rFonts w:ascii="minorHAnsi" w:hAnsi="minorHAnsi" w:eastAsia="等线"/>
          <w:b/>
          <w:bCs/>
          <w:color w:val="1A1A1A"/>
          <w:sz w:val="28"/>
          <w:szCs w:val="32"/>
        </w:rPr>
      </w:pPr>
      <w:bookmarkStart w:id="74" w:name="_Toc6319"/>
      <w:r>
        <w:rPr>
          <w:rFonts w:ascii="minorHAnsi" w:hAnsi="minorHAnsi" w:eastAsia="等线"/>
          <w:b/>
          <w:bCs/>
          <w:color w:val="1A1A1A"/>
          <w:sz w:val="28"/>
          <w:szCs w:val="32"/>
        </w:rPr>
        <w:t>（2）银行柜台转账</w:t>
      </w:r>
      <w:bookmarkEnd w:id="74"/>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如果是农行柜台转账，需要告诉银行业务人员</w:t>
      </w:r>
      <w:r>
        <w:rPr>
          <w:rFonts w:ascii="宋体" w:hAnsi="宋体" w:cs="宋体"/>
          <w:color w:val="FF0000"/>
          <w:sz w:val="24"/>
          <w:szCs w:val="22"/>
        </w:rPr>
        <w:t>“农行账号往内部合约付款柜面操作，用“21201”交易，勾选账户间转账，账号录入财务公司15077账号，再勾选集中代理收付款，再录入代理行内部合约”。</w:t>
      </w:r>
    </w:p>
    <w:p>
      <w:pPr>
        <w:spacing w:line="360" w:lineRule="auto"/>
        <w:ind w:firstLine="480" w:firstLineChars="200"/>
        <w:rPr>
          <w:rFonts w:hint="eastAsia" w:ascii="宋体" w:hAnsi="宋体" w:cs="宋体"/>
          <w:color w:val="000000"/>
          <w:sz w:val="24"/>
          <w:szCs w:val="22"/>
        </w:rPr>
      </w:pPr>
      <w:r>
        <w:rPr>
          <w:rFonts w:ascii="宋体" w:hAnsi="宋体" w:cs="宋体"/>
          <w:color w:val="000000"/>
          <w:sz w:val="24"/>
          <w:szCs w:val="22"/>
        </w:rPr>
        <w:t>如需跟出款行付款提示，请务必说明收款方开户银行是中铁财务公司，代理银行为农业银行，此账号为中铁财务公司为我单位开设的代理行账户。</w:t>
      </w:r>
    </w:p>
    <w:p>
      <w:pPr>
        <w:ind w:left="-708" w:leftChars="-337" w:right="-624" w:rightChars="-297" w:firstLine="420" w:firstLineChars="200"/>
        <w:jc w:val="center"/>
        <w:rPr>
          <w:rFonts w:hint="eastAsia" w:ascii="宋体" w:hAnsi="宋体" w:cs="宋体"/>
          <w:color w:val="333333"/>
          <w:szCs w:val="22"/>
        </w:rPr>
      </w:pPr>
      <w:r>
        <w:rPr>
          <w:rFonts w:ascii="宋体" w:hAnsi="宋体" w:cs="宋体"/>
          <w:color w:val="333333"/>
          <w:szCs w:val="22"/>
        </w:rPr>
        <w:drawing>
          <wp:inline distT="0" distB="0" distL="114300" distR="114300">
            <wp:extent cx="5191125" cy="3557905"/>
            <wp:effectExtent l="0" t="0" r="3175" b="10795"/>
            <wp:docPr id="15" name="图片 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descript"/>
                    <pic:cNvPicPr>
                      <a:picLocks noChangeAspect="1"/>
                    </pic:cNvPicPr>
                  </pic:nvPicPr>
                  <pic:blipFill>
                    <a:blip r:embed="rId28"/>
                    <a:stretch>
                      <a:fillRect/>
                    </a:stretch>
                  </pic:blipFill>
                  <pic:spPr>
                    <a:xfrm>
                      <a:off x="0" y="0"/>
                      <a:ext cx="5191125" cy="3557905"/>
                    </a:xfrm>
                    <a:prstGeom prst="rect">
                      <a:avLst/>
                    </a:prstGeom>
                    <a:noFill/>
                    <a:ln>
                      <a:noFill/>
                    </a:ln>
                  </pic:spPr>
                </pic:pic>
              </a:graphicData>
            </a:graphic>
          </wp:inline>
        </w:drawing>
      </w:r>
    </w:p>
    <w:p>
      <w:pPr>
        <w:ind w:left="-708" w:leftChars="-337" w:right="-624" w:rightChars="-297" w:firstLine="420" w:firstLineChars="200"/>
        <w:rPr>
          <w:rFonts w:hint="eastAsia" w:ascii="宋体" w:hAnsi="宋体" w:cs="宋体"/>
          <w:color w:val="333333"/>
          <w:szCs w:val="22"/>
        </w:rPr>
      </w:pPr>
    </w:p>
    <w:p>
      <w:pPr>
        <w:keepNext/>
        <w:keepLines/>
        <w:snapToGrid w:val="0"/>
        <w:spacing w:line="408" w:lineRule="auto"/>
        <w:jc w:val="left"/>
        <w:outlineLvl w:val="1"/>
        <w:rPr>
          <w:rFonts w:ascii="minorHAnsi" w:hAnsi="minorHAnsi" w:eastAsia="等线"/>
          <w:b/>
          <w:bCs/>
          <w:color w:val="1A1A1A"/>
          <w:sz w:val="28"/>
          <w:szCs w:val="32"/>
        </w:rPr>
      </w:pPr>
      <w:bookmarkStart w:id="75" w:name="_Toc18001"/>
      <w:r>
        <w:rPr>
          <w:rFonts w:ascii="minorHAnsi" w:hAnsi="minorHAnsi" w:eastAsia="等线"/>
          <w:b/>
          <w:bCs/>
          <w:color w:val="1A1A1A"/>
          <w:sz w:val="28"/>
          <w:szCs w:val="32"/>
        </w:rPr>
        <w:t>（3）付款结果查询</w:t>
      </w:r>
      <w:bookmarkEnd w:id="75"/>
    </w:p>
    <w:p>
      <w:pPr>
        <w:spacing w:line="360" w:lineRule="auto"/>
        <w:ind w:firstLine="482" w:firstLineChars="200"/>
        <w:rPr>
          <w:rFonts w:hint="eastAsia" w:ascii="宋体" w:hAnsi="宋体" w:cs="宋体"/>
          <w:b/>
          <w:color w:val="333333"/>
          <w:szCs w:val="22"/>
        </w:rPr>
      </w:pPr>
      <w:r>
        <w:rPr>
          <w:rFonts w:ascii="宋体" w:hAnsi="宋体" w:cs="宋体"/>
          <w:b/>
          <w:color w:val="000000"/>
          <w:sz w:val="24"/>
          <w:szCs w:val="22"/>
        </w:rPr>
        <w:t>付款银行确认已出款但收款方未到账时，如确认收款信息填写无误，请将</w:t>
      </w:r>
      <w:r>
        <w:rPr>
          <w:rFonts w:ascii="宋体" w:hAnsi="宋体" w:cs="宋体"/>
          <w:b/>
          <w:color w:val="FF0000"/>
          <w:sz w:val="24"/>
          <w:szCs w:val="22"/>
        </w:rPr>
        <w:t>正式银行回单</w:t>
      </w:r>
      <w:r>
        <w:rPr>
          <w:rFonts w:ascii="宋体" w:hAnsi="宋体" w:cs="宋体"/>
          <w:b/>
          <w:color w:val="000000"/>
          <w:sz w:val="24"/>
          <w:szCs w:val="22"/>
        </w:rPr>
        <w:t>传给招标负责人查询。</w:t>
      </w:r>
    </w:p>
    <w:p>
      <w:bookmarkStart w:id="76" w:name="_GoBack"/>
      <w:bookmarkEnd w:id="7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minorHAnsi">
    <w:altName w:val="Cambria"/>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ascii="宋体" w:hAnsi="宋体"/>
        <w:b/>
        <w:bCs/>
        <w:sz w:val="21"/>
        <w:szCs w:val="21"/>
      </w:rPr>
    </w:pPr>
    <w:r>
      <w:rPr>
        <w:rFonts w:ascii="宋体" w:hAnsi="宋体"/>
        <w:b/>
        <w:bCs/>
        <w:sz w:val="21"/>
        <w:szCs w:val="21"/>
        <w:lang w:val="zh-CN"/>
      </w:rPr>
      <w:t xml:space="preserve"> </w:t>
    </w:r>
    <w:r>
      <w:rPr>
        <w:rFonts w:ascii="宋体" w:hAnsi="宋体"/>
        <w:b/>
        <w:bCs/>
        <w:sz w:val="21"/>
        <w:szCs w:val="21"/>
      </w:rPr>
      <w:fldChar w:fldCharType="begin"/>
    </w:r>
    <w:r>
      <w:rPr>
        <w:rFonts w:ascii="宋体" w:hAnsi="宋体"/>
        <w:b/>
        <w:bCs/>
        <w:sz w:val="21"/>
        <w:szCs w:val="21"/>
      </w:rPr>
      <w:instrText xml:space="preserve">PAGE</w:instrText>
    </w:r>
    <w:r>
      <w:rPr>
        <w:rFonts w:ascii="宋体" w:hAnsi="宋体"/>
        <w:b/>
        <w:bCs/>
        <w:sz w:val="21"/>
        <w:szCs w:val="21"/>
      </w:rPr>
      <w:fldChar w:fldCharType="separate"/>
    </w:r>
    <w:r>
      <w:rPr>
        <w:rFonts w:ascii="宋体" w:hAnsi="宋体"/>
        <w:b/>
        <w:bCs/>
        <w:sz w:val="21"/>
        <w:szCs w:val="21"/>
      </w:rPr>
      <w:t>8</w:t>
    </w:r>
    <w:r>
      <w:rPr>
        <w:rFonts w:ascii="宋体" w:hAnsi="宋体"/>
        <w:b/>
        <w:bCs/>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2"/>
      </w:rPr>
    </w:pPr>
    <w:r>
      <w:fldChar w:fldCharType="begin"/>
    </w:r>
    <w:r>
      <w:rPr>
        <w:rStyle w:val="12"/>
      </w:rPr>
      <w:instrText xml:space="preserve">PAGE  </w:instrText>
    </w:r>
    <w:r>
      <w:fldChar w:fldCharType="separate"/>
    </w:r>
    <w:r>
      <w:rPr>
        <w:rStyle w:val="12"/>
      </w:rPr>
      <w:t>9</w:t>
    </w:r>
    <w: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1689999807"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8"/>
                          </w:pPr>
                          <w:r>
                            <w:fldChar w:fldCharType="begin"/>
                          </w:r>
                          <w:r>
                            <w:instrText xml:space="preserve"> PAGE  \* MERGEFORMAT </w:instrText>
                          </w:r>
                          <w:r>
                            <w:fldChar w:fldCharType="separate"/>
                          </w:r>
                          <w:r>
                            <w:t>16</w:t>
                          </w:r>
                          <w:r>
                            <w:fldChar w:fldCharType="end"/>
                          </w:r>
                        </w:p>
                      </w:txbxContent>
                    </wps:txbx>
                    <wps:bodyPr rot="0" vert="horz" wrap="none" lIns="0" tIns="0" rIns="0" bIns="0" anchor="t" anchorCtr="0" upright="1">
                      <a:spAutoFit/>
                    </wps:bodyPr>
                  </wps:wsp>
                </a:graphicData>
              </a:graphic>
            </wp:anchor>
          </w:drawing>
        </mc:Choice>
        <mc:Fallback>
          <w:pict>
            <v:shape id="文本框 10"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PlfknQAAAAAwEAAA8AAAAAAAAAAQAgAAAA&#10;IgAAAGRycy9kb3ducmV2LnhtbFBLAQIUABQAAAAIAIdO4kAhMC2lEwIAAAwEAAAOAAAAAAAAAAEA&#10;IAAAAB8BAABkcnMvZTJvRG9jLnhtbFBLBQYAAAAABgAGAFkBAACk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2"/>
      </w:rPr>
    </w:pPr>
    <w:r>
      <w:fldChar w:fldCharType="begin"/>
    </w:r>
    <w:r>
      <w:rPr>
        <w:rStyle w:val="12"/>
      </w:rPr>
      <w:instrText xml:space="preserve">PAGE  </w:instrText>
    </w:r>
    <w:r>
      <w:fldChar w:fldCharType="separate"/>
    </w:r>
    <w:r>
      <w:rPr>
        <w:rStyle w:val="12"/>
      </w:rPr>
      <w:t>9</w:t>
    </w:r>
    <w:r>
      <w:fldChar w:fldCharType="end"/>
    </w:r>
  </w:p>
  <w:p>
    <w:pPr>
      <w:pStyle w:val="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ascii="宋体" w:hAnsi="宋体"/>
        <w:b/>
        <w:bCs/>
        <w:sz w:val="21"/>
        <w:szCs w:val="21"/>
      </w:rPr>
    </w:pPr>
    <w:r>
      <w:rPr>
        <w:rFonts w:ascii="宋体" w:hAnsi="宋体"/>
        <w:b/>
        <w:bCs/>
        <w:sz w:val="21"/>
        <w:szCs w:val="21"/>
        <w:lang w:val="zh-CN"/>
      </w:rPr>
      <w:t xml:space="preserve"> </w:t>
    </w:r>
    <w:r>
      <w:rPr>
        <w:rFonts w:ascii="宋体" w:hAnsi="宋体"/>
        <w:b/>
        <w:bCs/>
        <w:sz w:val="21"/>
        <w:szCs w:val="21"/>
      </w:rPr>
      <w:fldChar w:fldCharType="begin"/>
    </w:r>
    <w:r>
      <w:rPr>
        <w:rFonts w:ascii="宋体" w:hAnsi="宋体"/>
        <w:b/>
        <w:bCs/>
        <w:sz w:val="21"/>
        <w:szCs w:val="21"/>
      </w:rPr>
      <w:instrText xml:space="preserve">PAGE</w:instrText>
    </w:r>
    <w:r>
      <w:rPr>
        <w:rFonts w:ascii="宋体" w:hAnsi="宋体"/>
        <w:b/>
        <w:bCs/>
        <w:sz w:val="21"/>
        <w:szCs w:val="21"/>
      </w:rPr>
      <w:fldChar w:fldCharType="separate"/>
    </w:r>
    <w:r>
      <w:rPr>
        <w:rFonts w:ascii="宋体" w:hAnsi="宋体"/>
        <w:b/>
        <w:bCs/>
        <w:sz w:val="21"/>
        <w:szCs w:val="21"/>
      </w:rPr>
      <w:t>1</w:t>
    </w:r>
    <w:r>
      <w:rPr>
        <w:rFonts w:ascii="宋体" w:hAnsi="宋体"/>
        <w:b/>
        <w:bCs/>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3949"/>
      <w:rPr>
        <w:rFonts w:eastAsia="Times New Roman"/>
        <w:sz w:val="20"/>
        <w:szCs w:val="20"/>
      </w:rPr>
    </w:pPr>
    <w:r>
      <w:rPr>
        <w:rFonts w:eastAsia="Times New Roman"/>
        <w:sz w:val="20"/>
        <w:szCs w:val="20"/>
      </w:rPr>
      <w:t>-</w:t>
    </w:r>
    <w:r>
      <w:rPr>
        <w:rFonts w:eastAsia="Times New Roman"/>
        <w:spacing w:val="7"/>
        <w:sz w:val="20"/>
        <w:szCs w:val="20"/>
      </w:rPr>
      <w:t xml:space="preserve"> </w:t>
    </w:r>
    <w:r>
      <w:rPr>
        <w:rFonts w:eastAsia="Times New Roman"/>
        <w:sz w:val="20"/>
        <w:szCs w:val="20"/>
      </w:rPr>
      <w:t>25</w:t>
    </w:r>
    <w:r>
      <w:rPr>
        <w:rFonts w:eastAsia="Times New Roman"/>
        <w:spacing w:val="10"/>
        <w:sz w:val="20"/>
        <w:szCs w:val="20"/>
      </w:rPr>
      <w:t xml:space="preserve"> </w:t>
    </w:r>
    <w:r>
      <w:rPr>
        <w:rFonts w:eastAsia="Times New Roman"/>
        <w:sz w:val="20"/>
        <w:szCs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14</w:t>
                          </w:r>
                          <w:r>
                            <w:fldChar w:fldCharType="end"/>
                          </w:r>
                          <w:r>
                            <w:rPr>
                              <w:rFonts w:hint="eastAsia"/>
                            </w:rPr>
                            <w:t xml:space="preserve"> 页</w:t>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ha288YBAACRAwAADgAAAGRycy9lMm9Eb2MueG1srVPNjtMwEL4j7TtY&#10;vm+dRgu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Wl5Q4nlBid+/v7t/OPX+edX&#10;sizK10mi3kOFmQ8ec+Pwzg24OLMf0JmYD20w6YucCMZR4NNFYDlEItKjVblaFRgSGJsviM+envsA&#10;8V46Q5JR04ATzMLy4weIY+qckqpZd6e0zlPU9i8HYiYPS72PPSYrDrthIrRzzQn59Dj8mlrcdUr0&#10;e4vapj2ZjTAbu8lINcC/PUQsnPtJqCPUVAwnlRlNW5VW4c97znr6k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KFrbzxgEAAJEDAAAOAAAAAAAAAAEAIAAAAB4BAABkcnMvZTJvRG9jLnht&#10;bFBLBQYAAAAABgAGAFkBAABWBQAAAAA=&#10;">
              <v:fill on="f" focussize="0,0"/>
              <v:stroke on="f"/>
              <v:imagedata o:title=""/>
              <o:lock v:ext="edit" aspectratio="f"/>
              <v:textbox inset="0mm,0mm,0mm,0mm" style="mso-fit-shape-to-text:t;">
                <w:txbxContent>
                  <w:p>
                    <w:pPr>
                      <w:pStyle w:val="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14</w:t>
                    </w:r>
                    <w:r>
                      <w:fldChar w:fldCharType="end"/>
                    </w:r>
                    <w:r>
                      <w:rPr>
                        <w:rFonts w:hint="eastAsia"/>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posOffset>2750820</wp:posOffset>
              </wp:positionH>
              <wp:positionV relativeFrom="paragraph">
                <wp:posOffset>-81915</wp:posOffset>
              </wp:positionV>
              <wp:extent cx="314325" cy="1530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14325" cy="153035"/>
                      </a:xfrm>
                      <a:prstGeom prst="rect">
                        <a:avLst/>
                      </a:prstGeom>
                      <a:noFill/>
                      <a:ln>
                        <a:noFill/>
                      </a:ln>
                    </wps:spPr>
                    <wps:txbx>
                      <w:txbxContent>
                        <w:p>
                          <w:pPr>
                            <w:pStyle w:val="8"/>
                            <w:rPr>
                              <w:rFonts w:hint="eastAsia" w:ascii="宋体" w:hAnsi="宋体" w:eastAsia="宋体" w:cs="宋体"/>
                              <w:b/>
                              <w:bCs/>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16</w:t>
                          </w:r>
                          <w:r>
                            <w:rPr>
                              <w:rFonts w:hint="eastAsia" w:ascii="宋体" w:hAnsi="宋体" w:eastAsia="宋体" w:cs="宋体"/>
                              <w:b/>
                              <w:bCs/>
                              <w:sz w:val="21"/>
                              <w:szCs w:val="21"/>
                            </w:rPr>
                            <w:fldChar w:fldCharType="end"/>
                          </w:r>
                        </w:p>
                      </w:txbxContent>
                    </wps:txbx>
                    <wps:bodyPr lIns="0" tIns="0" rIns="0" bIns="0" upright="0"/>
                  </wps:wsp>
                </a:graphicData>
              </a:graphic>
            </wp:anchor>
          </w:drawing>
        </mc:Choice>
        <mc:Fallback>
          <w:pict>
            <v:shape id="_x0000_s1026" o:spid="_x0000_s1026" o:spt="202" type="#_x0000_t202" style="position:absolute;left:0pt;margin-left:216.6pt;margin-top:-6.45pt;height:12.05pt;width:24.75pt;mso-position-horizontal-relative:margin;z-index:251663360;mso-width-relative:page;mso-height-relative:page;" filled="f" stroked="f" coordsize="21600,21600" o:gfxdata="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ZBwYtkAAAAKAQAADwAAAAAAAAABACAAAAAiAAAAZHJzL2Rvd25yZXYueG1sUEsB&#10;AhQAFAAAAAgAh07iQBOVs9K7AQAAcwMAAA4AAAAAAAAAAQAgAAAAKAEAAGRycy9lMm9Eb2MueG1s&#10;UEsFBgAAAAAGAAYAWQEAAFUFAAAAAA==&#10;">
              <v:fill on="f" focussize="0,0"/>
              <v:stroke on="f"/>
              <v:imagedata o:title=""/>
              <o:lock v:ext="edit" aspectratio="f"/>
              <v:textbox inset="0mm,0mm,0mm,0mm">
                <w:txbxContent>
                  <w:p>
                    <w:pPr>
                      <w:pStyle w:val="8"/>
                      <w:rPr>
                        <w:rFonts w:hint="eastAsia" w:ascii="宋体" w:hAnsi="宋体" w:eastAsia="宋体" w:cs="宋体"/>
                        <w:b/>
                        <w:bCs/>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16</w:t>
                    </w:r>
                    <w:r>
                      <w:rPr>
                        <w:rFonts w:hint="eastAsia" w:ascii="宋体" w:hAnsi="宋体" w:eastAsia="宋体" w:cs="宋体"/>
                        <w:b/>
                        <w:bCs/>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0" w:line="14" w:lineRule="auto"/>
      <w:ind w:left="0"/>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posOffset>2750820</wp:posOffset>
              </wp:positionH>
              <wp:positionV relativeFrom="paragraph">
                <wp:posOffset>-163830</wp:posOffset>
              </wp:positionV>
              <wp:extent cx="281940" cy="1733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81940" cy="173355"/>
                      </a:xfrm>
                      <a:prstGeom prst="rect">
                        <a:avLst/>
                      </a:prstGeom>
                      <a:noFill/>
                      <a:ln>
                        <a:noFill/>
                      </a:ln>
                    </wps:spPr>
                    <wps:txbx>
                      <w:txbxContent>
                        <w:p>
                          <w:pPr>
                            <w:pStyle w:val="8"/>
                            <w:rPr>
                              <w:rFonts w:hint="eastAsia" w:ascii="宋体" w:hAnsi="宋体" w:eastAsia="宋体" w:cs="宋体"/>
                              <w:b/>
                              <w:bCs/>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27</w:t>
                          </w:r>
                          <w:r>
                            <w:rPr>
                              <w:rFonts w:hint="eastAsia" w:ascii="宋体" w:hAnsi="宋体" w:eastAsia="宋体" w:cs="宋体"/>
                              <w:b/>
                              <w:bCs/>
                              <w:sz w:val="21"/>
                              <w:szCs w:val="21"/>
                            </w:rPr>
                            <w:fldChar w:fldCharType="end"/>
                          </w:r>
                        </w:p>
                      </w:txbxContent>
                    </wps:txbx>
                    <wps:bodyPr lIns="0" tIns="0" rIns="0" bIns="0" upright="0"/>
                  </wps:wsp>
                </a:graphicData>
              </a:graphic>
            </wp:anchor>
          </w:drawing>
        </mc:Choice>
        <mc:Fallback>
          <w:pict>
            <v:shape id="_x0000_s1026" o:spid="_x0000_s1026" o:spt="202" type="#_x0000_t202" style="position:absolute;left:0pt;margin-left:216.6pt;margin-top:-12.9pt;height:13.65pt;width:22.2pt;mso-position-horizontal-relative:margin;z-index:251664384;mso-width-relative:page;mso-height-relative:page;" filled="f" stroked="f" coordsize="21600,21600" o:gfxdata="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NTvYHZAAAACQEAAA8AAAAAAAAAAQAgAAAAIgAAAGRycy9kb3ducmV2LnhtbFBL&#10;AQIUABQAAAAIAIdO4kB9QVLTvAEAAHMDAAAOAAAAAAAAAAEAIAAAACgBAABkcnMvZTJvRG9jLnht&#10;bFBLBQYAAAAABgAGAFkBAABWBQAAAAA=&#10;">
              <v:fill on="f" focussize="0,0"/>
              <v:stroke on="f"/>
              <v:imagedata o:title=""/>
              <o:lock v:ext="edit" aspectratio="f"/>
              <v:textbox inset="0mm,0mm,0mm,0mm">
                <w:txbxContent>
                  <w:p>
                    <w:pPr>
                      <w:pStyle w:val="8"/>
                      <w:rPr>
                        <w:rFonts w:hint="eastAsia" w:ascii="宋体" w:hAnsi="宋体" w:eastAsia="宋体" w:cs="宋体"/>
                        <w:b/>
                        <w:bCs/>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PAGE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t>27</w:t>
                    </w:r>
                    <w:r>
                      <w:rPr>
                        <w:rFonts w:hint="eastAsia" w:ascii="宋体" w:hAnsi="宋体" w:eastAsia="宋体" w:cs="宋体"/>
                        <w:b/>
                        <w:bCs/>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E9EDF6"/>
    <w:multiLevelType w:val="singleLevel"/>
    <w:tmpl w:val="E6E9EDF6"/>
    <w:lvl w:ilvl="0" w:tentative="0">
      <w:start w:val="1"/>
      <w:numFmt w:val="decimal"/>
      <w:suff w:val="space"/>
      <w:lvlText w:val="%1."/>
      <w:lvlJc w:val="left"/>
    </w:lvl>
  </w:abstractNum>
  <w:abstractNum w:abstractNumId="1">
    <w:nsid w:val="49C9F370"/>
    <w:multiLevelType w:val="singleLevel"/>
    <w:tmpl w:val="49C9F370"/>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DD7F38"/>
    <w:rsid w:val="342A10D6"/>
    <w:rsid w:val="49464FD8"/>
    <w:rsid w:val="66844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line="579" w:lineRule="auto"/>
      <w:jc w:val="center"/>
      <w:outlineLvl w:val="0"/>
    </w:pPr>
    <w:rPr>
      <w:rFonts w:ascii="Times New Roman" w:hAnsi="Times New Roman" w:eastAsia="方正小标宋简体"/>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0"/>
    <w:pPr>
      <w:spacing w:after="120"/>
    </w:pPr>
    <w:rPr>
      <w:kern w:val="0"/>
      <w:sz w:val="20"/>
    </w:rPr>
  </w:style>
  <w:style w:type="paragraph" w:styleId="6">
    <w:name w:val="Plain Text"/>
    <w:basedOn w:val="1"/>
    <w:qFormat/>
    <w:uiPriority w:val="0"/>
    <w:pPr>
      <w:ind w:firstLine="200" w:firstLineChars="200"/>
    </w:pPr>
    <w:rPr>
      <w:rFonts w:ascii="宋体" w:hAnsi="Courier New" w:eastAsia="仿宋_GB2312"/>
      <w:kern w:val="0"/>
      <w:sz w:val="20"/>
      <w:szCs w:val="21"/>
    </w:rPr>
  </w:style>
  <w:style w:type="paragraph" w:styleId="7">
    <w:name w:val="Body Text Indent 2"/>
    <w:basedOn w:val="1"/>
    <w:qFormat/>
    <w:uiPriority w:val="0"/>
    <w:pPr>
      <w:adjustRightInd w:val="0"/>
      <w:spacing w:after="120" w:line="480" w:lineRule="auto"/>
      <w:ind w:left="420" w:leftChars="200"/>
      <w:textAlignment w:val="baseline"/>
    </w:pPr>
    <w:rPr>
      <w:rFonts w:eastAsia="华文细黑"/>
      <w:sz w:val="24"/>
    </w:rPr>
  </w:style>
  <w:style w:type="paragraph" w:styleId="8">
    <w:name w:val="footer"/>
    <w:basedOn w:val="1"/>
    <w:unhideWhenUsed/>
    <w:qFormat/>
    <w:uiPriority w:val="99"/>
    <w:pPr>
      <w:tabs>
        <w:tab w:val="center" w:pos="4153"/>
        <w:tab w:val="right" w:pos="8306"/>
      </w:tabs>
      <w:snapToGrid w:val="0"/>
      <w:jc w:val="left"/>
    </w:pPr>
    <w:rPr>
      <w:kern w:val="0"/>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2">
    <w:name w:val="page number"/>
    <w:qFormat/>
    <w:uiPriority w:val="0"/>
  </w:style>
  <w:style w:type="character" w:styleId="13">
    <w:name w:val="Hyperlink"/>
    <w:qFormat/>
    <w:uiPriority w:val="99"/>
    <w:rPr>
      <w:color w:val="0000FF"/>
      <w:u w:val="single"/>
    </w:rPr>
  </w:style>
  <w:style w:type="character" w:customStyle="1" w:styleId="14">
    <w:name w:val="标题 1 字符"/>
    <w:link w:val="2"/>
    <w:qFormat/>
    <w:uiPriority w:val="0"/>
    <w:rPr>
      <w:rFonts w:ascii="Times New Roman" w:hAnsi="Times New Roman" w:eastAsia="方正小标宋简体"/>
      <w:b/>
      <w:bCs/>
      <w:kern w:val="44"/>
      <w:sz w:val="44"/>
      <w:szCs w:val="44"/>
    </w:rPr>
  </w:style>
  <w:style w:type="paragraph" w:customStyle="1" w:styleId="15">
    <w:name w:val="正文2"/>
    <w:basedOn w:val="1"/>
    <w:qFormat/>
    <w:uiPriority w:val="0"/>
    <w:pPr>
      <w:spacing w:line="480" w:lineRule="exact"/>
      <w:ind w:firstLine="200" w:firstLineChars="200"/>
    </w:pPr>
    <w:rPr>
      <w:rFonts w:ascii="Times New Roman" w:hAnsi="Times New Roman" w:cs="Times New Roman"/>
      <w:color w:val="000000"/>
      <w:sz w:val="24"/>
      <w:szCs w:val="24"/>
    </w:rPr>
  </w:style>
  <w:style w:type="paragraph" w:customStyle="1" w:styleId="16">
    <w:name w:val="Default"/>
    <w:qFormat/>
    <w:uiPriority w:val="99"/>
    <w:pPr>
      <w:widowControl w:val="0"/>
      <w:autoSpaceDE w:val="0"/>
      <w:autoSpaceDN w:val="0"/>
      <w:adjustRightInd w:val="0"/>
    </w:pPr>
    <w:rPr>
      <w:rFonts w:ascii="黑体" w:hAnsi="Calibri" w:eastAsia="黑体" w:cs="黑体"/>
      <w:color w:val="000000"/>
      <w:kern w:val="2"/>
      <w:sz w:val="24"/>
      <w:szCs w:val="24"/>
      <w:lang w:val="en-US" w:eastAsia="zh-CN" w:bidi="ar-SA"/>
    </w:rPr>
  </w:style>
  <w:style w:type="paragraph" w:customStyle="1" w:styleId="17">
    <w:name w:val="Body text|1"/>
    <w:basedOn w:val="1"/>
    <w:qFormat/>
    <w:uiPriority w:val="0"/>
    <w:pPr>
      <w:spacing w:after="220" w:line="480" w:lineRule="auto"/>
      <w:ind w:firstLine="330"/>
      <w:jc w:val="left"/>
    </w:pPr>
    <w:rPr>
      <w:rFonts w:ascii="宋体" w:hAnsi="宋体" w:cs="宋体"/>
      <w:kern w:val="0"/>
      <w:sz w:val="16"/>
      <w:szCs w:val="16"/>
      <w:lang w:val="zh-TW" w:eastAsia="zh-TW" w:bidi="zh-TW"/>
    </w:rPr>
  </w:style>
  <w:style w:type="paragraph" w:styleId="18">
    <w:name w:val="List Paragraph"/>
    <w:basedOn w:val="1"/>
    <w:qFormat/>
    <w:uiPriority w:val="99"/>
    <w:pPr>
      <w:ind w:firstLine="420" w:firstLineChars="200"/>
    </w:pPr>
  </w:style>
  <w:style w:type="paragraph" w:customStyle="1" w:styleId="19">
    <w:name w:val="样式 首行缩进:  2 字符"/>
    <w:basedOn w:val="1"/>
    <w:qFormat/>
    <w:uiPriority w:val="0"/>
    <w:pPr>
      <w:adjustRightInd w:val="0"/>
      <w:snapToGrid w:val="0"/>
      <w:spacing w:line="300" w:lineRule="auto"/>
      <w:ind w:firstLine="200" w:firstLineChars="200"/>
    </w:pPr>
    <w:rPr>
      <w:rFonts w:ascii="仿宋_GB2312" w:eastAsia="华文中宋" w:cs="宋体"/>
      <w:kern w:val="0"/>
    </w:rPr>
  </w:style>
  <w:style w:type="paragraph" w:customStyle="1" w:styleId="20">
    <w:name w:val="Table Paragraph"/>
    <w:basedOn w:val="1"/>
    <w:qFormat/>
    <w:uiPriority w:val="1"/>
    <w:pPr>
      <w:autoSpaceDE w:val="0"/>
      <w:autoSpaceDN w:val="0"/>
      <w:adjustRightInd w:val="0"/>
      <w:jc w:val="left"/>
    </w:pPr>
    <w:rPr>
      <w:rFonts w:eastAsia="宋体"/>
      <w:kern w:val="0"/>
      <w:sz w:val="24"/>
    </w:rPr>
  </w:style>
  <w:style w:type="paragraph" w:customStyle="1" w:styleId="21">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22">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0</Words>
  <Characters>0</Characters>
  <Lines>0</Lines>
  <Paragraphs>0</Paragraphs>
  <TotalTime>0</TotalTime>
  <ScaleCrop>false</ScaleCrop>
  <LinksUpToDate>false</LinksUpToDate>
  <CharactersWithSpaces>0</CharactersWithSpaces>
  <Application>WPS Office_11.8.2.12316_F1E327BC-269C-435d-A152-05C5408002CA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2025-07-11T01:38:00Z</dcterms:created>
  <dc:creator>ZZX</dc:creator>
  <cp:lastModifiedBy>ZZX</cp:lastModifiedBy>
  <dcterms:modified xsi:type="dcterms:W3CDTF">2025-08-09T05:10:05Z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2052-11.8.2.12316</vt:lpwstr>
  </property>
  <property fmtid="{D5CDD505-2E9C-101B-9397-08002B2CF9AE}" pid="3" name="ICV">
    <vt:lpwstr>BEE984C502E346F7992F24B9A8CD415C</vt:lpwstr>
  </property>
</Properties>
</file>