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F7108">
      <w:pPr>
        <w:keepNext w:val="0"/>
        <w:keepLines w:val="0"/>
        <w:pageBreakBefore w:val="0"/>
        <w:widowControl w:val="0"/>
        <w:kinsoku/>
        <w:wordWrap w:val="0"/>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中交二航局</w:t>
      </w:r>
      <w:r>
        <w:rPr>
          <w:rFonts w:hint="eastAsia" w:ascii="宋体" w:hAnsi="宋体" w:cs="宋体"/>
          <w:b/>
          <w:bCs/>
          <w:sz w:val="32"/>
          <w:szCs w:val="32"/>
          <w:lang w:val="en-US" w:eastAsia="zh-CN"/>
        </w:rPr>
        <w:t>启东中远</w:t>
      </w:r>
      <w:r>
        <w:rPr>
          <w:rFonts w:hint="eastAsia" w:ascii="宋体" w:hAnsi="宋体" w:eastAsia="宋体" w:cs="宋体"/>
          <w:b/>
          <w:bCs/>
          <w:sz w:val="32"/>
          <w:szCs w:val="32"/>
          <w:lang w:val="en-US" w:eastAsia="zh-CN"/>
        </w:rPr>
        <w:t>码头项目</w:t>
      </w:r>
    </w:p>
    <w:p w14:paraId="15463DD7">
      <w:pPr>
        <w:keepNext w:val="0"/>
        <w:keepLines w:val="0"/>
        <w:pageBreakBefore w:val="0"/>
        <w:widowControl w:val="0"/>
        <w:kinsoku/>
        <w:wordWrap w:val="0"/>
        <w:overflowPunct/>
        <w:topLinePunct w:val="0"/>
        <w:bidi w:val="0"/>
        <w:snapToGrid/>
        <w:spacing w:before="100" w:after="100" w:line="240" w:lineRule="auto"/>
        <w:ind w:firstLine="0" w:firstLineChars="0"/>
        <w:jc w:val="center"/>
        <w:textAlignment w:val="auto"/>
        <w:outlineLvl w:val="9"/>
        <w:rPr>
          <w:rFonts w:hint="eastAsia" w:ascii="宋体" w:hAnsi="宋体" w:eastAsia="宋体" w:cs="宋体"/>
          <w:b/>
          <w:bCs/>
          <w:sz w:val="32"/>
          <w:szCs w:val="32"/>
        </w:rPr>
      </w:pPr>
      <w:bookmarkStart w:id="0" w:name="_Hlk67930747"/>
      <w:r>
        <w:rPr>
          <w:rFonts w:hint="eastAsia" w:ascii="宋体" w:hAnsi="宋体" w:eastAsia="宋体" w:cs="宋体"/>
          <w:b/>
          <w:bCs/>
          <w:sz w:val="32"/>
          <w:szCs w:val="32"/>
        </w:rPr>
        <w:t>询价函</w:t>
      </w:r>
      <w:bookmarkEnd w:id="0"/>
    </w:p>
    <w:p w14:paraId="179BE2EB">
      <w:pPr>
        <w:pStyle w:val="8"/>
        <w:keepNext w:val="0"/>
        <w:keepLines w:val="0"/>
        <w:pageBreakBefore w:val="0"/>
        <w:widowControl w:val="0"/>
        <w:kinsoku/>
        <w:wordWrap w:val="0"/>
        <w:overflowPunct/>
        <w:topLinePunct w:val="0"/>
        <w:bidi w:val="0"/>
        <w:snapToGrid/>
        <w:spacing w:line="360" w:lineRule="auto"/>
        <w:textAlignment w:val="auto"/>
        <w:outlineLvl w:val="9"/>
        <w:rPr>
          <w:rFonts w:hint="eastAsia" w:hAnsi="宋体"/>
        </w:rPr>
      </w:pPr>
    </w:p>
    <w:p w14:paraId="3DBF8526">
      <w:pPr>
        <w:keepNext w:val="0"/>
        <w:keepLines w:val="0"/>
        <w:pageBreakBefore w:val="0"/>
        <w:widowControl w:val="0"/>
        <w:kinsoku/>
        <w:wordWrap w:val="0"/>
        <w:overflowPunct/>
        <w:topLinePunct w:val="0"/>
        <w:bidi w:val="0"/>
        <w:snapToGrid/>
        <w:spacing w:before="100" w:after="100" w:line="400" w:lineRule="exact"/>
        <w:ind w:left="0" w:leftChars="0" w:firstLine="0" w:firstLineChars="0"/>
        <w:jc w:val="both"/>
        <w:textAlignment w:val="auto"/>
        <w:outlineLvl w:val="9"/>
        <w:rPr>
          <w:rFonts w:ascii="Times New Roman" w:hAnsi="Times New Roman" w:eastAsia="宋体" w:cs="Times New Roman"/>
          <w:b/>
          <w:bCs/>
          <w:kern w:val="2"/>
          <w:sz w:val="24"/>
          <w:szCs w:val="32"/>
          <w:lang w:val="en-US" w:eastAsia="zh-CN" w:bidi="ar-SA"/>
        </w:rPr>
      </w:pPr>
    </w:p>
    <w:p w14:paraId="1552E1D8">
      <w:pPr>
        <w:pStyle w:val="9"/>
        <w:pageBreakBefore w:val="0"/>
        <w:kinsoku/>
        <w:wordWrap w:val="0"/>
        <w:overflowPunct/>
        <w:topLinePunct w:val="0"/>
        <w:bidi w:val="0"/>
        <w:snapToGrid/>
        <w:outlineLvl w:val="0"/>
        <w:rPr>
          <w:lang w:val="en-US" w:eastAsia="zh-CN"/>
        </w:rPr>
      </w:pPr>
      <w:bookmarkStart w:id="1" w:name="_Toc28280"/>
      <w:bookmarkStart w:id="2" w:name="_Toc25262"/>
      <w:bookmarkStart w:id="3" w:name="_Toc22259"/>
      <w:bookmarkStart w:id="4" w:name="_Toc26276_WPSOffice_Level1"/>
      <w:bookmarkStart w:id="5" w:name="_Toc528873106"/>
      <w:r>
        <w:rPr>
          <w:rFonts w:hint="eastAsia"/>
          <w:lang w:val="en-US" w:eastAsia="zh-CN"/>
        </w:rPr>
        <w:t>采购</w:t>
      </w:r>
      <w:r>
        <w:rPr>
          <w:lang w:val="en-US" w:eastAsia="zh-CN"/>
        </w:rPr>
        <w:t>条件</w:t>
      </w:r>
      <w:bookmarkEnd w:id="1"/>
      <w:bookmarkEnd w:id="2"/>
      <w:bookmarkEnd w:id="3"/>
      <w:bookmarkEnd w:id="4"/>
      <w:bookmarkEnd w:id="5"/>
    </w:p>
    <w:p w14:paraId="3F6DC20E">
      <w:pPr>
        <w:widowControl/>
        <w:jc w:val="left"/>
        <w:textAlignment w:val="center"/>
        <w:rPr>
          <w:lang w:val="en-US" w:eastAsia="zh-CN"/>
        </w:rPr>
      </w:pPr>
      <w:bookmarkStart w:id="6" w:name="_Toc528873107"/>
      <w:bookmarkStart w:id="7" w:name="_Toc32129"/>
      <w:r>
        <w:rPr>
          <w:lang w:val="en-US" w:eastAsia="zh-CN"/>
        </w:rPr>
        <w:t>本次</w:t>
      </w:r>
      <w:r>
        <w:rPr>
          <w:rFonts w:hint="eastAsia"/>
          <w:lang w:val="en-US" w:eastAsia="zh-CN"/>
        </w:rPr>
        <w:t>询价采购</w:t>
      </w:r>
      <w:r>
        <w:rPr>
          <w:lang w:val="en-US" w:eastAsia="zh-CN"/>
        </w:rPr>
        <w:t>人为</w:t>
      </w:r>
      <w:r>
        <w:rPr>
          <w:rFonts w:hint="eastAsia"/>
          <w:lang w:val="en-US" w:eastAsia="zh-CN"/>
        </w:rPr>
        <w:t xml:space="preserve">中交第二航务工程局有限公司启东中远海运-舾装码头改扩建工程项目经理部 </w:t>
      </w:r>
      <w:r>
        <w:rPr>
          <w:lang w:val="en-US" w:eastAsia="zh-CN"/>
        </w:rPr>
        <w:t>，</w:t>
      </w:r>
      <w:r>
        <w:rPr>
          <w:rFonts w:hint="eastAsia"/>
          <w:lang w:val="en-US" w:eastAsia="zh-CN"/>
        </w:rPr>
        <w:t>采购</w:t>
      </w:r>
      <w:r>
        <w:rPr>
          <w:lang w:val="en-US" w:eastAsia="zh-CN"/>
        </w:rPr>
        <w:t>资金来自</w:t>
      </w:r>
      <w:r>
        <w:rPr>
          <w:u w:val="single"/>
          <w:lang w:val="en-US" w:eastAsia="zh-CN"/>
        </w:rPr>
        <w:fldChar w:fldCharType="begin">
          <w:ffData>
            <w:name w:val="DropDown1"/>
            <w:enabled/>
            <w:calcOnExit w:val="0"/>
            <w:ddList>
              <w:listEntry w:val="项目工程计量款"/>
              <w:listEntry w:val="自筹资金"/>
            </w:ddList>
          </w:ffData>
        </w:fldChar>
      </w:r>
      <w:r>
        <w:rPr>
          <w:u w:val="single"/>
          <w:lang w:val="en-US" w:eastAsia="zh-CN"/>
        </w:rPr>
        <w:instrText xml:space="preserve">FORMDROPDOWN</w:instrText>
      </w:r>
      <w:r>
        <w:rPr>
          <w:u w:val="single"/>
          <w:lang w:val="en-US" w:eastAsia="zh-CN"/>
        </w:rPr>
        <w:fldChar w:fldCharType="separate"/>
      </w:r>
      <w:r>
        <w:rPr>
          <w:u w:val="single"/>
          <w:lang w:val="en-US" w:eastAsia="zh-CN"/>
        </w:rPr>
        <w:fldChar w:fldCharType="end"/>
      </w:r>
      <w:r>
        <w:rPr>
          <w:lang w:val="en-US" w:eastAsia="zh-CN"/>
        </w:rPr>
        <w:t>。该项目已具备</w:t>
      </w:r>
      <w:r>
        <w:rPr>
          <w:rFonts w:hint="eastAsia"/>
          <w:lang w:val="en-US" w:eastAsia="zh-CN"/>
        </w:rPr>
        <w:t>采购</w:t>
      </w:r>
      <w:r>
        <w:rPr>
          <w:lang w:val="en-US" w:eastAsia="zh-CN"/>
        </w:rPr>
        <w:t>条件，现</w:t>
      </w:r>
      <w:r>
        <w:rPr>
          <w:rFonts w:hint="eastAsia"/>
          <w:lang w:val="en-US" w:eastAsia="zh-CN"/>
        </w:rPr>
        <w:t>邀请你单位参与</w:t>
      </w:r>
      <w:r>
        <w:rPr>
          <w:lang w:val="en-US" w:eastAsia="zh-CN"/>
        </w:rPr>
        <w:t>。</w:t>
      </w:r>
    </w:p>
    <w:bookmarkEnd w:id="6"/>
    <w:bookmarkEnd w:id="7"/>
    <w:p w14:paraId="183CAD62">
      <w:pPr>
        <w:pStyle w:val="9"/>
        <w:pageBreakBefore w:val="0"/>
        <w:kinsoku/>
        <w:wordWrap w:val="0"/>
        <w:overflowPunct/>
        <w:topLinePunct w:val="0"/>
        <w:bidi w:val="0"/>
        <w:snapToGrid/>
        <w:outlineLvl w:val="0"/>
        <w:rPr>
          <w:lang w:val="en-US" w:eastAsia="zh-CN"/>
        </w:rPr>
      </w:pPr>
      <w:bookmarkStart w:id="8" w:name="_Toc28934"/>
      <w:r>
        <w:rPr>
          <w:rFonts w:hint="eastAsia"/>
          <w:lang w:val="en-US" w:eastAsia="zh-CN"/>
        </w:rPr>
        <w:t>询价内容</w:t>
      </w:r>
      <w:bookmarkEnd w:id="8"/>
    </w:p>
    <w:p w14:paraId="7E505D49">
      <w:pPr>
        <w:pStyle w:val="10"/>
        <w:pageBreakBefore w:val="0"/>
        <w:kinsoku/>
        <w:wordWrap w:val="0"/>
        <w:overflowPunct/>
        <w:topLinePunct w:val="0"/>
        <w:bidi w:val="0"/>
        <w:snapToGrid/>
        <w:outlineLvl w:val="1"/>
        <w:rPr>
          <w:lang w:val="en-US" w:eastAsia="zh-CN"/>
        </w:rPr>
      </w:pPr>
      <w:bookmarkStart w:id="9" w:name="_Toc20456_WPSOffice_Level2"/>
      <w:bookmarkStart w:id="10" w:name="_Toc12378"/>
      <w:r>
        <w:rPr>
          <w:rFonts w:hint="eastAsia"/>
          <w:lang w:val="en-US" w:eastAsia="zh-CN"/>
        </w:rPr>
        <w:t>采购需求</w:t>
      </w:r>
      <w:bookmarkEnd w:id="9"/>
      <w:bookmarkEnd w:id="10"/>
    </w:p>
    <w:p w14:paraId="65E09591">
      <w:pPr>
        <w:pStyle w:val="11"/>
        <w:pageBreakBefore w:val="0"/>
        <w:kinsoku/>
        <w:wordWrap w:val="0"/>
        <w:overflowPunct/>
        <w:topLinePunct w:val="0"/>
        <w:bidi w:val="0"/>
        <w:snapToGrid/>
        <w:rPr>
          <w:rFonts w:hint="default"/>
          <w:lang w:val="en-US" w:eastAsia="zh-CN"/>
        </w:rPr>
      </w:pPr>
      <w:r>
        <w:rPr>
          <w:rFonts w:hint="eastAsia"/>
          <w:lang w:val="en-US" w:eastAsia="zh-CN"/>
        </w:rPr>
        <w:t>物资需求一览表</w:t>
      </w:r>
    </w:p>
    <w:tbl>
      <w:tblPr>
        <w:tblStyle w:val="5"/>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1157"/>
        <w:gridCol w:w="1270"/>
        <w:gridCol w:w="721"/>
        <w:gridCol w:w="1072"/>
        <w:gridCol w:w="1867"/>
        <w:gridCol w:w="1413"/>
      </w:tblGrid>
      <w:tr w14:paraId="687D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exact"/>
          <w:jc w:val="center"/>
        </w:trPr>
        <w:tc>
          <w:tcPr>
            <w:tcW w:w="977" w:type="dxa"/>
            <w:tcBorders>
              <w:top w:val="single" w:color="auto" w:sz="4" w:space="0"/>
              <w:left w:val="single" w:color="auto" w:sz="4" w:space="0"/>
              <w:bottom w:val="single" w:color="auto" w:sz="4" w:space="0"/>
              <w:right w:val="single" w:color="auto" w:sz="4" w:space="0"/>
            </w:tcBorders>
            <w:vAlign w:val="center"/>
          </w:tcPr>
          <w:p w14:paraId="5898A026">
            <w:pPr>
              <w:widowControl/>
              <w:spacing w:line="0" w:lineRule="atLeast"/>
              <w:contextualSpacing/>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包件号</w:t>
            </w:r>
          </w:p>
        </w:tc>
        <w:tc>
          <w:tcPr>
            <w:tcW w:w="1157" w:type="dxa"/>
            <w:tcBorders>
              <w:top w:val="single" w:color="auto" w:sz="4" w:space="0"/>
              <w:left w:val="single" w:color="auto" w:sz="4" w:space="0"/>
              <w:bottom w:val="single" w:color="auto" w:sz="4" w:space="0"/>
              <w:right w:val="single" w:color="auto" w:sz="4" w:space="0"/>
            </w:tcBorders>
            <w:vAlign w:val="center"/>
          </w:tcPr>
          <w:p w14:paraId="69D178F8">
            <w:pPr>
              <w:widowControl/>
              <w:spacing w:line="0" w:lineRule="atLeast"/>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物资名称</w:t>
            </w:r>
          </w:p>
        </w:tc>
        <w:tc>
          <w:tcPr>
            <w:tcW w:w="1270" w:type="dxa"/>
            <w:tcBorders>
              <w:top w:val="single" w:color="auto" w:sz="4" w:space="0"/>
              <w:left w:val="single" w:color="auto" w:sz="4" w:space="0"/>
              <w:bottom w:val="single" w:color="auto" w:sz="4" w:space="0"/>
              <w:right w:val="single" w:color="auto" w:sz="4" w:space="0"/>
            </w:tcBorders>
            <w:vAlign w:val="center"/>
          </w:tcPr>
          <w:p w14:paraId="4D6485B7">
            <w:pPr>
              <w:widowControl/>
              <w:spacing w:line="0" w:lineRule="atLeast"/>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规格型号</w:t>
            </w:r>
          </w:p>
        </w:tc>
        <w:tc>
          <w:tcPr>
            <w:tcW w:w="721" w:type="dxa"/>
            <w:tcBorders>
              <w:top w:val="single" w:color="auto" w:sz="4" w:space="0"/>
              <w:left w:val="single" w:color="auto" w:sz="4" w:space="0"/>
              <w:bottom w:val="single" w:color="auto" w:sz="4" w:space="0"/>
              <w:right w:val="single" w:color="auto" w:sz="4" w:space="0"/>
            </w:tcBorders>
            <w:vAlign w:val="center"/>
          </w:tcPr>
          <w:p w14:paraId="7B3625BF">
            <w:pPr>
              <w:widowControl/>
              <w:spacing w:line="0" w:lineRule="atLeast"/>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单位</w:t>
            </w:r>
          </w:p>
        </w:tc>
        <w:tc>
          <w:tcPr>
            <w:tcW w:w="1072" w:type="dxa"/>
            <w:tcBorders>
              <w:top w:val="single" w:color="auto" w:sz="4" w:space="0"/>
              <w:left w:val="single" w:color="auto" w:sz="4" w:space="0"/>
              <w:bottom w:val="single" w:color="auto" w:sz="4" w:space="0"/>
              <w:right w:val="single" w:color="auto" w:sz="4" w:space="0"/>
            </w:tcBorders>
            <w:vAlign w:val="center"/>
          </w:tcPr>
          <w:p w14:paraId="0218FCF5">
            <w:pPr>
              <w:widowControl/>
              <w:spacing w:line="0" w:lineRule="atLeast"/>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暂定数量</w:t>
            </w:r>
          </w:p>
        </w:tc>
        <w:tc>
          <w:tcPr>
            <w:tcW w:w="1867" w:type="dxa"/>
            <w:tcBorders>
              <w:top w:val="single" w:color="auto" w:sz="4" w:space="0"/>
              <w:left w:val="single" w:color="auto" w:sz="4" w:space="0"/>
              <w:bottom w:val="single" w:color="auto" w:sz="4" w:space="0"/>
              <w:right w:val="single" w:color="auto" w:sz="4" w:space="0"/>
            </w:tcBorders>
            <w:vAlign w:val="center"/>
          </w:tcPr>
          <w:p w14:paraId="6EC44282">
            <w:pPr>
              <w:widowControl/>
              <w:spacing w:line="0" w:lineRule="atLeast"/>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交货地点</w:t>
            </w:r>
          </w:p>
        </w:tc>
        <w:tc>
          <w:tcPr>
            <w:tcW w:w="1413" w:type="dxa"/>
            <w:tcBorders>
              <w:top w:val="single" w:color="auto" w:sz="4" w:space="0"/>
              <w:left w:val="single" w:color="auto" w:sz="4" w:space="0"/>
              <w:bottom w:val="single" w:color="auto" w:sz="4" w:space="0"/>
              <w:right w:val="single" w:color="auto" w:sz="4" w:space="0"/>
            </w:tcBorders>
            <w:vAlign w:val="center"/>
          </w:tcPr>
          <w:p w14:paraId="20A21E2A">
            <w:pPr>
              <w:widowControl/>
              <w:spacing w:line="0" w:lineRule="atLeast"/>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暂定供货时间</w:t>
            </w:r>
          </w:p>
        </w:tc>
      </w:tr>
      <w:tr w14:paraId="6AC1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exact"/>
          <w:jc w:val="center"/>
        </w:trPr>
        <w:tc>
          <w:tcPr>
            <w:tcW w:w="977" w:type="dxa"/>
            <w:tcBorders>
              <w:top w:val="single" w:color="auto" w:sz="4" w:space="0"/>
              <w:left w:val="single" w:color="auto" w:sz="4" w:space="0"/>
              <w:bottom w:val="single" w:color="auto" w:sz="4" w:space="0"/>
              <w:right w:val="single" w:color="auto" w:sz="4" w:space="0"/>
            </w:tcBorders>
            <w:vAlign w:val="center"/>
          </w:tcPr>
          <w:p w14:paraId="11D4A959">
            <w:pPr>
              <w:widowControl/>
              <w:spacing w:line="0" w:lineRule="atLeast"/>
              <w:contextualSpacing/>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1157" w:type="dxa"/>
            <w:tcBorders>
              <w:top w:val="single" w:color="auto" w:sz="4" w:space="0"/>
              <w:left w:val="single" w:color="auto" w:sz="4" w:space="0"/>
              <w:bottom w:val="single" w:color="auto" w:sz="4" w:space="0"/>
              <w:right w:val="single" w:color="auto" w:sz="4" w:space="0"/>
            </w:tcBorders>
            <w:vAlign w:val="center"/>
          </w:tcPr>
          <w:p w14:paraId="34A225A1">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rPr>
              <w:t>海港混凝土抗蚀增强剂（CPA）</w:t>
            </w:r>
          </w:p>
        </w:tc>
        <w:tc>
          <w:tcPr>
            <w:tcW w:w="1270" w:type="dxa"/>
            <w:tcBorders>
              <w:top w:val="single" w:color="auto" w:sz="4" w:space="0"/>
              <w:left w:val="single" w:color="auto" w:sz="4" w:space="0"/>
              <w:bottom w:val="single" w:color="auto" w:sz="4" w:space="0"/>
              <w:right w:val="single" w:color="auto" w:sz="4" w:space="0"/>
            </w:tcBorders>
            <w:vAlign w:val="center"/>
          </w:tcPr>
          <w:p w14:paraId="55FF03C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lang w:val="en-US" w:eastAsia="zh-CN"/>
              </w:rPr>
              <w:t>/</w:t>
            </w:r>
          </w:p>
        </w:tc>
        <w:tc>
          <w:tcPr>
            <w:tcW w:w="721" w:type="dxa"/>
            <w:tcBorders>
              <w:top w:val="single" w:color="auto" w:sz="4" w:space="0"/>
              <w:left w:val="single" w:color="auto" w:sz="4" w:space="0"/>
              <w:bottom w:val="single" w:color="auto" w:sz="4" w:space="0"/>
              <w:right w:val="single" w:color="auto" w:sz="4" w:space="0"/>
            </w:tcBorders>
            <w:vAlign w:val="center"/>
          </w:tcPr>
          <w:p w14:paraId="73F2D94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lang w:val="en-US" w:eastAsia="zh-CN"/>
              </w:rPr>
              <w:t>吨</w:t>
            </w:r>
          </w:p>
        </w:tc>
        <w:tc>
          <w:tcPr>
            <w:tcW w:w="1072" w:type="dxa"/>
            <w:tcBorders>
              <w:top w:val="single" w:color="auto" w:sz="4" w:space="0"/>
              <w:left w:val="single" w:color="auto" w:sz="4" w:space="0"/>
              <w:bottom w:val="single" w:color="auto" w:sz="4" w:space="0"/>
              <w:right w:val="single" w:color="auto" w:sz="4" w:space="0"/>
            </w:tcBorders>
            <w:vAlign w:val="center"/>
          </w:tcPr>
          <w:p w14:paraId="2E2B0D85">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lang w:val="en-US" w:eastAsia="zh-CN"/>
              </w:rPr>
              <w:t>620</w:t>
            </w:r>
          </w:p>
        </w:tc>
        <w:tc>
          <w:tcPr>
            <w:tcW w:w="1867" w:type="dxa"/>
            <w:tcBorders>
              <w:left w:val="single" w:color="auto" w:sz="4" w:space="0"/>
              <w:right w:val="single" w:color="auto" w:sz="4" w:space="0"/>
            </w:tcBorders>
            <w:vAlign w:val="center"/>
          </w:tcPr>
          <w:p w14:paraId="05B91244">
            <w:pPr>
              <w:widowControl/>
              <w:spacing w:line="0" w:lineRule="atLeast"/>
              <w:contextualSpacing/>
              <w:jc w:val="center"/>
              <w:rPr>
                <w:rFonts w:hint="default" w:ascii="宋体" w:hAnsi="宋体" w:eastAsia="宋体" w:cs="宋体"/>
                <w:kern w:val="0"/>
                <w:sz w:val="18"/>
                <w:szCs w:val="18"/>
                <w:highlight w:val="none"/>
                <w:lang w:val="en-US" w:eastAsia="zh-CN"/>
              </w:rPr>
            </w:pPr>
            <w:r>
              <w:rPr>
                <w:rFonts w:hint="eastAsia" w:ascii="宋体" w:hAnsi="宋体" w:eastAsia="宋体" w:cs="宋体"/>
                <w:b/>
                <w:bCs/>
                <w:color w:val="000000"/>
                <w:kern w:val="0"/>
                <w:szCs w:val="21"/>
                <w:lang w:bidi="ar"/>
              </w:rPr>
              <w:t>江苏省</w:t>
            </w:r>
            <w:r>
              <w:rPr>
                <w:rFonts w:hint="eastAsia" w:ascii="宋体" w:hAnsi="宋体" w:cs="宋体"/>
                <w:b/>
                <w:bCs/>
                <w:color w:val="000000"/>
                <w:kern w:val="0"/>
                <w:szCs w:val="21"/>
                <w:lang w:val="en-US" w:eastAsia="zh-CN" w:bidi="ar"/>
              </w:rPr>
              <w:t>南通市启东市</w:t>
            </w:r>
          </w:p>
        </w:tc>
        <w:tc>
          <w:tcPr>
            <w:tcW w:w="1413" w:type="dxa"/>
            <w:tcBorders>
              <w:left w:val="single" w:color="auto" w:sz="4" w:space="0"/>
              <w:right w:val="single" w:color="auto" w:sz="4" w:space="0"/>
            </w:tcBorders>
            <w:vAlign w:val="center"/>
          </w:tcPr>
          <w:p w14:paraId="396438DB">
            <w:pPr>
              <w:widowControl/>
              <w:spacing w:line="0" w:lineRule="atLeast"/>
              <w:contextualSpacing/>
              <w:jc w:val="center"/>
              <w:rPr>
                <w:rFonts w:hint="default"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202</w:t>
            </w:r>
            <w:r>
              <w:rPr>
                <w:rFonts w:hint="eastAsia" w:ascii="宋体" w:hAnsi="宋体" w:cs="宋体"/>
                <w:kern w:val="0"/>
                <w:sz w:val="18"/>
                <w:szCs w:val="18"/>
                <w:highlight w:val="none"/>
                <w:lang w:val="en-US" w:eastAsia="zh-CN"/>
              </w:rPr>
              <w:t>5</w:t>
            </w:r>
            <w:r>
              <w:rPr>
                <w:rFonts w:hint="eastAsia" w:ascii="宋体" w:hAnsi="宋体" w:eastAsia="宋体" w:cs="宋体"/>
                <w:kern w:val="0"/>
                <w:sz w:val="18"/>
                <w:szCs w:val="18"/>
                <w:highlight w:val="none"/>
                <w:lang w:val="en-US" w:eastAsia="zh-CN"/>
              </w:rPr>
              <w:t>年</w:t>
            </w:r>
            <w:r>
              <w:rPr>
                <w:rFonts w:hint="eastAsia" w:ascii="宋体" w:hAnsi="宋体" w:cs="宋体"/>
                <w:kern w:val="0"/>
                <w:sz w:val="18"/>
                <w:szCs w:val="18"/>
                <w:highlight w:val="none"/>
                <w:lang w:val="en-US" w:eastAsia="zh-CN"/>
              </w:rPr>
              <w:t>8月15日</w:t>
            </w:r>
          </w:p>
        </w:tc>
      </w:tr>
    </w:tbl>
    <w:p w14:paraId="122384C1">
      <w:pPr>
        <w:pStyle w:val="11"/>
        <w:pageBreakBefore w:val="0"/>
        <w:kinsoku/>
        <w:wordWrap w:val="0"/>
        <w:overflowPunct/>
        <w:topLinePunct w:val="0"/>
        <w:bidi w:val="0"/>
        <w:snapToGrid/>
        <w:spacing w:before="0" w:after="0" w:line="240" w:lineRule="auto"/>
        <w:ind w:left="0" w:leftChars="0" w:firstLine="0" w:firstLineChars="0"/>
        <w:rPr>
          <w:rFonts w:hint="default"/>
          <w:lang w:val="en-US" w:eastAsia="zh-CN"/>
        </w:rPr>
      </w:pPr>
    </w:p>
    <w:p w14:paraId="068E948D">
      <w:pPr>
        <w:pStyle w:val="10"/>
        <w:pageBreakBefore w:val="0"/>
        <w:kinsoku/>
        <w:wordWrap w:val="0"/>
        <w:overflowPunct/>
        <w:topLinePunct w:val="0"/>
        <w:bidi w:val="0"/>
        <w:snapToGrid/>
        <w:outlineLvl w:val="1"/>
        <w:rPr>
          <w:lang w:val="en-US" w:eastAsia="zh-CN"/>
        </w:rPr>
      </w:pPr>
      <w:bookmarkStart w:id="11" w:name="_Toc7138"/>
      <w:bookmarkStart w:id="12" w:name="_Toc10661_WPSOffice_Level2"/>
      <w:r>
        <w:rPr>
          <w:rFonts w:hint="eastAsia"/>
          <w:lang w:val="en-US" w:eastAsia="zh-CN"/>
        </w:rPr>
        <w:t>质量要求</w:t>
      </w:r>
      <w:bookmarkEnd w:id="11"/>
      <w:bookmarkEnd w:id="12"/>
    </w:p>
    <w:p w14:paraId="026325EE">
      <w:pPr>
        <w:pStyle w:val="11"/>
        <w:pageBreakBefore w:val="0"/>
        <w:kinsoku/>
        <w:wordWrap w:val="0"/>
        <w:overflowPunct/>
        <w:topLinePunct w:val="0"/>
        <w:bidi w:val="0"/>
        <w:snapToGrid/>
        <w:rPr>
          <w:rFonts w:hint="default" w:eastAsia="仿宋" w:asciiTheme="minorEastAsia" w:hAnsiTheme="minorEastAsia" w:cstheme="minorEastAsia"/>
          <w:kern w:val="2"/>
          <w:sz w:val="24"/>
          <w:szCs w:val="32"/>
          <w:u w:val="none"/>
          <w:shd w:val="clear"/>
          <w:lang w:val="en-US" w:eastAsia="zh-CN" w:bidi="ar-SA"/>
        </w:rPr>
      </w:pPr>
      <w:r>
        <w:rPr>
          <w:rFonts w:hint="eastAsia"/>
          <w:lang w:val="en-US" w:eastAsia="zh-CN"/>
        </w:rPr>
        <w:t>询价物资除满足附件：物资需求一览表中相应质量标准外，还应符合以下要求：</w:t>
      </w:r>
      <w:r>
        <w:rPr>
          <w:rFonts w:hint="default" w:eastAsia="仿宋" w:asciiTheme="minorEastAsia" w:hAnsiTheme="minorEastAsia" w:cstheme="minorEastAsia"/>
          <w:kern w:val="2"/>
          <w:sz w:val="24"/>
          <w:szCs w:val="32"/>
          <w:u w:val="none"/>
          <w:shd w:val="clear"/>
          <w:lang w:val="en-US" w:eastAsia="zh-CN" w:bidi="ar-SA"/>
        </w:rPr>
        <w:t xml:space="preserve"> </w:t>
      </w:r>
    </w:p>
    <w:p w14:paraId="564AD587">
      <w:pPr>
        <w:keepNext w:val="0"/>
        <w:keepLines w:val="0"/>
        <w:widowControl/>
        <w:suppressLineNumbers w:val="0"/>
        <w:ind w:firstLine="422" w:firstLineChars="200"/>
        <w:jc w:val="left"/>
        <w:rPr>
          <w:rFonts w:hint="eastAsia" w:ascii="Times New Roman" w:hAnsi="Times New Roman" w:eastAsia="宋体" w:cs="Times New Roman"/>
          <w:kern w:val="2"/>
          <w:sz w:val="21"/>
          <w:szCs w:val="24"/>
          <w:lang w:val="en-US" w:eastAsia="zh-CN" w:bidi="ar-SA"/>
        </w:rPr>
      </w:pPr>
      <w:r>
        <w:rPr>
          <w:rFonts w:hint="eastAsia" w:ascii="宋体" w:hAnsi="宋体" w:eastAsia="宋体" w:cs="宋体"/>
          <w:b/>
          <w:bCs/>
          <w:color w:val="000000"/>
          <w:szCs w:val="21"/>
          <w:lang w:val="en-US" w:eastAsia="zh-CN"/>
        </w:rPr>
        <w:t>海港混凝土抗蚀增强剂（CPA）符合GB/T23439-2017以及JC/T1011-2021标准。</w:t>
      </w:r>
    </w:p>
    <w:p w14:paraId="3749E398">
      <w:pPr>
        <w:pStyle w:val="11"/>
        <w:pageBreakBefore w:val="0"/>
        <w:numPr>
          <w:ilvl w:val="0"/>
          <w:numId w:val="2"/>
        </w:numPr>
        <w:kinsoku/>
        <w:wordWrap w:val="0"/>
        <w:overflowPunct/>
        <w:topLinePunct w:val="0"/>
        <w:bidi w:val="0"/>
        <w:snapToGrid/>
        <w:rPr>
          <w:rFonts w:hint="default"/>
          <w:lang w:val="en-US" w:eastAsia="zh-CN"/>
        </w:rPr>
      </w:pPr>
      <w:r>
        <w:rPr>
          <w:rFonts w:hint="eastAsia" w:ascii="宋体" w:hAnsi="宋体" w:cs="宋体"/>
          <w:b/>
          <w:bCs/>
          <w:color w:val="000000"/>
          <w:szCs w:val="21"/>
          <w:lang w:val="en-US" w:eastAsia="zh-CN"/>
        </w:rPr>
        <w:t xml:space="preserve"> </w:t>
      </w:r>
      <w:r>
        <w:rPr>
          <w:rFonts w:hint="eastAsia"/>
          <w:lang w:val="en-US" w:eastAsia="zh-CN"/>
        </w:rPr>
        <w:t>质保资料要求：</w:t>
      </w:r>
      <w:bookmarkStart w:id="13" w:name="Text15"/>
      <w:r>
        <w:rPr>
          <w:rFonts w:hint="eastAsia"/>
          <w:u w:val="single"/>
          <w:lang w:val="en-US" w:eastAsia="zh-CN"/>
        </w:rPr>
        <w:fldChar w:fldCharType="begin">
          <w:ffData>
            <w:name w:val="Text15"/>
            <w:enabled/>
            <w:calcOnExit w:val="0"/>
            <w:textInput>
              <w:default w:val="（质量保证书、出厂合格证、检测报告等要求）"/>
            </w:textInput>
          </w:ffData>
        </w:fldChar>
      </w:r>
      <w:r>
        <w:rPr>
          <w:rFonts w:hint="eastAsia"/>
          <w:u w:val="single"/>
          <w:lang w:val="en-US" w:eastAsia="zh-CN"/>
        </w:rPr>
        <w:instrText xml:space="preserve">FORMTEXT</w:instrText>
      </w:r>
      <w:r>
        <w:rPr>
          <w:rFonts w:hint="eastAsia"/>
          <w:u w:val="single"/>
          <w:lang w:val="en-US" w:eastAsia="zh-CN"/>
        </w:rPr>
        <w:fldChar w:fldCharType="separate"/>
      </w:r>
      <w:r>
        <w:rPr>
          <w:rFonts w:hint="eastAsia"/>
          <w:u w:val="single"/>
          <w:lang w:val="en-US" w:eastAsia="zh-CN"/>
        </w:rPr>
        <w:t>随车或船附带送货单、产品检验报告</w:t>
      </w:r>
      <w:r>
        <w:rPr>
          <w:rFonts w:hint="eastAsia"/>
          <w:u w:val="single"/>
          <w:lang w:val="en-US" w:eastAsia="zh-CN"/>
        </w:rPr>
        <w:fldChar w:fldCharType="end"/>
      </w:r>
      <w:bookmarkEnd w:id="13"/>
      <w:r>
        <w:rPr>
          <w:rFonts w:hint="eastAsia"/>
          <w:u w:val="single"/>
          <w:lang w:val="en-US" w:eastAsia="zh-CN"/>
        </w:rPr>
        <w:t>单</w:t>
      </w:r>
    </w:p>
    <w:p w14:paraId="6CFC5910">
      <w:pPr>
        <w:pStyle w:val="11"/>
        <w:pageBreakBefore w:val="0"/>
        <w:kinsoku/>
        <w:wordWrap w:val="0"/>
        <w:overflowPunct/>
        <w:topLinePunct w:val="0"/>
        <w:bidi w:val="0"/>
        <w:snapToGrid/>
        <w:rPr>
          <w:rFonts w:hint="default"/>
          <w:lang w:val="en-US" w:eastAsia="zh-CN"/>
        </w:rPr>
      </w:pPr>
      <w:r>
        <w:rPr>
          <w:rFonts w:hint="eastAsia"/>
          <w:lang w:val="en-US" w:eastAsia="zh-CN"/>
        </w:rPr>
        <w:t>（2）其它特殊要求：</w:t>
      </w:r>
      <w:r>
        <w:rPr>
          <w:rFonts w:hint="eastAsia"/>
          <w:highlight w:val="none"/>
          <w:u w:val="single"/>
          <w:lang w:val="en-US" w:eastAsia="zh-CN"/>
        </w:rPr>
        <w:t>无。</w:t>
      </w:r>
    </w:p>
    <w:p w14:paraId="4E3FA099">
      <w:pPr>
        <w:pStyle w:val="10"/>
        <w:pageBreakBefore w:val="0"/>
        <w:kinsoku/>
        <w:wordWrap w:val="0"/>
        <w:overflowPunct/>
        <w:topLinePunct w:val="0"/>
        <w:bidi w:val="0"/>
        <w:snapToGrid/>
        <w:outlineLvl w:val="1"/>
        <w:rPr>
          <w:lang w:val="en-US" w:eastAsia="zh-CN"/>
        </w:rPr>
      </w:pPr>
      <w:bookmarkStart w:id="14" w:name="_Toc9776"/>
      <w:r>
        <w:rPr>
          <w:rFonts w:hint="eastAsia"/>
          <w:lang w:val="en-US" w:eastAsia="zh-CN"/>
        </w:rPr>
        <w:t>交货要求</w:t>
      </w:r>
      <w:bookmarkEnd w:id="14"/>
    </w:p>
    <w:p w14:paraId="30CD9CF7">
      <w:pPr>
        <w:pStyle w:val="11"/>
        <w:pageBreakBefore w:val="0"/>
        <w:kinsoku/>
        <w:wordWrap w:val="0"/>
        <w:overflowPunct/>
        <w:topLinePunct w:val="0"/>
        <w:bidi w:val="0"/>
        <w:snapToGrid/>
        <w:rPr>
          <w:lang w:val="en-US" w:eastAsia="zh-CN"/>
        </w:rPr>
      </w:pPr>
      <w:r>
        <w:rPr>
          <w:rFonts w:hint="eastAsia"/>
          <w:lang w:val="en-US" w:eastAsia="zh-CN"/>
        </w:rPr>
        <w:t>（1）</w:t>
      </w:r>
      <w:r>
        <w:rPr>
          <w:lang w:val="en-US" w:eastAsia="zh-CN"/>
        </w:rPr>
        <w:t>交货地点</w:t>
      </w:r>
      <w:r>
        <w:rPr>
          <w:rFonts w:hint="eastAsia"/>
          <w:lang w:val="en-US" w:eastAsia="zh-CN"/>
        </w:rPr>
        <w:t>：</w:t>
      </w:r>
      <w:r>
        <w:rPr>
          <w:rFonts w:hint="eastAsia" w:ascii="宋体" w:hAnsi="宋体" w:eastAsia="宋体" w:cs="宋体"/>
          <w:b/>
          <w:bCs/>
          <w:color w:val="000000"/>
          <w:kern w:val="0"/>
          <w:szCs w:val="21"/>
          <w:lang w:bidi="ar"/>
        </w:rPr>
        <w:t>江苏省</w:t>
      </w:r>
      <w:r>
        <w:rPr>
          <w:rFonts w:hint="eastAsia" w:ascii="宋体" w:hAnsi="宋体" w:cs="宋体"/>
          <w:b/>
          <w:bCs/>
          <w:color w:val="000000"/>
          <w:kern w:val="0"/>
          <w:szCs w:val="21"/>
          <w:lang w:val="en-US" w:eastAsia="zh-CN" w:bidi="ar"/>
        </w:rPr>
        <w:t>南通市启东市</w:t>
      </w:r>
      <w:r>
        <w:rPr>
          <w:rFonts w:hint="eastAsia"/>
          <w:lang w:val="en-US" w:eastAsia="zh-CN"/>
        </w:rPr>
        <w:t>。</w:t>
      </w:r>
    </w:p>
    <w:p w14:paraId="5DA4C19B">
      <w:pPr>
        <w:pStyle w:val="11"/>
        <w:pageBreakBefore w:val="0"/>
        <w:kinsoku/>
        <w:wordWrap w:val="0"/>
        <w:overflowPunct/>
        <w:topLinePunct w:val="0"/>
        <w:bidi w:val="0"/>
        <w:snapToGrid/>
        <w:rPr>
          <w:lang w:val="en-US" w:eastAsia="zh-CN"/>
        </w:rPr>
      </w:pPr>
      <w:r>
        <w:rPr>
          <w:rFonts w:hint="eastAsia"/>
          <w:lang w:val="en-US" w:eastAsia="zh-CN"/>
        </w:rPr>
        <w:t>（2）交货计划：中标后3-5天</w:t>
      </w:r>
      <w:r>
        <w:rPr>
          <w:rFonts w:hint="eastAsia"/>
          <w:u w:val="single"/>
          <w:lang w:val="en-US" w:eastAsia="zh-CN"/>
        </w:rPr>
        <w:t>开始供货</w:t>
      </w:r>
      <w:r>
        <w:rPr>
          <w:rFonts w:hint="eastAsia"/>
          <w:lang w:val="en-US" w:eastAsia="zh-CN"/>
        </w:rPr>
        <w:t>。</w:t>
      </w:r>
    </w:p>
    <w:p w14:paraId="4CF98F9A">
      <w:pPr>
        <w:pStyle w:val="11"/>
        <w:pageBreakBefore w:val="0"/>
        <w:kinsoku/>
        <w:wordWrap w:val="0"/>
        <w:overflowPunct/>
        <w:topLinePunct w:val="0"/>
        <w:bidi w:val="0"/>
        <w:snapToGrid/>
        <w:rPr>
          <w:rFonts w:hint="eastAsia"/>
          <w:u w:val="single"/>
          <w:lang w:val="en-US" w:eastAsia="zh-CN"/>
        </w:rPr>
      </w:pPr>
      <w:r>
        <w:rPr>
          <w:rFonts w:hint="eastAsia"/>
          <w:lang w:val="en-US" w:eastAsia="zh-CN"/>
        </w:rPr>
        <w:t>（3）其它交货要求：</w:t>
      </w:r>
      <w:r>
        <w:rPr>
          <w:rFonts w:hint="eastAsia"/>
          <w:u w:val="single"/>
          <w:lang w:val="en-US" w:eastAsia="zh-CN"/>
        </w:rPr>
        <w:fldChar w:fldCharType="begin">
          <w:ffData>
            <w:name w:val="Text10"/>
            <w:enabled/>
            <w:calcOnExit w:val="0"/>
            <w:textInput>
              <w:default w:val="（其它要求）"/>
            </w:textInput>
          </w:ffData>
        </w:fldChar>
      </w:r>
      <w:r>
        <w:rPr>
          <w:rFonts w:hint="eastAsia"/>
          <w:u w:val="single"/>
          <w:lang w:val="en-US" w:eastAsia="zh-CN"/>
        </w:rPr>
        <w:instrText xml:space="preserve">FORMTEXT</w:instrText>
      </w:r>
      <w:r>
        <w:rPr>
          <w:rFonts w:hint="eastAsia"/>
          <w:u w:val="single"/>
          <w:lang w:val="en-US" w:eastAsia="zh-CN"/>
        </w:rPr>
        <w:fldChar w:fldCharType="separate"/>
      </w:r>
      <w:r>
        <w:rPr>
          <w:rFonts w:hint="eastAsia"/>
          <w:u w:val="single"/>
          <w:lang w:val="en-US" w:eastAsia="zh-CN"/>
        </w:rPr>
        <w:t>/</w:t>
      </w:r>
      <w:r>
        <w:rPr>
          <w:rFonts w:hint="eastAsia"/>
          <w:u w:val="single"/>
          <w:lang w:val="en-US" w:eastAsia="zh-CN"/>
        </w:rPr>
        <w:fldChar w:fldCharType="end"/>
      </w:r>
      <w:r>
        <w:rPr>
          <w:rFonts w:hint="eastAsia"/>
          <w:u w:val="single"/>
          <w:lang w:val="en-US" w:eastAsia="zh-CN"/>
        </w:rPr>
        <w:t xml:space="preserve"> </w:t>
      </w:r>
    </w:p>
    <w:p w14:paraId="0ED41F72">
      <w:pPr>
        <w:pageBreakBefore w:val="0"/>
        <w:widowControl w:val="0"/>
        <w:numPr>
          <w:ilvl w:val="1"/>
          <w:numId w:val="1"/>
        </w:numPr>
        <w:kinsoku/>
        <w:wordWrap w:val="0"/>
        <w:overflowPunct/>
        <w:topLinePunct w:val="0"/>
        <w:bidi w:val="0"/>
        <w:snapToGrid/>
        <w:spacing w:before="100" w:after="100" w:line="400" w:lineRule="exact"/>
        <w:ind w:firstLine="422" w:firstLineChars="200"/>
        <w:jc w:val="both"/>
        <w:outlineLvl w:val="1"/>
        <w:rPr>
          <w:rFonts w:hint="default" w:ascii="Times New Roman" w:hAnsi="Times New Roman" w:eastAsia="宋体" w:cs="Times New Roman"/>
          <w:b/>
          <w:kern w:val="2"/>
          <w:sz w:val="21"/>
          <w:szCs w:val="24"/>
          <w:lang w:val="en-US" w:eastAsia="zh-CN" w:bidi="ar-SA"/>
        </w:rPr>
      </w:pPr>
      <w:bookmarkStart w:id="15" w:name="_Toc1095"/>
      <w:r>
        <w:rPr>
          <w:rFonts w:hint="eastAsia" w:ascii="Times New Roman" w:hAnsi="Times New Roman" w:eastAsia="宋体" w:cs="Times New Roman"/>
          <w:b/>
          <w:kern w:val="2"/>
          <w:sz w:val="21"/>
          <w:szCs w:val="24"/>
          <w:lang w:val="en-US" w:eastAsia="zh-CN" w:bidi="ar-SA"/>
        </w:rPr>
        <w:t>计量方式</w:t>
      </w:r>
      <w:bookmarkEnd w:id="15"/>
    </w:p>
    <w:p w14:paraId="47CDB06A">
      <w:pPr>
        <w:pageBreakBefore w:val="0"/>
        <w:widowControl w:val="0"/>
        <w:numPr>
          <w:ilvl w:val="1"/>
          <w:numId w:val="0"/>
        </w:numPr>
        <w:kinsoku/>
        <w:wordWrap w:val="0"/>
        <w:overflowPunct/>
        <w:topLinePunct w:val="0"/>
        <w:bidi w:val="0"/>
        <w:snapToGrid/>
        <w:spacing w:before="100" w:after="100" w:line="400" w:lineRule="exact"/>
        <w:ind w:firstLine="420" w:firstLineChars="200"/>
        <w:jc w:val="both"/>
        <w:outlineLvl w:val="9"/>
        <w:rPr>
          <w:rFonts w:hint="default"/>
          <w:lang w:val="en-US" w:eastAsia="zh-CN"/>
        </w:rPr>
      </w:pPr>
      <w:r>
        <w:rPr>
          <w:rFonts w:hint="eastAsia" w:ascii="Times New Roman" w:hAnsi="Times New Roman" w:eastAsia="宋体" w:cs="Times New Roman"/>
          <w:kern w:val="2"/>
          <w:sz w:val="21"/>
          <w:szCs w:val="24"/>
          <w:lang w:val="en-US" w:eastAsia="zh-CN" w:bidi="ar-SA"/>
        </w:rPr>
        <w:t>物资需求一览表中物资的计量方式为</w:t>
      </w:r>
      <w:r>
        <w:rPr>
          <w:rFonts w:hint="eastAsia" w:ascii="宋体" w:hAnsi="宋体" w:cs="宋体"/>
          <w:b/>
          <w:bCs/>
          <w:kern w:val="0"/>
          <w:szCs w:val="21"/>
          <w:u w:val="single"/>
          <w:lang w:val="en-US" w:eastAsia="zh-CN"/>
        </w:rPr>
        <w:t>过磅计量</w:t>
      </w:r>
      <w:r>
        <w:rPr>
          <w:rFonts w:hint="eastAsia" w:ascii="Times New Roman" w:hAnsi="Times New Roman" w:cs="Times New Roman"/>
          <w:kern w:val="2"/>
          <w:sz w:val="21"/>
          <w:szCs w:val="24"/>
          <w:u w:val="single"/>
          <w:lang w:val="en-US" w:eastAsia="zh-CN" w:bidi="ar-SA"/>
        </w:rPr>
        <w:t>。</w:t>
      </w:r>
    </w:p>
    <w:p w14:paraId="28864C9D">
      <w:pPr>
        <w:pStyle w:val="9"/>
        <w:pageBreakBefore w:val="0"/>
        <w:kinsoku/>
        <w:wordWrap w:val="0"/>
        <w:overflowPunct/>
        <w:topLinePunct w:val="0"/>
        <w:bidi w:val="0"/>
        <w:snapToGrid/>
        <w:outlineLvl w:val="0"/>
        <w:rPr>
          <w:lang w:val="en-US" w:eastAsia="zh-CN"/>
        </w:rPr>
      </w:pPr>
      <w:bookmarkStart w:id="16" w:name="_Toc2033"/>
      <w:r>
        <w:rPr>
          <w:rFonts w:hint="eastAsia"/>
          <w:lang w:val="en-US" w:eastAsia="zh-CN"/>
        </w:rPr>
        <w:t>响应人须知</w:t>
      </w:r>
      <w:bookmarkEnd w:id="16"/>
    </w:p>
    <w:p w14:paraId="657FF11E">
      <w:pPr>
        <w:pStyle w:val="10"/>
        <w:pageBreakBefore w:val="0"/>
        <w:kinsoku/>
        <w:wordWrap w:val="0"/>
        <w:overflowPunct/>
        <w:topLinePunct w:val="0"/>
        <w:bidi w:val="0"/>
        <w:snapToGrid/>
        <w:outlineLvl w:val="1"/>
        <w:rPr>
          <w:rFonts w:hint="eastAsia"/>
          <w:lang w:val="en-US" w:eastAsia="zh-CN"/>
        </w:rPr>
      </w:pPr>
      <w:bookmarkStart w:id="17" w:name="_Toc9302"/>
      <w:r>
        <w:rPr>
          <w:rFonts w:hint="eastAsia"/>
          <w:lang w:val="en-US" w:eastAsia="zh-CN"/>
        </w:rPr>
        <w:t>包件划分</w:t>
      </w:r>
      <w:bookmarkEnd w:id="17"/>
    </w:p>
    <w:p w14:paraId="277C1918">
      <w:pPr>
        <w:pStyle w:val="11"/>
        <w:pageBreakBefore w:val="0"/>
        <w:kinsoku/>
        <w:wordWrap w:val="0"/>
        <w:overflowPunct/>
        <w:topLinePunct w:val="0"/>
        <w:bidi w:val="0"/>
        <w:snapToGrid/>
        <w:rPr>
          <w:rFonts w:hint="eastAsia"/>
          <w:lang w:val="en-US" w:eastAsia="zh-CN"/>
        </w:rPr>
      </w:pPr>
      <w:r>
        <w:rPr>
          <w:rFonts w:hint="eastAsia"/>
          <w:lang w:val="en-US" w:eastAsia="zh-CN"/>
        </w:rPr>
        <w:t>本次询价不划分包件。</w:t>
      </w:r>
    </w:p>
    <w:p w14:paraId="04D31086">
      <w:pPr>
        <w:pStyle w:val="10"/>
        <w:pageBreakBefore w:val="0"/>
        <w:kinsoku/>
        <w:wordWrap w:val="0"/>
        <w:overflowPunct/>
        <w:topLinePunct w:val="0"/>
        <w:bidi w:val="0"/>
        <w:snapToGrid/>
        <w:outlineLvl w:val="1"/>
        <w:rPr>
          <w:lang w:val="en-US" w:eastAsia="zh-CN"/>
        </w:rPr>
      </w:pPr>
      <w:bookmarkStart w:id="18" w:name="_Toc5482"/>
      <w:r>
        <w:rPr>
          <w:rFonts w:hint="eastAsia"/>
          <w:lang w:val="en-US" w:eastAsia="zh-CN"/>
        </w:rPr>
        <w:t>支付信息</w:t>
      </w:r>
      <w:bookmarkEnd w:id="18"/>
    </w:p>
    <w:p w14:paraId="0CFC0ECE">
      <w:pPr>
        <w:pStyle w:val="11"/>
        <w:pageBreakBefore w:val="0"/>
        <w:kinsoku/>
        <w:wordWrap w:val="0"/>
        <w:overflowPunct/>
        <w:topLinePunct w:val="0"/>
        <w:bidi w:val="0"/>
        <w:snapToGrid/>
        <w:rPr>
          <w:rFonts w:hint="eastAsia"/>
          <w:lang w:val="en-US" w:eastAsia="zh-CN"/>
        </w:rPr>
      </w:pPr>
      <w:r>
        <w:rPr>
          <w:rFonts w:hint="eastAsia"/>
          <w:lang w:val="en-US" w:eastAsia="zh-CN"/>
        </w:rPr>
        <w:t>除采取预付款支付方式外，支付的前提包含：货物经采购人初步验收合格，已提供符合采购人要求的质保资料和货物发票。</w:t>
      </w:r>
    </w:p>
    <w:p w14:paraId="2C790A5B">
      <w:pPr>
        <w:pStyle w:val="11"/>
        <w:pageBreakBefore w:val="0"/>
        <w:kinsoku/>
        <w:wordWrap w:val="0"/>
        <w:overflowPunct/>
        <w:topLinePunct w:val="0"/>
        <w:bidi w:val="0"/>
        <w:snapToGrid/>
        <w:outlineLvl w:val="9"/>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本次询价采购</w:t>
      </w:r>
      <w:r>
        <w:rPr>
          <w:rFonts w:hint="eastAsia" w:eastAsia="宋体"/>
          <w:lang w:val="en-US" w:eastAsia="zh-CN"/>
        </w:rPr>
        <w:t>选择</w:t>
      </w:r>
      <w:r>
        <w:rPr>
          <w:rFonts w:hint="eastAsia" w:ascii="Times New Roman" w:hAnsi="Times New Roman" w:eastAsia="宋体" w:cs="Times New Roman"/>
          <w:kern w:val="2"/>
          <w:sz w:val="21"/>
          <w:szCs w:val="24"/>
          <w:lang w:val="en-US" w:eastAsia="zh-CN" w:bidi="ar-SA"/>
        </w:rPr>
        <w:t>以下第（</w:t>
      </w:r>
      <w:bookmarkStart w:id="19" w:name="Text12"/>
      <w:r>
        <w:rPr>
          <w:rFonts w:hint="eastAsia" w:ascii="Times New Roman" w:hAnsi="Times New Roman" w:eastAsia="宋体" w:cs="Times New Roman"/>
          <w:kern w:val="2"/>
          <w:sz w:val="21"/>
          <w:szCs w:val="24"/>
          <w:u w:val="single"/>
          <w:lang w:val="en-US" w:eastAsia="zh-CN" w:bidi="ar-SA"/>
        </w:rPr>
        <w:fldChar w:fldCharType="begin">
          <w:ffData>
            <w:name w:val="Text12"/>
            <w:enabled/>
            <w:calcOnExit w:val="0"/>
            <w:textInput>
              <w:default w:val="1"/>
            </w:textInput>
          </w:ffData>
        </w:fldChar>
      </w:r>
      <w:r>
        <w:rPr>
          <w:rFonts w:hint="eastAsia" w:ascii="Times New Roman" w:hAnsi="Times New Roman" w:eastAsia="宋体" w:cs="Times New Roman"/>
          <w:kern w:val="2"/>
          <w:sz w:val="21"/>
          <w:szCs w:val="24"/>
          <w:u w:val="single"/>
          <w:lang w:val="en-US" w:eastAsia="zh-CN" w:bidi="ar-SA"/>
        </w:rPr>
        <w:instrText xml:space="preserve">FORMTEXT</w:instrText>
      </w:r>
      <w:r>
        <w:rPr>
          <w:rFonts w:hint="eastAsia" w:ascii="Times New Roman" w:hAnsi="Times New Roman" w:eastAsia="宋体" w:cs="Times New Roman"/>
          <w:kern w:val="2"/>
          <w:sz w:val="21"/>
          <w:szCs w:val="24"/>
          <w:u w:val="single"/>
          <w:lang w:val="en-US" w:eastAsia="zh-CN" w:bidi="ar-SA"/>
        </w:rPr>
        <w:fldChar w:fldCharType="separate"/>
      </w:r>
      <w:r>
        <w:rPr>
          <w:rFonts w:hint="eastAsia" w:ascii="Times New Roman" w:hAnsi="Times New Roman" w:eastAsia="宋体" w:cs="Times New Roman"/>
          <w:kern w:val="2"/>
          <w:sz w:val="21"/>
          <w:szCs w:val="24"/>
          <w:u w:val="single"/>
          <w:lang w:val="en-US" w:eastAsia="zh-CN" w:bidi="ar-SA"/>
        </w:rPr>
        <w:t>1</w:t>
      </w:r>
      <w:r>
        <w:rPr>
          <w:rFonts w:hint="eastAsia" w:ascii="Times New Roman" w:hAnsi="Times New Roman" w:eastAsia="宋体" w:cs="Times New Roman"/>
          <w:kern w:val="2"/>
          <w:sz w:val="21"/>
          <w:szCs w:val="24"/>
          <w:u w:val="single"/>
          <w:lang w:val="en-US" w:eastAsia="zh-CN" w:bidi="ar-SA"/>
        </w:rPr>
        <w:fldChar w:fldCharType="end"/>
      </w:r>
      <w:bookmarkEnd w:id="19"/>
      <w:r>
        <w:rPr>
          <w:rFonts w:hint="eastAsia" w:ascii="Times New Roman" w:hAnsi="Times New Roman" w:eastAsia="宋体" w:cs="Times New Roman"/>
          <w:kern w:val="2"/>
          <w:sz w:val="21"/>
          <w:szCs w:val="24"/>
          <w:lang w:val="en-US" w:eastAsia="zh-CN" w:bidi="ar-SA"/>
        </w:rPr>
        <w:t>）种支付方式：</w:t>
      </w:r>
    </w:p>
    <w:p w14:paraId="6CE76A11">
      <w:pPr>
        <w:pStyle w:val="11"/>
        <w:pageBreakBefore w:val="0"/>
        <w:kinsoku/>
        <w:wordWrap w:val="0"/>
        <w:overflowPunct/>
        <w:topLinePunct w:val="0"/>
        <w:bidi w:val="0"/>
        <w:snapToGrid/>
        <w:rPr>
          <w:rFonts w:hint="eastAsia"/>
          <w:lang w:val="en-US" w:eastAsia="zh-CN"/>
        </w:rPr>
      </w:pPr>
      <w:r>
        <w:rPr>
          <w:rFonts w:hint="eastAsia"/>
          <w:lang w:val="en-US" w:eastAsia="zh-CN"/>
        </w:rPr>
        <w:t>（1）结算后一定期限内付款方式：结算周期为</w:t>
      </w:r>
      <w:bookmarkStart w:id="20" w:name="DropDown7"/>
      <w:r>
        <w:rPr>
          <w:rFonts w:hint="eastAsia"/>
          <w:lang w:val="en-US" w:eastAsia="zh-CN"/>
        </w:rPr>
        <w:t>：</w:t>
      </w:r>
      <w:bookmarkEnd w:id="20"/>
      <w:r>
        <w:rPr>
          <w:rFonts w:hint="eastAsia" w:ascii="宋体" w:hAnsi="宋体" w:cs="Times New Roman"/>
          <w:kern w:val="2"/>
          <w:sz w:val="24"/>
          <w:szCs w:val="22"/>
          <w:highlight w:val="none"/>
          <w:u w:val="single"/>
          <w:lang w:val="en-US" w:eastAsia="zh-CN" w:bidi="ar-SA"/>
        </w:rPr>
        <w:t>当月1日至当月30日</w:t>
      </w:r>
      <w:r>
        <w:rPr>
          <w:rFonts w:hint="eastAsia"/>
          <w:lang w:val="en-US" w:eastAsia="zh-CN"/>
        </w:rPr>
        <w:t>，结算总额的</w:t>
      </w:r>
      <w:bookmarkStart w:id="21" w:name="Text20"/>
      <w:r>
        <w:rPr>
          <w:rFonts w:hint="eastAsia"/>
          <w:u w:val="single"/>
          <w:lang w:val="en-US" w:eastAsia="zh-CN"/>
        </w:rPr>
        <w:fldChar w:fldCharType="begin">
          <w:ffData>
            <w:name w:val="Text20"/>
            <w:enabled/>
            <w:calcOnExit w:val="0"/>
            <w:textInput>
              <w:default w:val="5%"/>
            </w:textInput>
          </w:ffData>
        </w:fldChar>
      </w:r>
      <w:r>
        <w:rPr>
          <w:rFonts w:hint="eastAsia"/>
          <w:u w:val="single"/>
          <w:lang w:val="en-US" w:eastAsia="zh-CN"/>
        </w:rPr>
        <w:instrText xml:space="preserve">FORMTEXT</w:instrText>
      </w:r>
      <w:r>
        <w:rPr>
          <w:rFonts w:hint="eastAsia"/>
          <w:u w:val="single"/>
          <w:lang w:val="en-US" w:eastAsia="zh-CN"/>
        </w:rPr>
        <w:fldChar w:fldCharType="separate"/>
      </w:r>
      <w:r>
        <w:rPr>
          <w:rFonts w:hint="eastAsia"/>
          <w:u w:val="single"/>
          <w:lang w:val="en-US" w:eastAsia="zh-CN"/>
        </w:rPr>
        <w:t>3%</w:t>
      </w:r>
      <w:r>
        <w:rPr>
          <w:rFonts w:hint="eastAsia"/>
          <w:u w:val="single"/>
          <w:lang w:val="en-US" w:eastAsia="zh-CN"/>
        </w:rPr>
        <w:fldChar w:fldCharType="end"/>
      </w:r>
      <w:bookmarkEnd w:id="21"/>
      <w:r>
        <w:rPr>
          <w:rFonts w:hint="eastAsia"/>
          <w:lang w:val="en-US" w:eastAsia="zh-CN"/>
        </w:rPr>
        <w:t>为质量保证金，其余为应付款。应付款分1次支付，支付时点及支付比例为：</w:t>
      </w:r>
      <w:r>
        <w:rPr>
          <w:rFonts w:hint="eastAsia"/>
          <w:u w:val="single"/>
          <w:lang w:val="en-US" w:eastAsia="zh-CN"/>
        </w:rPr>
        <w:fldChar w:fldCharType="begin">
          <w:ffData>
            <w:name w:val="Text19"/>
            <w:enabled/>
            <w:calcOnExit w:val="0"/>
            <w:textInput>
              <w:default w:val="（应付款支付条件，如30天内付至80%，60天付至100%等）"/>
            </w:textInput>
          </w:ffData>
        </w:fldChar>
      </w:r>
      <w:r>
        <w:rPr>
          <w:rFonts w:hint="eastAsia"/>
          <w:u w:val="single"/>
          <w:lang w:val="en-US" w:eastAsia="zh-CN"/>
        </w:rPr>
        <w:instrText xml:space="preserve">FORMTEXT</w:instrText>
      </w:r>
      <w:r>
        <w:rPr>
          <w:rFonts w:hint="eastAsia"/>
          <w:u w:val="single"/>
          <w:lang w:val="en-US" w:eastAsia="zh-CN"/>
        </w:rPr>
        <w:fldChar w:fldCharType="separate"/>
      </w:r>
      <w:r>
        <w:rPr>
          <w:rFonts w:hint="eastAsia"/>
          <w:u w:val="single"/>
          <w:lang w:val="en-US" w:eastAsia="zh-CN"/>
        </w:rPr>
        <w:t>办理结算收到发票后60天内支付该批材料价值97%的货款</w:t>
      </w:r>
      <w:r>
        <w:rPr>
          <w:rFonts w:hint="eastAsia"/>
          <w:u w:val="single"/>
          <w:lang w:val="en-US" w:eastAsia="zh-CN"/>
        </w:rPr>
        <w:fldChar w:fldCharType="end"/>
      </w:r>
      <w:r>
        <w:rPr>
          <w:rFonts w:hint="eastAsia" w:ascii="Times New Roman" w:hAnsi="Times New Roman" w:eastAsia="宋体" w:cs="Times New Roman"/>
          <w:b w:val="0"/>
          <w:bCs/>
          <w:kern w:val="2"/>
          <w:szCs w:val="24"/>
          <w:u w:val="none"/>
          <w:lang w:val="en-US" w:eastAsia="zh-CN" w:bidi="ar-SA"/>
        </w:rPr>
        <w:t>。</w:t>
      </w:r>
    </w:p>
    <w:p w14:paraId="30616655">
      <w:pPr>
        <w:pStyle w:val="11"/>
        <w:pageBreakBefore w:val="0"/>
        <w:kinsoku/>
        <w:wordWrap w:val="0"/>
        <w:overflowPunct/>
        <w:topLinePunct w:val="0"/>
        <w:bidi w:val="0"/>
        <w:snapToGrid/>
        <w:rPr>
          <w:rFonts w:hint="default"/>
          <w:lang w:val="en-US" w:eastAsia="zh-CN"/>
        </w:rPr>
      </w:pPr>
      <w:r>
        <w:rPr>
          <w:rFonts w:hint="eastAsia"/>
          <w:lang w:val="en-US" w:eastAsia="zh-CN"/>
        </w:rPr>
        <w:t>其它支付信息：卖方同意接收以“中交第二航务工程局有限公司”为出票人的银行承兑汇票或者</w:t>
      </w:r>
      <w:r>
        <w:rPr>
          <w:rFonts w:hint="eastAsia" w:ascii="Times New Roman" w:hAnsi="Times New Roman" w:eastAsia="宋体" w:cs="Times New Roman"/>
          <w:lang w:val="en-US" w:eastAsia="zh-CN"/>
        </w:rPr>
        <w:t>供应链金融</w:t>
      </w:r>
      <w:r>
        <w:rPr>
          <w:rFonts w:hint="eastAsia"/>
          <w:lang w:val="en-US" w:eastAsia="zh-CN"/>
        </w:rPr>
        <w:t>；</w:t>
      </w:r>
      <w:r>
        <w:rPr>
          <w:rFonts w:hint="eastAsia" w:ascii="Times New Roman" w:hAnsi="Times New Roman" w:eastAsia="宋体" w:cs="Times New Roman"/>
          <w:lang w:val="en-US" w:eastAsia="zh-CN"/>
        </w:rPr>
        <w:t>金融产品比例不超过</w:t>
      </w:r>
      <w:r>
        <w:rPr>
          <w:rFonts w:hint="eastAsia" w:cs="Times New Roman"/>
          <w:lang w:val="en-US" w:eastAsia="zh-CN"/>
        </w:rPr>
        <w:t>50</w:t>
      </w:r>
      <w:r>
        <w:rPr>
          <w:rFonts w:hint="eastAsia" w:ascii="Times New Roman" w:hAnsi="Times New Roman" w:eastAsia="宋体" w:cs="Times New Roman"/>
          <w:lang w:val="en-US" w:eastAsia="zh-CN"/>
        </w:rPr>
        <w:t>%，若支付金融产品，</w:t>
      </w:r>
      <w:r>
        <w:rPr>
          <w:rFonts w:hint="eastAsia" w:ascii="Times New Roman" w:hAnsi="Times New Roman" w:eastAsia="宋体" w:cs="Times New Roman"/>
          <w:color w:val="FF0000"/>
          <w:lang w:val="en-US" w:eastAsia="zh-CN"/>
        </w:rPr>
        <w:t>由</w:t>
      </w:r>
      <w:r>
        <w:rPr>
          <w:rFonts w:hint="eastAsia" w:cs="Times New Roman"/>
          <w:color w:val="FF0000"/>
          <w:lang w:val="en-US" w:eastAsia="zh-CN"/>
        </w:rPr>
        <w:t>供应商承担总货款50%的供应链金融融资成本</w:t>
      </w:r>
      <w:r>
        <w:rPr>
          <w:rFonts w:hint="eastAsia" w:ascii="Times New Roman" w:hAnsi="Times New Roman" w:eastAsia="宋体" w:cs="Times New Roman"/>
          <w:lang w:val="en-US" w:eastAsia="zh-CN"/>
        </w:rPr>
        <w:t>。</w:t>
      </w:r>
      <w:r>
        <w:rPr>
          <w:rFonts w:hint="eastAsia"/>
          <w:lang w:val="en-US" w:eastAsia="zh-CN"/>
        </w:rPr>
        <w:t>同意接收买方背书的合法票据，同意接收中交第二航务工程局有限公司安排的金融产品。</w:t>
      </w:r>
    </w:p>
    <w:p w14:paraId="74255739">
      <w:pPr>
        <w:pStyle w:val="10"/>
        <w:pageBreakBefore w:val="0"/>
        <w:kinsoku/>
        <w:wordWrap w:val="0"/>
        <w:overflowPunct/>
        <w:topLinePunct w:val="0"/>
        <w:bidi w:val="0"/>
        <w:snapToGrid/>
        <w:outlineLvl w:val="1"/>
        <w:rPr>
          <w:rFonts w:hint="eastAsia"/>
          <w:lang w:val="en-US" w:eastAsia="zh-CN"/>
        </w:rPr>
      </w:pPr>
      <w:bookmarkStart w:id="22" w:name="_Toc31253"/>
      <w:r>
        <w:rPr>
          <w:rFonts w:hint="eastAsia"/>
          <w:lang w:val="en-US" w:eastAsia="zh-CN"/>
        </w:rPr>
        <w:t>响应保证金</w:t>
      </w:r>
      <w:bookmarkEnd w:id="22"/>
    </w:p>
    <w:p w14:paraId="4528B829">
      <w:pPr>
        <w:pStyle w:val="11"/>
        <w:pageBreakBefore w:val="0"/>
        <w:kinsoku/>
        <w:wordWrap w:val="0"/>
        <w:overflowPunct/>
        <w:topLinePunct w:val="0"/>
        <w:bidi w:val="0"/>
        <w:snapToGrid/>
        <w:rPr>
          <w:rFonts w:hint="default"/>
          <w:lang w:val="en-US" w:eastAsia="zh-CN"/>
        </w:rPr>
      </w:pPr>
      <w:r>
        <w:rPr>
          <w:rFonts w:hint="eastAsia"/>
          <w:lang w:val="en-US" w:eastAsia="zh-CN"/>
        </w:rPr>
        <w:t>本次询价收取投标保证金</w:t>
      </w:r>
      <w:r>
        <w:rPr>
          <w:rFonts w:hint="eastAsia"/>
          <w:color w:val="FF0000"/>
          <w:lang w:val="en-US" w:eastAsia="zh-CN"/>
        </w:rPr>
        <w:t>0万元</w:t>
      </w:r>
    </w:p>
    <w:p w14:paraId="27832E33">
      <w:pPr>
        <w:pStyle w:val="10"/>
        <w:pageBreakBefore w:val="0"/>
        <w:kinsoku/>
        <w:wordWrap w:val="0"/>
        <w:overflowPunct/>
        <w:topLinePunct w:val="0"/>
        <w:bidi w:val="0"/>
        <w:snapToGrid/>
        <w:outlineLvl w:val="1"/>
        <w:rPr>
          <w:rFonts w:hint="default"/>
          <w:lang w:val="en-US" w:eastAsia="zh-CN"/>
        </w:rPr>
      </w:pPr>
      <w:bookmarkStart w:id="23" w:name="_Toc17486"/>
      <w:r>
        <w:rPr>
          <w:rFonts w:hint="default"/>
          <w:lang w:val="en-US" w:eastAsia="zh-CN"/>
        </w:rPr>
        <w:t>报价须知</w:t>
      </w:r>
      <w:bookmarkEnd w:id="23"/>
    </w:p>
    <w:p w14:paraId="74E63728">
      <w:pPr>
        <w:pStyle w:val="11"/>
        <w:pageBreakBefore w:val="0"/>
        <w:kinsoku/>
        <w:wordWrap w:val="0"/>
        <w:overflowPunct/>
        <w:topLinePunct w:val="0"/>
        <w:bidi w:val="0"/>
        <w:snapToGrid/>
        <w:rPr>
          <w:rFonts w:hint="default"/>
          <w:lang w:val="en-US" w:eastAsia="zh-CN"/>
        </w:rPr>
      </w:pPr>
      <w:r>
        <w:rPr>
          <w:rFonts w:hint="default"/>
          <w:lang w:val="en-US" w:eastAsia="zh-CN"/>
        </w:rPr>
        <w:t>响应截止时点：凡有意参与者，请于</w:t>
      </w:r>
      <w:r>
        <w:rPr>
          <w:rFonts w:hint="default"/>
          <w:highlight w:val="yellow"/>
          <w:u w:val="single"/>
          <w:lang w:val="en-US" w:eastAsia="zh-CN"/>
        </w:rPr>
        <w:fldChar w:fldCharType="begin">
          <w:ffData>
            <w:name w:val="Text21"/>
            <w:enabled/>
            <w:calcOnExit w:val="0"/>
            <w:textInput>
              <w:default w:val="（年月日及时间，如2021年4月1日10：00）"/>
            </w:textInput>
          </w:ffData>
        </w:fldChar>
      </w:r>
      <w:r>
        <w:rPr>
          <w:rFonts w:hint="default"/>
          <w:highlight w:val="yellow"/>
          <w:u w:val="single"/>
          <w:lang w:val="en-US" w:eastAsia="zh-CN"/>
        </w:rPr>
        <w:instrText xml:space="preserve">FORMTEXT</w:instrText>
      </w:r>
      <w:r>
        <w:rPr>
          <w:rFonts w:hint="default"/>
          <w:highlight w:val="yellow"/>
          <w:u w:val="single"/>
          <w:lang w:val="en-US" w:eastAsia="zh-CN"/>
        </w:rPr>
        <w:fldChar w:fldCharType="separate"/>
      </w:r>
      <w:r>
        <w:rPr>
          <w:rFonts w:hint="default"/>
          <w:highlight w:val="yellow"/>
          <w:u w:val="single"/>
          <w:lang w:val="en-US" w:eastAsia="zh-CN"/>
        </w:rPr>
        <w:t>（202</w:t>
      </w:r>
      <w:r>
        <w:rPr>
          <w:rFonts w:hint="eastAsia"/>
          <w:highlight w:val="yellow"/>
          <w:u w:val="single"/>
          <w:lang w:val="en-US" w:eastAsia="zh-CN"/>
        </w:rPr>
        <w:t>5</w:t>
      </w:r>
      <w:r>
        <w:rPr>
          <w:rFonts w:hint="default"/>
          <w:highlight w:val="yellow"/>
          <w:u w:val="single"/>
          <w:lang w:val="en-US" w:eastAsia="zh-CN"/>
        </w:rPr>
        <w:t>年</w:t>
      </w:r>
      <w:r>
        <w:rPr>
          <w:rFonts w:hint="eastAsia"/>
          <w:highlight w:val="yellow"/>
          <w:u w:val="single"/>
          <w:lang w:val="en-US" w:eastAsia="zh-CN"/>
        </w:rPr>
        <w:t>7</w:t>
      </w:r>
      <w:r>
        <w:rPr>
          <w:rFonts w:hint="default"/>
          <w:highlight w:val="yellow"/>
          <w:u w:val="single"/>
          <w:lang w:val="en-US" w:eastAsia="zh-CN"/>
        </w:rPr>
        <w:t>月</w:t>
      </w:r>
      <w:r>
        <w:rPr>
          <w:rFonts w:hint="eastAsia"/>
          <w:highlight w:val="yellow"/>
          <w:u w:val="single"/>
          <w:lang w:val="en-US" w:eastAsia="zh-CN"/>
        </w:rPr>
        <w:t>31</w:t>
      </w:r>
      <w:r>
        <w:rPr>
          <w:rFonts w:hint="default"/>
          <w:highlight w:val="yellow"/>
          <w:u w:val="single"/>
          <w:lang w:val="en-US" w:eastAsia="zh-CN"/>
        </w:rPr>
        <w:t>日</w:t>
      </w:r>
      <w:r>
        <w:rPr>
          <w:rFonts w:hint="eastAsia"/>
          <w:highlight w:val="yellow"/>
          <w:u w:val="single"/>
          <w:lang w:val="en-US" w:eastAsia="zh-CN"/>
        </w:rPr>
        <w:t>10</w:t>
      </w:r>
      <w:r>
        <w:rPr>
          <w:rFonts w:hint="default"/>
          <w:highlight w:val="yellow"/>
          <w:u w:val="single"/>
          <w:lang w:val="en-US" w:eastAsia="zh-CN"/>
        </w:rPr>
        <w:t>：</w:t>
      </w:r>
      <w:r>
        <w:rPr>
          <w:rFonts w:hint="eastAsia"/>
          <w:highlight w:val="yellow"/>
          <w:u w:val="single"/>
          <w:lang w:val="en-US" w:eastAsia="zh-CN"/>
        </w:rPr>
        <w:t>3</w:t>
      </w:r>
      <w:r>
        <w:rPr>
          <w:rFonts w:hint="default"/>
          <w:highlight w:val="yellow"/>
          <w:u w:val="single"/>
          <w:lang w:val="en-US" w:eastAsia="zh-CN"/>
        </w:rPr>
        <w:t>0）</w:t>
      </w:r>
      <w:r>
        <w:rPr>
          <w:rFonts w:hint="default"/>
          <w:highlight w:val="yellow"/>
          <w:u w:val="single"/>
          <w:lang w:val="en-US" w:eastAsia="zh-CN"/>
        </w:rPr>
        <w:fldChar w:fldCharType="end"/>
      </w:r>
      <w:r>
        <w:rPr>
          <w:rFonts w:hint="default"/>
          <w:highlight w:val="yellow"/>
          <w:lang w:val="en-US" w:eastAsia="zh-CN"/>
        </w:rPr>
        <w:t>时至</w:t>
      </w:r>
      <w:r>
        <w:rPr>
          <w:rFonts w:hint="default"/>
          <w:highlight w:val="yellow"/>
          <w:u w:val="single"/>
          <w:lang w:val="en-US" w:eastAsia="zh-CN"/>
        </w:rPr>
        <w:fldChar w:fldCharType="begin">
          <w:ffData>
            <w:name w:val="Text21"/>
            <w:enabled/>
            <w:calcOnExit w:val="0"/>
            <w:textInput>
              <w:default w:val="（年月日及时间，如2021年4月1日10：00）"/>
            </w:textInput>
          </w:ffData>
        </w:fldChar>
      </w:r>
      <w:r>
        <w:rPr>
          <w:rFonts w:hint="default"/>
          <w:highlight w:val="yellow"/>
          <w:u w:val="single"/>
          <w:lang w:val="en-US" w:eastAsia="zh-CN"/>
        </w:rPr>
        <w:instrText xml:space="preserve">FORMTEXT</w:instrText>
      </w:r>
      <w:r>
        <w:rPr>
          <w:rFonts w:hint="default"/>
          <w:highlight w:val="yellow"/>
          <w:u w:val="single"/>
          <w:lang w:val="en-US" w:eastAsia="zh-CN"/>
        </w:rPr>
        <w:fldChar w:fldCharType="separate"/>
      </w:r>
      <w:r>
        <w:rPr>
          <w:rFonts w:hint="default"/>
          <w:highlight w:val="yellow"/>
          <w:u w:val="single"/>
          <w:lang w:val="en-US" w:eastAsia="zh-CN"/>
        </w:rPr>
        <w:t>（202</w:t>
      </w:r>
      <w:r>
        <w:rPr>
          <w:rFonts w:hint="eastAsia"/>
          <w:highlight w:val="yellow"/>
          <w:u w:val="single"/>
          <w:lang w:val="en-US" w:eastAsia="zh-CN"/>
        </w:rPr>
        <w:t>4</w:t>
      </w:r>
      <w:r>
        <w:rPr>
          <w:rFonts w:hint="default"/>
          <w:highlight w:val="yellow"/>
          <w:u w:val="single"/>
          <w:lang w:val="en-US" w:eastAsia="zh-CN"/>
        </w:rPr>
        <w:t>年</w:t>
      </w:r>
      <w:r>
        <w:rPr>
          <w:rFonts w:hint="eastAsia"/>
          <w:highlight w:val="yellow"/>
          <w:u w:val="single"/>
          <w:lang w:val="en-US" w:eastAsia="zh-CN"/>
        </w:rPr>
        <w:t>8</w:t>
      </w:r>
      <w:r>
        <w:rPr>
          <w:rFonts w:hint="default"/>
          <w:highlight w:val="yellow"/>
          <w:u w:val="single"/>
          <w:lang w:val="en-US" w:eastAsia="zh-CN"/>
        </w:rPr>
        <w:t>月</w:t>
      </w:r>
      <w:r>
        <w:rPr>
          <w:rFonts w:hint="eastAsia"/>
          <w:highlight w:val="yellow"/>
          <w:u w:val="single"/>
          <w:lang w:val="en-US" w:eastAsia="zh-CN"/>
        </w:rPr>
        <w:t>5</w:t>
      </w:r>
      <w:r>
        <w:rPr>
          <w:rFonts w:hint="default"/>
          <w:highlight w:val="yellow"/>
          <w:u w:val="single"/>
          <w:lang w:val="en-US" w:eastAsia="zh-CN"/>
        </w:rPr>
        <w:t>日</w:t>
      </w:r>
      <w:r>
        <w:rPr>
          <w:rFonts w:hint="eastAsia"/>
          <w:highlight w:val="yellow"/>
          <w:u w:val="single"/>
          <w:lang w:val="en-US" w:eastAsia="zh-CN"/>
        </w:rPr>
        <w:t>15</w:t>
      </w:r>
      <w:r>
        <w:rPr>
          <w:rFonts w:hint="default"/>
          <w:highlight w:val="yellow"/>
          <w:u w:val="single"/>
          <w:lang w:val="en-US" w:eastAsia="zh-CN"/>
        </w:rPr>
        <w:t>：</w:t>
      </w:r>
      <w:r>
        <w:rPr>
          <w:rFonts w:hint="eastAsia"/>
          <w:highlight w:val="yellow"/>
          <w:u w:val="single"/>
          <w:lang w:val="en-US" w:eastAsia="zh-CN"/>
        </w:rPr>
        <w:t>3</w:t>
      </w:r>
      <w:r>
        <w:rPr>
          <w:rFonts w:hint="default"/>
          <w:highlight w:val="yellow"/>
          <w:u w:val="single"/>
          <w:lang w:val="en-US" w:eastAsia="zh-CN"/>
        </w:rPr>
        <w:t>0）</w:t>
      </w:r>
      <w:r>
        <w:rPr>
          <w:rFonts w:hint="default"/>
          <w:highlight w:val="yellow"/>
          <w:u w:val="single"/>
          <w:lang w:val="en-US" w:eastAsia="zh-CN"/>
        </w:rPr>
        <w:fldChar w:fldCharType="end"/>
      </w:r>
      <w:r>
        <w:rPr>
          <w:rFonts w:hint="default"/>
          <w:lang w:val="en-US" w:eastAsia="zh-CN"/>
        </w:rPr>
        <w:t>时（北京时间，下同），登录</w:t>
      </w:r>
      <w:r>
        <w:rPr>
          <w:rFonts w:hint="eastAsia" w:asciiTheme="minorEastAsia" w:hAnsiTheme="minorEastAsia" w:eastAsiaTheme="minorEastAsia" w:cstheme="minorEastAsia"/>
          <w:kern w:val="0"/>
          <w:szCs w:val="21"/>
          <w:lang w:eastAsia="zh-CN"/>
        </w:rPr>
        <w:t>中交招采网</w:t>
      </w:r>
      <w:r>
        <w:rPr>
          <w:rFonts w:hint="eastAsia" w:asciiTheme="minorEastAsia" w:hAnsiTheme="minorEastAsia" w:eastAsiaTheme="minorEastAsia" w:cstheme="minorEastAsia"/>
          <w:kern w:val="0"/>
          <w:szCs w:val="21"/>
        </w:rPr>
        <w:t>（网址：</w:t>
      </w:r>
      <w:r>
        <w:fldChar w:fldCharType="begin"/>
      </w:r>
      <w:r>
        <w:instrText xml:space="preserve"> HYPERLINK "http://ec.ccccltd.cn/PMS/" </w:instrText>
      </w:r>
      <w:r>
        <w:fldChar w:fldCharType="separate"/>
      </w:r>
      <w:r>
        <w:rPr>
          <w:rFonts w:hint="eastAsia" w:asciiTheme="minorEastAsia" w:hAnsiTheme="minorEastAsia" w:eastAsiaTheme="minorEastAsia" w:cstheme="minorEastAsia"/>
          <w:kern w:val="0"/>
          <w:lang w:eastAsia="zh-CN"/>
        </w:rPr>
        <w:t>https://zjzcw.iccec.cn</w:t>
      </w:r>
      <w:r>
        <w:rPr>
          <w:rFonts w:hint="eastAsia" w:asciiTheme="minorEastAsia" w:hAnsiTheme="minorEastAsia" w:eastAsiaTheme="minorEastAsia" w:cstheme="minorEastAsia"/>
          <w:kern w:val="0"/>
        </w:rPr>
        <w:fldChar w:fldCharType="end"/>
      </w:r>
      <w:r>
        <w:rPr>
          <w:rFonts w:hint="eastAsia" w:asciiTheme="minorEastAsia" w:hAnsiTheme="minorEastAsia" w:eastAsiaTheme="minorEastAsia" w:cstheme="minorEastAsia"/>
          <w:kern w:val="0"/>
          <w:szCs w:val="21"/>
        </w:rPr>
        <w:t>）</w:t>
      </w:r>
      <w:r>
        <w:rPr>
          <w:rFonts w:hint="default"/>
          <w:lang w:val="en-US" w:eastAsia="zh-CN"/>
        </w:rPr>
        <w:t>线上报价，并同步以附件形式提供纸质版响应文件。</w:t>
      </w:r>
    </w:p>
    <w:p w14:paraId="1DE6A965">
      <w:pPr>
        <w:pStyle w:val="11"/>
        <w:pageBreakBefore w:val="0"/>
        <w:kinsoku/>
        <w:wordWrap w:val="0"/>
        <w:overflowPunct/>
        <w:topLinePunct w:val="0"/>
        <w:bidi w:val="0"/>
        <w:snapToGrid/>
        <w:rPr>
          <w:rFonts w:hint="default"/>
          <w:lang w:val="en-US" w:eastAsia="zh-CN"/>
        </w:rPr>
      </w:pPr>
      <w:r>
        <w:rPr>
          <w:rFonts w:hint="default"/>
          <w:lang w:val="en-US" w:eastAsia="zh-CN"/>
        </w:rPr>
        <w:t>逾期未</w:t>
      </w:r>
      <w:r>
        <w:rPr>
          <w:rFonts w:hint="eastAsia"/>
          <w:lang w:val="en-US" w:eastAsia="zh-CN"/>
        </w:rPr>
        <w:t>参与报价或未</w:t>
      </w:r>
      <w:r>
        <w:rPr>
          <w:rFonts w:hint="default"/>
          <w:lang w:val="en-US" w:eastAsia="zh-CN"/>
        </w:rPr>
        <w:t>上传成功</w:t>
      </w:r>
      <w:r>
        <w:rPr>
          <w:rFonts w:hint="eastAsia"/>
          <w:lang w:val="en-US" w:eastAsia="zh-CN"/>
        </w:rPr>
        <w:t>响应</w:t>
      </w:r>
      <w:r>
        <w:rPr>
          <w:rFonts w:hint="default"/>
          <w:lang w:val="en-US" w:eastAsia="zh-CN"/>
        </w:rPr>
        <w:t>文件，</w:t>
      </w:r>
      <w:r>
        <w:rPr>
          <w:rFonts w:hint="eastAsia"/>
          <w:lang w:val="en-US" w:eastAsia="zh-CN"/>
        </w:rPr>
        <w:t>询价采购</w:t>
      </w:r>
      <w:r>
        <w:rPr>
          <w:rFonts w:hint="default"/>
          <w:lang w:val="en-US" w:eastAsia="zh-CN"/>
        </w:rPr>
        <w:t>人不予受理。</w:t>
      </w:r>
    </w:p>
    <w:p w14:paraId="450CC4BA">
      <w:pPr>
        <w:pStyle w:val="3"/>
        <w:rPr>
          <w:rFonts w:hint="default"/>
          <w:lang w:val="en-US" w:eastAsia="zh-CN"/>
        </w:rPr>
      </w:pPr>
      <w:r>
        <w:rPr>
          <w:rFonts w:hint="eastAsia"/>
          <w:lang w:val="en-US" w:eastAsia="zh-CN"/>
        </w:rPr>
        <w:t>3.5</w:t>
      </w:r>
      <w:r>
        <w:rPr>
          <w:rFonts w:hint="default"/>
          <w:lang w:val="en-US" w:eastAsia="zh-CN"/>
        </w:rPr>
        <w:t>中标供应商平台服务费缴纳说明</w:t>
      </w:r>
    </w:p>
    <w:p w14:paraId="72DA26F7">
      <w:pPr>
        <w:pStyle w:val="3"/>
        <w:ind w:firstLine="400" w:firstLineChars="200"/>
        <w:rPr>
          <w:rFonts w:hint="default"/>
          <w:lang w:val="en-US" w:eastAsia="zh-CN"/>
        </w:rPr>
      </w:pPr>
      <w:r>
        <w:rPr>
          <w:rFonts w:hint="default"/>
          <w:lang w:val="en-US" w:eastAsia="zh-CN"/>
        </w:rPr>
        <w:t>为进一步提升电子采购平台服务质量，优化运营流程，保障双方合作更加顺畅高效，经公司研究决定，将对参与我司采购活动并成功中标的供应商、分包商分档收取服务费。具体费用以中标通知书中同步生成的服务费订单为准，订单将通过“中交招采网”（网址：https://zjzcw.iccec.cn）发送，发送后10天内需完成费用缴纳。缴费过程中如有问题，请联系4006765885中标服务费请按7咨询。</w:t>
      </w:r>
    </w:p>
    <w:p w14:paraId="497C588E">
      <w:pPr>
        <w:pStyle w:val="3"/>
        <w:rPr>
          <w:rFonts w:hint="default"/>
          <w:lang w:val="en-US" w:eastAsia="zh-CN"/>
        </w:rPr>
      </w:pPr>
      <w:r>
        <w:rPr>
          <w:rFonts w:hint="eastAsia"/>
          <w:lang w:val="en-US" w:eastAsia="zh-CN"/>
        </w:rPr>
        <w:t>3.5</w:t>
      </w:r>
      <w:r>
        <w:rPr>
          <w:rFonts w:hint="default"/>
          <w:lang w:val="en-US" w:eastAsia="zh-CN"/>
        </w:rPr>
        <w:t>.1收费标准</w:t>
      </w:r>
    </w:p>
    <w:p w14:paraId="04E3A8BE">
      <w:pPr>
        <w:pStyle w:val="3"/>
        <w:rPr>
          <w:rFonts w:hint="default"/>
          <w:lang w:val="en-US" w:eastAsia="zh-CN"/>
        </w:rPr>
      </w:pPr>
      <w:r>
        <w:rPr>
          <w:rFonts w:hint="default"/>
          <w:lang w:val="en-US" w:eastAsia="zh-CN"/>
        </w:rPr>
        <w:t>按照包件分档进行收费，收费标准按以下中标金额进行收取：</w:t>
      </w:r>
    </w:p>
    <w:p w14:paraId="4E5C020B">
      <w:pPr>
        <w:pStyle w:val="3"/>
        <w:rPr>
          <w:rFonts w:hint="default"/>
          <w:lang w:val="en-US" w:eastAsia="zh-CN"/>
        </w:rPr>
      </w:pPr>
      <w:r>
        <w:rPr>
          <w:rFonts w:hint="default"/>
          <w:lang w:val="en-US" w:eastAsia="zh-CN"/>
        </w:rPr>
        <w:t>（1）在100万元（含）至200万元之间的，每次收取100元；</w:t>
      </w:r>
    </w:p>
    <w:p w14:paraId="13D7F858">
      <w:pPr>
        <w:pStyle w:val="3"/>
        <w:rPr>
          <w:rFonts w:hint="default"/>
          <w:lang w:val="en-US" w:eastAsia="zh-CN"/>
        </w:rPr>
      </w:pPr>
      <w:r>
        <w:rPr>
          <w:rFonts w:hint="default"/>
          <w:lang w:val="en-US" w:eastAsia="zh-CN"/>
        </w:rPr>
        <w:t>（2）在200万元（含）至1000万元之间的，每次收取500元；</w:t>
      </w:r>
    </w:p>
    <w:p w14:paraId="54A52933">
      <w:pPr>
        <w:pStyle w:val="3"/>
        <w:rPr>
          <w:rFonts w:hint="default"/>
          <w:lang w:val="en-US" w:eastAsia="zh-CN"/>
        </w:rPr>
      </w:pPr>
      <w:r>
        <w:rPr>
          <w:rFonts w:hint="default"/>
          <w:lang w:val="en-US" w:eastAsia="zh-CN"/>
        </w:rPr>
        <w:t>（3）在1000万元（含）至3000万元之间的，每次收取1000元；</w:t>
      </w:r>
    </w:p>
    <w:p w14:paraId="14FD3171">
      <w:pPr>
        <w:pStyle w:val="3"/>
        <w:rPr>
          <w:rFonts w:hint="default"/>
          <w:lang w:val="en-US" w:eastAsia="zh-CN"/>
        </w:rPr>
      </w:pPr>
      <w:r>
        <w:rPr>
          <w:rFonts w:hint="default"/>
          <w:lang w:val="en-US" w:eastAsia="zh-CN"/>
        </w:rPr>
        <w:t>（4）在3000万元（含）至1亿元之间的，每次收取3000元；</w:t>
      </w:r>
    </w:p>
    <w:p w14:paraId="63A706B1">
      <w:pPr>
        <w:pStyle w:val="3"/>
        <w:rPr>
          <w:rFonts w:hint="default"/>
          <w:lang w:val="en-US" w:eastAsia="zh-CN"/>
        </w:rPr>
      </w:pPr>
      <w:r>
        <w:rPr>
          <w:rFonts w:hint="default"/>
          <w:lang w:val="en-US" w:eastAsia="zh-CN"/>
        </w:rPr>
        <w:t>（5）在1亿元（含）以上的，每次收取5000元。</w:t>
      </w:r>
    </w:p>
    <w:p w14:paraId="0CAA5A46">
      <w:pPr>
        <w:pStyle w:val="3"/>
        <w:rPr>
          <w:rFonts w:hint="default"/>
          <w:lang w:val="en-US" w:eastAsia="zh-CN"/>
        </w:rPr>
      </w:pPr>
      <w:r>
        <w:rPr>
          <w:rFonts w:hint="eastAsia"/>
          <w:lang w:val="en-US" w:eastAsia="zh-CN"/>
        </w:rPr>
        <w:t>3.5</w:t>
      </w:r>
      <w:r>
        <w:rPr>
          <w:rFonts w:hint="default"/>
          <w:lang w:val="en-US" w:eastAsia="zh-CN"/>
        </w:rPr>
        <w:t>.2支付流程</w:t>
      </w:r>
    </w:p>
    <w:p w14:paraId="15C9253B">
      <w:pPr>
        <w:pStyle w:val="3"/>
        <w:rPr>
          <w:rFonts w:hint="default"/>
          <w:lang w:val="en-US" w:eastAsia="zh-CN"/>
        </w:rPr>
      </w:pPr>
      <w:r>
        <w:rPr>
          <w:rFonts w:hint="default"/>
          <w:lang w:val="en-US" w:eastAsia="zh-CN"/>
        </w:rPr>
        <w:t>（1）通知推送：中标结果发布后，系统自动推送缴费通知（含应缴金额及支付链接）；</w:t>
      </w:r>
    </w:p>
    <w:p w14:paraId="26F11804">
      <w:pPr>
        <w:pStyle w:val="3"/>
        <w:rPr>
          <w:rFonts w:hint="default"/>
          <w:lang w:val="en-US" w:eastAsia="zh-CN"/>
        </w:rPr>
      </w:pPr>
      <w:r>
        <w:rPr>
          <w:rFonts w:hint="default"/>
          <w:lang w:val="en-US" w:eastAsia="zh-CN"/>
        </w:rPr>
        <w:t>（2）费用查询：供应商登录“中交招采网-服务管理”模块查看待支付费用；</w:t>
      </w:r>
    </w:p>
    <w:p w14:paraId="497158E5">
      <w:pPr>
        <w:pStyle w:val="3"/>
        <w:rPr>
          <w:rFonts w:hint="default"/>
          <w:lang w:val="en-US" w:eastAsia="zh-CN"/>
        </w:rPr>
      </w:pPr>
      <w:r>
        <w:rPr>
          <w:rFonts w:hint="default"/>
          <w:lang w:val="en-US" w:eastAsia="zh-CN"/>
        </w:rPr>
        <w:t>（3）在线支付：支持对公银行转账或在线支付，支付成功后生成电子凭证；</w:t>
      </w:r>
    </w:p>
    <w:p w14:paraId="58843257">
      <w:pPr>
        <w:pStyle w:val="3"/>
        <w:rPr>
          <w:rFonts w:hint="default"/>
          <w:lang w:val="en-US" w:eastAsia="zh-CN"/>
        </w:rPr>
      </w:pPr>
      <w:r>
        <w:rPr>
          <w:rFonts w:hint="default"/>
          <w:lang w:val="en-US" w:eastAsia="zh-CN"/>
        </w:rPr>
        <w:t>（4）发票开具：支付完成后5个工作日内，系统自动生成“技术服务费”电子发票，供应商可在“中交招采网-服务管理－发票下载”模块获取。</w:t>
      </w:r>
    </w:p>
    <w:p w14:paraId="7C0C6BED">
      <w:pPr>
        <w:pStyle w:val="9"/>
        <w:pageBreakBefore w:val="0"/>
        <w:kinsoku/>
        <w:wordWrap w:val="0"/>
        <w:overflowPunct/>
        <w:topLinePunct w:val="0"/>
        <w:bidi w:val="0"/>
        <w:snapToGrid/>
        <w:outlineLvl w:val="0"/>
        <w:rPr>
          <w:rFonts w:hint="default"/>
          <w:lang w:val="en-US" w:eastAsia="zh-CN"/>
        </w:rPr>
      </w:pPr>
      <w:bookmarkStart w:id="24" w:name="_Toc23846"/>
      <w:r>
        <w:rPr>
          <w:rFonts w:hint="eastAsia"/>
          <w:lang w:val="en-US" w:eastAsia="zh-CN"/>
        </w:rPr>
        <w:t>响应文件</w:t>
      </w:r>
      <w:bookmarkEnd w:id="24"/>
    </w:p>
    <w:p w14:paraId="57BC7EA8">
      <w:pPr>
        <w:pStyle w:val="10"/>
        <w:pageBreakBefore w:val="0"/>
        <w:kinsoku/>
        <w:wordWrap w:val="0"/>
        <w:overflowPunct/>
        <w:topLinePunct w:val="0"/>
        <w:bidi w:val="0"/>
        <w:snapToGrid/>
        <w:outlineLvl w:val="1"/>
        <w:rPr>
          <w:rFonts w:hint="eastAsia"/>
          <w:lang w:val="en-US" w:eastAsia="zh-CN"/>
        </w:rPr>
      </w:pPr>
      <w:bookmarkStart w:id="25" w:name="_Toc19338"/>
      <w:r>
        <w:rPr>
          <w:rFonts w:hint="eastAsia"/>
          <w:lang w:val="en-US" w:eastAsia="zh-CN"/>
        </w:rPr>
        <w:t>响应文件应包含的内容</w:t>
      </w:r>
      <w:bookmarkEnd w:id="25"/>
    </w:p>
    <w:p w14:paraId="4CE0075A">
      <w:pPr>
        <w:pStyle w:val="11"/>
        <w:pageBreakBefore w:val="0"/>
        <w:kinsoku/>
        <w:wordWrap w:val="0"/>
        <w:overflowPunct/>
        <w:topLinePunct w:val="0"/>
        <w:bidi w:val="0"/>
        <w:snapToGrid/>
        <w:rPr>
          <w:rFonts w:hint="eastAsia"/>
          <w:lang w:val="en-US" w:eastAsia="zh-CN"/>
        </w:rPr>
      </w:pPr>
      <w:r>
        <w:rPr>
          <w:rFonts w:hint="eastAsia"/>
          <w:lang w:val="en-US" w:eastAsia="zh-CN"/>
        </w:rPr>
        <w:t>（1）响应函；</w:t>
      </w:r>
    </w:p>
    <w:p w14:paraId="3671D7B2">
      <w:pPr>
        <w:pStyle w:val="11"/>
        <w:pageBreakBefore w:val="0"/>
        <w:kinsoku/>
        <w:wordWrap w:val="0"/>
        <w:overflowPunct/>
        <w:topLinePunct w:val="0"/>
        <w:bidi w:val="0"/>
        <w:snapToGrid/>
        <w:rPr>
          <w:rFonts w:hint="eastAsia"/>
          <w:lang w:val="en-US" w:eastAsia="zh-CN"/>
        </w:rPr>
      </w:pPr>
      <w:r>
        <w:rPr>
          <w:rFonts w:hint="eastAsia"/>
          <w:lang w:val="en-US" w:eastAsia="zh-CN"/>
        </w:rPr>
        <w:t>（2）法定代表人身份证明及授权委托书；</w:t>
      </w:r>
    </w:p>
    <w:p w14:paraId="770DB567">
      <w:pPr>
        <w:pStyle w:val="11"/>
        <w:pageBreakBefore w:val="0"/>
        <w:kinsoku/>
        <w:wordWrap w:val="0"/>
        <w:overflowPunct/>
        <w:topLinePunct w:val="0"/>
        <w:bidi w:val="0"/>
        <w:snapToGrid/>
        <w:rPr>
          <w:rFonts w:hint="eastAsia"/>
          <w:lang w:val="en-US" w:eastAsia="zh-CN"/>
        </w:rPr>
      </w:pPr>
      <w:r>
        <w:rPr>
          <w:rFonts w:hint="eastAsia"/>
          <w:lang w:val="en-US" w:eastAsia="zh-CN"/>
        </w:rPr>
        <w:t>（3）报价资料；</w:t>
      </w:r>
    </w:p>
    <w:p w14:paraId="32B86C97">
      <w:pPr>
        <w:pStyle w:val="11"/>
        <w:pageBreakBefore w:val="0"/>
        <w:kinsoku/>
        <w:wordWrap w:val="0"/>
        <w:overflowPunct/>
        <w:topLinePunct w:val="0"/>
        <w:bidi w:val="0"/>
        <w:snapToGrid/>
        <w:rPr>
          <w:rFonts w:hint="eastAsia"/>
          <w:lang w:val="en-US" w:eastAsia="zh-CN"/>
        </w:rPr>
      </w:pPr>
      <w:r>
        <w:rPr>
          <w:rFonts w:hint="eastAsia"/>
          <w:lang w:val="en-US" w:eastAsia="zh-CN"/>
        </w:rPr>
        <w:t>（4）其它资料。</w:t>
      </w:r>
    </w:p>
    <w:p w14:paraId="6150490A">
      <w:pPr>
        <w:pStyle w:val="10"/>
        <w:pageBreakBefore w:val="0"/>
        <w:kinsoku/>
        <w:wordWrap w:val="0"/>
        <w:overflowPunct/>
        <w:topLinePunct w:val="0"/>
        <w:bidi w:val="0"/>
        <w:snapToGrid/>
        <w:outlineLvl w:val="1"/>
        <w:rPr>
          <w:rFonts w:hint="eastAsia"/>
          <w:lang w:val="en-US" w:eastAsia="zh-CN"/>
        </w:rPr>
      </w:pPr>
      <w:bookmarkStart w:id="26" w:name="_Toc14151"/>
      <w:r>
        <w:rPr>
          <w:rFonts w:hint="eastAsia"/>
          <w:lang w:val="en-US" w:eastAsia="zh-CN"/>
        </w:rPr>
        <w:t>格式及编制要求</w:t>
      </w:r>
      <w:bookmarkEnd w:id="26"/>
    </w:p>
    <w:p w14:paraId="5D0F18BA">
      <w:pPr>
        <w:pStyle w:val="11"/>
        <w:pageBreakBefore w:val="0"/>
        <w:kinsoku/>
        <w:wordWrap w:val="0"/>
        <w:overflowPunct/>
        <w:topLinePunct w:val="0"/>
        <w:bidi w:val="0"/>
        <w:snapToGrid/>
        <w:rPr>
          <w:rFonts w:hint="eastAsia"/>
          <w:lang w:val="en-US" w:eastAsia="zh-CN"/>
        </w:rPr>
      </w:pPr>
      <w:r>
        <w:rPr>
          <w:rFonts w:hint="eastAsia"/>
          <w:lang w:val="en-US" w:eastAsia="zh-CN"/>
        </w:rPr>
        <w:t>响应文件应按第二章“响应文件”格式进行编制，版式用A4纸（附图、附表除外），文字用中文简体。所有文字、图表必须清晰可辨。响应文件应按4.1“响应文件应包含的内容”的顺序，连续页码进行编制。</w:t>
      </w:r>
    </w:p>
    <w:p w14:paraId="7526DAF6">
      <w:pPr>
        <w:pStyle w:val="11"/>
        <w:pageBreakBefore w:val="0"/>
        <w:kinsoku/>
        <w:wordWrap w:val="0"/>
        <w:overflowPunct/>
        <w:topLinePunct w:val="0"/>
        <w:bidi w:val="0"/>
        <w:snapToGrid/>
        <w:rPr>
          <w:rFonts w:hint="eastAsia"/>
          <w:lang w:val="en-US" w:eastAsia="zh-CN"/>
        </w:rPr>
      </w:pPr>
      <w:r>
        <w:rPr>
          <w:rFonts w:hint="eastAsia"/>
          <w:lang w:val="en-US" w:eastAsia="zh-CN"/>
        </w:rPr>
        <w:t>响应文件应对交货要求、响应有效期、技术标准和要求、询价内容等作出实质性响应。</w:t>
      </w:r>
    </w:p>
    <w:p w14:paraId="6DC759D4">
      <w:pPr>
        <w:pStyle w:val="11"/>
        <w:pageBreakBefore w:val="0"/>
        <w:kinsoku/>
        <w:wordWrap w:val="0"/>
        <w:overflowPunct/>
        <w:topLinePunct w:val="0"/>
        <w:bidi w:val="0"/>
        <w:snapToGrid/>
        <w:rPr>
          <w:rFonts w:hint="eastAsia"/>
          <w:lang w:val="en-US" w:eastAsia="zh-CN"/>
        </w:rPr>
      </w:pPr>
      <w:r>
        <w:rPr>
          <w:rFonts w:hint="eastAsia"/>
          <w:lang w:val="en-US" w:eastAsia="zh-CN"/>
        </w:rPr>
        <w:t>响应文件应尽量避免涂改、行间插字或删除。如果出现上述情况，改动之处应加盖单位章或由响应人的法定代表人或其授权的代理人签字确认。</w:t>
      </w:r>
    </w:p>
    <w:p w14:paraId="265F70BF">
      <w:pPr>
        <w:pStyle w:val="11"/>
        <w:pageBreakBefore w:val="0"/>
        <w:kinsoku/>
        <w:wordWrap w:val="0"/>
        <w:overflowPunct/>
        <w:topLinePunct w:val="0"/>
        <w:bidi w:val="0"/>
        <w:snapToGrid/>
        <w:rPr>
          <w:rFonts w:hint="eastAsia"/>
          <w:lang w:val="en-US" w:eastAsia="zh-CN"/>
        </w:rPr>
      </w:pPr>
      <w:r>
        <w:rPr>
          <w:rFonts w:hint="eastAsia"/>
          <w:lang w:val="en-US" w:eastAsia="zh-CN"/>
        </w:rPr>
        <w:t>响应文件经签字盖章后彩色扫描并制作成压缩包或响应文件经电子签名并加盖单位章后制作成压缩包。纸质版响应文件包含PDF版本响应文件、EXCEL或WPS版本询价物资报价表。</w:t>
      </w:r>
    </w:p>
    <w:p w14:paraId="5C7973ED">
      <w:pPr>
        <w:pStyle w:val="9"/>
        <w:pageBreakBefore w:val="0"/>
        <w:kinsoku/>
        <w:wordWrap w:val="0"/>
        <w:overflowPunct/>
        <w:topLinePunct w:val="0"/>
        <w:bidi w:val="0"/>
        <w:snapToGrid/>
        <w:outlineLvl w:val="0"/>
        <w:rPr>
          <w:lang w:val="en-US" w:eastAsia="zh-CN"/>
        </w:rPr>
      </w:pPr>
      <w:bookmarkStart w:id="27" w:name="_Toc27202"/>
      <w:r>
        <w:rPr>
          <w:rFonts w:hint="eastAsia"/>
          <w:lang w:val="en-US" w:eastAsia="zh-CN"/>
        </w:rPr>
        <w:t>响应有效期</w:t>
      </w:r>
      <w:bookmarkEnd w:id="27"/>
    </w:p>
    <w:p w14:paraId="31090A05">
      <w:pPr>
        <w:pStyle w:val="11"/>
        <w:pageBreakBefore w:val="0"/>
        <w:kinsoku/>
        <w:wordWrap w:val="0"/>
        <w:overflowPunct/>
        <w:topLinePunct w:val="0"/>
        <w:bidi w:val="0"/>
        <w:snapToGrid/>
        <w:rPr>
          <w:lang w:val="en-US" w:eastAsia="zh-CN"/>
        </w:rPr>
      </w:pPr>
      <w:r>
        <w:rPr>
          <w:rFonts w:hint="eastAsia"/>
          <w:lang w:val="en-US" w:eastAsia="zh-CN"/>
        </w:rPr>
        <w:t>响应有效期为</w:t>
      </w:r>
      <w:bookmarkStart w:id="28" w:name="Text9"/>
      <w:r>
        <w:rPr>
          <w:rFonts w:hint="eastAsia"/>
          <w:u w:val="single"/>
          <w:lang w:val="en-US" w:eastAsia="zh-CN"/>
        </w:rPr>
        <w:fldChar w:fldCharType="begin">
          <w:ffData>
            <w:name w:val="Text9"/>
            <w:enabled/>
            <w:calcOnExit w:val="0"/>
            <w:textInput>
              <w:type w:val="number"/>
              <w:default w:val="30"/>
            </w:textInput>
          </w:ffData>
        </w:fldChar>
      </w:r>
      <w:r>
        <w:rPr>
          <w:rFonts w:hint="eastAsia"/>
          <w:u w:val="single"/>
          <w:lang w:val="en-US" w:eastAsia="zh-CN"/>
        </w:rPr>
        <w:instrText xml:space="preserve">FORMTEXT</w:instrText>
      </w:r>
      <w:r>
        <w:rPr>
          <w:rFonts w:hint="eastAsia"/>
          <w:u w:val="single"/>
          <w:lang w:val="en-US" w:eastAsia="zh-CN"/>
        </w:rPr>
        <w:fldChar w:fldCharType="separate"/>
      </w:r>
      <w:r>
        <w:rPr>
          <w:rFonts w:hint="eastAsia"/>
          <w:u w:val="single"/>
          <w:lang w:val="en-US" w:eastAsia="zh-CN"/>
        </w:rPr>
        <w:t>30</w:t>
      </w:r>
      <w:r>
        <w:rPr>
          <w:rFonts w:hint="eastAsia"/>
          <w:u w:val="single"/>
          <w:lang w:val="en-US" w:eastAsia="zh-CN"/>
        </w:rPr>
        <w:fldChar w:fldCharType="end"/>
      </w:r>
      <w:bookmarkEnd w:id="28"/>
      <w:r>
        <w:rPr>
          <w:rFonts w:hint="eastAsia"/>
          <w:lang w:val="en-US" w:eastAsia="zh-CN"/>
        </w:rPr>
        <w:t>天。在响应有效期内，响应人撤销响应文件的，响应保证金将不予退还，并同时承担响应文件和法律规定的其它责任。</w:t>
      </w:r>
    </w:p>
    <w:p w14:paraId="7532916D">
      <w:pPr>
        <w:pStyle w:val="9"/>
        <w:pageBreakBefore w:val="0"/>
        <w:kinsoku/>
        <w:wordWrap w:val="0"/>
        <w:overflowPunct/>
        <w:topLinePunct w:val="0"/>
        <w:bidi w:val="0"/>
        <w:snapToGrid/>
        <w:outlineLvl w:val="0"/>
        <w:rPr>
          <w:lang w:val="en-US" w:eastAsia="zh-CN"/>
        </w:rPr>
      </w:pPr>
      <w:bookmarkStart w:id="29" w:name="_Toc24646_WPSOffice_Level1"/>
      <w:bookmarkStart w:id="30" w:name="_Toc25246"/>
      <w:bookmarkStart w:id="31" w:name="_Toc528873112"/>
      <w:bookmarkStart w:id="32" w:name="_Toc20653"/>
      <w:bookmarkStart w:id="33" w:name="_Toc24042"/>
      <w:r>
        <w:rPr>
          <w:lang w:val="en-US" w:eastAsia="zh-CN"/>
        </w:rPr>
        <w:t>联系方式</w:t>
      </w:r>
      <w:bookmarkEnd w:id="29"/>
      <w:bookmarkEnd w:id="30"/>
      <w:bookmarkEnd w:id="31"/>
      <w:bookmarkEnd w:id="32"/>
      <w:bookmarkEnd w:id="33"/>
    </w:p>
    <w:p w14:paraId="5583F94B">
      <w:pPr>
        <w:pStyle w:val="11"/>
        <w:ind w:firstLine="420"/>
        <w:rPr>
          <w:rFonts w:hint="eastAsia" w:ascii="Times New Roman" w:hAnsi="Times New Roman" w:eastAsia="宋体" w:cs="Times New Roman"/>
          <w:highlight w:val="none"/>
          <w:lang w:val="en-US" w:eastAsia="zh-CN"/>
        </w:rPr>
      </w:pPr>
      <w:bookmarkStart w:id="34" w:name="_Toc20373"/>
      <w:r>
        <w:rPr>
          <w:rFonts w:ascii="Times New Roman" w:hAnsi="Times New Roman" w:eastAsia="宋体" w:cs="Times New Roman"/>
          <w:highlight w:val="none"/>
        </w:rPr>
        <w:t>询价采购人：</w:t>
      </w:r>
      <w:r>
        <w:rPr>
          <w:rFonts w:hint="eastAsia" w:ascii="Times New Roman" w:hAnsi="Times New Roman" w:eastAsia="宋体" w:cs="Times New Roman"/>
          <w:highlight w:val="none"/>
          <w:lang w:val="en-US" w:eastAsia="zh-CN"/>
        </w:rPr>
        <w:t xml:space="preserve">中交第二航务工程局有限公司启东中远海运-舾装码头改扩建工程项目经理部   </w:t>
      </w:r>
    </w:p>
    <w:p w14:paraId="6684D7E8">
      <w:pPr>
        <w:pStyle w:val="11"/>
        <w:ind w:firstLine="420"/>
        <w:rPr>
          <w:rFonts w:hint="default" w:ascii="Times New Roman" w:hAnsi="Times New Roman" w:eastAsia="宋体" w:cs="Times New Roman"/>
          <w:highlight w:val="none"/>
          <w:lang w:val="en-US" w:eastAsia="zh-CN"/>
        </w:rPr>
      </w:pPr>
      <w:r>
        <w:rPr>
          <w:rFonts w:ascii="Times New Roman" w:hAnsi="Times New Roman" w:eastAsia="宋体" w:cs="Times New Roman"/>
          <w:highlight w:val="none"/>
        </w:rPr>
        <w:t>地址：</w:t>
      </w:r>
      <w:r>
        <w:rPr>
          <w:rFonts w:hint="eastAsia" w:cs="Times New Roman"/>
          <w:highlight w:val="none"/>
          <w:lang w:val="en-US" w:eastAsia="zh-CN"/>
        </w:rPr>
        <w:t>江苏省南通市启东市</w:t>
      </w:r>
      <w:bookmarkStart w:id="38" w:name="_GoBack"/>
      <w:bookmarkEnd w:id="38"/>
      <w:r>
        <w:rPr>
          <w:rFonts w:hint="eastAsia" w:cs="Times New Roman"/>
          <w:highlight w:val="none"/>
          <w:lang w:val="en-US" w:eastAsia="zh-CN"/>
        </w:rPr>
        <w:t>，根据项目部书面通知。</w:t>
      </w:r>
    </w:p>
    <w:p w14:paraId="7AC4540F">
      <w:pPr>
        <w:pStyle w:val="11"/>
        <w:ind w:firstLine="420"/>
        <w:rPr>
          <w:rFonts w:hint="default" w:ascii="Times New Roman" w:hAnsi="Times New Roman" w:eastAsia="宋体" w:cs="Times New Roman"/>
          <w:highlight w:val="none"/>
          <w:lang w:val="en-US" w:eastAsia="zh-CN"/>
        </w:rPr>
      </w:pPr>
      <w:r>
        <w:rPr>
          <w:rFonts w:ascii="Times New Roman" w:hAnsi="Times New Roman" w:eastAsia="宋体" w:cs="Times New Roman"/>
          <w:highlight w:val="none"/>
        </w:rPr>
        <w:t>联系人：</w:t>
      </w:r>
      <w:r>
        <w:rPr>
          <w:rFonts w:hint="eastAsia" w:cs="Times New Roman"/>
          <w:highlight w:val="none"/>
          <w:lang w:val="en-US" w:eastAsia="zh-CN"/>
        </w:rPr>
        <w:t>张锦</w:t>
      </w:r>
    </w:p>
    <w:p w14:paraId="095D24DB">
      <w:pPr>
        <w:pStyle w:val="11"/>
        <w:ind w:firstLine="420"/>
        <w:rPr>
          <w:rFonts w:hint="eastAsia" w:cs="Times New Roman"/>
          <w:highlight w:val="none"/>
          <w:lang w:val="en-US" w:eastAsia="zh-CN"/>
        </w:rPr>
      </w:pPr>
      <w:r>
        <w:rPr>
          <w:rFonts w:ascii="Times New Roman" w:hAnsi="Times New Roman" w:eastAsia="宋体" w:cs="Times New Roman"/>
          <w:highlight w:val="none"/>
        </w:rPr>
        <w:t>电话：</w:t>
      </w:r>
      <w:r>
        <w:rPr>
          <w:rFonts w:hint="eastAsia" w:cs="Times New Roman"/>
          <w:highlight w:val="none"/>
          <w:lang w:val="en-US" w:eastAsia="zh-CN"/>
        </w:rPr>
        <w:t>18073190536</w:t>
      </w:r>
    </w:p>
    <w:p w14:paraId="024C834F">
      <w:pPr>
        <w:pStyle w:val="11"/>
        <w:ind w:firstLine="420"/>
        <w:rPr>
          <w:rFonts w:hint="eastAsia" w:ascii="Times New Roman" w:hAnsi="Times New Roman" w:eastAsia="宋体" w:cs="Times New Roman"/>
          <w:highlight w:val="none"/>
          <w:lang w:val="en-US" w:eastAsia="zh-CN"/>
        </w:rPr>
      </w:pPr>
      <w:r>
        <w:rPr>
          <w:rFonts w:ascii="Times New Roman" w:hAnsi="Times New Roman" w:eastAsia="宋体" w:cs="Times New Roman"/>
          <w:highlight w:val="none"/>
        </w:rPr>
        <w:t>传真：</w:t>
      </w:r>
      <w:r>
        <w:rPr>
          <w:rFonts w:hint="eastAsia" w:ascii="Times New Roman" w:hAnsi="Times New Roman" w:eastAsia="宋体" w:cs="Times New Roman"/>
          <w:highlight w:val="none"/>
          <w:lang w:val="en-US" w:eastAsia="zh-CN"/>
        </w:rPr>
        <w:t>/</w:t>
      </w:r>
    </w:p>
    <w:p w14:paraId="53FCF223">
      <w:pPr>
        <w:pStyle w:val="11"/>
        <w:ind w:firstLine="420"/>
        <w:rPr>
          <w:rFonts w:hint="default" w:ascii="Times New Roman" w:hAnsi="Times New Roman" w:eastAsia="宋体" w:cs="Times New Roman"/>
          <w:highlight w:val="none"/>
          <w:lang w:val="en-US" w:eastAsia="zh-CN"/>
        </w:rPr>
      </w:pPr>
      <w:r>
        <w:rPr>
          <w:rFonts w:ascii="Times New Roman" w:hAnsi="Times New Roman" w:eastAsia="宋体" w:cs="Times New Roman"/>
          <w:highlight w:val="none"/>
        </w:rPr>
        <w:t>电子邮件：</w:t>
      </w:r>
      <w:r>
        <w:rPr>
          <w:rFonts w:hint="eastAsia" w:cs="Times New Roman"/>
          <w:highlight w:val="none"/>
          <w:lang w:val="en-US" w:eastAsia="zh-CN"/>
        </w:rPr>
        <w:t>1242095636</w:t>
      </w:r>
      <w:r>
        <w:rPr>
          <w:rFonts w:hint="eastAsia" w:ascii="Times New Roman" w:hAnsi="Times New Roman" w:eastAsia="宋体" w:cs="Times New Roman"/>
          <w:highlight w:val="none"/>
          <w:lang w:val="en-US" w:eastAsia="zh-CN"/>
        </w:rPr>
        <w:t>@qq.com</w:t>
      </w:r>
    </w:p>
    <w:p w14:paraId="73E6A42F">
      <w:pPr>
        <w:pStyle w:val="11"/>
        <w:ind w:firstLine="420"/>
        <w:rPr>
          <w:rFonts w:hint="default"/>
          <w:highlight w:val="none"/>
        </w:rPr>
      </w:pPr>
      <w:r>
        <w:rPr>
          <w:rFonts w:hint="eastAsia" w:ascii="Times New Roman" w:hAnsi="Times New Roman" w:eastAsia="宋体" w:cs="Times New Roman"/>
          <w:highlight w:val="none"/>
          <w:lang w:val="en-US" w:eastAsia="zh-CN"/>
        </w:rPr>
        <w:t>2025</w:t>
      </w:r>
      <w:r>
        <w:rPr>
          <w:rFonts w:ascii="Times New Roman" w:hAnsi="Times New Roman" w:eastAsia="宋体" w:cs="Times New Roman"/>
          <w:highlight w:val="none"/>
        </w:rPr>
        <w:t>年</w:t>
      </w:r>
      <w:r>
        <w:rPr>
          <w:rFonts w:hint="eastAsia" w:cs="Times New Roman"/>
          <w:highlight w:val="none"/>
          <w:lang w:val="en-US" w:eastAsia="zh-CN"/>
        </w:rPr>
        <w:t>7</w:t>
      </w:r>
      <w:r>
        <w:rPr>
          <w:rFonts w:ascii="Times New Roman" w:hAnsi="Times New Roman" w:eastAsia="宋体" w:cs="Times New Roman"/>
          <w:highlight w:val="none"/>
        </w:rPr>
        <w:t>月</w:t>
      </w:r>
      <w:r>
        <w:rPr>
          <w:rFonts w:hint="eastAsia" w:cs="Times New Roman"/>
          <w:highlight w:val="none"/>
          <w:lang w:val="en-US" w:eastAsia="zh-CN"/>
        </w:rPr>
        <w:t>31</w:t>
      </w:r>
      <w:r>
        <w:rPr>
          <w:highlight w:val="none"/>
        </w:rPr>
        <w:t>日</w:t>
      </w:r>
    </w:p>
    <w:p w14:paraId="7670387C">
      <w:pPr>
        <w:pStyle w:val="11"/>
        <w:ind w:firstLine="420"/>
        <w:rPr>
          <w:rFonts w:hint="default"/>
          <w:highlight w:val="none"/>
        </w:rPr>
        <w:sectPr>
          <w:footerReference r:id="rId3" w:type="default"/>
          <w:pgSz w:w="11906" w:h="16838"/>
          <w:pgMar w:top="1418" w:right="1418" w:bottom="1418" w:left="1418" w:header="1134" w:footer="1134" w:gutter="0"/>
          <w:pgNumType w:start="1"/>
          <w:cols w:space="720" w:num="1"/>
        </w:sectPr>
      </w:pPr>
    </w:p>
    <w:p w14:paraId="545CFA11">
      <w:pPr>
        <w:keepNext w:val="0"/>
        <w:keepLines w:val="0"/>
        <w:pageBreakBefore w:val="0"/>
        <w:widowControl w:val="0"/>
        <w:kinsoku/>
        <w:wordWrap w:val="0"/>
        <w:overflowPunct/>
        <w:topLinePunct w:val="0"/>
        <w:autoSpaceDE/>
        <w:autoSpaceDN/>
        <w:bidi w:val="0"/>
        <w:adjustRightInd/>
        <w:snapToGrid/>
        <w:spacing w:before="100" w:after="100" w:line="240" w:lineRule="auto"/>
        <w:ind w:firstLine="0" w:firstLineChars="0"/>
        <w:jc w:val="left"/>
        <w:textAlignment w:val="auto"/>
        <w:outlineLvl w:val="0"/>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附件：物资需求一览表</w:t>
      </w:r>
      <w:bookmarkEnd w:id="34"/>
    </w:p>
    <w:p w14:paraId="6DB2D040">
      <w:pPr>
        <w:keepNext w:val="0"/>
        <w:keepLines w:val="0"/>
        <w:pageBreakBefore w:val="0"/>
        <w:widowControl w:val="0"/>
        <w:kinsoku/>
        <w:wordWrap w:val="0"/>
        <w:overflowPunct/>
        <w:topLinePunct w:val="0"/>
        <w:autoSpaceDE/>
        <w:autoSpaceDN/>
        <w:bidi w:val="0"/>
        <w:adjustRightInd/>
        <w:snapToGrid/>
        <w:spacing w:before="100" w:after="100" w:line="240" w:lineRule="auto"/>
        <w:ind w:firstLine="0" w:firstLineChars="0"/>
        <w:jc w:val="center"/>
        <w:textAlignment w:val="auto"/>
        <w:outlineLvl w:val="9"/>
        <w:rPr>
          <w:rFonts w:hint="eastAsia" w:ascii="Times New Roman" w:hAnsi="Times New Roman" w:eastAsia="宋体" w:cs="Times New Roman"/>
          <w:b/>
          <w:kern w:val="2"/>
          <w:sz w:val="32"/>
          <w:szCs w:val="24"/>
          <w:lang w:val="en-US" w:eastAsia="zh-CN" w:bidi="ar-SA"/>
        </w:rPr>
      </w:pPr>
      <w:bookmarkStart w:id="35" w:name="_Toc2189_WPSOffice_Level1"/>
      <w:bookmarkStart w:id="36" w:name="_Toc26359"/>
      <w:bookmarkStart w:id="37" w:name="_Toc10007"/>
      <w:r>
        <w:rPr>
          <w:rFonts w:hint="eastAsia" w:ascii="Times New Roman" w:hAnsi="Times New Roman" w:eastAsia="宋体" w:cs="Times New Roman"/>
          <w:b/>
          <w:kern w:val="2"/>
          <w:sz w:val="32"/>
          <w:szCs w:val="24"/>
          <w:lang w:val="en-US" w:eastAsia="zh-CN" w:bidi="ar-SA"/>
        </w:rPr>
        <w:t>物资需求一览表</w:t>
      </w:r>
      <w:bookmarkEnd w:id="35"/>
      <w:bookmarkEnd w:id="36"/>
      <w:bookmarkEnd w:id="37"/>
    </w:p>
    <w:p w14:paraId="337E9BE7">
      <w:pPr>
        <w:pageBreakBefore w:val="0"/>
        <w:kinsoku/>
        <w:wordWrap w:val="0"/>
        <w:overflowPunct/>
        <w:topLinePunct w:val="0"/>
        <w:bidi w:val="0"/>
        <w:snapToGrid/>
        <w:spacing w:before="100" w:after="100" w:line="240" w:lineRule="auto"/>
        <w:ind w:firstLine="0" w:firstLineChars="0"/>
        <w:rPr>
          <w:rFonts w:hint="eastAsia"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询价采购</w:t>
      </w:r>
      <w:r>
        <w:rPr>
          <w:rFonts w:hint="eastAsia" w:ascii="Times New Roman" w:hAnsi="Times New Roman" w:eastAsia="宋体" w:cs="Times New Roman"/>
          <w:b/>
          <w:bCs/>
          <w:szCs w:val="24"/>
        </w:rPr>
        <w:t>人名称：</w:t>
      </w:r>
      <w:r>
        <w:rPr>
          <w:rFonts w:hint="default" w:ascii="Times New Roman" w:hAnsi="Times New Roman" w:cs="Times New Roman"/>
          <w:b/>
          <w:bCs/>
          <w:szCs w:val="24"/>
          <w:u w:val="none"/>
          <w:lang w:val="en-US" w:eastAsia="zh-CN"/>
        </w:rPr>
        <w:t xml:space="preserve"> </w:t>
      </w:r>
      <w:r>
        <w:rPr>
          <w:rFonts w:hint="eastAsia" w:ascii="Times New Roman" w:hAnsi="Times New Roman" w:eastAsia="宋体" w:cs="Times New Roman"/>
          <w:b/>
          <w:bCs/>
          <w:highlight w:val="none"/>
          <w:u w:val="none"/>
        </w:rPr>
        <w:t>中交第二航务工程局有限公司启东中远海运-舾装码头改扩建工程项目经理部</w:t>
      </w:r>
      <w:r>
        <w:rPr>
          <w:rFonts w:hint="eastAsia" w:ascii="Times New Roman" w:hAnsi="Times New Roman" w:cs="Times New Roman"/>
          <w:b/>
          <w:bCs/>
          <w:highlight w:val="none"/>
          <w:u w:val="none"/>
          <w:lang w:val="en-US" w:eastAsia="zh-CN"/>
        </w:rPr>
        <w:t xml:space="preserve">      </w:t>
      </w:r>
      <w:r>
        <w:rPr>
          <w:rFonts w:ascii="Times New Roman" w:hAnsi="Times New Roman" w:eastAsia="宋体" w:cs="Times New Roman"/>
          <w:b/>
          <w:bCs/>
          <w:szCs w:val="24"/>
        </w:rPr>
        <w:t xml:space="preserve">   </w:t>
      </w:r>
      <w:r>
        <w:rPr>
          <w:rFonts w:hint="eastAsia" w:ascii="Times New Roman" w:hAnsi="Times New Roman" w:eastAsia="宋体" w:cs="Times New Roman"/>
          <w:b/>
          <w:bCs/>
          <w:szCs w:val="24"/>
          <w:lang w:val="en-US" w:eastAsia="zh-CN"/>
        </w:rPr>
        <w:t xml:space="preserve">   询价编号：   FA00000347159     </w:t>
      </w:r>
    </w:p>
    <w:tbl>
      <w:tblPr>
        <w:tblStyle w:val="6"/>
        <w:tblW w:w="14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540"/>
        <w:gridCol w:w="2387"/>
        <w:gridCol w:w="2509"/>
        <w:gridCol w:w="873"/>
        <w:gridCol w:w="1432"/>
        <w:gridCol w:w="3022"/>
        <w:gridCol w:w="1689"/>
      </w:tblGrid>
      <w:tr w14:paraId="2D54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66" w:type="dxa"/>
            <w:noWrap w:val="0"/>
            <w:vAlign w:val="center"/>
          </w:tcPr>
          <w:p w14:paraId="4AFFE3AD">
            <w:pPr>
              <w:pageBreakBefore w:val="0"/>
              <w:kinsoku/>
              <w:wordWrap w:val="0"/>
              <w:overflowPunct/>
              <w:topLinePunct w:val="0"/>
              <w:bidi w:val="0"/>
              <w:snapToGrid/>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序号</w:t>
            </w:r>
          </w:p>
        </w:tc>
        <w:tc>
          <w:tcPr>
            <w:tcW w:w="1540" w:type="dxa"/>
            <w:noWrap w:val="0"/>
            <w:vAlign w:val="center"/>
          </w:tcPr>
          <w:p w14:paraId="326AF1BD">
            <w:pPr>
              <w:pageBreakBefore w:val="0"/>
              <w:kinsoku/>
              <w:wordWrap w:val="0"/>
              <w:overflowPunct/>
              <w:topLinePunct w:val="0"/>
              <w:bidi w:val="0"/>
              <w:snapToGrid/>
              <w:spacing w:before="100" w:after="100" w:line="240" w:lineRule="auto"/>
              <w:ind w:firstLine="0" w:firstLineChars="0"/>
              <w:jc w:val="center"/>
              <w:rPr>
                <w:rFonts w:hint="default"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包件号</w:t>
            </w:r>
          </w:p>
        </w:tc>
        <w:tc>
          <w:tcPr>
            <w:tcW w:w="2387" w:type="dxa"/>
            <w:noWrap w:val="0"/>
            <w:vAlign w:val="center"/>
          </w:tcPr>
          <w:p w14:paraId="4348D06B">
            <w:pPr>
              <w:pageBreakBefore w:val="0"/>
              <w:kinsoku/>
              <w:wordWrap w:val="0"/>
              <w:overflowPunct/>
              <w:topLinePunct w:val="0"/>
              <w:bidi w:val="0"/>
              <w:snapToGrid/>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物资名称</w:t>
            </w:r>
          </w:p>
        </w:tc>
        <w:tc>
          <w:tcPr>
            <w:tcW w:w="2509" w:type="dxa"/>
            <w:noWrap w:val="0"/>
            <w:vAlign w:val="center"/>
          </w:tcPr>
          <w:p w14:paraId="43BE6BE0">
            <w:pPr>
              <w:pageBreakBefore w:val="0"/>
              <w:kinsoku/>
              <w:wordWrap w:val="0"/>
              <w:overflowPunct/>
              <w:topLinePunct w:val="0"/>
              <w:bidi w:val="0"/>
              <w:snapToGrid/>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规格型号</w:t>
            </w:r>
          </w:p>
        </w:tc>
        <w:tc>
          <w:tcPr>
            <w:tcW w:w="873" w:type="dxa"/>
            <w:noWrap w:val="0"/>
            <w:vAlign w:val="center"/>
          </w:tcPr>
          <w:p w14:paraId="464E7238">
            <w:pPr>
              <w:pageBreakBefore w:val="0"/>
              <w:kinsoku/>
              <w:wordWrap w:val="0"/>
              <w:overflowPunct/>
              <w:topLinePunct w:val="0"/>
              <w:bidi w:val="0"/>
              <w:snapToGrid/>
              <w:spacing w:before="100" w:after="100" w:line="240" w:lineRule="auto"/>
              <w:ind w:firstLine="0" w:firstLineChars="0"/>
              <w:jc w:val="center"/>
              <w:rPr>
                <w:rFonts w:hint="eastAsia" w:ascii="Times New Roman" w:hAnsi="Times New Roman" w:eastAsia="宋体" w:cs="Times New Roman"/>
                <w:b/>
                <w:bCs/>
                <w:szCs w:val="24"/>
              </w:rPr>
            </w:pPr>
            <w:r>
              <w:rPr>
                <w:rFonts w:hint="eastAsia" w:ascii="Times New Roman" w:hAnsi="Times New Roman" w:eastAsia="宋体" w:cs="Times New Roman"/>
                <w:b/>
                <w:bCs/>
                <w:szCs w:val="24"/>
              </w:rPr>
              <w:t>计量</w:t>
            </w:r>
          </w:p>
          <w:p w14:paraId="603E3A4F">
            <w:pPr>
              <w:pageBreakBefore w:val="0"/>
              <w:kinsoku/>
              <w:wordWrap w:val="0"/>
              <w:overflowPunct/>
              <w:topLinePunct w:val="0"/>
              <w:bidi w:val="0"/>
              <w:snapToGrid/>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单位</w:t>
            </w:r>
          </w:p>
        </w:tc>
        <w:tc>
          <w:tcPr>
            <w:tcW w:w="1432" w:type="dxa"/>
            <w:noWrap w:val="0"/>
            <w:vAlign w:val="center"/>
          </w:tcPr>
          <w:p w14:paraId="03750798">
            <w:pPr>
              <w:pageBreakBefore w:val="0"/>
              <w:kinsoku/>
              <w:wordWrap w:val="0"/>
              <w:overflowPunct/>
              <w:topLinePunct w:val="0"/>
              <w:bidi w:val="0"/>
              <w:snapToGrid/>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数量</w:t>
            </w:r>
          </w:p>
        </w:tc>
        <w:tc>
          <w:tcPr>
            <w:tcW w:w="3022" w:type="dxa"/>
            <w:noWrap w:val="0"/>
            <w:vAlign w:val="center"/>
          </w:tcPr>
          <w:p w14:paraId="43E26DAC">
            <w:pPr>
              <w:pageBreakBefore w:val="0"/>
              <w:kinsoku/>
              <w:wordWrap w:val="0"/>
              <w:overflowPunct/>
              <w:topLinePunct w:val="0"/>
              <w:bidi w:val="0"/>
              <w:snapToGrid/>
              <w:spacing w:before="100" w:after="100" w:line="240" w:lineRule="auto"/>
              <w:ind w:firstLine="0" w:firstLineChars="0"/>
              <w:jc w:val="center"/>
              <w:rPr>
                <w:rFonts w:hint="default"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质量标准</w:t>
            </w:r>
          </w:p>
        </w:tc>
        <w:tc>
          <w:tcPr>
            <w:tcW w:w="1689" w:type="dxa"/>
            <w:noWrap w:val="0"/>
            <w:vAlign w:val="center"/>
          </w:tcPr>
          <w:p w14:paraId="406A1AAA">
            <w:pPr>
              <w:pageBreakBefore w:val="0"/>
              <w:kinsoku/>
              <w:wordWrap w:val="0"/>
              <w:overflowPunct/>
              <w:topLinePunct w:val="0"/>
              <w:bidi w:val="0"/>
              <w:snapToGrid/>
              <w:spacing w:before="100" w:after="100" w:line="240" w:lineRule="auto"/>
              <w:ind w:firstLine="0" w:firstLineChars="0"/>
              <w:jc w:val="center"/>
              <w:rPr>
                <w:rFonts w:hint="default"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备注</w:t>
            </w:r>
          </w:p>
        </w:tc>
      </w:tr>
      <w:tr w14:paraId="76AA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766" w:type="dxa"/>
            <w:noWrap w:val="0"/>
            <w:vAlign w:val="center"/>
          </w:tcPr>
          <w:p w14:paraId="28ECECF0">
            <w:pPr>
              <w:pageBreakBefore w:val="0"/>
              <w:kinsoku/>
              <w:wordWrap w:val="0"/>
              <w:overflowPunct/>
              <w:topLinePunct w:val="0"/>
              <w:bidi w:val="0"/>
              <w:snapToGrid/>
              <w:spacing w:before="100" w:after="100" w:line="240" w:lineRule="auto"/>
              <w:ind w:firstLine="0" w:firstLineChars="0"/>
              <w:jc w:val="center"/>
              <w:rPr>
                <w:rFonts w:hint="eastAsia" w:ascii="Times New Roman" w:hAnsi="Times New Roman" w:eastAsia="宋体" w:cs="Times New Roman"/>
                <w:szCs w:val="24"/>
                <w:lang w:val="en-US" w:eastAsia="zh-CN"/>
              </w:rPr>
            </w:pPr>
            <w:r>
              <w:rPr>
                <w:rFonts w:hint="eastAsia" w:ascii="Times New Roman" w:hAnsi="Times New Roman" w:cs="Times New Roman"/>
                <w:szCs w:val="24"/>
                <w:lang w:val="en-US" w:eastAsia="zh-CN"/>
              </w:rPr>
              <w:t>1</w:t>
            </w:r>
          </w:p>
        </w:tc>
        <w:tc>
          <w:tcPr>
            <w:tcW w:w="1540" w:type="dxa"/>
            <w:shd w:val="clear" w:color="auto" w:fill="auto"/>
            <w:noWrap w:val="0"/>
            <w:vAlign w:val="center"/>
          </w:tcPr>
          <w:p w14:paraId="2F90B4F6">
            <w:pPr>
              <w:widowControl/>
              <w:spacing w:line="0" w:lineRule="atLeast"/>
              <w:contextualSpacing/>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w:t>
            </w:r>
          </w:p>
        </w:tc>
        <w:tc>
          <w:tcPr>
            <w:tcW w:w="2387" w:type="dxa"/>
            <w:shd w:val="clear" w:color="auto" w:fill="auto"/>
            <w:noWrap w:val="0"/>
            <w:vAlign w:val="center"/>
          </w:tcPr>
          <w:p w14:paraId="73D92ADB">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21"/>
                <w:szCs w:val="21"/>
                <w:u w:val="none"/>
                <w:lang w:val="en-US" w:eastAsia="zh-CN" w:bidi="ar"/>
              </w:rPr>
              <w:t>海港混凝土抗蚀增强剂（</w:t>
            </w:r>
            <w:r>
              <w:rPr>
                <w:rStyle w:val="12"/>
                <w:rFonts w:eastAsia="宋体"/>
                <w:lang w:val="en-US" w:eastAsia="zh-CN" w:bidi="ar"/>
              </w:rPr>
              <w:t>CPA</w:t>
            </w:r>
            <w:r>
              <w:rPr>
                <w:rStyle w:val="13"/>
                <w:lang w:val="en-US" w:eastAsia="zh-CN" w:bidi="ar"/>
              </w:rPr>
              <w:t>）</w:t>
            </w:r>
          </w:p>
        </w:tc>
        <w:tc>
          <w:tcPr>
            <w:tcW w:w="2509" w:type="dxa"/>
            <w:shd w:val="clear" w:color="auto" w:fill="auto"/>
            <w:noWrap w:val="0"/>
            <w:vAlign w:val="center"/>
          </w:tcPr>
          <w:p w14:paraId="3E3ECD06">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default" w:ascii="Calibri" w:hAnsi="Calibri" w:eastAsia="宋体" w:cs="Calibri"/>
                <w:i w:val="0"/>
                <w:iCs w:val="0"/>
                <w:color w:val="000000"/>
                <w:kern w:val="0"/>
                <w:sz w:val="21"/>
                <w:szCs w:val="21"/>
                <w:u w:val="none"/>
                <w:lang w:val="en-US" w:eastAsia="zh-CN" w:bidi="ar"/>
              </w:rPr>
              <w:t>/</w:t>
            </w:r>
          </w:p>
        </w:tc>
        <w:tc>
          <w:tcPr>
            <w:tcW w:w="873" w:type="dxa"/>
            <w:shd w:val="clear" w:color="auto" w:fill="auto"/>
            <w:noWrap w:val="0"/>
            <w:vAlign w:val="center"/>
          </w:tcPr>
          <w:p w14:paraId="2E97C2D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24"/>
                <w:szCs w:val="24"/>
                <w:u w:val="none"/>
                <w:lang w:val="en-US" w:eastAsia="zh-CN" w:bidi="ar"/>
              </w:rPr>
              <w:t>吨</w:t>
            </w:r>
          </w:p>
        </w:tc>
        <w:tc>
          <w:tcPr>
            <w:tcW w:w="1432" w:type="dxa"/>
            <w:shd w:val="clear" w:color="auto" w:fill="auto"/>
            <w:noWrap w:val="0"/>
            <w:vAlign w:val="center"/>
          </w:tcPr>
          <w:p w14:paraId="4B04188D">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24"/>
                <w:szCs w:val="24"/>
                <w:u w:val="none"/>
                <w:lang w:val="en-US" w:eastAsia="zh-CN" w:bidi="ar"/>
              </w:rPr>
              <w:t>620</w:t>
            </w:r>
          </w:p>
        </w:tc>
        <w:tc>
          <w:tcPr>
            <w:tcW w:w="3022" w:type="dxa"/>
            <w:noWrap w:val="0"/>
            <w:vAlign w:val="center"/>
          </w:tcPr>
          <w:p w14:paraId="1EE4052B">
            <w:pPr>
              <w:pageBreakBefore w:val="0"/>
              <w:kinsoku/>
              <w:wordWrap w:val="0"/>
              <w:overflowPunct/>
              <w:topLinePunct w:val="0"/>
              <w:bidi w:val="0"/>
              <w:snapToGrid/>
              <w:spacing w:before="100" w:after="100" w:line="240" w:lineRule="auto"/>
              <w:ind w:firstLine="0" w:firstLineChars="0"/>
              <w:jc w:val="center"/>
              <w:rPr>
                <w:rFonts w:ascii="Times New Roman" w:hAnsi="Times New Roman" w:eastAsia="宋体" w:cs="Times New Roman"/>
                <w:szCs w:val="24"/>
              </w:rPr>
            </w:pPr>
            <w:r>
              <w:rPr>
                <w:rFonts w:hint="eastAsia" w:ascii="宋体" w:hAnsi="宋体" w:eastAsia="宋体" w:cs="宋体"/>
                <w:b/>
                <w:bCs/>
                <w:color w:val="000000"/>
                <w:szCs w:val="21"/>
                <w:lang w:val="en-US" w:eastAsia="zh-CN"/>
              </w:rPr>
              <w:t>技术标准要求：符合GB/T23439-2017以及JC/T1011-2021标准</w:t>
            </w:r>
          </w:p>
        </w:tc>
        <w:tc>
          <w:tcPr>
            <w:tcW w:w="1689" w:type="dxa"/>
            <w:noWrap w:val="0"/>
            <w:vAlign w:val="center"/>
          </w:tcPr>
          <w:p w14:paraId="7FB45711">
            <w:pPr>
              <w:pageBreakBefore w:val="0"/>
              <w:kinsoku/>
              <w:wordWrap w:val="0"/>
              <w:overflowPunct/>
              <w:topLinePunct w:val="0"/>
              <w:bidi w:val="0"/>
              <w:snapToGrid/>
              <w:spacing w:before="100" w:after="100" w:line="240" w:lineRule="auto"/>
              <w:ind w:firstLine="0" w:firstLineChars="0"/>
              <w:jc w:val="center"/>
              <w:rPr>
                <w:rFonts w:hint="default" w:ascii="Times New Roman" w:hAnsi="Times New Roman" w:eastAsia="宋体" w:cs="Times New Roman"/>
                <w:szCs w:val="24"/>
                <w:lang w:val="en-US" w:eastAsia="zh-CN"/>
              </w:rPr>
            </w:pPr>
            <w:r>
              <w:rPr>
                <w:rFonts w:hint="eastAsia" w:ascii="Times New Roman" w:hAnsi="Times New Roman" w:cs="Times New Roman"/>
                <w:szCs w:val="24"/>
                <w:lang w:val="en-US" w:eastAsia="zh-CN"/>
              </w:rPr>
              <w:t>过磅计量</w:t>
            </w:r>
          </w:p>
        </w:tc>
      </w:tr>
    </w:tbl>
    <w:p w14:paraId="4476853D">
      <w:pPr>
        <w:pageBreakBefore w:val="0"/>
        <w:kinsoku/>
        <w:wordWrap w:val="0"/>
        <w:overflowPunct/>
        <w:topLinePunct w:val="0"/>
        <w:bidi w:val="0"/>
        <w:snapToGrid/>
        <w:spacing w:before="100" w:after="100" w:line="240" w:lineRule="auto"/>
        <w:ind w:firstLine="0" w:firstLineChars="0"/>
        <w:jc w:val="left"/>
        <w:rPr>
          <w:rFonts w:hint="eastAsia" w:ascii="宋体" w:hAnsi="宋体" w:eastAsia="宋体" w:cs="宋体"/>
          <w:b/>
          <w:bCs/>
          <w:sz w:val="32"/>
          <w:szCs w:val="32"/>
          <w:lang w:val="en-US" w:eastAsia="zh-CN"/>
        </w:rPr>
        <w:sectPr>
          <w:footerReference r:id="rId4" w:type="default"/>
          <w:pgSz w:w="16838" w:h="11906" w:orient="landscape"/>
          <w:pgMar w:top="1417" w:right="1418" w:bottom="1417" w:left="1418" w:header="1134" w:footer="1134" w:gutter="0"/>
          <w:pgNumType w:fmt="decimal"/>
          <w:cols w:space="720" w:num="1"/>
          <w:rtlGutter w:val="0"/>
          <w:docGrid w:linePitch="0" w:charSpace="0"/>
        </w:sectPr>
      </w:pPr>
      <w:r>
        <w:rPr>
          <w:rFonts w:hint="eastAsia" w:ascii="Calibri" w:eastAsia="宋体"/>
          <w:lang w:val="en-US" w:eastAsia="zh-CN"/>
        </w:rPr>
        <w:t>说明：如</w:t>
      </w:r>
      <w:r>
        <w:rPr>
          <w:rFonts w:hint="eastAsia" w:eastAsia="宋体"/>
          <w:lang w:val="en-US" w:eastAsia="zh-CN"/>
        </w:rPr>
        <w:t>未</w:t>
      </w:r>
      <w:r>
        <w:rPr>
          <w:rFonts w:hint="eastAsia" w:ascii="Calibri" w:eastAsia="宋体"/>
          <w:lang w:val="en-US" w:eastAsia="zh-CN"/>
        </w:rPr>
        <w:t>划分包件的，</w:t>
      </w:r>
      <w:r>
        <w:rPr>
          <w:rFonts w:hint="eastAsia" w:eastAsia="宋体"/>
          <w:lang w:val="en-US" w:eastAsia="zh-CN"/>
        </w:rPr>
        <w:t>“包件号”栏填“/”</w:t>
      </w:r>
    </w:p>
    <w:p w14:paraId="1D8BD73A">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CA112">
    <w:pPr>
      <w:pStyle w:val="4"/>
      <w:jc w:val="both"/>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3A5F70">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Kje9cBAACyAwAADgAAAGRycy9lMm9Eb2MueG1srVPBjtMwEL0j8Q+W&#10;7zTZSouqqOkKqBYhIUBa9gNcx2ks2R7LnjYpHwB/wIkLd76r38HYSbqwXPbAJRnPjN+8NzNe3wzW&#10;sKMKUYOr+dWi5Ew5CY12+5rff759seIsonCNMOBUzU8q8pvN82fr3ldqCR2YRgVGIC5Wva95h+ir&#10;ooiyU1bEBXjlKNhCsALpGPZFE0RP6NYUy7J8WfQQGh9AqhjJux2DfEIMTwGEttVSbUEerHI4ogZl&#10;BJKk2Gkf+SazbVsl8WPbRoXM1JyUYv5SEbJ36Vts1qLaB+E7LScK4ikUHmmyQjsqeoHaChTsEPQ/&#10;UFbLABFaXEiwxSgkd4RUXJWPenPXCa+yFmp19Jemx/8HKz8cPwWmm5pfc+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Xyo3vXAQAAsgMAAA4AAAAAAAAAAQAgAAAA&#10;HgEAAGRycy9lMm9Eb2MueG1sUEsFBgAAAAAGAAYAWQEAAGcFAAAAAA==&#10;">
              <v:fill on="f" focussize="0,0"/>
              <v:stroke on="f"/>
              <v:imagedata o:title=""/>
              <o:lock v:ext="edit" aspectratio="f"/>
              <v:textbox inset="0mm,0mm,0mm,0mm" style="mso-fit-shape-to-text:t;">
                <w:txbxContent>
                  <w:p w14:paraId="2F3A5F70">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0E4F75"/>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Iw8cIBAACN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SMPHCAQAAjQMAAA4AAAAAAAAAAQAgAAAAHgEAAGRycy9lMm9Eb2MueG1sUEsF&#10;BgAAAAAGAAYAWQEAAFIFAAAAAA==&#10;">
              <v:fill on="f" focussize="0,0"/>
              <v:stroke on="f"/>
              <v:imagedata o:title=""/>
              <o:lock v:ext="edit" aspectratio="f"/>
              <v:textbox inset="0mm,0mm,0mm,0mm" style="mso-fit-shape-to-text:t;">
                <w:txbxContent>
                  <w:p w14:paraId="3D0E4F7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F75DF4">
                          <w:pPr>
                            <w:pStyle w:val="4"/>
                            <w:jc w:val="both"/>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sHoucIBAACN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rB6LnCAQAAjQMAAA4AAAAAAAAAAQAgAAAAHgEAAGRycy9lMm9Eb2MueG1sUEsF&#10;BgAAAAAGAAYAWQEAAFIFAAAAAA==&#10;">
              <v:fill on="f" focussize="0,0"/>
              <v:stroke on="f"/>
              <v:imagedata o:title=""/>
              <o:lock v:ext="edit" aspectratio="f"/>
              <v:textbox inset="0mm,0mm,0mm,0mm" style="mso-fit-shape-to-text:t;">
                <w:txbxContent>
                  <w:p w14:paraId="70F75DF4">
                    <w:pPr>
                      <w:pStyle w:val="4"/>
                      <w:jc w:val="both"/>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4A6A">
    <w:pPr>
      <w:pStyle w:val="4"/>
      <w:jc w:val="both"/>
      <w:rPr>
        <w:rFonts w:hint="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0B6ED2">
                          <w:pPr>
                            <w:rPr>
                              <w:rFonts w:hint="eastAsia"/>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wHMsg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iMBzLIAQAAmQMAAA4AAAAAAAAAAQAgAAAAHgEAAGRycy9lMm9Eb2Mu&#10;eG1sUEsFBgAAAAAGAAYAWQEAAFgFAAAAAA==&#10;">
              <v:fill on="f" focussize="0,0"/>
              <v:stroke on="f"/>
              <v:imagedata o:title=""/>
              <o:lock v:ext="edit" aspectratio="f"/>
              <v:textbox inset="0mm,0mm,0mm,0mm" style="mso-fit-shape-to-text:t;">
                <w:txbxContent>
                  <w:p w14:paraId="000B6ED2">
                    <w:pPr>
                      <w:rPr>
                        <w:rFonts w:hint="eastAsia"/>
                      </w:rP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31CD5F">
                          <w:pPr>
                            <w:pStyle w:val="4"/>
                            <w:jc w:val="both"/>
                          </w:pP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EeZcgBAACZ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WxHmXIAQAAmQMAAA4AAAAAAAAAAQAgAAAAHgEAAGRycy9lMm9Eb2Mu&#10;eG1sUEsFBgAAAAAGAAYAWQEAAFgFAAAAAA==&#10;">
              <v:fill on="f" focussize="0,0"/>
              <v:stroke on="f"/>
              <v:imagedata o:title=""/>
              <o:lock v:ext="edit" aspectratio="f"/>
              <v:textbox inset="0mm,0mm,0mm,0mm" style="mso-fit-shape-to-text:t;">
                <w:txbxContent>
                  <w:p w14:paraId="6E31CD5F">
                    <w:pPr>
                      <w:pStyle w:val="4"/>
                      <w:jc w:val="both"/>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A09323"/>
    <w:multiLevelType w:val="multilevel"/>
    <w:tmpl w:val="DEA09323"/>
    <w:lvl w:ilvl="0" w:tentative="0">
      <w:start w:val="1"/>
      <w:numFmt w:val="decimal"/>
      <w:pStyle w:val="9"/>
      <w:suff w:val="nothing"/>
      <w:lvlText w:val="%1."/>
      <w:lvlJc w:val="left"/>
      <w:pPr>
        <w:tabs>
          <w:tab w:val="left" w:pos="420"/>
        </w:tabs>
        <w:ind w:left="0" w:firstLine="0"/>
      </w:pPr>
      <w:rPr>
        <w:rFonts w:hint="default" w:ascii="宋体" w:hAnsi="宋体" w:eastAsia="宋体" w:cs="宋体"/>
      </w:rPr>
    </w:lvl>
    <w:lvl w:ilvl="1" w:tentative="0">
      <w:start w:val="1"/>
      <w:numFmt w:val="decimal"/>
      <w:pStyle w:val="10"/>
      <w:suff w:val="nothing"/>
      <w:lvlText w:val="%1.%2"/>
      <w:lvlJc w:val="left"/>
      <w:pPr>
        <w:tabs>
          <w:tab w:val="left" w:pos="420"/>
        </w:tabs>
        <w:ind w:left="0" w:firstLine="0"/>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E0E4FF60"/>
    <w:multiLevelType w:val="singleLevel"/>
    <w:tmpl w:val="E0E4FF6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528D4"/>
    <w:rsid w:val="0365214C"/>
    <w:rsid w:val="12AD1419"/>
    <w:rsid w:val="15CA22E2"/>
    <w:rsid w:val="1BFD6F6E"/>
    <w:rsid w:val="20A43E5C"/>
    <w:rsid w:val="240B41F2"/>
    <w:rsid w:val="29DA59BD"/>
    <w:rsid w:val="314174A5"/>
    <w:rsid w:val="351F7AFD"/>
    <w:rsid w:val="35521C81"/>
    <w:rsid w:val="3A451DB4"/>
    <w:rsid w:val="3A571AE7"/>
    <w:rsid w:val="3C4147FD"/>
    <w:rsid w:val="463F1DAD"/>
    <w:rsid w:val="4B571947"/>
    <w:rsid w:val="4D924EB8"/>
    <w:rsid w:val="4EB40E5E"/>
    <w:rsid w:val="501E0C85"/>
    <w:rsid w:val="569C0B56"/>
    <w:rsid w:val="56CF2CD9"/>
    <w:rsid w:val="59D32AE1"/>
    <w:rsid w:val="5F351B48"/>
    <w:rsid w:val="5FC44914"/>
    <w:rsid w:val="62D653F0"/>
    <w:rsid w:val="6CBB2E90"/>
    <w:rsid w:val="6D8A7502"/>
    <w:rsid w:val="7137174F"/>
    <w:rsid w:val="74BF3F35"/>
    <w:rsid w:val="769431A0"/>
    <w:rsid w:val="78340796"/>
    <w:rsid w:val="7DDC7906"/>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2">
    <w:name w:val="heading 3"/>
    <w:basedOn w:val="1"/>
    <w:next w:val="1"/>
    <w:qFormat/>
    <w:uiPriority w:val="9"/>
    <w:pPr>
      <w:keepNext/>
      <w:keepLines/>
      <w:widowControl w:val="0"/>
      <w:spacing w:before="260" w:after="260" w:line="413" w:lineRule="auto"/>
      <w:jc w:val="both"/>
      <w:outlineLvl w:val="2"/>
    </w:pPr>
    <w:rPr>
      <w:rFonts w:ascii="Arial" w:hAnsi="Arial" w:eastAsia="宋体" w:cs="Times New Roman"/>
      <w:b/>
      <w:kern w:val="2"/>
      <w:sz w:val="32"/>
      <w:szCs w:val="20"/>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0"/>
      <w:jc w:val="left"/>
    </w:pPr>
    <w:rPr>
      <w:rFonts w:ascii="Microsoft JhengHei" w:hAnsi="Microsoft JhengHei" w:eastAsia="Microsoft JhengHei"/>
      <w:kern w:val="0"/>
      <w:sz w:val="20"/>
      <w:szCs w:val="21"/>
      <w:lang w:eastAsia="en-US"/>
    </w:rPr>
  </w:style>
  <w:style w:type="paragraph" w:styleId="4">
    <w:name w:val="footer"/>
    <w:basedOn w:val="1"/>
    <w:qFormat/>
    <w:uiPriority w:val="99"/>
    <w:pPr>
      <w:tabs>
        <w:tab w:val="center" w:pos="4153"/>
        <w:tab w:val="right" w:pos="8306"/>
      </w:tabs>
      <w:snapToGrid w:val="0"/>
      <w:jc w:val="left"/>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
    <w:name w:val="一级目录"/>
    <w:basedOn w:val="1"/>
    <w:next w:val="3"/>
    <w:qFormat/>
    <w:uiPriority w:val="0"/>
    <w:pPr>
      <w:numPr>
        <w:ilvl w:val="0"/>
        <w:numId w:val="1"/>
      </w:numPr>
      <w:spacing w:before="100" w:after="100" w:line="500" w:lineRule="exact"/>
      <w:jc w:val="left"/>
      <w:outlineLvl w:val="0"/>
    </w:pPr>
    <w:rPr>
      <w:rFonts w:hint="eastAsia" w:ascii="Times New Roman" w:hAnsi="Times New Roman" w:cs="Times New Roman"/>
      <w:b/>
      <w:sz w:val="28"/>
      <w:szCs w:val="24"/>
    </w:rPr>
  </w:style>
  <w:style w:type="paragraph" w:customStyle="1" w:styleId="10">
    <w:name w:val="二级目录"/>
    <w:basedOn w:val="1"/>
    <w:next w:val="3"/>
    <w:qFormat/>
    <w:uiPriority w:val="0"/>
    <w:pPr>
      <w:numPr>
        <w:ilvl w:val="1"/>
        <w:numId w:val="1"/>
      </w:numPr>
      <w:tabs>
        <w:tab w:val="left" w:pos="0"/>
        <w:tab w:val="clear" w:pos="420"/>
      </w:tabs>
      <w:spacing w:before="100" w:after="100" w:line="400" w:lineRule="exact"/>
      <w:ind w:firstLine="422" w:firstLineChars="200"/>
      <w:outlineLvl w:val="1"/>
    </w:pPr>
    <w:rPr>
      <w:rFonts w:hint="eastAsia" w:ascii="Times New Roman" w:hAnsi="Times New Roman" w:cs="Times New Roman"/>
      <w:b/>
      <w:szCs w:val="24"/>
    </w:rPr>
  </w:style>
  <w:style w:type="paragraph" w:customStyle="1" w:styleId="11">
    <w:name w:val="询价文件正文"/>
    <w:basedOn w:val="1"/>
    <w:next w:val="3"/>
    <w:qFormat/>
    <w:uiPriority w:val="0"/>
    <w:pPr>
      <w:numPr>
        <w:ilvl w:val="1"/>
        <w:numId w:val="0"/>
      </w:numPr>
      <w:tabs>
        <w:tab w:val="left" w:pos="0"/>
      </w:tabs>
      <w:spacing w:before="100" w:after="100" w:line="400" w:lineRule="exact"/>
      <w:ind w:firstLine="422" w:firstLineChars="200"/>
      <w:outlineLvl w:val="9"/>
    </w:pPr>
    <w:rPr>
      <w:rFonts w:hint="eastAsia" w:ascii="Times New Roman" w:hAnsi="Times New Roman" w:cs="Times New Roman"/>
      <w:szCs w:val="24"/>
    </w:rPr>
  </w:style>
  <w:style w:type="character" w:customStyle="1" w:styleId="12">
    <w:name w:val="font51"/>
    <w:basedOn w:val="7"/>
    <w:qFormat/>
    <w:uiPriority w:val="0"/>
    <w:rPr>
      <w:rFonts w:ascii="Calibri" w:hAnsi="Calibri" w:cs="Calibri"/>
      <w:color w:val="000000"/>
      <w:sz w:val="21"/>
      <w:szCs w:val="21"/>
      <w:u w:val="none"/>
    </w:rPr>
  </w:style>
  <w:style w:type="character" w:customStyle="1" w:styleId="13">
    <w:name w:val="font1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2025-07-31T02:18:25Z</dcterms:created>
  <dc:creator>张锦</dc:creator>
  <cp:lastModifiedBy>沃斯托克</cp:lastModifiedBy>
  <dcterms:modified xsi:type="dcterms:W3CDTF">2025-07-31T02:21:38Z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eyJoZGlkIjoiYjE3ZmM1NTg2M2MzOWIwZWRmZTk5ZDQwNDBiYWYyMjAiLCJ1c2VySWQiOiI2MjA1NDE4NzMifQ==</vt:lpwstr>
  </property>
  <property fmtid="{D5CDD505-2E9C-101B-9397-08002B2CF9AE}" pid="4" name="ICV">
    <vt:lpwstr>67E6A76397934EFE816E8758BE7C41FD_12</vt:lpwstr>
  </property>
</Properties>
</file>