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38950">
      <w:pPr>
        <w:rPr>
          <w:rFonts w:hint="eastAsia" w:asciiTheme="minorEastAsia" w:hAnsiTheme="minorEastAsia" w:eastAsiaTheme="minorEastAsia" w:cstheme="minorEastAsia"/>
          <w:color w:val="auto"/>
        </w:rPr>
      </w:pPr>
    </w:p>
    <w:p w14:paraId="3BD85348">
      <w:pPr>
        <w:rPr>
          <w:rFonts w:hint="eastAsia" w:asciiTheme="minorEastAsia" w:hAnsiTheme="minorEastAsia" w:eastAsiaTheme="minorEastAsia" w:cstheme="minorEastAsia"/>
          <w:color w:val="auto"/>
        </w:rPr>
      </w:pPr>
    </w:p>
    <w:p w14:paraId="34B5A45A">
      <w:pPr>
        <w:rPr>
          <w:rFonts w:hint="eastAsia" w:asciiTheme="minorEastAsia" w:hAnsiTheme="minorEastAsia" w:eastAsiaTheme="minorEastAsia" w:cstheme="minorEastAsia"/>
          <w:color w:val="auto"/>
        </w:rPr>
      </w:pPr>
    </w:p>
    <w:p w14:paraId="74B2ED6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b/>
      </w:r>
    </w:p>
    <w:p w14:paraId="72BBEF4D">
      <w:pPr>
        <w:rPr>
          <w:rFonts w:hint="eastAsia" w:asciiTheme="minorEastAsia" w:hAnsiTheme="minorEastAsia" w:eastAsiaTheme="minorEastAsia" w:cstheme="minorEastAsia"/>
          <w:color w:val="auto"/>
        </w:rPr>
      </w:pPr>
    </w:p>
    <w:p w14:paraId="395CB05B">
      <w:pPr>
        <w:spacing w:line="480" w:lineRule="auto"/>
        <w:jc w:val="center"/>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lang w:eastAsia="zh-CN"/>
        </w:rPr>
        <w:t>建德市罗村三级电站更新改造暨梯级集控建设工程（机电设备）采购项目</w:t>
      </w:r>
    </w:p>
    <w:p w14:paraId="3E556BE5">
      <w:pPr>
        <w:spacing w:line="480" w:lineRule="auto"/>
        <w:jc w:val="center"/>
        <w:rPr>
          <w:rFonts w:hint="eastAsia" w:asciiTheme="minorEastAsia" w:hAnsiTheme="minorEastAsia" w:eastAsiaTheme="minorEastAsia" w:cstheme="minorEastAsia"/>
          <w:b/>
          <w:bCs/>
          <w:color w:val="auto"/>
          <w:sz w:val="36"/>
          <w:szCs w:val="36"/>
          <w:lang w:val="zh-CN"/>
        </w:rPr>
      </w:pPr>
    </w:p>
    <w:p w14:paraId="34BF4079">
      <w:pPr>
        <w:spacing w:line="480" w:lineRule="auto"/>
        <w:jc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lang w:val="zh-CN"/>
        </w:rPr>
        <w:t>（国有企业采购</w:t>
      </w:r>
      <w:r>
        <w:rPr>
          <w:rFonts w:hint="eastAsia" w:asciiTheme="minorEastAsia" w:hAnsiTheme="minorEastAsia" w:eastAsiaTheme="minorEastAsia" w:cstheme="minorEastAsia"/>
          <w:b/>
          <w:bCs/>
          <w:color w:val="auto"/>
          <w:sz w:val="36"/>
          <w:szCs w:val="36"/>
        </w:rPr>
        <w:t>）（电子招投标）</w:t>
      </w:r>
    </w:p>
    <w:p w14:paraId="3E1DEC04">
      <w:pPr>
        <w:spacing w:line="480" w:lineRule="auto"/>
        <w:jc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项目编号：HZOFCG2025B-088</w:t>
      </w:r>
    </w:p>
    <w:p w14:paraId="0335F637">
      <w:pPr>
        <w:spacing w:line="480" w:lineRule="auto"/>
        <w:rPr>
          <w:rFonts w:hint="eastAsia" w:asciiTheme="minorEastAsia" w:hAnsiTheme="minorEastAsia" w:eastAsiaTheme="minorEastAsia" w:cstheme="minorEastAsia"/>
          <w:b/>
          <w:bCs/>
          <w:color w:val="auto"/>
          <w:sz w:val="44"/>
          <w:szCs w:val="44"/>
        </w:rPr>
      </w:pPr>
    </w:p>
    <w:p w14:paraId="0CC3F30C">
      <w:pPr>
        <w:spacing w:line="480" w:lineRule="auto"/>
        <w:rPr>
          <w:rFonts w:hint="eastAsia" w:asciiTheme="minorEastAsia" w:hAnsiTheme="minorEastAsia" w:eastAsiaTheme="minorEastAsia" w:cstheme="minorEastAsia"/>
          <w:b/>
          <w:bCs/>
          <w:color w:val="auto"/>
          <w:sz w:val="44"/>
          <w:szCs w:val="44"/>
        </w:rPr>
      </w:pPr>
    </w:p>
    <w:p w14:paraId="5202A93F">
      <w:pPr>
        <w:spacing w:line="480" w:lineRule="auto"/>
        <w:rPr>
          <w:rFonts w:hint="eastAsia" w:asciiTheme="minorEastAsia" w:hAnsiTheme="minorEastAsia" w:eastAsiaTheme="minorEastAsia" w:cstheme="minorEastAsia"/>
          <w:b/>
          <w:bCs/>
          <w:color w:val="auto"/>
          <w:sz w:val="44"/>
          <w:szCs w:val="44"/>
        </w:rPr>
      </w:pPr>
    </w:p>
    <w:p w14:paraId="5BC0F9A5">
      <w:pPr>
        <w:spacing w:line="480" w:lineRule="auto"/>
        <w:jc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采购人：建德市罗村水力发电有限公司</w:t>
      </w:r>
    </w:p>
    <w:p w14:paraId="11DEB905">
      <w:pPr>
        <w:spacing w:line="480" w:lineRule="auto"/>
        <w:jc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采购代理机构：杭州欧方工程管理有限公司</w:t>
      </w:r>
    </w:p>
    <w:p w14:paraId="53C82DC6">
      <w:pPr>
        <w:spacing w:line="480" w:lineRule="auto"/>
        <w:jc w:val="center"/>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bCs/>
          <w:color w:val="auto"/>
          <w:sz w:val="36"/>
          <w:szCs w:val="36"/>
        </w:rPr>
        <w:t>二〇二五年 月 日</w:t>
      </w:r>
    </w:p>
    <w:p w14:paraId="0B6E94DF">
      <w:pPr>
        <w:rPr>
          <w:rFonts w:hint="eastAsia" w:asciiTheme="minorEastAsia" w:hAnsiTheme="minorEastAsia" w:eastAsiaTheme="minorEastAsia" w:cstheme="minorEastAsia"/>
          <w:color w:val="auto"/>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09803815">
      <w:pPr>
        <w:rPr>
          <w:rFonts w:hint="eastAsia" w:asciiTheme="minorEastAsia" w:hAnsiTheme="minorEastAsia" w:eastAsiaTheme="minorEastAsia" w:cstheme="minorEastAsia"/>
          <w:color w:val="auto"/>
        </w:rPr>
      </w:pPr>
    </w:p>
    <w:p w14:paraId="4A16DCDB">
      <w:pPr>
        <w:spacing w:line="360" w:lineRule="auto"/>
        <w:jc w:val="center"/>
        <w:rPr>
          <w:rFonts w:hint="eastAsia" w:asciiTheme="minorEastAsia" w:hAnsiTheme="minorEastAsia" w:eastAsiaTheme="minorEastAsia" w:cstheme="minorEastAsia"/>
          <w:b/>
          <w:color w:val="auto"/>
          <w:sz w:val="48"/>
          <w:szCs w:val="48"/>
        </w:rPr>
      </w:pPr>
      <w:r>
        <w:rPr>
          <w:rFonts w:hint="eastAsia" w:asciiTheme="minorEastAsia" w:hAnsiTheme="minorEastAsia" w:eastAsiaTheme="minorEastAsia" w:cstheme="minorEastAsia"/>
          <w:b/>
          <w:color w:val="auto"/>
          <w:sz w:val="48"/>
          <w:szCs w:val="48"/>
        </w:rPr>
        <w:t>目  录</w:t>
      </w:r>
    </w:p>
    <w:p w14:paraId="7992D6FE">
      <w:pPr>
        <w:spacing w:line="360" w:lineRule="auto"/>
        <w:rPr>
          <w:rFonts w:hint="eastAsia" w:asciiTheme="minorEastAsia" w:hAnsiTheme="minorEastAsia" w:eastAsiaTheme="minorEastAsia" w:cstheme="minorEastAsia"/>
          <w:color w:val="auto"/>
          <w:sz w:val="32"/>
          <w:szCs w:val="32"/>
        </w:rPr>
      </w:pPr>
    </w:p>
    <w:p w14:paraId="072AEC4E">
      <w:pPr>
        <w:spacing w:line="360" w:lineRule="auto"/>
        <w:rPr>
          <w:rFonts w:hint="eastAsia" w:asciiTheme="minorEastAsia" w:hAnsiTheme="minorEastAsia" w:eastAsiaTheme="minorEastAsia" w:cstheme="minorEastAsia"/>
          <w:color w:val="auto"/>
          <w:sz w:val="32"/>
          <w:szCs w:val="32"/>
        </w:rPr>
      </w:pPr>
    </w:p>
    <w:p w14:paraId="770A253C">
      <w:pPr>
        <w:spacing w:line="360" w:lineRule="auto"/>
        <w:ind w:firstLine="1280" w:firstLineChars="4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第一部分      招标公告</w:t>
      </w:r>
    </w:p>
    <w:p w14:paraId="6A73758F">
      <w:pPr>
        <w:spacing w:line="360" w:lineRule="auto"/>
        <w:ind w:firstLine="1280" w:firstLineChars="4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第二部分      投标人须知</w:t>
      </w:r>
    </w:p>
    <w:p w14:paraId="4BB85A67">
      <w:pPr>
        <w:spacing w:line="360" w:lineRule="auto"/>
        <w:ind w:firstLine="1280" w:firstLineChars="4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第三部分      采购需求</w:t>
      </w:r>
    </w:p>
    <w:p w14:paraId="16E74BE1">
      <w:pPr>
        <w:spacing w:line="360" w:lineRule="auto"/>
        <w:ind w:firstLine="1280" w:firstLineChars="4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第四部分      评标办法</w:t>
      </w:r>
    </w:p>
    <w:p w14:paraId="2E5DB45C">
      <w:pPr>
        <w:spacing w:line="360" w:lineRule="auto"/>
        <w:ind w:firstLine="1280" w:firstLineChars="4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第五部分      拟签订的合同文本</w:t>
      </w:r>
    </w:p>
    <w:p w14:paraId="04890502">
      <w:pPr>
        <w:spacing w:line="360" w:lineRule="auto"/>
        <w:ind w:firstLine="1280" w:firstLineChars="4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32"/>
          <w:szCs w:val="32"/>
        </w:rPr>
        <w:t>第六部分      应提交的有关格式范例</w:t>
      </w:r>
    </w:p>
    <w:p w14:paraId="5527EF45">
      <w:pPr>
        <w:rPr>
          <w:rFonts w:hint="eastAsia" w:asciiTheme="minorEastAsia" w:hAnsiTheme="minorEastAsia" w:eastAsiaTheme="minorEastAsia" w:cstheme="minorEastAsia"/>
          <w:color w:val="auto"/>
        </w:rPr>
      </w:pPr>
      <w:bookmarkStart w:id="0" w:name="_Hlt91233176"/>
      <w:bookmarkEnd w:id="0"/>
      <w:bookmarkStart w:id="1" w:name="_Toc91899869"/>
    </w:p>
    <w:p w14:paraId="3A9140C1">
      <w:pPr>
        <w:rPr>
          <w:rFonts w:hint="eastAsia" w:asciiTheme="minorEastAsia" w:hAnsiTheme="minorEastAsia" w:eastAsiaTheme="minorEastAsia" w:cstheme="minorEastAsia"/>
          <w:color w:val="auto"/>
        </w:rPr>
      </w:pPr>
    </w:p>
    <w:p w14:paraId="4408AB55">
      <w:pPr>
        <w:rPr>
          <w:rFonts w:hint="eastAsia" w:asciiTheme="minorEastAsia" w:hAnsiTheme="minorEastAsia" w:eastAsiaTheme="minorEastAsia" w:cstheme="minorEastAsia"/>
          <w:color w:val="auto"/>
        </w:rPr>
      </w:pPr>
    </w:p>
    <w:p w14:paraId="53B164A4">
      <w:pPr>
        <w:rPr>
          <w:rFonts w:hint="eastAsia" w:asciiTheme="minorEastAsia" w:hAnsiTheme="minorEastAsia" w:eastAsiaTheme="minorEastAsia" w:cstheme="minorEastAsia"/>
          <w:color w:val="auto"/>
        </w:rPr>
      </w:pPr>
    </w:p>
    <w:p w14:paraId="72B69C6D">
      <w:pPr>
        <w:rPr>
          <w:rFonts w:hint="eastAsia" w:asciiTheme="minorEastAsia" w:hAnsiTheme="minorEastAsia" w:eastAsiaTheme="minorEastAsia" w:cstheme="minorEastAsia"/>
          <w:color w:val="auto"/>
        </w:rPr>
      </w:pPr>
    </w:p>
    <w:p w14:paraId="7A43B143">
      <w:pPr>
        <w:rPr>
          <w:rFonts w:hint="eastAsia" w:asciiTheme="minorEastAsia" w:hAnsiTheme="minorEastAsia" w:eastAsiaTheme="minorEastAsia" w:cstheme="minorEastAsia"/>
          <w:color w:val="auto"/>
        </w:rPr>
      </w:pPr>
    </w:p>
    <w:p w14:paraId="1209120B">
      <w:pPr>
        <w:rPr>
          <w:rFonts w:hint="eastAsia" w:asciiTheme="minorEastAsia" w:hAnsiTheme="minorEastAsia" w:eastAsiaTheme="minorEastAsia" w:cstheme="minorEastAsia"/>
          <w:color w:val="auto"/>
        </w:rPr>
      </w:pPr>
    </w:p>
    <w:p w14:paraId="3F56BF68">
      <w:pPr>
        <w:rPr>
          <w:rFonts w:hint="eastAsia" w:asciiTheme="minorEastAsia" w:hAnsiTheme="minorEastAsia" w:eastAsiaTheme="minorEastAsia" w:cstheme="minorEastAsia"/>
          <w:color w:val="auto"/>
        </w:rPr>
      </w:pPr>
    </w:p>
    <w:p w14:paraId="7FC5B5D6">
      <w:pPr>
        <w:rPr>
          <w:rFonts w:hint="eastAsia" w:asciiTheme="minorEastAsia" w:hAnsiTheme="minorEastAsia" w:eastAsiaTheme="minorEastAsia" w:cstheme="minorEastAsia"/>
          <w:color w:val="auto"/>
        </w:rPr>
      </w:pPr>
    </w:p>
    <w:p w14:paraId="38132894">
      <w:pPr>
        <w:rPr>
          <w:rFonts w:hint="eastAsia" w:asciiTheme="minorEastAsia" w:hAnsiTheme="minorEastAsia" w:eastAsiaTheme="minorEastAsia" w:cstheme="minorEastAsia"/>
          <w:color w:val="auto"/>
        </w:rPr>
      </w:pPr>
    </w:p>
    <w:p w14:paraId="265954AB">
      <w:pPr>
        <w:rPr>
          <w:rFonts w:hint="eastAsia" w:asciiTheme="minorEastAsia" w:hAnsiTheme="minorEastAsia" w:eastAsiaTheme="minorEastAsia" w:cstheme="minorEastAsia"/>
          <w:color w:val="auto"/>
        </w:rPr>
      </w:pPr>
    </w:p>
    <w:p w14:paraId="2F341ABE">
      <w:pPr>
        <w:rPr>
          <w:rFonts w:hint="eastAsia" w:asciiTheme="minorEastAsia" w:hAnsiTheme="minorEastAsia" w:eastAsiaTheme="minorEastAsia" w:cstheme="minorEastAsia"/>
          <w:color w:val="auto"/>
        </w:rPr>
      </w:pPr>
    </w:p>
    <w:p w14:paraId="12E587AA">
      <w:pPr>
        <w:pStyle w:val="3"/>
        <w:rPr>
          <w:rFonts w:hint="eastAsia" w:asciiTheme="minorEastAsia" w:hAnsiTheme="minorEastAsia" w:eastAsiaTheme="minorEastAsia" w:cstheme="minorEastAsia"/>
          <w:color w:val="auto"/>
        </w:rPr>
      </w:pPr>
    </w:p>
    <w:p w14:paraId="61F8E8C1">
      <w:pPr>
        <w:pStyle w:val="4"/>
        <w:rPr>
          <w:rFonts w:hint="eastAsia" w:asciiTheme="minorEastAsia" w:hAnsiTheme="minorEastAsia" w:eastAsiaTheme="minorEastAsia" w:cstheme="minorEastAsia"/>
          <w:color w:val="auto"/>
        </w:rPr>
      </w:pPr>
    </w:p>
    <w:p w14:paraId="6D554EBE">
      <w:pPr>
        <w:rPr>
          <w:rFonts w:hint="eastAsia" w:asciiTheme="minorEastAsia" w:hAnsiTheme="minorEastAsia" w:eastAsiaTheme="minorEastAsia" w:cstheme="minorEastAsia"/>
          <w:color w:val="auto"/>
        </w:rPr>
      </w:pPr>
    </w:p>
    <w:p w14:paraId="33F310F9">
      <w:pPr>
        <w:pStyle w:val="3"/>
        <w:rPr>
          <w:rFonts w:hint="eastAsia" w:asciiTheme="minorEastAsia" w:hAnsiTheme="minorEastAsia" w:eastAsiaTheme="minorEastAsia" w:cstheme="minorEastAsia"/>
          <w:color w:val="auto"/>
        </w:rPr>
      </w:pPr>
    </w:p>
    <w:p w14:paraId="5FAD4110">
      <w:pPr>
        <w:rPr>
          <w:rFonts w:hint="eastAsia" w:asciiTheme="minorEastAsia" w:hAnsiTheme="minorEastAsia" w:eastAsiaTheme="minorEastAsia" w:cstheme="minorEastAsia"/>
          <w:color w:val="auto"/>
        </w:rPr>
      </w:pPr>
    </w:p>
    <w:bookmarkEnd w:id="1"/>
    <w:p w14:paraId="29F43B51">
      <w:pPr>
        <w:adjustRightInd/>
        <w:rPr>
          <w:rFonts w:hint="eastAsia" w:asciiTheme="minorEastAsia" w:hAnsiTheme="minorEastAsia" w:eastAsiaTheme="minorEastAsia" w:cstheme="minorEastAsia"/>
          <w:b/>
          <w:color w:val="auto"/>
          <w:sz w:val="36"/>
          <w:szCs w:val="20"/>
        </w:rPr>
      </w:pPr>
      <w:bookmarkStart w:id="2" w:name="_Hlt74728647"/>
      <w:bookmarkEnd w:id="2"/>
      <w:bookmarkStart w:id="3" w:name="_Hlt74649545"/>
      <w:bookmarkEnd w:id="3"/>
      <w:bookmarkStart w:id="4" w:name="_Hlt74707423"/>
      <w:bookmarkEnd w:id="4"/>
      <w:bookmarkStart w:id="5" w:name="_Hlt74729822"/>
      <w:bookmarkEnd w:id="5"/>
      <w:bookmarkStart w:id="6" w:name="_Toc91899870"/>
      <w:bookmarkStart w:id="7" w:name="第二部分"/>
      <w:bookmarkStart w:id="8" w:name="_Toc91899871"/>
      <w:r>
        <w:rPr>
          <w:rFonts w:hint="eastAsia" w:asciiTheme="minorEastAsia" w:hAnsiTheme="minorEastAsia" w:eastAsiaTheme="minorEastAsia" w:cstheme="minorEastAsia"/>
          <w:b/>
          <w:color w:val="auto"/>
          <w:sz w:val="36"/>
          <w:szCs w:val="20"/>
        </w:rPr>
        <w:br w:type="page"/>
      </w:r>
    </w:p>
    <w:p w14:paraId="1486529A">
      <w:pPr>
        <w:adjustRightInd/>
        <w:spacing w:line="360" w:lineRule="auto"/>
        <w:jc w:val="center"/>
        <w:outlineLvl w:val="0"/>
        <w:rPr>
          <w:rFonts w:hint="eastAsia" w:asciiTheme="minorEastAsia" w:hAnsiTheme="minorEastAsia" w:eastAsiaTheme="minorEastAsia" w:cstheme="minorEastAsia"/>
          <w:b/>
          <w:color w:val="auto"/>
          <w:sz w:val="36"/>
          <w:szCs w:val="20"/>
        </w:rPr>
      </w:pPr>
      <w:r>
        <w:rPr>
          <w:rFonts w:hint="eastAsia" w:asciiTheme="minorEastAsia" w:hAnsiTheme="minorEastAsia" w:eastAsiaTheme="minorEastAsia" w:cstheme="minorEastAsia"/>
          <w:b/>
          <w:color w:val="auto"/>
          <w:sz w:val="36"/>
          <w:szCs w:val="20"/>
        </w:rPr>
        <w:t>第一部分 招标公告</w:t>
      </w:r>
    </w:p>
    <w:p w14:paraId="144C06F8">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项目概况</w:t>
      </w:r>
    </w:p>
    <w:p w14:paraId="71FFCCDF">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u w:val="single"/>
          <w:lang w:eastAsia="zh-CN"/>
        </w:rPr>
        <w:t>建德市罗村三级电站更新改造暨梯级集控建设工程（机电设备）采购项目</w:t>
      </w:r>
      <w:r>
        <w:rPr>
          <w:rFonts w:hint="eastAsia" w:asciiTheme="minorEastAsia" w:hAnsiTheme="minorEastAsia" w:eastAsiaTheme="minorEastAsia" w:cstheme="minorEastAsia"/>
          <w:color w:val="auto"/>
          <w:sz w:val="24"/>
        </w:rPr>
        <w:t>招标项目的潜在投标人应在乐采云平台（</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"file:///C:\\Users\\D\\AppData\\Roaming\\Microsoft\\Word\\采购文件（7.9新版本）.doc"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rPr>
        <w:t>https://www.lecaiyun.com/</w:t>
      </w:r>
      <w:r>
        <w:rPr>
          <w:rFonts w:hint="eastAsia" w:asciiTheme="minorEastAsia" w:hAnsiTheme="minorEastAsia" w:eastAsiaTheme="minorEastAsia" w:cstheme="minorEastAsia"/>
          <w:color w:val="auto"/>
          <w:sz w:val="24"/>
        </w:rPr>
        <w:fldChar w:fldCharType="end"/>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"https://www.zcygov.cn/）获取（下载）招标文件，并于202%20年%20月%20日%20点%20分00秒"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rPr>
        <w:t>获取（下载）招标文件，并于</w:t>
      </w:r>
      <w:r>
        <w:rPr>
          <w:rFonts w:hint="eastAsia" w:asciiTheme="minorEastAsia" w:hAnsiTheme="minorEastAsia" w:eastAsiaTheme="minorEastAsia" w:cstheme="minorEastAsia"/>
          <w:b/>
          <w:bCs/>
          <w:color w:val="auto"/>
          <w:sz w:val="24"/>
        </w:rPr>
        <w:t>2025年  月  日9点30分00秒</w:t>
      </w:r>
      <w:r>
        <w:rPr>
          <w:rFonts w:hint="eastAsia" w:asciiTheme="minorEastAsia" w:hAnsiTheme="minorEastAsia" w:eastAsiaTheme="minorEastAsia" w:cstheme="minorEastAsia"/>
          <w:b/>
          <w:bCs/>
          <w:color w:val="auto"/>
          <w:sz w:val="24"/>
        </w:rPr>
        <w:fldChar w:fldCharType="end"/>
      </w:r>
      <w:r>
        <w:rPr>
          <w:rFonts w:hint="eastAsia" w:asciiTheme="minorEastAsia" w:hAnsiTheme="minorEastAsia" w:eastAsiaTheme="minorEastAsia" w:cstheme="minorEastAsia"/>
          <w:bCs/>
          <w:color w:val="auto"/>
          <w:sz w:val="24"/>
        </w:rPr>
        <w:t>（北京时间）前</w:t>
      </w:r>
      <w:r>
        <w:rPr>
          <w:rFonts w:hint="eastAsia" w:asciiTheme="minorEastAsia" w:hAnsiTheme="minorEastAsia" w:eastAsiaTheme="minorEastAsia" w:cstheme="minorEastAsia"/>
          <w:color w:val="auto"/>
          <w:sz w:val="24"/>
        </w:rPr>
        <w:t>递交（上传）投标文件。</w:t>
      </w:r>
    </w:p>
    <w:p w14:paraId="71D4B710">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 xml:space="preserve">一、项目基本情况                                            </w:t>
      </w:r>
    </w:p>
    <w:p w14:paraId="0C67C2DE">
      <w:pPr>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项目编号：</w:t>
      </w:r>
      <w:r>
        <w:rPr>
          <w:rFonts w:hint="eastAsia" w:asciiTheme="minorEastAsia" w:hAnsiTheme="minorEastAsia" w:eastAsiaTheme="minorEastAsia" w:cstheme="minorEastAsia"/>
          <w:color w:val="auto"/>
          <w:sz w:val="24"/>
        </w:rPr>
        <w:t xml:space="preserve">HZOFCG2025B-088 </w:t>
      </w:r>
    </w:p>
    <w:p w14:paraId="7D278911">
      <w:pPr>
        <w:spacing w:line="360" w:lineRule="auto"/>
        <w:ind w:firstLine="482"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b/>
          <w:color w:val="auto"/>
          <w:sz w:val="24"/>
        </w:rPr>
        <w:t>项目名称：</w:t>
      </w:r>
      <w:r>
        <w:rPr>
          <w:rFonts w:hint="eastAsia" w:asciiTheme="minorEastAsia" w:hAnsiTheme="minorEastAsia" w:eastAsiaTheme="minorEastAsia" w:cstheme="minorEastAsia"/>
          <w:color w:val="auto"/>
          <w:sz w:val="24"/>
          <w:lang w:eastAsia="zh-CN"/>
        </w:rPr>
        <w:t>建德市罗村三级电站更新改造暨梯级集控建设工程（机电设备）采购项目</w:t>
      </w:r>
    </w:p>
    <w:p w14:paraId="39C67F18">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预算金额（元）：</w:t>
      </w:r>
      <w:r>
        <w:rPr>
          <w:rFonts w:hint="eastAsia" w:asciiTheme="minorEastAsia" w:hAnsiTheme="minorEastAsia" w:eastAsiaTheme="minorEastAsia" w:cstheme="minorEastAsia"/>
          <w:b/>
          <w:color w:val="auto"/>
          <w:sz w:val="24"/>
          <w:lang w:eastAsia="zh-CN"/>
        </w:rPr>
        <w:t>8718133</w:t>
      </w:r>
      <w:r>
        <w:rPr>
          <w:rFonts w:hint="eastAsia" w:asciiTheme="minorEastAsia" w:hAnsiTheme="minorEastAsia" w:eastAsiaTheme="minorEastAsia" w:cstheme="minorEastAsia"/>
          <w:b/>
          <w:color w:val="auto"/>
          <w:sz w:val="24"/>
        </w:rPr>
        <w:t xml:space="preserve">.00 </w:t>
      </w:r>
    </w:p>
    <w:p w14:paraId="5FEBABCB">
      <w:pPr>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最高限价（元）：</w:t>
      </w:r>
      <w:r>
        <w:rPr>
          <w:rFonts w:hint="eastAsia" w:asciiTheme="minorEastAsia" w:hAnsiTheme="minorEastAsia" w:eastAsiaTheme="minorEastAsia" w:cstheme="minorEastAsia"/>
          <w:b/>
          <w:color w:val="auto"/>
          <w:sz w:val="24"/>
          <w:lang w:eastAsia="zh-CN"/>
        </w:rPr>
        <w:t>8718133</w:t>
      </w:r>
      <w:r>
        <w:rPr>
          <w:rFonts w:hint="eastAsia" w:asciiTheme="minorEastAsia" w:hAnsiTheme="minorEastAsia" w:eastAsiaTheme="minorEastAsia" w:cstheme="minorEastAsia"/>
          <w:b/>
          <w:color w:val="auto"/>
          <w:sz w:val="24"/>
        </w:rPr>
        <w:t>.00</w:t>
      </w:r>
      <w:r>
        <w:rPr>
          <w:rFonts w:hint="eastAsia" w:asciiTheme="minorEastAsia" w:hAnsiTheme="minorEastAsia" w:eastAsiaTheme="minorEastAsia" w:cstheme="minorEastAsia"/>
          <w:color w:val="auto"/>
          <w:sz w:val="24"/>
        </w:rPr>
        <w:t xml:space="preserve">  </w:t>
      </w:r>
    </w:p>
    <w:p w14:paraId="35765574">
      <w:pPr>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采购需求：</w:t>
      </w:r>
      <w:r>
        <w:rPr>
          <w:rFonts w:hint="eastAsia" w:asciiTheme="minorEastAsia" w:hAnsiTheme="minorEastAsia" w:eastAsiaTheme="minorEastAsia" w:cstheme="minorEastAsia"/>
          <w:b w:val="0"/>
          <w:bCs/>
          <w:color w:val="auto"/>
          <w:sz w:val="24"/>
          <w:lang w:eastAsia="zh-CN"/>
        </w:rPr>
        <w:t>建德市罗村三级电站更新改造暨梯级集控建设工程（机电设备）采购项目</w:t>
      </w:r>
      <w:r>
        <w:rPr>
          <w:rFonts w:hint="eastAsia" w:asciiTheme="minorEastAsia" w:hAnsiTheme="minorEastAsia" w:eastAsiaTheme="minorEastAsia" w:cstheme="minorEastAsia"/>
          <w:bCs/>
          <w:color w:val="auto"/>
          <w:sz w:val="24"/>
        </w:rPr>
        <w:t>（包括但不限</w:t>
      </w:r>
      <w:r>
        <w:rPr>
          <w:rFonts w:hint="eastAsia" w:asciiTheme="minorEastAsia" w:hAnsiTheme="minorEastAsia" w:eastAsiaTheme="minorEastAsia" w:cstheme="minorEastAsia"/>
          <w:color w:val="auto"/>
          <w:sz w:val="24"/>
        </w:rPr>
        <w:t>于</w:t>
      </w:r>
      <w:r>
        <w:rPr>
          <w:rFonts w:hint="eastAsia" w:asciiTheme="minorEastAsia" w:hAnsiTheme="minorEastAsia" w:eastAsiaTheme="minorEastAsia" w:cstheme="minorEastAsia"/>
          <w:bCs/>
          <w:color w:val="auto"/>
          <w:sz w:val="24"/>
        </w:rPr>
        <w:t>设备设计、生产、供货、运输装卸、二次搬运费、拆除、安装调试、产品保护、保险、配件及材料、附件、产品保管、技术服务费、运杂费、人工、试运行、备品备件、专用工具、税金、利润、辅助工作以及售后服务等一切内容</w:t>
      </w:r>
      <w:r>
        <w:rPr>
          <w:rFonts w:hint="eastAsia" w:asciiTheme="minorEastAsia" w:hAnsiTheme="minorEastAsia" w:eastAsiaTheme="minorEastAsia" w:cstheme="minorEastAsia"/>
          <w:color w:val="auto"/>
          <w:sz w:val="24"/>
        </w:rPr>
        <w:t>）；具体内容详见招标文件第三部分采购需求为准，供应商可点击本公告下方“浏览采购文件”查看采购需求。</w:t>
      </w:r>
    </w:p>
    <w:p w14:paraId="7426F7B5">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合同履约期限：</w:t>
      </w:r>
    </w:p>
    <w:p w14:paraId="5B24B5A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工期：自合同签订生效之日起</w:t>
      </w:r>
      <w:r>
        <w:rPr>
          <w:rFonts w:hint="eastAsia" w:asciiTheme="minorEastAsia" w:hAnsiTheme="minorEastAsia" w:eastAsiaTheme="minorEastAsia" w:cstheme="minorEastAsia"/>
          <w:color w:val="auto"/>
          <w:sz w:val="24"/>
          <w:u w:val="single"/>
        </w:rPr>
        <w:t>至2027年4月15 日前</w:t>
      </w:r>
      <w:r>
        <w:rPr>
          <w:rFonts w:hint="eastAsia" w:asciiTheme="minorEastAsia" w:hAnsiTheme="minorEastAsia" w:eastAsiaTheme="minorEastAsia" w:cstheme="minorEastAsia"/>
          <w:color w:val="auto"/>
          <w:sz w:val="24"/>
        </w:rPr>
        <w:t>完成所有设备</w:t>
      </w:r>
      <w:r>
        <w:rPr>
          <w:rFonts w:hint="eastAsia" w:asciiTheme="minorEastAsia" w:hAnsiTheme="minorEastAsia" w:eastAsiaTheme="minorEastAsia" w:cstheme="minorEastAsia"/>
          <w:bCs/>
          <w:color w:val="auto"/>
          <w:sz w:val="24"/>
        </w:rPr>
        <w:t>运输装卸、安装调试、试运行并通过采购单位的验收</w:t>
      </w:r>
      <w:r>
        <w:rPr>
          <w:rFonts w:hint="eastAsia" w:asciiTheme="minorEastAsia" w:hAnsiTheme="minorEastAsia" w:eastAsiaTheme="minorEastAsia" w:cstheme="minorEastAsia"/>
          <w:color w:val="auto"/>
          <w:sz w:val="24"/>
        </w:rPr>
        <w:t>。</w:t>
      </w:r>
    </w:p>
    <w:p w14:paraId="4FE8069F">
      <w:pPr>
        <w:pStyle w:val="4"/>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本项目接受联合体投标：</w:t>
      </w:r>
      <w:sdt>
        <w:sdtPr>
          <w:rPr>
            <w:rFonts w:hint="eastAsia" w:asciiTheme="minorEastAsia" w:hAnsiTheme="minorEastAsia" w:eastAsiaTheme="minorEastAsia" w:cstheme="minorEastAsia"/>
            <w:color w:val="auto"/>
            <w:kern w:val="0"/>
            <w:sz w:val="24"/>
            <w:szCs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rPr>
        </w:sdtEndPr>
        <w:sdtContent>
          <w:r>
            <w:rPr>
              <w:rFonts w:hint="eastAsia" w:asciiTheme="minorEastAsia" w:hAnsiTheme="minorEastAsia" w:eastAsiaTheme="minorEastAsia" w:cstheme="minorEastAsia"/>
              <w:color w:val="auto"/>
              <w:kern w:val="0"/>
              <w:sz w:val="24"/>
              <w:szCs w:val="24"/>
            </w:rPr>
            <w:t>☐</w:t>
          </w:r>
        </w:sdtContent>
      </w:sdt>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snapToGrid/>
          <w:color w:val="auto"/>
          <w:kern w:val="2"/>
          <w:sz w:val="24"/>
          <w:szCs w:val="24"/>
        </w:rPr>
        <w:t>；</w:t>
      </w:r>
      <w:sdt>
        <w:sdtPr>
          <w:rPr>
            <w:rFonts w:hint="eastAsia" w:asciiTheme="minorEastAsia" w:hAnsiTheme="minorEastAsia" w:eastAsiaTheme="minorEastAsia" w:cstheme="minorEastAsia"/>
            <w:color w:val="auto"/>
            <w:kern w:val="0"/>
            <w:sz w:val="24"/>
            <w:szCs w:val="24"/>
          </w:rPr>
          <w:id w:val="-1"/>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rPr>
        </w:sdtEndPr>
        <w:sdtContent>
          <w:r>
            <w:rPr>
              <w:rFonts w:hint="eastAsia" w:asciiTheme="minorEastAsia" w:hAnsiTheme="minorEastAsia" w:eastAsiaTheme="minorEastAsia" w:cstheme="minorEastAsia"/>
              <w:color w:val="auto"/>
              <w:kern w:val="0"/>
              <w:sz w:val="24"/>
              <w:szCs w:val="24"/>
            </w:rPr>
            <w:t>þ</w:t>
          </w:r>
        </w:sdtContent>
      </w:sdt>
      <w:r>
        <w:rPr>
          <w:rFonts w:hint="eastAsia" w:asciiTheme="minorEastAsia" w:hAnsiTheme="minorEastAsia" w:eastAsiaTheme="minorEastAsia" w:cstheme="minorEastAsia"/>
          <w:color w:val="auto"/>
          <w:sz w:val="24"/>
          <w:szCs w:val="24"/>
        </w:rPr>
        <w:t>否</w:t>
      </w:r>
      <w:r>
        <w:rPr>
          <w:rFonts w:hint="eastAsia" w:asciiTheme="minorEastAsia" w:hAnsiTheme="minorEastAsia" w:eastAsiaTheme="minorEastAsia" w:cstheme="minorEastAsia"/>
          <w:color w:val="auto"/>
          <w:kern w:val="0"/>
          <w:sz w:val="24"/>
          <w:szCs w:val="24"/>
        </w:rPr>
        <w:t>。</w:t>
      </w:r>
    </w:p>
    <w:p w14:paraId="3205B2A8">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w:t>
      </w:r>
      <w:bookmarkStart w:id="9" w:name="_Hlk101132948"/>
      <w:r>
        <w:rPr>
          <w:rFonts w:hint="eastAsia" w:asciiTheme="minorEastAsia" w:hAnsiTheme="minorEastAsia" w:eastAsiaTheme="minorEastAsia" w:cstheme="minorEastAsia"/>
          <w:color w:val="auto"/>
          <w:sz w:val="24"/>
        </w:rPr>
        <w:t>申请人的资格要求</w:t>
      </w:r>
      <w:bookmarkEnd w:id="9"/>
      <w:r>
        <w:rPr>
          <w:rFonts w:hint="eastAsia" w:asciiTheme="minorEastAsia" w:hAnsiTheme="minorEastAsia" w:eastAsiaTheme="minorEastAsia" w:cstheme="minorEastAsia"/>
          <w:color w:val="auto"/>
          <w:sz w:val="24"/>
        </w:rPr>
        <w:t>：</w:t>
      </w:r>
    </w:p>
    <w:p w14:paraId="70AF1F9F">
      <w:pPr>
        <w:spacing w:line="360" w:lineRule="auto"/>
        <w:ind w:firstLine="480" w:firstLineChars="200"/>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snapToGrid w:val="0"/>
          <w:color w:val="auto"/>
          <w:sz w:val="24"/>
        </w:rPr>
        <w:t>1. 未被“信用中国”（www.creditchina.gov.cn）列入失信被执行人、重大税收违法失信主体、采购严重违法失信行为记录名单；</w:t>
      </w:r>
    </w:p>
    <w:p w14:paraId="02D49BBF">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napToGrid w:val="0"/>
          <w:color w:val="auto"/>
          <w:sz w:val="24"/>
        </w:rPr>
        <w:t>2.</w:t>
      </w:r>
      <w:r>
        <w:rPr>
          <w:rFonts w:hint="eastAsia" w:asciiTheme="minorEastAsia" w:hAnsiTheme="minorEastAsia" w:eastAsiaTheme="minorEastAsia" w:cstheme="minorEastAsia"/>
          <w:color w:val="auto"/>
          <w:sz w:val="24"/>
        </w:rPr>
        <w:t xml:space="preserve">  须具有独立法人资格、具有合格有效的企业营业执照、税务登记证、组织机构代码证或“三证合一”的营业执照，经营范围包括销售水力发电成套设备或电站及工矿配件或机械电气设备、电站工程总承包。</w:t>
      </w:r>
    </w:p>
    <w:p w14:paraId="3FB4982F">
      <w:pPr>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napToGrid w:val="0"/>
          <w:color w:val="auto"/>
          <w:sz w:val="24"/>
        </w:rPr>
        <w:t>3.以联合体形式投标的，提供联合协议(本项目不接受联合体投标或者投标人不以联合体形式投标的，则不需要提供） ；</w:t>
      </w:r>
    </w:p>
    <w:p w14:paraId="400EED7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4.本项目的特定资格要求：无。</w:t>
      </w:r>
    </w:p>
    <w:p w14:paraId="04D6FA1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单位负责人为同一人或者存在直接控股、管理关系的不同供应商，不得参加同一合同项下的采购活动；为采购项目提供整体设计、规范编制或者项目管理、监理、检测等服务后不得再参加该采购项目的其他采购活动。</w:t>
      </w:r>
    </w:p>
    <w:p w14:paraId="574545A0">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三、获取招标文件 </w:t>
      </w:r>
    </w:p>
    <w:p w14:paraId="6A4C4F99">
      <w:pPr>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1.时间：</w:t>
      </w:r>
      <w:r>
        <w:rPr>
          <w:rFonts w:hint="eastAsia" w:asciiTheme="minorEastAsia" w:hAnsiTheme="minorEastAsia" w:eastAsiaTheme="minorEastAsia" w:cstheme="minorEastAsia"/>
          <w:color w:val="auto"/>
          <w:sz w:val="24"/>
          <w:u w:val="single"/>
        </w:rPr>
        <w:t xml:space="preserve">自公告发布之日起至2025年  月  日，每天上午 00:00至12:00 ，下午 12:00至23:59 </w:t>
      </w:r>
      <w:r>
        <w:rPr>
          <w:rFonts w:hint="eastAsia" w:asciiTheme="minorEastAsia" w:hAnsiTheme="minorEastAsia" w:eastAsiaTheme="minorEastAsia" w:cstheme="minorEastAsia"/>
          <w:color w:val="auto"/>
          <w:sz w:val="24"/>
        </w:rPr>
        <w:t>（北京时间，线上获取法定节假日均可，线下获取文件法定节假日除外）获取采购文件的时间期限截止之日之后有潜在供应商提出获取采购文件的，采购机构将允许其获取，但该供应商如对采购文件有异议的，应于自采购文件公告期限届满之日起七个工作日内且在投标截止时间之前以书面形式向采购机构提出。</w:t>
      </w:r>
    </w:p>
    <w:p w14:paraId="6B9E7EDB">
      <w:pPr>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2.地点（网址）：</w:t>
      </w:r>
      <w:r>
        <w:rPr>
          <w:rFonts w:hint="eastAsia" w:asciiTheme="minorEastAsia" w:hAnsiTheme="minorEastAsia" w:eastAsiaTheme="minorEastAsia" w:cstheme="minorEastAsia"/>
          <w:color w:val="auto"/>
          <w:sz w:val="24"/>
        </w:rPr>
        <w:t xml:space="preserve">乐采云平台（https://www.lecaiyun.com/） </w:t>
      </w:r>
    </w:p>
    <w:p w14:paraId="448EC604">
      <w:pPr>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3.方式：</w:t>
      </w:r>
      <w:r>
        <w:rPr>
          <w:rFonts w:hint="eastAsia" w:asciiTheme="minorEastAsia" w:hAnsiTheme="minorEastAsia" w:eastAsiaTheme="minorEastAsia" w:cstheme="minorEastAsia"/>
          <w:color w:val="auto"/>
          <w:sz w:val="24"/>
        </w:rPr>
        <w:t xml:space="preserve">线上获取（供应商注册成为乐采云平台供应商后，登录平台-项目采购-获取采购文件）。 </w:t>
      </w:r>
    </w:p>
    <w:p w14:paraId="26584CC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4.售价（元）：</w:t>
      </w:r>
      <w:r>
        <w:rPr>
          <w:rFonts w:hint="eastAsia" w:asciiTheme="minorEastAsia" w:hAnsiTheme="minorEastAsia" w:eastAsiaTheme="minorEastAsia" w:cstheme="minorEastAsia"/>
          <w:bCs/>
          <w:color w:val="auto"/>
          <w:sz w:val="24"/>
        </w:rPr>
        <w:t xml:space="preserve">免费。 </w:t>
      </w:r>
      <w:r>
        <w:rPr>
          <w:rFonts w:hint="eastAsia" w:asciiTheme="minorEastAsia" w:hAnsiTheme="minorEastAsia" w:eastAsiaTheme="minorEastAsia" w:cstheme="minorEastAsia"/>
          <w:color w:val="auto"/>
          <w:sz w:val="24"/>
        </w:rPr>
        <w:tab/>
      </w:r>
    </w:p>
    <w:p w14:paraId="178393D5">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5.</w:t>
      </w:r>
      <w:r>
        <w:rPr>
          <w:rFonts w:hint="eastAsia" w:asciiTheme="minorEastAsia" w:hAnsiTheme="minorEastAsia" w:eastAsiaTheme="minorEastAsia" w:cstheme="minorEastAsia"/>
          <w:color w:val="auto"/>
          <w:sz w:val="24"/>
        </w:rPr>
        <w:t>供应商获取采购文件时须提交的文件资料：无。</w:t>
      </w:r>
    </w:p>
    <w:p w14:paraId="6344FC5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6.提示：</w:t>
      </w:r>
    </w:p>
    <w:p w14:paraId="7576857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（1）采购人、采购代理机构依托乐采云平台完成本项目的电子交易活动，平台不接受未按上述方式获取采购文件的供应商进行投标活动；</w:t>
      </w:r>
    </w:p>
    <w:p w14:paraId="12CC7F01">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（2）对未按上述方式获取采购文件的供应商对该文件提出的质疑，采购人或采购代理机构将不予处理；</w:t>
      </w:r>
    </w:p>
    <w:p w14:paraId="03CDF923">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（3）采购人或者采购代理机构对已发出的采购文件等进行必要的澄清或者修改的，采购人或者采购代理机构将无法通过乐采云平台通知未按上述方式获取采购文件的供 应商；</w:t>
      </w:r>
    </w:p>
    <w:p w14:paraId="5AB1231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供应商只有在“乐采云平台”完成获取采购文件申请并下载了采购文件后才被视为合法获取了采购文件，否则投标将被拒绝。（供应商获取采购文件时间以供应商完成获取采购文件申请后下载采购文件的时间为准）。</w:t>
      </w:r>
    </w:p>
    <w:p w14:paraId="1BA90BD5">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注：请供应商按上述要求获取采购文件，如未在“乐采云”系统内完成相关流程，引起的投标无效责任自负。</w:t>
      </w:r>
    </w:p>
    <w:p w14:paraId="2E722D8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（5）不提供采购文件纸质版；</w:t>
      </w:r>
    </w:p>
    <w:p w14:paraId="204E76F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获取采购文件的时间期限截止之日之后有潜在供应商提出获取采购文件的，采购机构将允许其获取，但该供应商如对采购文件有异议的，应于自采购文件公告期限届满之日起七个工作日内且在投标截止时间之前以书面形式向采购机构提出。</w:t>
      </w:r>
    </w:p>
    <w:p w14:paraId="4E7CCB12">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七、提交投标文件截止时间与地点：</w:t>
      </w:r>
    </w:p>
    <w:p w14:paraId="54E5DA9E">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1.提交投标文件截止时间：2025年  月  日9点30分00秒（北京时间）；</w:t>
      </w:r>
    </w:p>
    <w:p w14:paraId="1B06D1A0">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2.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传输递交的投标、响应文件，将被拒收。</w:t>
      </w:r>
    </w:p>
    <w:p w14:paraId="7954AFC0">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3.投标地点（网址）：本项目采用全流程电子化交易，无须参加现场开标会 （</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"file:///C:\\Users\\D\\AppData\\Roaming\\Microsoft\\Word\\采购文件（7.9新版本）.doc"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snapToGrid/>
          <w:color w:val="auto"/>
          <w:sz w:val="24"/>
          <w:szCs w:val="24"/>
        </w:rPr>
        <w:t>https://www.lecaiyun.com/</w:t>
      </w:r>
      <w:r>
        <w:rPr>
          <w:rFonts w:hint="eastAsia" w:asciiTheme="minorEastAsia" w:hAnsiTheme="minorEastAsia" w:eastAsiaTheme="minorEastAsia" w:cstheme="minorEastAsia"/>
          <w:snapToGrid/>
          <w:color w:val="auto"/>
          <w:sz w:val="24"/>
          <w:szCs w:val="24"/>
        </w:rPr>
        <w:fldChar w:fldCharType="end"/>
      </w:r>
      <w:r>
        <w:rPr>
          <w:rFonts w:hint="eastAsia" w:asciiTheme="minorEastAsia" w:hAnsiTheme="minorEastAsia" w:eastAsiaTheme="minorEastAsia" w:cstheme="minorEastAsia"/>
          <w:snapToGrid/>
          <w:color w:val="auto"/>
          <w:sz w:val="24"/>
          <w:szCs w:val="24"/>
        </w:rPr>
        <w:t>）。</w:t>
      </w:r>
    </w:p>
    <w:p w14:paraId="02F32576">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八、开标时间与地点：</w:t>
      </w:r>
    </w:p>
    <w:p w14:paraId="127D9257">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1.开标时间：2025年  月  日9点30分00秒（北京时间）；</w:t>
      </w:r>
    </w:p>
    <w:p w14:paraId="16401757">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2.开标地点（网址）：</w:t>
      </w:r>
      <w:r>
        <w:rPr>
          <w:rFonts w:hint="eastAsia" w:asciiTheme="minorEastAsia" w:hAnsiTheme="minorEastAsia" w:eastAsiaTheme="minorEastAsia" w:cstheme="minorEastAsia"/>
          <w:color w:val="auto"/>
          <w:sz w:val="24"/>
          <w:szCs w:val="24"/>
        </w:rPr>
        <w:t>乐采云平台</w:t>
      </w:r>
      <w:r>
        <w:rPr>
          <w:rFonts w:hint="eastAsia" w:asciiTheme="minorEastAsia" w:hAnsiTheme="minorEastAsia" w:eastAsiaTheme="minorEastAsia" w:cstheme="minorEastAsia"/>
          <w:snapToGrid/>
          <w:color w:val="auto"/>
          <w:sz w:val="24"/>
          <w:szCs w:val="24"/>
        </w:rPr>
        <w:t>（</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"file:///C:\\Users\\D\\AppData\\Roaming\\Microsoft\\Word\\采购文件（7.9新版本）.doc"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snapToGrid/>
          <w:color w:val="auto"/>
          <w:sz w:val="24"/>
          <w:szCs w:val="24"/>
        </w:rPr>
        <w:t>https://www.lecaiyun.com/</w:t>
      </w:r>
      <w:r>
        <w:rPr>
          <w:rFonts w:hint="eastAsia" w:asciiTheme="minorEastAsia" w:hAnsiTheme="minorEastAsia" w:eastAsiaTheme="minorEastAsia" w:cstheme="minorEastAsia"/>
          <w:snapToGrid/>
          <w:color w:val="auto"/>
          <w:sz w:val="24"/>
          <w:szCs w:val="24"/>
        </w:rPr>
        <w:fldChar w:fldCharType="end"/>
      </w:r>
      <w:r>
        <w:rPr>
          <w:rFonts w:hint="eastAsia" w:asciiTheme="minorEastAsia" w:hAnsiTheme="minorEastAsia" w:eastAsiaTheme="minorEastAsia" w:cstheme="minorEastAsia"/>
          <w:snapToGrid/>
          <w:color w:val="auto"/>
          <w:sz w:val="24"/>
          <w:szCs w:val="24"/>
        </w:rPr>
        <w:t>）</w:t>
      </w:r>
    </w:p>
    <w:p w14:paraId="57D6D9BA">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九、公告期限 </w:t>
      </w:r>
    </w:p>
    <w:p w14:paraId="3F4D889F">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自本公告发布之日起5个工作日。</w:t>
      </w:r>
    </w:p>
    <w:p w14:paraId="7DBB3593">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十、电子招投标的说明：</w:t>
      </w:r>
    </w:p>
    <w:p w14:paraId="76664C7F">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1.电子招投标：本项目以数据电文形式，依托“乐采云平台（www.lecaiyun.com）”进行招投标活动，各投标人应按照本项目采购文件和乐采云平台的要求编制、加密并递交投标文件，不接受纸质投标文件。</w:t>
      </w:r>
    </w:p>
    <w:p w14:paraId="787D70CB">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2.投标准备：</w:t>
      </w:r>
    </w:p>
    <w:p w14:paraId="035EBEBD">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1）投标人应为乐采云平台供应商，注册地址：乐采云平台-商家注册--注册地址：https://middle-lcy.lecaiyun.com/v-settle-front/enter/accountNew?settleCategory=1&amp;entranceType=150&amp;utm=luban.luban-PC-55609.ct001.9.d37d2350548211ef93937d90641fa708），进行乐采云平台供应商资料填写，通过平台审核后成为乐采云平台供应商。</w:t>
      </w:r>
    </w:p>
    <w:p w14:paraId="7F0DF6C5">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2）申领CA数字证书---申领流程详见“乐采云平台-服务中心-CA管理-申领CA证书-CA驱动和申领流程”：投标人应在开标前完成CA数字证书办理，完成CA数字证书办理预计1-2周左右，各投标人应充分考虑办理时间等因素。</w:t>
      </w:r>
    </w:p>
    <w:p w14:paraId="28975274">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办理流程详见:CA管理操作指南https://lecaiyun.com/helpcenter/document#/document/detail?siteCode=lecaiyun&amp;manualId=2185&amp;topicId=12851</w:t>
      </w:r>
    </w:p>
    <w:p w14:paraId="06535984">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3）安装“乐采云电子交易客户端”----投标人通过乐采云平台电子投标工具制作投标文件，前往“乐采云平台-服务中心-电子交易客户端”进行下载并安装。乐采云电子交易客户端：https://sitecdn.zcycdn.com/zcy-client/bidding-client-new/official/lcy/LeCaiYunSetup.latest.exe</w:t>
      </w:r>
    </w:p>
    <w:p w14:paraId="78629AB4">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3.采购文件的获取：使用账号登录或者使用CA登录乐采云平台；进入“项目采购”应用，在获取采购文件菜单中选择项目，获取采购文件。</w:t>
      </w:r>
    </w:p>
    <w:p w14:paraId="3F7A11CF">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4.投标文件的制作：在“乐采云电子交易客户端”中完成“填写基本信息”、“导入投标文件”、“标书关联”、“标书检查”、“电子签名”、“生成电子标书”等操作。</w:t>
      </w:r>
    </w:p>
    <w:p w14:paraId="5A52FA99">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5.投标文件的传输递交：投标人在投标截止时间前将加密的投标文件上传至乐采云平台。</w:t>
      </w:r>
    </w:p>
    <w:p w14:paraId="45B2ECA7">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6.投标文件的解密：投标人按照平台提示和采购文件的规定在开标时间起30分钟内完成在线解密。</w:t>
      </w:r>
    </w:p>
    <w:p w14:paraId="628C8016">
      <w:pPr>
        <w:pStyle w:val="4"/>
        <w:spacing w:line="360" w:lineRule="auto"/>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7.供应商在使用系统进行投标的过程中遇到涉及平台使用的任何问题，可致电乐采云平台技术支持热线咨询，联系方式：95763。</w:t>
      </w:r>
    </w:p>
    <w:p w14:paraId="621BDE8C">
      <w:pPr>
        <w:pStyle w:val="4"/>
        <w:spacing w:line="360" w:lineRule="auto"/>
        <w:ind w:firstLine="0"/>
        <w:rPr>
          <w:rFonts w:hint="eastAsia" w:asciiTheme="minorEastAsia" w:hAnsiTheme="minorEastAsia" w:eastAsiaTheme="minorEastAsia" w:cstheme="minorEastAsia"/>
          <w:snapToGrid/>
          <w:color w:val="auto"/>
          <w:sz w:val="24"/>
          <w:szCs w:val="24"/>
        </w:rPr>
      </w:pPr>
      <w:r>
        <w:rPr>
          <w:rFonts w:hint="eastAsia" w:asciiTheme="minorEastAsia" w:hAnsiTheme="minorEastAsia" w:eastAsiaTheme="minorEastAsia" w:cstheme="minorEastAsia"/>
          <w:snapToGrid/>
          <w:color w:val="auto"/>
          <w:sz w:val="24"/>
          <w:szCs w:val="24"/>
        </w:rPr>
        <w:t>十一、对本次采购提出询问、质疑、投诉，请按以下方式联系</w:t>
      </w:r>
    </w:p>
    <w:p w14:paraId="30C109C7">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1.采购人信息</w:t>
      </w:r>
    </w:p>
    <w:p w14:paraId="0BDB5C0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名    称：建德市罗村水力发电有限公司 </w:t>
      </w:r>
    </w:p>
    <w:p w14:paraId="1DE11BF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地    址：浙江省建德市乾潭镇罗村村‌‌      </w:t>
      </w:r>
    </w:p>
    <w:p w14:paraId="51E6E25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    真： /</w:t>
      </w:r>
    </w:p>
    <w:p w14:paraId="538B56A3">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项目联系人（询问）：陈先生  </w:t>
      </w:r>
    </w:p>
    <w:p w14:paraId="0A1770C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项目联系方式（询问）：13588367626    </w:t>
      </w:r>
    </w:p>
    <w:p w14:paraId="4EE5D6B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质疑联系人：叶先生    </w:t>
      </w:r>
    </w:p>
    <w:p w14:paraId="7F0980D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质疑联系方式：13819161471  </w:t>
      </w:r>
    </w:p>
    <w:p w14:paraId="70AED06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2.采购代理机构信息            </w:t>
      </w:r>
    </w:p>
    <w:p w14:paraId="3A6A578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名    称：杭州欧方工程管理有限公司</w:t>
      </w:r>
    </w:p>
    <w:p w14:paraId="0901546F">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址：建德市新安江街道红枫商场17号</w:t>
      </w:r>
    </w:p>
    <w:p w14:paraId="5054865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    真：/</w:t>
      </w:r>
    </w:p>
    <w:p w14:paraId="3180735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项目联系人（询问）：陈女士</w:t>
      </w:r>
    </w:p>
    <w:p w14:paraId="1979AF3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项目联系方式（询问）：15990158838 </w:t>
      </w:r>
    </w:p>
    <w:p w14:paraId="48320FD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质疑联系人：陈女士 </w:t>
      </w:r>
    </w:p>
    <w:p w14:paraId="1F72E58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质疑联系方式：15858155274 </w:t>
      </w:r>
    </w:p>
    <w:p w14:paraId="41985B05">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3. 同级采购监督管理部门            </w:t>
      </w:r>
    </w:p>
    <w:p w14:paraId="72DBEB8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名 称：建德市资产经营投资有限公司</w:t>
      </w:r>
    </w:p>
    <w:p w14:paraId="47987B8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址：浙江省杭州市建德市新安江街道广场东路67号</w:t>
      </w:r>
    </w:p>
    <w:p w14:paraId="31B832A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联 系 人：宁工 </w:t>
      </w:r>
    </w:p>
    <w:p w14:paraId="5E86F9D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监督投诉电话：0571-58319718 </w:t>
      </w:r>
    </w:p>
    <w:p w14:paraId="57CA2D73">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若对项目采购电子交易系统操作有疑问，可登录乐采云（</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HYPERLINK "C:\\Users\\D\\AppData\\Roaming\\Microsoft\\Word\\采购文件（7.9新版本）.doc"</w:instrText>
      </w:r>
      <w:r>
        <w:rPr>
          <w:rFonts w:hint="eastAsia" w:asciiTheme="minorEastAsia" w:hAnsiTheme="minorEastAsia" w:eastAsiaTheme="minorEastAsia" w:cstheme="minorEastAsia"/>
          <w:color w:val="auto"/>
        </w:rPr>
        <w:fldChar w:fldCharType="separate"/>
      </w:r>
      <w:r>
        <w:rPr>
          <w:rStyle w:val="79"/>
          <w:rFonts w:hint="eastAsia" w:asciiTheme="minorEastAsia" w:hAnsiTheme="minorEastAsia" w:eastAsiaTheme="minorEastAsia" w:cstheme="minorEastAsia"/>
          <w:b/>
          <w:bCs/>
          <w:color w:val="auto"/>
          <w:sz w:val="24"/>
          <w:szCs w:val="24"/>
        </w:rPr>
        <w:t>https://www.lecaiyun.com/</w:t>
      </w:r>
      <w:r>
        <w:rPr>
          <w:rStyle w:val="79"/>
          <w:rFonts w:hint="eastAsia" w:asciiTheme="minorEastAsia" w:hAnsiTheme="minorEastAsia" w:eastAsiaTheme="minorEastAsia" w:cstheme="minorEastAsia"/>
          <w:b/>
          <w:bCs/>
          <w:color w:val="auto"/>
          <w:sz w:val="24"/>
          <w:szCs w:val="24"/>
        </w:rPr>
        <w:fldChar w:fldCharType="end"/>
      </w:r>
      <w:r>
        <w:rPr>
          <w:rFonts w:hint="eastAsia" w:asciiTheme="minorEastAsia" w:hAnsiTheme="minorEastAsia" w:eastAsiaTheme="minorEastAsia" w:cstheme="minorEastAsia"/>
          <w:b/>
          <w:bCs/>
          <w:color w:val="auto"/>
          <w:sz w:val="24"/>
        </w:rPr>
        <w:t>），点击右侧咨询小采，获取采小蜜智能服务管家帮助，或拨打乐采云有限公司服务热线95763获取热线服务帮助。</w:t>
      </w:r>
    </w:p>
    <w:p w14:paraId="05F3DF00">
      <w:pPr>
        <w:spacing w:line="360" w:lineRule="auto"/>
        <w:ind w:firstLine="482"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rPr>
        <w:t>CA问题联系电话（人工）：汇信CA 400-888-4636；天谷CA 400-087-8198。</w:t>
      </w:r>
    </w:p>
    <w:p w14:paraId="08933AE4">
      <w:pPr>
        <w:rPr>
          <w:rFonts w:hint="eastAsia" w:asciiTheme="minorEastAsia" w:hAnsiTheme="minorEastAsia" w:eastAsiaTheme="minorEastAsia" w:cstheme="minorEastAsia"/>
          <w:color w:val="auto"/>
        </w:rPr>
      </w:pPr>
    </w:p>
    <w:p w14:paraId="35807B77">
      <w:pPr>
        <w:pStyle w:val="33"/>
        <w:rPr>
          <w:rFonts w:hint="eastAsia" w:asciiTheme="minorEastAsia" w:hAnsiTheme="minorEastAsia" w:eastAsiaTheme="minorEastAsia" w:cstheme="minorEastAsia"/>
          <w:b/>
          <w:color w:val="auto"/>
          <w:sz w:val="36"/>
          <w:szCs w:val="20"/>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color w:val="auto"/>
          <w:sz w:val="36"/>
          <w:szCs w:val="20"/>
        </w:rPr>
        <w:t xml:space="preserve"> </w:t>
      </w:r>
    </w:p>
    <w:p w14:paraId="4584EC48">
      <w:pPr>
        <w:pStyle w:val="3"/>
        <w:rPr>
          <w:rFonts w:hint="eastAsia" w:asciiTheme="minorEastAsia" w:hAnsiTheme="minorEastAsia" w:eastAsiaTheme="minorEastAsia" w:cstheme="minorEastAsia"/>
          <w:snapToGrid w:val="0"/>
          <w:color w:val="auto"/>
        </w:rPr>
      </w:pPr>
      <w:r>
        <w:rPr>
          <w:rFonts w:hint="eastAsia" w:asciiTheme="minorEastAsia" w:hAnsiTheme="minorEastAsia" w:eastAsiaTheme="minorEastAsia" w:cstheme="minorEastAsia"/>
          <w:color w:val="auto"/>
        </w:rPr>
        <w:br w:type="page"/>
      </w:r>
    </w:p>
    <w:p w14:paraId="08DDC96B">
      <w:pPr>
        <w:adjustRightInd/>
        <w:spacing w:line="360" w:lineRule="auto"/>
        <w:jc w:val="center"/>
        <w:outlineLvl w:val="0"/>
        <w:rPr>
          <w:rFonts w:hint="eastAsia" w:asciiTheme="minorEastAsia" w:hAnsiTheme="minorEastAsia" w:eastAsiaTheme="minorEastAsia" w:cstheme="minorEastAsia"/>
          <w:b/>
          <w:color w:val="auto"/>
          <w:sz w:val="36"/>
          <w:szCs w:val="20"/>
        </w:rPr>
      </w:pPr>
      <w:r>
        <w:rPr>
          <w:rFonts w:hint="eastAsia" w:asciiTheme="minorEastAsia" w:hAnsiTheme="minorEastAsia" w:eastAsiaTheme="minorEastAsia" w:cstheme="minorEastAsia"/>
          <w:b/>
          <w:color w:val="auto"/>
          <w:sz w:val="36"/>
          <w:szCs w:val="20"/>
        </w:rPr>
        <w:t>第二部分 投标人须知</w:t>
      </w:r>
    </w:p>
    <w:p w14:paraId="68302230">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2"/>
          <w:szCs w:val="20"/>
        </w:rPr>
        <w:t>前附表</w:t>
      </w:r>
      <w:bookmarkEnd w:id="6"/>
      <w:bookmarkEnd w:id="7"/>
    </w:p>
    <w:tbl>
      <w:tblPr>
        <w:tblStyle w:val="65"/>
        <w:tblW w:w="90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614"/>
      </w:tblGrid>
      <w:tr w14:paraId="6DFEF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4505B5C9">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047F058">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事项</w:t>
            </w:r>
          </w:p>
        </w:tc>
        <w:tc>
          <w:tcPr>
            <w:tcW w:w="6614" w:type="dxa"/>
            <w:tcBorders>
              <w:top w:val="single" w:color="000000" w:sz="8" w:space="0"/>
              <w:left w:val="single" w:color="000000" w:sz="2" w:space="0"/>
              <w:bottom w:val="single" w:color="000000" w:sz="8" w:space="0"/>
              <w:right w:val="single" w:color="000000" w:sz="8" w:space="0"/>
            </w:tcBorders>
            <w:vAlign w:val="center"/>
          </w:tcPr>
          <w:p w14:paraId="2F5100B6">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本项目的特别规定</w:t>
            </w:r>
          </w:p>
        </w:tc>
      </w:tr>
      <w:tr w14:paraId="50669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17" w:hRule="atLeast"/>
          <w:tblHeader/>
        </w:trPr>
        <w:tc>
          <w:tcPr>
            <w:tcW w:w="629" w:type="dxa"/>
            <w:tcBorders>
              <w:top w:val="single" w:color="auto" w:sz="4" w:space="0"/>
              <w:left w:val="single" w:color="auto" w:sz="4" w:space="0"/>
              <w:bottom w:val="single" w:color="auto" w:sz="4" w:space="0"/>
              <w:right w:val="single" w:color="auto" w:sz="4" w:space="0"/>
            </w:tcBorders>
          </w:tcPr>
          <w:p w14:paraId="2D83E463">
            <w:pPr>
              <w:spacing w:line="360" w:lineRule="auto"/>
              <w:jc w:val="center"/>
              <w:rPr>
                <w:rFonts w:hint="eastAsia" w:asciiTheme="minorEastAsia" w:hAnsiTheme="minorEastAsia" w:eastAsiaTheme="minorEastAsia" w:cstheme="minorEastAsia"/>
                <w:color w:val="auto"/>
                <w:sz w:val="24"/>
              </w:rPr>
            </w:pPr>
          </w:p>
          <w:p w14:paraId="0D4C344D">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95C554C">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项目属性与核心产品</w:t>
            </w:r>
          </w:p>
        </w:tc>
        <w:tc>
          <w:tcPr>
            <w:tcW w:w="6614" w:type="dxa"/>
            <w:tcBorders>
              <w:top w:val="single" w:color="000000" w:sz="8" w:space="0"/>
              <w:left w:val="single" w:color="000000" w:sz="2" w:space="0"/>
              <w:bottom w:val="single" w:color="000000" w:sz="8" w:space="0"/>
              <w:right w:val="single" w:color="000000" w:sz="8" w:space="0"/>
            </w:tcBorders>
            <w:vAlign w:val="center"/>
          </w:tcPr>
          <w:p w14:paraId="53DA7502">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货物类。</w:t>
            </w:r>
          </w:p>
        </w:tc>
      </w:tr>
      <w:tr w14:paraId="3A0BE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74" w:hRule="atLeast"/>
          <w:tblHeader/>
        </w:trPr>
        <w:tc>
          <w:tcPr>
            <w:tcW w:w="629" w:type="dxa"/>
            <w:vMerge w:val="restart"/>
            <w:tcBorders>
              <w:top w:val="single" w:color="auto" w:sz="4" w:space="0"/>
              <w:left w:val="single" w:color="auto" w:sz="4" w:space="0"/>
              <w:right w:val="single" w:color="auto" w:sz="4" w:space="0"/>
            </w:tcBorders>
          </w:tcPr>
          <w:p w14:paraId="43DC8A12">
            <w:pPr>
              <w:spacing w:line="360" w:lineRule="auto"/>
              <w:jc w:val="center"/>
              <w:rPr>
                <w:rFonts w:hint="eastAsia" w:asciiTheme="minorEastAsia" w:hAnsiTheme="minorEastAsia" w:eastAsiaTheme="minorEastAsia" w:cstheme="minorEastAsia"/>
                <w:color w:val="auto"/>
                <w:sz w:val="24"/>
              </w:rPr>
            </w:pPr>
          </w:p>
          <w:p w14:paraId="6EB0355F">
            <w:pPr>
              <w:spacing w:line="360" w:lineRule="auto"/>
              <w:jc w:val="center"/>
              <w:rPr>
                <w:rFonts w:hint="eastAsia" w:asciiTheme="minorEastAsia" w:hAnsiTheme="minorEastAsia" w:eastAsiaTheme="minorEastAsia" w:cstheme="minorEastAsia"/>
                <w:color w:val="auto"/>
                <w:sz w:val="24"/>
              </w:rPr>
            </w:pPr>
          </w:p>
          <w:p w14:paraId="0A7E47F0">
            <w:pPr>
              <w:spacing w:line="360" w:lineRule="auto"/>
              <w:jc w:val="center"/>
              <w:rPr>
                <w:rFonts w:hint="eastAsia" w:asciiTheme="minorEastAsia" w:hAnsiTheme="minorEastAsia" w:eastAsiaTheme="minorEastAsia" w:cstheme="minorEastAsia"/>
                <w:color w:val="auto"/>
                <w:sz w:val="24"/>
              </w:rPr>
            </w:pPr>
          </w:p>
          <w:p w14:paraId="49A6DD05">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1843" w:type="dxa"/>
            <w:vMerge w:val="restart"/>
            <w:tcBorders>
              <w:top w:val="single" w:color="000000" w:sz="8" w:space="0"/>
              <w:left w:val="single" w:color="auto" w:sz="4" w:space="0"/>
              <w:right w:val="single" w:color="000000" w:sz="8" w:space="0"/>
            </w:tcBorders>
            <w:vAlign w:val="center"/>
          </w:tcPr>
          <w:p w14:paraId="04246B1B">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投标保证金</w:t>
            </w:r>
          </w:p>
        </w:tc>
        <w:tc>
          <w:tcPr>
            <w:tcW w:w="6614" w:type="dxa"/>
            <w:tcBorders>
              <w:top w:val="single" w:color="000000" w:sz="8" w:space="0"/>
              <w:left w:val="single" w:color="000000" w:sz="2" w:space="0"/>
              <w:bottom w:val="single" w:color="000000" w:sz="8" w:space="0"/>
              <w:right w:val="single" w:color="000000" w:sz="8" w:space="0"/>
            </w:tcBorders>
            <w:vAlign w:val="center"/>
          </w:tcPr>
          <w:p w14:paraId="0927988A">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sdt>
              <w:sdtPr>
                <w:rPr>
                  <w:rFonts w:hint="eastAsia" w:asciiTheme="minorEastAsia" w:hAnsiTheme="minorEastAsia" w:eastAsiaTheme="minorEastAsia" w:cstheme="minorEastAsia"/>
                  <w:color w:val="auto"/>
                  <w:kern w:val="0"/>
                  <w:sz w:val="24"/>
                </w:rPr>
                <w:id w:val="147471549"/>
                <w:showingPlcHdr/>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t xml:space="preserve">     </w:t>
                </w:r>
              </w:sdtContent>
            </w:sdt>
            <w:r>
              <w:rPr>
                <w:rFonts w:hint="eastAsia" w:asciiTheme="minorEastAsia" w:hAnsiTheme="minorEastAsia" w:eastAsiaTheme="minorEastAsia" w:cstheme="minorEastAsia"/>
                <w:color w:val="auto"/>
                <w:sz w:val="24"/>
              </w:rPr>
              <w:t>本项目需要交纳投标保证金。交纳投标保证金的具体要求如下：</w:t>
            </w:r>
          </w:p>
          <w:p w14:paraId="0D02B8F7">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一、投标保证金收取：人民币壹拾万元整（￥：100000.00元），响应供应商应于2025年  月   日17:00时前将投标保证金以电汇、网银形式交至以下账户：</w:t>
            </w:r>
          </w:p>
          <w:p w14:paraId="1B542A6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户名：杭州欧方工程管理有限公司。</w:t>
            </w:r>
          </w:p>
          <w:p w14:paraId="49694AB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帐户：33020140201000012322。</w:t>
            </w:r>
          </w:p>
          <w:p w14:paraId="7DD2B4E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开户银行：泰隆银行杭州建德支行。</w:t>
            </w:r>
          </w:p>
          <w:p w14:paraId="34B1C2C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保证金若以电汇、网银方式缴纳的，请将电汇底单、网银电脑打印凭证写上所投项目名称、编号。</w:t>
            </w:r>
          </w:p>
        </w:tc>
      </w:tr>
      <w:tr w14:paraId="3DF99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74" w:hRule="atLeast"/>
          <w:tblHeader/>
        </w:trPr>
        <w:tc>
          <w:tcPr>
            <w:tcW w:w="629" w:type="dxa"/>
            <w:vMerge w:val="continue"/>
            <w:tcBorders>
              <w:left w:val="single" w:color="auto" w:sz="4" w:space="0"/>
              <w:right w:val="single" w:color="auto" w:sz="4" w:space="0"/>
            </w:tcBorders>
          </w:tcPr>
          <w:p w14:paraId="443B6E4C">
            <w:pPr>
              <w:spacing w:line="360" w:lineRule="auto"/>
              <w:jc w:val="center"/>
              <w:rPr>
                <w:rFonts w:hint="eastAsia" w:asciiTheme="minorEastAsia" w:hAnsiTheme="minorEastAsia" w:eastAsiaTheme="minorEastAsia" w:cstheme="minorEastAsia"/>
                <w:color w:val="auto"/>
                <w:sz w:val="24"/>
              </w:rPr>
            </w:pPr>
          </w:p>
        </w:tc>
        <w:tc>
          <w:tcPr>
            <w:tcW w:w="1843" w:type="dxa"/>
            <w:vMerge w:val="continue"/>
            <w:tcBorders>
              <w:left w:val="single" w:color="auto" w:sz="4" w:space="0"/>
              <w:right w:val="single" w:color="000000" w:sz="8" w:space="0"/>
            </w:tcBorders>
            <w:vAlign w:val="center"/>
          </w:tcPr>
          <w:p w14:paraId="01E1234A">
            <w:pPr>
              <w:spacing w:line="360" w:lineRule="auto"/>
              <w:jc w:val="center"/>
              <w:rPr>
                <w:rFonts w:hint="eastAsia" w:asciiTheme="minorEastAsia" w:hAnsiTheme="minorEastAsia" w:eastAsiaTheme="minorEastAsia" w:cstheme="minorEastAsia"/>
                <w:color w:val="auto"/>
                <w:sz w:val="24"/>
              </w:rPr>
            </w:pPr>
          </w:p>
        </w:tc>
        <w:tc>
          <w:tcPr>
            <w:tcW w:w="6614" w:type="dxa"/>
            <w:tcBorders>
              <w:top w:val="single" w:color="000000" w:sz="8" w:space="0"/>
              <w:left w:val="single" w:color="000000" w:sz="2" w:space="0"/>
              <w:bottom w:val="single" w:color="000000" w:sz="8" w:space="0"/>
              <w:right w:val="single" w:color="000000" w:sz="8" w:space="0"/>
            </w:tcBorders>
            <w:vAlign w:val="center"/>
          </w:tcPr>
          <w:p w14:paraId="5EFC2050">
            <w:pPr>
              <w:spacing w:line="360" w:lineRule="auto"/>
              <w:ind w:firstLine="480" w:firstLineChars="200"/>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snapToGrid w:val="0"/>
                <w:color w:val="auto"/>
                <w:sz w:val="24"/>
              </w:rPr>
              <w:t>二、投标保证金退还：</w:t>
            </w:r>
          </w:p>
          <w:p w14:paraId="7BC7E17D">
            <w:pPr>
              <w:spacing w:line="360" w:lineRule="auto"/>
              <w:ind w:firstLine="480" w:firstLineChars="200"/>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bCs/>
                <w:color w:val="auto"/>
                <w:sz w:val="24"/>
              </w:rPr>
              <w:t>（</w:t>
            </w:r>
            <w:r>
              <w:rPr>
                <w:rFonts w:hint="eastAsia" w:asciiTheme="minorEastAsia" w:hAnsiTheme="minorEastAsia" w:eastAsiaTheme="minorEastAsia" w:cstheme="minorEastAsia"/>
                <w:snapToGrid w:val="0"/>
                <w:color w:val="auto"/>
                <w:sz w:val="24"/>
              </w:rPr>
              <w:t>1）未中标人在中标候选人公示期结束后联系招标代理机构退还投标保证金。</w:t>
            </w:r>
          </w:p>
          <w:p w14:paraId="6A550E72">
            <w:pPr>
              <w:spacing w:line="360" w:lineRule="auto"/>
              <w:ind w:firstLine="480" w:firstLineChars="200"/>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snapToGrid w:val="0"/>
                <w:color w:val="auto"/>
                <w:sz w:val="24"/>
              </w:rPr>
              <w:t>（2）中标人在合同签订完成后联系招标代理机构退还投标保证金。</w:t>
            </w:r>
          </w:p>
          <w:p w14:paraId="4AE2D836">
            <w:pPr>
              <w:spacing w:line="360" w:lineRule="auto"/>
              <w:ind w:firstLine="480" w:firstLineChars="200"/>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snapToGrid w:val="0"/>
                <w:color w:val="auto"/>
                <w:sz w:val="24"/>
              </w:rPr>
              <w:t>注：本招标文件所述“投标保证金退还”仅适用以现金、转账形式交纳的投标保证金，以投标担保方式交纳的投标保证金无须退还。</w:t>
            </w:r>
          </w:p>
          <w:p w14:paraId="4B0EE82D">
            <w:pPr>
              <w:spacing w:line="360" w:lineRule="auto"/>
              <w:ind w:firstLine="482" w:firstLineChars="200"/>
              <w:rPr>
                <w:rFonts w:hint="eastAsia" w:asciiTheme="minorEastAsia" w:hAnsiTheme="minorEastAsia" w:eastAsiaTheme="minorEastAsia" w:cstheme="minorEastAsia"/>
                <w:b/>
                <w:bCs/>
                <w:snapToGrid w:val="0"/>
                <w:color w:val="auto"/>
                <w:sz w:val="24"/>
              </w:rPr>
            </w:pPr>
            <w:r>
              <w:rPr>
                <w:rFonts w:hint="eastAsia" w:asciiTheme="minorEastAsia" w:hAnsiTheme="minorEastAsia" w:eastAsiaTheme="minorEastAsia" w:cstheme="minorEastAsia"/>
                <w:b/>
                <w:bCs/>
                <w:snapToGrid w:val="0"/>
                <w:color w:val="auto"/>
                <w:sz w:val="24"/>
              </w:rPr>
              <w:t>注：</w:t>
            </w:r>
          </w:p>
          <w:p w14:paraId="7739AC86">
            <w:pPr>
              <w:spacing w:line="360" w:lineRule="auto"/>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snapToGrid w:val="0"/>
                <w:color w:val="auto"/>
                <w:sz w:val="24"/>
              </w:rPr>
              <w:t>本招标文件所述“投标保证金退还”仅适用以现金转账形式交纳的投标保证金，以投标担保方式交纳的投标保证金无须退还。</w:t>
            </w:r>
          </w:p>
        </w:tc>
      </w:tr>
      <w:tr w14:paraId="3861C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74" w:hRule="atLeast"/>
          <w:tblHeader/>
        </w:trPr>
        <w:tc>
          <w:tcPr>
            <w:tcW w:w="629" w:type="dxa"/>
            <w:vMerge w:val="continue"/>
            <w:tcBorders>
              <w:left w:val="single" w:color="auto" w:sz="4" w:space="0"/>
              <w:bottom w:val="single" w:color="auto" w:sz="4" w:space="0"/>
              <w:right w:val="single" w:color="auto" w:sz="4" w:space="0"/>
            </w:tcBorders>
          </w:tcPr>
          <w:p w14:paraId="634A2CAE">
            <w:pPr>
              <w:spacing w:line="360" w:lineRule="auto"/>
              <w:jc w:val="center"/>
              <w:rPr>
                <w:rFonts w:hint="eastAsia" w:asciiTheme="minorEastAsia" w:hAnsiTheme="minorEastAsia" w:eastAsiaTheme="minorEastAsia" w:cs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35946585">
            <w:pPr>
              <w:spacing w:line="360" w:lineRule="auto"/>
              <w:jc w:val="center"/>
              <w:rPr>
                <w:rFonts w:hint="eastAsia" w:asciiTheme="minorEastAsia" w:hAnsiTheme="minorEastAsia" w:eastAsiaTheme="minorEastAsia" w:cstheme="minorEastAsia"/>
                <w:color w:val="auto"/>
                <w:sz w:val="24"/>
              </w:rPr>
            </w:pPr>
          </w:p>
        </w:tc>
        <w:tc>
          <w:tcPr>
            <w:tcW w:w="6614" w:type="dxa"/>
            <w:tcBorders>
              <w:top w:val="single" w:color="000000" w:sz="8" w:space="0"/>
              <w:left w:val="single" w:color="000000" w:sz="2" w:space="0"/>
              <w:bottom w:val="single" w:color="000000" w:sz="8" w:space="0"/>
              <w:right w:val="single" w:color="000000" w:sz="8" w:space="0"/>
            </w:tcBorders>
            <w:vAlign w:val="center"/>
          </w:tcPr>
          <w:p w14:paraId="2FF5A399">
            <w:pPr>
              <w:pStyle w:val="23"/>
              <w:ind w:firstLine="48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三、如有下列情形之一的，投标保证金将不予退还：</w:t>
            </w:r>
          </w:p>
          <w:p w14:paraId="6A1E7809">
            <w:pPr>
              <w:pStyle w:val="23"/>
              <w:ind w:firstLine="48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bCs/>
                <w:color w:val="auto"/>
                <w:szCs w:val="24"/>
              </w:rPr>
              <w:t>（</w:t>
            </w:r>
            <w:r>
              <w:rPr>
                <w:rFonts w:hint="eastAsia" w:asciiTheme="minorEastAsia" w:hAnsiTheme="minorEastAsia" w:eastAsiaTheme="minorEastAsia" w:cstheme="minorEastAsia"/>
                <w:bCs/>
                <w:color w:val="auto"/>
                <w:szCs w:val="24"/>
                <w:lang w:val="en-US"/>
              </w:rPr>
              <w:t>1</w:t>
            </w:r>
            <w:r>
              <w:rPr>
                <w:rFonts w:hint="eastAsia" w:asciiTheme="minorEastAsia" w:hAnsiTheme="minorEastAsia" w:eastAsiaTheme="minorEastAsia" w:cstheme="minorEastAsia"/>
                <w:bCs/>
                <w:color w:val="auto"/>
                <w:szCs w:val="24"/>
              </w:rPr>
              <w:t>）</w:t>
            </w:r>
            <w:r>
              <w:rPr>
                <w:rFonts w:hint="eastAsia" w:asciiTheme="minorEastAsia" w:hAnsiTheme="minorEastAsia" w:eastAsiaTheme="minorEastAsia" w:cstheme="minorEastAsia"/>
                <w:color w:val="auto"/>
                <w:szCs w:val="24"/>
              </w:rPr>
              <w:t>投标截止时间以后投标人在投标有效期内撤销投标文件的；</w:t>
            </w:r>
          </w:p>
          <w:p w14:paraId="485CAE7A">
            <w:pPr>
              <w:pStyle w:val="23"/>
              <w:ind w:firstLine="48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bCs/>
                <w:color w:val="auto"/>
                <w:szCs w:val="24"/>
              </w:rPr>
              <w:t>（</w:t>
            </w:r>
            <w:r>
              <w:rPr>
                <w:rFonts w:hint="eastAsia" w:asciiTheme="minorEastAsia" w:hAnsiTheme="minorEastAsia" w:eastAsiaTheme="minorEastAsia" w:cstheme="minorEastAsia"/>
                <w:bCs/>
                <w:color w:val="auto"/>
                <w:szCs w:val="24"/>
                <w:lang w:val="en-US"/>
              </w:rPr>
              <w:t>2</w:t>
            </w:r>
            <w:r>
              <w:rPr>
                <w:rFonts w:hint="eastAsia" w:asciiTheme="minorEastAsia" w:hAnsiTheme="minorEastAsia" w:eastAsiaTheme="minorEastAsia" w:cstheme="minorEastAsia"/>
                <w:bCs/>
                <w:color w:val="auto"/>
                <w:szCs w:val="24"/>
              </w:rPr>
              <w:t>）</w:t>
            </w:r>
            <w:r>
              <w:rPr>
                <w:rFonts w:hint="eastAsia" w:asciiTheme="minorEastAsia" w:hAnsiTheme="minorEastAsia" w:eastAsiaTheme="minorEastAsia" w:cstheme="minorEastAsia"/>
                <w:color w:val="auto"/>
                <w:szCs w:val="24"/>
              </w:rPr>
              <w:t>中标人无正当理由不与招标人订立合同或者在签订合同时向招标人提出附加条件或者不按照招标文件要求提交履约保证金，无故放弃中标资格的；</w:t>
            </w:r>
          </w:p>
          <w:p w14:paraId="610A21F8">
            <w:pPr>
              <w:pStyle w:val="23"/>
              <w:ind w:firstLine="48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bCs/>
                <w:color w:val="auto"/>
                <w:szCs w:val="24"/>
              </w:rPr>
              <w:t>（3）</w:t>
            </w:r>
            <w:r>
              <w:rPr>
                <w:rFonts w:hint="eastAsia" w:asciiTheme="minorEastAsia" w:hAnsiTheme="minorEastAsia" w:eastAsiaTheme="minorEastAsia" w:cstheme="minorEastAsia"/>
                <w:color w:val="auto"/>
                <w:szCs w:val="24"/>
              </w:rPr>
              <w:t>投标人存在其他严重扰乱招标投标正常秩序的违法行为的。</w:t>
            </w:r>
          </w:p>
          <w:p w14:paraId="24ABF104">
            <w:pPr>
              <w:pStyle w:val="23"/>
              <w:ind w:firstLine="48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注：</w:t>
            </w:r>
          </w:p>
          <w:p w14:paraId="2D170521">
            <w:pPr>
              <w:pStyle w:val="23"/>
              <w:ind w:firstLine="48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本招标文件的“投标保证金不予退还”是指：</w:t>
            </w:r>
          </w:p>
          <w:p w14:paraId="2664F9C4">
            <w:pPr>
              <w:pStyle w:val="23"/>
              <w:ind w:firstLine="48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◆以现金转账形式，转账现金不予退还。</w:t>
            </w:r>
          </w:p>
          <w:p w14:paraId="233FF65A">
            <w:pPr>
              <w:pStyle w:val="23"/>
              <w:ind w:firstLine="48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◆以银行保函形式，招标人作为受益人向银行提起索赔。</w:t>
            </w:r>
          </w:p>
          <w:p w14:paraId="5200B1CA">
            <w:pPr>
              <w:pStyle w:val="23"/>
              <w:ind w:firstLine="48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◆以保证保险形式，招标人作为被保险人（受益人）向保险人提起索赔。</w:t>
            </w:r>
          </w:p>
          <w:p w14:paraId="494E62A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napToGrid w:val="0"/>
                <w:color w:val="auto"/>
                <w:sz w:val="24"/>
              </w:rPr>
              <w:t>◆以担保公司担保形式,招标人作为受益人向担保人提起索赔。</w:t>
            </w:r>
          </w:p>
        </w:tc>
      </w:tr>
      <w:tr w14:paraId="0FAC6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5A98CE3">
            <w:pPr>
              <w:spacing w:line="360" w:lineRule="auto"/>
              <w:jc w:val="center"/>
              <w:rPr>
                <w:rFonts w:hint="eastAsia" w:asciiTheme="minorEastAsia" w:hAnsiTheme="minorEastAsia" w:eastAsiaTheme="minorEastAsia" w:cstheme="minorEastAsia"/>
                <w:color w:val="auto"/>
                <w:sz w:val="24"/>
              </w:rPr>
            </w:pPr>
          </w:p>
          <w:p w14:paraId="434E824A">
            <w:pPr>
              <w:spacing w:line="360" w:lineRule="auto"/>
              <w:jc w:val="center"/>
              <w:rPr>
                <w:rFonts w:hint="eastAsia" w:asciiTheme="minorEastAsia" w:hAnsiTheme="minorEastAsia" w:eastAsiaTheme="minorEastAsia" w:cstheme="minorEastAsia"/>
                <w:color w:val="auto"/>
                <w:sz w:val="24"/>
              </w:rPr>
            </w:pPr>
          </w:p>
          <w:p w14:paraId="6A79A64D">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6A880B7">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是否允许采购进口产品</w:t>
            </w:r>
          </w:p>
        </w:tc>
        <w:tc>
          <w:tcPr>
            <w:tcW w:w="6614" w:type="dxa"/>
            <w:tcBorders>
              <w:top w:val="single" w:color="000000" w:sz="8" w:space="0"/>
              <w:left w:val="single" w:color="000000" w:sz="2" w:space="0"/>
              <w:bottom w:val="single" w:color="000000" w:sz="8" w:space="0"/>
              <w:right w:val="single" w:color="000000" w:sz="8" w:space="0"/>
            </w:tcBorders>
            <w:vAlign w:val="center"/>
          </w:tcPr>
          <w:p w14:paraId="56CCADCC">
            <w:pPr>
              <w:spacing w:line="360" w:lineRule="auto"/>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sz w:val="24"/>
                </w:rPr>
                <w:id w:val="147451620"/>
              </w:sdtPr>
              <w:sdtEndPr>
                <w:rPr>
                  <w:rFonts w:hint="eastAsia" w:asciiTheme="minorEastAsia" w:hAnsiTheme="minorEastAsia" w:eastAsiaTheme="minorEastAsia" w:cstheme="minorEastAsia"/>
                  <w:color w:val="auto"/>
                  <w:sz w:val="24"/>
                </w:rPr>
              </w:sdtEndPr>
              <w:sdtContent>
                <w:r>
                  <w:rPr>
                    <w:rFonts w:hint="eastAsia" w:asciiTheme="minorEastAsia" w:hAnsiTheme="minorEastAsia" w:eastAsiaTheme="minorEastAsia" w:cstheme="minorEastAsia"/>
                    <w:color w:val="auto"/>
                    <w:sz w:val="24"/>
                  </w:rPr>
                  <w:sym w:font="Wingdings" w:char="00FE"/>
                </w:r>
              </w:sdtContent>
            </w:sdt>
            <w:r>
              <w:rPr>
                <w:rFonts w:hint="eastAsia" w:asciiTheme="minorEastAsia" w:hAnsiTheme="minorEastAsia" w:eastAsiaTheme="minorEastAsia" w:cstheme="minorEastAsia"/>
                <w:color w:val="auto"/>
                <w:sz w:val="24"/>
              </w:rPr>
              <w:t>本项目不允许采购进口产品。</w:t>
            </w:r>
          </w:p>
          <w:p w14:paraId="0AC27515">
            <w:pPr>
              <w:spacing w:line="360" w:lineRule="auto"/>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sz w:val="24"/>
                </w:rPr>
                <w:id w:val="147460692"/>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sz w:val="24"/>
                </w:rPr>
              </w:sdtEndPr>
              <w:sdtContent>
                <w:r>
                  <w:rPr>
                    <w:rFonts w:hint="eastAsia" w:asciiTheme="minorEastAsia" w:hAnsiTheme="minorEastAsia" w:eastAsiaTheme="minorEastAsia" w:cstheme="minorEastAsia"/>
                    <w:color w:val="auto"/>
                    <w:sz w:val="24"/>
                  </w:rPr>
                  <w:t>☐</w:t>
                </w:r>
              </w:sdtContent>
            </w:sdt>
            <w:r>
              <w:rPr>
                <w:rFonts w:hint="eastAsia" w:asciiTheme="minorEastAsia" w:hAnsiTheme="minorEastAsia" w:eastAsiaTheme="minorEastAsia" w:cstheme="minorEastAsia"/>
                <w:color w:val="auto"/>
                <w:sz w:val="24"/>
              </w:rPr>
              <w:t>可以就</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采购进口产品。</w:t>
            </w:r>
          </w:p>
        </w:tc>
      </w:tr>
      <w:tr w14:paraId="65987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218FBC1">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A23C89E">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分包</w:t>
            </w:r>
          </w:p>
        </w:tc>
        <w:tc>
          <w:tcPr>
            <w:tcW w:w="6614" w:type="dxa"/>
            <w:tcBorders>
              <w:top w:val="single" w:color="000000" w:sz="8" w:space="0"/>
              <w:left w:val="single" w:color="000000" w:sz="2" w:space="0"/>
              <w:bottom w:val="single" w:color="000000" w:sz="8" w:space="0"/>
              <w:right w:val="single" w:color="000000" w:sz="8" w:space="0"/>
            </w:tcBorders>
            <w:vAlign w:val="center"/>
          </w:tcPr>
          <w:p w14:paraId="544AD882">
            <w:pPr>
              <w:spacing w:line="360" w:lineRule="auto"/>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kern w:val="0"/>
                  <w:sz w:val="24"/>
                </w:rPr>
                <w:id w:val="147482315"/>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t>þ</w:t>
                </w:r>
              </w:sdtContent>
            </w:sdt>
            <w:r>
              <w:rPr>
                <w:rFonts w:hint="eastAsia" w:asciiTheme="minorEastAsia" w:hAnsiTheme="minorEastAsia" w:eastAsiaTheme="minorEastAsia" w:cstheme="minorEastAsia"/>
                <w:color w:val="auto"/>
                <w:kern w:val="0"/>
                <w:sz w:val="24"/>
              </w:rPr>
              <w:t>A</w:t>
            </w:r>
            <w:r>
              <w:rPr>
                <w:rFonts w:hint="eastAsia" w:asciiTheme="minorEastAsia" w:hAnsiTheme="minorEastAsia" w:eastAsiaTheme="minorEastAsia" w:cstheme="minorEastAsia"/>
                <w:color w:val="auto"/>
                <w:sz w:val="24"/>
              </w:rPr>
              <w:t>同意将非主体、非关键性的</w:t>
            </w:r>
            <w:r>
              <w:rPr>
                <w:rFonts w:hint="eastAsia" w:asciiTheme="minorEastAsia" w:hAnsiTheme="minorEastAsia" w:eastAsiaTheme="minorEastAsia" w:cstheme="minorEastAsia"/>
                <w:color w:val="auto"/>
                <w:sz w:val="24"/>
                <w:u w:val="single"/>
              </w:rPr>
              <w:t xml:space="preserve">  安装   </w:t>
            </w:r>
            <w:r>
              <w:rPr>
                <w:rFonts w:hint="eastAsia" w:asciiTheme="minorEastAsia" w:hAnsiTheme="minorEastAsia" w:eastAsiaTheme="minorEastAsia" w:cstheme="minorEastAsia"/>
                <w:color w:val="auto"/>
                <w:sz w:val="24"/>
              </w:rPr>
              <w:t>工作分包。</w:t>
            </w:r>
          </w:p>
          <w:p w14:paraId="21A19678">
            <w:pPr>
              <w:spacing w:line="360" w:lineRule="auto"/>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kern w:val="0"/>
                  <w:sz w:val="24"/>
                </w:rPr>
                <w:id w:val="147479356"/>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sym w:font="Wingdings" w:char="00A8"/>
                </w:r>
              </w:sdtContent>
            </w:sdt>
            <w:r>
              <w:rPr>
                <w:rFonts w:hint="eastAsia" w:asciiTheme="minorEastAsia" w:hAnsiTheme="minorEastAsia" w:eastAsiaTheme="minorEastAsia" w:cstheme="minorEastAsia"/>
                <w:color w:val="auto"/>
                <w:kern w:val="0"/>
                <w:sz w:val="24"/>
              </w:rPr>
              <w:t xml:space="preserve"> B</w:t>
            </w:r>
            <w:r>
              <w:rPr>
                <w:rFonts w:hint="eastAsia" w:asciiTheme="minorEastAsia" w:hAnsiTheme="minorEastAsia" w:eastAsiaTheme="minorEastAsia" w:cstheme="minorEastAsia"/>
                <w:color w:val="auto"/>
                <w:sz w:val="24"/>
              </w:rPr>
              <w:t>不同意分包。</w:t>
            </w:r>
          </w:p>
          <w:p w14:paraId="6119E0EB">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注：不得限制大中型企业向小微企业合理分包。</w:t>
            </w:r>
          </w:p>
        </w:tc>
      </w:tr>
      <w:tr w14:paraId="1323D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946BA18">
            <w:pPr>
              <w:spacing w:line="360" w:lineRule="auto"/>
              <w:jc w:val="center"/>
              <w:rPr>
                <w:rFonts w:hint="eastAsia" w:asciiTheme="minorEastAsia" w:hAnsiTheme="minorEastAsia" w:eastAsiaTheme="minorEastAsia" w:cstheme="minorEastAsia"/>
                <w:color w:val="auto"/>
                <w:sz w:val="24"/>
              </w:rPr>
            </w:pPr>
          </w:p>
          <w:p w14:paraId="783F9127">
            <w:pPr>
              <w:spacing w:line="360" w:lineRule="auto"/>
              <w:jc w:val="center"/>
              <w:rPr>
                <w:rFonts w:hint="eastAsia" w:asciiTheme="minorEastAsia" w:hAnsiTheme="minorEastAsia" w:eastAsiaTheme="minorEastAsia" w:cstheme="minorEastAsia"/>
                <w:color w:val="auto"/>
                <w:sz w:val="24"/>
              </w:rPr>
            </w:pPr>
          </w:p>
          <w:p w14:paraId="0737E5E3">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27908B4">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开标前答疑会或现场考察</w:t>
            </w:r>
          </w:p>
        </w:tc>
        <w:tc>
          <w:tcPr>
            <w:tcW w:w="6614" w:type="dxa"/>
            <w:tcBorders>
              <w:top w:val="single" w:color="000000" w:sz="8" w:space="0"/>
              <w:left w:val="single" w:color="000000" w:sz="2" w:space="0"/>
              <w:bottom w:val="single" w:color="000000" w:sz="8" w:space="0"/>
              <w:right w:val="single" w:color="000000" w:sz="8" w:space="0"/>
            </w:tcBorders>
            <w:vAlign w:val="center"/>
          </w:tcPr>
          <w:p w14:paraId="0811C61B">
            <w:pPr>
              <w:spacing w:line="360" w:lineRule="auto"/>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kern w:val="0"/>
                  <w:sz w:val="24"/>
                </w:rPr>
                <w:id w:val="147462902"/>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t>þ</w:t>
                </w:r>
              </w:sdtContent>
            </w:sdt>
            <w:r>
              <w:rPr>
                <w:rFonts w:hint="eastAsia" w:asciiTheme="minorEastAsia" w:hAnsiTheme="minorEastAsia" w:eastAsiaTheme="minorEastAsia" w:cstheme="minorEastAsia"/>
                <w:color w:val="auto"/>
                <w:kern w:val="0"/>
                <w:sz w:val="24"/>
              </w:rPr>
              <w:t>A</w:t>
            </w:r>
            <w:r>
              <w:rPr>
                <w:rFonts w:hint="eastAsia" w:asciiTheme="minorEastAsia" w:hAnsiTheme="minorEastAsia" w:eastAsiaTheme="minorEastAsia" w:cstheme="minorEastAsia"/>
                <w:color w:val="auto"/>
                <w:sz w:val="24"/>
              </w:rPr>
              <w:t>不组织。</w:t>
            </w:r>
          </w:p>
          <w:p w14:paraId="297A6510">
            <w:pPr>
              <w:spacing w:line="360" w:lineRule="auto"/>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kern w:val="0"/>
                  <w:sz w:val="24"/>
                </w:rPr>
                <w:id w:val="147475883"/>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sym w:font="Wingdings" w:char="00A8"/>
                </w:r>
              </w:sdtContent>
            </w:sdt>
            <w:r>
              <w:rPr>
                <w:rFonts w:hint="eastAsia" w:asciiTheme="minorEastAsia" w:hAnsiTheme="minorEastAsia" w:eastAsiaTheme="minorEastAsia" w:cstheme="minorEastAsia"/>
                <w:color w:val="auto"/>
                <w:kern w:val="0"/>
                <w:sz w:val="24"/>
              </w:rPr>
              <w:t>B组织，</w:t>
            </w: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，地点：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，联系人：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，联系方式：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tc>
      </w:tr>
      <w:tr w14:paraId="598FB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15CFD1C3">
            <w:pPr>
              <w:spacing w:line="360" w:lineRule="auto"/>
              <w:jc w:val="center"/>
              <w:rPr>
                <w:rFonts w:hint="eastAsia" w:asciiTheme="minorEastAsia" w:hAnsiTheme="minorEastAsia" w:eastAsiaTheme="minorEastAsia" w:cstheme="minorEastAsia"/>
                <w:color w:val="auto"/>
                <w:sz w:val="24"/>
              </w:rPr>
            </w:pPr>
          </w:p>
          <w:p w14:paraId="61C5E22E">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7EC7163">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样品提供</w:t>
            </w:r>
          </w:p>
        </w:tc>
        <w:tc>
          <w:tcPr>
            <w:tcW w:w="6614" w:type="dxa"/>
            <w:tcBorders>
              <w:top w:val="single" w:color="000000" w:sz="8" w:space="0"/>
              <w:left w:val="single" w:color="000000" w:sz="2" w:space="0"/>
              <w:bottom w:val="single" w:color="000000" w:sz="8" w:space="0"/>
              <w:right w:val="single" w:color="000000" w:sz="8" w:space="0"/>
            </w:tcBorders>
            <w:vAlign w:val="center"/>
          </w:tcPr>
          <w:p w14:paraId="35B9DEAE">
            <w:pPr>
              <w:spacing w:line="360" w:lineRule="auto"/>
              <w:ind w:firstLine="480" w:firstLineChars="200"/>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kern w:val="0"/>
                  <w:sz w:val="24"/>
                </w:rPr>
                <w:id w:val="147467462"/>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sym w:font="Wingdings" w:char="00FE"/>
                </w:r>
              </w:sdtContent>
            </w:sdt>
            <w:r>
              <w:rPr>
                <w:rFonts w:hint="eastAsia" w:asciiTheme="minorEastAsia" w:hAnsiTheme="minorEastAsia" w:eastAsiaTheme="minorEastAsia" w:cstheme="minorEastAsia"/>
                <w:color w:val="auto"/>
                <w:kern w:val="0"/>
                <w:sz w:val="24"/>
              </w:rPr>
              <w:t>A</w:t>
            </w:r>
            <w:r>
              <w:rPr>
                <w:rFonts w:hint="eastAsia" w:asciiTheme="minorEastAsia" w:hAnsiTheme="minorEastAsia" w:eastAsiaTheme="minorEastAsia" w:cstheme="minorEastAsia"/>
                <w:color w:val="auto"/>
                <w:sz w:val="24"/>
              </w:rPr>
              <w:t>不要求提供。</w:t>
            </w:r>
          </w:p>
          <w:p w14:paraId="716CF289">
            <w:pPr>
              <w:spacing w:line="360" w:lineRule="auto"/>
              <w:ind w:firstLine="480" w:firstLineChars="200"/>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sz w:val="24"/>
                </w:rPr>
                <w:id w:val="147453692"/>
              </w:sdtPr>
              <w:sdtEndPr>
                <w:rPr>
                  <w:rFonts w:hint="eastAsia" w:asciiTheme="minorEastAsia" w:hAnsiTheme="minorEastAsia" w:eastAsiaTheme="minorEastAsia" w:cstheme="minorEastAsia"/>
                  <w:color w:val="auto"/>
                  <w:sz w:val="24"/>
                </w:rPr>
              </w:sdtEndPr>
              <w:sdtContent>
                <w:r>
                  <w:rPr>
                    <w:rFonts w:hint="eastAsia" w:asciiTheme="minorEastAsia" w:hAnsiTheme="minorEastAsia" w:eastAsiaTheme="minorEastAsia" w:cstheme="minorEastAsia"/>
                    <w:color w:val="auto"/>
                    <w:sz w:val="24"/>
                  </w:rPr>
                  <w:sym w:font="Wingdings" w:char="00A8"/>
                </w:r>
              </w:sdtContent>
            </w:sdt>
            <w:r>
              <w:rPr>
                <w:rFonts w:hint="eastAsia" w:asciiTheme="minorEastAsia" w:hAnsiTheme="minorEastAsia" w:eastAsiaTheme="minorEastAsia" w:cstheme="minorEastAsia"/>
                <w:color w:val="auto"/>
                <w:sz w:val="24"/>
              </w:rPr>
              <w:t>B要求提供，</w:t>
            </w:r>
          </w:p>
          <w:p w14:paraId="011B46FD">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r>
              <w:rPr>
                <w:rFonts w:hint="eastAsia" w:asciiTheme="minorEastAsia" w:hAnsiTheme="minorEastAsia" w:eastAsiaTheme="minorEastAsia" w:cstheme="minorEastAsia"/>
                <w:snapToGrid w:val="0"/>
                <w:color w:val="auto"/>
                <w:kern w:val="28"/>
                <w:sz w:val="24"/>
              </w:rPr>
              <w:t>样品：</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b/>
                <w:bCs/>
                <w:color w:val="auto"/>
                <w:sz w:val="24"/>
                <w:u w:val="single"/>
              </w:rPr>
              <w:t xml:space="preserve">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kern w:val="0"/>
                <w:sz w:val="24"/>
              </w:rPr>
              <w:t>；</w:t>
            </w:r>
          </w:p>
          <w:p w14:paraId="4A1E6F43">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w:t>
            </w:r>
            <w:r>
              <w:rPr>
                <w:rFonts w:hint="eastAsia" w:asciiTheme="minorEastAsia" w:hAnsiTheme="minorEastAsia" w:eastAsiaTheme="minorEastAsia" w:cstheme="minorEastAsia"/>
                <w:snapToGrid w:val="0"/>
                <w:color w:val="auto"/>
                <w:sz w:val="24"/>
              </w:rPr>
              <w:t>样品制作的标准和要求：</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kern w:val="0"/>
                <w:sz w:val="24"/>
              </w:rPr>
              <w:t>；</w:t>
            </w:r>
          </w:p>
          <w:p w14:paraId="28F407B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（3）样品的评审方法以及评审标准</w:t>
            </w:r>
            <w:r>
              <w:rPr>
                <w:rFonts w:hint="eastAsia" w:asciiTheme="minorEastAsia" w:hAnsiTheme="minorEastAsia" w:eastAsiaTheme="minorEastAsia" w:cstheme="minorEastAsia"/>
                <w:snapToGrid w:val="0"/>
                <w:color w:val="auto"/>
                <w:kern w:val="28"/>
                <w:sz w:val="24"/>
              </w:rPr>
              <w:t>：详见</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65A5C85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（4）是否需要随样品提交检测报告：</w:t>
            </w:r>
            <w:r>
              <w:rPr>
                <w:rFonts w:hint="eastAsia" w:asciiTheme="minorEastAsia" w:hAnsiTheme="minorEastAsia" w:eastAsiaTheme="minorEastAsia" w:cstheme="minorEastAsia"/>
                <w:color w:val="auto"/>
                <w:sz w:val="24"/>
              </w:rPr>
              <w:sym w:font="Wingdings" w:char="00A8"/>
            </w:r>
            <w:r>
              <w:rPr>
                <w:rFonts w:hint="eastAsia" w:asciiTheme="minorEastAsia" w:hAnsiTheme="minorEastAsia" w:eastAsiaTheme="minorEastAsia" w:cstheme="minorEastAsia"/>
                <w:color w:val="auto"/>
                <w:sz w:val="24"/>
              </w:rPr>
              <w:t>否；</w:t>
            </w:r>
            <w:r>
              <w:rPr>
                <w:rFonts w:hint="eastAsia" w:asciiTheme="minorEastAsia" w:hAnsiTheme="minorEastAsia" w:eastAsiaTheme="minorEastAsia" w:cstheme="minorEastAsia"/>
                <w:color w:val="auto"/>
                <w:sz w:val="24"/>
              </w:rPr>
              <w:sym w:font="Wingdings" w:char="00A8"/>
            </w:r>
            <w:r>
              <w:rPr>
                <w:rFonts w:hint="eastAsia" w:asciiTheme="minorEastAsia" w:hAnsiTheme="minorEastAsia" w:eastAsiaTheme="minorEastAsia" w:cstheme="minorEastAsia"/>
                <w:color w:val="auto"/>
                <w:sz w:val="24"/>
              </w:rPr>
              <w:t>是，</w:t>
            </w:r>
          </w:p>
          <w:p w14:paraId="2E97BC6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检测机构的要求：</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；检测内容：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33D556EF">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（5）提供样品的时间：</w:t>
            </w:r>
            <w:r>
              <w:rPr>
                <w:rFonts w:hint="eastAsia" w:asciiTheme="minorEastAsia" w:hAnsiTheme="minorEastAsia" w:eastAsiaTheme="minorEastAsia" w:cstheme="minorEastAsia"/>
                <w:color w:val="auto"/>
                <w:sz w:val="24"/>
                <w:u w:val="single"/>
              </w:rPr>
              <w:t>投标截止时间前半小时内</w:t>
            </w:r>
            <w:r>
              <w:rPr>
                <w:rFonts w:hint="eastAsia" w:asciiTheme="minorEastAsia" w:hAnsiTheme="minorEastAsia" w:eastAsiaTheme="minorEastAsia" w:cstheme="minorEastAsia"/>
                <w:color w:val="auto"/>
                <w:kern w:val="0"/>
                <w:sz w:val="24"/>
              </w:rPr>
              <w:t>；地点：</w:t>
            </w:r>
            <w:r>
              <w:rPr>
                <w:rFonts w:hint="eastAsia" w:asciiTheme="minorEastAsia" w:hAnsiTheme="minorEastAsia" w:eastAsiaTheme="minorEastAsia" w:cstheme="minorEastAsia"/>
                <w:color w:val="auto"/>
                <w:sz w:val="24"/>
                <w:u w:val="single"/>
              </w:rPr>
              <w:t xml:space="preserve"> 杭州市公共资源交易中心建德分中心（建德市洋溪街道新安江路399号二楼（原建德市客运中心）） </w:t>
            </w:r>
            <w:r>
              <w:rPr>
                <w:rFonts w:hint="eastAsia" w:asciiTheme="minorEastAsia" w:hAnsiTheme="minorEastAsia" w:eastAsiaTheme="minorEastAsia" w:cstheme="minorEastAsia"/>
                <w:color w:val="auto"/>
                <w:kern w:val="0"/>
                <w:sz w:val="24"/>
              </w:rPr>
              <w:t>；联系人</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u w:val="single"/>
              </w:rPr>
              <w:t xml:space="preserve">  陈悦   </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kern w:val="28"/>
                <w:sz w:val="24"/>
              </w:rPr>
              <w:t>联系电话：</w:t>
            </w:r>
            <w:r>
              <w:rPr>
                <w:rFonts w:hint="eastAsia" w:asciiTheme="minorEastAsia" w:hAnsiTheme="minorEastAsia" w:eastAsiaTheme="minorEastAsia" w:cstheme="minorEastAsia"/>
                <w:color w:val="auto"/>
                <w:sz w:val="24"/>
                <w:u w:val="single"/>
              </w:rPr>
              <w:t xml:space="preserve"> 15990158838  </w:t>
            </w:r>
            <w:r>
              <w:rPr>
                <w:rFonts w:hint="eastAsia" w:asciiTheme="minorEastAsia" w:hAnsiTheme="minorEastAsia" w:eastAsiaTheme="minorEastAsia" w:cstheme="minorEastAsia"/>
                <w:color w:val="auto"/>
                <w:sz w:val="24"/>
              </w:rPr>
              <w:t>。请投标人在上述时间内提供样品并按规定位置安装完毕。超过截止时间的，采购人或采购代理机构将不予接收，并将清场并封闭样品现场。</w:t>
            </w:r>
          </w:p>
          <w:p w14:paraId="5DFA16E1">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6324DF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（7）制作、运输、安装和保管样品所发生的一切费用由投标人自理。</w:t>
            </w:r>
          </w:p>
        </w:tc>
      </w:tr>
      <w:tr w14:paraId="394C4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199" w:hRule="atLeast"/>
          <w:tblHeader/>
        </w:trPr>
        <w:tc>
          <w:tcPr>
            <w:tcW w:w="629" w:type="dxa"/>
            <w:tcBorders>
              <w:top w:val="single" w:color="auto" w:sz="4" w:space="0"/>
              <w:left w:val="single" w:color="auto" w:sz="4" w:space="0"/>
              <w:bottom w:val="single" w:color="auto" w:sz="4" w:space="0"/>
              <w:right w:val="single" w:color="auto" w:sz="4" w:space="0"/>
            </w:tcBorders>
          </w:tcPr>
          <w:p w14:paraId="3FBCF3E5">
            <w:pPr>
              <w:spacing w:line="360" w:lineRule="auto"/>
              <w:jc w:val="center"/>
              <w:rPr>
                <w:rFonts w:hint="eastAsia" w:asciiTheme="minorEastAsia" w:hAnsiTheme="minorEastAsia" w:eastAsiaTheme="minorEastAsia" w:cstheme="minorEastAsia"/>
                <w:color w:val="auto"/>
                <w:sz w:val="24"/>
              </w:rPr>
            </w:pPr>
          </w:p>
          <w:p w14:paraId="7B4AC355">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0064A0B">
            <w:pPr>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方案讲解演示</w:t>
            </w:r>
          </w:p>
        </w:tc>
        <w:tc>
          <w:tcPr>
            <w:tcW w:w="6614" w:type="dxa"/>
            <w:tcBorders>
              <w:top w:val="single" w:color="000000" w:sz="8" w:space="0"/>
              <w:left w:val="single" w:color="000000" w:sz="2" w:space="0"/>
              <w:bottom w:val="single" w:color="000000" w:sz="8" w:space="0"/>
              <w:right w:val="single" w:color="000000" w:sz="8" w:space="0"/>
            </w:tcBorders>
            <w:vAlign w:val="center"/>
          </w:tcPr>
          <w:p w14:paraId="02C5940F">
            <w:pPr>
              <w:spacing w:line="360" w:lineRule="auto"/>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kern w:val="0"/>
                  <w:sz w:val="24"/>
                </w:rPr>
                <w:id w:val="147479409"/>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sym w:font="Wingdings" w:char="00FE"/>
                </w:r>
              </w:sdtContent>
            </w:sdt>
            <w:r>
              <w:rPr>
                <w:rFonts w:hint="eastAsia" w:asciiTheme="minorEastAsia" w:hAnsiTheme="minorEastAsia" w:eastAsiaTheme="minorEastAsia" w:cstheme="minorEastAsia"/>
                <w:color w:val="auto"/>
                <w:kern w:val="0"/>
                <w:sz w:val="24"/>
              </w:rPr>
              <w:t>A</w:t>
            </w:r>
            <w:r>
              <w:rPr>
                <w:rFonts w:hint="eastAsia" w:asciiTheme="minorEastAsia" w:hAnsiTheme="minorEastAsia" w:eastAsiaTheme="minorEastAsia" w:cstheme="minorEastAsia"/>
                <w:color w:val="auto"/>
                <w:sz w:val="24"/>
              </w:rPr>
              <w:t>不组织。</w:t>
            </w:r>
          </w:p>
          <w:p w14:paraId="760A6573">
            <w:pPr>
              <w:spacing w:line="360" w:lineRule="auto"/>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sz w:val="24"/>
                </w:rPr>
                <w:id w:val="1174071719"/>
              </w:sdtPr>
              <w:sdtEndPr>
                <w:rPr>
                  <w:rFonts w:hint="eastAsia" w:asciiTheme="minorEastAsia" w:hAnsiTheme="minorEastAsia" w:eastAsiaTheme="minorEastAsia" w:cstheme="minorEastAsia"/>
                  <w:color w:val="auto"/>
                  <w:sz w:val="24"/>
                </w:rPr>
              </w:sdtEndPr>
              <w:sdtContent>
                <w:sdt>
                  <w:sdtPr>
                    <w:rPr>
                      <w:rFonts w:hint="eastAsia" w:asciiTheme="minorEastAsia" w:hAnsiTheme="minorEastAsia" w:eastAsiaTheme="minorEastAsia" w:cstheme="minorEastAsia"/>
                      <w:color w:val="auto"/>
                      <w:sz w:val="24"/>
                    </w:rPr>
                    <w:id w:val="147453977"/>
                  </w:sdtPr>
                  <w:sdtEndPr>
                    <w:rPr>
                      <w:rFonts w:hint="eastAsia" w:asciiTheme="minorEastAsia" w:hAnsiTheme="minorEastAsia" w:eastAsiaTheme="minorEastAsia" w:cstheme="minorEastAsia"/>
                      <w:color w:val="auto"/>
                      <w:sz w:val="24"/>
                    </w:rPr>
                  </w:sdtEndPr>
                  <w:sdtContent>
                    <w:r>
                      <w:rPr>
                        <w:rFonts w:hint="eastAsia" w:asciiTheme="minorEastAsia" w:hAnsiTheme="minorEastAsia" w:eastAsiaTheme="minorEastAsia" w:cstheme="minorEastAsia"/>
                        <w:color w:val="auto"/>
                        <w:sz w:val="24"/>
                      </w:rPr>
                      <w:sym w:font="Wingdings" w:char="00A8"/>
                    </w:r>
                  </w:sdtContent>
                </w:sdt>
              </w:sdtContent>
            </w:sdt>
            <w:r>
              <w:rPr>
                <w:rFonts w:hint="eastAsia" w:asciiTheme="minorEastAsia" w:hAnsiTheme="minorEastAsia" w:eastAsiaTheme="minorEastAsia" w:cstheme="minorEastAsia"/>
                <w:color w:val="auto"/>
                <w:sz w:val="24"/>
              </w:rPr>
              <w:t>B组织。</w:t>
            </w:r>
          </w:p>
          <w:p w14:paraId="557E49A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（1）在评审时安排每个供应商进行方案讲解演示。每个供应商时间不超过</w:t>
            </w:r>
            <w:r>
              <w:rPr>
                <w:rFonts w:hint="eastAsia" w:asciiTheme="minorEastAsia" w:hAnsiTheme="minorEastAsia" w:eastAsiaTheme="minorEastAsia" w:cstheme="minorEastAsia"/>
                <w:color w:val="auto"/>
                <w:sz w:val="24"/>
                <w:u w:val="single"/>
              </w:rPr>
              <w:t>20分钟（编制时可根据项目情况进行调整）</w:t>
            </w:r>
            <w:r>
              <w:rPr>
                <w:rFonts w:hint="eastAsia" w:asciiTheme="minorEastAsia" w:hAnsiTheme="minorEastAsia" w:eastAsiaTheme="minorEastAsia" w:cstheme="minorEastAsia"/>
                <w:color w:val="auto"/>
                <w:sz w:val="24"/>
              </w:rPr>
              <w:t>，讲解次序以响应文件解密时间先后次序为准，讲解演示人员不超过</w:t>
            </w:r>
            <w:r>
              <w:rPr>
                <w:rFonts w:hint="eastAsia" w:asciiTheme="minorEastAsia" w:hAnsiTheme="minorEastAsia" w:eastAsiaTheme="minorEastAsia" w:cstheme="minorEastAsia"/>
                <w:color w:val="auto"/>
                <w:sz w:val="24"/>
                <w:u w:val="single"/>
              </w:rPr>
              <w:t>3（编制时可根据项目情况进行调整）</w:t>
            </w:r>
            <w:r>
              <w:rPr>
                <w:rFonts w:hint="eastAsia" w:asciiTheme="minorEastAsia" w:hAnsiTheme="minorEastAsia" w:eastAsiaTheme="minorEastAsia" w:cstheme="minorEastAsia"/>
                <w:color w:val="auto"/>
                <w:sz w:val="24"/>
              </w:rPr>
              <w:t>人。讲解演示结束后按要求解答评标委员会提问。</w:t>
            </w:r>
          </w:p>
          <w:p w14:paraId="151AE9B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（2）方案讲解演示可选择以下其中一种方式：</w:t>
            </w:r>
          </w:p>
          <w:p w14:paraId="42E01510">
            <w:pPr>
              <w:spacing w:line="360" w:lineRule="auto"/>
              <w:ind w:firstLine="480" w:firstLineChars="200"/>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sz w:val="24"/>
                </w:rPr>
                <w:id w:val="147483370"/>
              </w:sdtPr>
              <w:sdtEndPr>
                <w:rPr>
                  <w:rFonts w:hint="eastAsia" w:asciiTheme="minorEastAsia" w:hAnsiTheme="minorEastAsia" w:eastAsiaTheme="minorEastAsia" w:cstheme="minorEastAsia"/>
                  <w:color w:val="auto"/>
                  <w:sz w:val="24"/>
                </w:rPr>
              </w:sdtEndPr>
              <w:sdtContent>
                <w:r>
                  <w:rPr>
                    <w:rFonts w:hint="eastAsia" w:asciiTheme="minorEastAsia" w:hAnsiTheme="minorEastAsia" w:eastAsiaTheme="minorEastAsia" w:cstheme="minorEastAsia"/>
                    <w:color w:val="auto"/>
                    <w:sz w:val="24"/>
                  </w:rPr>
                  <w:sym w:font="Wingdings" w:char="00A8"/>
                </w:r>
              </w:sdtContent>
            </w:sdt>
            <w:r>
              <w:rPr>
                <w:rFonts w:hint="eastAsia" w:asciiTheme="minorEastAsia" w:hAnsiTheme="minorEastAsia" w:eastAsiaTheme="minorEastAsia" w:cstheme="minorEastAsia"/>
                <w:color w:val="auto"/>
                <w:sz w:val="24"/>
              </w:rPr>
              <w:t>方式一：乐采云平台在线讲解演示。乐采云平台在线讲解需供应商根据乐采云平台操作要求做好准备工作，提前完善软硬件配置环境。</w:t>
            </w:r>
          </w:p>
          <w:p w14:paraId="65244E2B">
            <w:pPr>
              <w:spacing w:line="360" w:lineRule="auto"/>
              <w:ind w:firstLine="480" w:firstLineChars="200"/>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sz w:val="24"/>
                </w:rPr>
                <w:id w:val="147460223"/>
              </w:sdtPr>
              <w:sdtEndPr>
                <w:rPr>
                  <w:rFonts w:hint="eastAsia" w:asciiTheme="minorEastAsia" w:hAnsiTheme="minorEastAsia" w:eastAsiaTheme="minorEastAsia" w:cstheme="minorEastAsia"/>
                  <w:color w:val="auto"/>
                  <w:sz w:val="24"/>
                </w:rPr>
              </w:sdtEndPr>
              <w:sdtContent>
                <w:r>
                  <w:rPr>
                    <w:rFonts w:hint="eastAsia" w:asciiTheme="minorEastAsia" w:hAnsiTheme="minorEastAsia" w:eastAsiaTheme="minorEastAsia" w:cstheme="minorEastAsia"/>
                    <w:color w:val="auto"/>
                    <w:sz w:val="24"/>
                  </w:rPr>
                  <w:sym w:font="Wingdings" w:char="00A8"/>
                </w:r>
              </w:sdtContent>
            </w:sdt>
            <w:r>
              <w:rPr>
                <w:rFonts w:hint="eastAsia" w:asciiTheme="minorEastAsia" w:hAnsiTheme="minorEastAsia" w:eastAsiaTheme="minorEastAsia" w:cstheme="minorEastAsia"/>
                <w:color w:val="auto"/>
                <w:sz w:val="24"/>
              </w:rPr>
              <w:t>方式二：交易中心现场讲解演示。现场讲解地点为</w:t>
            </w:r>
            <w:r>
              <w:rPr>
                <w:rFonts w:hint="eastAsia" w:asciiTheme="minorEastAsia" w:hAnsiTheme="minorEastAsia" w:eastAsiaTheme="minorEastAsia" w:cstheme="minorEastAsia"/>
                <w:color w:val="auto"/>
                <w:sz w:val="24"/>
                <w:u w:val="single"/>
              </w:rPr>
              <w:t xml:space="preserve"> 杭州市公共资源交易中心建德分中心（建德市洋溪街道新安江路399号二楼（原建德市客运中心）） </w:t>
            </w:r>
            <w:r>
              <w:rPr>
                <w:rFonts w:hint="eastAsia" w:asciiTheme="minorEastAsia" w:hAnsiTheme="minorEastAsia" w:eastAsiaTheme="minorEastAsia" w:cstheme="minorEastAsia"/>
                <w:color w:val="auto"/>
                <w:sz w:val="24"/>
              </w:rPr>
              <w:t>，讲解演示所用电脑等设备由供应商自备。现场讲解演示人员进场时提供讲解人员名单（加盖公章或授权代表签名）及身份证明，否则不得讲解演示。</w:t>
            </w:r>
          </w:p>
          <w:p w14:paraId="67372073">
            <w:pPr>
              <w:spacing w:line="360" w:lineRule="auto"/>
              <w:ind w:firstLine="480" w:firstLineChars="200"/>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sz w:val="24"/>
                </w:rPr>
                <w:id w:val="147453562"/>
              </w:sdtPr>
              <w:sdtEndPr>
                <w:rPr>
                  <w:rFonts w:hint="eastAsia" w:asciiTheme="minorEastAsia" w:hAnsiTheme="minorEastAsia" w:eastAsiaTheme="minorEastAsia" w:cstheme="minorEastAsia"/>
                  <w:color w:val="auto"/>
                  <w:sz w:val="24"/>
                </w:rPr>
              </w:sdtEndPr>
              <w:sdtContent>
                <w:r>
                  <w:rPr>
                    <w:rFonts w:hint="eastAsia" w:asciiTheme="minorEastAsia" w:hAnsiTheme="minorEastAsia" w:eastAsiaTheme="minorEastAsia" w:cstheme="minorEastAsia"/>
                    <w:color w:val="auto"/>
                    <w:sz w:val="24"/>
                  </w:rPr>
                  <w:sym w:font="Wingdings" w:char="00A8"/>
                </w:r>
              </w:sdtContent>
            </w:sdt>
            <w:r>
              <w:rPr>
                <w:rFonts w:hint="eastAsia" w:asciiTheme="minorEastAsia" w:hAnsiTheme="minorEastAsia" w:eastAsiaTheme="minorEastAsia" w:cstheme="minorEastAsia"/>
                <w:color w:val="auto"/>
                <w:sz w:val="24"/>
              </w:rPr>
              <w:t>方式三：</w:t>
            </w:r>
            <w:r>
              <w:rPr>
                <w:rFonts w:hint="eastAsia" w:asciiTheme="minorEastAsia" w:hAnsiTheme="minorEastAsia" w:eastAsiaTheme="minorEastAsia" w:cstheme="minorEastAsia"/>
                <w:color w:val="auto"/>
                <w:sz w:val="24"/>
                <w:lang w:val="zh-CN"/>
              </w:rPr>
              <w:t>采用录制视频方式演示，演示视频制作成光盘或U盘（光盘或U盘须密封加盖公章，于2025年</w:t>
            </w: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zh-CN"/>
              </w:rPr>
              <w:t>月</w:t>
            </w: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zh-CN"/>
              </w:rPr>
              <w:t>日</w:t>
            </w:r>
            <w:r>
              <w:rPr>
                <w:rFonts w:hint="eastAsia" w:asciiTheme="minorEastAsia" w:hAnsiTheme="minorEastAsia" w:eastAsiaTheme="minorEastAsia" w:cstheme="minorEastAsia"/>
                <w:color w:val="auto"/>
                <w:sz w:val="24"/>
              </w:rPr>
              <w:t>17</w:t>
            </w:r>
            <w:r>
              <w:rPr>
                <w:rFonts w:hint="eastAsia" w:asciiTheme="minorEastAsia" w:hAnsiTheme="minorEastAsia" w:eastAsiaTheme="minorEastAsia" w:cstheme="minorEastAsia"/>
                <w:color w:val="auto"/>
                <w:sz w:val="24"/>
                <w:lang w:val="zh-CN"/>
              </w:rPr>
              <w:t>时00分00秒邮寄至建德市新安江街道红枫商场17号或于开标前半小时内送至开标现场，未按以上时间要求送达的零分处理，联系人：  陈悦   ，联系电话： 15990158838）。录制的视频必须为MP4格式（若视频为其他格式导致评审中不能正常播放的，责任自负）。（需提供演示演说的现场拍摄的视频</w:t>
            </w:r>
            <w:r>
              <w:rPr>
                <w:rFonts w:hint="eastAsia" w:asciiTheme="minorEastAsia" w:hAnsiTheme="minorEastAsia" w:eastAsiaTheme="minorEastAsia" w:cstheme="minorEastAsia"/>
                <w:color w:val="auto"/>
                <w:sz w:val="24"/>
              </w:rPr>
              <w:t>20</w:t>
            </w:r>
            <w:r>
              <w:rPr>
                <w:rFonts w:hint="eastAsia" w:asciiTheme="minorEastAsia" w:hAnsiTheme="minorEastAsia" w:eastAsiaTheme="minorEastAsia" w:cstheme="minorEastAsia"/>
                <w:color w:val="auto"/>
                <w:sz w:val="24"/>
                <w:lang w:val="zh-CN"/>
              </w:rPr>
              <w:t>分钟之内，仅提供效果图、ppt、demo均不得分）。</w:t>
            </w:r>
          </w:p>
          <w:p w14:paraId="6F82CFBD">
            <w:pPr>
              <w:spacing w:line="360" w:lineRule="auto"/>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注：因供应商自身原因导致无法演示或者演示效果不理想的，责任自负。</w:t>
            </w:r>
          </w:p>
        </w:tc>
      </w:tr>
      <w:tr w14:paraId="7FBCD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132752D5">
            <w:pPr>
              <w:spacing w:line="360" w:lineRule="auto"/>
              <w:jc w:val="center"/>
              <w:rPr>
                <w:rFonts w:hint="eastAsia" w:asciiTheme="minorEastAsia" w:hAnsiTheme="minorEastAsia" w:eastAsiaTheme="minorEastAsia" w:cstheme="minorEastAsia"/>
                <w:color w:val="auto"/>
                <w:sz w:val="24"/>
              </w:rPr>
            </w:pPr>
          </w:p>
          <w:p w14:paraId="1EFC6150">
            <w:pPr>
              <w:spacing w:line="360" w:lineRule="auto"/>
              <w:jc w:val="center"/>
              <w:rPr>
                <w:rFonts w:hint="eastAsia" w:asciiTheme="minorEastAsia" w:hAnsiTheme="minorEastAsia" w:eastAsiaTheme="minorEastAsia" w:cstheme="minorEastAsia"/>
                <w:color w:val="auto"/>
                <w:sz w:val="24"/>
              </w:rPr>
            </w:pPr>
          </w:p>
          <w:p w14:paraId="7DB92BE6">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3AA0F763">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投标人应当提供的资格、资信证明文件</w:t>
            </w:r>
          </w:p>
        </w:tc>
        <w:tc>
          <w:tcPr>
            <w:tcW w:w="6614" w:type="dxa"/>
            <w:tcBorders>
              <w:top w:val="single" w:color="000000" w:sz="8" w:space="0"/>
              <w:left w:val="single" w:color="000000" w:sz="2" w:space="0"/>
              <w:bottom w:val="single" w:color="auto" w:sz="4" w:space="0"/>
              <w:right w:val="single" w:color="000000" w:sz="8" w:space="0"/>
            </w:tcBorders>
            <w:vAlign w:val="center"/>
          </w:tcPr>
          <w:p w14:paraId="6070BB3E">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（1）资格证明文件：见招标文件第二部分11.1。</w:t>
            </w:r>
          </w:p>
          <w:p w14:paraId="58A4E8EE">
            <w:pPr>
              <w:spacing w:line="360" w:lineRule="auto"/>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color w:val="auto"/>
                <w:sz w:val="24"/>
                <w:lang w:val="zh-CN"/>
              </w:rPr>
              <w:t>投标人未提供有效的资格证明文件的，视为投标人不具备招标文件中规定的资格要求，投标无效。</w:t>
            </w:r>
          </w:p>
        </w:tc>
      </w:tr>
      <w:tr w14:paraId="4D1D9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3" w:hRule="atLeast"/>
          <w:tblHeader/>
        </w:trPr>
        <w:tc>
          <w:tcPr>
            <w:tcW w:w="629" w:type="dxa"/>
            <w:vMerge w:val="continue"/>
            <w:tcBorders>
              <w:left w:val="single" w:color="auto" w:sz="4" w:space="0"/>
              <w:bottom w:val="single" w:color="auto" w:sz="4" w:space="0"/>
              <w:right w:val="single" w:color="auto" w:sz="4" w:space="0"/>
            </w:tcBorders>
          </w:tcPr>
          <w:p w14:paraId="19412A37">
            <w:pPr>
              <w:spacing w:line="360" w:lineRule="auto"/>
              <w:jc w:val="center"/>
              <w:rPr>
                <w:rFonts w:hint="eastAsia" w:asciiTheme="minorEastAsia" w:hAnsiTheme="minorEastAsia" w:eastAsiaTheme="minorEastAsia" w:cs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668BD274">
            <w:pPr>
              <w:spacing w:line="360" w:lineRule="auto"/>
              <w:jc w:val="center"/>
              <w:rPr>
                <w:rFonts w:hint="eastAsia" w:asciiTheme="minorEastAsia" w:hAnsiTheme="minorEastAsia" w:eastAsiaTheme="minorEastAsia" w:cstheme="minorEastAsia"/>
                <w:color w:val="auto"/>
                <w:sz w:val="24"/>
              </w:rPr>
            </w:pPr>
          </w:p>
        </w:tc>
        <w:tc>
          <w:tcPr>
            <w:tcW w:w="6614" w:type="dxa"/>
            <w:tcBorders>
              <w:top w:val="single" w:color="auto" w:sz="4" w:space="0"/>
              <w:left w:val="single" w:color="000000" w:sz="2" w:space="0"/>
              <w:bottom w:val="single" w:color="000000" w:sz="8" w:space="0"/>
              <w:right w:val="single" w:color="000000" w:sz="8" w:space="0"/>
            </w:tcBorders>
            <w:vAlign w:val="center"/>
          </w:tcPr>
          <w:p w14:paraId="277ADE4A">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（2）资信证明文件：根据招标文件第四部分评标标准提供。</w:t>
            </w:r>
          </w:p>
        </w:tc>
      </w:tr>
      <w:tr w14:paraId="22FA9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tcPr>
          <w:p w14:paraId="10989E2D">
            <w:pPr>
              <w:spacing w:line="360" w:lineRule="auto"/>
              <w:jc w:val="center"/>
              <w:rPr>
                <w:rFonts w:hint="eastAsia" w:asciiTheme="minorEastAsia" w:hAnsiTheme="minorEastAsia" w:eastAsiaTheme="minorEastAsia" w:cstheme="minorEastAsia"/>
                <w:color w:val="auto"/>
                <w:sz w:val="24"/>
              </w:rPr>
            </w:pPr>
          </w:p>
          <w:p w14:paraId="7E1B00CC">
            <w:pPr>
              <w:spacing w:line="360" w:lineRule="auto"/>
              <w:jc w:val="center"/>
              <w:rPr>
                <w:rFonts w:hint="eastAsia" w:asciiTheme="minorEastAsia" w:hAnsiTheme="minorEastAsia" w:eastAsiaTheme="minorEastAsia" w:cstheme="minorEastAsia"/>
                <w:color w:val="auto"/>
                <w:sz w:val="24"/>
              </w:rPr>
            </w:pPr>
          </w:p>
          <w:p w14:paraId="074FAA9C">
            <w:pPr>
              <w:spacing w:line="360" w:lineRule="auto"/>
              <w:jc w:val="center"/>
              <w:rPr>
                <w:rFonts w:hint="eastAsia" w:asciiTheme="minorEastAsia" w:hAnsiTheme="minorEastAsia" w:eastAsiaTheme="minorEastAsia" w:cstheme="minorEastAsia"/>
                <w:color w:val="auto"/>
                <w:sz w:val="24"/>
              </w:rPr>
            </w:pPr>
          </w:p>
          <w:p w14:paraId="27E66D8D">
            <w:pPr>
              <w:spacing w:line="360" w:lineRule="auto"/>
              <w:jc w:val="center"/>
              <w:rPr>
                <w:rFonts w:hint="eastAsia" w:asciiTheme="minorEastAsia" w:hAnsiTheme="minorEastAsia" w:eastAsiaTheme="minorEastAsia" w:cstheme="minorEastAsia"/>
                <w:color w:val="auto"/>
                <w:sz w:val="24"/>
              </w:rPr>
            </w:pPr>
          </w:p>
          <w:p w14:paraId="4FEF4A94">
            <w:pPr>
              <w:spacing w:line="360" w:lineRule="auto"/>
              <w:jc w:val="center"/>
              <w:rPr>
                <w:rFonts w:hint="eastAsia" w:asciiTheme="minorEastAsia" w:hAnsiTheme="minorEastAsia" w:eastAsiaTheme="minorEastAsia" w:cstheme="minorEastAsia"/>
                <w:color w:val="auto"/>
                <w:sz w:val="24"/>
              </w:rPr>
            </w:pPr>
          </w:p>
          <w:p w14:paraId="0EBAD1DB">
            <w:pPr>
              <w:spacing w:line="360" w:lineRule="auto"/>
              <w:jc w:val="center"/>
              <w:rPr>
                <w:rFonts w:hint="eastAsia" w:asciiTheme="minorEastAsia" w:hAnsiTheme="minorEastAsia" w:eastAsiaTheme="minorEastAsia" w:cstheme="minorEastAsia"/>
                <w:color w:val="auto"/>
                <w:sz w:val="24"/>
              </w:rPr>
            </w:pPr>
          </w:p>
          <w:p w14:paraId="794F706A">
            <w:pPr>
              <w:spacing w:line="360" w:lineRule="auto"/>
              <w:jc w:val="center"/>
              <w:rPr>
                <w:rFonts w:hint="eastAsia" w:asciiTheme="minorEastAsia" w:hAnsiTheme="minorEastAsia" w:eastAsiaTheme="minorEastAsia" w:cstheme="minorEastAsia"/>
                <w:color w:val="auto"/>
                <w:sz w:val="24"/>
              </w:rPr>
            </w:pPr>
          </w:p>
          <w:p w14:paraId="1333BECA">
            <w:pPr>
              <w:spacing w:line="360" w:lineRule="auto"/>
              <w:jc w:val="center"/>
              <w:rPr>
                <w:rFonts w:hint="eastAsia" w:asciiTheme="minorEastAsia" w:hAnsiTheme="minorEastAsia" w:eastAsiaTheme="minorEastAsia" w:cstheme="minorEastAsia"/>
                <w:color w:val="auto"/>
                <w:sz w:val="24"/>
              </w:rPr>
            </w:pPr>
          </w:p>
          <w:p w14:paraId="629AE507">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5590809">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报价要求</w:t>
            </w:r>
          </w:p>
        </w:tc>
        <w:tc>
          <w:tcPr>
            <w:tcW w:w="6614" w:type="dxa"/>
            <w:tcBorders>
              <w:top w:val="single" w:color="000000" w:sz="8" w:space="0"/>
              <w:left w:val="single" w:color="000000" w:sz="2" w:space="0"/>
              <w:bottom w:val="single" w:color="000000" w:sz="8" w:space="0"/>
              <w:right w:val="single" w:color="000000" w:sz="8" w:space="0"/>
            </w:tcBorders>
            <w:vAlign w:val="center"/>
          </w:tcPr>
          <w:p w14:paraId="0BCA6506">
            <w:pPr>
              <w:spacing w:line="360" w:lineRule="auto"/>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有关本项目实施所需的所有费用（含税费）均计入报价。</w:t>
            </w:r>
            <w:r>
              <w:rPr>
                <w:rFonts w:hint="eastAsia" w:asciiTheme="minorEastAsia" w:hAnsiTheme="minorEastAsia" w:eastAsiaTheme="minorEastAsia" w:cstheme="minorEastAsia"/>
                <w:bCs/>
                <w:color w:val="auto"/>
                <w:sz w:val="24"/>
                <w:lang w:val="zh-CN"/>
              </w:rPr>
              <w:t>投标文件</w:t>
            </w:r>
            <w:r>
              <w:rPr>
                <w:rFonts w:hint="eastAsia" w:asciiTheme="minorEastAsia" w:hAnsiTheme="minorEastAsia" w:eastAsiaTheme="minorEastAsia" w:cstheme="minorEastAsia"/>
                <w:bCs/>
                <w:color w:val="auto"/>
                <w:sz w:val="24"/>
              </w:rPr>
              <w:t>开标一览表（报价表）是报价的唯一载体，如投标人在乐采云填写的投标报价与投标文件报价文件中开标一览表（报价表）不一致的，以报价文件中开标一览表（报价表）为准。</w:t>
            </w:r>
            <w:r>
              <w:rPr>
                <w:rFonts w:hint="eastAsia" w:asciiTheme="minorEastAsia" w:hAnsiTheme="minorEastAsia" w:eastAsiaTheme="minorEastAsia" w:cstheme="minorEastAsia"/>
                <w:color w:val="auto"/>
                <w:sz w:val="24"/>
                <w:lang w:val="zh-CN"/>
              </w:rPr>
              <w:t>投标文件中价格全部采用</w:t>
            </w:r>
            <w:r>
              <w:rPr>
                <w:rFonts w:hint="eastAsia" w:asciiTheme="minorEastAsia" w:hAnsiTheme="minorEastAsia" w:eastAsiaTheme="minorEastAsia" w:cstheme="minorEastAsia"/>
                <w:bCs/>
                <w:color w:val="auto"/>
                <w:sz w:val="24"/>
                <w:lang w:val="zh-CN"/>
              </w:rPr>
              <w:t>人民币</w:t>
            </w:r>
            <w:r>
              <w:rPr>
                <w:rFonts w:hint="eastAsia" w:asciiTheme="minorEastAsia" w:hAnsiTheme="minorEastAsia" w:eastAsiaTheme="minorEastAsia" w:cstheme="minorEastAsia"/>
                <w:color w:val="auto"/>
                <w:sz w:val="24"/>
                <w:lang w:val="zh-CN"/>
              </w:rPr>
              <w:t>报价。招标文件未列明，而投标人认为必需的费用也需列入报价。提醒：验收时检测费用由中标人承担，包含在投标总价中。</w:t>
            </w:r>
          </w:p>
          <w:p w14:paraId="6BFEB95D">
            <w:pPr>
              <w:spacing w:line="360" w:lineRule="auto"/>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投标报价出现下列情形的，投标无效：</w:t>
            </w:r>
          </w:p>
          <w:p w14:paraId="20F04043">
            <w:pPr>
              <w:spacing w:line="360" w:lineRule="auto"/>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投标文件出现不是唯一的、有选择性投标报价的；</w:t>
            </w:r>
          </w:p>
          <w:p w14:paraId="0D3E72B7">
            <w:pPr>
              <w:spacing w:line="360" w:lineRule="auto"/>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投标报价超过招标文件中规定的预算金额或者最高限价的；</w:t>
            </w:r>
          </w:p>
          <w:p w14:paraId="34DBEE88">
            <w:pPr>
              <w:spacing w:line="360" w:lineRule="auto"/>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为避免出现恶意低价竞争的情况，低于报价文件满足招标文件全部实质性要求的供应商平均报价的</w:t>
            </w:r>
            <w:r>
              <w:rPr>
                <w:rFonts w:hint="eastAsia" w:asciiTheme="minorEastAsia" w:hAnsiTheme="minorEastAsia" w:eastAsiaTheme="minorEastAsia" w:cstheme="minorEastAsia"/>
                <w:color w:val="auto"/>
                <w:sz w:val="24"/>
                <w:u w:val="single"/>
              </w:rPr>
              <w:t xml:space="preserve"> 90 </w:t>
            </w:r>
            <w:r>
              <w:rPr>
                <w:rFonts w:hint="eastAsia" w:asciiTheme="minorEastAsia" w:hAnsiTheme="minorEastAsia" w:eastAsiaTheme="minorEastAsia" w:cstheme="minorEastAsia"/>
                <w:color w:val="auto"/>
                <w:sz w:val="24"/>
                <w:lang w:val="zh-CN"/>
              </w:rPr>
              <w:t>%作否决投标处理。</w:t>
            </w:r>
          </w:p>
          <w:p w14:paraId="7420A9A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▲报价明显低于其他通过符合性审查投标人的报价，有可能影响产品质量或者不能诚信履约的，未能按要求提供书面说明或者提交相关证明材料证明其报价合理性的；</w:t>
            </w:r>
          </w:p>
          <w:p w14:paraId="6617867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▲投标人对根据修正原则修正后的报价不确认的。</w:t>
            </w:r>
          </w:p>
        </w:tc>
      </w:tr>
      <w:tr w14:paraId="65511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240" w:hRule="atLeast"/>
          <w:tblHeader/>
        </w:trPr>
        <w:tc>
          <w:tcPr>
            <w:tcW w:w="629" w:type="dxa"/>
            <w:tcBorders>
              <w:top w:val="single" w:color="auto" w:sz="4" w:space="0"/>
              <w:left w:val="single" w:color="000000" w:sz="8" w:space="0"/>
              <w:right w:val="single" w:color="000000" w:sz="2" w:space="0"/>
            </w:tcBorders>
          </w:tcPr>
          <w:p w14:paraId="15D9305D">
            <w:pPr>
              <w:spacing w:line="360" w:lineRule="auto"/>
              <w:jc w:val="center"/>
              <w:rPr>
                <w:rFonts w:hint="eastAsia" w:asciiTheme="minorEastAsia" w:hAnsiTheme="minorEastAsia" w:eastAsiaTheme="minorEastAsia" w:cstheme="minorEastAsia"/>
                <w:color w:val="auto"/>
                <w:sz w:val="24"/>
              </w:rPr>
            </w:pPr>
          </w:p>
          <w:p w14:paraId="4D22EA13">
            <w:pPr>
              <w:spacing w:line="360" w:lineRule="auto"/>
              <w:jc w:val="center"/>
              <w:rPr>
                <w:rFonts w:hint="eastAsia" w:asciiTheme="minorEastAsia" w:hAnsiTheme="minorEastAsia" w:eastAsiaTheme="minorEastAsia" w:cstheme="minorEastAsia"/>
                <w:color w:val="auto"/>
                <w:sz w:val="24"/>
              </w:rPr>
            </w:pPr>
          </w:p>
          <w:p w14:paraId="34AA9B90">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w:t>
            </w:r>
          </w:p>
        </w:tc>
        <w:tc>
          <w:tcPr>
            <w:tcW w:w="1843" w:type="dxa"/>
            <w:tcBorders>
              <w:top w:val="single" w:color="000000" w:sz="8" w:space="0"/>
              <w:left w:val="single" w:color="000000" w:sz="2" w:space="0"/>
              <w:right w:val="single" w:color="000000" w:sz="8" w:space="0"/>
            </w:tcBorders>
            <w:vAlign w:val="center"/>
          </w:tcPr>
          <w:p w14:paraId="3827A7D2">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备份投标文件送达地点和签收人员</w:t>
            </w:r>
          </w:p>
        </w:tc>
        <w:tc>
          <w:tcPr>
            <w:tcW w:w="6614" w:type="dxa"/>
            <w:tcBorders>
              <w:top w:val="single" w:color="000000" w:sz="8" w:space="0"/>
              <w:left w:val="single" w:color="000000" w:sz="2" w:space="0"/>
              <w:right w:val="single" w:color="000000" w:sz="8" w:space="0"/>
            </w:tcBorders>
            <w:vAlign w:val="center"/>
          </w:tcPr>
          <w:p w14:paraId="0F2FAFC7">
            <w:pPr>
              <w:pStyle w:val="33"/>
              <w:spacing w:line="360" w:lineRule="auto"/>
              <w:rPr>
                <w:rFonts w:hint="eastAsia" w:asciiTheme="minorEastAsia" w:hAnsiTheme="minorEastAsia" w:eastAsiaTheme="minorEastAsia" w:cstheme="minorEastAsia"/>
                <w:color w:val="auto"/>
                <w:kern w:val="28"/>
                <w:sz w:val="24"/>
                <w:szCs w:val="24"/>
              </w:rPr>
            </w:pPr>
            <w:r>
              <w:rPr>
                <w:rFonts w:hint="eastAsia" w:asciiTheme="minorEastAsia" w:hAnsiTheme="minorEastAsia" w:eastAsiaTheme="minorEastAsia" w:cstheme="minorEastAsia"/>
                <w:color w:val="auto"/>
                <w:kern w:val="28"/>
                <w:sz w:val="24"/>
                <w:szCs w:val="24"/>
              </w:rPr>
              <w:t>备份投标文件送达地点：</w:t>
            </w:r>
            <w:r>
              <w:rPr>
                <w:rFonts w:hint="eastAsia" w:asciiTheme="minorEastAsia" w:hAnsiTheme="minorEastAsia" w:eastAsiaTheme="minorEastAsia" w:cstheme="minorEastAsia"/>
                <w:color w:val="auto"/>
                <w:sz w:val="24"/>
                <w:szCs w:val="24"/>
                <w:u w:val="single"/>
              </w:rPr>
              <w:t>建德市新安江街道红枫商场17号</w:t>
            </w:r>
            <w:r>
              <w:rPr>
                <w:rFonts w:hint="eastAsia" w:asciiTheme="minorEastAsia" w:hAnsiTheme="minorEastAsia" w:eastAsiaTheme="minorEastAsia" w:cstheme="minorEastAsia"/>
                <w:color w:val="auto"/>
                <w:kern w:val="28"/>
                <w:sz w:val="24"/>
                <w:szCs w:val="24"/>
              </w:rPr>
              <w:t>；备份投标文件签收人员联系电话：</w:t>
            </w:r>
            <w:r>
              <w:rPr>
                <w:rFonts w:hint="eastAsia" w:asciiTheme="minorEastAsia" w:hAnsiTheme="minorEastAsia" w:eastAsiaTheme="minorEastAsia" w:cstheme="minorEastAsia"/>
                <w:color w:val="auto"/>
                <w:kern w:val="28"/>
                <w:sz w:val="24"/>
                <w:szCs w:val="24"/>
                <w:u w:val="single"/>
              </w:rPr>
              <w:t>陈悦，15990158838</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color w:val="auto"/>
                <w:sz w:val="24"/>
                <w:szCs w:val="24"/>
              </w:rPr>
              <w:t>采购人、采购代理机构不强制或变相强制投标人提交备份投标文件。</w:t>
            </w:r>
          </w:p>
        </w:tc>
      </w:tr>
      <w:tr w14:paraId="7278B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5174AE3B">
            <w:pPr>
              <w:spacing w:line="360" w:lineRule="auto"/>
              <w:jc w:val="center"/>
              <w:rPr>
                <w:rFonts w:hint="eastAsia" w:asciiTheme="minorEastAsia" w:hAnsiTheme="minorEastAsia" w:eastAsiaTheme="minorEastAsia" w:cstheme="minorEastAsia"/>
                <w:color w:val="auto"/>
                <w:sz w:val="24"/>
              </w:rPr>
            </w:pPr>
          </w:p>
          <w:p w14:paraId="5FB335A8">
            <w:pPr>
              <w:spacing w:line="360" w:lineRule="auto"/>
              <w:jc w:val="center"/>
              <w:rPr>
                <w:rFonts w:hint="eastAsia" w:asciiTheme="minorEastAsia" w:hAnsiTheme="minorEastAsia" w:eastAsiaTheme="minorEastAsia" w:cstheme="minorEastAsia"/>
                <w:color w:val="auto"/>
                <w:sz w:val="24"/>
              </w:rPr>
            </w:pPr>
          </w:p>
          <w:p w14:paraId="4967A8DC">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446C288D">
            <w:pPr>
              <w:spacing w:line="360" w:lineRule="auto"/>
              <w:jc w:val="center"/>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snapToGrid w:val="0"/>
                <w:color w:val="auto"/>
                <w:sz w:val="24"/>
                <w:lang w:val="zh-CN"/>
              </w:rPr>
              <w:t>纸质版投标文件要求</w:t>
            </w:r>
          </w:p>
        </w:tc>
        <w:tc>
          <w:tcPr>
            <w:tcW w:w="6614" w:type="dxa"/>
            <w:tcBorders>
              <w:top w:val="single" w:color="000000" w:sz="8" w:space="0"/>
              <w:left w:val="single" w:color="000000" w:sz="2" w:space="0"/>
              <w:bottom w:val="single" w:color="000000" w:sz="8" w:space="0"/>
              <w:right w:val="single" w:color="000000" w:sz="8" w:space="0"/>
            </w:tcBorders>
            <w:vAlign w:val="center"/>
          </w:tcPr>
          <w:p w14:paraId="606B460F">
            <w:pPr>
              <w:pStyle w:val="958"/>
              <w:spacing w:line="360" w:lineRule="auto"/>
              <w:ind w:firstLine="480" w:firstLineChars="200"/>
              <w:rPr>
                <w:rFonts w:hint="eastAsia" w:asciiTheme="minorEastAsia" w:hAnsiTheme="minorEastAsia" w:eastAsiaTheme="minorEastAsia" w:cstheme="minorEastAsia"/>
                <w:snapToGrid w:val="0"/>
                <w:color w:val="auto"/>
                <w:sz w:val="24"/>
                <w:szCs w:val="24"/>
                <w:lang w:val="zh-CN" w:eastAsia="zh-CN"/>
              </w:rPr>
            </w:pPr>
            <w:r>
              <w:rPr>
                <w:rFonts w:hint="eastAsia" w:asciiTheme="minorEastAsia" w:hAnsiTheme="minorEastAsia" w:eastAsiaTheme="minorEastAsia" w:cstheme="minorEastAsia"/>
                <w:snapToGrid w:val="0"/>
                <w:color w:val="auto"/>
                <w:sz w:val="24"/>
                <w:szCs w:val="24"/>
                <w:lang w:val="zh-CN" w:eastAsia="zh-CN"/>
              </w:rPr>
              <w:t>中标人必须在中标后三日内递交纸质版投标文件。（未提供纸质投标文件或纸质投标文件与电子投标文件不一致的，不得签订合同）</w:t>
            </w:r>
          </w:p>
          <w:p w14:paraId="1C3FFDA0">
            <w:pPr>
              <w:pStyle w:val="958"/>
              <w:spacing w:line="360" w:lineRule="auto"/>
              <w:ind w:firstLine="480" w:firstLineChars="200"/>
              <w:rPr>
                <w:rFonts w:hint="eastAsia" w:asciiTheme="minorEastAsia" w:hAnsiTheme="minorEastAsia" w:eastAsiaTheme="minorEastAsia" w:cstheme="minorEastAsia"/>
                <w:snapToGrid w:val="0"/>
                <w:color w:val="auto"/>
                <w:sz w:val="24"/>
                <w:szCs w:val="24"/>
                <w:lang w:eastAsia="zh-CN"/>
              </w:rPr>
            </w:pPr>
            <w:r>
              <w:rPr>
                <w:rFonts w:hint="eastAsia" w:asciiTheme="minorEastAsia" w:hAnsiTheme="minorEastAsia" w:eastAsiaTheme="minorEastAsia" w:cstheme="minorEastAsia"/>
                <w:snapToGrid w:val="0"/>
                <w:color w:val="auto"/>
                <w:sz w:val="24"/>
                <w:szCs w:val="24"/>
                <w:lang w:val="zh-CN" w:eastAsia="zh-CN"/>
              </w:rPr>
              <w:t>纸质版</w:t>
            </w:r>
            <w:r>
              <w:rPr>
                <w:rFonts w:hint="eastAsia" w:asciiTheme="minorEastAsia" w:hAnsiTheme="minorEastAsia" w:eastAsiaTheme="minorEastAsia" w:cstheme="minorEastAsia"/>
                <w:snapToGrid w:val="0"/>
                <w:color w:val="auto"/>
                <w:sz w:val="24"/>
                <w:szCs w:val="24"/>
                <w:lang w:eastAsia="zh-CN"/>
              </w:rPr>
              <w:t>投标</w:t>
            </w:r>
            <w:r>
              <w:rPr>
                <w:rFonts w:hint="eastAsia" w:asciiTheme="minorEastAsia" w:hAnsiTheme="minorEastAsia" w:eastAsiaTheme="minorEastAsia" w:cstheme="minorEastAsia"/>
                <w:snapToGrid w:val="0"/>
                <w:color w:val="auto"/>
                <w:sz w:val="24"/>
                <w:szCs w:val="24"/>
                <w:lang w:val="zh-CN" w:eastAsia="zh-CN"/>
              </w:rPr>
              <w:t>文件的组成：由资格文件、</w:t>
            </w:r>
            <w:r>
              <w:rPr>
                <w:rFonts w:hint="eastAsia" w:asciiTheme="minorEastAsia" w:hAnsiTheme="minorEastAsia" w:eastAsiaTheme="minorEastAsia" w:cstheme="minorEastAsia"/>
                <w:snapToGrid w:val="0"/>
                <w:color w:val="auto"/>
                <w:sz w:val="24"/>
                <w:szCs w:val="24"/>
                <w:lang w:eastAsia="zh-CN"/>
              </w:rPr>
              <w:t>商务</w:t>
            </w:r>
            <w:r>
              <w:rPr>
                <w:rFonts w:hint="eastAsia" w:asciiTheme="minorEastAsia" w:hAnsiTheme="minorEastAsia" w:eastAsiaTheme="minorEastAsia" w:cstheme="minorEastAsia"/>
                <w:snapToGrid w:val="0"/>
                <w:color w:val="auto"/>
                <w:sz w:val="24"/>
                <w:szCs w:val="24"/>
                <w:lang w:val="zh-CN" w:eastAsia="zh-CN"/>
              </w:rPr>
              <w:t>技术文件、报价文件各正本1份，副本</w:t>
            </w:r>
            <w:r>
              <w:rPr>
                <w:rFonts w:hint="eastAsia" w:asciiTheme="minorEastAsia" w:hAnsiTheme="minorEastAsia" w:eastAsiaTheme="minorEastAsia" w:cstheme="minorEastAsia"/>
                <w:snapToGrid w:val="0"/>
                <w:color w:val="auto"/>
                <w:sz w:val="24"/>
                <w:szCs w:val="24"/>
                <w:lang w:eastAsia="zh-CN"/>
              </w:rPr>
              <w:t>3份</w:t>
            </w:r>
            <w:r>
              <w:rPr>
                <w:rFonts w:hint="eastAsia" w:asciiTheme="minorEastAsia" w:hAnsiTheme="minorEastAsia" w:eastAsiaTheme="minorEastAsia" w:cstheme="minorEastAsia"/>
                <w:snapToGrid w:val="0"/>
                <w:color w:val="auto"/>
                <w:sz w:val="24"/>
                <w:szCs w:val="24"/>
                <w:lang w:val="zh-CN" w:eastAsia="zh-CN"/>
              </w:rPr>
              <w:t>（副本可为正本的复印件，标书封面加盖公章）组成。以上文件须采用胶装装订方式。</w:t>
            </w:r>
          </w:p>
        </w:tc>
      </w:tr>
      <w:tr w14:paraId="46F60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1FC7CC43">
            <w:pPr>
              <w:spacing w:line="360" w:lineRule="auto"/>
              <w:jc w:val="center"/>
              <w:rPr>
                <w:rFonts w:hint="eastAsia" w:asciiTheme="minorEastAsia" w:hAnsiTheme="minorEastAsia" w:eastAsiaTheme="minorEastAsia" w:cstheme="minorEastAsia"/>
                <w:color w:val="auto"/>
                <w:sz w:val="24"/>
              </w:rPr>
            </w:pPr>
          </w:p>
          <w:p w14:paraId="16BC0098">
            <w:pPr>
              <w:spacing w:line="360" w:lineRule="auto"/>
              <w:jc w:val="center"/>
              <w:rPr>
                <w:rFonts w:hint="eastAsia" w:asciiTheme="minorEastAsia" w:hAnsiTheme="minorEastAsia" w:eastAsiaTheme="minorEastAsia" w:cstheme="minorEastAsia"/>
                <w:color w:val="auto"/>
                <w:sz w:val="24"/>
              </w:rPr>
            </w:pPr>
          </w:p>
          <w:p w14:paraId="7D1D2D64">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3F9E8116">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采购代理机构</w:t>
            </w:r>
          </w:p>
          <w:p w14:paraId="3DE54190">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代理费用</w:t>
            </w:r>
          </w:p>
        </w:tc>
        <w:tc>
          <w:tcPr>
            <w:tcW w:w="6614" w:type="dxa"/>
            <w:tcBorders>
              <w:top w:val="single" w:color="000000" w:sz="8" w:space="0"/>
              <w:left w:val="single" w:color="000000" w:sz="2" w:space="0"/>
              <w:bottom w:val="single" w:color="auto" w:sz="4" w:space="0"/>
              <w:right w:val="single" w:color="000000" w:sz="8" w:space="0"/>
            </w:tcBorders>
            <w:vAlign w:val="center"/>
          </w:tcPr>
          <w:p w14:paraId="6ACD230D">
            <w:pPr>
              <w:spacing w:line="360" w:lineRule="auto"/>
              <w:rPr>
                <w:rFonts w:hint="eastAsia" w:asciiTheme="minorEastAsia" w:hAnsiTheme="minorEastAsia" w:eastAsiaTheme="minorEastAsia" w:cstheme="minorEastAsia"/>
                <w:color w:val="auto"/>
                <w:sz w:val="24"/>
              </w:rPr>
            </w:pPr>
            <w:sdt>
              <w:sdtPr>
                <w:rPr>
                  <w:rFonts w:hint="eastAsia" w:asciiTheme="minorEastAsia" w:hAnsiTheme="minorEastAsia" w:eastAsiaTheme="minorEastAsia" w:cstheme="minorEastAsia"/>
                  <w:color w:val="auto"/>
                  <w:kern w:val="0"/>
                  <w:sz w:val="24"/>
                </w:rPr>
                <w:id w:val="147464235"/>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sym w:font="Wingdings" w:char="00A8"/>
                </w:r>
              </w:sdtContent>
            </w:sdt>
            <w:r>
              <w:rPr>
                <w:rFonts w:hint="eastAsia" w:asciiTheme="minorEastAsia" w:hAnsiTheme="minorEastAsia" w:eastAsiaTheme="minorEastAsia" w:cstheme="minorEastAsia"/>
                <w:color w:val="auto"/>
                <w:kern w:val="0"/>
                <w:sz w:val="24"/>
              </w:rPr>
              <w:t>A</w:t>
            </w:r>
            <w:r>
              <w:rPr>
                <w:rFonts w:hint="eastAsia" w:asciiTheme="minorEastAsia" w:hAnsiTheme="minorEastAsia" w:eastAsiaTheme="minorEastAsia" w:cstheme="minorEastAsia"/>
                <w:color w:val="auto"/>
                <w:sz w:val="24"/>
              </w:rPr>
              <w:t>本项目不收取采购代理服务费。</w:t>
            </w:r>
          </w:p>
          <w:p w14:paraId="034C323B">
            <w:pPr>
              <w:spacing w:line="360" w:lineRule="auto"/>
              <w:rPr>
                <w:rFonts w:hint="eastAsia" w:asciiTheme="minorEastAsia" w:hAnsiTheme="minorEastAsia" w:eastAsiaTheme="minorEastAsia" w:cstheme="minorEastAsia"/>
                <w:snapToGrid w:val="0"/>
                <w:color w:val="auto"/>
                <w:sz w:val="24"/>
              </w:rPr>
            </w:pPr>
            <w:sdt>
              <w:sdtPr>
                <w:rPr>
                  <w:rFonts w:hint="eastAsia" w:asciiTheme="minorEastAsia" w:hAnsiTheme="minorEastAsia" w:eastAsiaTheme="minorEastAsia" w:cstheme="minorEastAsia"/>
                  <w:color w:val="auto"/>
                  <w:kern w:val="0"/>
                  <w:sz w:val="24"/>
                </w:rPr>
                <w:id w:val="876584111"/>
              </w:sdtPr>
              <w:sdtEndPr>
                <w:rPr>
                  <w:rFonts w:hint="eastAsia" w:asciiTheme="minorEastAsia" w:hAnsiTheme="minorEastAsia" w:eastAsiaTheme="minorEastAsia" w:cstheme="minorEastAsia"/>
                  <w:color w:val="auto"/>
                  <w:kern w:val="0"/>
                  <w:sz w:val="24"/>
                </w:rPr>
              </w:sdtEndPr>
              <w:sdtContent>
                <w:sdt>
                  <w:sdtPr>
                    <w:rPr>
                      <w:rFonts w:hint="eastAsia" w:asciiTheme="minorEastAsia" w:hAnsiTheme="minorEastAsia" w:eastAsiaTheme="minorEastAsia" w:cstheme="minorEastAsia"/>
                      <w:color w:val="auto"/>
                      <w:kern w:val="0"/>
                      <w:sz w:val="24"/>
                    </w:rPr>
                    <w:id w:val="147454690"/>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sym w:font="Wingdings" w:char="00FE"/>
                    </w:r>
                  </w:sdtContent>
                </w:sdt>
              </w:sdtContent>
            </w:sdt>
            <w:r>
              <w:rPr>
                <w:rFonts w:hint="eastAsia" w:asciiTheme="minorEastAsia" w:hAnsiTheme="minorEastAsia" w:eastAsiaTheme="minorEastAsia" w:cstheme="minorEastAsia"/>
                <w:color w:val="auto"/>
                <w:kern w:val="0"/>
                <w:sz w:val="24"/>
              </w:rPr>
              <w:t>B</w:t>
            </w:r>
            <w:r>
              <w:rPr>
                <w:rFonts w:hint="eastAsia" w:asciiTheme="minorEastAsia" w:hAnsiTheme="minorEastAsia" w:eastAsiaTheme="minorEastAsia" w:cstheme="minorEastAsia"/>
                <w:color w:val="auto"/>
                <w:sz w:val="24"/>
              </w:rPr>
              <w:t>本项目收取采购代理服务费。</w:t>
            </w:r>
            <w:r>
              <w:rPr>
                <w:rFonts w:hint="eastAsia" w:asciiTheme="minorEastAsia" w:hAnsiTheme="minorEastAsia" w:eastAsiaTheme="minorEastAsia" w:cstheme="minorEastAsia"/>
                <w:snapToGrid w:val="0"/>
                <w:color w:val="auto"/>
                <w:sz w:val="24"/>
              </w:rPr>
              <w:t>响应总报价应包含采购服务费，采购服务费按</w:t>
            </w:r>
            <w:r>
              <w:rPr>
                <w:rFonts w:hint="eastAsia" w:asciiTheme="minorEastAsia" w:hAnsiTheme="minorEastAsia" w:eastAsiaTheme="minorEastAsia" w:cstheme="minorEastAsia"/>
                <w:snapToGrid w:val="0"/>
                <w:color w:val="auto"/>
                <w:sz w:val="24"/>
                <w:u w:val="single"/>
              </w:rPr>
              <w:t xml:space="preserve"> </w:t>
            </w:r>
            <w:r>
              <w:rPr>
                <w:rFonts w:hint="eastAsia" w:asciiTheme="minorEastAsia" w:hAnsiTheme="minorEastAsia" w:eastAsiaTheme="minorEastAsia" w:cstheme="minorEastAsia"/>
                <w:color w:val="auto"/>
                <w:kern w:val="0"/>
                <w:sz w:val="24"/>
                <w:u w:val="single"/>
              </w:rPr>
              <w:t>国家发展计划委员会计价格[2002]1980 号文《招标代理服务费管理暂行办法》及发改价格[2011]534号文的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snapToGrid w:val="0"/>
                <w:color w:val="auto"/>
                <w:sz w:val="24"/>
              </w:rPr>
              <w:t>收费标准（</w:t>
            </w:r>
            <w:r>
              <w:rPr>
                <w:rFonts w:hint="eastAsia" w:asciiTheme="minorEastAsia" w:hAnsiTheme="minorEastAsia" w:eastAsiaTheme="minorEastAsia" w:cstheme="minorEastAsia"/>
                <w:snapToGrid w:val="0"/>
                <w:color w:val="auto"/>
                <w:sz w:val="24"/>
                <w:u w:val="single"/>
              </w:rPr>
              <w:t>货物</w:t>
            </w:r>
            <w:r>
              <w:rPr>
                <w:rFonts w:hint="eastAsia" w:asciiTheme="minorEastAsia" w:hAnsiTheme="minorEastAsia" w:eastAsiaTheme="minorEastAsia" w:cstheme="minorEastAsia"/>
                <w:snapToGrid w:val="0"/>
                <w:color w:val="auto"/>
                <w:sz w:val="24"/>
              </w:rPr>
              <w:t>）计取，人民币</w:t>
            </w:r>
            <w:r>
              <w:rPr>
                <w:rFonts w:hint="eastAsia" w:asciiTheme="minorEastAsia" w:hAnsiTheme="minorEastAsia" w:eastAsiaTheme="minorEastAsia" w:cstheme="minorEastAsia"/>
                <w:snapToGrid w:val="0"/>
                <w:color w:val="auto"/>
                <w:sz w:val="24"/>
              </w:rPr>
              <w:fldChar w:fldCharType="begin"/>
            </w:r>
            <w:r>
              <w:rPr>
                <w:rFonts w:hint="eastAsia" w:asciiTheme="minorEastAsia" w:hAnsiTheme="minorEastAsia" w:eastAsiaTheme="minorEastAsia" w:cstheme="minorEastAsia"/>
                <w:snapToGrid w:val="0"/>
                <w:color w:val="auto"/>
                <w:sz w:val="24"/>
              </w:rPr>
              <w:instrText xml:space="preserve"> = 4950 \* CHINESENUM4 \* MERGEFORMAT </w:instrText>
            </w:r>
            <w:r>
              <w:rPr>
                <w:rFonts w:hint="eastAsia" w:asciiTheme="minorEastAsia" w:hAnsiTheme="minorEastAsia" w:eastAsiaTheme="minorEastAsia" w:cstheme="minorEastAsia"/>
                <w:snapToGrid w:val="0"/>
                <w:color w:val="auto"/>
                <w:sz w:val="24"/>
              </w:rPr>
              <w:fldChar w:fldCharType="separate"/>
            </w:r>
            <w:r>
              <w:rPr>
                <w:rFonts w:hint="eastAsia" w:asciiTheme="minorEastAsia" w:hAnsiTheme="minorEastAsia" w:eastAsiaTheme="minorEastAsia" w:cstheme="minorEastAsia"/>
                <w:snapToGrid w:val="0"/>
                <w:color w:val="auto"/>
                <w:sz w:val="24"/>
                <w:lang w:val="en-US" w:eastAsia="zh-CN"/>
              </w:rPr>
              <w:t xml:space="preserve">伍万叁仟贰佰肆拾柒 </w:t>
            </w:r>
            <w:r>
              <w:rPr>
                <w:rFonts w:hint="eastAsia" w:asciiTheme="minorEastAsia" w:hAnsiTheme="minorEastAsia" w:eastAsiaTheme="minorEastAsia" w:cstheme="minorEastAsia"/>
                <w:snapToGrid w:val="0"/>
                <w:color w:val="auto"/>
                <w:sz w:val="24"/>
              </w:rPr>
              <w:t>元整</w:t>
            </w:r>
            <w:r>
              <w:rPr>
                <w:rFonts w:hint="eastAsia" w:asciiTheme="minorEastAsia" w:hAnsiTheme="minorEastAsia" w:eastAsiaTheme="minorEastAsia" w:cstheme="minorEastAsia"/>
                <w:snapToGrid w:val="0"/>
                <w:color w:val="auto"/>
                <w:sz w:val="24"/>
              </w:rPr>
              <w:fldChar w:fldCharType="end"/>
            </w:r>
            <w:r>
              <w:rPr>
                <w:rFonts w:hint="eastAsia" w:asciiTheme="minorEastAsia" w:hAnsiTheme="minorEastAsia" w:eastAsiaTheme="minorEastAsia" w:cstheme="minorEastAsia"/>
                <w:snapToGrid w:val="0"/>
                <w:color w:val="auto"/>
                <w:sz w:val="24"/>
              </w:rPr>
              <w:t>（¥：53247.00元），由成交供应商在领取成交通知书时支付给采购代理公司。</w:t>
            </w:r>
          </w:p>
        </w:tc>
      </w:tr>
      <w:tr w14:paraId="3D86B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21" w:hRule="atLeast"/>
          <w:tblHeader/>
        </w:trPr>
        <w:tc>
          <w:tcPr>
            <w:tcW w:w="629" w:type="dxa"/>
            <w:vMerge w:val="restart"/>
            <w:tcBorders>
              <w:top w:val="single" w:color="auto" w:sz="4" w:space="0"/>
              <w:left w:val="single" w:color="auto" w:sz="4" w:space="0"/>
              <w:bottom w:val="single" w:color="auto" w:sz="4" w:space="0"/>
              <w:right w:val="single" w:color="auto" w:sz="4" w:space="0"/>
            </w:tcBorders>
          </w:tcPr>
          <w:p w14:paraId="7586B574">
            <w:pPr>
              <w:spacing w:line="360" w:lineRule="auto"/>
              <w:jc w:val="center"/>
              <w:rPr>
                <w:rFonts w:hint="eastAsia" w:asciiTheme="minorEastAsia" w:hAnsiTheme="minorEastAsia" w:eastAsiaTheme="minorEastAsia" w:cstheme="minorEastAsia"/>
                <w:color w:val="auto"/>
                <w:sz w:val="24"/>
              </w:rPr>
            </w:pPr>
          </w:p>
          <w:p w14:paraId="7B0E4206">
            <w:pPr>
              <w:spacing w:line="360" w:lineRule="auto"/>
              <w:jc w:val="center"/>
              <w:rPr>
                <w:rFonts w:hint="eastAsia" w:asciiTheme="minorEastAsia" w:hAnsiTheme="minorEastAsia" w:eastAsiaTheme="minorEastAsia" w:cstheme="minorEastAsia"/>
                <w:color w:val="auto"/>
                <w:sz w:val="24"/>
              </w:rPr>
            </w:pPr>
          </w:p>
          <w:p w14:paraId="3D975437">
            <w:pPr>
              <w:spacing w:line="360" w:lineRule="auto"/>
              <w:jc w:val="center"/>
              <w:rPr>
                <w:rFonts w:hint="eastAsia" w:asciiTheme="minorEastAsia" w:hAnsiTheme="minorEastAsia" w:eastAsiaTheme="minorEastAsia" w:cstheme="minorEastAsia"/>
                <w:color w:val="auto"/>
                <w:sz w:val="24"/>
              </w:rPr>
            </w:pPr>
          </w:p>
          <w:p w14:paraId="12DCA33B">
            <w:pPr>
              <w:spacing w:line="360" w:lineRule="auto"/>
              <w:jc w:val="center"/>
              <w:rPr>
                <w:rFonts w:hint="eastAsia" w:asciiTheme="minorEastAsia" w:hAnsiTheme="minorEastAsia" w:eastAsiaTheme="minorEastAsia" w:cstheme="minorEastAsia"/>
                <w:color w:val="auto"/>
                <w:sz w:val="24"/>
              </w:rPr>
            </w:pPr>
          </w:p>
          <w:p w14:paraId="3D226B0C">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6034FA3">
            <w:pPr>
              <w:spacing w:line="360" w:lineRule="auto"/>
              <w:jc w:val="center"/>
              <w:rPr>
                <w:rFonts w:hint="eastAsia" w:asciiTheme="minorEastAsia" w:hAnsiTheme="minorEastAsia" w:eastAsiaTheme="minorEastAsia" w:cstheme="minorEastAsia"/>
                <w:color w:val="auto"/>
                <w:sz w:val="24"/>
              </w:rPr>
            </w:pPr>
          </w:p>
          <w:p w14:paraId="56E8B46A">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特别说明</w:t>
            </w:r>
          </w:p>
        </w:tc>
        <w:tc>
          <w:tcPr>
            <w:tcW w:w="6614" w:type="dxa"/>
            <w:tcBorders>
              <w:top w:val="single" w:color="auto" w:sz="4" w:space="0"/>
              <w:left w:val="single" w:color="auto" w:sz="4" w:space="0"/>
              <w:bottom w:val="single" w:color="auto" w:sz="4" w:space="0"/>
              <w:right w:val="single" w:color="auto" w:sz="4" w:space="0"/>
            </w:tcBorders>
            <w:vAlign w:val="center"/>
          </w:tcPr>
          <w:p w14:paraId="744259B6">
            <w:pPr>
              <w:spacing w:line="360" w:lineRule="auto"/>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snapToGrid w:val="0"/>
                <w:color w:val="auto"/>
                <w:sz w:val="24"/>
              </w:rPr>
              <w:t>联合体投标的，联合体各方分别提供与联合体协议中规定的分工内容相应的业绩证明材料，业绩数量以提供材料较少的一方为准。</w:t>
            </w:r>
          </w:p>
        </w:tc>
      </w:tr>
      <w:tr w14:paraId="3CB35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top w:val="single" w:color="auto" w:sz="4" w:space="0"/>
              <w:left w:val="single" w:color="auto" w:sz="4" w:space="0"/>
              <w:bottom w:val="single" w:color="auto" w:sz="4" w:space="0"/>
              <w:right w:val="single" w:color="auto" w:sz="4" w:space="0"/>
            </w:tcBorders>
          </w:tcPr>
          <w:p w14:paraId="02DF6B74">
            <w:pPr>
              <w:spacing w:line="360" w:lineRule="auto"/>
              <w:jc w:val="center"/>
              <w:rPr>
                <w:rFonts w:hint="eastAsia" w:asciiTheme="minorEastAsia" w:hAnsiTheme="minorEastAsia" w:eastAsiaTheme="minorEastAsia" w:cstheme="minorEastAsia"/>
                <w:color w:val="auto"/>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85B4693">
            <w:pPr>
              <w:spacing w:line="360" w:lineRule="auto"/>
              <w:jc w:val="center"/>
              <w:rPr>
                <w:rFonts w:hint="eastAsia" w:asciiTheme="minorEastAsia" w:hAnsiTheme="minorEastAsia" w:eastAsiaTheme="minorEastAsia" w:cstheme="minorEastAsia"/>
                <w:color w:val="auto"/>
                <w:sz w:val="24"/>
              </w:rPr>
            </w:pPr>
          </w:p>
        </w:tc>
        <w:tc>
          <w:tcPr>
            <w:tcW w:w="6614" w:type="dxa"/>
            <w:tcBorders>
              <w:top w:val="single" w:color="auto" w:sz="4" w:space="0"/>
              <w:left w:val="single" w:color="auto" w:sz="4" w:space="0"/>
              <w:bottom w:val="single" w:color="auto" w:sz="4" w:space="0"/>
              <w:right w:val="single" w:color="auto" w:sz="4" w:space="0"/>
            </w:tcBorders>
            <w:vAlign w:val="center"/>
          </w:tcPr>
          <w:p w14:paraId="502122A7">
            <w:pPr>
              <w:spacing w:line="360" w:lineRule="auto"/>
              <w:rPr>
                <w:rFonts w:hint="eastAsia" w:asciiTheme="minorEastAsia" w:hAnsiTheme="minorEastAsia" w:eastAsiaTheme="minorEastAsia" w:cstheme="minorEastAsia"/>
                <w:snapToGrid w:val="0"/>
                <w:color w:val="auto"/>
                <w:sz w:val="24"/>
              </w:rPr>
            </w:pPr>
            <w:sdt>
              <w:sdtPr>
                <w:rPr>
                  <w:rFonts w:hint="eastAsia" w:asciiTheme="minorEastAsia" w:hAnsiTheme="minorEastAsia" w:eastAsiaTheme="minorEastAsia" w:cstheme="minorEastAsia"/>
                  <w:color w:val="auto"/>
                  <w:kern w:val="0"/>
                  <w:sz w:val="24"/>
                </w:rPr>
                <w:id w:val="147482444"/>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sym w:font="Wingdings" w:char="00A8"/>
                </w:r>
              </w:sdtContent>
            </w:sdt>
            <w:r>
              <w:rPr>
                <w:rFonts w:hint="eastAsia" w:asciiTheme="minorEastAsia" w:hAnsiTheme="minorEastAsia" w:eastAsiaTheme="minorEastAsia" w:cstheme="minorEastAsia"/>
                <w:snapToGrid w:val="0"/>
                <w:color w:val="auto"/>
                <w:sz w:val="24"/>
              </w:rPr>
              <w:t>联合体投标的，联合体各方均需按招标文件第四部分评标标准要求提供资信证明文件，否则视为不符合相关要求。</w:t>
            </w:r>
          </w:p>
          <w:p w14:paraId="14C3392A">
            <w:pPr>
              <w:spacing w:line="360" w:lineRule="auto"/>
              <w:rPr>
                <w:rFonts w:hint="eastAsia" w:asciiTheme="minorEastAsia" w:hAnsiTheme="minorEastAsia" w:eastAsiaTheme="minorEastAsia" w:cstheme="minorEastAsia"/>
                <w:snapToGrid w:val="0"/>
                <w:color w:val="auto"/>
                <w:sz w:val="24"/>
              </w:rPr>
            </w:pPr>
            <w:sdt>
              <w:sdtPr>
                <w:rPr>
                  <w:rFonts w:hint="eastAsia" w:asciiTheme="minorEastAsia" w:hAnsiTheme="minorEastAsia" w:eastAsiaTheme="minorEastAsia" w:cstheme="minorEastAsia"/>
                  <w:color w:val="auto"/>
                  <w:kern w:val="0"/>
                  <w:sz w:val="24"/>
                </w:rPr>
                <w:id w:val="147452903"/>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sym w:font="Wingdings" w:char="00A8"/>
                </w:r>
              </w:sdtContent>
            </w:sdt>
            <w:r>
              <w:rPr>
                <w:rFonts w:hint="eastAsia" w:asciiTheme="minorEastAsia" w:hAnsiTheme="minorEastAsia" w:eastAsiaTheme="minorEastAsia" w:cstheme="minorEastAsia"/>
                <w:snapToGrid w:val="0"/>
                <w:color w:val="auto"/>
                <w:sz w:val="24"/>
              </w:rPr>
              <w:t>联合体投标的，联合体中有一方或者联合体成员根据分工按招标文件第四部分评标标准要求提供资信证明文件的，视为符合了相关要求。</w:t>
            </w:r>
          </w:p>
        </w:tc>
      </w:tr>
      <w:tr w14:paraId="70F34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FA4C7B0">
            <w:pPr>
              <w:spacing w:line="360" w:lineRule="auto"/>
              <w:jc w:val="center"/>
              <w:rPr>
                <w:rFonts w:hint="eastAsia" w:asciiTheme="minorEastAsia" w:hAnsiTheme="minorEastAsia" w:eastAsiaTheme="minorEastAsia" w:cstheme="minorEastAsia"/>
                <w:color w:val="auto"/>
                <w:sz w:val="24"/>
              </w:rPr>
            </w:pPr>
            <w:bookmarkStart w:id="10" w:name="第三部分"/>
            <w:bookmarkStart w:id="11" w:name="_Toc164416483"/>
            <w:r>
              <w:rPr>
                <w:rFonts w:hint="eastAsia" w:asciiTheme="minorEastAsia" w:hAnsiTheme="minorEastAsia" w:eastAsiaTheme="minorEastAsia" w:cstheme="minorEastAsia"/>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4C5713FA">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答疑与澄清</w:t>
            </w:r>
          </w:p>
        </w:tc>
        <w:tc>
          <w:tcPr>
            <w:tcW w:w="6614" w:type="dxa"/>
            <w:tcBorders>
              <w:top w:val="single" w:color="auto" w:sz="4" w:space="0"/>
              <w:left w:val="single" w:color="auto" w:sz="4" w:space="0"/>
              <w:bottom w:val="single" w:color="auto" w:sz="4" w:space="0"/>
              <w:right w:val="single" w:color="auto" w:sz="4" w:space="0"/>
            </w:tcBorders>
            <w:vAlign w:val="center"/>
          </w:tcPr>
          <w:p w14:paraId="01C951F4">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供应商如认为招标文件表述不清晰、存在歧视性或者其他违法内容的，应当于2025年  月  日17:00前，以书面形式要求招标人作出书面解释、澄清或者向招标人提出书面质疑；如有供应商提出质疑的，招标人将于2025年  月  日17:00前统一组织答疑；答疑内容是招标文件的组成部分，同时在招标文件发售的网站发布。</w:t>
            </w:r>
          </w:p>
        </w:tc>
      </w:tr>
      <w:tr w14:paraId="3F8F0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84B04EA">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1843" w:type="dxa"/>
            <w:tcBorders>
              <w:top w:val="single" w:color="auto" w:sz="4" w:space="0"/>
              <w:left w:val="single" w:color="auto" w:sz="4" w:space="0"/>
              <w:bottom w:val="single" w:color="auto" w:sz="4" w:space="0"/>
              <w:right w:val="single" w:color="auto" w:sz="4" w:space="0"/>
            </w:tcBorders>
            <w:vAlign w:val="center"/>
          </w:tcPr>
          <w:p w14:paraId="1A30040B">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w:t>
            </w:r>
          </w:p>
        </w:tc>
        <w:tc>
          <w:tcPr>
            <w:tcW w:w="6614" w:type="dxa"/>
            <w:tcBorders>
              <w:top w:val="single" w:color="auto" w:sz="4" w:space="0"/>
              <w:left w:val="single" w:color="auto" w:sz="4" w:space="0"/>
              <w:bottom w:val="single" w:color="auto" w:sz="4" w:space="0"/>
              <w:right w:val="single" w:color="auto" w:sz="4" w:space="0"/>
            </w:tcBorders>
            <w:vAlign w:val="center"/>
          </w:tcPr>
          <w:p w14:paraId="5D42F8FB">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现场踏勘：各潜在供应商自行与采购单位联系，不统一组织，费用自理。</w:t>
            </w:r>
          </w:p>
          <w:p w14:paraId="345C5616">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注：被授权踏勘人须携带身份证、授权委托书原件或法定代表人须携带身份证等有效证明进行现场踏勘，否则不予踏勘。</w:t>
            </w:r>
          </w:p>
        </w:tc>
      </w:tr>
      <w:bookmarkEnd w:id="8"/>
    </w:tbl>
    <w:p w14:paraId="2EB8E7C3">
      <w:pPr>
        <w:rPr>
          <w:rFonts w:hint="eastAsia" w:asciiTheme="minorEastAsia" w:hAnsiTheme="minorEastAsia" w:eastAsiaTheme="minorEastAsia" w:cstheme="minorEastAsia"/>
          <w:color w:val="auto"/>
        </w:rPr>
      </w:pPr>
    </w:p>
    <w:p w14:paraId="6B2FCCBE">
      <w:pPr>
        <w:jc w:val="center"/>
        <w:rPr>
          <w:rFonts w:hint="eastAsia" w:asciiTheme="minorEastAsia" w:hAnsiTheme="minorEastAsia" w:eastAsiaTheme="minorEastAsia" w:cstheme="minorEastAsia"/>
          <w:b/>
          <w:color w:val="auto"/>
          <w:sz w:val="32"/>
          <w:szCs w:val="20"/>
        </w:rPr>
      </w:pPr>
    </w:p>
    <w:p w14:paraId="14355C2E">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32"/>
          <w:szCs w:val="20"/>
        </w:rPr>
        <w:t>一、总则</w:t>
      </w:r>
    </w:p>
    <w:p w14:paraId="7D926672">
      <w:pPr>
        <w:snapToGrid w:val="0"/>
        <w:spacing w:line="360" w:lineRule="auto"/>
        <w:ind w:firstLine="361" w:firstLineChars="150"/>
        <w:outlineLvl w:val="1"/>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 适用范围</w:t>
      </w:r>
    </w:p>
    <w:p w14:paraId="6ECECE27">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本招标文件适用于该项目的招标、投标、开标、资格审查及信用信息查询、评标、定标、合同、验收等行为（法律、法规另有规定的，从其规定）。</w:t>
      </w:r>
    </w:p>
    <w:p w14:paraId="56D10126">
      <w:pPr>
        <w:adjustRightInd/>
        <w:spacing w:line="360" w:lineRule="auto"/>
        <w:outlineLvl w:val="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 xml:space="preserve">   2.定义</w:t>
      </w:r>
    </w:p>
    <w:p w14:paraId="388229E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 “采购人”系指招标公告中载明的本项目的采购人。</w:t>
      </w:r>
    </w:p>
    <w:p w14:paraId="14E435C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 “采购代理机构”系指招标公告中载明的本项目的采购代理机构。</w:t>
      </w:r>
    </w:p>
    <w:p w14:paraId="6393130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 “投标人”系指是指响应招标、参加投标竞争的法人、其他组织或者自然人。</w:t>
      </w:r>
    </w:p>
    <w:p w14:paraId="64A9AB2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 “负责人”系指法人企业的法定负责人，或其他组织为法律、行政法规规定代表单位行使职权的主要负责人，或自然人本人。</w:t>
      </w:r>
    </w:p>
    <w:p w14:paraId="2F0EFD71">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71E1E4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2.6“电子交易平台”系指本项目采购活动所依托的乐采云平台（https://www.lecaiyun.com/）。</w:t>
      </w:r>
    </w:p>
    <w:p w14:paraId="7240C80C">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t>2.7 “▲” 系指实质性要求条款，“</w:t>
      </w:r>
      <w:sdt>
        <w:sdtPr>
          <w:rPr>
            <w:rFonts w:hint="eastAsia" w:asciiTheme="minorEastAsia" w:hAnsiTheme="minorEastAsia" w:eastAsiaTheme="minorEastAsia" w:cstheme="minorEastAsia"/>
            <w:color w:val="auto"/>
            <w:kern w:val="0"/>
            <w:sz w:val="24"/>
          </w:rPr>
          <w:id w:val="512970236"/>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t>þ</w:t>
          </w:r>
        </w:sdtContent>
      </w:sdt>
      <w:r>
        <w:rPr>
          <w:rFonts w:hint="eastAsia" w:asciiTheme="minorEastAsia" w:hAnsiTheme="minorEastAsia" w:eastAsiaTheme="minorEastAsia" w:cstheme="minorEastAsia"/>
          <w:color w:val="auto"/>
          <w:sz w:val="24"/>
        </w:rPr>
        <w:t>” 系指适用本项目的要求，“</w:t>
      </w:r>
      <w:sdt>
        <w:sdtPr>
          <w:rPr>
            <w:rFonts w:hint="eastAsia" w:asciiTheme="minorEastAsia" w:hAnsiTheme="minorEastAsia" w:eastAsiaTheme="minorEastAsia" w:cstheme="minorEastAsia"/>
            <w:color w:val="auto"/>
            <w:kern w:val="0"/>
            <w:sz w:val="24"/>
          </w:rPr>
          <w:id w:val="404888855"/>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rPr>
        </w:sdtEndPr>
        <w:sdtContent>
          <w:r>
            <w:rPr>
              <w:rFonts w:hint="eastAsia" w:asciiTheme="minorEastAsia" w:hAnsiTheme="minorEastAsia" w:eastAsiaTheme="minorEastAsia" w:cstheme="minorEastAsia"/>
              <w:color w:val="auto"/>
              <w:kern w:val="0"/>
              <w:sz w:val="24"/>
            </w:rPr>
            <w:t>☐</w:t>
          </w:r>
        </w:sdtContent>
      </w:sdt>
      <w:r>
        <w:rPr>
          <w:rFonts w:hint="eastAsia" w:asciiTheme="minorEastAsia" w:hAnsiTheme="minorEastAsia" w:eastAsiaTheme="minorEastAsia" w:cstheme="minorEastAsia"/>
          <w:color w:val="auto"/>
          <w:sz w:val="24"/>
        </w:rPr>
        <w:t>” 系指不适用本项目的要求。</w:t>
      </w:r>
    </w:p>
    <w:p w14:paraId="59D6FA19">
      <w:pPr>
        <w:spacing w:line="360" w:lineRule="auto"/>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cr/>
      </w:r>
      <w:r>
        <w:rPr>
          <w:rFonts w:hint="eastAsia" w:asciiTheme="minorEastAsia" w:hAnsiTheme="minorEastAsia" w:eastAsiaTheme="minorEastAsia" w:cstheme="minorEastAsia"/>
          <w:b/>
          <w:color w:val="auto"/>
          <w:sz w:val="24"/>
        </w:rPr>
        <w:t>4. 询问、质疑、投诉</w:t>
      </w:r>
    </w:p>
    <w:p w14:paraId="0E7411AA">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4.1在线询问、质疑、投诉</w:t>
      </w:r>
    </w:p>
    <w:p w14:paraId="3E648CFD">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供应商如认为招标文件表述不清晰、存在歧视性或者其他违法内容的，应当于2025年  月  日17:00前，以书面形式要求招标人作出书面解释、澄清或者向招标人提出书面质疑；如有供应商提出质疑的，招标人将于2025年  月  日17:00前统一组织答疑；答疑内容是招标文件的组成部分，同时在招标文件发售的网站发布。</w:t>
      </w:r>
    </w:p>
    <w:p w14:paraId="1BC316CF">
      <w:pPr>
        <w:autoSpaceDE w:val="0"/>
        <w:autoSpaceDN w:val="0"/>
        <w:spacing w:line="360" w:lineRule="auto"/>
        <w:ind w:firstLine="240" w:firstLineChars="1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4.2供应商询问</w:t>
      </w:r>
    </w:p>
    <w:p w14:paraId="3BE3DDD2">
      <w:pPr>
        <w:autoSpaceDE w:val="0"/>
        <w:autoSpaceDN w:val="0"/>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供应商对国有企业采购活动事项有疑问的，可以提出询问，采购人或者采购代理机构应当在3日内对供应商依法提出的询问作出答复，但答复的内容不得涉及商业秘密。供应商提出的询问超出采购人对采购代理机构委托授权范围的，采购代理机构应当告知供应商向采购人提出。</w:t>
      </w:r>
    </w:p>
    <w:p w14:paraId="0D8603B2">
      <w:pPr>
        <w:autoSpaceDE w:val="0"/>
        <w:autoSpaceDN w:val="0"/>
        <w:spacing w:line="360" w:lineRule="auto"/>
        <w:ind w:firstLine="240" w:firstLineChars="1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4.3供应商质疑</w:t>
      </w:r>
    </w:p>
    <w:p w14:paraId="4ACC2BD2">
      <w:pPr>
        <w:pStyle w:val="33"/>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zh-CN"/>
        </w:rPr>
        <w:t>4.3</w:t>
      </w:r>
      <w:r>
        <w:rPr>
          <w:rFonts w:hint="eastAsia" w:asciiTheme="minorEastAsia" w:hAnsiTheme="minorEastAsia" w:eastAsiaTheme="minorEastAsia" w:cstheme="minorEastAsia"/>
          <w:color w:val="auto"/>
          <w:sz w:val="24"/>
        </w:rPr>
        <w:t>.1提出质疑的供应商应当是参与所质疑项目采购活动的供应商。潜在供应商已依法获取其可质疑的招标文件的，可以对该文件提出质疑。</w:t>
      </w:r>
    </w:p>
    <w:p w14:paraId="77BBE346">
      <w:pPr>
        <w:pStyle w:val="33"/>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zh-CN"/>
        </w:rPr>
        <w:t>4.3</w:t>
      </w:r>
      <w:r>
        <w:rPr>
          <w:rFonts w:hint="eastAsia" w:asciiTheme="minorEastAsia" w:hAnsiTheme="minorEastAsia" w:eastAsiaTheme="minorEastAsia" w:cstheme="minorEastAsia"/>
          <w:color w:val="auto"/>
          <w:sz w:val="24"/>
        </w:rPr>
        <w:t>.2供应商认为招标文件、采购过程和中标结果使自己的权益受到损害的，可以以书面形式向采购人或者采购代理机构提出质疑，否则，采购人或者采购代理机构不予受理：</w:t>
      </w:r>
    </w:p>
    <w:p w14:paraId="6E20ABEE">
      <w:pPr>
        <w:pStyle w:val="4"/>
        <w:spacing w:line="360" w:lineRule="auto"/>
        <w:ind w:firstLine="480" w:firstLineChars="200"/>
        <w:rPr>
          <w:rFonts w:hint="eastAsia" w:asciiTheme="minorEastAsia" w:hAnsiTheme="minorEastAsia" w:eastAsiaTheme="minorEastAsia" w:cstheme="minorEastAsia"/>
          <w:snapToGrid/>
          <w:color w:val="auto"/>
          <w:kern w:val="2"/>
          <w:sz w:val="24"/>
        </w:rPr>
      </w:pPr>
      <w:r>
        <w:rPr>
          <w:rFonts w:hint="eastAsia" w:asciiTheme="minorEastAsia" w:hAnsiTheme="minorEastAsia" w:eastAsiaTheme="minorEastAsia" w:cstheme="minorEastAsia"/>
          <w:snapToGrid/>
          <w:color w:val="auto"/>
          <w:kern w:val="2"/>
          <w:sz w:val="24"/>
        </w:rPr>
        <w:t>4.3.2.1对招标文件有异议的，应当在投标截止时间10日前提出。招标人应当自收到异议之日起3日内作出答复；作出答复前，应当暂停招标投标活动。</w:t>
      </w:r>
    </w:p>
    <w:p w14:paraId="7EABBC08">
      <w:pPr>
        <w:pStyle w:val="4"/>
        <w:spacing w:line="360" w:lineRule="auto"/>
        <w:ind w:left="479" w:leftChars="228" w:firstLine="0"/>
        <w:rPr>
          <w:rFonts w:hint="eastAsia" w:asciiTheme="minorEastAsia" w:hAnsiTheme="minorEastAsia" w:eastAsiaTheme="minorEastAsia" w:cstheme="minorEastAsia"/>
          <w:snapToGrid/>
          <w:color w:val="auto"/>
          <w:kern w:val="2"/>
          <w:sz w:val="24"/>
        </w:rPr>
      </w:pPr>
      <w:r>
        <w:rPr>
          <w:rFonts w:hint="eastAsia" w:asciiTheme="minorEastAsia" w:hAnsiTheme="minorEastAsia" w:eastAsiaTheme="minorEastAsia" w:cstheme="minorEastAsia"/>
          <w:color w:val="auto"/>
          <w:sz w:val="24"/>
        </w:rPr>
        <w:t>4.3.2.2对采购过程提</w:t>
      </w:r>
      <w:r>
        <w:rPr>
          <w:rFonts w:hint="eastAsia" w:asciiTheme="minorEastAsia" w:hAnsiTheme="minorEastAsia" w:eastAsiaTheme="minorEastAsia" w:cstheme="minorEastAsia"/>
          <w:snapToGrid/>
          <w:color w:val="auto"/>
          <w:kern w:val="2"/>
          <w:sz w:val="24"/>
        </w:rPr>
        <w:t>出质疑的，质疑期限为各采购程序环节结束之日起计算。4.3.2.3投标人对开标有异议的，应当在开标现场提出，招标人应当当场作出答复，并制作记录。</w:t>
      </w:r>
    </w:p>
    <w:p w14:paraId="0FD2E4DD">
      <w:pPr>
        <w:pStyle w:val="4"/>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napToGrid/>
          <w:color w:val="auto"/>
          <w:kern w:val="2"/>
          <w:sz w:val="24"/>
        </w:rPr>
        <w:t>4.3.2.4对采购结果提出质疑的，质</w:t>
      </w:r>
      <w:r>
        <w:rPr>
          <w:rFonts w:hint="eastAsia" w:asciiTheme="minorEastAsia" w:hAnsiTheme="minorEastAsia" w:eastAsiaTheme="minorEastAsia" w:cstheme="minorEastAsia"/>
          <w:color w:val="auto"/>
          <w:sz w:val="24"/>
        </w:rPr>
        <w:t>疑期限自采购结果公告期限届满之日起计算，招标人应当自收到异议之日起3日内作出答复；作出答复前，应当暂停招标投标活动。</w:t>
      </w:r>
    </w:p>
    <w:p w14:paraId="28481AAC">
      <w:pPr>
        <w:pStyle w:val="3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4.3.2.5</w:t>
      </w:r>
      <w:r>
        <w:rPr>
          <w:rFonts w:hint="eastAsia" w:asciiTheme="minorEastAsia" w:hAnsiTheme="minorEastAsia" w:eastAsiaTheme="minorEastAsia" w:cstheme="minorEastAsia"/>
          <w:color w:val="auto"/>
          <w:sz w:val="24"/>
          <w:szCs w:val="24"/>
        </w:rPr>
        <w:t>投标人或者其他利害关系人认为招标投标活动不符合法律、行政法规规定的，可以自知道或者应当知道之日起10日内向有关行政监督部门投诉。投诉应当有明确的请求和必要的证明材料。</w:t>
      </w:r>
    </w:p>
    <w:p w14:paraId="2B14E343">
      <w:pPr>
        <w:pStyle w:val="3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就以上（</w:t>
      </w:r>
      <w:r>
        <w:rPr>
          <w:rFonts w:hint="eastAsia" w:asciiTheme="minorEastAsia" w:hAnsiTheme="minorEastAsia" w:eastAsiaTheme="minorEastAsia" w:cstheme="minorEastAsia"/>
          <w:snapToGrid/>
          <w:color w:val="auto"/>
          <w:sz w:val="24"/>
        </w:rPr>
        <w:t>4.3.2.1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napToGrid/>
          <w:color w:val="auto"/>
          <w:sz w:val="24"/>
        </w:rPr>
        <w:t>4.3.2.3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napToGrid/>
          <w:color w:val="auto"/>
          <w:sz w:val="24"/>
        </w:rPr>
        <w:t>4.3.2.4</w:t>
      </w:r>
      <w:r>
        <w:rPr>
          <w:rFonts w:hint="eastAsia" w:asciiTheme="minorEastAsia" w:hAnsiTheme="minorEastAsia" w:eastAsiaTheme="minorEastAsia" w:cstheme="minorEastAsia"/>
          <w:color w:val="auto"/>
          <w:sz w:val="24"/>
          <w:szCs w:val="24"/>
        </w:rPr>
        <w:t>）规定事项投诉的，应当先向招标人提出异议，异议答复期间不计算在前款规定的期限内。</w:t>
      </w:r>
    </w:p>
    <w:p w14:paraId="6EBF99C5">
      <w:pPr>
        <w:pStyle w:val="3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4.3.2.6</w:t>
      </w:r>
      <w:r>
        <w:rPr>
          <w:rFonts w:hint="eastAsia" w:asciiTheme="minorEastAsia" w:hAnsiTheme="minorEastAsia" w:eastAsiaTheme="minorEastAsia" w:cstheme="minorEastAsia"/>
          <w:color w:val="auto"/>
          <w:sz w:val="24"/>
          <w:szCs w:val="24"/>
        </w:rPr>
        <w:t>投诉人就同一事项向两个以上有权受理的行政监督部门投诉的，由最先收到投诉的行政监督部门负责处理。</w:t>
      </w:r>
    </w:p>
    <w:p w14:paraId="2B7DCFBC">
      <w:pPr>
        <w:pStyle w:val="3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4.3.2.7</w:t>
      </w:r>
      <w:r>
        <w:rPr>
          <w:rFonts w:hint="eastAsia" w:asciiTheme="minorEastAsia" w:hAnsiTheme="minorEastAsia" w:eastAsiaTheme="minorEastAsia" w:cstheme="minorEastAsia"/>
          <w:color w:val="auto"/>
          <w:sz w:val="24"/>
          <w:szCs w:val="24"/>
        </w:rPr>
        <w:t>行政监督部门应当自收到投诉之日起3个工作日内决定是否受理投诉，并自受理投诉之日起30个工作日内作出书面处理决定；需要检验、检测、鉴定、专家评审的，所需时间不计算在内。</w:t>
      </w:r>
    </w:p>
    <w:p w14:paraId="51341B10">
      <w:pPr>
        <w:pStyle w:val="3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4.3.2.8</w:t>
      </w:r>
      <w:r>
        <w:rPr>
          <w:rFonts w:hint="eastAsia" w:asciiTheme="minorEastAsia" w:hAnsiTheme="minorEastAsia" w:eastAsiaTheme="minorEastAsia" w:cstheme="minorEastAsia"/>
          <w:color w:val="auto"/>
          <w:sz w:val="24"/>
          <w:szCs w:val="24"/>
        </w:rPr>
        <w:t>投诉人捏造事实、伪造材料或者以非法手段取得证明材料进行投诉的，行政监督部门应当予以驳回。</w:t>
      </w:r>
    </w:p>
    <w:p w14:paraId="22A2321B">
      <w:pPr>
        <w:pStyle w:val="3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4.3.2.9</w:t>
      </w:r>
      <w:r>
        <w:rPr>
          <w:rFonts w:hint="eastAsia" w:asciiTheme="minorEastAsia" w:hAnsiTheme="minorEastAsia" w:eastAsiaTheme="minorEastAsia" w:cstheme="minorEastAsia"/>
          <w:color w:val="auto"/>
          <w:sz w:val="24"/>
          <w:szCs w:val="24"/>
        </w:rPr>
        <w:t>质疑或投诉需要提供严谨适用的法律依据以及与法律依据逐一对应的事实依据，如法律依据或事实依据不适用或不充分，行政监督部门应当予以驳回。</w:t>
      </w:r>
    </w:p>
    <w:p w14:paraId="7EEAB40D">
      <w:pPr>
        <w:pStyle w:val="33"/>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4.3.3</w:t>
      </w:r>
      <w:r>
        <w:rPr>
          <w:rFonts w:hint="eastAsia" w:asciiTheme="minorEastAsia" w:hAnsiTheme="minorEastAsia" w:eastAsiaTheme="minorEastAsia" w:cstheme="minorEastAsia"/>
          <w:color w:val="auto"/>
          <w:sz w:val="24"/>
        </w:rPr>
        <w:t>供应商提出质疑应当提交质疑函和必要的证明材料。质疑函应当包括下列内容：</w:t>
      </w:r>
    </w:p>
    <w:p w14:paraId="6901B293">
      <w:pPr>
        <w:pStyle w:val="33"/>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4.3.3.1供应商的姓名或者名称、地址、邮编、联系人及联系电话；</w:t>
      </w:r>
    </w:p>
    <w:p w14:paraId="3BB6110E">
      <w:pPr>
        <w:pStyle w:val="33"/>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4.3.3.2质疑项目的名称、编号；</w:t>
      </w:r>
    </w:p>
    <w:p w14:paraId="3E21A373">
      <w:pPr>
        <w:pStyle w:val="33"/>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4.3.3.3具体、明确的质疑事项和与质疑事项相关的请求；</w:t>
      </w:r>
    </w:p>
    <w:p w14:paraId="0E008095">
      <w:pPr>
        <w:pStyle w:val="33"/>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4.3.3.4事实依据；</w:t>
      </w:r>
    </w:p>
    <w:p w14:paraId="02900D44">
      <w:pPr>
        <w:pStyle w:val="33"/>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4.3.3.5必要的法律依据；</w:t>
      </w:r>
    </w:p>
    <w:p w14:paraId="42C56477">
      <w:pPr>
        <w:pStyle w:val="33"/>
        <w:spacing w:line="360" w:lineRule="auto"/>
        <w:ind w:firstLine="960" w:firstLineChars="4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4.3.3.6提出质疑的日期。</w:t>
      </w:r>
    </w:p>
    <w:p w14:paraId="26928E38">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供应商提交的质疑函需一式三份。供应商为自然人的，应当由本人签字；供应商为法人或者其他组织的，应当由法定代表人、主要负责人，或者其授权代表签字或者盖章，并加盖公章。</w:t>
      </w:r>
    </w:p>
    <w:p w14:paraId="5BD31BB7">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质疑函范本及制作说明详见附件2。</w:t>
      </w:r>
    </w:p>
    <w:p w14:paraId="7A822E2A">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4.3.4对同一采购程序环节的质疑，供应商须在法定质疑期内一次性提出。</w:t>
      </w:r>
    </w:p>
    <w:p w14:paraId="3D82E004">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4.3</w:t>
      </w:r>
      <w:r>
        <w:rPr>
          <w:rFonts w:hint="eastAsia" w:asciiTheme="minorEastAsia" w:hAnsiTheme="minorEastAsia" w:eastAsiaTheme="minorEastAsia" w:cstheme="minorEastAsia"/>
          <w:color w:val="auto"/>
        </w:rPr>
        <w:t>.5采购人或者采购代理机构应当在收到供应商的书面质疑后3日内作出答复，并以书面形式通知质疑供应商和其他与质疑处理结果有利害关系的采购当事人，但答复的内容不得涉及商业秘密。</w:t>
      </w:r>
    </w:p>
    <w:p w14:paraId="7296517F">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4.3</w:t>
      </w:r>
      <w:r>
        <w:rPr>
          <w:rFonts w:hint="eastAsia" w:asciiTheme="minorEastAsia" w:hAnsiTheme="minorEastAsia" w:eastAsiaTheme="minorEastAsia" w:cstheme="minorEastAsia"/>
          <w:color w:val="auto"/>
        </w:rPr>
        <w:t>.6询问或者质疑事项可能影响采购结果的，采购人应当暂停签订合同，已经签订合同的，应当中止履行合同。</w:t>
      </w:r>
    </w:p>
    <w:p w14:paraId="6E29A062">
      <w:pPr>
        <w:pStyle w:val="891"/>
        <w:shd w:val="clear" w:color="auto" w:fill="FFFFFF"/>
        <w:snapToGrid w:val="0"/>
        <w:spacing w:after="240" w:afterAutospacing="0" w:line="360" w:lineRule="auto"/>
        <w:ind w:firstLine="480" w:firstLineChars="200"/>
        <w:contextualSpacing/>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4.4供应商投诉</w:t>
      </w:r>
    </w:p>
    <w:p w14:paraId="2B22036E">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4.4.1质疑供应商对采购人、采购代理机构的答复不满意或者采购人、采购代理机构未在规定的时间内作出答复的，可以自知道或者应当知道之日起10日内向有关行政监督部门投诉。</w:t>
      </w:r>
    </w:p>
    <w:p w14:paraId="3DA5337E">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4.4.</w:t>
      </w:r>
      <w:r>
        <w:rPr>
          <w:rFonts w:hint="eastAsia" w:asciiTheme="minorEastAsia" w:hAnsiTheme="minorEastAsia" w:eastAsiaTheme="minorEastAsia" w:cstheme="minorEastAsia"/>
          <w:color w:val="auto"/>
          <w:lang w:val="zh-CN"/>
        </w:rPr>
        <w:t>2</w:t>
      </w:r>
      <w:r>
        <w:rPr>
          <w:rFonts w:hint="eastAsia" w:asciiTheme="minorEastAsia" w:hAnsiTheme="minorEastAsia" w:eastAsiaTheme="minorEastAsia" w:cstheme="minorEastAsia"/>
          <w:color w:val="auto"/>
        </w:rPr>
        <w:t>供应商投诉的事项不得超出已质疑事项的范围，基于质疑答复内容提出的投诉事项除外。</w:t>
      </w:r>
    </w:p>
    <w:p w14:paraId="12463C83">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4.4.3供应商投诉应当有明确的请求和必要的证明材料。</w:t>
      </w:r>
    </w:p>
    <w:p w14:paraId="7716BFB4">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4.4.4 以联合体形式参加采购活动的，其投诉应当由组成联合体的所有供应商共同提出。</w:t>
      </w:r>
    </w:p>
    <w:p w14:paraId="710268BD">
      <w:pPr>
        <w:pStyle w:val="891"/>
        <w:shd w:val="clear" w:color="auto" w:fill="FFFFFF"/>
        <w:snapToGrid w:val="0"/>
        <w:spacing w:after="240" w:afterAutospacing="0" w:line="360" w:lineRule="auto"/>
        <w:ind w:firstLine="400"/>
        <w:contextualSpacing/>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rPr>
        <w:t>投诉书范本及制作说明详见附件3。</w:t>
      </w:r>
    </w:p>
    <w:p w14:paraId="39B9FAA0">
      <w:pPr>
        <w:adjustRightInd/>
        <w:spacing w:line="360" w:lineRule="auto"/>
        <w:jc w:val="center"/>
        <w:outlineLvl w:val="0"/>
        <w:rPr>
          <w:rFonts w:hint="eastAsia" w:asciiTheme="minorEastAsia" w:hAnsiTheme="minorEastAsia" w:eastAsiaTheme="minorEastAsia" w:cstheme="minorEastAsia"/>
          <w:b/>
          <w:color w:val="auto"/>
          <w:sz w:val="32"/>
          <w:szCs w:val="20"/>
        </w:rPr>
      </w:pPr>
      <w:r>
        <w:rPr>
          <w:rFonts w:hint="eastAsia" w:asciiTheme="minorEastAsia" w:hAnsiTheme="minorEastAsia" w:eastAsiaTheme="minorEastAsia" w:cstheme="minorEastAsia"/>
          <w:b/>
          <w:color w:val="auto"/>
          <w:sz w:val="32"/>
          <w:szCs w:val="20"/>
        </w:rPr>
        <w:t xml:space="preserve">      二、招标文件的构成、澄清、修改</w:t>
      </w:r>
    </w:p>
    <w:p w14:paraId="37EAD9EA">
      <w:pPr>
        <w:pStyle w:val="33"/>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5．招标文件的构成</w:t>
      </w:r>
    </w:p>
    <w:p w14:paraId="79A3F99B">
      <w:pPr>
        <w:pStyle w:val="3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招标文件包括下列文件及附件：</w:t>
      </w:r>
    </w:p>
    <w:p w14:paraId="159E443E">
      <w:pPr>
        <w:pStyle w:val="33"/>
        <w:tabs>
          <w:tab w:val="left" w:pos="840"/>
        </w:tabs>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5.1.1招标公告；</w:t>
      </w:r>
    </w:p>
    <w:p w14:paraId="3C8BECC0">
      <w:pPr>
        <w:pStyle w:val="33"/>
        <w:tabs>
          <w:tab w:val="left" w:pos="840"/>
        </w:tabs>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5.1.2投标人须知；</w:t>
      </w:r>
    </w:p>
    <w:p w14:paraId="58F77EE8">
      <w:pPr>
        <w:pStyle w:val="33"/>
        <w:tabs>
          <w:tab w:val="left" w:pos="840"/>
        </w:tabs>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5.1.3采购需求；</w:t>
      </w:r>
    </w:p>
    <w:p w14:paraId="075C7D19">
      <w:pPr>
        <w:pStyle w:val="33"/>
        <w:tabs>
          <w:tab w:val="left" w:pos="840"/>
        </w:tabs>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5.1.4评标办法；</w:t>
      </w:r>
    </w:p>
    <w:p w14:paraId="10745FDF">
      <w:pPr>
        <w:pStyle w:val="33"/>
        <w:tabs>
          <w:tab w:val="left" w:pos="840"/>
        </w:tabs>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5.1.5拟签订的合同文本；</w:t>
      </w:r>
    </w:p>
    <w:p w14:paraId="25772670">
      <w:pPr>
        <w:pStyle w:val="33"/>
        <w:tabs>
          <w:tab w:val="left" w:pos="840"/>
        </w:tabs>
        <w:spacing w:line="360" w:lineRule="auto"/>
        <w:ind w:firstLine="960"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5.1.6</w:t>
      </w:r>
      <w:r>
        <w:rPr>
          <w:rFonts w:hint="eastAsia" w:asciiTheme="minorEastAsia" w:hAnsiTheme="minorEastAsia" w:eastAsiaTheme="minorEastAsia" w:cstheme="minorEastAsia"/>
          <w:color w:val="auto"/>
          <w:sz w:val="24"/>
          <w:szCs w:val="24"/>
        </w:rPr>
        <w:t>应提交的有关格式范例。</w:t>
      </w:r>
    </w:p>
    <w:p w14:paraId="4CB1954B">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5.2与本项目有关的</w:t>
      </w:r>
      <w:r>
        <w:rPr>
          <w:rFonts w:hint="eastAsia" w:asciiTheme="minorEastAsia" w:hAnsiTheme="minorEastAsia" w:eastAsiaTheme="minorEastAsia" w:cstheme="minorEastAsia"/>
          <w:bCs/>
          <w:color w:val="auto"/>
          <w:sz w:val="24"/>
        </w:rPr>
        <w:t>澄清或者修改的内容为招标文件的组成部分</w:t>
      </w:r>
      <w:r>
        <w:rPr>
          <w:rFonts w:hint="eastAsia" w:asciiTheme="minorEastAsia" w:hAnsiTheme="minorEastAsia" w:eastAsiaTheme="minorEastAsia" w:cstheme="minorEastAsia"/>
          <w:color w:val="auto"/>
          <w:sz w:val="24"/>
        </w:rPr>
        <w:t>。</w:t>
      </w:r>
    </w:p>
    <w:p w14:paraId="4B83AC92">
      <w:pPr>
        <w:pStyle w:val="33"/>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 招标文件的澄清、修改</w:t>
      </w:r>
    </w:p>
    <w:p w14:paraId="4940921B">
      <w:pPr>
        <w:pStyle w:val="136"/>
        <w:snapToGrid w:val="0"/>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6.1已获取招标文件的潜在投标人，若有问题需要澄清，应于投标截止时间前，以书面形式向采购代理机构提出。</w:t>
      </w:r>
    </w:p>
    <w:p w14:paraId="1585D168">
      <w:pPr>
        <w:pStyle w:val="136"/>
        <w:snapToGrid w:val="0"/>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20EDB43">
      <w:pPr>
        <w:pStyle w:val="23"/>
        <w:rPr>
          <w:rFonts w:hint="eastAsia" w:asciiTheme="minorEastAsia" w:hAnsiTheme="minorEastAsia" w:eastAsiaTheme="minorEastAsia" w:cstheme="minorEastAsia"/>
          <w:color w:val="auto"/>
          <w:sz w:val="18"/>
          <w:szCs w:val="18"/>
          <w:lang w:val="en-US"/>
        </w:rPr>
      </w:pPr>
      <w:r>
        <w:rPr>
          <w:rFonts w:hint="eastAsia" w:asciiTheme="minorEastAsia" w:hAnsiTheme="minorEastAsia" w:eastAsiaTheme="minorEastAsia" w:cstheme="minorEastAsia"/>
          <w:color w:val="auto"/>
          <w:szCs w:val="24"/>
          <w:lang w:val="en-US"/>
        </w:rPr>
        <w:t xml:space="preserve">    </w:t>
      </w:r>
    </w:p>
    <w:p w14:paraId="42B6B187">
      <w:pPr>
        <w:adjustRightInd/>
        <w:spacing w:line="360" w:lineRule="auto"/>
        <w:jc w:val="center"/>
        <w:outlineLvl w:val="0"/>
        <w:rPr>
          <w:rFonts w:hint="eastAsia" w:asciiTheme="minorEastAsia" w:hAnsiTheme="minorEastAsia" w:eastAsiaTheme="minorEastAsia" w:cstheme="minorEastAsia"/>
          <w:b/>
          <w:color w:val="auto"/>
          <w:sz w:val="30"/>
          <w:szCs w:val="20"/>
        </w:rPr>
      </w:pPr>
      <w:r>
        <w:rPr>
          <w:rFonts w:hint="eastAsia" w:asciiTheme="minorEastAsia" w:hAnsiTheme="minorEastAsia" w:eastAsiaTheme="minorEastAsia" w:cstheme="minorEastAsia"/>
          <w:b/>
          <w:color w:val="auto"/>
          <w:sz w:val="30"/>
          <w:szCs w:val="20"/>
        </w:rPr>
        <w:t>三、投标</w:t>
      </w:r>
    </w:p>
    <w:p w14:paraId="269601CE">
      <w:pPr>
        <w:pStyle w:val="33"/>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7. 招标文件的获取</w:t>
      </w:r>
    </w:p>
    <w:p w14:paraId="3E493289">
      <w:pPr>
        <w:spacing w:line="360" w:lineRule="auto"/>
        <w:ind w:firstLine="480" w:firstLineChars="200"/>
        <w:rPr>
          <w:rFonts w:hint="eastAsia" w:asciiTheme="minorEastAsia" w:hAnsiTheme="minorEastAsia" w:eastAsiaTheme="minorEastAsia" w:cstheme="minorEastAsia"/>
          <w:snapToGrid w:val="0"/>
          <w:color w:val="auto"/>
          <w:kern w:val="28"/>
          <w:sz w:val="24"/>
        </w:rPr>
      </w:pPr>
      <w:r>
        <w:rPr>
          <w:rFonts w:hint="eastAsia" w:asciiTheme="minorEastAsia" w:hAnsiTheme="minorEastAsia" w:eastAsiaTheme="minorEastAsia" w:cstheme="minorEastAsia"/>
          <w:snapToGrid w:val="0"/>
          <w:color w:val="auto"/>
          <w:kern w:val="28"/>
          <w:sz w:val="24"/>
        </w:rPr>
        <w:t>详见招标公告中获取招标文件的时间期限、地点、方式及招标文件售价。</w:t>
      </w:r>
    </w:p>
    <w:p w14:paraId="02A314A7">
      <w:pPr>
        <w:pStyle w:val="33"/>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8.开标前答疑会或现场考察</w:t>
      </w:r>
    </w:p>
    <w:p w14:paraId="7078ABF4">
      <w:pPr>
        <w:pStyle w:val="3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采购人组织潜在投标人现场考察或者召开开标前答疑会的，潜在投标人按第二部分投标人须知前附表的规定参加现场考察或者开标前答疑会。</w:t>
      </w:r>
    </w:p>
    <w:p w14:paraId="5BB88189">
      <w:pPr>
        <w:pStyle w:val="33"/>
        <w:spacing w:line="360" w:lineRule="auto"/>
        <w:rPr>
          <w:rFonts w:hint="eastAsia"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kern w:val="28"/>
          <w:sz w:val="24"/>
          <w:szCs w:val="24"/>
        </w:rPr>
        <w:t>9.投标保证金</w:t>
      </w:r>
    </w:p>
    <w:p w14:paraId="6E232131">
      <w:pPr>
        <w:pStyle w:val="4"/>
        <w:spacing w:line="360" w:lineRule="auto"/>
        <w:ind w:firstLine="472"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本项目需缴纳投标保证金。</w:t>
      </w:r>
    </w:p>
    <w:p w14:paraId="3CDCD26C">
      <w:pPr>
        <w:pStyle w:val="33"/>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10. 投标文件的语言</w:t>
      </w:r>
    </w:p>
    <w:p w14:paraId="3C0BF567">
      <w:pPr>
        <w:autoSpaceDE w:val="0"/>
        <w:autoSpaceDN w:val="0"/>
        <w:spacing w:line="360" w:lineRule="auto"/>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投标文件及投标人与采购有关的来往通知、函件和文件均应使用中文。</w:t>
      </w:r>
    </w:p>
    <w:p w14:paraId="7F84FA66">
      <w:pPr>
        <w:pStyle w:val="33"/>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11. 投标文件的组成</w:t>
      </w:r>
    </w:p>
    <w:p w14:paraId="73B35D84">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w:t>
      </w:r>
      <w:r>
        <w:rPr>
          <w:rFonts w:hint="eastAsia" w:asciiTheme="minorEastAsia" w:hAnsiTheme="minorEastAsia" w:eastAsiaTheme="minorEastAsia" w:cstheme="minorEastAsia"/>
          <w:b/>
          <w:color w:val="auto"/>
          <w:sz w:val="24"/>
        </w:rPr>
        <w:t>资格文件</w:t>
      </w:r>
      <w:r>
        <w:rPr>
          <w:rFonts w:hint="eastAsia" w:asciiTheme="minorEastAsia" w:hAnsiTheme="minorEastAsia" w:eastAsiaTheme="minorEastAsia" w:cstheme="minorEastAsia"/>
          <w:color w:val="auto"/>
          <w:sz w:val="24"/>
        </w:rPr>
        <w:t>：</w:t>
      </w:r>
    </w:p>
    <w:p w14:paraId="33922894">
      <w:pPr>
        <w:snapToGrid w:val="0"/>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11.1.1符合参加采购活动应当具备的一般条件的承诺函；</w:t>
      </w:r>
    </w:p>
    <w:p w14:paraId="06A66F61">
      <w:pPr>
        <w:snapToGrid w:val="0"/>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11.1.2 营业执照</w:t>
      </w:r>
    </w:p>
    <w:p w14:paraId="273E3E16">
      <w:pPr>
        <w:snapToGrid w:val="0"/>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11.1.3 投标保证金转账、汇款凭证复印件（</w:t>
      </w:r>
      <w:r>
        <w:rPr>
          <w:rFonts w:hint="eastAsia" w:asciiTheme="minorEastAsia" w:hAnsiTheme="minorEastAsia" w:eastAsiaTheme="minorEastAsia" w:cstheme="minorEastAsia"/>
          <w:snapToGrid w:val="0"/>
          <w:color w:val="auto"/>
          <w:kern w:val="28"/>
          <w:sz w:val="24"/>
          <w:szCs w:val="20"/>
        </w:rPr>
        <w:t>如果有</w:t>
      </w:r>
      <w:r>
        <w:rPr>
          <w:rFonts w:hint="eastAsia" w:asciiTheme="minorEastAsia" w:hAnsiTheme="minorEastAsia" w:eastAsiaTheme="minorEastAsia" w:cstheme="minorEastAsia"/>
          <w:color w:val="auto"/>
          <w:sz w:val="24"/>
        </w:rPr>
        <w:t>）；</w:t>
      </w:r>
    </w:p>
    <w:p w14:paraId="0194FD41">
      <w:pPr>
        <w:snapToGrid w:val="0"/>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11.1.4</w:t>
      </w:r>
      <w:r>
        <w:rPr>
          <w:rFonts w:hint="eastAsia" w:asciiTheme="minorEastAsia" w:hAnsiTheme="minorEastAsia" w:eastAsiaTheme="minorEastAsia" w:cstheme="minorEastAsia"/>
          <w:snapToGrid w:val="0"/>
          <w:color w:val="auto"/>
          <w:kern w:val="28"/>
          <w:sz w:val="24"/>
          <w:szCs w:val="20"/>
        </w:rPr>
        <w:t>联合协议（如果有）；</w:t>
      </w:r>
    </w:p>
    <w:p w14:paraId="64193BAB">
      <w:pPr>
        <w:snapToGrid w:val="0"/>
        <w:spacing w:line="360" w:lineRule="auto"/>
        <w:ind w:firstLine="960" w:firstLineChars="4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11.1.5本项目的特定资格要求（</w:t>
      </w:r>
      <w:r>
        <w:rPr>
          <w:rFonts w:hint="eastAsia" w:asciiTheme="minorEastAsia" w:hAnsiTheme="minorEastAsia" w:eastAsiaTheme="minorEastAsia" w:cstheme="minorEastAsia"/>
          <w:snapToGrid w:val="0"/>
          <w:color w:val="auto"/>
          <w:kern w:val="28"/>
          <w:sz w:val="24"/>
          <w:szCs w:val="20"/>
        </w:rPr>
        <w:t>如果有</w:t>
      </w:r>
      <w:r>
        <w:rPr>
          <w:rFonts w:hint="eastAsia" w:asciiTheme="minorEastAsia" w:hAnsiTheme="minorEastAsia" w:eastAsiaTheme="minorEastAsia" w:cstheme="minorEastAsia"/>
          <w:color w:val="auto"/>
          <w:sz w:val="24"/>
        </w:rPr>
        <w:t>）：</w:t>
      </w:r>
    </w:p>
    <w:p w14:paraId="075067C3">
      <w:pPr>
        <w:snapToGrid w:val="0"/>
        <w:spacing w:line="360" w:lineRule="auto"/>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11.</w:t>
      </w: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 xml:space="preserve">  </w:t>
      </w:r>
      <w:r>
        <w:rPr>
          <w:rFonts w:hint="eastAsia" w:asciiTheme="minorEastAsia" w:hAnsiTheme="minorEastAsia" w:eastAsiaTheme="minorEastAsia" w:cstheme="minorEastAsia"/>
          <w:color w:val="auto"/>
          <w:sz w:val="24"/>
        </w:rPr>
        <w:t>商务技术</w:t>
      </w:r>
      <w:r>
        <w:rPr>
          <w:rFonts w:hint="eastAsia" w:asciiTheme="minorEastAsia" w:hAnsiTheme="minorEastAsia" w:eastAsiaTheme="minorEastAsia" w:cstheme="minorEastAsia"/>
          <w:color w:val="auto"/>
          <w:sz w:val="24"/>
          <w:lang w:val="zh-CN"/>
        </w:rPr>
        <w:t>文件：</w:t>
      </w:r>
    </w:p>
    <w:p w14:paraId="2EB05FC0">
      <w:pPr>
        <w:snapToGrid w:val="0"/>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11.2.1投标函；</w:t>
      </w:r>
      <w:r>
        <w:rPr>
          <w:rFonts w:hint="eastAsia" w:asciiTheme="minorEastAsia" w:hAnsiTheme="minorEastAsia" w:eastAsiaTheme="minorEastAsia" w:cstheme="minorEastAsia"/>
          <w:color w:val="auto"/>
          <w:sz w:val="24"/>
          <w:lang w:val="zh-CN"/>
        </w:rPr>
        <w:t xml:space="preserve"> </w:t>
      </w:r>
    </w:p>
    <w:p w14:paraId="691BBD6A">
      <w:pPr>
        <w:snapToGrid w:val="0"/>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11.2.2授权委托书或法定代表人（单位负责人、自然人本人）身份证明；</w:t>
      </w:r>
    </w:p>
    <w:p w14:paraId="498AB0F6">
      <w:pPr>
        <w:snapToGrid w:val="0"/>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11.2.3分包意向协议</w:t>
      </w:r>
      <w:r>
        <w:rPr>
          <w:rFonts w:hint="eastAsia" w:asciiTheme="minorEastAsia" w:hAnsiTheme="minorEastAsia" w:eastAsiaTheme="minorEastAsia" w:cstheme="minorEastAsia"/>
          <w:snapToGrid w:val="0"/>
          <w:color w:val="auto"/>
          <w:kern w:val="28"/>
          <w:sz w:val="24"/>
          <w:szCs w:val="20"/>
        </w:rPr>
        <w:t>（如果有）</w:t>
      </w:r>
      <w:r>
        <w:rPr>
          <w:rFonts w:hint="eastAsia" w:asciiTheme="minorEastAsia" w:hAnsiTheme="minorEastAsia" w:eastAsiaTheme="minorEastAsia" w:cstheme="minorEastAsia"/>
          <w:color w:val="auto"/>
          <w:sz w:val="24"/>
        </w:rPr>
        <w:t>；</w:t>
      </w:r>
    </w:p>
    <w:p w14:paraId="2510438C">
      <w:pPr>
        <w:snapToGrid w:val="0"/>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11.2.4符合性审查资料；</w:t>
      </w:r>
    </w:p>
    <w:p w14:paraId="5F872447">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11.2.5评标标准相应的商务技术资料；</w:t>
      </w:r>
    </w:p>
    <w:p w14:paraId="466F9E28">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11.2.6技术参数对照表；</w:t>
      </w:r>
    </w:p>
    <w:p w14:paraId="4D878F9C">
      <w:pPr>
        <w:snapToGrid w:val="0"/>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11.2.7商务技术偏离表；</w:t>
      </w:r>
    </w:p>
    <w:p w14:paraId="03A23EDE">
      <w:pPr>
        <w:snapToGrid w:val="0"/>
        <w:spacing w:line="360" w:lineRule="auto"/>
        <w:ind w:firstLine="960" w:firstLineChars="4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11.</w:t>
      </w: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8</w:t>
      </w:r>
      <w:r>
        <w:rPr>
          <w:rFonts w:hint="eastAsia" w:asciiTheme="minorEastAsia" w:hAnsiTheme="minorEastAsia" w:eastAsiaTheme="minorEastAsia" w:cstheme="minorEastAsia"/>
          <w:color w:val="auto"/>
          <w:sz w:val="24"/>
          <w:lang w:val="zh-CN"/>
        </w:rPr>
        <w:t>采购供应商廉洁自律承诺书；</w:t>
      </w:r>
    </w:p>
    <w:p w14:paraId="77D649B0">
      <w:pPr>
        <w:snapToGrid w:val="0"/>
        <w:spacing w:line="360" w:lineRule="auto"/>
        <w:ind w:firstLine="480" w:firstLineChars="200"/>
        <w:rPr>
          <w:rFonts w:hint="eastAsia" w:asciiTheme="minorEastAsia" w:hAnsiTheme="minorEastAsia" w:eastAsiaTheme="minorEastAsia" w:cstheme="minorEastAsia"/>
          <w:color w:val="auto"/>
          <w:sz w:val="24"/>
          <w:u w:val="single"/>
          <w:lang w:val="zh-CN"/>
        </w:rPr>
      </w:pPr>
      <w:r>
        <w:rPr>
          <w:rFonts w:hint="eastAsia" w:asciiTheme="minorEastAsia" w:hAnsiTheme="minorEastAsia" w:eastAsiaTheme="minorEastAsia" w:cstheme="minorEastAsia"/>
          <w:color w:val="auto"/>
          <w:kern w:val="0"/>
          <w:sz w:val="24"/>
          <w:lang w:val="zh-CN"/>
        </w:rPr>
        <w:t>11.</w:t>
      </w:r>
      <w:r>
        <w:rPr>
          <w:rFonts w:hint="eastAsia" w:asciiTheme="minorEastAsia" w:hAnsiTheme="minorEastAsia" w:eastAsiaTheme="minorEastAsia" w:cstheme="minorEastAsia"/>
          <w:color w:val="auto"/>
          <w:kern w:val="0"/>
          <w:sz w:val="24"/>
        </w:rPr>
        <w:t>3</w:t>
      </w:r>
      <w:r>
        <w:rPr>
          <w:rFonts w:hint="eastAsia" w:asciiTheme="minorEastAsia" w:hAnsiTheme="minorEastAsia" w:eastAsiaTheme="minorEastAsia" w:cstheme="minorEastAsia"/>
          <w:b/>
          <w:color w:val="auto"/>
          <w:sz w:val="24"/>
        </w:rPr>
        <w:t>报价文件：</w:t>
      </w:r>
      <w:r>
        <w:rPr>
          <w:rFonts w:hint="eastAsia" w:asciiTheme="minorEastAsia" w:hAnsiTheme="minorEastAsia" w:eastAsiaTheme="minorEastAsia" w:cstheme="minorEastAsia"/>
          <w:color w:val="auto"/>
          <w:sz w:val="24"/>
        </w:rPr>
        <w:t xml:space="preserve"> </w:t>
      </w:r>
    </w:p>
    <w:p w14:paraId="43F86721">
      <w:pPr>
        <w:snapToGrid w:val="0"/>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11.3.1开标一览表（报价表）；</w:t>
      </w:r>
    </w:p>
    <w:p w14:paraId="439DC7A1">
      <w:pPr>
        <w:spacing w:line="360" w:lineRule="auto"/>
        <w:ind w:firstLine="723" w:firstLineChars="3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投标文件含有采购人不能接受的附加条件的，投标无效；</w:t>
      </w:r>
    </w:p>
    <w:p w14:paraId="6236261F">
      <w:pPr>
        <w:spacing w:line="360" w:lineRule="auto"/>
        <w:ind w:firstLine="723" w:firstLineChars="300"/>
        <w:rPr>
          <w:rFonts w:hint="eastAsia" w:asciiTheme="minorEastAsia" w:hAnsiTheme="minorEastAsia" w:eastAsiaTheme="minorEastAsia" w:cstheme="minorEastAsia"/>
          <w:b/>
          <w:color w:val="auto"/>
          <w:sz w:val="24"/>
          <w:szCs w:val="21"/>
        </w:rPr>
      </w:pPr>
      <w:r>
        <w:rPr>
          <w:rFonts w:hint="eastAsia" w:asciiTheme="minorEastAsia" w:hAnsiTheme="minorEastAsia" w:eastAsiaTheme="minorEastAsia" w:cstheme="minorEastAsia"/>
          <w:b/>
          <w:color w:val="auto"/>
          <w:sz w:val="24"/>
        </w:rPr>
        <w:t>投标人提供虚假材料投标的，投标无效。</w:t>
      </w:r>
    </w:p>
    <w:p w14:paraId="7F0E2B7D">
      <w:pPr>
        <w:pStyle w:val="136"/>
        <w:snapToGrid w:val="0"/>
        <w:spacing w:before="0"/>
        <w:ind w:firstLine="0" w:firstLineChars="0"/>
        <w:outlineLvl w:val="0"/>
        <w:rPr>
          <w:rFonts w:hint="eastAsia"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12</w:t>
      </w:r>
      <w:r>
        <w:rPr>
          <w:rFonts w:hint="eastAsia" w:asciiTheme="minorEastAsia" w:hAnsiTheme="minorEastAsia" w:eastAsiaTheme="minorEastAsia" w:cstheme="minorEastAsia"/>
          <w:b/>
          <w:color w:val="auto"/>
          <w:kern w:val="0"/>
          <w:szCs w:val="24"/>
          <w:lang w:val="zh-CN"/>
        </w:rPr>
        <w:t xml:space="preserve">. </w:t>
      </w:r>
      <w:r>
        <w:rPr>
          <w:rFonts w:hint="eastAsia" w:asciiTheme="minorEastAsia" w:hAnsiTheme="minorEastAsia" w:eastAsiaTheme="minorEastAsia" w:cstheme="minorEastAsia"/>
          <w:b/>
          <w:color w:val="auto"/>
          <w:szCs w:val="24"/>
        </w:rPr>
        <w:t>投标文件的编制</w:t>
      </w:r>
    </w:p>
    <w:p w14:paraId="656601F6">
      <w:pPr>
        <w:spacing w:line="360" w:lineRule="auto"/>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6BED204">
      <w:pPr>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12.2安装“</w:t>
      </w:r>
      <w:r>
        <w:rPr>
          <w:rFonts w:hint="eastAsia" w:asciiTheme="minorEastAsia" w:hAnsiTheme="minorEastAsia" w:eastAsiaTheme="minorEastAsia" w:cstheme="minorEastAsia"/>
          <w:color w:val="auto"/>
          <w:kern w:val="0"/>
          <w:sz w:val="24"/>
        </w:rPr>
        <w:t>乐采云</w:t>
      </w:r>
      <w:r>
        <w:rPr>
          <w:rFonts w:hint="eastAsia" w:asciiTheme="minorEastAsia" w:hAnsiTheme="minorEastAsia" w:eastAsiaTheme="minorEastAsia" w:cstheme="minorEastAsia"/>
          <w:color w:val="auto"/>
          <w:kern w:val="0"/>
          <w:sz w:val="24"/>
          <w:lang w:val="zh-CN"/>
        </w:rPr>
        <w:t>电子交易客户端”----投标人通过乐采云平台电子投标工具制作投标文件，前往“</w:t>
      </w:r>
      <w:r>
        <w:rPr>
          <w:rFonts w:hint="eastAsia" w:asciiTheme="minorEastAsia" w:hAnsiTheme="minorEastAsia" w:eastAsiaTheme="minorEastAsia" w:cstheme="minorEastAsia"/>
          <w:color w:val="auto"/>
          <w:kern w:val="0"/>
          <w:sz w:val="24"/>
        </w:rPr>
        <w:t>乐采云平台</w:t>
      </w:r>
      <w:r>
        <w:rPr>
          <w:rFonts w:hint="eastAsia" w:asciiTheme="minorEastAsia" w:hAnsiTheme="minorEastAsia" w:eastAsiaTheme="minorEastAsia" w:cstheme="minorEastAsia"/>
          <w:color w:val="auto"/>
          <w:kern w:val="0"/>
          <w:sz w:val="24"/>
          <w:lang w:val="zh-CN"/>
        </w:rPr>
        <w:t>-</w:t>
      </w:r>
      <w:r>
        <w:rPr>
          <w:rFonts w:hint="eastAsia" w:asciiTheme="minorEastAsia" w:hAnsiTheme="minorEastAsia" w:eastAsiaTheme="minorEastAsia" w:cstheme="minorEastAsia"/>
          <w:color w:val="auto"/>
          <w:kern w:val="0"/>
          <w:sz w:val="24"/>
        </w:rPr>
        <w:t>服务中心</w:t>
      </w:r>
      <w:r>
        <w:rPr>
          <w:rFonts w:hint="eastAsia" w:asciiTheme="minorEastAsia" w:hAnsiTheme="minorEastAsia" w:eastAsiaTheme="minorEastAsia" w:cstheme="minorEastAsia"/>
          <w:color w:val="auto"/>
          <w:kern w:val="0"/>
          <w:sz w:val="24"/>
          <w:lang w:val="zh-CN"/>
        </w:rPr>
        <w:t>-电子交易客户端”进行下载并安装。</w:t>
      </w:r>
      <w:r>
        <w:rPr>
          <w:rFonts w:hint="eastAsia" w:asciiTheme="minorEastAsia" w:hAnsiTheme="minorEastAsia" w:eastAsiaTheme="minorEastAsia" w:cstheme="minorEastAsia"/>
          <w:color w:val="auto"/>
          <w:kern w:val="0"/>
          <w:sz w:val="24"/>
        </w:rPr>
        <w:t>乐采云</w:t>
      </w:r>
      <w:r>
        <w:rPr>
          <w:rFonts w:hint="eastAsia" w:asciiTheme="minorEastAsia" w:hAnsiTheme="minorEastAsia" w:eastAsiaTheme="minorEastAsia" w:cstheme="minorEastAsia"/>
          <w:color w:val="auto"/>
          <w:kern w:val="0"/>
          <w:sz w:val="24"/>
          <w:lang w:val="zh-CN"/>
        </w:rPr>
        <w:t>电子交易客户端：https://sitecdn.zcycdn.com/zcy-client/bidding-client-new/official/lcy/LeCaiYunSetup.latest.exe</w:t>
      </w:r>
    </w:p>
    <w:p w14:paraId="74A894D7">
      <w:pPr>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12.3使用“乐采云电子交易客户端”需要提前申领CA数字证书，申领CA数字证书---申领流程详见“</w:t>
      </w:r>
      <w:r>
        <w:rPr>
          <w:rFonts w:hint="eastAsia" w:asciiTheme="minorEastAsia" w:hAnsiTheme="minorEastAsia" w:eastAsiaTheme="minorEastAsia" w:cstheme="minorEastAsia"/>
          <w:color w:val="auto"/>
          <w:kern w:val="0"/>
          <w:sz w:val="24"/>
        </w:rPr>
        <w:t>乐采云平台</w:t>
      </w:r>
      <w:r>
        <w:rPr>
          <w:rFonts w:hint="eastAsia" w:asciiTheme="minorEastAsia" w:hAnsiTheme="minorEastAsia" w:eastAsiaTheme="minorEastAsia" w:cstheme="minorEastAsia"/>
          <w:color w:val="auto"/>
          <w:kern w:val="0"/>
          <w:sz w:val="24"/>
          <w:lang w:val="zh-CN"/>
        </w:rPr>
        <w:t>-</w:t>
      </w:r>
      <w:r>
        <w:rPr>
          <w:rFonts w:hint="eastAsia" w:asciiTheme="minorEastAsia" w:hAnsiTheme="minorEastAsia" w:eastAsiaTheme="minorEastAsia" w:cstheme="minorEastAsia"/>
          <w:color w:val="auto"/>
          <w:kern w:val="0"/>
          <w:sz w:val="24"/>
        </w:rPr>
        <w:t>服务中心</w:t>
      </w:r>
      <w:r>
        <w:rPr>
          <w:rFonts w:hint="eastAsia" w:asciiTheme="minorEastAsia" w:hAnsiTheme="minorEastAsia" w:eastAsiaTheme="minorEastAsia" w:cstheme="minorEastAsia"/>
          <w:color w:val="auto"/>
          <w:kern w:val="0"/>
          <w:sz w:val="24"/>
          <w:lang w:val="zh-CN"/>
        </w:rPr>
        <w:t>-</w:t>
      </w:r>
      <w:r>
        <w:rPr>
          <w:rFonts w:hint="eastAsia" w:asciiTheme="minorEastAsia" w:hAnsiTheme="minorEastAsia" w:eastAsiaTheme="minorEastAsia" w:cstheme="minorEastAsia"/>
          <w:color w:val="auto"/>
          <w:kern w:val="0"/>
          <w:sz w:val="24"/>
        </w:rPr>
        <w:t>CA管理-申领CA证书</w:t>
      </w:r>
      <w:r>
        <w:rPr>
          <w:rFonts w:hint="eastAsia" w:asciiTheme="minorEastAsia" w:hAnsiTheme="minorEastAsia" w:eastAsiaTheme="minorEastAsia" w:cstheme="minorEastAsia"/>
          <w:color w:val="auto"/>
          <w:kern w:val="0"/>
          <w:sz w:val="24"/>
          <w:lang w:val="zh-CN"/>
        </w:rPr>
        <w:t>-CA驱动和申领流程”：投标人应在开标前完成CA数字证书办理，完成CA数字证书办理预计1-2周左右，各投标人应充分考虑办理时间等因素。</w:t>
      </w:r>
    </w:p>
    <w:p w14:paraId="631BD2B8">
      <w:pPr>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办理流程详见:CA管理操作指南https://lecaiyun.com/helpcenter/document#/document/detail?siteCode=lecaiyun&amp;manualId=2185&amp;topicId=12851</w:t>
      </w:r>
    </w:p>
    <w:p w14:paraId="09E76FC4">
      <w:pPr>
        <w:snapToGrid w:val="0"/>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13.投标文件的签署、盖章</w:t>
      </w:r>
    </w:p>
    <w:p w14:paraId="3723FE13">
      <w:pPr>
        <w:pStyle w:val="136"/>
        <w:snapToGrid w:val="0"/>
        <w:spacing w:before="0"/>
        <w:ind w:firstLine="48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color w:val="auto"/>
          <w:szCs w:val="24"/>
        </w:rPr>
        <w:t>13.1投标文件按照招标文件第六部分格式要</w:t>
      </w:r>
      <w:r>
        <w:rPr>
          <w:rFonts w:hint="eastAsia" w:asciiTheme="minorEastAsia" w:hAnsiTheme="minorEastAsia" w:eastAsiaTheme="minorEastAsia" w:cstheme="minorEastAsia"/>
          <w:color w:val="auto"/>
        </w:rPr>
        <w:t>求进行签署、盖章。</w:t>
      </w:r>
      <w:r>
        <w:rPr>
          <w:rFonts w:hint="eastAsia" w:asciiTheme="minorEastAsia" w:hAnsiTheme="minorEastAsia" w:eastAsiaTheme="minorEastAsia" w:cstheme="minorEastAsia"/>
          <w:b/>
          <w:color w:val="auto"/>
        </w:rPr>
        <w:t>▲投标人的投标文件未按照招标文件要求签署、盖章的，其投标无效</w:t>
      </w:r>
      <w:r>
        <w:rPr>
          <w:rFonts w:hint="eastAsia" w:asciiTheme="minorEastAsia" w:hAnsiTheme="minorEastAsia" w:eastAsiaTheme="minorEastAsia" w:cstheme="minorEastAsia"/>
          <w:color w:val="auto"/>
          <w:szCs w:val="24"/>
        </w:rPr>
        <w:t>。</w:t>
      </w:r>
    </w:p>
    <w:p w14:paraId="32987CD0">
      <w:pPr>
        <w:pStyle w:val="136"/>
        <w:snapToGrid w:val="0"/>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13.2为确保网上操作合法、有效和安全，投标人应当在投标截止时间前完成在“乐采云平台”的身份认证，确保在电子投标过程中能够对相关数据电文进行加密和使用电子签名。</w:t>
      </w:r>
    </w:p>
    <w:p w14:paraId="4D07A6D4">
      <w:pPr>
        <w:pStyle w:val="136"/>
        <w:snapToGrid w:val="0"/>
        <w:spacing w:before="0"/>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rPr>
        <w:t>13.3招标文件对投标文件签署、盖章的要求适用于电子签名。</w:t>
      </w:r>
    </w:p>
    <w:p w14:paraId="7416602B">
      <w:pPr>
        <w:pStyle w:val="136"/>
        <w:spacing w:before="0"/>
        <w:ind w:firstLine="0" w:firstLineChars="0"/>
        <w:rPr>
          <w:rFonts w:hint="eastAsia"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14. 投标文件的提交、补充、修改、撤回</w:t>
      </w:r>
    </w:p>
    <w:p w14:paraId="7B5DF5EA">
      <w:pPr>
        <w:pStyle w:val="136"/>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366EECC">
      <w:pPr>
        <w:pStyle w:val="136"/>
        <w:spacing w:before="0"/>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14.2电子交易平台收到投标文件，将妥善保存并即时向供应商发出确认回执通知。在投标截止时间前，除供应商补充、修改或者撤回投标文件外，任何单位和个人不得解密或提取投标文件。</w:t>
      </w:r>
    </w:p>
    <w:p w14:paraId="21C4F785">
      <w:pPr>
        <w:pStyle w:val="136"/>
        <w:spacing w:before="0"/>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14.3采购人、采购代理机构可以视情况延长投标文件提交的截止时间。在上述情况下，采购代理机构与投标人以前在投标截止期方面的全部权利、责任和义务，将适用于延长至新的投标截止期。</w:t>
      </w:r>
    </w:p>
    <w:p w14:paraId="0FF8D52E">
      <w:pPr>
        <w:pStyle w:val="33"/>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15.备份投标文件</w:t>
      </w:r>
    </w:p>
    <w:p w14:paraId="623EAE3F">
      <w:pPr>
        <w:pStyle w:val="33"/>
        <w:spacing w:line="360" w:lineRule="auto"/>
        <w:ind w:firstLine="360" w:firstLineChars="15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 xml:space="preserve"> 15.1投标人在电子交易平台传输递交投标文件后，还可以在投标截止时间前直接提交或者以邮政快递方式递交备份投标文件1份，</w:t>
      </w:r>
      <w:r>
        <w:rPr>
          <w:rFonts w:hint="eastAsia" w:asciiTheme="minorEastAsia" w:hAnsiTheme="minorEastAsia" w:eastAsiaTheme="minorEastAsia" w:cstheme="minorEastAsia"/>
          <w:b/>
          <w:color w:val="auto"/>
          <w:sz w:val="24"/>
          <w:szCs w:val="24"/>
        </w:rPr>
        <w:t>但采购人、采购代理机构不强制或变相强制投标人提交备份投标文件。</w:t>
      </w:r>
    </w:p>
    <w:p w14:paraId="7A4FD37E">
      <w:pPr>
        <w:pStyle w:val="33"/>
        <w:spacing w:line="360" w:lineRule="auto"/>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15.2备份投标文件须在“乐采云投标客户端”制作生成，并储存在</w:t>
      </w:r>
      <w:r>
        <w:rPr>
          <w:rFonts w:hint="eastAsia" w:asciiTheme="minorEastAsia" w:hAnsiTheme="minorEastAsia" w:eastAsiaTheme="minorEastAsia" w:cstheme="minorEastAsia"/>
          <w:color w:val="auto"/>
          <w:sz w:val="24"/>
        </w:rPr>
        <w:t>DVD光盘等存储介质</w:t>
      </w:r>
      <w:r>
        <w:rPr>
          <w:rFonts w:hint="eastAsia" w:asciiTheme="minorEastAsia" w:hAnsiTheme="minorEastAsia" w:eastAsiaTheme="minorEastAsia" w:cstheme="minorEastAsia"/>
          <w:color w:val="auto"/>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Theme="minorEastAsia" w:hAnsiTheme="minorEastAsia" w:eastAsiaTheme="minorEastAsia" w:cstheme="minorEastAsia"/>
          <w:b/>
          <w:color w:val="auto"/>
          <w:sz w:val="24"/>
        </w:rPr>
        <w:t>不符合上述制作、</w:t>
      </w:r>
      <w:r>
        <w:rPr>
          <w:rFonts w:hint="eastAsia" w:asciiTheme="minorEastAsia" w:hAnsiTheme="minorEastAsia" w:eastAsiaTheme="minorEastAsia" w:cstheme="minorEastAsia"/>
          <w:b/>
          <w:color w:val="auto"/>
          <w:sz w:val="24"/>
          <w:szCs w:val="24"/>
        </w:rPr>
        <w:t>存储、密封规定的备份投标文件将被视为无效或者被拒绝接收。</w:t>
      </w:r>
    </w:p>
    <w:p w14:paraId="0882A279">
      <w:pPr>
        <w:pStyle w:val="3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15.3直接提交备份投标文件的，投标人应于投标截止时间前在招标公告中载明的开标地点将备份投标文件提交给采购代理机构，采购代理机构将拒绝接受逾期送达的备份投标文件。</w:t>
      </w:r>
    </w:p>
    <w:p w14:paraId="75E81CDC">
      <w:pPr>
        <w:pStyle w:val="33"/>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15.4以邮政快递方式递交备份投标文件的，投标人应先将备份投标文件按要求密封和标记，再进行邮政快递包装后邮寄。备份投标文件须在投标截止时间之前送达</w:t>
      </w:r>
      <w:r>
        <w:rPr>
          <w:rFonts w:hint="eastAsia" w:asciiTheme="minorEastAsia" w:hAnsiTheme="minorEastAsia" w:eastAsiaTheme="minorEastAsia" w:cstheme="minorEastAsia"/>
          <w:snapToGrid/>
          <w:color w:val="auto"/>
          <w:sz w:val="24"/>
          <w:szCs w:val="24"/>
        </w:rPr>
        <w:t>招标文件第二部分投标人须知前附表规定的备份投标文件送达地点；</w:t>
      </w:r>
      <w:r>
        <w:rPr>
          <w:rFonts w:hint="eastAsia" w:asciiTheme="minorEastAsia" w:hAnsiTheme="minorEastAsia" w:eastAsiaTheme="minorEastAsia" w:cstheme="minorEastAsia"/>
          <w:color w:val="auto"/>
          <w:sz w:val="24"/>
          <w:szCs w:val="24"/>
        </w:rPr>
        <w:t>送达时间以签收人签收时间为准。采购代理机构将拒绝接受逾期送达的备份投标文件。邮寄过程中，电子备份投标文件发生泄露、遗失、损坏或延期送达等情况的，由投标人自行负责。</w:t>
      </w:r>
    </w:p>
    <w:p w14:paraId="07BB8B94">
      <w:pPr>
        <w:pStyle w:val="33"/>
        <w:spacing w:line="360" w:lineRule="auto"/>
        <w:ind w:firstLine="479" w:firstLineChars="19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15.5投标人仅提交备份投标文件，未在电子交易平台传输递交投标文件的，投标无效。</w:t>
      </w:r>
    </w:p>
    <w:p w14:paraId="0A62291A">
      <w:pPr>
        <w:pStyle w:val="136"/>
        <w:spacing w:before="0"/>
        <w:ind w:firstLine="0" w:firstLineChars="0"/>
        <w:rPr>
          <w:rFonts w:hint="eastAsia"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16.投标文件的无效处理</w:t>
      </w:r>
    </w:p>
    <w:p w14:paraId="11C61D55">
      <w:pPr>
        <w:pStyle w:val="25"/>
        <w:spacing w:line="360" w:lineRule="auto"/>
        <w:ind w:firstLine="360" w:firstLineChars="15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有招标文件第四部分1</w:t>
      </w:r>
      <w:r>
        <w:rPr>
          <w:rFonts w:hint="eastAsia" w:asciiTheme="minorEastAsia" w:hAnsiTheme="minorEastAsia" w:eastAsiaTheme="minorEastAsia" w:cstheme="minorEastAsia"/>
          <w:color w:val="auto"/>
        </w:rPr>
        <w:t>4.2规定</w:t>
      </w:r>
      <w:r>
        <w:rPr>
          <w:rFonts w:hint="eastAsia" w:asciiTheme="minorEastAsia" w:hAnsiTheme="minorEastAsia" w:eastAsiaTheme="minorEastAsia" w:cstheme="minorEastAsia"/>
          <w:color w:val="auto"/>
          <w:szCs w:val="21"/>
        </w:rPr>
        <w:t>的情形之一的，投标无效：</w:t>
      </w:r>
    </w:p>
    <w:p w14:paraId="5A50CD55">
      <w:pPr>
        <w:pStyle w:val="136"/>
        <w:spacing w:before="0"/>
        <w:ind w:firstLine="0" w:firstLineChars="0"/>
        <w:rPr>
          <w:rFonts w:hint="eastAsia"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17.投标有效期</w:t>
      </w:r>
    </w:p>
    <w:p w14:paraId="5EF2F49A">
      <w:pPr>
        <w:spacing w:line="360" w:lineRule="auto"/>
        <w:ind w:firstLine="480" w:firstLineChars="200"/>
        <w:rPr>
          <w:rFonts w:hint="eastAsia" w:asciiTheme="minorEastAsia" w:hAnsiTheme="minorEastAsia" w:eastAsiaTheme="minorEastAsia" w:cstheme="minorEastAsia"/>
          <w:b/>
          <w:color w:val="auto"/>
          <w:sz w:val="24"/>
          <w:szCs w:val="21"/>
        </w:rPr>
      </w:pPr>
      <w:r>
        <w:rPr>
          <w:rFonts w:hint="eastAsia" w:asciiTheme="minorEastAsia" w:hAnsiTheme="minorEastAsia" w:eastAsiaTheme="minorEastAsia" w:cstheme="minorEastAsia"/>
          <w:color w:val="auto"/>
          <w:sz w:val="24"/>
          <w:szCs w:val="20"/>
        </w:rPr>
        <w:t>17.1投标有效期为从提交投标文件的截止之日起90天。▲</w:t>
      </w:r>
      <w:r>
        <w:rPr>
          <w:rFonts w:hint="eastAsia" w:asciiTheme="minorEastAsia" w:hAnsiTheme="minorEastAsia" w:eastAsiaTheme="minorEastAsia" w:cstheme="minorEastAsia"/>
          <w:b/>
          <w:color w:val="auto"/>
          <w:sz w:val="24"/>
          <w:szCs w:val="20"/>
        </w:rPr>
        <w:t>投标人的投标文件中承</w:t>
      </w:r>
      <w:r>
        <w:rPr>
          <w:rFonts w:hint="eastAsia" w:asciiTheme="minorEastAsia" w:hAnsiTheme="minorEastAsia" w:eastAsiaTheme="minorEastAsia" w:cstheme="minorEastAsia"/>
          <w:b/>
          <w:color w:val="auto"/>
          <w:sz w:val="24"/>
          <w:szCs w:val="21"/>
        </w:rPr>
        <w:t>诺的投标有效期少于招标文件中载明的投标有效期的，投标无效。</w:t>
      </w:r>
    </w:p>
    <w:p w14:paraId="72347262">
      <w:pPr>
        <w:pStyle w:val="136"/>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17.2投标文件合格投递后，自投标截止日期起，在投标有效期内有效。</w:t>
      </w:r>
    </w:p>
    <w:p w14:paraId="0BC7B8B3">
      <w:pPr>
        <w:pStyle w:val="136"/>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17.3在原定投标有效期满之前，如果出现特殊情况，采购代理机构可以以书面形式通知投标人延长投标有效期。投标人同意延长的，不得要求或被允许修改其投标文件，投标人拒绝延长的，其投标无效。</w:t>
      </w:r>
    </w:p>
    <w:p w14:paraId="0C87560C">
      <w:pPr>
        <w:pStyle w:val="136"/>
        <w:spacing w:before="0"/>
        <w:ind w:firstLine="643"/>
        <w:rPr>
          <w:rFonts w:hint="eastAsia" w:asciiTheme="minorEastAsia" w:hAnsiTheme="minorEastAsia" w:eastAsiaTheme="minorEastAsia" w:cstheme="minorEastAsia"/>
          <w:b/>
          <w:color w:val="auto"/>
          <w:sz w:val="32"/>
        </w:rPr>
      </w:pPr>
    </w:p>
    <w:p w14:paraId="4E934837">
      <w:pPr>
        <w:pStyle w:val="136"/>
        <w:spacing w:before="0"/>
        <w:ind w:firstLine="1928" w:firstLineChars="600"/>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t>四、开标、资格审查与信用信息查询</w:t>
      </w:r>
    </w:p>
    <w:p w14:paraId="1CA2DD56">
      <w:pPr>
        <w:pStyle w:val="561"/>
        <w:spacing w:before="0" w:line="360" w:lineRule="auto"/>
        <w:ind w:left="0" w:firstLine="241" w:firstLineChars="10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szCs w:val="24"/>
        </w:rPr>
        <w:t>18.开标</w:t>
      </w:r>
      <w:r>
        <w:rPr>
          <w:rFonts w:hint="eastAsia" w:asciiTheme="minorEastAsia" w:hAnsiTheme="minorEastAsia" w:eastAsiaTheme="minorEastAsia" w:cstheme="minorEastAsia"/>
          <w:color w:val="auto"/>
          <w:sz w:val="24"/>
        </w:rPr>
        <w:t xml:space="preserve"> </w:t>
      </w:r>
    </w:p>
    <w:p w14:paraId="2B7DA8C7">
      <w:pPr>
        <w:pStyle w:val="561"/>
        <w:spacing w:before="0" w:line="360" w:lineRule="auto"/>
        <w:ind w:left="0" w:firstLine="480" w:firstLineChars="20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18.1采购代理机构按照招标文件规定的时间通过电子交易平台组织开标，所有投标人均应当准时在线参加。投标人不足3家的，不得开标。</w:t>
      </w:r>
    </w:p>
    <w:p w14:paraId="70C3D361">
      <w:pPr>
        <w:pStyle w:val="561"/>
        <w:spacing w:before="0" w:line="360" w:lineRule="auto"/>
        <w:ind w:left="0" w:firstLine="240" w:firstLineChars="100"/>
        <w:contextualSpacing/>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18.2开标时，电子交易平台按开标时间自动提取所有投标文件。采购代理机构依托电子交易平台发起开始解密指令，投标人按照平台提示和招标文件的规定在半小时内完成在线解密。</w:t>
      </w:r>
    </w:p>
    <w:p w14:paraId="0F1A9FA1">
      <w:pPr>
        <w:pStyle w:val="561"/>
        <w:spacing w:before="0" w:line="360" w:lineRule="auto"/>
        <w:ind w:left="0" w:firstLine="240" w:firstLineChars="100"/>
        <w:contextualSpacing/>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　18.3</w:t>
      </w:r>
      <w:r>
        <w:rPr>
          <w:rFonts w:hint="eastAsia" w:asciiTheme="minorEastAsia" w:hAnsiTheme="minorEastAsia" w:eastAsiaTheme="minorEastAsia" w:cstheme="minorEastAsia"/>
          <w:b/>
          <w:color w:val="auto"/>
          <w:sz w:val="24"/>
        </w:rPr>
        <w:t>投标文件未按时解密，投标人提供了备份投标文件的，以备份投标文件作为依据，否则视为投标文件撤回。投标文件已按时解密的，备份投标文件自动失效。</w:t>
      </w:r>
    </w:p>
    <w:p w14:paraId="7B71FE06">
      <w:pPr>
        <w:spacing w:before="100" w:beforeAutospacing="1" w:after="240" w:line="360" w:lineRule="auto"/>
        <w:rPr>
          <w:rFonts w:hint="eastAsia" w:asciiTheme="minorEastAsia" w:hAnsiTheme="minorEastAsia" w:eastAsiaTheme="minorEastAsia" w:cstheme="minorEastAsia"/>
          <w:b/>
          <w:color w:val="auto"/>
          <w:sz w:val="24"/>
          <w:szCs w:val="20"/>
        </w:rPr>
      </w:pPr>
      <w:r>
        <w:rPr>
          <w:rFonts w:hint="eastAsia" w:asciiTheme="minorEastAsia" w:hAnsiTheme="minorEastAsia" w:eastAsiaTheme="minorEastAsia" w:cstheme="minorEastAsia"/>
          <w:b/>
          <w:color w:val="auto"/>
          <w:sz w:val="24"/>
          <w:szCs w:val="20"/>
        </w:rPr>
        <w:t>　19、资格审查</w:t>
      </w:r>
    </w:p>
    <w:p w14:paraId="35CFE77F">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19.1</w:t>
      </w:r>
      <w:r>
        <w:rPr>
          <w:rFonts w:hint="eastAsia" w:asciiTheme="minorEastAsia" w:hAnsiTheme="minorEastAsia" w:eastAsiaTheme="minorEastAsia" w:cstheme="minorEastAsia"/>
          <w:color w:val="auto"/>
          <w:sz w:val="24"/>
        </w:rPr>
        <w:t>采购人或采购代理机构依据法律法规和招标文件的规定，对投标人的资格进行审查。</w:t>
      </w:r>
    </w:p>
    <w:p w14:paraId="7F618B4A">
      <w:pPr>
        <w:pStyle w:val="136"/>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Cs w:val="24"/>
        </w:rPr>
        <w:t>19.2投标人未按照招标文件要求提供与</w:t>
      </w:r>
      <w:r>
        <w:rPr>
          <w:rFonts w:hint="eastAsia" w:asciiTheme="minorEastAsia" w:hAnsiTheme="minorEastAsia" w:eastAsiaTheme="minorEastAsia" w:cstheme="minorEastAsia"/>
          <w:color w:val="auto"/>
        </w:rPr>
        <w:t>资格条件相应的</w:t>
      </w:r>
      <w:r>
        <w:rPr>
          <w:rFonts w:hint="eastAsia" w:asciiTheme="minorEastAsia" w:hAnsiTheme="minorEastAsia" w:eastAsiaTheme="minorEastAsia" w:cstheme="minorEastAsia"/>
          <w:color w:val="auto"/>
          <w:kern w:val="0"/>
          <w:szCs w:val="24"/>
        </w:rPr>
        <w:t>有效资格证明材料的，视为</w:t>
      </w:r>
      <w:r>
        <w:rPr>
          <w:rFonts w:hint="eastAsia" w:asciiTheme="minorEastAsia" w:hAnsiTheme="minorEastAsia" w:eastAsiaTheme="minorEastAsia" w:cstheme="minorEastAsia"/>
          <w:color w:val="auto"/>
        </w:rPr>
        <w:t>投标人不具备招标文件中规定的资格要求，其投标无效。</w:t>
      </w:r>
    </w:p>
    <w:p w14:paraId="40733818">
      <w:pPr>
        <w:pStyle w:val="136"/>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Cs w:val="24"/>
        </w:rPr>
        <w:t>19.</w:t>
      </w:r>
      <w:r>
        <w:rPr>
          <w:rFonts w:hint="eastAsia" w:asciiTheme="minorEastAsia" w:hAnsiTheme="minorEastAsia" w:eastAsiaTheme="minorEastAsia" w:cstheme="minorEastAsia"/>
          <w:color w:val="auto"/>
        </w:rPr>
        <w:t>3对未通过资格审查的投标人，采购人或采购代理机构告知其未通过的原因。</w:t>
      </w:r>
    </w:p>
    <w:p w14:paraId="6B6ADC09">
      <w:pPr>
        <w:pStyle w:val="136"/>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Cs w:val="24"/>
        </w:rPr>
        <w:t>19.</w:t>
      </w:r>
      <w:r>
        <w:rPr>
          <w:rFonts w:hint="eastAsia" w:asciiTheme="minorEastAsia" w:hAnsiTheme="minorEastAsia" w:eastAsiaTheme="minorEastAsia" w:cstheme="minorEastAsia"/>
          <w:color w:val="auto"/>
        </w:rPr>
        <w:t>4合格投标人不足3家的，不再评标。</w:t>
      </w:r>
    </w:p>
    <w:p w14:paraId="75D58D89">
      <w:pPr>
        <w:pStyle w:val="136"/>
        <w:spacing w:before="0"/>
        <w:ind w:firstLine="0" w:firstLineChars="0"/>
        <w:rPr>
          <w:rFonts w:hint="eastAsia"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20、信用信息查询</w:t>
      </w:r>
    </w:p>
    <w:p w14:paraId="476A480B">
      <w:pPr>
        <w:pStyle w:val="136"/>
        <w:spacing w:before="0"/>
        <w:ind w:firstLine="495" w:firstLineChars="0"/>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20.1信用信息查询渠道及截止时间：采购代理机构将在资格审查时通过“信用中国”网站(www.creditchina.gov.cn)渠道查询投标人接受资格审查时的信用记录。</w:t>
      </w:r>
    </w:p>
    <w:p w14:paraId="32DCEE27">
      <w:pPr>
        <w:pStyle w:val="136"/>
        <w:spacing w:before="0"/>
        <w:ind w:firstLine="495" w:firstLineChars="0"/>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20.2信用信息查询记录和证据留存的具体方式：现场查询的投标人的信用记录、查询结果经确认后将与采购文件一起存档。</w:t>
      </w:r>
    </w:p>
    <w:p w14:paraId="1B53EA46">
      <w:pPr>
        <w:pStyle w:val="136"/>
        <w:spacing w:before="0"/>
        <w:ind w:firstLine="495" w:firstLineChars="0"/>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20.3信用信息的使用规则：经查询列入失信被执行人名单、重大税收违法失信主体、国有企业采购严重违法失信行为记录名单的投标人将被拒绝参与采购活动。</w:t>
      </w:r>
    </w:p>
    <w:p w14:paraId="3BA290D0">
      <w:pPr>
        <w:pStyle w:val="136"/>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Cs w:val="24"/>
        </w:rPr>
        <w:t>20.4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r>
        <w:rPr>
          <w:rFonts w:hint="eastAsia" w:asciiTheme="minorEastAsia" w:hAnsiTheme="minorEastAsia" w:eastAsiaTheme="minorEastAsia" w:cstheme="minorEastAsia"/>
          <w:color w:val="auto"/>
        </w:rPr>
        <w:t>。</w:t>
      </w:r>
    </w:p>
    <w:p w14:paraId="35B76E66">
      <w:pPr>
        <w:pStyle w:val="136"/>
        <w:spacing w:before="0"/>
        <w:ind w:firstLine="0" w:firstLineChars="0"/>
        <w:rPr>
          <w:rFonts w:hint="eastAsia" w:asciiTheme="minorEastAsia" w:hAnsiTheme="minorEastAsia" w:eastAsiaTheme="minorEastAsia" w:cstheme="minorEastAsia"/>
          <w:color w:val="auto"/>
          <w:kern w:val="0"/>
          <w:szCs w:val="24"/>
        </w:rPr>
      </w:pPr>
    </w:p>
    <w:p w14:paraId="3FF88BCE">
      <w:pPr>
        <w:snapToGrid w:val="0"/>
        <w:spacing w:line="360" w:lineRule="auto"/>
        <w:jc w:val="center"/>
        <w:outlineLvl w:val="0"/>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五、评标</w:t>
      </w:r>
    </w:p>
    <w:p w14:paraId="75E318B4">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Theme="minorEastAsia" w:hAnsiTheme="minorEastAsia" w:eastAsiaTheme="minorEastAsia" w:cstheme="minorEastAsia"/>
          <w:b/>
          <w:color w:val="auto"/>
          <w:sz w:val="24"/>
        </w:rPr>
        <w:t>详见招标文件第四部分评标办法。</w:t>
      </w:r>
    </w:p>
    <w:p w14:paraId="2202E6FE">
      <w:pPr>
        <w:spacing w:line="360" w:lineRule="auto"/>
        <w:rPr>
          <w:rFonts w:hint="eastAsia" w:asciiTheme="minorEastAsia" w:hAnsiTheme="minorEastAsia" w:eastAsiaTheme="minorEastAsia" w:cstheme="minorEastAsia"/>
          <w:b/>
          <w:color w:val="auto"/>
          <w:sz w:val="24"/>
        </w:rPr>
      </w:pPr>
    </w:p>
    <w:p w14:paraId="3D70AEF7">
      <w:pPr>
        <w:snapToGrid w:val="0"/>
        <w:spacing w:line="360" w:lineRule="auto"/>
        <w:jc w:val="center"/>
        <w:outlineLvl w:val="0"/>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六、定 标</w:t>
      </w:r>
    </w:p>
    <w:p w14:paraId="7B0974B9">
      <w:pPr>
        <w:pStyle w:val="25"/>
        <w:spacing w:line="360" w:lineRule="auto"/>
        <w:ind w:left="479" w:hanging="479" w:hangingChars="199"/>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22. 确定中标供应商</w:t>
      </w:r>
    </w:p>
    <w:p w14:paraId="1362AEB7">
      <w:pPr>
        <w:pStyle w:val="136"/>
        <w:snapToGrid w:val="0"/>
        <w:spacing w:before="0"/>
        <w:ind w:firstLine="480"/>
        <w:rPr>
          <w:rFonts w:hint="eastAsia" w:asciiTheme="minorEastAsia" w:hAnsiTheme="minorEastAsia" w:eastAsiaTheme="minorEastAsia" w:cstheme="minorEastAsia"/>
          <w:b/>
          <w:color w:val="auto"/>
          <w:szCs w:val="24"/>
        </w:rPr>
      </w:pPr>
      <w:r>
        <w:rPr>
          <w:rFonts w:hint="eastAsia" w:asciiTheme="minorEastAsia" w:hAnsiTheme="minorEastAsia" w:eastAsiaTheme="minorEastAsia" w:cstheme="minorEastAsia"/>
          <w:color w:val="auto"/>
          <w:szCs w:val="24"/>
        </w:rPr>
        <w:t>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145C77A1">
      <w:pPr>
        <w:pStyle w:val="136"/>
        <w:snapToGrid w:val="0"/>
        <w:spacing w:before="0"/>
        <w:ind w:firstLine="0" w:firstLineChars="0"/>
        <w:rPr>
          <w:rFonts w:hint="eastAsia"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23. 中标通知与中标结果公告</w:t>
      </w:r>
    </w:p>
    <w:p w14:paraId="4BD19D70">
      <w:pPr>
        <w:shd w:val="clear" w:color="auto" w:fill="FFFFFF"/>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23.1自中标人确定之日起2个工作日内，采购代理机构通过电子交易平台向中标人发出中标通知书，同时编制发布采购结果公告。采购代理机构也可以以纸质形式进行中标通知。</w:t>
      </w:r>
    </w:p>
    <w:p w14:paraId="70B3FBD5">
      <w:pPr>
        <w:shd w:val="clear" w:color="auto" w:fill="FFFFFF"/>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23.2中标结果公告内容包括采购人及其委托的采购代理机构的名称、地址、联系方式，项目名称和项目编号，中标人名称和中标金额，中标公告期限以及评审专家名单、评分汇总及明细。</w:t>
      </w:r>
    </w:p>
    <w:p w14:paraId="0CB22634">
      <w:pPr>
        <w:shd w:val="clear" w:color="auto" w:fill="FFFFFF"/>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23.3公告期限为1个工作日。</w:t>
      </w:r>
    </w:p>
    <w:p w14:paraId="3D865713">
      <w:pPr>
        <w:snapToGrid w:val="0"/>
        <w:spacing w:line="360" w:lineRule="auto"/>
        <w:ind w:left="120" w:leftChars="57" w:firstLine="482" w:firstLineChars="150"/>
        <w:jc w:val="center"/>
        <w:rPr>
          <w:rFonts w:hint="eastAsia" w:asciiTheme="minorEastAsia" w:hAnsiTheme="minorEastAsia" w:eastAsiaTheme="minorEastAsia" w:cstheme="minorEastAsia"/>
          <w:b/>
          <w:color w:val="auto"/>
          <w:sz w:val="32"/>
        </w:rPr>
      </w:pPr>
    </w:p>
    <w:p w14:paraId="1B60B596">
      <w:pPr>
        <w:snapToGrid w:val="0"/>
        <w:spacing w:line="360" w:lineRule="auto"/>
        <w:ind w:left="120" w:leftChars="57" w:firstLine="482" w:firstLineChars="150"/>
        <w:jc w:val="center"/>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t>七、合同授予</w:t>
      </w:r>
    </w:p>
    <w:p w14:paraId="15BC6806">
      <w:pPr>
        <w:pStyle w:val="25"/>
        <w:spacing w:line="360" w:lineRule="auto"/>
        <w:ind w:left="479" w:hanging="479" w:hangingChars="199"/>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 xml:space="preserve">24. </w:t>
      </w:r>
      <w:r>
        <w:rPr>
          <w:rFonts w:hint="eastAsia" w:asciiTheme="minorEastAsia" w:hAnsiTheme="minorEastAsia" w:eastAsiaTheme="minorEastAsia" w:cstheme="minorEastAsia"/>
          <w:color w:val="auto"/>
        </w:rPr>
        <w:t>合同主要条款详见第五部分拟签订的合同文本。</w:t>
      </w:r>
    </w:p>
    <w:p w14:paraId="386B51CF">
      <w:pPr>
        <w:pStyle w:val="25"/>
        <w:spacing w:line="360" w:lineRule="auto"/>
        <w:ind w:left="479" w:hanging="479" w:hangingChars="199"/>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25. 合同的签订</w:t>
      </w:r>
    </w:p>
    <w:p w14:paraId="04BE840A">
      <w:pPr>
        <w:shd w:val="clear" w:color="auto" w:fill="FFFFFF"/>
        <w:spacing w:line="360" w:lineRule="auto"/>
        <w:ind w:firstLine="48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t>25.1</w:t>
      </w:r>
      <w:r>
        <w:rPr>
          <w:rFonts w:hint="eastAsia" w:asciiTheme="minorEastAsia" w:hAnsiTheme="minorEastAsia" w:eastAsiaTheme="minorEastAsia" w:cstheme="minorEastAsia"/>
          <w:color w:val="auto"/>
          <w:kern w:val="0"/>
          <w:sz w:val="24"/>
        </w:rPr>
        <w:t xml:space="preserve"> 采购人与中标人应当通过电子交易平台在中标通知书发出之日起三十日内，按照招标文件确定的事项签订采购合同。鼓励有条件的采购人视情缩减采购合同签订时限，提高采购效率，杜绝“冷、硬、横、推”等不当行为。除不可抗力等特殊情况外，原则上应当在中标通知书发出之日起30日内，与中标供应商按照采购文件确定的事项签订采购合同。</w:t>
      </w:r>
    </w:p>
    <w:p w14:paraId="4552AAAC">
      <w:pPr>
        <w:pStyle w:val="136"/>
        <w:snapToGrid w:val="0"/>
        <w:spacing w:before="0"/>
        <w:ind w:firstLine="480"/>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lang w:val="zh-CN"/>
        </w:rPr>
        <w:t>25.2中标人按规定的日期、时间、地点，由法定代表人或其授权代表与采购人代表签订合同。如中标人为联合体的，由联合体成员各方法定代表人或其授权代表与采购人代表签订合同。</w:t>
      </w:r>
    </w:p>
    <w:p w14:paraId="6D33FBA6">
      <w:pPr>
        <w:pStyle w:val="136"/>
        <w:snapToGrid w:val="0"/>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25.3如签订合同并生效后，供应商无故拒绝或延期，除按照合同条款处理外，列入不良行为记录一次，并给予通报。</w:t>
      </w:r>
    </w:p>
    <w:p w14:paraId="6A28E2C8">
      <w:pPr>
        <w:pStyle w:val="136"/>
        <w:snapToGrid w:val="0"/>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25.4中标供应商拒绝与采购人签订合同的，采购人可以按照评审报告推荐的中标或者成交候选人名单排序，确定下一候选人为中标供应商，也可以重新开展采购活动。</w:t>
      </w:r>
    </w:p>
    <w:p w14:paraId="144F12B2">
      <w:pPr>
        <w:pStyle w:val="136"/>
        <w:snapToGrid w:val="0"/>
        <w:spacing w:before="0" w:after="12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25.5采购合同由采购人与中标供应商根据招标文件、投标文件等内容通过采购电子交易平台在线签订，自动备案。</w:t>
      </w:r>
    </w:p>
    <w:p w14:paraId="73C3A3EF">
      <w:pPr>
        <w:pStyle w:val="25"/>
        <w:spacing w:line="360" w:lineRule="auto"/>
        <w:ind w:left="479" w:hanging="479" w:hangingChars="199"/>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26. 履约保证金</w:t>
      </w:r>
    </w:p>
    <w:p w14:paraId="7165A188">
      <w:pPr>
        <w:tabs>
          <w:tab w:val="left" w:pos="0"/>
        </w:tabs>
        <w:spacing w:line="360" w:lineRule="auto"/>
        <w:ind w:firstLine="482"/>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0"/>
        </w:rPr>
        <w:t>拟签订的合同文本要求中标供应商提交履约保证金的，供应商应当以支票、汇票、本票或者金融机构、担保机构出具的保函等非现金形式提交。履约保证金的数额不得超过国有企业采购合同金额的2%，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582113CD">
      <w:pPr>
        <w:snapToGrid w:val="0"/>
        <w:spacing w:line="360" w:lineRule="auto"/>
        <w:ind w:firstLine="3357" w:firstLineChars="1045"/>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32"/>
        </w:rPr>
        <w:t>八、电子交易活动的中止</w:t>
      </w:r>
    </w:p>
    <w:p w14:paraId="03C2F245">
      <w:pPr>
        <w:pStyle w:val="136"/>
        <w:snapToGrid w:val="0"/>
        <w:spacing w:before="0"/>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2</w:t>
      </w:r>
      <w:r>
        <w:rPr>
          <w:rFonts w:hint="eastAsia" w:asciiTheme="minorEastAsia" w:hAnsiTheme="minorEastAsia" w:eastAsiaTheme="minorEastAsia" w:cstheme="minorEastAsia"/>
          <w:b/>
          <w:bCs/>
          <w:color w:val="auto"/>
          <w:szCs w:val="24"/>
        </w:rPr>
        <w:t>8</w:t>
      </w:r>
      <w:r>
        <w:rPr>
          <w:rFonts w:hint="eastAsia" w:asciiTheme="minorEastAsia" w:hAnsiTheme="minorEastAsia" w:eastAsiaTheme="minorEastAsia" w:cstheme="minorEastAsia"/>
          <w:b/>
          <w:color w:val="auto"/>
          <w:szCs w:val="24"/>
        </w:rPr>
        <w:t>. 电子交易活动的中止。</w:t>
      </w:r>
      <w:r>
        <w:rPr>
          <w:rFonts w:hint="eastAsia" w:asciiTheme="minorEastAsia" w:hAnsiTheme="minorEastAsia" w:eastAsiaTheme="minorEastAsia" w:cstheme="minorEastAsia"/>
          <w:color w:val="auto"/>
        </w:rPr>
        <w:t>采购过程中出现以下情形，导致电子交易平台无法正常运行，或者无法保证电子交易的公平、公正和安全时，采购代理机构可中止电子交易活动：</w:t>
      </w:r>
    </w:p>
    <w:p w14:paraId="205B2CBD">
      <w:pPr>
        <w:pStyle w:val="136"/>
        <w:snapToGrid w:val="0"/>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28.1电子交易平台发生故障而无法登录访问的； </w:t>
      </w:r>
    </w:p>
    <w:p w14:paraId="6BDB61FB">
      <w:pPr>
        <w:pStyle w:val="136"/>
        <w:snapToGrid w:val="0"/>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28.2电子交易平台应用或数据库出现错误，不能进行正常操作的；</w:t>
      </w:r>
    </w:p>
    <w:p w14:paraId="4E79671A">
      <w:pPr>
        <w:pStyle w:val="136"/>
        <w:snapToGrid w:val="0"/>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28.3电子交易平台发现严重安全漏洞，有潜在泄密危险的；</w:t>
      </w:r>
    </w:p>
    <w:p w14:paraId="4689F0F5">
      <w:pPr>
        <w:pStyle w:val="136"/>
        <w:snapToGrid w:val="0"/>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28.4病毒发作导致不能进行正常操作的； </w:t>
      </w:r>
    </w:p>
    <w:p w14:paraId="011C8F42">
      <w:pPr>
        <w:pStyle w:val="136"/>
        <w:snapToGrid w:val="0"/>
        <w:spacing w:before="0"/>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28.5其他无法保证电子交易的公平、公正和安全的情况。</w:t>
      </w:r>
    </w:p>
    <w:p w14:paraId="02249145">
      <w:pPr>
        <w:pStyle w:val="136"/>
        <w:snapToGrid w:val="0"/>
        <w:spacing w:before="0"/>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03A8E16">
      <w:pPr>
        <w:tabs>
          <w:tab w:val="left" w:pos="0"/>
        </w:tabs>
        <w:spacing w:line="360" w:lineRule="auto"/>
        <w:ind w:firstLine="480"/>
        <w:rPr>
          <w:rFonts w:hint="eastAsia" w:asciiTheme="minorEastAsia" w:hAnsiTheme="minorEastAsia" w:eastAsiaTheme="minorEastAsia" w:cstheme="minorEastAsia"/>
          <w:color w:val="auto"/>
          <w:sz w:val="24"/>
        </w:rPr>
      </w:pPr>
    </w:p>
    <w:p w14:paraId="7C287F91">
      <w:pPr>
        <w:snapToGrid w:val="0"/>
        <w:spacing w:line="360" w:lineRule="auto"/>
        <w:ind w:left="120" w:leftChars="57" w:firstLine="482" w:firstLineChars="150"/>
        <w:jc w:val="center"/>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t>九、验收</w:t>
      </w:r>
    </w:p>
    <w:p w14:paraId="05FEC946">
      <w:pPr>
        <w:pStyle w:val="25"/>
        <w:spacing w:line="360" w:lineRule="auto"/>
        <w:ind w:firstLine="0" w:firstLineChars="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30.验收</w:t>
      </w:r>
    </w:p>
    <w:p w14:paraId="71B6B53A">
      <w:pPr>
        <w:tabs>
          <w:tab w:val="left" w:pos="0"/>
        </w:tabs>
        <w:spacing w:line="360" w:lineRule="auto"/>
        <w:ind w:firstLine="48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30.1采购人组织对供应商履约的验收。大型或者复杂的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32EB370">
      <w:pPr>
        <w:tabs>
          <w:tab w:val="left" w:pos="0"/>
        </w:tabs>
        <w:spacing w:line="360" w:lineRule="auto"/>
        <w:ind w:firstLine="48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30.2采购人可以邀请参加本项目的其他投标人或者第三方机构参与验收。参与验收的投标人或者第三方机构的意见作为验收书的参考资料一并存档。</w:t>
      </w:r>
    </w:p>
    <w:p w14:paraId="2744F637">
      <w:pPr>
        <w:tabs>
          <w:tab w:val="left" w:pos="0"/>
        </w:tabs>
        <w:spacing w:line="360" w:lineRule="auto"/>
        <w:ind w:firstLine="48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CC0EB2F">
      <w:pPr>
        <w:tabs>
          <w:tab w:val="left" w:pos="0"/>
        </w:tabs>
        <w:spacing w:line="360" w:lineRule="auto"/>
        <w:ind w:firstLine="48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国有企业采购法律法规规定的违法违规情形的，采购人应当及时报告本级监督管理部门。</w:t>
      </w:r>
      <w:bookmarkStart w:id="12" w:name="_Toc91899903"/>
    </w:p>
    <w:bookmarkEnd w:id="12"/>
    <w:p w14:paraId="1B3A5590">
      <w:pPr>
        <w:rPr>
          <w:rFonts w:hint="eastAsia" w:asciiTheme="minorEastAsia" w:hAnsiTheme="minorEastAsia" w:eastAsiaTheme="minorEastAsia" w:cstheme="minorEastAsia"/>
          <w:color w:val="auto"/>
        </w:rPr>
        <w:sectPr>
          <w:footerReference r:id="rId7" w:type="first"/>
          <w:footerReference r:id="rId6" w:type="default"/>
          <w:pgSz w:w="11906" w:h="16838"/>
          <w:pgMar w:top="680" w:right="1418" w:bottom="468" w:left="1418" w:header="851" w:footer="992" w:gutter="0"/>
          <w:pgNumType w:start="1"/>
          <w:cols w:space="720" w:num="1"/>
          <w:titlePg/>
          <w:docGrid w:linePitch="312" w:charSpace="0"/>
        </w:sectPr>
      </w:pPr>
      <w:bookmarkStart w:id="13" w:name="_Hlt74730295"/>
      <w:bookmarkEnd w:id="13"/>
      <w:bookmarkStart w:id="14" w:name="_Hlt68057669"/>
      <w:bookmarkEnd w:id="14"/>
      <w:bookmarkStart w:id="15" w:name="_Hlt74707468"/>
      <w:bookmarkEnd w:id="15"/>
      <w:bookmarkStart w:id="16" w:name="_Hlt75236290"/>
      <w:bookmarkEnd w:id="16"/>
      <w:bookmarkStart w:id="17" w:name="_Hlt68403820"/>
      <w:bookmarkEnd w:id="17"/>
      <w:bookmarkStart w:id="18" w:name="_Hlt68072990"/>
      <w:bookmarkEnd w:id="18"/>
      <w:bookmarkStart w:id="19" w:name="_Hlt68073093"/>
      <w:bookmarkEnd w:id="19"/>
      <w:bookmarkStart w:id="20" w:name="_Hlt75236101"/>
      <w:bookmarkEnd w:id="20"/>
      <w:bookmarkStart w:id="21" w:name="_Hlt74714665"/>
      <w:bookmarkEnd w:id="21"/>
      <w:bookmarkStart w:id="22" w:name="_Hlt75236011"/>
      <w:bookmarkEnd w:id="22"/>
      <w:bookmarkStart w:id="23" w:name="_Hlt68072998"/>
      <w:bookmarkEnd w:id="23"/>
      <w:bookmarkStart w:id="24" w:name="_Hlt74729768"/>
      <w:bookmarkEnd w:id="24"/>
    </w:p>
    <w:bookmarkEnd w:id="10"/>
    <w:bookmarkEnd w:id="11"/>
    <w:p w14:paraId="7B523A57">
      <w:pPr>
        <w:jc w:val="center"/>
        <w:rPr>
          <w:rFonts w:hint="eastAsia" w:asciiTheme="minorEastAsia" w:hAnsiTheme="minorEastAsia" w:eastAsiaTheme="minorEastAsia" w:cstheme="minorEastAsia"/>
          <w:color w:val="auto"/>
        </w:rPr>
      </w:pPr>
      <w:bookmarkStart w:id="25" w:name="第四部分"/>
      <w:r>
        <w:rPr>
          <w:rFonts w:hint="eastAsia" w:asciiTheme="minorEastAsia" w:hAnsiTheme="minorEastAsia" w:eastAsiaTheme="minorEastAsia" w:cstheme="minorEastAsia"/>
          <w:b/>
          <w:color w:val="auto"/>
          <w:sz w:val="36"/>
          <w:szCs w:val="36"/>
        </w:rPr>
        <w:t>第三部分   采购需求</w:t>
      </w:r>
    </w:p>
    <w:p w14:paraId="7C446447">
      <w:pPr>
        <w:pStyle w:val="2"/>
        <w:numPr>
          <w:ilvl w:val="255"/>
          <w:numId w:val="0"/>
        </w:num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一、采购内容</w:t>
      </w:r>
    </w:p>
    <w:tbl>
      <w:tblPr>
        <w:tblStyle w:val="65"/>
        <w:tblpPr w:leftFromText="180" w:rightFromText="180" w:vertAnchor="text" w:horzAnchor="page" w:tblpX="1385" w:tblpY="66"/>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858"/>
        <w:gridCol w:w="1900"/>
        <w:gridCol w:w="950"/>
        <w:gridCol w:w="1001"/>
        <w:gridCol w:w="2086"/>
        <w:gridCol w:w="825"/>
      </w:tblGrid>
      <w:tr w14:paraId="487F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trPr>
        <w:tc>
          <w:tcPr>
            <w:tcW w:w="610" w:type="dxa"/>
            <w:tcBorders>
              <w:top w:val="single" w:color="auto" w:sz="4" w:space="0"/>
              <w:left w:val="single" w:color="auto" w:sz="4" w:space="0"/>
              <w:bottom w:val="single" w:color="auto" w:sz="4" w:space="0"/>
              <w:right w:val="single" w:color="auto" w:sz="4" w:space="0"/>
            </w:tcBorders>
            <w:vAlign w:val="center"/>
          </w:tcPr>
          <w:p w14:paraId="372BCC73">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858" w:type="dxa"/>
            <w:tcBorders>
              <w:top w:val="single" w:color="auto" w:sz="4" w:space="0"/>
              <w:left w:val="single" w:color="auto" w:sz="4" w:space="0"/>
              <w:bottom w:val="single" w:color="auto" w:sz="4" w:space="0"/>
              <w:right w:val="single" w:color="auto" w:sz="4" w:space="0"/>
            </w:tcBorders>
            <w:vAlign w:val="center"/>
          </w:tcPr>
          <w:p w14:paraId="37CB173F">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项目名称</w:t>
            </w:r>
          </w:p>
        </w:tc>
        <w:tc>
          <w:tcPr>
            <w:tcW w:w="1900" w:type="dxa"/>
            <w:tcBorders>
              <w:top w:val="single" w:color="auto" w:sz="4" w:space="0"/>
              <w:left w:val="single" w:color="auto" w:sz="4" w:space="0"/>
              <w:bottom w:val="single" w:color="auto" w:sz="4" w:space="0"/>
              <w:right w:val="single" w:color="auto" w:sz="4" w:space="0"/>
            </w:tcBorders>
            <w:vAlign w:val="center"/>
          </w:tcPr>
          <w:p w14:paraId="7603EE45">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项目技术规范和服务要求</w:t>
            </w:r>
          </w:p>
        </w:tc>
        <w:tc>
          <w:tcPr>
            <w:tcW w:w="950" w:type="dxa"/>
            <w:tcBorders>
              <w:top w:val="single" w:color="auto" w:sz="4" w:space="0"/>
              <w:left w:val="single" w:color="auto" w:sz="4" w:space="0"/>
              <w:bottom w:val="single" w:color="auto" w:sz="4" w:space="0"/>
              <w:right w:val="single" w:color="auto" w:sz="4" w:space="0"/>
            </w:tcBorders>
            <w:vAlign w:val="center"/>
          </w:tcPr>
          <w:p w14:paraId="4A1146AC">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w:t>
            </w:r>
          </w:p>
        </w:tc>
        <w:tc>
          <w:tcPr>
            <w:tcW w:w="1001" w:type="dxa"/>
            <w:tcBorders>
              <w:top w:val="single" w:color="auto" w:sz="4" w:space="0"/>
              <w:left w:val="single" w:color="auto" w:sz="4" w:space="0"/>
              <w:bottom w:val="single" w:color="auto" w:sz="4" w:space="0"/>
              <w:right w:val="single" w:color="auto" w:sz="4" w:space="0"/>
            </w:tcBorders>
            <w:vAlign w:val="center"/>
          </w:tcPr>
          <w:p w14:paraId="1C54D853">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数量</w:t>
            </w:r>
          </w:p>
        </w:tc>
        <w:tc>
          <w:tcPr>
            <w:tcW w:w="2086" w:type="dxa"/>
            <w:tcBorders>
              <w:top w:val="single" w:color="auto" w:sz="4" w:space="0"/>
              <w:left w:val="single" w:color="auto" w:sz="4" w:space="0"/>
              <w:bottom w:val="single" w:color="auto" w:sz="4" w:space="0"/>
              <w:right w:val="single" w:color="auto" w:sz="4" w:space="0"/>
            </w:tcBorders>
            <w:vAlign w:val="center"/>
          </w:tcPr>
          <w:p w14:paraId="4737908C">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预算总价（元）</w:t>
            </w:r>
          </w:p>
        </w:tc>
        <w:tc>
          <w:tcPr>
            <w:tcW w:w="825" w:type="dxa"/>
            <w:tcBorders>
              <w:top w:val="single" w:color="auto" w:sz="4" w:space="0"/>
              <w:left w:val="single" w:color="auto" w:sz="4" w:space="0"/>
              <w:bottom w:val="single" w:color="auto" w:sz="4" w:space="0"/>
              <w:right w:val="single" w:color="auto" w:sz="4" w:space="0"/>
            </w:tcBorders>
            <w:vAlign w:val="center"/>
          </w:tcPr>
          <w:p w14:paraId="378F1024">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14:paraId="3B89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610" w:type="dxa"/>
            <w:tcBorders>
              <w:top w:val="single" w:color="auto" w:sz="4" w:space="0"/>
              <w:left w:val="single" w:color="auto" w:sz="4" w:space="0"/>
              <w:bottom w:val="single" w:color="auto" w:sz="4" w:space="0"/>
              <w:right w:val="single" w:color="auto" w:sz="4" w:space="0"/>
            </w:tcBorders>
            <w:vAlign w:val="center"/>
          </w:tcPr>
          <w:p w14:paraId="0782CC00">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1858" w:type="dxa"/>
            <w:tcBorders>
              <w:top w:val="single" w:color="auto" w:sz="4" w:space="0"/>
              <w:left w:val="single" w:color="auto" w:sz="4" w:space="0"/>
              <w:bottom w:val="single" w:color="auto" w:sz="4" w:space="0"/>
              <w:right w:val="single" w:color="auto" w:sz="4" w:space="0"/>
            </w:tcBorders>
            <w:vAlign w:val="center"/>
          </w:tcPr>
          <w:p w14:paraId="228D4026">
            <w:pPr>
              <w:jc w:val="center"/>
              <w:rPr>
                <w:rFonts w:hint="eastAsia" w:asciiTheme="minorEastAsia" w:hAnsiTheme="minorEastAsia" w:eastAsiaTheme="minorEastAsia" w:cstheme="minorEastAsia"/>
                <w:color w:val="auto"/>
                <w:sz w:val="24"/>
                <w:lang w:bidi="ar"/>
              </w:rPr>
            </w:pPr>
          </w:p>
          <w:p w14:paraId="61FBADAE">
            <w:pPr>
              <w:pStyle w:val="63"/>
              <w:ind w:left="0" w:leftChars="0" w:firstLine="0" w:firstLineChars="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建德市罗村三级电站更新改造暨梯级集控建设工程（机电设备）采购项目</w:t>
            </w:r>
          </w:p>
        </w:tc>
        <w:tc>
          <w:tcPr>
            <w:tcW w:w="1900" w:type="dxa"/>
            <w:tcBorders>
              <w:top w:val="single" w:color="auto" w:sz="4" w:space="0"/>
              <w:left w:val="single" w:color="auto" w:sz="4" w:space="0"/>
              <w:bottom w:val="single" w:color="auto" w:sz="4" w:space="0"/>
              <w:right w:val="single" w:color="auto" w:sz="4" w:space="0"/>
            </w:tcBorders>
            <w:vAlign w:val="center"/>
          </w:tcPr>
          <w:p w14:paraId="228E0353">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详见第二部分“采购需求”</w:t>
            </w:r>
          </w:p>
        </w:tc>
        <w:tc>
          <w:tcPr>
            <w:tcW w:w="950" w:type="dxa"/>
            <w:tcBorders>
              <w:top w:val="single" w:color="auto" w:sz="4" w:space="0"/>
              <w:left w:val="single" w:color="auto" w:sz="4" w:space="0"/>
              <w:bottom w:val="single" w:color="auto" w:sz="4" w:space="0"/>
              <w:right w:val="single" w:color="auto" w:sz="4" w:space="0"/>
            </w:tcBorders>
            <w:vAlign w:val="center"/>
          </w:tcPr>
          <w:p w14:paraId="1AB51CA9">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批</w:t>
            </w:r>
          </w:p>
        </w:tc>
        <w:tc>
          <w:tcPr>
            <w:tcW w:w="1001" w:type="dxa"/>
            <w:tcBorders>
              <w:top w:val="single" w:color="auto" w:sz="4" w:space="0"/>
              <w:left w:val="single" w:color="auto" w:sz="4" w:space="0"/>
              <w:bottom w:val="single" w:color="auto" w:sz="4" w:space="0"/>
              <w:right w:val="single" w:color="auto" w:sz="4" w:space="0"/>
            </w:tcBorders>
            <w:vAlign w:val="center"/>
          </w:tcPr>
          <w:p w14:paraId="484AB89B">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086" w:type="dxa"/>
            <w:tcBorders>
              <w:top w:val="single" w:color="auto" w:sz="4" w:space="0"/>
              <w:left w:val="single" w:color="auto" w:sz="4" w:space="0"/>
              <w:bottom w:val="single" w:color="auto" w:sz="4" w:space="0"/>
              <w:right w:val="single" w:color="auto" w:sz="4" w:space="0"/>
            </w:tcBorders>
            <w:vAlign w:val="center"/>
          </w:tcPr>
          <w:p w14:paraId="335BCDFF">
            <w:pPr>
              <w:jc w:val="center"/>
              <w:textAlignment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bidi="ar"/>
              </w:rPr>
              <w:t>8718133</w:t>
            </w:r>
            <w:r>
              <w:rPr>
                <w:rFonts w:hint="eastAsia" w:asciiTheme="minorEastAsia" w:hAnsiTheme="minorEastAsia" w:eastAsiaTheme="minorEastAsia" w:cstheme="minorEastAsia"/>
                <w:color w:val="auto"/>
                <w:sz w:val="24"/>
                <w:lang w:bidi="ar"/>
              </w:rPr>
              <w:t>.00</w:t>
            </w:r>
          </w:p>
        </w:tc>
        <w:tc>
          <w:tcPr>
            <w:tcW w:w="825" w:type="dxa"/>
            <w:tcBorders>
              <w:top w:val="single" w:color="auto" w:sz="4" w:space="0"/>
              <w:left w:val="single" w:color="auto" w:sz="4" w:space="0"/>
              <w:bottom w:val="single" w:color="auto" w:sz="4" w:space="0"/>
              <w:right w:val="single" w:color="auto" w:sz="4" w:space="0"/>
            </w:tcBorders>
            <w:vAlign w:val="center"/>
          </w:tcPr>
          <w:p w14:paraId="1BABFFA0">
            <w:pPr>
              <w:jc w:val="center"/>
              <w:rPr>
                <w:rFonts w:hint="eastAsia" w:asciiTheme="minorEastAsia" w:hAnsiTheme="minorEastAsia" w:eastAsiaTheme="minorEastAsia" w:cstheme="minorEastAsia"/>
                <w:color w:val="auto"/>
                <w:sz w:val="24"/>
              </w:rPr>
            </w:pPr>
          </w:p>
        </w:tc>
      </w:tr>
      <w:tr w14:paraId="2ABA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405" w:type="dxa"/>
            <w:gridSpan w:val="6"/>
            <w:tcBorders>
              <w:top w:val="single" w:color="auto" w:sz="4" w:space="0"/>
              <w:left w:val="single" w:color="auto" w:sz="4" w:space="0"/>
              <w:bottom w:val="single" w:color="auto" w:sz="4" w:space="0"/>
              <w:right w:val="single" w:color="auto" w:sz="4" w:space="0"/>
            </w:tcBorders>
            <w:vAlign w:val="center"/>
          </w:tcPr>
          <w:p w14:paraId="7AA16E14">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预算总价：人民币</w:t>
            </w:r>
            <w:r>
              <w:rPr>
                <w:rFonts w:hint="eastAsia" w:asciiTheme="minorEastAsia" w:hAnsiTheme="minorEastAsia" w:eastAsiaTheme="minorEastAsia" w:cstheme="minorEastAsia"/>
                <w:color w:val="auto"/>
                <w:sz w:val="24"/>
                <w:lang w:eastAsia="zh-CN"/>
              </w:rPr>
              <w:t>捌佰柒拾壹万捌仟壹佰叁拾叁</w:t>
            </w:r>
            <w:r>
              <w:rPr>
                <w:rFonts w:hint="eastAsia" w:asciiTheme="minorEastAsia" w:hAnsiTheme="minorEastAsia" w:eastAsiaTheme="minorEastAsia" w:cstheme="minorEastAsia"/>
                <w:color w:val="auto"/>
                <w:sz w:val="24"/>
              </w:rPr>
              <w:t>元整（¥</w:t>
            </w:r>
            <w:r>
              <w:rPr>
                <w:rFonts w:hint="eastAsia" w:asciiTheme="minorEastAsia" w:hAnsiTheme="minorEastAsia" w:eastAsiaTheme="minorEastAsia" w:cstheme="minorEastAsia"/>
                <w:color w:val="auto"/>
                <w:sz w:val="24"/>
                <w:lang w:eastAsia="zh-CN"/>
              </w:rPr>
              <w:t>8718133</w:t>
            </w:r>
            <w:r>
              <w:rPr>
                <w:rFonts w:hint="eastAsia" w:asciiTheme="minorEastAsia" w:hAnsiTheme="minorEastAsia" w:eastAsiaTheme="minorEastAsia" w:cstheme="minorEastAsia"/>
                <w:color w:val="auto"/>
                <w:sz w:val="24"/>
              </w:rPr>
              <w:t>.00）</w:t>
            </w:r>
          </w:p>
        </w:tc>
        <w:tc>
          <w:tcPr>
            <w:tcW w:w="825" w:type="dxa"/>
            <w:tcBorders>
              <w:top w:val="single" w:color="auto" w:sz="4" w:space="0"/>
              <w:left w:val="single" w:color="auto" w:sz="4" w:space="0"/>
              <w:bottom w:val="single" w:color="auto" w:sz="4" w:space="0"/>
              <w:right w:val="single" w:color="auto" w:sz="4" w:space="0"/>
            </w:tcBorders>
            <w:vAlign w:val="center"/>
          </w:tcPr>
          <w:p w14:paraId="392E7B2F">
            <w:pPr>
              <w:jc w:val="center"/>
              <w:rPr>
                <w:rFonts w:hint="eastAsia" w:asciiTheme="minorEastAsia" w:hAnsiTheme="minorEastAsia" w:eastAsiaTheme="minorEastAsia" w:cstheme="minorEastAsia"/>
                <w:color w:val="auto"/>
                <w:sz w:val="24"/>
              </w:rPr>
            </w:pPr>
          </w:p>
        </w:tc>
      </w:tr>
    </w:tbl>
    <w:p w14:paraId="029D96A3">
      <w:pPr>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p>
    <w:p w14:paraId="6C8CF8D3">
      <w:pPr>
        <w:numPr>
          <w:ilvl w:val="0"/>
          <w:numId w:val="3"/>
        </w:numPr>
        <w:ind w:left="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为交钥匙工程，以上金额包括但不限于设备设计、生产、供货、运输装卸、二次搬运费、拆除、安装调试、产品保护、保险、配件及材料、附件、产品保管、技术服务费、运杂费、人工、试运行、备品备件、专用工具、税金、利润、辅助工作以及售后服务等本项目所有可能涉及的一切费用。</w:t>
      </w:r>
    </w:p>
    <w:p w14:paraId="4986C44C">
      <w:pPr>
        <w:pStyle w:val="86"/>
        <w:numPr>
          <w:ilvl w:val="0"/>
          <w:numId w:val="3"/>
        </w:numPr>
        <w:spacing w:before="158" w:line="240" w:lineRule="auto"/>
        <w:ind w:left="0"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电线电缆、管材</w:t>
      </w:r>
      <w:r>
        <w:rPr>
          <w:rFonts w:hint="eastAsia" w:asciiTheme="minorEastAsia" w:hAnsiTheme="minorEastAsia" w:eastAsiaTheme="minorEastAsia" w:cstheme="minorEastAsia"/>
          <w:color w:val="auto"/>
          <w:lang w:eastAsia="zh-CN"/>
        </w:rPr>
        <w:t>、接地装置</w:t>
      </w:r>
      <w:r>
        <w:rPr>
          <w:rFonts w:hint="eastAsia" w:asciiTheme="minorEastAsia" w:hAnsiTheme="minorEastAsia" w:eastAsiaTheme="minorEastAsia" w:cstheme="minorEastAsia"/>
          <w:color w:val="auto"/>
          <w:lang w:val="en-US" w:eastAsia="zh-CN"/>
        </w:rPr>
        <w:t>材料</w:t>
      </w:r>
      <w:r>
        <w:rPr>
          <w:rFonts w:hint="eastAsia" w:asciiTheme="minorEastAsia" w:hAnsiTheme="minorEastAsia" w:eastAsiaTheme="minorEastAsia" w:cstheme="minorEastAsia"/>
          <w:color w:val="auto"/>
        </w:rPr>
        <w:t>根据投标单价按实结算</w:t>
      </w:r>
      <w:r>
        <w:rPr>
          <w:rFonts w:hint="eastAsia" w:asciiTheme="minorEastAsia" w:hAnsiTheme="minorEastAsia" w:eastAsiaTheme="minorEastAsia" w:cstheme="minorEastAsia"/>
          <w:color w:val="auto"/>
          <w:lang w:eastAsia="zh-CN"/>
        </w:rPr>
        <w:t>。</w:t>
      </w:r>
    </w:p>
    <w:p w14:paraId="648257F9">
      <w:pPr>
        <w:pStyle w:val="86"/>
        <w:numPr>
          <w:ilvl w:val="0"/>
          <w:numId w:val="3"/>
        </w:numPr>
        <w:spacing w:before="158" w:line="240" w:lineRule="auto"/>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采购需求清单中涉及的品牌和型号为参考品牌，投标人可投报其它品牌、型号，但产品性能、质量、配置等应相当于或优于采购需求，并予以详细说明，提供详细的配置、技术参数说明。</w:t>
      </w:r>
    </w:p>
    <w:p w14:paraId="4A778887">
      <w:pPr>
        <w:pStyle w:val="86"/>
        <w:numPr>
          <w:ilvl w:val="0"/>
          <w:numId w:val="3"/>
        </w:numPr>
        <w:spacing w:before="158" w:line="240" w:lineRule="auto"/>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为交钥匙工程，清单中所列的主要为采购设备清单，但投标人所投安装设备并不限于以上设备清单，投标人应根据所投设备的具体安装和使用情况，对清单中未列出和本技术规格书内未说明的，而投标人为使整套设备能够按本技术规格书要求长期正常有效运行所需的货物和服务须在清单中予以补充，并包含在投标总价内。</w:t>
      </w:r>
    </w:p>
    <w:p w14:paraId="201BE933">
      <w:pPr>
        <w:pStyle w:val="86"/>
        <w:numPr>
          <w:ilvl w:val="0"/>
          <w:numId w:val="3"/>
        </w:numPr>
        <w:spacing w:before="158" w:line="240" w:lineRule="auto"/>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为保障该项目的整体协调性及正常使用，供应商应自行前往现场进行勘查，以获取场地位置、现状及任何其它可能影响投标内容（包括报价）的现场资料、数据等情况。供应商应结合现场勘查的客观因素进行综合考虑，如因投标供应商未进行充分考虑导致投标方案与实际不符从而使项目无法按时实施或签署合同后无法按照合同约定内容按时、保质、保量完成的，是投标供应商的责任。</w:t>
      </w:r>
    </w:p>
    <w:p w14:paraId="32C9018C">
      <w:pPr>
        <w:pStyle w:val="86"/>
        <w:spacing w:before="158"/>
        <w:rPr>
          <w:rFonts w:hint="eastAsia" w:asciiTheme="minorEastAsia" w:hAnsiTheme="minorEastAsia" w:eastAsiaTheme="minorEastAsia" w:cstheme="minorEastAsia"/>
          <w:color w:val="auto"/>
        </w:rPr>
      </w:pPr>
    </w:p>
    <w:p w14:paraId="531BEA8E">
      <w:pPr>
        <w:pStyle w:val="86"/>
        <w:spacing w:before="158"/>
        <w:rPr>
          <w:rFonts w:hint="eastAsia" w:asciiTheme="minorEastAsia" w:hAnsiTheme="minorEastAsia" w:eastAsiaTheme="minorEastAsia" w:cstheme="minorEastAsia"/>
          <w:color w:val="auto"/>
        </w:rPr>
      </w:pPr>
    </w:p>
    <w:p w14:paraId="4638BC90">
      <w:pPr>
        <w:pStyle w:val="86"/>
        <w:spacing w:before="158"/>
        <w:rPr>
          <w:rFonts w:hint="eastAsia" w:asciiTheme="minorEastAsia" w:hAnsiTheme="minorEastAsia" w:eastAsiaTheme="minorEastAsia" w:cstheme="minorEastAsia"/>
          <w:color w:val="auto"/>
        </w:rPr>
        <w:sectPr>
          <w:headerReference r:id="rId8" w:type="default"/>
          <w:footerReference r:id="rId9" w:type="default"/>
          <w:pgSz w:w="11906" w:h="16838"/>
          <w:pgMar w:top="1361" w:right="1361" w:bottom="1247" w:left="1361" w:header="851" w:footer="992" w:gutter="0"/>
          <w:cols w:space="720" w:num="1"/>
          <w:docGrid w:type="lines" w:linePitch="316" w:charSpace="0"/>
        </w:sectPr>
      </w:pPr>
    </w:p>
    <w:p w14:paraId="3904BD6C">
      <w:pPr>
        <w:pStyle w:val="2"/>
        <w:numPr>
          <w:ilvl w:val="255"/>
          <w:numId w:val="0"/>
        </w:num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二、采购需求</w:t>
      </w:r>
    </w:p>
    <w:p w14:paraId="0E7710F4">
      <w:pPr>
        <w:pStyle w:val="2"/>
        <w:numPr>
          <w:ilvl w:val="0"/>
          <w:numId w:val="0"/>
        </w:numPr>
        <w:rPr>
          <w:rFonts w:hint="default" w:asciiTheme="minorEastAsia" w:hAnsiTheme="minorEastAsia" w:eastAsiaTheme="minorEastAsia" w:cstheme="minorEastAsia"/>
          <w:color w:val="auto"/>
          <w:kern w:val="0"/>
          <w:lang w:val="en-US" w:eastAsia="zh-CN"/>
        </w:rPr>
      </w:pPr>
      <w:r>
        <w:rPr>
          <w:rFonts w:hint="eastAsia" w:asciiTheme="minorEastAsia" w:hAnsiTheme="minorEastAsia" w:eastAsiaTheme="minorEastAsia" w:cstheme="minorEastAsia"/>
          <w:color w:val="auto"/>
          <w:kern w:val="0"/>
        </w:rPr>
        <w:t>（一）</w:t>
      </w:r>
      <w:r>
        <w:rPr>
          <w:rFonts w:hint="eastAsia" w:asciiTheme="minorEastAsia" w:hAnsiTheme="minorEastAsia" w:eastAsiaTheme="minorEastAsia" w:cstheme="minorEastAsia"/>
          <w:color w:val="auto"/>
          <w:kern w:val="0"/>
          <w:lang w:val="en-US" w:eastAsia="zh-CN"/>
        </w:rPr>
        <w:t>总表</w:t>
      </w:r>
    </w:p>
    <w:tbl>
      <w:tblPr>
        <w:tblStyle w:val="6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3"/>
        <w:gridCol w:w="3127"/>
        <w:gridCol w:w="2979"/>
      </w:tblGrid>
      <w:tr w14:paraId="66E0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C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编号</w:t>
            </w:r>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7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项目名称</w:t>
            </w:r>
          </w:p>
        </w:tc>
        <w:tc>
          <w:tcPr>
            <w:tcW w:w="1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1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最高限价（元）</w:t>
            </w:r>
          </w:p>
        </w:tc>
      </w:tr>
      <w:tr w14:paraId="62BF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F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一</w:t>
            </w:r>
          </w:p>
        </w:tc>
        <w:tc>
          <w:tcPr>
            <w:tcW w:w="1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4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设备费用</w:t>
            </w:r>
          </w:p>
        </w:tc>
        <w:tc>
          <w:tcPr>
            <w:tcW w:w="1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2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7362146</w:t>
            </w:r>
          </w:p>
        </w:tc>
      </w:tr>
      <w:tr w14:paraId="4EC2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2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二</w:t>
            </w:r>
          </w:p>
        </w:tc>
        <w:tc>
          <w:tcPr>
            <w:tcW w:w="1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F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配套工程费用</w:t>
            </w:r>
          </w:p>
        </w:tc>
        <w:tc>
          <w:tcPr>
            <w:tcW w:w="1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5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bidi="ar"/>
              </w:rPr>
            </w:pPr>
            <w:r>
              <w:rPr>
                <w:rFonts w:hint="eastAsia" w:asciiTheme="minorEastAsia" w:hAnsiTheme="minorEastAsia" w:eastAsiaTheme="minorEastAsia" w:cstheme="minorEastAsia"/>
                <w:i w:val="0"/>
                <w:iCs w:val="0"/>
                <w:color w:val="auto"/>
                <w:kern w:val="0"/>
                <w:sz w:val="22"/>
                <w:szCs w:val="22"/>
                <w:u w:val="none"/>
                <w:lang w:val="en-US" w:eastAsia="zh-CN" w:bidi="ar"/>
              </w:rPr>
              <w:t>1355987</w:t>
            </w:r>
          </w:p>
        </w:tc>
      </w:tr>
      <w:tr w14:paraId="25F9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2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8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合计：一+二</w:t>
            </w:r>
          </w:p>
        </w:tc>
        <w:tc>
          <w:tcPr>
            <w:tcW w:w="1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9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8718133</w:t>
            </w:r>
          </w:p>
        </w:tc>
      </w:tr>
    </w:tbl>
    <w:p w14:paraId="3C82C4E4">
      <w:pPr>
        <w:pStyle w:val="2"/>
        <w:numPr>
          <w:ilvl w:val="0"/>
          <w:numId w:val="0"/>
        </w:numPr>
        <w:rPr>
          <w:rFonts w:hint="eastAsia" w:asciiTheme="minorEastAsia" w:hAnsiTheme="minorEastAsia" w:eastAsiaTheme="minorEastAsia" w:cstheme="minorEastAsia"/>
          <w:color w:val="auto"/>
          <w:kern w:val="0"/>
          <w:lang w:eastAsia="zh-CN"/>
        </w:rPr>
      </w:pPr>
    </w:p>
    <w:p w14:paraId="20053CFD">
      <w:pPr>
        <w:pStyle w:val="2"/>
        <w:numPr>
          <w:ilvl w:val="0"/>
          <w:numId w:val="0"/>
        </w:num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lang w:eastAsia="zh-CN"/>
        </w:rPr>
        <w:t>（</w:t>
      </w:r>
      <w:r>
        <w:rPr>
          <w:rFonts w:hint="eastAsia" w:asciiTheme="minorEastAsia" w:hAnsiTheme="minorEastAsia" w:eastAsiaTheme="minorEastAsia" w:cstheme="minorEastAsia"/>
          <w:color w:val="auto"/>
          <w:kern w:val="0"/>
          <w:lang w:val="en-US" w:eastAsia="zh-CN"/>
        </w:rPr>
        <w:t>二</w:t>
      </w:r>
      <w:r>
        <w:rPr>
          <w:rFonts w:hint="eastAsia" w:asciiTheme="minorEastAsia" w:hAnsiTheme="minorEastAsia" w:eastAsiaTheme="minorEastAsia" w:cstheme="minorEastAsia"/>
          <w:color w:val="auto"/>
          <w:kern w:val="0"/>
          <w:lang w:eastAsia="zh-CN"/>
        </w:rPr>
        <w:t>）</w:t>
      </w:r>
      <w:r>
        <w:rPr>
          <w:rFonts w:hint="eastAsia" w:asciiTheme="minorEastAsia" w:hAnsiTheme="minorEastAsia" w:eastAsiaTheme="minorEastAsia" w:cstheme="minorEastAsia"/>
          <w:color w:val="auto"/>
          <w:kern w:val="0"/>
        </w:rPr>
        <w:t>设备清单表</w:t>
      </w:r>
    </w:p>
    <w:tbl>
      <w:tblPr>
        <w:tblStyle w:val="6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980"/>
        <w:gridCol w:w="2121"/>
        <w:gridCol w:w="677"/>
        <w:gridCol w:w="793"/>
        <w:gridCol w:w="1137"/>
        <w:gridCol w:w="1137"/>
        <w:tblGridChange w:id="0">
          <w:tblGrid>
            <w:gridCol w:w="677"/>
            <w:gridCol w:w="1980"/>
            <w:gridCol w:w="2121"/>
            <w:gridCol w:w="677"/>
            <w:gridCol w:w="793"/>
            <w:gridCol w:w="1137"/>
            <w:gridCol w:w="1137"/>
          </w:tblGrid>
        </w:tblGridChange>
      </w:tblGrid>
      <w:tr w14:paraId="708A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8F70">
            <w:pPr>
              <w:rPr>
                <w:rFonts w:hint="eastAsia" w:asciiTheme="minorEastAsia" w:hAnsiTheme="minorEastAsia" w:eastAsiaTheme="minorEastAsia" w:cstheme="minorEastAsia"/>
                <w:i w:val="0"/>
                <w:iCs w:val="0"/>
                <w:color w:val="auto"/>
                <w:sz w:val="22"/>
                <w:szCs w:val="22"/>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5657">
            <w:pPr>
              <w:jc w:val="center"/>
              <w:rPr>
                <w:rFonts w:hint="eastAsia" w:asciiTheme="minorEastAsia" w:hAnsiTheme="minorEastAsia" w:eastAsiaTheme="minorEastAsia" w:cstheme="minorEastAsia"/>
                <w:i w:val="0"/>
                <w:iCs w:val="0"/>
                <w:color w:val="auto"/>
                <w:sz w:val="24"/>
                <w:szCs w:val="24"/>
                <w:u w:val="none"/>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51CC">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4F46">
            <w:pP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B0CA">
            <w:pPr>
              <w:jc w:val="cente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A153">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A7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单位：元</w:t>
            </w:r>
          </w:p>
        </w:tc>
      </w:tr>
      <w:tr w14:paraId="5343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EE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编号</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E9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项目名称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98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规格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D9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单位</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BD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数量</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20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预算单价</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05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预算合价</w:t>
            </w:r>
          </w:p>
        </w:tc>
      </w:tr>
      <w:tr w14:paraId="26C8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32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一</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35B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水轮机更新改造</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02C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30B4">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CC22">
            <w:pPr>
              <w:jc w:val="cente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2BFF">
            <w:pPr>
              <w:jc w:val="right"/>
              <w:rPr>
                <w:rFonts w:hint="eastAsia" w:asciiTheme="minorEastAsia" w:hAnsiTheme="minorEastAsia" w:eastAsiaTheme="minorEastAsia" w:cstheme="minorEastAsia"/>
                <w:b/>
                <w:bCs/>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C003">
            <w:pPr>
              <w:jc w:val="right"/>
              <w:rPr>
                <w:rFonts w:hint="eastAsia" w:asciiTheme="minorEastAsia" w:hAnsiTheme="minorEastAsia" w:eastAsiaTheme="minorEastAsia" w:cstheme="minorEastAsia"/>
                <w:b/>
                <w:bCs/>
                <w:i w:val="0"/>
                <w:iCs w:val="0"/>
                <w:color w:val="auto"/>
                <w:sz w:val="24"/>
                <w:szCs w:val="24"/>
                <w:u w:val="none"/>
              </w:rPr>
            </w:pPr>
          </w:p>
        </w:tc>
      </w:tr>
      <w:tr w14:paraId="3834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2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A4D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转轮（HL-WJ-55暂定）更新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8D5F">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9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5F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D5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103721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86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207442</w:t>
            </w:r>
          </w:p>
        </w:tc>
      </w:tr>
      <w:tr w14:paraId="246A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D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2DD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蜗壳更新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ED09">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5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13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0B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93421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B4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186842</w:t>
            </w:r>
          </w:p>
        </w:tc>
      </w:tr>
      <w:tr w14:paraId="7C0D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9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FE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导水机构更新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1D75">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7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E6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D2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60770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55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121540</w:t>
            </w:r>
          </w:p>
        </w:tc>
      </w:tr>
      <w:tr w14:paraId="1098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D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4E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水导推力轴承更新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7496">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C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F2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BA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43260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96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86520</w:t>
            </w:r>
          </w:p>
        </w:tc>
      </w:tr>
      <w:tr w14:paraId="7D1C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A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9E3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主轴密封更新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7014">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5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02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E5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7725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E2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15450</w:t>
            </w:r>
          </w:p>
        </w:tc>
      </w:tr>
      <w:tr w14:paraId="2B67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B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85A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主轴更新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EA0A">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5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DB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85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25338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0B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50676</w:t>
            </w:r>
          </w:p>
        </w:tc>
      </w:tr>
      <w:tr w14:paraId="0159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3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4A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尾水弯管和尾水接管更换</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61A0">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0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93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22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12133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BA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24266</w:t>
            </w:r>
          </w:p>
        </w:tc>
      </w:tr>
      <w:tr w14:paraId="2B0F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9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BBE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自动化元件</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6A2A">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1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92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1B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20909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A8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41818</w:t>
            </w:r>
          </w:p>
        </w:tc>
      </w:tr>
      <w:tr w14:paraId="571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0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5EC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E138">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F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06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65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96202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8F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96202</w:t>
            </w:r>
          </w:p>
        </w:tc>
      </w:tr>
      <w:tr w14:paraId="38FD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9E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二</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F77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发电机更新改造</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993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D38F">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7920">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A360">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0523">
            <w:pPr>
              <w:jc w:val="right"/>
              <w:rPr>
                <w:rFonts w:hint="eastAsia" w:asciiTheme="minorEastAsia" w:hAnsiTheme="minorEastAsia" w:eastAsiaTheme="minorEastAsia" w:cstheme="minorEastAsia"/>
                <w:i w:val="0"/>
                <w:iCs w:val="0"/>
                <w:color w:val="auto"/>
                <w:sz w:val="22"/>
                <w:szCs w:val="22"/>
                <w:u w:val="none"/>
              </w:rPr>
            </w:pPr>
          </w:p>
        </w:tc>
      </w:tr>
      <w:tr w14:paraId="1CE3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6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F26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发电机整体更新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F2B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SFW1000-6/1180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2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AB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15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364105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37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728210</w:t>
            </w:r>
          </w:p>
        </w:tc>
      </w:tr>
      <w:tr w14:paraId="7C2A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7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4C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径向轴承更新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330A">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2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D6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7E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25132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24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50264</w:t>
            </w:r>
          </w:p>
        </w:tc>
      </w:tr>
      <w:tr w14:paraId="2203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4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7F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飞轮及制动系统更新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DD3A">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3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D0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02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24102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6A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48204</w:t>
            </w:r>
          </w:p>
        </w:tc>
      </w:tr>
      <w:tr w14:paraId="0E47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2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F6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新增发电机空冷器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0488">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6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8A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E8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30900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A8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61800</w:t>
            </w:r>
          </w:p>
        </w:tc>
      </w:tr>
      <w:tr w14:paraId="1E50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E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9F4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自动化元件更新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DA07">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1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A1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6C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38625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CB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77250</w:t>
            </w:r>
          </w:p>
        </w:tc>
      </w:tr>
      <w:tr w14:paraId="3F10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7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915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励磁系统更新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80EF">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B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12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AF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138020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99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276040</w:t>
            </w:r>
          </w:p>
        </w:tc>
      </w:tr>
      <w:tr w14:paraId="0C0F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6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CA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测温制动屏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75E9">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B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F0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C5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49440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E4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98880</w:t>
            </w:r>
          </w:p>
        </w:tc>
      </w:tr>
      <w:tr w14:paraId="111E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9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48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5950">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7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D3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E5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176233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BE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176233</w:t>
            </w:r>
          </w:p>
        </w:tc>
      </w:tr>
      <w:tr w14:paraId="7B71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1B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三</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42E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进水阀改造</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75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07D7">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B32F">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389F">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9101">
            <w:pPr>
              <w:jc w:val="right"/>
              <w:rPr>
                <w:rFonts w:hint="eastAsia" w:asciiTheme="minorEastAsia" w:hAnsiTheme="minorEastAsia" w:eastAsiaTheme="minorEastAsia" w:cstheme="minorEastAsia"/>
                <w:i w:val="0"/>
                <w:iCs w:val="0"/>
                <w:color w:val="auto"/>
                <w:sz w:val="22"/>
                <w:szCs w:val="22"/>
                <w:u w:val="none"/>
              </w:rPr>
            </w:pPr>
          </w:p>
        </w:tc>
      </w:tr>
      <w:tr w14:paraId="4AD8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6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BB9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电控系统更新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786A">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2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F7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1A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14317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B6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28634</w:t>
            </w:r>
          </w:p>
        </w:tc>
      </w:tr>
      <w:tr w14:paraId="2528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3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9A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旁通阀及旁通管更新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EF42">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D19C">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B745">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C5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5C7D">
            <w:pPr>
              <w:jc w:val="right"/>
              <w:rPr>
                <w:rFonts w:hint="eastAsia" w:asciiTheme="minorEastAsia" w:hAnsiTheme="minorEastAsia" w:eastAsiaTheme="minorEastAsia" w:cstheme="minorEastAsia"/>
                <w:i w:val="0"/>
                <w:iCs w:val="0"/>
                <w:color w:val="auto"/>
                <w:sz w:val="22"/>
                <w:szCs w:val="22"/>
                <w:u w:val="none"/>
              </w:rPr>
            </w:pPr>
          </w:p>
        </w:tc>
      </w:tr>
      <w:tr w14:paraId="4FCCD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E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06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旁通阀更新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DD9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电动球阀DN150mm，1.0MPa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A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AE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E4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5665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BF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11330</w:t>
            </w:r>
          </w:p>
        </w:tc>
      </w:tr>
      <w:tr w14:paraId="7392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C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25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旁通阀检修阀更新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1C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手动球阀DN150mm，1.0MPa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3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C2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06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1648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C9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3296</w:t>
            </w:r>
          </w:p>
        </w:tc>
      </w:tr>
      <w:tr w14:paraId="03B1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E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3E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旁通管更新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895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DN150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3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89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D4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556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C5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1112</w:t>
            </w:r>
          </w:p>
        </w:tc>
      </w:tr>
      <w:tr w14:paraId="45E6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4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A8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FEA1">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8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C6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05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6592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A6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6592</w:t>
            </w:r>
          </w:p>
        </w:tc>
      </w:tr>
      <w:tr w14:paraId="1318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A2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四</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05F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调速器更新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19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F1E7">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8B59">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704D">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15BD">
            <w:pPr>
              <w:jc w:val="right"/>
              <w:rPr>
                <w:rFonts w:hint="eastAsia" w:asciiTheme="minorEastAsia" w:hAnsiTheme="minorEastAsia" w:eastAsiaTheme="minorEastAsia" w:cstheme="minorEastAsia"/>
                <w:i w:val="0"/>
                <w:iCs w:val="0"/>
                <w:color w:val="auto"/>
                <w:sz w:val="22"/>
                <w:szCs w:val="22"/>
                <w:u w:val="none"/>
              </w:rPr>
            </w:pPr>
          </w:p>
        </w:tc>
      </w:tr>
      <w:tr w14:paraId="3B83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F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8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调速器及油压装置</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F44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GYWT-600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E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60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A7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100425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E5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200850</w:t>
            </w:r>
          </w:p>
        </w:tc>
      </w:tr>
      <w:tr w14:paraId="423F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F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F3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自动化元件及仪表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A435">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B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E2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AD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9888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C6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19776</w:t>
            </w:r>
          </w:p>
        </w:tc>
      </w:tr>
      <w:tr w14:paraId="41AC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9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EE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3B67">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D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F8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2C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22042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C0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22042</w:t>
            </w:r>
          </w:p>
        </w:tc>
      </w:tr>
      <w:tr w14:paraId="3AEA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DA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五</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160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技术供排水系统改造</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4C6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BFA7">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3EAC">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4EAE">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8BE1">
            <w:pPr>
              <w:jc w:val="right"/>
              <w:rPr>
                <w:rFonts w:hint="eastAsia" w:asciiTheme="minorEastAsia" w:hAnsiTheme="minorEastAsia" w:eastAsiaTheme="minorEastAsia" w:cstheme="minorEastAsia"/>
                <w:i w:val="0"/>
                <w:iCs w:val="0"/>
                <w:color w:val="auto"/>
                <w:sz w:val="22"/>
                <w:szCs w:val="22"/>
                <w:u w:val="none"/>
              </w:rPr>
            </w:pPr>
          </w:p>
        </w:tc>
      </w:tr>
      <w:tr w14:paraId="6620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3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D3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可调式减压阀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02F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DN65，PN1.0MPa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0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C7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5F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3296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C6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6592</w:t>
            </w:r>
          </w:p>
        </w:tc>
      </w:tr>
      <w:tr w14:paraId="5FA5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6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F5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滤水器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4C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GLS-65，精度2mm，PN1.0MPa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A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08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52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3863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65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7726</w:t>
            </w:r>
          </w:p>
        </w:tc>
      </w:tr>
      <w:tr w14:paraId="30C4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4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F5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安全阀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F10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DN25，PN1.0MPa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7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F1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41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E3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412</w:t>
            </w:r>
          </w:p>
        </w:tc>
      </w:tr>
      <w:tr w14:paraId="1CF6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8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BCA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自保持电动球阀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318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DN65，PN1.0MPa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A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BA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66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3863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41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7726</w:t>
            </w:r>
          </w:p>
        </w:tc>
      </w:tr>
      <w:tr w14:paraId="0E73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9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E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不锈钢闸阀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35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Z45T-10，DN65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6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C0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9F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1339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5F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2678</w:t>
            </w:r>
          </w:p>
        </w:tc>
      </w:tr>
      <w:tr w14:paraId="368C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2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34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闸阀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019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Z45T-10，DN65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9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03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69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1103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29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11030</w:t>
            </w:r>
          </w:p>
        </w:tc>
      </w:tr>
      <w:tr w14:paraId="2DF7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5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87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止回阀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AB0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H44T-10，DN65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1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BE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32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1103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39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2206</w:t>
            </w:r>
          </w:p>
        </w:tc>
      </w:tr>
      <w:tr w14:paraId="52B8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8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05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闸阀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453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Z45T-10，DN50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3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FC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C4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883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ED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3532</w:t>
            </w:r>
          </w:p>
        </w:tc>
      </w:tr>
      <w:tr w14:paraId="4F47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3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6B6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内螺纹截止阀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B3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J11T-16，DN32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3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04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74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331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0D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1986</w:t>
            </w:r>
          </w:p>
        </w:tc>
      </w:tr>
      <w:tr w14:paraId="3E18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3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0C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内螺纹截止阀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88E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J11T-16，DN25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B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83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D1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03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1656</w:t>
            </w:r>
          </w:p>
        </w:tc>
      </w:tr>
      <w:tr w14:paraId="6D19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9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853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内螺纹截止阀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F05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J11T-16，DN15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4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49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5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166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D7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1328</w:t>
            </w:r>
          </w:p>
        </w:tc>
      </w:tr>
      <w:tr w14:paraId="4DD5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D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65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DFA7">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4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2D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DE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8240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8A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8240</w:t>
            </w:r>
          </w:p>
        </w:tc>
      </w:tr>
      <w:tr w14:paraId="3E91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A3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六</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CE2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水力量测系统</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2D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F899">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75CC">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6D8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0955">
            <w:pPr>
              <w:jc w:val="right"/>
              <w:rPr>
                <w:rFonts w:hint="eastAsia" w:asciiTheme="minorEastAsia" w:hAnsiTheme="minorEastAsia" w:eastAsiaTheme="minorEastAsia" w:cstheme="minorEastAsia"/>
                <w:i w:val="0"/>
                <w:iCs w:val="0"/>
                <w:color w:val="auto"/>
                <w:sz w:val="22"/>
                <w:szCs w:val="22"/>
                <w:u w:val="none"/>
              </w:rPr>
            </w:pPr>
          </w:p>
        </w:tc>
      </w:tr>
      <w:tr w14:paraId="5EB6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2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91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4B27">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7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7C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4A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1545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F8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1545</w:t>
            </w:r>
          </w:p>
        </w:tc>
      </w:tr>
      <w:tr w14:paraId="4B67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233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七</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0B3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采暖通风与空气调节系统改造</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3BE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1D11">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5654">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BB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73F2">
            <w:pPr>
              <w:jc w:val="right"/>
              <w:rPr>
                <w:rFonts w:hint="eastAsia" w:asciiTheme="minorEastAsia" w:hAnsiTheme="minorEastAsia" w:eastAsiaTheme="minorEastAsia" w:cstheme="minorEastAsia"/>
                <w:i w:val="0"/>
                <w:iCs w:val="0"/>
                <w:color w:val="auto"/>
                <w:sz w:val="22"/>
                <w:szCs w:val="22"/>
                <w:u w:val="none"/>
              </w:rPr>
            </w:pPr>
          </w:p>
        </w:tc>
      </w:tr>
      <w:tr w14:paraId="42FE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C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5F8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柜式空调</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50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冷暖型，变频，制冷量不小于12000W</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5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28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39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14898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B7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14898</w:t>
            </w:r>
          </w:p>
        </w:tc>
      </w:tr>
      <w:tr w14:paraId="4487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8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B3D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柜式空调</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33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冷暖型，变频，制冷量不小于7200W</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1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59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1F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9380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01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9380</w:t>
            </w:r>
          </w:p>
        </w:tc>
      </w:tr>
      <w:tr w14:paraId="202B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8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3A3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壁挂式空调</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03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冷暖型，变频，制冷量不小于5000W</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5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DF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7C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7173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6D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14346</w:t>
            </w:r>
          </w:p>
        </w:tc>
      </w:tr>
      <w:tr w14:paraId="284C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4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D28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壁式轴流风机(带防风雨百叶)</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2ED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风量不小于5000m</w:t>
            </w:r>
            <w:r>
              <w:rPr>
                <w:rFonts w:hint="eastAsia" w:asciiTheme="minorEastAsia" w:hAnsiTheme="minorEastAsia" w:eastAsiaTheme="minorEastAsia" w:cstheme="minorEastAsia"/>
                <w:i w:val="0"/>
                <w:iCs w:val="0"/>
                <w:color w:val="auto"/>
                <w:kern w:val="0"/>
                <w:sz w:val="24"/>
                <w:szCs w:val="24"/>
                <w:u w:val="none"/>
                <w:vertAlign w:val="superscript"/>
                <w:lang w:val="en-US" w:eastAsia="zh-CN" w:bidi="ar"/>
              </w:rPr>
              <w:t>3</w:t>
            </w:r>
            <w:r>
              <w:rPr>
                <w:rFonts w:hint="eastAsia" w:asciiTheme="minorEastAsia" w:hAnsiTheme="minorEastAsia" w:eastAsiaTheme="minorEastAsia" w:cstheme="minorEastAsia"/>
                <w:i w:val="0"/>
                <w:iCs w:val="0"/>
                <w:color w:val="auto"/>
                <w:kern w:val="0"/>
                <w:sz w:val="24"/>
                <w:szCs w:val="24"/>
                <w:u w:val="none"/>
                <w:lang w:val="en-US" w:eastAsia="zh-CN" w:bidi="ar"/>
              </w:rPr>
              <w:t>/h</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4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1B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CF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2759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4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5518</w:t>
            </w:r>
          </w:p>
        </w:tc>
      </w:tr>
      <w:tr w14:paraId="1922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2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513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22E6">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4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C8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59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4120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27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4120</w:t>
            </w:r>
          </w:p>
        </w:tc>
      </w:tr>
      <w:tr w14:paraId="537C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86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八</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7E4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变压器及其附属设备工程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298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BC71">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1D89">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BAD8">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405E">
            <w:pPr>
              <w:jc w:val="right"/>
              <w:rPr>
                <w:rFonts w:hint="eastAsia" w:asciiTheme="minorEastAsia" w:hAnsiTheme="minorEastAsia" w:eastAsiaTheme="minorEastAsia" w:cstheme="minorEastAsia"/>
                <w:i w:val="0"/>
                <w:iCs w:val="0"/>
                <w:color w:val="auto"/>
                <w:sz w:val="22"/>
                <w:szCs w:val="22"/>
                <w:u w:val="none"/>
              </w:rPr>
            </w:pPr>
          </w:p>
        </w:tc>
      </w:tr>
      <w:tr w14:paraId="79EE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5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6BE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主变压器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889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S20-2500/35</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38.5±2×2.5%/6.3kV Y,d11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9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34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8B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337325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3E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337325</w:t>
            </w:r>
          </w:p>
        </w:tc>
      </w:tr>
      <w:tr w14:paraId="7BC7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7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4F3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厂用变压器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FDD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SC14-80/6.3</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6.3±5%/0.4kV D,yn11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D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B1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77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60770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9E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60770</w:t>
            </w:r>
          </w:p>
        </w:tc>
      </w:tr>
      <w:tr w14:paraId="6796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E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7B1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厂用变压器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89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SC14-80/10</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10±5%/0.4kV D,yn11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C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3F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99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46350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F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46350</w:t>
            </w:r>
          </w:p>
        </w:tc>
      </w:tr>
      <w:tr w14:paraId="2213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D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B99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CCBA">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C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F1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E9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51191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B9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51191</w:t>
            </w:r>
          </w:p>
        </w:tc>
      </w:tr>
      <w:tr w14:paraId="1188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FD8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九</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73A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35kV户外配电设备工程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70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78D1">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A043">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1FA7">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55BC">
            <w:pPr>
              <w:jc w:val="right"/>
              <w:rPr>
                <w:rFonts w:hint="eastAsia" w:asciiTheme="minorEastAsia" w:hAnsiTheme="minorEastAsia" w:eastAsiaTheme="minorEastAsia" w:cstheme="minorEastAsia"/>
                <w:i w:val="0"/>
                <w:iCs w:val="0"/>
                <w:color w:val="auto"/>
                <w:sz w:val="22"/>
                <w:szCs w:val="22"/>
                <w:u w:val="none"/>
              </w:rPr>
            </w:pPr>
          </w:p>
        </w:tc>
      </w:tr>
      <w:tr w14:paraId="7D42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1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6F8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35kV户外真空断路器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F3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ZW7-40.5/1250A</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附电流互感器、配套端子箱</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D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86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1C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95790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35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287370</w:t>
            </w:r>
          </w:p>
        </w:tc>
      </w:tr>
      <w:tr w14:paraId="2EFB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E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D3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35kV户外隔离开关 双接地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01B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GW5-35D/1250A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B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34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D8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20600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CB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41200</w:t>
            </w:r>
          </w:p>
        </w:tc>
      </w:tr>
      <w:tr w14:paraId="3962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E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2E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35kV户外隔离开关 单接地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54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GW5-35D/1250A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C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5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2B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16480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21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65920</w:t>
            </w:r>
          </w:p>
        </w:tc>
      </w:tr>
      <w:tr w14:paraId="22BA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E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56F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35kV户外油浸式电压互感器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74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JDXF7-35、配端子箱</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D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BA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94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22145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C5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66435</w:t>
            </w:r>
          </w:p>
        </w:tc>
      </w:tr>
      <w:tr w14:paraId="458F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4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51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35kV户外油浸式电压互感器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8E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JDN-35、配端子箱</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1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0F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2B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26471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7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52942</w:t>
            </w:r>
          </w:p>
        </w:tc>
      </w:tr>
      <w:tr w14:paraId="38B6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7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361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35kV户外高压熔断器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930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RW10-35/0.5A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B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5B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59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5665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0E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39655</w:t>
            </w:r>
          </w:p>
        </w:tc>
      </w:tr>
      <w:tr w14:paraId="40EC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 w:author="安静不安分" w:date="2025-11-21T17:58: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 w:hRule="atLeast"/>
          <w:trPrChange w:id="1" w:author="安静不安分" w:date="2025-11-21T17:58:54Z">
            <w:trPr>
              <w:trHeight w:val="855" w:hRule="atLeast"/>
            </w:trPr>
          </w:trPrChange>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 w:author="安静不安分" w:date="2025-11-21T17:58:54Z">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A03B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Change w:id="3" w:author="安静不安分" w:date="2025-11-21T17:58:54Z">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6F649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35kV户外避雷器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Change w:id="4" w:author="安静不安分" w:date="2025-11-21T17:58:54Z">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93EFC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HY5WZ-54/134、配泄漏及放电记录仪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5" w:author="安静不安分" w:date="2025-11-21T17:58:54Z">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9B9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6" w:author="安静不安分" w:date="2025-11-21T17:58:54Z">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FC92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7" w:author="安静不安分" w:date="2025-11-21T17:58:54Z">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3DDC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6592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8" w:author="安静不安分" w:date="2025-11-21T17:58:54Z">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0DF5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59328</w:t>
            </w:r>
          </w:p>
        </w:tc>
      </w:tr>
      <w:tr w14:paraId="766B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9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65B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升压站绝缘子</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A3E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含户外绝缘铜母线、钢芯铝绞户外金具等</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0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F4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F9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36050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26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36050</w:t>
            </w:r>
          </w:p>
        </w:tc>
      </w:tr>
      <w:tr w14:paraId="6672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F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1C5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95C1">
            <w:pPr>
              <w:jc w:val="cente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5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7C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B7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87344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D6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87344</w:t>
            </w:r>
          </w:p>
        </w:tc>
      </w:tr>
      <w:tr w14:paraId="5281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75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十</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888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高低压成套开关设备工程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977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3A6D">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F443">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70F6">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330B">
            <w:pPr>
              <w:jc w:val="right"/>
              <w:rPr>
                <w:rFonts w:hint="eastAsia" w:asciiTheme="minorEastAsia" w:hAnsiTheme="minorEastAsia" w:eastAsiaTheme="minorEastAsia" w:cstheme="minorEastAsia"/>
                <w:i w:val="0"/>
                <w:iCs w:val="0"/>
                <w:color w:val="auto"/>
                <w:sz w:val="22"/>
                <w:szCs w:val="22"/>
                <w:u w:val="none"/>
              </w:rPr>
            </w:pPr>
          </w:p>
        </w:tc>
      </w:tr>
      <w:tr w14:paraId="36C0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D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D2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主变低压侧开关柜</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E85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箱型固定式户内开关柜</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D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FE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04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6E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r>
      <w:tr w14:paraId="3C05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4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2F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6.3kV母线互感器柜</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D2C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箱型固定式户内开关柜</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F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7C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BD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A9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r>
      <w:tr w14:paraId="5725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4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E95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#1厂用变开关柜</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1D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箱型固定式户内开关柜</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0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63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8E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3D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r>
      <w:tr w14:paraId="1DAC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2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731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#1发电机开关柜</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878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箱型固定式户内开关柜</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D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62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87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0C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r>
      <w:tr w14:paraId="11FD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6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A4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#2发电机开关柜</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9B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箱型固定式户内开关柜</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0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62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6F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E1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r>
      <w:tr w14:paraId="1A96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0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C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#2厂用变开关柜</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ECF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箱型固定式户内开关柜</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4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57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7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41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89610</w:t>
            </w:r>
          </w:p>
        </w:tc>
      </w:tr>
      <w:tr w14:paraId="1AD8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7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E9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中性点电流互感器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46C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AS12/150b/4S</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200/5A,10P30/10P30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6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54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43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2575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60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15450</w:t>
            </w:r>
          </w:p>
        </w:tc>
      </w:tr>
      <w:tr w14:paraId="19FE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7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8C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低压配电柜</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C5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GGD1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5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90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3C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55620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FE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166860</w:t>
            </w:r>
          </w:p>
        </w:tc>
      </w:tr>
      <w:tr w14:paraId="2CA4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F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F32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稳压器柜</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13A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PK-10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2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18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8C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55620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D0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55620</w:t>
            </w:r>
          </w:p>
        </w:tc>
      </w:tr>
      <w:tr w14:paraId="741B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D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C0D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电源屏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BD0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PK-10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C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5B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81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55620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5D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55620</w:t>
            </w:r>
          </w:p>
        </w:tc>
      </w:tr>
      <w:tr w14:paraId="0A34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A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16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现地动力配电箱</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536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XL（W）-21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8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D0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E1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13390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27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40170</w:t>
            </w:r>
          </w:p>
        </w:tc>
      </w:tr>
      <w:tr w14:paraId="4B6B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8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528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插座箱</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1AF5">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B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0F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19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3296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98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9888</w:t>
            </w:r>
          </w:p>
        </w:tc>
      </w:tr>
      <w:tr w14:paraId="4A1A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5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844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照明箱</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29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PXT(R)-3-3*6/1CM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0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52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E3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3296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32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9888</w:t>
            </w:r>
          </w:p>
        </w:tc>
      </w:tr>
      <w:tr w14:paraId="775A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4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CA0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消防应急照明箱</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BA8A">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E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07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D4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5562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5B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5562</w:t>
            </w:r>
          </w:p>
        </w:tc>
      </w:tr>
      <w:tr w14:paraId="6503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E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7B8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磁力启动器</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2B34">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4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D8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1D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D6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6180</w:t>
            </w:r>
          </w:p>
        </w:tc>
      </w:tr>
      <w:tr w14:paraId="7814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F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B1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5C54">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E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E0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42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93606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27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93606</w:t>
            </w:r>
          </w:p>
        </w:tc>
      </w:tr>
      <w:tr w14:paraId="5A6E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43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十一</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099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计算机监控系统设备工程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6A3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F517">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84E3">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0B64">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C8DC">
            <w:pPr>
              <w:jc w:val="right"/>
              <w:rPr>
                <w:rFonts w:hint="eastAsia" w:asciiTheme="minorEastAsia" w:hAnsiTheme="minorEastAsia" w:eastAsiaTheme="minorEastAsia" w:cstheme="minorEastAsia"/>
                <w:i w:val="0"/>
                <w:iCs w:val="0"/>
                <w:color w:val="auto"/>
                <w:sz w:val="22"/>
                <w:szCs w:val="22"/>
                <w:u w:val="none"/>
              </w:rPr>
            </w:pPr>
          </w:p>
        </w:tc>
      </w:tr>
      <w:tr w14:paraId="3E83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8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66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主机兼操作员工作站</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811E">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8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A7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7E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27810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42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27810</w:t>
            </w:r>
          </w:p>
        </w:tc>
      </w:tr>
      <w:tr w14:paraId="1BA4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7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16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通信工作站</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FFBB">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4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00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3B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27810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42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27810</w:t>
            </w:r>
          </w:p>
        </w:tc>
      </w:tr>
      <w:tr w14:paraId="4B73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7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52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语音报警装置</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C879">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F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76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DC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47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4120</w:t>
            </w:r>
          </w:p>
        </w:tc>
      </w:tr>
      <w:tr w14:paraId="0D65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1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6A5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机组LCU屏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1846">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0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D0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3B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118450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73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236900</w:t>
            </w:r>
          </w:p>
        </w:tc>
      </w:tr>
      <w:tr w14:paraId="1CFF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5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8F3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公用LCU屏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A1A3">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3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10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7A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139050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90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139050</w:t>
            </w:r>
          </w:p>
        </w:tc>
      </w:tr>
      <w:tr w14:paraId="40D0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A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F7B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网络及视频设备屏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86E0">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E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F1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A5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113300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46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113300</w:t>
            </w:r>
          </w:p>
        </w:tc>
      </w:tr>
      <w:tr w14:paraId="137DD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5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11C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纵向加密装置</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DFDA">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8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5E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B9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36050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7A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36050</w:t>
            </w:r>
          </w:p>
        </w:tc>
      </w:tr>
      <w:tr w14:paraId="79F3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E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3E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硬件防火墙</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1C74">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2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D0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B4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36050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32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36050</w:t>
            </w:r>
          </w:p>
        </w:tc>
      </w:tr>
      <w:tr w14:paraId="1CBF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3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0F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A3/A4网络激光打印机</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5BAE">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D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2F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B2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8240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C2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8240</w:t>
            </w:r>
          </w:p>
        </w:tc>
      </w:tr>
      <w:tr w14:paraId="7E1C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A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D95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微机控制台</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3A62">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E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32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11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28840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BC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28840</w:t>
            </w:r>
          </w:p>
        </w:tc>
      </w:tr>
      <w:tr w14:paraId="5B4D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5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0EA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辅机控制设备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8EE5">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5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E1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AAE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9B70">
            <w:pPr>
              <w:jc w:val="right"/>
              <w:rPr>
                <w:rFonts w:hint="eastAsia" w:asciiTheme="minorEastAsia" w:hAnsiTheme="minorEastAsia" w:eastAsiaTheme="minorEastAsia" w:cstheme="minorEastAsia"/>
                <w:i w:val="0"/>
                <w:iCs w:val="0"/>
                <w:color w:val="auto"/>
                <w:sz w:val="22"/>
                <w:szCs w:val="22"/>
                <w:u w:val="none"/>
              </w:rPr>
            </w:pPr>
          </w:p>
        </w:tc>
      </w:tr>
      <w:tr w14:paraId="292A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2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11.1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DB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渗漏排水泵控制箱</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028F">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3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73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CA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8240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81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8240</w:t>
            </w:r>
          </w:p>
        </w:tc>
      </w:tr>
      <w:tr w14:paraId="6A3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F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11.2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23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低压空压机控制箱</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A6CF">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F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92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15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8240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2D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8240</w:t>
            </w:r>
          </w:p>
        </w:tc>
      </w:tr>
      <w:tr w14:paraId="362D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7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00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网线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055D">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E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35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01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94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900</w:t>
            </w:r>
          </w:p>
        </w:tc>
      </w:tr>
      <w:tr w14:paraId="14A0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0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0E4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单模光纤4芯</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4291">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82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36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47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2400</w:t>
            </w:r>
          </w:p>
        </w:tc>
      </w:tr>
      <w:tr w14:paraId="2108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D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D03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计算机监控系统软件</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C093">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0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2A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4D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51500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D2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51500</w:t>
            </w:r>
          </w:p>
        </w:tc>
      </w:tr>
      <w:tr w14:paraId="09C9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E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CB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2057">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A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F4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8C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70555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73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70555</w:t>
            </w:r>
          </w:p>
        </w:tc>
      </w:tr>
      <w:tr w14:paraId="624E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2A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十二</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113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视频监视系统设备工程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B5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D4B5">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6649">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1B50">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EB9D">
            <w:pPr>
              <w:jc w:val="right"/>
              <w:rPr>
                <w:rFonts w:hint="eastAsia" w:asciiTheme="minorEastAsia" w:hAnsiTheme="minorEastAsia" w:eastAsiaTheme="minorEastAsia" w:cstheme="minorEastAsia"/>
                <w:i w:val="0"/>
                <w:iCs w:val="0"/>
                <w:color w:val="auto"/>
                <w:sz w:val="22"/>
                <w:szCs w:val="22"/>
                <w:u w:val="none"/>
              </w:rPr>
            </w:pPr>
          </w:p>
        </w:tc>
      </w:tr>
      <w:tr w14:paraId="538A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C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8B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图像工作站</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E486">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9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EF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4E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27810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02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27810</w:t>
            </w:r>
          </w:p>
        </w:tc>
      </w:tr>
      <w:tr w14:paraId="0B85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2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DE8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数字硬盘录像机</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B673">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6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5D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D8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3605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ED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3605</w:t>
            </w:r>
          </w:p>
        </w:tc>
      </w:tr>
      <w:tr w14:paraId="2DF7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4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3D2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前端摄像设备</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B419">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A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66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9B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D961">
            <w:pPr>
              <w:jc w:val="right"/>
              <w:rPr>
                <w:rFonts w:hint="eastAsia" w:asciiTheme="minorEastAsia" w:hAnsiTheme="minorEastAsia" w:eastAsiaTheme="minorEastAsia" w:cstheme="minorEastAsia"/>
                <w:i w:val="0"/>
                <w:iCs w:val="0"/>
                <w:color w:val="auto"/>
                <w:sz w:val="22"/>
                <w:szCs w:val="22"/>
                <w:u w:val="none"/>
              </w:rPr>
            </w:pPr>
          </w:p>
        </w:tc>
      </w:tr>
      <w:tr w14:paraId="7FAC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F71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户内吸顶式低照度彩色/黑白一体化球机</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23B6">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A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8F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84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5150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17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10300</w:t>
            </w:r>
          </w:p>
        </w:tc>
      </w:tr>
      <w:tr w14:paraId="5349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2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2C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户内壁挂式低照度彩色/黑白一体化球机</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0810">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E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2C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34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5459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0D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16377</w:t>
            </w:r>
          </w:p>
        </w:tc>
      </w:tr>
      <w:tr w14:paraId="7669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E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AF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户外壁挂式红外彩色/黑白一体化球机</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C6F3">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8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2A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86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7725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30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15450</w:t>
            </w:r>
          </w:p>
        </w:tc>
      </w:tr>
      <w:tr w14:paraId="61F8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0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B91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户外柱装式红外彩色/黑白一体化球机（配户外摄像机4-5m标准立杆）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8E7E">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0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E9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76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8755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0D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26265</w:t>
            </w:r>
          </w:p>
        </w:tc>
      </w:tr>
      <w:tr w14:paraId="150A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6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E7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图像管理系统应用软件</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0C33">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3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5D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B8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10300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41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10300</w:t>
            </w:r>
          </w:p>
        </w:tc>
      </w:tr>
      <w:tr w14:paraId="165C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3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FE2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网线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FF42">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2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0F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C3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90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900</w:t>
            </w:r>
          </w:p>
        </w:tc>
      </w:tr>
      <w:tr w14:paraId="2DCB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0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DE3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单模光纤4芯</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365E">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6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8A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15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45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2400</w:t>
            </w:r>
          </w:p>
        </w:tc>
      </w:tr>
      <w:tr w14:paraId="62DB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1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028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0A03">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2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DD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A5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14317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57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14317</w:t>
            </w:r>
          </w:p>
        </w:tc>
      </w:tr>
      <w:tr w14:paraId="5A37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AE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十三</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853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直流电源装置设备工程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630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A28E">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AE7F">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A730">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6937">
            <w:pPr>
              <w:jc w:val="right"/>
              <w:rPr>
                <w:rFonts w:hint="eastAsia" w:asciiTheme="minorEastAsia" w:hAnsiTheme="minorEastAsia" w:eastAsiaTheme="minorEastAsia" w:cstheme="minorEastAsia"/>
                <w:i w:val="0"/>
                <w:iCs w:val="0"/>
                <w:color w:val="auto"/>
                <w:sz w:val="22"/>
                <w:szCs w:val="22"/>
                <w:u w:val="none"/>
              </w:rPr>
            </w:pPr>
          </w:p>
        </w:tc>
      </w:tr>
      <w:tr w14:paraId="77C2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E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38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微机直流电源装置</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F80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DC220V，100Ah</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F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96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169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3A44">
            <w:pPr>
              <w:jc w:val="right"/>
              <w:rPr>
                <w:rFonts w:hint="eastAsia" w:asciiTheme="minorEastAsia" w:hAnsiTheme="minorEastAsia" w:eastAsiaTheme="minorEastAsia" w:cstheme="minorEastAsia"/>
                <w:i w:val="0"/>
                <w:iCs w:val="0"/>
                <w:color w:val="auto"/>
                <w:sz w:val="22"/>
                <w:szCs w:val="22"/>
                <w:u w:val="none"/>
              </w:rPr>
            </w:pPr>
          </w:p>
        </w:tc>
      </w:tr>
      <w:tr w14:paraId="37A0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7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E0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直流充、馈电屏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F803">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C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01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28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51500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C1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51500</w:t>
            </w:r>
          </w:p>
        </w:tc>
      </w:tr>
      <w:tr w14:paraId="4547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1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6FD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蓄电池屏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69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含系统内屏间电缆及与蓄电池的连接电缆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8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58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59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58710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EA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58710</w:t>
            </w:r>
          </w:p>
        </w:tc>
      </w:tr>
      <w:tr w14:paraId="1205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8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A55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3C28">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C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BF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B4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10815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E2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10815</w:t>
            </w:r>
          </w:p>
        </w:tc>
      </w:tr>
      <w:tr w14:paraId="5883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DE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十四</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3FE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继电保护装置设备工程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11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3F18">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A2AB">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569C">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6820">
            <w:pPr>
              <w:jc w:val="right"/>
              <w:rPr>
                <w:rFonts w:hint="eastAsia" w:asciiTheme="minorEastAsia" w:hAnsiTheme="minorEastAsia" w:eastAsiaTheme="minorEastAsia" w:cstheme="minorEastAsia"/>
                <w:i w:val="0"/>
                <w:iCs w:val="0"/>
                <w:color w:val="auto"/>
                <w:sz w:val="22"/>
                <w:szCs w:val="22"/>
                <w:u w:val="none"/>
              </w:rPr>
            </w:pPr>
          </w:p>
        </w:tc>
      </w:tr>
      <w:tr w14:paraId="36CD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1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1B5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发电机保护屏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5C1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PK-10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D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24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F9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103000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AA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103000</w:t>
            </w:r>
          </w:p>
        </w:tc>
      </w:tr>
      <w:tr w14:paraId="6323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3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3A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主变保护屏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CD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PK-10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6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E8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B8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88580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CA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88580</w:t>
            </w:r>
          </w:p>
        </w:tc>
      </w:tr>
      <w:tr w14:paraId="1B41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6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D19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35kV线路保护屏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56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PK-10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3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01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71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88580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25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88580</w:t>
            </w:r>
          </w:p>
        </w:tc>
      </w:tr>
      <w:tr w14:paraId="023D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9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DE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计量屏</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B25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PK-10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2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面</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3B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90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82400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DD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82400</w:t>
            </w:r>
          </w:p>
        </w:tc>
      </w:tr>
      <w:tr w14:paraId="3DE5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1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473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拆除安装费</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7522">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9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C1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9D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13802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B6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13802</w:t>
            </w:r>
          </w:p>
        </w:tc>
      </w:tr>
      <w:tr w14:paraId="1308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71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十五</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EAA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电站电缆敷设工程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F52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06B5">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4521">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8807">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EDD4">
            <w:pPr>
              <w:jc w:val="right"/>
              <w:rPr>
                <w:rFonts w:hint="eastAsia" w:asciiTheme="minorEastAsia" w:hAnsiTheme="minorEastAsia" w:eastAsiaTheme="minorEastAsia" w:cstheme="minorEastAsia"/>
                <w:i w:val="0"/>
                <w:iCs w:val="0"/>
                <w:color w:val="auto"/>
                <w:sz w:val="22"/>
                <w:szCs w:val="22"/>
                <w:u w:val="none"/>
              </w:rPr>
            </w:pPr>
          </w:p>
        </w:tc>
      </w:tr>
      <w:tr w14:paraId="5A64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4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A9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56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ZC-YJV22-6/10-3×120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D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19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53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742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98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74200</w:t>
            </w:r>
          </w:p>
        </w:tc>
      </w:tr>
      <w:tr w14:paraId="71AF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8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9E9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F3D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ZC-YJV22-8.7/15-3×70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8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A03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0E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643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CD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64300</w:t>
            </w:r>
          </w:p>
        </w:tc>
      </w:tr>
      <w:tr w14:paraId="7927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7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19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543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ZC-YJV22-6/10-3×70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8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26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EC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618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5F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92700</w:t>
            </w:r>
          </w:p>
        </w:tc>
      </w:tr>
      <w:tr w14:paraId="2581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2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FC3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动力电缆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8F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ZC-YJV22-1-3×50+1×25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C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82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87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340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F6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20400</w:t>
            </w:r>
          </w:p>
        </w:tc>
      </w:tr>
      <w:tr w14:paraId="001D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3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A80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动力电缆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AFB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ZC-YJV22-1-3×25+1×16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F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70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EF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DA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3860</w:t>
            </w:r>
          </w:p>
        </w:tc>
      </w:tr>
      <w:tr w14:paraId="0799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2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628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动力电缆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9D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ZC-YJV22-1-4×16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E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E4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C2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130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81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19500</w:t>
            </w:r>
          </w:p>
        </w:tc>
      </w:tr>
      <w:tr w14:paraId="4FBB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5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96C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动力电缆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DC4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ZC-YJV22-1-4×10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A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F9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6A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34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3480</w:t>
            </w:r>
          </w:p>
        </w:tc>
      </w:tr>
      <w:tr w14:paraId="6C30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7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11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动力电缆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06B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ZC-YJV22-1-4×6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4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06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07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48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310</w:t>
            </w:r>
          </w:p>
        </w:tc>
      </w:tr>
      <w:tr w14:paraId="1B60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C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A2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动力电缆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3F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ZC-YJV22-1-4×4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8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E7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70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1B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18500</w:t>
            </w:r>
          </w:p>
        </w:tc>
      </w:tr>
      <w:tr w14:paraId="6A9E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B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10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动力电缆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48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ZC-YJV22-1-3×4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3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7C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3F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98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2900</w:t>
            </w:r>
          </w:p>
        </w:tc>
      </w:tr>
      <w:tr w14:paraId="7817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1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BB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动力电缆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715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ZC-VV-1-2×6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5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EF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B1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C8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11600</w:t>
            </w:r>
          </w:p>
        </w:tc>
      </w:tr>
      <w:tr w14:paraId="5FB8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9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41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动力电缆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394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ZC-VV-1-2×4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9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23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1C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DB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10500</w:t>
            </w:r>
          </w:p>
        </w:tc>
      </w:tr>
      <w:tr w14:paraId="5554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D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96F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电源电缆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4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RVV-1-2×1.5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D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A9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99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10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1200</w:t>
            </w:r>
          </w:p>
        </w:tc>
      </w:tr>
      <w:tr w14:paraId="7E60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A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F6D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绝缘电线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8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BV-0.5-1×50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4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D1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84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DA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43500</w:t>
            </w:r>
          </w:p>
        </w:tc>
      </w:tr>
      <w:tr w14:paraId="15D5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5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66B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控制电缆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BF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ZC-KVVP2-0.5-4×4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0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71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72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2A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30800</w:t>
            </w:r>
          </w:p>
        </w:tc>
      </w:tr>
      <w:tr w14:paraId="45E4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F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C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控制电缆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31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ZC-KVVP2-0.5-7×2.5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D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75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8A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0E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7350</w:t>
            </w:r>
          </w:p>
        </w:tc>
      </w:tr>
      <w:tr w14:paraId="5E6C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4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7FE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控制电缆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E7E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ZC-KVVP2-0.5-4×2.5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1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A2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73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B6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18600</w:t>
            </w:r>
          </w:p>
        </w:tc>
      </w:tr>
      <w:tr w14:paraId="6A4F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8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C7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控制电缆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791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ZC-KVVP2-0.5-14×1.5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E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C0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3D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4F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6000</w:t>
            </w:r>
          </w:p>
        </w:tc>
      </w:tr>
      <w:tr w14:paraId="6F4F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3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19</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A89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控制电缆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52E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ZC-KVVP2-0.5-10×1.5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F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BD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DB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2D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26400</w:t>
            </w:r>
          </w:p>
        </w:tc>
      </w:tr>
      <w:tr w14:paraId="6166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C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107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控制电缆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6A8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ZC-KVVP2-0.5-7×1.5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F3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1A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10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92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27000</w:t>
            </w:r>
          </w:p>
        </w:tc>
      </w:tr>
      <w:tr w14:paraId="18E3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1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08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控制电缆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83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ZC-KVVP2-0.5-4×1.5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3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C9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2300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12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0F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46000</w:t>
            </w:r>
          </w:p>
        </w:tc>
      </w:tr>
      <w:tr w14:paraId="5490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A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4E9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控制电缆</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8FF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ZC-DJYP3VP3-2×2×1.5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2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A2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44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41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43500</w:t>
            </w:r>
          </w:p>
        </w:tc>
      </w:tr>
      <w:tr w14:paraId="3DE9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F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90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防火材料</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9A18">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3FB5">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02C3">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F0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5B42">
            <w:pPr>
              <w:jc w:val="right"/>
              <w:rPr>
                <w:rFonts w:hint="eastAsia" w:asciiTheme="minorEastAsia" w:hAnsiTheme="minorEastAsia" w:eastAsiaTheme="minorEastAsia" w:cstheme="minorEastAsia"/>
                <w:i w:val="0"/>
                <w:iCs w:val="0"/>
                <w:color w:val="auto"/>
                <w:sz w:val="22"/>
                <w:szCs w:val="22"/>
                <w:u w:val="none"/>
              </w:rPr>
            </w:pPr>
          </w:p>
        </w:tc>
      </w:tr>
      <w:tr w14:paraId="06D6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E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83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防火隔板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2BF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DDC-Y型2000×500mm，壁厚5mm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8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件</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691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E6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23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8360</w:t>
            </w:r>
          </w:p>
        </w:tc>
      </w:tr>
      <w:tr w14:paraId="1939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2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EC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防火隔板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50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DDC-Y型2000×100mm，壁厚5mm</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0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件</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064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35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85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880</w:t>
            </w:r>
          </w:p>
        </w:tc>
      </w:tr>
      <w:tr w14:paraId="5664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4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E6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防火堵料</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77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DYD型有机型</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8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t</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BB1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DC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9806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F5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9806</w:t>
            </w:r>
          </w:p>
        </w:tc>
      </w:tr>
      <w:tr w14:paraId="0BEA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F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247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防火堵料</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D1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DWD型无机型</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t</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5EA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1D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6542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3B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6542</w:t>
            </w:r>
          </w:p>
        </w:tc>
      </w:tr>
      <w:tr w14:paraId="61D5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7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DB7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电缆头</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1060">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A4FA">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FED4">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A7D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D72C">
            <w:pPr>
              <w:jc w:val="right"/>
              <w:rPr>
                <w:rFonts w:hint="eastAsia" w:asciiTheme="minorEastAsia" w:hAnsiTheme="minorEastAsia" w:eastAsiaTheme="minorEastAsia" w:cstheme="minorEastAsia"/>
                <w:i w:val="0"/>
                <w:iCs w:val="0"/>
                <w:color w:val="auto"/>
                <w:sz w:val="22"/>
                <w:szCs w:val="22"/>
                <w:u w:val="none"/>
              </w:rPr>
            </w:pPr>
          </w:p>
        </w:tc>
      </w:tr>
      <w:tr w14:paraId="447B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A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A07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3M 10kV电缆头</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634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-3*120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A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23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E7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1185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45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2370</w:t>
            </w:r>
          </w:p>
        </w:tc>
      </w:tr>
      <w:tr w14:paraId="2D2D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F0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669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3M 10kV电缆头</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634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-3*70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7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92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CB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1185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45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11850</w:t>
            </w:r>
          </w:p>
        </w:tc>
      </w:tr>
      <w:tr w14:paraId="32E5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6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9F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低压电缆头</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B7BF">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B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12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6C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351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28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3510</w:t>
            </w:r>
          </w:p>
        </w:tc>
      </w:tr>
      <w:tr w14:paraId="785C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0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7D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控制电缆头</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1917">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1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44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60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97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1500</w:t>
            </w:r>
          </w:p>
        </w:tc>
      </w:tr>
      <w:tr w14:paraId="552F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B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45E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角钢支架</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DDCB">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AF9F">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FE0C">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E35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4D1D">
            <w:pPr>
              <w:jc w:val="right"/>
              <w:rPr>
                <w:rFonts w:hint="eastAsia" w:asciiTheme="minorEastAsia" w:hAnsiTheme="minorEastAsia" w:eastAsiaTheme="minorEastAsia" w:cstheme="minorEastAsia"/>
                <w:i w:val="0"/>
                <w:iCs w:val="0"/>
                <w:color w:val="auto"/>
                <w:sz w:val="22"/>
                <w:szCs w:val="22"/>
                <w:u w:val="none"/>
              </w:rPr>
            </w:pPr>
          </w:p>
        </w:tc>
      </w:tr>
      <w:tr w14:paraId="10FA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A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0ED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镀锌槽钢</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8F7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100×58×4.3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A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51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4E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0E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7900</w:t>
            </w:r>
          </w:p>
        </w:tc>
      </w:tr>
      <w:tr w14:paraId="70E2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1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9C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镀锌圆钢</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569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φ10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5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B1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EA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F2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1900</w:t>
            </w:r>
          </w:p>
        </w:tc>
      </w:tr>
      <w:tr w14:paraId="7026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6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6A3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镀锌扁钢</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3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-80*6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B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A8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1E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DC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84000</w:t>
            </w:r>
          </w:p>
        </w:tc>
      </w:tr>
      <w:tr w14:paraId="2340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5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812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镀锌角钢</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F1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L60×6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C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66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D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04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7125</w:t>
            </w:r>
          </w:p>
        </w:tc>
      </w:tr>
      <w:tr w14:paraId="6876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2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7F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镀锌角钢</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730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L50×5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F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E8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58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4C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2775</w:t>
            </w:r>
          </w:p>
        </w:tc>
      </w:tr>
      <w:tr w14:paraId="047A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9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9A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C3AA">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84FF">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6034">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05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7BE9">
            <w:pPr>
              <w:jc w:val="right"/>
              <w:rPr>
                <w:rFonts w:hint="eastAsia" w:asciiTheme="minorEastAsia" w:hAnsiTheme="minorEastAsia" w:eastAsiaTheme="minorEastAsia" w:cstheme="minorEastAsia"/>
                <w:i w:val="0"/>
                <w:iCs w:val="0"/>
                <w:color w:val="auto"/>
                <w:sz w:val="22"/>
                <w:szCs w:val="22"/>
                <w:u w:val="none"/>
              </w:rPr>
            </w:pPr>
          </w:p>
        </w:tc>
      </w:tr>
      <w:tr w14:paraId="05A9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D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64C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722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DN150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0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75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CD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161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08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19320</w:t>
            </w:r>
          </w:p>
        </w:tc>
      </w:tr>
      <w:tr w14:paraId="2B97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5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6D9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ED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F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CA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AF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2D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11000</w:t>
            </w:r>
          </w:p>
        </w:tc>
      </w:tr>
      <w:tr w14:paraId="67CD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9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DAB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B5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DN65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5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86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86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29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1710</w:t>
            </w:r>
          </w:p>
        </w:tc>
      </w:tr>
      <w:tr w14:paraId="459F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5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5E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47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6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3D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E8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C7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2650</w:t>
            </w:r>
          </w:p>
        </w:tc>
      </w:tr>
      <w:tr w14:paraId="0349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0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F78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A0B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DN40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9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C4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95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B7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18800</w:t>
            </w:r>
          </w:p>
        </w:tc>
      </w:tr>
      <w:tr w14:paraId="0F08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6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E14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6B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DN32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C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BE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DD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4B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34400</w:t>
            </w:r>
          </w:p>
        </w:tc>
      </w:tr>
      <w:tr w14:paraId="3CD8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6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DA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814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0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F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AD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84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3900</w:t>
            </w:r>
          </w:p>
        </w:tc>
      </w:tr>
      <w:tr w14:paraId="6BDD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B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A99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42B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DN15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8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F6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47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53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140</w:t>
            </w:r>
          </w:p>
        </w:tc>
      </w:tr>
      <w:tr w14:paraId="4E89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83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十六</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FD9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电站防雷及接地装置工程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EF5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2C86">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96EC">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00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A717">
            <w:pPr>
              <w:jc w:val="right"/>
              <w:rPr>
                <w:rFonts w:hint="eastAsia" w:asciiTheme="minorEastAsia" w:hAnsiTheme="minorEastAsia" w:eastAsiaTheme="minorEastAsia" w:cstheme="minorEastAsia"/>
                <w:i w:val="0"/>
                <w:iCs w:val="0"/>
                <w:color w:val="auto"/>
                <w:sz w:val="22"/>
                <w:szCs w:val="22"/>
                <w:u w:val="none"/>
              </w:rPr>
            </w:pPr>
          </w:p>
        </w:tc>
      </w:tr>
      <w:tr w14:paraId="4CF0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9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31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独立避雷针</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CF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h=30m  </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6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支</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FF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CC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10300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FE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10300</w:t>
            </w:r>
          </w:p>
        </w:tc>
      </w:tr>
      <w:tr w14:paraId="1854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E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D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镀锌扁钢</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30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-25×4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2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A3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33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7F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2000</w:t>
            </w:r>
          </w:p>
        </w:tc>
      </w:tr>
      <w:tr w14:paraId="42B3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D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04A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镀锌扁钢</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5E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-40×4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A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CE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7D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37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4600</w:t>
            </w:r>
          </w:p>
        </w:tc>
      </w:tr>
      <w:tr w14:paraId="003F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8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76A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镀锌扁钢</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7C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-60×6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7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6A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4E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D2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33000</w:t>
            </w:r>
          </w:p>
        </w:tc>
      </w:tr>
      <w:tr w14:paraId="3233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A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8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镀锌圆钢</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9A3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C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46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CB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5B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3150</w:t>
            </w:r>
          </w:p>
        </w:tc>
      </w:tr>
      <w:tr w14:paraId="38FB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2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233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总等电位端子箱</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7B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端子板材质采用紫铜</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8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E5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B3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3090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51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3090</w:t>
            </w:r>
          </w:p>
        </w:tc>
      </w:tr>
      <w:tr w14:paraId="1A65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1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79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局部等电位接地箱</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90EF">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8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5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A2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2060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D2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4120</w:t>
            </w:r>
          </w:p>
        </w:tc>
      </w:tr>
      <w:tr w14:paraId="2B88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0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31B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临时接地柱</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F89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M10*30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C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A7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71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87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40</w:t>
            </w:r>
          </w:p>
        </w:tc>
      </w:tr>
      <w:tr w14:paraId="3039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30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十七</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9CF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电站户内外照明装置工程</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7EE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详见技术参数要求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05FA">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624A">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0F7D">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7F28">
            <w:pPr>
              <w:jc w:val="right"/>
              <w:rPr>
                <w:rFonts w:hint="eastAsia" w:asciiTheme="minorEastAsia" w:hAnsiTheme="minorEastAsia" w:eastAsiaTheme="minorEastAsia" w:cstheme="minorEastAsia"/>
                <w:i w:val="0"/>
                <w:iCs w:val="0"/>
                <w:color w:val="auto"/>
                <w:sz w:val="22"/>
                <w:szCs w:val="22"/>
                <w:u w:val="none"/>
              </w:rPr>
            </w:pPr>
          </w:p>
        </w:tc>
      </w:tr>
      <w:tr w14:paraId="2E2D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4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41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灯具</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91F8">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B4B2">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F608">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62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E326">
            <w:pPr>
              <w:jc w:val="right"/>
              <w:rPr>
                <w:rFonts w:hint="eastAsia" w:asciiTheme="minorEastAsia" w:hAnsiTheme="minorEastAsia" w:eastAsiaTheme="minorEastAsia" w:cstheme="minorEastAsia"/>
                <w:i w:val="0"/>
                <w:iCs w:val="0"/>
                <w:color w:val="auto"/>
                <w:sz w:val="22"/>
                <w:szCs w:val="22"/>
                <w:u w:val="none"/>
              </w:rPr>
            </w:pPr>
          </w:p>
        </w:tc>
      </w:tr>
      <w:tr w14:paraId="45C4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E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E5D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投光灯</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241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120W，LED</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C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74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EA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2170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DE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17360</w:t>
            </w:r>
          </w:p>
        </w:tc>
      </w:tr>
      <w:tr w14:paraId="215A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E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02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吸顶灯</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1C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1×25W，LED</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0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12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6F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645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0C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1290</w:t>
            </w:r>
          </w:p>
        </w:tc>
      </w:tr>
      <w:tr w14:paraId="2E30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7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775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平板灯</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BE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1×25W，LED</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F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AA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61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645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90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10320</w:t>
            </w:r>
          </w:p>
        </w:tc>
      </w:tr>
      <w:tr w14:paraId="1659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8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90B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防潮型壁灯</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52A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1×25W，LED</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E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14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B9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406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6E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2436</w:t>
            </w:r>
          </w:p>
        </w:tc>
      </w:tr>
      <w:tr w14:paraId="672F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4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764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应急照明灯具</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38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A型灯具，集中电源型</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LED/3W,DC36V</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E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F5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66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382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31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3820</w:t>
            </w:r>
          </w:p>
        </w:tc>
      </w:tr>
      <w:tr w14:paraId="4D4A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D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82A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消防疏散指示灯</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482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A型灯具，集中电源型</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≤1W，DC36V</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9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63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60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382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11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5730</w:t>
            </w:r>
          </w:p>
        </w:tc>
      </w:tr>
      <w:tr w14:paraId="4797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A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55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开关</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5EEF">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794">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E984">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063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7F7C">
            <w:pPr>
              <w:jc w:val="right"/>
              <w:rPr>
                <w:rFonts w:hint="eastAsia" w:asciiTheme="minorEastAsia" w:hAnsiTheme="minorEastAsia" w:eastAsiaTheme="minorEastAsia" w:cstheme="minorEastAsia"/>
                <w:i w:val="0"/>
                <w:iCs w:val="0"/>
                <w:color w:val="auto"/>
                <w:sz w:val="22"/>
                <w:szCs w:val="22"/>
                <w:u w:val="none"/>
              </w:rPr>
            </w:pPr>
          </w:p>
        </w:tc>
      </w:tr>
      <w:tr w14:paraId="5BD1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8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766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单联单控暗开关</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A36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AP86K11-10,10A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E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FF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1D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B3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272</w:t>
            </w:r>
          </w:p>
        </w:tc>
      </w:tr>
      <w:tr w14:paraId="063D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A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EA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单联双控暗开关</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91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AP86K12-10,10A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1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C5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36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0F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312</w:t>
            </w:r>
          </w:p>
        </w:tc>
      </w:tr>
      <w:tr w14:paraId="2AB5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1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36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双联单控暗开关</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BE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AP86K21-10,10A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3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05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7D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9B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210</w:t>
            </w:r>
          </w:p>
        </w:tc>
      </w:tr>
      <w:tr w14:paraId="44B4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E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B86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双联双控暗开关</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D5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AP86K22-10,10A</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1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F5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2C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EC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230</w:t>
            </w:r>
          </w:p>
        </w:tc>
      </w:tr>
      <w:tr w14:paraId="332E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B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D1C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10A二+三极单相安全插座</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E318">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B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9C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80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42</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8E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168</w:t>
            </w:r>
          </w:p>
        </w:tc>
      </w:tr>
      <w:tr w14:paraId="1619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9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4E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25A三相五极安全插座</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AC66">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D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26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D6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8B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196</w:t>
            </w:r>
          </w:p>
        </w:tc>
      </w:tr>
      <w:tr w14:paraId="559D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4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C5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16A三相五极安全插座</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C7AD">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8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BD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2E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43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196</w:t>
            </w:r>
          </w:p>
        </w:tc>
      </w:tr>
      <w:tr w14:paraId="6577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E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39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16A三极单相安全插座</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DB06">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D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E9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33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75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180</w:t>
            </w:r>
          </w:p>
        </w:tc>
      </w:tr>
      <w:tr w14:paraId="0DE9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13F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3FF1">
            <w:pPr>
              <w:rPr>
                <w:rFonts w:hint="eastAsia" w:asciiTheme="minorEastAsia" w:hAnsiTheme="minorEastAsia" w:eastAsiaTheme="minorEastAsia" w:cstheme="minorEastAsia"/>
                <w:i w:val="0"/>
                <w:iCs w:val="0"/>
                <w:color w:val="auto"/>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3CC7">
            <w:pPr>
              <w:jc w:val="center"/>
              <w:rPr>
                <w:rFonts w:hint="eastAsia" w:asciiTheme="minorEastAsia" w:hAnsiTheme="minorEastAsia" w:eastAsiaTheme="minorEastAsia" w:cstheme="minorEastAsia"/>
                <w:i w:val="0"/>
                <w:iCs w:val="0"/>
                <w:color w:val="auto"/>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FD1C">
            <w:pPr>
              <w:rPr>
                <w:rFonts w:hint="eastAsia" w:asciiTheme="minorEastAsia" w:hAnsiTheme="minorEastAsia" w:eastAsiaTheme="minorEastAsia" w:cstheme="minorEastAsia"/>
                <w:i w:val="0"/>
                <w:iCs w:val="0"/>
                <w:color w:val="auto"/>
                <w:sz w:val="24"/>
                <w:szCs w:val="24"/>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B2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 </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7232">
            <w:pPr>
              <w:jc w:val="right"/>
              <w:rPr>
                <w:rFonts w:hint="eastAsia" w:asciiTheme="minorEastAsia" w:hAnsiTheme="minorEastAsia" w:eastAsiaTheme="minorEastAsia" w:cstheme="minorEastAsia"/>
                <w:i w:val="0"/>
                <w:iCs w:val="0"/>
                <w:color w:val="auto"/>
                <w:sz w:val="22"/>
                <w:szCs w:val="22"/>
                <w:u w:val="none"/>
              </w:rPr>
            </w:pPr>
          </w:p>
        </w:tc>
      </w:tr>
      <w:tr w14:paraId="6ADD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9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78C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塑料绝缘软线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3B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NH-BV-0.5-1×2.5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8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59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20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33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3000</w:t>
            </w:r>
          </w:p>
        </w:tc>
      </w:tr>
      <w:tr w14:paraId="5BC9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4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6F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塑料绝缘软线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AD3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NH-BVR-0.5-1×2.5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A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58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A9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64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300</w:t>
            </w:r>
          </w:p>
        </w:tc>
      </w:tr>
      <w:tr w14:paraId="70C1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0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96F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塑料绝缘电线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AFF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BV-0.5-1×2.5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B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51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B7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7B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2700</w:t>
            </w:r>
          </w:p>
        </w:tc>
      </w:tr>
      <w:tr w14:paraId="5042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7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728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塑料绝缘软线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34C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BVR-0.5-2×1.5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6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A4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7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44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600</w:t>
            </w:r>
          </w:p>
        </w:tc>
      </w:tr>
      <w:tr w14:paraId="2C5B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7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D9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塑料绝缘电线</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63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BV-0.5-1×4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4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DC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7E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0C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1600</w:t>
            </w:r>
          </w:p>
        </w:tc>
      </w:tr>
      <w:tr w14:paraId="5907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7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3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照明线路埋管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D18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镀锌钢管，DN25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D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E3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39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01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7800</w:t>
            </w:r>
          </w:p>
        </w:tc>
      </w:tr>
      <w:tr w14:paraId="64DD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9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A03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照明线路埋管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8B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镀锌钢管，DN20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C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37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E4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26</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34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26000</w:t>
            </w:r>
          </w:p>
        </w:tc>
      </w:tr>
      <w:tr w14:paraId="5C2C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F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A58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照明线路埋管</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AC9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PVC管，DN25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2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E1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39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5</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E1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2500</w:t>
            </w:r>
          </w:p>
        </w:tc>
      </w:tr>
      <w:tr w14:paraId="2078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1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4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灯头盒</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4D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E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83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96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A3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1900</w:t>
            </w:r>
          </w:p>
        </w:tc>
      </w:tr>
      <w:tr w14:paraId="56D3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6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5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小计</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9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7362146</w:t>
            </w:r>
          </w:p>
        </w:tc>
      </w:tr>
    </w:tbl>
    <w:p w14:paraId="677EC32C">
      <w:pPr>
        <w:rPr>
          <w:rFonts w:hint="eastAsia" w:asciiTheme="minorEastAsia" w:hAnsiTheme="minorEastAsia" w:eastAsiaTheme="minorEastAsia" w:cstheme="minorEastAsia"/>
          <w:color w:val="auto"/>
        </w:rPr>
      </w:pPr>
    </w:p>
    <w:p w14:paraId="0C6028B6">
      <w:pPr>
        <w:pStyle w:val="2"/>
        <w:numPr>
          <w:ilvl w:val="255"/>
          <w:numId w:val="0"/>
        </w:num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三</w:t>
      </w:r>
      <w:r>
        <w:rPr>
          <w:rFonts w:hint="eastAsia" w:asciiTheme="minorEastAsia" w:hAnsiTheme="minorEastAsia" w:eastAsiaTheme="minorEastAsia" w:cstheme="minorEastAsia"/>
          <w:color w:val="auto"/>
        </w:rPr>
        <w:t>）配套工程</w:t>
      </w:r>
    </w:p>
    <w:tbl>
      <w:tblPr>
        <w:tblStyle w:val="6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4459"/>
        <w:gridCol w:w="642"/>
        <w:gridCol w:w="642"/>
        <w:gridCol w:w="1068"/>
        <w:gridCol w:w="1069"/>
      </w:tblGrid>
      <w:tr w14:paraId="605D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00698BE">
            <w:pPr>
              <w:adjustRightInd/>
              <w:rPr>
                <w:rFonts w:hint="eastAsia" w:asciiTheme="minorEastAsia" w:hAnsiTheme="minorEastAsia" w:eastAsiaTheme="minorEastAsia" w:cstheme="minorEastAsia"/>
                <w:color w:val="auto"/>
                <w:kern w:val="0"/>
                <w:sz w:val="24"/>
              </w:rPr>
            </w:pPr>
          </w:p>
        </w:tc>
        <w:tc>
          <w:tcPr>
            <w:tcW w:w="2501" w:type="pct"/>
            <w:noWrap/>
            <w:vAlign w:val="center"/>
          </w:tcPr>
          <w:p w14:paraId="781EADED">
            <w:pPr>
              <w:adjustRightInd/>
              <w:jc w:val="center"/>
              <w:rPr>
                <w:rFonts w:hint="eastAsia" w:asciiTheme="minorEastAsia" w:hAnsiTheme="minorEastAsia" w:eastAsiaTheme="minorEastAsia" w:cstheme="minorEastAsia"/>
                <w:color w:val="auto"/>
                <w:kern w:val="0"/>
                <w:sz w:val="24"/>
              </w:rPr>
            </w:pPr>
          </w:p>
        </w:tc>
        <w:tc>
          <w:tcPr>
            <w:tcW w:w="372" w:type="pct"/>
            <w:noWrap/>
            <w:vAlign w:val="center"/>
          </w:tcPr>
          <w:p w14:paraId="4C03556F">
            <w:pPr>
              <w:adjustRightInd/>
              <w:rPr>
                <w:rFonts w:hint="eastAsia" w:asciiTheme="minorEastAsia" w:hAnsiTheme="minorEastAsia" w:eastAsiaTheme="minorEastAsia" w:cstheme="minorEastAsia"/>
                <w:color w:val="auto"/>
                <w:kern w:val="0"/>
                <w:sz w:val="24"/>
              </w:rPr>
            </w:pPr>
          </w:p>
        </w:tc>
        <w:tc>
          <w:tcPr>
            <w:tcW w:w="438" w:type="pct"/>
            <w:noWrap/>
            <w:vAlign w:val="center"/>
          </w:tcPr>
          <w:p w14:paraId="36F15260">
            <w:pPr>
              <w:adjustRightInd/>
              <w:rPr>
                <w:rFonts w:hint="eastAsia" w:asciiTheme="minorEastAsia" w:hAnsiTheme="minorEastAsia" w:eastAsiaTheme="minorEastAsia" w:cstheme="minorEastAsia"/>
                <w:color w:val="auto"/>
                <w:kern w:val="0"/>
                <w:sz w:val="24"/>
              </w:rPr>
            </w:pPr>
          </w:p>
        </w:tc>
        <w:tc>
          <w:tcPr>
            <w:tcW w:w="631" w:type="pct"/>
            <w:noWrap/>
            <w:vAlign w:val="center"/>
          </w:tcPr>
          <w:p w14:paraId="62F1F88D">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77D9249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单位：元</w:t>
            </w:r>
          </w:p>
        </w:tc>
      </w:tr>
      <w:tr w14:paraId="4B22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17" w:type="pct"/>
            <w:noWrap/>
            <w:vAlign w:val="center"/>
          </w:tcPr>
          <w:p w14:paraId="07A41EDB">
            <w:pPr>
              <w:adjustRightInd/>
              <w:jc w:val="center"/>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编号</w:t>
            </w:r>
          </w:p>
        </w:tc>
        <w:tc>
          <w:tcPr>
            <w:tcW w:w="2501" w:type="pct"/>
            <w:noWrap/>
            <w:vAlign w:val="center"/>
          </w:tcPr>
          <w:p w14:paraId="3E406A5C">
            <w:pPr>
              <w:adjustRightInd/>
              <w:jc w:val="center"/>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项目名称</w:t>
            </w:r>
          </w:p>
        </w:tc>
        <w:tc>
          <w:tcPr>
            <w:tcW w:w="372" w:type="pct"/>
            <w:noWrap/>
            <w:vAlign w:val="center"/>
          </w:tcPr>
          <w:p w14:paraId="483D2B1B">
            <w:pPr>
              <w:adjustRightInd/>
              <w:jc w:val="center"/>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单位</w:t>
            </w:r>
          </w:p>
        </w:tc>
        <w:tc>
          <w:tcPr>
            <w:tcW w:w="438" w:type="pct"/>
            <w:noWrap/>
            <w:vAlign w:val="center"/>
          </w:tcPr>
          <w:p w14:paraId="6DAB82EC">
            <w:pPr>
              <w:adjustRightInd/>
              <w:jc w:val="center"/>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数量</w:t>
            </w:r>
          </w:p>
        </w:tc>
        <w:tc>
          <w:tcPr>
            <w:tcW w:w="631" w:type="pct"/>
            <w:noWrap/>
            <w:vAlign w:val="center"/>
          </w:tcPr>
          <w:p w14:paraId="67CA88F3">
            <w:pPr>
              <w:adjustRightInd/>
              <w:jc w:val="center"/>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预算单价</w:t>
            </w:r>
          </w:p>
        </w:tc>
        <w:tc>
          <w:tcPr>
            <w:tcW w:w="638" w:type="pct"/>
            <w:noWrap/>
            <w:vAlign w:val="center"/>
          </w:tcPr>
          <w:p w14:paraId="5FF4BDCC">
            <w:pPr>
              <w:adjustRightInd/>
              <w:jc w:val="center"/>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预算合价</w:t>
            </w:r>
          </w:p>
        </w:tc>
      </w:tr>
      <w:tr w14:paraId="2636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94D749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一</w:t>
            </w:r>
          </w:p>
        </w:tc>
        <w:tc>
          <w:tcPr>
            <w:tcW w:w="2501" w:type="pct"/>
            <w:noWrap/>
            <w:vAlign w:val="center"/>
          </w:tcPr>
          <w:p w14:paraId="2B7FF80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配套工程</w:t>
            </w:r>
          </w:p>
        </w:tc>
        <w:tc>
          <w:tcPr>
            <w:tcW w:w="372" w:type="pct"/>
            <w:noWrap/>
            <w:vAlign w:val="center"/>
          </w:tcPr>
          <w:p w14:paraId="675B704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vAlign w:val="center"/>
          </w:tcPr>
          <w:p w14:paraId="39EF02B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21475BA1">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4992F7B8">
            <w:pPr>
              <w:adjustRightInd/>
              <w:jc w:val="right"/>
              <w:rPr>
                <w:rFonts w:hint="eastAsia" w:asciiTheme="minorEastAsia" w:hAnsiTheme="minorEastAsia" w:eastAsiaTheme="minorEastAsia" w:cstheme="minorEastAsia"/>
                <w:b/>
                <w:bCs/>
                <w:color w:val="auto"/>
                <w:kern w:val="0"/>
                <w:sz w:val="24"/>
              </w:rPr>
            </w:pPr>
          </w:p>
        </w:tc>
      </w:tr>
      <w:tr w14:paraId="3E95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732AF86">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p>
        </w:tc>
        <w:tc>
          <w:tcPr>
            <w:tcW w:w="2501" w:type="pct"/>
            <w:noWrap/>
            <w:vAlign w:val="center"/>
          </w:tcPr>
          <w:p w14:paraId="3E846A97">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一级电站</w:t>
            </w:r>
          </w:p>
        </w:tc>
        <w:tc>
          <w:tcPr>
            <w:tcW w:w="372" w:type="pct"/>
            <w:noWrap/>
            <w:vAlign w:val="center"/>
          </w:tcPr>
          <w:p w14:paraId="78FA048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vAlign w:val="center"/>
          </w:tcPr>
          <w:p w14:paraId="2A8DDCC2">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1F5ACD3B">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7980003C">
            <w:pPr>
              <w:adjustRightInd/>
              <w:jc w:val="right"/>
              <w:rPr>
                <w:rFonts w:hint="eastAsia" w:asciiTheme="minorEastAsia" w:hAnsiTheme="minorEastAsia" w:eastAsiaTheme="minorEastAsia" w:cstheme="minorEastAsia"/>
                <w:color w:val="auto"/>
                <w:kern w:val="0"/>
                <w:sz w:val="24"/>
              </w:rPr>
            </w:pPr>
          </w:p>
        </w:tc>
      </w:tr>
      <w:tr w14:paraId="3F27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A975F40">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1.1</w:t>
            </w:r>
          </w:p>
        </w:tc>
        <w:tc>
          <w:tcPr>
            <w:tcW w:w="2501" w:type="pct"/>
            <w:noWrap/>
            <w:vAlign w:val="center"/>
          </w:tcPr>
          <w:p w14:paraId="3C2DDD1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管理房集控中心装修</w:t>
            </w:r>
          </w:p>
        </w:tc>
        <w:tc>
          <w:tcPr>
            <w:tcW w:w="372" w:type="pct"/>
            <w:noWrap/>
            <w:vAlign w:val="center"/>
          </w:tcPr>
          <w:p w14:paraId="46876FB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vAlign w:val="center"/>
          </w:tcPr>
          <w:p w14:paraId="54D6317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3835C9CD">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028B9033">
            <w:pPr>
              <w:adjustRightInd/>
              <w:jc w:val="right"/>
              <w:rPr>
                <w:rFonts w:hint="eastAsia" w:asciiTheme="minorEastAsia" w:hAnsiTheme="minorEastAsia" w:eastAsiaTheme="minorEastAsia" w:cstheme="minorEastAsia"/>
                <w:color w:val="auto"/>
                <w:kern w:val="0"/>
                <w:sz w:val="24"/>
              </w:rPr>
            </w:pPr>
          </w:p>
        </w:tc>
      </w:tr>
      <w:tr w14:paraId="3F06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CB31F1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2EBC03E7">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内墙粉刷</w:t>
            </w:r>
          </w:p>
        </w:tc>
        <w:tc>
          <w:tcPr>
            <w:tcW w:w="372" w:type="pct"/>
            <w:noWrap/>
            <w:vAlign w:val="center"/>
          </w:tcPr>
          <w:p w14:paraId="7DEE9340">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4493F26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177</w:t>
            </w:r>
          </w:p>
        </w:tc>
        <w:tc>
          <w:tcPr>
            <w:tcW w:w="631" w:type="pct"/>
            <w:noWrap/>
            <w:vAlign w:val="center"/>
          </w:tcPr>
          <w:p w14:paraId="7AC6AEC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100</w:t>
            </w:r>
          </w:p>
        </w:tc>
        <w:tc>
          <w:tcPr>
            <w:tcW w:w="638" w:type="pct"/>
            <w:noWrap/>
            <w:vAlign w:val="center"/>
          </w:tcPr>
          <w:p w14:paraId="332C214C">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17700 </w:t>
            </w:r>
          </w:p>
        </w:tc>
      </w:tr>
      <w:tr w14:paraId="35EB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C7EA52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519224F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新增砖墙</w:t>
            </w:r>
          </w:p>
        </w:tc>
        <w:tc>
          <w:tcPr>
            <w:tcW w:w="372" w:type="pct"/>
            <w:noWrap/>
            <w:vAlign w:val="center"/>
          </w:tcPr>
          <w:p w14:paraId="6EA16EF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vAlign w:val="center"/>
          </w:tcPr>
          <w:p w14:paraId="422C273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27</w:t>
            </w:r>
          </w:p>
        </w:tc>
        <w:tc>
          <w:tcPr>
            <w:tcW w:w="631" w:type="pct"/>
            <w:noWrap/>
            <w:vAlign w:val="center"/>
          </w:tcPr>
          <w:p w14:paraId="32E96F7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350</w:t>
            </w:r>
          </w:p>
        </w:tc>
        <w:tc>
          <w:tcPr>
            <w:tcW w:w="638" w:type="pct"/>
            <w:noWrap/>
            <w:vAlign w:val="center"/>
          </w:tcPr>
          <w:p w14:paraId="406676E2">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9450 </w:t>
            </w:r>
          </w:p>
        </w:tc>
      </w:tr>
      <w:tr w14:paraId="4A87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9B0528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6C5BC210">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新增硅钙板吊顶</w:t>
            </w:r>
          </w:p>
        </w:tc>
        <w:tc>
          <w:tcPr>
            <w:tcW w:w="372" w:type="pct"/>
            <w:noWrap/>
            <w:vAlign w:val="center"/>
          </w:tcPr>
          <w:p w14:paraId="1730CDA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464E8AF6">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99</w:t>
            </w:r>
          </w:p>
        </w:tc>
        <w:tc>
          <w:tcPr>
            <w:tcW w:w="631" w:type="pct"/>
            <w:noWrap/>
            <w:vAlign w:val="center"/>
          </w:tcPr>
          <w:p w14:paraId="4E35CC8B">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680</w:t>
            </w:r>
          </w:p>
        </w:tc>
        <w:tc>
          <w:tcPr>
            <w:tcW w:w="638" w:type="pct"/>
            <w:noWrap/>
            <w:vAlign w:val="center"/>
          </w:tcPr>
          <w:p w14:paraId="00F4CDC9">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67320 </w:t>
            </w:r>
          </w:p>
        </w:tc>
      </w:tr>
      <w:tr w14:paraId="0104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4439EF5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7DA0D411">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新增防静电地板</w:t>
            </w:r>
          </w:p>
        </w:tc>
        <w:tc>
          <w:tcPr>
            <w:tcW w:w="372" w:type="pct"/>
            <w:noWrap/>
            <w:vAlign w:val="center"/>
          </w:tcPr>
          <w:p w14:paraId="1DF4981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4B7BBDB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99</w:t>
            </w:r>
          </w:p>
        </w:tc>
        <w:tc>
          <w:tcPr>
            <w:tcW w:w="631" w:type="pct"/>
            <w:noWrap/>
            <w:vAlign w:val="center"/>
          </w:tcPr>
          <w:p w14:paraId="652AE08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144</w:t>
            </w:r>
          </w:p>
        </w:tc>
        <w:tc>
          <w:tcPr>
            <w:tcW w:w="638" w:type="pct"/>
            <w:noWrap/>
            <w:vAlign w:val="center"/>
          </w:tcPr>
          <w:p w14:paraId="38F3EE29">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14256 </w:t>
            </w:r>
          </w:p>
        </w:tc>
      </w:tr>
      <w:tr w14:paraId="5FF8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42174E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28EC771">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拆除原卫生间瓷砖地面</w:t>
            </w:r>
          </w:p>
        </w:tc>
        <w:tc>
          <w:tcPr>
            <w:tcW w:w="372" w:type="pct"/>
            <w:noWrap/>
            <w:vAlign w:val="center"/>
          </w:tcPr>
          <w:p w14:paraId="2A86134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749D7499">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w:t>
            </w:r>
          </w:p>
        </w:tc>
        <w:tc>
          <w:tcPr>
            <w:tcW w:w="631" w:type="pct"/>
            <w:noWrap/>
            <w:vAlign w:val="center"/>
          </w:tcPr>
          <w:p w14:paraId="578EFAD1">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80</w:t>
            </w:r>
          </w:p>
        </w:tc>
        <w:tc>
          <w:tcPr>
            <w:tcW w:w="638" w:type="pct"/>
            <w:noWrap/>
            <w:vAlign w:val="center"/>
          </w:tcPr>
          <w:p w14:paraId="23391572">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3360 </w:t>
            </w:r>
          </w:p>
        </w:tc>
      </w:tr>
      <w:tr w14:paraId="2464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59143536">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774A5080">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新增卫生间防水瓷砖地面</w:t>
            </w:r>
          </w:p>
        </w:tc>
        <w:tc>
          <w:tcPr>
            <w:tcW w:w="372" w:type="pct"/>
            <w:noWrap/>
            <w:vAlign w:val="center"/>
          </w:tcPr>
          <w:p w14:paraId="78FF3050">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70ED69F7">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w:t>
            </w:r>
          </w:p>
        </w:tc>
        <w:tc>
          <w:tcPr>
            <w:tcW w:w="631" w:type="pct"/>
            <w:noWrap/>
            <w:vAlign w:val="center"/>
          </w:tcPr>
          <w:p w14:paraId="5F07212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54</w:t>
            </w:r>
          </w:p>
        </w:tc>
        <w:tc>
          <w:tcPr>
            <w:tcW w:w="638" w:type="pct"/>
            <w:noWrap/>
            <w:vAlign w:val="center"/>
          </w:tcPr>
          <w:p w14:paraId="2F8F3806">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2268 </w:t>
            </w:r>
          </w:p>
        </w:tc>
      </w:tr>
      <w:tr w14:paraId="0882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518E951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65F9B4A5">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洁具换新（马桶，洗手盆，淋浴喷头，地漏）</w:t>
            </w:r>
          </w:p>
        </w:tc>
        <w:tc>
          <w:tcPr>
            <w:tcW w:w="372" w:type="pct"/>
            <w:noWrap/>
            <w:vAlign w:val="center"/>
          </w:tcPr>
          <w:p w14:paraId="3794075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套</w:t>
            </w:r>
          </w:p>
        </w:tc>
        <w:tc>
          <w:tcPr>
            <w:tcW w:w="438" w:type="pct"/>
            <w:vAlign w:val="center"/>
          </w:tcPr>
          <w:p w14:paraId="44EB6A6E">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w:t>
            </w:r>
          </w:p>
        </w:tc>
        <w:tc>
          <w:tcPr>
            <w:tcW w:w="631" w:type="pct"/>
            <w:noWrap/>
            <w:vAlign w:val="center"/>
          </w:tcPr>
          <w:p w14:paraId="165ECA2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4500</w:t>
            </w:r>
          </w:p>
        </w:tc>
        <w:tc>
          <w:tcPr>
            <w:tcW w:w="638" w:type="pct"/>
            <w:noWrap/>
            <w:vAlign w:val="center"/>
          </w:tcPr>
          <w:p w14:paraId="4D7E7CAE">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45000 </w:t>
            </w:r>
          </w:p>
        </w:tc>
      </w:tr>
      <w:tr w14:paraId="185D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05595B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6E5CDAE7">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372" w:type="pct"/>
            <w:noWrap/>
            <w:vAlign w:val="center"/>
          </w:tcPr>
          <w:p w14:paraId="7B46B8D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vAlign w:val="center"/>
          </w:tcPr>
          <w:p w14:paraId="632D1D8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54D31B76">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41D1600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r>
      <w:tr w14:paraId="6DE8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5A85F4D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w:t>
            </w:r>
          </w:p>
        </w:tc>
        <w:tc>
          <w:tcPr>
            <w:tcW w:w="2501" w:type="pct"/>
            <w:noWrap/>
            <w:vAlign w:val="center"/>
          </w:tcPr>
          <w:p w14:paraId="600F20A4">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二级电站</w:t>
            </w:r>
          </w:p>
        </w:tc>
        <w:tc>
          <w:tcPr>
            <w:tcW w:w="372" w:type="pct"/>
            <w:noWrap/>
            <w:vAlign w:val="center"/>
          </w:tcPr>
          <w:p w14:paraId="3F641E6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vAlign w:val="center"/>
          </w:tcPr>
          <w:p w14:paraId="7EF0162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5B8FFA11">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3D7934B8">
            <w:pPr>
              <w:adjustRightInd/>
              <w:jc w:val="right"/>
              <w:rPr>
                <w:rFonts w:hint="eastAsia" w:asciiTheme="minorEastAsia" w:hAnsiTheme="minorEastAsia" w:eastAsiaTheme="minorEastAsia" w:cstheme="minorEastAsia"/>
                <w:color w:val="auto"/>
                <w:kern w:val="0"/>
                <w:sz w:val="24"/>
              </w:rPr>
            </w:pPr>
          </w:p>
        </w:tc>
      </w:tr>
      <w:tr w14:paraId="671D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33E48D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2.1</w:t>
            </w:r>
          </w:p>
        </w:tc>
        <w:tc>
          <w:tcPr>
            <w:tcW w:w="2501" w:type="pct"/>
            <w:noWrap/>
            <w:vAlign w:val="center"/>
          </w:tcPr>
          <w:p w14:paraId="077CAAD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门卫门头装修</w:t>
            </w:r>
          </w:p>
        </w:tc>
        <w:tc>
          <w:tcPr>
            <w:tcW w:w="372" w:type="pct"/>
            <w:noWrap/>
            <w:vAlign w:val="center"/>
          </w:tcPr>
          <w:p w14:paraId="54B2819A">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vAlign w:val="center"/>
          </w:tcPr>
          <w:p w14:paraId="5F22C1B5">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536E265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43C13BBB">
            <w:pPr>
              <w:adjustRightInd/>
              <w:jc w:val="right"/>
              <w:rPr>
                <w:rFonts w:hint="eastAsia" w:asciiTheme="minorEastAsia" w:hAnsiTheme="minorEastAsia" w:eastAsiaTheme="minorEastAsia" w:cstheme="minorEastAsia"/>
                <w:color w:val="auto"/>
                <w:kern w:val="0"/>
                <w:sz w:val="24"/>
              </w:rPr>
            </w:pPr>
          </w:p>
        </w:tc>
      </w:tr>
      <w:tr w14:paraId="7BC0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CDC3726">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573C9448">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门头门卫外立面瓷砖拆除</w:t>
            </w:r>
          </w:p>
        </w:tc>
        <w:tc>
          <w:tcPr>
            <w:tcW w:w="372" w:type="pct"/>
            <w:noWrap/>
            <w:vAlign w:val="center"/>
          </w:tcPr>
          <w:p w14:paraId="4A116227">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17EF3D66">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105</w:t>
            </w:r>
          </w:p>
        </w:tc>
        <w:tc>
          <w:tcPr>
            <w:tcW w:w="631" w:type="pct"/>
            <w:noWrap/>
            <w:vAlign w:val="center"/>
          </w:tcPr>
          <w:p w14:paraId="5013339E">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100</w:t>
            </w:r>
          </w:p>
        </w:tc>
        <w:tc>
          <w:tcPr>
            <w:tcW w:w="638" w:type="pct"/>
            <w:noWrap/>
            <w:vAlign w:val="center"/>
          </w:tcPr>
          <w:p w14:paraId="0BB00BC5">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10500 </w:t>
            </w:r>
          </w:p>
        </w:tc>
      </w:tr>
      <w:tr w14:paraId="0602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7021D6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472DD41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门头门卫外立面粉刷</w:t>
            </w:r>
          </w:p>
        </w:tc>
        <w:tc>
          <w:tcPr>
            <w:tcW w:w="372" w:type="pct"/>
            <w:noWrap/>
            <w:vAlign w:val="center"/>
          </w:tcPr>
          <w:p w14:paraId="442EB65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4F154F90">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105</w:t>
            </w:r>
          </w:p>
        </w:tc>
        <w:tc>
          <w:tcPr>
            <w:tcW w:w="631" w:type="pct"/>
            <w:noWrap/>
            <w:vAlign w:val="center"/>
          </w:tcPr>
          <w:p w14:paraId="7F9A371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300</w:t>
            </w:r>
          </w:p>
        </w:tc>
        <w:tc>
          <w:tcPr>
            <w:tcW w:w="638" w:type="pct"/>
            <w:noWrap/>
            <w:vAlign w:val="center"/>
          </w:tcPr>
          <w:p w14:paraId="5A40E0F2">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31500 </w:t>
            </w:r>
          </w:p>
        </w:tc>
      </w:tr>
      <w:tr w14:paraId="3CE3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B9604A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53CF98C">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门卫室内地面铺装</w:t>
            </w:r>
          </w:p>
        </w:tc>
        <w:tc>
          <w:tcPr>
            <w:tcW w:w="372" w:type="pct"/>
            <w:noWrap/>
            <w:vAlign w:val="center"/>
          </w:tcPr>
          <w:p w14:paraId="7F3E2DE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0F73B9A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17</w:t>
            </w:r>
          </w:p>
        </w:tc>
        <w:tc>
          <w:tcPr>
            <w:tcW w:w="631" w:type="pct"/>
            <w:noWrap/>
            <w:vAlign w:val="center"/>
          </w:tcPr>
          <w:p w14:paraId="65A71C0E">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350</w:t>
            </w:r>
          </w:p>
        </w:tc>
        <w:tc>
          <w:tcPr>
            <w:tcW w:w="638" w:type="pct"/>
            <w:noWrap/>
            <w:vAlign w:val="center"/>
          </w:tcPr>
          <w:p w14:paraId="56EC28BD">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5950 </w:t>
            </w:r>
          </w:p>
        </w:tc>
      </w:tr>
      <w:tr w14:paraId="3D90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9E8FDA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4A5708CB">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门卫内墙粉刷</w:t>
            </w:r>
          </w:p>
        </w:tc>
        <w:tc>
          <w:tcPr>
            <w:tcW w:w="372" w:type="pct"/>
            <w:noWrap/>
            <w:vAlign w:val="center"/>
          </w:tcPr>
          <w:p w14:paraId="07F91E87">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7B14DF2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55</w:t>
            </w:r>
          </w:p>
        </w:tc>
        <w:tc>
          <w:tcPr>
            <w:tcW w:w="631" w:type="pct"/>
            <w:noWrap/>
            <w:vAlign w:val="center"/>
          </w:tcPr>
          <w:p w14:paraId="6AC1F19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100</w:t>
            </w:r>
          </w:p>
        </w:tc>
        <w:tc>
          <w:tcPr>
            <w:tcW w:w="638" w:type="pct"/>
            <w:noWrap/>
            <w:vAlign w:val="center"/>
          </w:tcPr>
          <w:p w14:paraId="2D5F56C6">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5500 </w:t>
            </w:r>
          </w:p>
        </w:tc>
      </w:tr>
      <w:tr w14:paraId="21A8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62EC8A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7BD57CD8">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门卫顶棚粉刷</w:t>
            </w:r>
          </w:p>
        </w:tc>
        <w:tc>
          <w:tcPr>
            <w:tcW w:w="372" w:type="pct"/>
            <w:noWrap/>
            <w:vAlign w:val="center"/>
          </w:tcPr>
          <w:p w14:paraId="48236F2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126C927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46</w:t>
            </w:r>
          </w:p>
        </w:tc>
        <w:tc>
          <w:tcPr>
            <w:tcW w:w="631" w:type="pct"/>
            <w:noWrap/>
            <w:vAlign w:val="center"/>
          </w:tcPr>
          <w:p w14:paraId="6A3BFB3B">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120</w:t>
            </w:r>
          </w:p>
        </w:tc>
        <w:tc>
          <w:tcPr>
            <w:tcW w:w="638" w:type="pct"/>
            <w:noWrap/>
            <w:vAlign w:val="center"/>
          </w:tcPr>
          <w:p w14:paraId="1A21E705">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5520 </w:t>
            </w:r>
          </w:p>
        </w:tc>
      </w:tr>
      <w:tr w14:paraId="7592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53FC8BF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1A937F38">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入场铁艺大门拆除</w:t>
            </w:r>
          </w:p>
        </w:tc>
        <w:tc>
          <w:tcPr>
            <w:tcW w:w="372" w:type="pct"/>
            <w:noWrap/>
            <w:vAlign w:val="center"/>
          </w:tcPr>
          <w:p w14:paraId="2784490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18F3836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20</w:t>
            </w:r>
          </w:p>
        </w:tc>
        <w:tc>
          <w:tcPr>
            <w:tcW w:w="631" w:type="pct"/>
            <w:shd w:val="clear" w:color="000000" w:fill="FFFFFF"/>
            <w:noWrap/>
            <w:vAlign w:val="center"/>
          </w:tcPr>
          <w:p w14:paraId="51045CFB">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200</w:t>
            </w:r>
          </w:p>
        </w:tc>
        <w:tc>
          <w:tcPr>
            <w:tcW w:w="638" w:type="pct"/>
            <w:noWrap/>
            <w:vAlign w:val="center"/>
          </w:tcPr>
          <w:p w14:paraId="2F6FF83B">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4000 </w:t>
            </w:r>
          </w:p>
        </w:tc>
      </w:tr>
      <w:tr w14:paraId="40BD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69A49A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808041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更换铁艺大门</w:t>
            </w:r>
          </w:p>
        </w:tc>
        <w:tc>
          <w:tcPr>
            <w:tcW w:w="372" w:type="pct"/>
            <w:noWrap/>
            <w:vAlign w:val="center"/>
          </w:tcPr>
          <w:p w14:paraId="26922606">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4FC98015">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20</w:t>
            </w:r>
          </w:p>
        </w:tc>
        <w:tc>
          <w:tcPr>
            <w:tcW w:w="631" w:type="pct"/>
            <w:shd w:val="clear" w:color="000000" w:fill="FFFFFF"/>
            <w:noWrap/>
            <w:vAlign w:val="center"/>
          </w:tcPr>
          <w:p w14:paraId="00437F8C">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900</w:t>
            </w:r>
          </w:p>
        </w:tc>
        <w:tc>
          <w:tcPr>
            <w:tcW w:w="638" w:type="pct"/>
            <w:noWrap/>
            <w:vAlign w:val="center"/>
          </w:tcPr>
          <w:p w14:paraId="3880D023">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18000 </w:t>
            </w:r>
          </w:p>
        </w:tc>
      </w:tr>
      <w:tr w14:paraId="25A3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4648D78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73816634">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372" w:type="pct"/>
            <w:noWrap/>
            <w:vAlign w:val="center"/>
          </w:tcPr>
          <w:p w14:paraId="463AC50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vAlign w:val="center"/>
          </w:tcPr>
          <w:p w14:paraId="57A4E220">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6B83BDE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3818AC9E">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r>
      <w:tr w14:paraId="1A2A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B2A3C8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2.2</w:t>
            </w:r>
          </w:p>
        </w:tc>
        <w:tc>
          <w:tcPr>
            <w:tcW w:w="2501" w:type="pct"/>
            <w:shd w:val="clear" w:color="000000" w:fill="FFFFFF"/>
            <w:vAlign w:val="center"/>
          </w:tcPr>
          <w:p w14:paraId="1E613EFF">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室外工程</w:t>
            </w:r>
          </w:p>
        </w:tc>
        <w:tc>
          <w:tcPr>
            <w:tcW w:w="372" w:type="pct"/>
            <w:noWrap/>
            <w:vAlign w:val="center"/>
          </w:tcPr>
          <w:p w14:paraId="13BA6D6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vAlign w:val="center"/>
          </w:tcPr>
          <w:p w14:paraId="72045EDC">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2CB81895">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2D93CCF1">
            <w:pPr>
              <w:adjustRightInd/>
              <w:jc w:val="right"/>
              <w:rPr>
                <w:rFonts w:hint="eastAsia" w:asciiTheme="minorEastAsia" w:hAnsiTheme="minorEastAsia" w:eastAsiaTheme="minorEastAsia" w:cstheme="minorEastAsia"/>
                <w:color w:val="auto"/>
                <w:kern w:val="0"/>
                <w:sz w:val="24"/>
              </w:rPr>
            </w:pPr>
          </w:p>
        </w:tc>
      </w:tr>
      <w:tr w14:paraId="141E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5BE60D1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shd w:val="clear" w:color="000000" w:fill="FFFFFF"/>
            <w:vAlign w:val="center"/>
          </w:tcPr>
          <w:p w14:paraId="2391D5B9">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破旧段围墙拆除</w:t>
            </w:r>
          </w:p>
        </w:tc>
        <w:tc>
          <w:tcPr>
            <w:tcW w:w="372" w:type="pct"/>
            <w:noWrap/>
            <w:vAlign w:val="center"/>
          </w:tcPr>
          <w:p w14:paraId="2CC0D8E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r>
              <w:rPr>
                <w:rFonts w:hint="eastAsia" w:asciiTheme="minorEastAsia" w:hAnsiTheme="minorEastAsia" w:eastAsiaTheme="minorEastAsia" w:cstheme="minorEastAsia"/>
                <w:color w:val="auto"/>
                <w:kern w:val="0"/>
                <w:sz w:val="24"/>
                <w:vertAlign w:val="superscript"/>
              </w:rPr>
              <w:t>3</w:t>
            </w:r>
          </w:p>
        </w:tc>
        <w:tc>
          <w:tcPr>
            <w:tcW w:w="438" w:type="pct"/>
            <w:vAlign w:val="center"/>
          </w:tcPr>
          <w:p w14:paraId="7D4EB0D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w:t>
            </w:r>
          </w:p>
        </w:tc>
        <w:tc>
          <w:tcPr>
            <w:tcW w:w="631" w:type="pct"/>
            <w:vAlign w:val="center"/>
          </w:tcPr>
          <w:p w14:paraId="4EE349E0">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118</w:t>
            </w:r>
          </w:p>
        </w:tc>
        <w:tc>
          <w:tcPr>
            <w:tcW w:w="638" w:type="pct"/>
            <w:noWrap/>
            <w:vAlign w:val="center"/>
          </w:tcPr>
          <w:p w14:paraId="0095F683">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4248 </w:t>
            </w:r>
          </w:p>
        </w:tc>
      </w:tr>
      <w:tr w14:paraId="6641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90A81D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shd w:val="clear" w:color="000000" w:fill="FFFFFF"/>
            <w:vAlign w:val="center"/>
          </w:tcPr>
          <w:p w14:paraId="2325413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砖砌围墙重建</w:t>
            </w:r>
          </w:p>
        </w:tc>
        <w:tc>
          <w:tcPr>
            <w:tcW w:w="372" w:type="pct"/>
            <w:noWrap/>
            <w:vAlign w:val="center"/>
          </w:tcPr>
          <w:p w14:paraId="674373C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r>
              <w:rPr>
                <w:rFonts w:hint="eastAsia" w:asciiTheme="minorEastAsia" w:hAnsiTheme="minorEastAsia" w:eastAsiaTheme="minorEastAsia" w:cstheme="minorEastAsia"/>
                <w:color w:val="auto"/>
                <w:kern w:val="0"/>
                <w:sz w:val="24"/>
                <w:vertAlign w:val="superscript"/>
              </w:rPr>
              <w:t>3</w:t>
            </w:r>
          </w:p>
        </w:tc>
        <w:tc>
          <w:tcPr>
            <w:tcW w:w="438" w:type="pct"/>
            <w:vAlign w:val="center"/>
          </w:tcPr>
          <w:p w14:paraId="21BD9E3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w:t>
            </w:r>
          </w:p>
        </w:tc>
        <w:tc>
          <w:tcPr>
            <w:tcW w:w="631" w:type="pct"/>
            <w:vAlign w:val="center"/>
          </w:tcPr>
          <w:p w14:paraId="026B86A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441</w:t>
            </w:r>
          </w:p>
        </w:tc>
        <w:tc>
          <w:tcPr>
            <w:tcW w:w="638" w:type="pct"/>
            <w:noWrap/>
            <w:vAlign w:val="center"/>
          </w:tcPr>
          <w:p w14:paraId="7219E3B3">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15876 </w:t>
            </w:r>
          </w:p>
        </w:tc>
      </w:tr>
      <w:tr w14:paraId="3494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DD5CFA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shd w:val="clear" w:color="000000" w:fill="FFFFFF"/>
            <w:vAlign w:val="center"/>
          </w:tcPr>
          <w:p w14:paraId="3E8B42FB">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围墙压顶瓦</w:t>
            </w:r>
          </w:p>
        </w:tc>
        <w:tc>
          <w:tcPr>
            <w:tcW w:w="372" w:type="pct"/>
            <w:noWrap/>
            <w:vAlign w:val="center"/>
          </w:tcPr>
          <w:p w14:paraId="7F957BC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r>
              <w:rPr>
                <w:rFonts w:hint="eastAsia" w:asciiTheme="minorEastAsia" w:hAnsiTheme="minorEastAsia" w:eastAsiaTheme="minorEastAsia" w:cstheme="minorEastAsia"/>
                <w:color w:val="auto"/>
                <w:kern w:val="0"/>
                <w:sz w:val="24"/>
                <w:vertAlign w:val="superscript"/>
              </w:rPr>
              <w:t>2</w:t>
            </w:r>
          </w:p>
        </w:tc>
        <w:tc>
          <w:tcPr>
            <w:tcW w:w="438" w:type="pct"/>
            <w:vAlign w:val="center"/>
          </w:tcPr>
          <w:p w14:paraId="24BBB23B">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101</w:t>
            </w:r>
          </w:p>
        </w:tc>
        <w:tc>
          <w:tcPr>
            <w:tcW w:w="631" w:type="pct"/>
            <w:vAlign w:val="center"/>
          </w:tcPr>
          <w:p w14:paraId="4FB148F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180</w:t>
            </w:r>
          </w:p>
        </w:tc>
        <w:tc>
          <w:tcPr>
            <w:tcW w:w="638" w:type="pct"/>
            <w:noWrap/>
            <w:vAlign w:val="center"/>
          </w:tcPr>
          <w:p w14:paraId="5F49FDA8">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18180 </w:t>
            </w:r>
          </w:p>
        </w:tc>
      </w:tr>
      <w:tr w14:paraId="2EEC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51E8427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shd w:val="clear" w:color="000000" w:fill="FFFFFF"/>
            <w:vAlign w:val="center"/>
          </w:tcPr>
          <w:p w14:paraId="564BB6CF">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围墙刷外墙涂料</w:t>
            </w:r>
          </w:p>
        </w:tc>
        <w:tc>
          <w:tcPr>
            <w:tcW w:w="372" w:type="pct"/>
            <w:noWrap/>
            <w:vAlign w:val="center"/>
          </w:tcPr>
          <w:p w14:paraId="31B117A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r>
              <w:rPr>
                <w:rFonts w:hint="eastAsia" w:asciiTheme="minorEastAsia" w:hAnsiTheme="minorEastAsia" w:eastAsiaTheme="minorEastAsia" w:cstheme="minorEastAsia"/>
                <w:color w:val="auto"/>
                <w:kern w:val="0"/>
                <w:sz w:val="24"/>
                <w:vertAlign w:val="superscript"/>
              </w:rPr>
              <w:t>2</w:t>
            </w:r>
          </w:p>
        </w:tc>
        <w:tc>
          <w:tcPr>
            <w:tcW w:w="438" w:type="pct"/>
            <w:vAlign w:val="center"/>
          </w:tcPr>
          <w:p w14:paraId="71E4AC6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504</w:t>
            </w:r>
          </w:p>
        </w:tc>
        <w:tc>
          <w:tcPr>
            <w:tcW w:w="631" w:type="pct"/>
            <w:vAlign w:val="center"/>
          </w:tcPr>
          <w:p w14:paraId="6CB672E9">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70</w:t>
            </w:r>
          </w:p>
        </w:tc>
        <w:tc>
          <w:tcPr>
            <w:tcW w:w="638" w:type="pct"/>
            <w:noWrap/>
            <w:vAlign w:val="center"/>
          </w:tcPr>
          <w:p w14:paraId="2E6334C7">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35280 </w:t>
            </w:r>
          </w:p>
        </w:tc>
      </w:tr>
      <w:tr w14:paraId="404A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44A736E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5DF2BEF2">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372" w:type="pct"/>
            <w:noWrap/>
            <w:vAlign w:val="center"/>
          </w:tcPr>
          <w:p w14:paraId="4494212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vAlign w:val="center"/>
          </w:tcPr>
          <w:p w14:paraId="01C7D951">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6AE8A23C">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79A4BF4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r>
      <w:tr w14:paraId="341A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0681D5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w:t>
            </w:r>
          </w:p>
        </w:tc>
        <w:tc>
          <w:tcPr>
            <w:tcW w:w="2501" w:type="pct"/>
            <w:noWrap/>
            <w:vAlign w:val="center"/>
          </w:tcPr>
          <w:p w14:paraId="0539ECFF">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三级电站</w:t>
            </w:r>
          </w:p>
        </w:tc>
        <w:tc>
          <w:tcPr>
            <w:tcW w:w="372" w:type="pct"/>
            <w:noWrap/>
            <w:vAlign w:val="center"/>
          </w:tcPr>
          <w:p w14:paraId="1A459F1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7BF4445C">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64EF80EB">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5331AF2E">
            <w:pPr>
              <w:adjustRightInd/>
              <w:jc w:val="right"/>
              <w:rPr>
                <w:rFonts w:hint="eastAsia" w:asciiTheme="minorEastAsia" w:hAnsiTheme="minorEastAsia" w:eastAsiaTheme="minorEastAsia" w:cstheme="minorEastAsia"/>
                <w:color w:val="auto"/>
                <w:kern w:val="0"/>
                <w:sz w:val="24"/>
              </w:rPr>
            </w:pPr>
          </w:p>
        </w:tc>
      </w:tr>
      <w:tr w14:paraId="29A9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343E28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3.1</w:t>
            </w:r>
          </w:p>
        </w:tc>
        <w:tc>
          <w:tcPr>
            <w:tcW w:w="2501" w:type="pct"/>
            <w:noWrap/>
            <w:vAlign w:val="center"/>
          </w:tcPr>
          <w:p w14:paraId="0E5692C4">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电站改造</w:t>
            </w:r>
          </w:p>
        </w:tc>
        <w:tc>
          <w:tcPr>
            <w:tcW w:w="372" w:type="pct"/>
            <w:noWrap/>
            <w:vAlign w:val="center"/>
          </w:tcPr>
          <w:p w14:paraId="2A49196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515F969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5B20544D">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024EF215">
            <w:pPr>
              <w:adjustRightInd/>
              <w:jc w:val="right"/>
              <w:rPr>
                <w:rFonts w:hint="eastAsia" w:asciiTheme="minorEastAsia" w:hAnsiTheme="minorEastAsia" w:eastAsiaTheme="minorEastAsia" w:cstheme="minorEastAsia"/>
                <w:color w:val="auto"/>
                <w:kern w:val="0"/>
                <w:sz w:val="24"/>
              </w:rPr>
            </w:pPr>
          </w:p>
        </w:tc>
      </w:tr>
      <w:tr w14:paraId="18EB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ECBCA3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1B194572">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外墙清洗粉刷</w:t>
            </w:r>
          </w:p>
        </w:tc>
        <w:tc>
          <w:tcPr>
            <w:tcW w:w="372" w:type="pct"/>
            <w:noWrap/>
            <w:vAlign w:val="center"/>
          </w:tcPr>
          <w:p w14:paraId="3389F95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4F301B2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616</w:t>
            </w:r>
          </w:p>
        </w:tc>
        <w:tc>
          <w:tcPr>
            <w:tcW w:w="631" w:type="pct"/>
            <w:noWrap/>
            <w:vAlign w:val="center"/>
          </w:tcPr>
          <w:p w14:paraId="038FAEF9">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300</w:t>
            </w:r>
          </w:p>
        </w:tc>
        <w:tc>
          <w:tcPr>
            <w:tcW w:w="638" w:type="pct"/>
            <w:noWrap/>
            <w:vAlign w:val="center"/>
          </w:tcPr>
          <w:p w14:paraId="3A383237">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184800 </w:t>
            </w:r>
          </w:p>
        </w:tc>
      </w:tr>
      <w:tr w14:paraId="4405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4BBE1CA">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06D1D063">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更换门窗</w:t>
            </w:r>
          </w:p>
        </w:tc>
        <w:tc>
          <w:tcPr>
            <w:tcW w:w="372" w:type="pct"/>
            <w:noWrap/>
            <w:vAlign w:val="center"/>
          </w:tcPr>
          <w:p w14:paraId="3A341CD0">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7C422FE6">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82</w:t>
            </w:r>
          </w:p>
        </w:tc>
        <w:tc>
          <w:tcPr>
            <w:tcW w:w="631" w:type="pct"/>
            <w:noWrap/>
            <w:vAlign w:val="center"/>
          </w:tcPr>
          <w:p w14:paraId="123490AE">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850</w:t>
            </w:r>
          </w:p>
        </w:tc>
        <w:tc>
          <w:tcPr>
            <w:tcW w:w="638" w:type="pct"/>
            <w:noWrap/>
            <w:vAlign w:val="center"/>
          </w:tcPr>
          <w:p w14:paraId="059F1C16">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69700 </w:t>
            </w:r>
          </w:p>
        </w:tc>
      </w:tr>
      <w:tr w14:paraId="3F8D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49B153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1C88BBA4">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更换金属卷帘门</w:t>
            </w:r>
          </w:p>
        </w:tc>
        <w:tc>
          <w:tcPr>
            <w:tcW w:w="372" w:type="pct"/>
            <w:noWrap/>
            <w:vAlign w:val="center"/>
          </w:tcPr>
          <w:p w14:paraId="449336F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5EB0073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12</w:t>
            </w:r>
          </w:p>
        </w:tc>
        <w:tc>
          <w:tcPr>
            <w:tcW w:w="631" w:type="pct"/>
            <w:shd w:val="clear" w:color="000000" w:fill="FFFFFF"/>
            <w:noWrap/>
            <w:vAlign w:val="center"/>
          </w:tcPr>
          <w:p w14:paraId="22114A8E">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500</w:t>
            </w:r>
          </w:p>
        </w:tc>
        <w:tc>
          <w:tcPr>
            <w:tcW w:w="638" w:type="pct"/>
            <w:noWrap/>
            <w:vAlign w:val="center"/>
          </w:tcPr>
          <w:p w14:paraId="0C65FC4F">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6000 </w:t>
            </w:r>
          </w:p>
        </w:tc>
      </w:tr>
      <w:tr w14:paraId="2682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5A66AD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7C5DB17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外墙破损修补</w:t>
            </w:r>
          </w:p>
        </w:tc>
        <w:tc>
          <w:tcPr>
            <w:tcW w:w="372" w:type="pct"/>
            <w:noWrap/>
            <w:vAlign w:val="center"/>
          </w:tcPr>
          <w:p w14:paraId="316E09A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657458C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185</w:t>
            </w:r>
          </w:p>
        </w:tc>
        <w:tc>
          <w:tcPr>
            <w:tcW w:w="631" w:type="pct"/>
            <w:noWrap/>
            <w:vAlign w:val="center"/>
          </w:tcPr>
          <w:p w14:paraId="3B7F9F3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90</w:t>
            </w:r>
          </w:p>
        </w:tc>
        <w:tc>
          <w:tcPr>
            <w:tcW w:w="638" w:type="pct"/>
            <w:noWrap/>
            <w:vAlign w:val="center"/>
          </w:tcPr>
          <w:p w14:paraId="2A0BECA7">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16650 </w:t>
            </w:r>
          </w:p>
        </w:tc>
      </w:tr>
      <w:tr w14:paraId="14C1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BD4D7B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2F6521F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屋面防水</w:t>
            </w:r>
          </w:p>
        </w:tc>
        <w:tc>
          <w:tcPr>
            <w:tcW w:w="372" w:type="pct"/>
            <w:noWrap/>
            <w:vAlign w:val="center"/>
          </w:tcPr>
          <w:p w14:paraId="55D4AC1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5ADBB4E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424</w:t>
            </w:r>
          </w:p>
        </w:tc>
        <w:tc>
          <w:tcPr>
            <w:tcW w:w="631" w:type="pct"/>
            <w:noWrap/>
            <w:vAlign w:val="center"/>
          </w:tcPr>
          <w:p w14:paraId="39B77F4C">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100</w:t>
            </w:r>
          </w:p>
        </w:tc>
        <w:tc>
          <w:tcPr>
            <w:tcW w:w="638" w:type="pct"/>
            <w:noWrap/>
            <w:vAlign w:val="center"/>
          </w:tcPr>
          <w:p w14:paraId="4F9B52BC">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42400 </w:t>
            </w:r>
          </w:p>
        </w:tc>
      </w:tr>
      <w:tr w14:paraId="2957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D7F7C2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4ECBA0BD">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内墙粉刷</w:t>
            </w:r>
          </w:p>
        </w:tc>
        <w:tc>
          <w:tcPr>
            <w:tcW w:w="372" w:type="pct"/>
            <w:noWrap/>
            <w:vAlign w:val="center"/>
          </w:tcPr>
          <w:p w14:paraId="74E25D2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2B1BBF77">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500</w:t>
            </w:r>
          </w:p>
        </w:tc>
        <w:tc>
          <w:tcPr>
            <w:tcW w:w="631" w:type="pct"/>
            <w:noWrap/>
            <w:vAlign w:val="center"/>
          </w:tcPr>
          <w:p w14:paraId="628CF119">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100</w:t>
            </w:r>
          </w:p>
        </w:tc>
        <w:tc>
          <w:tcPr>
            <w:tcW w:w="638" w:type="pct"/>
            <w:noWrap/>
            <w:vAlign w:val="center"/>
          </w:tcPr>
          <w:p w14:paraId="540A471D">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50000 </w:t>
            </w:r>
          </w:p>
        </w:tc>
      </w:tr>
      <w:tr w14:paraId="4AD2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AB8CCB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6E932308">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顶棚粉刷</w:t>
            </w:r>
          </w:p>
        </w:tc>
        <w:tc>
          <w:tcPr>
            <w:tcW w:w="372" w:type="pct"/>
            <w:noWrap/>
            <w:vAlign w:val="center"/>
          </w:tcPr>
          <w:p w14:paraId="1DB3E8D6">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19F82832">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366</w:t>
            </w:r>
          </w:p>
        </w:tc>
        <w:tc>
          <w:tcPr>
            <w:tcW w:w="631" w:type="pct"/>
            <w:noWrap/>
            <w:vAlign w:val="center"/>
          </w:tcPr>
          <w:p w14:paraId="602AC075">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120</w:t>
            </w:r>
          </w:p>
        </w:tc>
        <w:tc>
          <w:tcPr>
            <w:tcW w:w="638" w:type="pct"/>
            <w:noWrap/>
            <w:vAlign w:val="center"/>
          </w:tcPr>
          <w:p w14:paraId="63262E7B">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43920 </w:t>
            </w:r>
          </w:p>
        </w:tc>
      </w:tr>
      <w:tr w14:paraId="06A3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6577E4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1593682C">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地面铺装</w:t>
            </w:r>
          </w:p>
        </w:tc>
        <w:tc>
          <w:tcPr>
            <w:tcW w:w="372" w:type="pct"/>
            <w:noWrap/>
            <w:vAlign w:val="center"/>
          </w:tcPr>
          <w:p w14:paraId="53100A7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296E770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300</w:t>
            </w:r>
          </w:p>
        </w:tc>
        <w:tc>
          <w:tcPr>
            <w:tcW w:w="631" w:type="pct"/>
            <w:noWrap/>
            <w:vAlign w:val="center"/>
          </w:tcPr>
          <w:p w14:paraId="0DDA4FA5">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350</w:t>
            </w:r>
          </w:p>
        </w:tc>
        <w:tc>
          <w:tcPr>
            <w:tcW w:w="638" w:type="pct"/>
            <w:noWrap/>
            <w:vAlign w:val="center"/>
          </w:tcPr>
          <w:p w14:paraId="0B2E3494">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105000 </w:t>
            </w:r>
          </w:p>
        </w:tc>
      </w:tr>
      <w:tr w14:paraId="3537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51CD447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4AC8BC3C">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新增硅钙板吊顶</w:t>
            </w:r>
          </w:p>
        </w:tc>
        <w:tc>
          <w:tcPr>
            <w:tcW w:w="372" w:type="pct"/>
            <w:noWrap/>
            <w:vAlign w:val="center"/>
          </w:tcPr>
          <w:p w14:paraId="11EA215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5E0CD9E5">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99</w:t>
            </w:r>
          </w:p>
        </w:tc>
        <w:tc>
          <w:tcPr>
            <w:tcW w:w="631" w:type="pct"/>
            <w:noWrap/>
            <w:vAlign w:val="center"/>
          </w:tcPr>
          <w:p w14:paraId="2E100C3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680</w:t>
            </w:r>
          </w:p>
        </w:tc>
        <w:tc>
          <w:tcPr>
            <w:tcW w:w="638" w:type="pct"/>
            <w:noWrap/>
            <w:vAlign w:val="center"/>
          </w:tcPr>
          <w:p w14:paraId="38B28F80">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67320 </w:t>
            </w:r>
          </w:p>
        </w:tc>
      </w:tr>
      <w:tr w14:paraId="4F41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3CB28CC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28D0AE61">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新增防静电地板</w:t>
            </w:r>
          </w:p>
        </w:tc>
        <w:tc>
          <w:tcPr>
            <w:tcW w:w="372" w:type="pct"/>
            <w:noWrap/>
            <w:vAlign w:val="center"/>
          </w:tcPr>
          <w:p w14:paraId="68BE762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6DC7E23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66</w:t>
            </w:r>
          </w:p>
        </w:tc>
        <w:tc>
          <w:tcPr>
            <w:tcW w:w="631" w:type="pct"/>
            <w:noWrap/>
            <w:vAlign w:val="center"/>
          </w:tcPr>
          <w:p w14:paraId="283DC08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144</w:t>
            </w:r>
          </w:p>
        </w:tc>
        <w:tc>
          <w:tcPr>
            <w:tcW w:w="638" w:type="pct"/>
            <w:noWrap/>
            <w:vAlign w:val="center"/>
          </w:tcPr>
          <w:p w14:paraId="640FDA93">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9504 </w:t>
            </w:r>
          </w:p>
        </w:tc>
      </w:tr>
      <w:tr w14:paraId="53C4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1F2FC0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1BAC36D">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副厂房隔墙拆除（240墙）</w:t>
            </w:r>
          </w:p>
        </w:tc>
        <w:tc>
          <w:tcPr>
            <w:tcW w:w="372" w:type="pct"/>
            <w:noWrap/>
            <w:vAlign w:val="center"/>
          </w:tcPr>
          <w:p w14:paraId="64E7F93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3251DF1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25</w:t>
            </w:r>
          </w:p>
        </w:tc>
        <w:tc>
          <w:tcPr>
            <w:tcW w:w="631" w:type="pct"/>
            <w:noWrap/>
            <w:vAlign w:val="center"/>
          </w:tcPr>
          <w:p w14:paraId="09E97E0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150</w:t>
            </w:r>
          </w:p>
        </w:tc>
        <w:tc>
          <w:tcPr>
            <w:tcW w:w="638" w:type="pct"/>
            <w:noWrap/>
            <w:vAlign w:val="center"/>
          </w:tcPr>
          <w:p w14:paraId="5D95B819">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3750 </w:t>
            </w:r>
          </w:p>
        </w:tc>
      </w:tr>
      <w:tr w14:paraId="0EA3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36B62B2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05A28E01">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副厂房隔墙（240墙，含双面粉刷）</w:t>
            </w:r>
          </w:p>
        </w:tc>
        <w:tc>
          <w:tcPr>
            <w:tcW w:w="372" w:type="pct"/>
            <w:noWrap/>
            <w:vAlign w:val="center"/>
          </w:tcPr>
          <w:p w14:paraId="482E622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36775472">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25</w:t>
            </w:r>
          </w:p>
        </w:tc>
        <w:tc>
          <w:tcPr>
            <w:tcW w:w="631" w:type="pct"/>
            <w:noWrap/>
            <w:vAlign w:val="center"/>
          </w:tcPr>
          <w:p w14:paraId="1AEF65B2">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350</w:t>
            </w:r>
          </w:p>
        </w:tc>
        <w:tc>
          <w:tcPr>
            <w:tcW w:w="638" w:type="pct"/>
            <w:noWrap/>
            <w:vAlign w:val="center"/>
          </w:tcPr>
          <w:p w14:paraId="6D1D0DB1">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8750 </w:t>
            </w:r>
          </w:p>
        </w:tc>
      </w:tr>
      <w:tr w14:paraId="049B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4838F2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661847F9">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拆除原卫生间瓷砖地面</w:t>
            </w:r>
          </w:p>
        </w:tc>
        <w:tc>
          <w:tcPr>
            <w:tcW w:w="372" w:type="pct"/>
            <w:noWrap/>
            <w:vAlign w:val="center"/>
          </w:tcPr>
          <w:p w14:paraId="4C8E161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01F33DA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w:t>
            </w:r>
          </w:p>
        </w:tc>
        <w:tc>
          <w:tcPr>
            <w:tcW w:w="631" w:type="pct"/>
            <w:noWrap/>
            <w:vAlign w:val="center"/>
          </w:tcPr>
          <w:p w14:paraId="6B906DA7">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80</w:t>
            </w:r>
          </w:p>
        </w:tc>
        <w:tc>
          <w:tcPr>
            <w:tcW w:w="638" w:type="pct"/>
            <w:noWrap/>
            <w:vAlign w:val="center"/>
          </w:tcPr>
          <w:p w14:paraId="1ECB9EE7">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800 </w:t>
            </w:r>
          </w:p>
        </w:tc>
      </w:tr>
      <w:tr w14:paraId="42A9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4FFAD8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FB1E6A5">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新增卫生间防水瓷砖地面</w:t>
            </w:r>
          </w:p>
        </w:tc>
        <w:tc>
          <w:tcPr>
            <w:tcW w:w="372" w:type="pct"/>
            <w:noWrap/>
            <w:vAlign w:val="center"/>
          </w:tcPr>
          <w:p w14:paraId="26EA1B6A">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7E2A7251">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w:t>
            </w:r>
          </w:p>
        </w:tc>
        <w:tc>
          <w:tcPr>
            <w:tcW w:w="631" w:type="pct"/>
            <w:noWrap/>
            <w:vAlign w:val="center"/>
          </w:tcPr>
          <w:p w14:paraId="3D70923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54</w:t>
            </w:r>
          </w:p>
        </w:tc>
        <w:tc>
          <w:tcPr>
            <w:tcW w:w="638" w:type="pct"/>
            <w:noWrap/>
            <w:vAlign w:val="center"/>
          </w:tcPr>
          <w:p w14:paraId="22A58346">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540 </w:t>
            </w:r>
          </w:p>
        </w:tc>
      </w:tr>
      <w:tr w14:paraId="3535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8E7E41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432707A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拆除原卫生间瓷砖墙面</w:t>
            </w:r>
          </w:p>
        </w:tc>
        <w:tc>
          <w:tcPr>
            <w:tcW w:w="372" w:type="pct"/>
            <w:noWrap/>
            <w:vAlign w:val="center"/>
          </w:tcPr>
          <w:p w14:paraId="4B5D405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537A766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80</w:t>
            </w:r>
          </w:p>
        </w:tc>
        <w:tc>
          <w:tcPr>
            <w:tcW w:w="631" w:type="pct"/>
            <w:noWrap/>
            <w:vAlign w:val="center"/>
          </w:tcPr>
          <w:p w14:paraId="1C1CAEE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80</w:t>
            </w:r>
          </w:p>
        </w:tc>
        <w:tc>
          <w:tcPr>
            <w:tcW w:w="638" w:type="pct"/>
            <w:noWrap/>
            <w:vAlign w:val="center"/>
          </w:tcPr>
          <w:p w14:paraId="136F7059">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6400 </w:t>
            </w:r>
          </w:p>
        </w:tc>
      </w:tr>
      <w:tr w14:paraId="2008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C116A3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7325CEF9">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新增卫生间防水瓷砖墙面</w:t>
            </w:r>
          </w:p>
        </w:tc>
        <w:tc>
          <w:tcPr>
            <w:tcW w:w="372" w:type="pct"/>
            <w:noWrap/>
            <w:vAlign w:val="center"/>
          </w:tcPr>
          <w:p w14:paraId="0C82097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73B0E59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80</w:t>
            </w:r>
          </w:p>
        </w:tc>
        <w:tc>
          <w:tcPr>
            <w:tcW w:w="631" w:type="pct"/>
            <w:noWrap/>
            <w:vAlign w:val="center"/>
          </w:tcPr>
          <w:p w14:paraId="64643B1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54</w:t>
            </w:r>
          </w:p>
        </w:tc>
        <w:tc>
          <w:tcPr>
            <w:tcW w:w="638" w:type="pct"/>
            <w:noWrap/>
            <w:vAlign w:val="center"/>
          </w:tcPr>
          <w:p w14:paraId="743B3FB6">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4320 </w:t>
            </w:r>
          </w:p>
        </w:tc>
      </w:tr>
      <w:tr w14:paraId="19E0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0F2C577">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2C8E6529">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新增卫生间铝板吊顶</w:t>
            </w:r>
          </w:p>
        </w:tc>
        <w:tc>
          <w:tcPr>
            <w:tcW w:w="372" w:type="pct"/>
            <w:noWrap/>
            <w:vAlign w:val="center"/>
          </w:tcPr>
          <w:p w14:paraId="6DCBA45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386CA4A1">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w:t>
            </w:r>
          </w:p>
        </w:tc>
        <w:tc>
          <w:tcPr>
            <w:tcW w:w="631" w:type="pct"/>
            <w:noWrap/>
            <w:vAlign w:val="center"/>
          </w:tcPr>
          <w:p w14:paraId="3AF47441">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100</w:t>
            </w:r>
          </w:p>
        </w:tc>
        <w:tc>
          <w:tcPr>
            <w:tcW w:w="638" w:type="pct"/>
            <w:noWrap/>
            <w:vAlign w:val="center"/>
          </w:tcPr>
          <w:p w14:paraId="4F1CAB31">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1000 </w:t>
            </w:r>
          </w:p>
        </w:tc>
      </w:tr>
      <w:tr w14:paraId="0474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7" w:type="pct"/>
            <w:noWrap/>
            <w:vAlign w:val="center"/>
          </w:tcPr>
          <w:p w14:paraId="4FA49CA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vAlign w:val="center"/>
          </w:tcPr>
          <w:p w14:paraId="791B88DD">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洁具换新（马桶，洗手盆，淋浴喷头，地漏）</w:t>
            </w:r>
          </w:p>
        </w:tc>
        <w:tc>
          <w:tcPr>
            <w:tcW w:w="372" w:type="pct"/>
            <w:noWrap/>
            <w:vAlign w:val="center"/>
          </w:tcPr>
          <w:p w14:paraId="305E755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个</w:t>
            </w:r>
          </w:p>
        </w:tc>
        <w:tc>
          <w:tcPr>
            <w:tcW w:w="438" w:type="pct"/>
            <w:noWrap/>
            <w:vAlign w:val="center"/>
          </w:tcPr>
          <w:p w14:paraId="32C7F8D9">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p>
        </w:tc>
        <w:tc>
          <w:tcPr>
            <w:tcW w:w="631" w:type="pct"/>
            <w:noWrap/>
            <w:vAlign w:val="center"/>
          </w:tcPr>
          <w:p w14:paraId="3CA274CC">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4500</w:t>
            </w:r>
          </w:p>
        </w:tc>
        <w:tc>
          <w:tcPr>
            <w:tcW w:w="638" w:type="pct"/>
            <w:noWrap/>
            <w:vAlign w:val="center"/>
          </w:tcPr>
          <w:p w14:paraId="3F679964">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4500 </w:t>
            </w:r>
          </w:p>
        </w:tc>
      </w:tr>
      <w:tr w14:paraId="3317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F6017E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24815CE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372" w:type="pct"/>
            <w:noWrap/>
            <w:vAlign w:val="center"/>
          </w:tcPr>
          <w:p w14:paraId="11D599B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4A775AEC">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5FE7EE3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5FAAB60E">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r>
      <w:tr w14:paraId="56D7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8D4100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3.2</w:t>
            </w:r>
          </w:p>
        </w:tc>
        <w:tc>
          <w:tcPr>
            <w:tcW w:w="2501" w:type="pct"/>
            <w:noWrap/>
            <w:vAlign w:val="center"/>
          </w:tcPr>
          <w:p w14:paraId="1A784D97">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主厂房</w:t>
            </w:r>
          </w:p>
        </w:tc>
        <w:tc>
          <w:tcPr>
            <w:tcW w:w="372" w:type="pct"/>
            <w:noWrap/>
            <w:vAlign w:val="center"/>
          </w:tcPr>
          <w:p w14:paraId="14455A4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43A5D12D">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4B5694B2">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53935957">
            <w:pPr>
              <w:adjustRightInd/>
              <w:jc w:val="right"/>
              <w:rPr>
                <w:rFonts w:hint="eastAsia" w:asciiTheme="minorEastAsia" w:hAnsiTheme="minorEastAsia" w:eastAsiaTheme="minorEastAsia" w:cstheme="minorEastAsia"/>
                <w:color w:val="auto"/>
                <w:kern w:val="0"/>
                <w:sz w:val="24"/>
              </w:rPr>
            </w:pPr>
          </w:p>
        </w:tc>
      </w:tr>
      <w:tr w14:paraId="223C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8302F8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0B9B8045">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钢筋混凝土切割</w:t>
            </w:r>
          </w:p>
        </w:tc>
        <w:tc>
          <w:tcPr>
            <w:tcW w:w="372" w:type="pct"/>
            <w:noWrap/>
            <w:vAlign w:val="center"/>
          </w:tcPr>
          <w:p w14:paraId="67949C1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4B3469E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46</w:t>
            </w:r>
          </w:p>
        </w:tc>
        <w:tc>
          <w:tcPr>
            <w:tcW w:w="631" w:type="pct"/>
            <w:noWrap/>
            <w:vAlign w:val="center"/>
          </w:tcPr>
          <w:p w14:paraId="34CFBD6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700</w:t>
            </w:r>
          </w:p>
        </w:tc>
        <w:tc>
          <w:tcPr>
            <w:tcW w:w="638" w:type="pct"/>
            <w:noWrap/>
            <w:vAlign w:val="center"/>
          </w:tcPr>
          <w:p w14:paraId="20A2D7C4">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32200 </w:t>
            </w:r>
          </w:p>
        </w:tc>
      </w:tr>
      <w:tr w14:paraId="5560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A9173C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91423F7">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混凝土凿毛</w:t>
            </w:r>
          </w:p>
        </w:tc>
        <w:tc>
          <w:tcPr>
            <w:tcW w:w="372" w:type="pct"/>
            <w:noWrap/>
            <w:vAlign w:val="center"/>
          </w:tcPr>
          <w:p w14:paraId="54B47FE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2B9B1A6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33</w:t>
            </w:r>
          </w:p>
        </w:tc>
        <w:tc>
          <w:tcPr>
            <w:tcW w:w="631" w:type="pct"/>
            <w:noWrap/>
            <w:vAlign w:val="center"/>
          </w:tcPr>
          <w:p w14:paraId="7850D3AE">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16.52</w:t>
            </w:r>
          </w:p>
        </w:tc>
        <w:tc>
          <w:tcPr>
            <w:tcW w:w="638" w:type="pct"/>
            <w:noWrap/>
            <w:vAlign w:val="center"/>
          </w:tcPr>
          <w:p w14:paraId="4FD5BA7D">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545 </w:t>
            </w:r>
          </w:p>
        </w:tc>
      </w:tr>
      <w:tr w14:paraId="35F5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7" w:type="pct"/>
            <w:noWrap/>
            <w:vAlign w:val="center"/>
          </w:tcPr>
          <w:p w14:paraId="64A095F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vAlign w:val="center"/>
          </w:tcPr>
          <w:p w14:paraId="7FA6FFDF">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C30W4F50微膨胀砼（膨胀剂掺量为水泥重量的8%）</w:t>
            </w:r>
          </w:p>
        </w:tc>
        <w:tc>
          <w:tcPr>
            <w:tcW w:w="372" w:type="pct"/>
            <w:noWrap/>
            <w:vAlign w:val="center"/>
          </w:tcPr>
          <w:p w14:paraId="44B2FC9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2191A40C">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46</w:t>
            </w:r>
          </w:p>
        </w:tc>
        <w:tc>
          <w:tcPr>
            <w:tcW w:w="631" w:type="pct"/>
            <w:noWrap/>
            <w:vAlign w:val="center"/>
          </w:tcPr>
          <w:p w14:paraId="6B4F1CC0">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914.96</w:t>
            </w:r>
          </w:p>
        </w:tc>
        <w:tc>
          <w:tcPr>
            <w:tcW w:w="638" w:type="pct"/>
            <w:noWrap/>
            <w:vAlign w:val="center"/>
          </w:tcPr>
          <w:p w14:paraId="550EDB06">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42088 </w:t>
            </w:r>
          </w:p>
        </w:tc>
      </w:tr>
      <w:tr w14:paraId="5E6F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015F6C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05A92137">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C30砼水泥砂浆（厚2cm）</w:t>
            </w:r>
          </w:p>
        </w:tc>
        <w:tc>
          <w:tcPr>
            <w:tcW w:w="372" w:type="pct"/>
            <w:noWrap/>
            <w:vAlign w:val="center"/>
          </w:tcPr>
          <w:p w14:paraId="446BE43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7A1E01E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p>
        </w:tc>
        <w:tc>
          <w:tcPr>
            <w:tcW w:w="631" w:type="pct"/>
            <w:noWrap/>
            <w:vAlign w:val="center"/>
          </w:tcPr>
          <w:p w14:paraId="6C3B7CB7">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457.48</w:t>
            </w:r>
          </w:p>
        </w:tc>
        <w:tc>
          <w:tcPr>
            <w:tcW w:w="638" w:type="pct"/>
            <w:noWrap/>
            <w:vAlign w:val="center"/>
          </w:tcPr>
          <w:p w14:paraId="412C601B">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457 </w:t>
            </w:r>
          </w:p>
        </w:tc>
      </w:tr>
      <w:tr w14:paraId="1F3A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234B50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B10F667">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SM-40无伸缩灌浆料</w:t>
            </w:r>
          </w:p>
        </w:tc>
        <w:tc>
          <w:tcPr>
            <w:tcW w:w="372" w:type="pct"/>
            <w:noWrap/>
            <w:vAlign w:val="center"/>
          </w:tcPr>
          <w:p w14:paraId="14C99DB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15B5681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p>
        </w:tc>
        <w:tc>
          <w:tcPr>
            <w:tcW w:w="631" w:type="pct"/>
            <w:noWrap/>
            <w:vAlign w:val="center"/>
          </w:tcPr>
          <w:p w14:paraId="6B6689E0">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2500</w:t>
            </w:r>
          </w:p>
        </w:tc>
        <w:tc>
          <w:tcPr>
            <w:tcW w:w="638" w:type="pct"/>
            <w:noWrap/>
            <w:vAlign w:val="center"/>
          </w:tcPr>
          <w:p w14:paraId="57C44292">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2500 </w:t>
            </w:r>
          </w:p>
        </w:tc>
      </w:tr>
      <w:tr w14:paraId="6622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BE35A4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4C0AE65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钢筋制安</w:t>
            </w:r>
          </w:p>
        </w:tc>
        <w:tc>
          <w:tcPr>
            <w:tcW w:w="372" w:type="pct"/>
            <w:noWrap/>
            <w:vAlign w:val="center"/>
          </w:tcPr>
          <w:p w14:paraId="5933EA0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t</w:t>
            </w:r>
          </w:p>
        </w:tc>
        <w:tc>
          <w:tcPr>
            <w:tcW w:w="438" w:type="pct"/>
            <w:noWrap/>
            <w:vAlign w:val="center"/>
          </w:tcPr>
          <w:p w14:paraId="37A50400">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w:t>
            </w:r>
          </w:p>
        </w:tc>
        <w:tc>
          <w:tcPr>
            <w:tcW w:w="631" w:type="pct"/>
            <w:noWrap/>
            <w:vAlign w:val="center"/>
          </w:tcPr>
          <w:p w14:paraId="50975375">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5957.45</w:t>
            </w:r>
          </w:p>
        </w:tc>
        <w:tc>
          <w:tcPr>
            <w:tcW w:w="638" w:type="pct"/>
            <w:noWrap/>
            <w:vAlign w:val="center"/>
          </w:tcPr>
          <w:p w14:paraId="58699914">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17872 </w:t>
            </w:r>
          </w:p>
        </w:tc>
      </w:tr>
      <w:tr w14:paraId="7818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5182380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0BAB74E7">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372" w:type="pct"/>
            <w:noWrap/>
            <w:vAlign w:val="center"/>
          </w:tcPr>
          <w:p w14:paraId="4BB0830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4D9F9DD3">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7F769246">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02D6737B">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r>
      <w:tr w14:paraId="1CE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E4E203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3.3</w:t>
            </w:r>
          </w:p>
        </w:tc>
        <w:tc>
          <w:tcPr>
            <w:tcW w:w="2501" w:type="pct"/>
            <w:noWrap/>
            <w:vAlign w:val="center"/>
          </w:tcPr>
          <w:p w14:paraId="46371614">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副厂房</w:t>
            </w:r>
          </w:p>
        </w:tc>
        <w:tc>
          <w:tcPr>
            <w:tcW w:w="372" w:type="pct"/>
            <w:noWrap/>
            <w:vAlign w:val="center"/>
          </w:tcPr>
          <w:p w14:paraId="4A56E25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0236251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72396BAB">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1FE4858C">
            <w:pPr>
              <w:adjustRightInd/>
              <w:jc w:val="right"/>
              <w:rPr>
                <w:rFonts w:hint="eastAsia" w:asciiTheme="minorEastAsia" w:hAnsiTheme="minorEastAsia" w:eastAsiaTheme="minorEastAsia" w:cstheme="minorEastAsia"/>
                <w:color w:val="auto"/>
                <w:kern w:val="0"/>
                <w:sz w:val="24"/>
              </w:rPr>
            </w:pPr>
          </w:p>
        </w:tc>
      </w:tr>
      <w:tr w14:paraId="54A3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473792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0CFAF761">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石渣开挖</w:t>
            </w:r>
          </w:p>
        </w:tc>
        <w:tc>
          <w:tcPr>
            <w:tcW w:w="372" w:type="pct"/>
            <w:noWrap/>
            <w:vAlign w:val="center"/>
          </w:tcPr>
          <w:p w14:paraId="12F0F89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417E779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50</w:t>
            </w:r>
          </w:p>
        </w:tc>
        <w:tc>
          <w:tcPr>
            <w:tcW w:w="631" w:type="pct"/>
            <w:noWrap/>
            <w:vAlign w:val="center"/>
          </w:tcPr>
          <w:p w14:paraId="2BBF1D3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4.44</w:t>
            </w:r>
          </w:p>
        </w:tc>
        <w:tc>
          <w:tcPr>
            <w:tcW w:w="638" w:type="pct"/>
            <w:noWrap/>
            <w:vAlign w:val="center"/>
          </w:tcPr>
          <w:p w14:paraId="5DD1CC9B">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222 </w:t>
            </w:r>
          </w:p>
        </w:tc>
      </w:tr>
      <w:tr w14:paraId="7F1C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688D04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19ABEAF9">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石渣回填</w:t>
            </w:r>
          </w:p>
        </w:tc>
        <w:tc>
          <w:tcPr>
            <w:tcW w:w="372" w:type="pct"/>
            <w:noWrap/>
            <w:vAlign w:val="center"/>
          </w:tcPr>
          <w:p w14:paraId="7362137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1492BC17">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41</w:t>
            </w:r>
          </w:p>
        </w:tc>
        <w:tc>
          <w:tcPr>
            <w:tcW w:w="631" w:type="pct"/>
            <w:noWrap/>
            <w:vAlign w:val="center"/>
          </w:tcPr>
          <w:p w14:paraId="5C4686C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8.72</w:t>
            </w:r>
          </w:p>
        </w:tc>
        <w:tc>
          <w:tcPr>
            <w:tcW w:w="638" w:type="pct"/>
            <w:noWrap/>
            <w:vAlign w:val="center"/>
          </w:tcPr>
          <w:p w14:paraId="18AEA5D8">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358 </w:t>
            </w:r>
          </w:p>
        </w:tc>
      </w:tr>
      <w:tr w14:paraId="7969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682958A">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2AAF7FE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C25砼电缆沟</w:t>
            </w:r>
          </w:p>
        </w:tc>
        <w:tc>
          <w:tcPr>
            <w:tcW w:w="372" w:type="pct"/>
            <w:noWrap/>
            <w:vAlign w:val="center"/>
          </w:tcPr>
          <w:p w14:paraId="29CAF100">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698C614B">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22</w:t>
            </w:r>
          </w:p>
        </w:tc>
        <w:tc>
          <w:tcPr>
            <w:tcW w:w="631" w:type="pct"/>
            <w:noWrap/>
            <w:vAlign w:val="center"/>
          </w:tcPr>
          <w:p w14:paraId="497D6159">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874.68</w:t>
            </w:r>
          </w:p>
        </w:tc>
        <w:tc>
          <w:tcPr>
            <w:tcW w:w="638" w:type="pct"/>
            <w:noWrap/>
            <w:vAlign w:val="center"/>
          </w:tcPr>
          <w:p w14:paraId="6A0C6AC5">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19243 </w:t>
            </w:r>
          </w:p>
        </w:tc>
      </w:tr>
      <w:tr w14:paraId="2113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4D3683E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F6FB70C">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C25F50砼电缆井（含盖板）</w:t>
            </w:r>
          </w:p>
        </w:tc>
        <w:tc>
          <w:tcPr>
            <w:tcW w:w="372" w:type="pct"/>
            <w:noWrap/>
            <w:vAlign w:val="center"/>
          </w:tcPr>
          <w:p w14:paraId="3BCE17A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6C6F639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w:t>
            </w:r>
          </w:p>
        </w:tc>
        <w:tc>
          <w:tcPr>
            <w:tcW w:w="631" w:type="pct"/>
            <w:noWrap/>
            <w:vAlign w:val="center"/>
          </w:tcPr>
          <w:p w14:paraId="084DBCCE">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874.68</w:t>
            </w:r>
          </w:p>
        </w:tc>
        <w:tc>
          <w:tcPr>
            <w:tcW w:w="638" w:type="pct"/>
            <w:noWrap/>
            <w:vAlign w:val="center"/>
          </w:tcPr>
          <w:p w14:paraId="2950EFFF">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1749 </w:t>
            </w:r>
          </w:p>
        </w:tc>
      </w:tr>
      <w:tr w14:paraId="717A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10DC7E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58BA0304">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C25砼垫层</w:t>
            </w:r>
          </w:p>
        </w:tc>
        <w:tc>
          <w:tcPr>
            <w:tcW w:w="372" w:type="pct"/>
            <w:noWrap/>
            <w:vAlign w:val="center"/>
          </w:tcPr>
          <w:p w14:paraId="73128917">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292232F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w:t>
            </w:r>
          </w:p>
        </w:tc>
        <w:tc>
          <w:tcPr>
            <w:tcW w:w="631" w:type="pct"/>
            <w:noWrap/>
            <w:vAlign w:val="center"/>
          </w:tcPr>
          <w:p w14:paraId="200AE2A9">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727.12</w:t>
            </w:r>
          </w:p>
        </w:tc>
        <w:tc>
          <w:tcPr>
            <w:tcW w:w="638" w:type="pct"/>
            <w:noWrap/>
            <w:vAlign w:val="center"/>
          </w:tcPr>
          <w:p w14:paraId="5CA64390">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7271 </w:t>
            </w:r>
          </w:p>
        </w:tc>
      </w:tr>
      <w:tr w14:paraId="6364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D43825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71EC25D5">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372" w:type="pct"/>
            <w:noWrap/>
            <w:vAlign w:val="center"/>
          </w:tcPr>
          <w:p w14:paraId="0B74619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0AD1294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1529B54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7C1C43E0">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r>
      <w:tr w14:paraId="4FF2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E5E486B">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3.4</w:t>
            </w:r>
          </w:p>
        </w:tc>
        <w:tc>
          <w:tcPr>
            <w:tcW w:w="2501" w:type="pct"/>
            <w:noWrap/>
            <w:vAlign w:val="center"/>
          </w:tcPr>
          <w:p w14:paraId="720CF2F5">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升压站</w:t>
            </w:r>
          </w:p>
        </w:tc>
        <w:tc>
          <w:tcPr>
            <w:tcW w:w="372" w:type="pct"/>
            <w:noWrap/>
            <w:vAlign w:val="center"/>
          </w:tcPr>
          <w:p w14:paraId="75D182C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01933483">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075230D4">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7727E112">
            <w:pPr>
              <w:adjustRightInd/>
              <w:jc w:val="right"/>
              <w:rPr>
                <w:rFonts w:hint="eastAsia" w:asciiTheme="minorEastAsia" w:hAnsiTheme="minorEastAsia" w:eastAsiaTheme="minorEastAsia" w:cstheme="minorEastAsia"/>
                <w:color w:val="auto"/>
                <w:kern w:val="0"/>
                <w:sz w:val="24"/>
              </w:rPr>
            </w:pPr>
          </w:p>
        </w:tc>
      </w:tr>
      <w:tr w14:paraId="2EB4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34F66E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82B0003">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砼凿除</w:t>
            </w:r>
          </w:p>
        </w:tc>
        <w:tc>
          <w:tcPr>
            <w:tcW w:w="372" w:type="pct"/>
            <w:noWrap/>
            <w:vAlign w:val="center"/>
          </w:tcPr>
          <w:p w14:paraId="64AC3BF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3E86755C">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92</w:t>
            </w:r>
          </w:p>
        </w:tc>
        <w:tc>
          <w:tcPr>
            <w:tcW w:w="631" w:type="pct"/>
            <w:noWrap/>
            <w:vAlign w:val="center"/>
          </w:tcPr>
          <w:p w14:paraId="47512E7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80.35</w:t>
            </w:r>
          </w:p>
        </w:tc>
        <w:tc>
          <w:tcPr>
            <w:tcW w:w="638" w:type="pct"/>
            <w:noWrap/>
            <w:vAlign w:val="center"/>
          </w:tcPr>
          <w:p w14:paraId="106FDE6D">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7392 </w:t>
            </w:r>
          </w:p>
        </w:tc>
      </w:tr>
      <w:tr w14:paraId="6DC3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6DAE47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767C4894">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C25F50砼地坪</w:t>
            </w:r>
          </w:p>
        </w:tc>
        <w:tc>
          <w:tcPr>
            <w:tcW w:w="372" w:type="pct"/>
            <w:noWrap/>
            <w:vAlign w:val="center"/>
          </w:tcPr>
          <w:p w14:paraId="18F94650">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2E0B17F2">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52</w:t>
            </w:r>
          </w:p>
        </w:tc>
        <w:tc>
          <w:tcPr>
            <w:tcW w:w="631" w:type="pct"/>
            <w:noWrap/>
            <w:vAlign w:val="center"/>
          </w:tcPr>
          <w:p w14:paraId="7AA2712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807.75</w:t>
            </w:r>
          </w:p>
        </w:tc>
        <w:tc>
          <w:tcPr>
            <w:tcW w:w="638" w:type="pct"/>
            <w:noWrap/>
            <w:vAlign w:val="center"/>
          </w:tcPr>
          <w:p w14:paraId="44DD02D9">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42003 </w:t>
            </w:r>
          </w:p>
        </w:tc>
      </w:tr>
      <w:tr w14:paraId="7076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FAA9AC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7EFFFCE2">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30～50mm洗净卵石</w:t>
            </w:r>
          </w:p>
        </w:tc>
        <w:tc>
          <w:tcPr>
            <w:tcW w:w="372" w:type="pct"/>
            <w:noWrap/>
            <w:vAlign w:val="center"/>
          </w:tcPr>
          <w:p w14:paraId="3D95666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27868AC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w:t>
            </w:r>
          </w:p>
        </w:tc>
        <w:tc>
          <w:tcPr>
            <w:tcW w:w="631" w:type="pct"/>
            <w:noWrap/>
            <w:vAlign w:val="center"/>
          </w:tcPr>
          <w:p w14:paraId="6F87F7AB">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236.41</w:t>
            </w:r>
          </w:p>
        </w:tc>
        <w:tc>
          <w:tcPr>
            <w:tcW w:w="638" w:type="pct"/>
            <w:noWrap/>
            <w:vAlign w:val="center"/>
          </w:tcPr>
          <w:p w14:paraId="4E355E78">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2128 </w:t>
            </w:r>
          </w:p>
        </w:tc>
      </w:tr>
      <w:tr w14:paraId="4070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BA2C75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2EC56EA1">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C30F50砼变压器基础</w:t>
            </w:r>
          </w:p>
        </w:tc>
        <w:tc>
          <w:tcPr>
            <w:tcW w:w="372" w:type="pct"/>
            <w:noWrap/>
            <w:vAlign w:val="center"/>
          </w:tcPr>
          <w:p w14:paraId="6731E83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00A72629">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25</w:t>
            </w:r>
          </w:p>
        </w:tc>
        <w:tc>
          <w:tcPr>
            <w:tcW w:w="631" w:type="pct"/>
            <w:noWrap/>
            <w:vAlign w:val="center"/>
          </w:tcPr>
          <w:p w14:paraId="276F96A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787.06</w:t>
            </w:r>
          </w:p>
        </w:tc>
        <w:tc>
          <w:tcPr>
            <w:tcW w:w="638" w:type="pct"/>
            <w:noWrap/>
            <w:vAlign w:val="center"/>
          </w:tcPr>
          <w:p w14:paraId="7EF2B757">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19677 </w:t>
            </w:r>
          </w:p>
        </w:tc>
      </w:tr>
      <w:tr w14:paraId="5EF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36C22523">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51177DC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C30F50砼杆段基础</w:t>
            </w:r>
          </w:p>
        </w:tc>
        <w:tc>
          <w:tcPr>
            <w:tcW w:w="372" w:type="pct"/>
            <w:noWrap/>
            <w:vAlign w:val="center"/>
          </w:tcPr>
          <w:p w14:paraId="0D41929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27A07289">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15</w:t>
            </w:r>
          </w:p>
        </w:tc>
        <w:tc>
          <w:tcPr>
            <w:tcW w:w="631" w:type="pct"/>
            <w:noWrap/>
            <w:vAlign w:val="center"/>
          </w:tcPr>
          <w:p w14:paraId="5156AB8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787.06</w:t>
            </w:r>
          </w:p>
        </w:tc>
        <w:tc>
          <w:tcPr>
            <w:tcW w:w="638" w:type="pct"/>
            <w:noWrap/>
            <w:vAlign w:val="center"/>
          </w:tcPr>
          <w:p w14:paraId="04FFA8B3">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11806 </w:t>
            </w:r>
          </w:p>
        </w:tc>
      </w:tr>
      <w:tr w14:paraId="2B9E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59EEFED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40B43B21">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C20素砼垫层，厚10cm</w:t>
            </w:r>
          </w:p>
        </w:tc>
        <w:tc>
          <w:tcPr>
            <w:tcW w:w="372" w:type="pct"/>
            <w:noWrap/>
            <w:vAlign w:val="center"/>
          </w:tcPr>
          <w:p w14:paraId="5D4D287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m³</w:t>
            </w:r>
          </w:p>
        </w:tc>
        <w:tc>
          <w:tcPr>
            <w:tcW w:w="438" w:type="pct"/>
            <w:noWrap/>
            <w:vAlign w:val="center"/>
          </w:tcPr>
          <w:p w14:paraId="7416685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6</w:t>
            </w:r>
          </w:p>
        </w:tc>
        <w:tc>
          <w:tcPr>
            <w:tcW w:w="631" w:type="pct"/>
            <w:noWrap/>
            <w:vAlign w:val="center"/>
          </w:tcPr>
          <w:p w14:paraId="1AAEEA1E">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740.26</w:t>
            </w:r>
          </w:p>
        </w:tc>
        <w:tc>
          <w:tcPr>
            <w:tcW w:w="638" w:type="pct"/>
            <w:noWrap/>
            <w:vAlign w:val="center"/>
          </w:tcPr>
          <w:p w14:paraId="43584010">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4442 </w:t>
            </w:r>
          </w:p>
        </w:tc>
      </w:tr>
      <w:tr w14:paraId="62B0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B491330">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D72211B">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钢筋制安</w:t>
            </w:r>
          </w:p>
        </w:tc>
        <w:tc>
          <w:tcPr>
            <w:tcW w:w="372" w:type="pct"/>
            <w:noWrap/>
            <w:vAlign w:val="center"/>
          </w:tcPr>
          <w:p w14:paraId="5E6CEEA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t</w:t>
            </w:r>
          </w:p>
        </w:tc>
        <w:tc>
          <w:tcPr>
            <w:tcW w:w="438" w:type="pct"/>
            <w:noWrap/>
            <w:vAlign w:val="center"/>
          </w:tcPr>
          <w:p w14:paraId="140BB74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w:t>
            </w:r>
          </w:p>
        </w:tc>
        <w:tc>
          <w:tcPr>
            <w:tcW w:w="631" w:type="pct"/>
            <w:noWrap/>
            <w:vAlign w:val="center"/>
          </w:tcPr>
          <w:p w14:paraId="20833DB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5957.45</w:t>
            </w:r>
          </w:p>
        </w:tc>
        <w:tc>
          <w:tcPr>
            <w:tcW w:w="638" w:type="pct"/>
            <w:noWrap/>
            <w:vAlign w:val="center"/>
          </w:tcPr>
          <w:p w14:paraId="65E37948">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17872 </w:t>
            </w:r>
          </w:p>
        </w:tc>
      </w:tr>
      <w:tr w14:paraId="31C6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315981B7">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51D2232B">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钢材</w:t>
            </w:r>
          </w:p>
        </w:tc>
        <w:tc>
          <w:tcPr>
            <w:tcW w:w="372" w:type="pct"/>
            <w:noWrap/>
            <w:vAlign w:val="center"/>
          </w:tcPr>
          <w:p w14:paraId="059C12B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t</w:t>
            </w:r>
          </w:p>
        </w:tc>
        <w:tc>
          <w:tcPr>
            <w:tcW w:w="438" w:type="pct"/>
            <w:noWrap/>
            <w:vAlign w:val="center"/>
          </w:tcPr>
          <w:p w14:paraId="4F86FE7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w:t>
            </w:r>
          </w:p>
        </w:tc>
        <w:tc>
          <w:tcPr>
            <w:tcW w:w="631" w:type="pct"/>
            <w:noWrap/>
            <w:vAlign w:val="center"/>
          </w:tcPr>
          <w:p w14:paraId="08DD5BC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6500</w:t>
            </w:r>
          </w:p>
        </w:tc>
        <w:tc>
          <w:tcPr>
            <w:tcW w:w="638" w:type="pct"/>
            <w:noWrap/>
            <w:vAlign w:val="center"/>
          </w:tcPr>
          <w:p w14:paraId="2F1773E8">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13000 </w:t>
            </w:r>
          </w:p>
        </w:tc>
      </w:tr>
      <w:tr w14:paraId="14EA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17B9AF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1DF4074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DN150球墨铸铁管</w:t>
            </w:r>
          </w:p>
        </w:tc>
        <w:tc>
          <w:tcPr>
            <w:tcW w:w="372" w:type="pct"/>
            <w:noWrap/>
            <w:vAlign w:val="center"/>
          </w:tcPr>
          <w:p w14:paraId="35C85F66">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p>
        </w:tc>
        <w:tc>
          <w:tcPr>
            <w:tcW w:w="438" w:type="pct"/>
            <w:noWrap/>
            <w:vAlign w:val="center"/>
          </w:tcPr>
          <w:p w14:paraId="6300AAC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w:t>
            </w:r>
          </w:p>
        </w:tc>
        <w:tc>
          <w:tcPr>
            <w:tcW w:w="631" w:type="pct"/>
            <w:noWrap/>
            <w:vAlign w:val="center"/>
          </w:tcPr>
          <w:p w14:paraId="2BA3EB75">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222</w:t>
            </w:r>
          </w:p>
        </w:tc>
        <w:tc>
          <w:tcPr>
            <w:tcW w:w="638" w:type="pct"/>
            <w:noWrap/>
            <w:vAlign w:val="center"/>
          </w:tcPr>
          <w:p w14:paraId="4A8CC191">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2220 </w:t>
            </w:r>
          </w:p>
        </w:tc>
      </w:tr>
      <w:tr w14:paraId="3C61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C9190A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4766B2ED">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DN200硬聚氯乙烯加筋管</w:t>
            </w:r>
          </w:p>
        </w:tc>
        <w:tc>
          <w:tcPr>
            <w:tcW w:w="372" w:type="pct"/>
            <w:noWrap/>
            <w:vAlign w:val="center"/>
          </w:tcPr>
          <w:p w14:paraId="49EB15A6">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p>
        </w:tc>
        <w:tc>
          <w:tcPr>
            <w:tcW w:w="438" w:type="pct"/>
            <w:noWrap/>
            <w:vAlign w:val="center"/>
          </w:tcPr>
          <w:p w14:paraId="5AAA5C31">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w:t>
            </w:r>
          </w:p>
        </w:tc>
        <w:tc>
          <w:tcPr>
            <w:tcW w:w="631" w:type="pct"/>
            <w:noWrap/>
            <w:vAlign w:val="center"/>
          </w:tcPr>
          <w:p w14:paraId="549FAA4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w:t>
            </w:r>
          </w:p>
        </w:tc>
        <w:tc>
          <w:tcPr>
            <w:tcW w:w="638" w:type="pct"/>
            <w:noWrap/>
            <w:vAlign w:val="center"/>
          </w:tcPr>
          <w:p w14:paraId="0C553866">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360 </w:t>
            </w:r>
          </w:p>
        </w:tc>
      </w:tr>
      <w:tr w14:paraId="7A40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C00621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35BF2AF3">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φ300等径杆(含钢筋)</w:t>
            </w:r>
          </w:p>
        </w:tc>
        <w:tc>
          <w:tcPr>
            <w:tcW w:w="372" w:type="pct"/>
            <w:noWrap/>
            <w:vAlign w:val="center"/>
          </w:tcPr>
          <w:p w14:paraId="01DF8106">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p>
        </w:tc>
        <w:tc>
          <w:tcPr>
            <w:tcW w:w="438" w:type="pct"/>
            <w:noWrap/>
            <w:vAlign w:val="center"/>
          </w:tcPr>
          <w:p w14:paraId="7665875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26</w:t>
            </w:r>
          </w:p>
        </w:tc>
        <w:tc>
          <w:tcPr>
            <w:tcW w:w="631" w:type="pct"/>
            <w:noWrap/>
            <w:vAlign w:val="center"/>
          </w:tcPr>
          <w:p w14:paraId="3006DFDE">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336</w:t>
            </w:r>
          </w:p>
        </w:tc>
        <w:tc>
          <w:tcPr>
            <w:tcW w:w="638" w:type="pct"/>
            <w:noWrap/>
            <w:vAlign w:val="center"/>
          </w:tcPr>
          <w:p w14:paraId="12C71367">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8736 </w:t>
            </w:r>
          </w:p>
        </w:tc>
      </w:tr>
      <w:tr w14:paraId="6D2A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9745D9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5036A4FF">
            <w:pPr>
              <w:adjustRightInd/>
              <w:rPr>
                <w:rFonts w:hint="eastAsia" w:asciiTheme="minorEastAsia" w:hAnsiTheme="minorEastAsia" w:eastAsiaTheme="minorEastAsia" w:cstheme="minorEastAsia"/>
                <w:color w:val="auto"/>
                <w:kern w:val="0"/>
                <w:sz w:val="24"/>
                <w:lang w:val="en-US" w:eastAsia="zh-CN"/>
              </w:rPr>
            </w:pPr>
            <w:r>
              <w:rPr>
                <w:rFonts w:hint="eastAsia" w:asciiTheme="minorEastAsia" w:hAnsiTheme="minorEastAsia" w:eastAsiaTheme="minorEastAsia" w:cstheme="minorEastAsia"/>
                <w:color w:val="auto"/>
                <w:kern w:val="0"/>
                <w:sz w:val="24"/>
              </w:rPr>
              <w:t>避雷针（H=30m）</w:t>
            </w:r>
            <w:r>
              <w:rPr>
                <w:rFonts w:hint="eastAsia" w:asciiTheme="minorEastAsia" w:hAnsiTheme="minorEastAsia" w:eastAsiaTheme="minorEastAsia" w:cstheme="minorEastAsia"/>
                <w:color w:val="auto"/>
                <w:kern w:val="0"/>
                <w:sz w:val="24"/>
                <w:lang w:val="en-US" w:eastAsia="zh-CN"/>
              </w:rPr>
              <w:t>基础</w:t>
            </w:r>
          </w:p>
        </w:tc>
        <w:tc>
          <w:tcPr>
            <w:tcW w:w="372" w:type="pct"/>
            <w:noWrap/>
            <w:vAlign w:val="center"/>
          </w:tcPr>
          <w:p w14:paraId="5B64A73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个</w:t>
            </w:r>
          </w:p>
        </w:tc>
        <w:tc>
          <w:tcPr>
            <w:tcW w:w="438" w:type="pct"/>
            <w:noWrap/>
            <w:vAlign w:val="center"/>
          </w:tcPr>
          <w:p w14:paraId="3F710935">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p>
        </w:tc>
        <w:tc>
          <w:tcPr>
            <w:tcW w:w="631" w:type="pct"/>
            <w:noWrap/>
            <w:vAlign w:val="center"/>
          </w:tcPr>
          <w:p w14:paraId="6E7B109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5000</w:t>
            </w:r>
          </w:p>
        </w:tc>
        <w:tc>
          <w:tcPr>
            <w:tcW w:w="638" w:type="pct"/>
            <w:noWrap/>
            <w:vAlign w:val="center"/>
          </w:tcPr>
          <w:p w14:paraId="0239597D">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5000 </w:t>
            </w:r>
          </w:p>
        </w:tc>
      </w:tr>
      <w:tr w14:paraId="2DE6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E085D5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41F27ED8">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372" w:type="pct"/>
            <w:noWrap/>
            <w:vAlign w:val="center"/>
          </w:tcPr>
          <w:p w14:paraId="0EF8F7F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004C995E">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15A4633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5E7E49E8">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r>
      <w:tr w14:paraId="0A33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75866050">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3.5</w:t>
            </w:r>
          </w:p>
        </w:tc>
        <w:tc>
          <w:tcPr>
            <w:tcW w:w="2501" w:type="pct"/>
            <w:noWrap/>
            <w:vAlign w:val="center"/>
          </w:tcPr>
          <w:p w14:paraId="3F29C956">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压力钢管检测</w:t>
            </w:r>
          </w:p>
        </w:tc>
        <w:tc>
          <w:tcPr>
            <w:tcW w:w="372" w:type="pct"/>
            <w:noWrap/>
            <w:vAlign w:val="center"/>
          </w:tcPr>
          <w:p w14:paraId="411DADDA">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2AA35438">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56E2C1E2">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5434D743">
            <w:pPr>
              <w:adjustRightInd/>
              <w:jc w:val="right"/>
              <w:rPr>
                <w:rFonts w:hint="eastAsia" w:asciiTheme="minorEastAsia" w:hAnsiTheme="minorEastAsia" w:eastAsiaTheme="minorEastAsia" w:cstheme="minorEastAsia"/>
                <w:color w:val="auto"/>
                <w:kern w:val="0"/>
                <w:sz w:val="24"/>
              </w:rPr>
            </w:pPr>
          </w:p>
        </w:tc>
      </w:tr>
      <w:tr w14:paraId="2791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3DB7DB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76726297">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压力钢管壁厚检测</w:t>
            </w:r>
          </w:p>
        </w:tc>
        <w:tc>
          <w:tcPr>
            <w:tcW w:w="372" w:type="pct"/>
            <w:noWrap/>
            <w:vAlign w:val="center"/>
          </w:tcPr>
          <w:p w14:paraId="1D3D32E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项</w:t>
            </w:r>
          </w:p>
        </w:tc>
        <w:tc>
          <w:tcPr>
            <w:tcW w:w="438" w:type="pct"/>
            <w:noWrap/>
            <w:vAlign w:val="center"/>
          </w:tcPr>
          <w:p w14:paraId="4FD62E5E">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p>
        </w:tc>
        <w:tc>
          <w:tcPr>
            <w:tcW w:w="631" w:type="pct"/>
            <w:noWrap/>
            <w:vAlign w:val="center"/>
          </w:tcPr>
          <w:p w14:paraId="66BDA84F">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20000</w:t>
            </w:r>
          </w:p>
        </w:tc>
        <w:tc>
          <w:tcPr>
            <w:tcW w:w="638" w:type="pct"/>
            <w:noWrap/>
            <w:vAlign w:val="center"/>
          </w:tcPr>
          <w:p w14:paraId="14EEC893">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20000</w:t>
            </w:r>
          </w:p>
        </w:tc>
      </w:tr>
      <w:tr w14:paraId="3F83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353D7D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128BB1B1">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372" w:type="pct"/>
            <w:noWrap/>
            <w:vAlign w:val="center"/>
          </w:tcPr>
          <w:p w14:paraId="142C865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0B2A12BF">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681DCEC6">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5A927445">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r>
      <w:tr w14:paraId="42AB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D6B4DC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w:t>
            </w:r>
          </w:p>
        </w:tc>
        <w:tc>
          <w:tcPr>
            <w:tcW w:w="2501" w:type="pct"/>
            <w:noWrap/>
            <w:vAlign w:val="center"/>
          </w:tcPr>
          <w:p w14:paraId="089460C2">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门头装修</w:t>
            </w:r>
          </w:p>
        </w:tc>
        <w:tc>
          <w:tcPr>
            <w:tcW w:w="372" w:type="pct"/>
            <w:noWrap/>
            <w:vAlign w:val="center"/>
          </w:tcPr>
          <w:p w14:paraId="3F50973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11C50CCB">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4F8880FE">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42C9616C">
            <w:pPr>
              <w:adjustRightInd/>
              <w:jc w:val="right"/>
              <w:rPr>
                <w:rFonts w:hint="eastAsia" w:asciiTheme="minorEastAsia" w:hAnsiTheme="minorEastAsia" w:eastAsiaTheme="minorEastAsia" w:cstheme="minorEastAsia"/>
                <w:color w:val="auto"/>
                <w:kern w:val="0"/>
                <w:sz w:val="24"/>
              </w:rPr>
            </w:pPr>
          </w:p>
        </w:tc>
      </w:tr>
      <w:tr w14:paraId="3D3B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3E0B4B5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52559EA5">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入场铁艺大门拆除</w:t>
            </w:r>
          </w:p>
        </w:tc>
        <w:tc>
          <w:tcPr>
            <w:tcW w:w="372" w:type="pct"/>
            <w:noWrap/>
            <w:vAlign w:val="center"/>
          </w:tcPr>
          <w:p w14:paraId="39B4049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4A202CB4">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20</w:t>
            </w:r>
          </w:p>
        </w:tc>
        <w:tc>
          <w:tcPr>
            <w:tcW w:w="631" w:type="pct"/>
            <w:shd w:val="clear" w:color="000000" w:fill="FFFFFF"/>
            <w:noWrap/>
            <w:vAlign w:val="center"/>
          </w:tcPr>
          <w:p w14:paraId="4F5FE329">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200</w:t>
            </w:r>
          </w:p>
        </w:tc>
        <w:tc>
          <w:tcPr>
            <w:tcW w:w="638" w:type="pct"/>
            <w:noWrap/>
            <w:vAlign w:val="center"/>
          </w:tcPr>
          <w:p w14:paraId="2C9A79B5">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4000 </w:t>
            </w:r>
          </w:p>
        </w:tc>
      </w:tr>
      <w:tr w14:paraId="0C1D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3BDEB5B0">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69ED0304">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更换铁艺大门</w:t>
            </w:r>
          </w:p>
        </w:tc>
        <w:tc>
          <w:tcPr>
            <w:tcW w:w="372" w:type="pct"/>
            <w:noWrap/>
            <w:vAlign w:val="center"/>
          </w:tcPr>
          <w:p w14:paraId="4499A7BD">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noWrap/>
            <w:vAlign w:val="center"/>
          </w:tcPr>
          <w:p w14:paraId="55C4DE18">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20</w:t>
            </w:r>
          </w:p>
        </w:tc>
        <w:tc>
          <w:tcPr>
            <w:tcW w:w="631" w:type="pct"/>
            <w:shd w:val="clear" w:color="000000" w:fill="FFFFFF"/>
            <w:noWrap/>
            <w:vAlign w:val="center"/>
          </w:tcPr>
          <w:p w14:paraId="7C890FC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900</w:t>
            </w:r>
          </w:p>
        </w:tc>
        <w:tc>
          <w:tcPr>
            <w:tcW w:w="638" w:type="pct"/>
            <w:noWrap/>
            <w:vAlign w:val="center"/>
          </w:tcPr>
          <w:p w14:paraId="312FA6C1">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18000 </w:t>
            </w:r>
          </w:p>
        </w:tc>
      </w:tr>
      <w:tr w14:paraId="1BA4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5009A68A">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1D46E02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门头外立面瓷砖拆除</w:t>
            </w:r>
          </w:p>
        </w:tc>
        <w:tc>
          <w:tcPr>
            <w:tcW w:w="372" w:type="pct"/>
            <w:noWrap/>
            <w:vAlign w:val="center"/>
          </w:tcPr>
          <w:p w14:paraId="4312718A">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359AA382">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105</w:t>
            </w:r>
          </w:p>
        </w:tc>
        <w:tc>
          <w:tcPr>
            <w:tcW w:w="631" w:type="pct"/>
            <w:noWrap/>
            <w:vAlign w:val="center"/>
          </w:tcPr>
          <w:p w14:paraId="087F8D0B">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100</w:t>
            </w:r>
          </w:p>
        </w:tc>
        <w:tc>
          <w:tcPr>
            <w:tcW w:w="638" w:type="pct"/>
            <w:noWrap/>
            <w:vAlign w:val="center"/>
          </w:tcPr>
          <w:p w14:paraId="2052982B">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10500 </w:t>
            </w:r>
          </w:p>
        </w:tc>
      </w:tr>
      <w:tr w14:paraId="3C34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0EFB5292">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5A9B6F5F">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门头外立面粉刷</w:t>
            </w:r>
          </w:p>
        </w:tc>
        <w:tc>
          <w:tcPr>
            <w:tcW w:w="372" w:type="pct"/>
            <w:noWrap/>
            <w:vAlign w:val="center"/>
          </w:tcPr>
          <w:p w14:paraId="180C8288">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m²</w:t>
            </w:r>
          </w:p>
        </w:tc>
        <w:tc>
          <w:tcPr>
            <w:tcW w:w="438" w:type="pct"/>
            <w:vAlign w:val="center"/>
          </w:tcPr>
          <w:p w14:paraId="32F847EA">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105</w:t>
            </w:r>
          </w:p>
        </w:tc>
        <w:tc>
          <w:tcPr>
            <w:tcW w:w="631" w:type="pct"/>
            <w:noWrap/>
            <w:vAlign w:val="center"/>
          </w:tcPr>
          <w:p w14:paraId="79EBB1CC">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300</w:t>
            </w:r>
          </w:p>
        </w:tc>
        <w:tc>
          <w:tcPr>
            <w:tcW w:w="638" w:type="pct"/>
            <w:noWrap/>
            <w:vAlign w:val="center"/>
          </w:tcPr>
          <w:p w14:paraId="6210DE7C">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31500 </w:t>
            </w:r>
          </w:p>
        </w:tc>
      </w:tr>
      <w:tr w14:paraId="1DE4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399B65E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noWrap/>
            <w:vAlign w:val="center"/>
          </w:tcPr>
          <w:p w14:paraId="19A0A5EF">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372" w:type="pct"/>
            <w:noWrap/>
            <w:vAlign w:val="center"/>
          </w:tcPr>
          <w:p w14:paraId="430A8DF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06F4921A">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vAlign w:val="center"/>
          </w:tcPr>
          <w:p w14:paraId="6F95955B">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8" w:type="pct"/>
            <w:noWrap/>
            <w:vAlign w:val="center"/>
          </w:tcPr>
          <w:p w14:paraId="588FC0D0">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r>
      <w:tr w14:paraId="3757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6EF3F560">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3.7</w:t>
            </w:r>
          </w:p>
        </w:tc>
        <w:tc>
          <w:tcPr>
            <w:tcW w:w="2501" w:type="pct"/>
            <w:noWrap/>
            <w:vAlign w:val="center"/>
          </w:tcPr>
          <w:p w14:paraId="20196979">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室外工程</w:t>
            </w:r>
          </w:p>
        </w:tc>
        <w:tc>
          <w:tcPr>
            <w:tcW w:w="372" w:type="pct"/>
            <w:noWrap/>
            <w:vAlign w:val="center"/>
          </w:tcPr>
          <w:p w14:paraId="09F01BB4">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438" w:type="pct"/>
            <w:noWrap/>
            <w:vAlign w:val="center"/>
          </w:tcPr>
          <w:p w14:paraId="5B638C93">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631" w:type="pct"/>
            <w:noWrap/>
            <w:vAlign w:val="center"/>
          </w:tcPr>
          <w:p w14:paraId="1514C87C">
            <w:pPr>
              <w:adjustRightInd/>
              <w:jc w:val="right"/>
              <w:rPr>
                <w:rFonts w:hint="eastAsia" w:asciiTheme="minorEastAsia" w:hAnsiTheme="minorEastAsia" w:eastAsiaTheme="minorEastAsia" w:cstheme="minorEastAsia"/>
                <w:color w:val="auto"/>
                <w:kern w:val="0"/>
                <w:sz w:val="24"/>
              </w:rPr>
            </w:pPr>
          </w:p>
        </w:tc>
        <w:tc>
          <w:tcPr>
            <w:tcW w:w="638" w:type="pct"/>
            <w:noWrap/>
            <w:vAlign w:val="center"/>
          </w:tcPr>
          <w:p w14:paraId="595BF1CC">
            <w:pPr>
              <w:adjustRightInd/>
              <w:jc w:val="right"/>
              <w:rPr>
                <w:rFonts w:hint="eastAsia" w:asciiTheme="minorEastAsia" w:hAnsiTheme="minorEastAsia" w:eastAsiaTheme="minorEastAsia" w:cstheme="minorEastAsia"/>
                <w:color w:val="auto"/>
                <w:kern w:val="0"/>
                <w:sz w:val="24"/>
              </w:rPr>
            </w:pPr>
          </w:p>
        </w:tc>
      </w:tr>
      <w:tr w14:paraId="2A95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443E5C3A">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shd w:val="clear" w:color="000000" w:fill="FFFFFF"/>
            <w:vAlign w:val="center"/>
          </w:tcPr>
          <w:p w14:paraId="2764F1AB">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破旧段围墙拆除</w:t>
            </w:r>
          </w:p>
        </w:tc>
        <w:tc>
          <w:tcPr>
            <w:tcW w:w="372" w:type="pct"/>
            <w:noWrap/>
            <w:vAlign w:val="center"/>
          </w:tcPr>
          <w:p w14:paraId="6697E35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r>
              <w:rPr>
                <w:rFonts w:hint="eastAsia" w:asciiTheme="minorEastAsia" w:hAnsiTheme="minorEastAsia" w:eastAsiaTheme="minorEastAsia" w:cstheme="minorEastAsia"/>
                <w:color w:val="auto"/>
                <w:kern w:val="0"/>
                <w:sz w:val="24"/>
                <w:vertAlign w:val="superscript"/>
              </w:rPr>
              <w:t>3</w:t>
            </w:r>
          </w:p>
        </w:tc>
        <w:tc>
          <w:tcPr>
            <w:tcW w:w="438" w:type="pct"/>
            <w:vAlign w:val="center"/>
          </w:tcPr>
          <w:p w14:paraId="6BFA7A77">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w:t>
            </w:r>
          </w:p>
        </w:tc>
        <w:tc>
          <w:tcPr>
            <w:tcW w:w="631" w:type="pct"/>
            <w:vAlign w:val="center"/>
          </w:tcPr>
          <w:p w14:paraId="033927F6">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118</w:t>
            </w:r>
          </w:p>
        </w:tc>
        <w:tc>
          <w:tcPr>
            <w:tcW w:w="638" w:type="pct"/>
            <w:noWrap/>
            <w:vAlign w:val="center"/>
          </w:tcPr>
          <w:p w14:paraId="42BEBE3E">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4248 </w:t>
            </w:r>
          </w:p>
        </w:tc>
      </w:tr>
      <w:tr w14:paraId="7214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3539D4F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shd w:val="clear" w:color="000000" w:fill="FFFFFF"/>
            <w:vAlign w:val="center"/>
          </w:tcPr>
          <w:p w14:paraId="06AC259C">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砖砌围墙重建</w:t>
            </w:r>
          </w:p>
        </w:tc>
        <w:tc>
          <w:tcPr>
            <w:tcW w:w="372" w:type="pct"/>
            <w:noWrap/>
            <w:vAlign w:val="center"/>
          </w:tcPr>
          <w:p w14:paraId="152B7A49">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r>
              <w:rPr>
                <w:rFonts w:hint="eastAsia" w:asciiTheme="minorEastAsia" w:hAnsiTheme="minorEastAsia" w:eastAsiaTheme="minorEastAsia" w:cstheme="minorEastAsia"/>
                <w:color w:val="auto"/>
                <w:kern w:val="0"/>
                <w:sz w:val="24"/>
                <w:vertAlign w:val="superscript"/>
              </w:rPr>
              <w:t>3</w:t>
            </w:r>
          </w:p>
        </w:tc>
        <w:tc>
          <w:tcPr>
            <w:tcW w:w="438" w:type="pct"/>
            <w:vAlign w:val="center"/>
          </w:tcPr>
          <w:p w14:paraId="3FFF073B">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36</w:t>
            </w:r>
          </w:p>
        </w:tc>
        <w:tc>
          <w:tcPr>
            <w:tcW w:w="631" w:type="pct"/>
            <w:vAlign w:val="center"/>
          </w:tcPr>
          <w:p w14:paraId="35C52B91">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441</w:t>
            </w:r>
          </w:p>
        </w:tc>
        <w:tc>
          <w:tcPr>
            <w:tcW w:w="638" w:type="pct"/>
            <w:noWrap/>
            <w:vAlign w:val="center"/>
          </w:tcPr>
          <w:p w14:paraId="682517F0">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15876 </w:t>
            </w:r>
          </w:p>
        </w:tc>
      </w:tr>
      <w:tr w14:paraId="78AD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10563BC1">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shd w:val="clear" w:color="000000" w:fill="FFFFFF"/>
            <w:vAlign w:val="center"/>
          </w:tcPr>
          <w:p w14:paraId="573F12A2">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围墙压顶瓦</w:t>
            </w:r>
          </w:p>
        </w:tc>
        <w:tc>
          <w:tcPr>
            <w:tcW w:w="372" w:type="pct"/>
            <w:noWrap/>
            <w:vAlign w:val="center"/>
          </w:tcPr>
          <w:p w14:paraId="29BAC18C">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r>
              <w:rPr>
                <w:rFonts w:hint="eastAsia" w:asciiTheme="minorEastAsia" w:hAnsiTheme="minorEastAsia" w:eastAsiaTheme="minorEastAsia" w:cstheme="minorEastAsia"/>
                <w:color w:val="auto"/>
                <w:kern w:val="0"/>
                <w:sz w:val="24"/>
                <w:vertAlign w:val="superscript"/>
              </w:rPr>
              <w:t>2</w:t>
            </w:r>
          </w:p>
        </w:tc>
        <w:tc>
          <w:tcPr>
            <w:tcW w:w="438" w:type="pct"/>
            <w:vAlign w:val="center"/>
          </w:tcPr>
          <w:p w14:paraId="7C9FD286">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101</w:t>
            </w:r>
          </w:p>
        </w:tc>
        <w:tc>
          <w:tcPr>
            <w:tcW w:w="631" w:type="pct"/>
            <w:vAlign w:val="center"/>
          </w:tcPr>
          <w:p w14:paraId="1A5C6780">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180</w:t>
            </w:r>
          </w:p>
        </w:tc>
        <w:tc>
          <w:tcPr>
            <w:tcW w:w="638" w:type="pct"/>
            <w:noWrap/>
            <w:vAlign w:val="center"/>
          </w:tcPr>
          <w:p w14:paraId="65FB670C">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18180 </w:t>
            </w:r>
          </w:p>
        </w:tc>
      </w:tr>
      <w:tr w14:paraId="09A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7" w:type="pct"/>
            <w:noWrap/>
            <w:vAlign w:val="center"/>
          </w:tcPr>
          <w:p w14:paraId="2836811E">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w:t>
            </w:r>
          </w:p>
        </w:tc>
        <w:tc>
          <w:tcPr>
            <w:tcW w:w="2501" w:type="pct"/>
            <w:shd w:val="clear" w:color="000000" w:fill="FFFFFF"/>
            <w:vAlign w:val="center"/>
          </w:tcPr>
          <w:p w14:paraId="4E04131F">
            <w:pPr>
              <w:adjustRightInd/>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围墙刷外墙涂料</w:t>
            </w:r>
          </w:p>
        </w:tc>
        <w:tc>
          <w:tcPr>
            <w:tcW w:w="372" w:type="pct"/>
            <w:noWrap/>
            <w:vAlign w:val="center"/>
          </w:tcPr>
          <w:p w14:paraId="0D5E6115">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m</w:t>
            </w:r>
            <w:r>
              <w:rPr>
                <w:rFonts w:hint="eastAsia" w:asciiTheme="minorEastAsia" w:hAnsiTheme="minorEastAsia" w:eastAsiaTheme="minorEastAsia" w:cstheme="minorEastAsia"/>
                <w:color w:val="auto"/>
                <w:kern w:val="0"/>
                <w:sz w:val="24"/>
                <w:vertAlign w:val="superscript"/>
              </w:rPr>
              <w:t>2</w:t>
            </w:r>
          </w:p>
        </w:tc>
        <w:tc>
          <w:tcPr>
            <w:tcW w:w="438" w:type="pct"/>
            <w:vAlign w:val="center"/>
          </w:tcPr>
          <w:p w14:paraId="78BF2DC7">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504</w:t>
            </w:r>
          </w:p>
        </w:tc>
        <w:tc>
          <w:tcPr>
            <w:tcW w:w="631" w:type="pct"/>
            <w:vAlign w:val="center"/>
          </w:tcPr>
          <w:p w14:paraId="594C329D">
            <w:pPr>
              <w:adjustRightInd/>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70</w:t>
            </w:r>
          </w:p>
        </w:tc>
        <w:tc>
          <w:tcPr>
            <w:tcW w:w="638" w:type="pct"/>
            <w:noWrap/>
            <w:vAlign w:val="center"/>
          </w:tcPr>
          <w:p w14:paraId="5B3E8CAC">
            <w:pPr>
              <w:jc w:val="right"/>
              <w:textAlignment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bidi="ar"/>
              </w:rPr>
              <w:t xml:space="preserve">35280 </w:t>
            </w:r>
          </w:p>
        </w:tc>
      </w:tr>
      <w:tr w14:paraId="3358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919" w:type="pct"/>
            <w:gridSpan w:val="2"/>
            <w:noWrap/>
            <w:vAlign w:val="center"/>
          </w:tcPr>
          <w:p w14:paraId="7A30E41F">
            <w:pPr>
              <w:adjustRightInd/>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小计</w:t>
            </w:r>
          </w:p>
        </w:tc>
        <w:tc>
          <w:tcPr>
            <w:tcW w:w="2080" w:type="pct"/>
            <w:gridSpan w:val="4"/>
            <w:noWrap/>
            <w:vAlign w:val="center"/>
          </w:tcPr>
          <w:p w14:paraId="40AC76D8">
            <w:pPr>
              <w:jc w:val="center"/>
              <w:textAlignment w:val="center"/>
              <w:rPr>
                <w:rFonts w:hint="eastAsia" w:asciiTheme="minorEastAsia" w:hAnsiTheme="minorEastAsia" w:eastAsiaTheme="minorEastAsia" w:cstheme="minorEastAsia"/>
                <w:color w:val="auto"/>
                <w:kern w:val="0"/>
                <w:sz w:val="24"/>
                <w:lang w:bidi="ar"/>
              </w:rPr>
            </w:pPr>
            <w:r>
              <w:rPr>
                <w:rFonts w:hint="eastAsia" w:asciiTheme="minorEastAsia" w:hAnsiTheme="minorEastAsia" w:eastAsiaTheme="minorEastAsia" w:cstheme="minorEastAsia"/>
                <w:color w:val="auto"/>
                <w:kern w:val="0"/>
                <w:sz w:val="24"/>
                <w:lang w:bidi="ar"/>
              </w:rPr>
              <w:t>1355987</w:t>
            </w:r>
          </w:p>
        </w:tc>
      </w:tr>
    </w:tbl>
    <w:p w14:paraId="651CBAD6">
      <w:pPr>
        <w:spacing w:line="276" w:lineRule="auto"/>
        <w:ind w:firstLine="360"/>
        <w:rPr>
          <w:rFonts w:hint="eastAsia" w:asciiTheme="minorEastAsia" w:hAnsiTheme="minorEastAsia" w:eastAsiaTheme="minorEastAsia" w:cstheme="minorEastAsia"/>
          <w:color w:val="auto"/>
        </w:rPr>
      </w:pPr>
    </w:p>
    <w:p w14:paraId="4D1727ED">
      <w:pPr>
        <w:tabs>
          <w:tab w:val="left" w:pos="1260"/>
        </w:tabs>
        <w:spacing w:line="360" w:lineRule="auto"/>
        <w:ind w:firstLine="0" w:firstLineChars="0"/>
        <w:rPr>
          <w:rFonts w:hint="eastAsia" w:asciiTheme="minorEastAsia" w:hAnsiTheme="minorEastAsia" w:eastAsiaTheme="minorEastAsia" w:cstheme="minorEastAsia"/>
          <w:b/>
          <w:bCs/>
          <w:color w:val="auto"/>
          <w:spacing w:val="1"/>
          <w:kern w:val="44"/>
          <w:sz w:val="24"/>
          <w:szCs w:val="24"/>
        </w:rPr>
      </w:pPr>
      <w:r>
        <w:rPr>
          <w:rFonts w:hint="eastAsia" w:asciiTheme="minorEastAsia" w:hAnsiTheme="minorEastAsia" w:eastAsiaTheme="minorEastAsia" w:cstheme="minorEastAsia"/>
          <w:b/>
          <w:bCs/>
          <w:color w:val="auto"/>
          <w:spacing w:val="1"/>
          <w:kern w:val="44"/>
          <w:sz w:val="24"/>
          <w:szCs w:val="24"/>
          <w:lang w:eastAsia="zh-CN"/>
        </w:rPr>
        <w:t>（</w:t>
      </w:r>
      <w:r>
        <w:rPr>
          <w:rFonts w:hint="eastAsia" w:asciiTheme="minorEastAsia" w:hAnsiTheme="minorEastAsia" w:eastAsiaTheme="minorEastAsia" w:cstheme="minorEastAsia"/>
          <w:b/>
          <w:bCs/>
          <w:color w:val="auto"/>
          <w:spacing w:val="1"/>
          <w:kern w:val="44"/>
          <w:sz w:val="24"/>
          <w:szCs w:val="24"/>
          <w:lang w:val="en-US" w:eastAsia="zh-CN"/>
        </w:rPr>
        <w:t>四</w:t>
      </w:r>
      <w:r>
        <w:rPr>
          <w:rFonts w:hint="eastAsia" w:asciiTheme="minorEastAsia" w:hAnsiTheme="minorEastAsia" w:eastAsiaTheme="minorEastAsia" w:cstheme="minorEastAsia"/>
          <w:b/>
          <w:bCs/>
          <w:color w:val="auto"/>
          <w:spacing w:val="1"/>
          <w:kern w:val="44"/>
          <w:sz w:val="24"/>
          <w:szCs w:val="24"/>
          <w:lang w:eastAsia="zh-CN"/>
        </w:rPr>
        <w:t>）</w:t>
      </w:r>
      <w:r>
        <w:rPr>
          <w:rFonts w:hint="eastAsia" w:asciiTheme="minorEastAsia" w:hAnsiTheme="minorEastAsia" w:eastAsiaTheme="minorEastAsia" w:cstheme="minorEastAsia"/>
          <w:b/>
          <w:bCs/>
          <w:color w:val="auto"/>
          <w:spacing w:val="1"/>
          <w:kern w:val="44"/>
          <w:sz w:val="24"/>
          <w:szCs w:val="24"/>
        </w:rPr>
        <w:t>主要机电设备推荐品牌</w:t>
      </w:r>
    </w:p>
    <w:p w14:paraId="0C638B7D">
      <w:pPr>
        <w:numPr>
          <w:ilvl w:val="0"/>
          <w:numId w:val="4"/>
        </w:numPr>
        <w:tabs>
          <w:tab w:val="left" w:pos="1260"/>
        </w:tabs>
        <w:adjustRightInd w:val="0"/>
        <w:snapToGrid w:val="0"/>
        <w:spacing w:line="360" w:lineRule="auto"/>
        <w:ind w:firstLine="400"/>
        <w:rPr>
          <w:rFonts w:hint="eastAsia" w:ascii="宋体" w:hAnsi="宋体"/>
          <w:snapToGrid w:val="0"/>
          <w:sz w:val="24"/>
          <w:szCs w:val="24"/>
        </w:rPr>
      </w:pPr>
      <w:r>
        <w:rPr>
          <w:rFonts w:hint="eastAsia" w:ascii="宋体"/>
          <w:b/>
          <w:bCs/>
          <w:sz w:val="24"/>
          <w:szCs w:val="24"/>
        </w:rPr>
        <w:t>水轮发电机组推荐品牌：</w:t>
      </w:r>
      <w:r>
        <w:rPr>
          <w:rFonts w:hint="eastAsia" w:ascii="宋体" w:hAnsi="宋体"/>
          <w:snapToGrid w:val="0"/>
          <w:sz w:val="24"/>
          <w:szCs w:val="24"/>
        </w:rPr>
        <w:t>杭发发电、杭州三汇、江河机电、杭州诚德、杭州大路相当于或优于品牌</w:t>
      </w:r>
    </w:p>
    <w:p w14:paraId="61EAEC76">
      <w:pPr>
        <w:numPr>
          <w:ilvl w:val="0"/>
          <w:numId w:val="4"/>
        </w:numPr>
        <w:tabs>
          <w:tab w:val="left" w:pos="1260"/>
        </w:tabs>
        <w:adjustRightInd w:val="0"/>
        <w:snapToGrid w:val="0"/>
        <w:spacing w:line="360" w:lineRule="auto"/>
        <w:ind w:firstLine="400"/>
        <w:rPr>
          <w:rFonts w:hint="eastAsia" w:ascii="宋体" w:hAnsi="宋体"/>
          <w:snapToGrid w:val="0"/>
          <w:sz w:val="24"/>
          <w:szCs w:val="24"/>
        </w:rPr>
      </w:pPr>
      <w:r>
        <w:rPr>
          <w:rFonts w:hint="eastAsia" w:ascii="宋体"/>
          <w:b/>
          <w:bCs/>
          <w:sz w:val="24"/>
          <w:szCs w:val="24"/>
        </w:rPr>
        <w:t>调速器</w:t>
      </w:r>
      <w:bookmarkStart w:id="26" w:name="_Hlk214562217"/>
      <w:r>
        <w:rPr>
          <w:rFonts w:hint="eastAsia" w:ascii="宋体"/>
          <w:b/>
          <w:bCs/>
          <w:sz w:val="24"/>
          <w:szCs w:val="24"/>
        </w:rPr>
        <w:t>推荐品牌</w:t>
      </w:r>
      <w:bookmarkEnd w:id="26"/>
      <w:r>
        <w:rPr>
          <w:rFonts w:hint="eastAsia" w:ascii="宋体"/>
          <w:b/>
          <w:bCs/>
          <w:sz w:val="24"/>
          <w:szCs w:val="24"/>
        </w:rPr>
        <w:t>：</w:t>
      </w:r>
      <w:r>
        <w:rPr>
          <w:rFonts w:hint="eastAsia" w:ascii="宋体" w:hAnsi="宋体"/>
          <w:snapToGrid w:val="0"/>
          <w:sz w:val="24"/>
          <w:szCs w:val="24"/>
        </w:rPr>
        <w:t>武汉三联、武汉长控、能事达、天津天传、三和电控相当于或优于品牌</w:t>
      </w:r>
    </w:p>
    <w:p w14:paraId="0C7E5199">
      <w:pPr>
        <w:numPr>
          <w:ilvl w:val="0"/>
          <w:numId w:val="4"/>
        </w:numPr>
        <w:tabs>
          <w:tab w:val="left" w:pos="1260"/>
        </w:tabs>
        <w:adjustRightInd w:val="0"/>
        <w:snapToGrid w:val="0"/>
        <w:spacing w:line="360" w:lineRule="auto"/>
        <w:ind w:firstLine="400"/>
        <w:rPr>
          <w:rFonts w:hint="eastAsia" w:ascii="宋体" w:hAnsi="宋体"/>
          <w:snapToGrid w:val="0"/>
          <w:sz w:val="24"/>
          <w:szCs w:val="24"/>
        </w:rPr>
      </w:pPr>
      <w:r>
        <w:rPr>
          <w:rFonts w:hint="eastAsia" w:ascii="宋体"/>
          <w:b/>
          <w:bCs/>
          <w:sz w:val="24"/>
          <w:szCs w:val="24"/>
        </w:rPr>
        <w:t>变压器推荐品牌：</w:t>
      </w:r>
      <w:r>
        <w:rPr>
          <w:rFonts w:hint="eastAsia" w:ascii="宋体" w:hAnsi="宋体"/>
          <w:snapToGrid w:val="0"/>
          <w:sz w:val="24"/>
          <w:szCs w:val="24"/>
        </w:rPr>
        <w:t>三变科技、钱江变、江山变、申达电气、</w:t>
      </w:r>
      <w:r>
        <w:rPr>
          <w:rFonts w:ascii="宋体" w:hAnsi="宋体"/>
          <w:snapToGrid w:val="0"/>
          <w:sz w:val="24"/>
          <w:szCs w:val="24"/>
        </w:rPr>
        <w:t>山东泰开</w:t>
      </w:r>
      <w:r>
        <w:rPr>
          <w:rFonts w:hint="eastAsia" w:ascii="宋体" w:hAnsi="宋体"/>
          <w:snapToGrid w:val="0"/>
          <w:sz w:val="24"/>
          <w:szCs w:val="24"/>
        </w:rPr>
        <w:t>相当于或优于品牌</w:t>
      </w:r>
    </w:p>
    <w:p w14:paraId="650D0F2E">
      <w:pPr>
        <w:numPr>
          <w:ilvl w:val="0"/>
          <w:numId w:val="4"/>
        </w:numPr>
        <w:adjustRightInd w:val="0"/>
        <w:snapToGrid w:val="0"/>
        <w:spacing w:line="360" w:lineRule="auto"/>
        <w:ind w:firstLine="400"/>
        <w:rPr>
          <w:rFonts w:hint="eastAsia" w:ascii="宋体" w:hAnsi="宋体"/>
          <w:snapToGrid w:val="0"/>
          <w:sz w:val="24"/>
          <w:szCs w:val="24"/>
        </w:rPr>
      </w:pPr>
      <w:r>
        <w:rPr>
          <w:rFonts w:ascii="宋体"/>
          <w:b/>
          <w:bCs/>
          <w:sz w:val="24"/>
          <w:szCs w:val="24"/>
        </w:rPr>
        <w:t>35kV开关设备</w:t>
      </w:r>
      <w:r>
        <w:rPr>
          <w:rFonts w:hint="eastAsia" w:ascii="宋体"/>
          <w:b/>
          <w:bCs/>
          <w:sz w:val="24"/>
          <w:szCs w:val="24"/>
        </w:rPr>
        <w:t>及高、低压开关柜推荐品牌：</w:t>
      </w:r>
      <w:r>
        <w:rPr>
          <w:rFonts w:hint="eastAsia" w:ascii="宋体" w:hAnsi="宋体"/>
          <w:snapToGrid w:val="0"/>
          <w:sz w:val="24"/>
          <w:szCs w:val="24"/>
        </w:rPr>
        <w:t>申达电气、正泰电气、晨峰电气、</w:t>
      </w:r>
      <w:r>
        <w:rPr>
          <w:rFonts w:ascii="宋体" w:hAnsi="宋体"/>
          <w:snapToGrid w:val="0"/>
          <w:sz w:val="24"/>
          <w:szCs w:val="24"/>
        </w:rPr>
        <w:t>山东泰开</w:t>
      </w:r>
      <w:r>
        <w:rPr>
          <w:rFonts w:hint="eastAsia" w:ascii="宋体" w:hAnsi="宋体"/>
          <w:snapToGrid w:val="0"/>
          <w:sz w:val="24"/>
          <w:szCs w:val="24"/>
        </w:rPr>
        <w:t>、江苏如高相当于或优于品牌</w:t>
      </w:r>
    </w:p>
    <w:p w14:paraId="410C452E">
      <w:pPr>
        <w:numPr>
          <w:ilvl w:val="0"/>
          <w:numId w:val="4"/>
        </w:numPr>
        <w:adjustRightInd w:val="0"/>
        <w:snapToGrid w:val="0"/>
        <w:spacing w:line="360" w:lineRule="auto"/>
        <w:ind w:firstLine="400"/>
        <w:rPr>
          <w:rFonts w:hint="eastAsia" w:ascii="宋体" w:hAnsi="宋体"/>
          <w:snapToGrid w:val="0"/>
          <w:sz w:val="24"/>
          <w:szCs w:val="24"/>
        </w:rPr>
      </w:pPr>
      <w:r>
        <w:rPr>
          <w:rFonts w:hint="eastAsia" w:ascii="宋体"/>
          <w:b/>
          <w:bCs/>
          <w:sz w:val="24"/>
          <w:szCs w:val="24"/>
        </w:rPr>
        <w:t>计算机监控系统、视频监视系统推荐品牌：</w:t>
      </w:r>
      <w:r>
        <w:rPr>
          <w:rFonts w:hint="eastAsia" w:ascii="宋体" w:hAnsi="宋体"/>
          <w:snapToGrid w:val="0"/>
          <w:sz w:val="24"/>
          <w:szCs w:val="24"/>
        </w:rPr>
        <w:t>华自</w:t>
      </w:r>
      <w:r>
        <w:rPr>
          <w:rFonts w:ascii="宋体" w:hAnsi="宋体"/>
          <w:snapToGrid w:val="0"/>
          <w:sz w:val="24"/>
          <w:szCs w:val="24"/>
        </w:rPr>
        <w:t>科技</w:t>
      </w:r>
      <w:r>
        <w:rPr>
          <w:rFonts w:hint="eastAsia" w:ascii="宋体" w:hAnsi="宋体"/>
          <w:snapToGrid w:val="0"/>
          <w:sz w:val="24"/>
          <w:szCs w:val="24"/>
        </w:rPr>
        <w:t>、</w:t>
      </w:r>
      <w:r>
        <w:rPr>
          <w:rFonts w:ascii="宋体" w:hAnsi="宋体"/>
          <w:snapToGrid w:val="0"/>
          <w:sz w:val="24"/>
          <w:szCs w:val="24"/>
        </w:rPr>
        <w:t>国电</w:t>
      </w:r>
      <w:r>
        <w:rPr>
          <w:rFonts w:hint="eastAsia" w:ascii="宋体" w:hAnsi="宋体"/>
          <w:snapToGrid w:val="0"/>
          <w:sz w:val="24"/>
          <w:szCs w:val="24"/>
        </w:rPr>
        <w:t>南瑞、中水三立、</w:t>
      </w:r>
      <w:r>
        <w:rPr>
          <w:rFonts w:ascii="宋体" w:hAnsi="宋体"/>
          <w:snapToGrid w:val="0"/>
          <w:sz w:val="24"/>
          <w:szCs w:val="24"/>
        </w:rPr>
        <w:t>西湖电子</w:t>
      </w:r>
      <w:r>
        <w:rPr>
          <w:rFonts w:hint="eastAsia" w:ascii="宋体" w:hAnsi="宋体"/>
          <w:snapToGrid w:val="0"/>
          <w:sz w:val="24"/>
          <w:szCs w:val="24"/>
        </w:rPr>
        <w:t>、</w:t>
      </w:r>
      <w:r>
        <w:rPr>
          <w:rFonts w:ascii="宋体" w:hAnsi="宋体"/>
          <w:snapToGrid w:val="0"/>
          <w:sz w:val="24"/>
          <w:szCs w:val="24"/>
        </w:rPr>
        <w:t>南水科技</w:t>
      </w:r>
      <w:r>
        <w:rPr>
          <w:rFonts w:hint="eastAsia" w:ascii="宋体" w:hAnsi="宋体"/>
          <w:snapToGrid w:val="0"/>
          <w:sz w:val="24"/>
          <w:szCs w:val="24"/>
        </w:rPr>
        <w:t>相当于或优于品牌</w:t>
      </w:r>
    </w:p>
    <w:p w14:paraId="1F45B51F">
      <w:pPr>
        <w:numPr>
          <w:ilvl w:val="0"/>
          <w:numId w:val="4"/>
        </w:numPr>
        <w:spacing w:line="276" w:lineRule="auto"/>
        <w:ind w:firstLine="400"/>
        <w:rPr>
          <w:rFonts w:hint="eastAsia" w:asciiTheme="minorEastAsia" w:hAnsiTheme="minorEastAsia" w:eastAsiaTheme="minorEastAsia" w:cstheme="minorEastAsia"/>
          <w:color w:val="auto"/>
        </w:rPr>
      </w:pPr>
      <w:r>
        <w:rPr>
          <w:rFonts w:hint="eastAsia" w:ascii="宋体"/>
          <w:b/>
          <w:bCs/>
          <w:sz w:val="24"/>
          <w:szCs w:val="24"/>
        </w:rPr>
        <w:t>电缆推荐品牌：</w:t>
      </w:r>
      <w:r>
        <w:rPr>
          <w:rFonts w:hint="eastAsia" w:ascii="宋体" w:hAnsi="宋体"/>
          <w:snapToGrid w:val="0"/>
          <w:sz w:val="24"/>
          <w:szCs w:val="24"/>
        </w:rPr>
        <w:t>浙江万马、宁波东方、宁波球冠、</w:t>
      </w:r>
      <w:r>
        <w:rPr>
          <w:rFonts w:ascii="宋体" w:hAnsi="宋体"/>
          <w:snapToGrid w:val="0"/>
          <w:sz w:val="24"/>
          <w:szCs w:val="24"/>
        </w:rPr>
        <w:t>上上</w:t>
      </w:r>
      <w:r>
        <w:rPr>
          <w:rFonts w:hint="eastAsia" w:ascii="宋体" w:hAnsi="宋体"/>
          <w:snapToGrid w:val="0"/>
          <w:sz w:val="24"/>
          <w:szCs w:val="24"/>
        </w:rPr>
        <w:t>、上海胜华相当于或优于品牌</w:t>
      </w:r>
    </w:p>
    <w:p w14:paraId="2A14AE42">
      <w:pPr>
        <w:pStyle w:val="2"/>
        <w:numPr>
          <w:ilvl w:val="255"/>
          <w:numId w:val="0"/>
        </w:numPr>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color w:val="auto"/>
        </w:rPr>
        <w:t>三、技术参数要求</w:t>
      </w:r>
    </w:p>
    <w:p w14:paraId="1B524B4A">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第1章 概述</w:t>
      </w:r>
    </w:p>
    <w:p w14:paraId="457012F8">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1.1工程概况</w:t>
      </w:r>
    </w:p>
    <w:p w14:paraId="77D0A6A6">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罗村水库下设3个梯级电站，分别为罗村一级、二级和三级电站。其中罗村一级和二级电站于2018年实施增效扩容改造。扩容改造后，一级电站装机容量为2×700kW，总设计流量为2×1.81m</w:t>
      </w:r>
      <w:r>
        <w:rPr>
          <w:rFonts w:hint="eastAsia" w:asciiTheme="minorEastAsia" w:hAnsiTheme="minorEastAsia" w:eastAsiaTheme="minorEastAsia" w:cstheme="minorEastAsia"/>
          <w:color w:val="auto"/>
          <w:szCs w:val="21"/>
          <w:vertAlign w:val="superscript"/>
        </w:rPr>
        <w:t>3</w:t>
      </w:r>
      <w:r>
        <w:rPr>
          <w:rFonts w:hint="eastAsia" w:asciiTheme="minorEastAsia" w:hAnsiTheme="minorEastAsia" w:eastAsiaTheme="minorEastAsia" w:cstheme="minorEastAsia"/>
          <w:color w:val="auto"/>
          <w:szCs w:val="21"/>
        </w:rPr>
        <w:t>/s；二级电站装机1×630kW+1×800kW，总设计流量3.71m</w:t>
      </w:r>
      <w:r>
        <w:rPr>
          <w:rFonts w:hint="eastAsia" w:asciiTheme="minorEastAsia" w:hAnsiTheme="minorEastAsia" w:eastAsiaTheme="minorEastAsia" w:cstheme="minorEastAsia"/>
          <w:color w:val="auto"/>
          <w:szCs w:val="21"/>
          <w:vertAlign w:val="superscript"/>
        </w:rPr>
        <w:t>3</w:t>
      </w:r>
      <w:r>
        <w:rPr>
          <w:rFonts w:hint="eastAsia" w:asciiTheme="minorEastAsia" w:hAnsiTheme="minorEastAsia" w:eastAsiaTheme="minorEastAsia" w:cstheme="minorEastAsia"/>
          <w:color w:val="auto"/>
          <w:szCs w:val="21"/>
        </w:rPr>
        <w:t>/s。罗村三级电站于1999年投产发电，电站引二级电站尾水、一级与二级电站区间来水发电，装机容量2×1000kW，设计水头61m，设计流量2×2m</w:t>
      </w:r>
      <w:r>
        <w:rPr>
          <w:rFonts w:hint="eastAsia" w:asciiTheme="minorEastAsia" w:hAnsiTheme="minorEastAsia" w:eastAsiaTheme="minorEastAsia" w:cstheme="minorEastAsia"/>
          <w:color w:val="auto"/>
          <w:szCs w:val="21"/>
          <w:vertAlign w:val="superscript"/>
        </w:rPr>
        <w:t>3</w:t>
      </w:r>
      <w:r>
        <w:rPr>
          <w:rFonts w:hint="eastAsia" w:asciiTheme="minorEastAsia" w:hAnsiTheme="minorEastAsia" w:eastAsiaTheme="minorEastAsia" w:cstheme="minorEastAsia"/>
          <w:color w:val="auto"/>
          <w:szCs w:val="21"/>
        </w:rPr>
        <w:t>/s。本次改造，考虑到电站原有引水系统的过流能力，三级电站装机容量不变，引水流量基本不做改变，保证引水系统的安全性。</w:t>
      </w:r>
    </w:p>
    <w:p w14:paraId="3B7C8150">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1.2工作内容</w:t>
      </w:r>
    </w:p>
    <w:p w14:paraId="56A8EB84">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（1）本标段机电设备供货范围为电站内涉及的所有机电设备。本文件中未说明的但与设计、制造、工厂试验、包装、运输、保管、安装、现场试验和运行维护等相关的工作，均按相关标准执行。</w:t>
      </w:r>
    </w:p>
    <w:p w14:paraId="28309FDC">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承包人应完成本合同文件涉及的以下合同设备的设计、制造、工厂试验、包装、运输、交货、技术资料的提供、技术服务、联合试运行和无故障试运行，以及交接验收，并对上述工作范围内的工作负全部责任。</w:t>
      </w:r>
    </w:p>
    <w:p w14:paraId="7CE3C228">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（3）按本合同的要求，完成与泵站设计有关的设计联络；接受发包人代表参加工厂检验、监造、见证工厂试验和参加工厂验收；</w:t>
      </w:r>
    </w:p>
    <w:p w14:paraId="64CE5CAA">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（4）负责与各分包人之间的技术联络和协调。</w:t>
      </w:r>
    </w:p>
    <w:p w14:paraId="54E0C8F2">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（5）在工厂和现场对发包人人员进行合同设备性能、组装、试验、运行和维护等方面的培训。</w:t>
      </w:r>
    </w:p>
    <w:p w14:paraId="2E261E90">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 供货范围</w:t>
      </w:r>
    </w:p>
    <w:p w14:paraId="1713D7F0">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lang w:val="zh-CN"/>
        </w:rPr>
        <w:t>（</w:t>
      </w:r>
      <w:r>
        <w:rPr>
          <w:rFonts w:hint="eastAsia" w:asciiTheme="minorEastAsia" w:hAnsiTheme="minorEastAsia" w:eastAsiaTheme="minorEastAsia" w:cstheme="minorEastAsia"/>
          <w:color w:val="auto"/>
          <w:szCs w:val="21"/>
        </w:rPr>
        <w:t>1）2台套与1000kW发电机相配套的卧式混流式水轮机及其附属设备、专用工器具和备品备件（详见“技术条款”）；</w:t>
      </w:r>
    </w:p>
    <w:p w14:paraId="4CE3CE15">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（2）2台套1000kW（1250kVA）卧式水轮发电机及其附属设备、专用工器具和备品备件（详见“技术条款”）；</w:t>
      </w:r>
    </w:p>
    <w:p w14:paraId="05731E22">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（3）2台套与直径为φ800mm、设计压力为1.0MPa的电动蝶阀相配套的旁通管、旁通阀及其附属设备、专用工器具和备品备件（详见“技术条款”）；</w:t>
      </w:r>
    </w:p>
    <w:p w14:paraId="4B80312F">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（4）2台套调速功为600kg·m的微机调速器及其附属设备、专用工器具和备品备件（详见“技术条款”）；</w:t>
      </w:r>
    </w:p>
    <w:p w14:paraId="6280AE38">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（5）电站供排水、量测等辅助系统设备（详见“技术条款”）；</w:t>
      </w:r>
    </w:p>
    <w:p w14:paraId="3F100B9C">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（6）电站采暖通风系统设备；</w:t>
      </w:r>
    </w:p>
    <w:p w14:paraId="01A0A112">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（7）电站35kV户外配电设备（详见“技术条款”）；</w:t>
      </w:r>
    </w:p>
    <w:p w14:paraId="0A4FECFC">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（8）电站变压器及其附属设备（详见“技术条款”）；</w:t>
      </w:r>
    </w:p>
    <w:p w14:paraId="374330ED">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（9）电站高低压成套开关设备（详见“技术条款”）；</w:t>
      </w:r>
    </w:p>
    <w:p w14:paraId="27B8CDFA">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（10）电站计算机监控系统设备（详见“技术条款”）；</w:t>
      </w:r>
    </w:p>
    <w:p w14:paraId="77C2B1C1">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（11）电站视频监视系统设备（详见“技术条款”）；</w:t>
      </w:r>
    </w:p>
    <w:p w14:paraId="032A3353">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（12）电站直流电源装置设备（详见“技术条款”）；</w:t>
      </w:r>
    </w:p>
    <w:p w14:paraId="04FFB486">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（13）电站继电保护装置设备（详见“技术条款”）；</w:t>
      </w:r>
    </w:p>
    <w:p w14:paraId="60BD2317">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（14）电站电站电缆敷设；</w:t>
      </w:r>
    </w:p>
    <w:p w14:paraId="52F812D8">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（15）电站电站防雷及接地装置；</w:t>
      </w:r>
    </w:p>
    <w:p w14:paraId="11F7CFCC">
      <w:pPr>
        <w:spacing w:line="276" w:lineRule="auto"/>
        <w:ind w:firstLine="3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（16）电站电站户内外照明装置；</w:t>
      </w:r>
    </w:p>
    <w:p w14:paraId="6D7FF983">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1.4工程所在地基本条件</w:t>
      </w:r>
    </w:p>
    <w:p w14:paraId="62848C98">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1.4.1气象</w:t>
      </w:r>
    </w:p>
    <w:p w14:paraId="4B08D305">
      <w:pPr>
        <w:ind w:firstLine="5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建德市属亚热带季风气候区，气候温和，雨量充沛。多年平均气温16.7℃，极端最高气温42.9℃，出现在7月，极端最低气温－8.5℃，出现在一月。</w:t>
      </w:r>
    </w:p>
    <w:p w14:paraId="7ADB310F">
      <w:pPr>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本地区多年平均降水量为1503.7mm，降水量年内分配很不均匀，4～10月份占全年降水量的69.3%，11月至次年3月份占全年降水量的30.7%。7、8、9月三个月占全年降水量的23.4%，为干旱季节。</w:t>
      </w:r>
    </w:p>
    <w:p w14:paraId="29C675CC">
      <w:pPr>
        <w:ind w:firstLine="5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多年年平均风速1.65m/s，历年最大风速18.0m/s，风向为NW，多年平均日照时数为1940小时。</w:t>
      </w:r>
    </w:p>
    <w:p w14:paraId="25F84F9B">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1.4.2交通</w:t>
      </w:r>
    </w:p>
    <w:p w14:paraId="357226AA">
      <w:pPr>
        <w:ind w:firstLine="5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罗村水库位于建德市乾潭镇罗村，坝址在富春江水库库区左岸支流胥溪上，距离乾潭25km，现已有公路通到坝址，对外交通主要以公路运输为主。320国道经过乾潭镇，对外交通较为方便。</w:t>
      </w:r>
    </w:p>
    <w:p w14:paraId="2362F48F">
      <w:pPr>
        <w:ind w:firstLine="5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铁路方面，新安江火车站与乾潭镇有公路相连，能满足工程转运要求。</w:t>
      </w:r>
    </w:p>
    <w:p w14:paraId="7346A2B1">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1.4.3 厂内电源</w:t>
      </w:r>
    </w:p>
    <w:p w14:paraId="2F0988A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厂用交流电源为三相四线制，50HZ，380/220V电压波动范围为-15%~+10%；频率波动范围为±1%。</w:t>
      </w:r>
    </w:p>
    <w:p w14:paraId="682C120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供控制和保护用的直流电源为220V，电压变化范围为80～110%。</w:t>
      </w:r>
    </w:p>
    <w:p w14:paraId="060E81DA">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1.4.4 起重条件</w:t>
      </w:r>
    </w:p>
    <w:p w14:paraId="25662F2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厂内设有一台10t手动单梁桥式起重机，可供水轮发电机组及其附属设备安装、检修时使用。</w:t>
      </w:r>
    </w:p>
    <w:p w14:paraId="20357734">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1.4.5 厂用压缩空气、润滑油和冷却水</w:t>
      </w:r>
    </w:p>
    <w:p w14:paraId="41B9FC4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厂内设有机组技术供水系统，机组冷却器进水温度不大于28℃，进水压力0.15～0.3MPa，进水流量不小于机组冷却需水量。</w:t>
      </w:r>
    </w:p>
    <w:p w14:paraId="6864DB8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厂内设有低压压缩空气系统，额定工作压力为0.7MPa，可供机组制动和吹扫用气等。</w:t>
      </w:r>
    </w:p>
    <w:p w14:paraId="4641FD2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厂内设有透平油系统，为机组轴承润滑系统和调速系统提供清洁透平油，透平油采用GB11120标准L-TSA46号汽轮机油。</w:t>
      </w:r>
    </w:p>
    <w:p w14:paraId="21655884">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1.4.6 厂房主要尺寸和高程</w:t>
      </w:r>
    </w:p>
    <w:p w14:paraId="3109A16F">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1）厂房主要高程</w:t>
      </w:r>
    </w:p>
    <w:p w14:paraId="5922D0C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尾水底板高程                      </w:t>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98.0m</w:t>
      </w:r>
    </w:p>
    <w:p w14:paraId="3B57707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进水阀坑高程                     </w:t>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99.3m</w:t>
      </w:r>
    </w:p>
    <w:p w14:paraId="2FDDFD5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水轮机层高程                </w:t>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101.7m</w:t>
      </w:r>
    </w:p>
    <w:p w14:paraId="12B66B5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运行层高程                               101.7m</w:t>
      </w:r>
    </w:p>
    <w:p w14:paraId="06B8731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安装场层高程                             102.3m</w:t>
      </w:r>
    </w:p>
    <w:p w14:paraId="1ED2B69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桥机轨顶高程                             107.0m</w:t>
      </w:r>
    </w:p>
    <w:p w14:paraId="0EA36D2E">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2）厂房主要尺寸</w:t>
      </w:r>
    </w:p>
    <w:p w14:paraId="1B5953D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机组间距                          </w:t>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ab/>
      </w:r>
      <w:r>
        <w:rPr>
          <w:rFonts w:hint="eastAsia" w:asciiTheme="minorEastAsia" w:hAnsiTheme="minorEastAsia" w:eastAsiaTheme="minorEastAsia" w:cstheme="minorEastAsia"/>
          <w:snapToGrid w:val="0"/>
          <w:color w:val="auto"/>
          <w:kern w:val="0"/>
          <w:szCs w:val="21"/>
        </w:rPr>
        <w:t>7.9m</w:t>
      </w:r>
    </w:p>
    <w:p w14:paraId="77E8B35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厂房跨度                                 8.0m</w:t>
      </w:r>
    </w:p>
    <w:p w14:paraId="42B90D70">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1.4.7 地震</w:t>
      </w:r>
    </w:p>
    <w:p w14:paraId="7126E4C5">
      <w:pPr>
        <w:ind w:firstLine="56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地震动反应谱特征周期为0.35s，地震动峰值加速度小于0.05g，对应的地震基本烈度小于Ⅵ度，本工程不考虑抗震设防。</w:t>
      </w:r>
    </w:p>
    <w:p w14:paraId="09E76728">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1.5电站基本参数</w:t>
      </w:r>
    </w:p>
    <w:p w14:paraId="0B3F0C19">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1.5.1压力前池水位</w:t>
      </w:r>
    </w:p>
    <w:p w14:paraId="1FCF8923">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正常蓄水位</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162.44m</w:t>
      </w:r>
    </w:p>
    <w:p w14:paraId="0E6C6CE2">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1.5.2电站尾水位</w:t>
      </w:r>
    </w:p>
    <w:p w14:paraId="0976E75D">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最低尾水位（单台满发）：</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99.93m</w:t>
      </w:r>
    </w:p>
    <w:p w14:paraId="6680E19E">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正常尾水位（两台满发）：</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100.75m</w:t>
      </w:r>
    </w:p>
    <w:p w14:paraId="1C53AF39">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设计洪水位（P=3.3%）：</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101.39m</w:t>
      </w:r>
    </w:p>
    <w:p w14:paraId="738F91EA">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校核洪水位（P=1%）：</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101.87m</w:t>
      </w:r>
    </w:p>
    <w:p w14:paraId="797E2BEE">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1.5.3 水轮机水头</w:t>
      </w:r>
    </w:p>
    <w:p w14:paraId="04E2A4A7">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最大水头</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61.1m</w:t>
      </w:r>
    </w:p>
    <w:p w14:paraId="37E274D1">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额定水头</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60.0m</w:t>
      </w:r>
    </w:p>
    <w:p w14:paraId="0FFE52F6">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最小水头</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59.1m</w:t>
      </w:r>
    </w:p>
    <w:p w14:paraId="61817BE5">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1.5.4其它参数</w:t>
      </w:r>
    </w:p>
    <w:p w14:paraId="238FC7DC">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装机容量：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2×1000kW</w:t>
      </w:r>
    </w:p>
    <w:p w14:paraId="3ED052D4">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水力损失系数：</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0.3784Q</w:t>
      </w:r>
      <w:r>
        <w:rPr>
          <w:rFonts w:hint="eastAsia" w:asciiTheme="minorEastAsia" w:hAnsiTheme="minorEastAsia" w:eastAsiaTheme="minorEastAsia" w:cstheme="minorEastAsia"/>
          <w:color w:val="auto"/>
          <w:szCs w:val="21"/>
          <w:vertAlign w:val="superscript"/>
        </w:rPr>
        <w:t>2</w:t>
      </w:r>
      <w:r>
        <w:rPr>
          <w:rFonts w:hint="eastAsia" w:asciiTheme="minorEastAsia" w:hAnsiTheme="minorEastAsia" w:eastAsiaTheme="minorEastAsia" w:cstheme="minorEastAsia"/>
          <w:color w:val="auto"/>
          <w:szCs w:val="21"/>
        </w:rPr>
        <w:t>（Q为单机流量）</w:t>
      </w:r>
    </w:p>
    <w:p w14:paraId="21AC2CB1">
      <w:pPr>
        <w:spacing w:line="276"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多年平均发电量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603万kW·h</w:t>
      </w:r>
    </w:p>
    <w:p w14:paraId="1E4E99DD">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1.5.5 引水系统参数</w:t>
      </w:r>
    </w:p>
    <w:p w14:paraId="644E7D19">
      <w:pPr>
        <w:spacing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引水系统接自压力前池，通过515.6m的输水隧洞（衬后洞径1.8m）、25m的压力钢管（管径1.4m）和将近10m的岔管（管径0.9m）进入机组。</w:t>
      </w:r>
    </w:p>
    <w:p w14:paraId="4346BEDF">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"_Toc77950338"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6 标准</w:t>
      </w:r>
      <w:r>
        <w:rPr>
          <w:rFonts w:hint="eastAsia" w:asciiTheme="minorEastAsia" w:hAnsiTheme="minorEastAsia" w:eastAsiaTheme="minorEastAsia" w:cstheme="minorEastAsia"/>
          <w:bCs w:val="0"/>
          <w:color w:val="auto"/>
          <w:sz w:val="21"/>
          <w:szCs w:val="21"/>
        </w:rPr>
        <w:fldChar w:fldCharType="end"/>
      </w:r>
    </w:p>
    <w:p w14:paraId="465B7474">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1.6.1 总体要求</w:t>
      </w:r>
    </w:p>
    <w:p w14:paraId="08429D5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1.6.1.1 承包人在设备设计、制造、安装中应优先采用行业标准和中华人民共和国国家标准。如果承包人设计、制造、工艺和材料所采用的标准未包括在标准清单中，则承包人应提供替代标准供发包人选用。替代标准应相当或优于本文件规定的标准，并经发包人同意。</w:t>
      </w:r>
    </w:p>
    <w:p w14:paraId="02D44F1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1.6.1.2 如标准之间内容有矛盾，则按较高标准条款执行，或者向发包人加以说明，双方协商解决。</w:t>
      </w:r>
    </w:p>
    <w:p w14:paraId="7216B28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1.6.1.3 承包人应向发包人说明设备材料、设计、制造、试验、调试和运行所涉及的标准。所执行的标准应是已颁布的最新版本。</w:t>
      </w:r>
    </w:p>
    <w:p w14:paraId="0A918C0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1.6.1.4 本文件中未提及，但在设计和制造过程中是必须的，也应采用相应的行业和国家标准。</w:t>
      </w:r>
    </w:p>
    <w:p w14:paraId="30AB975E">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1.6.2 标准机构或名称缩写</w:t>
      </w:r>
    </w:p>
    <w:tbl>
      <w:tblPr>
        <w:tblStyle w:val="65"/>
        <w:tblW w:w="0" w:type="auto"/>
        <w:jc w:val="center"/>
        <w:tblLayout w:type="fixed"/>
        <w:tblCellMar>
          <w:top w:w="0" w:type="dxa"/>
          <w:left w:w="108" w:type="dxa"/>
          <w:bottom w:w="0" w:type="dxa"/>
          <w:right w:w="108" w:type="dxa"/>
        </w:tblCellMar>
      </w:tblPr>
      <w:tblGrid>
        <w:gridCol w:w="3652"/>
        <w:gridCol w:w="1276"/>
      </w:tblGrid>
      <w:tr w14:paraId="17ACB260">
        <w:tblPrEx>
          <w:tblCellMar>
            <w:top w:w="0" w:type="dxa"/>
            <w:left w:w="108" w:type="dxa"/>
            <w:bottom w:w="0" w:type="dxa"/>
            <w:right w:w="108" w:type="dxa"/>
          </w:tblCellMar>
        </w:tblPrEx>
        <w:trPr>
          <w:trHeight w:val="397" w:hRule="atLeast"/>
          <w:jc w:val="center"/>
        </w:trPr>
        <w:tc>
          <w:tcPr>
            <w:tcW w:w="3652" w:type="dxa"/>
            <w:vAlign w:val="center"/>
          </w:tcPr>
          <w:p w14:paraId="590C0B3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机构或标准名称</w:t>
            </w:r>
          </w:p>
        </w:tc>
        <w:tc>
          <w:tcPr>
            <w:tcW w:w="1276" w:type="dxa"/>
            <w:vAlign w:val="center"/>
          </w:tcPr>
          <w:p w14:paraId="786CC54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缩写</w:t>
            </w:r>
          </w:p>
        </w:tc>
      </w:tr>
      <w:tr w14:paraId="6166BE04">
        <w:tblPrEx>
          <w:tblCellMar>
            <w:top w:w="0" w:type="dxa"/>
            <w:left w:w="108" w:type="dxa"/>
            <w:bottom w:w="0" w:type="dxa"/>
            <w:right w:w="108" w:type="dxa"/>
          </w:tblCellMar>
        </w:tblPrEx>
        <w:trPr>
          <w:trHeight w:val="397" w:hRule="atLeast"/>
          <w:jc w:val="center"/>
        </w:trPr>
        <w:tc>
          <w:tcPr>
            <w:tcW w:w="3652" w:type="dxa"/>
            <w:vAlign w:val="center"/>
          </w:tcPr>
          <w:p w14:paraId="0A37DA8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中华人民共和国国家标准</w:t>
            </w:r>
          </w:p>
        </w:tc>
        <w:tc>
          <w:tcPr>
            <w:tcW w:w="1276" w:type="dxa"/>
            <w:vAlign w:val="center"/>
          </w:tcPr>
          <w:p w14:paraId="729F3AE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w:t>
            </w:r>
          </w:p>
        </w:tc>
      </w:tr>
      <w:tr w14:paraId="6F2F7F41">
        <w:tblPrEx>
          <w:tblCellMar>
            <w:top w:w="0" w:type="dxa"/>
            <w:left w:w="108" w:type="dxa"/>
            <w:bottom w:w="0" w:type="dxa"/>
            <w:right w:w="108" w:type="dxa"/>
          </w:tblCellMar>
        </w:tblPrEx>
        <w:trPr>
          <w:trHeight w:val="397" w:hRule="atLeast"/>
          <w:jc w:val="center"/>
        </w:trPr>
        <w:tc>
          <w:tcPr>
            <w:tcW w:w="3652" w:type="dxa"/>
            <w:vAlign w:val="center"/>
          </w:tcPr>
          <w:p w14:paraId="0571AAA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电力行业标准</w:t>
            </w:r>
          </w:p>
        </w:tc>
        <w:tc>
          <w:tcPr>
            <w:tcW w:w="1276" w:type="dxa"/>
            <w:vAlign w:val="center"/>
          </w:tcPr>
          <w:p w14:paraId="47773A6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DL</w:t>
            </w:r>
          </w:p>
        </w:tc>
      </w:tr>
      <w:tr w14:paraId="75414CE8">
        <w:tblPrEx>
          <w:tblCellMar>
            <w:top w:w="0" w:type="dxa"/>
            <w:left w:w="108" w:type="dxa"/>
            <w:bottom w:w="0" w:type="dxa"/>
            <w:right w:w="108" w:type="dxa"/>
          </w:tblCellMar>
        </w:tblPrEx>
        <w:trPr>
          <w:trHeight w:val="397" w:hRule="atLeast"/>
          <w:jc w:val="center"/>
        </w:trPr>
        <w:tc>
          <w:tcPr>
            <w:tcW w:w="3652" w:type="dxa"/>
            <w:vAlign w:val="center"/>
          </w:tcPr>
          <w:p w14:paraId="3192949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能源部标准                     </w:t>
            </w:r>
          </w:p>
        </w:tc>
        <w:tc>
          <w:tcPr>
            <w:tcW w:w="1276" w:type="dxa"/>
            <w:vAlign w:val="center"/>
          </w:tcPr>
          <w:p w14:paraId="2CCF2F3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NB</w:t>
            </w:r>
          </w:p>
        </w:tc>
      </w:tr>
      <w:tr w14:paraId="12E01C13">
        <w:tblPrEx>
          <w:tblCellMar>
            <w:top w:w="0" w:type="dxa"/>
            <w:left w:w="108" w:type="dxa"/>
            <w:bottom w:w="0" w:type="dxa"/>
            <w:right w:w="108" w:type="dxa"/>
          </w:tblCellMar>
        </w:tblPrEx>
        <w:trPr>
          <w:trHeight w:val="397" w:hRule="atLeast"/>
          <w:jc w:val="center"/>
        </w:trPr>
        <w:tc>
          <w:tcPr>
            <w:tcW w:w="3652" w:type="dxa"/>
            <w:vAlign w:val="center"/>
          </w:tcPr>
          <w:p w14:paraId="2E2002A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水利行业标准</w:t>
            </w:r>
          </w:p>
        </w:tc>
        <w:tc>
          <w:tcPr>
            <w:tcW w:w="1276" w:type="dxa"/>
            <w:vAlign w:val="center"/>
          </w:tcPr>
          <w:p w14:paraId="1B06B75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SL</w:t>
            </w:r>
          </w:p>
        </w:tc>
      </w:tr>
      <w:tr w14:paraId="1C924AD4">
        <w:tblPrEx>
          <w:tblCellMar>
            <w:top w:w="0" w:type="dxa"/>
            <w:left w:w="108" w:type="dxa"/>
            <w:bottom w:w="0" w:type="dxa"/>
            <w:right w:w="108" w:type="dxa"/>
          </w:tblCellMar>
        </w:tblPrEx>
        <w:trPr>
          <w:trHeight w:val="397" w:hRule="atLeast"/>
          <w:jc w:val="center"/>
        </w:trPr>
        <w:tc>
          <w:tcPr>
            <w:tcW w:w="3652" w:type="dxa"/>
            <w:vAlign w:val="center"/>
          </w:tcPr>
          <w:p w14:paraId="2984155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机械部标准</w:t>
            </w:r>
          </w:p>
        </w:tc>
        <w:tc>
          <w:tcPr>
            <w:tcW w:w="1276" w:type="dxa"/>
            <w:vAlign w:val="center"/>
          </w:tcPr>
          <w:p w14:paraId="1EA7C3A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JB</w:t>
            </w:r>
          </w:p>
        </w:tc>
      </w:tr>
      <w:tr w14:paraId="44C8F980">
        <w:tblPrEx>
          <w:tblCellMar>
            <w:top w:w="0" w:type="dxa"/>
            <w:left w:w="108" w:type="dxa"/>
            <w:bottom w:w="0" w:type="dxa"/>
            <w:right w:w="108" w:type="dxa"/>
          </w:tblCellMar>
        </w:tblPrEx>
        <w:trPr>
          <w:trHeight w:val="397" w:hRule="atLeast"/>
          <w:jc w:val="center"/>
        </w:trPr>
        <w:tc>
          <w:tcPr>
            <w:tcW w:w="3652" w:type="dxa"/>
            <w:vAlign w:val="center"/>
          </w:tcPr>
          <w:p w14:paraId="4581BAC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石油部标准</w:t>
            </w:r>
          </w:p>
        </w:tc>
        <w:tc>
          <w:tcPr>
            <w:tcW w:w="1276" w:type="dxa"/>
            <w:vAlign w:val="center"/>
          </w:tcPr>
          <w:p w14:paraId="383A187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SY</w:t>
            </w:r>
          </w:p>
        </w:tc>
      </w:tr>
      <w:tr w14:paraId="428849B4">
        <w:tblPrEx>
          <w:tblCellMar>
            <w:top w:w="0" w:type="dxa"/>
            <w:left w:w="108" w:type="dxa"/>
            <w:bottom w:w="0" w:type="dxa"/>
            <w:right w:w="108" w:type="dxa"/>
          </w:tblCellMar>
        </w:tblPrEx>
        <w:trPr>
          <w:trHeight w:val="397" w:hRule="atLeast"/>
          <w:jc w:val="center"/>
        </w:trPr>
        <w:tc>
          <w:tcPr>
            <w:tcW w:w="3652" w:type="dxa"/>
            <w:vAlign w:val="center"/>
          </w:tcPr>
          <w:p w14:paraId="08923DF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冶金部标准</w:t>
            </w:r>
          </w:p>
        </w:tc>
        <w:tc>
          <w:tcPr>
            <w:tcW w:w="1276" w:type="dxa"/>
            <w:vAlign w:val="center"/>
          </w:tcPr>
          <w:p w14:paraId="63E624A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YB</w:t>
            </w:r>
          </w:p>
        </w:tc>
      </w:tr>
    </w:tbl>
    <w:p w14:paraId="267C5D0A">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1.6.3 标准</w:t>
      </w:r>
    </w:p>
    <w:p w14:paraId="31F065B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除了在专用技术条款中单列的标准，下列标准也是承包人必需遵守的。</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6744"/>
      </w:tblGrid>
      <w:tr w14:paraId="14DF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43" w:type="pct"/>
            <w:vAlign w:val="center"/>
          </w:tcPr>
          <w:p w14:paraId="6A583C51">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SL223</w:t>
            </w:r>
          </w:p>
        </w:tc>
        <w:tc>
          <w:tcPr>
            <w:tcW w:w="3956" w:type="pct"/>
            <w:vAlign w:val="center"/>
          </w:tcPr>
          <w:p w14:paraId="08ABAAE2">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《水利水电建设工程验收规程》</w:t>
            </w:r>
          </w:p>
        </w:tc>
      </w:tr>
      <w:tr w14:paraId="7600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43" w:type="pct"/>
            <w:vAlign w:val="center"/>
          </w:tcPr>
          <w:p w14:paraId="518458BC">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GB11120</w:t>
            </w:r>
          </w:p>
        </w:tc>
        <w:tc>
          <w:tcPr>
            <w:tcW w:w="3956" w:type="pct"/>
            <w:vAlign w:val="center"/>
          </w:tcPr>
          <w:p w14:paraId="5435FFFD">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《涡轮机油》</w:t>
            </w:r>
          </w:p>
        </w:tc>
      </w:tr>
      <w:tr w14:paraId="029D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43" w:type="pct"/>
          </w:tcPr>
          <w:p w14:paraId="59BD15B0">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GB/T13384</w:t>
            </w:r>
          </w:p>
        </w:tc>
        <w:tc>
          <w:tcPr>
            <w:tcW w:w="3956" w:type="pct"/>
            <w:vAlign w:val="center"/>
          </w:tcPr>
          <w:p w14:paraId="0A057BD9">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《机电产品包装通用技术条件》</w:t>
            </w:r>
          </w:p>
        </w:tc>
      </w:tr>
      <w:tr w14:paraId="31F5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43" w:type="pct"/>
            <w:vAlign w:val="center"/>
          </w:tcPr>
          <w:p w14:paraId="785048D8">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GB8923</w:t>
            </w:r>
          </w:p>
        </w:tc>
        <w:tc>
          <w:tcPr>
            <w:tcW w:w="3956" w:type="pct"/>
            <w:vAlign w:val="center"/>
          </w:tcPr>
          <w:p w14:paraId="787B6CB2">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 w:val="21"/>
                <w:szCs w:val="21"/>
              </w:rPr>
              <w:t>《涂覆涂料前钢材表面处理》</w:t>
            </w:r>
          </w:p>
        </w:tc>
      </w:tr>
      <w:tr w14:paraId="1235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43" w:type="pct"/>
            <w:vAlign w:val="center"/>
          </w:tcPr>
          <w:p w14:paraId="397DDFBE">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GB191</w:t>
            </w:r>
          </w:p>
        </w:tc>
        <w:tc>
          <w:tcPr>
            <w:tcW w:w="3956" w:type="pct"/>
            <w:vAlign w:val="center"/>
          </w:tcPr>
          <w:p w14:paraId="7B23ABA0">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《包装储运图示标志》</w:t>
            </w:r>
          </w:p>
        </w:tc>
      </w:tr>
      <w:tr w14:paraId="13F2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43" w:type="pct"/>
          </w:tcPr>
          <w:p w14:paraId="46942CF0">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SDZ014</w:t>
            </w:r>
          </w:p>
        </w:tc>
        <w:tc>
          <w:tcPr>
            <w:tcW w:w="3956" w:type="pct"/>
            <w:vAlign w:val="center"/>
          </w:tcPr>
          <w:p w14:paraId="775A2229">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《涂漆的一般技术要求》</w:t>
            </w:r>
          </w:p>
        </w:tc>
      </w:tr>
      <w:tr w14:paraId="175F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43" w:type="pct"/>
            <w:vAlign w:val="center"/>
          </w:tcPr>
          <w:p w14:paraId="7473E7FD">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GB9286</w:t>
            </w:r>
          </w:p>
        </w:tc>
        <w:tc>
          <w:tcPr>
            <w:tcW w:w="3956" w:type="pct"/>
            <w:vAlign w:val="center"/>
          </w:tcPr>
          <w:p w14:paraId="26DC9786">
            <w:pPr>
              <w:snapToGrid w:val="0"/>
              <w:spacing w:line="40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《彩色油漆和清漆膜的横切试验》</w:t>
            </w:r>
          </w:p>
        </w:tc>
      </w:tr>
    </w:tbl>
    <w:p w14:paraId="3BEDE2B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"_Toc77950340"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7 材料</w:t>
      </w:r>
      <w:r>
        <w:rPr>
          <w:rFonts w:hint="eastAsia" w:asciiTheme="minorEastAsia" w:hAnsiTheme="minorEastAsia" w:eastAsiaTheme="minorEastAsia" w:cstheme="minorEastAsia"/>
          <w:bCs w:val="0"/>
          <w:color w:val="auto"/>
          <w:sz w:val="21"/>
          <w:szCs w:val="21"/>
        </w:rPr>
        <w:fldChar w:fldCharType="end"/>
      </w:r>
    </w:p>
    <w:p w14:paraId="715BED14">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1.7.1 材料要求</w:t>
      </w:r>
    </w:p>
    <w:p w14:paraId="773665A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1.7.1.1 </w:t>
      </w:r>
      <w:r>
        <w:rPr>
          <w:rFonts w:hint="eastAsia" w:asciiTheme="minorEastAsia" w:hAnsiTheme="minorEastAsia" w:eastAsiaTheme="minorEastAsia" w:cstheme="minorEastAsia"/>
          <w:color w:val="auto"/>
          <w:szCs w:val="21"/>
        </w:rPr>
        <w:t>用于设备的所有材料应是</w:t>
      </w:r>
      <w:r>
        <w:rPr>
          <w:rFonts w:hint="eastAsia" w:asciiTheme="minorEastAsia" w:hAnsiTheme="minorEastAsia" w:eastAsiaTheme="minorEastAsia" w:cstheme="minorEastAsia"/>
          <w:snapToGrid w:val="0"/>
          <w:color w:val="auto"/>
          <w:kern w:val="0"/>
          <w:szCs w:val="21"/>
        </w:rPr>
        <w:t>符合所列标准要求的、全新的、无缺陷的优质材料，质地应均匀、无夹层、空洞或夹杂杂质等缺陷，种类、成分和物理性能应有过优良的工程实践，并能适合相应设备、部件的用途。</w:t>
      </w:r>
    </w:p>
    <w:p w14:paraId="0D83F29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1.7.1.2 如主要设备采用代用材料时，须出具书面报告及相应的材料试验证明，并报经发包人审查同意。</w:t>
      </w:r>
    </w:p>
    <w:p w14:paraId="5F2DAD82">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1.7.2 材料试验</w:t>
      </w:r>
    </w:p>
    <w:p w14:paraId="7E64082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1.7.2.1 承包人应对所用材料的化学成份进行化验，对材料的抗拉强度、屈服强度进行试验。同时还应对主轴和主轴连接螺栓材料进行剪切试验。试验按GB或ASTM的有关规定进行。</w:t>
      </w:r>
    </w:p>
    <w:p w14:paraId="406E700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1.7.2.2 所有用于主要部件的金属材料应作冲击韧性试验，试验应按GB或ASTM的有关规定进行。热轧钢板应同时做纵向和横向冲击试验。主要铸钢件和锻件应做样品弯曲试验、零韧性的临界温度试验。主要部件所用的钢板，若经验证明一贯符合本节所规定的冲击零韧性的要求时，可免作试验，但承包人应提供具有足够证据的资料。</w:t>
      </w:r>
    </w:p>
    <w:p w14:paraId="54E2560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1.7.2.3 承包人应保留足够数量的大型铸钢件、锻件和板材的样品直至保证期结束，供发包人必要时复查复验。</w:t>
      </w:r>
    </w:p>
    <w:p w14:paraId="49BC58E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1.7.2.4 在材料试验完成后30天内，承包人应提供2份正式试验报告。试验报告应标明使用该材料的部件名称，材料的化学成分和机械性能，并包括所有必要的能证实试验结果与技术规范相符合的全部资料。</w:t>
      </w:r>
    </w:p>
    <w:p w14:paraId="62051CCD">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1.7.3 工作应力</w:t>
      </w:r>
    </w:p>
    <w:p w14:paraId="52C3D32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1.7.3.1 除非另有规定，正常运行工况下设备材料的工作应力应不超过材料屈服强度1/3或极限强度1/5的低值，在最严重运行工况下，应不超过材料屈服强度1/2或极限强度1/3的低值。铸铁的拉应力应是极限强度的1/10。表1.7-1中未包括的材料的设计应力可由承包人选用，但其最大拉应力或压应力不超过材料屈服强度1/3或极限强度1/5的低值。</w:t>
      </w:r>
    </w:p>
    <w:p w14:paraId="2A875009">
      <w:pPr>
        <w:tabs>
          <w:tab w:val="left" w:pos="3025"/>
        </w:tabs>
        <w:autoSpaceDE w:val="0"/>
        <w:autoSpaceDN w:val="0"/>
        <w:ind w:firstLine="210" w:firstLineChars="1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1.7.3.2 在最大水头下，短时过负荷超过水轮机最大出力时，各部件材料的最大允许应力不得超过屈服强度的1/2。</w:t>
      </w:r>
    </w:p>
    <w:p w14:paraId="0D377D4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1.7.3.3 所有部件工作应力应不超过规定的许用应力，除转轮和主轴外，其余部件正常工况和过渡工况下的计算应力应不大于表1.7-1规定的许用应力，特殊工况下的计算应力应不大于材料屈服强度的2/3。</w:t>
      </w:r>
    </w:p>
    <w:p w14:paraId="3D702D9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Cs/>
          <w:snapToGrid w:val="0"/>
          <w:color w:val="auto"/>
          <w:szCs w:val="21"/>
        </w:rPr>
        <w:t>表1.7-1</w:t>
      </w:r>
      <w:r>
        <w:rPr>
          <w:rFonts w:hint="eastAsia" w:asciiTheme="minorEastAsia" w:hAnsiTheme="minorEastAsia" w:eastAsiaTheme="minorEastAsia" w:cstheme="minorEastAsia"/>
          <w:snapToGrid w:val="0"/>
          <w:color w:val="auto"/>
          <w:szCs w:val="21"/>
        </w:rPr>
        <w:t xml:space="preserve">  材料许用应力</w:t>
      </w:r>
    </w:p>
    <w:tbl>
      <w:tblPr>
        <w:tblStyle w:val="6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2965"/>
        <w:gridCol w:w="2840"/>
        <w:gridCol w:w="2557"/>
      </w:tblGrid>
      <w:tr w14:paraId="5460B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73" w:type="pct"/>
            <w:vAlign w:val="center"/>
          </w:tcPr>
          <w:p w14:paraId="1F9E764F">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材  料</w:t>
            </w:r>
          </w:p>
        </w:tc>
        <w:tc>
          <w:tcPr>
            <w:tcW w:w="1698" w:type="pct"/>
            <w:vAlign w:val="center"/>
          </w:tcPr>
          <w:p w14:paraId="27DFE0B0">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拉 应 力</w:t>
            </w:r>
          </w:p>
        </w:tc>
        <w:tc>
          <w:tcPr>
            <w:tcW w:w="1529" w:type="pct"/>
            <w:vAlign w:val="center"/>
          </w:tcPr>
          <w:p w14:paraId="07C42B97">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压 应 力</w:t>
            </w:r>
          </w:p>
        </w:tc>
      </w:tr>
      <w:tr w14:paraId="061B4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73" w:type="pct"/>
            <w:vAlign w:val="center"/>
          </w:tcPr>
          <w:p w14:paraId="2FC35CD7">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高强度钢板(抗拉强度≥440MPa) </w:t>
            </w:r>
          </w:p>
        </w:tc>
        <w:tc>
          <w:tcPr>
            <w:tcW w:w="1698" w:type="pct"/>
            <w:vAlign w:val="center"/>
          </w:tcPr>
          <w:p w14:paraId="263A69EA">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屈服强度的1/3 </w:t>
            </w:r>
          </w:p>
        </w:tc>
        <w:tc>
          <w:tcPr>
            <w:tcW w:w="1529" w:type="pct"/>
            <w:vAlign w:val="center"/>
          </w:tcPr>
          <w:p w14:paraId="795E6E88">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屈服强度的1/3 </w:t>
            </w:r>
          </w:p>
        </w:tc>
      </w:tr>
      <w:tr w14:paraId="46D45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73" w:type="pct"/>
            <w:vAlign w:val="center"/>
          </w:tcPr>
          <w:p w14:paraId="0384DA96">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主要受力部件的碳素钢板</w:t>
            </w:r>
          </w:p>
        </w:tc>
        <w:tc>
          <w:tcPr>
            <w:tcW w:w="1698" w:type="pct"/>
            <w:vAlign w:val="center"/>
          </w:tcPr>
          <w:p w14:paraId="4B68349A">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抗拉强度的1/4</w:t>
            </w:r>
          </w:p>
        </w:tc>
        <w:tc>
          <w:tcPr>
            <w:tcW w:w="1529" w:type="pct"/>
            <w:vAlign w:val="center"/>
          </w:tcPr>
          <w:p w14:paraId="3BF2195C">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抗拉强度的1/4</w:t>
            </w:r>
          </w:p>
        </w:tc>
      </w:tr>
      <w:tr w14:paraId="1250C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73" w:type="pct"/>
            <w:vAlign w:val="center"/>
          </w:tcPr>
          <w:p w14:paraId="4B7700EF">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碳素铸钢和合金铸钢</w:t>
            </w:r>
          </w:p>
        </w:tc>
        <w:tc>
          <w:tcPr>
            <w:tcW w:w="1698" w:type="pct"/>
            <w:vAlign w:val="center"/>
          </w:tcPr>
          <w:p w14:paraId="220A0BEF">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抗拉强度的1/5且屈服强度的1/3</w:t>
            </w:r>
          </w:p>
        </w:tc>
        <w:tc>
          <w:tcPr>
            <w:tcW w:w="1529" w:type="pct"/>
            <w:vAlign w:val="center"/>
          </w:tcPr>
          <w:p w14:paraId="5A8F09C5">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抗拉强度的1/5且屈服强度的1/3</w:t>
            </w:r>
          </w:p>
        </w:tc>
      </w:tr>
      <w:tr w14:paraId="1BEFD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73" w:type="pct"/>
            <w:vAlign w:val="center"/>
          </w:tcPr>
          <w:p w14:paraId="56372082">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碳钢锻件</w:t>
            </w:r>
          </w:p>
        </w:tc>
        <w:tc>
          <w:tcPr>
            <w:tcW w:w="1698" w:type="pct"/>
            <w:vAlign w:val="center"/>
          </w:tcPr>
          <w:p w14:paraId="76D77A3D">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屈服强度的1/3</w:t>
            </w:r>
          </w:p>
        </w:tc>
        <w:tc>
          <w:tcPr>
            <w:tcW w:w="1529" w:type="pct"/>
            <w:vAlign w:val="center"/>
          </w:tcPr>
          <w:p w14:paraId="5769BE71">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屈服强度的1/3</w:t>
            </w:r>
          </w:p>
        </w:tc>
      </w:tr>
      <w:tr w14:paraId="5F1BF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73" w:type="pct"/>
            <w:vAlign w:val="center"/>
          </w:tcPr>
          <w:p w14:paraId="26C383A4">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合金钢锻件</w:t>
            </w:r>
          </w:p>
        </w:tc>
        <w:tc>
          <w:tcPr>
            <w:tcW w:w="1698" w:type="pct"/>
            <w:vAlign w:val="center"/>
          </w:tcPr>
          <w:p w14:paraId="1CE95A20">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抗拉强度的1/5且屈服强度的1/3 </w:t>
            </w:r>
          </w:p>
        </w:tc>
        <w:tc>
          <w:tcPr>
            <w:tcW w:w="1529" w:type="pct"/>
            <w:vAlign w:val="center"/>
          </w:tcPr>
          <w:p w14:paraId="5B757346">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抗拉强度的1/5且屈服强度的1/3</w:t>
            </w:r>
          </w:p>
        </w:tc>
      </w:tr>
      <w:tr w14:paraId="6EFAD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73" w:type="pct"/>
            <w:vAlign w:val="center"/>
          </w:tcPr>
          <w:p w14:paraId="45E36B87">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灰铸铁和球墨铸铁</w:t>
            </w:r>
          </w:p>
        </w:tc>
        <w:tc>
          <w:tcPr>
            <w:tcW w:w="1698" w:type="pct"/>
            <w:vAlign w:val="center"/>
          </w:tcPr>
          <w:p w14:paraId="3DB76BA6">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抗拉强度的1/10</w:t>
            </w:r>
          </w:p>
        </w:tc>
        <w:tc>
          <w:tcPr>
            <w:tcW w:w="1529" w:type="pct"/>
            <w:vAlign w:val="center"/>
          </w:tcPr>
          <w:p w14:paraId="77C38F33">
            <w:pPr>
              <w:spacing w:line="320" w:lineRule="exact"/>
              <w:rPr>
                <w:rFonts w:hint="eastAsia" w:asciiTheme="minorEastAsia" w:hAnsiTheme="minorEastAsia" w:eastAsiaTheme="minorEastAsia" w:cstheme="minorEastAsia"/>
                <w:strike/>
                <w:snapToGrid w:val="0"/>
                <w:color w:val="auto"/>
                <w:szCs w:val="21"/>
              </w:rPr>
            </w:pPr>
            <w:r>
              <w:rPr>
                <w:rFonts w:hint="eastAsia" w:asciiTheme="minorEastAsia" w:hAnsiTheme="minorEastAsia" w:eastAsiaTheme="minorEastAsia" w:cstheme="minorEastAsia"/>
                <w:snapToGrid w:val="0"/>
                <w:color w:val="auto"/>
                <w:szCs w:val="21"/>
              </w:rPr>
              <w:t>70</w:t>
            </w:r>
          </w:p>
        </w:tc>
      </w:tr>
      <w:tr w14:paraId="66DF1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773" w:type="pct"/>
            <w:vAlign w:val="center"/>
          </w:tcPr>
          <w:p w14:paraId="0ED08506">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其它材料</w:t>
            </w:r>
          </w:p>
        </w:tc>
        <w:tc>
          <w:tcPr>
            <w:tcW w:w="1698" w:type="pct"/>
            <w:vAlign w:val="center"/>
          </w:tcPr>
          <w:p w14:paraId="00DEBDE2">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抗拉强度的1/5且屈服强度的1/3 </w:t>
            </w:r>
          </w:p>
        </w:tc>
        <w:tc>
          <w:tcPr>
            <w:tcW w:w="1529" w:type="pct"/>
            <w:vAlign w:val="center"/>
          </w:tcPr>
          <w:p w14:paraId="32451CC8">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抗拉强度的1/5且屈服强度的1/3</w:t>
            </w:r>
          </w:p>
        </w:tc>
      </w:tr>
    </w:tbl>
    <w:p w14:paraId="21576FD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1.7.3.4 对于承受剪切和扭转力矩的部件，铸铁的最大剪应力不应超过21MPa，其他黑色金属最大剪应力不得超过需用拉应力的70%，但其中导叶轴的最大剪应力不得超过许用应力的60%。</w:t>
      </w:r>
    </w:p>
    <w:p w14:paraId="113033A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1.7.3.5 当无预应力要求时，在正常工况和过渡工况下，由工作荷载引起的螺栓应力不大于螺栓材料屈服强度的1/3。当有预应力要求时，预紧力应不小于正常工况和过渡工况下连接对象的最大工作荷载折算到螺栓轴向荷载的2.0倍，螺栓的工作综合应力在正常工况和过渡工况下不大于螺栓材料屈服强度的2/3，在特殊工况下不大于螺栓材料屈服强度的4/5。螺栓预紧过程中最大综合应力不得超过材料屈服强度的7/8，且各螺栓之间的预紧力测量值偏差不得超过设计值的±5%。对顶盖和座环把合螺栓的预紧力取值按机组水头范围划分，在正常工况和过渡工况下应不小于表1.7-2。</w:t>
      </w:r>
    </w:p>
    <w:p w14:paraId="30B3601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表1.7-2  顶盖和座环把合螺栓的预紧力</w:t>
      </w: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964"/>
        <w:gridCol w:w="1408"/>
        <w:gridCol w:w="1410"/>
        <w:gridCol w:w="1410"/>
        <w:gridCol w:w="1410"/>
      </w:tblGrid>
      <w:tr w14:paraId="6857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Align w:val="center"/>
          </w:tcPr>
          <w:p w14:paraId="74416AA7">
            <w:pPr>
              <w:autoSpaceDE w:val="0"/>
              <w:autoSpaceDN w:val="0"/>
              <w:spacing w:line="48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机组最大水头(m)</w:t>
            </w:r>
          </w:p>
        </w:tc>
        <w:tc>
          <w:tcPr>
            <w:tcW w:w="566" w:type="pct"/>
            <w:vAlign w:val="center"/>
          </w:tcPr>
          <w:p w14:paraId="0EDE6C25">
            <w:pPr>
              <w:autoSpaceDE w:val="0"/>
              <w:autoSpaceDN w:val="0"/>
              <w:spacing w:line="48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H</w:t>
            </w:r>
            <w:r>
              <w:rPr>
                <w:rFonts w:hint="eastAsia" w:asciiTheme="minorEastAsia" w:hAnsiTheme="minorEastAsia" w:eastAsiaTheme="minorEastAsia" w:cstheme="minorEastAsia"/>
                <w:snapToGrid w:val="0"/>
                <w:color w:val="auto"/>
                <w:szCs w:val="21"/>
                <w:vertAlign w:val="subscript"/>
              </w:rPr>
              <w:t>max</w:t>
            </w:r>
            <w:r>
              <w:rPr>
                <w:rFonts w:hint="eastAsia" w:asciiTheme="minorEastAsia" w:hAnsiTheme="minorEastAsia" w:eastAsiaTheme="minorEastAsia" w:cstheme="minorEastAsia"/>
                <w:snapToGrid w:val="0"/>
                <w:color w:val="auto"/>
                <w:szCs w:val="21"/>
              </w:rPr>
              <w:t>&lt;50</w:t>
            </w:r>
          </w:p>
        </w:tc>
        <w:tc>
          <w:tcPr>
            <w:tcW w:w="826" w:type="pct"/>
            <w:vAlign w:val="center"/>
          </w:tcPr>
          <w:p w14:paraId="18275F28">
            <w:pPr>
              <w:autoSpaceDE w:val="0"/>
              <w:autoSpaceDN w:val="0"/>
              <w:spacing w:line="48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50≤H</w:t>
            </w:r>
            <w:r>
              <w:rPr>
                <w:rFonts w:hint="eastAsia" w:asciiTheme="minorEastAsia" w:hAnsiTheme="minorEastAsia" w:eastAsiaTheme="minorEastAsia" w:cstheme="minorEastAsia"/>
                <w:snapToGrid w:val="0"/>
                <w:color w:val="auto"/>
                <w:szCs w:val="21"/>
                <w:vertAlign w:val="subscript"/>
              </w:rPr>
              <w:t>max</w:t>
            </w:r>
            <w:r>
              <w:rPr>
                <w:rFonts w:hint="eastAsia" w:asciiTheme="minorEastAsia" w:hAnsiTheme="minorEastAsia" w:eastAsiaTheme="minorEastAsia" w:cstheme="minorEastAsia"/>
                <w:snapToGrid w:val="0"/>
                <w:color w:val="auto"/>
                <w:szCs w:val="21"/>
              </w:rPr>
              <w:t>&lt;100</w:t>
            </w:r>
          </w:p>
        </w:tc>
        <w:tc>
          <w:tcPr>
            <w:tcW w:w="827" w:type="pct"/>
            <w:vAlign w:val="center"/>
          </w:tcPr>
          <w:p w14:paraId="4EBF20A7">
            <w:pPr>
              <w:autoSpaceDE w:val="0"/>
              <w:autoSpaceDN w:val="0"/>
              <w:spacing w:line="48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100≤H</w:t>
            </w:r>
            <w:r>
              <w:rPr>
                <w:rFonts w:hint="eastAsia" w:asciiTheme="minorEastAsia" w:hAnsiTheme="minorEastAsia" w:eastAsiaTheme="minorEastAsia" w:cstheme="minorEastAsia"/>
                <w:snapToGrid w:val="0"/>
                <w:color w:val="auto"/>
                <w:szCs w:val="21"/>
                <w:vertAlign w:val="subscript"/>
              </w:rPr>
              <w:t>max</w:t>
            </w:r>
            <w:r>
              <w:rPr>
                <w:rFonts w:hint="eastAsia" w:asciiTheme="minorEastAsia" w:hAnsiTheme="minorEastAsia" w:eastAsiaTheme="minorEastAsia" w:cstheme="minorEastAsia"/>
                <w:snapToGrid w:val="0"/>
                <w:color w:val="auto"/>
                <w:szCs w:val="21"/>
              </w:rPr>
              <w:t>&lt;300</w:t>
            </w:r>
          </w:p>
        </w:tc>
        <w:tc>
          <w:tcPr>
            <w:tcW w:w="827" w:type="pct"/>
            <w:vAlign w:val="center"/>
          </w:tcPr>
          <w:p w14:paraId="4C845575">
            <w:pPr>
              <w:autoSpaceDE w:val="0"/>
              <w:autoSpaceDN w:val="0"/>
              <w:spacing w:line="48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300≤H</w:t>
            </w:r>
            <w:r>
              <w:rPr>
                <w:rFonts w:hint="eastAsia" w:asciiTheme="minorEastAsia" w:hAnsiTheme="minorEastAsia" w:eastAsiaTheme="minorEastAsia" w:cstheme="minorEastAsia"/>
                <w:snapToGrid w:val="0"/>
                <w:color w:val="auto"/>
                <w:szCs w:val="21"/>
                <w:vertAlign w:val="subscript"/>
              </w:rPr>
              <w:t>max</w:t>
            </w:r>
            <w:r>
              <w:rPr>
                <w:rFonts w:hint="eastAsia" w:asciiTheme="minorEastAsia" w:hAnsiTheme="minorEastAsia" w:eastAsiaTheme="minorEastAsia" w:cstheme="minorEastAsia"/>
                <w:snapToGrid w:val="0"/>
                <w:color w:val="auto"/>
                <w:szCs w:val="21"/>
              </w:rPr>
              <w:t>&lt;500</w:t>
            </w:r>
          </w:p>
        </w:tc>
        <w:tc>
          <w:tcPr>
            <w:tcW w:w="827" w:type="pct"/>
            <w:vAlign w:val="center"/>
          </w:tcPr>
          <w:p w14:paraId="0A38AD37">
            <w:pPr>
              <w:autoSpaceDE w:val="0"/>
              <w:autoSpaceDN w:val="0"/>
              <w:spacing w:line="48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500≤H</w:t>
            </w:r>
            <w:r>
              <w:rPr>
                <w:rFonts w:hint="eastAsia" w:asciiTheme="minorEastAsia" w:hAnsiTheme="minorEastAsia" w:eastAsiaTheme="minorEastAsia" w:cstheme="minorEastAsia"/>
                <w:snapToGrid w:val="0"/>
                <w:color w:val="auto"/>
                <w:szCs w:val="21"/>
                <w:vertAlign w:val="subscript"/>
              </w:rPr>
              <w:t>max</w:t>
            </w:r>
            <w:r>
              <w:rPr>
                <w:rFonts w:hint="eastAsia" w:asciiTheme="minorEastAsia" w:hAnsiTheme="minorEastAsia" w:eastAsiaTheme="minorEastAsia" w:cstheme="minorEastAsia"/>
                <w:snapToGrid w:val="0"/>
                <w:color w:val="auto"/>
                <w:szCs w:val="21"/>
              </w:rPr>
              <w:t>&lt;700</w:t>
            </w:r>
          </w:p>
        </w:tc>
      </w:tr>
      <w:tr w14:paraId="6D31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Align w:val="center"/>
          </w:tcPr>
          <w:p w14:paraId="7381D1E4">
            <w:pPr>
              <w:autoSpaceDE w:val="0"/>
              <w:autoSpaceDN w:val="0"/>
              <w:spacing w:line="36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螺栓预紧力与最大工作荷载的倍数</w:t>
            </w:r>
          </w:p>
        </w:tc>
        <w:tc>
          <w:tcPr>
            <w:tcW w:w="566" w:type="pct"/>
            <w:vAlign w:val="center"/>
          </w:tcPr>
          <w:p w14:paraId="3A18EF04">
            <w:pPr>
              <w:autoSpaceDE w:val="0"/>
              <w:autoSpaceDN w:val="0"/>
              <w:spacing w:line="36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3.8</w:t>
            </w:r>
          </w:p>
        </w:tc>
        <w:tc>
          <w:tcPr>
            <w:tcW w:w="826" w:type="pct"/>
            <w:vAlign w:val="center"/>
          </w:tcPr>
          <w:p w14:paraId="1E19D90C">
            <w:pPr>
              <w:autoSpaceDE w:val="0"/>
              <w:autoSpaceDN w:val="0"/>
              <w:spacing w:line="36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3.3</w:t>
            </w:r>
          </w:p>
        </w:tc>
        <w:tc>
          <w:tcPr>
            <w:tcW w:w="827" w:type="pct"/>
            <w:vAlign w:val="center"/>
          </w:tcPr>
          <w:p w14:paraId="6C151E5B">
            <w:pPr>
              <w:autoSpaceDE w:val="0"/>
              <w:autoSpaceDN w:val="0"/>
              <w:spacing w:line="36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2.8</w:t>
            </w:r>
          </w:p>
        </w:tc>
        <w:tc>
          <w:tcPr>
            <w:tcW w:w="827" w:type="pct"/>
            <w:vAlign w:val="center"/>
          </w:tcPr>
          <w:p w14:paraId="2D988DD0">
            <w:pPr>
              <w:autoSpaceDE w:val="0"/>
              <w:autoSpaceDN w:val="0"/>
              <w:spacing w:line="36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2.3</w:t>
            </w:r>
          </w:p>
        </w:tc>
        <w:tc>
          <w:tcPr>
            <w:tcW w:w="827" w:type="pct"/>
            <w:vAlign w:val="center"/>
          </w:tcPr>
          <w:p w14:paraId="3B9E48FC">
            <w:pPr>
              <w:autoSpaceDE w:val="0"/>
              <w:autoSpaceDN w:val="0"/>
              <w:spacing w:line="360" w:lineRule="exact"/>
              <w:jc w:val="center"/>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2.0</w:t>
            </w:r>
          </w:p>
        </w:tc>
      </w:tr>
    </w:tbl>
    <w:p w14:paraId="51F2138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p>
    <w:p w14:paraId="713AD576">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1.8 制造工艺要求</w:t>
      </w:r>
    </w:p>
    <w:p w14:paraId="06D73288">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1.8.1 基本要求</w:t>
      </w:r>
    </w:p>
    <w:p w14:paraId="6B62403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1.8.1.1 设备制造应采用先进的工艺，以保证各种运行情况下运行可靠，所有部件的结构、尺寸和材料应做到在各种应力下不产生扭曲和过量磨损。零部件应有良好的互换性和便于检修。</w:t>
      </w:r>
    </w:p>
    <w:p w14:paraId="1A71007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1.8.1.2 所有互相配合的机械零件公差应适应零部件的工作要求，并符合GB的有关规定。所有相同零部件应能互换。</w:t>
      </w:r>
    </w:p>
    <w:p w14:paraId="27A7D98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1.8.1.3 所有管路、阀门、自动化元件、电缆等固定元件应有可靠的防松动和防脱落措施。</w:t>
      </w:r>
    </w:p>
    <w:p w14:paraId="25A6065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1.8.1.4 所有设备的设计、制造以及外购配套设备，均应考虑当地气候条件的特殊性，采取相应的保障措施，满足寿命周期内设备安全稳定运行。</w:t>
      </w:r>
    </w:p>
    <w:p w14:paraId="45BF147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1.8.1.5 凡与水接触或处于潮湿位置的紧固件或管道、阀门均应用防锈和耐腐蚀的材料制造。</w:t>
      </w:r>
    </w:p>
    <w:p w14:paraId="019E75AC">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1.8.2 机械加工和表面抛光加工</w:t>
      </w:r>
    </w:p>
    <w:p w14:paraId="6EA5900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1.8.2.1 受焊接影响的部件表面，在焊接后，需进行机械加工或表面处理，最终达到规定尺寸要求。焊接部件需消除内应力时，应在部件消除应力之后，方可进行机械加工，以便最终达到规定尺寸要求。</w:t>
      </w:r>
    </w:p>
    <w:p w14:paraId="6E84907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1.8.2.2 水轮机过流部件表面应符合《水轮机、蓄能泵和水泵水轮机模型验收试验》 （GB/T15613）的规定，保证有平滑的流线型，部件接头处表面要齐平，转轮、导叶、蜗壳、尾水管等过水面上无凸凹不平或不平整情况，以免造成脱流和局部空蚀。</w:t>
      </w:r>
    </w:p>
    <w:p w14:paraId="4591AB7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1.8.2.3 主要零部件表面粗糙度不得超过表1.8-1规定。</w:t>
      </w:r>
    </w:p>
    <w:p w14:paraId="2DBE618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1.8.2.4 焊缝外观一般应处理平整圆滑，对于需采用X射线探伤的焊缝，表面应铲平磨光。过水表面的焊缝应磨光成流线型。压力容器上的焊缝打磨处理后，应不削弱其结构强度。</w:t>
      </w:r>
    </w:p>
    <w:p w14:paraId="0A7A717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1.8.2.5 任何部件的表面应无焊渣、气孔、并应光滑、平整、美观。</w:t>
      </w:r>
    </w:p>
    <w:p w14:paraId="62EA4C60">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表1.8-1 表面允许粗糙度表</w:t>
      </w:r>
    </w:p>
    <w:tbl>
      <w:tblPr>
        <w:tblStyle w:val="6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2417"/>
        <w:gridCol w:w="1206"/>
        <w:gridCol w:w="3282"/>
        <w:gridCol w:w="1457"/>
      </w:tblGrid>
      <w:tr w14:paraId="1661B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28" w:type="pct"/>
            <w:gridSpan w:val="3"/>
          </w:tcPr>
          <w:p w14:paraId="22841860">
            <w:pPr>
              <w:spacing w:line="360" w:lineRule="exact"/>
              <w:jc w:val="center"/>
              <w:rPr>
                <w:rFonts w:hint="eastAsia" w:asciiTheme="minorEastAsia" w:hAnsiTheme="minorEastAsia" w:eastAsiaTheme="minorEastAsia" w:cstheme="minorEastAsia"/>
                <w:b/>
                <w:bCs/>
                <w:snapToGrid w:val="0"/>
                <w:color w:val="auto"/>
                <w:szCs w:val="21"/>
              </w:rPr>
            </w:pPr>
            <w:r>
              <w:rPr>
                <w:rFonts w:hint="eastAsia" w:asciiTheme="minorEastAsia" w:hAnsiTheme="minorEastAsia" w:eastAsiaTheme="minorEastAsia" w:cstheme="minorEastAsia"/>
                <w:b/>
                <w:bCs/>
                <w:snapToGrid w:val="0"/>
                <w:color w:val="auto"/>
                <w:szCs w:val="21"/>
              </w:rPr>
              <w:t>部      位</w:t>
            </w:r>
          </w:p>
        </w:tc>
        <w:tc>
          <w:tcPr>
            <w:tcW w:w="871" w:type="pct"/>
          </w:tcPr>
          <w:p w14:paraId="1EDC5218">
            <w:pPr>
              <w:spacing w:line="360" w:lineRule="exact"/>
              <w:jc w:val="center"/>
              <w:rPr>
                <w:rFonts w:hint="eastAsia" w:asciiTheme="minorEastAsia" w:hAnsiTheme="minorEastAsia" w:eastAsiaTheme="minorEastAsia" w:cstheme="minorEastAsia"/>
                <w:b/>
                <w:bCs/>
                <w:snapToGrid w:val="0"/>
                <w:color w:val="auto"/>
                <w:szCs w:val="21"/>
              </w:rPr>
            </w:pPr>
            <w:r>
              <w:rPr>
                <w:rFonts w:hint="eastAsia" w:asciiTheme="minorEastAsia" w:hAnsiTheme="minorEastAsia" w:eastAsiaTheme="minorEastAsia" w:cstheme="minorEastAsia"/>
                <w:b/>
                <w:bCs/>
                <w:snapToGrid w:val="0"/>
                <w:color w:val="auto"/>
                <w:szCs w:val="21"/>
              </w:rPr>
              <w:t>Ra(μm)</w:t>
            </w:r>
          </w:p>
        </w:tc>
      </w:tr>
      <w:tr w14:paraId="73A58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28" w:type="pct"/>
            <w:gridSpan w:val="3"/>
            <w:vAlign w:val="center"/>
          </w:tcPr>
          <w:p w14:paraId="0E32FBBE">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滑动接触表面</w:t>
            </w:r>
          </w:p>
        </w:tc>
        <w:tc>
          <w:tcPr>
            <w:tcW w:w="871" w:type="pct"/>
            <w:vAlign w:val="center"/>
          </w:tcPr>
          <w:p w14:paraId="30F507C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0.8</w:t>
            </w:r>
          </w:p>
        </w:tc>
      </w:tr>
      <w:tr w14:paraId="26C07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restart"/>
            <w:vAlign w:val="center"/>
          </w:tcPr>
          <w:p w14:paraId="4C589664">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固定接触表面</w:t>
            </w:r>
          </w:p>
        </w:tc>
        <w:tc>
          <w:tcPr>
            <w:tcW w:w="1961" w:type="pct"/>
            <w:vAlign w:val="center"/>
          </w:tcPr>
          <w:p w14:paraId="1497CA36">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要求紧配合的</w:t>
            </w:r>
          </w:p>
        </w:tc>
        <w:tc>
          <w:tcPr>
            <w:tcW w:w="871" w:type="pct"/>
            <w:vAlign w:val="center"/>
          </w:tcPr>
          <w:p w14:paraId="414EF71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3.2</w:t>
            </w:r>
          </w:p>
        </w:tc>
      </w:tr>
      <w:tr w14:paraId="0DE13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continue"/>
            <w:vAlign w:val="center"/>
          </w:tcPr>
          <w:p w14:paraId="6E8BECAA">
            <w:pPr>
              <w:spacing w:line="360" w:lineRule="exact"/>
              <w:rPr>
                <w:rFonts w:hint="eastAsia" w:asciiTheme="minorEastAsia" w:hAnsiTheme="minorEastAsia" w:eastAsiaTheme="minorEastAsia" w:cstheme="minorEastAsia"/>
                <w:snapToGrid w:val="0"/>
                <w:color w:val="auto"/>
                <w:szCs w:val="21"/>
              </w:rPr>
            </w:pPr>
          </w:p>
        </w:tc>
        <w:tc>
          <w:tcPr>
            <w:tcW w:w="1961" w:type="pct"/>
            <w:vAlign w:val="center"/>
          </w:tcPr>
          <w:p w14:paraId="6449D94C">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不要求紧配合的</w:t>
            </w:r>
          </w:p>
        </w:tc>
        <w:tc>
          <w:tcPr>
            <w:tcW w:w="871" w:type="pct"/>
            <w:vAlign w:val="center"/>
          </w:tcPr>
          <w:p w14:paraId="37AB153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6.3</w:t>
            </w:r>
          </w:p>
        </w:tc>
      </w:tr>
      <w:tr w14:paraId="14302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28" w:type="pct"/>
            <w:gridSpan w:val="3"/>
            <w:vAlign w:val="center"/>
          </w:tcPr>
          <w:p w14:paraId="5CBC7404">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其他机械加工面</w:t>
            </w:r>
          </w:p>
        </w:tc>
        <w:tc>
          <w:tcPr>
            <w:tcW w:w="871" w:type="pct"/>
            <w:vAlign w:val="center"/>
          </w:tcPr>
          <w:p w14:paraId="428A132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12.5</w:t>
            </w:r>
          </w:p>
        </w:tc>
      </w:tr>
      <w:tr w14:paraId="6A1F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28" w:type="pct"/>
            <w:gridSpan w:val="3"/>
            <w:vAlign w:val="center"/>
          </w:tcPr>
          <w:p w14:paraId="5E881D0A">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座  环</w:t>
            </w:r>
          </w:p>
        </w:tc>
        <w:tc>
          <w:tcPr>
            <w:tcW w:w="871" w:type="pct"/>
            <w:vAlign w:val="center"/>
          </w:tcPr>
          <w:p w14:paraId="7F74A86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6.3</w:t>
            </w:r>
          </w:p>
        </w:tc>
      </w:tr>
      <w:tr w14:paraId="4A74C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restart"/>
            <w:vAlign w:val="center"/>
          </w:tcPr>
          <w:p w14:paraId="0F1C596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导  叶</w:t>
            </w:r>
          </w:p>
        </w:tc>
        <w:tc>
          <w:tcPr>
            <w:tcW w:w="1961" w:type="pct"/>
            <w:vAlign w:val="center"/>
          </w:tcPr>
          <w:p w14:paraId="5E3C3794">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导叶表面</w:t>
            </w:r>
          </w:p>
        </w:tc>
        <w:tc>
          <w:tcPr>
            <w:tcW w:w="871" w:type="pct"/>
            <w:vAlign w:val="center"/>
          </w:tcPr>
          <w:p w14:paraId="3FA2A98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3.2</w:t>
            </w:r>
          </w:p>
        </w:tc>
      </w:tr>
      <w:tr w14:paraId="64081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continue"/>
            <w:vAlign w:val="center"/>
          </w:tcPr>
          <w:p w14:paraId="7069EE9C">
            <w:pPr>
              <w:spacing w:line="360" w:lineRule="exact"/>
              <w:rPr>
                <w:rFonts w:hint="eastAsia" w:asciiTheme="minorEastAsia" w:hAnsiTheme="minorEastAsia" w:eastAsiaTheme="minorEastAsia" w:cstheme="minorEastAsia"/>
                <w:snapToGrid w:val="0"/>
                <w:color w:val="auto"/>
                <w:szCs w:val="21"/>
              </w:rPr>
            </w:pPr>
          </w:p>
        </w:tc>
        <w:tc>
          <w:tcPr>
            <w:tcW w:w="1961" w:type="pct"/>
            <w:vAlign w:val="center"/>
          </w:tcPr>
          <w:p w14:paraId="398A7ABE">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导叶杆轴颈和密封面</w:t>
            </w:r>
          </w:p>
        </w:tc>
        <w:tc>
          <w:tcPr>
            <w:tcW w:w="871" w:type="pct"/>
            <w:vAlign w:val="center"/>
          </w:tcPr>
          <w:p w14:paraId="2129A90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0.8</w:t>
            </w:r>
          </w:p>
        </w:tc>
      </w:tr>
      <w:tr w14:paraId="08CFC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continue"/>
            <w:vAlign w:val="center"/>
          </w:tcPr>
          <w:p w14:paraId="1D61FF0B">
            <w:pPr>
              <w:spacing w:line="360" w:lineRule="exact"/>
              <w:rPr>
                <w:rFonts w:hint="eastAsia" w:asciiTheme="minorEastAsia" w:hAnsiTheme="minorEastAsia" w:eastAsiaTheme="minorEastAsia" w:cstheme="minorEastAsia"/>
                <w:snapToGrid w:val="0"/>
                <w:color w:val="auto"/>
                <w:szCs w:val="21"/>
              </w:rPr>
            </w:pPr>
          </w:p>
        </w:tc>
        <w:tc>
          <w:tcPr>
            <w:tcW w:w="1961" w:type="pct"/>
            <w:vAlign w:val="center"/>
          </w:tcPr>
          <w:p w14:paraId="229BB6E7">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导叶接触面</w:t>
            </w:r>
          </w:p>
        </w:tc>
        <w:tc>
          <w:tcPr>
            <w:tcW w:w="871" w:type="pct"/>
            <w:vAlign w:val="center"/>
          </w:tcPr>
          <w:p w14:paraId="44A2D1A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r>
      <w:tr w14:paraId="6950B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continue"/>
            <w:vAlign w:val="center"/>
          </w:tcPr>
          <w:p w14:paraId="3F36D038">
            <w:pPr>
              <w:spacing w:line="360" w:lineRule="exact"/>
              <w:rPr>
                <w:rFonts w:hint="eastAsia" w:asciiTheme="minorEastAsia" w:hAnsiTheme="minorEastAsia" w:eastAsiaTheme="minorEastAsia" w:cstheme="minorEastAsia"/>
                <w:snapToGrid w:val="0"/>
                <w:color w:val="auto"/>
                <w:szCs w:val="21"/>
              </w:rPr>
            </w:pPr>
          </w:p>
        </w:tc>
        <w:tc>
          <w:tcPr>
            <w:tcW w:w="1961" w:type="pct"/>
            <w:vAlign w:val="center"/>
          </w:tcPr>
          <w:p w14:paraId="47B28ADF">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导叶上、下端部表面</w:t>
            </w:r>
          </w:p>
        </w:tc>
        <w:tc>
          <w:tcPr>
            <w:tcW w:w="871" w:type="pct"/>
            <w:vAlign w:val="center"/>
          </w:tcPr>
          <w:p w14:paraId="3831D85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r>
      <w:tr w14:paraId="7BEC4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restart"/>
            <w:vAlign w:val="center"/>
          </w:tcPr>
          <w:p w14:paraId="104E573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转  轮</w:t>
            </w:r>
          </w:p>
        </w:tc>
        <w:tc>
          <w:tcPr>
            <w:tcW w:w="1961" w:type="pct"/>
            <w:vAlign w:val="center"/>
          </w:tcPr>
          <w:p w14:paraId="25265E95">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转轮外表面</w:t>
            </w:r>
          </w:p>
        </w:tc>
        <w:tc>
          <w:tcPr>
            <w:tcW w:w="871" w:type="pct"/>
            <w:vAlign w:val="center"/>
          </w:tcPr>
          <w:p w14:paraId="5F35FD9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3.2</w:t>
            </w:r>
          </w:p>
        </w:tc>
      </w:tr>
      <w:tr w14:paraId="478B9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continue"/>
            <w:vAlign w:val="center"/>
          </w:tcPr>
          <w:p w14:paraId="25536933">
            <w:pPr>
              <w:spacing w:line="360" w:lineRule="exact"/>
              <w:rPr>
                <w:rFonts w:hint="eastAsia" w:asciiTheme="minorEastAsia" w:hAnsiTheme="minorEastAsia" w:eastAsiaTheme="minorEastAsia" w:cstheme="minorEastAsia"/>
                <w:snapToGrid w:val="0"/>
                <w:color w:val="auto"/>
                <w:szCs w:val="21"/>
              </w:rPr>
            </w:pPr>
          </w:p>
        </w:tc>
        <w:tc>
          <w:tcPr>
            <w:tcW w:w="1961" w:type="pct"/>
            <w:vAlign w:val="center"/>
          </w:tcPr>
          <w:p w14:paraId="61B36142">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转轮过水面</w:t>
            </w:r>
          </w:p>
        </w:tc>
        <w:tc>
          <w:tcPr>
            <w:tcW w:w="871" w:type="pct"/>
            <w:vAlign w:val="center"/>
          </w:tcPr>
          <w:p w14:paraId="298AE5B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r>
      <w:tr w14:paraId="6A4F7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restart"/>
            <w:vAlign w:val="center"/>
          </w:tcPr>
          <w:p w14:paraId="3D37B60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  轴</w:t>
            </w:r>
          </w:p>
        </w:tc>
        <w:tc>
          <w:tcPr>
            <w:tcW w:w="1961" w:type="pct"/>
            <w:vAlign w:val="center"/>
          </w:tcPr>
          <w:p w14:paraId="792365E2">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主轴不接触表面</w:t>
            </w:r>
          </w:p>
        </w:tc>
        <w:tc>
          <w:tcPr>
            <w:tcW w:w="871" w:type="pct"/>
            <w:vAlign w:val="center"/>
          </w:tcPr>
          <w:p w14:paraId="7A96E3D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3.2</w:t>
            </w:r>
          </w:p>
        </w:tc>
      </w:tr>
      <w:tr w14:paraId="48CA6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continue"/>
            <w:vAlign w:val="center"/>
          </w:tcPr>
          <w:p w14:paraId="5B4F7495">
            <w:pPr>
              <w:spacing w:line="360" w:lineRule="exact"/>
              <w:rPr>
                <w:rFonts w:hint="eastAsia" w:asciiTheme="minorEastAsia" w:hAnsiTheme="minorEastAsia" w:eastAsiaTheme="minorEastAsia" w:cstheme="minorEastAsia"/>
                <w:snapToGrid w:val="0"/>
                <w:color w:val="auto"/>
                <w:szCs w:val="21"/>
              </w:rPr>
            </w:pPr>
          </w:p>
        </w:tc>
        <w:tc>
          <w:tcPr>
            <w:tcW w:w="1961" w:type="pct"/>
            <w:vAlign w:val="center"/>
          </w:tcPr>
          <w:p w14:paraId="69758390">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轴承轴颈处</w:t>
            </w:r>
          </w:p>
        </w:tc>
        <w:tc>
          <w:tcPr>
            <w:tcW w:w="871" w:type="pct"/>
            <w:vAlign w:val="center"/>
          </w:tcPr>
          <w:p w14:paraId="6042018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0.8</w:t>
            </w:r>
          </w:p>
        </w:tc>
      </w:tr>
      <w:tr w14:paraId="7004E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continue"/>
            <w:vAlign w:val="center"/>
          </w:tcPr>
          <w:p w14:paraId="0ADE5C2C">
            <w:pPr>
              <w:spacing w:line="360" w:lineRule="exact"/>
              <w:rPr>
                <w:rFonts w:hint="eastAsia" w:asciiTheme="minorEastAsia" w:hAnsiTheme="minorEastAsia" w:eastAsiaTheme="minorEastAsia" w:cstheme="minorEastAsia"/>
                <w:snapToGrid w:val="0"/>
                <w:color w:val="auto"/>
                <w:szCs w:val="21"/>
              </w:rPr>
            </w:pPr>
          </w:p>
        </w:tc>
        <w:tc>
          <w:tcPr>
            <w:tcW w:w="1961" w:type="pct"/>
            <w:vAlign w:val="center"/>
          </w:tcPr>
          <w:p w14:paraId="1F76B25F">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主轴水封轴套</w:t>
            </w:r>
          </w:p>
        </w:tc>
        <w:tc>
          <w:tcPr>
            <w:tcW w:w="871" w:type="pct"/>
            <w:vAlign w:val="center"/>
          </w:tcPr>
          <w:p w14:paraId="7F60FD7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0.4</w:t>
            </w:r>
          </w:p>
        </w:tc>
      </w:tr>
      <w:tr w14:paraId="50C83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continue"/>
            <w:vAlign w:val="center"/>
          </w:tcPr>
          <w:p w14:paraId="50179792">
            <w:pPr>
              <w:spacing w:line="360" w:lineRule="exact"/>
              <w:rPr>
                <w:rFonts w:hint="eastAsia" w:asciiTheme="minorEastAsia" w:hAnsiTheme="minorEastAsia" w:eastAsiaTheme="minorEastAsia" w:cstheme="minorEastAsia"/>
                <w:snapToGrid w:val="0"/>
                <w:color w:val="auto"/>
                <w:szCs w:val="21"/>
              </w:rPr>
            </w:pPr>
          </w:p>
        </w:tc>
        <w:tc>
          <w:tcPr>
            <w:tcW w:w="1961" w:type="pct"/>
            <w:vAlign w:val="center"/>
          </w:tcPr>
          <w:p w14:paraId="20C27B9C">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法兰面</w:t>
            </w:r>
          </w:p>
        </w:tc>
        <w:tc>
          <w:tcPr>
            <w:tcW w:w="871" w:type="pct"/>
            <w:vAlign w:val="center"/>
          </w:tcPr>
          <w:p w14:paraId="7E34434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r>
      <w:tr w14:paraId="5CC86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2166" w:type="pct"/>
            <w:gridSpan w:val="2"/>
            <w:vMerge w:val="continue"/>
            <w:vAlign w:val="center"/>
          </w:tcPr>
          <w:p w14:paraId="5A651D36">
            <w:pPr>
              <w:spacing w:line="360" w:lineRule="exact"/>
              <w:rPr>
                <w:rFonts w:hint="eastAsia" w:asciiTheme="minorEastAsia" w:hAnsiTheme="minorEastAsia" w:eastAsiaTheme="minorEastAsia" w:cstheme="minorEastAsia"/>
                <w:snapToGrid w:val="0"/>
                <w:color w:val="auto"/>
                <w:szCs w:val="21"/>
              </w:rPr>
            </w:pPr>
          </w:p>
        </w:tc>
        <w:tc>
          <w:tcPr>
            <w:tcW w:w="1961" w:type="pct"/>
            <w:vAlign w:val="center"/>
          </w:tcPr>
          <w:p w14:paraId="2A9BCFFB">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倒角</w:t>
            </w:r>
          </w:p>
        </w:tc>
        <w:tc>
          <w:tcPr>
            <w:tcW w:w="871" w:type="pct"/>
            <w:vAlign w:val="center"/>
          </w:tcPr>
          <w:p w14:paraId="06407FD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r>
      <w:tr w14:paraId="478D1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28" w:type="pct"/>
            <w:gridSpan w:val="3"/>
            <w:vAlign w:val="center"/>
          </w:tcPr>
          <w:p w14:paraId="4F0CC368">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止漏环间隙表面</w:t>
            </w:r>
          </w:p>
        </w:tc>
        <w:tc>
          <w:tcPr>
            <w:tcW w:w="871" w:type="pct"/>
            <w:vAlign w:val="center"/>
          </w:tcPr>
          <w:p w14:paraId="7B5A2B1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r>
      <w:tr w14:paraId="23B1F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28" w:type="pct"/>
            <w:gridSpan w:val="3"/>
            <w:vAlign w:val="center"/>
          </w:tcPr>
          <w:p w14:paraId="05E73742">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顶盖、底环在邻近导叶端部处间隙表面</w:t>
            </w:r>
          </w:p>
        </w:tc>
        <w:tc>
          <w:tcPr>
            <w:tcW w:w="871" w:type="pct"/>
            <w:vAlign w:val="center"/>
          </w:tcPr>
          <w:p w14:paraId="66AAB6E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r>
      <w:tr w14:paraId="00818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28" w:type="pct"/>
            <w:gridSpan w:val="3"/>
            <w:vAlign w:val="center"/>
          </w:tcPr>
          <w:p w14:paraId="7CAB8FF3">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轴承和填料盒接触表面</w:t>
            </w:r>
          </w:p>
        </w:tc>
        <w:tc>
          <w:tcPr>
            <w:tcW w:w="871" w:type="pct"/>
            <w:vAlign w:val="center"/>
          </w:tcPr>
          <w:p w14:paraId="110EC90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r>
      <w:tr w14:paraId="45918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4128" w:type="pct"/>
            <w:gridSpan w:val="3"/>
            <w:vAlign w:val="center"/>
          </w:tcPr>
          <w:p w14:paraId="76319651">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尾水接管和尾水弯管、焊接蜗壳</w:t>
            </w:r>
          </w:p>
        </w:tc>
        <w:tc>
          <w:tcPr>
            <w:tcW w:w="871" w:type="pct"/>
            <w:vAlign w:val="center"/>
          </w:tcPr>
          <w:p w14:paraId="0917972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12.5</w:t>
            </w:r>
          </w:p>
        </w:tc>
      </w:tr>
      <w:tr w14:paraId="770A4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1445" w:type="pct"/>
            <w:vMerge w:val="restart"/>
            <w:vAlign w:val="center"/>
          </w:tcPr>
          <w:p w14:paraId="0E1D728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接力器</w:t>
            </w:r>
          </w:p>
        </w:tc>
        <w:tc>
          <w:tcPr>
            <w:tcW w:w="2683" w:type="pct"/>
            <w:gridSpan w:val="2"/>
            <w:vAlign w:val="center"/>
          </w:tcPr>
          <w:p w14:paraId="10B7F63B">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接力器缸内孔</w:t>
            </w:r>
          </w:p>
        </w:tc>
        <w:tc>
          <w:tcPr>
            <w:tcW w:w="871" w:type="pct"/>
            <w:vAlign w:val="center"/>
          </w:tcPr>
          <w:p w14:paraId="08E3A44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0.8</w:t>
            </w:r>
          </w:p>
        </w:tc>
      </w:tr>
      <w:tr w14:paraId="1D41E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1445" w:type="pct"/>
            <w:vMerge w:val="continue"/>
            <w:vAlign w:val="center"/>
          </w:tcPr>
          <w:p w14:paraId="1C715EC2">
            <w:pPr>
              <w:spacing w:line="360" w:lineRule="exact"/>
              <w:jc w:val="center"/>
              <w:rPr>
                <w:rFonts w:hint="eastAsia" w:asciiTheme="minorEastAsia" w:hAnsiTheme="minorEastAsia" w:eastAsiaTheme="minorEastAsia" w:cstheme="minorEastAsia"/>
                <w:snapToGrid w:val="0"/>
                <w:color w:val="auto"/>
                <w:szCs w:val="21"/>
              </w:rPr>
            </w:pPr>
          </w:p>
        </w:tc>
        <w:tc>
          <w:tcPr>
            <w:tcW w:w="2683" w:type="pct"/>
            <w:gridSpan w:val="2"/>
            <w:vAlign w:val="center"/>
          </w:tcPr>
          <w:p w14:paraId="084CF386">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接力器活塞和杆</w:t>
            </w:r>
          </w:p>
        </w:tc>
        <w:tc>
          <w:tcPr>
            <w:tcW w:w="871" w:type="pct"/>
            <w:vAlign w:val="center"/>
          </w:tcPr>
          <w:p w14:paraId="73B236E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0.8</w:t>
            </w:r>
          </w:p>
        </w:tc>
      </w:tr>
      <w:tr w14:paraId="3FA0E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1445" w:type="pct"/>
            <w:vMerge w:val="restart"/>
            <w:vAlign w:val="center"/>
          </w:tcPr>
          <w:p w14:paraId="62B038F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推力轴承</w:t>
            </w:r>
          </w:p>
        </w:tc>
        <w:tc>
          <w:tcPr>
            <w:tcW w:w="2683" w:type="pct"/>
            <w:gridSpan w:val="2"/>
            <w:vAlign w:val="center"/>
          </w:tcPr>
          <w:p w14:paraId="3E22E033">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镜  面</w:t>
            </w:r>
          </w:p>
        </w:tc>
        <w:tc>
          <w:tcPr>
            <w:tcW w:w="871" w:type="pct"/>
            <w:vAlign w:val="center"/>
          </w:tcPr>
          <w:p w14:paraId="16E4A5C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0.2</w:t>
            </w:r>
          </w:p>
        </w:tc>
      </w:tr>
      <w:tr w14:paraId="3E08B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1445" w:type="pct"/>
            <w:vMerge w:val="continue"/>
            <w:vAlign w:val="center"/>
          </w:tcPr>
          <w:p w14:paraId="68BAE29E">
            <w:pPr>
              <w:spacing w:line="360" w:lineRule="exact"/>
              <w:rPr>
                <w:rFonts w:hint="eastAsia" w:asciiTheme="minorEastAsia" w:hAnsiTheme="minorEastAsia" w:eastAsiaTheme="minorEastAsia" w:cstheme="minorEastAsia"/>
                <w:snapToGrid w:val="0"/>
                <w:color w:val="auto"/>
                <w:szCs w:val="21"/>
              </w:rPr>
            </w:pPr>
          </w:p>
        </w:tc>
        <w:tc>
          <w:tcPr>
            <w:tcW w:w="2683" w:type="pct"/>
            <w:gridSpan w:val="2"/>
            <w:vAlign w:val="center"/>
          </w:tcPr>
          <w:p w14:paraId="30553120">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内外圆表面</w:t>
            </w:r>
          </w:p>
        </w:tc>
        <w:tc>
          <w:tcPr>
            <w:tcW w:w="871" w:type="pct"/>
            <w:vAlign w:val="center"/>
          </w:tcPr>
          <w:p w14:paraId="1D3C307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r>
      <w:tr w14:paraId="5FBED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1445" w:type="pct"/>
            <w:vMerge w:val="continue"/>
            <w:vAlign w:val="center"/>
          </w:tcPr>
          <w:p w14:paraId="44EA3E2B">
            <w:pPr>
              <w:spacing w:line="360" w:lineRule="exact"/>
              <w:rPr>
                <w:rFonts w:hint="eastAsia" w:asciiTheme="minorEastAsia" w:hAnsiTheme="minorEastAsia" w:eastAsiaTheme="minorEastAsia" w:cstheme="minorEastAsia"/>
                <w:snapToGrid w:val="0"/>
                <w:color w:val="auto"/>
                <w:szCs w:val="21"/>
              </w:rPr>
            </w:pPr>
          </w:p>
        </w:tc>
        <w:tc>
          <w:tcPr>
            <w:tcW w:w="2683" w:type="pct"/>
            <w:gridSpan w:val="2"/>
            <w:vAlign w:val="center"/>
          </w:tcPr>
          <w:p w14:paraId="0BC097E3">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镜板与推力头把合面</w:t>
            </w:r>
          </w:p>
        </w:tc>
        <w:tc>
          <w:tcPr>
            <w:tcW w:w="871" w:type="pct"/>
            <w:vAlign w:val="center"/>
          </w:tcPr>
          <w:p w14:paraId="7E27B77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0.8</w:t>
            </w:r>
          </w:p>
        </w:tc>
      </w:tr>
    </w:tbl>
    <w:p w14:paraId="40BA253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p>
    <w:p w14:paraId="4FCF9686">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w:t>
      </w: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color w:val="auto"/>
          <w:szCs w:val="21"/>
        </w:rPr>
        <w:instrText xml:space="preserve"> HYPERLINK \l "_Toc77950343" </w:instrText>
      </w:r>
      <w:r>
        <w:rPr>
          <w:rFonts w:hint="eastAsia" w:asciiTheme="minorEastAsia" w:hAnsiTheme="minorEastAsia" w:eastAsiaTheme="minorEastAsia" w:cstheme="minorEastAsia"/>
          <w:color w:val="auto"/>
          <w:szCs w:val="21"/>
        </w:rPr>
        <w:fldChar w:fldCharType="separate"/>
      </w:r>
      <w:r>
        <w:rPr>
          <w:rFonts w:hint="eastAsia" w:asciiTheme="minorEastAsia" w:hAnsiTheme="minorEastAsia" w:eastAsiaTheme="minorEastAsia" w:cstheme="minorEastAsia"/>
          <w:b/>
          <w:snapToGrid w:val="0"/>
          <w:color w:val="auto"/>
          <w:kern w:val="0"/>
          <w:szCs w:val="21"/>
        </w:rPr>
        <w:t>8.3 焊接</w:t>
      </w:r>
      <w:r>
        <w:rPr>
          <w:rFonts w:hint="eastAsia" w:asciiTheme="minorEastAsia" w:hAnsiTheme="minorEastAsia" w:eastAsiaTheme="minorEastAsia" w:cstheme="minorEastAsia"/>
          <w:b/>
          <w:snapToGrid w:val="0"/>
          <w:color w:val="auto"/>
          <w:kern w:val="0"/>
          <w:szCs w:val="21"/>
        </w:rPr>
        <w:fldChar w:fldCharType="end"/>
      </w:r>
    </w:p>
    <w:p w14:paraId="2FD569B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1.8.3.1 焊接工作一般采用手工或半自动电弧焊，有条件时可采用自动焊。对于需要消除内应力的机械加工件，应在消除内应力后再进行精加工。在制造厂焊接的主要零件，不允许采用局部消除内应力的方法。焊接后需加工的部件应整体退火消除内应力处理，残余应力应符合有关标准。</w:t>
      </w:r>
    </w:p>
    <w:p w14:paraId="42B9EDE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1.8.3.2 焊接件接缝坡口应设计合理，坡口表面应平整，无缺陷、油污及其他杂物。焊缝表面不应有裂纹、气孔、弧坑和飞溅物。</w:t>
      </w:r>
    </w:p>
    <w:p w14:paraId="7ED6562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1.8.3.3 压力容器部件的焊接方法、工艺及焊工要求应符合《压力容器》（GB150）中的有关规定。</w:t>
      </w:r>
    </w:p>
    <w:p w14:paraId="68C2D71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1.8.3.4 焊缝应进行无损探伤检查。无损探伤检查应符合GB要求。经无损探伤后，若有任何部分需要修复，则承包人应承担附加检查、修复和再检查的一切费用。焊缝长度的合格率应为99%，同一部位缺陷处理不能超过2次。</w:t>
      </w:r>
    </w:p>
    <w:p w14:paraId="50262A2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1.8.3.5 设备在工地焊接时，承包人应按额定金属填充料200%供应焊条或焊丝，所供材料应与工厂加工图纸一致，并能适应现场焊接条件。</w:t>
      </w:r>
    </w:p>
    <w:p w14:paraId="272F56E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1.8.3.6 设备在工地焊接时，承包人应提供一份完整的焊接工序说明，包括每个焊接件的详细焊接工序及每个焊接点的工序图表，焊接工序中有关金属填充剂，预热、层间温度及应力释放、热处理等均应明确并符合有关规程的规定。</w:t>
      </w:r>
    </w:p>
    <w:p w14:paraId="6E4826E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1.8.3.7 焊缝应有良好的外观，应处理平整圆滑，无内外任何焊接缺陷。对于需采用X射线探伤的焊缝，表面应铲平磨光。过水表面的焊缝应磨光成流线型。压力容器上的焊缝打磨处理时，应不削弱其结构强度。</w:t>
      </w:r>
    </w:p>
    <w:p w14:paraId="60FE627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1.8.3.8 进行主要受力部件、异性金属或不锈钢焊接的焊工，应按照规定进行考核，并取得焊接资格证书。</w:t>
      </w:r>
    </w:p>
    <w:p w14:paraId="19489CB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1.8.3.9 承包人需准备完整的焊接工艺大纲和工艺评定供发包人审查。大纲应由需要焊接的结构的详细工艺过程说明和相应的表格或图表组成，焊接工艺必须符合GB、JB有关规定。包括填料金属要求，预热和焊区的温度要求和应力消除热处理。</w:t>
      </w:r>
    </w:p>
    <w:p w14:paraId="06085585">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w:t>
      </w: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color w:val="auto"/>
          <w:szCs w:val="21"/>
        </w:rPr>
        <w:instrText xml:space="preserve"> HYPERLINK \l "_Toc77950345" </w:instrText>
      </w:r>
      <w:r>
        <w:rPr>
          <w:rFonts w:hint="eastAsia" w:asciiTheme="minorEastAsia" w:hAnsiTheme="minorEastAsia" w:eastAsiaTheme="minorEastAsia" w:cstheme="minorEastAsia"/>
          <w:color w:val="auto"/>
          <w:szCs w:val="21"/>
        </w:rPr>
        <w:fldChar w:fldCharType="separate"/>
      </w:r>
      <w:r>
        <w:rPr>
          <w:rFonts w:hint="eastAsia" w:asciiTheme="minorEastAsia" w:hAnsiTheme="minorEastAsia" w:eastAsiaTheme="minorEastAsia" w:cstheme="minorEastAsia"/>
          <w:b/>
          <w:snapToGrid w:val="0"/>
          <w:color w:val="auto"/>
          <w:kern w:val="0"/>
          <w:szCs w:val="21"/>
        </w:rPr>
        <w:t>8.4 铸件</w:t>
      </w:r>
      <w:r>
        <w:rPr>
          <w:rFonts w:hint="eastAsia" w:asciiTheme="minorEastAsia" w:hAnsiTheme="minorEastAsia" w:eastAsiaTheme="minorEastAsia" w:cstheme="minorEastAsia"/>
          <w:b/>
          <w:snapToGrid w:val="0"/>
          <w:color w:val="auto"/>
          <w:kern w:val="0"/>
          <w:szCs w:val="21"/>
        </w:rPr>
        <w:fldChar w:fldCharType="end"/>
      </w:r>
    </w:p>
    <w:p w14:paraId="6D81330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1.8.4.1 铸件质量应符合有关国家标准，应无气孔、砂眼、夹渣和裂纹等缺陷，表面应清理干净，不进行机械加工或安装后可见的表面缺陷应修饰并涂漆。含杂质过多或合金元素临界分离的铸件将被拒收。产生扭曲变形或存在主要缺陷时，将被拒收。</w:t>
      </w:r>
    </w:p>
    <w:p w14:paraId="2BEF37B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1.8.4.2 铸件的材料应进行理化分析和性能试验，其尺寸偏差、加工余量、重量偏差并符合相应规范的规定。</w:t>
      </w:r>
    </w:p>
    <w:p w14:paraId="4C80914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1.8.4.3 铸件在车间清理后，首先用肉眼检查并消除缺陷，再对铸件进行无损检测。</w:t>
      </w:r>
    </w:p>
    <w:p w14:paraId="3E3CADC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1.8.4.4 次要缺陷的铸钢件应修补，在修补或处理后应再检查。对允许修补的次要缺陷应按规定采用射线探伤检查。</w:t>
      </w:r>
    </w:p>
    <w:p w14:paraId="53F806C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1.8.4.5 在进行铸件缺陷修补之前，承包人应提供一份完整的铸件缺陷说明报告。报告包括所有缺陷（主要和次要的）位置与尺寸的图纸、金相试验报告、无损探伤检查的结果、相对于总体尺寸的铸件稳定性、断面金属厚度、形心位移、收缩量、变形等，报告中应解释缺陷的类型，造成缺陷的原因，并提出对部件设计铸造工艺的修改意见，及一个详细的修补工序，包括在焊补期间和最终加工修补后所要做的无损探伤。当准备焊补的空穴深度不超过实际厚度的20%、或最大深度不超过20mm、或者焊补的面积不大于65mm</w:t>
      </w:r>
      <w:r>
        <w:rPr>
          <w:rFonts w:hint="eastAsia" w:asciiTheme="minorEastAsia" w:hAnsiTheme="minorEastAsia" w:eastAsiaTheme="minorEastAsia" w:cstheme="minorEastAsia"/>
          <w:snapToGrid w:val="0"/>
          <w:color w:val="auto"/>
          <w:kern w:val="0"/>
          <w:szCs w:val="21"/>
          <w:vertAlign w:val="superscript"/>
        </w:rPr>
        <w:t>2</w:t>
      </w:r>
      <w:r>
        <w:rPr>
          <w:rFonts w:hint="eastAsia" w:asciiTheme="minorEastAsia" w:hAnsiTheme="minorEastAsia" w:eastAsiaTheme="minorEastAsia" w:cstheme="minorEastAsia"/>
          <w:snapToGrid w:val="0"/>
          <w:color w:val="auto"/>
          <w:kern w:val="0"/>
          <w:szCs w:val="21"/>
        </w:rPr>
        <w:t>的三者中的最小值时，这些无规则分散的缺陷可以认为是次要的，对强度无损害或不是影响铸件耐用性的次要缺陷，可以根据铸造车间的经验进行补焊处理。</w:t>
      </w:r>
    </w:p>
    <w:p w14:paraId="3EE43D2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1.8.4.6 超过次要缺陷的界限或若干次要缺陷累积在一起时，则应认为是主要缺陷。</w:t>
      </w:r>
    </w:p>
    <w:p w14:paraId="132AF07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1.8.4.7 根据发包人的意见，由于次要缺陷的累加，或根据发包人的意见对铸件总的质量有怀疑的次要缺陷的过分集中，都应是导致拒收的原因。如果产生的缺陷导致承受应力的断面厚度减少30%以上，或者剩余断面计算应力超过允许应力30%以上的铸件，将被拒收。在热处理后修补的铸件或要热处理后修补累加的次要缺陷的铸件，均应重新进行热处理。</w:t>
      </w:r>
    </w:p>
    <w:p w14:paraId="359E091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1.8.4.8 铸件尺寸应符合图纸要求，加工部位应留有足够加工裕量。铸件外形尺寸不允许减少到铸件强度削弱10%以上（按图纸尺寸计算），或应力超过规定的允许值。铸件有扭曲及变形影响最终加工尺寸时，应予报废。铸件尺寸也不能超长的太多，以致妨碍加工操作，或影响各部件配合。</w:t>
      </w:r>
    </w:p>
    <w:p w14:paraId="3CC60F2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1.8.4.9 如发现重大缺陷，发包人将要求进行X射线检查，所需费用由承包人支付。</w:t>
      </w:r>
    </w:p>
    <w:p w14:paraId="60206ED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1.8.4.10 铸件产生扭曲变形缺陷或有重大缺陷预计修复后无法保证质量时，应予报废。</w:t>
      </w:r>
    </w:p>
    <w:p w14:paraId="1B844AF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1.8.4.11 发包人将参与主要铸件的验收工作。</w:t>
      </w:r>
    </w:p>
    <w:p w14:paraId="4DF0003A">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w:t>
      </w: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color w:val="auto"/>
          <w:szCs w:val="21"/>
        </w:rPr>
        <w:instrText xml:space="preserve"> HYPERLINK \l "_Toc77950346" </w:instrText>
      </w:r>
      <w:r>
        <w:rPr>
          <w:rFonts w:hint="eastAsia" w:asciiTheme="minorEastAsia" w:hAnsiTheme="minorEastAsia" w:eastAsiaTheme="minorEastAsia" w:cstheme="minorEastAsia"/>
          <w:color w:val="auto"/>
          <w:szCs w:val="21"/>
        </w:rPr>
        <w:fldChar w:fldCharType="separate"/>
      </w:r>
      <w:r>
        <w:rPr>
          <w:rFonts w:hint="eastAsia" w:asciiTheme="minorEastAsia" w:hAnsiTheme="minorEastAsia" w:eastAsiaTheme="minorEastAsia" w:cstheme="minorEastAsia"/>
          <w:b/>
          <w:snapToGrid w:val="0"/>
          <w:color w:val="auto"/>
          <w:kern w:val="0"/>
          <w:szCs w:val="21"/>
        </w:rPr>
        <w:t>8.5 锻件</w:t>
      </w:r>
      <w:r>
        <w:rPr>
          <w:rFonts w:hint="eastAsia" w:asciiTheme="minorEastAsia" w:hAnsiTheme="minorEastAsia" w:eastAsiaTheme="minorEastAsia" w:cstheme="minorEastAsia"/>
          <w:b/>
          <w:snapToGrid w:val="0"/>
          <w:color w:val="auto"/>
          <w:kern w:val="0"/>
          <w:szCs w:val="21"/>
        </w:rPr>
        <w:fldChar w:fldCharType="end"/>
      </w:r>
    </w:p>
    <w:p w14:paraId="65EFBB6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1.8.5.1 锻件的质量应符合有关国家标准，应无气孔、砂眼、夹渣和裂纹等缺陷。锻件运至工地产生扭曲变形或主要缺陷时，将被拒收。</w:t>
      </w:r>
    </w:p>
    <w:p w14:paraId="3F4BA58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1.8.5.2 锻件应按国家有关标准要求和其他实用的无损探伤办法进行检查，以确定其质量。</w:t>
      </w:r>
    </w:p>
    <w:p w14:paraId="23352FE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1.8.5.3 锻件应是均质的，且不含过多的非金属杂质和低熔点金属的晶间偏析。</w:t>
      </w:r>
    </w:p>
    <w:p w14:paraId="66B1944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1.8.5.4 锻件应按适用的无损探伤方法进行检查。</w:t>
      </w:r>
    </w:p>
    <w:p w14:paraId="13C921E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1.8.5.5 承包人应提供检查资料供发包人验收。</w:t>
      </w:r>
    </w:p>
    <w:p w14:paraId="0228588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1.8.5.6 发包人将参与主要锻件的验收工作。</w:t>
      </w:r>
    </w:p>
    <w:p w14:paraId="29DD9E98">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w:t>
      </w: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color w:val="auto"/>
          <w:szCs w:val="21"/>
        </w:rPr>
        <w:instrText xml:space="preserve"> HYPERLINK \l "_Toc77950344" </w:instrText>
      </w:r>
      <w:r>
        <w:rPr>
          <w:rFonts w:hint="eastAsia" w:asciiTheme="minorEastAsia" w:hAnsiTheme="minorEastAsia" w:eastAsiaTheme="minorEastAsia" w:cstheme="minorEastAsia"/>
          <w:color w:val="auto"/>
          <w:szCs w:val="21"/>
        </w:rPr>
        <w:fldChar w:fldCharType="separate"/>
      </w:r>
      <w:r>
        <w:rPr>
          <w:rFonts w:hint="eastAsia" w:asciiTheme="minorEastAsia" w:hAnsiTheme="minorEastAsia" w:eastAsiaTheme="minorEastAsia" w:cstheme="minorEastAsia"/>
          <w:b/>
          <w:snapToGrid w:val="0"/>
          <w:color w:val="auto"/>
          <w:kern w:val="0"/>
          <w:szCs w:val="21"/>
        </w:rPr>
        <w:t>8.6 无损检测</w:t>
      </w:r>
      <w:r>
        <w:rPr>
          <w:rFonts w:hint="eastAsia" w:asciiTheme="minorEastAsia" w:hAnsiTheme="minorEastAsia" w:eastAsiaTheme="minorEastAsia" w:cstheme="minorEastAsia"/>
          <w:b/>
          <w:snapToGrid w:val="0"/>
          <w:color w:val="auto"/>
          <w:kern w:val="0"/>
          <w:szCs w:val="21"/>
        </w:rPr>
        <w:fldChar w:fldCharType="end"/>
      </w:r>
    </w:p>
    <w:p w14:paraId="3168AAB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1.8.6.1 无损检测应按GB的有关规定。承包人图纸应说明应用到每个部件或焊缝的无损探伤的类型、范围和级别。</w:t>
      </w:r>
    </w:p>
    <w:p w14:paraId="66EE346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1.8.6.2 无损检测主要采用磁粉法、染色法和超声波探伤，如用上述前三种方法检查解释不清或有疑问时，也可采用射线探伤。射线探伤用于高应力部件或某些关键部件的探伤。承包人应将无损检测的详细工艺和检查部件明细提交发包人审查。</w:t>
      </w:r>
    </w:p>
    <w:p w14:paraId="13745F7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1.8.6.3 所有设备的主要焊缝和受力焊缝均应进行无损检测。</w:t>
      </w:r>
    </w:p>
    <w:p w14:paraId="6974798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1.8.6.4 对于主要部件应按规定进行无损检测。</w:t>
      </w:r>
    </w:p>
    <w:p w14:paraId="35F239E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1.8.6.5 铸件应在清砂后，先用肉眼进行必要的外观检查后再进行无损检测。</w:t>
      </w:r>
    </w:p>
    <w:p w14:paraId="1A08F02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1.8.6.6 设备部件进行无损检测后，应提交无损探伤检测报告。</w:t>
      </w:r>
    </w:p>
    <w:p w14:paraId="7F11BA3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1.8.6.7 无损探伤检查运用于主要部件上，如结构焊缝、主要零部件、轴等。主要部件在最后表面加工和精加工后，还应做全部表面检查。</w:t>
      </w:r>
    </w:p>
    <w:p w14:paraId="4D6E474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1.8.6.8 无损检测结论证明材料应提交给发包人。</w:t>
      </w:r>
    </w:p>
    <w:p w14:paraId="71E4BDEC">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w:t>
      </w: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color w:val="auto"/>
          <w:szCs w:val="21"/>
        </w:rPr>
        <w:instrText xml:space="preserve"> HYPERLINK \l "_Toc77950342" </w:instrText>
      </w:r>
      <w:r>
        <w:rPr>
          <w:rFonts w:hint="eastAsia" w:asciiTheme="minorEastAsia" w:hAnsiTheme="minorEastAsia" w:eastAsiaTheme="minorEastAsia" w:cstheme="minorEastAsia"/>
          <w:color w:val="auto"/>
          <w:szCs w:val="21"/>
        </w:rPr>
        <w:fldChar w:fldCharType="separate"/>
      </w:r>
      <w:r>
        <w:rPr>
          <w:rFonts w:hint="eastAsia" w:asciiTheme="minorEastAsia" w:hAnsiTheme="minorEastAsia" w:eastAsiaTheme="minorEastAsia" w:cstheme="minorEastAsia"/>
          <w:b/>
          <w:snapToGrid w:val="0"/>
          <w:color w:val="auto"/>
          <w:kern w:val="0"/>
          <w:szCs w:val="21"/>
        </w:rPr>
        <w:t>8.7 部件表面防护</w:t>
      </w:r>
      <w:r>
        <w:rPr>
          <w:rFonts w:hint="eastAsia" w:asciiTheme="minorEastAsia" w:hAnsiTheme="minorEastAsia" w:eastAsiaTheme="minorEastAsia" w:cstheme="minorEastAsia"/>
          <w:b/>
          <w:snapToGrid w:val="0"/>
          <w:color w:val="auto"/>
          <w:kern w:val="0"/>
          <w:szCs w:val="21"/>
        </w:rPr>
        <w:fldChar w:fldCharType="end"/>
      </w:r>
    </w:p>
    <w:p w14:paraId="0CD4E500">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1.8.7.1 防护</w:t>
      </w:r>
    </w:p>
    <w:p w14:paraId="0EA8FF4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1）全部设备表面清理干净，并应涂以保护层或采取防护措施。</w:t>
      </w:r>
    </w:p>
    <w:p w14:paraId="565A192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2）除非另有规定，镀锌金属和有色金属部件不需要涂层。不锈钢、奥氏体灰口铸铁和高镍铸铁应视为有色金属。</w:t>
      </w:r>
    </w:p>
    <w:p w14:paraId="37120D7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3）清理和涂保护层应在合适的气候条件和充分干燥的表面上进行。当环境温度在7℃以下或当金属表面的温度小于环境空气露点3℃以上，不允许进行涂层。</w:t>
      </w:r>
    </w:p>
    <w:p w14:paraId="59671D6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4）在进行清理和上涂料期间，对不需要涂保护层的相邻表面应保护其不受污染和损坏。</w:t>
      </w:r>
    </w:p>
    <w:p w14:paraId="6A59910B">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1.8.7.2 表面处理</w:t>
      </w:r>
    </w:p>
    <w:p w14:paraId="3FA2726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所有要上涂料的表面，应先用合适的设备清扫。上涂料之前，要除掉残留在表面上的所有砂粒和铁末。有锈斑的表面、正在清扫的表面与已涂好涂料的表面交接处、以及受到污染的表面均要重新清扫，应按下述任一种方法进行处理。</w:t>
      </w:r>
    </w:p>
    <w:p w14:paraId="2CAB4D3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溶剂清洗：用干净的擦布与浸湿溶剂的刷子擦或洗净表面，除掉所有油、油脂和石腊，为了避免在要擦洗的表面上剩下油脂残余物薄膜，用干净的溶剂和擦布或刷子完成最后的清洗，在正常天气条件下，可用最小闪点为38℃的酒精或其他允许低毒溶剂作为一般用途的清洗剂；在热天则应采用二级最小闪点为50℃的浓酒精。涂沥青油环氧树脂的表面，可用甲苯清洗 。</w:t>
      </w:r>
    </w:p>
    <w:p w14:paraId="7AE8F28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3）喷砂处理：先用溶剂清洗，去掉所有油漆、油脂和污垢，再对应上涂料的表面，用坚硬的干砂或钢磨粒进行喷砂清理，使金属表面发亮成均匀灰白，用来喷砂的压缩空气应不含油和冷凝水。</w:t>
      </w:r>
    </w:p>
    <w:p w14:paraId="1CB9B44F">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1.8.7.3 喷涂</w:t>
      </w:r>
    </w:p>
    <w:p w14:paraId="3DBA09E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1）所有与混凝土接触的预埋件、非配合的金属表面应按要求进行机械清扫，并刷上一层油漆保护层以便于运输和贮存，油漆保护层在安装时应易清除。</w:t>
      </w:r>
    </w:p>
    <w:p w14:paraId="78A6FB1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2）所有暴露在大气中的铁类金属粗加工或精加工表面在运输之前应经溶剂清洗干净，涂上一层浓的防锈化合物。</w:t>
      </w:r>
    </w:p>
    <w:p w14:paraId="50887D7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3）油槽的全部内表面应喷砂清理直到发亮，并涂保护层，涂料应耐油。承包人应提交证明书，证明所建议的涂料在发包人的运行条件下能满意地使用至少8年。</w:t>
      </w:r>
    </w:p>
    <w:p w14:paraId="16AEBF6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所有暴露在大气中的未加工表面，用喷砂清理直到发亮，并刷两层防锈底漆（不得含铅），每层漆膜厚度不小于50μm，而在最后一道工厂防锈涂料完全干燥后，漆膜厚度不得少于80μm，对受冷凝作用的表面应涂上合适的防结露涂层。</w:t>
      </w:r>
    </w:p>
    <w:p w14:paraId="213D0BD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5）所有与水接触的非配合金属表面用喷砂清理成发亮（流道内焊缝应磨成平滑），达Sa2 1/2级表面的要求，并涂两层环氧富锌涂料。漆膜厚度应符合有关规定。</w:t>
      </w:r>
    </w:p>
    <w:p w14:paraId="5E99378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6）准备现场焊接的不防锈钢板或铸件的焊接坡口，需喷砂清理至接近发亮，并由承包人提供足够的油漆，供现场焊接后喷漆。</w:t>
      </w:r>
    </w:p>
    <w:p w14:paraId="6E464CF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7）操作柜和控制柜的非工作内表面需清扫干净，并至少涂两层由承包人提供的标准防护涂层。</w:t>
      </w:r>
    </w:p>
    <w:p w14:paraId="53C1A015">
      <w:pPr>
        <w:tabs>
          <w:tab w:val="left" w:pos="3025"/>
        </w:tabs>
        <w:autoSpaceDE w:val="0"/>
        <w:autoSpaceDN w:val="0"/>
        <w:textAlignment w:val="baseline"/>
        <w:rPr>
          <w:rFonts w:hint="eastAsia" w:asciiTheme="minorEastAsia" w:hAnsiTheme="minorEastAsia" w:eastAsiaTheme="minorEastAsia" w:cstheme="minorEastAsia"/>
          <w:b/>
          <w:snapToGrid w:val="0"/>
          <w:color w:val="auto"/>
          <w:kern w:val="0"/>
          <w:szCs w:val="21"/>
        </w:rPr>
      </w:pPr>
      <w:r>
        <w:rPr>
          <w:rFonts w:hint="eastAsia" w:asciiTheme="minorEastAsia" w:hAnsiTheme="minorEastAsia" w:eastAsiaTheme="minorEastAsia" w:cstheme="minorEastAsia"/>
          <w:b/>
          <w:snapToGrid w:val="0"/>
          <w:color w:val="auto"/>
          <w:kern w:val="0"/>
          <w:szCs w:val="21"/>
        </w:rPr>
        <w:t>1.8.7.4 涂料应用</w:t>
      </w:r>
    </w:p>
    <w:p w14:paraId="48A99C0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1）所有材料在应用时要充分搅拌，在涂料应用之前，清洗掉留在金属表面任何粉屑。</w:t>
      </w:r>
    </w:p>
    <w:p w14:paraId="4714612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2）应采取有效的措施除去游离油和来自喷涂设备及气管的水分。在喷漆时，应使用与涂层相符的喷嘴压力。每层涂层不能有滴淌、气孔和凹陷，在进行下一层涂料前，涂层应干燥、硬化。</w:t>
      </w:r>
    </w:p>
    <w:p w14:paraId="1A7FC2B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3）应提供足够数量的备用涂料，供现场修整、修复所有设备部件表面涂料之用。</w:t>
      </w:r>
    </w:p>
    <w:p w14:paraId="2759362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4）承包人的标准油漆也适用于各种小的辅助设备，例如：小功率电动机，接触器，表计、压力开关和类似的小型设备。</w:t>
      </w:r>
    </w:p>
    <w:p w14:paraId="65A49FB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5）需由机电安装单位完成的，承包人应提供足够数量的油漆用于现场涂刷。并将设备表面所用涂料的牌号、性能、涂层次数、厚度、工艺、标准等提交发包人。</w:t>
      </w:r>
    </w:p>
    <w:p w14:paraId="70261BA8">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"_Toc77950347"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9 管路</w:t>
      </w:r>
      <w:r>
        <w:rPr>
          <w:rFonts w:hint="eastAsia" w:asciiTheme="minorEastAsia" w:hAnsiTheme="minorEastAsia" w:eastAsiaTheme="minorEastAsia" w:cstheme="minorEastAsia"/>
          <w:bCs w:val="0"/>
          <w:color w:val="auto"/>
          <w:sz w:val="21"/>
          <w:szCs w:val="21"/>
        </w:rPr>
        <w:fldChar w:fldCharType="end"/>
      </w:r>
      <w:r>
        <w:rPr>
          <w:rFonts w:hint="eastAsia" w:asciiTheme="minorEastAsia" w:hAnsiTheme="minorEastAsia" w:eastAsiaTheme="minorEastAsia" w:cstheme="minorEastAsia"/>
          <w:bCs w:val="0"/>
          <w:color w:val="auto"/>
          <w:sz w:val="21"/>
          <w:szCs w:val="21"/>
        </w:rPr>
        <w:t>、阀门及附件</w:t>
      </w:r>
    </w:p>
    <w:p w14:paraId="0149C1D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1.9.1 管道、管道材料、管道支吊架应符合GB标准，管道尺寸应优先采用GB标准。承包人应负责其供货范围内油、气、水管道布置设计，提供全部管道的连接件、紧固件、支吊架及成形管道。管道、阀门和接头布置及管接头位置应便于设备解体检查和移动部件，检修时对其它设备干扰少。管道系统需拆卸的部位，应设置法兰或管接头。</w:t>
      </w:r>
    </w:p>
    <w:p w14:paraId="650079D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1.9.2 DN50mm以上管道，在满足吊装和运输情况下，由承包人工厂预加工。所有管道内壁应加以清理，装运时管道应配有管塞或管帽。承包人应在图纸上表示各管道位置、管径及用途。</w:t>
      </w:r>
    </w:p>
    <w:p w14:paraId="1A278F2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1.9.3 管道内的液体流速应为1.5～3.5m/s，组装管道都应作1.5倍设计压力的耐压试验。</w:t>
      </w:r>
    </w:p>
    <w:p w14:paraId="5DEBC4E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1.9.4 油管及管件均采用不锈钢。液压站和导叶接力器的两端连接处采用高压软管连接，直径≤DN20mm的油管采用不锈钢管接头连接，直径＞DN20mm的油管应采用不锈钢法兰连接。</w:t>
      </w:r>
    </w:p>
    <w:p w14:paraId="339D50E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1.9.5 压缩空气管道及管件采用镀锌钢管。</w:t>
      </w:r>
    </w:p>
    <w:p w14:paraId="5F93FC5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1.9.6 水管采用镀锌钢管。</w:t>
      </w:r>
    </w:p>
    <w:p w14:paraId="443F48E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1.9.7 测压管及管件应为不锈钢，管径≥DN25mm，测压头应为不锈钢材料制造。</w:t>
      </w:r>
    </w:p>
    <w:p w14:paraId="1E8F055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1.9.8 仪表管应为不锈钢管或紫铜管，并采用相应材料的管道附件。在仪表处应提供截止阀、表用三通阀和排水接头。温度计的软管应有铠装防护。</w:t>
      </w:r>
    </w:p>
    <w:p w14:paraId="53D3761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1.9.9 所有设备的内部和外部水管用螺纹或法兰联接，油管用法兰联接。所有外部联接用法兰都应带有联接螺栓、螺母和密封垫片，以便联接。</w:t>
      </w:r>
    </w:p>
    <w:p w14:paraId="2CF53AF2">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kern w:val="0"/>
          <w:szCs w:val="21"/>
        </w:rPr>
        <w:t>1.9.10 承包人</w:t>
      </w:r>
      <w:r>
        <w:rPr>
          <w:rFonts w:hint="eastAsia" w:asciiTheme="minorEastAsia" w:hAnsiTheme="minorEastAsia" w:eastAsiaTheme="minorEastAsia" w:cstheme="minorEastAsia"/>
          <w:color w:val="auto"/>
          <w:szCs w:val="21"/>
        </w:rPr>
        <w:t>应为其供货的全部管道提供足够的管道支吊架、管夹，紧固装置和管道系统所需的双头螺栓、螺栓、螺帽、垫圈、耐油密封垫圈、密封件和填料等附件。</w:t>
      </w:r>
    </w:p>
    <w:p w14:paraId="48FCF01A">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1.9.11 合同设备的内部管道连接及连接件，其螺纹、法兰面加工及钻孔应符合GB标准的公制规定。合同设备的管道与其他承包人提供的管道相连处，其螺纹、法兰面加工及钻孔应与发包人协调，连接件（螺栓、螺母和垫圈）也应采用GB标准。</w:t>
      </w:r>
    </w:p>
    <w:p w14:paraId="589CB000">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1.9.12 除另有说明，阀门采用知名品牌阀门并经证实质量性能优良的产品。</w:t>
      </w:r>
    </w:p>
    <w:p w14:paraId="0E2063A6">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1.9.13 DN25及以下的水阀或低压空气阀应采用黄铜或青铜制成，中高压油阀和中高压空气阀门采用不锈钢球阀。</w:t>
      </w:r>
    </w:p>
    <w:p w14:paraId="78E7F3BD">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"_Toc77950348"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10 吊装附件</w:t>
      </w:r>
      <w:r>
        <w:rPr>
          <w:rFonts w:hint="eastAsia" w:asciiTheme="minorEastAsia" w:hAnsiTheme="minorEastAsia" w:eastAsiaTheme="minorEastAsia" w:cstheme="minorEastAsia"/>
          <w:bCs w:val="0"/>
          <w:color w:val="auto"/>
          <w:sz w:val="21"/>
          <w:szCs w:val="21"/>
        </w:rPr>
        <w:fldChar w:fldCharType="end"/>
      </w:r>
    </w:p>
    <w:p w14:paraId="244B278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在设备部件上应有供吊装用的吊耳、吊环等。在安装过程中用厂房桥式起重机吊装设备时，所有部件和组装件挂装的吊耳均由承包人提供。</w:t>
      </w:r>
    </w:p>
    <w:p w14:paraId="02AE3411">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"_Toc77950349"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11 基础件</w:t>
      </w:r>
      <w:r>
        <w:rPr>
          <w:rFonts w:hint="eastAsia" w:asciiTheme="minorEastAsia" w:hAnsiTheme="minorEastAsia" w:eastAsiaTheme="minorEastAsia" w:cstheme="minorEastAsia"/>
          <w:bCs w:val="0"/>
          <w:color w:val="auto"/>
          <w:sz w:val="21"/>
          <w:szCs w:val="21"/>
        </w:rPr>
        <w:fldChar w:fldCharType="end"/>
      </w:r>
    </w:p>
    <w:p w14:paraId="4615F21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所有永久性基础件，包括埋于混凝土的锚定螺栓，或在混凝土浇筑过程用于固定或支撑部件的锚定螺栓以及全部千斤顶、拉杆、锲形板和拉条等，均应随设备一起供应。埋设件的拉杆和斜撑的设计，应当使部件埋入时能牢固地定位。所有千斤顶应有钢座和钢盖，以便能焊接在基座和支撑的部件上。</w:t>
      </w:r>
    </w:p>
    <w:p w14:paraId="493CB2E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1.12 测头</w:t>
      </w:r>
    </w:p>
    <w:p w14:paraId="5672274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用于水力测量及状态监测的动、静压测头形状、结构尺寸、材料和布置要求，应符合相应规范的要求。测头应采用不锈钢。测头结构考虑防泥沙堵塞。</w:t>
      </w:r>
    </w:p>
    <w:p w14:paraId="7CEDA8FD">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"_Toc77950352"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13 润滑油</w:t>
      </w:r>
      <w:r>
        <w:rPr>
          <w:rFonts w:hint="eastAsia" w:asciiTheme="minorEastAsia" w:hAnsiTheme="minorEastAsia" w:eastAsiaTheme="minorEastAsia" w:cstheme="minorEastAsia"/>
          <w:bCs w:val="0"/>
          <w:color w:val="auto"/>
          <w:sz w:val="21"/>
          <w:szCs w:val="21"/>
        </w:rPr>
        <w:fldChar w:fldCharType="end"/>
      </w:r>
      <w:r>
        <w:rPr>
          <w:rFonts w:hint="eastAsia" w:asciiTheme="minorEastAsia" w:hAnsiTheme="minorEastAsia" w:eastAsiaTheme="minorEastAsia" w:cstheme="minorEastAsia"/>
          <w:bCs w:val="0"/>
          <w:color w:val="auto"/>
          <w:sz w:val="21"/>
          <w:szCs w:val="21"/>
        </w:rPr>
        <w:t>和润滑脂</w:t>
      </w:r>
    </w:p>
    <w:p w14:paraId="19E3211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承包人提供的润滑油和润滑脂应符合相应规范的要求。轴承润滑油或调速系统操作油</w:t>
      </w:r>
      <w:r>
        <w:rPr>
          <w:rFonts w:hint="eastAsia" w:asciiTheme="minorEastAsia" w:hAnsiTheme="minorEastAsia" w:eastAsiaTheme="minorEastAsia" w:cstheme="minorEastAsia"/>
          <w:color w:val="auto"/>
          <w:szCs w:val="21"/>
        </w:rPr>
        <w:t>采用GB11120《涡轮机油》46号汽轮机油</w:t>
      </w:r>
      <w:r>
        <w:rPr>
          <w:rFonts w:hint="eastAsia" w:asciiTheme="minorEastAsia" w:hAnsiTheme="minorEastAsia" w:eastAsiaTheme="minorEastAsia" w:cstheme="minorEastAsia"/>
          <w:snapToGrid w:val="0"/>
          <w:color w:val="auto"/>
          <w:kern w:val="0"/>
          <w:szCs w:val="21"/>
        </w:rPr>
        <w:t>，其性能应符合GB11120《涡轮机油》的规定。</w:t>
      </w:r>
    </w:p>
    <w:p w14:paraId="0FD60D4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1.13.1 轴承润滑系统及调速系统用油</w:t>
      </w:r>
    </w:p>
    <w:p w14:paraId="45B1FAB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GB11120《涡轮机油》46号汽轮机油的技术参数见表1.13-1。</w:t>
      </w:r>
    </w:p>
    <w:p w14:paraId="0DEEA2CA">
      <w:pPr>
        <w:tabs>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表1.13-1  46号汽轮机油质量标准</w:t>
      </w:r>
    </w:p>
    <w:tbl>
      <w:tblPr>
        <w:tblStyle w:val="6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46"/>
        <w:gridCol w:w="2657"/>
        <w:gridCol w:w="2219"/>
      </w:tblGrid>
      <w:tr w14:paraId="7C933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3ED8A83D">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            目</w:t>
            </w:r>
          </w:p>
        </w:tc>
        <w:tc>
          <w:tcPr>
            <w:tcW w:w="1559" w:type="pct"/>
          </w:tcPr>
          <w:p w14:paraId="09A34FAF">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    位</w:t>
            </w:r>
          </w:p>
        </w:tc>
        <w:tc>
          <w:tcPr>
            <w:tcW w:w="1303" w:type="pct"/>
          </w:tcPr>
          <w:p w14:paraId="575794F0">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指    标</w:t>
            </w:r>
          </w:p>
        </w:tc>
      </w:tr>
      <w:tr w14:paraId="08C2D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0ECC0E7B">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运动粘度(40℃)</w:t>
            </w:r>
          </w:p>
        </w:tc>
        <w:tc>
          <w:tcPr>
            <w:tcW w:w="1559" w:type="pct"/>
          </w:tcPr>
          <w:p w14:paraId="571CB086">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rPr>
              <w:t>/s</w:t>
            </w:r>
          </w:p>
        </w:tc>
        <w:tc>
          <w:tcPr>
            <w:tcW w:w="1303" w:type="pct"/>
          </w:tcPr>
          <w:p w14:paraId="6E37FA89">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41.4-50.6</w:t>
            </w:r>
          </w:p>
        </w:tc>
      </w:tr>
      <w:tr w14:paraId="24152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0F6AE206">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粘度指数</w:t>
            </w:r>
          </w:p>
        </w:tc>
        <w:tc>
          <w:tcPr>
            <w:tcW w:w="1559" w:type="pct"/>
          </w:tcPr>
          <w:p w14:paraId="75C73042">
            <w:pPr>
              <w:pStyle w:val="988"/>
              <w:spacing w:line="300" w:lineRule="auto"/>
              <w:rPr>
                <w:rFonts w:hint="eastAsia" w:asciiTheme="minorEastAsia" w:hAnsiTheme="minorEastAsia" w:eastAsiaTheme="minorEastAsia" w:cstheme="minorEastAsia"/>
                <w:color w:val="auto"/>
                <w:sz w:val="21"/>
                <w:szCs w:val="21"/>
              </w:rPr>
            </w:pPr>
          </w:p>
        </w:tc>
        <w:tc>
          <w:tcPr>
            <w:tcW w:w="1303" w:type="pct"/>
          </w:tcPr>
          <w:p w14:paraId="70766C84">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不小于90</w:t>
            </w:r>
          </w:p>
        </w:tc>
      </w:tr>
      <w:tr w14:paraId="60A52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09B2EDB8">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倾点</w:t>
            </w:r>
          </w:p>
        </w:tc>
        <w:tc>
          <w:tcPr>
            <w:tcW w:w="1559" w:type="pct"/>
          </w:tcPr>
          <w:p w14:paraId="493B1978">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303" w:type="pct"/>
          </w:tcPr>
          <w:p w14:paraId="19838D28">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不高于-7</w:t>
            </w:r>
          </w:p>
        </w:tc>
      </w:tr>
      <w:tr w14:paraId="21B21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55566C67">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闪点(开口)</w:t>
            </w:r>
          </w:p>
        </w:tc>
        <w:tc>
          <w:tcPr>
            <w:tcW w:w="1559" w:type="pct"/>
          </w:tcPr>
          <w:p w14:paraId="6A78054A">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303" w:type="pct"/>
          </w:tcPr>
          <w:p w14:paraId="47444B66">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不低于180</w:t>
            </w:r>
          </w:p>
        </w:tc>
      </w:tr>
      <w:tr w14:paraId="51B44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154E6E2B">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酸值</w:t>
            </w:r>
          </w:p>
        </w:tc>
        <w:tc>
          <w:tcPr>
            <w:tcW w:w="1559" w:type="pct"/>
          </w:tcPr>
          <w:p w14:paraId="213845A0">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mgKOH/g</w:t>
            </w:r>
          </w:p>
        </w:tc>
        <w:tc>
          <w:tcPr>
            <w:tcW w:w="1303" w:type="pct"/>
          </w:tcPr>
          <w:p w14:paraId="726B7AAC">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不大于0.03</w:t>
            </w:r>
          </w:p>
        </w:tc>
      </w:tr>
      <w:tr w14:paraId="2ECA8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26AEFA26">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机械杂质</w:t>
            </w:r>
          </w:p>
        </w:tc>
        <w:tc>
          <w:tcPr>
            <w:tcW w:w="1559" w:type="pct"/>
          </w:tcPr>
          <w:p w14:paraId="53D3C5B7">
            <w:pPr>
              <w:pStyle w:val="988"/>
              <w:spacing w:line="300" w:lineRule="auto"/>
              <w:rPr>
                <w:rFonts w:hint="eastAsia" w:asciiTheme="minorEastAsia" w:hAnsiTheme="minorEastAsia" w:eastAsiaTheme="minorEastAsia" w:cstheme="minorEastAsia"/>
                <w:color w:val="auto"/>
                <w:sz w:val="21"/>
                <w:szCs w:val="21"/>
              </w:rPr>
            </w:pPr>
          </w:p>
        </w:tc>
        <w:tc>
          <w:tcPr>
            <w:tcW w:w="1303" w:type="pct"/>
          </w:tcPr>
          <w:p w14:paraId="6C635786">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w:t>
            </w:r>
          </w:p>
        </w:tc>
      </w:tr>
      <w:tr w14:paraId="0E8C9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7608B0BD">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水份</w:t>
            </w:r>
          </w:p>
        </w:tc>
        <w:tc>
          <w:tcPr>
            <w:tcW w:w="1559" w:type="pct"/>
          </w:tcPr>
          <w:p w14:paraId="552E7C1B">
            <w:pPr>
              <w:pStyle w:val="988"/>
              <w:spacing w:line="300" w:lineRule="auto"/>
              <w:rPr>
                <w:rFonts w:hint="eastAsia" w:asciiTheme="minorEastAsia" w:hAnsiTheme="minorEastAsia" w:eastAsiaTheme="minorEastAsia" w:cstheme="minorEastAsia"/>
                <w:color w:val="auto"/>
                <w:sz w:val="21"/>
                <w:szCs w:val="21"/>
              </w:rPr>
            </w:pPr>
          </w:p>
        </w:tc>
        <w:tc>
          <w:tcPr>
            <w:tcW w:w="1303" w:type="pct"/>
          </w:tcPr>
          <w:p w14:paraId="77199255">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w:t>
            </w:r>
          </w:p>
        </w:tc>
      </w:tr>
      <w:tr w14:paraId="26EF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74905BD6">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破乳化值(54℃)</w:t>
            </w:r>
          </w:p>
        </w:tc>
        <w:tc>
          <w:tcPr>
            <w:tcW w:w="1559" w:type="pct"/>
          </w:tcPr>
          <w:p w14:paraId="174B6CDD">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min</w:t>
            </w:r>
          </w:p>
        </w:tc>
        <w:tc>
          <w:tcPr>
            <w:tcW w:w="1303" w:type="pct"/>
          </w:tcPr>
          <w:p w14:paraId="66B4E8E9">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不大于15</w:t>
            </w:r>
          </w:p>
        </w:tc>
      </w:tr>
      <w:tr w14:paraId="527CD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50751AC0">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起泡性试验(24℃)</w:t>
            </w:r>
          </w:p>
        </w:tc>
        <w:tc>
          <w:tcPr>
            <w:tcW w:w="1559" w:type="pct"/>
          </w:tcPr>
          <w:p w14:paraId="0B30F1D7">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mL/ml</w:t>
            </w:r>
          </w:p>
        </w:tc>
        <w:tc>
          <w:tcPr>
            <w:tcW w:w="1303" w:type="pct"/>
          </w:tcPr>
          <w:p w14:paraId="4425363D">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不大于450/0</w:t>
            </w:r>
          </w:p>
        </w:tc>
      </w:tr>
      <w:tr w14:paraId="47F7A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393F3077">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w:t>
            </w:r>
          </w:p>
        </w:tc>
        <w:tc>
          <w:tcPr>
            <w:tcW w:w="1559" w:type="pct"/>
          </w:tcPr>
          <w:p w14:paraId="1B0A47CA">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mL/ml</w:t>
            </w:r>
          </w:p>
        </w:tc>
        <w:tc>
          <w:tcPr>
            <w:tcW w:w="1303" w:type="pct"/>
          </w:tcPr>
          <w:p w14:paraId="59374CC6">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不大于100/0</w:t>
            </w:r>
          </w:p>
        </w:tc>
      </w:tr>
      <w:tr w14:paraId="44216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3B0F8F34">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(后24℃)</w:t>
            </w:r>
          </w:p>
        </w:tc>
        <w:tc>
          <w:tcPr>
            <w:tcW w:w="1559" w:type="pct"/>
          </w:tcPr>
          <w:p w14:paraId="75EA4C97">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mL/ml</w:t>
            </w:r>
          </w:p>
        </w:tc>
        <w:tc>
          <w:tcPr>
            <w:tcW w:w="1303" w:type="pct"/>
          </w:tcPr>
          <w:p w14:paraId="75E03B1B">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不大于450/0</w:t>
            </w:r>
          </w:p>
        </w:tc>
      </w:tr>
      <w:tr w14:paraId="7C97C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2D4E326B">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氧化安定性(酸值至2.0mgKOH／g)</w:t>
            </w:r>
          </w:p>
        </w:tc>
        <w:tc>
          <w:tcPr>
            <w:tcW w:w="1559" w:type="pct"/>
          </w:tcPr>
          <w:p w14:paraId="3B98C0B1">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h</w:t>
            </w:r>
          </w:p>
        </w:tc>
        <w:tc>
          <w:tcPr>
            <w:tcW w:w="1303" w:type="pct"/>
          </w:tcPr>
          <w:p w14:paraId="1A20B03F">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不小于3000</w:t>
            </w:r>
          </w:p>
        </w:tc>
      </w:tr>
      <w:tr w14:paraId="10D9E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2A700D3A">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液相锈蚀试验(合成海水)</w:t>
            </w:r>
          </w:p>
        </w:tc>
        <w:tc>
          <w:tcPr>
            <w:tcW w:w="1559" w:type="pct"/>
          </w:tcPr>
          <w:p w14:paraId="505ECDCE">
            <w:pPr>
              <w:pStyle w:val="988"/>
              <w:spacing w:line="300" w:lineRule="auto"/>
              <w:rPr>
                <w:rFonts w:hint="eastAsia" w:asciiTheme="minorEastAsia" w:hAnsiTheme="minorEastAsia" w:eastAsiaTheme="minorEastAsia" w:cstheme="minorEastAsia"/>
                <w:color w:val="auto"/>
                <w:sz w:val="21"/>
                <w:szCs w:val="21"/>
              </w:rPr>
            </w:pPr>
          </w:p>
        </w:tc>
        <w:tc>
          <w:tcPr>
            <w:tcW w:w="1303" w:type="pct"/>
          </w:tcPr>
          <w:p w14:paraId="4FA0EB84">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无锈</w:t>
            </w:r>
          </w:p>
        </w:tc>
      </w:tr>
      <w:tr w14:paraId="4D160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59F8CFD8">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铜片试验(100℃，3h)</w:t>
            </w:r>
          </w:p>
        </w:tc>
        <w:tc>
          <w:tcPr>
            <w:tcW w:w="1559" w:type="pct"/>
          </w:tcPr>
          <w:p w14:paraId="53EA44D5">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级</w:t>
            </w:r>
          </w:p>
        </w:tc>
        <w:tc>
          <w:tcPr>
            <w:tcW w:w="1303" w:type="pct"/>
          </w:tcPr>
          <w:p w14:paraId="0B8B78B4">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不大于1级</w:t>
            </w:r>
          </w:p>
        </w:tc>
      </w:tr>
      <w:tr w14:paraId="1509D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139" w:type="pct"/>
          </w:tcPr>
          <w:p w14:paraId="4B4DF806">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空气释放值(50℃)</w:t>
            </w:r>
          </w:p>
        </w:tc>
        <w:tc>
          <w:tcPr>
            <w:tcW w:w="1559" w:type="pct"/>
          </w:tcPr>
          <w:p w14:paraId="2C611419">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min</w:t>
            </w:r>
          </w:p>
        </w:tc>
        <w:tc>
          <w:tcPr>
            <w:tcW w:w="1303" w:type="pct"/>
          </w:tcPr>
          <w:p w14:paraId="2F7463A2">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r>
    </w:tbl>
    <w:p w14:paraId="47D1AE8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1.13.2 润滑脂</w:t>
      </w:r>
    </w:p>
    <w:p w14:paraId="73E8F29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润滑脂的技术参数见表1.13-2。</w:t>
      </w:r>
    </w:p>
    <w:p w14:paraId="5CB1D015">
      <w:pPr>
        <w:tabs>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表1.13-2  润滑脂质量标准</w:t>
      </w:r>
    </w:p>
    <w:tbl>
      <w:tblPr>
        <w:tblStyle w:val="6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363"/>
        <w:gridCol w:w="1945"/>
        <w:gridCol w:w="2214"/>
      </w:tblGrid>
      <w:tr w14:paraId="2FAF4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60" w:type="pct"/>
          </w:tcPr>
          <w:p w14:paraId="3EC91F90">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    目</w:t>
            </w:r>
          </w:p>
        </w:tc>
        <w:tc>
          <w:tcPr>
            <w:tcW w:w="1141" w:type="pct"/>
          </w:tcPr>
          <w:p w14:paraId="552BF3AE">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   位</w:t>
            </w:r>
          </w:p>
        </w:tc>
        <w:tc>
          <w:tcPr>
            <w:tcW w:w="1299" w:type="pct"/>
          </w:tcPr>
          <w:p w14:paraId="0323C8E8">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指   标</w:t>
            </w:r>
          </w:p>
        </w:tc>
      </w:tr>
      <w:tr w14:paraId="17114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60" w:type="pct"/>
          </w:tcPr>
          <w:p w14:paraId="43FA27FB">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滴  点</w:t>
            </w:r>
          </w:p>
        </w:tc>
        <w:tc>
          <w:tcPr>
            <w:tcW w:w="1141" w:type="pct"/>
          </w:tcPr>
          <w:p w14:paraId="12537259">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299" w:type="pct"/>
          </w:tcPr>
          <w:p w14:paraId="004722C4">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不低于135</w:t>
            </w:r>
          </w:p>
        </w:tc>
      </w:tr>
      <w:tr w14:paraId="64058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60" w:type="pct"/>
          </w:tcPr>
          <w:p w14:paraId="190135D4">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  分</w:t>
            </w:r>
          </w:p>
        </w:tc>
        <w:tc>
          <w:tcPr>
            <w:tcW w:w="1141" w:type="pct"/>
          </w:tcPr>
          <w:p w14:paraId="7116DD55">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299" w:type="pct"/>
          </w:tcPr>
          <w:p w14:paraId="23056B8C">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不大于0.7</w:t>
            </w:r>
          </w:p>
        </w:tc>
      </w:tr>
      <w:tr w14:paraId="3A518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60" w:type="pct"/>
          </w:tcPr>
          <w:p w14:paraId="6EF0FE7A">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矿物油粘度(40℃)</w:t>
            </w:r>
          </w:p>
        </w:tc>
        <w:tc>
          <w:tcPr>
            <w:tcW w:w="1141" w:type="pct"/>
          </w:tcPr>
          <w:p w14:paraId="55F7ABD7">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mm2/s</w:t>
            </w:r>
          </w:p>
        </w:tc>
        <w:tc>
          <w:tcPr>
            <w:tcW w:w="1299" w:type="pct"/>
          </w:tcPr>
          <w:p w14:paraId="60D59EB9">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41.4～74.8</w:t>
            </w:r>
          </w:p>
        </w:tc>
      </w:tr>
      <w:tr w14:paraId="51E01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60" w:type="pct"/>
          </w:tcPr>
          <w:p w14:paraId="662F06AA">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游离碱</w:t>
            </w:r>
          </w:p>
        </w:tc>
        <w:tc>
          <w:tcPr>
            <w:tcW w:w="1141" w:type="pct"/>
          </w:tcPr>
          <w:p w14:paraId="7F3D3F84">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NaOH％</w:t>
            </w:r>
          </w:p>
        </w:tc>
        <w:tc>
          <w:tcPr>
            <w:tcW w:w="1299" w:type="pct"/>
          </w:tcPr>
          <w:p w14:paraId="75C0130B">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不大于0.2</w:t>
            </w:r>
          </w:p>
        </w:tc>
      </w:tr>
      <w:tr w14:paraId="2636F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60" w:type="pct"/>
          </w:tcPr>
          <w:p w14:paraId="763CC0E2">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工作锥入度</w:t>
            </w:r>
          </w:p>
        </w:tc>
        <w:tc>
          <w:tcPr>
            <w:tcW w:w="1141" w:type="pct"/>
          </w:tcPr>
          <w:p w14:paraId="376E9E7B">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1/10mm</w:t>
            </w:r>
          </w:p>
        </w:tc>
        <w:tc>
          <w:tcPr>
            <w:tcW w:w="1299" w:type="pct"/>
          </w:tcPr>
          <w:p w14:paraId="003B3688">
            <w:pPr>
              <w:pStyle w:val="988"/>
              <w:spacing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200～240</w:t>
            </w:r>
          </w:p>
        </w:tc>
      </w:tr>
    </w:tbl>
    <w:p w14:paraId="747366D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p>
    <w:p w14:paraId="3AC55ADE">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"_Toc77950353"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14 自动化元件</w:t>
      </w:r>
      <w:r>
        <w:rPr>
          <w:rFonts w:hint="eastAsia" w:asciiTheme="minorEastAsia" w:hAnsiTheme="minorEastAsia" w:eastAsiaTheme="minorEastAsia" w:cstheme="minorEastAsia"/>
          <w:bCs w:val="0"/>
          <w:color w:val="auto"/>
          <w:sz w:val="21"/>
          <w:szCs w:val="21"/>
        </w:rPr>
        <w:fldChar w:fldCharType="end"/>
      </w:r>
    </w:p>
    <w:p w14:paraId="5E23E698">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1.14.1 总体要求</w:t>
      </w:r>
    </w:p>
    <w:p w14:paraId="3F3CF44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1.14.1.1 承包人应提出一套完整的自动化元件清单，包括各自动化元器件的规格、作用、安装位置、性能特点、产地和品牌等。</w:t>
      </w:r>
    </w:p>
    <w:p w14:paraId="03280BD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1.14.1.2 为满足设备自动控制要求配置的各种自动化元件，必须采用质量优良（在投标文件中明确）的产品，技术应先进可靠；电气接点数量要满足监控系统要求，并留有备用，同类型的变送器应有互换性。变送器应承受暂态过程测值波动而不损坏。所选各自动化元件的规格型号，应提交发包人确认。</w:t>
      </w:r>
    </w:p>
    <w:p w14:paraId="7490E2B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1.14.1.3 温度测量元件应设置在能反映最热温度的位置，每个热电阻均用三线制接线接至端子箱中的端子排上。每组端子排上应设有接地端子。承包人应提供连接端子箱与测温电阻之间的所有连线。在需要防止杂散轴电流影响处测温电阻的外壳应予绝缘，导线应是镀锡铜线，并包有色码热塑绝缘，全部热塑绝缘和外套应耐油。导线应为三绞线结构，使电磁干扰最小；并应有屏蔽，使静电干扰最小。</w:t>
      </w:r>
    </w:p>
    <w:p w14:paraId="55BC595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1.14.1.4 在所有测量液体的表计和主要连接点要设置断流旋塞并应能排气，不同金属的接触要用不导电的绝缘材料。</w:t>
      </w:r>
    </w:p>
    <w:p w14:paraId="20F5581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1.14.1.5 所有安装在测量点上的指示器应稳固地支承在托架上，应易于检修。</w:t>
      </w:r>
    </w:p>
    <w:p w14:paraId="31855FE2">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1.14.2 压力表</w:t>
      </w:r>
    </w:p>
    <w:p w14:paraId="090E707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1.14.2.1 压力表均应为油浸式防震型的压力表，每个测量压力的分接头在连接处都应装一个隔离阀。在盘柜中安装的压力表，隔离阀应方便试验表计的连接。除气管路上的所有压力表的分接头都应有排气和排水的连接接头。</w:t>
      </w:r>
    </w:p>
    <w:p w14:paraId="6DDD9D9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1.14.2.2 压力表应符合国家标准的要求，除非在技术条件中有其他规定，否则仪表仅显示压力。水压指示计可以用MPa或者水柱的高度m两种单位来表示。</w:t>
      </w:r>
    </w:p>
    <w:p w14:paraId="72F2151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1.14.2.3 压力表刻度盘直径为150mm，并应是白底黑字和黑指针，带有非堵塞型脉缓冲器和旋塞阀。</w:t>
      </w:r>
    </w:p>
    <w:p w14:paraId="05CF2EE2">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1.14.3 变送器（传感器）</w:t>
      </w:r>
    </w:p>
    <w:p w14:paraId="2F73E56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1.14.3.1 变送器和传感器应能适用于精确测量规定的物理量。</w:t>
      </w:r>
    </w:p>
    <w:p w14:paraId="0A0D15E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1.14.3.2 在输入、输出、外接电源（如果有的话）和外壳接地之间应有电气隔离。所有的传感器的绝缘耐压试验值应符合有关标准的试验要求。</w:t>
      </w:r>
    </w:p>
    <w:p w14:paraId="0366110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1.14.3.3 变送器漂移应在允许范围内。</w:t>
      </w:r>
    </w:p>
    <w:p w14:paraId="5AD1239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1.14.3.4 凡用于测量和参与控制的温度、压力、液位、行程等用途的传感器，包括流量和压力开关，均应采用优质产品。控制和指示设备应满足相关的标准。设备必须通过型式试验。</w:t>
      </w:r>
    </w:p>
    <w:p w14:paraId="2C0C6B3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1.14.3.5 凡需经变送器转换送至计算机监控系统的非电量信号，需具有满量程为4～20mA模拟量信号输出。所有仪表安装应与盘面齐平，温度以℃、压力以MPa，流量以m</w:t>
      </w:r>
      <w:r>
        <w:rPr>
          <w:rFonts w:hint="eastAsia" w:asciiTheme="minorEastAsia" w:hAnsiTheme="minorEastAsia" w:eastAsiaTheme="minorEastAsia" w:cstheme="minorEastAsia"/>
          <w:snapToGrid w:val="0"/>
          <w:color w:val="auto"/>
          <w:kern w:val="0"/>
          <w:szCs w:val="21"/>
          <w:vertAlign w:val="superscript"/>
        </w:rPr>
        <w:t>3</w:t>
      </w:r>
      <w:r>
        <w:rPr>
          <w:rFonts w:hint="eastAsia" w:asciiTheme="minorEastAsia" w:hAnsiTheme="minorEastAsia" w:eastAsiaTheme="minorEastAsia" w:cstheme="minorEastAsia"/>
          <w:snapToGrid w:val="0"/>
          <w:color w:val="auto"/>
          <w:kern w:val="0"/>
          <w:szCs w:val="21"/>
        </w:rPr>
        <w:t>/h，效率以%表示。</w:t>
      </w:r>
    </w:p>
    <w:p w14:paraId="0C5A3BC0">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1.14.4 电磁阀和液压阀</w:t>
      </w:r>
    </w:p>
    <w:p w14:paraId="57FA686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合同范围内所使用的电磁阀、电磁空气阀、电磁配压阀、液压阀、电磁换向阀等，均应采用优质产品。</w:t>
      </w:r>
    </w:p>
    <w:p w14:paraId="30A0E223">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1.14.5 指示仪表</w:t>
      </w:r>
    </w:p>
    <w:p w14:paraId="3CA93DB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模拟量指示仪表应为开关板型，半嵌入式，盘后接线。仪表应经过校准并适合于所用的场合。另外，仪表应包括调零器（便于在盘前调零）、黑色外壳和盖板以及游丝悬挂装置。仪表应指示清晰，表的显示应为白色表盘、黑色刻度及黑色指针。表计刻度盘盖板应防眩光。双指针表计指针为红、黑两色。数字式仪表应采用长寿命、颜色一致、发光柔和的产品。</w:t>
      </w:r>
    </w:p>
    <w:p w14:paraId="483D30BB">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"_Toc77950354"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15 辅助电气设备</w:t>
      </w:r>
      <w:r>
        <w:rPr>
          <w:rFonts w:hint="eastAsia" w:asciiTheme="minorEastAsia" w:hAnsiTheme="minorEastAsia" w:eastAsiaTheme="minorEastAsia" w:cstheme="minorEastAsia"/>
          <w:bCs w:val="0"/>
          <w:color w:val="auto"/>
          <w:sz w:val="21"/>
          <w:szCs w:val="21"/>
        </w:rPr>
        <w:fldChar w:fldCharType="end"/>
      </w:r>
    </w:p>
    <w:p w14:paraId="052AA96C">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1.15.1 电源</w:t>
      </w:r>
    </w:p>
    <w:p w14:paraId="67E665D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交流： 三相电压380（+10% ~ -15%）V</w:t>
      </w:r>
    </w:p>
    <w:p w14:paraId="3EFFA9E7">
      <w:pPr>
        <w:tabs>
          <w:tab w:val="left" w:pos="3025"/>
        </w:tabs>
        <w:autoSpaceDE w:val="0"/>
        <w:autoSpaceDN w:val="0"/>
        <w:ind w:firstLine="1167" w:firstLineChars="55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单相电压220（+10% ~ -15%）V</w:t>
      </w:r>
    </w:p>
    <w:p w14:paraId="2B0CD7C8">
      <w:pPr>
        <w:tabs>
          <w:tab w:val="left" w:pos="3025"/>
        </w:tabs>
        <w:autoSpaceDE w:val="0"/>
        <w:autoSpaceDN w:val="0"/>
        <w:ind w:firstLine="1155" w:firstLineChars="55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频         率：50±2%Hz</w:t>
      </w:r>
    </w:p>
    <w:p w14:paraId="2F0FA25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直流：电压220（+10% ~ -20%）V</w:t>
      </w:r>
    </w:p>
    <w:p w14:paraId="7211D2E2">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1.15.2 辅助设备电动机</w:t>
      </w:r>
    </w:p>
    <w:p w14:paraId="6D570FE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1.15.2.1 电动机应符合GB、JB相关标准的要求，均采用F级绝缘，具有IP44保护等级。电动机应为标准型产品。</w:t>
      </w:r>
    </w:p>
    <w:p w14:paraId="786654A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1.15.2.2 交流电动机在额定电压下的启动电流不大于额定电流的6倍。在额定频率下，在80～110%的额定电压范围内连续正常运行；在额定电压下，频率偏差±0.5Hz范围内连续正常运行。</w:t>
      </w:r>
    </w:p>
    <w:p w14:paraId="23859DA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1.15.2.3 所有重量大于500N的电动机均应有螺栓式吊耳。</w:t>
      </w:r>
    </w:p>
    <w:p w14:paraId="72C98F87">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1.15.3 动力电缆及控制电缆</w:t>
      </w:r>
    </w:p>
    <w:p w14:paraId="44B6D56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1.15.3.1 承包人提供的动力电缆、控制电缆和测量电缆均为阻燃电缆。4芯以上的控制电缆应留有10～20%的备用芯线，芯数多的电缆取小值，但最少备用芯数不少于2芯。</w:t>
      </w:r>
    </w:p>
    <w:p w14:paraId="2EEF30D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1.15.3.2 交流380V、220V和直流220V动力电缆应为铜导线、XLPE绝缘。</w:t>
      </w:r>
    </w:p>
    <w:p w14:paraId="0B807D3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1.15.3.3 控制电缆应是XLPE绝缘、PVC保护层的多股铜芯线，要求适用于全部控制、保护、指示、仪器和报警电缆，电缆所承受实际负载应小于电缆额定容量的35%，截面不能小于1.5mm</w:t>
      </w:r>
      <w:r>
        <w:rPr>
          <w:rFonts w:hint="eastAsia" w:asciiTheme="minorEastAsia" w:hAnsiTheme="minorEastAsia" w:eastAsiaTheme="minorEastAsia" w:cstheme="minorEastAsia"/>
          <w:snapToGrid w:val="0"/>
          <w:color w:val="auto"/>
          <w:kern w:val="0"/>
          <w:szCs w:val="21"/>
          <w:vertAlign w:val="superscript"/>
        </w:rPr>
        <w:t>2</w:t>
      </w:r>
      <w:r>
        <w:rPr>
          <w:rFonts w:hint="eastAsia" w:asciiTheme="minorEastAsia" w:hAnsiTheme="minorEastAsia" w:eastAsiaTheme="minorEastAsia" w:cstheme="minorEastAsia"/>
          <w:snapToGrid w:val="0"/>
          <w:color w:val="auto"/>
          <w:kern w:val="0"/>
          <w:szCs w:val="21"/>
        </w:rPr>
        <w:t>。低电平信号和固态电路的多芯控制电缆应是双绞XLPE绝缘、PVC保护层的屏蔽电缆。</w:t>
      </w:r>
    </w:p>
    <w:p w14:paraId="025C905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1.15.3.4 承包人应提供设备之间的内部连接电缆，并连接到相应的端子箱或控制盘（柜）。</w:t>
      </w:r>
    </w:p>
    <w:p w14:paraId="6DE9314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1.15.3.5 承包人提供的所有控制电缆应留有足够的长度。</w:t>
      </w:r>
    </w:p>
    <w:p w14:paraId="5A650189">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1.15.4 电气辅助设备接地</w:t>
      </w:r>
    </w:p>
    <w:p w14:paraId="02C6AC8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承包人应正确安排接地和采取有效的安全和抗干扰接地措施以保证设备的安全性和可靠性。</w:t>
      </w:r>
    </w:p>
    <w:p w14:paraId="3173DFFA">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1.15.5 电气屏柜及元器件一般要求</w:t>
      </w:r>
    </w:p>
    <w:p w14:paraId="0C5230C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1.15.5.1 屏柜采用标准柜，式样、颜色应与其他机旁屏柜统一，颜色在设计联络会上确定。</w:t>
      </w:r>
    </w:p>
    <w:p w14:paraId="366A8C1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1.15.5.2 柜（箱）结构组合以及元件安装均应满足运行安全、操作、监视、维护、检修以及试验方便等要求，在此基础上应保证元件布置及配线整齐、清楚及美观。</w:t>
      </w:r>
    </w:p>
    <w:p w14:paraId="554BFA7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1.15.5.3 端子排具有序号标记，强、弱电端子应分开布置，接线端子与连接导线相匹配，每个接线端子的每侧接线宜接一根导线，不得超过两根。端子排应采用ADO绝缘移位端子或魏德米勒或菲尼克斯系列端子，端子排布置在柜（箱）后两侧，端子排位置应便于拉线，要求设置PVC走线槽，槽盖可以分段拆。为了确保质量的可靠性，所有元器件必须按照有关标准经过老化筛选，保护和自动装置组件、整机应符合标准的要求，使之具有高可靠性和互换性。柜内所有低压元器件（如空开、按钮、指示灯）和继电器应采用优质产品。</w:t>
      </w:r>
    </w:p>
    <w:p w14:paraId="4CFC6755">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"_Toc77950355"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16 备品备件和专用工器具</w:t>
      </w:r>
      <w:r>
        <w:rPr>
          <w:rFonts w:hint="eastAsia" w:asciiTheme="minorEastAsia" w:hAnsiTheme="minorEastAsia" w:eastAsiaTheme="minorEastAsia" w:cstheme="minorEastAsia"/>
          <w:bCs w:val="0"/>
          <w:color w:val="auto"/>
          <w:sz w:val="21"/>
          <w:szCs w:val="21"/>
        </w:rPr>
        <w:fldChar w:fldCharType="end"/>
      </w:r>
    </w:p>
    <w:p w14:paraId="3F3372C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1.16.1 承包人应按合同提供备品备件，备品备件价格已包括在合同价中。所有备品备件应是全新的、未使用过的，并与所需更换的备件完全吻合。相同的备品备件应能互换，与原设备的材料和质量相同。</w:t>
      </w:r>
    </w:p>
    <w:p w14:paraId="12041B6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1.16.2 备品备件必须与主设备的部件分开装箱，箱上应有明显的标记，以便识别箱内所装的部件。承包人应对备品备件进行处理，以防止在贮藏时变质，电气线圈和其他精密的电气元件，必须先装在带干燥剂的塑料袋中，或用其他有效的方法防潮然后装箱。</w:t>
      </w:r>
    </w:p>
    <w:p w14:paraId="1B2B0F7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1.16.3 承包人应提供在安装过程中可能损坏的易损件，这些易损件包括在投标价中，并应列出易损件的数目、名称。安装过程中可能损坏的易损件，不计算在备品备件的范围内。</w:t>
      </w:r>
    </w:p>
    <w:p w14:paraId="268D447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1.16.4 本技术条款中没有列出，但为设备安全稳定运行所必须的备品备件，承包人均应予以提供。</w:t>
      </w:r>
    </w:p>
    <w:p w14:paraId="0B44966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1.16.5 承包人应提交完整的备品备件清单，清单应包括部件识别号、主要设备类别、部件说明、参考图、图号和数量等。</w:t>
      </w:r>
    </w:p>
    <w:p w14:paraId="7B16700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1.16.6 承包人应根据合同规定提供设备安装、运行、维修所需的专用工器具。专用工器具应与其他设备的部件分开装箱。箱上应有明显的标记，以便识别箱内所装的部件。若工器具因质量问题发生损坏，承包人应无偿补齐。</w:t>
      </w:r>
    </w:p>
    <w:p w14:paraId="4EE869E6">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"_Toc77950356"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17 铭牌、标记和文字</w:t>
      </w:r>
      <w:r>
        <w:rPr>
          <w:rFonts w:hint="eastAsia" w:asciiTheme="minorEastAsia" w:hAnsiTheme="minorEastAsia" w:eastAsiaTheme="minorEastAsia" w:cstheme="minorEastAsia"/>
          <w:bCs w:val="0"/>
          <w:color w:val="auto"/>
          <w:sz w:val="21"/>
          <w:szCs w:val="21"/>
        </w:rPr>
        <w:fldChar w:fldCharType="end"/>
      </w:r>
    </w:p>
    <w:p w14:paraId="1498D407">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1.17.1 铭牌</w:t>
      </w:r>
    </w:p>
    <w:p w14:paraId="54E7EBB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所有设备均应在明显位置设有永久的不锈钢材质的铭牌。铭牌上应清楚的标出制造厂名称、设备出厂日期、序号、规格、特性、额定参数、重量以及其他重要数据。设备铭牌计量单位采用国际标准计量单位和符号，刻制的文字应有防护措施，使之不受气候的影响。所有的铭牌和标志应永久性地安装在相应的设备和部件上，其位置应明显，字体应清晰。承包人在铭牌上应预留二维码位置，设备二维码资料由承包人提供，二维码由发包人统一考虑。</w:t>
      </w:r>
    </w:p>
    <w:p w14:paraId="0C793FD1">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1.17.2 标记</w:t>
      </w:r>
    </w:p>
    <w:p w14:paraId="6E698D4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为了工作人员和操作的安全，应提供专门的标志以表明主要的操作说明、注意事项或警告。另外，盘柜上装的每一个仪表、指示器、按钮、开关、灯或其他类似设备应有永久性的铭牌以标明功能。电气接线和仪表（包括继电器）也应标有编号并与电气控制图上的编号相对应。为了便于在安装和检修中迅速辩认零部件的装配关系和位置，在零部件、屏、柜、电缆上必须标记。</w:t>
      </w:r>
    </w:p>
    <w:p w14:paraId="7546C308">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1.17.3 文字</w:t>
      </w:r>
    </w:p>
    <w:p w14:paraId="1657A1D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所有技术资料、图纸、图纸、铭牌、标记中的文字均应采用简体中文。单位采用国际单位制（SI）中的标准符号。（包括软件系统的操作界面、菜单和命令等）。</w:t>
      </w:r>
    </w:p>
    <w:p w14:paraId="36471229">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1.17.4 审查</w:t>
      </w:r>
    </w:p>
    <w:p w14:paraId="2DD7277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承包人应将铭牌和标记一览表交发包人审查。</w:t>
      </w:r>
    </w:p>
    <w:p w14:paraId="5CD0A7D2">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1.17.5 发包人要求</w:t>
      </w:r>
    </w:p>
    <w:p w14:paraId="3CCC2E0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发包人出于管理的需要，将对设备的标志标牌（铭牌）、技术使用说明书、培训教材等提出具体的要求，承包人应承诺响应发包人要求，并对所有设备的标志标牌（铭牌）统一设计、美观性进行统一考虑。</w:t>
      </w:r>
    </w:p>
    <w:p w14:paraId="05876D4E">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"_Toc77950357"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18 设备颜色</w:t>
      </w:r>
      <w:r>
        <w:rPr>
          <w:rFonts w:hint="eastAsia" w:asciiTheme="minorEastAsia" w:hAnsiTheme="minorEastAsia" w:eastAsiaTheme="minorEastAsia" w:cstheme="minorEastAsia"/>
          <w:bCs w:val="0"/>
          <w:color w:val="auto"/>
          <w:sz w:val="21"/>
          <w:szCs w:val="21"/>
        </w:rPr>
        <w:fldChar w:fldCharType="end"/>
      </w:r>
    </w:p>
    <w:p w14:paraId="2C81888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1.18.1 所有设备的面漆颜色均由承包人提供颜色样板，在合同签定后，由发包人最后确定各设备的用色。</w:t>
      </w:r>
    </w:p>
    <w:p w14:paraId="63A7E8E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1.18.2 涂漆项目应在出厂前完成，部分项目必须在工地完成的，承包人应征得发包人的同意，提供足够数量的备用涂料，供现场修整、修复设备表面涂料之用。</w:t>
      </w:r>
    </w:p>
    <w:p w14:paraId="6E291DA1">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"_Toc77950358"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19 包装</w:t>
      </w:r>
      <w:r>
        <w:rPr>
          <w:rFonts w:hint="eastAsia" w:asciiTheme="minorEastAsia" w:hAnsiTheme="minorEastAsia" w:eastAsiaTheme="minorEastAsia" w:cstheme="minorEastAsia"/>
          <w:bCs w:val="0"/>
          <w:color w:val="auto"/>
          <w:sz w:val="21"/>
          <w:szCs w:val="21"/>
        </w:rPr>
        <w:fldChar w:fldCharType="end"/>
      </w:r>
    </w:p>
    <w:p w14:paraId="4636BA9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1.19.1 设备的零部件、备品备件必须经检验、验收合格后才能装箱运输。设备包装应符合《机电产品包装通用技术条件》（GB/T13384）的规定。</w:t>
      </w:r>
    </w:p>
    <w:p w14:paraId="0F1642E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1.19.2 对设备加工面应采取适用的防锈措施并用软材料加以防护。对电气绝缘部件应采用防潮和防尘包装。对仪器仪表设备应密封包装，并有妥善的防震措施。对于刚度较小的焊件应加焊支撑以防变形。</w:t>
      </w:r>
    </w:p>
    <w:p w14:paraId="7049E9B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1.19.3 包装箱外部标志及起吊位置应符合有关规定。</w:t>
      </w:r>
    </w:p>
    <w:p w14:paraId="2C4190B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1.19.4 包装箱外部标志及起吊位置应符合GB191《包装储运指示标志》的规定。包装箱外壁应标明收发货单位名称和地址、合同号、产品净重、毛重、重心线及吊索位置，箱子外形尺寸，共__箱，第__箱等。</w:t>
      </w:r>
    </w:p>
    <w:p w14:paraId="08E686F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1.19.5 包装箱中应有装箱单、明细表、产品出厂证明书、合格证、随机技术文件及图纸。这些文件、清单、资料均应装在置于包装箱表面的专用密封包装内。</w:t>
      </w:r>
    </w:p>
    <w:p w14:paraId="44749195">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"_Toc77950359"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20 质量保证</w:t>
      </w:r>
      <w:r>
        <w:rPr>
          <w:rFonts w:hint="eastAsia" w:asciiTheme="minorEastAsia" w:hAnsiTheme="minorEastAsia" w:eastAsiaTheme="minorEastAsia" w:cstheme="minorEastAsia"/>
          <w:bCs w:val="0"/>
          <w:color w:val="auto"/>
          <w:sz w:val="21"/>
          <w:szCs w:val="21"/>
        </w:rPr>
        <w:fldChar w:fldCharType="end"/>
      </w:r>
    </w:p>
    <w:p w14:paraId="2E1BBC09">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1.20.1 概述</w:t>
      </w:r>
    </w:p>
    <w:p w14:paraId="4425AFA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1.20.1.1 承包人应提供其质量体系认证文件或质量手册供发包人审查。</w:t>
      </w:r>
    </w:p>
    <w:p w14:paraId="7C72F1D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1.20.1.2 承包人还应按照ISO9001“质量管理及质量保证”制定本工程项目设备的质量保证计划，并在合同签署后提交发包人审查。</w:t>
      </w:r>
    </w:p>
    <w:p w14:paraId="0B3DD13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1.20.1.3 质量保证措施包括材料试验、无损探伤、工厂装配、工厂试验、由发包人代表参加的目睹试验和现场试验及验收。并应保存质量控制验收资料。</w:t>
      </w:r>
    </w:p>
    <w:p w14:paraId="2788111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1.20.1.4 承包人在提供设备前应将所采用品牌设备的全部标准提交给发包人。</w:t>
      </w:r>
    </w:p>
    <w:p w14:paraId="2241EB7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1.20.1.5 承包人应按有关标准所规定的要求完成设备主要零件的材料检验、装配和试验，并提交检验报告。</w:t>
      </w:r>
    </w:p>
    <w:p w14:paraId="6462022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1.20.1.6 所有试验及验收材料和文件应正式存档备查。</w:t>
      </w:r>
    </w:p>
    <w:p w14:paraId="5ADC6990">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1.20.2 责任</w:t>
      </w:r>
    </w:p>
    <w:p w14:paraId="4BACF7A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1.20.2.1 承包人应负责处理所有暴露的缺陷，直到满足规范和本技术条款要求，处理缺陷所需的一切费用由承包人承担。</w:t>
      </w:r>
    </w:p>
    <w:p w14:paraId="5E57D9D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1.20.2.2 发包人放弃参加任何试验和验收，不能免除承包人充分满足技术规范要求的责任。</w:t>
      </w:r>
    </w:p>
    <w:p w14:paraId="6F62EFC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1.20.2.3 承包人应对设备制造的缺陷、装配图的错误及安装督导人员发出的错误指示负责。</w:t>
      </w:r>
    </w:p>
    <w:p w14:paraId="661DC11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1.20.2.4 承包人应对可靠性及保修承诺，经承包人指导并参与的安装调试完成后，若出现由于承包人设计制造引起的质量故障，承包人应无偿进行维修，并且所有的费用承包人自理。</w:t>
      </w:r>
    </w:p>
    <w:p w14:paraId="3833B0DC">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1.20.3 质保期</w:t>
      </w:r>
    </w:p>
    <w:p w14:paraId="51CF31A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质保期为1年，自机组启动验收合格之日起算。质保期内，设备在设计、制造、工艺、材料和性能等方面应无任何缺陷。当设备存在缺陷，以致无法正常运行时，应由承包人负责免费更换或修复有缺陷的设备或部件，工程师重新签发初步验收证书，并重新计算保证期。</w:t>
      </w:r>
    </w:p>
    <w:p w14:paraId="4D41286E">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"_Toc77950359"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21 试验</w:t>
      </w:r>
      <w:r>
        <w:rPr>
          <w:rFonts w:hint="eastAsia" w:asciiTheme="minorEastAsia" w:hAnsiTheme="minorEastAsia" w:eastAsiaTheme="minorEastAsia" w:cstheme="minorEastAsia"/>
          <w:bCs w:val="0"/>
          <w:color w:val="auto"/>
          <w:sz w:val="21"/>
          <w:szCs w:val="21"/>
        </w:rPr>
        <w:fldChar w:fldCharType="end"/>
      </w:r>
    </w:p>
    <w:p w14:paraId="7A0C9AF5">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1.21.1 工厂检验与试验</w:t>
      </w:r>
    </w:p>
    <w:p w14:paraId="3072616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1.21.1.1 承包人应按工程进度提出工厂试验计划，由发包人核准后执行。试验计划包括试验项目、试验准备、试验程序、试验过程、判定标准和试验时间。并注明须由发包人参加的项目。</w:t>
      </w:r>
    </w:p>
    <w:p w14:paraId="3B7F296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1.21.1.2 按规定应在承包人工厂车间进行组装的设备，除制造厂规定的计划外，还应按发包人要求进行一些必要的试验（若有）。所有试验项目应尽量模拟正常使用条件。对所有拆卸的部件应做出适当的配合标记和设定位销。</w:t>
      </w:r>
    </w:p>
    <w:p w14:paraId="218219B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1.21.1.3 必须有发包人代表参加的工厂装配和检验项目，承包人应至少在项目开始前25天书面通知。并提供工厂检验大纲。发包人须在7天内表示意见，如果发包人代表未按时到达工厂，承包人可视作发包人代表在场开展检验工作，并及时提交检验报告。检查、装配和试验的设备由承包人负责。</w:t>
      </w:r>
    </w:p>
    <w:p w14:paraId="2285B5E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1.21.1.4 工厂检验大纲包括：检验项目；检验方法；各零部件设计、制造、测试情况；检测设备的精度等级及仪器、仪表的标定证明；有关的资料文件等。</w:t>
      </w:r>
    </w:p>
    <w:p w14:paraId="1EF3A88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1.21.1.5 所有铸件、锻件、板材等材料的机械性能和化学成分，承包人都应按有关技术条款的规定和验收标准在制造厂进行检查验收。</w:t>
      </w:r>
    </w:p>
    <w:p w14:paraId="61851E5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1.21.1.6 承包人应对所有部件采用的材料和协作件、外购件、标准件的质量进行检查验收，并负完全责任。并提供所有外购件的产品合格证书、说明书及相关技术性能参数供发包人审查。</w:t>
      </w:r>
    </w:p>
    <w:p w14:paraId="6870787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1.21.1.7 所有的工厂装配和检验均应记录存档，并有质检合格证书，发包人有权要求承包人提供。</w:t>
      </w:r>
    </w:p>
    <w:p w14:paraId="118358A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1.21.1.8 检验和测试将按照合同的技术要求和相关标准。</w:t>
      </w:r>
    </w:p>
    <w:p w14:paraId="6D9487D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1.21.1.9 整体组装：所有设备都在工厂进行整体预组装，检验各部件的配合情况，做好标记，不需在现场安装修正。</w:t>
      </w:r>
    </w:p>
    <w:p w14:paraId="7307B20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1.21.1.10 设备出厂检验合格后，应向发包人提供出厂检验记录、试验报告、主要承压件材料的无损检测报告、材料质量合格证明书、出厂验收合格证书等资料，并经审查认可后，设备才能发运。</w:t>
      </w:r>
    </w:p>
    <w:p w14:paraId="7F060670">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1.21.2 发包人参加的工厂试验</w:t>
      </w:r>
    </w:p>
    <w:p w14:paraId="78DB516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1.21.2.1 除按计划必须有发包人代表参加的工厂装配和检验项目外，发包人有权根据实施实际情况见证任何工厂装配和检验项目。</w:t>
      </w:r>
    </w:p>
    <w:p w14:paraId="027F512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1.21.2.2 承包人应及时通知发包人赴工厂参加主要设备项目的试验。</w:t>
      </w:r>
    </w:p>
    <w:p w14:paraId="3728004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1.21.2.3 在试验期间，发包人代表在任何时间都可以自由进入现场，承包人应提供方便，并提供必要的标准和资料。</w:t>
      </w:r>
    </w:p>
    <w:p w14:paraId="14151780">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1.21.3 现场试验</w:t>
      </w:r>
    </w:p>
    <w:p w14:paraId="5B6E0FF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1.21.3.1 设备所有现场试验将按发包人的试验计划进行，在承包人技术督导和监督下由发包人指定的单位组织进行，承包人应对其供货设备的安全和质量负全部责任。</w:t>
      </w:r>
    </w:p>
    <w:p w14:paraId="0A8382F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1.21.3.2 在承包人试验工程师指导下，由发包人指定的机电安装单位（或者发包人委托的专业试验机构、质检机构等）对设备进行现场安装试验、联动调试、试运行、特性试验，以检验承包人所提供的设备是否满足技术规范及技术保证值。除招标文件中所列的试验外，还包括根据现场实际情况而增加的试验项目。</w:t>
      </w:r>
    </w:p>
    <w:p w14:paraId="35E96DC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1.21.3.3 放弃任一项试验均不能免除承包人应完全满足技术规范要求的责任。</w:t>
      </w:r>
    </w:p>
    <w:p w14:paraId="16C5D92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1.21.3.4 所有现场试验将由双方代表见证，双方代表均应在试验报告上签字。</w:t>
      </w:r>
    </w:p>
    <w:p w14:paraId="14F1145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1.21.3.5 试验计划：在试验开始前30天，试验负责人需提交一份完整的试验大纲和进度表供发包人审查，承包人应积极配合。大纲和进度表要包括试验项目、试验方法、试验程序、每项试验所需要的设备和仪表，使用的试验表格和观察记录表等。每次试验的具体日期由发包人决定。</w:t>
      </w:r>
    </w:p>
    <w:p w14:paraId="6CD004C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1.21.3.6 试验报告应由发包人指定的试验负责人编写，承包人应积极配合，并送交发包人审查通过。试验报告的内容包括：试验项目、每项试验的日程表、试验目的、试验的记录单、试验仪表和设备的检查及率定、试验方法、试验程序、试验表格、计算实例、计算公式和各种曲线、全部测量结果汇总，最终成果的修正和调整、测量误差说明及试验结果的说明和结论。</w:t>
      </w:r>
    </w:p>
    <w:p w14:paraId="635B9C6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"_Toc77950361"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22 进度计划和进度报告</w:t>
      </w:r>
      <w:r>
        <w:rPr>
          <w:rFonts w:hint="eastAsia" w:asciiTheme="minorEastAsia" w:hAnsiTheme="minorEastAsia" w:eastAsiaTheme="minorEastAsia" w:cstheme="minorEastAsia"/>
          <w:bCs w:val="0"/>
          <w:color w:val="auto"/>
          <w:sz w:val="21"/>
          <w:szCs w:val="21"/>
        </w:rPr>
        <w:fldChar w:fldCharType="end"/>
      </w:r>
    </w:p>
    <w:p w14:paraId="0ABB71F1">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1.22.1 进度计划</w:t>
      </w:r>
    </w:p>
    <w:p w14:paraId="6EDF1CF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1.22.1.1 承包人在合同生效后按要求提供设计、制造、试验、供货、安装督导、现场试验、交付验收、培训等计划进度报发包人审批。经发包人批准后的进度计划为合同文件的组成部分。</w:t>
      </w:r>
    </w:p>
    <w:p w14:paraId="66458AD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1.22.1.2 进度表采用线条图或箭头图，按“关键线路法”编制，表明合同中所要求的各种组件或部件的开始日期和完成日期。任何进度的修正必须经发包人批准。</w:t>
      </w:r>
    </w:p>
    <w:p w14:paraId="0AA11307">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1.22.2 进度报告</w:t>
      </w:r>
    </w:p>
    <w:p w14:paraId="67DD367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1.22.1.1 承包人应每月提交一份月进度报告给发包人，以便发包人详细了解合同的进展情况。</w:t>
      </w:r>
    </w:p>
    <w:p w14:paraId="3DE553E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1.22.1.2 列出所有设计、制造、交付工作及其排定的完成日期。并应指出完成工作的百分比和完成工作所要求的天数。</w:t>
      </w:r>
    </w:p>
    <w:p w14:paraId="309E50B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1.22.1.3 进度报告应附有进度（数码）照片。</w:t>
      </w:r>
    </w:p>
    <w:p w14:paraId="5B122AA5">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1.22.3 进度照片</w:t>
      </w:r>
    </w:p>
    <w:p w14:paraId="60511C8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应拍摄全部设备制造的重要环节的照片，以反映加工的重要阶段或每个重要环节。提供的每张照片的背面要打印以下内容：工程名称和合同号、表示主题内容和视图方位、制造厂的名称、拍摄日期。</w:t>
      </w:r>
    </w:p>
    <w:p w14:paraId="2874D6B6">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"_Toc77950362"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23 承包人的责任</w:t>
      </w:r>
      <w:r>
        <w:rPr>
          <w:rFonts w:hint="eastAsia" w:asciiTheme="minorEastAsia" w:hAnsiTheme="minorEastAsia" w:eastAsiaTheme="minorEastAsia" w:cstheme="minorEastAsia"/>
          <w:bCs w:val="0"/>
          <w:color w:val="auto"/>
          <w:sz w:val="21"/>
          <w:szCs w:val="21"/>
        </w:rPr>
        <w:fldChar w:fldCharType="end"/>
      </w:r>
    </w:p>
    <w:p w14:paraId="69B765D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1.23.1 承包人对设备（包括承包人外购的部件、器材）设计制造的完整性、安全性、可靠性负责，且应充分考虑到设备安装、验收、运行、维修的方便和人员安全。供货设备的技术性能、质量和安装条件应符合相应的《设备技术条款》的规定，且不低于现行的国家标准、行业标准。</w:t>
      </w:r>
    </w:p>
    <w:p w14:paraId="3DB1FA0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1.23.2 承包人应及时就涉及的混凝土工程，或涉及供货设备与其他设备接口的技术问题和发包人进行磋商并研定方案，以免影响工程进度。</w:t>
      </w:r>
    </w:p>
    <w:p w14:paraId="21F5799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1.23.3 用于主要设备和部件的材料应经过承包人复核试验。使用的所有材料均应有合格证（表明其符合最新版本的材料标准），外购的设备应有出厂试验报告、合格证，但不减免承包人的责任。</w:t>
      </w:r>
    </w:p>
    <w:p w14:paraId="3E79CD1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1.23.4 承包人在现场进行设备安装、试验时，应接受发包人或其委托人员的监察。安装质检记录、试验记录应送交发包人存档。</w:t>
      </w:r>
    </w:p>
    <w:p w14:paraId="5ECCC15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1.23.5 承包人应保存检验各部件尺寸的量规，试验模型、有关记录、照片等，以便发包人进行设备的修理或更换零件。</w:t>
      </w:r>
    </w:p>
    <w:p w14:paraId="2A141CC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1.23.6 发包人提供的已经完成的试验和研究成果，无论承包人是否采用，均不能减免承包人的责任。</w:t>
      </w:r>
    </w:p>
    <w:p w14:paraId="0AAFF62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"_Toc77950363"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24 协调</w:t>
      </w:r>
      <w:r>
        <w:rPr>
          <w:rFonts w:hint="eastAsia" w:asciiTheme="minorEastAsia" w:hAnsiTheme="minorEastAsia" w:eastAsiaTheme="minorEastAsia" w:cstheme="minorEastAsia"/>
          <w:bCs w:val="0"/>
          <w:color w:val="auto"/>
          <w:sz w:val="21"/>
          <w:szCs w:val="21"/>
        </w:rPr>
        <w:fldChar w:fldCharType="end"/>
      </w:r>
    </w:p>
    <w:p w14:paraId="5C378C9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1.24.1 发包人负责协调与本合同外其他设备供货方、设计单位、施工单位、监理监造单位及其他相关各方之间的配合，承包人应积极配合。</w:t>
      </w:r>
    </w:p>
    <w:p w14:paraId="0355438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1.24.2 承包人负责协调其供货范围内各设备、各部件供应商之间的配合。</w:t>
      </w:r>
    </w:p>
    <w:p w14:paraId="7DDB036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1.24.3 除非在招标文件中另有规定，对于为了使承包人所提供的设备适应其他设备而要求的较小修改，不得要求额外的补偿。承包人还应向发包人提供与其它设备接口部位经协调达成一致意见的所有图纸、规范和资料。</w:t>
      </w:r>
    </w:p>
    <w:p w14:paraId="20ED27E7">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"_Toc77950364"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25 现场指导</w:t>
      </w:r>
      <w:r>
        <w:rPr>
          <w:rFonts w:hint="eastAsia" w:asciiTheme="minorEastAsia" w:hAnsiTheme="minorEastAsia" w:eastAsiaTheme="minorEastAsia" w:cstheme="minorEastAsia"/>
          <w:bCs w:val="0"/>
          <w:color w:val="auto"/>
          <w:sz w:val="21"/>
          <w:szCs w:val="21"/>
        </w:rPr>
        <w:fldChar w:fldCharType="end"/>
      </w:r>
    </w:p>
    <w:p w14:paraId="2387C91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1.25.1 承包人应派有能力，有实践经验的人员到现场指导，并参加合同设备工地现场开箱交接、指导安装、参加安装阶段质量检查、现场试验、试运行、验收等服务。</w:t>
      </w:r>
    </w:p>
    <w:p w14:paraId="69378B8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1.25.2 承包人应事先向业主提交参加现场安装和技术指导的人员名单、专业及来现场的计划安排。发包人将为承包人现场指导人员提供食宿方便和工作条件。</w:t>
      </w:r>
    </w:p>
    <w:p w14:paraId="2E4935C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1.25.3 承包人在现场的技术指导人员，应对设备的安装工艺、质量、设备试验和试运行负责监督，在安装过程中指导人员发现安装质量不符合要求时，应立即书面通知发包人。</w:t>
      </w:r>
    </w:p>
    <w:p w14:paraId="4185ABE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1.25.4 承包人派出现场指导人员的一切费用由承包人负担。</w:t>
      </w:r>
    </w:p>
    <w:p w14:paraId="60860DB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1.25.5 技术人员的确切专业、数量、在工地停留时间，到达和离开工地的日期将根据实际工作进度由双方讨论决定。如需调整，双方将通过友好协商确定。</w:t>
      </w:r>
    </w:p>
    <w:p w14:paraId="6CB5899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1.25.6 承包人技术人员的责任和义务：</w:t>
      </w:r>
    </w:p>
    <w:p w14:paraId="5045BBD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1.25.6.1 承包人应指定一名承包人技术人员作为驻工地总代表。总代表将负责合同范围内总的技术指导，并与发包人代表全力合作、认真磋商，解决与合同有关的技术问题和工作问题。但未经双方授权，双方现场代表无权改变、修正合同。</w:t>
      </w:r>
    </w:p>
    <w:p w14:paraId="6E1E990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1.25.6.2 承包人在现场的指导人员，应对设备的安装工艺、质量、设备试验和试运行负责监督；在安装过程中指导人员发现安装质量不符合要求时，应立即书面通知发包人代表。否则，承包人应承担安装质量引起的相应责任。</w:t>
      </w:r>
    </w:p>
    <w:p w14:paraId="26475A3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1.25.6.3 相关的需由安装承包人完成的现场焊接及试验，承包人应予以配合和监督指导。</w:t>
      </w:r>
    </w:p>
    <w:p w14:paraId="1D83FBE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1.25.6.4 承包人技术人员首先要进行现场技术交底，不仅要详细解释技术文件、图纸、运行事项、设备性能，而且还要回答并解决发包人提出的合同范围内的问题。</w:t>
      </w:r>
    </w:p>
    <w:p w14:paraId="215716E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1.25.6.5 承包人技术人员应将以上条款提到的合同范围内的工作给发包人正确的技术指导及必要示范。</w:t>
      </w:r>
    </w:p>
    <w:p w14:paraId="149EE29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1.25.6.6 承包人技术人员所给的技术指导应当是正确的。由于不正确的技术指导引起设备的任何损坏，承包人应负责免费修理或更换。发包人及其委托的安装单位、监理等有关人员应尊重承包人技术人员的技术指导。</w:t>
      </w:r>
    </w:p>
    <w:p w14:paraId="3E5EBCB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1.25.6.7 承包人驻工地总代表应负责自费处理安装过程中发现的零部件缺陷。</w:t>
      </w:r>
    </w:p>
    <w:p w14:paraId="32FB85A0">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"_Toc77950365"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26 培训</w:t>
      </w:r>
      <w:r>
        <w:rPr>
          <w:rFonts w:hint="eastAsia" w:asciiTheme="minorEastAsia" w:hAnsiTheme="minorEastAsia" w:eastAsiaTheme="minorEastAsia" w:cstheme="minorEastAsia"/>
          <w:bCs w:val="0"/>
          <w:color w:val="auto"/>
          <w:sz w:val="21"/>
          <w:szCs w:val="21"/>
        </w:rPr>
        <w:fldChar w:fldCharType="end"/>
      </w:r>
    </w:p>
    <w:p w14:paraId="2D28CCE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1.26.1 发包人将根据运行检修的需要，在设备制造期间派遣有关人员到承包人单位学习，承包人有义务承担培训任务。</w:t>
      </w:r>
    </w:p>
    <w:p w14:paraId="296C6FF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1.26.2 培训服务包括讲课、操作示范、事故预防和设备的维护、其他必要的督导。</w:t>
      </w:r>
    </w:p>
    <w:p w14:paraId="48B817F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1.26.3 安装和培训工程师应接受发包人的审查和认可，在被培训人员到达前40天，承包人应提交其培训工程师的资格文件供发包人审查。如工程师不能胜任，承包人应更换称职的工程师。</w:t>
      </w:r>
    </w:p>
    <w:p w14:paraId="1175E5F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1.26.4 承包人应在培训前提供培训计划和培训教材。</w:t>
      </w:r>
    </w:p>
    <w:p w14:paraId="71E968D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1.26.5 承包人应提供培训、安装督导的现场技术服务。</w:t>
      </w:r>
    </w:p>
    <w:p w14:paraId="3A0272C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1.26.6 培训、安装督导和现场技术服务人员的所有费用均包括在合同总价中。</w:t>
      </w:r>
    </w:p>
    <w:p w14:paraId="36E7539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"_Toc77950366"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27 售后服务</w:t>
      </w:r>
      <w:r>
        <w:rPr>
          <w:rFonts w:hint="eastAsia" w:asciiTheme="minorEastAsia" w:hAnsiTheme="minorEastAsia" w:eastAsiaTheme="minorEastAsia" w:cstheme="minorEastAsia"/>
          <w:bCs w:val="0"/>
          <w:color w:val="auto"/>
          <w:sz w:val="21"/>
          <w:szCs w:val="21"/>
        </w:rPr>
        <w:fldChar w:fldCharType="end"/>
      </w:r>
    </w:p>
    <w:p w14:paraId="302EB72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1.27.1 承包人的售后服务是指承包人从设备出厂之日起，设备安装运行维护的各项技术服务和备品备件的继续供应、重大部件的修复、售后的回访等。</w:t>
      </w:r>
    </w:p>
    <w:p w14:paraId="51C7AEE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1.27.2 售后服务在质保期内应是免费的、及时的。质保期之外，视设备情况和责任承担，合理地酌情收费。</w:t>
      </w:r>
    </w:p>
    <w:p w14:paraId="544379B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1.27.3 售后服务不得因承包人所属权的变更、改制、领导人更换等任何原因终止，均应由其继承者继续负责其必须的售后服务。</w:t>
      </w:r>
    </w:p>
    <w:p w14:paraId="3076994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1.27.4 售后服务应是及时的、全天候的、不间断的。即无论何时接到发包人反应的质量问题信息后，都应及时地提供相应的服务。</w:t>
      </w:r>
    </w:p>
    <w:p w14:paraId="1815BD1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1.27.5 承包人还应竭力预测发包人的下一步需求，并把其的行动放在发包人需求提出之前，及时地解决发包人遇到的问题。即具有提供超前服务的能力。</w:t>
      </w:r>
    </w:p>
    <w:p w14:paraId="51D6894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1.27.6 投标人在投标文件中应明确的就“24小时服务”、“超前服务”、“全过程服务”、“终身服务”、“及时响应”等做出相应的承诺。</w:t>
      </w:r>
    </w:p>
    <w:p w14:paraId="723B7FF7">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"_Toc77950367"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28 承包人提供的资料</w:t>
      </w:r>
      <w:r>
        <w:rPr>
          <w:rFonts w:hint="eastAsia" w:asciiTheme="minorEastAsia" w:hAnsiTheme="minorEastAsia" w:eastAsiaTheme="minorEastAsia" w:cstheme="minorEastAsia"/>
          <w:bCs w:val="0"/>
          <w:color w:val="auto"/>
          <w:sz w:val="21"/>
          <w:szCs w:val="21"/>
        </w:rPr>
        <w:fldChar w:fldCharType="end"/>
      </w:r>
    </w:p>
    <w:p w14:paraId="44344F6F">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1.28.1 总体要求</w:t>
      </w:r>
    </w:p>
    <w:p w14:paraId="0DA928A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1.28.1.1 承包人应向发包人提交相关的图纸和资料供审查：合同规定提交的图纸；设备安装、运行及检修说明书；设备技术条件和说明书；产品样本；开停机程序；现场试验大纲和程序；试验报告；本招标文件中提及的其它图纸资料等。</w:t>
      </w:r>
    </w:p>
    <w:p w14:paraId="13A1593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1.28.1.2 所有设备操作、保养、维修手册应以准确全面指导相关人员操作、调试、保养以及安装、拆卸、检修设备为原则，具体应满足发包人的要求（若有）。</w:t>
      </w:r>
    </w:p>
    <w:p w14:paraId="6FC493A0">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1.28.2 资料的提交</w:t>
      </w:r>
    </w:p>
    <w:p w14:paraId="06232EC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1.28.2.1 承包人应在订货合同生效后，按照合同约定的时间，向发包人提供图纸和资料。这些图纸应比投标文件的图纸更完善，并包含了在签订合同过程中已澄清的内容。</w:t>
      </w:r>
    </w:p>
    <w:p w14:paraId="1D53B08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1.28.2.2 承包人在设备交货的同时，应同时提供最终的合同设备全部图纸。</w:t>
      </w:r>
    </w:p>
    <w:p w14:paraId="0CD80C6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1.28.2.3 发包人对图纸资料的审查，并不免除承包人的技术责任。</w:t>
      </w:r>
    </w:p>
    <w:p w14:paraId="76A088F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1.28.2.4 本文件中所列图纸和资料目录是承包人至少应提交的，并不代表是全部。发包人视情况有权提出所需的其他图纸和资料，承包人不得拒绝。</w:t>
      </w:r>
    </w:p>
    <w:p w14:paraId="7321390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1.28.2.5 承包人正式提交的资料均应由承包人授权代表签署和单位盖章。所有资料上应标明“ ××水电站”等字样。</w:t>
      </w:r>
    </w:p>
    <w:p w14:paraId="0CEC946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1.28.2.6 承包人应提交一份每批次提交的图纸和资料清单，并注明提交的批次、日期及顺序。所有电子文件和纸质文件均应有明确的编号和名称，其名称应是能反映相应资料实际内容的。</w:t>
      </w:r>
    </w:p>
    <w:p w14:paraId="3CBD364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1.28.2.7 承包人提交的资料应逐步增补的。每次提交的资料应是完整的，并应包含上一次提交已经提交过的资料。</w:t>
      </w:r>
    </w:p>
    <w:p w14:paraId="6883F73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1.28.2.8 所有涉及实际尺寸的电子图纸，均应实际尺寸绘制，不得采用修改注释尺寸数字等方式表达。所有纸质图纸，设计实际尺寸的内容均应是符合图纸表明的比例的。</w:t>
      </w:r>
    </w:p>
    <w:p w14:paraId="3BEF9B1B">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1.28.3 不合格资料提交和修改</w:t>
      </w:r>
    </w:p>
    <w:p w14:paraId="411821C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1.28.3.1 对于承包人提交的不符合要求的图纸，发包人将不作正式审查或处理，也不将图纸退回承包人，只书面通知承包人不符合要求的图纸名称，并要求承包人修改后重新提交图纸。</w:t>
      </w:r>
    </w:p>
    <w:p w14:paraId="270A2E4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1.28.3.2 由于重新修改图纸，推迟合同规定的交图时间，影响工程进度时，将认为承包人逾期，并应承担相应责任。</w:t>
      </w:r>
    </w:p>
    <w:p w14:paraId="1A0F2CC4">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1.28.4 资料修改</w:t>
      </w:r>
    </w:p>
    <w:p w14:paraId="4C2EA67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承包人所提供的资料如有修改，应在新版中明确注明版次并相应提供文字说明修改内容和原因。</w:t>
      </w:r>
    </w:p>
    <w:p w14:paraId="37D895CB">
      <w:pPr>
        <w:pStyle w:val="6"/>
        <w:keepNext w:val="0"/>
        <w:keepLines w:val="0"/>
        <w:autoSpaceDE w:val="0"/>
        <w:autoSpaceDN w:val="0"/>
        <w:spacing w:before="0" w:after="0" w:line="240" w:lineRule="auto"/>
        <w:textAlignment w:val="baseline"/>
        <w:rPr>
          <w:rFonts w:hint="eastAsia" w:asciiTheme="minorEastAsia" w:hAnsiTheme="minorEastAsia" w:eastAsiaTheme="minorEastAsia" w:cstheme="minorEastAsia"/>
          <w:bCs w:val="0"/>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rPr>
        <w:t>1.28.5 图纸和资料份数</w:t>
      </w:r>
    </w:p>
    <w:p w14:paraId="4D2F8EC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1.28.5.1 承包人应在规定的时间内提供资料和图纸。并同时提供给发包人和设计单位电子版文件各一份（含Microsoft office文本文件、AutoCAD图形文件）等）。</w:t>
      </w:r>
    </w:p>
    <w:p w14:paraId="25C1293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1.28.5.2 设计联络会图纸资料应在会前15个工作日提供，纸质版以A3版面白图形式提供（发包人4份，设计单位5份），另外提供电子版2份（发包人1份、设计单位1份）。</w:t>
      </w:r>
    </w:p>
    <w:p w14:paraId="4B63D1E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1.28.5.3 正式图纸资料应在设计联络会后30个工作日内提供，纸质版以A3版面白图形式提供（发包人4份，设计单位5份），另外提供电子版2份（发包人1份、设计单位1份）。</w:t>
      </w:r>
    </w:p>
    <w:p w14:paraId="05C676D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1.28.5.4 随机图纸资料应在相应设备发货时随装箱单一起提供，纸质版以A1版面蓝图形式提供（发包人8份，设计单位2份），另外提供电子版2份（发包人1份、设计单位1份）。</w:t>
      </w:r>
    </w:p>
    <w:p w14:paraId="2377A1A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1.28.5.5 承包人所提供的图纸和资料的费用应包括在投标总报价中。</w:t>
      </w:r>
    </w:p>
    <w:p w14:paraId="714D5D0D">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"_Toc77950368"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29 设计联络会</w:t>
      </w:r>
      <w:r>
        <w:rPr>
          <w:rFonts w:hint="eastAsia" w:asciiTheme="minorEastAsia" w:hAnsiTheme="minorEastAsia" w:eastAsiaTheme="minorEastAsia" w:cstheme="minorEastAsia"/>
          <w:bCs w:val="0"/>
          <w:color w:val="auto"/>
          <w:sz w:val="21"/>
          <w:szCs w:val="21"/>
        </w:rPr>
        <w:fldChar w:fldCharType="end"/>
      </w:r>
    </w:p>
    <w:p w14:paraId="07531CF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1.29.1 为协调设备设计、工程设计及其他方面的工作，保证合同有效顺利进行，根据实际需要（或者发包人认为有必要召开），由承包人组织召开设计联络会。</w:t>
      </w:r>
    </w:p>
    <w:p w14:paraId="3AA5E4E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1.29.2 承包人应与发包人协商，制定合理的设计联络会计划（召开地点、各方参会代表人数、日程、会议议题等），并在设计联络会召开前15个工作日提供必需的会议图纸和资料，由承包人以书面形式向各需要参会的人员发出正式邀请。</w:t>
      </w:r>
    </w:p>
    <w:p w14:paraId="30B6300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1.29.3 在设计联络会上将对承包人提交的图纸和资料进行审查和讨论，由承包人进行会议记录，达成一致意见后，形成会议纪要，经合同双方签字的会议纪要是合同的补充文件。</w:t>
      </w:r>
    </w:p>
    <w:p w14:paraId="1B7B260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1.29.4 发包人对图纸资料的审查和讨论，并不免除承包人的技术责任。</w:t>
      </w:r>
    </w:p>
    <w:p w14:paraId="464C4F8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1.29.5 会议期间发生的所有费用（包括所有被邀请参会人员的往返交通费、住宿费和餐饮费用等）均由承包人承担，并在相应报价表中单独列出，且已包括在合同总价中。</w:t>
      </w:r>
    </w:p>
    <w:p w14:paraId="53CB0BC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1.29.6 设计联络会的进程计划，在双方同意的情况下可作调整。初拟设计联络会计划如下。</w:t>
      </w:r>
    </w:p>
    <w:p w14:paraId="6F38412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1.29.7 设计联络会</w:t>
      </w:r>
    </w:p>
    <w:p w14:paraId="5D76F4B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——会议地点：承包人工厂（或另行协商）</w:t>
      </w:r>
    </w:p>
    <w:p w14:paraId="48E6DDD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——会议时间：在承包人提交一联会图纸和资料后15个工作日后举行</w:t>
      </w:r>
    </w:p>
    <w:p w14:paraId="306AB78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会议议题：</w:t>
      </w:r>
    </w:p>
    <w:p w14:paraId="7DF7F5E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1）水轮机改造方案；</w:t>
      </w:r>
    </w:p>
    <w:p w14:paraId="32A0B0C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2）发电机改造方案；</w:t>
      </w:r>
    </w:p>
    <w:p w14:paraId="4A6E038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3）调速系统改造方案；</w:t>
      </w:r>
    </w:p>
    <w:p w14:paraId="4132717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4）讨论设备的运输、交货、组装、安装、验收、培训；</w:t>
      </w:r>
    </w:p>
    <w:p w14:paraId="443FAAC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5）设备安装和维护介绍；</w:t>
      </w:r>
    </w:p>
    <w:p w14:paraId="7979488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6）与电站设计有关的事项；</w:t>
      </w:r>
    </w:p>
    <w:p w14:paraId="4ABAD67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7）需要讨论的其他问题。</w:t>
      </w:r>
    </w:p>
    <w:p w14:paraId="7FFBBF3F">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"_Toc77950369"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30 发包人提供的资料</w:t>
      </w:r>
      <w:r>
        <w:rPr>
          <w:rFonts w:hint="eastAsia" w:asciiTheme="minorEastAsia" w:hAnsiTheme="minorEastAsia" w:eastAsiaTheme="minorEastAsia" w:cstheme="minorEastAsia"/>
          <w:bCs w:val="0"/>
          <w:color w:val="auto"/>
          <w:sz w:val="21"/>
          <w:szCs w:val="21"/>
        </w:rPr>
        <w:fldChar w:fldCharType="end"/>
      </w:r>
    </w:p>
    <w:p w14:paraId="0CC6CDD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包人提供的图纸和资料，除了标明为控制性高程及尺寸外，应视为只用来说明设备总体布置的图纸，不得在施工实施时作为施工详图使用。否则，由此而造成的一切后果均由承包人自负。承包人提供的设备应根据施工图设计阶段的要求进行布置优化。招标附图详见附件。</w:t>
      </w:r>
    </w:p>
    <w:p w14:paraId="37A7F7F8">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1.</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"_Toc77950370"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val="0"/>
          <w:color w:val="auto"/>
          <w:sz w:val="21"/>
          <w:szCs w:val="21"/>
        </w:rPr>
        <w:t>31 本文件的适用范围</w:t>
      </w:r>
      <w:r>
        <w:rPr>
          <w:rFonts w:hint="eastAsia" w:asciiTheme="minorEastAsia" w:hAnsiTheme="minorEastAsia" w:eastAsiaTheme="minorEastAsia" w:cstheme="minorEastAsia"/>
          <w:bCs w:val="0"/>
          <w:color w:val="auto"/>
          <w:sz w:val="21"/>
          <w:szCs w:val="21"/>
        </w:rPr>
        <w:fldChar w:fldCharType="end"/>
      </w:r>
    </w:p>
    <w:p w14:paraId="010A3ECE">
      <w:pPr>
        <w:spacing w:line="276" w:lineRule="auto"/>
        <w:rPr>
          <w:rFonts w:hint="eastAsia" w:asciiTheme="minorEastAsia" w:hAnsiTheme="minorEastAsia" w:eastAsiaTheme="minorEastAsia" w:cstheme="minorEastAsia"/>
          <w:color w:val="auto"/>
          <w:szCs w:val="21"/>
        </w:rPr>
        <w:sectPr>
          <w:pgSz w:w="11906" w:h="16838"/>
          <w:pgMar w:top="1440" w:right="1800" w:bottom="1440" w:left="1800" w:header="851" w:footer="992" w:gutter="0"/>
          <w:cols w:space="425" w:num="1"/>
          <w:docGrid w:type="lines" w:linePitch="326" w:charSpace="0"/>
        </w:sectPr>
      </w:pPr>
      <w:r>
        <w:rPr>
          <w:rFonts w:hint="eastAsia" w:asciiTheme="minorEastAsia" w:hAnsiTheme="minorEastAsia" w:eastAsiaTheme="minorEastAsia" w:cstheme="minorEastAsia"/>
          <w:snapToGrid w:val="0"/>
          <w:color w:val="auto"/>
          <w:kern w:val="0"/>
          <w:szCs w:val="21"/>
        </w:rPr>
        <w:t>本文件规定了设备的设计、制造、试验、试运行和安装督导服务等方面的技术要求，但不包括全部详细技术要求。承包人除应遵守设备技术条款的技术要求以外，在设计、制造、工艺要求上还须符合有关的国家和行业标准。</w:t>
      </w:r>
    </w:p>
    <w:p w14:paraId="50C466A2">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第2章 混流式水轮机改造技术规范</w:t>
      </w:r>
    </w:p>
    <w:p w14:paraId="065663A2">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 概述</w:t>
      </w:r>
    </w:p>
    <w:p w14:paraId="76117D0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2.1.1 本节规定了卧轴混流式水轮机及其附属设备设计、制造、工厂试验、现场试验等的具体要求。技术条款按1台套卧轴混流式水轮机及其附属设备编写，同样适合于承包人提供的所有水轮机。</w:t>
      </w:r>
    </w:p>
    <w:p w14:paraId="63E5222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2.1.2 水轮机选材、设计、制造、试验、供货和服务等除满足本节要求外，还应满足“一般规定和规范”的要求。水轮机制造质量应满足NB/T42098《小型水轮机产品质量控制规范》的要求。</w:t>
      </w:r>
    </w:p>
    <w:p w14:paraId="1CCF3DA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2.1.3 水轮机及其附属设备的安装、调试将在承包人服务人员的技术指导下，由其他承包商完成。</w:t>
      </w:r>
    </w:p>
    <w:p w14:paraId="1BA386BD">
      <w:pPr>
        <w:tabs>
          <w:tab w:val="left" w:pos="3025"/>
        </w:tabs>
        <w:autoSpaceDE w:val="0"/>
        <w:autoSpaceDN w:val="0"/>
        <w:ind w:firstLine="434" w:firstLineChars="206"/>
        <w:textAlignment w:val="baseline"/>
        <w:rPr>
          <w:rFonts w:hint="eastAsia" w:asciiTheme="minorEastAsia" w:hAnsiTheme="minorEastAsia" w:eastAsiaTheme="minorEastAsia" w:cstheme="minorEastAsia"/>
          <w:b/>
          <w:bCs/>
          <w:snapToGrid w:val="0"/>
          <w:color w:val="auto"/>
          <w:kern w:val="0"/>
          <w:szCs w:val="21"/>
        </w:rPr>
      </w:pPr>
      <w:r>
        <w:rPr>
          <w:rFonts w:hint="eastAsia" w:asciiTheme="minorEastAsia" w:hAnsiTheme="minorEastAsia" w:eastAsiaTheme="minorEastAsia" w:cstheme="minorEastAsia"/>
          <w:b/>
          <w:bCs/>
          <w:snapToGrid w:val="0"/>
          <w:color w:val="auto"/>
          <w:kern w:val="0"/>
          <w:szCs w:val="21"/>
        </w:rPr>
        <w:t>2.1.4 本工程为改造工程，水轮机进水弯管、尾水锥管为埋入部分，不进行改造，承包人应现场实测原机组的相关尺寸、方位，并保证改造后水轮机蜗壳与原进水弯管、尾水弯管与尾水锥管尺寸和方位完全匹配。</w:t>
      </w:r>
    </w:p>
    <w:p w14:paraId="13514F61">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2.2 工作内容</w:t>
      </w:r>
    </w:p>
    <w:p w14:paraId="042635C7">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2.2.1 工作范围</w:t>
      </w:r>
    </w:p>
    <w:p w14:paraId="68189473">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2.2.1.1 承包人应完成本合同设备的设计、制造、工厂试验、包装、运输、交货、技术资料的提供、技术服务和交接验收，并对上述工作范围内的工作负全部责任。</w:t>
      </w:r>
    </w:p>
    <w:p w14:paraId="7625C12B">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2.2.1.2 完成与电站设计有关的设计联络；接受发包人代表参加工厂检验、监造、见证工厂试验和参加工厂验收；负责与分包人、其他相关设备承包人之间的协调。</w:t>
      </w:r>
    </w:p>
    <w:p w14:paraId="2F488A39">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2.2.1.3 在工厂和现场对发包人相关人员进行合同设备性能、组装、试验、运行和维护等方面的培训。</w:t>
      </w:r>
    </w:p>
    <w:p w14:paraId="1E7854C8">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2.2.1.4 完成与其他承包人的配合、协调工作，指导合同设备交货以后的保管和安装、调试等。</w:t>
      </w:r>
    </w:p>
    <w:p w14:paraId="135642D4">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2.2.1.5 本合同文件中未说明的但与设计、制造、工厂试验、包装、运输、保管、安装、现场试验和运行维护等相关的工作，均按相关标准执行。</w:t>
      </w:r>
    </w:p>
    <w:p w14:paraId="20C7A213">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2.2.2 供货范围</w:t>
      </w:r>
    </w:p>
    <w:p w14:paraId="015C3968">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1）水轮机</w:t>
      </w:r>
    </w:p>
    <w:p w14:paraId="4FBC5351">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每台水轮机及其附属设备必须是完整成套配备，并至少应带有以下设备和零部件：</w:t>
      </w:r>
    </w:p>
    <w:p w14:paraId="1D6A9E55">
      <w:pPr>
        <w:tabs>
          <w:tab w:val="left" w:pos="2587"/>
        </w:tabs>
        <w:autoSpaceDE w:val="0"/>
        <w:autoSpaceDN w:val="0"/>
        <w:ind w:firstLine="840" w:firstLineChars="4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转轮</w:t>
      </w:r>
    </w:p>
    <w:p w14:paraId="5043B421">
      <w:pPr>
        <w:tabs>
          <w:tab w:val="left" w:pos="2587"/>
        </w:tabs>
        <w:autoSpaceDE w:val="0"/>
        <w:autoSpaceDN w:val="0"/>
        <w:ind w:firstLine="840" w:firstLineChars="4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主轴（二支点机组，水轮机与发电机为一根轴）</w:t>
      </w:r>
    </w:p>
    <w:p w14:paraId="2F8D7B55">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w:t>
      </w: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主轴密封部件</w:t>
      </w:r>
    </w:p>
    <w:p w14:paraId="63EB730A">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w:t>
      </w: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导水机构、导叶接力器及其位移传感器和位置开关</w:t>
      </w:r>
    </w:p>
    <w:p w14:paraId="32B8194C">
      <w:pPr>
        <w:tabs>
          <w:tab w:val="left" w:pos="2587"/>
        </w:tabs>
        <w:autoSpaceDE w:val="0"/>
        <w:autoSpaceDN w:val="0"/>
        <w:ind w:firstLine="840" w:firstLineChars="4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蜗壳、座环、底环、顶盖</w:t>
      </w:r>
    </w:p>
    <w:p w14:paraId="28873AF2">
      <w:pPr>
        <w:tabs>
          <w:tab w:val="left" w:pos="2587"/>
        </w:tabs>
        <w:autoSpaceDE w:val="0"/>
        <w:autoSpaceDN w:val="0"/>
        <w:ind w:firstLine="840" w:firstLineChars="4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止漏环及抗磨板</w:t>
      </w:r>
    </w:p>
    <w:p w14:paraId="79C5BE66">
      <w:pPr>
        <w:tabs>
          <w:tab w:val="left" w:pos="2587"/>
        </w:tabs>
        <w:autoSpaceDE w:val="0"/>
        <w:autoSpaceDN w:val="0"/>
        <w:ind w:firstLine="840" w:firstLineChars="4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尾水接管、尾水弯管</w:t>
      </w:r>
    </w:p>
    <w:p w14:paraId="42DEE62E">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w:t>
      </w: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水力监视测量仪表、设备及管路</w:t>
      </w:r>
    </w:p>
    <w:p w14:paraId="46515249">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w:t>
      </w: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自动化元件</w:t>
      </w:r>
    </w:p>
    <w:p w14:paraId="6ADAA1E9">
      <w:pPr>
        <w:tabs>
          <w:tab w:val="left" w:pos="2587"/>
        </w:tabs>
        <w:autoSpaceDE w:val="0"/>
        <w:autoSpaceDN w:val="0"/>
        <w:ind w:firstLine="840" w:firstLineChars="4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水气管路阀门、管道、管件、支撑和所有电气连接导线、电缆等</w:t>
      </w:r>
    </w:p>
    <w:p w14:paraId="7F5151E9">
      <w:pPr>
        <w:tabs>
          <w:tab w:val="left" w:pos="2587"/>
        </w:tabs>
        <w:autoSpaceDE w:val="0"/>
        <w:autoSpaceDN w:val="0"/>
        <w:ind w:firstLine="843" w:firstLineChars="400"/>
        <w:textAlignment w:val="baseline"/>
        <w:rPr>
          <w:rFonts w:hint="eastAsia" w:asciiTheme="minorEastAsia" w:hAnsiTheme="minorEastAsia" w:eastAsiaTheme="minorEastAsia" w:cstheme="minorEastAsia"/>
          <w:b/>
          <w:bCs/>
          <w:snapToGrid w:val="0"/>
          <w:color w:val="auto"/>
          <w:kern w:val="0"/>
          <w:szCs w:val="21"/>
        </w:rPr>
      </w:pPr>
      <w:r>
        <w:rPr>
          <w:rFonts w:hint="eastAsia" w:asciiTheme="minorEastAsia" w:hAnsiTheme="minorEastAsia" w:eastAsiaTheme="minorEastAsia" w:cstheme="minorEastAsia"/>
          <w:b/>
          <w:bCs/>
          <w:snapToGrid w:val="0"/>
          <w:color w:val="auto"/>
          <w:kern w:val="0"/>
          <w:szCs w:val="21"/>
        </w:rPr>
        <w:sym w:font="Symbol" w:char="F02D"/>
      </w:r>
      <w:r>
        <w:rPr>
          <w:rFonts w:hint="eastAsia" w:asciiTheme="minorEastAsia" w:hAnsiTheme="minorEastAsia" w:eastAsiaTheme="minorEastAsia" w:cstheme="minorEastAsia"/>
          <w:b/>
          <w:bCs/>
          <w:snapToGrid w:val="0"/>
          <w:color w:val="auto"/>
          <w:kern w:val="0"/>
          <w:szCs w:val="21"/>
        </w:rPr>
        <w:t>进水弯管不改造，蜗壳应与进水弯管完全匹配。</w:t>
      </w:r>
    </w:p>
    <w:p w14:paraId="26DC2102">
      <w:pPr>
        <w:tabs>
          <w:tab w:val="left" w:pos="2587"/>
        </w:tabs>
        <w:autoSpaceDE w:val="0"/>
        <w:autoSpaceDN w:val="0"/>
        <w:ind w:firstLine="843" w:firstLineChars="400"/>
        <w:textAlignment w:val="baseline"/>
        <w:rPr>
          <w:rFonts w:hint="eastAsia" w:asciiTheme="minorEastAsia" w:hAnsiTheme="minorEastAsia" w:eastAsiaTheme="minorEastAsia" w:cstheme="minorEastAsia"/>
          <w:b/>
          <w:bCs/>
          <w:snapToGrid w:val="0"/>
          <w:color w:val="auto"/>
          <w:kern w:val="0"/>
          <w:szCs w:val="21"/>
        </w:rPr>
      </w:pPr>
      <w:r>
        <w:rPr>
          <w:rFonts w:hint="eastAsia" w:asciiTheme="minorEastAsia" w:hAnsiTheme="minorEastAsia" w:eastAsiaTheme="minorEastAsia" w:cstheme="minorEastAsia"/>
          <w:b/>
          <w:bCs/>
          <w:snapToGrid w:val="0"/>
          <w:color w:val="auto"/>
          <w:kern w:val="0"/>
          <w:szCs w:val="21"/>
        </w:rPr>
        <w:sym w:font="Symbol" w:char="F02D"/>
      </w:r>
      <w:r>
        <w:rPr>
          <w:rFonts w:hint="eastAsia" w:asciiTheme="minorEastAsia" w:hAnsiTheme="minorEastAsia" w:eastAsiaTheme="minorEastAsia" w:cstheme="minorEastAsia"/>
          <w:b/>
          <w:bCs/>
          <w:snapToGrid w:val="0"/>
          <w:color w:val="auto"/>
          <w:kern w:val="0"/>
          <w:szCs w:val="21"/>
        </w:rPr>
        <w:t>尾水锥管不改造，尾水弯管应与锥管完全匹配。</w:t>
      </w:r>
    </w:p>
    <w:p w14:paraId="63E81434">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2）规定的专用工器具。</w:t>
      </w:r>
    </w:p>
    <w:p w14:paraId="3A873B4B">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3）规定的水轮机备品备件。</w:t>
      </w:r>
    </w:p>
    <w:p w14:paraId="21904141">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任何上述1）～3）中未列上，但又是保证水轮机安全、稳定、正常运行和维护所必须的设备、元器件及零部件。</w:t>
      </w:r>
    </w:p>
    <w:p w14:paraId="52A65242">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2.2.3 供货界面</w:t>
      </w:r>
    </w:p>
    <w:p w14:paraId="65C0AD47">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土建侧——供货至设备基础板、垫板等。</w:t>
      </w:r>
    </w:p>
    <w:p w14:paraId="05FD9174">
      <w:pPr>
        <w:tabs>
          <w:tab w:val="left" w:pos="2587"/>
        </w:tabs>
        <w:autoSpaceDE w:val="0"/>
        <w:autoSpaceDN w:val="0"/>
        <w:ind w:firstLine="422" w:firstLineChars="200"/>
        <w:textAlignment w:val="baseline"/>
        <w:rPr>
          <w:rFonts w:hint="eastAsia" w:asciiTheme="minorEastAsia" w:hAnsiTheme="minorEastAsia" w:eastAsiaTheme="minorEastAsia" w:cstheme="minorEastAsia"/>
          <w:b/>
          <w:bCs/>
          <w:snapToGrid w:val="0"/>
          <w:color w:val="auto"/>
          <w:kern w:val="0"/>
          <w:szCs w:val="21"/>
        </w:rPr>
      </w:pPr>
      <w:r>
        <w:rPr>
          <w:rFonts w:hint="eastAsia" w:asciiTheme="minorEastAsia" w:hAnsiTheme="minorEastAsia" w:eastAsiaTheme="minorEastAsia" w:cstheme="minorEastAsia"/>
          <w:b/>
          <w:bCs/>
          <w:snapToGrid w:val="0"/>
          <w:color w:val="auto"/>
          <w:kern w:val="0"/>
          <w:szCs w:val="21"/>
        </w:rPr>
        <w:t>进水侧——供货至蜗壳与进水弯管连接法兰。</w:t>
      </w:r>
    </w:p>
    <w:p w14:paraId="518CC0E7">
      <w:pPr>
        <w:tabs>
          <w:tab w:val="left" w:pos="2587"/>
        </w:tabs>
        <w:autoSpaceDE w:val="0"/>
        <w:autoSpaceDN w:val="0"/>
        <w:ind w:firstLine="422" w:firstLineChars="200"/>
        <w:textAlignment w:val="baseline"/>
        <w:rPr>
          <w:rFonts w:hint="eastAsia" w:asciiTheme="minorEastAsia" w:hAnsiTheme="minorEastAsia" w:eastAsiaTheme="minorEastAsia" w:cstheme="minorEastAsia"/>
          <w:b/>
          <w:bCs/>
          <w:snapToGrid w:val="0"/>
          <w:color w:val="auto"/>
          <w:kern w:val="0"/>
          <w:szCs w:val="21"/>
        </w:rPr>
      </w:pPr>
      <w:r>
        <w:rPr>
          <w:rFonts w:hint="eastAsia" w:asciiTheme="minorEastAsia" w:hAnsiTheme="minorEastAsia" w:eastAsiaTheme="minorEastAsia" w:cstheme="minorEastAsia"/>
          <w:b/>
          <w:bCs/>
          <w:snapToGrid w:val="0"/>
          <w:color w:val="auto"/>
          <w:kern w:val="0"/>
          <w:szCs w:val="21"/>
        </w:rPr>
        <w:t>尾水侧——供货至尾水弯管。</w:t>
      </w:r>
    </w:p>
    <w:p w14:paraId="5C5A7CB0">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控制及电气系统侧——供货至承包人提供的盘柜端子。</w:t>
      </w:r>
    </w:p>
    <w:p w14:paraId="011B31D7">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油、气、水系统侧——供货至设备外第一对法兰处（包括阀门和自动化清单中所列的自动化元件）。</w:t>
      </w:r>
    </w:p>
    <w:p w14:paraId="12F5CD98">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调速系统侧——供货至导叶接力器操作及控制油管接口。</w:t>
      </w:r>
    </w:p>
    <w:p w14:paraId="2CC88B62">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水力监测系统侧——供货仪表装设地点。</w:t>
      </w:r>
    </w:p>
    <w:p w14:paraId="1813AA26">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承包人提供的成套设备之间的机械和电气连接均属承包人的供货范围。</w:t>
      </w:r>
    </w:p>
    <w:p w14:paraId="3EC3078F">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2.2.4 技术资料</w:t>
      </w:r>
    </w:p>
    <w:p w14:paraId="32747B4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承包人在各阶段应提供表2.2-1所列的技术资料。</w:t>
      </w:r>
    </w:p>
    <w:p w14:paraId="69ED97D9">
      <w:pPr>
        <w:tabs>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表2.2-1  提供的技术资料清单</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4273"/>
        <w:gridCol w:w="1343"/>
        <w:gridCol w:w="1343"/>
        <w:gridCol w:w="1343"/>
      </w:tblGrid>
      <w:tr w14:paraId="62E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Align w:val="center"/>
          </w:tcPr>
          <w:p w14:paraId="7C533FD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序号</w:t>
            </w:r>
          </w:p>
        </w:tc>
        <w:tc>
          <w:tcPr>
            <w:tcW w:w="2373" w:type="pct"/>
            <w:vAlign w:val="center"/>
          </w:tcPr>
          <w:p w14:paraId="4914797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图纸名称</w:t>
            </w:r>
          </w:p>
        </w:tc>
        <w:tc>
          <w:tcPr>
            <w:tcW w:w="746" w:type="pct"/>
            <w:vAlign w:val="center"/>
          </w:tcPr>
          <w:p w14:paraId="2FA4F46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联络会资料</w:t>
            </w:r>
          </w:p>
        </w:tc>
        <w:tc>
          <w:tcPr>
            <w:tcW w:w="746" w:type="pct"/>
            <w:vAlign w:val="center"/>
          </w:tcPr>
          <w:p w14:paraId="28DA320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正式资料</w:t>
            </w:r>
          </w:p>
        </w:tc>
        <w:tc>
          <w:tcPr>
            <w:tcW w:w="746" w:type="pct"/>
            <w:vAlign w:val="center"/>
          </w:tcPr>
          <w:p w14:paraId="1583249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随机资料</w:t>
            </w:r>
          </w:p>
        </w:tc>
      </w:tr>
      <w:tr w14:paraId="3435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70ECA20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373" w:type="pct"/>
            <w:vAlign w:val="center"/>
          </w:tcPr>
          <w:p w14:paraId="1EA9624C">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水轮机技术参数</w:t>
            </w:r>
          </w:p>
        </w:tc>
        <w:tc>
          <w:tcPr>
            <w:tcW w:w="746" w:type="pct"/>
          </w:tcPr>
          <w:p w14:paraId="48730BB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385AD5E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E09E45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7B91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17CA02C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2373" w:type="pct"/>
            <w:vAlign w:val="center"/>
          </w:tcPr>
          <w:p w14:paraId="77728E60">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模型水轮机资料</w:t>
            </w:r>
          </w:p>
        </w:tc>
        <w:tc>
          <w:tcPr>
            <w:tcW w:w="746" w:type="pct"/>
          </w:tcPr>
          <w:p w14:paraId="1D4B9A21">
            <w:pPr>
              <w:spacing w:line="360" w:lineRule="exact"/>
              <w:jc w:val="center"/>
              <w:rPr>
                <w:rFonts w:hint="eastAsia" w:asciiTheme="minorEastAsia" w:hAnsiTheme="minorEastAsia" w:eastAsiaTheme="minorEastAsia" w:cstheme="minorEastAsia"/>
                <w:snapToGrid w:val="0"/>
                <w:color w:val="auto"/>
                <w:szCs w:val="21"/>
              </w:rPr>
            </w:pPr>
          </w:p>
        </w:tc>
        <w:tc>
          <w:tcPr>
            <w:tcW w:w="746" w:type="pct"/>
          </w:tcPr>
          <w:p w14:paraId="2C76607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C1144F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3DD4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2E5D3C4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2373" w:type="pct"/>
            <w:vAlign w:val="center"/>
          </w:tcPr>
          <w:p w14:paraId="44D2301E">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综合特性曲线和运转特性曲线</w:t>
            </w:r>
          </w:p>
        </w:tc>
        <w:tc>
          <w:tcPr>
            <w:tcW w:w="746" w:type="pct"/>
          </w:tcPr>
          <w:p w14:paraId="3067D98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FF78DD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16621A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7F5F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4D971E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2373" w:type="pct"/>
            <w:vAlign w:val="center"/>
          </w:tcPr>
          <w:p w14:paraId="5AD43FF8">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水轮机横剖面图和平面图</w:t>
            </w:r>
          </w:p>
        </w:tc>
        <w:tc>
          <w:tcPr>
            <w:tcW w:w="746" w:type="pct"/>
          </w:tcPr>
          <w:p w14:paraId="3223690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C630D2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5F9CA6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7E5D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C56DF8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2373" w:type="pct"/>
          </w:tcPr>
          <w:p w14:paraId="5CA78145">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机组总体布置平面、剖面图</w:t>
            </w:r>
          </w:p>
        </w:tc>
        <w:tc>
          <w:tcPr>
            <w:tcW w:w="746" w:type="pct"/>
          </w:tcPr>
          <w:p w14:paraId="4145FB8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7BD0D7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3FD4EA1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BB5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0FACF6B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2373" w:type="pct"/>
          </w:tcPr>
          <w:p w14:paraId="1097D3D4">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水轮机结构平、剖面图；</w:t>
            </w:r>
          </w:p>
        </w:tc>
        <w:tc>
          <w:tcPr>
            <w:tcW w:w="746" w:type="pct"/>
          </w:tcPr>
          <w:p w14:paraId="23539A3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6CEC3B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9A4CA0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189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2DEF9C4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w:t>
            </w:r>
          </w:p>
        </w:tc>
        <w:tc>
          <w:tcPr>
            <w:tcW w:w="2373" w:type="pct"/>
          </w:tcPr>
          <w:p w14:paraId="2B0B5E5F">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蜗壳及座环装配图</w:t>
            </w:r>
          </w:p>
        </w:tc>
        <w:tc>
          <w:tcPr>
            <w:tcW w:w="746" w:type="pct"/>
          </w:tcPr>
          <w:p w14:paraId="5136C8F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31A09B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567D8EE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6ED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34C37E8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w:t>
            </w:r>
          </w:p>
        </w:tc>
        <w:tc>
          <w:tcPr>
            <w:tcW w:w="2373" w:type="pct"/>
            <w:vAlign w:val="center"/>
          </w:tcPr>
          <w:p w14:paraId="41C7569E">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转轮装配图</w:t>
            </w:r>
          </w:p>
        </w:tc>
        <w:tc>
          <w:tcPr>
            <w:tcW w:w="746" w:type="pct"/>
          </w:tcPr>
          <w:p w14:paraId="73BA611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C72869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408AAA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3C74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5F2E255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w:t>
            </w:r>
          </w:p>
        </w:tc>
        <w:tc>
          <w:tcPr>
            <w:tcW w:w="2373" w:type="pct"/>
            <w:vAlign w:val="center"/>
          </w:tcPr>
          <w:p w14:paraId="3C6E322C">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导水机构装配图</w:t>
            </w:r>
          </w:p>
        </w:tc>
        <w:tc>
          <w:tcPr>
            <w:tcW w:w="746" w:type="pct"/>
          </w:tcPr>
          <w:p w14:paraId="3CD1F5D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9C3645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57DEAD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63DE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655EA06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w:t>
            </w:r>
          </w:p>
        </w:tc>
        <w:tc>
          <w:tcPr>
            <w:tcW w:w="2373" w:type="pct"/>
            <w:vAlign w:val="center"/>
          </w:tcPr>
          <w:p w14:paraId="280FC282">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水导推力轴承装配图</w:t>
            </w:r>
          </w:p>
        </w:tc>
        <w:tc>
          <w:tcPr>
            <w:tcW w:w="746" w:type="pct"/>
          </w:tcPr>
          <w:p w14:paraId="3D66417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573037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91B467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971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3168C6C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w:t>
            </w:r>
          </w:p>
        </w:tc>
        <w:tc>
          <w:tcPr>
            <w:tcW w:w="2373" w:type="pct"/>
            <w:vAlign w:val="center"/>
          </w:tcPr>
          <w:p w14:paraId="0AD10303">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主轴密封装配图</w:t>
            </w:r>
          </w:p>
        </w:tc>
        <w:tc>
          <w:tcPr>
            <w:tcW w:w="746" w:type="pct"/>
          </w:tcPr>
          <w:p w14:paraId="5CF056D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DBAED3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1BA00C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1ADB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11223DF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w:t>
            </w:r>
          </w:p>
        </w:tc>
        <w:tc>
          <w:tcPr>
            <w:tcW w:w="2373" w:type="pct"/>
            <w:vAlign w:val="center"/>
          </w:tcPr>
          <w:p w14:paraId="507CC732">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补气装置装配图</w:t>
            </w:r>
          </w:p>
        </w:tc>
        <w:tc>
          <w:tcPr>
            <w:tcW w:w="746" w:type="pct"/>
          </w:tcPr>
          <w:p w14:paraId="6C1F7CC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6C2081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8B784C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367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532AEEC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13</w:t>
            </w:r>
          </w:p>
        </w:tc>
        <w:tc>
          <w:tcPr>
            <w:tcW w:w="2373" w:type="pct"/>
          </w:tcPr>
          <w:p w14:paraId="6319AD4B">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水轮机基础图和荷载图</w:t>
            </w:r>
          </w:p>
        </w:tc>
        <w:tc>
          <w:tcPr>
            <w:tcW w:w="746" w:type="pct"/>
          </w:tcPr>
          <w:p w14:paraId="1E378F6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4BF007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6E298D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557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3438269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14</w:t>
            </w:r>
          </w:p>
        </w:tc>
        <w:tc>
          <w:tcPr>
            <w:tcW w:w="2373" w:type="pct"/>
          </w:tcPr>
          <w:p w14:paraId="3C4D19CF">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油气水管路布置图</w:t>
            </w:r>
          </w:p>
        </w:tc>
        <w:tc>
          <w:tcPr>
            <w:tcW w:w="746" w:type="pct"/>
          </w:tcPr>
          <w:p w14:paraId="4253AC3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C7E920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3A7D8C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7505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7168072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15</w:t>
            </w:r>
          </w:p>
        </w:tc>
        <w:tc>
          <w:tcPr>
            <w:tcW w:w="2373" w:type="pct"/>
          </w:tcPr>
          <w:p w14:paraId="104429A0">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水轮机油、气、水用量及压力</w:t>
            </w:r>
          </w:p>
        </w:tc>
        <w:tc>
          <w:tcPr>
            <w:tcW w:w="746" w:type="pct"/>
          </w:tcPr>
          <w:p w14:paraId="46F4360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4F4C39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B29370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40B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5904DA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c>
          <w:tcPr>
            <w:tcW w:w="2373" w:type="pct"/>
            <w:vAlign w:val="center"/>
          </w:tcPr>
          <w:p w14:paraId="45BD5CD5">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大件运输尺寸和重量</w:t>
            </w:r>
          </w:p>
        </w:tc>
        <w:tc>
          <w:tcPr>
            <w:tcW w:w="746" w:type="pct"/>
          </w:tcPr>
          <w:p w14:paraId="3DACA8D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BC23E1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258237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3A7E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20DCCBC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17</w:t>
            </w:r>
          </w:p>
        </w:tc>
        <w:tc>
          <w:tcPr>
            <w:tcW w:w="2373" w:type="pct"/>
          </w:tcPr>
          <w:p w14:paraId="0347C1FB">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水轮机主要部件刚强度计算成果</w:t>
            </w:r>
          </w:p>
        </w:tc>
        <w:tc>
          <w:tcPr>
            <w:tcW w:w="746" w:type="pct"/>
          </w:tcPr>
          <w:p w14:paraId="0A6C187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FAEE9F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0FFE93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7CA7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3F5CF31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18</w:t>
            </w:r>
          </w:p>
        </w:tc>
        <w:tc>
          <w:tcPr>
            <w:tcW w:w="2373" w:type="pct"/>
          </w:tcPr>
          <w:p w14:paraId="622169AE">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水轮机产品技术条件及说明书</w:t>
            </w:r>
          </w:p>
        </w:tc>
        <w:tc>
          <w:tcPr>
            <w:tcW w:w="746" w:type="pct"/>
          </w:tcPr>
          <w:p w14:paraId="16EC644B">
            <w:pPr>
              <w:spacing w:line="360" w:lineRule="exact"/>
              <w:jc w:val="center"/>
              <w:rPr>
                <w:rFonts w:hint="eastAsia" w:asciiTheme="minorEastAsia" w:hAnsiTheme="minorEastAsia" w:eastAsiaTheme="minorEastAsia" w:cstheme="minorEastAsia"/>
                <w:snapToGrid w:val="0"/>
                <w:color w:val="auto"/>
                <w:szCs w:val="21"/>
              </w:rPr>
            </w:pPr>
          </w:p>
        </w:tc>
        <w:tc>
          <w:tcPr>
            <w:tcW w:w="746" w:type="pct"/>
          </w:tcPr>
          <w:p w14:paraId="40F906A3">
            <w:pPr>
              <w:spacing w:line="360" w:lineRule="exact"/>
              <w:jc w:val="center"/>
              <w:rPr>
                <w:rFonts w:hint="eastAsia" w:asciiTheme="minorEastAsia" w:hAnsiTheme="minorEastAsia" w:eastAsiaTheme="minorEastAsia" w:cstheme="minorEastAsia"/>
                <w:snapToGrid w:val="0"/>
                <w:color w:val="auto"/>
                <w:szCs w:val="21"/>
              </w:rPr>
            </w:pPr>
          </w:p>
        </w:tc>
        <w:tc>
          <w:tcPr>
            <w:tcW w:w="746" w:type="pct"/>
          </w:tcPr>
          <w:p w14:paraId="2FEFD960">
            <w:pPr>
              <w:spacing w:line="360" w:lineRule="exact"/>
              <w:jc w:val="center"/>
              <w:rPr>
                <w:rFonts w:hint="eastAsia" w:asciiTheme="minorEastAsia" w:hAnsiTheme="minorEastAsia" w:eastAsiaTheme="minorEastAsia" w:cstheme="minorEastAsia"/>
                <w:snapToGrid w:val="0"/>
                <w:color w:val="auto"/>
                <w:szCs w:val="21"/>
              </w:rPr>
            </w:pPr>
          </w:p>
        </w:tc>
      </w:tr>
      <w:tr w14:paraId="4D0A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19433C0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19</w:t>
            </w:r>
          </w:p>
        </w:tc>
        <w:tc>
          <w:tcPr>
            <w:tcW w:w="2373" w:type="pct"/>
          </w:tcPr>
          <w:p w14:paraId="629165E9">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厂内产品检查及试验记录</w:t>
            </w:r>
          </w:p>
        </w:tc>
        <w:tc>
          <w:tcPr>
            <w:tcW w:w="746" w:type="pct"/>
          </w:tcPr>
          <w:p w14:paraId="02A0A31D">
            <w:pPr>
              <w:spacing w:line="360" w:lineRule="exact"/>
              <w:jc w:val="center"/>
              <w:rPr>
                <w:rFonts w:hint="eastAsia" w:asciiTheme="minorEastAsia" w:hAnsiTheme="minorEastAsia" w:eastAsiaTheme="minorEastAsia" w:cstheme="minorEastAsia"/>
                <w:snapToGrid w:val="0"/>
                <w:color w:val="auto"/>
                <w:szCs w:val="21"/>
              </w:rPr>
            </w:pPr>
          </w:p>
        </w:tc>
        <w:tc>
          <w:tcPr>
            <w:tcW w:w="746" w:type="pct"/>
          </w:tcPr>
          <w:p w14:paraId="637D7BA3">
            <w:pPr>
              <w:spacing w:line="360" w:lineRule="exact"/>
              <w:jc w:val="center"/>
              <w:rPr>
                <w:rFonts w:hint="eastAsia" w:asciiTheme="minorEastAsia" w:hAnsiTheme="minorEastAsia" w:eastAsiaTheme="minorEastAsia" w:cstheme="minorEastAsia"/>
                <w:snapToGrid w:val="0"/>
                <w:color w:val="auto"/>
                <w:szCs w:val="21"/>
              </w:rPr>
            </w:pPr>
          </w:p>
        </w:tc>
        <w:tc>
          <w:tcPr>
            <w:tcW w:w="746" w:type="pct"/>
          </w:tcPr>
          <w:p w14:paraId="1CE2A01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B68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11C39B0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20</w:t>
            </w:r>
          </w:p>
        </w:tc>
        <w:tc>
          <w:tcPr>
            <w:tcW w:w="2373" w:type="pct"/>
          </w:tcPr>
          <w:p w14:paraId="4AC0DF8E">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调节保证计算书</w:t>
            </w:r>
          </w:p>
        </w:tc>
        <w:tc>
          <w:tcPr>
            <w:tcW w:w="746" w:type="pct"/>
          </w:tcPr>
          <w:p w14:paraId="3692AD7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206C9E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3399CD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44A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33FA753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21</w:t>
            </w:r>
          </w:p>
        </w:tc>
        <w:tc>
          <w:tcPr>
            <w:tcW w:w="2373" w:type="pct"/>
          </w:tcPr>
          <w:p w14:paraId="7C1B18ED">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机组自动化程序框图</w:t>
            </w:r>
          </w:p>
        </w:tc>
        <w:tc>
          <w:tcPr>
            <w:tcW w:w="746" w:type="pct"/>
          </w:tcPr>
          <w:p w14:paraId="291E76B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3A591AA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45D459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566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1A6F22A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22</w:t>
            </w:r>
          </w:p>
        </w:tc>
        <w:tc>
          <w:tcPr>
            <w:tcW w:w="2373" w:type="pct"/>
          </w:tcPr>
          <w:p w14:paraId="174E017A">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机组及其附属设备自动化系统接线图</w:t>
            </w:r>
          </w:p>
        </w:tc>
        <w:tc>
          <w:tcPr>
            <w:tcW w:w="746" w:type="pct"/>
          </w:tcPr>
          <w:p w14:paraId="472FD9A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88E682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546E23C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3C8D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308A1DB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23</w:t>
            </w:r>
          </w:p>
        </w:tc>
        <w:tc>
          <w:tcPr>
            <w:tcW w:w="2373" w:type="pct"/>
          </w:tcPr>
          <w:p w14:paraId="3A9863F2">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转速信号装置及其结线详图及说明</w:t>
            </w:r>
          </w:p>
        </w:tc>
        <w:tc>
          <w:tcPr>
            <w:tcW w:w="746" w:type="pct"/>
          </w:tcPr>
          <w:p w14:paraId="391EFEB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307A3D7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ED1E72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75B8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BC91A0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24</w:t>
            </w:r>
          </w:p>
        </w:tc>
        <w:tc>
          <w:tcPr>
            <w:tcW w:w="2373" w:type="pct"/>
          </w:tcPr>
          <w:p w14:paraId="7C6D2674">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机组制动控制回路接线图</w:t>
            </w:r>
          </w:p>
        </w:tc>
        <w:tc>
          <w:tcPr>
            <w:tcW w:w="746" w:type="pct"/>
          </w:tcPr>
          <w:p w14:paraId="36D6F2A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59FAFB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A55F59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DDB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236EE5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25</w:t>
            </w:r>
          </w:p>
        </w:tc>
        <w:tc>
          <w:tcPr>
            <w:tcW w:w="2373" w:type="pct"/>
            <w:vAlign w:val="center"/>
          </w:tcPr>
          <w:p w14:paraId="5217EED5">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机组自动化元件配置图及说明</w:t>
            </w:r>
          </w:p>
        </w:tc>
        <w:tc>
          <w:tcPr>
            <w:tcW w:w="746" w:type="pct"/>
          </w:tcPr>
          <w:p w14:paraId="3BFCC07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AE293B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EE4CF0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6D36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6106F45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26</w:t>
            </w:r>
          </w:p>
        </w:tc>
        <w:tc>
          <w:tcPr>
            <w:tcW w:w="2373" w:type="pct"/>
            <w:vAlign w:val="center"/>
          </w:tcPr>
          <w:p w14:paraId="788EE79D">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机组自动化元件和仪表接线图</w:t>
            </w:r>
          </w:p>
        </w:tc>
        <w:tc>
          <w:tcPr>
            <w:tcW w:w="746" w:type="pct"/>
          </w:tcPr>
          <w:p w14:paraId="5E4800D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526D4C7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DA2713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3F25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7682E92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27</w:t>
            </w:r>
          </w:p>
        </w:tc>
        <w:tc>
          <w:tcPr>
            <w:tcW w:w="2373" w:type="pct"/>
            <w:vAlign w:val="center"/>
          </w:tcPr>
          <w:p w14:paraId="676813BE">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自动化元件配置清单</w:t>
            </w:r>
          </w:p>
        </w:tc>
        <w:tc>
          <w:tcPr>
            <w:tcW w:w="746" w:type="pct"/>
          </w:tcPr>
          <w:p w14:paraId="5459E5C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B488BD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BBB717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499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2890E6A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28</w:t>
            </w:r>
          </w:p>
        </w:tc>
        <w:tc>
          <w:tcPr>
            <w:tcW w:w="2373" w:type="pct"/>
            <w:vAlign w:val="center"/>
          </w:tcPr>
          <w:p w14:paraId="435FD554">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自动化元件样本</w:t>
            </w:r>
          </w:p>
        </w:tc>
        <w:tc>
          <w:tcPr>
            <w:tcW w:w="746" w:type="pct"/>
          </w:tcPr>
          <w:p w14:paraId="6ACBD99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B63622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EC9C9F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07F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307C2C4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29</w:t>
            </w:r>
          </w:p>
        </w:tc>
        <w:tc>
          <w:tcPr>
            <w:tcW w:w="2373" w:type="pct"/>
            <w:vAlign w:val="center"/>
          </w:tcPr>
          <w:p w14:paraId="71DF2A78">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产品合格证书</w:t>
            </w:r>
          </w:p>
        </w:tc>
        <w:tc>
          <w:tcPr>
            <w:tcW w:w="746" w:type="pct"/>
          </w:tcPr>
          <w:p w14:paraId="45BD8DA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DEBADC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55CE30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3746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DBB3BF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30</w:t>
            </w:r>
          </w:p>
        </w:tc>
        <w:tc>
          <w:tcPr>
            <w:tcW w:w="2373" w:type="pct"/>
          </w:tcPr>
          <w:p w14:paraId="49635613">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图纸资料目录</w:t>
            </w:r>
          </w:p>
        </w:tc>
        <w:tc>
          <w:tcPr>
            <w:tcW w:w="746" w:type="pct"/>
          </w:tcPr>
          <w:p w14:paraId="7CA2767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3F15C9A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C9B651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bl>
    <w:p w14:paraId="0E7C2B72">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2.3 标准</w:t>
      </w:r>
    </w:p>
    <w:p w14:paraId="2214B57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水轮机设计、制造、安装、调试等应满足以下标准规范要求（不限于）。</w:t>
      </w: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153"/>
        <w:gridCol w:w="6749"/>
      </w:tblGrid>
      <w:tr w14:paraId="7779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3A9976E6">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GB/T15468</w:t>
            </w:r>
          </w:p>
        </w:tc>
        <w:tc>
          <w:tcPr>
            <w:tcW w:w="3791" w:type="pct"/>
            <w:vAlign w:val="center"/>
          </w:tcPr>
          <w:p w14:paraId="323E8625">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水轮机基本技术条件</w:t>
            </w:r>
          </w:p>
        </w:tc>
      </w:tr>
      <w:tr w14:paraId="3F81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7D655939">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NB/T35004</w:t>
            </w:r>
          </w:p>
        </w:tc>
        <w:tc>
          <w:tcPr>
            <w:tcW w:w="3791" w:type="pct"/>
            <w:vAlign w:val="center"/>
          </w:tcPr>
          <w:p w14:paraId="1D734781">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水力发电厂自动化设计技术规范</w:t>
            </w:r>
          </w:p>
        </w:tc>
      </w:tr>
      <w:tr w14:paraId="3388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2E624B99">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NB/T10878</w:t>
            </w:r>
          </w:p>
        </w:tc>
        <w:tc>
          <w:tcPr>
            <w:tcW w:w="3791" w:type="pct"/>
            <w:vAlign w:val="center"/>
          </w:tcPr>
          <w:p w14:paraId="157B6F61">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水力发电厂机电设计规范</w:t>
            </w:r>
          </w:p>
        </w:tc>
      </w:tr>
      <w:tr w14:paraId="29E5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33CA10D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GB/T28570</w:t>
            </w:r>
          </w:p>
        </w:tc>
        <w:tc>
          <w:tcPr>
            <w:tcW w:w="3791" w:type="pct"/>
            <w:vAlign w:val="center"/>
          </w:tcPr>
          <w:p w14:paraId="488C9070">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水轮发电机组状态在线监测系统技术导则</w:t>
            </w:r>
          </w:p>
        </w:tc>
      </w:tr>
      <w:tr w14:paraId="4215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1C839421">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GB/T15469.1</w:t>
            </w:r>
          </w:p>
        </w:tc>
        <w:tc>
          <w:tcPr>
            <w:tcW w:w="3791" w:type="pct"/>
            <w:vAlign w:val="center"/>
          </w:tcPr>
          <w:p w14:paraId="32F2082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水轮机、蓄能泵、水泵水轮机空蚀评定</w:t>
            </w:r>
          </w:p>
        </w:tc>
      </w:tr>
      <w:tr w14:paraId="003C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62D88996">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SL668</w:t>
            </w:r>
          </w:p>
        </w:tc>
        <w:tc>
          <w:tcPr>
            <w:tcW w:w="3791" w:type="pct"/>
            <w:tcBorders>
              <w:top w:val="single" w:color="auto" w:sz="4" w:space="0"/>
              <w:left w:val="single" w:color="auto" w:sz="4" w:space="0"/>
              <w:bottom w:val="single" w:color="auto" w:sz="4" w:space="0"/>
              <w:right w:val="single" w:color="auto" w:sz="4" w:space="0"/>
            </w:tcBorders>
            <w:vAlign w:val="center"/>
          </w:tcPr>
          <w:p w14:paraId="2FB92C75">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水轮发电机组推力轴承、导轴承安装调整工艺导则</w:t>
            </w:r>
          </w:p>
        </w:tc>
      </w:tr>
      <w:tr w14:paraId="1478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2D57E3D9">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GB/T8564</w:t>
            </w:r>
          </w:p>
        </w:tc>
        <w:tc>
          <w:tcPr>
            <w:tcW w:w="3791" w:type="pct"/>
            <w:vAlign w:val="center"/>
          </w:tcPr>
          <w:p w14:paraId="2FF503AD">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水轮发电机组安装技术规范</w:t>
            </w:r>
          </w:p>
        </w:tc>
      </w:tr>
      <w:tr w14:paraId="4425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290E8A0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JB/T1270</w:t>
            </w:r>
          </w:p>
        </w:tc>
        <w:tc>
          <w:tcPr>
            <w:tcW w:w="3791" w:type="pct"/>
            <w:vAlign w:val="center"/>
          </w:tcPr>
          <w:p w14:paraId="2D195FE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水轮机、发电机大轴锻件技术条件</w:t>
            </w:r>
          </w:p>
        </w:tc>
      </w:tr>
      <w:tr w14:paraId="63B6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2B23F61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NB/T42098</w:t>
            </w:r>
          </w:p>
        </w:tc>
        <w:tc>
          <w:tcPr>
            <w:tcW w:w="3791" w:type="pct"/>
            <w:vAlign w:val="center"/>
          </w:tcPr>
          <w:p w14:paraId="0A070613">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小型水轮机产品质量控制规范</w:t>
            </w:r>
          </w:p>
        </w:tc>
      </w:tr>
      <w:tr w14:paraId="527A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44039F09">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JB/T6752</w:t>
            </w:r>
          </w:p>
        </w:tc>
        <w:tc>
          <w:tcPr>
            <w:tcW w:w="3791" w:type="pct"/>
            <w:vAlign w:val="center"/>
          </w:tcPr>
          <w:p w14:paraId="0FAA6C0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中小型水轮机转轮静平衡试验规程</w:t>
            </w:r>
          </w:p>
        </w:tc>
      </w:tr>
      <w:tr w14:paraId="477D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5CADAAD3">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GB/T15613</w:t>
            </w:r>
          </w:p>
        </w:tc>
        <w:tc>
          <w:tcPr>
            <w:tcW w:w="3791" w:type="pct"/>
            <w:vAlign w:val="center"/>
          </w:tcPr>
          <w:p w14:paraId="7BA630F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水轮机、蓄能泵和水泵水轮机模型验收试验</w:t>
            </w:r>
          </w:p>
        </w:tc>
      </w:tr>
      <w:tr w14:paraId="1A82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3A748223">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NB/T42052</w:t>
            </w:r>
          </w:p>
        </w:tc>
        <w:tc>
          <w:tcPr>
            <w:tcW w:w="3791" w:type="pct"/>
            <w:vAlign w:val="center"/>
          </w:tcPr>
          <w:p w14:paraId="32CFC4C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小水电机组启动试验规程</w:t>
            </w:r>
          </w:p>
        </w:tc>
      </w:tr>
      <w:tr w14:paraId="5757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0B705B9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699</w:t>
            </w:r>
          </w:p>
        </w:tc>
        <w:tc>
          <w:tcPr>
            <w:tcW w:w="3791" w:type="pct"/>
            <w:tcBorders>
              <w:top w:val="single" w:color="auto" w:sz="4" w:space="0"/>
              <w:left w:val="single" w:color="auto" w:sz="4" w:space="0"/>
              <w:bottom w:val="single" w:color="auto" w:sz="4" w:space="0"/>
              <w:right w:val="single" w:color="auto" w:sz="4" w:space="0"/>
            </w:tcBorders>
            <w:vAlign w:val="center"/>
          </w:tcPr>
          <w:p w14:paraId="537BABD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优质碳素结构钢</w:t>
            </w:r>
          </w:p>
        </w:tc>
      </w:tr>
      <w:tr w14:paraId="7C9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5BC2E84D">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700</w:t>
            </w:r>
          </w:p>
        </w:tc>
        <w:tc>
          <w:tcPr>
            <w:tcW w:w="3791" w:type="pct"/>
            <w:tcBorders>
              <w:top w:val="single" w:color="auto" w:sz="4" w:space="0"/>
              <w:left w:val="single" w:color="auto" w:sz="4" w:space="0"/>
              <w:bottom w:val="single" w:color="auto" w:sz="4" w:space="0"/>
              <w:right w:val="single" w:color="auto" w:sz="4" w:space="0"/>
            </w:tcBorders>
            <w:vAlign w:val="center"/>
          </w:tcPr>
          <w:p w14:paraId="33EC1266">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碳素结构钢</w:t>
            </w:r>
          </w:p>
        </w:tc>
      </w:tr>
      <w:tr w14:paraId="0587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1F49050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1348</w:t>
            </w:r>
          </w:p>
        </w:tc>
        <w:tc>
          <w:tcPr>
            <w:tcW w:w="3791" w:type="pct"/>
            <w:tcBorders>
              <w:top w:val="single" w:color="auto" w:sz="4" w:space="0"/>
              <w:left w:val="single" w:color="auto" w:sz="4" w:space="0"/>
              <w:bottom w:val="single" w:color="auto" w:sz="4" w:space="0"/>
              <w:right w:val="single" w:color="auto" w:sz="4" w:space="0"/>
            </w:tcBorders>
            <w:vAlign w:val="center"/>
          </w:tcPr>
          <w:p w14:paraId="3C4DFA7D">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球墨铸铁件 </w:t>
            </w:r>
          </w:p>
        </w:tc>
      </w:tr>
      <w:tr w14:paraId="36E4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6C55282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3077</w:t>
            </w:r>
          </w:p>
        </w:tc>
        <w:tc>
          <w:tcPr>
            <w:tcW w:w="3791" w:type="pct"/>
            <w:tcBorders>
              <w:top w:val="single" w:color="auto" w:sz="4" w:space="0"/>
              <w:left w:val="single" w:color="auto" w:sz="4" w:space="0"/>
              <w:bottom w:val="single" w:color="auto" w:sz="4" w:space="0"/>
              <w:right w:val="single" w:color="auto" w:sz="4" w:space="0"/>
            </w:tcBorders>
            <w:vAlign w:val="center"/>
          </w:tcPr>
          <w:p w14:paraId="52A8E9D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合金结构钢</w:t>
            </w:r>
          </w:p>
        </w:tc>
      </w:tr>
      <w:tr w14:paraId="5604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69E3E4C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6402</w:t>
            </w:r>
          </w:p>
        </w:tc>
        <w:tc>
          <w:tcPr>
            <w:tcW w:w="3791" w:type="pct"/>
            <w:tcBorders>
              <w:top w:val="single" w:color="auto" w:sz="4" w:space="0"/>
              <w:left w:val="single" w:color="auto" w:sz="4" w:space="0"/>
              <w:bottom w:val="single" w:color="auto" w:sz="4" w:space="0"/>
              <w:right w:val="single" w:color="auto" w:sz="4" w:space="0"/>
            </w:tcBorders>
            <w:vAlign w:val="center"/>
          </w:tcPr>
          <w:p w14:paraId="5582431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钢锻件超声检测方法</w:t>
            </w:r>
          </w:p>
        </w:tc>
      </w:tr>
      <w:tr w14:paraId="4F8F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4A8429F5">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6967</w:t>
            </w:r>
          </w:p>
        </w:tc>
        <w:tc>
          <w:tcPr>
            <w:tcW w:w="3791" w:type="pct"/>
            <w:tcBorders>
              <w:top w:val="single" w:color="auto" w:sz="4" w:space="0"/>
              <w:left w:val="single" w:color="auto" w:sz="4" w:space="0"/>
              <w:bottom w:val="single" w:color="auto" w:sz="4" w:space="0"/>
              <w:right w:val="single" w:color="auto" w:sz="4" w:space="0"/>
            </w:tcBorders>
            <w:vAlign w:val="center"/>
          </w:tcPr>
          <w:p w14:paraId="30A51E8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工程结构用中、高强度不锈钢铸件</w:t>
            </w:r>
          </w:p>
        </w:tc>
      </w:tr>
      <w:tr w14:paraId="7AE2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0A1EF99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7233.1</w:t>
            </w:r>
          </w:p>
        </w:tc>
        <w:tc>
          <w:tcPr>
            <w:tcW w:w="3791" w:type="pct"/>
            <w:tcBorders>
              <w:top w:val="single" w:color="auto" w:sz="4" w:space="0"/>
              <w:left w:val="single" w:color="auto" w:sz="4" w:space="0"/>
              <w:bottom w:val="single" w:color="auto" w:sz="4" w:space="0"/>
              <w:right w:val="single" w:color="auto" w:sz="4" w:space="0"/>
            </w:tcBorders>
            <w:vAlign w:val="center"/>
          </w:tcPr>
          <w:p w14:paraId="2A1F1BB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铸钢件 超声检测第1部分：一般用途铸钢件</w:t>
            </w:r>
          </w:p>
        </w:tc>
      </w:tr>
      <w:tr w14:paraId="0ECA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74C52E7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7233.2</w:t>
            </w:r>
          </w:p>
        </w:tc>
        <w:tc>
          <w:tcPr>
            <w:tcW w:w="3791" w:type="pct"/>
            <w:tcBorders>
              <w:top w:val="single" w:color="auto" w:sz="4" w:space="0"/>
              <w:left w:val="single" w:color="auto" w:sz="4" w:space="0"/>
              <w:bottom w:val="single" w:color="auto" w:sz="4" w:space="0"/>
              <w:right w:val="single" w:color="auto" w:sz="4" w:space="0"/>
            </w:tcBorders>
            <w:vAlign w:val="center"/>
          </w:tcPr>
          <w:p w14:paraId="7CD7E26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铸钢件 超声检测第2部分：高承压铸钢件</w:t>
            </w:r>
          </w:p>
        </w:tc>
      </w:tr>
      <w:tr w14:paraId="7F53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4D887DD6">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9443</w:t>
            </w:r>
          </w:p>
        </w:tc>
        <w:tc>
          <w:tcPr>
            <w:tcW w:w="3791" w:type="pct"/>
            <w:tcBorders>
              <w:top w:val="single" w:color="auto" w:sz="4" w:space="0"/>
              <w:left w:val="single" w:color="auto" w:sz="4" w:space="0"/>
              <w:bottom w:val="single" w:color="auto" w:sz="4" w:space="0"/>
              <w:right w:val="single" w:color="auto" w:sz="4" w:space="0"/>
            </w:tcBorders>
            <w:vAlign w:val="center"/>
          </w:tcPr>
          <w:p w14:paraId="212AF6D9">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铸钢件渗透检测</w:t>
            </w:r>
          </w:p>
        </w:tc>
      </w:tr>
      <w:tr w14:paraId="0FE2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0FE681E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9444</w:t>
            </w:r>
          </w:p>
        </w:tc>
        <w:tc>
          <w:tcPr>
            <w:tcW w:w="3791" w:type="pct"/>
            <w:tcBorders>
              <w:top w:val="single" w:color="auto" w:sz="4" w:space="0"/>
              <w:left w:val="single" w:color="auto" w:sz="4" w:space="0"/>
              <w:bottom w:val="single" w:color="auto" w:sz="4" w:space="0"/>
              <w:right w:val="single" w:color="auto" w:sz="4" w:space="0"/>
            </w:tcBorders>
            <w:vAlign w:val="center"/>
          </w:tcPr>
          <w:p w14:paraId="24361A3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铸钢件磁粉检测</w:t>
            </w:r>
          </w:p>
        </w:tc>
      </w:tr>
      <w:tr w14:paraId="4061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6B58F78D">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11345</w:t>
            </w:r>
          </w:p>
        </w:tc>
        <w:tc>
          <w:tcPr>
            <w:tcW w:w="3791" w:type="pct"/>
            <w:tcBorders>
              <w:top w:val="single" w:color="auto" w:sz="4" w:space="0"/>
              <w:left w:val="single" w:color="auto" w:sz="4" w:space="0"/>
              <w:bottom w:val="single" w:color="auto" w:sz="4" w:space="0"/>
              <w:right w:val="single" w:color="auto" w:sz="4" w:space="0"/>
            </w:tcBorders>
            <w:vAlign w:val="center"/>
          </w:tcPr>
          <w:p w14:paraId="05F2B7C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钢焊缝手工超声波探伤方法和探伤结果分级</w:t>
            </w:r>
          </w:p>
        </w:tc>
      </w:tr>
      <w:tr w14:paraId="0A40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14B8565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11352</w:t>
            </w:r>
          </w:p>
        </w:tc>
        <w:tc>
          <w:tcPr>
            <w:tcW w:w="3791" w:type="pct"/>
            <w:tcBorders>
              <w:top w:val="single" w:color="auto" w:sz="4" w:space="0"/>
              <w:left w:val="single" w:color="auto" w:sz="4" w:space="0"/>
              <w:bottom w:val="single" w:color="auto" w:sz="4" w:space="0"/>
              <w:right w:val="single" w:color="auto" w:sz="4" w:space="0"/>
            </w:tcBorders>
            <w:vAlign w:val="center"/>
          </w:tcPr>
          <w:p w14:paraId="0CAD17A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一般工程用铸造碳钢件</w:t>
            </w:r>
          </w:p>
        </w:tc>
      </w:tr>
      <w:tr w14:paraId="3E35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159C5C00">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17189</w:t>
            </w:r>
          </w:p>
        </w:tc>
        <w:tc>
          <w:tcPr>
            <w:tcW w:w="3791" w:type="pct"/>
            <w:tcBorders>
              <w:top w:val="single" w:color="auto" w:sz="4" w:space="0"/>
              <w:left w:val="single" w:color="auto" w:sz="4" w:space="0"/>
              <w:bottom w:val="single" w:color="auto" w:sz="4" w:space="0"/>
              <w:right w:val="single" w:color="auto" w:sz="4" w:space="0"/>
            </w:tcBorders>
            <w:vAlign w:val="center"/>
          </w:tcPr>
          <w:p w14:paraId="323DB02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水力机械（水轮机、蓄能泵和水泵水轮机）振动和脉动现场测试规程</w:t>
            </w:r>
          </w:p>
        </w:tc>
      </w:tr>
      <w:tr w14:paraId="12C6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62627C4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26951</w:t>
            </w:r>
          </w:p>
        </w:tc>
        <w:tc>
          <w:tcPr>
            <w:tcW w:w="3791" w:type="pct"/>
            <w:tcBorders>
              <w:top w:val="single" w:color="auto" w:sz="4" w:space="0"/>
              <w:left w:val="single" w:color="auto" w:sz="4" w:space="0"/>
              <w:bottom w:val="single" w:color="auto" w:sz="4" w:space="0"/>
              <w:right w:val="single" w:color="auto" w:sz="4" w:space="0"/>
            </w:tcBorders>
            <w:vAlign w:val="center"/>
          </w:tcPr>
          <w:p w14:paraId="09340E4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焊缝无损检测 磁粉检测</w:t>
            </w:r>
          </w:p>
        </w:tc>
      </w:tr>
      <w:tr w14:paraId="2DE4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44A7E3A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26952</w:t>
            </w:r>
          </w:p>
        </w:tc>
        <w:tc>
          <w:tcPr>
            <w:tcW w:w="3791" w:type="pct"/>
            <w:tcBorders>
              <w:top w:val="single" w:color="auto" w:sz="4" w:space="0"/>
              <w:left w:val="single" w:color="auto" w:sz="4" w:space="0"/>
              <w:bottom w:val="single" w:color="auto" w:sz="4" w:space="0"/>
              <w:right w:val="single" w:color="auto" w:sz="4" w:space="0"/>
            </w:tcBorders>
            <w:vAlign w:val="center"/>
          </w:tcPr>
          <w:p w14:paraId="32A76ED3">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焊缝无损检测 磁粉检测验收等级</w:t>
            </w:r>
          </w:p>
        </w:tc>
      </w:tr>
      <w:tr w14:paraId="050D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57C2A33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26953</w:t>
            </w:r>
          </w:p>
        </w:tc>
        <w:tc>
          <w:tcPr>
            <w:tcW w:w="3791" w:type="pct"/>
            <w:tcBorders>
              <w:top w:val="single" w:color="auto" w:sz="4" w:space="0"/>
              <w:left w:val="single" w:color="auto" w:sz="4" w:space="0"/>
              <w:bottom w:val="single" w:color="auto" w:sz="4" w:space="0"/>
              <w:right w:val="single" w:color="auto" w:sz="4" w:space="0"/>
            </w:tcBorders>
            <w:vAlign w:val="center"/>
          </w:tcPr>
          <w:p w14:paraId="677348D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焊缝无损检测 焊缝渗透检测验收等级</w:t>
            </w:r>
          </w:p>
        </w:tc>
      </w:tr>
      <w:tr w14:paraId="3B37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6BDF099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6402</w:t>
            </w:r>
          </w:p>
        </w:tc>
        <w:tc>
          <w:tcPr>
            <w:tcW w:w="3791" w:type="pct"/>
            <w:tcBorders>
              <w:top w:val="single" w:color="auto" w:sz="4" w:space="0"/>
              <w:left w:val="single" w:color="auto" w:sz="4" w:space="0"/>
              <w:bottom w:val="single" w:color="auto" w:sz="4" w:space="0"/>
              <w:right w:val="single" w:color="auto" w:sz="4" w:space="0"/>
            </w:tcBorders>
            <w:vAlign w:val="center"/>
          </w:tcPr>
          <w:p w14:paraId="554A5173">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大型低合金钢铸件</w:t>
            </w:r>
          </w:p>
        </w:tc>
      </w:tr>
      <w:tr w14:paraId="036E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4BFC765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6396</w:t>
            </w:r>
          </w:p>
        </w:tc>
        <w:tc>
          <w:tcPr>
            <w:tcW w:w="3791" w:type="pct"/>
            <w:tcBorders>
              <w:top w:val="single" w:color="auto" w:sz="4" w:space="0"/>
              <w:left w:val="single" w:color="auto" w:sz="4" w:space="0"/>
              <w:bottom w:val="single" w:color="auto" w:sz="4" w:space="0"/>
              <w:right w:val="single" w:color="auto" w:sz="4" w:space="0"/>
            </w:tcBorders>
            <w:vAlign w:val="center"/>
          </w:tcPr>
          <w:p w14:paraId="761C7CED">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大型合金结构钢锻件</w:t>
            </w:r>
          </w:p>
        </w:tc>
      </w:tr>
      <w:tr w14:paraId="7593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65D1D81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6397</w:t>
            </w:r>
          </w:p>
        </w:tc>
        <w:tc>
          <w:tcPr>
            <w:tcW w:w="3791" w:type="pct"/>
            <w:tcBorders>
              <w:top w:val="single" w:color="auto" w:sz="4" w:space="0"/>
              <w:left w:val="single" w:color="auto" w:sz="4" w:space="0"/>
              <w:bottom w:val="single" w:color="auto" w:sz="4" w:space="0"/>
              <w:right w:val="single" w:color="auto" w:sz="4" w:space="0"/>
            </w:tcBorders>
            <w:vAlign w:val="center"/>
          </w:tcPr>
          <w:p w14:paraId="74502AB6">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大型碳素结构钢锻件 技术条件</w:t>
            </w:r>
          </w:p>
        </w:tc>
      </w:tr>
      <w:tr w14:paraId="5CA0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27B263F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10264</w:t>
            </w:r>
          </w:p>
        </w:tc>
        <w:tc>
          <w:tcPr>
            <w:tcW w:w="3791" w:type="pct"/>
            <w:tcBorders>
              <w:top w:val="single" w:color="auto" w:sz="4" w:space="0"/>
              <w:left w:val="single" w:color="auto" w:sz="4" w:space="0"/>
              <w:bottom w:val="single" w:color="auto" w:sz="4" w:space="0"/>
              <w:right w:val="single" w:color="auto" w:sz="4" w:space="0"/>
            </w:tcBorders>
            <w:vAlign w:val="center"/>
          </w:tcPr>
          <w:p w14:paraId="758A5AB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混流式水轮机焊接转轮上冠、下环铸件</w:t>
            </w:r>
          </w:p>
        </w:tc>
      </w:tr>
      <w:tr w14:paraId="30E3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4CE5D96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8467</w:t>
            </w:r>
          </w:p>
        </w:tc>
        <w:tc>
          <w:tcPr>
            <w:tcW w:w="3791" w:type="pct"/>
            <w:tcBorders>
              <w:top w:val="single" w:color="auto" w:sz="4" w:space="0"/>
              <w:left w:val="single" w:color="auto" w:sz="4" w:space="0"/>
              <w:bottom w:val="single" w:color="auto" w:sz="4" w:space="0"/>
              <w:right w:val="single" w:color="auto" w:sz="4" w:space="0"/>
            </w:tcBorders>
            <w:vAlign w:val="center"/>
          </w:tcPr>
          <w:p w14:paraId="7D66FA2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锻钢件超声波探伤方法</w:t>
            </w:r>
          </w:p>
        </w:tc>
      </w:tr>
      <w:tr w14:paraId="28C6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2F07A3B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8468</w:t>
            </w:r>
          </w:p>
        </w:tc>
        <w:tc>
          <w:tcPr>
            <w:tcW w:w="3791" w:type="pct"/>
            <w:tcBorders>
              <w:top w:val="single" w:color="auto" w:sz="4" w:space="0"/>
              <w:left w:val="single" w:color="auto" w:sz="4" w:space="0"/>
              <w:bottom w:val="single" w:color="auto" w:sz="4" w:space="0"/>
              <w:right w:val="single" w:color="auto" w:sz="4" w:space="0"/>
            </w:tcBorders>
            <w:vAlign w:val="center"/>
          </w:tcPr>
          <w:p w14:paraId="71CF2F9F">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锻钢件磁粉检验方法</w:t>
            </w:r>
          </w:p>
        </w:tc>
      </w:tr>
      <w:tr w14:paraId="2DD0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612BBBA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8162</w:t>
            </w:r>
          </w:p>
        </w:tc>
        <w:tc>
          <w:tcPr>
            <w:tcW w:w="3791" w:type="pct"/>
            <w:tcBorders>
              <w:top w:val="single" w:color="auto" w:sz="4" w:space="0"/>
              <w:left w:val="single" w:color="auto" w:sz="4" w:space="0"/>
              <w:bottom w:val="single" w:color="auto" w:sz="4" w:space="0"/>
              <w:right w:val="single" w:color="auto" w:sz="4" w:space="0"/>
            </w:tcBorders>
            <w:vAlign w:val="center"/>
          </w:tcPr>
          <w:p w14:paraId="65024DD1">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结构用无缝钢管</w:t>
            </w:r>
          </w:p>
        </w:tc>
      </w:tr>
      <w:tr w14:paraId="19DE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0311C30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8163</w:t>
            </w:r>
          </w:p>
        </w:tc>
        <w:tc>
          <w:tcPr>
            <w:tcW w:w="3791" w:type="pct"/>
            <w:tcBorders>
              <w:top w:val="single" w:color="auto" w:sz="4" w:space="0"/>
              <w:left w:val="single" w:color="auto" w:sz="4" w:space="0"/>
              <w:bottom w:val="single" w:color="auto" w:sz="4" w:space="0"/>
              <w:right w:val="single" w:color="auto" w:sz="4" w:space="0"/>
            </w:tcBorders>
            <w:vAlign w:val="center"/>
          </w:tcPr>
          <w:p w14:paraId="76E214C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输送流体用无缝钢管</w:t>
            </w:r>
          </w:p>
        </w:tc>
      </w:tr>
      <w:tr w14:paraId="0128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52FF2B7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CCH―70―4</w:t>
            </w:r>
          </w:p>
        </w:tc>
        <w:tc>
          <w:tcPr>
            <w:tcW w:w="3791" w:type="pct"/>
            <w:vAlign w:val="center"/>
          </w:tcPr>
          <w:p w14:paraId="03B5570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水力机械铸钢件检查规程</w:t>
            </w:r>
          </w:p>
        </w:tc>
      </w:tr>
    </w:tbl>
    <w:p w14:paraId="3243269F">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2.4 型式和说明</w:t>
      </w:r>
    </w:p>
    <w:p w14:paraId="18B2A9D2">
      <w:pPr>
        <w:tabs>
          <w:tab w:val="left" w:pos="2587"/>
        </w:tabs>
        <w:autoSpaceDE w:val="0"/>
        <w:autoSpaceDN w:val="0"/>
        <w:ind w:firstLine="525" w:firstLineChars="25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2.4.1 水轮机为卧轴混流式、金属蜗壳（包角345º）和直锥式尾水管，与发电机直接连接，</w:t>
      </w:r>
      <w:r>
        <w:rPr>
          <w:rFonts w:hint="eastAsia" w:asciiTheme="minorEastAsia" w:hAnsiTheme="minorEastAsia" w:eastAsiaTheme="minorEastAsia" w:cstheme="minorEastAsia"/>
          <w:b/>
          <w:bCs/>
          <w:snapToGrid w:val="0"/>
          <w:color w:val="auto"/>
          <w:kern w:val="0"/>
          <w:szCs w:val="21"/>
        </w:rPr>
        <w:t>从发电机向水轮机方向看为逆时针旋转。</w:t>
      </w:r>
    </w:p>
    <w:p w14:paraId="66EDEB12">
      <w:pPr>
        <w:tabs>
          <w:tab w:val="left" w:pos="2587"/>
        </w:tabs>
        <w:autoSpaceDE w:val="0"/>
        <w:autoSpaceDN w:val="0"/>
        <w:ind w:firstLine="525" w:firstLineChars="25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2.4.2 原型水轮机应与模型水轮机水力相似。固定导叶和活动导叶数量可适当调整，但应与转轮叶片数协调，避开有害振动。蜗壳和尾水接管、尾水弯管尺寸应与电站现状情况相适应，并在联络会上经发包人同意。</w:t>
      </w:r>
    </w:p>
    <w:p w14:paraId="78965440">
      <w:pPr>
        <w:tabs>
          <w:tab w:val="left" w:pos="2587"/>
        </w:tabs>
        <w:autoSpaceDE w:val="0"/>
        <w:autoSpaceDN w:val="0"/>
        <w:ind w:firstLine="525" w:firstLineChars="25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2.4.3 安装高程（机组轴线高程）应满足“招标附图”的要求。</w:t>
      </w:r>
    </w:p>
    <w:p w14:paraId="7B297037">
      <w:pPr>
        <w:tabs>
          <w:tab w:val="left" w:pos="2587"/>
        </w:tabs>
        <w:autoSpaceDE w:val="0"/>
        <w:autoSpaceDN w:val="0"/>
        <w:ind w:firstLine="525" w:firstLineChars="25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2.4.4 水轮发电机组采用二支点结构，水轮机与发电机采用一根轴，转轮与主轴通过锥度连接，飞轮位于发电机端部。</w:t>
      </w:r>
    </w:p>
    <w:p w14:paraId="0204F875">
      <w:pPr>
        <w:tabs>
          <w:tab w:val="left" w:pos="2587"/>
        </w:tabs>
        <w:autoSpaceDE w:val="0"/>
        <w:autoSpaceDN w:val="0"/>
        <w:ind w:firstLine="525" w:firstLineChars="25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2.4.5 水轮机各部件应能承受并保证在各种水头和功率范围内连续运行所产生的静、动载荷而没有过量挠曲或振动，也没有塑性变形或疲劳破坏。</w:t>
      </w:r>
    </w:p>
    <w:p w14:paraId="397745F0">
      <w:pPr>
        <w:tabs>
          <w:tab w:val="left" w:pos="2587"/>
        </w:tabs>
        <w:autoSpaceDE w:val="0"/>
        <w:autoSpaceDN w:val="0"/>
        <w:ind w:firstLine="525" w:firstLineChars="25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2.4.6 水轮机结构和部件应设计成能方便而经济地维修、安装和拆卸。</w:t>
      </w:r>
    </w:p>
    <w:p w14:paraId="1113D938">
      <w:pPr>
        <w:tabs>
          <w:tab w:val="left" w:pos="2587"/>
        </w:tabs>
        <w:autoSpaceDE w:val="0"/>
        <w:autoSpaceDN w:val="0"/>
        <w:ind w:firstLine="525" w:firstLineChars="25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2.4.7 所有需要起吊的部件，均需设置专用吊环螺栓、吊耳或便于装卸的起吊装置。</w:t>
      </w:r>
    </w:p>
    <w:p w14:paraId="3C59334B">
      <w:pPr>
        <w:tabs>
          <w:tab w:val="left" w:pos="2587"/>
        </w:tabs>
        <w:autoSpaceDE w:val="0"/>
        <w:autoSpaceDN w:val="0"/>
        <w:ind w:firstLine="525" w:firstLineChars="25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2.4.8 水轮机应能在任一转速直至最高飞逸转速下运行而不受损害，在最高飞逸转速下连续安全运行5min不应产生有害变形。</w:t>
      </w:r>
    </w:p>
    <w:p w14:paraId="19D7863C">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2.5 运行条件</w:t>
      </w:r>
    </w:p>
    <w:p w14:paraId="62B90E60">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2.5.1 水电站特征水位、电站毛水头、水轮机水头、发电引水系统等参数详见第1.4节“工程所在地基本条件”。</w:t>
      </w:r>
    </w:p>
    <w:p w14:paraId="539FBECD">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2.5.2 当发生1.4所列的地震情况下，无论水轮机在运行、甩负荷和停机状态，水轮机及其附属设备不出现无法修复的损坏和安全隐患。</w:t>
      </w:r>
    </w:p>
    <w:p w14:paraId="6BFBD5E2">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2.5.3 在1.4所列的水文参数下，辅助设备电动机、自动化元件的防护等级应能满足要求，确保长期安全可靠运行。</w:t>
      </w:r>
    </w:p>
    <w:p w14:paraId="13441312">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2.5.4 水轮机安装高程（机组轴线高程）现阶段为102.41m，承包人可适当进行微调，但水轮机层高程101.7m需保持不变。在此安装高程和第一节“工程设计参数”中所规定的泥沙条件下，水轮机的选型设计、过流部件的抗磨蚀措施等均应满足。</w:t>
      </w:r>
    </w:p>
    <w:p w14:paraId="18C502DF">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2.6 水轮机参数</w:t>
      </w:r>
    </w:p>
    <w:p w14:paraId="52DF82F2">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2.6.1 水轮机额定水头为60m。</w:t>
      </w:r>
    </w:p>
    <w:p w14:paraId="2E10AD78">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2.6.2 在电网频率为50Hz时，推荐的水轮机额定转速为1000r/min。</w:t>
      </w:r>
    </w:p>
    <w:p w14:paraId="5AF9D618">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2.6.3 水轮机在额定水头、额定转速下运行时，其额定功率为1058.2kW。</w:t>
      </w:r>
    </w:p>
    <w:p w14:paraId="2BCC618D">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2.6.4 水轮机转轮直径D</w:t>
      </w:r>
      <w:r>
        <w:rPr>
          <w:rFonts w:hint="eastAsia" w:asciiTheme="minorEastAsia" w:hAnsiTheme="minorEastAsia" w:eastAsiaTheme="minorEastAsia" w:cstheme="minorEastAsia"/>
          <w:snapToGrid w:val="0"/>
          <w:color w:val="auto"/>
          <w:kern w:val="0"/>
          <w:szCs w:val="21"/>
          <w:vertAlign w:val="subscript"/>
        </w:rPr>
        <w:t>1</w:t>
      </w:r>
      <w:r>
        <w:rPr>
          <w:rFonts w:hint="eastAsia" w:asciiTheme="minorEastAsia" w:hAnsiTheme="minorEastAsia" w:eastAsiaTheme="minorEastAsia" w:cstheme="minorEastAsia"/>
          <w:snapToGrid w:val="0"/>
          <w:color w:val="auto"/>
          <w:kern w:val="0"/>
          <w:szCs w:val="21"/>
        </w:rPr>
        <w:t>不小于550mm。</w:t>
      </w:r>
    </w:p>
    <w:p w14:paraId="522E57C4">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2.7 性能保证</w:t>
      </w:r>
    </w:p>
    <w:p w14:paraId="0F07E441">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 概述</w:t>
      </w:r>
    </w:p>
    <w:p w14:paraId="0032CA79">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承包人要保证合同设备运行安全可靠，并满足合同文件中所保证的各项性能保证值。若合同设备不能满足所保证的要求，发包人有权要求承包人免费修改设备，或根据合同条款中的相关规定进行处理。</w:t>
      </w:r>
    </w:p>
    <w:p w14:paraId="78E7C8D8">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2.7.2 水轮机运行工况</w:t>
      </w:r>
    </w:p>
    <w:p w14:paraId="3A851ACF">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2.7.2.1 在1.5所规定的水头范围，水轮机在空载和相应水头下45％～100％额定功率范围内甩负荷以及飞逸等各种工况下运行时，水轮机各部件均不得产生各种形式的共振。承包人应提交机组固有频率和各种可能共振频率的分析结果供承包人审查。</w:t>
      </w:r>
    </w:p>
    <w:p w14:paraId="3216D095">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7.2.2 在规定的水头范围和功率范围内，水轮机均可连续安全稳定运行。水轮机应能在启动和甩负荷的过渡过程工况及所有规定的运行工况下，不产生有害的压力脉动、振动、噪音和超过规定的空蚀，在运行的各种工况下，应不出现功率摆动现象。</w:t>
      </w:r>
    </w:p>
    <w:p w14:paraId="2269A5FE">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2.7.3 调节保证</w:t>
      </w:r>
    </w:p>
    <w:p w14:paraId="758A332F">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2.7.3.1 基本资料</w:t>
      </w:r>
    </w:p>
    <w:p w14:paraId="4E649A55">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电站发电引水系统参数详见1.5；电气主接线采用两机一变；机组转动惯量GD</w:t>
      </w:r>
      <w:r>
        <w:rPr>
          <w:rFonts w:hint="eastAsia" w:asciiTheme="minorEastAsia" w:hAnsiTheme="minorEastAsia" w:eastAsiaTheme="minorEastAsia" w:cstheme="minorEastAsia"/>
          <w:snapToGrid w:val="0"/>
          <w:color w:val="auto"/>
          <w:kern w:val="0"/>
          <w:szCs w:val="21"/>
          <w:vertAlign w:val="superscript"/>
        </w:rPr>
        <w:t>2</w:t>
      </w:r>
      <w:r>
        <w:rPr>
          <w:rFonts w:hint="eastAsia" w:asciiTheme="minorEastAsia" w:hAnsiTheme="minorEastAsia" w:eastAsiaTheme="minorEastAsia" w:cstheme="minorEastAsia"/>
          <w:snapToGrid w:val="0"/>
          <w:color w:val="auto"/>
          <w:kern w:val="0"/>
          <w:szCs w:val="21"/>
        </w:rPr>
        <w:t>不小于1t.m</w:t>
      </w:r>
      <w:r>
        <w:rPr>
          <w:rFonts w:hint="eastAsia" w:asciiTheme="minorEastAsia" w:hAnsiTheme="minorEastAsia" w:eastAsiaTheme="minorEastAsia" w:cstheme="minorEastAsia"/>
          <w:snapToGrid w:val="0"/>
          <w:color w:val="auto"/>
          <w:kern w:val="0"/>
          <w:szCs w:val="21"/>
          <w:vertAlign w:val="superscript"/>
        </w:rPr>
        <w:t>2</w:t>
      </w:r>
      <w:r>
        <w:rPr>
          <w:rFonts w:hint="eastAsia" w:asciiTheme="minorEastAsia" w:hAnsiTheme="minorEastAsia" w:eastAsiaTheme="minorEastAsia" w:cstheme="minorEastAsia"/>
          <w:snapToGrid w:val="0"/>
          <w:color w:val="auto"/>
          <w:kern w:val="0"/>
          <w:szCs w:val="21"/>
        </w:rPr>
        <w:t>。</w:t>
      </w:r>
    </w:p>
    <w:p w14:paraId="5B492AC7">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2.7.3.2 过渡过程计算工况</w:t>
      </w:r>
    </w:p>
    <w:p w14:paraId="122757D0">
      <w:pPr>
        <w:tabs>
          <w:tab w:val="left" w:pos="425"/>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至少应对以下工况进行计算：1）两台水轮机在额定水头和额定输出功率下运行，机组同时突然甩全负荷工况；2）两台水轮机在最大水头和额定输出功率下运行，机组同时突然甩全负荷工况；3）小波动稳定分析。</w:t>
      </w:r>
    </w:p>
    <w:p w14:paraId="4CBE626A">
      <w:pPr>
        <w:tabs>
          <w:tab w:val="left" w:pos="425"/>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2.7.3.3 计算参数限定值</w:t>
      </w:r>
    </w:p>
    <w:p w14:paraId="440A35C7">
      <w:pPr>
        <w:tabs>
          <w:tab w:val="left" w:pos="425"/>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机组最大转速上升值不应超过额定转速的60%；蜗壳未端最大压力不超过86m；尾水管进口处真空度不超过8m水柱。</w:t>
      </w:r>
    </w:p>
    <w:p w14:paraId="0E7A5630">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2.7.3.4 承包人应根据上述条件进行水力过渡过程计算，并提交计算分析方法和成果，同时说明导叶关闭时间和规律、尾水管压力、机组转速和蜗壳压力的变化值。</w:t>
      </w:r>
    </w:p>
    <w:p w14:paraId="2B3456EC">
      <w:pPr>
        <w:tabs>
          <w:tab w:val="left" w:pos="3025"/>
        </w:tabs>
        <w:autoSpaceDE w:val="0"/>
        <w:autoSpaceDN w:val="0"/>
        <w:textAlignment w:val="baseline"/>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2.7.4 功率</w:t>
      </w:r>
    </w:p>
    <w:p w14:paraId="2F685F5D">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2.7.4.1 水轮机在额定水头60m、额定转速下运转时，其额定功率为1058.2kW。水轮机短时（8000h运行小时内不超过100h）运行最大功率1164kW。</w:t>
      </w:r>
    </w:p>
    <w:p w14:paraId="28AEC762">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2.7.4.2 在下列水头条件下，水轮机在额定转速运行，空化系数、空蚀及磨损在保证值范围内，水轮机功率保证值不应低于表2.7-1中的数值。另外，相邻两点的连接直线构成水轮机的功率保证线，功率保证线上的值为各水头下的功率保证值。</w:t>
      </w:r>
    </w:p>
    <w:p w14:paraId="6C07EA9F">
      <w:pPr>
        <w:tabs>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表2.7-1  水轮机功率</w:t>
      </w:r>
    </w:p>
    <w:tbl>
      <w:tblPr>
        <w:tblStyle w:val="66"/>
        <w:tblW w:w="4682" w:type="pct"/>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14"/>
        <w:gridCol w:w="4217"/>
      </w:tblGrid>
      <w:tr w14:paraId="066CB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9" w:type="pct"/>
          </w:tcPr>
          <w:p w14:paraId="52B1A5FE">
            <w:pPr>
              <w:widowControl w:val="0"/>
              <w:tabs>
                <w:tab w:val="left" w:pos="3025"/>
              </w:tabs>
              <w:autoSpaceDE w:val="0"/>
              <w:autoSpaceDN w:val="0"/>
              <w:spacing w:line="360" w:lineRule="exact"/>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水轮机水头</w:t>
            </w:r>
          </w:p>
        </w:tc>
        <w:tc>
          <w:tcPr>
            <w:tcW w:w="2500" w:type="pct"/>
          </w:tcPr>
          <w:p w14:paraId="3E9C8FA2">
            <w:pPr>
              <w:widowControl w:val="0"/>
              <w:tabs>
                <w:tab w:val="left" w:pos="3025"/>
              </w:tabs>
              <w:autoSpaceDE w:val="0"/>
              <w:autoSpaceDN w:val="0"/>
              <w:spacing w:line="360" w:lineRule="exact"/>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水轮机功率（kW）</w:t>
            </w:r>
          </w:p>
        </w:tc>
      </w:tr>
      <w:tr w14:paraId="05A2C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9" w:type="pct"/>
          </w:tcPr>
          <w:p w14:paraId="697F3965">
            <w:pPr>
              <w:widowControl w:val="0"/>
              <w:tabs>
                <w:tab w:val="left" w:pos="3025"/>
              </w:tabs>
              <w:autoSpaceDE w:val="0"/>
              <w:autoSpaceDN w:val="0"/>
              <w:spacing w:line="360" w:lineRule="exact"/>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最大水头61.1m</w:t>
            </w:r>
          </w:p>
        </w:tc>
        <w:tc>
          <w:tcPr>
            <w:tcW w:w="2500" w:type="pct"/>
          </w:tcPr>
          <w:p w14:paraId="68EE3A54">
            <w:pPr>
              <w:widowControl w:val="0"/>
              <w:tabs>
                <w:tab w:val="left" w:pos="3025"/>
              </w:tabs>
              <w:autoSpaceDE w:val="0"/>
              <w:autoSpaceDN w:val="0"/>
              <w:spacing w:line="360" w:lineRule="exact"/>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≥1058.2</w:t>
            </w:r>
          </w:p>
        </w:tc>
      </w:tr>
      <w:tr w14:paraId="7709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9" w:type="pct"/>
          </w:tcPr>
          <w:p w14:paraId="01B2CAF9">
            <w:pPr>
              <w:widowControl w:val="0"/>
              <w:tabs>
                <w:tab w:val="left" w:pos="3025"/>
              </w:tabs>
              <w:autoSpaceDE w:val="0"/>
              <w:autoSpaceDN w:val="0"/>
              <w:spacing w:line="360" w:lineRule="exact"/>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额定水头60m</w:t>
            </w:r>
          </w:p>
        </w:tc>
        <w:tc>
          <w:tcPr>
            <w:tcW w:w="2500" w:type="pct"/>
          </w:tcPr>
          <w:p w14:paraId="61E66FA5">
            <w:pPr>
              <w:widowControl w:val="0"/>
              <w:tabs>
                <w:tab w:val="left" w:pos="3025"/>
              </w:tabs>
              <w:autoSpaceDE w:val="0"/>
              <w:autoSpaceDN w:val="0"/>
              <w:spacing w:line="360" w:lineRule="exact"/>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≥1058.2</w:t>
            </w:r>
          </w:p>
        </w:tc>
      </w:tr>
      <w:tr w14:paraId="40930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9" w:type="pct"/>
          </w:tcPr>
          <w:p w14:paraId="119131B4">
            <w:pPr>
              <w:widowControl w:val="0"/>
              <w:tabs>
                <w:tab w:val="left" w:pos="3025"/>
              </w:tabs>
              <w:autoSpaceDE w:val="0"/>
              <w:autoSpaceDN w:val="0"/>
              <w:spacing w:line="360" w:lineRule="exact"/>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最小水头59.1m</w:t>
            </w:r>
          </w:p>
        </w:tc>
        <w:tc>
          <w:tcPr>
            <w:tcW w:w="2500" w:type="pct"/>
          </w:tcPr>
          <w:p w14:paraId="00A8A727">
            <w:pPr>
              <w:widowControl w:val="0"/>
              <w:tabs>
                <w:tab w:val="left" w:pos="3025"/>
              </w:tabs>
              <w:autoSpaceDE w:val="0"/>
              <w:autoSpaceDN w:val="0"/>
              <w:spacing w:line="360" w:lineRule="exact"/>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≥1028</w:t>
            </w:r>
          </w:p>
        </w:tc>
      </w:tr>
    </w:tbl>
    <w:p w14:paraId="6DE1592F">
      <w:pPr>
        <w:tabs>
          <w:tab w:val="left" w:pos="3025"/>
        </w:tabs>
        <w:autoSpaceDE w:val="0"/>
        <w:autoSpaceDN w:val="0"/>
        <w:textAlignment w:val="baseline"/>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2.7.5 效率</w:t>
      </w:r>
    </w:p>
    <w:p w14:paraId="60C218F6">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2.7.5.1 模型水轮机与原型水轮机效率应按下列公式计算效率修正值，效率修正值为一个常量加于模型水轮机效率，以求得原型水轮机效率。</w:t>
      </w:r>
    </w:p>
    <w:p w14:paraId="3E80D83C">
      <w:pPr>
        <w:spacing w:line="48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η</w:t>
      </w:r>
      <w:r>
        <w:rPr>
          <w:rFonts w:hint="eastAsia" w:asciiTheme="minorEastAsia" w:hAnsiTheme="minorEastAsia" w:eastAsiaTheme="minorEastAsia" w:cstheme="minorEastAsia"/>
          <w:snapToGrid w:val="0"/>
          <w:color w:val="auto"/>
          <w:szCs w:val="21"/>
          <w:vertAlign w:val="subscript"/>
        </w:rPr>
        <w:t>T</w:t>
      </w:r>
      <w:r>
        <w:rPr>
          <w:rFonts w:hint="eastAsia" w:asciiTheme="minorEastAsia" w:hAnsiTheme="minorEastAsia" w:eastAsiaTheme="minorEastAsia" w:cstheme="minorEastAsia"/>
          <w:snapToGrid w:val="0"/>
          <w:color w:val="auto"/>
          <w:szCs w:val="21"/>
        </w:rPr>
        <w:t>=η</w:t>
      </w:r>
      <w:r>
        <w:rPr>
          <w:rFonts w:hint="eastAsia" w:asciiTheme="minorEastAsia" w:hAnsiTheme="minorEastAsia" w:eastAsiaTheme="minorEastAsia" w:cstheme="minorEastAsia"/>
          <w:snapToGrid w:val="0"/>
          <w:color w:val="auto"/>
          <w:szCs w:val="21"/>
          <w:vertAlign w:val="subscript"/>
        </w:rPr>
        <w:t>M</w:t>
      </w:r>
      <w:r>
        <w:rPr>
          <w:rFonts w:hint="eastAsia" w:asciiTheme="minorEastAsia" w:hAnsiTheme="minorEastAsia" w:eastAsiaTheme="minorEastAsia" w:cstheme="minorEastAsia"/>
          <w:snapToGrid w:val="0"/>
          <w:color w:val="auto"/>
          <w:szCs w:val="21"/>
        </w:rPr>
        <w:t xml:space="preserve">+△η </w:t>
      </w:r>
    </w:p>
    <w:p w14:paraId="3983E045">
      <w:pPr>
        <w:pStyle w:val="4"/>
        <w:spacing w:line="276" w:lineRule="auto"/>
        <w:ind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position w:val="-42"/>
          <w:sz w:val="21"/>
          <w:szCs w:val="21"/>
        </w:rPr>
        <w:object>
          <v:shape id="_x0000_i1025" o:spt="75" type="#_x0000_t75" style="height:48.4pt;width:168.4pt;" o:ole="t" filled="f" o:preferrelative="t" stroked="f" coordsize="21600,21600">
            <v:path/>
            <v:fill on="f" focussize="0,0"/>
            <v:stroke on="f" joinstyle="miter"/>
            <v:imagedata r:id="rId26" o:title=""/>
            <o:lock v:ext="edit" aspectratio="t"/>
            <w10:wrap type="none"/>
            <w10:anchorlock/>
          </v:shape>
          <o:OLEObject Type="Embed" ProgID="Equation.DSMT4" ShapeID="_x0000_i1025" DrawAspect="Content" ObjectID="_1468075725" r:id="rId25">
            <o:LockedField>false</o:LockedField>
          </o:OLEObject>
        </w:object>
      </w:r>
    </w:p>
    <w:p w14:paraId="6000F18B">
      <w:pPr>
        <w:pStyle w:val="4"/>
        <w:spacing w:line="400" w:lineRule="exact"/>
        <w:ind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上式中：</w:t>
      </w:r>
    </w:p>
    <w:p w14:paraId="3577CC57">
      <w:pPr>
        <w:pStyle w:val="4"/>
        <w:ind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position w:val="-14"/>
          <w:sz w:val="21"/>
          <w:szCs w:val="21"/>
        </w:rPr>
        <w:object>
          <v:shape id="_x0000_i1026" o:spt="75" type="#_x0000_t75" style="height:18pt;width:12pt;" o:ole="t" filled="f" o:preferrelative="t" stroked="f" coordsize="21600,21600">
            <v:path/>
            <v:fill on="f" focussize="0,0"/>
            <v:stroke on="f" joinstyle="miter"/>
            <v:imagedata r:id="rId28" o:title=""/>
            <o:lock v:ext="edit" aspectratio="t"/>
            <w10:wrap type="none"/>
            <w10:anchorlock/>
          </v:shape>
          <o:OLEObject Type="Embed" ProgID="Equation.DSMT4" ShapeID="_x0000_i1026" DrawAspect="Content" ObjectID="_1468075726" r:id="rId27">
            <o:LockedField>false</o:LockedField>
          </o:OLEObject>
        </w:object>
      </w:r>
      <w:r>
        <w:rPr>
          <w:rFonts w:hint="eastAsia" w:asciiTheme="minorEastAsia" w:hAnsiTheme="minorEastAsia" w:eastAsiaTheme="minorEastAsia" w:cstheme="minorEastAsia"/>
          <w:color w:val="auto"/>
          <w:sz w:val="21"/>
          <w:szCs w:val="21"/>
        </w:rPr>
        <w:t>为原型水轮机效率计算值</w:t>
      </w:r>
    </w:p>
    <w:p w14:paraId="084D7AF3">
      <w:pPr>
        <w:pStyle w:val="4"/>
        <w:ind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position w:val="-12"/>
          <w:sz w:val="21"/>
          <w:szCs w:val="21"/>
        </w:rPr>
        <w:object>
          <v:shape id="_x0000_i1027" o:spt="75" type="#_x0000_t75" style="height:18pt;width:18pt;" o:ole="t" filled="f" o:preferrelative="t" stroked="f" coordsize="21600,21600">
            <v:path/>
            <v:fill on="f" focussize="0,0"/>
            <v:stroke on="f" joinstyle="miter"/>
            <v:imagedata r:id="rId30" o:title=""/>
            <o:lock v:ext="edit" aspectratio="t"/>
            <w10:wrap type="none"/>
            <w10:anchorlock/>
          </v:shape>
          <o:OLEObject Type="Embed" ProgID="Equation.DSMT4" ShapeID="_x0000_i1027" DrawAspect="Content" ObjectID="_1468075727" r:id="rId29">
            <o:LockedField>false</o:LockedField>
          </o:OLEObject>
        </w:object>
      </w:r>
      <w:r>
        <w:rPr>
          <w:rFonts w:hint="eastAsia" w:asciiTheme="minorEastAsia" w:hAnsiTheme="minorEastAsia" w:eastAsiaTheme="minorEastAsia" w:cstheme="minorEastAsia"/>
          <w:color w:val="auto"/>
          <w:sz w:val="21"/>
          <w:szCs w:val="21"/>
        </w:rPr>
        <w:t>为模型水轮机效率</w:t>
      </w:r>
    </w:p>
    <w:p w14:paraId="7269DBA2">
      <w:pPr>
        <w:pStyle w:val="4"/>
        <w:ind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position w:val="-12"/>
          <w:sz w:val="21"/>
          <w:szCs w:val="21"/>
        </w:rPr>
        <w:object>
          <v:shape id="_x0000_i1028" o:spt="75" type="#_x0000_t75" style="height:18pt;width:30pt;" o:ole="t" filled="f" o:preferrelative="t" stroked="f" coordsize="21600,21600">
            <v:path/>
            <v:fill on="f" focussize="0,0"/>
            <v:stroke on="f" joinstyle="miter"/>
            <v:imagedata r:id="rId32" o:title=""/>
            <o:lock v:ext="edit" aspectratio="t"/>
            <w10:wrap type="none"/>
            <w10:anchorlock/>
          </v:shape>
          <o:OLEObject Type="Embed" ProgID="Equation.DSMT4" ShapeID="_x0000_i1028" DrawAspect="Content" ObjectID="_1468075728" r:id="rId31">
            <o:LockedField>false</o:LockedField>
          </o:OLEObject>
        </w:object>
      </w:r>
      <w:r>
        <w:rPr>
          <w:rFonts w:hint="eastAsia" w:asciiTheme="minorEastAsia" w:hAnsiTheme="minorEastAsia" w:eastAsiaTheme="minorEastAsia" w:cstheme="minorEastAsia"/>
          <w:color w:val="auto"/>
          <w:sz w:val="21"/>
          <w:szCs w:val="21"/>
        </w:rPr>
        <w:t>为模型水轮机最优效率</w:t>
      </w:r>
    </w:p>
    <w:p w14:paraId="247485AD">
      <w:pPr>
        <w:pStyle w:val="4"/>
        <w:ind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position w:val="-12"/>
          <w:sz w:val="21"/>
          <w:szCs w:val="21"/>
        </w:rPr>
        <w:object>
          <v:shape id="_x0000_i1029" o:spt="75" type="#_x0000_t75" style="height:18pt;width:23.65pt;" o:ole="t" filled="f" o:preferrelative="t" stroked="f" coordsize="21600,21600">
            <v:path/>
            <v:fill on="f" focussize="0,0"/>
            <v:stroke on="f" joinstyle="miter"/>
            <v:imagedata r:id="rId34" o:title=""/>
            <o:lock v:ext="edit" aspectratio="t"/>
            <w10:wrap type="none"/>
            <w10:anchorlock/>
          </v:shape>
          <o:OLEObject Type="Embed" ProgID="Equation.DSMT4" ShapeID="_x0000_i1029" DrawAspect="Content" ObjectID="_1468075729" r:id="rId33">
            <o:LockedField>false</o:LockedField>
          </o:OLEObject>
        </w:object>
      </w:r>
      <w:r>
        <w:rPr>
          <w:rFonts w:hint="eastAsia" w:asciiTheme="minorEastAsia" w:hAnsiTheme="minorEastAsia" w:eastAsiaTheme="minorEastAsia" w:cstheme="minorEastAsia"/>
          <w:color w:val="auto"/>
          <w:sz w:val="21"/>
          <w:szCs w:val="21"/>
        </w:rPr>
        <w:t>为模型水轮机转轮公称直径</w:t>
      </w:r>
    </w:p>
    <w:p w14:paraId="3E4483FA">
      <w:pPr>
        <w:pStyle w:val="4"/>
        <w:ind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position w:val="-14"/>
          <w:sz w:val="21"/>
          <w:szCs w:val="21"/>
        </w:rPr>
        <w:object>
          <v:shape id="_x0000_i1030" o:spt="75" type="#_x0000_t75" style="height:18pt;width:18pt;" o:ole="t" filled="f" o:preferrelative="t" stroked="f" coordsize="21600,21600">
            <v:path/>
            <v:fill on="f" focussize="0,0"/>
            <v:stroke on="f" joinstyle="miter"/>
            <v:imagedata r:id="rId36" o:title=""/>
            <o:lock v:ext="edit" aspectratio="t"/>
            <w10:wrap type="none"/>
            <w10:anchorlock/>
          </v:shape>
          <o:OLEObject Type="Embed" ProgID="Equation.DSMT4" ShapeID="_x0000_i1030" DrawAspect="Content" ObjectID="_1468075730" r:id="rId35">
            <o:LockedField>false</o:LockedField>
          </o:OLEObject>
        </w:object>
      </w:r>
      <w:r>
        <w:rPr>
          <w:rFonts w:hint="eastAsia" w:asciiTheme="minorEastAsia" w:hAnsiTheme="minorEastAsia" w:eastAsiaTheme="minorEastAsia" w:cstheme="minorEastAsia"/>
          <w:color w:val="auto"/>
          <w:sz w:val="21"/>
          <w:szCs w:val="21"/>
        </w:rPr>
        <w:t>为原型水轮机转轮公称直径</w:t>
      </w:r>
    </w:p>
    <w:p w14:paraId="4D55EEBE">
      <w:pPr>
        <w:pStyle w:val="4"/>
        <w:ind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position w:val="-10"/>
          <w:sz w:val="21"/>
          <w:szCs w:val="21"/>
        </w:rPr>
        <w:object>
          <v:shape id="_x0000_i1031" o:spt="75" type="#_x0000_t75" style="height:18pt;width:18pt;" o:ole="t" filled="f" o:preferrelative="t" stroked="f" coordsize="21600,21600">
            <v:path/>
            <v:fill on="f" focussize="0,0"/>
            <v:stroke on="f" joinstyle="miter"/>
            <v:imagedata r:id="rId38" o:title=""/>
            <o:lock v:ext="edit" aspectratio="t"/>
            <w10:wrap type="none"/>
            <w10:anchorlock/>
          </v:shape>
          <o:OLEObject Type="Embed" ProgID="Equation.DSMT4" ShapeID="_x0000_i1031" DrawAspect="Content" ObjectID="_1468075731" r:id="rId37">
            <o:LockedField>false</o:LockedField>
          </o:OLEObject>
        </w:object>
      </w:r>
      <w:r>
        <w:rPr>
          <w:rFonts w:hint="eastAsia" w:asciiTheme="minorEastAsia" w:hAnsiTheme="minorEastAsia" w:eastAsiaTheme="minorEastAsia" w:cstheme="minorEastAsia"/>
          <w:color w:val="auto"/>
          <w:sz w:val="21"/>
          <w:szCs w:val="21"/>
        </w:rPr>
        <w:t>为效率修正值，是一常量</w:t>
      </w:r>
    </w:p>
    <w:p w14:paraId="5FFB4963">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2.7.5.2 水轮机在规定水头范围内和导叶开度较宽广的范围内具有较高的效率，且效率曲线变化平缓。</w:t>
      </w:r>
    </w:p>
    <w:p w14:paraId="0CAEB765">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2.7.5.3 水轮机在额定水头60m、额定功率1058.2kW时的效率保证值不应低于91%；在最大水头61.1m、额定功率1058.2kW时的效率保证值不应低于91%。</w:t>
      </w:r>
    </w:p>
    <w:p w14:paraId="3349551B">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2.7.5.4 在全部运行范围内，水轮机最高效率保证值不应低于91.8%。</w:t>
      </w:r>
    </w:p>
    <w:p w14:paraId="55D65BF7">
      <w:pPr>
        <w:tabs>
          <w:tab w:val="left" w:pos="3025"/>
        </w:tabs>
        <w:autoSpaceDE w:val="0"/>
        <w:autoSpaceDN w:val="0"/>
        <w:textAlignment w:val="baseline"/>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2.7.6 性能曲线</w:t>
      </w:r>
    </w:p>
    <w:p w14:paraId="4D1C7C02">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2.7.6.1 应随投标文件提交模型水轮机综合特性曲线和原型水轮机运转特性曲线。</w:t>
      </w:r>
    </w:p>
    <w:p w14:paraId="3750F50A">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2.7.6.2 模型水轮机综合特性曲线以单位转速、单位流量为座标，曲线应包括等效率线、等导叶开度线、等空化系数线，尾水管、蜗壳进口压力脉动时域峰峰值等值曲线，特殊压力脉动区（如果有）。</w:t>
      </w:r>
    </w:p>
    <w:p w14:paraId="50D3D1F4">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2.7.6.3 提供全部运行水头范围、以水轮机水头和水轮机功率为坐标的原型水轮机运转特性曲线，曲线应标明等效率线、等导叶开度线、等吸出高度线、尾水管压力脉动等值线、叶片正压面和负压面空化起始线、尾水管压力脉动范围、水轮机运行范围及承包人保证的稳定运行范围等。</w:t>
      </w:r>
    </w:p>
    <w:p w14:paraId="325C9ECD">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2.7.6.4 提供以单位转速、单位流量为坐标的飞逸特性曲线（曲线的单位转速和单位流量起始值均应为零），并注明导叶开度。</w:t>
      </w:r>
    </w:p>
    <w:p w14:paraId="5C1BCE9D">
      <w:pPr>
        <w:tabs>
          <w:tab w:val="left" w:pos="3025"/>
        </w:tabs>
        <w:autoSpaceDE w:val="0"/>
        <w:autoSpaceDN w:val="0"/>
        <w:textAlignment w:val="baseline"/>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2.7.7 轴向水推力</w:t>
      </w:r>
    </w:p>
    <w:p w14:paraId="5DFB6208">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在最不利运行工况下的水轮机最大轴向水推力应尽可能小。</w:t>
      </w:r>
    </w:p>
    <w:p w14:paraId="22724376">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2.7.8 水力稳定性</w:t>
      </w:r>
    </w:p>
    <w:p w14:paraId="5299BD33">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2.7.8.1 尾水管管壁压力脉动值（双振幅△H），在额定功率运行时△H/H不大于3%；在部分负荷运行时△H/H最大不超过7%（H为运行水头）。</w:t>
      </w:r>
    </w:p>
    <w:p w14:paraId="1CC445A0">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2.7.8.2 水轮机应能够在开停机、空载、甩负荷、飞逸等工况安全运行，在规定的水头和功率范围内，水轮机能安全稳定运行，没有共振或有害的振动。</w:t>
      </w:r>
    </w:p>
    <w:p w14:paraId="1F0CD0A7">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2.7.9 振动和主轴摆度</w:t>
      </w:r>
    </w:p>
    <w:p w14:paraId="23E05111">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顶盖水平和垂直振动值、主轴相对振动（摆度）值应符合GB/T15468《水轮机基本技术条件》和GB8564《水轮发电机组安装技术规范》中的有关规定。振动的测量方法和测点位置按GB/T17189《水力机械振动和脉动现场测试规程》执行。</w:t>
      </w:r>
    </w:p>
    <w:p w14:paraId="5F4E1216">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2.7.10 飞逸转速</w:t>
      </w:r>
    </w:p>
    <w:p w14:paraId="65117DCD">
      <w:pPr>
        <w:tabs>
          <w:tab w:val="left" w:pos="279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在最大水头，发电机无负荷，励磁不投入的情况下，原型水轮机的最高飞逸转速不应超过1782.5r/min，水轮机所有部件能安全承受在最高飞逸转速下连续运行至少5min所产生的应力、温度、变形、振动和磨损。</w:t>
      </w:r>
    </w:p>
    <w:p w14:paraId="7F52A423">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2.7.11 噪音</w:t>
      </w:r>
    </w:p>
    <w:p w14:paraId="02986E43">
      <w:pPr>
        <w:tabs>
          <w:tab w:val="left" w:pos="279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在全部运行范围内，距尾水管1m处的噪声不超过90dB（A）。</w:t>
      </w:r>
    </w:p>
    <w:p w14:paraId="600173AD">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2.7.12 导叶漏水量</w:t>
      </w:r>
    </w:p>
    <w:p w14:paraId="3278983C">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在保证期内，导叶在额定水头下的最大漏水量应不大于水轮机额定流量的3‰。</w:t>
      </w:r>
    </w:p>
    <w:p w14:paraId="098800AF">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2.7.13 空蚀磨损保证</w:t>
      </w:r>
    </w:p>
    <w:p w14:paraId="13998E39">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2.7.13.1 水轮机空蚀保证是指在规定的水质、泥沙特性条件下，水头及尾水位在规定范围内，自投入商业运行之日算起，运行8000h内，其中出力小于45%额定功率运行时间不大于500h，允许超负荷运行时间不大于100h的情况下：</w:t>
      </w:r>
    </w:p>
    <w:p w14:paraId="3BFF3D21">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 转轮失重量不超过0.5D</w:t>
      </w:r>
      <w:r>
        <w:rPr>
          <w:rFonts w:hint="eastAsia" w:asciiTheme="minorEastAsia" w:hAnsiTheme="minorEastAsia" w:eastAsiaTheme="minorEastAsia" w:cstheme="minorEastAsia"/>
          <w:snapToGrid w:val="0"/>
          <w:color w:val="auto"/>
          <w:kern w:val="0"/>
          <w:szCs w:val="21"/>
          <w:vertAlign w:val="subscript"/>
        </w:rPr>
        <w:t>1</w:t>
      </w:r>
      <w:r>
        <w:rPr>
          <w:rFonts w:hint="eastAsia" w:asciiTheme="minorEastAsia" w:hAnsiTheme="minorEastAsia" w:eastAsiaTheme="minorEastAsia" w:cstheme="minorEastAsia"/>
          <w:snapToGrid w:val="0"/>
          <w:color w:val="auto"/>
          <w:kern w:val="0"/>
          <w:szCs w:val="21"/>
          <w:vertAlign w:val="superscript"/>
        </w:rPr>
        <w:t>2</w:t>
      </w:r>
      <w:r>
        <w:rPr>
          <w:rFonts w:hint="eastAsia" w:asciiTheme="minorEastAsia" w:hAnsiTheme="minorEastAsia" w:eastAsiaTheme="minorEastAsia" w:cstheme="minorEastAsia"/>
          <w:snapToGrid w:val="0"/>
          <w:color w:val="auto"/>
          <w:kern w:val="0"/>
          <w:szCs w:val="21"/>
        </w:rPr>
        <w:t xml:space="preserve"> kg，单个桨叶最大失重量不应超过整个转轮的0.3倍。</w:t>
      </w:r>
    </w:p>
    <w:p w14:paraId="46329B30">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2）叶片任何点允许的剥落深度不超过5D</w:t>
      </w:r>
      <w:r>
        <w:rPr>
          <w:rFonts w:hint="eastAsia" w:asciiTheme="minorEastAsia" w:hAnsiTheme="minorEastAsia" w:eastAsiaTheme="minorEastAsia" w:cstheme="minorEastAsia"/>
          <w:snapToGrid w:val="0"/>
          <w:color w:val="auto"/>
          <w:kern w:val="0"/>
          <w:szCs w:val="21"/>
          <w:vertAlign w:val="subscript"/>
        </w:rPr>
        <w:t>1</w:t>
      </w:r>
      <w:r>
        <w:rPr>
          <w:rFonts w:hint="eastAsia" w:asciiTheme="minorEastAsia" w:hAnsiTheme="minorEastAsia" w:eastAsiaTheme="minorEastAsia" w:cstheme="minorEastAsia"/>
          <w:snapToGrid w:val="0"/>
          <w:color w:val="auto"/>
          <w:kern w:val="0"/>
          <w:szCs w:val="21"/>
          <w:vertAlign w:val="superscript"/>
        </w:rPr>
        <w:t>0.4</w:t>
      </w:r>
      <w:r>
        <w:rPr>
          <w:rFonts w:hint="eastAsia" w:asciiTheme="minorEastAsia" w:hAnsiTheme="minorEastAsia" w:eastAsiaTheme="minorEastAsia" w:cstheme="minorEastAsia"/>
          <w:snapToGrid w:val="0"/>
          <w:color w:val="auto"/>
          <w:kern w:val="0"/>
          <w:szCs w:val="21"/>
        </w:rPr>
        <w:t>mm。</w:t>
      </w:r>
    </w:p>
    <w:p w14:paraId="0C513A1B">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3）导水机构与尾水管的失重量之和不超过0.25D</w:t>
      </w:r>
      <w:r>
        <w:rPr>
          <w:rFonts w:hint="eastAsia" w:asciiTheme="minorEastAsia" w:hAnsiTheme="minorEastAsia" w:eastAsiaTheme="minorEastAsia" w:cstheme="minorEastAsia"/>
          <w:snapToGrid w:val="0"/>
          <w:color w:val="auto"/>
          <w:kern w:val="0"/>
          <w:szCs w:val="21"/>
          <w:vertAlign w:val="subscript"/>
        </w:rPr>
        <w:t>1</w:t>
      </w:r>
      <w:r>
        <w:rPr>
          <w:rFonts w:hint="eastAsia" w:asciiTheme="minorEastAsia" w:hAnsiTheme="minorEastAsia" w:eastAsiaTheme="minorEastAsia" w:cstheme="minorEastAsia"/>
          <w:snapToGrid w:val="0"/>
          <w:color w:val="auto"/>
          <w:kern w:val="0"/>
          <w:szCs w:val="21"/>
          <w:vertAlign w:val="superscript"/>
        </w:rPr>
        <w:t>2</w:t>
      </w:r>
      <w:r>
        <w:rPr>
          <w:rFonts w:hint="eastAsia" w:asciiTheme="minorEastAsia" w:hAnsiTheme="minorEastAsia" w:eastAsiaTheme="minorEastAsia" w:cstheme="minorEastAsia"/>
          <w:snapToGrid w:val="0"/>
          <w:color w:val="auto"/>
          <w:kern w:val="0"/>
          <w:szCs w:val="21"/>
        </w:rPr>
        <w:t xml:space="preserve"> kg。</w:t>
      </w:r>
    </w:p>
    <w:p w14:paraId="4B675E15">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4）导水机构与尾水管的剥落深度不超过5D</w:t>
      </w:r>
      <w:r>
        <w:rPr>
          <w:rFonts w:hint="eastAsia" w:asciiTheme="minorEastAsia" w:hAnsiTheme="minorEastAsia" w:eastAsiaTheme="minorEastAsia" w:cstheme="minorEastAsia"/>
          <w:snapToGrid w:val="0"/>
          <w:color w:val="auto"/>
          <w:kern w:val="0"/>
          <w:szCs w:val="21"/>
          <w:vertAlign w:val="subscript"/>
        </w:rPr>
        <w:t>1</w:t>
      </w:r>
      <w:r>
        <w:rPr>
          <w:rFonts w:hint="eastAsia" w:asciiTheme="minorEastAsia" w:hAnsiTheme="minorEastAsia" w:eastAsiaTheme="minorEastAsia" w:cstheme="minorEastAsia"/>
          <w:snapToGrid w:val="0"/>
          <w:color w:val="auto"/>
          <w:kern w:val="0"/>
          <w:szCs w:val="21"/>
          <w:vertAlign w:val="superscript"/>
        </w:rPr>
        <w:t>0.4</w:t>
      </w:r>
      <w:r>
        <w:rPr>
          <w:rFonts w:hint="eastAsia" w:asciiTheme="minorEastAsia" w:hAnsiTheme="minorEastAsia" w:eastAsiaTheme="minorEastAsia" w:cstheme="minorEastAsia"/>
          <w:snapToGrid w:val="0"/>
          <w:color w:val="auto"/>
          <w:kern w:val="0"/>
          <w:szCs w:val="21"/>
        </w:rPr>
        <w:t>mm。</w:t>
      </w:r>
    </w:p>
    <w:p w14:paraId="6A46BB49">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2.7.13.2 如空蚀损坏超过保证值，承包人应在保证期内负责修复，补焊后表面应打磨光滑，符合样板型线。如因叶片型线不良或部件质量不好造成过量空蚀损坏，承包人应负责改善，水轮机经修复并初步验收合格后，应重新开始空蚀保证期。由于上述原因引起的费用，由承包人承担。</w:t>
      </w:r>
    </w:p>
    <w:p w14:paraId="50216DFD">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2.7.13.3 空蚀损坏的测量和计算按《水轮机、蓄能泵和水泵水轮机空蚀评定第一部分：反击式水轮机的空蚀评定》GB15469.1规定的方法执行。</w:t>
      </w:r>
    </w:p>
    <w:p w14:paraId="569D370B">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2.7.14 裂纹保证</w:t>
      </w:r>
    </w:p>
    <w:p w14:paraId="13F3BE0C">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2.7.14.1 在规定的质量保证期内，承包人应保证转轮叶片不产生裂纹、断裂或有害变形。</w:t>
      </w:r>
    </w:p>
    <w:p w14:paraId="730E2D80">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2.7.14.2 裂纹采用超声波和/或着色探伤检查，验收标准与转轮制造所用的标准相同。保证期内产生的裂纹，承包人应免费修复，并重新开始保证期。如果同一转轮叶片上出现需要修复的裂纹，且经承包人三次修复无效，则发包人有权要求承包人免费提供新转轮。</w:t>
      </w:r>
    </w:p>
    <w:p w14:paraId="757236F0">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2.7.15 轴承温升</w:t>
      </w:r>
    </w:p>
    <w:p w14:paraId="29CDFAB3">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在规定运行范围内连续运转的条件下，冷却水进水温度不超过28℃时，轴瓦（巴氏合金瓦）温度不超过65℃，油温不超过60℃。</w:t>
      </w:r>
    </w:p>
    <w:p w14:paraId="30BBD31D">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2.7.16 可靠性指标</w:t>
      </w:r>
    </w:p>
    <w:p w14:paraId="4F80E35E">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在规定的运行工况下，水轮机可靠性指标指定如下：</w:t>
      </w:r>
    </w:p>
    <w:p w14:paraId="10B0D0B8">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1）水轮机大修间隔期不小于5年；</w:t>
      </w:r>
    </w:p>
    <w:p w14:paraId="66A0D247">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2）水轮机使用寿命不小于40年。</w:t>
      </w:r>
    </w:p>
    <w:p w14:paraId="6D66A295">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 主要部件技术要求</w:t>
      </w:r>
    </w:p>
    <w:p w14:paraId="0501ADC0">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2.8.1 转轮</w:t>
      </w:r>
    </w:p>
    <w:p w14:paraId="55428028">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2.8.1.1 转轮应采用抗空蚀、抗磨蚀性能和焊接性能良好的镍铬不锈钢材料，转轮上冠、下环材质选用ZG00Cr16Ni5Mo或ZG06Cr13Ni4Mo，叶片材质选用ZG00Cr16Ni5Mo或ZG06Cr13Ni4Mo （或经电站运行证明抗空蚀性能更好的不锈钢材料）。</w:t>
      </w:r>
    </w:p>
    <w:p w14:paraId="487F2D74">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2.8.1.2 转轮采用铸焊结构，并应具有足够的强度和刚度，能够承受任何可能产生的作用在转轮上的最大水压力、离心力和压力脉动，退役前在周期性变动负荷作用下不发生裂纹、断裂或有害变形。</w:t>
      </w:r>
    </w:p>
    <w:p w14:paraId="60BFA3F0">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2.8.1.3 转轮叶片采用采用AOD精炼铸造或模压成型，表面采用数控加工。</w:t>
      </w:r>
    </w:p>
    <w:p w14:paraId="1BABD3A7">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2.8.1.4 转轮铸件应按CCH-70-4《水力机械铸钢件检查规程》的要求进行无损检测，并符合质量要求。</w:t>
      </w:r>
    </w:p>
    <w:p w14:paraId="29849D76">
      <w:pPr>
        <w:tabs>
          <w:tab w:val="left" w:pos="3025"/>
        </w:tabs>
        <w:autoSpaceDE w:val="0"/>
        <w:autoSpaceDN w:val="0"/>
        <w:ind w:firstLine="420" w:firstLineChars="200"/>
        <w:jc w:val="both"/>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2.8.1.5 原型水轮机转轮的过流部分应保证与模型水轮机转轮几何相似，转轮表面波浪度、粗造度和叶片几何型线、流道尺寸应符合《水轮机、蓄能泵和水泵水轮机模型验收试验》（GB/T15613）的要求。过流表面应光滑，呈流线型，无裂纹或凸凹不平等缺陷。</w:t>
      </w:r>
    </w:p>
    <w:p w14:paraId="3211E3E2">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2.8.1.6 承包人应计算转轮叶片的自振频率，避免机组与厂房结构产生共振。</w:t>
      </w:r>
    </w:p>
    <w:p w14:paraId="1B55A52E">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2.8.1.7 转轮和主轴采用锥度连接。</w:t>
      </w:r>
    </w:p>
    <w:p w14:paraId="7A99C9F0">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2.8.1.8 承包人应提供至少进、出口各3个断面上的转轮叶片型线检查样板，以供检查和修复时使用。</w:t>
      </w:r>
    </w:p>
    <w:p w14:paraId="2A40796C">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2.8.1.9 在转轮上冠设置适当孔径的泄压孔或采用别的泄压措施以减少对顶盖的压力。</w:t>
      </w:r>
    </w:p>
    <w:p w14:paraId="00F23B68">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2.8.1.10 转轮上冠和下环应设置止漏环，以保证间隙漏水量尽可能小，止漏环间隙应均匀，止漏环应具有好的抗腐蚀和抗磨蚀性能，其硬度值应比相对应的顶盖和底环上相匹配的固定止漏环硬度高HB30，且不低于HB320。</w:t>
      </w:r>
    </w:p>
    <w:p w14:paraId="2EA32C41">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2.8.1.11 转轮上冠、叶片和下环组焊完成后，应进行应力释放热处理，整个转轮进行100%磁粉或着色检测，所有焊缝进行无损检测。</w:t>
      </w:r>
    </w:p>
    <w:p w14:paraId="4A6246A3">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2.8.1.12 转轮加工完成后，应同上、下止漏环一起在工厂进行静平衡试验。配重用塞孔必须设在不靠过流表面处。</w:t>
      </w:r>
    </w:p>
    <w:p w14:paraId="45CE7F58">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2.8.1.13 转轮在本电站水流泥沙含量情况下，应能满足2.7.13空蚀磨损保证的要求，否则应考虑采用其他适当的保证措施，包括在过流表面覆盖抗磨涂层。</w:t>
      </w:r>
    </w:p>
    <w:p w14:paraId="57F862CC">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2.8.2 止漏环和抗磨板</w:t>
      </w:r>
    </w:p>
    <w:p w14:paraId="0BBEBA36">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2.8.2.1 止漏环和抗磨板的设置应充分考虑本电站的泥沙和水头特征。</w:t>
      </w:r>
    </w:p>
    <w:p w14:paraId="3054690A">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2.8.2.2 在转轮上冠和下环部位应设有止漏环，材料硬度应高于顶盖和底环上对应部分的止漏环材料，其止漏形式、间隙及材料的配比应注意防止密封引起自激振动的要求。</w:t>
      </w:r>
    </w:p>
    <w:p w14:paraId="7C0C8B6B">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2.8.2.3 在导叶活动范围内，顶盖和底环上应设抗空蚀和抗磨蚀的不锈钢抗磨板或堆焊抗磨材料，抗磨板（层）厚度不小于6mm。</w:t>
      </w:r>
    </w:p>
    <w:p w14:paraId="268646D6">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2.8.3 主轴</w:t>
      </w:r>
    </w:p>
    <w:p w14:paraId="4CCFDFFD">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机组采用二支点结构，水轮机和发电机共用一根主轴。主轴技术要求见“卧轴水轮发电机技术条款”。</w:t>
      </w:r>
    </w:p>
    <w:p w14:paraId="2DC03EAF">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2.8.4 主轴密封</w:t>
      </w:r>
    </w:p>
    <w:p w14:paraId="575EBF77">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2.8.4.1 在主轴通过顶盖部位应设置主轴工作密封，其结构应能在水轮机不排水的情况下进行检查、调整和更换密封元件。工作密封型式可以是轴向或径向的，但该型式必须在已运行的同类型水轮机中证明是可靠的。</w:t>
      </w:r>
    </w:p>
    <w:p w14:paraId="43C13259">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2.8.4.2 当主轴工作密封采用径向方式时，在主轴上需有一个可更换的不锈钢衬套，避免主轴磨损。工作密封应是自补偿型的，在运行中，对密封元件的磨损可进行自动调整。</w:t>
      </w:r>
    </w:p>
    <w:p w14:paraId="6EFE9662">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2.8.4.3 工作密封宜设计成可用水润滑与冷却，承包人应提供管道、阀门及主备用清洁水精密过滤器、仪表和附件。当转轮直径和转速合适时，主轴工作密封也可采用无接触泵板密封。</w:t>
      </w:r>
    </w:p>
    <w:p w14:paraId="117CB627">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2.8.4.4 所有紧固工作密封和检修密封用压板工具、螺栓、螺母等均采用不锈钢材料制成。</w:t>
      </w:r>
    </w:p>
    <w:p w14:paraId="6C9B9CB2">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2.8.5 座环</w:t>
      </w:r>
    </w:p>
    <w:p w14:paraId="05AD84E1">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2.8.5.1 座环采用平行板式焊接整体结构，材料为Q355。</w:t>
      </w:r>
    </w:p>
    <w:p w14:paraId="54755E49">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2.8.5.2 座环应有足够的强度和刚度，能安全承受由蜗壳内最大水压力所产生的各种应力。</w:t>
      </w:r>
    </w:p>
    <w:p w14:paraId="0B61837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2.8.5.3 座环过流部分表面应打磨光滑，具有流线型，无凸凹不平的缺陷，过流表面粗糙度应满足《水轮机、蓄能泵和水泵水轮机模型验收试验》（GB/T15613）的要求。</w:t>
      </w:r>
    </w:p>
    <w:p w14:paraId="7FFC4300">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2.8.5.4 固定导叶数应考虑与活动导叶数的组合及其对水力脉动和振动的影响。所有固定导叶必须是流线型并带逐渐变尖的下游尾端，固定导叶尽可能采用不穿上、下环结构。所有焊缝必须充分焊透，并经超声波和/或磁粉无损检测，对检测结果有疑问之处，可进行射线无损检测检查。</w:t>
      </w:r>
    </w:p>
    <w:p w14:paraId="0F23540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2.8.6 蜗壳</w:t>
      </w:r>
    </w:p>
    <w:p w14:paraId="075EF9D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2.8.6.1 蜗壳强度设计应保证能承受在最大水头86m（包括水锤压力）所产生的应力，该应力值不超过1.7中的规定。</w:t>
      </w:r>
    </w:p>
    <w:p w14:paraId="76E203DE">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2.8.6.2 蜗壳应采用可焊性好的低合金钢板制成。</w:t>
      </w:r>
    </w:p>
    <w:p w14:paraId="7A84491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2.8.6.3 蜗壳各节应在厂内挂装，整体运往工地。为防止运输中变形，应采取加固、支撑措施。</w:t>
      </w:r>
    </w:p>
    <w:p w14:paraId="61A6C919">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2.8.6.4 蜗壳全部焊缝应进行无损检测，无损检测按GB/T8564《水轮发电机组安装技术规范》及GB150《压力容器》与《压力容器安全技术监察规程》的要求进行。</w:t>
      </w:r>
    </w:p>
    <w:p w14:paraId="6511D2F0">
      <w:pPr>
        <w:pStyle w:val="4"/>
        <w:tabs>
          <w:tab w:val="left" w:pos="0"/>
        </w:tabs>
        <w:ind w:firstLine="422"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2.8.6.5 蜗壳进口应与电站现场原进水管方位、尺寸完全匹配，连接法兰也应与原法兰配对。</w:t>
      </w:r>
    </w:p>
    <w:p w14:paraId="490EE630">
      <w:pPr>
        <w:pStyle w:val="4"/>
        <w:tabs>
          <w:tab w:val="left" w:pos="0"/>
        </w:tabs>
        <w:ind w:firstLine="422"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2.8.6.6 蜗壳进水方向详见招标附图。</w:t>
      </w:r>
    </w:p>
    <w:p w14:paraId="1BA45D00">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2.8.6.7 蜗壳进口断面应装有压力测头，测头应由不锈钢制成，在工厂内焊接好并在蜗壳内表面打磨光滑。测头的布置和结构应充分考虑本电站泥沙特征。</w:t>
      </w:r>
    </w:p>
    <w:p w14:paraId="7953C685">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2.8.6.8 蜗壳顶部应装设空气阀和检修阀。也可设置排气阀门，采用人工开阀排气。</w:t>
      </w:r>
    </w:p>
    <w:p w14:paraId="01D40752">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2.8.7 顶盖和底环（也称前盖和后盖）</w:t>
      </w:r>
    </w:p>
    <w:p w14:paraId="57EB632D">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2.8.7.1 顶盖和底环采用优质钢板焊接整体结构。</w:t>
      </w:r>
    </w:p>
    <w:p w14:paraId="5F8DC2AA">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2.8.7.2 顶盖用钢板应逐张进行无损检测，合格钢板才允许使用。焊接完成后，承包人应对所有焊缝进行超声波检查。</w:t>
      </w:r>
    </w:p>
    <w:p w14:paraId="4AFE4AD9">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2.8.7.3 在顶盖和底环上的导叶轴承支座孔应一起同轴镗孔或其他能保证精度的加工方式。</w:t>
      </w:r>
    </w:p>
    <w:p w14:paraId="0C462025">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2.8.7.4 顶盖、底环与转轮止漏环相对应的位置，应设有固定不锈钢止漏环，固定止漏环应能方便地拆装和更换。止漏环安装完成后，应保证同心度，间隙均匀。固定止漏环硬度值应比相对应的转轮止漏环的硬度低HB30, 且不低于HB290。</w:t>
      </w:r>
    </w:p>
    <w:p w14:paraId="22F297BB">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2.8.7.5 顶盖和底环能安全承受最大水压力，径向和轴向水推力和所有其它作用力，并应具有足够的强度和刚度。顶盖和底环变形应小到足够消除导叶两端的摩擦和与导叶轴颈咬住的可能性。顶盖和底环应用螺栓和定位销连接到座环的法兰上，并设有顶起顶盖和底环的专用螺孔。</w:t>
      </w:r>
    </w:p>
    <w:p w14:paraId="04E6E861">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2.8.7.6 承包人应对顶盖和底环受力情况进行有限元分析计算。</w:t>
      </w:r>
    </w:p>
    <w:p w14:paraId="2292EDE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2.8.7.7 在导叶穿过顶盖和底环位置设置铜背无油自润滑轴承。</w:t>
      </w:r>
    </w:p>
    <w:p w14:paraId="6FAAD62C">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2.8.7.8 顶盖和底环与导叶上、下端面的对应部位应设置抗磨层（板）。上、下抗磨层（板）的宽度应能完全覆盖止漏环（或转轮外圆）至座环内圆之间的表面。</w:t>
      </w:r>
    </w:p>
    <w:p w14:paraId="18A24E34">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2.8.7.9 顶盖应设有可靠的排水设施。</w:t>
      </w:r>
    </w:p>
    <w:p w14:paraId="2113F49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2.8.7.10 顶盖上设有测量压力的测孔和DN25不锈钢测头。</w:t>
      </w:r>
    </w:p>
    <w:p w14:paraId="28EE0A6D">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2.8.8 导水机构</w:t>
      </w:r>
    </w:p>
    <w:p w14:paraId="006AB72A">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2.8.8.1 导水机构由导叶、导叶轴承、操作连杆、控制环和保护元件等组成。导叶数和转轮叶片数须协调, 以保证水轮机运转时无有害振动。</w:t>
      </w:r>
    </w:p>
    <w:p w14:paraId="5F8E8E18">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2.8.8.2 导叶型线尺寸和位置应和模型水轮机相似，保证水轮机工作时不致发生水流诱发共振。</w:t>
      </w:r>
    </w:p>
    <w:p w14:paraId="2093968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2.8.8.3 导叶从全开到接近空载开度位置范围内，应具有自关闭趋势水力矩特性。</w:t>
      </w:r>
    </w:p>
    <w:p w14:paraId="2CE18504">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2.8.8.4 导叶采用偏心、三支点轴承结构，最大开口应留有一定裕量。</w:t>
      </w:r>
    </w:p>
    <w:p w14:paraId="7F11B3A9">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2.8.8.5 导叶应设有限位块，当保护元件破坏时不碰撞转轮、固定导叶和相邻导叶。</w:t>
      </w:r>
    </w:p>
    <w:p w14:paraId="2BEF2D13">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2.8.8.6 导叶采用ZG06Cr16Ni5Mo或ZG06Cr13Ni4Mo铸造，过流面采用数控加工。导叶应采用电渣熔铸工艺，表面硬度不低于HB300。</w:t>
      </w:r>
    </w:p>
    <w:p w14:paraId="531747D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2.8.8.7 导叶应有足够的强度和刚度。导叶立面间隙应在关闭状态下精确调整，保证在各种水头下关闭并施以压紧力时，导叶立面间隙均匀，符合GB/T8564《水轮发电机组安装技术规范》的规定。</w:t>
      </w:r>
    </w:p>
    <w:p w14:paraId="4B0134D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2.8.8.8 导叶上、下端间隙应尽可能小，并能满足防止引起自激振动的要求。</w:t>
      </w:r>
    </w:p>
    <w:p w14:paraId="03D603B0">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2.8.8.9 导水机构在工厂内预装配，对导叶立面间隙、端面间隙、控制环行程和导叶开度进行调整和检查，合格后才能出厂。</w:t>
      </w:r>
    </w:p>
    <w:p w14:paraId="427CBC4E">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2.8.8.10 承包人应提供导叶型线检查样板。</w:t>
      </w:r>
    </w:p>
    <w:p w14:paraId="6021316E">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2.8.8.11 导叶轴承采用铜背自润滑式，材料由承包人推荐，但必须在已运行同类型水轮机上证明是可靠的。</w:t>
      </w:r>
    </w:p>
    <w:p w14:paraId="1D6013DA">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2.8.8.12 在导叶轴颈通过顶盖部位应设置可靠的密封。</w:t>
      </w:r>
    </w:p>
    <w:p w14:paraId="18C36B1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2.8.8.13 导水机构应便于检查、调整和检修，导叶在全关位置时应保证机组不产生蠕动。</w:t>
      </w:r>
    </w:p>
    <w:p w14:paraId="24C3829D">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2.8.8.14 控制环采用钢板焊接结构，控制环和支撑结构应有足够的强度和刚度，能承受接力器的任何作用力。在控制环侧面和底部装有护面板，其材料为锡青铜。</w:t>
      </w:r>
    </w:p>
    <w:p w14:paraId="6A1E3D85">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2.8.8.15 在每个导叶传动机构上设置保护装置，如果转轮直径较小，布置空间有限，也可间隔设置保护装置。保护装置设有损坏信号，当保护装置损坏时能自动报警。</w:t>
      </w:r>
    </w:p>
    <w:p w14:paraId="0DE88466">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2.8.8.16 当导叶接力器布置在调速器油压装置回油箱时，承包人还应提供调速轴和推拉杆。</w:t>
      </w:r>
    </w:p>
    <w:p w14:paraId="609BF69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2.8.9 导叶接力器</w:t>
      </w:r>
    </w:p>
    <w:p w14:paraId="3492D4BB">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2.8.9.1 导叶接力器采用摇摆式，额定操作油压为16MPa。</w:t>
      </w:r>
    </w:p>
    <w:p w14:paraId="356950EC">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2.8.9.2 接力器容量应满足在调速器最小操作油压、导叶承受最大水力矩和摩擦力矩时，仍能按规定的时间关闭导叶的需要。</w:t>
      </w:r>
    </w:p>
    <w:p w14:paraId="1379F968">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2.8.9.3 接力器行程应满足导叶最大可能开度和压紧行程的要求，并设有行程指示标尺。为将接力器行程信号传递给计算机监控系统，应设有一个接力器行程变送器，输出4～20mA模拟量信号。另外还需设置1个输出不少于4个开关量信号的主令控制器。</w:t>
      </w:r>
    </w:p>
    <w:p w14:paraId="286CC5BA">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2.8.9.4 接力器配有缓冲节流装置，该装置不应限制空载和全开位置之间的正常关闭速度和开启速度。</w:t>
      </w:r>
    </w:p>
    <w:p w14:paraId="3DE98FB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2.8.9.5 在接力器上或控制环上设置可靠的导叶全关位置机械液压锁锭装置，并提供投入和切除位置行程开关，锁锭装置可在现地手动操作和远方操作。</w:t>
      </w:r>
    </w:p>
    <w:p w14:paraId="52F621B3">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2.8.9.6 接力器缸采用铸钢或无缝钢管制造，活塞环采用锻钢制造，活塞杆采用高精度加工的不锈钢制造。接力器应设若干个活塞环，以达到通过活塞的漏油最小。</w:t>
      </w:r>
    </w:p>
    <w:p w14:paraId="60201706">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2.8.9.7 接力器盖活塞杆处设有青铜导轴承。</w:t>
      </w:r>
    </w:p>
    <w:p w14:paraId="5EBE7A4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2.8.9.8 接力器应在工厂整体组装（工地不需拆洗），在厂内进行强度耐压试验、密封性试验和动作试验，接力器不得出现渗油现象和任何损坏或有害变形。</w:t>
      </w:r>
    </w:p>
    <w:p w14:paraId="27FE3AC8">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2.8.9.9 承包人应提供接力器基础埋件和接力器的安装、调整专用工具。</w:t>
      </w:r>
    </w:p>
    <w:p w14:paraId="103DF4A5">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2.8.10 尾水管</w:t>
      </w:r>
    </w:p>
    <w:p w14:paraId="1ED92697">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2.8.10.1 尾水管由尾水接管、尾水弯管和直锥式尾水管组成。</w:t>
      </w:r>
      <w:r>
        <w:rPr>
          <w:rFonts w:hint="eastAsia" w:asciiTheme="minorEastAsia" w:hAnsiTheme="minorEastAsia" w:eastAsiaTheme="minorEastAsia" w:cstheme="minorEastAsia"/>
          <w:b/>
          <w:bCs/>
          <w:color w:val="auto"/>
          <w:sz w:val="21"/>
          <w:szCs w:val="21"/>
        </w:rPr>
        <w:t>其中尾水锥管为埋入部分，本次不进行改造。</w:t>
      </w:r>
      <w:r>
        <w:rPr>
          <w:rFonts w:hint="eastAsia" w:asciiTheme="minorEastAsia" w:hAnsiTheme="minorEastAsia" w:eastAsiaTheme="minorEastAsia" w:cstheme="minorEastAsia"/>
          <w:color w:val="auto"/>
          <w:sz w:val="21"/>
          <w:szCs w:val="21"/>
        </w:rPr>
        <w:t>尾水管采用钢板（厚度不小于10mm）焊接。</w:t>
      </w:r>
    </w:p>
    <w:p w14:paraId="41BEE5E8">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2.8.10.2 尾水管进口应设有测量真空压力的不锈钢测压嘴。</w:t>
      </w:r>
    </w:p>
    <w:p w14:paraId="57BEB3B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2.8.11 补气方式</w:t>
      </w:r>
    </w:p>
    <w:p w14:paraId="2C1A1C59">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满足水轮机在所有工况下稳定运行的要求，应设置合适的自动补气装置（宜设置顶盖真空破坏阀和尾水管补气装置等）。承包人应对所采用的补气装置、补气方式、布置位置和补气效益作出说明，所有补气装置及其附件均应由承包人供应。</w:t>
      </w:r>
    </w:p>
    <w:p w14:paraId="19583B84">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2.8.12 水力量测及仪表</w:t>
      </w:r>
    </w:p>
    <w:p w14:paraId="67E27D2A">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2.8.12.1 每台水轮机应提供下列水力测量项目：</w:t>
      </w:r>
    </w:p>
    <w:p w14:paraId="6DE0DF8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1）水轮机蜗壳进口压力；</w:t>
      </w:r>
    </w:p>
    <w:p w14:paraId="188CCF7A">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2）顶盖真空压力；</w:t>
      </w:r>
    </w:p>
    <w:p w14:paraId="0B14C531">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3）尾水管进口真空压力；</w:t>
      </w:r>
    </w:p>
    <w:p w14:paraId="4CA08CFB">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2.8.12.2 每台水轮机应提供包括下列测量项目在内的量测仪表</w:t>
      </w:r>
    </w:p>
    <w:p w14:paraId="023EEE94">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1）水轮机蜗壳进口压力表；</w:t>
      </w:r>
    </w:p>
    <w:p w14:paraId="7EB7EFEA">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2）顶盖真空压力表及压力变送器；</w:t>
      </w:r>
    </w:p>
    <w:p w14:paraId="17B1184D">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3）尾水管真空压力表；</w:t>
      </w:r>
    </w:p>
    <w:p w14:paraId="2C891B80">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4）主轴密封进水压力；</w:t>
      </w:r>
    </w:p>
    <w:p w14:paraId="342C3DC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5）导叶位置变送器和主令开关；</w:t>
      </w:r>
    </w:p>
    <w:p w14:paraId="385B489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6）导水机构全关位置机械液压锁定装置和锁定位置开关；</w:t>
      </w:r>
    </w:p>
    <w:p w14:paraId="5D6CEEE8">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7）导叶剪断销及剪断销破断信号装置；</w:t>
      </w:r>
    </w:p>
    <w:p w14:paraId="1D048207">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8）水轮机端子箱、仪表盘等。</w:t>
      </w:r>
    </w:p>
    <w:p w14:paraId="2DEE7D56">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具体要求和自动化元件清单详见第四节“机组自动控制和监测保护”。</w:t>
      </w:r>
    </w:p>
    <w:p w14:paraId="02CF697C">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2.9 备品备件</w:t>
      </w:r>
    </w:p>
    <w:p w14:paraId="22CE5F06">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承包人应提供如表2.9-1所列的水轮机备品备件，备品备件应与相同用途部件具有相同的规格、材料和工艺，并具有互换性。表中为全站2台水轮机的备品备件。</w:t>
      </w:r>
    </w:p>
    <w:p w14:paraId="787E23EB">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表2.9-1  水轮机备品备件表</w:t>
      </w: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3916"/>
        <w:gridCol w:w="2219"/>
        <w:gridCol w:w="2217"/>
      </w:tblGrid>
      <w:tr w14:paraId="5A97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25D452C5">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2174" w:type="pct"/>
            <w:vAlign w:val="center"/>
          </w:tcPr>
          <w:p w14:paraId="22712E4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备品、备件名称</w:t>
            </w:r>
          </w:p>
        </w:tc>
        <w:tc>
          <w:tcPr>
            <w:tcW w:w="1232" w:type="pct"/>
            <w:vAlign w:val="center"/>
          </w:tcPr>
          <w:p w14:paraId="323DDA4E">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w:t>
            </w:r>
          </w:p>
        </w:tc>
        <w:tc>
          <w:tcPr>
            <w:tcW w:w="1231" w:type="pct"/>
          </w:tcPr>
          <w:p w14:paraId="6A1DC794">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数量</w:t>
            </w:r>
          </w:p>
        </w:tc>
      </w:tr>
      <w:tr w14:paraId="7A07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42EA6B21">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174" w:type="pct"/>
          </w:tcPr>
          <w:p w14:paraId="7EF4F27F">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导叶上、中、下轴套</w:t>
            </w:r>
          </w:p>
        </w:tc>
        <w:tc>
          <w:tcPr>
            <w:tcW w:w="1232" w:type="pct"/>
            <w:vAlign w:val="center"/>
          </w:tcPr>
          <w:p w14:paraId="69481C72">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231" w:type="pct"/>
            <w:vAlign w:val="center"/>
          </w:tcPr>
          <w:p w14:paraId="1C7AB503">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w:t>
            </w:r>
          </w:p>
        </w:tc>
      </w:tr>
      <w:tr w14:paraId="4B5A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2ED54354">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174" w:type="pct"/>
          </w:tcPr>
          <w:p w14:paraId="2A555B40">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导叶密封圈</w:t>
            </w:r>
          </w:p>
        </w:tc>
        <w:tc>
          <w:tcPr>
            <w:tcW w:w="1232" w:type="pct"/>
            <w:vAlign w:val="center"/>
          </w:tcPr>
          <w:p w14:paraId="13FAFBFB">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231" w:type="pct"/>
            <w:vAlign w:val="center"/>
          </w:tcPr>
          <w:p w14:paraId="75521519">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每台机1台套</w:t>
            </w:r>
          </w:p>
        </w:tc>
      </w:tr>
      <w:tr w14:paraId="5ED3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1E20AE40">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174" w:type="pct"/>
          </w:tcPr>
          <w:p w14:paraId="5B4D1703">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导叶连杆轴套</w:t>
            </w:r>
          </w:p>
        </w:tc>
        <w:tc>
          <w:tcPr>
            <w:tcW w:w="1232" w:type="pct"/>
            <w:vAlign w:val="center"/>
          </w:tcPr>
          <w:p w14:paraId="15836B20">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231" w:type="pct"/>
            <w:vAlign w:val="center"/>
          </w:tcPr>
          <w:p w14:paraId="7DFEF1F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1/3</w:t>
            </w:r>
          </w:p>
        </w:tc>
      </w:tr>
      <w:tr w14:paraId="4A8F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65C0CFEF">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2174" w:type="pct"/>
          </w:tcPr>
          <w:p w14:paraId="3A3344B6">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导叶分半键</w:t>
            </w:r>
          </w:p>
        </w:tc>
        <w:tc>
          <w:tcPr>
            <w:tcW w:w="1232" w:type="pct"/>
            <w:vAlign w:val="center"/>
          </w:tcPr>
          <w:p w14:paraId="0C5916A4">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231" w:type="pct"/>
            <w:vAlign w:val="center"/>
          </w:tcPr>
          <w:p w14:paraId="1A11DB55">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1/3</w:t>
            </w:r>
          </w:p>
        </w:tc>
      </w:tr>
      <w:tr w14:paraId="3712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7F57B2DC">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2174" w:type="pct"/>
          </w:tcPr>
          <w:p w14:paraId="51BDC729">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导叶破断装置</w:t>
            </w:r>
          </w:p>
        </w:tc>
        <w:tc>
          <w:tcPr>
            <w:tcW w:w="1232" w:type="pct"/>
            <w:vAlign w:val="center"/>
          </w:tcPr>
          <w:p w14:paraId="3B71FB8D">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231" w:type="pct"/>
            <w:vAlign w:val="center"/>
          </w:tcPr>
          <w:p w14:paraId="07DFF73B">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w:t>
            </w:r>
          </w:p>
        </w:tc>
      </w:tr>
      <w:tr w14:paraId="77F2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200D6575">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2174" w:type="pct"/>
          </w:tcPr>
          <w:p w14:paraId="140D1FDA">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主轴工作密封件</w:t>
            </w:r>
          </w:p>
        </w:tc>
        <w:tc>
          <w:tcPr>
            <w:tcW w:w="1232" w:type="pct"/>
            <w:vAlign w:val="center"/>
          </w:tcPr>
          <w:p w14:paraId="207CF65E">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231" w:type="pct"/>
            <w:vAlign w:val="center"/>
          </w:tcPr>
          <w:p w14:paraId="2BAF893F">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1520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2171FAB2">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w:t>
            </w:r>
          </w:p>
        </w:tc>
        <w:tc>
          <w:tcPr>
            <w:tcW w:w="2174" w:type="pct"/>
          </w:tcPr>
          <w:p w14:paraId="35C4DF6C">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接力器活塞环</w:t>
            </w:r>
          </w:p>
        </w:tc>
        <w:tc>
          <w:tcPr>
            <w:tcW w:w="1232" w:type="pct"/>
            <w:vAlign w:val="center"/>
          </w:tcPr>
          <w:p w14:paraId="7E4B9707">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231" w:type="pct"/>
            <w:vAlign w:val="center"/>
          </w:tcPr>
          <w:p w14:paraId="5207851D">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2B15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3090D329">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2174" w:type="pct"/>
          </w:tcPr>
          <w:p w14:paraId="5CBB34A7">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接力器密封圈</w:t>
            </w:r>
          </w:p>
        </w:tc>
        <w:tc>
          <w:tcPr>
            <w:tcW w:w="1232" w:type="pct"/>
            <w:vAlign w:val="center"/>
          </w:tcPr>
          <w:p w14:paraId="4008AACF">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231" w:type="pct"/>
            <w:vAlign w:val="center"/>
          </w:tcPr>
          <w:p w14:paraId="79184D0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63F5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tcPr>
          <w:p w14:paraId="7DA679E8">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p>
        </w:tc>
        <w:tc>
          <w:tcPr>
            <w:tcW w:w="2174" w:type="pct"/>
          </w:tcPr>
          <w:p w14:paraId="699124B7">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各类弹簧</w:t>
            </w:r>
          </w:p>
        </w:tc>
        <w:tc>
          <w:tcPr>
            <w:tcW w:w="1232" w:type="pct"/>
            <w:vAlign w:val="center"/>
          </w:tcPr>
          <w:p w14:paraId="14204759">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231" w:type="pct"/>
            <w:vAlign w:val="center"/>
          </w:tcPr>
          <w:p w14:paraId="77478264">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bl>
    <w:p w14:paraId="4C4C9D32">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2.10 专用工器具</w:t>
      </w:r>
    </w:p>
    <w:p w14:paraId="603E8024">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承包人应提供的专用工器具见表2.10-1，随第一台交货的水轮机提交，全部工器具应打上标记以便识别并专项使用。</w:t>
      </w:r>
    </w:p>
    <w:p w14:paraId="7C2F725D">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表2.10-1  专用工器具表</w:t>
      </w: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5959"/>
        <w:gridCol w:w="1165"/>
        <w:gridCol w:w="1156"/>
      </w:tblGrid>
      <w:tr w14:paraId="074A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Pr>
          <w:p w14:paraId="4CE91B4D">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3309" w:type="pct"/>
            <w:vAlign w:val="center"/>
          </w:tcPr>
          <w:p w14:paraId="33B452E2">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专用工具名称</w:t>
            </w:r>
          </w:p>
        </w:tc>
        <w:tc>
          <w:tcPr>
            <w:tcW w:w="647" w:type="pct"/>
            <w:vAlign w:val="center"/>
          </w:tcPr>
          <w:p w14:paraId="5F7AD083">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w:t>
            </w:r>
          </w:p>
        </w:tc>
        <w:tc>
          <w:tcPr>
            <w:tcW w:w="642" w:type="pct"/>
          </w:tcPr>
          <w:p w14:paraId="3D62976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  量</w:t>
            </w:r>
          </w:p>
        </w:tc>
      </w:tr>
      <w:tr w14:paraId="4DFB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Pr>
          <w:p w14:paraId="0307C757">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309" w:type="pct"/>
            <w:vAlign w:val="center"/>
          </w:tcPr>
          <w:p w14:paraId="1C728DE4">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转轮和主轴起吊吊具</w:t>
            </w:r>
          </w:p>
        </w:tc>
        <w:tc>
          <w:tcPr>
            <w:tcW w:w="647" w:type="pct"/>
          </w:tcPr>
          <w:p w14:paraId="790D0029">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642" w:type="pct"/>
          </w:tcPr>
          <w:p w14:paraId="0043B73F">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5606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Pr>
          <w:p w14:paraId="055EE5D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309" w:type="pct"/>
            <w:vAlign w:val="center"/>
          </w:tcPr>
          <w:p w14:paraId="47F9C3D0">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主轴连接工具</w:t>
            </w:r>
          </w:p>
        </w:tc>
        <w:tc>
          <w:tcPr>
            <w:tcW w:w="647" w:type="pct"/>
          </w:tcPr>
          <w:p w14:paraId="5CB53464">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642" w:type="pct"/>
          </w:tcPr>
          <w:p w14:paraId="0C9CD025">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5146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Pr>
          <w:p w14:paraId="0EBC11F7">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3309" w:type="pct"/>
            <w:vAlign w:val="center"/>
          </w:tcPr>
          <w:p w14:paraId="3700F139">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导叶拐臂装拆工具</w:t>
            </w:r>
          </w:p>
        </w:tc>
        <w:tc>
          <w:tcPr>
            <w:tcW w:w="647" w:type="pct"/>
          </w:tcPr>
          <w:p w14:paraId="480359CF">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642" w:type="pct"/>
          </w:tcPr>
          <w:p w14:paraId="1D14B1C0">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73B4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Pr>
          <w:p w14:paraId="2FBCE752">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3309" w:type="pct"/>
            <w:vAlign w:val="center"/>
          </w:tcPr>
          <w:p w14:paraId="36603D3D">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导叶分瓣键装拆工具</w:t>
            </w:r>
          </w:p>
        </w:tc>
        <w:tc>
          <w:tcPr>
            <w:tcW w:w="647" w:type="pct"/>
          </w:tcPr>
          <w:p w14:paraId="2C3F76E4">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642" w:type="pct"/>
          </w:tcPr>
          <w:p w14:paraId="371FEB34">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45F7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Pr>
          <w:p w14:paraId="30AD64E3">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3309" w:type="pct"/>
            <w:vAlign w:val="center"/>
          </w:tcPr>
          <w:p w14:paraId="23B8A4E6">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导叶破断装置装拆工具</w:t>
            </w:r>
          </w:p>
        </w:tc>
        <w:tc>
          <w:tcPr>
            <w:tcW w:w="647" w:type="pct"/>
          </w:tcPr>
          <w:p w14:paraId="54ACF971">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642" w:type="pct"/>
          </w:tcPr>
          <w:p w14:paraId="6AFDAFD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0F5E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tcPr>
          <w:p w14:paraId="4F13F428">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3309" w:type="pct"/>
            <w:vAlign w:val="center"/>
          </w:tcPr>
          <w:p w14:paraId="742F5BF8">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转轮叶片和导叶样板</w:t>
            </w:r>
          </w:p>
        </w:tc>
        <w:tc>
          <w:tcPr>
            <w:tcW w:w="647" w:type="pct"/>
          </w:tcPr>
          <w:p w14:paraId="74AFDD4C">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642" w:type="pct"/>
          </w:tcPr>
          <w:p w14:paraId="21091911">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bl>
    <w:p w14:paraId="2108299E">
      <w:pPr>
        <w:pStyle w:val="4"/>
        <w:tabs>
          <w:tab w:val="left" w:pos="0"/>
        </w:tabs>
        <w:ind w:firstLine="420" w:firstLineChars="200"/>
        <w:rPr>
          <w:rFonts w:hint="eastAsia" w:asciiTheme="minorEastAsia" w:hAnsiTheme="minorEastAsia" w:eastAsiaTheme="minorEastAsia" w:cstheme="minorEastAsia"/>
          <w:color w:val="auto"/>
          <w:sz w:val="21"/>
          <w:szCs w:val="21"/>
        </w:rPr>
      </w:pPr>
    </w:p>
    <w:p w14:paraId="5B40AF21">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2.11 模型试验和模型资料验收</w:t>
      </w:r>
    </w:p>
    <w:p w14:paraId="6D323A5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2.11.1 模型试验</w:t>
      </w:r>
    </w:p>
    <w:p w14:paraId="388B84BC">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承包人推荐模型转轮必须是经过模型试验的。</w:t>
      </w:r>
    </w:p>
    <w:p w14:paraId="1B1CD42A">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承包人在合同生效后30天内向发包人提交2份完整模型试验报告，以证明其推荐机型的水力性能是否满足合同要求，并作为真机保证值的依据。</w:t>
      </w:r>
    </w:p>
    <w:p w14:paraId="2DA167F0">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承包人提供的“模型试验报告”应包括以下内容：</w:t>
      </w:r>
    </w:p>
    <w:p w14:paraId="3DAF466C">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 试验项目（应符合GB/T15613的规定）；</w:t>
      </w:r>
    </w:p>
    <w:p w14:paraId="705D3C8B">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 模型台简介；</w:t>
      </w:r>
    </w:p>
    <w:p w14:paraId="4D5BCC4E">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 模型水轮机的说明及模型试验装置介绍；</w:t>
      </w:r>
    </w:p>
    <w:p w14:paraId="04BE700C">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 试验程序及测量仪器率定方法简介；</w:t>
      </w:r>
    </w:p>
    <w:p w14:paraId="046F8F68">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⑤ 应用标准及计算公式；</w:t>
      </w:r>
    </w:p>
    <w:p w14:paraId="77CD6838">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⑥ 测量误差分析；</w:t>
      </w:r>
    </w:p>
    <w:p w14:paraId="3D0D6AAE">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⑦ 模型性能计算及试验结果（包括各种数据和性能曲线）；</w:t>
      </w:r>
    </w:p>
    <w:p w14:paraId="7BB8930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⑧ 测量记录（包括闪频照片）；</w:t>
      </w:r>
    </w:p>
    <w:p w14:paraId="0D97801E">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⑨ 原型性能换算；</w:t>
      </w:r>
    </w:p>
    <w:p w14:paraId="21BAACD6">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⑩ 试验结果分析。</w:t>
      </w:r>
    </w:p>
    <w:p w14:paraId="7F6E893F">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2.11.2 模型资料验收</w:t>
      </w:r>
    </w:p>
    <w:p w14:paraId="2A5A082D">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发包人收到“模型试验报告”后30天内根据具体情况选择是否要进行模型资料验收。模型资料验收地点由双方商定，模型资料验收费用应单独报价。</w:t>
      </w:r>
    </w:p>
    <w:p w14:paraId="3306ECB8">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水轮机以现场真机试验作为最终验收。</w:t>
      </w:r>
    </w:p>
    <w:p w14:paraId="4A73F050">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2.12 工厂质量检查、装配和试验</w:t>
      </w:r>
    </w:p>
    <w:p w14:paraId="4AD73B3E">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2.12.1 为检验水轮机设计、制造质量，除了采用合理结构、工艺和合格材料、严格控制加工精度、尺寸公差和热处理工艺外，在出厂前必需对水轮机主要部件进行试验和检查。</w:t>
      </w:r>
    </w:p>
    <w:p w14:paraId="0020A74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2.12.2 各项试验应符合合同要求，若合同无具体规定时，按照符合GB、NB、SL、JB相关标准中较高要求执行。</w:t>
      </w:r>
    </w:p>
    <w:p w14:paraId="3F1A58F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2.12.3 承包人应提供工厂试验项目、计划安排及试验大纲，各项试验的试验报告、照片、记录、有关文件资料及合格证必须完备，并随时供买受人或工程师检查和审核。凡规定必须有发包人代表参加的试验项目，必须按规定提前15天通知发包人参加，并提供全部文件资料。</w:t>
      </w:r>
    </w:p>
    <w:p w14:paraId="5D9C108E">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2.12.4 承受水压、油压、气压的设备部件除在工地进行组焊外均应按GB规定在厂内进行强度耐压试验。强度耐压试验压力为1.5倍工作压力，试验时间为30min，受压部件不得有渗漏等异常现象。压力容器的耐压试验按照《压力容器》与《压力容器安全技术监察规程》的规定执行。</w:t>
      </w:r>
    </w:p>
    <w:p w14:paraId="05A0E436">
      <w:pPr>
        <w:pStyle w:val="3"/>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2.12.5 工厂试验项目见2.12-1。</w:t>
      </w:r>
    </w:p>
    <w:p w14:paraId="49896CA1">
      <w:pPr>
        <w:snapToGrid w:val="0"/>
        <w:spacing w:line="360" w:lineRule="auto"/>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表2.12-1 卧轴混流式水轮机工厂质量检查、装配和试验项目表</w:t>
      </w:r>
    </w:p>
    <w:tbl>
      <w:tblPr>
        <w:tblStyle w:val="65"/>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28" w:type="dxa"/>
          <w:bottom w:w="0" w:type="dxa"/>
          <w:right w:w="28" w:type="dxa"/>
        </w:tblCellMar>
      </w:tblPr>
      <w:tblGrid>
        <w:gridCol w:w="419"/>
        <w:gridCol w:w="1431"/>
        <w:gridCol w:w="442"/>
        <w:gridCol w:w="541"/>
        <w:gridCol w:w="541"/>
        <w:gridCol w:w="550"/>
        <w:gridCol w:w="541"/>
        <w:gridCol w:w="541"/>
        <w:gridCol w:w="541"/>
        <w:gridCol w:w="543"/>
        <w:gridCol w:w="958"/>
        <w:gridCol w:w="1796"/>
      </w:tblGrid>
      <w:tr w14:paraId="1C6026B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391" w:hRule="atLeast"/>
          <w:tblHeader/>
          <w:jc w:val="center"/>
        </w:trPr>
        <w:tc>
          <w:tcPr>
            <w:tcW w:w="237" w:type="pct"/>
            <w:vMerge w:val="restart"/>
            <w:vAlign w:val="center"/>
          </w:tcPr>
          <w:p w14:paraId="6FF5736B">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809" w:type="pct"/>
            <w:vMerge w:val="restart"/>
            <w:vAlign w:val="center"/>
          </w:tcPr>
          <w:p w14:paraId="6D0878B6">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名称</w:t>
            </w:r>
          </w:p>
        </w:tc>
        <w:tc>
          <w:tcPr>
            <w:tcW w:w="1173" w:type="pct"/>
            <w:gridSpan w:val="4"/>
            <w:vAlign w:val="center"/>
          </w:tcPr>
          <w:p w14:paraId="041B1FAC">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材料检验</w:t>
            </w:r>
          </w:p>
        </w:tc>
        <w:tc>
          <w:tcPr>
            <w:tcW w:w="1225" w:type="pct"/>
            <w:gridSpan w:val="4"/>
            <w:vAlign w:val="center"/>
          </w:tcPr>
          <w:p w14:paraId="45E6CB08">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制造过程和最终检验</w:t>
            </w:r>
          </w:p>
        </w:tc>
        <w:tc>
          <w:tcPr>
            <w:tcW w:w="541" w:type="pct"/>
            <w:vMerge w:val="restart"/>
            <w:vAlign w:val="center"/>
          </w:tcPr>
          <w:p w14:paraId="610CE1DE">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耐压及取样试验</w:t>
            </w:r>
          </w:p>
        </w:tc>
        <w:tc>
          <w:tcPr>
            <w:tcW w:w="1015" w:type="pct"/>
            <w:vMerge w:val="restart"/>
            <w:vAlign w:val="center"/>
          </w:tcPr>
          <w:p w14:paraId="35E230B7">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其它检验项目及备注</w:t>
            </w:r>
          </w:p>
        </w:tc>
      </w:tr>
      <w:tr w14:paraId="495B83D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blHeader/>
          <w:jc w:val="center"/>
        </w:trPr>
        <w:tc>
          <w:tcPr>
            <w:tcW w:w="237" w:type="pct"/>
            <w:vMerge w:val="continue"/>
          </w:tcPr>
          <w:p w14:paraId="4DFC4E8F">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809" w:type="pct"/>
            <w:vMerge w:val="continue"/>
          </w:tcPr>
          <w:p w14:paraId="632F17C3">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250" w:type="pct"/>
            <w:vAlign w:val="center"/>
          </w:tcPr>
          <w:p w14:paraId="60E7CC6D">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力学性能</w:t>
            </w:r>
          </w:p>
        </w:tc>
        <w:tc>
          <w:tcPr>
            <w:tcW w:w="306" w:type="pct"/>
            <w:vAlign w:val="center"/>
          </w:tcPr>
          <w:p w14:paraId="5021CF10">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化学成分</w:t>
            </w:r>
          </w:p>
        </w:tc>
        <w:tc>
          <w:tcPr>
            <w:tcW w:w="306" w:type="pct"/>
            <w:vAlign w:val="center"/>
          </w:tcPr>
          <w:p w14:paraId="71480876">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无损检测</w:t>
            </w:r>
          </w:p>
        </w:tc>
        <w:tc>
          <w:tcPr>
            <w:tcW w:w="311" w:type="pct"/>
            <w:vAlign w:val="center"/>
          </w:tcPr>
          <w:p w14:paraId="6F69BF0C">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硬度试验</w:t>
            </w:r>
          </w:p>
        </w:tc>
        <w:tc>
          <w:tcPr>
            <w:tcW w:w="306" w:type="pct"/>
            <w:vAlign w:val="center"/>
          </w:tcPr>
          <w:p w14:paraId="0DBAEA24">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无损检测</w:t>
            </w:r>
          </w:p>
        </w:tc>
        <w:tc>
          <w:tcPr>
            <w:tcW w:w="306" w:type="pct"/>
            <w:vAlign w:val="center"/>
          </w:tcPr>
          <w:p w14:paraId="5DA9E539">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外观检查</w:t>
            </w:r>
          </w:p>
        </w:tc>
        <w:tc>
          <w:tcPr>
            <w:tcW w:w="306" w:type="pct"/>
            <w:vAlign w:val="center"/>
          </w:tcPr>
          <w:p w14:paraId="1FC2E2E3">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尺寸检查</w:t>
            </w:r>
          </w:p>
        </w:tc>
        <w:tc>
          <w:tcPr>
            <w:tcW w:w="307" w:type="pct"/>
            <w:vAlign w:val="center"/>
          </w:tcPr>
          <w:p w14:paraId="7C5BED8C">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动作试验</w:t>
            </w:r>
          </w:p>
        </w:tc>
        <w:tc>
          <w:tcPr>
            <w:tcW w:w="541" w:type="pct"/>
            <w:vMerge w:val="continue"/>
            <w:vAlign w:val="center"/>
          </w:tcPr>
          <w:p w14:paraId="799C33E7">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1015" w:type="pct"/>
            <w:vMerge w:val="continue"/>
          </w:tcPr>
          <w:p w14:paraId="30BB3FD8">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r>
      <w:tr w14:paraId="133CBA6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423FDCB2">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809" w:type="pct"/>
            <w:vAlign w:val="center"/>
          </w:tcPr>
          <w:p w14:paraId="6A4486DE">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转轮</w:t>
            </w:r>
          </w:p>
        </w:tc>
        <w:tc>
          <w:tcPr>
            <w:tcW w:w="250" w:type="pct"/>
            <w:vAlign w:val="center"/>
          </w:tcPr>
          <w:p w14:paraId="6F91CC8E">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0A2596D">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1C0C2A9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11" w:type="pct"/>
            <w:vAlign w:val="center"/>
          </w:tcPr>
          <w:p w14:paraId="293F9ED3">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141FE84A">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4843F3C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4925045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0FAE0E7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216240AF">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6E03D19D">
            <w:pPr>
              <w:spacing w:before="100" w:after="100" w:line="180" w:lineRule="exac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叶型、表面粗糙度检查及静平衡</w:t>
            </w:r>
          </w:p>
        </w:tc>
      </w:tr>
      <w:tr w14:paraId="350B991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25BDCB9C">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809" w:type="pct"/>
            <w:vAlign w:val="center"/>
          </w:tcPr>
          <w:p w14:paraId="161F0680">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主轴</w:t>
            </w:r>
          </w:p>
        </w:tc>
        <w:tc>
          <w:tcPr>
            <w:tcW w:w="250" w:type="pct"/>
            <w:vAlign w:val="center"/>
          </w:tcPr>
          <w:p w14:paraId="0FCD92A4">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B3D40A5">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5ADC56A8">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11" w:type="pct"/>
            <w:vAlign w:val="center"/>
          </w:tcPr>
          <w:p w14:paraId="1FD42BE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63BE8734">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1291D698">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76C3BC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64ED3942">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64932461">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钻孔取样</w:t>
            </w:r>
          </w:p>
        </w:tc>
        <w:tc>
          <w:tcPr>
            <w:tcW w:w="1015" w:type="pct"/>
            <w:vAlign w:val="center"/>
          </w:tcPr>
          <w:p w14:paraId="55FB3E4C">
            <w:pPr>
              <w:spacing w:before="100" w:after="100" w:line="180" w:lineRule="exac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转轮与主轴连接部位锥度、接触面积*</w:t>
            </w:r>
          </w:p>
        </w:tc>
      </w:tr>
      <w:tr w14:paraId="44DCDD9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2A8B4CA1">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809" w:type="pct"/>
            <w:vAlign w:val="center"/>
          </w:tcPr>
          <w:p w14:paraId="0F92672A">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顶盖螺栓</w:t>
            </w:r>
          </w:p>
        </w:tc>
        <w:tc>
          <w:tcPr>
            <w:tcW w:w="250" w:type="pct"/>
            <w:vAlign w:val="center"/>
          </w:tcPr>
          <w:p w14:paraId="2DD2FA71">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2222AA69">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48C554A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11" w:type="pct"/>
            <w:vAlign w:val="center"/>
          </w:tcPr>
          <w:p w14:paraId="6A73688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70B89C92">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1FC5CEA4">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5D55CBFE">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6E57CAD5">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61A37482">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6F80FFA3">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r>
      <w:tr w14:paraId="6AC99CF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65E9F7CE">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809" w:type="pct"/>
            <w:vAlign w:val="center"/>
          </w:tcPr>
          <w:p w14:paraId="2764D26F">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导轴承</w:t>
            </w:r>
          </w:p>
        </w:tc>
        <w:tc>
          <w:tcPr>
            <w:tcW w:w="250" w:type="pct"/>
            <w:vAlign w:val="center"/>
          </w:tcPr>
          <w:p w14:paraId="5EFAB09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1968AFD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4C2F566E">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11" w:type="pct"/>
            <w:vAlign w:val="center"/>
          </w:tcPr>
          <w:p w14:paraId="0A7C4EFF">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3498A6F9">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5C369F5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5A01979E">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07A0A7FF">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1AB00223">
            <w:pPr>
              <w:tabs>
                <w:tab w:val="right" w:leader="dot" w:pos="9061"/>
              </w:tabs>
              <w:spacing w:before="100" w:after="100" w:line="180" w:lineRule="exact"/>
              <w:ind w:left="365" w:leftChars="174" w:firstLine="37" w:firstLineChars="18"/>
              <w:jc w:val="center"/>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2346B927">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r>
      <w:tr w14:paraId="36C2AEB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37FA6CC5">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809" w:type="pct"/>
            <w:vAlign w:val="center"/>
          </w:tcPr>
          <w:p w14:paraId="0AEC3C48">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主轴密封</w:t>
            </w:r>
          </w:p>
        </w:tc>
        <w:tc>
          <w:tcPr>
            <w:tcW w:w="250" w:type="pct"/>
            <w:vAlign w:val="center"/>
          </w:tcPr>
          <w:p w14:paraId="207EB9B4">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1C52198">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58C561E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11" w:type="pct"/>
            <w:vAlign w:val="center"/>
          </w:tcPr>
          <w:p w14:paraId="5E6EB6AA">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161CF341">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677D33AF">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0F1B9CA6">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007193EA">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6B446B17">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4DBE6D42">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局部装配*</w:t>
            </w:r>
          </w:p>
        </w:tc>
      </w:tr>
      <w:tr w14:paraId="499D820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523C38F9">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w:t>
            </w:r>
          </w:p>
        </w:tc>
        <w:tc>
          <w:tcPr>
            <w:tcW w:w="809" w:type="pct"/>
            <w:vAlign w:val="center"/>
          </w:tcPr>
          <w:p w14:paraId="14B0867F">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顶盖</w:t>
            </w:r>
          </w:p>
        </w:tc>
        <w:tc>
          <w:tcPr>
            <w:tcW w:w="250" w:type="pct"/>
            <w:vAlign w:val="center"/>
          </w:tcPr>
          <w:p w14:paraId="1A863C0A">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0750695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22FA5758">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11" w:type="pct"/>
            <w:vAlign w:val="center"/>
          </w:tcPr>
          <w:p w14:paraId="11EEF72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5FBCD464">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16BAF344">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6347DA8A">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2BDF2A8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1E6A5085">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7A56076A">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r>
      <w:tr w14:paraId="13CAB3B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74DDD244">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w:t>
            </w:r>
          </w:p>
        </w:tc>
        <w:tc>
          <w:tcPr>
            <w:tcW w:w="809" w:type="pct"/>
            <w:vAlign w:val="center"/>
          </w:tcPr>
          <w:p w14:paraId="18747C66">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底环</w:t>
            </w:r>
          </w:p>
        </w:tc>
        <w:tc>
          <w:tcPr>
            <w:tcW w:w="250" w:type="pct"/>
            <w:vAlign w:val="center"/>
          </w:tcPr>
          <w:p w14:paraId="265BB3A5">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5115FF9F">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75E57739">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11" w:type="pct"/>
            <w:vAlign w:val="center"/>
          </w:tcPr>
          <w:p w14:paraId="041C82E8">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7801C19D">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5DB67449">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6ADEB31">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18543EA2">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1FD8FE09">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14DA302B">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r>
      <w:tr w14:paraId="1ADFCFF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69BD232A">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w:t>
            </w:r>
          </w:p>
        </w:tc>
        <w:tc>
          <w:tcPr>
            <w:tcW w:w="809" w:type="pct"/>
            <w:vAlign w:val="center"/>
          </w:tcPr>
          <w:p w14:paraId="55ED3C7E">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活动导叶</w:t>
            </w:r>
          </w:p>
        </w:tc>
        <w:tc>
          <w:tcPr>
            <w:tcW w:w="250" w:type="pct"/>
            <w:vAlign w:val="center"/>
          </w:tcPr>
          <w:p w14:paraId="44473AAB">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627A5E33">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2FFF051D">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11" w:type="pct"/>
            <w:vAlign w:val="center"/>
          </w:tcPr>
          <w:p w14:paraId="68ABD258">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64A899A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2A714EC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2178215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696D857B">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48A90D11">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16107C59">
            <w:pPr>
              <w:tabs>
                <w:tab w:val="right" w:leader="dot" w:pos="9061"/>
              </w:tabs>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r>
      <w:tr w14:paraId="5C1A9E7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3F8D6858">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w:t>
            </w:r>
          </w:p>
        </w:tc>
        <w:tc>
          <w:tcPr>
            <w:tcW w:w="809" w:type="pct"/>
            <w:vAlign w:val="center"/>
          </w:tcPr>
          <w:p w14:paraId="39B9C7B6">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活动导叶操作机构</w:t>
            </w:r>
          </w:p>
        </w:tc>
        <w:tc>
          <w:tcPr>
            <w:tcW w:w="250" w:type="pct"/>
            <w:vAlign w:val="center"/>
          </w:tcPr>
          <w:p w14:paraId="0875BFEE">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2E1F22EE">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1EF89FA9">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11" w:type="pct"/>
            <w:vAlign w:val="center"/>
          </w:tcPr>
          <w:p w14:paraId="29FB9B9D">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182DA0D5">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5F2658E2">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3DEECEE">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7" w:type="pct"/>
            <w:vAlign w:val="center"/>
          </w:tcPr>
          <w:p w14:paraId="07D72FD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541" w:type="pct"/>
            <w:vAlign w:val="center"/>
          </w:tcPr>
          <w:p w14:paraId="37F2B2E3">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191713AC">
            <w:pPr>
              <w:spacing w:before="100" w:after="100" w:line="180" w:lineRule="exac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导水机构预装、动作试验*</w:t>
            </w:r>
          </w:p>
        </w:tc>
      </w:tr>
      <w:tr w14:paraId="3C56EE0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26D131CD">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w:t>
            </w:r>
          </w:p>
        </w:tc>
        <w:tc>
          <w:tcPr>
            <w:tcW w:w="809" w:type="pct"/>
            <w:vAlign w:val="center"/>
          </w:tcPr>
          <w:p w14:paraId="18DA967C">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导叶保护装置</w:t>
            </w:r>
          </w:p>
        </w:tc>
        <w:tc>
          <w:tcPr>
            <w:tcW w:w="250" w:type="pct"/>
            <w:vAlign w:val="center"/>
          </w:tcPr>
          <w:p w14:paraId="1270F9EB">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40EA95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10A101A6">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11" w:type="pct"/>
            <w:vAlign w:val="center"/>
          </w:tcPr>
          <w:p w14:paraId="6AB6645D">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6C85A89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4E0D0F2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D8FDE06">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7" w:type="pct"/>
            <w:vAlign w:val="center"/>
          </w:tcPr>
          <w:p w14:paraId="1094B52D">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5059D63B">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破断检查*</w:t>
            </w:r>
          </w:p>
        </w:tc>
        <w:tc>
          <w:tcPr>
            <w:tcW w:w="1015" w:type="pct"/>
            <w:vAlign w:val="center"/>
          </w:tcPr>
          <w:p w14:paraId="049A697B">
            <w:pPr>
              <w:spacing w:before="100" w:after="100" w:line="180" w:lineRule="exac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摩擦装置预紧力矩试验（如有）*</w:t>
            </w:r>
          </w:p>
        </w:tc>
      </w:tr>
      <w:tr w14:paraId="6DFC07F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5186B7BF">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w:t>
            </w:r>
          </w:p>
        </w:tc>
        <w:tc>
          <w:tcPr>
            <w:tcW w:w="809" w:type="pct"/>
            <w:vAlign w:val="center"/>
          </w:tcPr>
          <w:p w14:paraId="526778AD">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座环</w:t>
            </w:r>
          </w:p>
        </w:tc>
        <w:tc>
          <w:tcPr>
            <w:tcW w:w="250" w:type="pct"/>
            <w:vAlign w:val="center"/>
          </w:tcPr>
          <w:p w14:paraId="33E1B1BD">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3D56F8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EB94426">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11" w:type="pct"/>
            <w:vAlign w:val="center"/>
          </w:tcPr>
          <w:p w14:paraId="29DD1C3E">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6FF9E75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49B6091D">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1E3A4B63">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5C8A0B9F">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0646D12D">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47DD966A">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r>
      <w:tr w14:paraId="6B1920C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02E70533">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12</w:t>
            </w:r>
          </w:p>
        </w:tc>
        <w:tc>
          <w:tcPr>
            <w:tcW w:w="809" w:type="pct"/>
            <w:vAlign w:val="center"/>
          </w:tcPr>
          <w:p w14:paraId="2C2D4AE0">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蜗壳</w:t>
            </w:r>
          </w:p>
        </w:tc>
        <w:tc>
          <w:tcPr>
            <w:tcW w:w="250" w:type="pct"/>
            <w:vAlign w:val="center"/>
          </w:tcPr>
          <w:p w14:paraId="71EB5956">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4850B9B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20C6142B">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11" w:type="pct"/>
            <w:vAlign w:val="center"/>
          </w:tcPr>
          <w:p w14:paraId="1132DDFA">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474BA55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734F01D">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3ED392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203A6FEE">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vAlign w:val="center"/>
          </w:tcPr>
          <w:p w14:paraId="50A404E6">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740A6291">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r>
      <w:tr w14:paraId="580A8BD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1657BD04">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13</w:t>
            </w:r>
          </w:p>
        </w:tc>
        <w:tc>
          <w:tcPr>
            <w:tcW w:w="809" w:type="pct"/>
            <w:vAlign w:val="center"/>
          </w:tcPr>
          <w:p w14:paraId="053BA030">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尾水管</w:t>
            </w:r>
          </w:p>
        </w:tc>
        <w:tc>
          <w:tcPr>
            <w:tcW w:w="250" w:type="pct"/>
            <w:vAlign w:val="center"/>
          </w:tcPr>
          <w:p w14:paraId="62034BE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40F1726E">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65B0F49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11" w:type="pct"/>
            <w:vAlign w:val="center"/>
          </w:tcPr>
          <w:p w14:paraId="74F75FD9">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5C0805A3">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5346996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5FF448B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7" w:type="pct"/>
            <w:vAlign w:val="center"/>
          </w:tcPr>
          <w:p w14:paraId="7E88C01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541" w:type="pct"/>
          </w:tcPr>
          <w:p w14:paraId="53A411E6">
            <w:pPr>
              <w:spacing w:before="100" w:after="100" w:line="180" w:lineRule="exact"/>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468C9C75">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r>
      <w:tr w14:paraId="3278267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759132BD">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14</w:t>
            </w:r>
          </w:p>
        </w:tc>
        <w:tc>
          <w:tcPr>
            <w:tcW w:w="809" w:type="pct"/>
            <w:vAlign w:val="center"/>
          </w:tcPr>
          <w:p w14:paraId="5EAEADB9">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接力器</w:t>
            </w:r>
          </w:p>
        </w:tc>
        <w:tc>
          <w:tcPr>
            <w:tcW w:w="250" w:type="pct"/>
            <w:vAlign w:val="center"/>
          </w:tcPr>
          <w:p w14:paraId="753836C2">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4606C557">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51DE1E46">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11" w:type="pct"/>
            <w:vAlign w:val="center"/>
          </w:tcPr>
          <w:p w14:paraId="79B1769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45B7440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259CAFE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306" w:type="pct"/>
            <w:vAlign w:val="center"/>
          </w:tcPr>
          <w:p w14:paraId="3856CBB4">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7" w:type="pct"/>
            <w:vAlign w:val="center"/>
          </w:tcPr>
          <w:p w14:paraId="5D8C68C0">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541" w:type="pct"/>
          </w:tcPr>
          <w:p w14:paraId="0998C50F">
            <w:pPr>
              <w:tabs>
                <w:tab w:val="right" w:leader="dot" w:pos="9061"/>
              </w:tabs>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耐压</w:t>
            </w:r>
          </w:p>
        </w:tc>
        <w:tc>
          <w:tcPr>
            <w:tcW w:w="1015" w:type="pct"/>
            <w:vAlign w:val="center"/>
          </w:tcPr>
          <w:p w14:paraId="10871D84">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p>
        </w:tc>
      </w:tr>
      <w:tr w14:paraId="794304F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jc w:val="center"/>
        </w:trPr>
        <w:tc>
          <w:tcPr>
            <w:tcW w:w="237" w:type="pct"/>
            <w:vAlign w:val="center"/>
          </w:tcPr>
          <w:p w14:paraId="759B7E70">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15</w:t>
            </w:r>
          </w:p>
        </w:tc>
        <w:tc>
          <w:tcPr>
            <w:tcW w:w="809" w:type="pct"/>
            <w:vAlign w:val="center"/>
          </w:tcPr>
          <w:p w14:paraId="6EACA01B">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补气阀、电磁阀、液位信号器、示流信号器等</w:t>
            </w:r>
          </w:p>
        </w:tc>
        <w:tc>
          <w:tcPr>
            <w:tcW w:w="250" w:type="pct"/>
            <w:vAlign w:val="center"/>
          </w:tcPr>
          <w:p w14:paraId="77F24363">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4E0BA5F1">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75B6E1D5">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11" w:type="pct"/>
            <w:vAlign w:val="center"/>
          </w:tcPr>
          <w:p w14:paraId="4CDB8CF2">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76403A1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5275005C">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6" w:type="pct"/>
            <w:vAlign w:val="center"/>
          </w:tcPr>
          <w:p w14:paraId="1EA58235">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p>
        </w:tc>
        <w:tc>
          <w:tcPr>
            <w:tcW w:w="307" w:type="pct"/>
            <w:vAlign w:val="center"/>
          </w:tcPr>
          <w:p w14:paraId="7E0606BA">
            <w:pPr>
              <w:spacing w:before="100" w:after="100" w:line="180" w:lineRule="exact"/>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p>
        </w:tc>
        <w:tc>
          <w:tcPr>
            <w:tcW w:w="541" w:type="pct"/>
          </w:tcPr>
          <w:p w14:paraId="217ED850">
            <w:pPr>
              <w:tabs>
                <w:tab w:val="right" w:leader="dot" w:pos="9061"/>
              </w:tabs>
              <w:spacing w:before="100" w:after="100" w:line="180" w:lineRule="exact"/>
              <w:ind w:left="365" w:leftChars="174" w:firstLine="37" w:firstLineChars="18"/>
              <w:textAlignment w:val="baseline"/>
              <w:rPr>
                <w:rFonts w:hint="eastAsia" w:asciiTheme="minorEastAsia" w:hAnsiTheme="minorEastAsia" w:eastAsiaTheme="minorEastAsia" w:cstheme="minorEastAsia"/>
                <w:color w:val="auto"/>
                <w:kern w:val="0"/>
                <w:sz w:val="21"/>
                <w:szCs w:val="21"/>
              </w:rPr>
            </w:pPr>
          </w:p>
        </w:tc>
        <w:tc>
          <w:tcPr>
            <w:tcW w:w="1015" w:type="pct"/>
            <w:vAlign w:val="center"/>
          </w:tcPr>
          <w:p w14:paraId="39F67266">
            <w:pPr>
              <w:spacing w:before="100" w:after="100" w:line="180" w:lineRule="exact"/>
              <w:jc w:val="center"/>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动作性能试验检查</w:t>
            </w:r>
          </w:p>
        </w:tc>
      </w:tr>
    </w:tbl>
    <w:p w14:paraId="69B02406">
      <w:pPr>
        <w:snapToGrid w:val="0"/>
        <w:spacing w:before="120" w:line="360" w:lineRule="auto"/>
        <w:ind w:firstLine="42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注：“√”为厂内试验项目； * 为发包人到工厂见证和检查项目。</w:t>
      </w:r>
    </w:p>
    <w:p w14:paraId="369551BC">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2.13 现场试验</w:t>
      </w:r>
    </w:p>
    <w:p w14:paraId="256FE278">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2.13.1 概述</w:t>
      </w:r>
    </w:p>
    <w:p w14:paraId="73DBA6E1">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2.13.1.1 每台机组安装完毕后，应进行各项现场试验、试运行和验收，以验证设备性能和质量是否符合合同要求。</w:t>
      </w:r>
    </w:p>
    <w:p w14:paraId="034D399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2.13.1.2 现场试验由发包人主持，并组织现场领导小组负责对试验结果进行鉴定，承包人应对试验程序和方法负责，并指导试验。承包人应提供现场试验所需的特殊设备和仪表。</w:t>
      </w:r>
    </w:p>
    <w:p w14:paraId="2FE9500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试验大纲应由承包人配合安装单位根据工程进度，在开始试验前一个月提出，经发包人（或工程师）核准后执行。</w:t>
      </w:r>
    </w:p>
    <w:p w14:paraId="1444C65A">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试验大纲应包括试验项目、试验准备、试验方法、试验程序、检验标准和试验时间及进度等。</w:t>
      </w:r>
    </w:p>
    <w:p w14:paraId="29B691F8">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2.13.2 水轮机现场安装试验</w:t>
      </w:r>
    </w:p>
    <w:p w14:paraId="45800C7F">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2.13.2.1 机组安装完成后，在承包人指导下，由安装单位进行盘车检查，摆度值应符合GB8564《水轮发电机组安装技术规范》中的有关规定，并由工程师用书面形式予以审定。</w:t>
      </w:r>
    </w:p>
    <w:p w14:paraId="54636850">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2.13.2.2 所有水、气系统管路均应进行耐压试验，并应符合GB8564《水轮发电机组安装技术规范》中的有关规定。</w:t>
      </w:r>
    </w:p>
    <w:p w14:paraId="32989C4E">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2.13.2.3 操作、控制、保护和指示装置应进行模拟试验，要求动作准确、可靠。</w:t>
      </w:r>
    </w:p>
    <w:p w14:paraId="1EF34560">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2.13.2.4 机组的动平衡试验。</w:t>
      </w:r>
    </w:p>
    <w:p w14:paraId="2B3468B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2.13.2.5 其它试验项目由合同双方协商确定。</w:t>
      </w:r>
    </w:p>
    <w:p w14:paraId="63264412">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2.13.3 试运行</w:t>
      </w:r>
    </w:p>
    <w:p w14:paraId="5460CD17">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2.13.3.1 在设备安装完毕，经现场试验，检查合格后，应进行机组试运行，以检验设备技术性能和保证值是否满足和符合合同文件的规定。</w:t>
      </w:r>
    </w:p>
    <w:p w14:paraId="0733C710">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2.13.3.2 试运行期间，由安装单位操作设备，承包人应对其设备和操作方法负责并进行指导。</w:t>
      </w:r>
    </w:p>
    <w:p w14:paraId="6028210E">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2.13.3.3 试运行工作将按GB8564《水轮发电机组安装技术规范》及DL507《水轮发电机组启动试验规程》中的有关规定进行。</w:t>
      </w:r>
    </w:p>
    <w:p w14:paraId="3BF50619">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2.13.3.4 机组经72h试运行合格，并按签发初步验收证书后，由发包人负责开始商业运行。</w:t>
      </w:r>
    </w:p>
    <w:p w14:paraId="0F1BDEC1">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2.13.4 特性验收试验</w:t>
      </w:r>
    </w:p>
    <w:p w14:paraId="40673BF1">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机组试验运行合格并投入商业运行后，根据需要进行水轮机特性试验，以检验设备是否满足合同文件和保证值。试验在承包人指导下进行。</w:t>
      </w:r>
    </w:p>
    <w:p w14:paraId="2CDB9121">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特性试验项目包括：水轮机出力试验、效率试验及空蚀损坏检测等。</w:t>
      </w:r>
    </w:p>
    <w:p w14:paraId="1DB63B02">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水轮机出力试验：每台机组均做出力指标试验，以检验输出功率是否达到功率保证值；同时测定出力特性曲线。</w:t>
      </w:r>
    </w:p>
    <w:p w14:paraId="0CBE6BAC">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水轮机效率试验：在机组保证期内，经合同双方协商可在1台或2台机组上进行效率试验，以检查是否达到保证值。</w:t>
      </w:r>
    </w:p>
    <w:p w14:paraId="1018033A">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空蚀损坏检测：在机组运行时间达到8000h时，应由合同双方协商在适当的时间共同进行水轮机空蚀损坏检测，以检查是否达到保证值。</w:t>
      </w:r>
    </w:p>
    <w:p w14:paraId="340C7C6C">
      <w:pPr>
        <w:pStyle w:val="3"/>
        <w:rPr>
          <w:rFonts w:hint="eastAsia" w:asciiTheme="minorEastAsia" w:hAnsiTheme="minorEastAsia" w:eastAsiaTheme="minorEastAsia" w:cstheme="minorEastAsia"/>
          <w:color w:val="auto"/>
          <w:sz w:val="21"/>
          <w:szCs w:val="21"/>
        </w:rPr>
        <w:sectPr>
          <w:pgSz w:w="11907" w:h="16840"/>
          <w:pgMar w:top="1701" w:right="1701" w:bottom="1418" w:left="1418" w:header="1304" w:footer="1134" w:gutter="0"/>
          <w:cols w:space="425" w:num="1"/>
          <w:docGrid w:type="lines" w:linePitch="457" w:charSpace="2270"/>
        </w:sectPr>
      </w:pPr>
    </w:p>
    <w:p w14:paraId="3A3136F6">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第3章 卧轴式水轮发电机改造技术规范</w:t>
      </w:r>
    </w:p>
    <w:p w14:paraId="3F3EDE51">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3.1 概述</w:t>
      </w:r>
    </w:p>
    <w:p w14:paraId="09F4E5A1">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3.1.1 本节适用于两台卧式水轮发电机及其附属设备的设计、制造、装配、工厂试验、交付、现场安装及现场试验的技术要求。</w:t>
      </w:r>
    </w:p>
    <w:p w14:paraId="6EDC84CC">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3.1.2 本技术条款未说明，但又与设计、制造、安装、试验、运输、包装、保管和运行维护等有关的技术要求，按有关标准执行。</w:t>
      </w:r>
    </w:p>
    <w:p w14:paraId="0E0207C8">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3.1.3 发电机设计、制造、试验、供货和服务等除满足本节要求外，还应满足“一般规定和规范”的要求。发电机制造质量应满足NB/T 42096《小型水轮发电机产品质量控制规范》的要求。</w:t>
      </w:r>
    </w:p>
    <w:p w14:paraId="0D73D0AF">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3.1.4 水轮发电机及其附属设备的安装、调试将在承包人服务人员的技术指导下，由其他承包商完成。</w:t>
      </w:r>
    </w:p>
    <w:p w14:paraId="2EDB79B3">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3.1.5 本工程为改造工程，原发电机组为四支点机组，本次改造拟改造为两支点机组，发电机基础允许改变，但为尽可能减少混凝土开凿和回填工程量，承包人应对电站现状进行充分踏勘，选择最合适的改造方案。同时机组改造后，机组间距应保持7.9m不变。</w:t>
      </w:r>
    </w:p>
    <w:p w14:paraId="2DDA585D">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3.1.5 运行方式</w:t>
      </w:r>
    </w:p>
    <w:p w14:paraId="1AD48154">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电站多年平均发电量               603kW·h</w:t>
      </w:r>
    </w:p>
    <w:p w14:paraId="411AC368">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电站运行在系统负荷曲线的位置     腰荷与峰荷</w:t>
      </w:r>
    </w:p>
    <w:p w14:paraId="3FE16F36">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3.1.6 接入系统概况</w:t>
      </w:r>
    </w:p>
    <w:p w14:paraId="3ED7F9F3">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电站接入系统升高电压            35kV</w:t>
      </w:r>
    </w:p>
    <w:p w14:paraId="31F32744">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发电机中性点接地方式            不接地</w:t>
      </w:r>
    </w:p>
    <w:p w14:paraId="596B8F1F">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3.2 工作内容</w:t>
      </w:r>
    </w:p>
    <w:p w14:paraId="101F3CE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3.2.1 工作范围</w:t>
      </w:r>
    </w:p>
    <w:p w14:paraId="253DCB95">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同2.2.1节“工作范围”内容。</w:t>
      </w:r>
    </w:p>
    <w:p w14:paraId="00DEE1EF">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3.2.2 供货范围</w:t>
      </w:r>
    </w:p>
    <w:p w14:paraId="6351A103">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1）水轮发电机</w:t>
      </w:r>
    </w:p>
    <w:p w14:paraId="716EFE9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两台套额定容量为1250kVA，额定转速为1000r/min的卧轴、密闭循环空冷三相同步水轮发电机，每台发电机及其附属设备必须是完整成套配备，并至少应带有下列设备和工作：</w:t>
      </w:r>
    </w:p>
    <w:p w14:paraId="68AB2FC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定子</w:t>
      </w:r>
    </w:p>
    <w:p w14:paraId="355376E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转子及主轴</w:t>
      </w:r>
    </w:p>
    <w:p w14:paraId="7D2292C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推力轴承及导轴承</w:t>
      </w:r>
    </w:p>
    <w:p w14:paraId="222A5B0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水导推力轴承油槽及冷却器，导轴承油槽及冷却器</w:t>
      </w:r>
    </w:p>
    <w:p w14:paraId="6BD2FE1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发电机安装底座及基础埋件</w:t>
      </w:r>
    </w:p>
    <w:p w14:paraId="013D96C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集电环、刷架、刷握、保护罩及附件</w:t>
      </w:r>
    </w:p>
    <w:p w14:paraId="0789B2A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空气冷却器</w:t>
      </w:r>
    </w:p>
    <w:p w14:paraId="33FD345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测温制动屏（含转速信号装置）</w:t>
      </w:r>
    </w:p>
    <w:p w14:paraId="054C670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机械制动系统管路、管件</w:t>
      </w:r>
    </w:p>
    <w:p w14:paraId="1DC99C77">
      <w:pPr>
        <w:tabs>
          <w:tab w:val="left" w:pos="2803"/>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水气系统管路、管件、阀门、表计等</w:t>
      </w:r>
    </w:p>
    <w:p w14:paraId="59BEFEB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监测系统所有表计、盘柜、电缆、导线</w:t>
      </w:r>
    </w:p>
    <w:p w14:paraId="5AA7D50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发电机配备的自动化元件</w:t>
      </w:r>
    </w:p>
    <w:p w14:paraId="7395F90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电加热器</w:t>
      </w:r>
    </w:p>
    <w:p w14:paraId="236BF56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发电机端子箱</w:t>
      </w:r>
    </w:p>
    <w:p w14:paraId="0262139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主引出线</w:t>
      </w:r>
    </w:p>
    <w:p w14:paraId="0470C1D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中性点引出线</w:t>
      </w:r>
    </w:p>
    <w:p w14:paraId="1C7410F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2）规定的专用工器具</w:t>
      </w:r>
    </w:p>
    <w:p w14:paraId="1CCA43D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3）规定的发电机备品备件</w:t>
      </w:r>
    </w:p>
    <w:p w14:paraId="27AE43D0">
      <w:pPr>
        <w:tabs>
          <w:tab w:val="left" w:pos="279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任何上述1）-3）项中未列上，但又是保证发电机安全、稳定、正常运行和维护、检修所必须的设备、元器件及零部件。</w:t>
      </w:r>
    </w:p>
    <w:p w14:paraId="642A00B1">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3.2.3 供货界面</w:t>
      </w:r>
    </w:p>
    <w:p w14:paraId="71C3A66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土建侧——供货至设备基础板、垫板和基础螺栓等；</w:t>
      </w:r>
    </w:p>
    <w:p w14:paraId="0CA67BD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主引出线侧——供货至机坑内电缆连接处（具体长度设计联络会上定）；</w:t>
      </w:r>
    </w:p>
    <w:p w14:paraId="40F0F3B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中性点——供货至机坑电流互感器处；；</w:t>
      </w:r>
    </w:p>
    <w:p w14:paraId="77E1108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控制及电气系统——供货至承包人提供的盘柜端子；</w:t>
      </w:r>
    </w:p>
    <w:p w14:paraId="19458FB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水、气系统——供货至机组外第一对法兰处（包括阀门和清单中的自动化元件）；</w:t>
      </w:r>
    </w:p>
    <w:p w14:paraId="74A4D297">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承包人提供的成套设备之间的机械和电气连接均属承包人的供货范围。</w:t>
      </w:r>
    </w:p>
    <w:p w14:paraId="575FDA5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3.2.4 技术资料</w:t>
      </w:r>
    </w:p>
    <w:p w14:paraId="0C19E79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承包人在各阶段应提供表3.2-1所列的技术资料。</w:t>
      </w:r>
    </w:p>
    <w:p w14:paraId="5F184223">
      <w:pPr>
        <w:tabs>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表3.2-1  提供的技术资料清单</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3774"/>
        <w:gridCol w:w="1542"/>
        <w:gridCol w:w="1271"/>
        <w:gridCol w:w="1271"/>
      </w:tblGrid>
      <w:tr w14:paraId="0940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3B623EA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序号</w:t>
            </w:r>
          </w:p>
        </w:tc>
        <w:tc>
          <w:tcPr>
            <w:tcW w:w="2215" w:type="pct"/>
            <w:vAlign w:val="center"/>
          </w:tcPr>
          <w:p w14:paraId="32C30E1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图纸名称</w:t>
            </w:r>
          </w:p>
        </w:tc>
        <w:tc>
          <w:tcPr>
            <w:tcW w:w="905" w:type="pct"/>
          </w:tcPr>
          <w:p w14:paraId="286ADA7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联络会资料</w:t>
            </w:r>
          </w:p>
        </w:tc>
        <w:tc>
          <w:tcPr>
            <w:tcW w:w="746" w:type="pct"/>
            <w:vAlign w:val="center"/>
          </w:tcPr>
          <w:p w14:paraId="4FF3776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正式资料</w:t>
            </w:r>
          </w:p>
        </w:tc>
        <w:tc>
          <w:tcPr>
            <w:tcW w:w="746" w:type="pct"/>
            <w:vAlign w:val="center"/>
          </w:tcPr>
          <w:p w14:paraId="6B0AB11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随机资料</w:t>
            </w:r>
          </w:p>
        </w:tc>
      </w:tr>
      <w:tr w14:paraId="47C2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EF42CF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215" w:type="pct"/>
          </w:tcPr>
          <w:p w14:paraId="4D8ECCCA">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水轮发电机剖面图</w:t>
            </w:r>
          </w:p>
        </w:tc>
        <w:tc>
          <w:tcPr>
            <w:tcW w:w="905" w:type="pct"/>
          </w:tcPr>
          <w:p w14:paraId="693AE88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5ABDBE7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A960D3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780B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5DE613C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2215" w:type="pct"/>
          </w:tcPr>
          <w:p w14:paraId="1036B118">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大件运输尺寸和重量</w:t>
            </w:r>
          </w:p>
        </w:tc>
        <w:tc>
          <w:tcPr>
            <w:tcW w:w="905" w:type="pct"/>
          </w:tcPr>
          <w:p w14:paraId="6F0870B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DBC52E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24530B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EB3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5DC5A4A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2215" w:type="pct"/>
          </w:tcPr>
          <w:p w14:paraId="29FA410B">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发电机外形图</w:t>
            </w:r>
          </w:p>
        </w:tc>
        <w:tc>
          <w:tcPr>
            <w:tcW w:w="905" w:type="pct"/>
          </w:tcPr>
          <w:p w14:paraId="1412C93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70B063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FAAB47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012F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1E88EE6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2215" w:type="pct"/>
          </w:tcPr>
          <w:p w14:paraId="11AB3F7B">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发电机基础图和载荷图</w:t>
            </w:r>
          </w:p>
        </w:tc>
        <w:tc>
          <w:tcPr>
            <w:tcW w:w="905" w:type="pct"/>
          </w:tcPr>
          <w:p w14:paraId="65D7770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BBC6C5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809835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5FFE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0E35C3A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2215" w:type="pct"/>
            <w:vAlign w:val="center"/>
          </w:tcPr>
          <w:p w14:paraId="42662D9F">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发电机气、水系统管路布置图</w:t>
            </w:r>
          </w:p>
        </w:tc>
        <w:tc>
          <w:tcPr>
            <w:tcW w:w="905" w:type="pct"/>
          </w:tcPr>
          <w:p w14:paraId="3F29104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428B93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5AC4F59F">
            <w:pPr>
              <w:spacing w:line="360" w:lineRule="exact"/>
              <w:jc w:val="center"/>
              <w:rPr>
                <w:rFonts w:hint="eastAsia" w:asciiTheme="minorEastAsia" w:hAnsiTheme="minorEastAsia" w:eastAsiaTheme="minorEastAsia" w:cstheme="minorEastAsia"/>
                <w:snapToGrid w:val="0"/>
                <w:color w:val="auto"/>
                <w:szCs w:val="21"/>
              </w:rPr>
            </w:pPr>
          </w:p>
        </w:tc>
      </w:tr>
      <w:tr w14:paraId="7547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3247636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2215" w:type="pct"/>
            <w:vAlign w:val="center"/>
          </w:tcPr>
          <w:p w14:paraId="6DC2DF8C">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发电机气、水用量及压力</w:t>
            </w:r>
          </w:p>
        </w:tc>
        <w:tc>
          <w:tcPr>
            <w:tcW w:w="905" w:type="pct"/>
          </w:tcPr>
          <w:p w14:paraId="370BD94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2D7113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56DE11C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5642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1E07FD0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w:t>
            </w:r>
          </w:p>
        </w:tc>
        <w:tc>
          <w:tcPr>
            <w:tcW w:w="2215" w:type="pct"/>
            <w:vAlign w:val="center"/>
          </w:tcPr>
          <w:p w14:paraId="19323316">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空气冷却器外形及管路接口尺寸图</w:t>
            </w:r>
          </w:p>
        </w:tc>
        <w:tc>
          <w:tcPr>
            <w:tcW w:w="905" w:type="pct"/>
          </w:tcPr>
          <w:p w14:paraId="76D0E99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C6CA5D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BA033D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3D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9BD56D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w:t>
            </w:r>
          </w:p>
        </w:tc>
        <w:tc>
          <w:tcPr>
            <w:tcW w:w="2215" w:type="pct"/>
          </w:tcPr>
          <w:p w14:paraId="61DD7955">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发电机定子装配图</w:t>
            </w:r>
          </w:p>
        </w:tc>
        <w:tc>
          <w:tcPr>
            <w:tcW w:w="905" w:type="pct"/>
          </w:tcPr>
          <w:p w14:paraId="5BAC2FC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EC02E5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CADB5D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125E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0620EF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w:t>
            </w:r>
          </w:p>
        </w:tc>
        <w:tc>
          <w:tcPr>
            <w:tcW w:w="2215" w:type="pct"/>
          </w:tcPr>
          <w:p w14:paraId="7C29350A">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发电机转子装配图</w:t>
            </w:r>
          </w:p>
        </w:tc>
        <w:tc>
          <w:tcPr>
            <w:tcW w:w="905" w:type="pct"/>
          </w:tcPr>
          <w:p w14:paraId="504D2A7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DB6575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28E9B3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3D7A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1D77946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w:t>
            </w:r>
          </w:p>
        </w:tc>
        <w:tc>
          <w:tcPr>
            <w:tcW w:w="2215" w:type="pct"/>
            <w:vAlign w:val="center"/>
          </w:tcPr>
          <w:p w14:paraId="11BC152B">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发电机总装配图</w:t>
            </w:r>
          </w:p>
        </w:tc>
        <w:tc>
          <w:tcPr>
            <w:tcW w:w="905" w:type="pct"/>
          </w:tcPr>
          <w:p w14:paraId="057B2F8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0332EC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153F90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6B71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653DA8D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w:t>
            </w:r>
          </w:p>
        </w:tc>
        <w:tc>
          <w:tcPr>
            <w:tcW w:w="2215" w:type="pct"/>
            <w:vAlign w:val="center"/>
          </w:tcPr>
          <w:p w14:paraId="0A7ABB23">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发电机集电环装配图</w:t>
            </w:r>
          </w:p>
        </w:tc>
        <w:tc>
          <w:tcPr>
            <w:tcW w:w="905" w:type="pct"/>
          </w:tcPr>
          <w:p w14:paraId="0861DEC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145746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8DF8EB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59FA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7EB8AF0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w:t>
            </w:r>
          </w:p>
        </w:tc>
        <w:tc>
          <w:tcPr>
            <w:tcW w:w="2215" w:type="pct"/>
            <w:vAlign w:val="center"/>
          </w:tcPr>
          <w:p w14:paraId="70BB2CB4">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发电机制动器装配图</w:t>
            </w:r>
          </w:p>
        </w:tc>
        <w:tc>
          <w:tcPr>
            <w:tcW w:w="905" w:type="pct"/>
          </w:tcPr>
          <w:p w14:paraId="5999167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8E2939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C13C93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2D6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019B41D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13</w:t>
            </w:r>
          </w:p>
        </w:tc>
        <w:tc>
          <w:tcPr>
            <w:tcW w:w="2215" w:type="pct"/>
          </w:tcPr>
          <w:p w14:paraId="7953CFEF">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水导推力轴承装配图</w:t>
            </w:r>
          </w:p>
        </w:tc>
        <w:tc>
          <w:tcPr>
            <w:tcW w:w="905" w:type="pct"/>
          </w:tcPr>
          <w:p w14:paraId="2F93F3D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C19B58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30AD6ED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05E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6814E3E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14</w:t>
            </w:r>
          </w:p>
        </w:tc>
        <w:tc>
          <w:tcPr>
            <w:tcW w:w="2215" w:type="pct"/>
          </w:tcPr>
          <w:p w14:paraId="2211D331">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导轴承装配图</w:t>
            </w:r>
          </w:p>
        </w:tc>
        <w:tc>
          <w:tcPr>
            <w:tcW w:w="905" w:type="pct"/>
          </w:tcPr>
          <w:p w14:paraId="779F738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16D807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6AAE6DE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C29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60BECAC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15</w:t>
            </w:r>
          </w:p>
        </w:tc>
        <w:tc>
          <w:tcPr>
            <w:tcW w:w="2215" w:type="pct"/>
          </w:tcPr>
          <w:p w14:paraId="25DE0C12">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测温制动屏图纸</w:t>
            </w:r>
          </w:p>
        </w:tc>
        <w:tc>
          <w:tcPr>
            <w:tcW w:w="905" w:type="pct"/>
          </w:tcPr>
          <w:p w14:paraId="385ABD0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C5A53E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529571C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ACC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09B8C4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c>
          <w:tcPr>
            <w:tcW w:w="2215" w:type="pct"/>
          </w:tcPr>
          <w:p w14:paraId="40D970DC">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主引出线和中性点引出线布置图</w:t>
            </w:r>
          </w:p>
        </w:tc>
        <w:tc>
          <w:tcPr>
            <w:tcW w:w="905" w:type="pct"/>
          </w:tcPr>
          <w:p w14:paraId="1FC0DF4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9E7173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F04562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6706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7BEBEC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17</w:t>
            </w:r>
          </w:p>
        </w:tc>
        <w:tc>
          <w:tcPr>
            <w:tcW w:w="2215" w:type="pct"/>
          </w:tcPr>
          <w:p w14:paraId="2E27A334">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发电机电磁计算成果</w:t>
            </w:r>
          </w:p>
        </w:tc>
        <w:tc>
          <w:tcPr>
            <w:tcW w:w="905" w:type="pct"/>
          </w:tcPr>
          <w:p w14:paraId="131B362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74A91A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5729CC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3433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77192A9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18</w:t>
            </w:r>
          </w:p>
        </w:tc>
        <w:tc>
          <w:tcPr>
            <w:tcW w:w="2215" w:type="pct"/>
          </w:tcPr>
          <w:p w14:paraId="126D2AA5">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发电机功率及运行特性曲线</w:t>
            </w:r>
          </w:p>
        </w:tc>
        <w:tc>
          <w:tcPr>
            <w:tcW w:w="905" w:type="pct"/>
          </w:tcPr>
          <w:p w14:paraId="615505E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698FC2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2A06186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1F76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4721806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19</w:t>
            </w:r>
          </w:p>
        </w:tc>
        <w:tc>
          <w:tcPr>
            <w:tcW w:w="2215" w:type="pct"/>
            <w:vAlign w:val="center"/>
          </w:tcPr>
          <w:p w14:paraId="7DB6A699">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发电机产品技术条件及说明书</w:t>
            </w:r>
          </w:p>
        </w:tc>
        <w:tc>
          <w:tcPr>
            <w:tcW w:w="905" w:type="pct"/>
          </w:tcPr>
          <w:p w14:paraId="602E77F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90C030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1485A0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BBC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2D25C62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20</w:t>
            </w:r>
          </w:p>
        </w:tc>
        <w:tc>
          <w:tcPr>
            <w:tcW w:w="2215" w:type="pct"/>
          </w:tcPr>
          <w:p w14:paraId="6361531C">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发电机空载和短路特性曲线</w:t>
            </w:r>
          </w:p>
        </w:tc>
        <w:tc>
          <w:tcPr>
            <w:tcW w:w="905" w:type="pct"/>
          </w:tcPr>
          <w:p w14:paraId="3E01B576">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49877B3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E41FF8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0CBE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7736DA2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21</w:t>
            </w:r>
          </w:p>
        </w:tc>
        <w:tc>
          <w:tcPr>
            <w:tcW w:w="2215" w:type="pct"/>
          </w:tcPr>
          <w:p w14:paraId="1CB1E589">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发电机安装使用维护说明书</w:t>
            </w:r>
          </w:p>
        </w:tc>
        <w:tc>
          <w:tcPr>
            <w:tcW w:w="905" w:type="pct"/>
          </w:tcPr>
          <w:p w14:paraId="59331C1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50CF1BB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5AE7476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97D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1C7C479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22</w:t>
            </w:r>
          </w:p>
        </w:tc>
        <w:tc>
          <w:tcPr>
            <w:tcW w:w="2215" w:type="pct"/>
          </w:tcPr>
          <w:p w14:paraId="48A7F0C5">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厂内产品检查及试验记录</w:t>
            </w:r>
          </w:p>
        </w:tc>
        <w:tc>
          <w:tcPr>
            <w:tcW w:w="905" w:type="pct"/>
          </w:tcPr>
          <w:p w14:paraId="3786A72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1B025AF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02C5B6D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3C7D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tcPr>
          <w:p w14:paraId="280BAE2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23</w:t>
            </w:r>
          </w:p>
        </w:tc>
        <w:tc>
          <w:tcPr>
            <w:tcW w:w="2215" w:type="pct"/>
            <w:vAlign w:val="center"/>
          </w:tcPr>
          <w:p w14:paraId="3A4556D9">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图纸资料目录</w:t>
            </w:r>
          </w:p>
        </w:tc>
        <w:tc>
          <w:tcPr>
            <w:tcW w:w="905" w:type="pct"/>
          </w:tcPr>
          <w:p w14:paraId="556A88B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3731235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6" w:type="pct"/>
          </w:tcPr>
          <w:p w14:paraId="72D7F52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bl>
    <w:p w14:paraId="02EEB17D">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3.3 标准</w:t>
      </w:r>
    </w:p>
    <w:p w14:paraId="35CCFC1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发电机设计、制造、安装、调试等应满足以下标准规范要求（不限于）。</w:t>
      </w:r>
    </w:p>
    <w:tbl>
      <w:tblPr>
        <w:tblStyle w:val="65"/>
        <w:tblW w:w="5003"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7" w:type="dxa"/>
          <w:bottom w:w="0" w:type="dxa"/>
          <w:right w:w="57" w:type="dxa"/>
        </w:tblCellMar>
      </w:tblPr>
      <w:tblGrid>
        <w:gridCol w:w="2037"/>
        <w:gridCol w:w="6388"/>
      </w:tblGrid>
      <w:tr w14:paraId="20581E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49BED41A">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NB/T10878</w:t>
            </w:r>
          </w:p>
        </w:tc>
        <w:tc>
          <w:tcPr>
            <w:tcW w:w="3791" w:type="pct"/>
            <w:vAlign w:val="center"/>
          </w:tcPr>
          <w:p w14:paraId="6D71E143">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水力发电厂机电设计规范</w:t>
            </w:r>
          </w:p>
        </w:tc>
      </w:tr>
      <w:tr w14:paraId="2DFC4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47CF6D7F">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GB/T7894</w:t>
            </w:r>
          </w:p>
        </w:tc>
        <w:tc>
          <w:tcPr>
            <w:tcW w:w="3791" w:type="pct"/>
            <w:vAlign w:val="center"/>
          </w:tcPr>
          <w:p w14:paraId="2D3A8EE3">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水轮发电机基本技术条件</w:t>
            </w:r>
          </w:p>
        </w:tc>
      </w:tr>
      <w:tr w14:paraId="43673B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362FD256">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szCs w:val="21"/>
              </w:rPr>
              <w:t>SL668</w:t>
            </w:r>
          </w:p>
        </w:tc>
        <w:tc>
          <w:tcPr>
            <w:tcW w:w="3791" w:type="pct"/>
            <w:vAlign w:val="center"/>
          </w:tcPr>
          <w:p w14:paraId="4CCEA966">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水轮发电机组推力轴承、导轴承安装调整工艺导则</w:t>
            </w:r>
          </w:p>
        </w:tc>
      </w:tr>
      <w:tr w14:paraId="130EF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6703BD40">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szCs w:val="21"/>
              </w:rPr>
              <w:t>GB/T8564</w:t>
            </w:r>
          </w:p>
        </w:tc>
        <w:tc>
          <w:tcPr>
            <w:tcW w:w="3791" w:type="pct"/>
            <w:vAlign w:val="center"/>
          </w:tcPr>
          <w:p w14:paraId="545D8515">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szCs w:val="21"/>
              </w:rPr>
              <w:t>水轮发电机组安装技术规范</w:t>
            </w:r>
          </w:p>
        </w:tc>
      </w:tr>
      <w:tr w14:paraId="2A515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178E0F20">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NB/T35004</w:t>
            </w:r>
          </w:p>
        </w:tc>
        <w:tc>
          <w:tcPr>
            <w:tcW w:w="3791" w:type="pct"/>
            <w:vAlign w:val="center"/>
          </w:tcPr>
          <w:p w14:paraId="2C26FA9B">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水力发电厂自动化设计技术规范</w:t>
            </w:r>
          </w:p>
        </w:tc>
      </w:tr>
      <w:tr w14:paraId="7994AC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27FC1E14">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szCs w:val="21"/>
              </w:rPr>
              <w:t>NB/T42052</w:t>
            </w:r>
          </w:p>
        </w:tc>
        <w:tc>
          <w:tcPr>
            <w:tcW w:w="3791" w:type="pct"/>
            <w:vAlign w:val="center"/>
          </w:tcPr>
          <w:p w14:paraId="502DD39C">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szCs w:val="21"/>
              </w:rPr>
              <w:t>小水电机组启动试验规程</w:t>
            </w:r>
          </w:p>
        </w:tc>
      </w:tr>
      <w:tr w14:paraId="12556B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17AB5C36">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NB/T 42096</w:t>
            </w:r>
          </w:p>
        </w:tc>
        <w:tc>
          <w:tcPr>
            <w:tcW w:w="3791" w:type="pct"/>
            <w:vAlign w:val="center"/>
          </w:tcPr>
          <w:p w14:paraId="1C6AA7CD">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小型水轮发电机产品质量控制规范</w:t>
            </w:r>
          </w:p>
        </w:tc>
      </w:tr>
      <w:tr w14:paraId="6D34DB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59F3ECB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JB/T1270</w:t>
            </w:r>
          </w:p>
        </w:tc>
        <w:tc>
          <w:tcPr>
            <w:tcW w:w="3791" w:type="pct"/>
            <w:vAlign w:val="center"/>
          </w:tcPr>
          <w:p w14:paraId="13E3F731">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水轮机、发电机大轴锻件技术条件</w:t>
            </w:r>
          </w:p>
        </w:tc>
      </w:tr>
      <w:tr w14:paraId="41D9D5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616241B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3334.1</w:t>
            </w:r>
          </w:p>
        </w:tc>
        <w:tc>
          <w:tcPr>
            <w:tcW w:w="3791" w:type="pct"/>
            <w:vAlign w:val="center"/>
          </w:tcPr>
          <w:p w14:paraId="4576DBE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水轮发电机用制动器第1部分：立式水轮发电机用制动器</w:t>
            </w:r>
          </w:p>
        </w:tc>
      </w:tr>
      <w:tr w14:paraId="4E310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19E1CF4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10265</w:t>
            </w:r>
          </w:p>
        </w:tc>
        <w:tc>
          <w:tcPr>
            <w:tcW w:w="3791" w:type="pct"/>
            <w:vAlign w:val="center"/>
          </w:tcPr>
          <w:p w14:paraId="7AD7604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水轮发电机用上下圆盘锻件技术条件</w:t>
            </w:r>
          </w:p>
        </w:tc>
      </w:tr>
      <w:tr w14:paraId="6CE537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5AB9526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4058</w:t>
            </w:r>
          </w:p>
        </w:tc>
        <w:tc>
          <w:tcPr>
            <w:tcW w:w="3791" w:type="pct"/>
            <w:vAlign w:val="center"/>
          </w:tcPr>
          <w:p w14:paraId="503B335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汽轮机清洁度</w:t>
            </w:r>
          </w:p>
        </w:tc>
      </w:tr>
      <w:tr w14:paraId="55E5C0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094D60CD">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11348.3</w:t>
            </w:r>
          </w:p>
        </w:tc>
        <w:tc>
          <w:tcPr>
            <w:tcW w:w="3791" w:type="pct"/>
            <w:vAlign w:val="center"/>
          </w:tcPr>
          <w:p w14:paraId="65E5380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旋转机械转轴径向振动的测量和评定第3部分</w:t>
            </w:r>
          </w:p>
        </w:tc>
      </w:tr>
      <w:tr w14:paraId="05F611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27C9FC89">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699</w:t>
            </w:r>
          </w:p>
        </w:tc>
        <w:tc>
          <w:tcPr>
            <w:tcW w:w="3791" w:type="pct"/>
            <w:vAlign w:val="center"/>
          </w:tcPr>
          <w:p w14:paraId="08954BB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优质碳素结构钢</w:t>
            </w:r>
          </w:p>
        </w:tc>
      </w:tr>
      <w:tr w14:paraId="6C8423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0DD666F1">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700</w:t>
            </w:r>
          </w:p>
        </w:tc>
        <w:tc>
          <w:tcPr>
            <w:tcW w:w="3791" w:type="pct"/>
            <w:vAlign w:val="center"/>
          </w:tcPr>
          <w:p w14:paraId="288A444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碳素结构钢</w:t>
            </w:r>
          </w:p>
        </w:tc>
      </w:tr>
      <w:tr w14:paraId="48637A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13E1EDDF">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3077</w:t>
            </w:r>
          </w:p>
        </w:tc>
        <w:tc>
          <w:tcPr>
            <w:tcW w:w="3791" w:type="pct"/>
            <w:vAlign w:val="center"/>
          </w:tcPr>
          <w:p w14:paraId="0BD99703">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合金结构钢</w:t>
            </w:r>
          </w:p>
        </w:tc>
      </w:tr>
      <w:tr w14:paraId="723358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2DD0C49D">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6402</w:t>
            </w:r>
          </w:p>
        </w:tc>
        <w:tc>
          <w:tcPr>
            <w:tcW w:w="3791" w:type="pct"/>
            <w:vAlign w:val="center"/>
          </w:tcPr>
          <w:p w14:paraId="539F2E21">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钢锻件超声检测方法</w:t>
            </w:r>
          </w:p>
        </w:tc>
      </w:tr>
      <w:tr w14:paraId="0B0B2D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3D9A825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6967</w:t>
            </w:r>
          </w:p>
        </w:tc>
        <w:tc>
          <w:tcPr>
            <w:tcW w:w="3791" w:type="pct"/>
            <w:vAlign w:val="center"/>
          </w:tcPr>
          <w:p w14:paraId="349E2DA0">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工程结构用中、高强度不锈钢铸件</w:t>
            </w:r>
          </w:p>
        </w:tc>
      </w:tr>
      <w:tr w14:paraId="3AA65A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23610491">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7233.1</w:t>
            </w:r>
          </w:p>
        </w:tc>
        <w:tc>
          <w:tcPr>
            <w:tcW w:w="3791" w:type="pct"/>
            <w:vAlign w:val="center"/>
          </w:tcPr>
          <w:p w14:paraId="716B2575">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铸钢件 超声检测第1部分：一般用途铸钢件</w:t>
            </w:r>
          </w:p>
        </w:tc>
      </w:tr>
      <w:tr w14:paraId="6CFD25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6A6BA099">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9443</w:t>
            </w:r>
          </w:p>
        </w:tc>
        <w:tc>
          <w:tcPr>
            <w:tcW w:w="3791" w:type="pct"/>
            <w:vAlign w:val="center"/>
          </w:tcPr>
          <w:p w14:paraId="5F5064A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铸钢件渗透检测</w:t>
            </w:r>
          </w:p>
        </w:tc>
      </w:tr>
      <w:tr w14:paraId="365A6C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4B0BD77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9444</w:t>
            </w:r>
          </w:p>
        </w:tc>
        <w:tc>
          <w:tcPr>
            <w:tcW w:w="3791" w:type="pct"/>
            <w:vAlign w:val="center"/>
          </w:tcPr>
          <w:p w14:paraId="1AAE31FF">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铸钢件磁粉检测</w:t>
            </w:r>
          </w:p>
        </w:tc>
      </w:tr>
      <w:tr w14:paraId="6E080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415CE08F">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11345</w:t>
            </w:r>
          </w:p>
        </w:tc>
        <w:tc>
          <w:tcPr>
            <w:tcW w:w="3791" w:type="pct"/>
            <w:vAlign w:val="center"/>
          </w:tcPr>
          <w:p w14:paraId="3186652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钢焊缝手工超声波探伤方法和探伤结果分级</w:t>
            </w:r>
          </w:p>
        </w:tc>
      </w:tr>
      <w:tr w14:paraId="3415A3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4CEB977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11352</w:t>
            </w:r>
          </w:p>
        </w:tc>
        <w:tc>
          <w:tcPr>
            <w:tcW w:w="3791" w:type="pct"/>
            <w:vAlign w:val="center"/>
          </w:tcPr>
          <w:p w14:paraId="154E596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一般工程用铸造碳钢件</w:t>
            </w:r>
          </w:p>
        </w:tc>
      </w:tr>
      <w:tr w14:paraId="79CE9A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205E5926">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26951</w:t>
            </w:r>
          </w:p>
        </w:tc>
        <w:tc>
          <w:tcPr>
            <w:tcW w:w="3791" w:type="pct"/>
            <w:vAlign w:val="center"/>
          </w:tcPr>
          <w:p w14:paraId="439B953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焊缝无损检测 磁粉检测</w:t>
            </w:r>
          </w:p>
        </w:tc>
      </w:tr>
      <w:tr w14:paraId="01EB08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3F0FC1E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26952</w:t>
            </w:r>
          </w:p>
        </w:tc>
        <w:tc>
          <w:tcPr>
            <w:tcW w:w="3791" w:type="pct"/>
            <w:vAlign w:val="center"/>
          </w:tcPr>
          <w:p w14:paraId="2F99A0C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焊缝无损检测 磁粉检测 验收等级</w:t>
            </w:r>
          </w:p>
        </w:tc>
      </w:tr>
      <w:tr w14:paraId="118B35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1B5C39E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26953</w:t>
            </w:r>
          </w:p>
        </w:tc>
        <w:tc>
          <w:tcPr>
            <w:tcW w:w="3791" w:type="pct"/>
            <w:vAlign w:val="center"/>
          </w:tcPr>
          <w:p w14:paraId="5B803443">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焊缝无损检测 焊缝渗透检测 验收等级</w:t>
            </w:r>
          </w:p>
        </w:tc>
      </w:tr>
      <w:tr w14:paraId="13C5B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02E7865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6402</w:t>
            </w:r>
          </w:p>
        </w:tc>
        <w:tc>
          <w:tcPr>
            <w:tcW w:w="3791" w:type="pct"/>
            <w:vAlign w:val="center"/>
          </w:tcPr>
          <w:p w14:paraId="1D725B6F">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大型低合金钢铸件</w:t>
            </w:r>
          </w:p>
        </w:tc>
      </w:tr>
      <w:tr w14:paraId="00E9FB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5009363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6396</w:t>
            </w:r>
          </w:p>
        </w:tc>
        <w:tc>
          <w:tcPr>
            <w:tcW w:w="3791" w:type="pct"/>
            <w:vAlign w:val="center"/>
          </w:tcPr>
          <w:p w14:paraId="59392A1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大型合金结构钢锻件</w:t>
            </w:r>
          </w:p>
        </w:tc>
      </w:tr>
      <w:tr w14:paraId="167678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035213C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6397</w:t>
            </w:r>
          </w:p>
        </w:tc>
        <w:tc>
          <w:tcPr>
            <w:tcW w:w="3791" w:type="pct"/>
            <w:vAlign w:val="center"/>
          </w:tcPr>
          <w:p w14:paraId="6C42500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大型碳素结构钢锻件 技术条件</w:t>
            </w:r>
          </w:p>
        </w:tc>
      </w:tr>
      <w:tr w14:paraId="057A72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6BA6553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7023</w:t>
            </w:r>
          </w:p>
        </w:tc>
        <w:tc>
          <w:tcPr>
            <w:tcW w:w="3791" w:type="pct"/>
            <w:vAlign w:val="center"/>
          </w:tcPr>
          <w:p w14:paraId="5F9A7965">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水轮发电机镜板锻件技术条件</w:t>
            </w:r>
          </w:p>
        </w:tc>
      </w:tr>
      <w:tr w14:paraId="28261A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62F65891">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10180</w:t>
            </w:r>
          </w:p>
        </w:tc>
        <w:tc>
          <w:tcPr>
            <w:tcW w:w="3791" w:type="pct"/>
            <w:vAlign w:val="center"/>
          </w:tcPr>
          <w:p w14:paraId="570475B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水轮发电机推力轴承弹性金属塑料瓦技术条件</w:t>
            </w:r>
          </w:p>
        </w:tc>
      </w:tr>
      <w:tr w14:paraId="326CAB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15AD1A20">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8467</w:t>
            </w:r>
          </w:p>
        </w:tc>
        <w:tc>
          <w:tcPr>
            <w:tcW w:w="3791" w:type="pct"/>
            <w:vAlign w:val="center"/>
          </w:tcPr>
          <w:p w14:paraId="7A594DFF">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锻钢件超声波探伤方法</w:t>
            </w:r>
          </w:p>
        </w:tc>
      </w:tr>
      <w:tr w14:paraId="76D216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776AADA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8468</w:t>
            </w:r>
          </w:p>
        </w:tc>
        <w:tc>
          <w:tcPr>
            <w:tcW w:w="3791" w:type="pct"/>
            <w:vAlign w:val="center"/>
          </w:tcPr>
          <w:p w14:paraId="7C0FC5AF">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锻钢件磁粉检验方法</w:t>
            </w:r>
          </w:p>
        </w:tc>
      </w:tr>
      <w:tr w14:paraId="088491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37C7A62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8162</w:t>
            </w:r>
          </w:p>
        </w:tc>
        <w:tc>
          <w:tcPr>
            <w:tcW w:w="3791" w:type="pct"/>
            <w:vAlign w:val="center"/>
          </w:tcPr>
          <w:p w14:paraId="0D06FDF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结构用无缝钢管</w:t>
            </w:r>
          </w:p>
        </w:tc>
      </w:tr>
      <w:tr w14:paraId="5083C0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3A03F71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8163</w:t>
            </w:r>
          </w:p>
        </w:tc>
        <w:tc>
          <w:tcPr>
            <w:tcW w:w="3791" w:type="pct"/>
            <w:vAlign w:val="center"/>
          </w:tcPr>
          <w:p w14:paraId="3E35DC70">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输送流体用无缝钢管</w:t>
            </w:r>
          </w:p>
        </w:tc>
      </w:tr>
      <w:tr w14:paraId="17FA2C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209" w:type="pct"/>
            <w:vAlign w:val="center"/>
          </w:tcPr>
          <w:p w14:paraId="23C76B1F">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CCH―70―3</w:t>
            </w:r>
          </w:p>
        </w:tc>
        <w:tc>
          <w:tcPr>
            <w:tcW w:w="3791" w:type="pct"/>
            <w:vAlign w:val="center"/>
          </w:tcPr>
          <w:p w14:paraId="78DEC97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水力机械铸钢件检查规程</w:t>
            </w:r>
          </w:p>
        </w:tc>
      </w:tr>
    </w:tbl>
    <w:p w14:paraId="78D2F05E">
      <w:pPr>
        <w:pStyle w:val="4"/>
        <w:tabs>
          <w:tab w:val="left" w:pos="0"/>
        </w:tabs>
        <w:ind w:firstLine="0"/>
        <w:rPr>
          <w:rFonts w:hint="eastAsia" w:asciiTheme="minorEastAsia" w:hAnsiTheme="minorEastAsia" w:eastAsiaTheme="minorEastAsia" w:cstheme="minorEastAsia"/>
          <w:color w:val="auto"/>
          <w:sz w:val="21"/>
          <w:szCs w:val="21"/>
        </w:rPr>
      </w:pPr>
    </w:p>
    <w:p w14:paraId="3DB91B38">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3.4 型式和额定值</w:t>
      </w:r>
    </w:p>
    <w:p w14:paraId="3C86235F">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3.4.1 型式</w:t>
      </w:r>
    </w:p>
    <w:p w14:paraId="518DC83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发电机为卧轴、三相、空冷同步发电机。</w:t>
      </w:r>
    </w:p>
    <w:p w14:paraId="10FA8D4E">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3.4.2 额定值</w:t>
      </w:r>
    </w:p>
    <w:p w14:paraId="6A11E28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额定容量          1000kW/ 1250kVA</w:t>
      </w:r>
    </w:p>
    <w:p w14:paraId="681105D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额定电压          6.3kV</w:t>
      </w:r>
    </w:p>
    <w:p w14:paraId="465CB25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额定功率因数      0.8（滞后）</w:t>
      </w:r>
    </w:p>
    <w:p w14:paraId="1D1EFFF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额定转速          1000r/min</w:t>
      </w:r>
    </w:p>
    <w:p w14:paraId="0A6C335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额定频率          50Hz</w:t>
      </w:r>
    </w:p>
    <w:p w14:paraId="0238817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相    数          三相</w:t>
      </w:r>
    </w:p>
    <w:p w14:paraId="26026B58">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3.5 主要参数及性能保证</w:t>
      </w:r>
    </w:p>
    <w:p w14:paraId="57891271">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3.5.1 电气特性</w:t>
      </w:r>
    </w:p>
    <w:p w14:paraId="52C6EB4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3.5.1.1 电抗（以额定电压和额定容量为基准）</w:t>
      </w:r>
    </w:p>
    <w:p w14:paraId="622DB3F6">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1）纵轴同步电抗X</w:t>
      </w:r>
      <w:r>
        <w:rPr>
          <w:rFonts w:hint="eastAsia" w:asciiTheme="minorEastAsia" w:hAnsiTheme="minorEastAsia" w:eastAsiaTheme="minorEastAsia" w:cstheme="minorEastAsia"/>
          <w:snapToGrid w:val="0"/>
          <w:color w:val="auto"/>
          <w:kern w:val="0"/>
          <w:szCs w:val="21"/>
          <w:vertAlign w:val="subscript"/>
        </w:rPr>
        <w:t>d</w:t>
      </w:r>
      <w:r>
        <w:rPr>
          <w:rFonts w:hint="eastAsia" w:asciiTheme="minorEastAsia" w:hAnsiTheme="minorEastAsia" w:eastAsiaTheme="minorEastAsia" w:cstheme="minorEastAsia"/>
          <w:snapToGrid w:val="0"/>
          <w:color w:val="auto"/>
          <w:kern w:val="0"/>
          <w:szCs w:val="21"/>
        </w:rPr>
        <w:t>（不饱和值）不大于1.0（标么值）；</w:t>
      </w:r>
    </w:p>
    <w:p w14:paraId="32957B65">
      <w:pPr>
        <w:pStyle w:val="983"/>
        <w:tabs>
          <w:tab w:val="left" w:pos="3025"/>
        </w:tabs>
        <w:autoSpaceDE w:val="0"/>
        <w:autoSpaceDN w:val="0"/>
        <w:ind w:left="468" w:firstLine="0" w:firstLineChars="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纵轴</w:t>
      </w:r>
      <w:r>
        <w:rPr>
          <w:rFonts w:hint="eastAsia" w:asciiTheme="minorEastAsia" w:hAnsiTheme="minorEastAsia" w:eastAsiaTheme="minorEastAsia" w:cstheme="minorEastAsia"/>
          <w:color w:val="auto"/>
          <w:szCs w:val="21"/>
        </w:rPr>
        <w:t>瞬态</w:t>
      </w:r>
      <w:r>
        <w:rPr>
          <w:rFonts w:hint="eastAsia" w:asciiTheme="minorEastAsia" w:hAnsiTheme="minorEastAsia" w:eastAsiaTheme="minorEastAsia" w:cstheme="minorEastAsia"/>
          <w:snapToGrid w:val="0"/>
          <w:color w:val="auto"/>
          <w:kern w:val="0"/>
          <w:szCs w:val="21"/>
        </w:rPr>
        <w:t>电抗X</w:t>
      </w:r>
      <w:r>
        <w:rPr>
          <w:rFonts w:hint="eastAsia" w:asciiTheme="minorEastAsia" w:hAnsiTheme="minorEastAsia" w:eastAsiaTheme="minorEastAsia" w:cstheme="minorEastAsia"/>
          <w:snapToGrid w:val="0"/>
          <w:color w:val="auto"/>
          <w:kern w:val="0"/>
          <w:szCs w:val="21"/>
          <w:vertAlign w:val="subscript"/>
        </w:rPr>
        <w:t>d</w:t>
      </w:r>
      <w:r>
        <w:rPr>
          <w:rFonts w:hint="eastAsia" w:asciiTheme="minorEastAsia" w:hAnsiTheme="minorEastAsia" w:eastAsiaTheme="minorEastAsia" w:cstheme="minorEastAsia"/>
          <w:snapToGrid w:val="0"/>
          <w:color w:val="auto"/>
          <w:kern w:val="0"/>
          <w:szCs w:val="21"/>
          <w:vertAlign w:val="superscript"/>
        </w:rPr>
        <w:t>＇</w:t>
      </w:r>
      <w:r>
        <w:rPr>
          <w:rFonts w:hint="eastAsia" w:asciiTheme="minorEastAsia" w:hAnsiTheme="minorEastAsia" w:eastAsiaTheme="minorEastAsia" w:cstheme="minorEastAsia"/>
          <w:snapToGrid w:val="0"/>
          <w:color w:val="auto"/>
          <w:kern w:val="0"/>
          <w:szCs w:val="21"/>
        </w:rPr>
        <w:t>（饱和值）不大于0.28（标么值）；</w:t>
      </w:r>
    </w:p>
    <w:p w14:paraId="60A1CB4D">
      <w:pPr>
        <w:pStyle w:val="983"/>
        <w:tabs>
          <w:tab w:val="left" w:pos="3025"/>
        </w:tabs>
        <w:autoSpaceDE w:val="0"/>
        <w:autoSpaceDN w:val="0"/>
        <w:ind w:left="468" w:firstLine="0" w:firstLineChars="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纵轴超</w:t>
      </w:r>
      <w:r>
        <w:rPr>
          <w:rFonts w:hint="eastAsia" w:asciiTheme="minorEastAsia" w:hAnsiTheme="minorEastAsia" w:eastAsiaTheme="minorEastAsia" w:cstheme="minorEastAsia"/>
          <w:color w:val="auto"/>
          <w:szCs w:val="21"/>
        </w:rPr>
        <w:t>瞬态</w:t>
      </w:r>
      <w:r>
        <w:rPr>
          <w:rFonts w:hint="eastAsia" w:asciiTheme="minorEastAsia" w:hAnsiTheme="minorEastAsia" w:eastAsiaTheme="minorEastAsia" w:cstheme="minorEastAsia"/>
          <w:snapToGrid w:val="0"/>
          <w:color w:val="auto"/>
          <w:kern w:val="0"/>
          <w:szCs w:val="21"/>
        </w:rPr>
        <w:t>电抗X</w:t>
      </w:r>
      <w:r>
        <w:rPr>
          <w:rFonts w:hint="eastAsia" w:asciiTheme="minorEastAsia" w:hAnsiTheme="minorEastAsia" w:eastAsiaTheme="minorEastAsia" w:cstheme="minorEastAsia"/>
          <w:snapToGrid w:val="0"/>
          <w:color w:val="auto"/>
          <w:kern w:val="0"/>
          <w:szCs w:val="21"/>
          <w:vertAlign w:val="subscript"/>
        </w:rPr>
        <w:t>d</w:t>
      </w:r>
      <w:r>
        <w:rPr>
          <w:rFonts w:hint="eastAsia" w:asciiTheme="minorEastAsia" w:hAnsiTheme="minorEastAsia" w:eastAsiaTheme="minorEastAsia" w:cstheme="minorEastAsia"/>
          <w:snapToGrid w:val="0"/>
          <w:color w:val="auto"/>
          <w:kern w:val="0"/>
          <w:szCs w:val="21"/>
          <w:vertAlign w:val="superscript"/>
        </w:rPr>
        <w:t xml:space="preserve"> "</w:t>
      </w:r>
      <w:r>
        <w:rPr>
          <w:rFonts w:hint="eastAsia" w:asciiTheme="minorEastAsia" w:hAnsiTheme="minorEastAsia" w:eastAsiaTheme="minorEastAsia" w:cstheme="minorEastAsia"/>
          <w:snapToGrid w:val="0"/>
          <w:color w:val="auto"/>
          <w:kern w:val="0"/>
          <w:szCs w:val="21"/>
        </w:rPr>
        <w:t>（饱和值）不小于0.18（标么值）；</w:t>
      </w:r>
    </w:p>
    <w:p w14:paraId="7ECAA50C">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w:t>
      </w:r>
      <w:r>
        <w:rPr>
          <w:rFonts w:hint="eastAsia" w:asciiTheme="minorEastAsia" w:hAnsiTheme="minorEastAsia" w:eastAsiaTheme="minorEastAsia" w:cstheme="minorEastAsia"/>
          <w:color w:val="auto"/>
          <w:szCs w:val="21"/>
        </w:rPr>
        <w:t>横轴超瞬态电抗值与纵轴超瞬态电抗值</w:t>
      </w:r>
      <w:r>
        <w:rPr>
          <w:rFonts w:hint="eastAsia" w:asciiTheme="minorEastAsia" w:hAnsiTheme="minorEastAsia" w:eastAsiaTheme="minorEastAsia" w:cstheme="minorEastAsia"/>
          <w:snapToGrid w:val="0"/>
          <w:color w:val="auto"/>
          <w:kern w:val="0"/>
          <w:szCs w:val="21"/>
        </w:rPr>
        <w:t>X</w:t>
      </w:r>
      <w:r>
        <w:rPr>
          <w:rFonts w:hint="eastAsia" w:asciiTheme="minorEastAsia" w:hAnsiTheme="minorEastAsia" w:eastAsiaTheme="minorEastAsia" w:cstheme="minorEastAsia"/>
          <w:snapToGrid w:val="0"/>
          <w:color w:val="auto"/>
          <w:kern w:val="0"/>
          <w:szCs w:val="21"/>
          <w:vertAlign w:val="subscript"/>
        </w:rPr>
        <w:t>q</w:t>
      </w:r>
      <w:r>
        <w:rPr>
          <w:rFonts w:hint="eastAsia" w:asciiTheme="minorEastAsia" w:hAnsiTheme="minorEastAsia" w:eastAsiaTheme="minorEastAsia" w:cstheme="minorEastAsia"/>
          <w:snapToGrid w:val="0"/>
          <w:color w:val="auto"/>
          <w:kern w:val="0"/>
          <w:szCs w:val="21"/>
          <w:vertAlign w:val="superscript"/>
        </w:rPr>
        <w:t xml:space="preserve"> "</w:t>
      </w:r>
      <w:r>
        <w:rPr>
          <w:rFonts w:hint="eastAsia" w:asciiTheme="minorEastAsia" w:hAnsiTheme="minorEastAsia" w:eastAsiaTheme="minorEastAsia" w:cstheme="minorEastAsia"/>
          <w:snapToGrid w:val="0"/>
          <w:color w:val="auto"/>
          <w:kern w:val="0"/>
          <w:szCs w:val="21"/>
        </w:rPr>
        <w:t>和X</w:t>
      </w:r>
      <w:r>
        <w:rPr>
          <w:rFonts w:hint="eastAsia" w:asciiTheme="minorEastAsia" w:hAnsiTheme="minorEastAsia" w:eastAsiaTheme="minorEastAsia" w:cstheme="minorEastAsia"/>
          <w:snapToGrid w:val="0"/>
          <w:color w:val="auto"/>
          <w:kern w:val="0"/>
          <w:szCs w:val="21"/>
          <w:vertAlign w:val="subscript"/>
        </w:rPr>
        <w:t xml:space="preserve">d </w:t>
      </w:r>
      <w:r>
        <w:rPr>
          <w:rFonts w:hint="eastAsia" w:asciiTheme="minorEastAsia" w:hAnsiTheme="minorEastAsia" w:eastAsiaTheme="minorEastAsia" w:cstheme="minorEastAsia"/>
          <w:snapToGrid w:val="0"/>
          <w:color w:val="auto"/>
          <w:kern w:val="0"/>
          <w:szCs w:val="21"/>
          <w:vertAlign w:val="superscript"/>
        </w:rPr>
        <w:t>"</w:t>
      </w:r>
      <w:r>
        <w:rPr>
          <w:rFonts w:hint="eastAsia" w:asciiTheme="minorEastAsia" w:hAnsiTheme="minorEastAsia" w:eastAsiaTheme="minorEastAsia" w:cstheme="minorEastAsia"/>
          <w:snapToGrid w:val="0"/>
          <w:color w:val="auto"/>
          <w:kern w:val="0"/>
          <w:szCs w:val="21"/>
        </w:rPr>
        <w:t>之比值应尽可能接近于1。</w:t>
      </w:r>
    </w:p>
    <w:p w14:paraId="6356FE79">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3.5.1.2 短路比（试验值）不小于1.0。</w:t>
      </w:r>
    </w:p>
    <w:p w14:paraId="1C38B7A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3.5.1.3 发电机在空载额定电压和额定转速时，线电压的电话谐波因数（THF）不应超过1.5%。</w:t>
      </w:r>
    </w:p>
    <w:p w14:paraId="474CAFA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3.5.1.4 发电机定子绕组接成正常工作接法时，在空载额定电压下，线电压波形正弦性畸变率不大于5%。</w:t>
      </w:r>
    </w:p>
    <w:p w14:paraId="47F6272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3.5.1.5 在下列情况下，发电机应能连续输出额定容量：</w:t>
      </w:r>
    </w:p>
    <w:p w14:paraId="046A114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1）空气冷却器、油冷却器的进水温度不超过28℃，冷却空气温度不超过40℃；</w:t>
      </w:r>
    </w:p>
    <w:p w14:paraId="4693F4E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2）在额定转速及额定功率因数时，电压与其额定值的偏差不超过±5%；</w:t>
      </w:r>
    </w:p>
    <w:p w14:paraId="5558C99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3）在额定电压和额定功率因数时，频率与其额定值的偏差不超过±1%；</w:t>
      </w:r>
    </w:p>
    <w:p w14:paraId="4D82B42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4）在额定功率因数时，当电压与频率同时偏差（两者分别不超过±5%和±1%）且均为正偏差时，两者偏差之和不超过6%；若两者偏差均为负偏差或电压和频率不同时为正偏差时，两者偏差的绝对值之和不超过5%。</w:t>
      </w:r>
    </w:p>
    <w:p w14:paraId="6B7E74D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当电压与频率偏差超过上述规定时应能连续运行，此时输出功率以励磁电流不超过额定值，定子电流不超过额定值的105%为限。</w:t>
      </w:r>
    </w:p>
    <w:p w14:paraId="4F8008B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5）发电机应能在功率因数为1.0时以1250kW出力长期安全稳定运行。</w:t>
      </w:r>
    </w:p>
    <w:p w14:paraId="15BFA3D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3.5.1.6 发电机在进相深度为0.95时应能长期安全稳定运行。</w:t>
      </w:r>
    </w:p>
    <w:p w14:paraId="6603E34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3.5.1.7 定子绕组Y形接线，中性点不接地。</w:t>
      </w:r>
    </w:p>
    <w:p w14:paraId="39D09CA3">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3.5.2 效率</w:t>
      </w:r>
    </w:p>
    <w:p w14:paraId="2658D53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发电机在额定容量、额定功率因数、额定电压及额定频率时的效率应不小于94.5%。</w:t>
      </w:r>
    </w:p>
    <w:p w14:paraId="7000BAB0">
      <w:pPr>
        <w:snapToGrid w:val="0"/>
        <w:spacing w:line="360" w:lineRule="auto"/>
        <w:ind w:firstLine="51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计算效率时发电机损耗包括：</w:t>
      </w:r>
    </w:p>
    <w:p w14:paraId="278B38CD">
      <w:pPr>
        <w:pStyle w:val="983"/>
        <w:tabs>
          <w:tab w:val="left" w:pos="1050"/>
        </w:tabs>
        <w:snapToGrid w:val="0"/>
        <w:spacing w:line="360" w:lineRule="auto"/>
        <w:ind w:left="682" w:firstLine="0" w:firstLineChars="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定子绕组损耗（80℃）</w:t>
      </w:r>
    </w:p>
    <w:p w14:paraId="771121C8">
      <w:pPr>
        <w:pStyle w:val="983"/>
        <w:tabs>
          <w:tab w:val="left" w:pos="1050"/>
        </w:tabs>
        <w:snapToGrid w:val="0"/>
        <w:spacing w:line="360" w:lineRule="auto"/>
        <w:ind w:left="682" w:firstLine="0" w:firstLineChars="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转子绕组损耗（90℃）</w:t>
      </w:r>
    </w:p>
    <w:p w14:paraId="5AB97B45">
      <w:pPr>
        <w:pStyle w:val="983"/>
        <w:tabs>
          <w:tab w:val="left" w:pos="1050"/>
        </w:tabs>
        <w:snapToGrid w:val="0"/>
        <w:spacing w:line="360" w:lineRule="auto"/>
        <w:ind w:left="682" w:firstLine="0" w:firstLineChars="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铁心损耗</w:t>
      </w:r>
    </w:p>
    <w:p w14:paraId="27D30562">
      <w:pPr>
        <w:pStyle w:val="983"/>
        <w:tabs>
          <w:tab w:val="left" w:pos="1050"/>
        </w:tabs>
        <w:snapToGrid w:val="0"/>
        <w:spacing w:line="360" w:lineRule="auto"/>
        <w:ind w:left="682" w:firstLine="0" w:firstLineChars="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风损和摩擦损耗</w:t>
      </w:r>
    </w:p>
    <w:p w14:paraId="6A7FA1C2">
      <w:pPr>
        <w:pStyle w:val="983"/>
        <w:tabs>
          <w:tab w:val="left" w:pos="1050"/>
        </w:tabs>
        <w:snapToGrid w:val="0"/>
        <w:spacing w:line="360" w:lineRule="auto"/>
        <w:ind w:left="682" w:firstLine="0" w:firstLineChars="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推力轴承损耗（发电机分担部分）</w:t>
      </w:r>
    </w:p>
    <w:p w14:paraId="7CA23F20">
      <w:pPr>
        <w:pStyle w:val="983"/>
        <w:tabs>
          <w:tab w:val="left" w:pos="1050"/>
        </w:tabs>
        <w:snapToGrid w:val="0"/>
        <w:spacing w:line="360" w:lineRule="auto"/>
        <w:ind w:left="682" w:firstLine="0" w:firstLineChars="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导轴承损耗、电刷摩擦损耗</w:t>
      </w:r>
    </w:p>
    <w:p w14:paraId="1F352766">
      <w:pPr>
        <w:pStyle w:val="983"/>
        <w:tabs>
          <w:tab w:val="left" w:pos="1050"/>
        </w:tabs>
        <w:snapToGrid w:val="0"/>
        <w:spacing w:line="360" w:lineRule="auto"/>
        <w:ind w:left="682" w:firstLine="0" w:firstLineChars="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杂散损耗</w:t>
      </w:r>
    </w:p>
    <w:p w14:paraId="35D51190">
      <w:pPr>
        <w:tabs>
          <w:tab w:val="left" w:pos="1050"/>
        </w:tabs>
        <w:snapToGrid w:val="0"/>
        <w:spacing w:line="360" w:lineRule="auto"/>
        <w:ind w:firstLine="630" w:firstLineChars="3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励磁系统（包括励磁变压器、整流器等）损耗</w:t>
      </w:r>
    </w:p>
    <w:p w14:paraId="49E2EFC6">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3.5.3 绝缘</w:t>
      </w:r>
    </w:p>
    <w:p w14:paraId="749E866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3.5.3.1 定子、转子绕组和定子铁心绝缘等级为F级。</w:t>
      </w:r>
    </w:p>
    <w:p w14:paraId="1A04515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3.5.3.2 定子线圈绝缘的工频击穿电压应大于62kV，并应对每台机组抽取3个定子线圈通过抽样试验验证。</w:t>
      </w:r>
    </w:p>
    <w:p w14:paraId="6678B7A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3.5.3.3 定子安装完成后，在进行交流绝缘介电强度试验前，应对定子绕组进行3倍额定电压的直流绝缘强度试验和泄漏电流测定。试验时按每级0.5倍额定电压分阶段升高，每阶段停留1min，其泄漏电流应不随时间延长而增大。各相泄漏电流的差别应不大于最小值的50%。</w:t>
      </w:r>
    </w:p>
    <w:p w14:paraId="11EAA89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3.5.3.4 发电机绕组对机壳及各相绕组间的绝缘应能承受表3.5-2中所规定的50Hz（波形为实际正弦波）交流介电强度试验，历时1min不得有任何损坏。</w:t>
      </w:r>
    </w:p>
    <w:p w14:paraId="7303B401">
      <w:pPr>
        <w:tabs>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表3.5-2  发电机绝缘介电强度试验标准</w:t>
      </w:r>
    </w:p>
    <w:tbl>
      <w:tblPr>
        <w:tblStyle w:val="65"/>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755"/>
        <w:gridCol w:w="3451"/>
        <w:gridCol w:w="3452"/>
      </w:tblGrid>
      <w:tr w14:paraId="6E2D92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7" w:type="pct"/>
            <w:vAlign w:val="center"/>
          </w:tcPr>
          <w:p w14:paraId="77C767A0">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序号</w:t>
            </w:r>
          </w:p>
        </w:tc>
        <w:tc>
          <w:tcPr>
            <w:tcW w:w="2468" w:type="pct"/>
            <w:gridSpan w:val="2"/>
            <w:vAlign w:val="center"/>
          </w:tcPr>
          <w:p w14:paraId="39E2E6C8">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发电机部件</w:t>
            </w:r>
          </w:p>
        </w:tc>
        <w:tc>
          <w:tcPr>
            <w:tcW w:w="2025" w:type="pct"/>
            <w:vAlign w:val="center"/>
          </w:tcPr>
          <w:p w14:paraId="394C5949">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试验电压</w:t>
            </w:r>
          </w:p>
        </w:tc>
      </w:tr>
      <w:tr w14:paraId="437DE2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7" w:type="pct"/>
            <w:vAlign w:val="center"/>
          </w:tcPr>
          <w:p w14:paraId="143C1C9B">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c>
          <w:tcPr>
            <w:tcW w:w="443" w:type="pct"/>
            <w:vMerge w:val="restart"/>
            <w:vAlign w:val="center"/>
          </w:tcPr>
          <w:p w14:paraId="32D4AA3F">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定子绕组</w:t>
            </w:r>
          </w:p>
        </w:tc>
        <w:tc>
          <w:tcPr>
            <w:tcW w:w="2025" w:type="pct"/>
            <w:vAlign w:val="center"/>
          </w:tcPr>
          <w:p w14:paraId="509C616E">
            <w:pPr>
              <w:spacing w:before="100" w:after="100" w:line="360" w:lineRule="exact"/>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定子成品线圈</w:t>
            </w:r>
          </w:p>
        </w:tc>
        <w:tc>
          <w:tcPr>
            <w:tcW w:w="2025" w:type="pct"/>
            <w:vAlign w:val="center"/>
          </w:tcPr>
          <w:p w14:paraId="5FAFFC3C">
            <w:pPr>
              <w:spacing w:before="100" w:after="100" w:line="360" w:lineRule="exact"/>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2.75U</w:t>
            </w:r>
            <w:r>
              <w:rPr>
                <w:rFonts w:hint="eastAsia" w:asciiTheme="minorEastAsia" w:hAnsiTheme="minorEastAsia" w:eastAsiaTheme="minorEastAsia" w:cstheme="minorEastAsia"/>
                <w:color w:val="auto"/>
                <w:kern w:val="0"/>
                <w:szCs w:val="21"/>
                <w:vertAlign w:val="subscript"/>
              </w:rPr>
              <w:t>N</w:t>
            </w:r>
            <w:r>
              <w:rPr>
                <w:rFonts w:hint="eastAsia" w:asciiTheme="minorEastAsia" w:hAnsiTheme="minorEastAsia" w:eastAsiaTheme="minorEastAsia" w:cstheme="minorEastAsia"/>
                <w:color w:val="auto"/>
                <w:kern w:val="0"/>
                <w:szCs w:val="21"/>
              </w:rPr>
              <w:t>+6.5kV</w:t>
            </w:r>
          </w:p>
        </w:tc>
      </w:tr>
      <w:tr w14:paraId="7AAF7E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7" w:type="pct"/>
            <w:vAlign w:val="center"/>
          </w:tcPr>
          <w:p w14:paraId="3F1BE0EB">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p>
        </w:tc>
        <w:tc>
          <w:tcPr>
            <w:tcW w:w="443" w:type="pct"/>
            <w:vMerge w:val="continue"/>
            <w:vAlign w:val="center"/>
          </w:tcPr>
          <w:p w14:paraId="5E6BF137">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p>
        </w:tc>
        <w:tc>
          <w:tcPr>
            <w:tcW w:w="2025" w:type="pct"/>
            <w:vAlign w:val="center"/>
          </w:tcPr>
          <w:p w14:paraId="1B8ACB66">
            <w:pPr>
              <w:spacing w:before="100" w:after="100" w:line="360" w:lineRule="exact"/>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定子线圈在工地嵌装前</w:t>
            </w:r>
          </w:p>
        </w:tc>
        <w:tc>
          <w:tcPr>
            <w:tcW w:w="2025" w:type="pct"/>
            <w:vAlign w:val="center"/>
          </w:tcPr>
          <w:p w14:paraId="455AFB64">
            <w:pPr>
              <w:spacing w:before="100" w:after="100" w:line="360" w:lineRule="exact"/>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2.75U</w:t>
            </w:r>
            <w:r>
              <w:rPr>
                <w:rFonts w:hint="eastAsia" w:asciiTheme="minorEastAsia" w:hAnsiTheme="minorEastAsia" w:eastAsiaTheme="minorEastAsia" w:cstheme="minorEastAsia"/>
                <w:color w:val="auto"/>
                <w:kern w:val="0"/>
                <w:szCs w:val="21"/>
                <w:vertAlign w:val="subscript"/>
              </w:rPr>
              <w:t>N</w:t>
            </w:r>
            <w:r>
              <w:rPr>
                <w:rFonts w:hint="eastAsia" w:asciiTheme="minorEastAsia" w:hAnsiTheme="minorEastAsia" w:eastAsiaTheme="minorEastAsia" w:cstheme="minorEastAsia"/>
                <w:color w:val="auto"/>
                <w:kern w:val="0"/>
                <w:szCs w:val="21"/>
              </w:rPr>
              <w:t>+2.5kV</w:t>
            </w:r>
          </w:p>
        </w:tc>
      </w:tr>
      <w:tr w14:paraId="66F742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7" w:type="pct"/>
            <w:vAlign w:val="center"/>
          </w:tcPr>
          <w:p w14:paraId="3A29EA3D">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p>
        </w:tc>
        <w:tc>
          <w:tcPr>
            <w:tcW w:w="443" w:type="pct"/>
            <w:vMerge w:val="continue"/>
            <w:vAlign w:val="center"/>
          </w:tcPr>
          <w:p w14:paraId="5229618A">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p>
        </w:tc>
        <w:tc>
          <w:tcPr>
            <w:tcW w:w="2025" w:type="pct"/>
            <w:vAlign w:val="center"/>
          </w:tcPr>
          <w:p w14:paraId="1A0D5AFC">
            <w:pPr>
              <w:spacing w:before="100" w:after="100" w:line="360" w:lineRule="exact"/>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定子安装完成后</w:t>
            </w:r>
          </w:p>
        </w:tc>
        <w:tc>
          <w:tcPr>
            <w:tcW w:w="2025" w:type="pct"/>
            <w:vAlign w:val="center"/>
          </w:tcPr>
          <w:p w14:paraId="2EE95083">
            <w:pPr>
              <w:spacing w:before="100" w:after="100" w:line="360" w:lineRule="exact"/>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2U</w:t>
            </w:r>
            <w:r>
              <w:rPr>
                <w:rFonts w:hint="eastAsia" w:asciiTheme="minorEastAsia" w:hAnsiTheme="minorEastAsia" w:eastAsiaTheme="minorEastAsia" w:cstheme="minorEastAsia"/>
                <w:color w:val="auto"/>
                <w:kern w:val="0"/>
                <w:szCs w:val="21"/>
                <w:vertAlign w:val="subscript"/>
              </w:rPr>
              <w:t>N</w:t>
            </w:r>
            <w:r>
              <w:rPr>
                <w:rFonts w:hint="eastAsia" w:asciiTheme="minorEastAsia" w:hAnsiTheme="minorEastAsia" w:eastAsiaTheme="minorEastAsia" w:cstheme="minorEastAsia"/>
                <w:color w:val="auto"/>
                <w:kern w:val="0"/>
                <w:szCs w:val="21"/>
              </w:rPr>
              <w:t>+1kV</w:t>
            </w:r>
          </w:p>
        </w:tc>
      </w:tr>
      <w:tr w14:paraId="0C592F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7" w:type="pct"/>
            <w:vMerge w:val="restart"/>
            <w:vAlign w:val="center"/>
          </w:tcPr>
          <w:p w14:paraId="0847B195">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w:t>
            </w:r>
          </w:p>
        </w:tc>
        <w:tc>
          <w:tcPr>
            <w:tcW w:w="443" w:type="pct"/>
            <w:vMerge w:val="restart"/>
            <w:vAlign w:val="center"/>
          </w:tcPr>
          <w:p w14:paraId="65569451">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转子绕组</w:t>
            </w:r>
          </w:p>
        </w:tc>
        <w:tc>
          <w:tcPr>
            <w:tcW w:w="2025" w:type="pct"/>
            <w:vAlign w:val="center"/>
          </w:tcPr>
          <w:p w14:paraId="6C817D42">
            <w:pPr>
              <w:spacing w:before="100" w:after="100" w:line="360" w:lineRule="exact"/>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额定励磁电压500V及以下</w:t>
            </w:r>
          </w:p>
        </w:tc>
        <w:tc>
          <w:tcPr>
            <w:tcW w:w="2025" w:type="pct"/>
            <w:vAlign w:val="center"/>
          </w:tcPr>
          <w:p w14:paraId="529A5B5A">
            <w:pPr>
              <w:spacing w:before="100" w:after="100" w:line="360" w:lineRule="exact"/>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10倍额定励磁电压（但最低不低于1500V）</w:t>
            </w:r>
          </w:p>
        </w:tc>
      </w:tr>
      <w:tr w14:paraId="73A4AA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7" w:type="pct"/>
            <w:vMerge w:val="continue"/>
            <w:vAlign w:val="center"/>
          </w:tcPr>
          <w:p w14:paraId="7376B620">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p>
        </w:tc>
        <w:tc>
          <w:tcPr>
            <w:tcW w:w="443" w:type="pct"/>
            <w:vMerge w:val="continue"/>
            <w:vAlign w:val="center"/>
          </w:tcPr>
          <w:p w14:paraId="238BDC02">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p>
        </w:tc>
        <w:tc>
          <w:tcPr>
            <w:tcW w:w="2025" w:type="pct"/>
            <w:vAlign w:val="center"/>
          </w:tcPr>
          <w:p w14:paraId="6F24586B">
            <w:pPr>
              <w:spacing w:before="100" w:after="100" w:line="360" w:lineRule="exact"/>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额定励磁电压500V及上</w:t>
            </w:r>
          </w:p>
        </w:tc>
        <w:tc>
          <w:tcPr>
            <w:tcW w:w="2025" w:type="pct"/>
            <w:vAlign w:val="center"/>
          </w:tcPr>
          <w:p w14:paraId="6DB84707">
            <w:pPr>
              <w:spacing w:before="100" w:after="100" w:line="360" w:lineRule="exact"/>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2倍额定励磁电压+4000V</w:t>
            </w:r>
          </w:p>
        </w:tc>
      </w:tr>
    </w:tbl>
    <w:p w14:paraId="315D04F2">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snapToGrid w:val="0"/>
          <w:color w:val="auto"/>
          <w:kern w:val="0"/>
          <w:szCs w:val="21"/>
        </w:rPr>
        <w:t>注：1、表中U</w:t>
      </w:r>
      <w:r>
        <w:rPr>
          <w:rFonts w:hint="eastAsia" w:asciiTheme="minorEastAsia" w:hAnsiTheme="minorEastAsia" w:eastAsiaTheme="minorEastAsia" w:cstheme="minorEastAsia"/>
          <w:snapToGrid w:val="0"/>
          <w:color w:val="auto"/>
          <w:kern w:val="0"/>
          <w:szCs w:val="21"/>
          <w:vertAlign w:val="subscript"/>
        </w:rPr>
        <w:t>N</w:t>
      </w:r>
      <w:r>
        <w:rPr>
          <w:rFonts w:hint="eastAsia" w:asciiTheme="minorEastAsia" w:hAnsiTheme="minorEastAsia" w:eastAsiaTheme="minorEastAsia" w:cstheme="minorEastAsia"/>
          <w:snapToGrid w:val="0"/>
          <w:color w:val="auto"/>
          <w:kern w:val="0"/>
          <w:szCs w:val="21"/>
        </w:rPr>
        <w:t>为发电机额定线电压10.5kV（有效值）。2、转子绕组试验电压值为转子装配完成后的耐压值。</w:t>
      </w:r>
    </w:p>
    <w:p w14:paraId="651EF9C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3.5.3.5 起晕电压：定子绕组单个线圈应在1.5倍额定线电压下不起晕。整机耐压时，在1.05倍额定线电压下，端部应无明显晕带和连续的金黄色亮点。定子绕组在1.3倍额定相电压下进行整体电晕试验时，应无持续可见电晕。</w:t>
      </w:r>
    </w:p>
    <w:p w14:paraId="2A7F4B8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3.5.3.6 定子线圈介质损失角正切值（tgδ）及其增量(△tgδ)的指标应满足表3.5-3中的规定。</w:t>
      </w:r>
    </w:p>
    <w:p w14:paraId="0452F80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表3.5-3 定子线圈介质损失角正切值（tgδ）及其增量（△tgδ）指标（%）</w:t>
      </w:r>
    </w:p>
    <w:tbl>
      <w:tblPr>
        <w:tblStyle w:val="65"/>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471"/>
        <w:gridCol w:w="1377"/>
        <w:gridCol w:w="1103"/>
        <w:gridCol w:w="3571"/>
      </w:tblGrid>
      <w:tr w14:paraId="48D983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450" w:type="pct"/>
            <w:vAlign w:val="center"/>
          </w:tcPr>
          <w:p w14:paraId="6F5FEC26">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试验检查项目</w:t>
            </w:r>
          </w:p>
        </w:tc>
        <w:tc>
          <w:tcPr>
            <w:tcW w:w="808" w:type="pct"/>
            <w:vAlign w:val="center"/>
          </w:tcPr>
          <w:p w14:paraId="78057180">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试验电压</w:t>
            </w:r>
          </w:p>
        </w:tc>
        <w:tc>
          <w:tcPr>
            <w:tcW w:w="647" w:type="pct"/>
            <w:vAlign w:val="center"/>
          </w:tcPr>
          <w:p w14:paraId="016BCCAB">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指标（%）</w:t>
            </w:r>
          </w:p>
        </w:tc>
        <w:tc>
          <w:tcPr>
            <w:tcW w:w="2096" w:type="pct"/>
            <w:vAlign w:val="center"/>
          </w:tcPr>
          <w:p w14:paraId="44187947">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备注</w:t>
            </w:r>
          </w:p>
        </w:tc>
      </w:tr>
      <w:tr w14:paraId="57C58B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450" w:type="pct"/>
            <w:vAlign w:val="center"/>
          </w:tcPr>
          <w:p w14:paraId="18AA5F89">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tg</w:t>
            </w:r>
            <w:r>
              <w:rPr>
                <w:rFonts w:hint="eastAsia" w:asciiTheme="minorEastAsia" w:hAnsiTheme="minorEastAsia" w:eastAsiaTheme="minorEastAsia" w:cstheme="minorEastAsia"/>
                <w:color w:val="auto"/>
                <w:kern w:val="0"/>
                <w:szCs w:val="21"/>
              </w:rPr>
              <w:sym w:font="Symbol" w:char="F064"/>
            </w:r>
            <w:r>
              <w:rPr>
                <w:rFonts w:hint="eastAsia" w:asciiTheme="minorEastAsia" w:hAnsiTheme="minorEastAsia" w:eastAsiaTheme="minorEastAsia" w:cstheme="minorEastAsia"/>
                <w:color w:val="auto"/>
                <w:kern w:val="0"/>
                <w:szCs w:val="21"/>
              </w:rPr>
              <w:t>0.2U</w:t>
            </w:r>
            <w:r>
              <w:rPr>
                <w:rFonts w:hint="eastAsia" w:asciiTheme="minorEastAsia" w:hAnsiTheme="minorEastAsia" w:eastAsiaTheme="minorEastAsia" w:cstheme="minorEastAsia"/>
                <w:color w:val="auto"/>
                <w:kern w:val="0"/>
                <w:szCs w:val="21"/>
                <w:vertAlign w:val="subscript"/>
              </w:rPr>
              <w:t>N</w:t>
            </w:r>
          </w:p>
        </w:tc>
        <w:tc>
          <w:tcPr>
            <w:tcW w:w="808" w:type="pct"/>
            <w:vAlign w:val="center"/>
          </w:tcPr>
          <w:p w14:paraId="655DB08F">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0.2U</w:t>
            </w:r>
            <w:r>
              <w:rPr>
                <w:rFonts w:hint="eastAsia" w:asciiTheme="minorEastAsia" w:hAnsiTheme="minorEastAsia" w:eastAsiaTheme="minorEastAsia" w:cstheme="minorEastAsia"/>
                <w:color w:val="auto"/>
                <w:kern w:val="0"/>
                <w:szCs w:val="21"/>
                <w:vertAlign w:val="subscript"/>
              </w:rPr>
              <w:t>N</w:t>
            </w:r>
          </w:p>
        </w:tc>
        <w:tc>
          <w:tcPr>
            <w:tcW w:w="647" w:type="pct"/>
            <w:vAlign w:val="center"/>
          </w:tcPr>
          <w:p w14:paraId="0895D30B">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sym w:font="Symbol" w:char="F0A3"/>
            </w:r>
            <w:r>
              <w:rPr>
                <w:rFonts w:hint="eastAsia" w:asciiTheme="minorEastAsia" w:hAnsiTheme="minorEastAsia" w:eastAsiaTheme="minorEastAsia" w:cstheme="minorEastAsia"/>
                <w:color w:val="auto"/>
                <w:kern w:val="0"/>
                <w:szCs w:val="21"/>
              </w:rPr>
              <w:t>2</w:t>
            </w:r>
          </w:p>
        </w:tc>
        <w:tc>
          <w:tcPr>
            <w:tcW w:w="2096" w:type="pct"/>
            <w:vAlign w:val="center"/>
          </w:tcPr>
          <w:p w14:paraId="4C62B4DF">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每台按3%抽检，如不合格，则加倍抽检</w:t>
            </w:r>
          </w:p>
        </w:tc>
      </w:tr>
      <w:tr w14:paraId="1A121B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450" w:type="pct"/>
            <w:vAlign w:val="center"/>
          </w:tcPr>
          <w:p w14:paraId="4A3EE0CA">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sym w:font="Symbol" w:char="F044"/>
            </w:r>
            <w:r>
              <w:rPr>
                <w:rFonts w:hint="eastAsia" w:asciiTheme="minorEastAsia" w:hAnsiTheme="minorEastAsia" w:eastAsiaTheme="minorEastAsia" w:cstheme="minorEastAsia"/>
                <w:color w:val="auto"/>
                <w:kern w:val="0"/>
                <w:szCs w:val="21"/>
              </w:rPr>
              <w:t>tg</w:t>
            </w:r>
            <w:r>
              <w:rPr>
                <w:rFonts w:hint="eastAsia" w:asciiTheme="minorEastAsia" w:hAnsiTheme="minorEastAsia" w:eastAsiaTheme="minorEastAsia" w:cstheme="minorEastAsia"/>
                <w:color w:val="auto"/>
                <w:kern w:val="0"/>
                <w:szCs w:val="21"/>
              </w:rPr>
              <w:sym w:font="Symbol" w:char="F064"/>
            </w:r>
            <w:r>
              <w:rPr>
                <w:rFonts w:hint="eastAsia" w:asciiTheme="minorEastAsia" w:hAnsiTheme="minorEastAsia" w:eastAsiaTheme="minorEastAsia" w:cstheme="minorEastAsia"/>
                <w:color w:val="auto"/>
                <w:kern w:val="0"/>
                <w:szCs w:val="21"/>
              </w:rPr>
              <w:t>=tg</w:t>
            </w:r>
            <w:r>
              <w:rPr>
                <w:rFonts w:hint="eastAsia" w:asciiTheme="minorEastAsia" w:hAnsiTheme="minorEastAsia" w:eastAsiaTheme="minorEastAsia" w:cstheme="minorEastAsia"/>
                <w:color w:val="auto"/>
                <w:kern w:val="0"/>
                <w:szCs w:val="21"/>
              </w:rPr>
              <w:sym w:font="Symbol" w:char="F064"/>
            </w:r>
            <w:r>
              <w:rPr>
                <w:rFonts w:hint="eastAsia" w:asciiTheme="minorEastAsia" w:hAnsiTheme="minorEastAsia" w:eastAsiaTheme="minorEastAsia" w:cstheme="minorEastAsia"/>
                <w:color w:val="auto"/>
                <w:kern w:val="0"/>
                <w:szCs w:val="21"/>
              </w:rPr>
              <w:t>0.6U</w:t>
            </w:r>
            <w:r>
              <w:rPr>
                <w:rFonts w:hint="eastAsia" w:asciiTheme="minorEastAsia" w:hAnsiTheme="minorEastAsia" w:eastAsiaTheme="minorEastAsia" w:cstheme="minorEastAsia"/>
                <w:color w:val="auto"/>
                <w:kern w:val="0"/>
                <w:szCs w:val="21"/>
                <w:vertAlign w:val="subscript"/>
              </w:rPr>
              <w:t>N</w:t>
            </w:r>
            <w:r>
              <w:rPr>
                <w:rFonts w:hint="eastAsia" w:asciiTheme="minorEastAsia" w:hAnsiTheme="minorEastAsia" w:eastAsiaTheme="minorEastAsia" w:cstheme="minorEastAsia"/>
                <w:color w:val="auto"/>
                <w:kern w:val="0"/>
                <w:szCs w:val="21"/>
              </w:rPr>
              <w:sym w:font="Symbol" w:char="F02D"/>
            </w:r>
            <w:r>
              <w:rPr>
                <w:rFonts w:hint="eastAsia" w:asciiTheme="minorEastAsia" w:hAnsiTheme="minorEastAsia" w:eastAsiaTheme="minorEastAsia" w:cstheme="minorEastAsia"/>
                <w:color w:val="auto"/>
                <w:kern w:val="0"/>
                <w:szCs w:val="21"/>
              </w:rPr>
              <w:t>tg</w:t>
            </w:r>
            <w:r>
              <w:rPr>
                <w:rFonts w:hint="eastAsia" w:asciiTheme="minorEastAsia" w:hAnsiTheme="minorEastAsia" w:eastAsiaTheme="minorEastAsia" w:cstheme="minorEastAsia"/>
                <w:color w:val="auto"/>
                <w:kern w:val="0"/>
                <w:szCs w:val="21"/>
              </w:rPr>
              <w:sym w:font="Symbol" w:char="F064"/>
            </w:r>
            <w:r>
              <w:rPr>
                <w:rFonts w:hint="eastAsia" w:asciiTheme="minorEastAsia" w:hAnsiTheme="minorEastAsia" w:eastAsiaTheme="minorEastAsia" w:cstheme="minorEastAsia"/>
                <w:color w:val="auto"/>
                <w:kern w:val="0"/>
                <w:szCs w:val="21"/>
              </w:rPr>
              <w:t>0.2U</w:t>
            </w:r>
            <w:r>
              <w:rPr>
                <w:rFonts w:hint="eastAsia" w:asciiTheme="minorEastAsia" w:hAnsiTheme="minorEastAsia" w:eastAsiaTheme="minorEastAsia" w:cstheme="minorEastAsia"/>
                <w:color w:val="auto"/>
                <w:kern w:val="0"/>
                <w:szCs w:val="21"/>
                <w:vertAlign w:val="subscript"/>
              </w:rPr>
              <w:t>N</w:t>
            </w:r>
          </w:p>
        </w:tc>
        <w:tc>
          <w:tcPr>
            <w:tcW w:w="808" w:type="pct"/>
            <w:vAlign w:val="center"/>
          </w:tcPr>
          <w:p w14:paraId="7B922297">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0.2U</w:t>
            </w:r>
            <w:r>
              <w:rPr>
                <w:rFonts w:hint="eastAsia" w:asciiTheme="minorEastAsia" w:hAnsiTheme="minorEastAsia" w:eastAsiaTheme="minorEastAsia" w:cstheme="minorEastAsia"/>
                <w:color w:val="auto"/>
                <w:kern w:val="0"/>
                <w:szCs w:val="21"/>
                <w:vertAlign w:val="subscript"/>
              </w:rPr>
              <w:t>N</w:t>
            </w:r>
            <w:r>
              <w:rPr>
                <w:rFonts w:hint="eastAsia" w:asciiTheme="minorEastAsia" w:hAnsiTheme="minorEastAsia" w:eastAsiaTheme="minorEastAsia" w:cstheme="minorEastAsia"/>
                <w:color w:val="auto"/>
                <w:kern w:val="0"/>
                <w:szCs w:val="21"/>
              </w:rPr>
              <w:t>～0.6U</w:t>
            </w:r>
            <w:r>
              <w:rPr>
                <w:rFonts w:hint="eastAsia" w:asciiTheme="minorEastAsia" w:hAnsiTheme="minorEastAsia" w:eastAsiaTheme="minorEastAsia" w:cstheme="minorEastAsia"/>
                <w:color w:val="auto"/>
                <w:kern w:val="0"/>
                <w:szCs w:val="21"/>
                <w:vertAlign w:val="subscript"/>
              </w:rPr>
              <w:t>N</w:t>
            </w:r>
          </w:p>
        </w:tc>
        <w:tc>
          <w:tcPr>
            <w:tcW w:w="647" w:type="pct"/>
            <w:vAlign w:val="center"/>
          </w:tcPr>
          <w:p w14:paraId="75229BED">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sym w:font="Symbol" w:char="F0A3"/>
            </w:r>
            <w:r>
              <w:rPr>
                <w:rFonts w:hint="eastAsia" w:asciiTheme="minorEastAsia" w:hAnsiTheme="minorEastAsia" w:eastAsiaTheme="minorEastAsia" w:cstheme="minorEastAsia"/>
                <w:color w:val="auto"/>
                <w:kern w:val="0"/>
                <w:szCs w:val="21"/>
              </w:rPr>
              <w:t>1</w:t>
            </w:r>
          </w:p>
        </w:tc>
        <w:tc>
          <w:tcPr>
            <w:tcW w:w="2096" w:type="pct"/>
            <w:vAlign w:val="center"/>
          </w:tcPr>
          <w:p w14:paraId="1949DBFF">
            <w:pPr>
              <w:spacing w:before="100" w:after="100" w:line="36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同上</w:t>
            </w:r>
          </w:p>
        </w:tc>
      </w:tr>
    </w:tbl>
    <w:p w14:paraId="0D51C33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注：U</w:t>
      </w:r>
      <w:r>
        <w:rPr>
          <w:rFonts w:hint="eastAsia" w:asciiTheme="minorEastAsia" w:hAnsiTheme="minorEastAsia" w:eastAsiaTheme="minorEastAsia" w:cstheme="minorEastAsia"/>
          <w:snapToGrid w:val="0"/>
          <w:color w:val="auto"/>
          <w:kern w:val="0"/>
          <w:szCs w:val="21"/>
          <w:vertAlign w:val="subscript"/>
        </w:rPr>
        <w:t>n</w:t>
      </w:r>
      <w:r>
        <w:rPr>
          <w:rFonts w:hint="eastAsia" w:asciiTheme="minorEastAsia" w:hAnsiTheme="minorEastAsia" w:eastAsiaTheme="minorEastAsia" w:cstheme="minorEastAsia"/>
          <w:snapToGrid w:val="0"/>
          <w:color w:val="auto"/>
          <w:kern w:val="0"/>
          <w:szCs w:val="21"/>
        </w:rPr>
        <w:sym w:font="Times New Roman" w:char="2014"/>
      </w:r>
      <w:r>
        <w:rPr>
          <w:rFonts w:hint="eastAsia" w:asciiTheme="minorEastAsia" w:hAnsiTheme="minorEastAsia" w:eastAsiaTheme="minorEastAsia" w:cstheme="minorEastAsia"/>
          <w:snapToGrid w:val="0"/>
          <w:color w:val="auto"/>
          <w:kern w:val="0"/>
          <w:szCs w:val="21"/>
        </w:rPr>
        <w:t>发电机额定线电压（10.5kV）</w:t>
      </w:r>
    </w:p>
    <w:p w14:paraId="4B127F1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3.5.4 温升</w:t>
      </w:r>
    </w:p>
    <w:p w14:paraId="569E894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3.5.4.1 在额定功率因数和额定转速、电压与额定值偏差在100±5%范围内长期连续额定容量运行时，且空气冷却器的进水温度不超过28℃、空气冷却器出口冷却空气不超过40℃的环境条件下，主要部件温升限值应不超过表3.5-4规定。</w:t>
      </w:r>
    </w:p>
    <w:p w14:paraId="3D86C6F5">
      <w:pPr>
        <w:tabs>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表3.5-4  发电机各部件允许温升限值</w:t>
      </w:r>
    </w:p>
    <w:tbl>
      <w:tblPr>
        <w:tblStyle w:val="65"/>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28" w:type="dxa"/>
          <w:bottom w:w="0" w:type="dxa"/>
          <w:right w:w="28" w:type="dxa"/>
        </w:tblCellMar>
      </w:tblPr>
      <w:tblGrid>
        <w:gridCol w:w="1094"/>
        <w:gridCol w:w="1509"/>
        <w:gridCol w:w="1646"/>
        <w:gridCol w:w="1646"/>
        <w:gridCol w:w="2467"/>
      </w:tblGrid>
      <w:tr w14:paraId="3669BC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jc w:val="center"/>
        </w:trPr>
        <w:tc>
          <w:tcPr>
            <w:tcW w:w="655" w:type="pct"/>
            <w:vMerge w:val="restart"/>
            <w:vAlign w:val="center"/>
          </w:tcPr>
          <w:p w14:paraId="5EC2EA43">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序号</w:t>
            </w:r>
          </w:p>
        </w:tc>
        <w:tc>
          <w:tcPr>
            <w:tcW w:w="902" w:type="pct"/>
            <w:vMerge w:val="restart"/>
            <w:vAlign w:val="center"/>
          </w:tcPr>
          <w:p w14:paraId="293F09C9">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发电机部件</w:t>
            </w:r>
          </w:p>
        </w:tc>
        <w:tc>
          <w:tcPr>
            <w:tcW w:w="3444" w:type="pct"/>
            <w:gridSpan w:val="3"/>
            <w:vAlign w:val="center"/>
          </w:tcPr>
          <w:p w14:paraId="28490F62">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最高允许温升限值（K）</w:t>
            </w:r>
          </w:p>
        </w:tc>
      </w:tr>
      <w:tr w14:paraId="467EDA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jc w:val="center"/>
        </w:trPr>
        <w:tc>
          <w:tcPr>
            <w:tcW w:w="655" w:type="pct"/>
            <w:vMerge w:val="continue"/>
            <w:vAlign w:val="center"/>
          </w:tcPr>
          <w:p w14:paraId="37710827">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p>
        </w:tc>
        <w:tc>
          <w:tcPr>
            <w:tcW w:w="902" w:type="pct"/>
            <w:vMerge w:val="continue"/>
            <w:vAlign w:val="center"/>
          </w:tcPr>
          <w:p w14:paraId="61E2FBD2">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p>
        </w:tc>
        <w:tc>
          <w:tcPr>
            <w:tcW w:w="984" w:type="pct"/>
            <w:vAlign w:val="center"/>
          </w:tcPr>
          <w:p w14:paraId="4959FD37">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温度计法</w:t>
            </w:r>
          </w:p>
        </w:tc>
        <w:tc>
          <w:tcPr>
            <w:tcW w:w="984" w:type="pct"/>
            <w:vAlign w:val="center"/>
          </w:tcPr>
          <w:p w14:paraId="186387BA">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电阻法</w:t>
            </w:r>
          </w:p>
        </w:tc>
        <w:tc>
          <w:tcPr>
            <w:tcW w:w="1475" w:type="pct"/>
            <w:vAlign w:val="center"/>
          </w:tcPr>
          <w:p w14:paraId="033B3307">
            <w:pPr>
              <w:spacing w:before="100" w:after="100" w:line="320" w:lineRule="exact"/>
              <w:ind w:firstLine="120"/>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检温计法（ETD）</w:t>
            </w:r>
          </w:p>
        </w:tc>
      </w:tr>
      <w:tr w14:paraId="616FD5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jc w:val="center"/>
        </w:trPr>
        <w:tc>
          <w:tcPr>
            <w:tcW w:w="655" w:type="pct"/>
            <w:vAlign w:val="center"/>
          </w:tcPr>
          <w:p w14:paraId="5DFE4B16">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c>
          <w:tcPr>
            <w:tcW w:w="902" w:type="pct"/>
            <w:vAlign w:val="center"/>
          </w:tcPr>
          <w:p w14:paraId="0DFBAADE">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定子绕组</w:t>
            </w:r>
          </w:p>
        </w:tc>
        <w:tc>
          <w:tcPr>
            <w:tcW w:w="984" w:type="pct"/>
            <w:vAlign w:val="center"/>
          </w:tcPr>
          <w:p w14:paraId="392A5866">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p>
        </w:tc>
        <w:tc>
          <w:tcPr>
            <w:tcW w:w="984" w:type="pct"/>
            <w:vAlign w:val="center"/>
          </w:tcPr>
          <w:p w14:paraId="093D4406">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p>
        </w:tc>
        <w:tc>
          <w:tcPr>
            <w:tcW w:w="1475" w:type="pct"/>
            <w:vAlign w:val="center"/>
          </w:tcPr>
          <w:p w14:paraId="5A6D02B6">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85</w:t>
            </w:r>
          </w:p>
        </w:tc>
      </w:tr>
      <w:tr w14:paraId="2F78B0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jc w:val="center"/>
        </w:trPr>
        <w:tc>
          <w:tcPr>
            <w:tcW w:w="655" w:type="pct"/>
            <w:vAlign w:val="center"/>
          </w:tcPr>
          <w:p w14:paraId="2A7490C3">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p>
        </w:tc>
        <w:tc>
          <w:tcPr>
            <w:tcW w:w="902" w:type="pct"/>
            <w:vAlign w:val="center"/>
          </w:tcPr>
          <w:p w14:paraId="7ED299D3">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定子铁心</w:t>
            </w:r>
          </w:p>
        </w:tc>
        <w:tc>
          <w:tcPr>
            <w:tcW w:w="984" w:type="pct"/>
            <w:vAlign w:val="center"/>
          </w:tcPr>
          <w:p w14:paraId="731F5C94">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p>
        </w:tc>
        <w:tc>
          <w:tcPr>
            <w:tcW w:w="984" w:type="pct"/>
            <w:vAlign w:val="center"/>
          </w:tcPr>
          <w:p w14:paraId="0AAFDF1C">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p>
        </w:tc>
        <w:tc>
          <w:tcPr>
            <w:tcW w:w="1475" w:type="pct"/>
            <w:vAlign w:val="center"/>
          </w:tcPr>
          <w:p w14:paraId="38D3C621">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85</w:t>
            </w:r>
          </w:p>
        </w:tc>
      </w:tr>
      <w:tr w14:paraId="1D9224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jc w:val="center"/>
        </w:trPr>
        <w:tc>
          <w:tcPr>
            <w:tcW w:w="655" w:type="pct"/>
            <w:vAlign w:val="center"/>
          </w:tcPr>
          <w:p w14:paraId="72B8FD59">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w:t>
            </w:r>
          </w:p>
        </w:tc>
        <w:tc>
          <w:tcPr>
            <w:tcW w:w="902" w:type="pct"/>
            <w:vAlign w:val="center"/>
          </w:tcPr>
          <w:p w14:paraId="4E64A4E7">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转子绕组</w:t>
            </w:r>
          </w:p>
        </w:tc>
        <w:tc>
          <w:tcPr>
            <w:tcW w:w="984" w:type="pct"/>
            <w:vAlign w:val="center"/>
          </w:tcPr>
          <w:p w14:paraId="6698E1E9">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p>
        </w:tc>
        <w:tc>
          <w:tcPr>
            <w:tcW w:w="984" w:type="pct"/>
            <w:vAlign w:val="center"/>
          </w:tcPr>
          <w:p w14:paraId="22A9AD12">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90</w:t>
            </w:r>
          </w:p>
        </w:tc>
        <w:tc>
          <w:tcPr>
            <w:tcW w:w="1475" w:type="pct"/>
            <w:vAlign w:val="center"/>
          </w:tcPr>
          <w:p w14:paraId="15BC913B">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p>
        </w:tc>
      </w:tr>
      <w:tr w14:paraId="781274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jc w:val="center"/>
        </w:trPr>
        <w:tc>
          <w:tcPr>
            <w:tcW w:w="655" w:type="pct"/>
            <w:vAlign w:val="center"/>
          </w:tcPr>
          <w:p w14:paraId="6295DCF6">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w:t>
            </w:r>
          </w:p>
        </w:tc>
        <w:tc>
          <w:tcPr>
            <w:tcW w:w="902" w:type="pct"/>
            <w:vAlign w:val="center"/>
          </w:tcPr>
          <w:p w14:paraId="658C9CE7">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集电环</w:t>
            </w:r>
          </w:p>
        </w:tc>
        <w:tc>
          <w:tcPr>
            <w:tcW w:w="984" w:type="pct"/>
            <w:vAlign w:val="center"/>
          </w:tcPr>
          <w:p w14:paraId="12B67209">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75</w:t>
            </w:r>
          </w:p>
        </w:tc>
        <w:tc>
          <w:tcPr>
            <w:tcW w:w="984" w:type="pct"/>
            <w:vAlign w:val="center"/>
          </w:tcPr>
          <w:p w14:paraId="30F9BE7B">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p>
        </w:tc>
        <w:tc>
          <w:tcPr>
            <w:tcW w:w="1475" w:type="pct"/>
            <w:vAlign w:val="center"/>
          </w:tcPr>
          <w:p w14:paraId="49719588">
            <w:pPr>
              <w:spacing w:before="100" w:after="100" w:line="320" w:lineRule="exact"/>
              <w:jc w:val="center"/>
              <w:textAlignment w:val="baseline"/>
              <w:rPr>
                <w:rFonts w:hint="eastAsia" w:asciiTheme="minorEastAsia" w:hAnsiTheme="minorEastAsia" w:eastAsiaTheme="minorEastAsia" w:cstheme="minorEastAsia"/>
                <w:color w:val="auto"/>
                <w:kern w:val="0"/>
                <w:szCs w:val="21"/>
              </w:rPr>
            </w:pPr>
          </w:p>
        </w:tc>
      </w:tr>
    </w:tbl>
    <w:p w14:paraId="4E7DCFB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3.5.4.2 在电压与额定值偏差在100±5%范围内、额定转速、额定功率因数，且在额定容量运行，油冷却器的进水温度不超过28℃时，采用埋置检温计法（ETD）测量，轴承油槽内热油温度不超过60℃，推力瓦和导轴瓦的瓦体温度不大于65℃。</w:t>
      </w:r>
    </w:p>
    <w:p w14:paraId="6E9389B6">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3.5.5  特殊要求</w:t>
      </w:r>
    </w:p>
    <w:p w14:paraId="12533AF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3.5.5.1 发电机在不对称系统中运行时，如任一相电流不超过额定值，且其负序电流与额定电流之比不超过12%，应能长期运行。</w:t>
      </w:r>
    </w:p>
    <w:p w14:paraId="4330FEA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3.5.5.2 在不对称故障时，短时间允许的不平衡电流值，其负序电流I</w:t>
      </w:r>
      <w:r>
        <w:rPr>
          <w:rFonts w:hint="eastAsia" w:asciiTheme="minorEastAsia" w:hAnsiTheme="minorEastAsia" w:eastAsiaTheme="minorEastAsia" w:cstheme="minorEastAsia"/>
          <w:snapToGrid w:val="0"/>
          <w:color w:val="auto"/>
          <w:kern w:val="0"/>
          <w:szCs w:val="21"/>
          <w:vertAlign w:val="subscript"/>
        </w:rPr>
        <w:t>2</w:t>
      </w:r>
      <w:r>
        <w:rPr>
          <w:rFonts w:hint="eastAsia" w:asciiTheme="minorEastAsia" w:hAnsiTheme="minorEastAsia" w:eastAsiaTheme="minorEastAsia" w:cstheme="minorEastAsia"/>
          <w:snapToGrid w:val="0"/>
          <w:color w:val="auto"/>
          <w:kern w:val="0"/>
          <w:szCs w:val="21"/>
        </w:rPr>
        <w:t>与额定电流之比（标么值）的平方与允许不对称运行时间t(s)的乘积（I</w:t>
      </w:r>
      <w:r>
        <w:rPr>
          <w:rFonts w:hint="eastAsia" w:asciiTheme="minorEastAsia" w:hAnsiTheme="minorEastAsia" w:eastAsiaTheme="minorEastAsia" w:cstheme="minorEastAsia"/>
          <w:snapToGrid w:val="0"/>
          <w:color w:val="auto"/>
          <w:kern w:val="0"/>
          <w:szCs w:val="21"/>
          <w:vertAlign w:val="subscript"/>
        </w:rPr>
        <w:t>2</w:t>
      </w:r>
      <w:r>
        <w:rPr>
          <w:rFonts w:hint="eastAsia" w:asciiTheme="minorEastAsia" w:hAnsiTheme="minorEastAsia" w:eastAsiaTheme="minorEastAsia" w:cstheme="minorEastAsia"/>
          <w:snapToGrid w:val="0"/>
          <w:color w:val="auto"/>
          <w:kern w:val="0"/>
          <w:szCs w:val="21"/>
        </w:rPr>
        <w:t>/I</w:t>
      </w:r>
      <w:r>
        <w:rPr>
          <w:rFonts w:hint="eastAsia" w:asciiTheme="minorEastAsia" w:hAnsiTheme="minorEastAsia" w:eastAsiaTheme="minorEastAsia" w:cstheme="minorEastAsia"/>
          <w:snapToGrid w:val="0"/>
          <w:color w:val="auto"/>
          <w:kern w:val="0"/>
          <w:szCs w:val="21"/>
          <w:vertAlign w:val="subscript"/>
        </w:rPr>
        <w:t>N</w:t>
      </w:r>
      <w:r>
        <w:rPr>
          <w:rFonts w:hint="eastAsia" w:asciiTheme="minorEastAsia" w:hAnsiTheme="minorEastAsia" w:eastAsiaTheme="minorEastAsia" w:cstheme="minorEastAsia"/>
          <w:snapToGrid w:val="0"/>
          <w:color w:val="auto"/>
          <w:kern w:val="0"/>
          <w:szCs w:val="21"/>
        </w:rPr>
        <w:t>）</w:t>
      </w:r>
      <w:r>
        <w:rPr>
          <w:rFonts w:hint="eastAsia" w:asciiTheme="minorEastAsia" w:hAnsiTheme="minorEastAsia" w:eastAsiaTheme="minorEastAsia" w:cstheme="minorEastAsia"/>
          <w:snapToGrid w:val="0"/>
          <w:color w:val="auto"/>
          <w:kern w:val="0"/>
          <w:szCs w:val="21"/>
          <w:vertAlign w:val="superscript"/>
        </w:rPr>
        <w:t>2</w:t>
      </w:r>
      <w:r>
        <w:rPr>
          <w:rFonts w:hint="eastAsia" w:asciiTheme="minorEastAsia" w:hAnsiTheme="minorEastAsia" w:eastAsiaTheme="minorEastAsia" w:cstheme="minorEastAsia"/>
          <w:snapToGrid w:val="0"/>
          <w:color w:val="auto"/>
          <w:kern w:val="0"/>
          <w:szCs w:val="21"/>
        </w:rPr>
        <w:t>×t不小于40s。</w:t>
      </w:r>
    </w:p>
    <w:p w14:paraId="2978429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3.5.5.3 发电机在热状态下应能承受150%额定电流历时2min而不发生有害变形及接头开焊等情况，此时电压应尽可能接近额定值。</w:t>
      </w:r>
    </w:p>
    <w:p w14:paraId="321B8B3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3.5.5.4 转子绕组的设计应能安全地承受2倍额定励磁电流历时不小于50s。</w:t>
      </w:r>
    </w:p>
    <w:p w14:paraId="17E917A0">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3.5.6 机械特性</w:t>
      </w:r>
    </w:p>
    <w:p w14:paraId="369BCBA9">
      <w:pPr>
        <w:tabs>
          <w:tab w:val="left" w:pos="3025"/>
        </w:tabs>
        <w:autoSpaceDE w:val="0"/>
        <w:autoSpaceDN w:val="0"/>
        <w:ind w:firstLine="434" w:firstLineChars="206"/>
        <w:textAlignment w:val="baseline"/>
        <w:rPr>
          <w:rFonts w:hint="eastAsia" w:asciiTheme="minorEastAsia" w:hAnsiTheme="minorEastAsia" w:eastAsiaTheme="minorEastAsia" w:cstheme="minorEastAsia"/>
          <w:b/>
          <w:bCs/>
          <w:snapToGrid w:val="0"/>
          <w:color w:val="auto"/>
          <w:kern w:val="0"/>
          <w:szCs w:val="21"/>
        </w:rPr>
      </w:pPr>
      <w:r>
        <w:rPr>
          <w:rFonts w:hint="eastAsia" w:asciiTheme="minorEastAsia" w:hAnsiTheme="minorEastAsia" w:eastAsiaTheme="minorEastAsia" w:cstheme="minorEastAsia"/>
          <w:b/>
          <w:bCs/>
          <w:snapToGrid w:val="0"/>
          <w:color w:val="auto"/>
          <w:kern w:val="0"/>
          <w:szCs w:val="21"/>
        </w:rPr>
        <w:t>3.5.6.1 发电机旋转方向：从发电机端往水轮机方向看为逆时针。</w:t>
      </w:r>
    </w:p>
    <w:p w14:paraId="307AF08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3.5.6.2 发电机应能在最高飞逸转速下历时5min而不产生有害变形和损坏。此时转子材料的计算应力不超过屈服点的2/3。在水轮发电机甩100%额定负荷、调速系统正常工作条件下，应允许机组不经任何检查即可并入系统。</w:t>
      </w:r>
    </w:p>
    <w:p w14:paraId="702EA99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3.5.6.3 发电机转动惯量GD</w:t>
      </w:r>
      <w:r>
        <w:rPr>
          <w:rFonts w:hint="eastAsia" w:asciiTheme="minorEastAsia" w:hAnsiTheme="minorEastAsia" w:eastAsiaTheme="minorEastAsia" w:cstheme="minorEastAsia"/>
          <w:snapToGrid w:val="0"/>
          <w:color w:val="auto"/>
          <w:kern w:val="0"/>
          <w:szCs w:val="21"/>
          <w:vertAlign w:val="superscript"/>
        </w:rPr>
        <w:t>2</w:t>
      </w:r>
      <w:r>
        <w:rPr>
          <w:rFonts w:hint="eastAsia" w:asciiTheme="minorEastAsia" w:hAnsiTheme="minorEastAsia" w:eastAsiaTheme="minorEastAsia" w:cstheme="minorEastAsia"/>
          <w:snapToGrid w:val="0"/>
          <w:color w:val="auto"/>
          <w:kern w:val="0"/>
          <w:szCs w:val="21"/>
        </w:rPr>
        <w:t>不小于1t·m</w:t>
      </w:r>
      <w:r>
        <w:rPr>
          <w:rFonts w:hint="eastAsia" w:asciiTheme="minorEastAsia" w:hAnsiTheme="minorEastAsia" w:eastAsiaTheme="minorEastAsia" w:cstheme="minorEastAsia"/>
          <w:snapToGrid w:val="0"/>
          <w:color w:val="auto"/>
          <w:kern w:val="0"/>
          <w:szCs w:val="21"/>
          <w:vertAlign w:val="superscript"/>
        </w:rPr>
        <w:t>2</w:t>
      </w:r>
      <w:r>
        <w:rPr>
          <w:rFonts w:hint="eastAsia" w:asciiTheme="minorEastAsia" w:hAnsiTheme="minorEastAsia" w:eastAsiaTheme="minorEastAsia" w:cstheme="minorEastAsia"/>
          <w:snapToGrid w:val="0"/>
          <w:color w:val="auto"/>
          <w:kern w:val="0"/>
          <w:szCs w:val="21"/>
        </w:rPr>
        <w:t>，并满足电站调节保证的要求。</w:t>
      </w:r>
    </w:p>
    <w:p w14:paraId="44085E5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3.5.6.4 发电机各部分结构强度应能承受在额定负荷及端电压为105%额定电压下，定子出口突然发生对称或不对称短路历时3s而不发生有害变形和损坏。同时，还应能承受在额定容量、额定功率因数和105%额定电压及稳定励磁条件下运行时，历时20s的短路故障而无有害变形和损坏。</w:t>
      </w:r>
    </w:p>
    <w:p w14:paraId="0363370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3.5.6.5 发电机的所有部件及结构（包括导轴承）应能承受因半数磁极短路产生的不平衡拉力而不产生有害变形和不稳定，发电机结构刚度应能承受基本烈度Ⅷ度地震的考验而不产生有害变形和破坏性损坏。</w:t>
      </w:r>
    </w:p>
    <w:p w14:paraId="0FC151F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3.5.6.6 发电机的噪音应限制在非驱动端距机组1m处测量时不大于85dB（A）。</w:t>
      </w:r>
    </w:p>
    <w:p w14:paraId="1B7AE46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3.5.6.7 在各种正常情况下，发电机各轴承垂直双幅振动量应符合GB/T8564《水轮发电机组安装技术规范》的要求。</w:t>
      </w:r>
    </w:p>
    <w:p w14:paraId="267E7DB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3.5.6.8 定子和转子组装完成后，定子内圆和转子外圆半径的最大值和最小值分别与其平均半径之差不大于设计空气间隙的±4%；定子和转子间的气隙，其最大值或最小值与其平均值之差不应超过平均值的±8%。</w:t>
      </w:r>
    </w:p>
    <w:p w14:paraId="3ECEF9A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3.5.6.9 发电机与水轮机组装后的转动部分的第一阶临界速度应不小于最大飞逸速度的120%。</w:t>
      </w:r>
    </w:p>
    <w:p w14:paraId="031BCCE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3.5.6.10 发电机在设计时应考虑到水轮机的振动特性并避免与之发生共振。在对称负荷工况下，定子铁芯的100Hz双幅振动量不应大于0.03mm。在其它运行工况下亦应无明显的振动。</w:t>
      </w:r>
    </w:p>
    <w:p w14:paraId="3123BFED">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3.5.7 可靠性指标</w:t>
      </w:r>
    </w:p>
    <w:p w14:paraId="324E523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在本合同规定的运行条件下，发电机可靠性指标规定如下：</w:t>
      </w:r>
    </w:p>
    <w:p w14:paraId="0F7EA16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1）强迫停机率≤0.5%。</w:t>
      </w:r>
    </w:p>
    <w:p w14:paraId="4F5A693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2）无故障连续运行时间大于16000h</w:t>
      </w:r>
    </w:p>
    <w:p w14:paraId="57CBB65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3）大修间隔时间6年。</w:t>
      </w:r>
    </w:p>
    <w:p w14:paraId="12F6CE3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4）退役前的使用年限40年。</w:t>
      </w:r>
    </w:p>
    <w:p w14:paraId="6F8AB14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3.6 发电机本体结构</w:t>
      </w:r>
    </w:p>
    <w:p w14:paraId="3429AF07">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3.6.1 概述</w:t>
      </w:r>
    </w:p>
    <w:p w14:paraId="21A75AD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3.6.1.1 发电机及其所有部件除应具有良好的技术特性外，还必须满足强度和刚度要求，使之在正常与非正常运行情况下，其整体和所有部件的挠度、振动和安全系数均在允许范围内。所谓非正常运行情况指的是对称与不对称短路、飞逸转速下运行、过电压、转子半数磁极短路、地震等。</w:t>
      </w:r>
    </w:p>
    <w:p w14:paraId="3BFC59E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3.6.1.2 发电机整体及其所有部件的结构应设计成便于运输、安装、维护和检修。</w:t>
      </w:r>
    </w:p>
    <w:p w14:paraId="38644AA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3.6.1.3 发电机应采用先进的、成熟的结构、材料和工艺。如果采用新的结构应有验证试验。</w:t>
      </w:r>
    </w:p>
    <w:p w14:paraId="5C529D3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3.6.1.4 发电机定子和各轴承应水平安装在整体基础底座上。发电机应配有用于把定子机座固定在基础底座上和用于将定子机座与基础底座找正定位用的螺杆和定位销、件。定子机座上应设置足够数量的定位销、件以防止当发生短路或任何不平衡力。</w:t>
      </w:r>
    </w:p>
    <w:p w14:paraId="6D86884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3.6.1.5 发电机各轴承及结构部件应避免与水轮机固有频率发生有害的谐振。</w:t>
      </w:r>
    </w:p>
    <w:p w14:paraId="3705AEA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3.6.1.6 在所有运动部件和带电部分周围应装设合适防护设施。</w:t>
      </w:r>
    </w:p>
    <w:p w14:paraId="0D9F237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3.6.1.7 采取有效措施，防止轴电流对推力轴承和导轴承的危害。</w:t>
      </w:r>
    </w:p>
    <w:p w14:paraId="47A48C06">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3.6.2 发电机底部机坑</w:t>
      </w:r>
    </w:p>
    <w:p w14:paraId="3568777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3.6.2.1 发电机底部机坑为混凝土结构，由土建承包人承建。机坑应具有足够大的尺寸，以安装空气冷却器，定子引出线、中性点电流互感器电缆及其连接设施等。</w:t>
      </w:r>
    </w:p>
    <w:p w14:paraId="7E4D829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3.6.2.2 机坑内的发电机主引出线及中性点引出线接头应便于拆装。</w:t>
      </w:r>
    </w:p>
    <w:p w14:paraId="770B6B0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3.6.2.3 机坑内布置用于空气冷却器运输轨道，轨道采用间隔布置的砼支墩固定，空气冷却器底部应设有滚轮。轨道及其固定件等由承包人提供。</w:t>
      </w:r>
    </w:p>
    <w:p w14:paraId="20914BB4">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3.6.3 定子</w:t>
      </w:r>
    </w:p>
    <w:p w14:paraId="145C831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3.6.2.1 定子在厂内装配、试验完成后整体运至工地。</w:t>
      </w:r>
    </w:p>
    <w:p w14:paraId="4DB48DE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3.6.2.2 机座应采用钢板焊接结构，并应具有足够的强度和刚度，以承受各种运行情况下包括短路、半数磁极绕组短路等引起的各种力的作用而不发生损害和超过允许的变形。机座应设计成能适应定子铁心的热变形，以防止铁心松动、翘曲；还应考虑能承受运输、安装、运行时各种力的作用而不产生损害和超过允许的变形。</w:t>
      </w:r>
    </w:p>
    <w:p w14:paraId="22C6B09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3.6.2.3 机座设计应为定子铁心、定子绕组的通风考虑合适的风路。</w:t>
      </w:r>
    </w:p>
    <w:p w14:paraId="22AF5F3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3.6.2.4 定子铁心应采用低损耗、高质量、高导磁率、无时效、厚度不大于0.5mm的优质冷轧硅钢片叠成。每片叠片应除去毛刺，硅钢片的两面应涂F级绝缘漆或其它相当的绝缘材料，使其涡流损耗减至最小。绝缘漆的耐温水平应不低于定子绕组的水平。定子铁心叠片应交错叠制。应采用多段分层压紧法，以形成一个整体、紧固的铁心。</w:t>
      </w:r>
    </w:p>
    <w:p w14:paraId="4ACF737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3.6.2.5 绕组绝缘采用F级，绝缘应能经加热产生适量的弹性，使线圈具有无损伤地放入线槽或取出的性能。绕组绝缘应具有良好的电气性能、机械性能、抗老化性能、耐潮性能和具有不燃或难燃特性。每个线圈应采用罗倍尔换位或其它更佳的换位方式，以减少附加损耗和股间温差。</w:t>
      </w:r>
    </w:p>
    <w:p w14:paraId="37B87A2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3.6.2.6 绕组的端部、槽部、槽口和连接线应牢固地支撑和固定，使之在频繁起动以及和各种工况下不产生振动、位移和变形。槽部和端部的支持结构，除要求有足够的机械强度外，对端部还要求与齿压板等金属部件有足够的绝缘距离。定子绕组的端箍应采用非磁性材料。所有的接头和连接应采用银</w:t>
      </w:r>
      <w:r>
        <w:rPr>
          <w:rFonts w:hint="eastAsia" w:asciiTheme="minorEastAsia" w:hAnsiTheme="minorEastAsia" w:eastAsiaTheme="minorEastAsia" w:cstheme="minorEastAsia"/>
          <w:snapToGrid w:val="0"/>
          <w:color w:val="auto"/>
          <w:kern w:val="0"/>
          <w:szCs w:val="21"/>
        </w:rPr>
        <w:sym w:font="Times New Roman" w:char="2014"/>
      </w:r>
      <w:r>
        <w:rPr>
          <w:rFonts w:hint="eastAsia" w:asciiTheme="minorEastAsia" w:hAnsiTheme="minorEastAsia" w:eastAsiaTheme="minorEastAsia" w:cstheme="minorEastAsia"/>
          <w:snapToGrid w:val="0"/>
          <w:color w:val="auto"/>
          <w:kern w:val="0"/>
          <w:szCs w:val="21"/>
        </w:rPr>
        <w:t>铜焊接工艺，接头处的载流能力不得低于同回路的其它部位。端部绝缘、定子槽楔及垫条的绝缘等级应为F级。</w:t>
      </w:r>
    </w:p>
    <w:p w14:paraId="729F593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3.6.2.7 绕组应具有良好的防电晕和耐电腐蚀性能，在槽部、端部等部位应采取防晕措施。定子绕组端部绝缘应采用防晕层与主绝缘一次成型的结构。</w:t>
      </w:r>
    </w:p>
    <w:p w14:paraId="31DA62C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3.6.2.8 所有用螺栓连接的母线接头，表面均应镀银。螺栓应采用非磁性材料制成。</w:t>
      </w:r>
    </w:p>
    <w:p w14:paraId="0333BC8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3.6.2.9 从发电机定子槽引出至其机座出线孔口之间的主引线和中性点引线，其绝缘强度应等同于发电机绕组的绝缘强度，最大温升不超过规定值。</w:t>
      </w:r>
    </w:p>
    <w:p w14:paraId="7E0FCAF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3.6.2.10 定子绕组为圈式叠绕组，Y形接线。三相的相序从发电机向水轮机方向看从左到右为U，V，W。</w:t>
      </w:r>
    </w:p>
    <w:p w14:paraId="7183088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3.6.2.11 定子绕组在实际状态下，直流电阻在最大与最小两相间的差值，在校正由于引线长度不同引起的误差后不应超过最小值的2%。</w:t>
      </w:r>
    </w:p>
    <w:p w14:paraId="06B7AA0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3.6.2.12 主引出线应有三个引出端，在机坑内有可拆卸的连接装置，以便将引出线和外部连接断开供试验、检修等用。取下可拆式的连接头，母线端头之间应有250mm的间距，连接端头应镀银，并确保多次拆接的需要。</w:t>
      </w:r>
    </w:p>
    <w:p w14:paraId="2ECA5D7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3.6.2.13 为把定子铁心的扭曲变形降至最小，定子机座、机架及铁心设计时应考虑其热膨胀因素。</w:t>
      </w:r>
    </w:p>
    <w:p w14:paraId="7F7B6EA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3.6.2.14 定子和转子组装后，定子内圆和转子外圆半径的最大或最小值分别与其设计平均半径之差不大于设计间隙的±4%。定、转子间最大气隙或最小气隙与其平均值之差，不得超过其平均值的±8%。</w:t>
      </w:r>
    </w:p>
    <w:p w14:paraId="4496BDC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3.6.2.15 定子绕组在整个定子圆周上分布及其相角、电压相序应当完全对称而均等。</w:t>
      </w:r>
    </w:p>
    <w:p w14:paraId="2F846C75">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3.6.4 转子</w:t>
      </w:r>
    </w:p>
    <w:p w14:paraId="50BECF5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3.6.4.1 转子由主轴、磁轭和磁极等部件组成，转子在厂内装配、试验完成后整体运至工地。</w:t>
      </w:r>
    </w:p>
    <w:p w14:paraId="0786536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3.6.4.2 转子应具有足够的刚度和强度，在飞逸转速时不应发生有害的变形，在任何工况下不得失去稳定，并应做到结构合理，且具有良好的电磁性能和通风性能，各紧固件连接牢靠。发电机转子在厂内作静平衡试验。</w:t>
      </w:r>
    </w:p>
    <w:p w14:paraId="573C7596">
      <w:pPr>
        <w:pStyle w:val="4"/>
        <w:ind w:firstLine="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3.6.4.3 磁极采用鸠尾键和相配合的槽固定在磁轭上。磁极铁心应采用高强度薄钢板冲片，压板材料应采用锻钢。</w:t>
      </w:r>
    </w:p>
    <w:p w14:paraId="1B11456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3.6.4.4 磁极线圈应用铜带扁向绕制而成，使用F级绝缘。磁极线圈接头及极间连接应可靠，能承受运行时的振动、热变形，飞逸时的离心力及电气短路、频繁起停等产生的应力，不发生变形、裂缝和滑动。极间连接应有防松动措施，且便于拆卸和检修。</w:t>
      </w:r>
    </w:p>
    <w:p w14:paraId="56C51A3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3.6.4.5 转子上应装设纵、横阻尼绕组。用银铜焊将阻尼条与阻尼环连接紧固。阻尼环间采用多层紫铜片制成的连接片柔性连接，用螺栓紧固。阻尼绕组应安装牢固，以防由于振动及最大飞逸转速下的热位移和热应力而造成机械故障。阻尼绕组应具有承受短路和不平衡电流的能力。 </w:t>
      </w:r>
    </w:p>
    <w:p w14:paraId="5A14E78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3.6.4.6 磁轭由磁轭键、卡键等紧固在转子主轴上，磁轭外缘设有键槽，用于固定磁极。</w:t>
      </w:r>
    </w:p>
    <w:p w14:paraId="18D37699">
      <w:pPr>
        <w:pStyle w:val="4"/>
        <w:ind w:firstLine="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3.6.4.7 磁轭冲片应采用高强度的优质钢板，以满足在最高飞逸转速下磁轭断面上产生的平均拉应力（计算值）不大于材料的屈服应力的2/3。磁轭冲片应平整、除锈、去毛刺、尺寸符合精度要求。应采取各种措施，确保磁轭的叠装质量及整体性。磁轭设计时，应考虑具有良好的径向通风性能。</w:t>
      </w:r>
    </w:p>
    <w:p w14:paraId="60E99A8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3.6.4.8 发电机和水轮机安装完毕后，作过速试验前，应按国家标准规定的方法检查其动平衡，承包人应考虑动平衡块的焊装位置，并负责安装技术指导及提供动平衡配重块。动平衡试验由安装承包人完成。</w:t>
      </w:r>
    </w:p>
    <w:p w14:paraId="3FAC41EE">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3.6.5 主轴</w:t>
      </w:r>
    </w:p>
    <w:p w14:paraId="73DE0CE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3.6.5.1 水轮机和发电机为一根轴结构，采用20SiMn锻钢制成。转轴的设计应考虑发电机在最大负荷和规定的飞逸转速以内的任何转速下不得发生有害变形、扭曲及过量弯曲。</w:t>
      </w:r>
    </w:p>
    <w:p w14:paraId="77576F8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3.6.5.2 主轴应按照相关标准进行超声波检查和X光射线检查。并应进行形状偏心和质量偏心检查。</w:t>
      </w:r>
    </w:p>
    <w:p w14:paraId="5B07587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3.6.5.3 主轴在消除应力后进行精加工，用于测量的主轴表面和与轴承接触的主轴表面须抛光。</w:t>
      </w:r>
    </w:p>
    <w:p w14:paraId="44B1B03D">
      <w:pPr>
        <w:tabs>
          <w:tab w:val="left" w:pos="420"/>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3.6.5.4 在出厂前应对主轴进行检查和校正，不允许在现场进行整轴校正（包括各连接面）。</w:t>
      </w:r>
    </w:p>
    <w:p w14:paraId="4A1C17D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3.6.5.5 主轴的径向跳动量及容差应不超过GB相关标准的允许值。</w:t>
      </w:r>
    </w:p>
    <w:p w14:paraId="5BB046E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3.6.5.6 承包人应计算主轴的临界转速。计算时应考虑轴和全部荷载在内的整个机组轴承的动态稳定、刚度。保证正常和暂态工况所有轴承、轴承座和油膜是完好的。轴系一阶临界转速不小于120%最高飞逸转速。</w:t>
      </w:r>
    </w:p>
    <w:p w14:paraId="3D08280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3.6.5.7 水轮发电机组安装后，由安装承包人盘车合格后进入机组调试，此时其轴线偏差应符合GB/T8564《水轮发电机组安装技术规范》的要求。</w:t>
      </w:r>
    </w:p>
    <w:p w14:paraId="326796D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3.6.6 轴承</w:t>
      </w:r>
    </w:p>
    <w:p w14:paraId="5B3FFBCE">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3.6.6.1 一般要求</w:t>
      </w:r>
    </w:p>
    <w:p w14:paraId="1C5A255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1）发电机靠水轮机侧设置一个水导推力轴承，在发电机另一侧设置一个导轴承，轴承的布置应便于安装、检查和维修。</w:t>
      </w:r>
    </w:p>
    <w:p w14:paraId="499B3FD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2）轴承和轴承座应设计成能在各种运行工况下安全运行。</w:t>
      </w:r>
    </w:p>
    <w:p w14:paraId="51FB759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推力轴承和导轴承在冷却水中断后机组应能安全停机。当冷却水中断时应允许机组在正常转速下带额定负荷，至少运行15min，在飞逸转速情况下，至少运行5min，推力轴承和导轴承不应有任何损坏，轴承温度不应超过允许最高值。</w:t>
      </w:r>
    </w:p>
    <w:p w14:paraId="1BD1214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4）在推力轴承和导轴承油温不低于5℃时，允许机组起动；应允许机组在停机后立即启动；在紧急事故且制动失灵的情况下不制动停机（包括机组从飞逸转速不制动停机）。在以上情况下均应保证轴瓦不损坏。</w:t>
      </w:r>
    </w:p>
    <w:p w14:paraId="783EF6E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5）应采取有效措施防止轴承油雾逸出和其润滑系统甩油。</w:t>
      </w:r>
    </w:p>
    <w:p w14:paraId="0552822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 在连续运行条件下，冷却水最高温度为28℃时，轴瓦的最高温度应不超过65℃，油温不超过60℃。</w:t>
      </w:r>
    </w:p>
    <w:p w14:paraId="06A4CDD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3.6.6.2 推力轴承</w:t>
      </w:r>
    </w:p>
    <w:p w14:paraId="7C82592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1）正常运行工况，推力轴承应能承受水轮机转轮的最大正向水推力。推力轴承结构设计时还应考虑机组启动工况时，应能承受反向最大水推力，防止轴系窜动。</w:t>
      </w:r>
    </w:p>
    <w:p w14:paraId="75A414C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2）推力轴承的支撑结构应具有弹性、能向推力瓦提供扩散和均匀的支撑，并使其具有平衡瓦间负荷的平衡能力。</w:t>
      </w:r>
    </w:p>
    <w:p w14:paraId="2F06365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3）推力轴瓦采用分块的巴氏合金瓦。</w:t>
      </w:r>
    </w:p>
    <w:p w14:paraId="1706481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4）镜板工作面粗糙度不大于0.2μm，背面粗糙度不大于0.8μm，镜板硬度不低于HB 200，镜板硬度差值不大于HB30，内外圆粗糙度不大于1.6μm，镜板平面不平度不大于0.02mm，两平面不平行度不大于0.03mm。</w:t>
      </w:r>
    </w:p>
    <w:p w14:paraId="138D823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3.6.6.3 导轴承</w:t>
      </w:r>
    </w:p>
    <w:p w14:paraId="400EF76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1）导轴承应为油浸自润滑巴氏合金型，采用分块的、可调的轴承套和轴承支撑。应采取措施防止油或油雾溢出油箱，进入发电机冷却系统和散入大气。</w:t>
      </w:r>
    </w:p>
    <w:p w14:paraId="27FE5F7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2）导轴承结构应设计成能承受各种运行工况下加于它的径向机械和电磁不平衡力。</w:t>
      </w:r>
    </w:p>
    <w:p w14:paraId="3380474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3）导轴承具有足够的油膜厚度，油路循环畅通，满足润滑冷却的要求。</w:t>
      </w:r>
    </w:p>
    <w:p w14:paraId="7F8C57CB">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3.6.7 引出线</w:t>
      </w:r>
    </w:p>
    <w:p w14:paraId="35767C9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3.6.8.1 主引线和中性点引线均应为线电压级全绝缘。</w:t>
      </w:r>
    </w:p>
    <w:p w14:paraId="1B5F5E3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3.6.8.2 主引线为3个，中性点引出线为3个。引出线采用电缆引线，主引线和中性点引线从发电机底部机坑引出，具体布置在设计联络会上确定。</w:t>
      </w:r>
    </w:p>
    <w:p w14:paraId="1F26FB12">
      <w:pPr>
        <w:tabs>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3.6.8.3 为了方便试验，在每相绕组主引出线端和中性线端在机壳处应有可拆卸的连接装置，以便把各相与附属设备及外部连接断开，当连接装置拆卸后，相邻的断口之间应有不小于250mm的距离。连接端头应加厚镀银，以确保定期试验多次拆接的需要。</w:t>
      </w:r>
    </w:p>
    <w:p w14:paraId="11648DD7">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3.7 附属设备</w:t>
      </w:r>
    </w:p>
    <w:p w14:paraId="1B5F8D7C">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3.7.1 冷却系统</w:t>
      </w:r>
    </w:p>
    <w:p w14:paraId="195454E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3.7.1.1 发电机冷却系统</w:t>
      </w:r>
    </w:p>
    <w:p w14:paraId="2A5016C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1）发电机冷却系统要求坚固耐用，冷却效率高，能提供足够的风量和水量用于冷却所有发电机部件，使用年限内不漏气漏水，不穿孔破裂，易于检修和更换冷却元件，能防止沉淀物堆积和便于冲洗。</w:t>
      </w:r>
    </w:p>
    <w:p w14:paraId="339B79A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2）发电机通风冷却采用密闭循环冷却系统。</w:t>
      </w:r>
    </w:p>
    <w:p w14:paraId="493A26B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3）发电机设有1只空气冷却器。</w:t>
      </w:r>
    </w:p>
    <w:p w14:paraId="51449F0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空气冷却器的最高进水温度为28℃。当发电机在额定转速、额定电压下，以额定容量连续运行时，空气冷却器应有足够的冷却容量以保持冷却器出口气温在40℃以下，并保证发电机所有部件温升不超过规定值。冷却器应有10%~15%的热交换裕量。</w:t>
      </w:r>
    </w:p>
    <w:p w14:paraId="716352B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空气冷却器采用紫铜管，水箱带有可拆卸盖板，其结构布置应方便管路和冷却器的检查和清洗，为便于空气冷却器排干，应提供一个可与软管连接的阀门。在冷却器顶部和冷却系统的其它适当地点设置排气孔。冷却器进出口各装设一个阀门。</w:t>
      </w:r>
    </w:p>
    <w:p w14:paraId="3CA1303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6）空气冷却器设计水压0.5MPa，试验水压0.75MPa，历时30min而不渗漏。冷却器冷却水供、排水管接口之间的压降不得超过0.05MPa。</w:t>
      </w:r>
    </w:p>
    <w:p w14:paraId="7FD0C6F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7）空气冷却器供水管道上装设1个压力表，排水管道上装设流量开关和双金属温度计各1套，在空气冷却器空气进、出口处装设冷却空气电阻温度计各1个。</w:t>
      </w:r>
    </w:p>
    <w:p w14:paraId="3E1CE46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3.7.1.2 润滑油冷却系统</w:t>
      </w:r>
    </w:p>
    <w:p w14:paraId="3239ADC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1）润滑油的冷却方式是内循环水冷却。</w:t>
      </w:r>
    </w:p>
    <w:p w14:paraId="52B10EF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2）每个轴承油槽中应装设一个材料是紫铜或铜镍合金的油冷却器，在规定的温度下，有足够的能力按轴承运行要求把油冷却，冷却器、管路、阀门及配件等均不漏油，不渗水。</w:t>
      </w:r>
    </w:p>
    <w:p w14:paraId="329D198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3）冷却器应能防止沉淀物堆积，并便于检修和清洗，各部在拆卸和复位时，都不需要拆卸整个轴承。</w:t>
      </w:r>
    </w:p>
    <w:p w14:paraId="068037F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4）冷却器设计水压0.5MPa，试验水压0.75MPa，历时30min，冷却器的水压降不超过0.05MPa。</w:t>
      </w:r>
    </w:p>
    <w:p w14:paraId="6E12A0F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3.7.1.3 润滑系统</w:t>
      </w:r>
    </w:p>
    <w:p w14:paraId="3B69114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1）随发电机供应一整套独立的自润滑系统，并要求有消除油雾溢出、甩油和漏油的有效措施。</w:t>
      </w:r>
    </w:p>
    <w:p w14:paraId="20DE1D2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2）各轴承润滑系统应分开布置，润滑油为同一规格，满足GB11120《涡轮机油》标准，同调速器、水导轴承同牌号汽轮机油。</w:t>
      </w:r>
    </w:p>
    <w:p w14:paraId="171FCF6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3）油润滑系统，包括管路、油箱、阀门等。</w:t>
      </w:r>
    </w:p>
    <w:p w14:paraId="24B6EEC6">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3.7.2 制动装置（带飞轮）</w:t>
      </w:r>
    </w:p>
    <w:p w14:paraId="40A0377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3.7.2.1 发电机装设1套空气操作的机械制动装置。</w:t>
      </w:r>
    </w:p>
    <w:p w14:paraId="68485F9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3.7.2.2 制动装置应能在2min内，将机组从20%~30%额定转速下制动停机，此时制动环表面不应由于发热变形或损坏，制动块不应有严重磨损。</w:t>
      </w:r>
    </w:p>
    <w:p w14:paraId="53838D2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3.7.2.3 机械制动器气制动压力为0.5～0.7MPa，应按贮气罐初始压力为0.6MPa设计制动器。制动器应具有制动、回复双向通气功能。</w:t>
      </w:r>
    </w:p>
    <w:p w14:paraId="13EB8D3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3.7.2.4 制动块应有坚固的，耐磨的，可更换的摩擦表面，其表面不会在制动过程中因发热而损坏，也不会因摩擦粘住或卡住，制动块和耐磨面将用螺栓或其它方式可靠地固定在制动器上，且便于更换。制动器的空气管路应有足够的尺寸，并设置气复归装置，在制动完成后毫无限制地让制动块完全松开，每个制动块应配有2个限位开关，指示制动块已投入或已松开复位。</w:t>
      </w:r>
    </w:p>
    <w:p w14:paraId="4012540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3.7.2.5 机械制动器系统应能实现自动和手动控制进气和排气。包括制动器、管路、阀门、配件和制动屏，以及其他属于1套完整系统的所有设备与附件。</w:t>
      </w:r>
    </w:p>
    <w:p w14:paraId="7CFADBD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3.7.3 电加热装置</w:t>
      </w:r>
    </w:p>
    <w:p w14:paraId="1446CDF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3.7.3.1 应配有足够数量的电气干燥器，均匀布置在发电机底部机坑内，以保证发电机停机情况下其绝缘所吸收的潮气仍能满足发电机运行标准要求。使发电机随时可以投入运行，干燥器运行时应保证不损坏发电机的绝缘和其它任何部件。</w:t>
      </w:r>
    </w:p>
    <w:p w14:paraId="57AE211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3.7.3.2 干燥器采用380V、50Hz三相4线制供电，应配置有恒温控制器和控制箱，在允许的、可以接近的地点装设干燥器控制箱，控制方式为三种：手动、自动、远方。</w:t>
      </w:r>
    </w:p>
    <w:p w14:paraId="281231D1">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3.7.4 轴电流防止</w:t>
      </w:r>
    </w:p>
    <w:p w14:paraId="2C05F128">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3.7.4.1 轴承以及埋入检温计均应对地绝缘，用1000V兆欧表测量其总绝缘电阻不小于10MΩ，绝缘垫应有足够的爬距，并有必要的机械强度，能承受各处相应的机械荷载而不致于损坏。</w:t>
      </w:r>
    </w:p>
    <w:p w14:paraId="11C92A4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3.7.4.2 每个绝缘垫两侧金属部位都有导线引接到发电机端子箱以便测试绝缘，导线及其连接均由承包人提供。</w:t>
      </w:r>
    </w:p>
    <w:p w14:paraId="5561EE9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3.7.4.3 在轴承适当位置应设置接地碳刷，并配有必需的连接线等零部件。</w:t>
      </w:r>
    </w:p>
    <w:p w14:paraId="529994A8">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3.7.5 励磁系统</w:t>
      </w:r>
    </w:p>
    <w:p w14:paraId="307BE72D">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承包人应为每台机组提供一套适用于该卧式水轮发电机组的励磁装置。励磁方式采用交流机励磁方式即“无刷励磁”方式。励磁系统主要包括励磁机及励磁调节器。励磁系统应满足以下要求：</w:t>
      </w:r>
    </w:p>
    <w:p w14:paraId="79E972F6">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（1）励磁系统应满足发电、自同期等各种工况的要求。</w:t>
      </w:r>
    </w:p>
    <w:p w14:paraId="27A04E5E">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（2）励磁系统容量应满足以下要求：</w:t>
      </w:r>
    </w:p>
    <w:p w14:paraId="48601AB9">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①额定励磁电压值应根据转子绕组最高允许运行温度值进行计算和设计，但计算温度值不低于120℃。</w:t>
      </w:r>
    </w:p>
    <w:p w14:paraId="22524DAB">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②励磁系统保证当发电机励磁电流和电压为发电机额定负荷下励磁电流和电压的1.1倍时，能长期连续运行。</w:t>
      </w:r>
    </w:p>
    <w:p w14:paraId="46EECCEA">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（3）关于强励的要求是：</w:t>
      </w:r>
    </w:p>
    <w:p w14:paraId="23738CF7">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①励磁系统提供的顶值电压倍数不小于1.6；顶值电流应不超过2倍额定励磁电流。</w:t>
      </w:r>
    </w:p>
    <w:p w14:paraId="6BFC1A6D">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②励磁系统允许在顶值电压下持续运行20s。</w:t>
      </w:r>
    </w:p>
    <w:p w14:paraId="5B81D89C">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（4）励磁系统电压响应时间不大于0.1s。</w:t>
      </w:r>
    </w:p>
    <w:p w14:paraId="3D4D06C9">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（5）励磁系统应保证在发电机空载运行下，频率变化为额定值的1%，端电压变化率不大于额定值的±0.25%。</w:t>
      </w:r>
    </w:p>
    <w:p w14:paraId="41403CD0">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（6）励磁调节器交流工作电源电压在短时间（不大于强行励磁持续时间）内、波动范围为55%～120%额定值的情况下，励磁调节器应能维持正确工作，并保证强行励磁，快速减磁动作。</w:t>
      </w:r>
    </w:p>
    <w:p w14:paraId="390544F9">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（7）在下述厂用电电源电压及频率偏差范围内，励磁系统应能保证发电机在额定工况下长期连续运行：</w:t>
      </w:r>
    </w:p>
    <w:p w14:paraId="765C8DA1">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交流380/220V系统，电压偏差范围不超过额定值的-15%～+10%，频率偏差范围不超过-3～+2Hz。</w:t>
      </w:r>
    </w:p>
    <w:p w14:paraId="1F6491EE">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直流220V系统，电压偏差范围为额定值的-15%～+10%。</w:t>
      </w:r>
    </w:p>
    <w:p w14:paraId="5C527B0C">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（8）励磁系统应装设过电压和过电流保护及励磁绕组回路过电压保护装置。</w:t>
      </w:r>
    </w:p>
    <w:p w14:paraId="4B2831B7">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（9）当励磁电流在小于1.1倍额定励磁电流下长期运行时，励磁绕组两端电压的最大瞬时值，不得超过出厂试验时该绕组对地耐压试验电压幅值的30%。</w:t>
      </w:r>
    </w:p>
    <w:p w14:paraId="01FF9B2F">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（10）在任何实际可能的情况下，励磁系统应保证励磁绕组两端过电压的瞬时值，不得超过出厂试验时该绕组对地耐压试验电压幅值的65%。</w:t>
      </w:r>
    </w:p>
    <w:p w14:paraId="219DB6DD">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（11）励磁系统应能满足线路初始充电的要求。充电方式为20%到100%电压调整范围。</w:t>
      </w:r>
    </w:p>
    <w:p w14:paraId="74772A9B">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（12）励磁系统应满足计算机监控系统的要求，并配有RS-232和RS485接口，可与计算机监控系统进行通信，通信规约由计算机监控厂家确定。</w:t>
      </w:r>
    </w:p>
    <w:p w14:paraId="61FF1126">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（13）励磁系统装置应按DL/T583规定进行有关试验。</w:t>
      </w:r>
    </w:p>
    <w:p w14:paraId="500E7AFE">
      <w:pPr>
        <w:tabs>
          <w:tab w:val="left" w:pos="3025"/>
        </w:tabs>
        <w:autoSpaceDE w:val="0"/>
        <w:autoSpaceDN w:val="0"/>
        <w:ind w:firstLine="432" w:firstLineChars="206"/>
        <w:textAlignment w:val="baseline"/>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励磁调节器对应放置于励磁屏中，励磁屏尺寸为2200×800×600mm（高×宽×深），屏体式样、颜色与其他机旁屏统一，色板由业主提供。屏柜端子后加装电缆接入用PVC线槽，空开、继电器、转换开关、按钮、指示灯等电器应采用西门子、施耐德、ABB品牌中的一个。</w:t>
      </w:r>
    </w:p>
    <w:p w14:paraId="4F4C148D">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3.8 监测仪表</w:t>
      </w:r>
    </w:p>
    <w:p w14:paraId="7BC3A26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每台发电机应提供包括下列测量项目在内的量测、监测仪表、盘柜：</w:t>
      </w:r>
    </w:p>
    <w:p w14:paraId="5E06FF3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1）定子绕组、铁芯测温电阻；</w:t>
      </w:r>
    </w:p>
    <w:p w14:paraId="42E76F61">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2）空冷器进、出风测温电阻；</w:t>
      </w:r>
    </w:p>
    <w:p w14:paraId="6F5A6F0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3）空冷器进水管压力表，进出水管测温电阻；</w:t>
      </w:r>
    </w:p>
    <w:p w14:paraId="6DE3330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4）各轴承冷却进水压力表；</w:t>
      </w:r>
    </w:p>
    <w:p w14:paraId="53BBE32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5）各轴瓦测温电阻、各轴承油箱测温电阻；</w:t>
      </w:r>
    </w:p>
    <w:p w14:paraId="3ABBD8F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6）温度巡检仪及显示控制仪；</w:t>
      </w:r>
    </w:p>
    <w:p w14:paraId="7D0EC2D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7）空气冷却器出水管流量开关、轴承冷却水出水流量开关；</w:t>
      </w:r>
    </w:p>
    <w:p w14:paraId="2B5C6637">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8）机组制动供气、复位系统；</w:t>
      </w:r>
    </w:p>
    <w:p w14:paraId="49AA7A9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9）机组测速、信号装置、过速保护装置等；</w:t>
      </w:r>
    </w:p>
    <w:p w14:paraId="07E4513B">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10）发电机坑电加热装置；</w:t>
      </w:r>
    </w:p>
    <w:p w14:paraId="6BC4C50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11）发轮机端子箱等。</w:t>
      </w:r>
    </w:p>
    <w:p w14:paraId="76C6D99E">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12）发轮机与励磁装置之间的联络电缆。</w:t>
      </w:r>
    </w:p>
    <w:p w14:paraId="5A7859C4">
      <w:pPr>
        <w:pStyle w:val="4"/>
        <w:tabs>
          <w:tab w:val="left" w:pos="0"/>
        </w:tabs>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具体要求和自动化元件清单详见第四节“机组自动控制和监测保护”。</w:t>
      </w:r>
    </w:p>
    <w:p w14:paraId="6E0910B6">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3.9 备品备件</w:t>
      </w:r>
    </w:p>
    <w:p w14:paraId="1435969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szCs w:val="21"/>
        </w:rPr>
        <w:t xml:space="preserve"> </w:t>
      </w:r>
      <w:r>
        <w:rPr>
          <w:rFonts w:hint="eastAsia" w:asciiTheme="minorEastAsia" w:hAnsiTheme="minorEastAsia" w:eastAsiaTheme="minorEastAsia" w:cstheme="minorEastAsia"/>
          <w:snapToGrid w:val="0"/>
          <w:color w:val="auto"/>
          <w:kern w:val="0"/>
          <w:szCs w:val="21"/>
        </w:rPr>
        <w:t>承包人应提供1套2台发电机所需的备品备件见表3.9-1，表中所列的备品备件应随第2台机供货时交付。</w:t>
      </w:r>
    </w:p>
    <w:p w14:paraId="30167726">
      <w:pPr>
        <w:tabs>
          <w:tab w:val="left" w:pos="3025"/>
        </w:tabs>
        <w:autoSpaceDE w:val="0"/>
        <w:autoSpaceDN w:val="0"/>
        <w:jc w:val="center"/>
        <w:textAlignment w:val="baseline"/>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表3.9-1 水轮发电机备品备件表</w:t>
      </w:r>
    </w:p>
    <w:tbl>
      <w:tblPr>
        <w:tblStyle w:val="6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719"/>
        <w:gridCol w:w="3979"/>
        <w:gridCol w:w="712"/>
        <w:gridCol w:w="2952"/>
      </w:tblGrid>
      <w:tr w14:paraId="7F627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202B086A">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序 号</w:t>
            </w:r>
          </w:p>
        </w:tc>
        <w:tc>
          <w:tcPr>
            <w:tcW w:w="2379" w:type="pct"/>
            <w:vAlign w:val="center"/>
          </w:tcPr>
          <w:p w14:paraId="4F475A6B">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名       称</w:t>
            </w:r>
          </w:p>
        </w:tc>
        <w:tc>
          <w:tcPr>
            <w:tcW w:w="426" w:type="pct"/>
            <w:vAlign w:val="center"/>
          </w:tcPr>
          <w:p w14:paraId="10B8C87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单  位</w:t>
            </w:r>
          </w:p>
        </w:tc>
        <w:tc>
          <w:tcPr>
            <w:tcW w:w="1765" w:type="pct"/>
            <w:vAlign w:val="center"/>
          </w:tcPr>
          <w:p w14:paraId="007EF938">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数  量</w:t>
            </w:r>
          </w:p>
        </w:tc>
      </w:tr>
      <w:tr w14:paraId="29CA1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502B4CDF">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c>
          <w:tcPr>
            <w:tcW w:w="2379" w:type="pct"/>
          </w:tcPr>
          <w:p w14:paraId="2CC633CD">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定子绝缘盒</w:t>
            </w:r>
          </w:p>
        </w:tc>
        <w:tc>
          <w:tcPr>
            <w:tcW w:w="426" w:type="pct"/>
            <w:vAlign w:val="center"/>
          </w:tcPr>
          <w:p w14:paraId="635D0EB8">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765" w:type="pct"/>
            <w:vAlign w:val="center"/>
          </w:tcPr>
          <w:p w14:paraId="297D4371">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各1/30</w:t>
            </w:r>
          </w:p>
        </w:tc>
      </w:tr>
      <w:tr w14:paraId="6D48C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0F4A2265">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w:t>
            </w:r>
          </w:p>
        </w:tc>
        <w:tc>
          <w:tcPr>
            <w:tcW w:w="2379" w:type="pct"/>
          </w:tcPr>
          <w:p w14:paraId="4EB938E3">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转子磁轭键</w:t>
            </w:r>
          </w:p>
        </w:tc>
        <w:tc>
          <w:tcPr>
            <w:tcW w:w="426" w:type="pct"/>
            <w:vAlign w:val="center"/>
          </w:tcPr>
          <w:p w14:paraId="097FDEF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对</w:t>
            </w:r>
          </w:p>
        </w:tc>
        <w:tc>
          <w:tcPr>
            <w:tcW w:w="1765" w:type="pct"/>
            <w:vAlign w:val="center"/>
          </w:tcPr>
          <w:p w14:paraId="4AF1482F">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03C9A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3462948D">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w:t>
            </w:r>
          </w:p>
        </w:tc>
        <w:tc>
          <w:tcPr>
            <w:tcW w:w="2379" w:type="pct"/>
          </w:tcPr>
          <w:p w14:paraId="28A650CB">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转子磁极键</w:t>
            </w:r>
          </w:p>
        </w:tc>
        <w:tc>
          <w:tcPr>
            <w:tcW w:w="426" w:type="pct"/>
            <w:vAlign w:val="center"/>
          </w:tcPr>
          <w:p w14:paraId="2A43C00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765" w:type="pct"/>
            <w:vAlign w:val="center"/>
          </w:tcPr>
          <w:p w14:paraId="27927C4E">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w:t>
            </w:r>
          </w:p>
        </w:tc>
      </w:tr>
      <w:tr w14:paraId="0A8B9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14E3D49D">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w:t>
            </w:r>
          </w:p>
        </w:tc>
        <w:tc>
          <w:tcPr>
            <w:tcW w:w="2379" w:type="pct"/>
          </w:tcPr>
          <w:p w14:paraId="1836BD66">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制动块、密封圈、弹簧</w:t>
            </w:r>
          </w:p>
        </w:tc>
        <w:tc>
          <w:tcPr>
            <w:tcW w:w="426" w:type="pct"/>
            <w:vAlign w:val="center"/>
          </w:tcPr>
          <w:p w14:paraId="61E99E3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765" w:type="pct"/>
            <w:vAlign w:val="center"/>
          </w:tcPr>
          <w:p w14:paraId="17DFE038">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069E0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75516437">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w:t>
            </w:r>
          </w:p>
        </w:tc>
        <w:tc>
          <w:tcPr>
            <w:tcW w:w="2379" w:type="pct"/>
          </w:tcPr>
          <w:p w14:paraId="640C50E9">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各类型磁极线圈(含绝缘材料)</w:t>
            </w:r>
          </w:p>
        </w:tc>
        <w:tc>
          <w:tcPr>
            <w:tcW w:w="426" w:type="pct"/>
            <w:vAlign w:val="center"/>
          </w:tcPr>
          <w:p w14:paraId="423EF9A1">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个</w:t>
            </w:r>
          </w:p>
        </w:tc>
        <w:tc>
          <w:tcPr>
            <w:tcW w:w="1765" w:type="pct"/>
            <w:vAlign w:val="center"/>
          </w:tcPr>
          <w:p w14:paraId="4CC0FB5E">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6AF26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3276030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w:t>
            </w:r>
          </w:p>
        </w:tc>
        <w:tc>
          <w:tcPr>
            <w:tcW w:w="2379" w:type="pct"/>
          </w:tcPr>
          <w:p w14:paraId="232BC458">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阻尼环接头</w:t>
            </w:r>
          </w:p>
        </w:tc>
        <w:tc>
          <w:tcPr>
            <w:tcW w:w="426" w:type="pct"/>
            <w:vAlign w:val="center"/>
          </w:tcPr>
          <w:p w14:paraId="197CC861">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765" w:type="pct"/>
            <w:vAlign w:val="center"/>
          </w:tcPr>
          <w:p w14:paraId="09161C31">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1/10</w:t>
            </w:r>
          </w:p>
        </w:tc>
      </w:tr>
      <w:tr w14:paraId="6ABC7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108D6DCA">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w:t>
            </w:r>
          </w:p>
        </w:tc>
        <w:tc>
          <w:tcPr>
            <w:tcW w:w="2379" w:type="pct"/>
          </w:tcPr>
          <w:p w14:paraId="50CDA950">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磁轭压紧螺杆(含螺母、垫圈)</w:t>
            </w:r>
          </w:p>
        </w:tc>
        <w:tc>
          <w:tcPr>
            <w:tcW w:w="426" w:type="pct"/>
            <w:vAlign w:val="center"/>
          </w:tcPr>
          <w:p w14:paraId="2DD9137B">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765" w:type="pct"/>
            <w:vAlign w:val="center"/>
          </w:tcPr>
          <w:p w14:paraId="78DBAFFB">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每台机配各类螺杆的1/15</w:t>
            </w:r>
          </w:p>
        </w:tc>
      </w:tr>
      <w:tr w14:paraId="64CD7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6ED399D3">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w:t>
            </w:r>
          </w:p>
        </w:tc>
        <w:tc>
          <w:tcPr>
            <w:tcW w:w="2379" w:type="pct"/>
          </w:tcPr>
          <w:p w14:paraId="6B1E26BE">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推力轴承瓦</w:t>
            </w:r>
          </w:p>
        </w:tc>
        <w:tc>
          <w:tcPr>
            <w:tcW w:w="426" w:type="pct"/>
            <w:vAlign w:val="center"/>
          </w:tcPr>
          <w:p w14:paraId="1EEC9BE4">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765" w:type="pct"/>
            <w:vAlign w:val="center"/>
          </w:tcPr>
          <w:p w14:paraId="34E2EE93">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2DC75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3568E25F">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9</w:t>
            </w:r>
          </w:p>
        </w:tc>
        <w:tc>
          <w:tcPr>
            <w:tcW w:w="2379" w:type="pct"/>
          </w:tcPr>
          <w:p w14:paraId="1B352BBB">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导轴承瓦</w:t>
            </w:r>
          </w:p>
        </w:tc>
        <w:tc>
          <w:tcPr>
            <w:tcW w:w="426" w:type="pct"/>
            <w:vAlign w:val="center"/>
          </w:tcPr>
          <w:p w14:paraId="02336C10">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765" w:type="pct"/>
            <w:vAlign w:val="center"/>
          </w:tcPr>
          <w:p w14:paraId="3F89992F">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54A17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65665441">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w:t>
            </w:r>
          </w:p>
        </w:tc>
        <w:tc>
          <w:tcPr>
            <w:tcW w:w="2379" w:type="pct"/>
          </w:tcPr>
          <w:p w14:paraId="39889952">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轴承用绝缘板、绝缘套筒等</w:t>
            </w:r>
          </w:p>
        </w:tc>
        <w:tc>
          <w:tcPr>
            <w:tcW w:w="426" w:type="pct"/>
            <w:vAlign w:val="center"/>
          </w:tcPr>
          <w:p w14:paraId="144CCFF8">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1765" w:type="pct"/>
            <w:vAlign w:val="center"/>
          </w:tcPr>
          <w:p w14:paraId="41A3E468">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291B7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06CC5694">
            <w:pPr>
              <w:pStyle w:val="987"/>
              <w:adjustRightInd w:val="0"/>
              <w:spacing w:line="400" w:lineRule="exact"/>
              <w:ind w:left="-590" w:leftChars="-281" w:firstLine="592"/>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w:t>
            </w:r>
          </w:p>
        </w:tc>
        <w:tc>
          <w:tcPr>
            <w:tcW w:w="2379" w:type="pct"/>
          </w:tcPr>
          <w:p w14:paraId="39BACECA">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电阻温度计</w:t>
            </w:r>
          </w:p>
        </w:tc>
        <w:tc>
          <w:tcPr>
            <w:tcW w:w="426" w:type="pct"/>
            <w:vAlign w:val="center"/>
          </w:tcPr>
          <w:p w14:paraId="28CE3226">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只</w:t>
            </w:r>
          </w:p>
        </w:tc>
        <w:tc>
          <w:tcPr>
            <w:tcW w:w="1765" w:type="pct"/>
            <w:vAlign w:val="center"/>
          </w:tcPr>
          <w:p w14:paraId="0D8E2342">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每台机各类型各2</w:t>
            </w:r>
          </w:p>
        </w:tc>
      </w:tr>
      <w:tr w14:paraId="38C8E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430" w:type="pct"/>
            <w:vAlign w:val="center"/>
          </w:tcPr>
          <w:p w14:paraId="649C8585">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w:t>
            </w:r>
          </w:p>
        </w:tc>
        <w:tc>
          <w:tcPr>
            <w:tcW w:w="2379" w:type="pct"/>
          </w:tcPr>
          <w:p w14:paraId="131BB9BF">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电接点电阻温度计</w:t>
            </w:r>
          </w:p>
        </w:tc>
        <w:tc>
          <w:tcPr>
            <w:tcW w:w="426" w:type="pct"/>
            <w:vAlign w:val="center"/>
          </w:tcPr>
          <w:p w14:paraId="71F58052">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只</w:t>
            </w:r>
          </w:p>
        </w:tc>
        <w:tc>
          <w:tcPr>
            <w:tcW w:w="1765" w:type="pct"/>
            <w:vAlign w:val="center"/>
          </w:tcPr>
          <w:p w14:paraId="223EA5B2">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每台机各类型各1</w:t>
            </w:r>
          </w:p>
        </w:tc>
      </w:tr>
    </w:tbl>
    <w:p w14:paraId="31AC597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说明：</w:t>
      </w:r>
    </w:p>
    <w:p w14:paraId="26A76C10">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1）水轮发电机备品备件按《水轮发电机基本技术条件》GB/T7894执行，承包人应根据自身结构特点配置其它必须的备品备件。</w:t>
      </w:r>
    </w:p>
    <w:p w14:paraId="440DECD4">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2）所有备品备件应具有互换性，并与原部件采用同样的材料、同样的制造工艺，每套备件包括安装所必需的材料，均应提供齐全。备件应包装和保护完好，以利存放，并应在其包装外部清晰地加以标签，以便辨认。</w:t>
      </w:r>
    </w:p>
    <w:p w14:paraId="182096AB">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3.10 专用工器具</w:t>
      </w:r>
    </w:p>
    <w:p w14:paraId="5D04173C">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3.10.1 承包人应提供1套全新优质的端部表面淬火硬化的便于发电机和附属设备任何部件拆装用的各种专用搬手、工器具、吊具。</w:t>
      </w:r>
    </w:p>
    <w:p w14:paraId="1BC465FA">
      <w:pPr>
        <w:tabs>
          <w:tab w:val="left" w:pos="3025"/>
        </w:tabs>
        <w:autoSpaceDE w:val="0"/>
        <w:autoSpaceDN w:val="0"/>
        <w:ind w:firstLine="537" w:firstLineChars="25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3.10.2 承包人应提供发电机专用工具（但不局限于此，承包人可进行增减并说明原因）。</w:t>
      </w:r>
    </w:p>
    <w:p w14:paraId="4438169E">
      <w:pPr>
        <w:tabs>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表3.10-1 水轮发电机专用工器具表</w:t>
      </w:r>
    </w:p>
    <w:tbl>
      <w:tblPr>
        <w:tblStyle w:val="6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602"/>
        <w:gridCol w:w="5092"/>
        <w:gridCol w:w="1335"/>
        <w:gridCol w:w="1333"/>
      </w:tblGrid>
      <w:tr w14:paraId="2C321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60" w:type="pct"/>
            <w:vAlign w:val="center"/>
          </w:tcPr>
          <w:p w14:paraId="020E0E00">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3045" w:type="pct"/>
            <w:vAlign w:val="center"/>
          </w:tcPr>
          <w:p w14:paraId="54C86098">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名称</w:t>
            </w:r>
          </w:p>
        </w:tc>
        <w:tc>
          <w:tcPr>
            <w:tcW w:w="798" w:type="pct"/>
            <w:vAlign w:val="center"/>
          </w:tcPr>
          <w:p w14:paraId="12D43DCB">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  位</w:t>
            </w:r>
          </w:p>
        </w:tc>
        <w:tc>
          <w:tcPr>
            <w:tcW w:w="797" w:type="pct"/>
            <w:vAlign w:val="center"/>
          </w:tcPr>
          <w:p w14:paraId="5738DDB6">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  量</w:t>
            </w:r>
          </w:p>
        </w:tc>
      </w:tr>
      <w:tr w14:paraId="7E111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60" w:type="pct"/>
            <w:vAlign w:val="center"/>
          </w:tcPr>
          <w:p w14:paraId="5DCE340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3045" w:type="pct"/>
            <w:vAlign w:val="center"/>
          </w:tcPr>
          <w:p w14:paraId="3033CF8E">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轴瓦拆装工具</w:t>
            </w:r>
          </w:p>
        </w:tc>
        <w:tc>
          <w:tcPr>
            <w:tcW w:w="798" w:type="pct"/>
            <w:vAlign w:val="center"/>
          </w:tcPr>
          <w:p w14:paraId="01E5D1E5">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797" w:type="pct"/>
            <w:vAlign w:val="center"/>
          </w:tcPr>
          <w:p w14:paraId="7B79B830">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3BF36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60" w:type="pct"/>
            <w:vAlign w:val="center"/>
          </w:tcPr>
          <w:p w14:paraId="69EC4D7F">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3045" w:type="pct"/>
            <w:vAlign w:val="center"/>
          </w:tcPr>
          <w:p w14:paraId="2E07BF4F">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盘车装置</w:t>
            </w:r>
          </w:p>
        </w:tc>
        <w:tc>
          <w:tcPr>
            <w:tcW w:w="798" w:type="pct"/>
            <w:vAlign w:val="center"/>
          </w:tcPr>
          <w:p w14:paraId="7C1A9CB5">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797" w:type="pct"/>
            <w:vAlign w:val="center"/>
          </w:tcPr>
          <w:p w14:paraId="09A63749">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6CBF7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60" w:type="pct"/>
            <w:vAlign w:val="center"/>
          </w:tcPr>
          <w:p w14:paraId="402DD30D">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3045" w:type="pct"/>
            <w:vAlign w:val="center"/>
          </w:tcPr>
          <w:p w14:paraId="1D7FA96E">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拔键工具</w:t>
            </w:r>
          </w:p>
        </w:tc>
        <w:tc>
          <w:tcPr>
            <w:tcW w:w="798" w:type="pct"/>
            <w:vAlign w:val="center"/>
          </w:tcPr>
          <w:p w14:paraId="4C27DC3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797" w:type="pct"/>
            <w:vAlign w:val="center"/>
          </w:tcPr>
          <w:p w14:paraId="5A4A9121">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1BBD0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60" w:type="pct"/>
            <w:vAlign w:val="center"/>
          </w:tcPr>
          <w:p w14:paraId="688336ED">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3045" w:type="pct"/>
            <w:vAlign w:val="center"/>
          </w:tcPr>
          <w:p w14:paraId="5DEB7FBA">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转子专用起吊工具</w:t>
            </w:r>
          </w:p>
        </w:tc>
        <w:tc>
          <w:tcPr>
            <w:tcW w:w="798" w:type="pct"/>
            <w:vAlign w:val="center"/>
          </w:tcPr>
          <w:p w14:paraId="38C48220">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797" w:type="pct"/>
            <w:vAlign w:val="center"/>
          </w:tcPr>
          <w:p w14:paraId="4AC77C5B">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6074A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60" w:type="pct"/>
            <w:vAlign w:val="center"/>
          </w:tcPr>
          <w:p w14:paraId="7DD6C4EC">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3045" w:type="pct"/>
            <w:vAlign w:val="center"/>
          </w:tcPr>
          <w:p w14:paraId="294E4C5C">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各种专用吊环</w:t>
            </w:r>
          </w:p>
        </w:tc>
        <w:tc>
          <w:tcPr>
            <w:tcW w:w="798" w:type="pct"/>
            <w:vAlign w:val="center"/>
          </w:tcPr>
          <w:p w14:paraId="4CEB7DE8">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797" w:type="pct"/>
            <w:vAlign w:val="center"/>
          </w:tcPr>
          <w:p w14:paraId="67983D50">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r w14:paraId="06D53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60" w:type="pct"/>
            <w:vAlign w:val="center"/>
          </w:tcPr>
          <w:p w14:paraId="5B292C6B">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3045" w:type="pct"/>
            <w:vAlign w:val="center"/>
          </w:tcPr>
          <w:p w14:paraId="73CBD5E7">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各种冷却器试压接头</w:t>
            </w:r>
          </w:p>
        </w:tc>
        <w:tc>
          <w:tcPr>
            <w:tcW w:w="798" w:type="pct"/>
            <w:vAlign w:val="center"/>
          </w:tcPr>
          <w:p w14:paraId="2023D5BF">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套</w:t>
            </w:r>
          </w:p>
        </w:tc>
        <w:tc>
          <w:tcPr>
            <w:tcW w:w="797" w:type="pct"/>
            <w:vAlign w:val="center"/>
          </w:tcPr>
          <w:p w14:paraId="01D0486D">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r>
    </w:tbl>
    <w:p w14:paraId="54A725C0">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3.11 工厂装配和试验</w:t>
      </w:r>
    </w:p>
    <w:p w14:paraId="1B28499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3.11.1概  述</w:t>
      </w:r>
    </w:p>
    <w:p w14:paraId="2D0C8CD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3.11.1.1 承包人应随投标文件递交一份工厂装配和试验的计划。</w:t>
      </w:r>
    </w:p>
    <w:p w14:paraId="1ECB082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3.11.1.2 承包人应在工厂试验前60天，将工厂试验计划通知发包人，并交一个书面文件给发包人，以便发包人参加试验见证。承包人应提交试验结果合格的文件和有用的特性曲线。</w:t>
      </w:r>
    </w:p>
    <w:p w14:paraId="2500933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3.11.1.3 放弃试验或放弃发包人的试验见证，并不免除合同规定的承包人所负的责任。</w:t>
      </w:r>
    </w:p>
    <w:p w14:paraId="4B188C37">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3.11.2 发电机试验项目</w:t>
      </w:r>
    </w:p>
    <w:p w14:paraId="47EFAB96">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3.11.2.1 工厂试验应包括以下内容</w:t>
      </w:r>
    </w:p>
    <w:p w14:paraId="3DB6695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1）材料试验：用于发电机部件上的所有材料，均应对其机械性能和化学成分进行分析，承包人应提供主轴以及主要部件材料试验报告和定子机座焊接检查报告。</w:t>
      </w:r>
    </w:p>
    <w:p w14:paraId="2F0ACDE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2）主轴、推力轴承，镜板、发电机转子，各导轴承等各部件公差检查纪录及粗糙度检验。</w:t>
      </w:r>
    </w:p>
    <w:p w14:paraId="336BAF7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3）油、气、水系统设备及管路的压力试验（包括各种冷却器）。</w:t>
      </w:r>
    </w:p>
    <w:p w14:paraId="2D12DB0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4）定子线圈介损试验，介质损失角tgδ增量测量。</w:t>
      </w:r>
    </w:p>
    <w:p w14:paraId="3AA56A1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5）定子线圈绝缘击穿试验(采取抽样试验方法)。</w:t>
      </w:r>
    </w:p>
    <w:p w14:paraId="7107219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6）定子线圈1.5倍线电压下的起晕电压试验及测定。</w:t>
      </w:r>
    </w:p>
    <w:p w14:paraId="44E129E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7）定子线圈股间绝缘试验。</w:t>
      </w:r>
    </w:p>
    <w:p w14:paraId="61F0FFB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8）发电机定子铁心损耗试验，原材料饱和曲线试验。</w:t>
      </w:r>
    </w:p>
    <w:p w14:paraId="39F7100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9）各自动化元件入厂检查。</w:t>
      </w:r>
    </w:p>
    <w:p w14:paraId="51A21FE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10）定子铁心叠压紧测定。</w:t>
      </w:r>
    </w:p>
    <w:p w14:paraId="67A0CC1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11）定子铁心损耗试验及铁心磁化试验。</w:t>
      </w:r>
    </w:p>
    <w:p w14:paraId="028CC86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3.12 现场试验</w:t>
      </w:r>
    </w:p>
    <w:p w14:paraId="5B8D1B9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现场试验除按2.13规定外，水轮发电机现场试验项目如下：</w:t>
      </w:r>
    </w:p>
    <w:p w14:paraId="4CB0ECA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1）相序检查，极性测定。</w:t>
      </w:r>
    </w:p>
    <w:p w14:paraId="315B403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2）定子、转子圆度校验、定转子气隙测定。转子动平衡校准。</w:t>
      </w:r>
    </w:p>
    <w:p w14:paraId="7AC4093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3）各部分绝缘电阻测定，包括定子、转子绕组、轴承和各测温元件绝缘电阻测定。</w:t>
      </w:r>
    </w:p>
    <w:p w14:paraId="51E8557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4）定子整机起晕电压试验。</w:t>
      </w:r>
    </w:p>
    <w:p w14:paraId="15266CA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5）定子绕组直流耐压及泄漏电流测量和交流耐压试验。</w:t>
      </w:r>
    </w:p>
    <w:p w14:paraId="78F56B2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6）定子槽电位测定，定子对地电容电流测定。</w:t>
      </w:r>
    </w:p>
    <w:p w14:paraId="612FF67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7）定子、转子绕组电阻测定。</w:t>
      </w:r>
    </w:p>
    <w:p w14:paraId="02CC42E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8）转子绕组耐压试验。</w:t>
      </w:r>
    </w:p>
    <w:p w14:paraId="4EFF287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9）转子磁极交流阻抗测定。</w:t>
      </w:r>
    </w:p>
    <w:p w14:paraId="1EA9513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10）定子匝间绝缘试验。</w:t>
      </w:r>
    </w:p>
    <w:p w14:paraId="6D41383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11）发电机空载特性试验。</w:t>
      </w:r>
    </w:p>
    <w:p w14:paraId="71A9B8C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12）三相稳定短路试验。</w:t>
      </w:r>
    </w:p>
    <w:p w14:paraId="7F5E51C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13）电压波形畸变率及电话谐波因素测定。</w:t>
      </w:r>
    </w:p>
    <w:p w14:paraId="1D706D1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14）定子、转子绕组温升测定。</w:t>
      </w:r>
    </w:p>
    <w:p w14:paraId="14AB561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15）开路饱和曲线试验。</w:t>
      </w:r>
    </w:p>
    <w:p w14:paraId="58B2DAE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16）各部振动、摆度测定、各轴承温升测定。</w:t>
      </w:r>
    </w:p>
    <w:p w14:paraId="6A81CDF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17）甩负荷试验(25%、50%、75%、100%额定负荷)。</w:t>
      </w:r>
    </w:p>
    <w:p w14:paraId="565FBBA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18）润滑油系统检查。</w:t>
      </w:r>
    </w:p>
    <w:p w14:paraId="286FCD0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19）冷却系统压力试验。</w:t>
      </w:r>
    </w:p>
    <w:p w14:paraId="78E2D5B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20）制动系统试验。</w:t>
      </w:r>
    </w:p>
    <w:p w14:paraId="44EBA3D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21）各种停机和起动试验。</w:t>
      </w:r>
    </w:p>
    <w:p w14:paraId="2E4C913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22）过速试验。</w:t>
      </w:r>
    </w:p>
    <w:p w14:paraId="1CDBF08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23）机组并列及带负荷试验。</w:t>
      </w:r>
    </w:p>
    <w:p w14:paraId="44FBA11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24）性能保证试验。</w:t>
      </w:r>
    </w:p>
    <w:p w14:paraId="1BC6584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25）试运行试验。</w:t>
      </w:r>
    </w:p>
    <w:p w14:paraId="797F6A64">
      <w:pP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br w:type="page"/>
      </w:r>
    </w:p>
    <w:p w14:paraId="6797A327">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第4章 机组自动控制和监测保护</w:t>
      </w:r>
    </w:p>
    <w:p w14:paraId="7FFD4DE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4.1 机组自动控制方式</w:t>
      </w:r>
    </w:p>
    <w:p w14:paraId="12C794A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机组自动控制以计算机监控为主，常规监控为辅，满足电站无人值班(少人值守)的运行要求。</w:t>
      </w:r>
    </w:p>
    <w:p w14:paraId="0C99A4D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4.1.1 机组在电站计算机监控系统的控制和监视下完成以下功能</w:t>
      </w:r>
    </w:p>
    <w:p w14:paraId="7CCE3F3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1）正常开机、并网和停机；</w:t>
      </w:r>
    </w:p>
    <w:p w14:paraId="5ECEDB5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2）在规定的工况范围内安全、稳定、连续运行；</w:t>
      </w:r>
    </w:p>
    <w:p w14:paraId="051C069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3）在系统中处于备用状态，随时可以启动投入；</w:t>
      </w:r>
    </w:p>
    <w:p w14:paraId="7AB484D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4）当运行中发生故障时能及时发出信号、报警及停机。</w:t>
      </w:r>
    </w:p>
    <w:p w14:paraId="0CE336D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4.1.2 机组以自动准同期为正常并列方式，手动准同期作为备用。</w:t>
      </w:r>
    </w:p>
    <w:p w14:paraId="73217BD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4.1.3 机组控制设远方和现地二种控制方式。正常运行时由远方（中控室）控制，主站故障或调试等情况下由现地控制。</w:t>
      </w:r>
    </w:p>
    <w:p w14:paraId="6225650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4.1.4 控制电源为直流220V。</w:t>
      </w:r>
    </w:p>
    <w:p w14:paraId="1F9E45B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4.1.5 在机组适当位置设置端子箱。端子箱以及至机组内部的电缆由承包人成套供货，并统一布置和敷设。</w:t>
      </w:r>
    </w:p>
    <w:p w14:paraId="39A88620">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4.2 机组自动控制系统的元器件配置要求</w:t>
      </w:r>
    </w:p>
    <w:p w14:paraId="1C04CCA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1）能实现机组的自动开机、停机、自动调节与控制；</w:t>
      </w:r>
    </w:p>
    <w:p w14:paraId="46B7004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2）能自动开启与切断机组需要自动控制的水、气系统；</w:t>
      </w:r>
    </w:p>
    <w:p w14:paraId="1E5F2E0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3）能自动监视机组冷却水的通断；</w:t>
      </w:r>
    </w:p>
    <w:p w14:paraId="0B764E8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4）能自动监视各轴承油箱油位；</w:t>
      </w:r>
    </w:p>
    <w:p w14:paraId="2A042DE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5）能自动监视机组有关部位的温度；</w:t>
      </w:r>
    </w:p>
    <w:p w14:paraId="3CDFE49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6）能自动监视和反映机组导叶的工作状态及位置；</w:t>
      </w:r>
    </w:p>
    <w:p w14:paraId="187E371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7）能自动发出机组有关转速信号；</w:t>
      </w:r>
    </w:p>
    <w:p w14:paraId="4D3AB41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8）能监测机组运行状态，给出机组健康状况评价和维护建议等。</w:t>
      </w:r>
    </w:p>
    <w:p w14:paraId="384460EC">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4.3 机组监测保护仪表配置</w:t>
      </w:r>
    </w:p>
    <w:p w14:paraId="366E9B4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4.3.1 机组自动控制应按GB/T11805《水轮发电机组自动化元件（装置）及其系统基本技术条件》和NB/T 35004《水力发电厂自动化设计技术规范》的要求进行配置。凡安装在主机供货范围内各个部位所需要的自动化元件及辅助接线设备均由承包人提供。承包人应提供完整的必不可少的，机组独立工作所需的自动化元件。在投标时应随投标书提供机组油、气、水自动化元件的具体配置数量、机械液压系统图及设备选型的初步意见。承包人提供的自动化元件具体配置数量及型号规格应经发包人和电站设计单位审查认可。</w:t>
      </w:r>
    </w:p>
    <w:p w14:paraId="43B91A7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4.3.2 机组配套的自动化元件和设备应能可靠工作，选用技术先进，有运行可靠信誉的产品。配置的各种传感器、自动化元件和仪表应满足计算机监控系统控制要求。自动化元件应防潮、防震、防漏，动作灵敏、准确、可靠，结构便于安装调试。</w:t>
      </w:r>
    </w:p>
    <w:p w14:paraId="1CC00AC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4.3.3 根据电站自动监控系统的要求，机组自动化范围内的非电量均应通过变换装置，转换为电信号（4～20mA模拟量信号或无源开关量）输出，引入计算机监控系统。</w:t>
      </w:r>
    </w:p>
    <w:p w14:paraId="67BEB3C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4.3.4 上述各开关量自动化元件的输出接点容量均应满足DC220V，电流≥1A的要求，变送器工作电源DC24V，输出4～20mA模拟量。上述装置中所需的全部自动化元件、仪器、仪表、变送器、电磁阀、液压阀、操作阀及必要的隔断阀、减震器、管件接头均应由承包人提供，选用的设备必须是有运行证明工作稳定可靠、性能良好、结构简单、调试维护方便的产品，并符合GB/T11805《水轮发电机组自动化元件（装置）及其系统基本技术条件》标准。</w:t>
      </w:r>
    </w:p>
    <w:p w14:paraId="58521D8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4.3.5 除另有说明外，每台水轮机和发电机应配有下列盘柜和仪表。</w:t>
      </w:r>
    </w:p>
    <w:p w14:paraId="7CD5B0CB">
      <w:pPr>
        <w:tabs>
          <w:tab w:val="left" w:pos="737"/>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表4.3-1 水轮机监测仪表配置表（单机）</w:t>
      </w: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066"/>
        <w:gridCol w:w="1935"/>
        <w:gridCol w:w="716"/>
        <w:gridCol w:w="1865"/>
        <w:gridCol w:w="1294"/>
      </w:tblGrid>
      <w:tr w14:paraId="0CC2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14C4EA3E">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序号</w:t>
            </w:r>
          </w:p>
        </w:tc>
        <w:tc>
          <w:tcPr>
            <w:tcW w:w="1212" w:type="pct"/>
            <w:vAlign w:val="center"/>
          </w:tcPr>
          <w:p w14:paraId="0407C6E6">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使用场所及监测项目</w:t>
            </w:r>
          </w:p>
        </w:tc>
        <w:tc>
          <w:tcPr>
            <w:tcW w:w="1135" w:type="pct"/>
            <w:vAlign w:val="center"/>
          </w:tcPr>
          <w:p w14:paraId="0C498E00">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元器件类型</w:t>
            </w:r>
          </w:p>
        </w:tc>
        <w:tc>
          <w:tcPr>
            <w:tcW w:w="420" w:type="pct"/>
            <w:vAlign w:val="center"/>
          </w:tcPr>
          <w:p w14:paraId="5CB94B21">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数量</w:t>
            </w:r>
          </w:p>
        </w:tc>
        <w:tc>
          <w:tcPr>
            <w:tcW w:w="1094" w:type="pct"/>
          </w:tcPr>
          <w:p w14:paraId="7AA462AF">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备注</w:t>
            </w:r>
          </w:p>
        </w:tc>
        <w:tc>
          <w:tcPr>
            <w:tcW w:w="759" w:type="pct"/>
            <w:vAlign w:val="center"/>
          </w:tcPr>
          <w:p w14:paraId="3767CA48">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安装位置</w:t>
            </w:r>
          </w:p>
        </w:tc>
      </w:tr>
      <w:tr w14:paraId="5017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1EE3B3CE">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一</w:t>
            </w:r>
          </w:p>
        </w:tc>
        <w:tc>
          <w:tcPr>
            <w:tcW w:w="4620" w:type="pct"/>
            <w:gridSpan w:val="5"/>
            <w:vAlign w:val="center"/>
          </w:tcPr>
          <w:p w14:paraId="59B82329">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压力监测</w:t>
            </w:r>
          </w:p>
        </w:tc>
      </w:tr>
      <w:tr w14:paraId="44FE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77D033FB">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212" w:type="pct"/>
            <w:vAlign w:val="center"/>
          </w:tcPr>
          <w:p w14:paraId="72EACEB1">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蜗壳进口压力</w:t>
            </w:r>
          </w:p>
        </w:tc>
        <w:tc>
          <w:tcPr>
            <w:tcW w:w="1135" w:type="pct"/>
            <w:vAlign w:val="center"/>
          </w:tcPr>
          <w:p w14:paraId="50037756">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压力表</w:t>
            </w:r>
          </w:p>
        </w:tc>
        <w:tc>
          <w:tcPr>
            <w:tcW w:w="420" w:type="pct"/>
            <w:vAlign w:val="center"/>
          </w:tcPr>
          <w:p w14:paraId="6F7A9C57">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各1</w:t>
            </w:r>
          </w:p>
        </w:tc>
        <w:tc>
          <w:tcPr>
            <w:tcW w:w="1094" w:type="pct"/>
          </w:tcPr>
          <w:p w14:paraId="08A85E76">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0～1.0MPa，精度0.5级</w:t>
            </w:r>
          </w:p>
        </w:tc>
        <w:tc>
          <w:tcPr>
            <w:tcW w:w="759" w:type="pct"/>
            <w:vAlign w:val="center"/>
          </w:tcPr>
          <w:p w14:paraId="224E4563">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蜗壳进口</w:t>
            </w:r>
          </w:p>
        </w:tc>
      </w:tr>
      <w:tr w14:paraId="49DB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041D5A4F">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p>
        </w:tc>
        <w:tc>
          <w:tcPr>
            <w:tcW w:w="1212" w:type="pct"/>
            <w:vAlign w:val="center"/>
          </w:tcPr>
          <w:p w14:paraId="25C9B73A">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尾水管进口压力</w:t>
            </w:r>
          </w:p>
        </w:tc>
        <w:tc>
          <w:tcPr>
            <w:tcW w:w="1135" w:type="pct"/>
            <w:vAlign w:val="center"/>
          </w:tcPr>
          <w:p w14:paraId="3148B180">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真空压力表</w:t>
            </w:r>
          </w:p>
        </w:tc>
        <w:tc>
          <w:tcPr>
            <w:tcW w:w="420" w:type="pct"/>
            <w:vAlign w:val="center"/>
          </w:tcPr>
          <w:p w14:paraId="51303629">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094" w:type="pct"/>
          </w:tcPr>
          <w:p w14:paraId="60FBBB14">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-0.1～0.25MPa，精度1.5级</w:t>
            </w:r>
          </w:p>
        </w:tc>
        <w:tc>
          <w:tcPr>
            <w:tcW w:w="759" w:type="pct"/>
            <w:vAlign w:val="center"/>
          </w:tcPr>
          <w:p w14:paraId="29043350">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尾水管进口</w:t>
            </w:r>
          </w:p>
        </w:tc>
      </w:tr>
      <w:tr w14:paraId="6591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493A1BC8">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w:t>
            </w:r>
          </w:p>
        </w:tc>
        <w:tc>
          <w:tcPr>
            <w:tcW w:w="1212" w:type="pct"/>
            <w:vAlign w:val="center"/>
          </w:tcPr>
          <w:p w14:paraId="6D5C2734">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顶盖压力</w:t>
            </w:r>
          </w:p>
        </w:tc>
        <w:tc>
          <w:tcPr>
            <w:tcW w:w="1135" w:type="pct"/>
            <w:vAlign w:val="center"/>
          </w:tcPr>
          <w:p w14:paraId="1337CDBC">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真空压力表/压力变送器</w:t>
            </w:r>
          </w:p>
        </w:tc>
        <w:tc>
          <w:tcPr>
            <w:tcW w:w="420" w:type="pct"/>
            <w:vAlign w:val="center"/>
          </w:tcPr>
          <w:p w14:paraId="6D9D6F8A">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094" w:type="pct"/>
          </w:tcPr>
          <w:p w14:paraId="1AB6FBF3">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-0.1～1.0MPa，精度1.5级</w:t>
            </w:r>
          </w:p>
        </w:tc>
        <w:tc>
          <w:tcPr>
            <w:tcW w:w="759" w:type="pct"/>
            <w:vAlign w:val="center"/>
          </w:tcPr>
          <w:p w14:paraId="39F6F587">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顶盖</w:t>
            </w:r>
          </w:p>
        </w:tc>
      </w:tr>
      <w:tr w14:paraId="14DB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57C77A3E">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w:t>
            </w:r>
          </w:p>
        </w:tc>
        <w:tc>
          <w:tcPr>
            <w:tcW w:w="1212" w:type="pct"/>
            <w:vAlign w:val="center"/>
          </w:tcPr>
          <w:p w14:paraId="44F3A765">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主轴密封进水</w:t>
            </w:r>
          </w:p>
        </w:tc>
        <w:tc>
          <w:tcPr>
            <w:tcW w:w="1135" w:type="pct"/>
            <w:vAlign w:val="center"/>
          </w:tcPr>
          <w:p w14:paraId="00C87D8A">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压力表/压力开关</w:t>
            </w:r>
          </w:p>
        </w:tc>
        <w:tc>
          <w:tcPr>
            <w:tcW w:w="420" w:type="pct"/>
            <w:vAlign w:val="center"/>
          </w:tcPr>
          <w:p w14:paraId="40AB6E48">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各1</w:t>
            </w:r>
          </w:p>
        </w:tc>
        <w:tc>
          <w:tcPr>
            <w:tcW w:w="1094" w:type="pct"/>
          </w:tcPr>
          <w:p w14:paraId="55A9F6D1">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0～0.6MPa，精度1.5级</w:t>
            </w:r>
          </w:p>
        </w:tc>
        <w:tc>
          <w:tcPr>
            <w:tcW w:w="759" w:type="pct"/>
            <w:vAlign w:val="center"/>
          </w:tcPr>
          <w:p w14:paraId="296352D2">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主轴密封供水管</w:t>
            </w:r>
          </w:p>
        </w:tc>
      </w:tr>
      <w:tr w14:paraId="3F71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73BA79FD">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二</w:t>
            </w:r>
          </w:p>
        </w:tc>
        <w:tc>
          <w:tcPr>
            <w:tcW w:w="4620" w:type="pct"/>
            <w:gridSpan w:val="5"/>
            <w:vAlign w:val="center"/>
          </w:tcPr>
          <w:p w14:paraId="1BF36401">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导叶及接力器位置</w:t>
            </w:r>
          </w:p>
        </w:tc>
      </w:tr>
      <w:tr w14:paraId="3B5E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63F536D7">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5</w:t>
            </w:r>
          </w:p>
        </w:tc>
        <w:tc>
          <w:tcPr>
            <w:tcW w:w="1212" w:type="pct"/>
            <w:vAlign w:val="center"/>
          </w:tcPr>
          <w:p w14:paraId="2D51B8F3">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导叶位置</w:t>
            </w:r>
          </w:p>
        </w:tc>
        <w:tc>
          <w:tcPr>
            <w:tcW w:w="1135" w:type="pct"/>
            <w:vAlign w:val="center"/>
          </w:tcPr>
          <w:p w14:paraId="335778D5">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行程开关</w:t>
            </w:r>
          </w:p>
        </w:tc>
        <w:tc>
          <w:tcPr>
            <w:tcW w:w="420" w:type="pct"/>
            <w:vAlign w:val="center"/>
          </w:tcPr>
          <w:p w14:paraId="4399B1B2">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094" w:type="pct"/>
          </w:tcPr>
          <w:p w14:paraId="7DBF9233">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不少于4对接点</w:t>
            </w:r>
          </w:p>
        </w:tc>
        <w:tc>
          <w:tcPr>
            <w:tcW w:w="759" w:type="pct"/>
            <w:vAlign w:val="center"/>
          </w:tcPr>
          <w:p w14:paraId="32148E16">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接力器</w:t>
            </w:r>
          </w:p>
        </w:tc>
      </w:tr>
      <w:tr w14:paraId="30BC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15B87D45">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6</w:t>
            </w:r>
          </w:p>
        </w:tc>
        <w:tc>
          <w:tcPr>
            <w:tcW w:w="1212" w:type="pct"/>
            <w:vAlign w:val="center"/>
          </w:tcPr>
          <w:p w14:paraId="6A33DC5A">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接力器行程</w:t>
            </w:r>
          </w:p>
        </w:tc>
        <w:tc>
          <w:tcPr>
            <w:tcW w:w="1135" w:type="pct"/>
            <w:vAlign w:val="center"/>
          </w:tcPr>
          <w:p w14:paraId="2CA6CF5D">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位移变送器</w:t>
            </w:r>
          </w:p>
        </w:tc>
        <w:tc>
          <w:tcPr>
            <w:tcW w:w="420" w:type="pct"/>
            <w:vAlign w:val="center"/>
          </w:tcPr>
          <w:p w14:paraId="2066C57F">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094" w:type="pct"/>
          </w:tcPr>
          <w:p w14:paraId="6E0776D5">
            <w:pPr>
              <w:spacing w:line="400" w:lineRule="exact"/>
              <w:rPr>
                <w:rFonts w:hint="eastAsia" w:asciiTheme="minorEastAsia" w:hAnsiTheme="minorEastAsia" w:eastAsiaTheme="minorEastAsia" w:cstheme="minorEastAsia"/>
                <w:snapToGrid w:val="0"/>
                <w:color w:val="auto"/>
                <w:sz w:val="21"/>
                <w:szCs w:val="21"/>
              </w:rPr>
            </w:pPr>
          </w:p>
        </w:tc>
        <w:tc>
          <w:tcPr>
            <w:tcW w:w="759" w:type="pct"/>
            <w:vAlign w:val="center"/>
          </w:tcPr>
          <w:p w14:paraId="5D502E4A">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接力器</w:t>
            </w:r>
          </w:p>
        </w:tc>
      </w:tr>
      <w:tr w14:paraId="5AEB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102B0E65">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7</w:t>
            </w:r>
          </w:p>
        </w:tc>
        <w:tc>
          <w:tcPr>
            <w:tcW w:w="1212" w:type="pct"/>
            <w:vAlign w:val="center"/>
          </w:tcPr>
          <w:p w14:paraId="058EA487">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接力器锁定</w:t>
            </w:r>
          </w:p>
        </w:tc>
        <w:tc>
          <w:tcPr>
            <w:tcW w:w="1135" w:type="pct"/>
            <w:vAlign w:val="center"/>
          </w:tcPr>
          <w:p w14:paraId="570921D0">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行程开关</w:t>
            </w:r>
          </w:p>
        </w:tc>
        <w:tc>
          <w:tcPr>
            <w:tcW w:w="420" w:type="pct"/>
            <w:vAlign w:val="center"/>
          </w:tcPr>
          <w:p w14:paraId="18C1B059">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094" w:type="pct"/>
          </w:tcPr>
          <w:p w14:paraId="7071B436">
            <w:pPr>
              <w:spacing w:line="400" w:lineRule="exact"/>
              <w:rPr>
                <w:rFonts w:hint="eastAsia" w:asciiTheme="minorEastAsia" w:hAnsiTheme="minorEastAsia" w:eastAsiaTheme="minorEastAsia" w:cstheme="minorEastAsia"/>
                <w:snapToGrid w:val="0"/>
                <w:color w:val="auto"/>
                <w:sz w:val="21"/>
                <w:szCs w:val="21"/>
              </w:rPr>
            </w:pPr>
          </w:p>
        </w:tc>
        <w:tc>
          <w:tcPr>
            <w:tcW w:w="759" w:type="pct"/>
            <w:vAlign w:val="center"/>
          </w:tcPr>
          <w:p w14:paraId="5587A5E4">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接力器</w:t>
            </w:r>
          </w:p>
        </w:tc>
      </w:tr>
      <w:tr w14:paraId="02BD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03A651DE">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8</w:t>
            </w:r>
          </w:p>
        </w:tc>
        <w:tc>
          <w:tcPr>
            <w:tcW w:w="1212" w:type="pct"/>
            <w:vAlign w:val="center"/>
          </w:tcPr>
          <w:p w14:paraId="70F22A8B">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接力器锁定</w:t>
            </w:r>
          </w:p>
        </w:tc>
        <w:tc>
          <w:tcPr>
            <w:tcW w:w="1135" w:type="pct"/>
            <w:vAlign w:val="center"/>
          </w:tcPr>
          <w:p w14:paraId="031E4438">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电磁阀</w:t>
            </w:r>
          </w:p>
        </w:tc>
        <w:tc>
          <w:tcPr>
            <w:tcW w:w="420" w:type="pct"/>
            <w:vAlign w:val="center"/>
          </w:tcPr>
          <w:p w14:paraId="61047429">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094" w:type="pct"/>
          </w:tcPr>
          <w:p w14:paraId="615BAC67">
            <w:pPr>
              <w:spacing w:line="400" w:lineRule="exact"/>
              <w:rPr>
                <w:rFonts w:hint="eastAsia" w:asciiTheme="minorEastAsia" w:hAnsiTheme="minorEastAsia" w:eastAsiaTheme="minorEastAsia" w:cstheme="minorEastAsia"/>
                <w:snapToGrid w:val="0"/>
                <w:color w:val="auto"/>
                <w:sz w:val="21"/>
                <w:szCs w:val="21"/>
              </w:rPr>
            </w:pPr>
          </w:p>
        </w:tc>
        <w:tc>
          <w:tcPr>
            <w:tcW w:w="759" w:type="pct"/>
            <w:vAlign w:val="center"/>
          </w:tcPr>
          <w:p w14:paraId="0BBE1B86">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接力器</w:t>
            </w:r>
          </w:p>
        </w:tc>
      </w:tr>
      <w:tr w14:paraId="259A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49DA4284">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9</w:t>
            </w:r>
          </w:p>
        </w:tc>
        <w:tc>
          <w:tcPr>
            <w:tcW w:w="1212" w:type="pct"/>
            <w:vAlign w:val="center"/>
          </w:tcPr>
          <w:p w14:paraId="3B13D14D">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剪断销</w:t>
            </w:r>
          </w:p>
        </w:tc>
        <w:tc>
          <w:tcPr>
            <w:tcW w:w="1135" w:type="pct"/>
            <w:vAlign w:val="center"/>
          </w:tcPr>
          <w:p w14:paraId="709FF4E1">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剪断销信号器</w:t>
            </w:r>
          </w:p>
        </w:tc>
        <w:tc>
          <w:tcPr>
            <w:tcW w:w="420" w:type="pct"/>
            <w:vAlign w:val="center"/>
          </w:tcPr>
          <w:p w14:paraId="532591E0">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1套</w:t>
            </w:r>
          </w:p>
        </w:tc>
        <w:tc>
          <w:tcPr>
            <w:tcW w:w="1094" w:type="pct"/>
          </w:tcPr>
          <w:p w14:paraId="5FB1DB8F">
            <w:pPr>
              <w:spacing w:line="320" w:lineRule="exact"/>
              <w:rPr>
                <w:rFonts w:hint="eastAsia" w:asciiTheme="minorEastAsia" w:hAnsiTheme="minorEastAsia" w:eastAsiaTheme="minorEastAsia" w:cstheme="minorEastAsia"/>
                <w:snapToGrid w:val="0"/>
                <w:color w:val="auto"/>
                <w:sz w:val="21"/>
                <w:szCs w:val="21"/>
              </w:rPr>
            </w:pPr>
          </w:p>
        </w:tc>
        <w:tc>
          <w:tcPr>
            <w:tcW w:w="759" w:type="pct"/>
            <w:vAlign w:val="center"/>
          </w:tcPr>
          <w:p w14:paraId="698304D3">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现地</w:t>
            </w:r>
          </w:p>
        </w:tc>
      </w:tr>
      <w:tr w14:paraId="259B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543B21E0">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10</w:t>
            </w:r>
          </w:p>
        </w:tc>
        <w:tc>
          <w:tcPr>
            <w:tcW w:w="1212" w:type="pct"/>
            <w:vAlign w:val="center"/>
          </w:tcPr>
          <w:p w14:paraId="534D14CF">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剪断销信号装置</w:t>
            </w:r>
          </w:p>
        </w:tc>
        <w:tc>
          <w:tcPr>
            <w:tcW w:w="1135" w:type="pct"/>
            <w:vAlign w:val="center"/>
          </w:tcPr>
          <w:p w14:paraId="294E2E2B">
            <w:pPr>
              <w:spacing w:line="320" w:lineRule="exact"/>
              <w:rPr>
                <w:rFonts w:hint="eastAsia" w:asciiTheme="minorEastAsia" w:hAnsiTheme="minorEastAsia" w:eastAsiaTheme="minorEastAsia" w:cstheme="minorEastAsia"/>
                <w:snapToGrid w:val="0"/>
                <w:color w:val="auto"/>
                <w:sz w:val="21"/>
                <w:szCs w:val="21"/>
              </w:rPr>
            </w:pPr>
          </w:p>
        </w:tc>
        <w:tc>
          <w:tcPr>
            <w:tcW w:w="420" w:type="pct"/>
            <w:vAlign w:val="center"/>
          </w:tcPr>
          <w:p w14:paraId="45DBE377">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094" w:type="pct"/>
          </w:tcPr>
          <w:p w14:paraId="120D9C3C">
            <w:pPr>
              <w:spacing w:line="320" w:lineRule="exact"/>
              <w:rPr>
                <w:rFonts w:hint="eastAsia" w:asciiTheme="minorEastAsia" w:hAnsiTheme="minorEastAsia" w:eastAsiaTheme="minorEastAsia" w:cstheme="minorEastAsia"/>
                <w:snapToGrid w:val="0"/>
                <w:color w:val="auto"/>
                <w:sz w:val="21"/>
                <w:szCs w:val="21"/>
              </w:rPr>
            </w:pPr>
          </w:p>
        </w:tc>
        <w:tc>
          <w:tcPr>
            <w:tcW w:w="759" w:type="pct"/>
            <w:vAlign w:val="center"/>
          </w:tcPr>
          <w:p w14:paraId="72B6444A">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测温制动屏</w:t>
            </w:r>
          </w:p>
        </w:tc>
      </w:tr>
      <w:tr w14:paraId="132F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6920430F">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三</w:t>
            </w:r>
          </w:p>
        </w:tc>
        <w:tc>
          <w:tcPr>
            <w:tcW w:w="1212" w:type="pct"/>
            <w:vAlign w:val="center"/>
          </w:tcPr>
          <w:p w14:paraId="072032CD">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其他</w:t>
            </w:r>
          </w:p>
        </w:tc>
        <w:tc>
          <w:tcPr>
            <w:tcW w:w="1135" w:type="pct"/>
            <w:vAlign w:val="center"/>
          </w:tcPr>
          <w:p w14:paraId="0C6349CF">
            <w:pPr>
              <w:spacing w:line="400" w:lineRule="exact"/>
              <w:rPr>
                <w:rFonts w:hint="eastAsia" w:asciiTheme="minorEastAsia" w:hAnsiTheme="minorEastAsia" w:eastAsiaTheme="minorEastAsia" w:cstheme="minorEastAsia"/>
                <w:snapToGrid w:val="0"/>
                <w:color w:val="auto"/>
                <w:sz w:val="21"/>
                <w:szCs w:val="21"/>
              </w:rPr>
            </w:pPr>
          </w:p>
        </w:tc>
        <w:tc>
          <w:tcPr>
            <w:tcW w:w="420" w:type="pct"/>
            <w:vAlign w:val="center"/>
          </w:tcPr>
          <w:p w14:paraId="62A0CDA2">
            <w:pPr>
              <w:spacing w:line="400" w:lineRule="exact"/>
              <w:jc w:val="center"/>
              <w:rPr>
                <w:rFonts w:hint="eastAsia" w:asciiTheme="minorEastAsia" w:hAnsiTheme="minorEastAsia" w:eastAsiaTheme="minorEastAsia" w:cstheme="minorEastAsia"/>
                <w:snapToGrid w:val="0"/>
                <w:color w:val="auto"/>
                <w:sz w:val="21"/>
                <w:szCs w:val="21"/>
              </w:rPr>
            </w:pPr>
          </w:p>
        </w:tc>
        <w:tc>
          <w:tcPr>
            <w:tcW w:w="1094" w:type="pct"/>
          </w:tcPr>
          <w:p w14:paraId="6043B7AA">
            <w:pPr>
              <w:spacing w:line="400" w:lineRule="exact"/>
              <w:rPr>
                <w:rFonts w:hint="eastAsia" w:asciiTheme="minorEastAsia" w:hAnsiTheme="minorEastAsia" w:eastAsiaTheme="minorEastAsia" w:cstheme="minorEastAsia"/>
                <w:snapToGrid w:val="0"/>
                <w:color w:val="auto"/>
                <w:sz w:val="21"/>
                <w:szCs w:val="21"/>
              </w:rPr>
            </w:pPr>
          </w:p>
        </w:tc>
        <w:tc>
          <w:tcPr>
            <w:tcW w:w="759" w:type="pct"/>
            <w:vAlign w:val="center"/>
          </w:tcPr>
          <w:p w14:paraId="51F9A16E">
            <w:pPr>
              <w:spacing w:line="400" w:lineRule="exact"/>
              <w:rPr>
                <w:rFonts w:hint="eastAsia" w:asciiTheme="minorEastAsia" w:hAnsiTheme="minorEastAsia" w:eastAsiaTheme="minorEastAsia" w:cstheme="minorEastAsia"/>
                <w:snapToGrid w:val="0"/>
                <w:color w:val="auto"/>
                <w:sz w:val="21"/>
                <w:szCs w:val="21"/>
              </w:rPr>
            </w:pPr>
          </w:p>
        </w:tc>
      </w:tr>
      <w:tr w14:paraId="78B1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14:paraId="2EFF38DF">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11</w:t>
            </w:r>
          </w:p>
        </w:tc>
        <w:tc>
          <w:tcPr>
            <w:tcW w:w="1212" w:type="pct"/>
            <w:vAlign w:val="center"/>
          </w:tcPr>
          <w:p w14:paraId="68810935">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水轮机端子箱</w:t>
            </w:r>
          </w:p>
        </w:tc>
        <w:tc>
          <w:tcPr>
            <w:tcW w:w="1135" w:type="pct"/>
            <w:vAlign w:val="center"/>
          </w:tcPr>
          <w:p w14:paraId="4D8818A3">
            <w:pPr>
              <w:spacing w:line="400" w:lineRule="exact"/>
              <w:rPr>
                <w:rFonts w:hint="eastAsia" w:asciiTheme="minorEastAsia" w:hAnsiTheme="minorEastAsia" w:eastAsiaTheme="minorEastAsia" w:cstheme="minorEastAsia"/>
                <w:snapToGrid w:val="0"/>
                <w:color w:val="auto"/>
                <w:sz w:val="21"/>
                <w:szCs w:val="21"/>
              </w:rPr>
            </w:pPr>
          </w:p>
        </w:tc>
        <w:tc>
          <w:tcPr>
            <w:tcW w:w="420" w:type="pct"/>
            <w:vAlign w:val="center"/>
          </w:tcPr>
          <w:p w14:paraId="00FF37FB">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094" w:type="pct"/>
          </w:tcPr>
          <w:p w14:paraId="43984EDC">
            <w:pPr>
              <w:spacing w:line="400" w:lineRule="exact"/>
              <w:rPr>
                <w:rFonts w:hint="eastAsia" w:asciiTheme="minorEastAsia" w:hAnsiTheme="minorEastAsia" w:eastAsiaTheme="minorEastAsia" w:cstheme="minorEastAsia"/>
                <w:snapToGrid w:val="0"/>
                <w:color w:val="auto"/>
                <w:sz w:val="21"/>
                <w:szCs w:val="21"/>
              </w:rPr>
            </w:pPr>
          </w:p>
        </w:tc>
        <w:tc>
          <w:tcPr>
            <w:tcW w:w="759" w:type="pct"/>
            <w:vAlign w:val="center"/>
          </w:tcPr>
          <w:p w14:paraId="665E82DE">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机旁</w:t>
            </w:r>
          </w:p>
        </w:tc>
      </w:tr>
    </w:tbl>
    <w:p w14:paraId="226E7D35">
      <w:pPr>
        <w:tabs>
          <w:tab w:val="left" w:pos="737"/>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p>
    <w:p w14:paraId="24E400F0">
      <w:pPr>
        <w:tabs>
          <w:tab w:val="left" w:pos="737"/>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表4.3-2  发电机监测仪表配置表(单机)</w:t>
      </w: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2047"/>
        <w:gridCol w:w="1916"/>
        <w:gridCol w:w="762"/>
        <w:gridCol w:w="1896"/>
        <w:gridCol w:w="1275"/>
      </w:tblGrid>
      <w:tr w14:paraId="3A90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39BB17F6">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序号</w:t>
            </w:r>
          </w:p>
        </w:tc>
        <w:tc>
          <w:tcPr>
            <w:tcW w:w="1201" w:type="pct"/>
            <w:vAlign w:val="center"/>
          </w:tcPr>
          <w:p w14:paraId="2128BDFC">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使用场所及监测项目</w:t>
            </w:r>
          </w:p>
        </w:tc>
        <w:tc>
          <w:tcPr>
            <w:tcW w:w="1124" w:type="pct"/>
            <w:vAlign w:val="center"/>
          </w:tcPr>
          <w:p w14:paraId="2E323112">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元器件类型</w:t>
            </w:r>
          </w:p>
        </w:tc>
        <w:tc>
          <w:tcPr>
            <w:tcW w:w="447" w:type="pct"/>
            <w:vAlign w:val="center"/>
          </w:tcPr>
          <w:p w14:paraId="56FB2FB6">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数量</w:t>
            </w:r>
          </w:p>
        </w:tc>
        <w:tc>
          <w:tcPr>
            <w:tcW w:w="1112" w:type="pct"/>
          </w:tcPr>
          <w:p w14:paraId="7ADDF5B2">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备注</w:t>
            </w:r>
          </w:p>
        </w:tc>
        <w:tc>
          <w:tcPr>
            <w:tcW w:w="748" w:type="pct"/>
            <w:vAlign w:val="center"/>
          </w:tcPr>
          <w:p w14:paraId="7581434E">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安装位置</w:t>
            </w:r>
          </w:p>
        </w:tc>
      </w:tr>
      <w:tr w14:paraId="668C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45BBFFBC">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一</w:t>
            </w:r>
          </w:p>
        </w:tc>
        <w:tc>
          <w:tcPr>
            <w:tcW w:w="4632" w:type="pct"/>
            <w:gridSpan w:val="5"/>
            <w:vAlign w:val="center"/>
          </w:tcPr>
          <w:p w14:paraId="59B55B18">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温度监测</w:t>
            </w:r>
          </w:p>
        </w:tc>
      </w:tr>
      <w:tr w14:paraId="285D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456E7EA5">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201" w:type="pct"/>
            <w:vAlign w:val="center"/>
          </w:tcPr>
          <w:p w14:paraId="4DD3C580">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定子绕组温度</w:t>
            </w:r>
          </w:p>
        </w:tc>
        <w:tc>
          <w:tcPr>
            <w:tcW w:w="1124" w:type="pct"/>
            <w:vAlign w:val="center"/>
          </w:tcPr>
          <w:p w14:paraId="0C18B7A8">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09B4A8BF">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w:t>
            </w:r>
          </w:p>
        </w:tc>
        <w:tc>
          <w:tcPr>
            <w:tcW w:w="1112" w:type="pct"/>
          </w:tcPr>
          <w:p w14:paraId="15222DE5">
            <w:pPr>
              <w:spacing w:line="32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1759B486">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定子绕组</w:t>
            </w:r>
          </w:p>
        </w:tc>
      </w:tr>
      <w:tr w14:paraId="1D88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1AF4F978">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p>
        </w:tc>
        <w:tc>
          <w:tcPr>
            <w:tcW w:w="1201" w:type="pct"/>
            <w:vAlign w:val="center"/>
          </w:tcPr>
          <w:p w14:paraId="60D4F774">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定子铁芯温度</w:t>
            </w:r>
          </w:p>
        </w:tc>
        <w:tc>
          <w:tcPr>
            <w:tcW w:w="1124" w:type="pct"/>
            <w:vAlign w:val="center"/>
          </w:tcPr>
          <w:p w14:paraId="6ACBEFAD">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5232342A">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w:t>
            </w:r>
          </w:p>
        </w:tc>
        <w:tc>
          <w:tcPr>
            <w:tcW w:w="1112" w:type="pct"/>
          </w:tcPr>
          <w:p w14:paraId="4E7E111B">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1D8BE20C">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定子铁芯</w:t>
            </w:r>
          </w:p>
        </w:tc>
      </w:tr>
      <w:tr w14:paraId="07CE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7E31FD0F">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w:t>
            </w:r>
          </w:p>
        </w:tc>
        <w:tc>
          <w:tcPr>
            <w:tcW w:w="1201" w:type="pct"/>
            <w:vAlign w:val="center"/>
          </w:tcPr>
          <w:p w14:paraId="7E6B682C">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推力瓦温度</w:t>
            </w:r>
          </w:p>
        </w:tc>
        <w:tc>
          <w:tcPr>
            <w:tcW w:w="1124" w:type="pct"/>
            <w:vAlign w:val="center"/>
          </w:tcPr>
          <w:p w14:paraId="4C1E35B8">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130C5EA9">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p>
        </w:tc>
        <w:tc>
          <w:tcPr>
            <w:tcW w:w="1112" w:type="pct"/>
          </w:tcPr>
          <w:p w14:paraId="71E7A682">
            <w:pPr>
              <w:spacing w:line="32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3DE19419">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推力轴瓦</w:t>
            </w:r>
          </w:p>
        </w:tc>
      </w:tr>
      <w:tr w14:paraId="2065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6B735864">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w:t>
            </w:r>
          </w:p>
        </w:tc>
        <w:tc>
          <w:tcPr>
            <w:tcW w:w="1201" w:type="pct"/>
            <w:vAlign w:val="center"/>
          </w:tcPr>
          <w:p w14:paraId="1CA354D3">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导轴瓦温度</w:t>
            </w:r>
          </w:p>
        </w:tc>
        <w:tc>
          <w:tcPr>
            <w:tcW w:w="1124" w:type="pct"/>
            <w:vAlign w:val="center"/>
          </w:tcPr>
          <w:p w14:paraId="70573BC9">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37AA90F7">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p>
        </w:tc>
        <w:tc>
          <w:tcPr>
            <w:tcW w:w="1112" w:type="pct"/>
          </w:tcPr>
          <w:p w14:paraId="1AAC388F">
            <w:pPr>
              <w:spacing w:line="32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00A007CC">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前导轴瓦</w:t>
            </w:r>
          </w:p>
        </w:tc>
      </w:tr>
      <w:tr w14:paraId="3ADF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3B4BB71A">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5</w:t>
            </w:r>
          </w:p>
        </w:tc>
        <w:tc>
          <w:tcPr>
            <w:tcW w:w="1201" w:type="pct"/>
            <w:vAlign w:val="center"/>
          </w:tcPr>
          <w:p w14:paraId="772DE7C6">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导轴瓦温度</w:t>
            </w:r>
          </w:p>
        </w:tc>
        <w:tc>
          <w:tcPr>
            <w:tcW w:w="1124" w:type="pct"/>
            <w:vAlign w:val="center"/>
          </w:tcPr>
          <w:p w14:paraId="62E5B7F6">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1A60489F">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p>
        </w:tc>
        <w:tc>
          <w:tcPr>
            <w:tcW w:w="1112" w:type="pct"/>
          </w:tcPr>
          <w:p w14:paraId="6ABBE26D">
            <w:pPr>
              <w:spacing w:line="32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00AEE2D6">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后导轴瓦</w:t>
            </w:r>
          </w:p>
        </w:tc>
      </w:tr>
      <w:tr w14:paraId="6E6D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4E13CAC6">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6</w:t>
            </w:r>
          </w:p>
        </w:tc>
        <w:tc>
          <w:tcPr>
            <w:tcW w:w="1201" w:type="pct"/>
            <w:vAlign w:val="center"/>
          </w:tcPr>
          <w:p w14:paraId="28299950">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空冷器进风温度</w:t>
            </w:r>
          </w:p>
        </w:tc>
        <w:tc>
          <w:tcPr>
            <w:tcW w:w="1124" w:type="pct"/>
            <w:vAlign w:val="center"/>
          </w:tcPr>
          <w:p w14:paraId="6EEE5A5D">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13CF6A88">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tcPr>
          <w:p w14:paraId="45F41046">
            <w:pPr>
              <w:spacing w:line="32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41664DC4">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空冷器进口</w:t>
            </w:r>
          </w:p>
        </w:tc>
      </w:tr>
      <w:tr w14:paraId="6D7B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3099746A">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7</w:t>
            </w:r>
          </w:p>
        </w:tc>
        <w:tc>
          <w:tcPr>
            <w:tcW w:w="1201" w:type="pct"/>
            <w:vAlign w:val="center"/>
          </w:tcPr>
          <w:p w14:paraId="355852BF">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空冷器出风温度</w:t>
            </w:r>
          </w:p>
        </w:tc>
        <w:tc>
          <w:tcPr>
            <w:tcW w:w="1124" w:type="pct"/>
            <w:vAlign w:val="center"/>
          </w:tcPr>
          <w:p w14:paraId="185CD8C6">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6E4504F9">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tcPr>
          <w:p w14:paraId="58A75DBA">
            <w:pPr>
              <w:spacing w:line="32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5E054814">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空冷器出口</w:t>
            </w:r>
          </w:p>
        </w:tc>
      </w:tr>
      <w:tr w14:paraId="296B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17D944FB">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8</w:t>
            </w:r>
          </w:p>
        </w:tc>
        <w:tc>
          <w:tcPr>
            <w:tcW w:w="1201" w:type="pct"/>
            <w:vAlign w:val="center"/>
          </w:tcPr>
          <w:p w14:paraId="3DD8C4C1">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空冷器冷却水温度</w:t>
            </w:r>
          </w:p>
        </w:tc>
        <w:tc>
          <w:tcPr>
            <w:tcW w:w="1124" w:type="pct"/>
            <w:vAlign w:val="center"/>
          </w:tcPr>
          <w:p w14:paraId="2D0A201E">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7348A3EA">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p>
        </w:tc>
        <w:tc>
          <w:tcPr>
            <w:tcW w:w="1112" w:type="pct"/>
          </w:tcPr>
          <w:p w14:paraId="1DDA7044">
            <w:pPr>
              <w:spacing w:line="32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2A2C1951">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空冷器冷却出水管</w:t>
            </w:r>
          </w:p>
        </w:tc>
      </w:tr>
      <w:tr w14:paraId="08B9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0628BCEC">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9</w:t>
            </w:r>
          </w:p>
        </w:tc>
        <w:tc>
          <w:tcPr>
            <w:tcW w:w="1201" w:type="pct"/>
            <w:vAlign w:val="center"/>
          </w:tcPr>
          <w:p w14:paraId="664B4A2F">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轴承油槽油温</w:t>
            </w:r>
          </w:p>
        </w:tc>
        <w:tc>
          <w:tcPr>
            <w:tcW w:w="1124" w:type="pct"/>
            <w:vAlign w:val="center"/>
          </w:tcPr>
          <w:p w14:paraId="308AB7A2">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103CD727">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tcPr>
          <w:p w14:paraId="0D025CB8">
            <w:pPr>
              <w:spacing w:line="32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6EAA5B23">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前导油箱</w:t>
            </w:r>
          </w:p>
        </w:tc>
      </w:tr>
      <w:tr w14:paraId="09E5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5651E8F3">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10</w:t>
            </w:r>
          </w:p>
        </w:tc>
        <w:tc>
          <w:tcPr>
            <w:tcW w:w="1201" w:type="pct"/>
            <w:vAlign w:val="center"/>
          </w:tcPr>
          <w:p w14:paraId="2603C1CA">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轴承油槽油温</w:t>
            </w:r>
          </w:p>
        </w:tc>
        <w:tc>
          <w:tcPr>
            <w:tcW w:w="1124" w:type="pct"/>
            <w:vAlign w:val="center"/>
          </w:tcPr>
          <w:p w14:paraId="5D2B29E0">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4049F935">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tcPr>
          <w:p w14:paraId="561073F9">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6BEED934">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后导油箱</w:t>
            </w:r>
          </w:p>
        </w:tc>
      </w:tr>
      <w:tr w14:paraId="0DB8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60E18E7A">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11</w:t>
            </w:r>
          </w:p>
        </w:tc>
        <w:tc>
          <w:tcPr>
            <w:tcW w:w="1201" w:type="pct"/>
            <w:vAlign w:val="center"/>
          </w:tcPr>
          <w:p w14:paraId="3228A9C7">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技术供水温度</w:t>
            </w:r>
          </w:p>
        </w:tc>
        <w:tc>
          <w:tcPr>
            <w:tcW w:w="1124" w:type="pct"/>
            <w:vAlign w:val="center"/>
          </w:tcPr>
          <w:p w14:paraId="2B6D2A4E">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测温电阻</w:t>
            </w:r>
          </w:p>
        </w:tc>
        <w:tc>
          <w:tcPr>
            <w:tcW w:w="447" w:type="pct"/>
            <w:vAlign w:val="center"/>
          </w:tcPr>
          <w:p w14:paraId="62A956E7">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tcPr>
          <w:p w14:paraId="0CE49E66">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56A87FD4">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供水总管</w:t>
            </w:r>
          </w:p>
        </w:tc>
      </w:tr>
      <w:tr w14:paraId="627B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121AD3AF">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12</w:t>
            </w:r>
          </w:p>
        </w:tc>
        <w:tc>
          <w:tcPr>
            <w:tcW w:w="1201" w:type="pct"/>
            <w:vAlign w:val="center"/>
          </w:tcPr>
          <w:p w14:paraId="7BF24CAE">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温度显示</w:t>
            </w:r>
          </w:p>
        </w:tc>
        <w:tc>
          <w:tcPr>
            <w:tcW w:w="1124" w:type="pct"/>
            <w:vAlign w:val="center"/>
          </w:tcPr>
          <w:p w14:paraId="192950A0">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温度显示控制仪</w:t>
            </w:r>
          </w:p>
        </w:tc>
        <w:tc>
          <w:tcPr>
            <w:tcW w:w="447" w:type="pct"/>
            <w:vAlign w:val="center"/>
          </w:tcPr>
          <w:p w14:paraId="0FD7CCDE">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w:t>
            </w:r>
          </w:p>
        </w:tc>
        <w:tc>
          <w:tcPr>
            <w:tcW w:w="1112" w:type="pct"/>
            <w:vAlign w:val="center"/>
          </w:tcPr>
          <w:p w14:paraId="354B0788">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推力瓦1、导瓦各1</w:t>
            </w:r>
          </w:p>
        </w:tc>
        <w:tc>
          <w:tcPr>
            <w:tcW w:w="748" w:type="pct"/>
            <w:vAlign w:val="center"/>
          </w:tcPr>
          <w:p w14:paraId="4168AB50">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测温制动屏</w:t>
            </w:r>
          </w:p>
        </w:tc>
      </w:tr>
      <w:tr w14:paraId="120C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45A3651B">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13</w:t>
            </w:r>
          </w:p>
        </w:tc>
        <w:tc>
          <w:tcPr>
            <w:tcW w:w="1201" w:type="pct"/>
            <w:vAlign w:val="center"/>
          </w:tcPr>
          <w:p w14:paraId="3292E7A6">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温度巡检</w:t>
            </w:r>
          </w:p>
        </w:tc>
        <w:tc>
          <w:tcPr>
            <w:tcW w:w="1124" w:type="pct"/>
            <w:vAlign w:val="center"/>
          </w:tcPr>
          <w:p w14:paraId="08607ADE">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温度巡检仪</w:t>
            </w:r>
          </w:p>
        </w:tc>
        <w:tc>
          <w:tcPr>
            <w:tcW w:w="447" w:type="pct"/>
            <w:vAlign w:val="center"/>
          </w:tcPr>
          <w:p w14:paraId="5B40F21C">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6F1DCCE4">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定子6、瓦温各1、油温各1</w:t>
            </w:r>
          </w:p>
        </w:tc>
        <w:tc>
          <w:tcPr>
            <w:tcW w:w="748" w:type="pct"/>
            <w:vAlign w:val="center"/>
          </w:tcPr>
          <w:p w14:paraId="3F341388">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测温制动屏</w:t>
            </w:r>
          </w:p>
        </w:tc>
      </w:tr>
      <w:tr w14:paraId="2C57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4FF5E810">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二</w:t>
            </w:r>
          </w:p>
        </w:tc>
        <w:tc>
          <w:tcPr>
            <w:tcW w:w="4632" w:type="pct"/>
            <w:gridSpan w:val="5"/>
          </w:tcPr>
          <w:p w14:paraId="5D8D6583">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油位监测</w:t>
            </w:r>
          </w:p>
        </w:tc>
      </w:tr>
      <w:tr w14:paraId="18C3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55FC26EC">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14</w:t>
            </w:r>
          </w:p>
        </w:tc>
        <w:tc>
          <w:tcPr>
            <w:tcW w:w="1201" w:type="pct"/>
            <w:vAlign w:val="center"/>
          </w:tcPr>
          <w:p w14:paraId="37749A40">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轴承油槽油位</w:t>
            </w:r>
          </w:p>
        </w:tc>
        <w:tc>
          <w:tcPr>
            <w:tcW w:w="1124" w:type="pct"/>
            <w:vAlign w:val="center"/>
          </w:tcPr>
          <w:p w14:paraId="1B20E4F0">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油位信号器</w:t>
            </w:r>
          </w:p>
        </w:tc>
        <w:tc>
          <w:tcPr>
            <w:tcW w:w="447" w:type="pct"/>
            <w:vAlign w:val="center"/>
          </w:tcPr>
          <w:p w14:paraId="3DAFDE95">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p>
        </w:tc>
        <w:tc>
          <w:tcPr>
            <w:tcW w:w="1112" w:type="pct"/>
            <w:vAlign w:val="center"/>
          </w:tcPr>
          <w:p w14:paraId="05CD9CEC">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前、后导轴承各1</w:t>
            </w:r>
          </w:p>
        </w:tc>
        <w:tc>
          <w:tcPr>
            <w:tcW w:w="748" w:type="pct"/>
            <w:vAlign w:val="center"/>
          </w:tcPr>
          <w:p w14:paraId="35CCB7BD">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油箱</w:t>
            </w:r>
          </w:p>
        </w:tc>
      </w:tr>
      <w:tr w14:paraId="37C8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1C6298AA">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三</w:t>
            </w:r>
          </w:p>
        </w:tc>
        <w:tc>
          <w:tcPr>
            <w:tcW w:w="4632" w:type="pct"/>
            <w:gridSpan w:val="5"/>
          </w:tcPr>
          <w:p w14:paraId="16422657">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流量、压力监测</w:t>
            </w:r>
          </w:p>
        </w:tc>
      </w:tr>
      <w:tr w14:paraId="6455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4066206C">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15</w:t>
            </w:r>
          </w:p>
        </w:tc>
        <w:tc>
          <w:tcPr>
            <w:tcW w:w="1201" w:type="pct"/>
            <w:vAlign w:val="center"/>
          </w:tcPr>
          <w:p w14:paraId="35DABDE8">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空冷器冷却水流量</w:t>
            </w:r>
          </w:p>
        </w:tc>
        <w:tc>
          <w:tcPr>
            <w:tcW w:w="1124" w:type="pct"/>
            <w:vAlign w:val="center"/>
          </w:tcPr>
          <w:p w14:paraId="522778F5">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流量开关</w:t>
            </w:r>
          </w:p>
        </w:tc>
        <w:tc>
          <w:tcPr>
            <w:tcW w:w="447" w:type="pct"/>
            <w:vAlign w:val="center"/>
          </w:tcPr>
          <w:p w14:paraId="2BA88308">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7AAA9D88">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热导式</w:t>
            </w:r>
          </w:p>
        </w:tc>
        <w:tc>
          <w:tcPr>
            <w:tcW w:w="748" w:type="pct"/>
            <w:vAlign w:val="center"/>
          </w:tcPr>
          <w:p w14:paraId="22530402">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空冷器出水</w:t>
            </w:r>
          </w:p>
        </w:tc>
      </w:tr>
      <w:tr w14:paraId="3BE0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49A83127">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16</w:t>
            </w:r>
          </w:p>
        </w:tc>
        <w:tc>
          <w:tcPr>
            <w:tcW w:w="1201" w:type="pct"/>
            <w:vAlign w:val="center"/>
          </w:tcPr>
          <w:p w14:paraId="1B8D01D5">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前导轴承冷却水流量</w:t>
            </w:r>
          </w:p>
        </w:tc>
        <w:tc>
          <w:tcPr>
            <w:tcW w:w="1124" w:type="pct"/>
            <w:vAlign w:val="center"/>
          </w:tcPr>
          <w:p w14:paraId="7085A35E">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流量开关</w:t>
            </w:r>
          </w:p>
        </w:tc>
        <w:tc>
          <w:tcPr>
            <w:tcW w:w="447" w:type="pct"/>
            <w:vAlign w:val="center"/>
          </w:tcPr>
          <w:p w14:paraId="1EB91122">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64397AFE">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热导式</w:t>
            </w:r>
          </w:p>
        </w:tc>
        <w:tc>
          <w:tcPr>
            <w:tcW w:w="748" w:type="pct"/>
            <w:vAlign w:val="center"/>
          </w:tcPr>
          <w:p w14:paraId="09E77182">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冷却出水管</w:t>
            </w:r>
          </w:p>
        </w:tc>
      </w:tr>
      <w:tr w14:paraId="7158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0768F2B1">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17</w:t>
            </w:r>
          </w:p>
        </w:tc>
        <w:tc>
          <w:tcPr>
            <w:tcW w:w="1201" w:type="pct"/>
            <w:vAlign w:val="center"/>
          </w:tcPr>
          <w:p w14:paraId="4DBA6830">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后导轴承冷却水流量</w:t>
            </w:r>
          </w:p>
        </w:tc>
        <w:tc>
          <w:tcPr>
            <w:tcW w:w="1124" w:type="pct"/>
            <w:vAlign w:val="center"/>
          </w:tcPr>
          <w:p w14:paraId="21398B92">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流量开关</w:t>
            </w:r>
          </w:p>
        </w:tc>
        <w:tc>
          <w:tcPr>
            <w:tcW w:w="447" w:type="pct"/>
            <w:vAlign w:val="center"/>
          </w:tcPr>
          <w:p w14:paraId="4221FC22">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492D63A2">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热导式</w:t>
            </w:r>
          </w:p>
        </w:tc>
        <w:tc>
          <w:tcPr>
            <w:tcW w:w="748" w:type="pct"/>
            <w:vAlign w:val="center"/>
          </w:tcPr>
          <w:p w14:paraId="5B0BD64D">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冷却出水管</w:t>
            </w:r>
          </w:p>
        </w:tc>
      </w:tr>
      <w:tr w14:paraId="1ECC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39CE4E33">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18</w:t>
            </w:r>
          </w:p>
        </w:tc>
        <w:tc>
          <w:tcPr>
            <w:tcW w:w="1201" w:type="pct"/>
            <w:vAlign w:val="center"/>
          </w:tcPr>
          <w:p w14:paraId="7E44566F">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空冷器冷却水压力</w:t>
            </w:r>
          </w:p>
        </w:tc>
        <w:tc>
          <w:tcPr>
            <w:tcW w:w="1124" w:type="pct"/>
            <w:vAlign w:val="center"/>
          </w:tcPr>
          <w:p w14:paraId="6AF2E294">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压力表</w:t>
            </w:r>
          </w:p>
        </w:tc>
        <w:tc>
          <w:tcPr>
            <w:tcW w:w="447" w:type="pct"/>
            <w:vAlign w:val="center"/>
          </w:tcPr>
          <w:p w14:paraId="3314A021">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3B382C40">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0～0.6MPa，精度1.5级</w:t>
            </w:r>
          </w:p>
        </w:tc>
        <w:tc>
          <w:tcPr>
            <w:tcW w:w="748" w:type="pct"/>
            <w:vAlign w:val="center"/>
          </w:tcPr>
          <w:p w14:paraId="2ABE466D">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空冷器进水管</w:t>
            </w:r>
          </w:p>
        </w:tc>
      </w:tr>
      <w:tr w14:paraId="49A7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2619C200">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19</w:t>
            </w:r>
          </w:p>
        </w:tc>
        <w:tc>
          <w:tcPr>
            <w:tcW w:w="1201" w:type="pct"/>
            <w:vAlign w:val="center"/>
          </w:tcPr>
          <w:p w14:paraId="20064EE9">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前导轴承冷却水压力</w:t>
            </w:r>
          </w:p>
        </w:tc>
        <w:tc>
          <w:tcPr>
            <w:tcW w:w="1124" w:type="pct"/>
            <w:vAlign w:val="center"/>
          </w:tcPr>
          <w:p w14:paraId="70CDF7FD">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压力表</w:t>
            </w:r>
          </w:p>
        </w:tc>
        <w:tc>
          <w:tcPr>
            <w:tcW w:w="447" w:type="pct"/>
            <w:vAlign w:val="center"/>
          </w:tcPr>
          <w:p w14:paraId="11CC2FF1">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48E498CA">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0～0.6MPa，精度1.5级</w:t>
            </w:r>
          </w:p>
        </w:tc>
        <w:tc>
          <w:tcPr>
            <w:tcW w:w="748" w:type="pct"/>
            <w:vAlign w:val="center"/>
          </w:tcPr>
          <w:p w14:paraId="1CA4C609">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前导进水管</w:t>
            </w:r>
          </w:p>
        </w:tc>
      </w:tr>
      <w:tr w14:paraId="4A55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1DB1ECEE">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20</w:t>
            </w:r>
          </w:p>
        </w:tc>
        <w:tc>
          <w:tcPr>
            <w:tcW w:w="1201" w:type="pct"/>
            <w:vAlign w:val="center"/>
          </w:tcPr>
          <w:p w14:paraId="4AB7EBDB">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后导轴承冷却水压力</w:t>
            </w:r>
          </w:p>
        </w:tc>
        <w:tc>
          <w:tcPr>
            <w:tcW w:w="1124" w:type="pct"/>
            <w:vAlign w:val="center"/>
          </w:tcPr>
          <w:p w14:paraId="3DC4F6DC">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压力表</w:t>
            </w:r>
          </w:p>
        </w:tc>
        <w:tc>
          <w:tcPr>
            <w:tcW w:w="447" w:type="pct"/>
            <w:vAlign w:val="center"/>
          </w:tcPr>
          <w:p w14:paraId="01E82FB5">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3C41CBE6">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0～0.6MPa，精度1.5级</w:t>
            </w:r>
          </w:p>
        </w:tc>
        <w:tc>
          <w:tcPr>
            <w:tcW w:w="748" w:type="pct"/>
            <w:vAlign w:val="center"/>
          </w:tcPr>
          <w:p w14:paraId="1CA3476C">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后导进水管</w:t>
            </w:r>
          </w:p>
        </w:tc>
      </w:tr>
      <w:tr w14:paraId="56A9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34D90D4B">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21</w:t>
            </w:r>
          </w:p>
        </w:tc>
        <w:tc>
          <w:tcPr>
            <w:tcW w:w="1201" w:type="pct"/>
            <w:vAlign w:val="center"/>
          </w:tcPr>
          <w:p w14:paraId="4DB0728D">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技术供水总管压力</w:t>
            </w:r>
          </w:p>
        </w:tc>
        <w:tc>
          <w:tcPr>
            <w:tcW w:w="1124" w:type="pct"/>
            <w:vAlign w:val="center"/>
          </w:tcPr>
          <w:p w14:paraId="6574B17B">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压力表</w:t>
            </w:r>
          </w:p>
        </w:tc>
        <w:tc>
          <w:tcPr>
            <w:tcW w:w="447" w:type="pct"/>
            <w:vAlign w:val="center"/>
          </w:tcPr>
          <w:p w14:paraId="791AD534">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2B9777E6">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0～0.6MPa，精度1.5级</w:t>
            </w:r>
          </w:p>
        </w:tc>
        <w:tc>
          <w:tcPr>
            <w:tcW w:w="748" w:type="pct"/>
            <w:vAlign w:val="center"/>
          </w:tcPr>
          <w:p w14:paraId="76C8958F">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供水总管</w:t>
            </w:r>
          </w:p>
        </w:tc>
      </w:tr>
      <w:tr w14:paraId="1881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720D8AA2">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四</w:t>
            </w:r>
          </w:p>
        </w:tc>
        <w:tc>
          <w:tcPr>
            <w:tcW w:w="4632" w:type="pct"/>
            <w:gridSpan w:val="5"/>
            <w:vAlign w:val="center"/>
          </w:tcPr>
          <w:p w14:paraId="6182EE0B">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机组制动系统( 含检修密封)</w:t>
            </w:r>
          </w:p>
        </w:tc>
      </w:tr>
      <w:tr w14:paraId="3FCD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611CC580">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p>
        </w:tc>
        <w:tc>
          <w:tcPr>
            <w:tcW w:w="1201" w:type="pct"/>
            <w:vAlign w:val="center"/>
          </w:tcPr>
          <w:p w14:paraId="60EF9A2F">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测温制动屏</w:t>
            </w:r>
          </w:p>
        </w:tc>
        <w:tc>
          <w:tcPr>
            <w:tcW w:w="1124" w:type="pct"/>
            <w:vAlign w:val="center"/>
          </w:tcPr>
          <w:p w14:paraId="3D0025CC">
            <w:pPr>
              <w:spacing w:line="400" w:lineRule="exact"/>
              <w:rPr>
                <w:rFonts w:hint="eastAsia" w:asciiTheme="minorEastAsia" w:hAnsiTheme="minorEastAsia" w:eastAsiaTheme="minorEastAsia" w:cstheme="minorEastAsia"/>
                <w:snapToGrid w:val="0"/>
                <w:color w:val="auto"/>
                <w:sz w:val="21"/>
                <w:szCs w:val="21"/>
              </w:rPr>
            </w:pPr>
          </w:p>
        </w:tc>
        <w:tc>
          <w:tcPr>
            <w:tcW w:w="447" w:type="pct"/>
            <w:vAlign w:val="center"/>
          </w:tcPr>
          <w:p w14:paraId="6AB8D96B">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2048F245">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4D58050F">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机旁</w:t>
            </w:r>
          </w:p>
        </w:tc>
      </w:tr>
      <w:tr w14:paraId="06F2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3959FA55">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p>
        </w:tc>
        <w:tc>
          <w:tcPr>
            <w:tcW w:w="1201" w:type="pct"/>
            <w:vAlign w:val="center"/>
          </w:tcPr>
          <w:p w14:paraId="4089FBF6">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制动闸位置</w:t>
            </w:r>
          </w:p>
        </w:tc>
        <w:tc>
          <w:tcPr>
            <w:tcW w:w="1124" w:type="pct"/>
            <w:vAlign w:val="center"/>
          </w:tcPr>
          <w:p w14:paraId="68DD8A25">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行程开关</w:t>
            </w:r>
          </w:p>
        </w:tc>
        <w:tc>
          <w:tcPr>
            <w:tcW w:w="447" w:type="pct"/>
            <w:vAlign w:val="center"/>
          </w:tcPr>
          <w:p w14:paraId="580A3368">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p>
        </w:tc>
        <w:tc>
          <w:tcPr>
            <w:tcW w:w="1112" w:type="pct"/>
            <w:vAlign w:val="center"/>
          </w:tcPr>
          <w:p w14:paraId="7DA07EAE">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008DD2CB">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制动器</w:t>
            </w:r>
          </w:p>
        </w:tc>
      </w:tr>
      <w:tr w14:paraId="6335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4B4E1AA3">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p>
        </w:tc>
        <w:tc>
          <w:tcPr>
            <w:tcW w:w="1201" w:type="pct"/>
            <w:vAlign w:val="center"/>
          </w:tcPr>
          <w:p w14:paraId="12F346CF">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机组制动控制</w:t>
            </w:r>
          </w:p>
        </w:tc>
        <w:tc>
          <w:tcPr>
            <w:tcW w:w="1124" w:type="pct"/>
            <w:vAlign w:val="center"/>
          </w:tcPr>
          <w:p w14:paraId="022F5FD3">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电磁空气阀</w:t>
            </w:r>
          </w:p>
        </w:tc>
        <w:tc>
          <w:tcPr>
            <w:tcW w:w="447" w:type="pct"/>
            <w:vAlign w:val="center"/>
          </w:tcPr>
          <w:p w14:paraId="4EA5FA1D">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p>
        </w:tc>
        <w:tc>
          <w:tcPr>
            <w:tcW w:w="1112" w:type="pct"/>
            <w:vAlign w:val="center"/>
          </w:tcPr>
          <w:p w14:paraId="05AFF5E5">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3D4A5AF0">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测温制动屏</w:t>
            </w:r>
          </w:p>
        </w:tc>
      </w:tr>
      <w:tr w14:paraId="26DE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2C069A31">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w:t>
            </w:r>
          </w:p>
        </w:tc>
        <w:tc>
          <w:tcPr>
            <w:tcW w:w="1201" w:type="pct"/>
            <w:vAlign w:val="center"/>
          </w:tcPr>
          <w:p w14:paraId="69A39446">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机组供气</w:t>
            </w:r>
          </w:p>
        </w:tc>
        <w:tc>
          <w:tcPr>
            <w:tcW w:w="1124" w:type="pct"/>
            <w:vAlign w:val="center"/>
          </w:tcPr>
          <w:p w14:paraId="7B760EF0">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空气滤清器</w:t>
            </w:r>
          </w:p>
        </w:tc>
        <w:tc>
          <w:tcPr>
            <w:tcW w:w="447" w:type="pct"/>
            <w:vAlign w:val="center"/>
          </w:tcPr>
          <w:p w14:paraId="6C4FD968">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4B495D95">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0AEF3868">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测温制动屏</w:t>
            </w:r>
          </w:p>
        </w:tc>
      </w:tr>
      <w:tr w14:paraId="7CFE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3C45F6D6">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color w:val="auto"/>
                <w:sz w:val="21"/>
                <w:szCs w:val="21"/>
              </w:rPr>
              <w:t>26</w:t>
            </w:r>
          </w:p>
        </w:tc>
        <w:tc>
          <w:tcPr>
            <w:tcW w:w="1201" w:type="pct"/>
            <w:vAlign w:val="center"/>
          </w:tcPr>
          <w:p w14:paraId="3BD0573C">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机组供气压力</w:t>
            </w:r>
          </w:p>
        </w:tc>
        <w:tc>
          <w:tcPr>
            <w:tcW w:w="1124" w:type="pct"/>
            <w:vAlign w:val="center"/>
          </w:tcPr>
          <w:p w14:paraId="5C3CC161">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压力表/压力变送器</w:t>
            </w:r>
          </w:p>
        </w:tc>
        <w:tc>
          <w:tcPr>
            <w:tcW w:w="447" w:type="pct"/>
            <w:vAlign w:val="center"/>
          </w:tcPr>
          <w:p w14:paraId="7B628828">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各1</w:t>
            </w:r>
          </w:p>
        </w:tc>
        <w:tc>
          <w:tcPr>
            <w:tcW w:w="1112" w:type="pct"/>
            <w:vAlign w:val="center"/>
          </w:tcPr>
          <w:p w14:paraId="66BC28D0">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0~1.0MPa，精度0.5级</w:t>
            </w:r>
          </w:p>
        </w:tc>
        <w:tc>
          <w:tcPr>
            <w:tcW w:w="748" w:type="pct"/>
            <w:vAlign w:val="center"/>
          </w:tcPr>
          <w:p w14:paraId="35B7B2A8">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测温制动屏</w:t>
            </w:r>
          </w:p>
        </w:tc>
      </w:tr>
      <w:tr w14:paraId="26C0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23A316E8">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27</w:t>
            </w:r>
          </w:p>
        </w:tc>
        <w:tc>
          <w:tcPr>
            <w:tcW w:w="1201" w:type="pct"/>
            <w:vAlign w:val="center"/>
          </w:tcPr>
          <w:p w14:paraId="63B87B25">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机组制动供气压力</w:t>
            </w:r>
          </w:p>
        </w:tc>
        <w:tc>
          <w:tcPr>
            <w:tcW w:w="1124" w:type="pct"/>
            <w:vAlign w:val="center"/>
          </w:tcPr>
          <w:p w14:paraId="04D1973E">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压力显控器</w:t>
            </w:r>
          </w:p>
        </w:tc>
        <w:tc>
          <w:tcPr>
            <w:tcW w:w="447" w:type="pct"/>
            <w:vAlign w:val="center"/>
          </w:tcPr>
          <w:p w14:paraId="710D881A">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p>
        </w:tc>
        <w:tc>
          <w:tcPr>
            <w:tcW w:w="1112" w:type="pct"/>
            <w:vAlign w:val="center"/>
          </w:tcPr>
          <w:p w14:paraId="4C87CD08">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0~1.0MPa，精度1.5级</w:t>
            </w:r>
          </w:p>
        </w:tc>
        <w:tc>
          <w:tcPr>
            <w:tcW w:w="748" w:type="pct"/>
            <w:vAlign w:val="center"/>
          </w:tcPr>
          <w:p w14:paraId="08B17D75">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测温制动屏</w:t>
            </w:r>
          </w:p>
        </w:tc>
      </w:tr>
      <w:tr w14:paraId="225B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19B3A026">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五</w:t>
            </w:r>
          </w:p>
        </w:tc>
        <w:tc>
          <w:tcPr>
            <w:tcW w:w="4632" w:type="pct"/>
            <w:gridSpan w:val="5"/>
            <w:vAlign w:val="center"/>
          </w:tcPr>
          <w:p w14:paraId="3A29A124">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机组转速监测</w:t>
            </w:r>
          </w:p>
        </w:tc>
      </w:tr>
      <w:tr w14:paraId="2DCA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408B840B">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28</w:t>
            </w:r>
          </w:p>
        </w:tc>
        <w:tc>
          <w:tcPr>
            <w:tcW w:w="1201" w:type="pct"/>
            <w:vAlign w:val="center"/>
          </w:tcPr>
          <w:p w14:paraId="3DEBCEC2">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机组过速保护</w:t>
            </w:r>
          </w:p>
        </w:tc>
        <w:tc>
          <w:tcPr>
            <w:tcW w:w="1124" w:type="pct"/>
            <w:vAlign w:val="center"/>
          </w:tcPr>
          <w:p w14:paraId="7A17E876">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机械转速信号器</w:t>
            </w:r>
          </w:p>
        </w:tc>
        <w:tc>
          <w:tcPr>
            <w:tcW w:w="447" w:type="pct"/>
            <w:vAlign w:val="center"/>
          </w:tcPr>
          <w:p w14:paraId="4D651CFE">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357D8039">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167395EE">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发电机轴端</w:t>
            </w:r>
          </w:p>
        </w:tc>
      </w:tr>
      <w:tr w14:paraId="465B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21C9E5BE">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29</w:t>
            </w:r>
          </w:p>
        </w:tc>
        <w:tc>
          <w:tcPr>
            <w:tcW w:w="1201" w:type="pct"/>
            <w:vAlign w:val="center"/>
          </w:tcPr>
          <w:p w14:paraId="71EBE95C">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机组转速监测、控制</w:t>
            </w:r>
          </w:p>
        </w:tc>
        <w:tc>
          <w:tcPr>
            <w:tcW w:w="1124" w:type="pct"/>
            <w:vAlign w:val="center"/>
          </w:tcPr>
          <w:p w14:paraId="30E03A10">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转速信号装置</w:t>
            </w:r>
          </w:p>
        </w:tc>
        <w:tc>
          <w:tcPr>
            <w:tcW w:w="447" w:type="pct"/>
            <w:vAlign w:val="center"/>
          </w:tcPr>
          <w:p w14:paraId="4E52F3B6">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1套</w:t>
            </w:r>
          </w:p>
        </w:tc>
        <w:tc>
          <w:tcPr>
            <w:tcW w:w="1112" w:type="pct"/>
            <w:vAlign w:val="center"/>
          </w:tcPr>
          <w:p w14:paraId="50FD5C12">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4C68E434">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测温制动屏</w:t>
            </w:r>
          </w:p>
        </w:tc>
      </w:tr>
      <w:tr w14:paraId="2B39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33B02D0B">
            <w:pPr>
              <w:spacing w:line="32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七</w:t>
            </w:r>
          </w:p>
        </w:tc>
        <w:tc>
          <w:tcPr>
            <w:tcW w:w="4632" w:type="pct"/>
            <w:gridSpan w:val="5"/>
            <w:vAlign w:val="center"/>
          </w:tcPr>
          <w:p w14:paraId="3E9C1CF2">
            <w:pPr>
              <w:spacing w:line="32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其它</w:t>
            </w:r>
          </w:p>
        </w:tc>
      </w:tr>
      <w:tr w14:paraId="3C94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141630B3">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napToGrid w:val="0"/>
                <w:color w:val="auto"/>
                <w:sz w:val="21"/>
                <w:szCs w:val="21"/>
              </w:rPr>
              <w:t>30</w:t>
            </w:r>
          </w:p>
        </w:tc>
        <w:tc>
          <w:tcPr>
            <w:tcW w:w="1201" w:type="pct"/>
            <w:vAlign w:val="center"/>
          </w:tcPr>
          <w:p w14:paraId="7C2642F0">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发电机防潮</w:t>
            </w:r>
          </w:p>
        </w:tc>
        <w:tc>
          <w:tcPr>
            <w:tcW w:w="1124" w:type="pct"/>
            <w:vAlign w:val="center"/>
          </w:tcPr>
          <w:p w14:paraId="4CA1AA14">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电加热器及控制箱</w:t>
            </w:r>
          </w:p>
        </w:tc>
        <w:tc>
          <w:tcPr>
            <w:tcW w:w="447" w:type="pct"/>
            <w:vAlign w:val="center"/>
          </w:tcPr>
          <w:p w14:paraId="55633A36">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512588DD">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7421B89F">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机坑</w:t>
            </w:r>
          </w:p>
        </w:tc>
      </w:tr>
      <w:tr w14:paraId="11F6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32C8A8B9">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31</w:t>
            </w:r>
          </w:p>
        </w:tc>
        <w:tc>
          <w:tcPr>
            <w:tcW w:w="1201" w:type="pct"/>
            <w:vAlign w:val="center"/>
          </w:tcPr>
          <w:p w14:paraId="2D3CF4C7">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发电机端子箱</w:t>
            </w:r>
          </w:p>
        </w:tc>
        <w:tc>
          <w:tcPr>
            <w:tcW w:w="1124" w:type="pct"/>
            <w:vAlign w:val="center"/>
          </w:tcPr>
          <w:p w14:paraId="7819251B">
            <w:pPr>
              <w:spacing w:line="400" w:lineRule="exact"/>
              <w:rPr>
                <w:rFonts w:hint="eastAsia" w:asciiTheme="minorEastAsia" w:hAnsiTheme="minorEastAsia" w:eastAsiaTheme="minorEastAsia" w:cstheme="minorEastAsia"/>
                <w:snapToGrid w:val="0"/>
                <w:color w:val="auto"/>
                <w:sz w:val="21"/>
                <w:szCs w:val="21"/>
              </w:rPr>
            </w:pPr>
          </w:p>
        </w:tc>
        <w:tc>
          <w:tcPr>
            <w:tcW w:w="447" w:type="pct"/>
            <w:vAlign w:val="center"/>
          </w:tcPr>
          <w:p w14:paraId="3469383B">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5E095DC1">
            <w:pPr>
              <w:spacing w:line="400" w:lineRule="exact"/>
              <w:rPr>
                <w:rFonts w:hint="eastAsia" w:asciiTheme="minorEastAsia" w:hAnsiTheme="minorEastAsia" w:eastAsiaTheme="minorEastAsia" w:cstheme="minorEastAsia"/>
                <w:snapToGrid w:val="0"/>
                <w:color w:val="auto"/>
                <w:sz w:val="21"/>
                <w:szCs w:val="21"/>
              </w:rPr>
            </w:pPr>
          </w:p>
        </w:tc>
        <w:tc>
          <w:tcPr>
            <w:tcW w:w="748" w:type="pct"/>
            <w:vAlign w:val="center"/>
          </w:tcPr>
          <w:p w14:paraId="441133DE">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机旁</w:t>
            </w:r>
          </w:p>
        </w:tc>
      </w:tr>
      <w:tr w14:paraId="4874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14:paraId="1224E6F3">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32</w:t>
            </w:r>
          </w:p>
        </w:tc>
        <w:tc>
          <w:tcPr>
            <w:tcW w:w="1201" w:type="pct"/>
            <w:vAlign w:val="center"/>
          </w:tcPr>
          <w:p w14:paraId="3F52CCCB">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冷却水通断</w:t>
            </w:r>
          </w:p>
        </w:tc>
        <w:tc>
          <w:tcPr>
            <w:tcW w:w="1124" w:type="pct"/>
            <w:vAlign w:val="center"/>
          </w:tcPr>
          <w:p w14:paraId="7E67E1FF">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自保持球阀</w:t>
            </w:r>
          </w:p>
        </w:tc>
        <w:tc>
          <w:tcPr>
            <w:tcW w:w="447" w:type="pct"/>
            <w:vAlign w:val="center"/>
          </w:tcPr>
          <w:p w14:paraId="2B4AF933">
            <w:pPr>
              <w:spacing w:line="400" w:lineRule="exact"/>
              <w:jc w:val="center"/>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w:t>
            </w:r>
          </w:p>
        </w:tc>
        <w:tc>
          <w:tcPr>
            <w:tcW w:w="1112" w:type="pct"/>
            <w:vAlign w:val="center"/>
          </w:tcPr>
          <w:p w14:paraId="68B265B6">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DN65,PN1.0MPa</w:t>
            </w:r>
          </w:p>
        </w:tc>
        <w:tc>
          <w:tcPr>
            <w:tcW w:w="748" w:type="pct"/>
            <w:vAlign w:val="center"/>
          </w:tcPr>
          <w:p w14:paraId="7BC6A371">
            <w:pPr>
              <w:spacing w:line="400" w:lineRule="exact"/>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供水总管</w:t>
            </w:r>
          </w:p>
        </w:tc>
      </w:tr>
    </w:tbl>
    <w:p w14:paraId="21C1A6A3">
      <w:pPr>
        <w:autoSpaceDE w:val="0"/>
        <w:autoSpaceDN w:val="0"/>
        <w:spacing w:line="420" w:lineRule="exact"/>
        <w:ind w:firstLine="420" w:firstLineChars="200"/>
        <w:textAlignment w:val="baseline"/>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未列入上述各条，但承包人认为机组安全起动、运行所必须的其它仪器、仪表和信号装置，承包人均需在投标书中一一列出并供货，还应写明用途。</w:t>
      </w:r>
    </w:p>
    <w:p w14:paraId="195B5303">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4.4 机组自动控制和监测保护一般技术要求</w:t>
      </w:r>
    </w:p>
    <w:p w14:paraId="61B6E6E2">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4.4.1 基本要求</w:t>
      </w:r>
    </w:p>
    <w:p w14:paraId="0B6E31C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4.4.1.1 电气元件的绝缘电阻值、耐压值和工作线圈的极限允许温升值应符合GB1497和JB834的规定。</w:t>
      </w:r>
    </w:p>
    <w:p w14:paraId="6FC0A67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4.4.1.2 液（气）压元件中经常与水分或潮湿空气接触的金属部件应采用防锈材料或防锈措施。液（气）压元件的承压部件应按规定进行水压强度和密封试验，打压后在规定的持续时间内不允许出现渗漏现象。各种液（气）压元件应在公称油压下静置72h后，仍能可靠动作。</w:t>
      </w:r>
    </w:p>
    <w:p w14:paraId="4A45601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4.4.1.3 凡需经变送器转换送电站计算机监控系统的非电量信号，需具有满量程为4～20mA模拟量信号输出。所有仪表安装应与盘面齐平，温度以℃、压力以MPa，流量以m</w:t>
      </w:r>
      <w:r>
        <w:rPr>
          <w:rFonts w:hint="eastAsia" w:asciiTheme="minorEastAsia" w:hAnsiTheme="minorEastAsia" w:eastAsiaTheme="minorEastAsia" w:cstheme="minorEastAsia"/>
          <w:snapToGrid w:val="0"/>
          <w:color w:val="auto"/>
          <w:kern w:val="0"/>
          <w:szCs w:val="21"/>
          <w:vertAlign w:val="superscript"/>
        </w:rPr>
        <w:t>3</w:t>
      </w:r>
      <w:r>
        <w:rPr>
          <w:rFonts w:hint="eastAsia" w:asciiTheme="minorEastAsia" w:hAnsiTheme="minorEastAsia" w:eastAsiaTheme="minorEastAsia" w:cstheme="minorEastAsia"/>
          <w:snapToGrid w:val="0"/>
          <w:color w:val="auto"/>
          <w:kern w:val="0"/>
          <w:szCs w:val="21"/>
        </w:rPr>
        <w:t>/h，效率以%表示。</w:t>
      </w:r>
    </w:p>
    <w:p w14:paraId="392E1E8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4.4.1.4 承包人应提供用于安装蜗壳水压和尾水管真空压力测量仪表的水力仪表盘。安装于各部位的测头、管件接头等也应有承包人成套供货。测头材料为不锈钢，测头的布置和结构应充分考虑本电站的泥沙和水头特征，测头在工厂内焊接在相应的部件上。</w:t>
      </w:r>
    </w:p>
    <w:p w14:paraId="6788C01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4.4.1.5 仪表、装置和设备所需要的全部管道、导管、阀门、管件接头和支座均由承包人提供，柔性导管应是紫铜管或不锈钢管。在所有测量液体的表计和主要连接点要设置断流旋塞并应能排气，不同金属的接触要用不导电的绝缘材料。</w:t>
      </w:r>
    </w:p>
    <w:p w14:paraId="3D04F54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4.4.1.6 所有安装在测量点上的指示器应稳固地支承在托架上，应易于检修。</w:t>
      </w:r>
    </w:p>
    <w:p w14:paraId="604BE43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4.4.1.7 水轮机、发电机及其附属设备内部的电缆均由承包人成套供货，并统一布置和敷设至水轮机(或发电机)端子箱。</w:t>
      </w:r>
    </w:p>
    <w:p w14:paraId="18773F6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4.4.2 主要自动控制系统要求</w:t>
      </w:r>
    </w:p>
    <w:p w14:paraId="36993DF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4.4.2.1 测速装置</w:t>
      </w:r>
    </w:p>
    <w:p w14:paraId="71DEE74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随机配有一套残压测速装置，并装设在合适位置。</w:t>
      </w:r>
    </w:p>
    <w:p w14:paraId="0A7D4EB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4.4.2.2 转速信号装置</w:t>
      </w:r>
    </w:p>
    <w:p w14:paraId="1090813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采用残压测速方式测量机组的转速，提供开机、投励磁升压、停机制动、过速保护用的转速信号。转速信号装置装于测温制动屏内。</w:t>
      </w:r>
    </w:p>
    <w:p w14:paraId="5C24768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1）该装置所提供的转速信号值与机组转速值之间应有良好的线性关系，装置运行可靠，并有足够的精度。每套转速信号装置应不少于8个转速信号，每个转速信号动作应提供2副动合式电气接点，各转速信号的调整范围如下（n</w:t>
      </w:r>
      <w:r>
        <w:rPr>
          <w:rFonts w:hint="eastAsia" w:asciiTheme="minorEastAsia" w:hAnsiTheme="minorEastAsia" w:eastAsiaTheme="minorEastAsia" w:cstheme="minorEastAsia"/>
          <w:snapToGrid w:val="0"/>
          <w:color w:val="auto"/>
          <w:kern w:val="0"/>
          <w:szCs w:val="21"/>
          <w:vertAlign w:val="subscript"/>
        </w:rPr>
        <w:t>r</w:t>
      </w:r>
      <w:r>
        <w:rPr>
          <w:rFonts w:hint="eastAsia" w:asciiTheme="minorEastAsia" w:hAnsiTheme="minorEastAsia" w:eastAsiaTheme="minorEastAsia" w:cstheme="minorEastAsia"/>
          <w:snapToGrid w:val="0"/>
          <w:color w:val="auto"/>
          <w:kern w:val="0"/>
          <w:szCs w:val="21"/>
        </w:rPr>
        <w:t>为额定转速）。</w:t>
      </w:r>
    </w:p>
    <w:p w14:paraId="7D950ED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上越限动作     最大瞬态转速加 5%n</w:t>
      </w:r>
      <w:r>
        <w:rPr>
          <w:rFonts w:hint="eastAsia" w:asciiTheme="minorEastAsia" w:hAnsiTheme="minorEastAsia" w:eastAsiaTheme="minorEastAsia" w:cstheme="minorEastAsia"/>
          <w:snapToGrid w:val="0"/>
          <w:color w:val="auto"/>
          <w:kern w:val="0"/>
          <w:szCs w:val="21"/>
          <w:vertAlign w:val="subscript"/>
        </w:rPr>
        <w:t>r</w:t>
      </w:r>
      <w:r>
        <w:rPr>
          <w:rFonts w:hint="eastAsia" w:asciiTheme="minorEastAsia" w:hAnsiTheme="minorEastAsia" w:eastAsiaTheme="minorEastAsia" w:cstheme="minorEastAsia"/>
          <w:snapToGrid w:val="0"/>
          <w:color w:val="auto"/>
          <w:kern w:val="0"/>
          <w:szCs w:val="21"/>
        </w:rPr>
        <w:t xml:space="preserve">    二级过速（机械过速）</w:t>
      </w:r>
    </w:p>
    <w:p w14:paraId="36EBA71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上越限动作     最大瞬态转速加 3%n</w:t>
      </w:r>
      <w:r>
        <w:rPr>
          <w:rFonts w:hint="eastAsia" w:asciiTheme="minorEastAsia" w:hAnsiTheme="minorEastAsia" w:eastAsiaTheme="minorEastAsia" w:cstheme="minorEastAsia"/>
          <w:snapToGrid w:val="0"/>
          <w:color w:val="auto"/>
          <w:kern w:val="0"/>
          <w:szCs w:val="21"/>
          <w:vertAlign w:val="subscript"/>
        </w:rPr>
        <w:t>r</w:t>
      </w:r>
      <w:r>
        <w:rPr>
          <w:rFonts w:hint="eastAsia" w:asciiTheme="minorEastAsia" w:hAnsiTheme="minorEastAsia" w:eastAsiaTheme="minorEastAsia" w:cstheme="minorEastAsia"/>
          <w:snapToGrid w:val="0"/>
          <w:color w:val="auto"/>
          <w:kern w:val="0"/>
          <w:szCs w:val="21"/>
        </w:rPr>
        <w:t xml:space="preserve">    二级过速（电气过速）</w:t>
      </w:r>
    </w:p>
    <w:p w14:paraId="2125EA8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上越限动作     ≥110%~115%nr         一级过速主配拒动（无）</w:t>
      </w:r>
    </w:p>
    <w:p w14:paraId="209C0ED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上越限动作     ≥90%nr                投同步装置</w:t>
      </w:r>
    </w:p>
    <w:p w14:paraId="03C5B11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上越限动作     ≥90%nr                投入起励</w:t>
      </w:r>
    </w:p>
    <w:p w14:paraId="2799EF3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下越限动作     80～100%n</w:t>
      </w:r>
      <w:r>
        <w:rPr>
          <w:rFonts w:hint="eastAsia" w:asciiTheme="minorEastAsia" w:hAnsiTheme="minorEastAsia" w:eastAsiaTheme="minorEastAsia" w:cstheme="minorEastAsia"/>
          <w:snapToGrid w:val="0"/>
          <w:color w:val="auto"/>
          <w:kern w:val="0"/>
          <w:szCs w:val="21"/>
          <w:vertAlign w:val="subscript"/>
        </w:rPr>
        <w:t>r</w:t>
      </w:r>
      <w:r>
        <w:rPr>
          <w:rFonts w:hint="eastAsia" w:asciiTheme="minorEastAsia" w:hAnsiTheme="minorEastAsia" w:eastAsiaTheme="minorEastAsia" w:cstheme="minorEastAsia"/>
          <w:snapToGrid w:val="0"/>
          <w:color w:val="auto"/>
          <w:kern w:val="0"/>
          <w:szCs w:val="21"/>
        </w:rPr>
        <w:t xml:space="preserve">             备  用</w:t>
      </w:r>
    </w:p>
    <w:p w14:paraId="7EC3F4E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下越限动作     5～25%n</w:t>
      </w:r>
      <w:r>
        <w:rPr>
          <w:rFonts w:hint="eastAsia" w:asciiTheme="minorEastAsia" w:hAnsiTheme="minorEastAsia" w:eastAsiaTheme="minorEastAsia" w:cstheme="minorEastAsia"/>
          <w:snapToGrid w:val="0"/>
          <w:color w:val="auto"/>
          <w:kern w:val="0"/>
          <w:szCs w:val="21"/>
          <w:vertAlign w:val="subscript"/>
        </w:rPr>
        <w:t>r</w:t>
      </w:r>
      <w:r>
        <w:rPr>
          <w:rFonts w:hint="eastAsia" w:asciiTheme="minorEastAsia" w:hAnsiTheme="minorEastAsia" w:eastAsiaTheme="minorEastAsia" w:cstheme="minorEastAsia"/>
          <w:snapToGrid w:val="0"/>
          <w:color w:val="auto"/>
          <w:kern w:val="0"/>
          <w:szCs w:val="21"/>
        </w:rPr>
        <w:t xml:space="preserve">               投机械制动</w:t>
      </w:r>
    </w:p>
    <w:p w14:paraId="349B5FF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上越限动作     ≤5%n</w:t>
      </w:r>
      <w:r>
        <w:rPr>
          <w:rFonts w:hint="eastAsia" w:asciiTheme="minorEastAsia" w:hAnsiTheme="minorEastAsia" w:eastAsiaTheme="minorEastAsia" w:cstheme="minorEastAsia"/>
          <w:snapToGrid w:val="0"/>
          <w:color w:val="auto"/>
          <w:kern w:val="0"/>
          <w:szCs w:val="21"/>
          <w:vertAlign w:val="subscript"/>
        </w:rPr>
        <w:t>r</w:t>
      </w:r>
      <w:r>
        <w:rPr>
          <w:rFonts w:hint="eastAsia" w:asciiTheme="minorEastAsia" w:hAnsiTheme="minorEastAsia" w:eastAsiaTheme="minorEastAsia" w:cstheme="minorEastAsia"/>
          <w:snapToGrid w:val="0"/>
          <w:color w:val="auto"/>
          <w:kern w:val="0"/>
          <w:szCs w:val="21"/>
        </w:rPr>
        <w:t xml:space="preserve">                 蠕动监测</w:t>
      </w:r>
    </w:p>
    <w:p w14:paraId="6E994EC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2）该装置应对外提供1个线性良好的电气转速检测信号（4～20mA）输出，指示0～200%额定转速，供计算机监控系统使用，转速测量显示由其本身实现。转速测量精度〈0.3%。</w:t>
      </w:r>
    </w:p>
    <w:p w14:paraId="1D2CBF6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3）转速信号装置应具有自诊断功能。</w:t>
      </w:r>
    </w:p>
    <w:p w14:paraId="39441F3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4）转速信号装置失电或断线时应有报警点引出，对可能误动的转速信号应闭锁其输出。</w:t>
      </w:r>
    </w:p>
    <w:p w14:paraId="4850385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5）转速信号装置具有现地数字显示。</w:t>
      </w:r>
    </w:p>
    <w:p w14:paraId="233E5CB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 转速信号装置在机组转速达到各级设定值时，应能可靠动作输出开关量信号。</w:t>
      </w:r>
    </w:p>
    <w:p w14:paraId="62A4E4A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4.4.2.3 过速保护装置</w:t>
      </w:r>
    </w:p>
    <w:p w14:paraId="767FC5F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机组设有电气过速保护装置和机械过速信号器。电气过速保护由转速信号装置来实现，机械过速信号器装于机组主轴。</w:t>
      </w:r>
    </w:p>
    <w:p w14:paraId="45904A3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二级过速保护（电气过速保护）整定值比最大瞬态转速高3%（根据调节保证计算确定），当机组转速上升至二级过速保护（电气过速保护）整定值时，电气过速保护继电器动作，关闭导叶和进水阀紧急停机。</w:t>
      </w:r>
    </w:p>
    <w:p w14:paraId="0466E05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二级过速保护（机械过速保护）整定值比最大瞬态转速高5%（根据调节保证计算确定），当机组转速上升至二级过速保护（机械过速保护）整定值时，机械过速信号器发信号至计算机监控系统启动事故停机流程，关闭导叶和进水阀紧急停机。</w:t>
      </w:r>
    </w:p>
    <w:p w14:paraId="20B4107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4.4.2.4 流量变送器和流量开关</w:t>
      </w:r>
    </w:p>
    <w:p w14:paraId="378287D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1）流量开关应动作可靠，当流量变化达到整定值时发出信号，其误差不超过±10%。</w:t>
      </w:r>
    </w:p>
    <w:p w14:paraId="3FA25A7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2）流量变送器输出4~20mA模拟量信号，可在现地数值显示流量，并带两付可调、不接地、电气上独立的低流量报警信号触点。</w:t>
      </w:r>
    </w:p>
    <w:p w14:paraId="6D5075B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4.4.2.5 液位信号器</w:t>
      </w:r>
    </w:p>
    <w:p w14:paraId="4057D47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液位信号器在高油位和低油位分别带两付电气上独立的、可调设定值的报警信号触点，当液位变化达到整定值时发出信号。液位信号器应动作灵活可靠，外型美观，在同一液位的动作误差，不超过设计规定值。</w:t>
      </w:r>
    </w:p>
    <w:p w14:paraId="5C1641E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4.4.2.6 电磁空气阀</w:t>
      </w:r>
    </w:p>
    <w:p w14:paraId="5DC6431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在85%~110%额定电压、公称气压及规定行程范围内，能可靠动作，不允许有跳动及卡阻现象。</w:t>
      </w:r>
    </w:p>
    <w:p w14:paraId="2120CF8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4.4.2.7 油混水信号装置</w:t>
      </w:r>
    </w:p>
    <w:p w14:paraId="77F3DB8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在油箱中积水量达到规定值时，应正确发出信号；当油中积水排除后，信号返回。</w:t>
      </w:r>
    </w:p>
    <w:p w14:paraId="5F8BDB0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4.4.2.8 压力表、电接点压力表、压力真空表和压力开关、压力传感器</w:t>
      </w:r>
    </w:p>
    <w:p w14:paraId="704035F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1）压力表应采用A级或更高级。压力表刻度盘直径为150mm，并应是白底黑字和黑指针。</w:t>
      </w:r>
    </w:p>
    <w:p w14:paraId="5887E42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2）压力表为充油耐振型，且外壳采用不锈钢，并配不锈钢仪表三通旋塞阀。电接点压力表表盘上还应设有正常工作范围及报警标识。</w:t>
      </w:r>
    </w:p>
    <w:p w14:paraId="4C7BD9D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3）压力开关在使用范围内精度为1.5级；触点开、断瞬间的压力差及触点动作返回系数应符合设计规定值。</w:t>
      </w:r>
    </w:p>
    <w:p w14:paraId="4EA8695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4）压力传感器在使用范围内精度为0.5级，带现地数字显示，输出4~20mA信号。</w:t>
      </w:r>
    </w:p>
    <w:p w14:paraId="6136C84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4.4.2.9 温度测量元件、温度信号计</w:t>
      </w:r>
    </w:p>
    <w:p w14:paraId="7059C83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1）机组配有各部位温度测量元件、温度信号计及带断线失电保护的数显温度指示巡检仪。温度测量元件采用双支铂热电阻，分度号Pt100，精度等级：A级，工作电流不大于8mA。</w:t>
      </w:r>
    </w:p>
    <w:p w14:paraId="7794EFE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温度测量元件设置在能反映最热温度的位置，应有足够的埋设深度。每个热电阻均用三线制接线接至水轮机(或发电机)端子箱中的端子排上。每组端子排上应设有接地端子。承包人应提供连接端子箱与测温电阻之间的所有连线。在需要防止杂散轴电流影响处测温电阻的外壳应予绝缘，导线应是镀锡铜线，并包有色码热塑绝缘，全部热塑绝缘和外套应耐油。导线应为三绞线结构，使电磁干扰最小；并应有屏蔽，使静电干扰最小。</w:t>
      </w:r>
    </w:p>
    <w:p w14:paraId="478EA31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3）温度信号计在机组被测部分的温度达到整定值时，应正确发出信号，其精度不低于1.5级。</w:t>
      </w:r>
    </w:p>
    <w:p w14:paraId="747E7269">
      <w:pPr>
        <w:outlineLvl w:val="0"/>
        <w:rPr>
          <w:rFonts w:hint="eastAsia" w:asciiTheme="minorEastAsia" w:hAnsiTheme="minorEastAsia" w:eastAsiaTheme="minorEastAsia" w:cstheme="minorEastAsia"/>
          <w:b/>
          <w:color w:val="auto"/>
          <w:szCs w:val="21"/>
        </w:rPr>
        <w:sectPr>
          <w:pgSz w:w="11906" w:h="16838"/>
          <w:pgMar w:top="1440" w:right="1800" w:bottom="1440" w:left="1800" w:header="851" w:footer="992" w:gutter="0"/>
          <w:cols w:space="425" w:num="1"/>
          <w:docGrid w:type="lines" w:linePitch="326" w:charSpace="0"/>
        </w:sectPr>
      </w:pPr>
    </w:p>
    <w:p w14:paraId="3E203E73">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第5章 调速系统更新技术条款</w:t>
      </w:r>
    </w:p>
    <w:p w14:paraId="16F5D3D8">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5.1 概述</w:t>
      </w:r>
    </w:p>
    <w:p w14:paraId="65312F6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5.1.1 本节规定了调速系统及其附属设备设计、制造、工厂试验、现场试验等的具体要求。技术条款按1台套调速系统及其附属设备编写，同样适合于承包人提供的所有调速系统设备。</w:t>
      </w:r>
    </w:p>
    <w:p w14:paraId="1CDA5A92">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5.1.2 调速系统的材料、设计、制造、试验、供货和服务等除满足本节要求外，还应满足“一般规定和规范”的要求。</w:t>
      </w:r>
    </w:p>
    <w:p w14:paraId="3134875D">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5.1.3 调速系统及其附属设备的安装、调试将在承包人服务人员的技术指导下，由其他承包商完成。</w:t>
      </w:r>
    </w:p>
    <w:p w14:paraId="33CD3B03">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5.2 工作内容</w:t>
      </w:r>
    </w:p>
    <w:p w14:paraId="2A67684D">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5.2.1 工作范围</w:t>
      </w:r>
    </w:p>
    <w:p w14:paraId="6D514ED1">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5.2.1.1 承包人应完成本合同设备的设计、制造、工厂试验、包装、运输、交货、技术资料的提供、技术服务和交接验收，并对上述工作范围内的工作负全部责任。</w:t>
      </w:r>
    </w:p>
    <w:p w14:paraId="0D505630">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5.2.1.2 完成与电站设计有关的设计联络；接受发包人代表参加工厂检验、监造、见证工厂试验和参加工厂验收。</w:t>
      </w:r>
    </w:p>
    <w:p w14:paraId="5D5E2EC3">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5.2.1.3 在工厂和现场对发包人相关人员进行合同设备性能、组装、试验、运行和维护等方面的培训。</w:t>
      </w:r>
    </w:p>
    <w:p w14:paraId="13C55B33">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5.2.1.4 完成与其他承包人的配合、协调工作，指导合同设备交货以后的保管和安装、调试等。</w:t>
      </w:r>
    </w:p>
    <w:p w14:paraId="7280C5D8">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5.2.1.5 本合同文件中未说明的但与设计、制造、工厂试验、包装、运输、保管、安装、现场试验和运行维护等相关的工作，均按相关标准执行。</w:t>
      </w:r>
    </w:p>
    <w:p w14:paraId="7DFDFB11">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5.2.2 供货范围</w:t>
      </w:r>
    </w:p>
    <w:p w14:paraId="6132C2AE">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1）调速系统</w:t>
      </w:r>
    </w:p>
    <w:p w14:paraId="74BBB42D">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调速系统必须是完整的成套配备，并至少应带有下列设备和零部件：</w:t>
      </w:r>
    </w:p>
    <w:p w14:paraId="54A6AD09">
      <w:pPr>
        <w:tabs>
          <w:tab w:val="left" w:pos="2587"/>
        </w:tabs>
        <w:autoSpaceDE w:val="0"/>
        <w:autoSpaceDN w:val="0"/>
        <w:ind w:firstLine="630" w:firstLineChars="3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调速器及其油压装置</w:t>
      </w:r>
    </w:p>
    <w:p w14:paraId="5893E21B">
      <w:pPr>
        <w:tabs>
          <w:tab w:val="left" w:pos="2587"/>
        </w:tabs>
        <w:autoSpaceDE w:val="0"/>
        <w:autoSpaceDN w:val="0"/>
        <w:ind w:firstLine="630" w:firstLineChars="3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油泵控制箱</w:t>
      </w:r>
    </w:p>
    <w:p w14:paraId="1FDBBC52">
      <w:pPr>
        <w:tabs>
          <w:tab w:val="left" w:pos="2587"/>
        </w:tabs>
        <w:autoSpaceDE w:val="0"/>
        <w:autoSpaceDN w:val="0"/>
        <w:ind w:firstLine="630" w:firstLineChars="3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调速系统配套的自动化元件、液压元件、仪表及控制装置</w:t>
      </w:r>
    </w:p>
    <w:p w14:paraId="39334710">
      <w:pPr>
        <w:tabs>
          <w:tab w:val="left" w:pos="2587"/>
        </w:tabs>
        <w:autoSpaceDE w:val="0"/>
        <w:autoSpaceDN w:val="0"/>
        <w:ind w:firstLine="630" w:firstLineChars="3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调速系统与导叶接力器及成套元件之间所有的连接管路、阀门、管件、支撑等</w:t>
      </w:r>
    </w:p>
    <w:p w14:paraId="3ADF7544">
      <w:pPr>
        <w:tabs>
          <w:tab w:val="left" w:pos="2587"/>
        </w:tabs>
        <w:autoSpaceDE w:val="0"/>
        <w:autoSpaceDN w:val="0"/>
        <w:ind w:firstLine="630" w:firstLineChars="3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sym w:font="Symbol" w:char="F02D"/>
      </w:r>
      <w:r>
        <w:rPr>
          <w:rFonts w:hint="eastAsia" w:asciiTheme="minorEastAsia" w:hAnsiTheme="minorEastAsia" w:eastAsiaTheme="minorEastAsia" w:cstheme="minorEastAsia"/>
          <w:snapToGrid w:val="0"/>
          <w:color w:val="auto"/>
          <w:kern w:val="0"/>
          <w:szCs w:val="21"/>
        </w:rPr>
        <w:t>上述设备之间的电气连接导线、电缆、保护、控制和信号装置</w:t>
      </w:r>
    </w:p>
    <w:p w14:paraId="7DDF7006">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2）规定的专用工器具</w:t>
      </w:r>
    </w:p>
    <w:p w14:paraId="34E1CD0A">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3）规定的调速系统备品备件</w:t>
      </w:r>
    </w:p>
    <w:p w14:paraId="56676B20">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4）任何上述1）~3）项中未列上，但又是保证调速系统安全、稳定、正常运行和维护、检修所必须的设备、元器件及零部件。</w:t>
      </w:r>
    </w:p>
    <w:p w14:paraId="18E00DBD">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5.2.3 供货界面</w:t>
      </w:r>
    </w:p>
    <w:p w14:paraId="29BEF77F">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土建侧——供货至设备基础板、基础螺栓；</w:t>
      </w:r>
    </w:p>
    <w:p w14:paraId="2D7B0C68">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水轮机侧——供货至接力器出口第一个接头处；</w:t>
      </w:r>
    </w:p>
    <w:p w14:paraId="75A5AB6D">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电气及监控侧——电缆供货至承包人提供的盘柜端子；</w:t>
      </w:r>
    </w:p>
    <w:p w14:paraId="3B6AD815">
      <w:pPr>
        <w:tabs>
          <w:tab w:val="left" w:pos="2587"/>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承包人提供的成套设备之间的所有阀门、管道、管件、连接电缆、自动化元件等电气及机械连接均属承包人成套供货范围。</w:t>
      </w:r>
    </w:p>
    <w:p w14:paraId="1050372E">
      <w:pPr>
        <w:tabs>
          <w:tab w:val="left" w:pos="3025"/>
        </w:tabs>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5.2.4 技术资料</w:t>
      </w:r>
    </w:p>
    <w:p w14:paraId="22AE1DDF">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承包人在各阶段应提供表5.2-1所列的技术资料。</w:t>
      </w:r>
    </w:p>
    <w:p w14:paraId="5B02EDA0">
      <w:pPr>
        <w:tabs>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表5.2-1  提供的技术资料清单</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4047"/>
        <w:gridCol w:w="1269"/>
        <w:gridCol w:w="1270"/>
        <w:gridCol w:w="1270"/>
      </w:tblGrid>
      <w:tr w14:paraId="60F3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17889D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序号</w:t>
            </w:r>
          </w:p>
        </w:tc>
        <w:tc>
          <w:tcPr>
            <w:tcW w:w="2375" w:type="pct"/>
            <w:vAlign w:val="center"/>
          </w:tcPr>
          <w:p w14:paraId="7AC40CA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图纸名称</w:t>
            </w:r>
          </w:p>
        </w:tc>
        <w:tc>
          <w:tcPr>
            <w:tcW w:w="745" w:type="pct"/>
            <w:vAlign w:val="center"/>
          </w:tcPr>
          <w:p w14:paraId="45351B4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联络会</w:t>
            </w:r>
          </w:p>
          <w:p w14:paraId="7E8224E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资料</w:t>
            </w:r>
          </w:p>
        </w:tc>
        <w:tc>
          <w:tcPr>
            <w:tcW w:w="745" w:type="pct"/>
            <w:vAlign w:val="center"/>
          </w:tcPr>
          <w:p w14:paraId="6C82EA6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正式资料</w:t>
            </w:r>
          </w:p>
        </w:tc>
        <w:tc>
          <w:tcPr>
            <w:tcW w:w="745" w:type="pct"/>
            <w:vAlign w:val="center"/>
          </w:tcPr>
          <w:p w14:paraId="1669806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随机资料</w:t>
            </w:r>
          </w:p>
        </w:tc>
      </w:tr>
      <w:tr w14:paraId="47B2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2C22327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375" w:type="pct"/>
          </w:tcPr>
          <w:p w14:paraId="6525EA7B">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调速系统设备选择计算</w:t>
            </w:r>
          </w:p>
        </w:tc>
        <w:tc>
          <w:tcPr>
            <w:tcW w:w="745" w:type="pct"/>
            <w:vAlign w:val="center"/>
          </w:tcPr>
          <w:p w14:paraId="70D5133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5A37272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3CF58B2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3EEB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32A1E4BE">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2375" w:type="pct"/>
          </w:tcPr>
          <w:p w14:paraId="0CD05854">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调速系统各设备外形尺寸及总体布置图</w:t>
            </w:r>
          </w:p>
        </w:tc>
        <w:tc>
          <w:tcPr>
            <w:tcW w:w="745" w:type="pct"/>
            <w:vAlign w:val="center"/>
          </w:tcPr>
          <w:p w14:paraId="5D12F7D8">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34CDA6F2">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3095D442">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A0B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18BF5A1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2375" w:type="pct"/>
          </w:tcPr>
          <w:p w14:paraId="16FEABEE">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调速器系统设备基础图</w:t>
            </w:r>
          </w:p>
        </w:tc>
        <w:tc>
          <w:tcPr>
            <w:tcW w:w="745" w:type="pct"/>
            <w:vAlign w:val="center"/>
          </w:tcPr>
          <w:p w14:paraId="5876749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5FEDD795">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1F9AA75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10C5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0BDA94E3">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2375" w:type="pct"/>
          </w:tcPr>
          <w:p w14:paraId="0EF89F1B">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调速系统用油量和油压</w:t>
            </w:r>
          </w:p>
        </w:tc>
        <w:tc>
          <w:tcPr>
            <w:tcW w:w="745" w:type="pct"/>
            <w:vAlign w:val="center"/>
          </w:tcPr>
          <w:p w14:paraId="748A68E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6B071A6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63F2BDAD">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02E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46BB2501">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2375" w:type="pct"/>
          </w:tcPr>
          <w:p w14:paraId="1836C284">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调速器机械液压系统图及简要说明</w:t>
            </w:r>
          </w:p>
        </w:tc>
        <w:tc>
          <w:tcPr>
            <w:tcW w:w="745" w:type="pct"/>
            <w:vAlign w:val="center"/>
          </w:tcPr>
          <w:p w14:paraId="317AD00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3DF37BB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5507084B">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545D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0600C870">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2375" w:type="pct"/>
          </w:tcPr>
          <w:p w14:paraId="4AE8BB20">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调速器电气系统框图、电气原理图及简要说明</w:t>
            </w:r>
          </w:p>
        </w:tc>
        <w:tc>
          <w:tcPr>
            <w:tcW w:w="745" w:type="pct"/>
            <w:vAlign w:val="center"/>
          </w:tcPr>
          <w:p w14:paraId="21583365">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0CA86D96">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10D2DA85">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0F1E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4E8C6E32">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w:t>
            </w:r>
          </w:p>
        </w:tc>
        <w:tc>
          <w:tcPr>
            <w:tcW w:w="2375" w:type="pct"/>
          </w:tcPr>
          <w:p w14:paraId="60A85EED">
            <w:pPr>
              <w:spacing w:line="32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电气柜布置图、结构图、内部接线图、端子接线图及安装图</w:t>
            </w:r>
          </w:p>
        </w:tc>
        <w:tc>
          <w:tcPr>
            <w:tcW w:w="745" w:type="pct"/>
            <w:vAlign w:val="center"/>
          </w:tcPr>
          <w:p w14:paraId="55B12FAF">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6CB19E88">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4EBCEA75">
            <w:pPr>
              <w:spacing w:line="32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62B9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122F1FBE">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w:t>
            </w:r>
          </w:p>
        </w:tc>
        <w:tc>
          <w:tcPr>
            <w:tcW w:w="2375" w:type="pct"/>
          </w:tcPr>
          <w:p w14:paraId="09C6ED1A">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调速器技术条件</w:t>
            </w:r>
          </w:p>
        </w:tc>
        <w:tc>
          <w:tcPr>
            <w:tcW w:w="745" w:type="pct"/>
            <w:vAlign w:val="center"/>
          </w:tcPr>
          <w:p w14:paraId="4717A389">
            <w:pPr>
              <w:spacing w:line="360" w:lineRule="exact"/>
              <w:jc w:val="center"/>
              <w:rPr>
                <w:rFonts w:hint="eastAsia" w:asciiTheme="minorEastAsia" w:hAnsiTheme="minorEastAsia" w:eastAsiaTheme="minorEastAsia" w:cstheme="minorEastAsia"/>
                <w:snapToGrid w:val="0"/>
                <w:color w:val="auto"/>
                <w:szCs w:val="21"/>
              </w:rPr>
            </w:pPr>
          </w:p>
        </w:tc>
        <w:tc>
          <w:tcPr>
            <w:tcW w:w="745" w:type="pct"/>
            <w:vAlign w:val="center"/>
          </w:tcPr>
          <w:p w14:paraId="4DC9254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732D4AEF">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4C2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1FAC7AA7">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w:t>
            </w:r>
          </w:p>
        </w:tc>
        <w:tc>
          <w:tcPr>
            <w:tcW w:w="2375" w:type="pct"/>
          </w:tcPr>
          <w:p w14:paraId="68BB1639">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调速器调试及使用说明书</w:t>
            </w:r>
          </w:p>
        </w:tc>
        <w:tc>
          <w:tcPr>
            <w:tcW w:w="745" w:type="pct"/>
            <w:vAlign w:val="center"/>
          </w:tcPr>
          <w:p w14:paraId="011118F2">
            <w:pPr>
              <w:spacing w:line="360" w:lineRule="exact"/>
              <w:jc w:val="center"/>
              <w:rPr>
                <w:rFonts w:hint="eastAsia" w:asciiTheme="minorEastAsia" w:hAnsiTheme="minorEastAsia" w:eastAsiaTheme="minorEastAsia" w:cstheme="minorEastAsia"/>
                <w:snapToGrid w:val="0"/>
                <w:color w:val="auto"/>
                <w:szCs w:val="21"/>
              </w:rPr>
            </w:pPr>
          </w:p>
        </w:tc>
        <w:tc>
          <w:tcPr>
            <w:tcW w:w="745" w:type="pct"/>
            <w:vAlign w:val="center"/>
          </w:tcPr>
          <w:p w14:paraId="2F6B24A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6CDF4B82">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25F8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24055A80">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w:t>
            </w:r>
          </w:p>
        </w:tc>
        <w:tc>
          <w:tcPr>
            <w:tcW w:w="2375" w:type="pct"/>
          </w:tcPr>
          <w:p w14:paraId="342E1627">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调速器厂内产品检查及试验记录卡</w:t>
            </w:r>
          </w:p>
        </w:tc>
        <w:tc>
          <w:tcPr>
            <w:tcW w:w="745" w:type="pct"/>
            <w:vAlign w:val="center"/>
          </w:tcPr>
          <w:p w14:paraId="453DABF1">
            <w:pPr>
              <w:spacing w:line="360" w:lineRule="exact"/>
              <w:jc w:val="center"/>
              <w:rPr>
                <w:rFonts w:hint="eastAsia" w:asciiTheme="minorEastAsia" w:hAnsiTheme="minorEastAsia" w:eastAsiaTheme="minorEastAsia" w:cstheme="minorEastAsia"/>
                <w:snapToGrid w:val="0"/>
                <w:color w:val="auto"/>
                <w:szCs w:val="21"/>
              </w:rPr>
            </w:pPr>
          </w:p>
        </w:tc>
        <w:tc>
          <w:tcPr>
            <w:tcW w:w="745" w:type="pct"/>
            <w:vAlign w:val="center"/>
          </w:tcPr>
          <w:p w14:paraId="5382B4A0">
            <w:pPr>
              <w:spacing w:line="360" w:lineRule="exact"/>
              <w:jc w:val="center"/>
              <w:rPr>
                <w:rFonts w:hint="eastAsia" w:asciiTheme="minorEastAsia" w:hAnsiTheme="minorEastAsia" w:eastAsiaTheme="minorEastAsia" w:cstheme="minorEastAsia"/>
                <w:snapToGrid w:val="0"/>
                <w:color w:val="auto"/>
                <w:szCs w:val="21"/>
              </w:rPr>
            </w:pPr>
          </w:p>
        </w:tc>
        <w:tc>
          <w:tcPr>
            <w:tcW w:w="745" w:type="pct"/>
            <w:vAlign w:val="center"/>
          </w:tcPr>
          <w:p w14:paraId="4723B90A">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r w14:paraId="6B94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tcPr>
          <w:p w14:paraId="133BC884">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w:t>
            </w:r>
          </w:p>
        </w:tc>
        <w:tc>
          <w:tcPr>
            <w:tcW w:w="2375" w:type="pct"/>
            <w:vAlign w:val="center"/>
          </w:tcPr>
          <w:p w14:paraId="5B522AB0">
            <w:pPr>
              <w:spacing w:line="360" w:lineRule="exact"/>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图纸资料目录</w:t>
            </w:r>
          </w:p>
        </w:tc>
        <w:tc>
          <w:tcPr>
            <w:tcW w:w="745" w:type="pct"/>
            <w:vAlign w:val="center"/>
          </w:tcPr>
          <w:p w14:paraId="1CBE3A8C">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6B96BAD9">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c>
          <w:tcPr>
            <w:tcW w:w="745" w:type="pct"/>
            <w:vAlign w:val="center"/>
          </w:tcPr>
          <w:p w14:paraId="5AF53558">
            <w:pPr>
              <w:spacing w:line="360" w:lineRule="exact"/>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w:t>
            </w:r>
          </w:p>
        </w:tc>
      </w:tr>
    </w:tbl>
    <w:p w14:paraId="72A515F2">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5.3 标准</w:t>
      </w:r>
    </w:p>
    <w:p w14:paraId="5D42B9B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调速系统设计、制造、安装、调试等应满足以下标准规范要求（不限于）。</w:t>
      </w: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036"/>
        <w:gridCol w:w="6384"/>
      </w:tblGrid>
      <w:tr w14:paraId="7F1E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3745C0D0">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GB/T9652.1</w:t>
            </w:r>
          </w:p>
        </w:tc>
        <w:tc>
          <w:tcPr>
            <w:tcW w:w="3791" w:type="pct"/>
            <w:tcBorders>
              <w:top w:val="single" w:color="auto" w:sz="4" w:space="0"/>
              <w:left w:val="single" w:color="auto" w:sz="4" w:space="0"/>
              <w:bottom w:val="single" w:color="auto" w:sz="4" w:space="0"/>
              <w:right w:val="single" w:color="auto" w:sz="4" w:space="0"/>
            </w:tcBorders>
            <w:vAlign w:val="center"/>
          </w:tcPr>
          <w:p w14:paraId="2DFFC74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水轮机调速系统技术条件</w:t>
            </w:r>
          </w:p>
        </w:tc>
      </w:tr>
      <w:tr w14:paraId="6E87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13D52F6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kern w:val="0"/>
                <w:szCs w:val="21"/>
              </w:rPr>
              <w:t>GB/T9652.2</w:t>
            </w:r>
          </w:p>
        </w:tc>
        <w:tc>
          <w:tcPr>
            <w:tcW w:w="3791" w:type="pct"/>
            <w:tcBorders>
              <w:top w:val="single" w:color="auto" w:sz="4" w:space="0"/>
              <w:left w:val="single" w:color="auto" w:sz="4" w:space="0"/>
              <w:bottom w:val="single" w:color="auto" w:sz="4" w:space="0"/>
              <w:right w:val="single" w:color="auto" w:sz="4" w:space="0"/>
            </w:tcBorders>
            <w:vAlign w:val="center"/>
          </w:tcPr>
          <w:p w14:paraId="549F845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kern w:val="0"/>
                <w:szCs w:val="21"/>
              </w:rPr>
              <w:t>水轮机调速系统试验</w:t>
            </w:r>
          </w:p>
        </w:tc>
      </w:tr>
      <w:tr w14:paraId="2A09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0D6FD1A4">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szCs w:val="21"/>
              </w:rPr>
              <w:t>SL755</w:t>
            </w:r>
          </w:p>
        </w:tc>
        <w:tc>
          <w:tcPr>
            <w:tcW w:w="3791" w:type="pct"/>
            <w:tcBorders>
              <w:top w:val="single" w:color="auto" w:sz="4" w:space="0"/>
              <w:left w:val="single" w:color="auto" w:sz="4" w:space="0"/>
              <w:bottom w:val="single" w:color="auto" w:sz="4" w:space="0"/>
              <w:right w:val="single" w:color="auto" w:sz="4" w:space="0"/>
            </w:tcBorders>
            <w:vAlign w:val="center"/>
          </w:tcPr>
          <w:p w14:paraId="39693C4D">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szCs w:val="21"/>
              </w:rPr>
              <w:t>中小型水轮机调节系统技术规程</w:t>
            </w:r>
          </w:p>
        </w:tc>
      </w:tr>
      <w:tr w14:paraId="20A6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6724049E">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szCs w:val="21"/>
              </w:rPr>
              <w:t>SL615</w:t>
            </w:r>
          </w:p>
        </w:tc>
        <w:tc>
          <w:tcPr>
            <w:tcW w:w="3791" w:type="pct"/>
            <w:tcBorders>
              <w:top w:val="single" w:color="auto" w:sz="4" w:space="0"/>
              <w:left w:val="single" w:color="auto" w:sz="4" w:space="0"/>
              <w:bottom w:val="single" w:color="auto" w:sz="4" w:space="0"/>
              <w:right w:val="single" w:color="auto" w:sz="4" w:space="0"/>
            </w:tcBorders>
            <w:vAlign w:val="center"/>
          </w:tcPr>
          <w:p w14:paraId="4D9FF594">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szCs w:val="21"/>
              </w:rPr>
              <w:t>水轮机电液调节系统及装置基本技术条件</w:t>
            </w:r>
          </w:p>
        </w:tc>
      </w:tr>
      <w:tr w14:paraId="4615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1DA56CCB">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NB/T35004</w:t>
            </w:r>
          </w:p>
        </w:tc>
        <w:tc>
          <w:tcPr>
            <w:tcW w:w="3791" w:type="pct"/>
            <w:vAlign w:val="center"/>
          </w:tcPr>
          <w:p w14:paraId="65835451">
            <w:pPr>
              <w:snapToGrid w:val="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水力发电厂自动化设计技术规范</w:t>
            </w:r>
          </w:p>
        </w:tc>
      </w:tr>
      <w:tr w14:paraId="761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002C0323">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NB/T10878</w:t>
            </w:r>
          </w:p>
        </w:tc>
        <w:tc>
          <w:tcPr>
            <w:tcW w:w="3791" w:type="pct"/>
            <w:vAlign w:val="center"/>
          </w:tcPr>
          <w:p w14:paraId="5C426B96">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水力发电厂机电设计规范</w:t>
            </w:r>
          </w:p>
        </w:tc>
      </w:tr>
      <w:tr w14:paraId="7BF4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447772F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NB/T35088</w:t>
            </w:r>
          </w:p>
        </w:tc>
        <w:tc>
          <w:tcPr>
            <w:tcW w:w="3791" w:type="pct"/>
            <w:vAlign w:val="center"/>
          </w:tcPr>
          <w:p w14:paraId="5FED353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水电机组机械液压过速保护装置基本技术条件</w:t>
            </w:r>
          </w:p>
        </w:tc>
      </w:tr>
      <w:tr w14:paraId="798B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04E2F053">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GB/T8564</w:t>
            </w:r>
          </w:p>
        </w:tc>
        <w:tc>
          <w:tcPr>
            <w:tcW w:w="3791" w:type="pct"/>
            <w:vAlign w:val="center"/>
          </w:tcPr>
          <w:p w14:paraId="77564ED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水轮发电机组安装技术规范</w:t>
            </w:r>
          </w:p>
        </w:tc>
      </w:tr>
      <w:tr w14:paraId="6596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vAlign w:val="center"/>
          </w:tcPr>
          <w:p w14:paraId="3D83DC3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NB/T42052</w:t>
            </w:r>
          </w:p>
        </w:tc>
        <w:tc>
          <w:tcPr>
            <w:tcW w:w="3791" w:type="pct"/>
            <w:vAlign w:val="center"/>
          </w:tcPr>
          <w:p w14:paraId="5F920216">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小水电机组启动试验规程</w:t>
            </w:r>
          </w:p>
        </w:tc>
      </w:tr>
      <w:tr w14:paraId="65F1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1B1853A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699</w:t>
            </w:r>
          </w:p>
        </w:tc>
        <w:tc>
          <w:tcPr>
            <w:tcW w:w="3791" w:type="pct"/>
            <w:tcBorders>
              <w:top w:val="single" w:color="auto" w:sz="4" w:space="0"/>
              <w:left w:val="single" w:color="auto" w:sz="4" w:space="0"/>
              <w:bottom w:val="single" w:color="auto" w:sz="4" w:space="0"/>
              <w:right w:val="single" w:color="auto" w:sz="4" w:space="0"/>
            </w:tcBorders>
            <w:vAlign w:val="center"/>
          </w:tcPr>
          <w:p w14:paraId="2A5901E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优质碳素结构钢</w:t>
            </w:r>
          </w:p>
        </w:tc>
      </w:tr>
      <w:tr w14:paraId="71A7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48A99B9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700</w:t>
            </w:r>
          </w:p>
        </w:tc>
        <w:tc>
          <w:tcPr>
            <w:tcW w:w="3791" w:type="pct"/>
            <w:tcBorders>
              <w:top w:val="single" w:color="auto" w:sz="4" w:space="0"/>
              <w:left w:val="single" w:color="auto" w:sz="4" w:space="0"/>
              <w:bottom w:val="single" w:color="auto" w:sz="4" w:space="0"/>
              <w:right w:val="single" w:color="auto" w:sz="4" w:space="0"/>
            </w:tcBorders>
            <w:vAlign w:val="center"/>
          </w:tcPr>
          <w:p w14:paraId="313EA348">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碳素结构钢</w:t>
            </w:r>
          </w:p>
        </w:tc>
      </w:tr>
      <w:tr w14:paraId="5C70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50076919">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3077</w:t>
            </w:r>
          </w:p>
        </w:tc>
        <w:tc>
          <w:tcPr>
            <w:tcW w:w="3791" w:type="pct"/>
            <w:tcBorders>
              <w:top w:val="single" w:color="auto" w:sz="4" w:space="0"/>
              <w:left w:val="single" w:color="auto" w:sz="4" w:space="0"/>
              <w:bottom w:val="single" w:color="auto" w:sz="4" w:space="0"/>
              <w:right w:val="single" w:color="auto" w:sz="4" w:space="0"/>
            </w:tcBorders>
            <w:vAlign w:val="center"/>
          </w:tcPr>
          <w:p w14:paraId="6FEAD45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合金结构钢</w:t>
            </w:r>
          </w:p>
        </w:tc>
      </w:tr>
      <w:tr w14:paraId="6276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6DD8DE42">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1348</w:t>
            </w:r>
          </w:p>
        </w:tc>
        <w:tc>
          <w:tcPr>
            <w:tcW w:w="3791" w:type="pct"/>
            <w:tcBorders>
              <w:top w:val="single" w:color="auto" w:sz="4" w:space="0"/>
              <w:left w:val="single" w:color="auto" w:sz="4" w:space="0"/>
              <w:bottom w:val="single" w:color="auto" w:sz="4" w:space="0"/>
              <w:right w:val="single" w:color="auto" w:sz="4" w:space="0"/>
            </w:tcBorders>
            <w:vAlign w:val="center"/>
          </w:tcPr>
          <w:p w14:paraId="2136822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球墨铸铁件 </w:t>
            </w:r>
          </w:p>
        </w:tc>
      </w:tr>
      <w:tr w14:paraId="2665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23AEA2C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6402</w:t>
            </w:r>
          </w:p>
        </w:tc>
        <w:tc>
          <w:tcPr>
            <w:tcW w:w="3791" w:type="pct"/>
            <w:tcBorders>
              <w:top w:val="single" w:color="auto" w:sz="4" w:space="0"/>
              <w:left w:val="single" w:color="auto" w:sz="4" w:space="0"/>
              <w:bottom w:val="single" w:color="auto" w:sz="4" w:space="0"/>
              <w:right w:val="single" w:color="auto" w:sz="4" w:space="0"/>
            </w:tcBorders>
            <w:vAlign w:val="center"/>
          </w:tcPr>
          <w:p w14:paraId="5AD7F1FE">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钢锻件超声检测方法</w:t>
            </w:r>
          </w:p>
        </w:tc>
      </w:tr>
      <w:tr w14:paraId="733D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6225001B">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8468</w:t>
            </w:r>
          </w:p>
        </w:tc>
        <w:tc>
          <w:tcPr>
            <w:tcW w:w="3791" w:type="pct"/>
            <w:tcBorders>
              <w:top w:val="single" w:color="auto" w:sz="4" w:space="0"/>
              <w:left w:val="single" w:color="auto" w:sz="4" w:space="0"/>
              <w:bottom w:val="single" w:color="auto" w:sz="4" w:space="0"/>
              <w:right w:val="single" w:color="auto" w:sz="4" w:space="0"/>
            </w:tcBorders>
            <w:vAlign w:val="center"/>
          </w:tcPr>
          <w:p w14:paraId="76F3997D">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锻钢件磁粉检验方法</w:t>
            </w:r>
          </w:p>
        </w:tc>
      </w:tr>
      <w:tr w14:paraId="7C51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4626DBD0">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8162</w:t>
            </w:r>
          </w:p>
        </w:tc>
        <w:tc>
          <w:tcPr>
            <w:tcW w:w="3791" w:type="pct"/>
            <w:tcBorders>
              <w:top w:val="single" w:color="auto" w:sz="4" w:space="0"/>
              <w:left w:val="single" w:color="auto" w:sz="4" w:space="0"/>
              <w:bottom w:val="single" w:color="auto" w:sz="4" w:space="0"/>
              <w:right w:val="single" w:color="auto" w:sz="4" w:space="0"/>
            </w:tcBorders>
            <w:vAlign w:val="center"/>
          </w:tcPr>
          <w:p w14:paraId="5AE2997D">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结构用无缝钢管</w:t>
            </w:r>
          </w:p>
        </w:tc>
      </w:tr>
      <w:tr w14:paraId="2D6D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40D3AC8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8163</w:t>
            </w:r>
          </w:p>
        </w:tc>
        <w:tc>
          <w:tcPr>
            <w:tcW w:w="3791" w:type="pct"/>
            <w:tcBorders>
              <w:top w:val="single" w:color="auto" w:sz="4" w:space="0"/>
              <w:left w:val="single" w:color="auto" w:sz="4" w:space="0"/>
              <w:bottom w:val="single" w:color="auto" w:sz="4" w:space="0"/>
              <w:right w:val="single" w:color="auto" w:sz="4" w:space="0"/>
            </w:tcBorders>
            <w:vAlign w:val="center"/>
          </w:tcPr>
          <w:p w14:paraId="037A7C2C">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输送流体用无缝钢管</w:t>
            </w:r>
          </w:p>
        </w:tc>
      </w:tr>
      <w:tr w14:paraId="1D80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769FA9F1">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26951</w:t>
            </w:r>
          </w:p>
        </w:tc>
        <w:tc>
          <w:tcPr>
            <w:tcW w:w="3791" w:type="pct"/>
            <w:tcBorders>
              <w:top w:val="single" w:color="auto" w:sz="4" w:space="0"/>
              <w:left w:val="single" w:color="auto" w:sz="4" w:space="0"/>
              <w:bottom w:val="single" w:color="auto" w:sz="4" w:space="0"/>
              <w:right w:val="single" w:color="auto" w:sz="4" w:space="0"/>
            </w:tcBorders>
            <w:vAlign w:val="center"/>
          </w:tcPr>
          <w:p w14:paraId="02DEBAA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焊缝无损检测 磁粉检测</w:t>
            </w:r>
          </w:p>
        </w:tc>
      </w:tr>
      <w:tr w14:paraId="55AA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4AAAC26A">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26952</w:t>
            </w:r>
          </w:p>
        </w:tc>
        <w:tc>
          <w:tcPr>
            <w:tcW w:w="3791" w:type="pct"/>
            <w:tcBorders>
              <w:top w:val="single" w:color="auto" w:sz="4" w:space="0"/>
              <w:left w:val="single" w:color="auto" w:sz="4" w:space="0"/>
              <w:bottom w:val="single" w:color="auto" w:sz="4" w:space="0"/>
              <w:right w:val="single" w:color="auto" w:sz="4" w:space="0"/>
            </w:tcBorders>
            <w:vAlign w:val="center"/>
          </w:tcPr>
          <w:p w14:paraId="6FC02534">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焊缝无损检测 磁粉检测 验收等级</w:t>
            </w:r>
          </w:p>
        </w:tc>
      </w:tr>
      <w:tr w14:paraId="14F8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209" w:type="pct"/>
            <w:tcBorders>
              <w:top w:val="single" w:color="auto" w:sz="4" w:space="0"/>
              <w:left w:val="single" w:color="auto" w:sz="4" w:space="0"/>
              <w:bottom w:val="single" w:color="auto" w:sz="4" w:space="0"/>
              <w:right w:val="single" w:color="auto" w:sz="4" w:space="0"/>
            </w:tcBorders>
            <w:vAlign w:val="center"/>
          </w:tcPr>
          <w:p w14:paraId="1DCC15B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26953</w:t>
            </w:r>
          </w:p>
        </w:tc>
        <w:tc>
          <w:tcPr>
            <w:tcW w:w="3791" w:type="pct"/>
            <w:tcBorders>
              <w:top w:val="single" w:color="auto" w:sz="4" w:space="0"/>
              <w:left w:val="single" w:color="auto" w:sz="4" w:space="0"/>
              <w:bottom w:val="single" w:color="auto" w:sz="4" w:space="0"/>
              <w:right w:val="single" w:color="auto" w:sz="4" w:space="0"/>
            </w:tcBorders>
            <w:vAlign w:val="center"/>
          </w:tcPr>
          <w:p w14:paraId="78B45F37">
            <w:pPr>
              <w:snapToGrid w:val="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焊缝无损检测 焊缝渗透检测 验收等级</w:t>
            </w:r>
          </w:p>
        </w:tc>
      </w:tr>
    </w:tbl>
    <w:p w14:paraId="0B40D07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5.4  与调速系统相关的电站参数</w:t>
      </w:r>
    </w:p>
    <w:p w14:paraId="2B00F0B4">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5.4.1 机组主要参数</w:t>
      </w:r>
    </w:p>
    <w:p w14:paraId="7B5EBF32">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1）水轮机相关参数</w:t>
      </w:r>
    </w:p>
    <w:p w14:paraId="28652404">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水轮机型式                 卧轴混流式</w:t>
      </w:r>
    </w:p>
    <w:p w14:paraId="5278CB37">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转轮直径D</w:t>
      </w:r>
      <w:r>
        <w:rPr>
          <w:rFonts w:hint="eastAsia" w:asciiTheme="minorEastAsia" w:hAnsiTheme="minorEastAsia" w:eastAsiaTheme="minorEastAsia" w:cstheme="minorEastAsia"/>
          <w:color w:val="auto"/>
          <w:kern w:val="0"/>
          <w:szCs w:val="21"/>
          <w:vertAlign w:val="subscript"/>
        </w:rPr>
        <w:t>1</w:t>
      </w:r>
      <w:r>
        <w:rPr>
          <w:rFonts w:hint="eastAsia" w:asciiTheme="minorEastAsia" w:hAnsiTheme="minorEastAsia" w:eastAsiaTheme="minorEastAsia" w:cstheme="minorEastAsia"/>
          <w:color w:val="auto"/>
          <w:kern w:val="0"/>
          <w:szCs w:val="21"/>
        </w:rPr>
        <w:t xml:space="preserve">                 550mm</w:t>
      </w:r>
    </w:p>
    <w:p w14:paraId="353DE632">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最大水头 </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61.1m</w:t>
      </w:r>
    </w:p>
    <w:p w14:paraId="2FA8DA16">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额定水头    </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60m</w:t>
      </w:r>
    </w:p>
    <w:p w14:paraId="3EA34F9F">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额定功率</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1000kW</w:t>
      </w:r>
    </w:p>
    <w:p w14:paraId="200DBCA2">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额定流量                   1.98m</w:t>
      </w:r>
      <w:r>
        <w:rPr>
          <w:rFonts w:hint="eastAsia" w:asciiTheme="minorEastAsia" w:hAnsiTheme="minorEastAsia" w:eastAsiaTheme="minorEastAsia" w:cstheme="minorEastAsia"/>
          <w:color w:val="auto"/>
          <w:kern w:val="0"/>
          <w:szCs w:val="21"/>
          <w:vertAlign w:val="superscript"/>
        </w:rPr>
        <w:t>3</w:t>
      </w:r>
      <w:r>
        <w:rPr>
          <w:rFonts w:hint="eastAsia" w:asciiTheme="minorEastAsia" w:hAnsiTheme="minorEastAsia" w:eastAsiaTheme="minorEastAsia" w:cstheme="minorEastAsia"/>
          <w:color w:val="auto"/>
          <w:kern w:val="0"/>
          <w:szCs w:val="21"/>
        </w:rPr>
        <w:t>/s</w:t>
      </w:r>
    </w:p>
    <w:p w14:paraId="6BD1B65D">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额定转速：</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1000 r/min</w:t>
      </w:r>
    </w:p>
    <w:p w14:paraId="1CCB4F27">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飞逸转速：                 1782.5r/min</w:t>
      </w:r>
    </w:p>
    <w:p w14:paraId="7FDD54B2">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2）发电机相关参数</w:t>
      </w:r>
    </w:p>
    <w:p w14:paraId="63506D1F">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发电机转动惯量 </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≥1t-m</w:t>
      </w:r>
      <w:r>
        <w:rPr>
          <w:rFonts w:hint="eastAsia" w:asciiTheme="minorEastAsia" w:hAnsiTheme="minorEastAsia" w:eastAsiaTheme="minorEastAsia" w:cstheme="minorEastAsia"/>
          <w:color w:val="auto"/>
          <w:kern w:val="0"/>
          <w:szCs w:val="21"/>
          <w:vertAlign w:val="superscript"/>
        </w:rPr>
        <w:t>2</w:t>
      </w:r>
    </w:p>
    <w:p w14:paraId="688F2A99">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机组惯性时间常数 </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2.59 s</w:t>
      </w:r>
    </w:p>
    <w:p w14:paraId="5389FF45">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3）水轮机导叶接力器主要参数</w:t>
      </w:r>
    </w:p>
    <w:p w14:paraId="5288FF61">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接力器活塞直径 </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××mm（由主机厂提供）</w:t>
      </w:r>
    </w:p>
    <w:p w14:paraId="545914DC">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接力器最大行程 </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××mm（由主机厂提供）</w:t>
      </w:r>
    </w:p>
    <w:p w14:paraId="60E9FEAC">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额定操作油压 </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16MPa</w:t>
      </w:r>
    </w:p>
    <w:p w14:paraId="62C3C37D">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导叶接力器接力器个数（单机）</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1</w:t>
      </w:r>
    </w:p>
    <w:p w14:paraId="66AE7C41">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导叶接力器容积 </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××L（由主机厂提供）</w:t>
      </w:r>
    </w:p>
    <w:p w14:paraId="70EFD0B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5.4.2 引水系统主要参数</w:t>
      </w:r>
    </w:p>
    <w:p w14:paraId="6BD214F3">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1）发电引水系统水力损失          △h=</w:t>
      </w:r>
      <w:r>
        <w:rPr>
          <w:rFonts w:hint="eastAsia" w:asciiTheme="minorEastAsia" w:hAnsiTheme="minorEastAsia" w:eastAsiaTheme="minorEastAsia" w:cstheme="minorEastAsia"/>
          <w:color w:val="auto"/>
          <w:szCs w:val="21"/>
        </w:rPr>
        <w:t>0.03784</w:t>
      </w:r>
      <w:r>
        <w:rPr>
          <w:rFonts w:hint="eastAsia" w:asciiTheme="minorEastAsia" w:hAnsiTheme="minorEastAsia" w:eastAsiaTheme="minorEastAsia" w:cstheme="minorEastAsia"/>
          <w:color w:val="auto"/>
          <w:kern w:val="0"/>
          <w:szCs w:val="21"/>
        </w:rPr>
        <w:t>Q</w:t>
      </w:r>
      <w:r>
        <w:rPr>
          <w:rFonts w:hint="eastAsia" w:asciiTheme="minorEastAsia" w:hAnsiTheme="minorEastAsia" w:eastAsiaTheme="minorEastAsia" w:cstheme="minorEastAsia"/>
          <w:color w:val="auto"/>
          <w:kern w:val="0"/>
          <w:szCs w:val="21"/>
          <w:vertAlign w:val="superscript"/>
        </w:rPr>
        <w:t>2</w:t>
      </w:r>
      <w:r>
        <w:rPr>
          <w:rFonts w:hint="eastAsia" w:asciiTheme="minorEastAsia" w:hAnsiTheme="minorEastAsia" w:eastAsiaTheme="minorEastAsia" w:cstheme="minorEastAsia"/>
          <w:color w:val="auto"/>
          <w:kern w:val="0"/>
          <w:szCs w:val="21"/>
        </w:rPr>
        <w:t>（注Q为单机流量）</w:t>
      </w:r>
    </w:p>
    <w:p w14:paraId="4AB02D45">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2）引水系统∑L                       557.6m</w:t>
      </w:r>
    </w:p>
    <w:p w14:paraId="4C4ACB22">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3）额定水头下两台机同时发额定功率工况</w:t>
      </w:r>
    </w:p>
    <w:p w14:paraId="7E00A90B">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水轮机单机流量                       1.98m</w:t>
      </w:r>
      <w:r>
        <w:rPr>
          <w:rFonts w:hint="eastAsia" w:asciiTheme="minorEastAsia" w:hAnsiTheme="minorEastAsia" w:eastAsiaTheme="minorEastAsia" w:cstheme="minorEastAsia"/>
          <w:color w:val="auto"/>
          <w:kern w:val="0"/>
          <w:szCs w:val="21"/>
          <w:vertAlign w:val="superscript"/>
        </w:rPr>
        <w:t>3</w:t>
      </w:r>
      <w:r>
        <w:rPr>
          <w:rFonts w:hint="eastAsia" w:asciiTheme="minorEastAsia" w:hAnsiTheme="minorEastAsia" w:eastAsiaTheme="minorEastAsia" w:cstheme="minorEastAsia"/>
          <w:color w:val="auto"/>
          <w:kern w:val="0"/>
          <w:szCs w:val="21"/>
        </w:rPr>
        <w:t>/s</w:t>
      </w:r>
    </w:p>
    <w:p w14:paraId="5A2151C6">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引水系统∑LV                        </w:t>
      </w:r>
      <w:r>
        <w:rPr>
          <w:rFonts w:hint="eastAsia" w:asciiTheme="minorEastAsia" w:hAnsiTheme="minorEastAsia" w:eastAsiaTheme="minorEastAsia" w:cstheme="minorEastAsia"/>
          <w:color w:val="auto"/>
          <w:szCs w:val="21"/>
        </w:rPr>
        <w:t>933.6</w:t>
      </w:r>
      <w:r>
        <w:rPr>
          <w:rFonts w:hint="eastAsia" w:asciiTheme="minorEastAsia" w:hAnsiTheme="minorEastAsia" w:eastAsiaTheme="minorEastAsia" w:cstheme="minorEastAsia"/>
          <w:color w:val="auto"/>
          <w:kern w:val="0"/>
          <w:szCs w:val="21"/>
        </w:rPr>
        <w:t>m</w:t>
      </w:r>
      <w:r>
        <w:rPr>
          <w:rFonts w:hint="eastAsia" w:asciiTheme="minorEastAsia" w:hAnsiTheme="minorEastAsia" w:eastAsiaTheme="minorEastAsia" w:cstheme="minorEastAsia"/>
          <w:color w:val="auto"/>
          <w:kern w:val="0"/>
          <w:szCs w:val="21"/>
          <w:vertAlign w:val="superscript"/>
        </w:rPr>
        <w:t>2</w:t>
      </w:r>
      <w:r>
        <w:rPr>
          <w:rFonts w:hint="eastAsia" w:asciiTheme="minorEastAsia" w:hAnsiTheme="minorEastAsia" w:eastAsiaTheme="minorEastAsia" w:cstheme="minorEastAsia"/>
          <w:color w:val="auto"/>
          <w:kern w:val="0"/>
          <w:szCs w:val="21"/>
        </w:rPr>
        <w:t>/s</w:t>
      </w:r>
    </w:p>
    <w:p w14:paraId="0B187ADE">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水流惯性时间常数                     </w:t>
      </w:r>
      <w:r>
        <w:rPr>
          <w:rFonts w:hint="eastAsia" w:asciiTheme="minorEastAsia" w:hAnsiTheme="minorEastAsia" w:eastAsiaTheme="minorEastAsia" w:cstheme="minorEastAsia"/>
          <w:color w:val="auto"/>
          <w:szCs w:val="21"/>
        </w:rPr>
        <w:t>1.57s</w:t>
      </w:r>
    </w:p>
    <w:p w14:paraId="718ECEC7">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4）最大水头下两台机同时发额定功率工况</w:t>
      </w:r>
    </w:p>
    <w:p w14:paraId="5E3CF701">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水轮机单机流量                      </w:t>
      </w:r>
      <w:r>
        <w:rPr>
          <w:rFonts w:hint="eastAsia" w:asciiTheme="minorEastAsia" w:hAnsiTheme="minorEastAsia" w:eastAsiaTheme="minorEastAsia" w:cstheme="minorEastAsia"/>
          <w:color w:val="auto"/>
          <w:szCs w:val="21"/>
        </w:rPr>
        <w:t>1.94</w:t>
      </w:r>
      <w:r>
        <w:rPr>
          <w:rFonts w:hint="eastAsia" w:asciiTheme="minorEastAsia" w:hAnsiTheme="minorEastAsia" w:eastAsiaTheme="minorEastAsia" w:cstheme="minorEastAsia"/>
          <w:color w:val="auto"/>
          <w:kern w:val="0"/>
          <w:szCs w:val="21"/>
        </w:rPr>
        <w:t xml:space="preserve"> m</w:t>
      </w:r>
      <w:r>
        <w:rPr>
          <w:rFonts w:hint="eastAsia" w:asciiTheme="minorEastAsia" w:hAnsiTheme="minorEastAsia" w:eastAsiaTheme="minorEastAsia" w:cstheme="minorEastAsia"/>
          <w:color w:val="auto"/>
          <w:kern w:val="0"/>
          <w:szCs w:val="21"/>
          <w:vertAlign w:val="superscript"/>
        </w:rPr>
        <w:t>3</w:t>
      </w:r>
      <w:r>
        <w:rPr>
          <w:rFonts w:hint="eastAsia" w:asciiTheme="minorEastAsia" w:hAnsiTheme="minorEastAsia" w:eastAsiaTheme="minorEastAsia" w:cstheme="minorEastAsia"/>
          <w:color w:val="auto"/>
          <w:kern w:val="0"/>
          <w:szCs w:val="21"/>
        </w:rPr>
        <w:t>/s</w:t>
      </w:r>
    </w:p>
    <w:p w14:paraId="4537A195">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引水系统∑LV                       </w:t>
      </w:r>
      <w:r>
        <w:rPr>
          <w:rFonts w:hint="eastAsia" w:asciiTheme="minorEastAsia" w:hAnsiTheme="minorEastAsia" w:eastAsiaTheme="minorEastAsia" w:cstheme="minorEastAsia"/>
          <w:color w:val="auto"/>
          <w:szCs w:val="21"/>
        </w:rPr>
        <w:t>914.71</w:t>
      </w:r>
      <w:r>
        <w:rPr>
          <w:rFonts w:hint="eastAsia" w:asciiTheme="minorEastAsia" w:hAnsiTheme="minorEastAsia" w:eastAsiaTheme="minorEastAsia" w:cstheme="minorEastAsia"/>
          <w:color w:val="auto"/>
          <w:kern w:val="0"/>
          <w:szCs w:val="21"/>
        </w:rPr>
        <w:t>m</w:t>
      </w:r>
      <w:r>
        <w:rPr>
          <w:rFonts w:hint="eastAsia" w:asciiTheme="minorEastAsia" w:hAnsiTheme="minorEastAsia" w:eastAsiaTheme="minorEastAsia" w:cstheme="minorEastAsia"/>
          <w:color w:val="auto"/>
          <w:kern w:val="0"/>
          <w:szCs w:val="21"/>
          <w:vertAlign w:val="superscript"/>
        </w:rPr>
        <w:t>2</w:t>
      </w:r>
      <w:r>
        <w:rPr>
          <w:rFonts w:hint="eastAsia" w:asciiTheme="minorEastAsia" w:hAnsiTheme="minorEastAsia" w:eastAsiaTheme="minorEastAsia" w:cstheme="minorEastAsia"/>
          <w:color w:val="auto"/>
          <w:kern w:val="0"/>
          <w:szCs w:val="21"/>
        </w:rPr>
        <w:t>/s</w:t>
      </w:r>
    </w:p>
    <w:p w14:paraId="3790E7E4">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水流惯性时间常数                   </w:t>
      </w:r>
      <w:r>
        <w:rPr>
          <w:rFonts w:hint="eastAsia" w:asciiTheme="minorEastAsia" w:hAnsiTheme="minorEastAsia" w:eastAsiaTheme="minorEastAsia" w:cstheme="minorEastAsia"/>
          <w:color w:val="auto"/>
          <w:szCs w:val="21"/>
        </w:rPr>
        <w:t>1.49s</w:t>
      </w:r>
    </w:p>
    <w:p w14:paraId="712B7475">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5.4.3 机组在电力系统中的运行方式</w:t>
      </w:r>
    </w:p>
    <w:p w14:paraId="16880005">
      <w:pPr>
        <w:autoSpaceDE w:val="0"/>
        <w:autoSpaceDN w:val="0"/>
        <w:spacing w:after="120"/>
        <w:ind w:firstLine="420"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电站在电网中承担调峰任务。</w:t>
      </w:r>
    </w:p>
    <w:p w14:paraId="444D4AB3">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5.5 型式及总体要求</w:t>
      </w:r>
    </w:p>
    <w:p w14:paraId="4AE63E6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5.5.1 调速系统调速功为6000N. m，额定工作油压为16MPa。</w:t>
      </w:r>
    </w:p>
    <w:p w14:paraId="4C2E2AA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5.5.2 调速系统应是满足水轮机操作要求的PID数字式电液调速器，具有速度调节、功率调节、开度调节、正常开停机、事故停机、紧急停机、导叶开度限制、频率跟踪控制、在线自诊断及其处理、快速同步等功能。</w:t>
      </w:r>
    </w:p>
    <w:p w14:paraId="2226D04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5.5.3 导叶接力器的全关和全开时间应能在2～25s范围内独立可调。</w:t>
      </w:r>
    </w:p>
    <w:p w14:paraId="7FEF7B3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5.5.4 调速系统应有足够的工作容量。在规定的最短时间内，在压力罐内操作油压为最低操作油压、作用在水轮机导叶上的反向力矩最大时，能操作导叶接力器全行程关闭。</w:t>
      </w:r>
    </w:p>
    <w:p w14:paraId="3544588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5.5.5 调速系统采用电气和机械液压部分一体式组柜。机械电气组合柜布置在油压装置上方。调速器布置在厂房运行层水轮机旁。</w:t>
      </w:r>
    </w:p>
    <w:p w14:paraId="383EFCC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5.5.6 机械液压系统中应有合适的油过滤装置，液压部件的设计应有防震、防卡、防止油粘滞的措施，以保证机械液压部件能正常地工作。</w:t>
      </w:r>
    </w:p>
    <w:p w14:paraId="6D8289C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5.5.7 调速系统应根据本技术条款、GB/T9652.1《水轮机调速系统技术条件》、 GB/T9652.2《水轮机调速系统试验》等标准的要求进行设计和试验。</w:t>
      </w:r>
    </w:p>
    <w:p w14:paraId="527E1BC5">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5.6 功能及性能要求</w:t>
      </w:r>
    </w:p>
    <w:p w14:paraId="23BE64B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5.6.1 调速系统应具有比例、积分、微分PID的调节规律，功率采用PI调节，速度采用PID调节。PID校正应具有足够的可调增益范围，并能适合被控系统的动态特性。</w:t>
      </w:r>
    </w:p>
    <w:p w14:paraId="3B0DFAB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5.6.2 当一种控制或操作方式需要进行正常运行或事故切换时，应能实现水轮机导叶或发电机负荷的无扰动切换。切换时导叶接力器行程变化不得超过全行程的±1%。调速器冗余电源系统切换时，引起导叶接力器行程变化不得超过全行程的±1%。</w:t>
      </w:r>
    </w:p>
    <w:p w14:paraId="0ACCD00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5.6.3 调速系统应设有导叶开度限制功能，可调的导叶开度限制应为电气型。导叶电气开度限制应能按水头限制功率。导叶开度限制可在现地、远方进行调整及数值显示。</w:t>
      </w:r>
    </w:p>
    <w:p w14:paraId="01B3565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5.6.4 为便于实现机组与系统快速并网或缩短同期时间，调速器应设有电网频率跟踪装置，同期期间能跟踪电网频率，实现快速并网。</w:t>
      </w:r>
    </w:p>
    <w:p w14:paraId="0C749F7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5.6.5 调速系统应能接受电站计算机监控系统的控制和调整命令，并向计算机监控系统提供所需的信息。</w:t>
      </w:r>
    </w:p>
    <w:p w14:paraId="1A25B2D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5.6.6 调速系统应具有在线自诊断和故障处理功能。故障通过电气柜上的指示灯或触摸屏指示。某些故障也可通过微机插件板上的指示灯指示。所有故障信息应提供给电站计算机监控系统，尤其对于每个动作于停机保护的重要故障信号需分别提供2对电气独立的接点。</w:t>
      </w:r>
    </w:p>
    <w:p w14:paraId="5CD01EC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5.6.7 调速系统发生诸如CPU故障、输入输出通道故障、通讯模块故障、开度和功率反馈故障、电源故障等故障时，关机回路和开限应保持可操作性，调速器应维持导叶在故障前的位置，且调速器的任何故障应不影响机组必要的紧急停机操作。</w:t>
      </w:r>
    </w:p>
    <w:p w14:paraId="5070876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5.6.8 当机组在额定转速空载运行时，调速系统应能控制机组转速稳定运行。当机组与电站其它机组或电力系统并联运行时，调速系统也应能在零到最大功率范围内控制机组功率稳定运行。</w:t>
      </w:r>
    </w:p>
    <w:p w14:paraId="16FDBE1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5.6.9 机组在额定转速手动空载运行时，由调速系统控制的机组转速摆动相对值不超过额定转速的0.1%，试验时，连续测量时间为3min。</w:t>
      </w:r>
    </w:p>
    <w:p w14:paraId="127242C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5.6.10 调速器的静态特性曲线应近似为直线。测至导叶接力器的转速死区不超过额定转速的0.02%。在水轮机静止及输入转速信号恒定的条件下，接力器摆动值不超过0.1%。</w:t>
      </w:r>
    </w:p>
    <w:p w14:paraId="6701FA9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5.6.11 在空载工况自动运行时，施加一阶跃型转速指令信号，由调速系统控制的机组转速摆动相对值不超过额定转速的±0.25% 。机组启动开始至机组空载转速偏差小于同期带(+1%~-0.5%)的时间不大于从机组启动开始至机组转速达到80%额定转速时间的5倍。</w:t>
      </w:r>
    </w:p>
    <w:p w14:paraId="3326D64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5.6.12 机组甩负荷后的动态品质应达到：甩100%额定负荷后，在转速变化过程中，超过稳态转速3%额定转速值以上的波峰不超过两次；从机组甩负荷时起，到机组转速相对偏差小于±1%为止的调整时间与从甩负荷开始至转速升至最高转速所经历时间的比值应不大于15。</w:t>
      </w:r>
    </w:p>
    <w:p w14:paraId="754E2B8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5.6.13 导叶接力器的不动时间不大于0.2s。</w:t>
      </w:r>
    </w:p>
    <w:p w14:paraId="76DCA48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5.6.14 参数可调范围：</w:t>
      </w:r>
    </w:p>
    <w:p w14:paraId="2AF717B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1）永态转差系数：0～10%；</w:t>
      </w:r>
    </w:p>
    <w:p w14:paraId="0F751F5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2）暂态转差系数：0～100%；</w:t>
      </w:r>
    </w:p>
    <w:p w14:paraId="3B966F1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3）缓冲时间常数：1～20s；</w:t>
      </w:r>
    </w:p>
    <w:p w14:paraId="3F1A45B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4）比例增益k</w:t>
      </w:r>
      <w:r>
        <w:rPr>
          <w:rFonts w:hint="eastAsia" w:asciiTheme="minorEastAsia" w:hAnsiTheme="minorEastAsia" w:eastAsiaTheme="minorEastAsia" w:cstheme="minorEastAsia"/>
          <w:snapToGrid w:val="0"/>
          <w:color w:val="auto"/>
          <w:kern w:val="0"/>
          <w:szCs w:val="21"/>
          <w:vertAlign w:val="subscript"/>
        </w:rPr>
        <w:t>P</w:t>
      </w:r>
      <w:r>
        <w:rPr>
          <w:rFonts w:hint="eastAsia" w:asciiTheme="minorEastAsia" w:hAnsiTheme="minorEastAsia" w:eastAsiaTheme="minorEastAsia" w:cstheme="minorEastAsia"/>
          <w:snapToGrid w:val="0"/>
          <w:color w:val="auto"/>
          <w:kern w:val="0"/>
          <w:szCs w:val="21"/>
        </w:rPr>
        <w:t>：0.2～20；</w:t>
      </w:r>
    </w:p>
    <w:p w14:paraId="70E11EC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5）积分增益k</w:t>
      </w:r>
      <w:r>
        <w:rPr>
          <w:rFonts w:hint="eastAsia" w:asciiTheme="minorEastAsia" w:hAnsiTheme="minorEastAsia" w:eastAsiaTheme="minorEastAsia" w:cstheme="minorEastAsia"/>
          <w:snapToGrid w:val="0"/>
          <w:color w:val="auto"/>
          <w:kern w:val="0"/>
          <w:szCs w:val="21"/>
          <w:vertAlign w:val="subscript"/>
        </w:rPr>
        <w:t>I</w:t>
      </w:r>
      <w:r>
        <w:rPr>
          <w:rFonts w:hint="eastAsia" w:asciiTheme="minorEastAsia" w:hAnsiTheme="minorEastAsia" w:eastAsiaTheme="minorEastAsia" w:cstheme="minorEastAsia"/>
          <w:snapToGrid w:val="0"/>
          <w:color w:val="auto"/>
          <w:kern w:val="0"/>
          <w:szCs w:val="21"/>
        </w:rPr>
        <w:t>：0.05～10 s-1；</w:t>
      </w:r>
    </w:p>
    <w:p w14:paraId="5E08D21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6）微分增益k</w:t>
      </w:r>
      <w:r>
        <w:rPr>
          <w:rFonts w:hint="eastAsia" w:asciiTheme="minorEastAsia" w:hAnsiTheme="minorEastAsia" w:eastAsiaTheme="minorEastAsia" w:cstheme="minorEastAsia"/>
          <w:snapToGrid w:val="0"/>
          <w:color w:val="auto"/>
          <w:kern w:val="0"/>
          <w:szCs w:val="21"/>
          <w:vertAlign w:val="subscript"/>
        </w:rPr>
        <w:t>D</w:t>
      </w:r>
      <w:r>
        <w:rPr>
          <w:rFonts w:hint="eastAsia" w:asciiTheme="minorEastAsia" w:hAnsiTheme="minorEastAsia" w:eastAsiaTheme="minorEastAsia" w:cstheme="minorEastAsia"/>
          <w:snapToGrid w:val="0"/>
          <w:color w:val="auto"/>
          <w:kern w:val="0"/>
          <w:szCs w:val="21"/>
        </w:rPr>
        <w:t>：0～5 s；</w:t>
      </w:r>
    </w:p>
    <w:p w14:paraId="6171D89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7）人工频率失灵区：0～±1.0% nr；</w:t>
      </w:r>
    </w:p>
    <w:p w14:paraId="662395D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8）频率(转速)调整范围：45～55Hz；</w:t>
      </w:r>
    </w:p>
    <w:p w14:paraId="7B6DA4E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9）功率给定值调整范围：0～120% Nr；</w:t>
      </w:r>
    </w:p>
    <w:p w14:paraId="382AB48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10）导叶开度给定范围：-1%~120%。其中，负值为导叶开度的压紧行程。</w:t>
      </w:r>
    </w:p>
    <w:p w14:paraId="0F324F6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5.6.15 无论是速度控制方式还是功率控制方式，转速调整和功率给定值调整的变化速率是软件可调的，给定值从最大发电机功率减少到零功率（或相反）所需的时间应能在10s~80s之间调整。</w:t>
      </w:r>
    </w:p>
    <w:p w14:paraId="416AFC7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5.6.16 调速器的综合漂移量折算为转速相对值不得超过0.6%。</w:t>
      </w:r>
    </w:p>
    <w:p w14:paraId="139F721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5.6.17 速度监测装置在额定转速±10%范围内，静态特性曲线应近似为直线；在额定转速±2%范围内，其放大系数的实测值偏差不超过设计值的±5%。在设计范围内速度检测装置的精度应不低于0.05%。</w:t>
      </w:r>
    </w:p>
    <w:p w14:paraId="36BF1C5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5.6.18 调速系统的可靠性</w:t>
      </w:r>
    </w:p>
    <w:p w14:paraId="223B4EC3">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1）强迫停机率≤0.5%。</w:t>
      </w:r>
    </w:p>
    <w:p w14:paraId="492EF785">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2）无故障连续运行时间大于16000h</w:t>
      </w:r>
    </w:p>
    <w:p w14:paraId="4B1016FA">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3）大修间隔时间6年。</w:t>
      </w:r>
    </w:p>
    <w:p w14:paraId="3B3D7199">
      <w:pPr>
        <w:tabs>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4）退役前的使用年限40年。</w:t>
      </w:r>
    </w:p>
    <w:p w14:paraId="30FF5E4A">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5.7 运行要求</w:t>
      </w:r>
    </w:p>
    <w:p w14:paraId="7055F1A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5.7.1 调速系统应有远方和现地两种控制模式。当选择现地控制模式时，又有手动、自动、电手动方式三种控制模式可供选择。这些控制方式均可通过电气柜正面的操作旋钮进行切换。以上任何一种控制模式均可实现机组的开机、空载运行、并网运行、停机操作。</w:t>
      </w:r>
    </w:p>
    <w:p w14:paraId="0965950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5.7.2 调速系统应设有正常停机、事故停机和紧急停机三种停机方式。并在找到事故原因并加以消除以前，事故停机和紧急停机回路应一直保持闭锁状态，只有通过手动操作复归按钮或通过计算机复归命令才能解除闭锁。</w:t>
      </w:r>
    </w:p>
    <w:p w14:paraId="1F4F140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5.7.3 导叶接力器上设有全关位置的自动锁定装置。锁定装置可由电磁液压阀或液控阀组成。在调速器的控制柜上应设有锁定投入和退出的按钮和状态指示灯，并通过独立的电气接点将锁定的状态信号送往电站计算机监控系统。锁定装置处于退出状态是机组启动的前提条件。</w:t>
      </w:r>
    </w:p>
    <w:p w14:paraId="49BD53F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5.7.4 调速器电气柜现地至少应能进行下列操作（但不限于），并有相应的指示</w:t>
      </w:r>
    </w:p>
    <w:p w14:paraId="0217FE86">
      <w:pPr>
        <w:tabs>
          <w:tab w:val="left" w:pos="737"/>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 1）通过柜面上的开关和旋钮：</w:t>
      </w:r>
    </w:p>
    <w:p w14:paraId="47BA7E83">
      <w:pPr>
        <w:tabs>
          <w:tab w:val="left" w:pos="737"/>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（1）现地/远方方式切换；</w:t>
      </w:r>
    </w:p>
    <w:p w14:paraId="68613A9D">
      <w:pPr>
        <w:tabs>
          <w:tab w:val="left" w:pos="737"/>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（2）手动/自动/电手动控制切换；</w:t>
      </w:r>
    </w:p>
    <w:p w14:paraId="07AC5BBE">
      <w:pPr>
        <w:tabs>
          <w:tab w:val="left" w:pos="737"/>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（3）转速/有功/开度控制切换；</w:t>
      </w:r>
    </w:p>
    <w:p w14:paraId="189FDE5E">
      <w:pPr>
        <w:tabs>
          <w:tab w:val="left" w:pos="737"/>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（4）转速/有功调整增减；</w:t>
      </w:r>
    </w:p>
    <w:p w14:paraId="03E5F1A6">
      <w:pPr>
        <w:tabs>
          <w:tab w:val="left" w:pos="737"/>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（5）导叶开度限制增/减；</w:t>
      </w:r>
    </w:p>
    <w:p w14:paraId="7DF14B23">
      <w:pPr>
        <w:tabs>
          <w:tab w:val="left" w:pos="737"/>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（6）事故紧急停机；</w:t>
      </w:r>
    </w:p>
    <w:p w14:paraId="453805D6">
      <w:pPr>
        <w:tabs>
          <w:tab w:val="left" w:pos="737"/>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（7）导叶锁锭投/切操作。</w:t>
      </w:r>
    </w:p>
    <w:p w14:paraId="68CE7BE0">
      <w:pPr>
        <w:tabs>
          <w:tab w:val="left" w:pos="737"/>
          <w:tab w:val="left" w:pos="3025"/>
        </w:tabs>
        <w:autoSpaceDE w:val="0"/>
        <w:autoSpaceDN w:val="0"/>
        <w:ind w:firstLine="420" w:firstLineChars="20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2）通过柜面上的人机界面（MHI）</w:t>
      </w:r>
    </w:p>
    <w:p w14:paraId="6266904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（1）人工频率失灵区投、切；</w:t>
      </w:r>
    </w:p>
    <w:p w14:paraId="627C66F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（2）频率跟踪功能投、切；</w:t>
      </w:r>
    </w:p>
    <w:p w14:paraId="7208DAA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（3）各种参数设定；</w:t>
      </w:r>
    </w:p>
    <w:p w14:paraId="2EDEFF6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（4）其它</w:t>
      </w:r>
    </w:p>
    <w:p w14:paraId="3459943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5.7.5 调速器也应能接受远方控制指令进行下列操作（但不限于）</w:t>
      </w:r>
    </w:p>
    <w:p w14:paraId="3460D61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（1）正常开、停机顺序控制；</w:t>
      </w:r>
    </w:p>
    <w:p w14:paraId="01A634F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（2）事故停机、紧急停机顺序控制；</w:t>
      </w:r>
    </w:p>
    <w:p w14:paraId="45504F8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（3）转速给定增、减；</w:t>
      </w:r>
    </w:p>
    <w:p w14:paraId="43FBEA4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（4）功率给定增、减；</w:t>
      </w:r>
    </w:p>
    <w:p w14:paraId="25EC025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（5）导叶开度限制增、减；</w:t>
      </w:r>
    </w:p>
    <w:p w14:paraId="1E4AC8D9">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5.8 部件分项要求</w:t>
      </w:r>
    </w:p>
    <w:p w14:paraId="00E8D9F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每台调速器由机械液压、电气控制、油压装置及相应阀件、管路及电缆等组成。以下是对其中主要部件的要求。</w:t>
      </w:r>
    </w:p>
    <w:p w14:paraId="55B244C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5.8.1 供电单元</w:t>
      </w:r>
    </w:p>
    <w:p w14:paraId="3EDAA63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5.8.1.1 调速器微机系统应配备采用交、直流并列供电的带滤波器及抗干扰装置的冗余结构电源系统。冗余的电源系统交流或直流外供电源之一消失时、或2套电源中某1套电源退出时，均不影响调速系统正常工作。正常情况下，采用交流供电，直流供电备用。</w:t>
      </w:r>
    </w:p>
    <w:p w14:paraId="4319C08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5.8.1.2 微机控制系统、转速探测和速度监控系统及紧急停机操作系统等，应具有相互独立的AC/DC供电回路。</w:t>
      </w:r>
    </w:p>
    <w:p w14:paraId="1D80705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5.8.1.3 应装设电源监视继电器，盘面装设电源投入信号指示灯，并提供独立的电源投入（常开接点）、电源消失（常闭接点）监视信号分别用于现地显示及传送至电站计算机监控系统。</w:t>
      </w:r>
    </w:p>
    <w:p w14:paraId="49B75AC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5.8.2 可编程控制器</w:t>
      </w:r>
    </w:p>
    <w:p w14:paraId="44A4FD9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5.8.2.1 应保证在调速器内部故障时，不造成机组运行状态的改变和出力波动，在外部系统事故要求停机时，能保证机组安全停机。</w:t>
      </w:r>
    </w:p>
    <w:p w14:paraId="5A74DFF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5.8.2.1 可编程控制器应是高效和具有兼容性的数字控制系统。可编程控制器中应有高性能的CPU模块、通讯适配器和输入输出模块。CPU字长不低于32位，时钟频率不低于33MHz。可编程控制器应配备足够容量的内存贮器，以容纳各种系统软件和应用软件，并留足不少于100%的扩展容量。</w:t>
      </w:r>
    </w:p>
    <w:p w14:paraId="3FC8FA4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5.8.2.3 可编程控制器系统应配备插拔式输入输出模块(I／O模块)，并通过数据总线与可编程控制器相连。I／O模块与外部的I／O信号均应有光电隔离措施并应有发光二级管(LED)型指示灯以指示故障。各种型号的模拟输入输出及数字输入、输出通道数应根据本合同规定的性能要求配置并另留足25%的余量。</w:t>
      </w:r>
    </w:p>
    <w:p w14:paraId="1947829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5.8.2.4 调速器应提供两种接口方式实现与电站计算机监控系统的信息传递。第1种是数字通讯方式，主要用于向计算机监控系统提供调节系统各种信息的PID参数、内部故障及其它诊断信息等。第2种是I／O接口方式（主要接口方式），调节系统与监控系统相关的所有重要信息以及计算机监控系统向调速系统下达的控制调节命令均以I／O接口方式实现。</w:t>
      </w:r>
    </w:p>
    <w:p w14:paraId="2F4FDC7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5.8.2.5 当可编程控制器故障时，应提供2对独立的接点信号至监控系统，由监控系统发出事故停机指令。</w:t>
      </w:r>
    </w:p>
    <w:p w14:paraId="15AD6FE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5.8.3 测频系统</w:t>
      </w:r>
    </w:p>
    <w:p w14:paraId="1432B56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5.8.3.1 调速器应设有2路测频回路，其中1路为机频，1路为网频。</w:t>
      </w:r>
    </w:p>
    <w:p w14:paraId="1C68CBD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5.8.3.2 </w:t>
      </w:r>
      <w:r>
        <w:rPr>
          <w:rFonts w:hint="eastAsia" w:asciiTheme="minorEastAsia" w:hAnsiTheme="minorEastAsia" w:eastAsiaTheme="minorEastAsia" w:cstheme="minorEastAsia"/>
          <w:snapToGrid w:val="0"/>
          <w:color w:val="auto"/>
          <w:szCs w:val="21"/>
        </w:rPr>
        <w:t>调速器测速装置</w:t>
      </w:r>
      <w:r>
        <w:rPr>
          <w:rFonts w:hint="eastAsia" w:asciiTheme="minorEastAsia" w:hAnsiTheme="minorEastAsia" w:eastAsiaTheme="minorEastAsia" w:cstheme="minorEastAsia"/>
          <w:snapToGrid w:val="0"/>
          <w:color w:val="auto"/>
          <w:kern w:val="0"/>
          <w:szCs w:val="21"/>
        </w:rPr>
        <w:t>采用残压测速方式，信号取自发电机端的电压互感器。调速器在并网后，网频也可作调速器的测频后备。二种测速信号同时送入调速器测频模块，由软件或人工确定在不同运行工况下采用何种测速方式。</w:t>
      </w:r>
    </w:p>
    <w:p w14:paraId="4576A77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5.8.3.3 测频系统所提供的转速信号值与机组转速值之间应有良好的线性关系，转速测量精度应不低于0.05% 。</w:t>
      </w:r>
    </w:p>
    <w:p w14:paraId="2713E11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5.8.3.4 转速探测器与其支架及机组旋转轴应完全电气隔离。承包人应协调齿盘和转速探测器的连接并负责连接设计。</w:t>
      </w:r>
    </w:p>
    <w:p w14:paraId="3EABB40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5.8.3.5 转速信号应可现地数字显示。</w:t>
      </w:r>
    </w:p>
    <w:p w14:paraId="28939AB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5.8.4 导叶位置和功率反馈</w:t>
      </w:r>
    </w:p>
    <w:p w14:paraId="77B5BE5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5.8.4.1 导叶位置反馈采用电气反馈。位置传感器由水轮机承包人提供，输出4～20mA的模拟量信号和不少于4个开关量信号。在调速器电气柜上应以适当的方式显示导叶的位置。</w:t>
      </w:r>
    </w:p>
    <w:p w14:paraId="5F0AEB7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5.8.4.2 调速系统所需机组有功功率信号由计算机监控系统功率变送器提供。</w:t>
      </w:r>
    </w:p>
    <w:p w14:paraId="2D1017E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5.8.5 机械液压阀</w:t>
      </w:r>
    </w:p>
    <w:p w14:paraId="5B7978C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5.8.5.1 调速器机械液压操作系统由电液伺服阀、主配压阀、紧停电磁阀和液控单向节流阀及相应压力信号器等组成。各液压元件和油路应采用组合式集成结构，其动作应可靠。</w:t>
      </w:r>
    </w:p>
    <w:p w14:paraId="5CD5B2F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5.8.5.2 电液伺服阀应能正确可靠工作，并具有良好的抗油污能力和防止油粘滞的措施，能通过10µm的杂质。</w:t>
      </w:r>
    </w:p>
    <w:p w14:paraId="7B8E75E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5.8.5.3 主配压阀应采用比例阀，其动作应可靠。主配压阀主要零部件应采用耐磨、耐腐蚀性能好的材料，阀芯和阀壳均应采用锻件结构。</w:t>
      </w:r>
    </w:p>
    <w:p w14:paraId="60CD740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5.8.5.4 液压操作系统中还应设有紧停电磁阀，供紧急情况下快速关闭水轮机导叶使用。</w:t>
      </w:r>
    </w:p>
    <w:p w14:paraId="4ECA483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5.8.6 油压装置</w:t>
      </w:r>
    </w:p>
    <w:p w14:paraId="24724C0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5.8.6.1 压力油罐及附件</w:t>
      </w:r>
    </w:p>
    <w:p w14:paraId="675CA76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1）额定油压</w:t>
      </w:r>
    </w:p>
    <w:p w14:paraId="441449B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压力油罐的额定工作油压为16MPa，最大工作油压不超过额定工作油压的5%。压力油罐应为自蓄能型式，电站不设供气系统。</w:t>
      </w:r>
    </w:p>
    <w:p w14:paraId="450D781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 工作容积</w:t>
      </w:r>
    </w:p>
    <w:p w14:paraId="1ED66A3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压力油罐应有足够的压力油工作容积，在正常工作油压下限和油泵不打油的情况下，压力油罐的可用油至少应能在完成3个导叶接力器全行程后，使罐内的油压仍高于允许的最小操作油压。</w:t>
      </w:r>
    </w:p>
    <w:p w14:paraId="2AB354A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当压力油罐处于事故低油压时，油压和油量应能保证所有导叶从全开位置一直运行到全关位置一次。</w:t>
      </w:r>
    </w:p>
    <w:p w14:paraId="425832C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在最大工作油压时，压力油罐内的油量为压力油罐总容量的1/3~1/2，压力油罐容积计算时的油压变化应按绝热过程考虑。</w:t>
      </w:r>
    </w:p>
    <w:p w14:paraId="4458765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3）结构</w:t>
      </w:r>
    </w:p>
    <w:p w14:paraId="3DCEA1A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压力罐应是钢板焊接结构，其设计、制造、试验、探伤、验收应符合国家颁发的《压力容器安全技术监察规程》、GB150的相关规定。其设计压力应不小于1.1倍最大工作压力。</w:t>
      </w:r>
    </w:p>
    <w:p w14:paraId="2BE1A3E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4）附件</w:t>
      </w:r>
    </w:p>
    <w:p w14:paraId="1EC76F7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压力油罐上应装有压力信号器，压力变送器、压力表等仪表和自动化元件，还应设有排油阀等。</w:t>
      </w:r>
    </w:p>
    <w:p w14:paraId="701FF0D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压力油罐上应设有供起吊用的吊耳，内部涂刷耐油漆。</w:t>
      </w:r>
    </w:p>
    <w:p w14:paraId="39D3210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5.8.6.2 油泵电动机组及附件</w:t>
      </w:r>
    </w:p>
    <w:p w14:paraId="1F18C19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调速系统的油压装置设有不少于2台容量相同的油泵电动机组，每台油泵每分钟总容量应不小于1台水轮机导叶接力器有效容积。所有油泵为齿轮泵，在最大油压下能自吸，每台泵应直接与三相、低起动电流、50Hz、380V交流感应电动机相连，电动机应设计成全电压直接起动。但当单泵容量为22kV及以上时应设置软启动装置。</w:t>
      </w:r>
    </w:p>
    <w:p w14:paraId="31EAD49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每台油泵应装设具有卸荷阀、安全阀、止回阀功能的模块式阀组和电磁阀。油泵电动机的运行方式为非连续运行方式。当压力油罐压力低于正常工作压力下限，油泵向压力油罐输油；当压力油罐压力高于正常工作压力上限，油泵停止输油。每台油泵都应装设安全阀，当油压高于工作油压上限2%以上时，安全阀应开始排油；当油压高于工作油压上限10%以前，安全阀应全部开启，并使压力罐中油压不再升高。当油压低于工作油压下限0.1~0.15MPa时，备用油泵启动。另外应提供1套手动操作阀，以便使任何一台油泵检修或更换时与油压系统隔开而不影响系统运行。</w:t>
      </w:r>
    </w:p>
    <w:p w14:paraId="34B03F2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承包人应随油压装置提供1套用于油泵操作的控制装置，该装置包括可编程控制器、操作油泵电机起动和停止的起动器、压力开关或压力传感器。可编程控制器依据压力开关或压力传感器的输出信号去控制油泵运行，控制装置应设有油泵正在运行时安全阀开启信号。控制装置应设计成能在所有运行工况下启动电动机，且能在电动机脱离电源之前使油泵卸荷。备用泵起动时，控制装置应有状态显示信号。油泵的运行状态信息应送入可编程控制器，以便送至电站计算机监控系统。2台油泵能单独运行或联合运行，且互为备用。</w:t>
      </w:r>
    </w:p>
    <w:p w14:paraId="2D6E4E2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4）在每台油泵出口应配备可切换的双油过滤器，过滤精度为10μm；在每台油泵吸油侧应配备可更换的油过滤器。每个过滤器应设有堵塞信号装置用于报警指示并送入可编程控制器。各过滤器应易于拆卸清洗。</w:t>
      </w:r>
    </w:p>
    <w:p w14:paraId="0546802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5.8.6.3 回油箱及附件</w:t>
      </w:r>
    </w:p>
    <w:p w14:paraId="103F822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1）回油箱应有足够的容积，其容积不应小于压力油罐的全部油量和依靠重力从调速系统返回回油箱的全部油量之和的1.2倍，并使油泵能在一个合适的工作油位范围内运行。</w:t>
      </w:r>
    </w:p>
    <w:p w14:paraId="0EEB71B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2）回油箱应有合适的、便于回油箱检修的进人门，并装有1个精密网状隔板过滤器，将油泵的吸油和回油分开。网状隔板过滤器应易于拆卸清洗，而不需排掉回油箱中的油。</w:t>
      </w:r>
    </w:p>
    <w:p w14:paraId="59AB53B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3）回油箱应装设嵌入式磁翻转的油位指示器、油位开关、温度信号器、充油接口、呼吸器、排油接口及排油阀。</w:t>
      </w:r>
    </w:p>
    <w:p w14:paraId="33BDEE8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 回油箱应没有裂纹、明缝或盲孔，且箱内所有焊缝应连续。制成的回油箱应做热油渗漏试验。</w:t>
      </w:r>
    </w:p>
    <w:p w14:paraId="6F06E3E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5.8.7 漏油装置（如需）</w:t>
      </w:r>
    </w:p>
    <w:p w14:paraId="42A07F5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5.8.7.1 漏油箱用以收集调速系统自动化元件的泄油和接力器检修时的排油，并将其泵回到电站污油桶（能够自动和手动操作）。由承包人根据调速系统元件对于油质的要求确定是否需设置漏油装置。</w:t>
      </w:r>
    </w:p>
    <w:p w14:paraId="1435F13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5.8.7.2 如需，则承包人应随油压装置提供一套容积不小于0.3m</w:t>
      </w:r>
      <w:r>
        <w:rPr>
          <w:rFonts w:hint="eastAsia" w:asciiTheme="minorEastAsia" w:hAnsiTheme="minorEastAsia" w:eastAsiaTheme="minorEastAsia" w:cstheme="minorEastAsia"/>
          <w:snapToGrid w:val="0"/>
          <w:color w:val="auto"/>
          <w:kern w:val="0"/>
          <w:szCs w:val="21"/>
          <w:vertAlign w:val="superscript"/>
        </w:rPr>
        <w:t>3</w:t>
      </w:r>
      <w:r>
        <w:rPr>
          <w:rFonts w:hint="eastAsia" w:asciiTheme="minorEastAsia" w:hAnsiTheme="minorEastAsia" w:eastAsiaTheme="minorEastAsia" w:cstheme="minorEastAsia"/>
          <w:snapToGrid w:val="0"/>
          <w:color w:val="auto"/>
          <w:kern w:val="0"/>
          <w:szCs w:val="21"/>
        </w:rPr>
        <w:t>的漏油装置（全站共用），包括漏油箱本体、油泵及出口阀组、电机、阀门、管路、配件及控制箱等。</w:t>
      </w:r>
    </w:p>
    <w:p w14:paraId="2BEEB3C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5.8.7.3 漏油箱为钢板焊接结构，内部应涂耐油漆。</w:t>
      </w:r>
    </w:p>
    <w:p w14:paraId="7EB76AC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5.8.7.4 漏油箱上还布置有玻璃油位计和油位信号器，油泵应能按油位变化自动启动和停止及发出高油位报警信号。</w:t>
      </w:r>
    </w:p>
    <w:p w14:paraId="40EB10A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5.8.8 调速系统管路</w:t>
      </w:r>
    </w:p>
    <w:p w14:paraId="2A61621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应提供调速器液压部分、压力油罐、回油箱、接力器及成套元件之间的全部管道和附件，包括1套完整的调速系统所必须的阀门、管接头、法兰、管路吊架及支撑架等。全部管道及管件应采用0Cr18Ni9不锈钢材料制造。这些管路还包括与接力器连接的高压软管及接头。</w:t>
      </w:r>
    </w:p>
    <w:p w14:paraId="19FBA5C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5.8.9 控制装置和仪表</w:t>
      </w:r>
    </w:p>
    <w:p w14:paraId="29184A7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5.8.9.1 总则</w:t>
      </w:r>
    </w:p>
    <w:p w14:paraId="2BDBDBF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应随调速器提供配套的控制装置和仪表，装在调速器的电气柜面板上和里侧。安装在柜面板上的控制装置、仪表和故障指示灯要便于观测且对称排列。所有的仪表、控制开关的尺寸和外观应协调相似。所有柜内设备应配线到附近的端子排上。</w:t>
      </w:r>
    </w:p>
    <w:p w14:paraId="7266D648">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5.8.9.2 仪表和装饰</w:t>
      </w:r>
    </w:p>
    <w:p w14:paraId="79D3684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仪表应为平装型，白盘、黑字和黑色指针，精度不低于1.5级。两指针表盘的第二根指针和数字应用红色或其它经许可的颜色。</w:t>
      </w:r>
    </w:p>
    <w:p w14:paraId="0ADB5BF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所有柜体的尺寸和颜色将在设计联络会上确定。</w:t>
      </w:r>
    </w:p>
    <w:p w14:paraId="59897EA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5.8.9.3 调速器电气柜面板上的控制装置与仪表</w:t>
      </w:r>
    </w:p>
    <w:p w14:paraId="52241EB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调速器电气柜面板上应包括但不限于以下控制装置和指示仪表：</w:t>
      </w:r>
    </w:p>
    <w:p w14:paraId="5ADCA7D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1）测量指示仪表：包括导叶开度／开度限制指示表、系统频率表、机组转速表、机组功率表、调速器油压表等；</w:t>
      </w:r>
    </w:p>
    <w:p w14:paraId="23ECEBB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2）给定值显示仪表：频率给定指示表、功率给定指示表、开度／手动操作给定指示表等；</w:t>
      </w:r>
    </w:p>
    <w:p w14:paraId="640BC1E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3）故障及状态指示灯：电气柜面板上应有故障指示灯及标识牌。并有开机、停机、并网、接力器锁定投入／切除等红绿状态指示灯；</w:t>
      </w:r>
    </w:p>
    <w:p w14:paraId="5AFB05E2">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4）操作选择旋钮：现地／远方控制方式选择、手动／自动／电手动运行方式选择等； </w:t>
      </w:r>
    </w:p>
    <w:p w14:paraId="6765883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5）给定操作旋钮：开度限制增／减按纽、速度调整增／减按纽、功率增／减按纽、导叶开度增／减等；</w:t>
      </w:r>
    </w:p>
    <w:p w14:paraId="474B2AF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6）操作按钮：紧急停机按钮、接力器锁定投入／切除按钮等；</w:t>
      </w:r>
    </w:p>
    <w:p w14:paraId="042E314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 彩色液晶显示器；</w:t>
      </w:r>
    </w:p>
    <w:p w14:paraId="009F674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8）其他卖方认为需要装设的设备与仪表。</w:t>
      </w:r>
    </w:p>
    <w:p w14:paraId="348D92B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5.8.9.4 油压装置控制部分的装置及指示</w:t>
      </w:r>
    </w:p>
    <w:p w14:paraId="6FC69FE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油压装置控制采用独立的可编程控制器。可编程控制器应选用高可靠性、高性能产品，配备CPU模块、通讯模块和插拔式输入输出模块（I/O模块）等。I/O模块应根据本技术条款的规定的数据交换容量配置并留25%的余量。</w:t>
      </w:r>
    </w:p>
    <w:p w14:paraId="230FBC7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压力油罐上配有压力信号器、压力传感器，这些压力信号、信息和液位信号、信息应接至油压装置监控系统的可编程控制器，用于油压装置油泵的正常控制。同时，油压装置监控系统还应提供2个压力开关信号，用于压力油罐处于低油压和高油压时闭合报警回路。另外，应向电站计算机监控系统提供2个独立的压力开关信号，用于压力油罐油压极低而机组在运行时，触发紧急停机回路进行紧急停机。</w:t>
      </w:r>
    </w:p>
    <w:p w14:paraId="15ABFD5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3）油压装置控制系统工作电源应采用交直流复合供电方式。</w:t>
      </w:r>
    </w:p>
    <w:p w14:paraId="3E62FBC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4）油泵控制系统每台油泵1套，包括保护装置、磁力启动器和其它控制回路。每台油泵的保护动作信号及运行状态信号，除提供现地显示接点外，应分别提供1对接点至电站计算机监控系统。</w:t>
      </w:r>
    </w:p>
    <w:p w14:paraId="493D034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5）油压装置控制部分的面板上应包括但不限于以下控制开关和指示仪表：</w:t>
      </w:r>
    </w:p>
    <w:p w14:paraId="6B4B502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 控制选择开关：主工作泵运行方式选择开关，具有“自动选择/1#泵/2#泵”三个位置；油泵运行方式选择开关，具有“手动/自动”两个位置；</w:t>
      </w:r>
    </w:p>
    <w:p w14:paraId="2B3B875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（2）按钮：油泵启、停按钮等；</w:t>
      </w:r>
    </w:p>
    <w:p w14:paraId="5BC83EA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（3）测量指示仪表：油泵电动机的交流电压表、油泵电动机的相电流表、气压表等；</w:t>
      </w:r>
    </w:p>
    <w:p w14:paraId="41A185B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（4）有关故障或状态指示灯；</w:t>
      </w:r>
    </w:p>
    <w:p w14:paraId="5C7F6D1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 其他。</w:t>
      </w:r>
    </w:p>
    <w:p w14:paraId="05AB3FC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5.8.10 调速系统与电站计算机监控系统的接口</w:t>
      </w:r>
    </w:p>
    <w:p w14:paraId="04541AB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5.8.10.1 调速系统以数字通信及I／O口两种接口方式与电站计算机系统进行接口。现地及远方控制方式，调速系统均应向电站计算机监控系统传送本技术条款所规定的调速系统有关的各种运行信息。</w:t>
      </w:r>
    </w:p>
    <w:p w14:paraId="0C10A3E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5.8.10.2 油压装置PLC通过数字通信和I／O方式实现与电站计算监控系统接口。</w:t>
      </w:r>
    </w:p>
    <w:p w14:paraId="1EA0888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5.8.10.3 接口要求由承包人与计算机监控系统承包商协商并在设计联络会上经发包人认可，接口要求包括接口通讯规约的型式、接口内容及技术要求等。接口应保证电站计算机监控系统对机组进行有效的监控。</w:t>
      </w:r>
    </w:p>
    <w:p w14:paraId="233FBADD">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5.8.10.4 调速系统应同时以通讯及I／O接口两种方式向电站计算机监控系统提供下列信息：</w:t>
      </w:r>
    </w:p>
    <w:p w14:paraId="20F1134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1）通过通讯接口向电站计算机监控系统提供的信息：PID参数、内部故障及其它诊断信息、状态信息及模拟量信号等。</w:t>
      </w:r>
    </w:p>
    <w:p w14:paraId="3433C10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2）从I／O接口（包括数字量和模拟量）向电站计算机监控系统提供的信息：内部故障、状态信息及与监控相关的所有重要信息。</w:t>
      </w:r>
    </w:p>
    <w:p w14:paraId="5553DAE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3）电站计算机监控系统以数字通信和I／O接口方式向调速系统输送调整命令或控制指令及水头参数和机组输出功率。</w:t>
      </w:r>
    </w:p>
    <w:p w14:paraId="3A7CCF6E">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5.9 备品备件和专用工器具</w:t>
      </w:r>
    </w:p>
    <w:p w14:paraId="5C8EE1F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5.9.1 备品备件</w:t>
      </w:r>
    </w:p>
    <w:p w14:paraId="6799819E">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承包人应提供如表5.9-1所列的调速系统备品备件，价格应包括在投标总价中。备品备件应与相同用途部件具有相同的规格、材料和工艺，并具有互换性。</w:t>
      </w:r>
    </w:p>
    <w:p w14:paraId="3030AB2F">
      <w:pPr>
        <w:tabs>
          <w:tab w:val="left" w:pos="737"/>
          <w:tab w:val="left" w:pos="3025"/>
        </w:tabs>
        <w:autoSpaceDE w:val="0"/>
        <w:autoSpaceDN w:val="0"/>
        <w:jc w:val="center"/>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snapToGrid w:val="0"/>
          <w:color w:val="auto"/>
          <w:kern w:val="0"/>
          <w:szCs w:val="21"/>
        </w:rPr>
        <w:t>表5.9-1  调速系统备品备件表</w:t>
      </w:r>
    </w:p>
    <w:tbl>
      <w:tblPr>
        <w:tblStyle w:val="6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67"/>
        <w:gridCol w:w="5781"/>
        <w:gridCol w:w="947"/>
        <w:gridCol w:w="1067"/>
      </w:tblGrid>
      <w:tr w14:paraId="4B757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03D8C501">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序 号</w:t>
            </w:r>
          </w:p>
        </w:tc>
        <w:tc>
          <w:tcPr>
            <w:tcW w:w="3457" w:type="pct"/>
            <w:vAlign w:val="center"/>
          </w:tcPr>
          <w:p w14:paraId="56E2BBF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名       称</w:t>
            </w:r>
          </w:p>
        </w:tc>
        <w:tc>
          <w:tcPr>
            <w:tcW w:w="566" w:type="pct"/>
            <w:vAlign w:val="center"/>
          </w:tcPr>
          <w:p w14:paraId="5FA8F5E9">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单位</w:t>
            </w:r>
          </w:p>
        </w:tc>
        <w:tc>
          <w:tcPr>
            <w:tcW w:w="638" w:type="pct"/>
          </w:tcPr>
          <w:p w14:paraId="3FAC45D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数量</w:t>
            </w:r>
          </w:p>
        </w:tc>
      </w:tr>
      <w:tr w14:paraId="4DF57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057E3A3F">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1</w:t>
            </w:r>
          </w:p>
        </w:tc>
        <w:tc>
          <w:tcPr>
            <w:tcW w:w="3457" w:type="pct"/>
            <w:vAlign w:val="center"/>
          </w:tcPr>
          <w:p w14:paraId="282631B5">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电液伺服阀</w:t>
            </w:r>
          </w:p>
        </w:tc>
        <w:tc>
          <w:tcPr>
            <w:tcW w:w="566" w:type="pct"/>
            <w:vAlign w:val="center"/>
          </w:tcPr>
          <w:p w14:paraId="6B678776">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22BC534A">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43F80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56674305">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2</w:t>
            </w:r>
          </w:p>
        </w:tc>
        <w:tc>
          <w:tcPr>
            <w:tcW w:w="3457" w:type="pct"/>
            <w:vAlign w:val="center"/>
          </w:tcPr>
          <w:p w14:paraId="4DB6B93D">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各种尺寸的所有密封圈、垫圈和垫衬</w:t>
            </w:r>
          </w:p>
        </w:tc>
        <w:tc>
          <w:tcPr>
            <w:tcW w:w="566" w:type="pct"/>
            <w:vAlign w:val="center"/>
          </w:tcPr>
          <w:p w14:paraId="4068BB0F">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2D4E240E">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w:t>
            </w:r>
          </w:p>
        </w:tc>
      </w:tr>
      <w:tr w14:paraId="7C7F9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50675CE0">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3</w:t>
            </w:r>
          </w:p>
        </w:tc>
        <w:tc>
          <w:tcPr>
            <w:tcW w:w="3457" w:type="pct"/>
            <w:vAlign w:val="center"/>
          </w:tcPr>
          <w:p w14:paraId="1346B234">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全部灯泡、熔断丝和其他类型元件</w:t>
            </w:r>
          </w:p>
        </w:tc>
        <w:tc>
          <w:tcPr>
            <w:tcW w:w="566" w:type="pct"/>
            <w:vAlign w:val="center"/>
          </w:tcPr>
          <w:p w14:paraId="5D76BB38">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3A52D0A5">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2 </w:t>
            </w:r>
          </w:p>
        </w:tc>
      </w:tr>
      <w:tr w14:paraId="3305D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17BC2E23">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4</w:t>
            </w:r>
          </w:p>
        </w:tc>
        <w:tc>
          <w:tcPr>
            <w:tcW w:w="3457" w:type="pct"/>
            <w:vAlign w:val="center"/>
          </w:tcPr>
          <w:p w14:paraId="5D70877F">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调速系统使用的各种传感器</w:t>
            </w:r>
          </w:p>
        </w:tc>
        <w:tc>
          <w:tcPr>
            <w:tcW w:w="566" w:type="pct"/>
            <w:vAlign w:val="center"/>
          </w:tcPr>
          <w:p w14:paraId="60D0AE13">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08F2CB61">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51EC0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3D811678">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w:t>
            </w:r>
          </w:p>
        </w:tc>
        <w:tc>
          <w:tcPr>
            <w:tcW w:w="3457" w:type="pct"/>
            <w:vAlign w:val="center"/>
          </w:tcPr>
          <w:p w14:paraId="2AE11DF6">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油泵及电动机、卸荷阀</w:t>
            </w:r>
          </w:p>
        </w:tc>
        <w:tc>
          <w:tcPr>
            <w:tcW w:w="566" w:type="pct"/>
            <w:vAlign w:val="center"/>
          </w:tcPr>
          <w:p w14:paraId="1F9CE894">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套</w:t>
            </w:r>
          </w:p>
        </w:tc>
        <w:tc>
          <w:tcPr>
            <w:tcW w:w="638" w:type="pct"/>
            <w:vAlign w:val="center"/>
          </w:tcPr>
          <w:p w14:paraId="39C3CD45">
            <w:pPr>
              <w:pStyle w:val="987"/>
              <w:adjustRightInd w:val="0"/>
              <w:spacing w:line="40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r>
      <w:tr w14:paraId="066C2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1C7FE6EB">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w:t>
            </w:r>
          </w:p>
        </w:tc>
        <w:tc>
          <w:tcPr>
            <w:tcW w:w="3457" w:type="pct"/>
            <w:vAlign w:val="center"/>
          </w:tcPr>
          <w:p w14:paraId="37A60223">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所用压力开关和液位开关</w:t>
            </w:r>
          </w:p>
        </w:tc>
        <w:tc>
          <w:tcPr>
            <w:tcW w:w="566" w:type="pct"/>
            <w:vAlign w:val="center"/>
          </w:tcPr>
          <w:p w14:paraId="65866C3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6CBA74A6">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48990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7A997F6A">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w:t>
            </w:r>
          </w:p>
        </w:tc>
        <w:tc>
          <w:tcPr>
            <w:tcW w:w="3457" w:type="pct"/>
            <w:vAlign w:val="center"/>
          </w:tcPr>
          <w:p w14:paraId="029472DE">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调速器所用各种尺寸和型号的油过滤部件用滤芯</w:t>
            </w:r>
          </w:p>
        </w:tc>
        <w:tc>
          <w:tcPr>
            <w:tcW w:w="566" w:type="pct"/>
            <w:vAlign w:val="center"/>
          </w:tcPr>
          <w:p w14:paraId="0AADC1B6">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19CE51ED">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403DD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0445A829">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w:t>
            </w:r>
          </w:p>
        </w:tc>
        <w:tc>
          <w:tcPr>
            <w:tcW w:w="3457" w:type="pct"/>
            <w:vAlign w:val="center"/>
          </w:tcPr>
          <w:p w14:paraId="40336241">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模块化的液压连接件</w:t>
            </w:r>
          </w:p>
        </w:tc>
        <w:tc>
          <w:tcPr>
            <w:tcW w:w="566" w:type="pct"/>
            <w:vAlign w:val="center"/>
          </w:tcPr>
          <w:p w14:paraId="557B5B38">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1C2A2F1D">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43B6E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4B970C37">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9</w:t>
            </w:r>
          </w:p>
        </w:tc>
        <w:tc>
          <w:tcPr>
            <w:tcW w:w="3457" w:type="pct"/>
            <w:vAlign w:val="center"/>
          </w:tcPr>
          <w:p w14:paraId="323F3DF5">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各种型号AC/DC，DC/DC电源变换单元</w:t>
            </w:r>
          </w:p>
        </w:tc>
        <w:tc>
          <w:tcPr>
            <w:tcW w:w="566" w:type="pct"/>
            <w:vAlign w:val="center"/>
          </w:tcPr>
          <w:p w14:paraId="6272C04B">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套</w:t>
            </w:r>
          </w:p>
        </w:tc>
        <w:tc>
          <w:tcPr>
            <w:tcW w:w="638" w:type="pct"/>
            <w:vAlign w:val="center"/>
          </w:tcPr>
          <w:p w14:paraId="10E8C89C">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07D54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4CB83F31">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w:t>
            </w:r>
          </w:p>
        </w:tc>
        <w:tc>
          <w:tcPr>
            <w:tcW w:w="3457" w:type="pct"/>
            <w:vAlign w:val="center"/>
          </w:tcPr>
          <w:p w14:paraId="075E3E2C">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各种继电器、按钮、指示灯等</w:t>
            </w:r>
          </w:p>
        </w:tc>
        <w:tc>
          <w:tcPr>
            <w:tcW w:w="566" w:type="pct"/>
            <w:vAlign w:val="center"/>
          </w:tcPr>
          <w:p w14:paraId="6D8D80CD">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50164831">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35C2C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7E531700">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w:t>
            </w:r>
          </w:p>
          <w:p w14:paraId="1EFBEC86">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p>
        </w:tc>
        <w:tc>
          <w:tcPr>
            <w:tcW w:w="3457" w:type="pct"/>
            <w:vAlign w:val="center"/>
          </w:tcPr>
          <w:p w14:paraId="3D18C34C">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各种型号的转换开关、电源开关</w:t>
            </w:r>
          </w:p>
        </w:tc>
        <w:tc>
          <w:tcPr>
            <w:tcW w:w="566" w:type="pct"/>
            <w:vAlign w:val="center"/>
          </w:tcPr>
          <w:p w14:paraId="7F904D0E">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1BA127D2">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0E366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46897842">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w:t>
            </w:r>
          </w:p>
        </w:tc>
        <w:tc>
          <w:tcPr>
            <w:tcW w:w="3457" w:type="pct"/>
            <w:vAlign w:val="center"/>
          </w:tcPr>
          <w:p w14:paraId="3C0CE4DF">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各种型号的显示表计</w:t>
            </w:r>
          </w:p>
        </w:tc>
        <w:tc>
          <w:tcPr>
            <w:tcW w:w="566" w:type="pct"/>
            <w:vAlign w:val="center"/>
          </w:tcPr>
          <w:p w14:paraId="6240AFDD">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1400A3B0">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r w14:paraId="6CFE7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2119664B">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13</w:t>
            </w:r>
          </w:p>
        </w:tc>
        <w:tc>
          <w:tcPr>
            <w:tcW w:w="3457" w:type="pct"/>
            <w:vAlign w:val="center"/>
          </w:tcPr>
          <w:p w14:paraId="4E53F6E5">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各种接触器</w:t>
            </w:r>
          </w:p>
        </w:tc>
        <w:tc>
          <w:tcPr>
            <w:tcW w:w="566" w:type="pct"/>
            <w:vAlign w:val="center"/>
          </w:tcPr>
          <w:p w14:paraId="0D8756A9">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台套</w:t>
            </w:r>
          </w:p>
        </w:tc>
        <w:tc>
          <w:tcPr>
            <w:tcW w:w="638" w:type="pct"/>
            <w:vAlign w:val="center"/>
          </w:tcPr>
          <w:p w14:paraId="5E906BA9">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w:t>
            </w:r>
          </w:p>
        </w:tc>
      </w:tr>
    </w:tbl>
    <w:p w14:paraId="304C966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5.9.2 专用工器具</w:t>
      </w:r>
    </w:p>
    <w:p w14:paraId="3A751CC4">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承包人应随第一台交货的调速器供给安装与检修用的专用工器具。全部工器具应打上标记以便识别并专项使用。承包人应提供的专用工器具如表5.9-2所列。</w:t>
      </w:r>
    </w:p>
    <w:p w14:paraId="2DE81FD1">
      <w:pPr>
        <w:tabs>
          <w:tab w:val="left" w:pos="737"/>
          <w:tab w:val="left" w:pos="3025"/>
        </w:tabs>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表5.9-2  调速器专用工器具表</w:t>
      </w:r>
    </w:p>
    <w:tbl>
      <w:tblPr>
        <w:tblStyle w:val="6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67"/>
        <w:gridCol w:w="5781"/>
        <w:gridCol w:w="1082"/>
        <w:gridCol w:w="932"/>
      </w:tblGrid>
      <w:tr w14:paraId="3341F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2E256D5C">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序 号</w:t>
            </w:r>
          </w:p>
        </w:tc>
        <w:tc>
          <w:tcPr>
            <w:tcW w:w="3457" w:type="pct"/>
            <w:vAlign w:val="center"/>
          </w:tcPr>
          <w:p w14:paraId="23BCF4E5">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名       称</w:t>
            </w:r>
          </w:p>
        </w:tc>
        <w:tc>
          <w:tcPr>
            <w:tcW w:w="647" w:type="pct"/>
            <w:vAlign w:val="center"/>
          </w:tcPr>
          <w:p w14:paraId="69715C47">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单位</w:t>
            </w:r>
          </w:p>
        </w:tc>
        <w:tc>
          <w:tcPr>
            <w:tcW w:w="557" w:type="pct"/>
          </w:tcPr>
          <w:p w14:paraId="29D711FB">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数量</w:t>
            </w:r>
          </w:p>
        </w:tc>
      </w:tr>
      <w:tr w14:paraId="7B9FD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74394311">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1</w:t>
            </w:r>
          </w:p>
        </w:tc>
        <w:tc>
          <w:tcPr>
            <w:tcW w:w="3457" w:type="pct"/>
            <w:vAlign w:val="center"/>
          </w:tcPr>
          <w:p w14:paraId="1DB8099F">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调试终端(笔记本电脑 14” )</w:t>
            </w:r>
          </w:p>
        </w:tc>
        <w:tc>
          <w:tcPr>
            <w:tcW w:w="647" w:type="pct"/>
          </w:tcPr>
          <w:p w14:paraId="46837859">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套</w:t>
            </w:r>
          </w:p>
        </w:tc>
        <w:tc>
          <w:tcPr>
            <w:tcW w:w="557" w:type="pct"/>
          </w:tcPr>
          <w:p w14:paraId="27164793">
            <w:pPr>
              <w:pStyle w:val="987"/>
              <w:adjustRightInd w:val="0"/>
              <w:spacing w:line="40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r>
      <w:tr w14:paraId="53011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34E8F1B7">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2</w:t>
            </w:r>
          </w:p>
        </w:tc>
        <w:tc>
          <w:tcPr>
            <w:tcW w:w="3457" w:type="pct"/>
            <w:vAlign w:val="center"/>
          </w:tcPr>
          <w:p w14:paraId="7BC78AA2">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 xml:space="preserve">系统调试软件 </w:t>
            </w:r>
          </w:p>
        </w:tc>
        <w:tc>
          <w:tcPr>
            <w:tcW w:w="647" w:type="pct"/>
          </w:tcPr>
          <w:p w14:paraId="00D8C285">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套</w:t>
            </w:r>
          </w:p>
        </w:tc>
        <w:tc>
          <w:tcPr>
            <w:tcW w:w="557" w:type="pct"/>
          </w:tcPr>
          <w:p w14:paraId="18A4026D">
            <w:pPr>
              <w:pStyle w:val="987"/>
              <w:adjustRightInd w:val="0"/>
              <w:spacing w:line="40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r>
      <w:tr w14:paraId="59AAB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650FB51A">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3</w:t>
            </w:r>
          </w:p>
        </w:tc>
        <w:tc>
          <w:tcPr>
            <w:tcW w:w="3457" w:type="pct"/>
            <w:vAlign w:val="center"/>
          </w:tcPr>
          <w:p w14:paraId="30D400FA">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各种特殊扳手</w:t>
            </w:r>
          </w:p>
        </w:tc>
        <w:tc>
          <w:tcPr>
            <w:tcW w:w="647" w:type="pct"/>
          </w:tcPr>
          <w:p w14:paraId="587C6789">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套</w:t>
            </w:r>
          </w:p>
        </w:tc>
        <w:tc>
          <w:tcPr>
            <w:tcW w:w="557" w:type="pct"/>
          </w:tcPr>
          <w:p w14:paraId="2809FA7F">
            <w:pPr>
              <w:pStyle w:val="987"/>
              <w:adjustRightInd w:val="0"/>
              <w:spacing w:line="40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r>
      <w:tr w14:paraId="6BCFC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5" w:hRule="exact"/>
          <w:jc w:val="center"/>
        </w:trPr>
        <w:tc>
          <w:tcPr>
            <w:tcW w:w="339" w:type="pct"/>
            <w:vAlign w:val="center"/>
          </w:tcPr>
          <w:p w14:paraId="5B6C5FFF">
            <w:pPr>
              <w:pStyle w:val="987"/>
              <w:adjustRightInd w:val="0"/>
              <w:spacing w:line="32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4</w:t>
            </w:r>
          </w:p>
        </w:tc>
        <w:tc>
          <w:tcPr>
            <w:tcW w:w="3457" w:type="pct"/>
            <w:vAlign w:val="center"/>
          </w:tcPr>
          <w:p w14:paraId="35543E27">
            <w:pPr>
              <w:pStyle w:val="987"/>
              <w:adjustRightInd w:val="0"/>
              <w:spacing w:line="32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各种小器具、螺栓、填料、垫片等及上述未提到的所必须的特殊工具</w:t>
            </w:r>
          </w:p>
        </w:tc>
        <w:tc>
          <w:tcPr>
            <w:tcW w:w="647" w:type="pct"/>
            <w:vAlign w:val="center"/>
          </w:tcPr>
          <w:p w14:paraId="5E7501A5">
            <w:pPr>
              <w:pStyle w:val="987"/>
              <w:adjustRightInd w:val="0"/>
              <w:spacing w:line="32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套</w:t>
            </w:r>
          </w:p>
        </w:tc>
        <w:tc>
          <w:tcPr>
            <w:tcW w:w="557" w:type="pct"/>
            <w:vAlign w:val="center"/>
          </w:tcPr>
          <w:p w14:paraId="3C4E972E">
            <w:pPr>
              <w:pStyle w:val="987"/>
              <w:adjustRightInd w:val="0"/>
              <w:spacing w:line="32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r>
      <w:tr w14:paraId="15B85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exact"/>
          <w:jc w:val="center"/>
        </w:trPr>
        <w:tc>
          <w:tcPr>
            <w:tcW w:w="339" w:type="pct"/>
            <w:vAlign w:val="center"/>
          </w:tcPr>
          <w:p w14:paraId="6E8DBE9A">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w:t>
            </w:r>
          </w:p>
        </w:tc>
        <w:tc>
          <w:tcPr>
            <w:tcW w:w="3457" w:type="pct"/>
            <w:vAlign w:val="center"/>
          </w:tcPr>
          <w:p w14:paraId="50D1FF13">
            <w:pPr>
              <w:pStyle w:val="987"/>
              <w:adjustRightInd w:val="0"/>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充氮工具</w:t>
            </w:r>
          </w:p>
        </w:tc>
        <w:tc>
          <w:tcPr>
            <w:tcW w:w="647" w:type="pct"/>
          </w:tcPr>
          <w:p w14:paraId="6546CA07">
            <w:pPr>
              <w:pStyle w:val="987"/>
              <w:adjustRightInd w:val="0"/>
              <w:spacing w:line="400" w:lineRule="exact"/>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kern w:val="0"/>
                <w:szCs w:val="21"/>
              </w:rPr>
              <w:t>套</w:t>
            </w:r>
          </w:p>
        </w:tc>
        <w:tc>
          <w:tcPr>
            <w:tcW w:w="557" w:type="pct"/>
          </w:tcPr>
          <w:p w14:paraId="22128C68">
            <w:pPr>
              <w:pStyle w:val="987"/>
              <w:adjustRightInd w:val="0"/>
              <w:spacing w:line="40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r>
    </w:tbl>
    <w:p w14:paraId="127DE3B7">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5.10 工厂试验</w:t>
      </w:r>
    </w:p>
    <w:p w14:paraId="52CFE05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调速系统设备出厂前应组装并进行试验。压力油罐和调速系统管路应在车间按1.5倍的设计压力进行耐压试验。回油箱在涂漆之前，应用热油或其它批准的方法进行渗漏试验。调速系统应按GB/T9652.2《水轮机调速系统试验》中的规定进行机械、电气部分的试验。试验前15天，承包人应将试验内容、检验大纲和时间安排提交发包人认可。所有试验记录，于设备出厂前一并移交给发包人。</w:t>
      </w:r>
    </w:p>
    <w:p w14:paraId="35291F48">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5.11 现场试验</w:t>
      </w:r>
    </w:p>
    <w:p w14:paraId="6E3FC8A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5.11.1 概述</w:t>
      </w:r>
    </w:p>
    <w:p w14:paraId="23FA509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5.11.1.1 每台调速系统设备安装完毕后，应进行各项现场试验，试运行和验收试验，以验证设备性能各质量是否符合合同文件的要求。</w:t>
      </w:r>
    </w:p>
    <w:p w14:paraId="27CD777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5.11.1.2 现场试验由发包人主持，并组织现场领导小组负责对试验结果进行鉴定，承包人应对试验程序和方法负责，并指导试验。承包人应提供现场试验所需的特殊设备和仪表。</w:t>
      </w:r>
    </w:p>
    <w:p w14:paraId="1639070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5.11.1.3 试验大纲应由承包人——配合安装单位——根据工程进度，在开始试验前一个月提出，经发包人（或工程师）核准后执行。试验大纲应包括试验项目、试验准备、试验方法、试验程序、检验标准和试验时间及进度等。</w:t>
      </w:r>
    </w:p>
    <w:p w14:paraId="4AD4E74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5.11.2 安装试验</w:t>
      </w:r>
    </w:p>
    <w:p w14:paraId="26A832D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调速系统安装完毕后，应进行现场试验，以检验其是否满足本合同规定的要求。</w:t>
      </w:r>
    </w:p>
    <w:p w14:paraId="49F91A6A">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5.11.3 管道压力试验</w:t>
      </w:r>
    </w:p>
    <w:p w14:paraId="44637FFC">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调速器系统液压油操作管路安装完毕后，应做耐压试验，试验压力不小于最大工作压力的1.5倍。静压试验时间不小于30分钟，以便能观察是否存在任何的渗漏或缺陷。</w:t>
      </w:r>
    </w:p>
    <w:p w14:paraId="5E6D22D3">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5.11.4 油泵试验及压力开关动作试验</w:t>
      </w:r>
    </w:p>
    <w:p w14:paraId="47C6C19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油泵安装后应进行油泵试验。在空载下运行1h，然后分别在25%、50%、75%额定油压下运行10min，再在额定油压下运行1h，油泵运转应平稳，输油量应不小于设计规定值，并且手、自动切换及自动控制动作符合设计要求。</w:t>
      </w:r>
    </w:p>
    <w:p w14:paraId="7C641F39">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5.11.5 调速系统试验</w:t>
      </w:r>
    </w:p>
    <w:p w14:paraId="51EA6CA7">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调速系统安装完毕后，应在无水状态下与导叶接力器一起进行现场试验，并录制接力器行程与导叶开度关系曲线、检查导叶的压紧行程，以及进行调速系统的试验。试验应按GB/T9652.1《水轮机调速系统技术条件》与GB/T9652.2《水轮机调速系统试验》等有关标准、规程的规定进行，以确信调速系统的性能满足合同和有关技术标准的要求。</w:t>
      </w:r>
    </w:p>
    <w:p w14:paraId="7BC2D52B">
      <w:pPr>
        <w:pStyle w:val="5"/>
        <w:keepNext w:val="0"/>
        <w:keepLines w:val="0"/>
        <w:autoSpaceDE w:val="0"/>
        <w:autoSpaceDN w:val="0"/>
        <w:spacing w:before="0" w:after="0" w:line="240" w:lineRule="auto"/>
        <w:ind w:left="0" w:firstLine="0"/>
        <w:textAlignment w:val="baseline"/>
        <w:rPr>
          <w:rFonts w:hint="eastAsia"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5.12 试运行</w:t>
      </w:r>
    </w:p>
    <w:p w14:paraId="533BED1F">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5.11.1 检查、调试和起动</w:t>
      </w:r>
    </w:p>
    <w:p w14:paraId="4591867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通过电站试验和型式试验后，承包人要在安装承包商的帮助下进行试运行。水轮机要做起动试验、手、自动的空载稳定性试验、空载扰动试验、过速、低油压关机、带负荷和甩负荷试验，以便调整调速系统和有关保护装置。所有这些调整和有关的参数应记录下来并包括在现场试验报告中。</w:t>
      </w:r>
    </w:p>
    <w:p w14:paraId="3F105E50">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5.12.2  72h试运行</w:t>
      </w:r>
    </w:p>
    <w:p w14:paraId="647D3E31">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在设备安装好后准备投入商业运行前，安装承包商应在调速系统和水轮机、发电机承包人指导下对每台机组进行试运行试验，以确认机组调速系统已正确安装、调试好了，并在连续运行条件下能够安全、正常地运行。试运行要在机组额定负荷（按实际水头条件确定）条件下，在无需人为调节和校正的自动控制状态下进行。试运行持续时间为72h。</w:t>
      </w:r>
    </w:p>
    <w:p w14:paraId="2A7DA0DB">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5.12.3 试验数据和报告</w:t>
      </w:r>
    </w:p>
    <w:p w14:paraId="424E2196">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试验报告应由发包人、承包人或现场试验领导小组委派的试验负责人编写，并送交合同双方或试验领导小组审查通过。</w:t>
      </w:r>
    </w:p>
    <w:p w14:paraId="1901CE95">
      <w:pPr>
        <w:tabs>
          <w:tab w:val="left" w:pos="737"/>
          <w:tab w:val="left" w:pos="3025"/>
        </w:tabs>
        <w:autoSpaceDE w:val="0"/>
        <w:autoSpaceDN w:val="0"/>
        <w:ind w:firstLine="432" w:firstLineChars="206"/>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试验报告应分项编制，其内容应包括试验项目、试验目的、试验人员名单、测量仪表的检验和率定、试验程序、试验表格、计算实例、计算过程使用的各种曲线、全部测量结果汇总、最终成果的修正和调整、测量综合误差说明以及试验结果的讨论意见和结论。</w:t>
      </w:r>
    </w:p>
    <w:p w14:paraId="2DD2AB70">
      <w:pPr>
        <w:outlineLvl w:val="0"/>
        <w:rPr>
          <w:rFonts w:hint="eastAsia" w:asciiTheme="minorEastAsia" w:hAnsiTheme="minorEastAsia" w:eastAsiaTheme="minorEastAsia" w:cstheme="minorEastAsia"/>
          <w:b/>
          <w:color w:val="auto"/>
          <w:szCs w:val="21"/>
        </w:rPr>
        <w:sectPr>
          <w:pgSz w:w="11906" w:h="16838"/>
          <w:pgMar w:top="1440" w:right="1800" w:bottom="1440" w:left="1800" w:header="851" w:footer="992" w:gutter="0"/>
          <w:cols w:space="425" w:num="1"/>
          <w:docGrid w:type="lines" w:linePitch="326" w:charSpace="0"/>
        </w:sectPr>
      </w:pPr>
    </w:p>
    <w:p w14:paraId="0CD706BA">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第6章 进水蝶阀改造技术规范</w:t>
      </w:r>
    </w:p>
    <w:p w14:paraId="13864F51">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rPr>
        <w:t>.1 概述</w:t>
      </w:r>
    </w:p>
    <w:p w14:paraId="52B19140">
      <w:pPr>
        <w:spacing w:line="276"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本工程为改造工程，进水蝶阀于2020年进行过更新改造，目前运行良好。但</w:t>
      </w:r>
      <w:r>
        <w:rPr>
          <w:rFonts w:hint="eastAsia" w:asciiTheme="minorEastAsia" w:hAnsiTheme="minorEastAsia" w:eastAsiaTheme="minorEastAsia" w:cstheme="minorEastAsia"/>
          <w:color w:val="auto"/>
          <w:szCs w:val="21"/>
        </w:rPr>
        <w:t>旁通阀及旁通管路未进行更新，目前锈蚀严重。同时，蝶阀控制系统自动化程度不高，难以满足后续集中控制要求。</w:t>
      </w:r>
    </w:p>
    <w:p w14:paraId="085409E9">
      <w:pPr>
        <w:spacing w:line="276"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本次改造，对蝶阀旁通阀及旁通管进行改造，同时蝶阀控制系统进行升级改造。</w:t>
      </w:r>
    </w:p>
    <w:p w14:paraId="3C98316B">
      <w:pPr>
        <w:pStyle w:val="3"/>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rPr>
        <w:t>.2 型式及供货范围</w:t>
      </w:r>
    </w:p>
    <w:p w14:paraId="2C23A531">
      <w:pPr>
        <w:spacing w:line="276"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原进水阀采用电动蝶阀，旁通管直径DN150。金属密封、重锤式蓄能蝶阀，进水阀采用卧轴布置，并配置油压操作系统、接力器、旁通管及其旁通阀与检修阀、必须的管路、阀门和电动控制装置以及装于进水阀下游侧可拆卸的伸缩节。</w:t>
      </w:r>
    </w:p>
    <w:p w14:paraId="1024897D">
      <w:pPr>
        <w:spacing w:line="276"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2、本次改造工作范围如下：</w:t>
      </w:r>
    </w:p>
    <w:p w14:paraId="45192E5C">
      <w:pPr>
        <w:spacing w:line="276"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1）旁通阀：DN150电动球阀；</w:t>
      </w:r>
    </w:p>
    <w:p w14:paraId="0F1391A4">
      <w:pPr>
        <w:spacing w:line="276"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2）旁通阀检修阀：DN150手动球阀；</w:t>
      </w:r>
    </w:p>
    <w:p w14:paraId="06C31841">
      <w:pPr>
        <w:spacing w:line="276"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3）旁通管及伸缩节：DN150钢管，与原旁通管接口连接；</w:t>
      </w:r>
    </w:p>
    <w:p w14:paraId="6E8C5B80">
      <w:pPr>
        <w:spacing w:line="276"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4）进水阀上游侧1只压力表和1只压力变送器(4~20mA)；</w:t>
      </w:r>
    </w:p>
    <w:p w14:paraId="55F68DED">
      <w:pPr>
        <w:spacing w:line="276"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5）进水阀下游侧1只压力表；</w:t>
      </w:r>
    </w:p>
    <w:p w14:paraId="17806BC0">
      <w:pPr>
        <w:spacing w:line="276"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6）进水阀上、下游之间的差压信号器；</w:t>
      </w:r>
    </w:p>
    <w:p w14:paraId="36A05A4B">
      <w:pPr>
        <w:spacing w:line="276"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7）电动蝶阀控制箱。</w:t>
      </w:r>
    </w:p>
    <w:p w14:paraId="525068F1">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rPr>
        <w:t>.3 主要参数</w:t>
      </w:r>
    </w:p>
    <w:p w14:paraId="1B2524D5">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主阀操作方式</w:t>
      </w:r>
      <w:r>
        <w:rPr>
          <w:rFonts w:hint="eastAsia" w:asciiTheme="minorEastAsia" w:hAnsiTheme="minorEastAsia" w:eastAsiaTheme="minorEastAsia" w:cstheme="minorEastAsia"/>
          <w:snapToGrid w:val="0"/>
          <w:color w:val="auto"/>
          <w:szCs w:val="21"/>
        </w:rPr>
        <w:tab/>
      </w:r>
      <w:r>
        <w:rPr>
          <w:rFonts w:hint="eastAsia" w:asciiTheme="minorEastAsia" w:hAnsiTheme="minorEastAsia" w:eastAsiaTheme="minorEastAsia" w:cstheme="minorEastAsia"/>
          <w:snapToGrid w:val="0"/>
          <w:color w:val="auto"/>
          <w:szCs w:val="21"/>
        </w:rPr>
        <w:t xml:space="preserve">                          电动启闭</w:t>
      </w:r>
    </w:p>
    <w:p w14:paraId="1C7DFEE2">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阀门公称直径 </w:t>
      </w:r>
      <w:r>
        <w:rPr>
          <w:rFonts w:hint="eastAsia" w:asciiTheme="minorEastAsia" w:hAnsiTheme="minorEastAsia" w:eastAsiaTheme="minorEastAsia" w:cstheme="minorEastAsia"/>
          <w:snapToGrid w:val="0"/>
          <w:color w:val="auto"/>
          <w:szCs w:val="21"/>
        </w:rPr>
        <w:tab/>
      </w:r>
      <w:r>
        <w:rPr>
          <w:rFonts w:hint="eastAsia" w:asciiTheme="minorEastAsia" w:hAnsiTheme="minorEastAsia" w:eastAsiaTheme="minorEastAsia" w:cstheme="minorEastAsia"/>
          <w:snapToGrid w:val="0"/>
          <w:color w:val="auto"/>
          <w:szCs w:val="21"/>
        </w:rPr>
        <w:t xml:space="preserve">                          800mm</w:t>
      </w:r>
    </w:p>
    <w:p w14:paraId="53462683">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阀门的设计压力                          1.0MPa</w:t>
      </w:r>
    </w:p>
    <w:p w14:paraId="51303353">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阀门的开启时间</w:t>
      </w:r>
      <w:r>
        <w:rPr>
          <w:rFonts w:hint="eastAsia" w:asciiTheme="minorEastAsia" w:hAnsiTheme="minorEastAsia" w:eastAsiaTheme="minorEastAsia" w:cstheme="minorEastAsia"/>
          <w:snapToGrid w:val="0"/>
          <w:color w:val="auto"/>
          <w:szCs w:val="21"/>
        </w:rPr>
        <w:tab/>
      </w:r>
      <w:r>
        <w:rPr>
          <w:rFonts w:hint="eastAsia" w:asciiTheme="minorEastAsia" w:hAnsiTheme="minorEastAsia" w:eastAsiaTheme="minorEastAsia" w:cstheme="minorEastAsia"/>
          <w:snapToGrid w:val="0"/>
          <w:color w:val="auto"/>
          <w:szCs w:val="21"/>
        </w:rPr>
        <w:t xml:space="preserve">                       60~120s(可调)</w:t>
      </w:r>
    </w:p>
    <w:p w14:paraId="625945BD">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阀门的关闭时间</w:t>
      </w:r>
      <w:r>
        <w:rPr>
          <w:rFonts w:hint="eastAsia" w:asciiTheme="minorEastAsia" w:hAnsiTheme="minorEastAsia" w:eastAsiaTheme="minorEastAsia" w:cstheme="minorEastAsia"/>
          <w:snapToGrid w:val="0"/>
          <w:color w:val="auto"/>
          <w:szCs w:val="21"/>
        </w:rPr>
        <w:tab/>
      </w:r>
      <w:r>
        <w:rPr>
          <w:rFonts w:hint="eastAsia" w:asciiTheme="minorEastAsia" w:hAnsiTheme="minorEastAsia" w:eastAsiaTheme="minorEastAsia" w:cstheme="minorEastAsia"/>
          <w:snapToGrid w:val="0"/>
          <w:color w:val="auto"/>
          <w:szCs w:val="21"/>
        </w:rPr>
        <w:t xml:space="preserve">                       60~120s(可调)</w:t>
      </w:r>
    </w:p>
    <w:p w14:paraId="5F488282">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通过进水阀的额定流量                    约1.98m</w:t>
      </w:r>
      <w:r>
        <w:rPr>
          <w:rFonts w:hint="eastAsia" w:asciiTheme="minorEastAsia" w:hAnsiTheme="minorEastAsia" w:eastAsiaTheme="minorEastAsia" w:cstheme="minorEastAsia"/>
          <w:snapToGrid w:val="0"/>
          <w:color w:val="auto"/>
          <w:szCs w:val="21"/>
          <w:vertAlign w:val="superscript"/>
        </w:rPr>
        <w:t>3</w:t>
      </w:r>
      <w:r>
        <w:rPr>
          <w:rFonts w:hint="eastAsia" w:asciiTheme="minorEastAsia" w:hAnsiTheme="minorEastAsia" w:eastAsiaTheme="minorEastAsia" w:cstheme="minorEastAsia"/>
          <w:snapToGrid w:val="0"/>
          <w:color w:val="auto"/>
          <w:szCs w:val="21"/>
        </w:rPr>
        <w:t>/s</w:t>
      </w:r>
    </w:p>
    <w:p w14:paraId="44E80896">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旁通阀直径</w:t>
      </w:r>
      <w:r>
        <w:rPr>
          <w:rFonts w:hint="eastAsia" w:asciiTheme="minorEastAsia" w:hAnsiTheme="minorEastAsia" w:eastAsiaTheme="minorEastAsia" w:cstheme="minorEastAsia"/>
          <w:snapToGrid w:val="0"/>
          <w:color w:val="auto"/>
          <w:szCs w:val="21"/>
        </w:rPr>
        <w:tab/>
      </w:r>
      <w:r>
        <w:rPr>
          <w:rFonts w:hint="eastAsia" w:asciiTheme="minorEastAsia" w:hAnsiTheme="minorEastAsia" w:eastAsiaTheme="minorEastAsia" w:cstheme="minorEastAsia"/>
          <w:snapToGrid w:val="0"/>
          <w:color w:val="auto"/>
          <w:szCs w:val="21"/>
        </w:rPr>
        <w:t xml:space="preserve">                          DN150mm</w:t>
      </w:r>
    </w:p>
    <w:p w14:paraId="15B70443">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旁通阀                                 电动球阀</w:t>
      </w:r>
    </w:p>
    <w:p w14:paraId="6FC9352E">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旁通管上检修阀                         手动球阀</w:t>
      </w:r>
    </w:p>
    <w:p w14:paraId="34D96197">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旁通管上伸缩节                     DN150mm、1.0MPa、伸缩量±10mm</w:t>
      </w:r>
    </w:p>
    <w:p w14:paraId="4EFC9026">
      <w:pPr>
        <w:spacing w:line="400" w:lineRule="exact"/>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厂内可以提供的电源                     AC380V、AC220V和DC48V</w:t>
      </w:r>
    </w:p>
    <w:p w14:paraId="4DF1FC25">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6.4 进水阀控制系统</w:t>
      </w:r>
    </w:p>
    <w:p w14:paraId="151A1FB3">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1、进水阀及其附属设备应能在现地和远方按规定程序自动或手动操作，设备的动作应准确、可靠。</w:t>
      </w:r>
    </w:p>
    <w:p w14:paraId="20F34ACF">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2、进水阀可在下述情况下开启</w:t>
      </w:r>
    </w:p>
    <w:p w14:paraId="79ABF92A">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1）在机组正常开机程序中自动开启；</w:t>
      </w:r>
    </w:p>
    <w:p w14:paraId="7FC172C9">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2）根据需要可手动控制开启。</w:t>
      </w:r>
    </w:p>
    <w:p w14:paraId="30C526DD">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3、进水阀可在下述情况下关闭</w:t>
      </w:r>
    </w:p>
    <w:p w14:paraId="708B7C5F">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1）在出现机组过速时，进水阀动水关闭；</w:t>
      </w:r>
    </w:p>
    <w:p w14:paraId="3D847A4F">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2）当进水阀和水轮机导叶之间的压力水管、排水阀等故障时，可根据需要手动紧急动水关闭；</w:t>
      </w:r>
    </w:p>
    <w:p w14:paraId="631C3CCB">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3）在机组正常停机程序中可自动关闭；</w:t>
      </w:r>
    </w:p>
    <w:p w14:paraId="72AC2ED6">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4）根据需要可手动控制关闭。</w:t>
      </w:r>
    </w:p>
    <w:p w14:paraId="0165F209">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4、进水阀及其附属设备的开启、关闭顺序由承包人提供，经发包人审查同意后确定。</w:t>
      </w:r>
    </w:p>
    <w:p w14:paraId="04CE668E">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进水阀设置电气控制箱，柜内装设可编程控制器、接触器、继电器、空气开关、仪表、自动化元件、指示灯、手动按钮、电气端子等。操作系统应能按规定的程序进行自动或手动操作；应设有“现地/远方”切换开关，当切换开关位于“现地”时，只能在现地操作，当切换开关位于“远方”时，只能在中控室操作，并能实现关机关进水阀。控制箱内的端子排应排列整齐，便于接线及检查，端子数量留有20%余量；控制箱应能将进水阀的各种运行状态送入电站计算机监控系统，接口分计算机串口通信（Modbus通讯协议）和开关量接口两种方式，模拟量输出为4~20mA，开关量输出为空节点形式。应能够接受电站计算机监控系统通过串行口下达的指令，通信规约（Modbus通讯协议）应满足电站计算机监控系统的要求。</w:t>
      </w:r>
    </w:p>
    <w:p w14:paraId="117C9C44">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6、进水阀电控箱上应有下列信号装置和仪表，并能以开关量送至电站监控系统：</w:t>
      </w:r>
    </w:p>
    <w:p w14:paraId="1ED9DDC9">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1）进水阀全开、全关的位置信号装置；</w:t>
      </w:r>
    </w:p>
    <w:p w14:paraId="2F9E4B1F">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2）进水阀上下游压力差的差压信号装置，上游压力表；</w:t>
      </w:r>
    </w:p>
    <w:p w14:paraId="32647DEE">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3）旁通阀开关位置信号装置；</w:t>
      </w:r>
    </w:p>
    <w:p w14:paraId="7585FFA6">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4）其他。</w:t>
      </w:r>
    </w:p>
    <w:p w14:paraId="3A70B238">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7、蝶阀设有行程指示器和行程变送器、上下游压差开关、旁通阀位置开关等。</w:t>
      </w:r>
    </w:p>
    <w:p w14:paraId="1C85DD74">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8、蝶阀控制系统的设备应满足下列要求</w:t>
      </w:r>
    </w:p>
    <w:p w14:paraId="2C6279C3">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1）能实现进水阀的自动平压和开启、正常关闭和动水关闭；</w:t>
      </w:r>
    </w:p>
    <w:p w14:paraId="0A8F108A">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2）能自动监视进水阀上下游水压和压差；</w:t>
      </w:r>
    </w:p>
    <w:p w14:paraId="7078BB5A">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3）能自动监视进水阀开关状态、旁通管开关状态；</w:t>
      </w:r>
    </w:p>
    <w:p w14:paraId="74F1C8A7">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4）能配合机组电气机械过速保护装置，动水关闭进水阀。</w:t>
      </w:r>
    </w:p>
    <w:p w14:paraId="1692675C">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rPr>
        <w:t>5</w:t>
      </w:r>
      <w:r>
        <w:rPr>
          <w:rFonts w:hint="eastAsia" w:asciiTheme="minorEastAsia" w:hAnsiTheme="minorEastAsia" w:eastAsiaTheme="minorEastAsia" w:cstheme="minorEastAsia"/>
          <w:color w:val="auto"/>
          <w:sz w:val="21"/>
          <w:szCs w:val="21"/>
        </w:rPr>
        <w:t xml:space="preserve"> 备品备件和专用工具</w:t>
      </w:r>
    </w:p>
    <w:p w14:paraId="2C74D716">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1、备品备件</w:t>
      </w:r>
    </w:p>
    <w:p w14:paraId="3572190C">
      <w:pPr>
        <w:snapToGrid w:val="0"/>
        <w:spacing w:line="400" w:lineRule="exact"/>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对应于本合同文件所提供的全部进水阀，应提供如表5-1总量的备品备件，其价格包括在合同总价中。备品备件应与进水阀相同部件具有互换性，相同的材料和相同的制造工艺。“一台套”定义为一台进水阀所需的总量。签合同时发包人有权取舍备品备件的品种和数量。</w:t>
      </w:r>
    </w:p>
    <w:p w14:paraId="437E44D2">
      <w:pPr>
        <w:spacing w:line="400" w:lineRule="exact"/>
        <w:ind w:firstLine="2912" w:firstLineChars="1387"/>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表5-1        进水阀备品备件表</w:t>
      </w:r>
    </w:p>
    <w:tbl>
      <w:tblPr>
        <w:tblStyle w:val="65"/>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907"/>
        <w:gridCol w:w="939"/>
        <w:gridCol w:w="939"/>
        <w:gridCol w:w="1627"/>
        <w:gridCol w:w="1309"/>
      </w:tblGrid>
      <w:tr w14:paraId="768E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7C3EE57F">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2907" w:type="dxa"/>
            <w:vAlign w:val="center"/>
          </w:tcPr>
          <w:p w14:paraId="738EC9D8">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名称</w:t>
            </w:r>
          </w:p>
        </w:tc>
        <w:tc>
          <w:tcPr>
            <w:tcW w:w="939" w:type="dxa"/>
          </w:tcPr>
          <w:p w14:paraId="64D69416">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w:t>
            </w:r>
          </w:p>
        </w:tc>
        <w:tc>
          <w:tcPr>
            <w:tcW w:w="939" w:type="dxa"/>
            <w:vAlign w:val="center"/>
          </w:tcPr>
          <w:p w14:paraId="016DC545">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数量</w:t>
            </w:r>
          </w:p>
        </w:tc>
        <w:tc>
          <w:tcPr>
            <w:tcW w:w="1627" w:type="dxa"/>
          </w:tcPr>
          <w:p w14:paraId="09DB9E55">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生产厂/产地</w:t>
            </w:r>
          </w:p>
        </w:tc>
        <w:tc>
          <w:tcPr>
            <w:tcW w:w="1309" w:type="dxa"/>
            <w:vAlign w:val="center"/>
          </w:tcPr>
          <w:p w14:paraId="489EF936">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r>
      <w:tr w14:paraId="5E57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5EF2AB2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907" w:type="dxa"/>
            <w:vAlign w:val="center"/>
          </w:tcPr>
          <w:p w14:paraId="12921578">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仪表及自动化元件</w:t>
            </w:r>
          </w:p>
        </w:tc>
        <w:tc>
          <w:tcPr>
            <w:tcW w:w="939" w:type="dxa"/>
            <w:vAlign w:val="center"/>
          </w:tcPr>
          <w:p w14:paraId="64E4A46A">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台套</w:t>
            </w:r>
          </w:p>
        </w:tc>
        <w:tc>
          <w:tcPr>
            <w:tcW w:w="939" w:type="dxa"/>
            <w:vAlign w:val="center"/>
          </w:tcPr>
          <w:p w14:paraId="478DED92">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1627" w:type="dxa"/>
          </w:tcPr>
          <w:p w14:paraId="69923F9E">
            <w:pPr>
              <w:spacing w:line="400" w:lineRule="exact"/>
              <w:jc w:val="center"/>
              <w:rPr>
                <w:rFonts w:hint="eastAsia" w:asciiTheme="minorEastAsia" w:hAnsiTheme="minorEastAsia" w:eastAsiaTheme="minorEastAsia" w:cstheme="minorEastAsia"/>
                <w:color w:val="auto"/>
                <w:szCs w:val="21"/>
              </w:rPr>
            </w:pPr>
          </w:p>
        </w:tc>
        <w:tc>
          <w:tcPr>
            <w:tcW w:w="1309" w:type="dxa"/>
            <w:vAlign w:val="center"/>
          </w:tcPr>
          <w:p w14:paraId="3FBFCB38">
            <w:pPr>
              <w:spacing w:line="400" w:lineRule="exact"/>
              <w:jc w:val="center"/>
              <w:rPr>
                <w:rFonts w:hint="eastAsia" w:asciiTheme="minorEastAsia" w:hAnsiTheme="minorEastAsia" w:eastAsiaTheme="minorEastAsia" w:cstheme="minorEastAsia"/>
                <w:color w:val="auto"/>
                <w:szCs w:val="21"/>
              </w:rPr>
            </w:pPr>
          </w:p>
        </w:tc>
      </w:tr>
      <w:tr w14:paraId="5E51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0F180FB3">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907" w:type="dxa"/>
            <w:vAlign w:val="center"/>
          </w:tcPr>
          <w:p w14:paraId="358C8B02">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各法兰密封面密封件</w:t>
            </w:r>
          </w:p>
        </w:tc>
        <w:tc>
          <w:tcPr>
            <w:tcW w:w="939" w:type="dxa"/>
            <w:vAlign w:val="center"/>
          </w:tcPr>
          <w:p w14:paraId="5668EB92">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台套</w:t>
            </w:r>
          </w:p>
        </w:tc>
        <w:tc>
          <w:tcPr>
            <w:tcW w:w="939" w:type="dxa"/>
            <w:vAlign w:val="center"/>
          </w:tcPr>
          <w:p w14:paraId="5298100C">
            <w:pPr>
              <w:spacing w:line="40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1627" w:type="dxa"/>
          </w:tcPr>
          <w:p w14:paraId="7BDF011A">
            <w:pPr>
              <w:spacing w:line="400" w:lineRule="exact"/>
              <w:jc w:val="center"/>
              <w:rPr>
                <w:rFonts w:hint="eastAsia" w:asciiTheme="minorEastAsia" w:hAnsiTheme="minorEastAsia" w:eastAsiaTheme="minorEastAsia" w:cstheme="minorEastAsia"/>
                <w:color w:val="auto"/>
                <w:szCs w:val="21"/>
              </w:rPr>
            </w:pPr>
          </w:p>
        </w:tc>
        <w:tc>
          <w:tcPr>
            <w:tcW w:w="1309" w:type="dxa"/>
            <w:vAlign w:val="center"/>
          </w:tcPr>
          <w:p w14:paraId="1B67C201">
            <w:pPr>
              <w:spacing w:line="400" w:lineRule="exact"/>
              <w:jc w:val="center"/>
              <w:rPr>
                <w:rFonts w:hint="eastAsia" w:asciiTheme="minorEastAsia" w:hAnsiTheme="minorEastAsia" w:eastAsiaTheme="minorEastAsia" w:cstheme="minorEastAsia"/>
                <w:color w:val="auto"/>
                <w:szCs w:val="21"/>
              </w:rPr>
            </w:pPr>
          </w:p>
        </w:tc>
      </w:tr>
    </w:tbl>
    <w:p w14:paraId="32D00E68">
      <w:pPr>
        <w:snapToGrid w:val="0"/>
        <w:spacing w:line="400" w:lineRule="exact"/>
        <w:ind w:firstLine="308" w:firstLineChars="147"/>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2、专用工具（如有）</w:t>
      </w:r>
    </w:p>
    <w:p w14:paraId="5858F624">
      <w:pPr>
        <w:rPr>
          <w:rFonts w:hint="eastAsia" w:asciiTheme="minorEastAsia" w:hAnsiTheme="minorEastAsia" w:eastAsiaTheme="minorEastAsia" w:cstheme="minorEastAsia"/>
          <w:b/>
          <w:color w:val="auto"/>
          <w:szCs w:val="21"/>
        </w:rPr>
      </w:pPr>
    </w:p>
    <w:p w14:paraId="2BF7D2EE">
      <w:pPr>
        <w:rPr>
          <w:rFonts w:hint="eastAsia" w:asciiTheme="minorEastAsia" w:hAnsiTheme="minorEastAsia" w:eastAsiaTheme="minorEastAsia" w:cstheme="minorEastAsia"/>
          <w:b/>
          <w:color w:val="auto"/>
          <w:szCs w:val="21"/>
        </w:rPr>
        <w:sectPr>
          <w:pgSz w:w="11906" w:h="16838"/>
          <w:pgMar w:top="1440" w:right="1800" w:bottom="1440" w:left="1800" w:header="851" w:footer="992" w:gutter="0"/>
          <w:cols w:space="425" w:num="1"/>
          <w:docGrid w:type="lines" w:linePitch="326" w:charSpace="0"/>
        </w:sectPr>
      </w:pPr>
    </w:p>
    <w:p w14:paraId="446DDC76">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第7章 电站辅助系统改造技术要求</w:t>
      </w:r>
    </w:p>
    <w:p w14:paraId="30334CAF">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7</w:t>
      </w:r>
      <w:r>
        <w:rPr>
          <w:rFonts w:hint="eastAsia" w:asciiTheme="minorEastAsia" w:hAnsiTheme="minorEastAsia" w:eastAsiaTheme="minorEastAsia" w:cstheme="minorEastAsia"/>
          <w:color w:val="auto"/>
          <w:sz w:val="21"/>
          <w:szCs w:val="21"/>
        </w:rPr>
        <w:t>.1工作范围</w:t>
      </w:r>
    </w:p>
    <w:p w14:paraId="48F06927">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承包人应提供包含技术供水系统、量测系统、采暖通风系统等辅助系统的所有</w:t>
      </w:r>
      <w:r>
        <w:rPr>
          <w:rFonts w:hint="eastAsia" w:asciiTheme="minorEastAsia" w:hAnsiTheme="minorEastAsia" w:eastAsiaTheme="minorEastAsia" w:cstheme="minorEastAsia"/>
          <w:color w:val="auto"/>
          <w:szCs w:val="21"/>
        </w:rPr>
        <w:t>更新</w:t>
      </w:r>
      <w:r>
        <w:rPr>
          <w:rFonts w:hint="eastAsia" w:asciiTheme="minorEastAsia" w:hAnsiTheme="minorEastAsia" w:eastAsiaTheme="minorEastAsia" w:cstheme="minorEastAsia"/>
          <w:color w:val="auto"/>
          <w:szCs w:val="21"/>
          <w:lang w:val="zh-CN"/>
        </w:rPr>
        <w:t>设备、阀门、管件及自动化元件等。具体的供货清单见第一部分分项报价表。</w:t>
      </w:r>
    </w:p>
    <w:p w14:paraId="65BADA42">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7</w:t>
      </w:r>
      <w:r>
        <w:rPr>
          <w:rFonts w:hint="eastAsia" w:asciiTheme="minorEastAsia" w:hAnsiTheme="minorEastAsia" w:eastAsiaTheme="minorEastAsia" w:cstheme="minorEastAsia"/>
          <w:color w:val="auto"/>
          <w:sz w:val="21"/>
          <w:szCs w:val="21"/>
        </w:rPr>
        <w:t>.2 减压阀</w:t>
      </w:r>
    </w:p>
    <w:p w14:paraId="5D6EED12">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rPr>
        <w:t>7</w:t>
      </w:r>
      <w:r>
        <w:rPr>
          <w:rFonts w:hint="eastAsia" w:asciiTheme="minorEastAsia" w:hAnsiTheme="minorEastAsia" w:eastAsiaTheme="minorEastAsia" w:cstheme="minorEastAsia"/>
          <w:color w:val="auto"/>
          <w:szCs w:val="21"/>
          <w:lang w:val="zh-CN"/>
        </w:rPr>
        <w:t>.2.1 主要技术参数</w:t>
      </w:r>
    </w:p>
    <w:p w14:paraId="2E460763">
      <w:pPr>
        <w:spacing w:line="360" w:lineRule="auto"/>
        <w:ind w:firstLine="420"/>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最大进口压力</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0.</w:t>
      </w:r>
      <w:r>
        <w:rPr>
          <w:rFonts w:hint="eastAsia" w:asciiTheme="minorEastAsia" w:hAnsiTheme="minorEastAsia" w:eastAsiaTheme="minorEastAsia" w:cstheme="minorEastAsia"/>
          <w:color w:val="auto"/>
          <w:szCs w:val="21"/>
        </w:rPr>
        <w:t>90</w:t>
      </w:r>
      <w:r>
        <w:rPr>
          <w:rFonts w:hint="eastAsia" w:asciiTheme="minorEastAsia" w:hAnsiTheme="minorEastAsia" w:eastAsiaTheme="minorEastAsia" w:cstheme="minorEastAsia"/>
          <w:color w:val="auto"/>
          <w:szCs w:val="21"/>
          <w:lang w:val="zh-CN"/>
        </w:rPr>
        <w:t>MPa</w:t>
      </w:r>
    </w:p>
    <w:p w14:paraId="443086B7">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最小进口压力</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rPr>
        <w:t>0.60</w:t>
      </w:r>
      <w:r>
        <w:rPr>
          <w:rFonts w:hint="eastAsia" w:asciiTheme="minorEastAsia" w:hAnsiTheme="minorEastAsia" w:eastAsiaTheme="minorEastAsia" w:cstheme="minorEastAsia"/>
          <w:color w:val="auto"/>
          <w:szCs w:val="21"/>
          <w:lang w:val="zh-CN"/>
        </w:rPr>
        <w:t>MPa</w:t>
      </w:r>
    </w:p>
    <w:p w14:paraId="6DBED484">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公称直径</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DN</w:t>
      </w:r>
      <w:r>
        <w:rPr>
          <w:rFonts w:hint="eastAsia" w:asciiTheme="minorEastAsia" w:hAnsiTheme="minorEastAsia" w:eastAsiaTheme="minorEastAsia" w:cstheme="minorEastAsia"/>
          <w:color w:val="auto"/>
          <w:szCs w:val="21"/>
        </w:rPr>
        <w:t>65</w:t>
      </w:r>
      <w:r>
        <w:rPr>
          <w:rFonts w:hint="eastAsia" w:asciiTheme="minorEastAsia" w:hAnsiTheme="minorEastAsia" w:eastAsiaTheme="minorEastAsia" w:cstheme="minorEastAsia"/>
          <w:color w:val="auto"/>
          <w:szCs w:val="21"/>
          <w:lang w:val="zh-CN"/>
        </w:rPr>
        <w:t>mm</w:t>
      </w:r>
    </w:p>
    <w:p w14:paraId="051C457B">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公称压力</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PN1.0MPa</w:t>
      </w:r>
    </w:p>
    <w:p w14:paraId="38B50A8E">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出口压力范围</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0.</w:t>
      </w:r>
      <w:r>
        <w:rPr>
          <w:rFonts w:hint="eastAsia" w:asciiTheme="minorEastAsia" w:hAnsiTheme="minorEastAsia" w:eastAsiaTheme="minorEastAsia" w:cstheme="minorEastAsia"/>
          <w:color w:val="auto"/>
          <w:szCs w:val="21"/>
        </w:rPr>
        <w:t>3~0.35</w:t>
      </w:r>
      <w:r>
        <w:rPr>
          <w:rFonts w:hint="eastAsia" w:asciiTheme="minorEastAsia" w:hAnsiTheme="minorEastAsia" w:eastAsiaTheme="minorEastAsia" w:cstheme="minorEastAsia"/>
          <w:color w:val="auto"/>
          <w:szCs w:val="21"/>
          <w:lang w:val="zh-CN"/>
        </w:rPr>
        <w:t>MPa</w:t>
      </w:r>
    </w:p>
    <w:p w14:paraId="390CA41A">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流量</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w:t>
      </w:r>
      <w:r>
        <w:rPr>
          <w:rFonts w:hint="eastAsia" w:asciiTheme="minorEastAsia" w:hAnsiTheme="minorEastAsia" w:eastAsiaTheme="minorEastAsia" w:cstheme="minorEastAsia"/>
          <w:color w:val="auto"/>
          <w:szCs w:val="21"/>
        </w:rPr>
        <w:t>40</w:t>
      </w:r>
      <w:r>
        <w:rPr>
          <w:rFonts w:hint="eastAsia" w:asciiTheme="minorEastAsia" w:hAnsiTheme="minorEastAsia" w:eastAsiaTheme="minorEastAsia" w:cstheme="minorEastAsia"/>
          <w:color w:val="auto"/>
          <w:szCs w:val="21"/>
          <w:lang w:val="zh-CN"/>
        </w:rPr>
        <w:t>m</w:t>
      </w:r>
      <w:r>
        <w:rPr>
          <w:rFonts w:hint="eastAsia" w:asciiTheme="minorEastAsia" w:hAnsiTheme="minorEastAsia" w:eastAsiaTheme="minorEastAsia" w:cstheme="minorEastAsia"/>
          <w:color w:val="auto"/>
          <w:szCs w:val="21"/>
          <w:vertAlign w:val="superscript"/>
          <w:lang w:val="zh-CN"/>
        </w:rPr>
        <w:t>3</w:t>
      </w:r>
      <w:r>
        <w:rPr>
          <w:rFonts w:hint="eastAsia" w:asciiTheme="minorEastAsia" w:hAnsiTheme="minorEastAsia" w:eastAsiaTheme="minorEastAsia" w:cstheme="minorEastAsia"/>
          <w:color w:val="auto"/>
          <w:szCs w:val="21"/>
          <w:lang w:val="zh-CN"/>
        </w:rPr>
        <w:t>/h</w:t>
      </w:r>
    </w:p>
    <w:p w14:paraId="05D93B61">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rPr>
        <w:t>7</w:t>
      </w:r>
      <w:r>
        <w:rPr>
          <w:rFonts w:hint="eastAsia" w:asciiTheme="minorEastAsia" w:hAnsiTheme="minorEastAsia" w:eastAsiaTheme="minorEastAsia" w:cstheme="minorEastAsia"/>
          <w:color w:val="auto"/>
          <w:szCs w:val="21"/>
          <w:lang w:val="zh-CN"/>
        </w:rPr>
        <w:t>.2.2 技术要求</w:t>
      </w:r>
    </w:p>
    <w:p w14:paraId="7A32A247">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1）在给定的调压范围内，出口压力能够在最大值和最小值之间连续调整，不得出现卡阻和异常震动。</w:t>
      </w:r>
    </w:p>
    <w:p w14:paraId="637A41B8">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2）出口流量变化时，减压阀不得有异常动作，其出口压力负偏差值不大于出口压力的20%。</w:t>
      </w:r>
    </w:p>
    <w:p w14:paraId="4AD57DE9">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3）进口压力变化时，减压阀不得有异常震动。其出口压力偏差值不大于出口压力的10%。</w:t>
      </w:r>
    </w:p>
    <w:p w14:paraId="67F8E56A">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4）减压阀密封性能应符合GB/T12244的要求。</w:t>
      </w:r>
    </w:p>
    <w:p w14:paraId="4EABAE68">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5）减压阀进出口应分别配置压力表，属减压阀供货范围。</w:t>
      </w:r>
    </w:p>
    <w:p w14:paraId="73F75AE1">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rPr>
        <w:t>7</w:t>
      </w:r>
      <w:r>
        <w:rPr>
          <w:rFonts w:hint="eastAsia" w:asciiTheme="minorEastAsia" w:hAnsiTheme="minorEastAsia" w:eastAsiaTheme="minorEastAsia" w:cstheme="minorEastAsia"/>
          <w:color w:val="auto"/>
          <w:szCs w:val="21"/>
          <w:lang w:val="zh-CN"/>
        </w:rPr>
        <w:t>.2.3 材料</w:t>
      </w:r>
    </w:p>
    <w:p w14:paraId="647894C0">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阀盖</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球墨铸铁</w:t>
      </w:r>
    </w:p>
    <w:p w14:paraId="7C55AA1A">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弹簧</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不锈钢</w:t>
      </w:r>
    </w:p>
    <w:p w14:paraId="148462EC">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膜片压板</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不锈钢</w:t>
      </w:r>
    </w:p>
    <w:p w14:paraId="5DB1D005">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膜片</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丁晴橡胶包增强尼龙</w:t>
      </w:r>
    </w:p>
    <w:p w14:paraId="0987DB09">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阀杆</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不锈钢</w:t>
      </w:r>
    </w:p>
    <w:p w14:paraId="0F433381">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阀盘</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不锈钢</w:t>
      </w:r>
    </w:p>
    <w:p w14:paraId="26D7AB61">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O型密封圈</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丁晴橡胶</w:t>
      </w:r>
    </w:p>
    <w:p w14:paraId="63B0739A">
      <w:pPr>
        <w:spacing w:line="360" w:lineRule="auto"/>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阀座、阀体</w:t>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ab/>
      </w:r>
      <w:r>
        <w:rPr>
          <w:rFonts w:hint="eastAsia" w:asciiTheme="minorEastAsia" w:hAnsiTheme="minorEastAsia" w:eastAsiaTheme="minorEastAsia" w:cstheme="minorEastAsia"/>
          <w:color w:val="auto"/>
          <w:szCs w:val="21"/>
          <w:lang w:val="zh-CN"/>
        </w:rPr>
        <w:t>球墨铸铁</w:t>
      </w:r>
    </w:p>
    <w:p w14:paraId="4329F127">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rPr>
        <w:t>3固定式</w:t>
      </w:r>
      <w:r>
        <w:rPr>
          <w:rFonts w:hint="eastAsia" w:asciiTheme="minorEastAsia" w:hAnsiTheme="minorEastAsia" w:eastAsiaTheme="minorEastAsia" w:cstheme="minorEastAsia"/>
          <w:color w:val="auto"/>
          <w:sz w:val="21"/>
          <w:szCs w:val="21"/>
        </w:rPr>
        <w:t>滤水器</w:t>
      </w:r>
    </w:p>
    <w:p w14:paraId="5681B936">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型式                           手动固定式滤水器</w:t>
      </w:r>
    </w:p>
    <w:p w14:paraId="17F50297">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设计流量：                     ≥40m</w:t>
      </w:r>
      <w:r>
        <w:rPr>
          <w:rFonts w:hint="eastAsia" w:asciiTheme="minorEastAsia" w:hAnsiTheme="minorEastAsia" w:eastAsiaTheme="minorEastAsia" w:cstheme="minorEastAsia"/>
          <w:color w:val="auto"/>
          <w:szCs w:val="21"/>
          <w:vertAlign w:val="superscript"/>
        </w:rPr>
        <w:t>3</w:t>
      </w:r>
      <w:r>
        <w:rPr>
          <w:rFonts w:hint="eastAsia" w:asciiTheme="minorEastAsia" w:hAnsiTheme="minorEastAsia" w:eastAsiaTheme="minorEastAsia" w:cstheme="minorEastAsia"/>
          <w:color w:val="auto"/>
          <w:szCs w:val="21"/>
        </w:rPr>
        <w:t>/h</w:t>
      </w:r>
    </w:p>
    <w:p w14:paraId="17D9278F">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设计压力：                     1.0MPa</w:t>
      </w:r>
    </w:p>
    <w:p w14:paraId="1D8FAB0A">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过滤精度：                     3.0mm</w:t>
      </w:r>
    </w:p>
    <w:p w14:paraId="1486B1B8">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进口/出口直径：                DN65mm/DN65mm</w:t>
      </w:r>
    </w:p>
    <w:p w14:paraId="4CB6B439">
      <w:pPr>
        <w:spacing w:line="360" w:lineRule="auto"/>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排污口径：                     DN32mm</w:t>
      </w:r>
    </w:p>
    <w:p w14:paraId="0BE548D7">
      <w:pPr>
        <w:spacing w:line="360" w:lineRule="auto"/>
        <w:ind w:firstLine="411" w:firstLineChars="19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排污方式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手动清污</w:t>
      </w:r>
    </w:p>
    <w:p w14:paraId="20FC517F">
      <w:pPr>
        <w:spacing w:line="360" w:lineRule="auto"/>
        <w:rPr>
          <w:rFonts w:hint="eastAsia" w:asciiTheme="minorEastAsia" w:hAnsiTheme="minorEastAsia" w:eastAsiaTheme="minorEastAsia" w:cstheme="minorEastAsia"/>
          <w:color w:val="auto"/>
          <w:szCs w:val="21"/>
        </w:rPr>
      </w:pPr>
    </w:p>
    <w:p w14:paraId="3E7BCDBF">
      <w:pPr>
        <w:pStyle w:val="60"/>
        <w:numPr>
          <w:ilvl w:val="0"/>
          <w:numId w:val="5"/>
        </w:numPr>
        <w:rPr>
          <w:rFonts w:hint="eastAsia" w:asciiTheme="minorEastAsia" w:hAnsiTheme="minorEastAsia" w:eastAsiaTheme="minorEastAsia" w:cstheme="minorEastAsia"/>
          <w:color w:val="auto"/>
          <w:sz w:val="21"/>
          <w:szCs w:val="21"/>
        </w:rPr>
        <w:sectPr>
          <w:pgSz w:w="11906" w:h="16838"/>
          <w:pgMar w:top="1440" w:right="1800" w:bottom="1440" w:left="1800" w:header="851" w:footer="992" w:gutter="0"/>
          <w:cols w:space="425" w:num="1"/>
          <w:docGrid w:type="lines" w:linePitch="326" w:charSpace="0"/>
        </w:sectPr>
      </w:pPr>
    </w:p>
    <w:p w14:paraId="1E0E6053">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第8章 变压器及其附属设备采购技术要求</w:t>
      </w:r>
    </w:p>
    <w:p w14:paraId="22E13335">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8.1 承包范围</w:t>
      </w:r>
    </w:p>
    <w:p w14:paraId="3EB5BC6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承包单位承担下述供货范围内设备的设计、材料采购、制造、出厂前的预装配和试验、包装、运输、交货、指导安装、现场试验、试运行、验收并应完全符合合同要求。</w:t>
      </w:r>
    </w:p>
    <w:p w14:paraId="5A148CD3">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8.2 供货范围</w:t>
      </w:r>
    </w:p>
    <w:tbl>
      <w:tblPr>
        <w:tblStyle w:val="65"/>
        <w:tblW w:w="0" w:type="auto"/>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53"/>
        <w:gridCol w:w="3927"/>
        <w:gridCol w:w="1230"/>
        <w:gridCol w:w="894"/>
        <w:gridCol w:w="851"/>
        <w:gridCol w:w="1276"/>
      </w:tblGrid>
      <w:tr w14:paraId="75448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547DC07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序号</w:t>
            </w:r>
          </w:p>
        </w:tc>
        <w:tc>
          <w:tcPr>
            <w:tcW w:w="3927" w:type="dxa"/>
            <w:vAlign w:val="center"/>
          </w:tcPr>
          <w:p w14:paraId="682F180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名      称</w:t>
            </w:r>
          </w:p>
        </w:tc>
        <w:tc>
          <w:tcPr>
            <w:tcW w:w="1230" w:type="dxa"/>
            <w:vAlign w:val="center"/>
          </w:tcPr>
          <w:p w14:paraId="3BC2969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容量</w:t>
            </w:r>
          </w:p>
        </w:tc>
        <w:tc>
          <w:tcPr>
            <w:tcW w:w="894" w:type="dxa"/>
            <w:vAlign w:val="center"/>
          </w:tcPr>
          <w:p w14:paraId="2F5D668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单 位</w:t>
            </w:r>
          </w:p>
        </w:tc>
        <w:tc>
          <w:tcPr>
            <w:tcW w:w="851" w:type="dxa"/>
            <w:vAlign w:val="center"/>
          </w:tcPr>
          <w:p w14:paraId="329430B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 量</w:t>
            </w:r>
          </w:p>
        </w:tc>
        <w:tc>
          <w:tcPr>
            <w:tcW w:w="1276" w:type="dxa"/>
            <w:vAlign w:val="center"/>
          </w:tcPr>
          <w:p w14:paraId="330BEE6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备注</w:t>
            </w:r>
          </w:p>
        </w:tc>
      </w:tr>
      <w:tr w14:paraId="3B1A84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40C5D60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3927" w:type="dxa"/>
            <w:vAlign w:val="center"/>
          </w:tcPr>
          <w:p w14:paraId="7864D9EF">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主变压器（三相双绕组35kV户外油浸式变压器）S20-2500/35</w:t>
            </w:r>
          </w:p>
        </w:tc>
        <w:tc>
          <w:tcPr>
            <w:tcW w:w="1230" w:type="dxa"/>
            <w:vAlign w:val="center"/>
          </w:tcPr>
          <w:p w14:paraId="09CABF6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2500kVA</w:t>
            </w:r>
          </w:p>
        </w:tc>
        <w:tc>
          <w:tcPr>
            <w:tcW w:w="894" w:type="dxa"/>
            <w:vAlign w:val="center"/>
          </w:tcPr>
          <w:p w14:paraId="32AF5C4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851" w:type="dxa"/>
            <w:vAlign w:val="center"/>
          </w:tcPr>
          <w:p w14:paraId="667973A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276" w:type="dxa"/>
            <w:vAlign w:val="center"/>
          </w:tcPr>
          <w:p w14:paraId="15CFB7B9">
            <w:pPr>
              <w:rPr>
                <w:rFonts w:hint="eastAsia" w:asciiTheme="minorEastAsia" w:hAnsiTheme="minorEastAsia" w:eastAsiaTheme="minorEastAsia" w:cstheme="minorEastAsia"/>
                <w:b/>
                <w:snapToGrid w:val="0"/>
                <w:color w:val="auto"/>
                <w:szCs w:val="21"/>
              </w:rPr>
            </w:pPr>
          </w:p>
        </w:tc>
      </w:tr>
      <w:tr w14:paraId="3BCC1D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03A04BF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3927" w:type="dxa"/>
            <w:vAlign w:val="center"/>
          </w:tcPr>
          <w:p w14:paraId="7AC3AF92">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#1厂用变压器（三相双绕组6.3kV干式变压器）SC14-80/6</w:t>
            </w:r>
          </w:p>
        </w:tc>
        <w:tc>
          <w:tcPr>
            <w:tcW w:w="1230" w:type="dxa"/>
            <w:vAlign w:val="center"/>
          </w:tcPr>
          <w:p w14:paraId="4E6C789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80kVA</w:t>
            </w:r>
          </w:p>
        </w:tc>
        <w:tc>
          <w:tcPr>
            <w:tcW w:w="894" w:type="dxa"/>
            <w:vAlign w:val="center"/>
          </w:tcPr>
          <w:p w14:paraId="2F47095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851" w:type="dxa"/>
            <w:vAlign w:val="center"/>
          </w:tcPr>
          <w:p w14:paraId="72A3375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276" w:type="dxa"/>
            <w:vAlign w:val="center"/>
          </w:tcPr>
          <w:p w14:paraId="51A8BEB9">
            <w:pPr>
              <w:rPr>
                <w:rFonts w:hint="eastAsia" w:asciiTheme="minorEastAsia" w:hAnsiTheme="minorEastAsia" w:eastAsiaTheme="minorEastAsia" w:cstheme="minorEastAsia"/>
                <w:b/>
                <w:snapToGrid w:val="0"/>
                <w:color w:val="auto"/>
                <w:szCs w:val="21"/>
              </w:rPr>
            </w:pPr>
          </w:p>
        </w:tc>
      </w:tr>
      <w:tr w14:paraId="795AE0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4828D59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3927" w:type="dxa"/>
            <w:vAlign w:val="center"/>
          </w:tcPr>
          <w:p w14:paraId="094A8AE3">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#2厂用变压器（三相双绕组6.3kV干式变压器）SC14-80/10</w:t>
            </w:r>
          </w:p>
        </w:tc>
        <w:tc>
          <w:tcPr>
            <w:tcW w:w="1230" w:type="dxa"/>
            <w:vAlign w:val="center"/>
          </w:tcPr>
          <w:p w14:paraId="5194CED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80kVA</w:t>
            </w:r>
          </w:p>
        </w:tc>
        <w:tc>
          <w:tcPr>
            <w:tcW w:w="894" w:type="dxa"/>
            <w:vAlign w:val="center"/>
          </w:tcPr>
          <w:p w14:paraId="74C5C42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851" w:type="dxa"/>
            <w:vAlign w:val="center"/>
          </w:tcPr>
          <w:p w14:paraId="11865E7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276" w:type="dxa"/>
            <w:vAlign w:val="center"/>
          </w:tcPr>
          <w:p w14:paraId="50EAA5F5">
            <w:pPr>
              <w:rPr>
                <w:rFonts w:hint="eastAsia" w:asciiTheme="minorEastAsia" w:hAnsiTheme="minorEastAsia" w:eastAsiaTheme="minorEastAsia" w:cstheme="minorEastAsia"/>
                <w:b/>
                <w:snapToGrid w:val="0"/>
                <w:color w:val="auto"/>
                <w:szCs w:val="21"/>
              </w:rPr>
            </w:pPr>
          </w:p>
        </w:tc>
      </w:tr>
      <w:tr w14:paraId="33B329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6233664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3927" w:type="dxa"/>
            <w:vAlign w:val="center"/>
          </w:tcPr>
          <w:p w14:paraId="3633091B">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规定的备品备件</w:t>
            </w:r>
          </w:p>
        </w:tc>
        <w:tc>
          <w:tcPr>
            <w:tcW w:w="1230" w:type="dxa"/>
            <w:vAlign w:val="center"/>
          </w:tcPr>
          <w:p w14:paraId="5E44DBCF">
            <w:pPr>
              <w:jc w:val="center"/>
              <w:rPr>
                <w:rFonts w:hint="eastAsia" w:asciiTheme="minorEastAsia" w:hAnsiTheme="minorEastAsia" w:eastAsiaTheme="minorEastAsia" w:cstheme="minorEastAsia"/>
                <w:snapToGrid w:val="0"/>
                <w:color w:val="auto"/>
                <w:szCs w:val="21"/>
              </w:rPr>
            </w:pPr>
          </w:p>
        </w:tc>
        <w:tc>
          <w:tcPr>
            <w:tcW w:w="894" w:type="dxa"/>
            <w:vAlign w:val="center"/>
          </w:tcPr>
          <w:p w14:paraId="6303D83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851" w:type="dxa"/>
            <w:vAlign w:val="center"/>
          </w:tcPr>
          <w:p w14:paraId="0730E7C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276" w:type="dxa"/>
            <w:vAlign w:val="center"/>
          </w:tcPr>
          <w:p w14:paraId="676030E8">
            <w:pPr>
              <w:jc w:val="center"/>
              <w:rPr>
                <w:rFonts w:hint="eastAsia" w:asciiTheme="minorEastAsia" w:hAnsiTheme="minorEastAsia" w:eastAsiaTheme="minorEastAsia" w:cstheme="minorEastAsia"/>
                <w:snapToGrid w:val="0"/>
                <w:color w:val="auto"/>
                <w:szCs w:val="21"/>
              </w:rPr>
            </w:pPr>
          </w:p>
        </w:tc>
      </w:tr>
      <w:tr w14:paraId="0C97EB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5E93F81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3927" w:type="dxa"/>
            <w:vAlign w:val="center"/>
          </w:tcPr>
          <w:p w14:paraId="494F1769">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必须的专用工具等</w:t>
            </w:r>
          </w:p>
        </w:tc>
        <w:tc>
          <w:tcPr>
            <w:tcW w:w="1230" w:type="dxa"/>
            <w:vAlign w:val="center"/>
          </w:tcPr>
          <w:p w14:paraId="7AE333EE">
            <w:pPr>
              <w:jc w:val="center"/>
              <w:rPr>
                <w:rFonts w:hint="eastAsia" w:asciiTheme="minorEastAsia" w:hAnsiTheme="minorEastAsia" w:eastAsiaTheme="minorEastAsia" w:cstheme="minorEastAsia"/>
                <w:snapToGrid w:val="0"/>
                <w:color w:val="auto"/>
                <w:szCs w:val="21"/>
              </w:rPr>
            </w:pPr>
          </w:p>
        </w:tc>
        <w:tc>
          <w:tcPr>
            <w:tcW w:w="894" w:type="dxa"/>
            <w:vAlign w:val="center"/>
          </w:tcPr>
          <w:p w14:paraId="111893F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851" w:type="dxa"/>
            <w:vAlign w:val="center"/>
          </w:tcPr>
          <w:p w14:paraId="797DB7C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276" w:type="dxa"/>
            <w:vAlign w:val="center"/>
          </w:tcPr>
          <w:p w14:paraId="40F9E8EF">
            <w:pPr>
              <w:jc w:val="center"/>
              <w:rPr>
                <w:rFonts w:hint="eastAsia" w:asciiTheme="minorEastAsia" w:hAnsiTheme="minorEastAsia" w:eastAsiaTheme="minorEastAsia" w:cstheme="minorEastAsia"/>
                <w:snapToGrid w:val="0"/>
                <w:color w:val="auto"/>
                <w:szCs w:val="21"/>
              </w:rPr>
            </w:pPr>
          </w:p>
        </w:tc>
      </w:tr>
    </w:tbl>
    <w:p w14:paraId="38A8B7D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承包单位应成套供给合同要求的所有设备及设备安装、试验、拆卸和重新组装所必需的专用工具、专用设备、配件、特殊安装、检验和试验用材料和其他设备。</w:t>
      </w:r>
    </w:p>
    <w:p w14:paraId="58A4827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承包单位应为本合同</w:t>
      </w:r>
      <w:r>
        <w:rPr>
          <w:rFonts w:hint="eastAsia" w:asciiTheme="minorEastAsia" w:hAnsiTheme="minorEastAsia" w:eastAsiaTheme="minorEastAsia" w:cstheme="minorEastAsia"/>
          <w:color w:val="auto"/>
          <w:szCs w:val="21"/>
        </w:rPr>
        <w:t>设备</w:t>
      </w:r>
      <w:r>
        <w:rPr>
          <w:rFonts w:hint="eastAsia" w:asciiTheme="minorEastAsia" w:hAnsiTheme="minorEastAsia" w:eastAsiaTheme="minorEastAsia" w:cstheme="minorEastAsia"/>
          <w:snapToGrid w:val="0"/>
          <w:color w:val="auto"/>
          <w:szCs w:val="21"/>
        </w:rPr>
        <w:t>提供运行和维护所需的备品备件及专用工具。</w:t>
      </w:r>
    </w:p>
    <w:p w14:paraId="3DD280A9">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承包单位应提供相互协调和完善的设计。任何元件或装置，如果招标文件中未专门提到，但它对于一套完整的和性能良好的变压器又是必不可少的，或者对于稳定运行，改善变压器运行品质都是必要的话，那么这些元件或装置，也应由承包单位提供，其费用包括在总价中。</w:t>
      </w:r>
    </w:p>
    <w:p w14:paraId="4DB8D4ED">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8.3 标准及规范</w:t>
      </w:r>
    </w:p>
    <w:p w14:paraId="61185F24">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3.1 采用的技术标准</w:t>
      </w:r>
    </w:p>
    <w:p w14:paraId="570A841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变压器的设计、制造、试验、包装、运输、安装除应满足本规范规定的要求外，尚须遵照如下规程规范与标准。若这些标准作出修改时，应以修订后的新标准执行。本合同应遵照的主要规程、规范与标准有：</w:t>
      </w:r>
    </w:p>
    <w:p w14:paraId="082D9FF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1094.1       电力变压器  第1部分：总则</w:t>
      </w:r>
    </w:p>
    <w:p w14:paraId="790B375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1094.2       电力变压器  第2部分：温升</w:t>
      </w:r>
    </w:p>
    <w:p w14:paraId="267A539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1094.3       电力变压器  第3部分：绝缘水平和绝缘试验和外绝缘空气间隙</w:t>
      </w:r>
    </w:p>
    <w:p w14:paraId="4BFDD8B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1094.5       电力变压器  第5部分：承受短路的能力</w:t>
      </w:r>
    </w:p>
    <w:p w14:paraId="29DC7A7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GB772          高压电瓷瓷件技术条件</w:t>
      </w:r>
    </w:p>
    <w:p w14:paraId="1823D3F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311.1        高压输变电设备的绝缘配合</w:t>
      </w:r>
    </w:p>
    <w:p w14:paraId="7F2F378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GB/T1094.7      电力变压器  第7部分：油浸式电力变压器负载导则</w:t>
      </w:r>
    </w:p>
    <w:p w14:paraId="5FFA2B4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GB/T1094.11     电力变压器  第11部分：干式变压器</w:t>
      </w:r>
    </w:p>
    <w:p w14:paraId="47B697A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GB/T6451        油浸式电力变压器技术参数和要求</w:t>
      </w:r>
    </w:p>
    <w:p w14:paraId="6F5F0F0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16927.1～2  高电压试验技术</w:t>
      </w:r>
    </w:p>
    <w:p w14:paraId="1A74290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4109         高压套管技术条件</w:t>
      </w:r>
    </w:p>
    <w:p w14:paraId="656BA4F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7449         电力变压器和电抗器的雷电冲击和操作冲击试验导则</w:t>
      </w:r>
    </w:p>
    <w:p w14:paraId="55CEF26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5273         变压器、高压电器和套管的接线端子</w:t>
      </w:r>
    </w:p>
    <w:p w14:paraId="59B25C4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5582       高压电力设备外绝缘污秽等级</w:t>
      </w:r>
    </w:p>
    <w:p w14:paraId="20CE216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7328         变压器和电抗器的声级测定</w:t>
      </w:r>
    </w:p>
    <w:p w14:paraId="490B9B0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7354         局部放电测量</w:t>
      </w:r>
    </w:p>
    <w:p w14:paraId="504D3EA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 50150        电气装置安装工程：电气设备交接试验标准</w:t>
      </w:r>
    </w:p>
    <w:p w14:paraId="48C721A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DL/T 596        电力设备预防性试验规程</w:t>
      </w:r>
    </w:p>
    <w:p w14:paraId="14D1CBF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DL/T 572        电力变压器运行规程</w:t>
      </w:r>
    </w:p>
    <w:p w14:paraId="640C266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10088       6～500kV级电力变压器声级</w:t>
      </w:r>
    </w:p>
    <w:p w14:paraId="64CE77A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JB/T 2426        发电厂和变电所自用三相变压器技术参数和要求</w:t>
      </w:r>
    </w:p>
    <w:p w14:paraId="2A9158A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 10228      干式电力变压器参数和要求</w:t>
      </w:r>
    </w:p>
    <w:p w14:paraId="10335C2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GB/T17211       干式电力变压器负载导则</w:t>
      </w:r>
    </w:p>
    <w:p w14:paraId="22C97C3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电力机械两部颁发的有关技术要求及规定。</w:t>
      </w:r>
    </w:p>
    <w:p w14:paraId="69148EF9">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3.2 所有螺丝、螺母、螺栓、螺杆和有关管件的螺纹应使用GB标准。</w:t>
      </w:r>
    </w:p>
    <w:p w14:paraId="6B2ABE9D">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3.3 设备制造应采用先进的工艺，以保证各种运行情况下运行可靠。所有部件的结构、尺寸和材料应做到在各种应力下不产生扭曲和过量磨损。零部件应有良好的互换性和便于安装及检修。</w:t>
      </w:r>
    </w:p>
    <w:p w14:paraId="03E6F5B9">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8.4 技术要求</w:t>
      </w:r>
    </w:p>
    <w:p w14:paraId="6B393273">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4.1 概述</w:t>
      </w:r>
    </w:p>
    <w:p w14:paraId="23D6852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本规范未说明，但又与设计、制造、安装、试验、运输、包装保管和运行、维护等有关的技术要求，按招标文件规定的有关标准执行。</w:t>
      </w:r>
    </w:p>
    <w:p w14:paraId="656D8522">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4.2 主要技术参数</w:t>
      </w:r>
    </w:p>
    <w:p w14:paraId="6BA5648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4.2.1 主变压器</w:t>
      </w:r>
    </w:p>
    <w:p w14:paraId="02F6435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户外、三相、铜绕组、油浸自冷、双绕组无励磁调压型升压变压器</w:t>
      </w:r>
    </w:p>
    <w:p w14:paraId="690E32E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型号：S20-2500/35</w:t>
      </w:r>
    </w:p>
    <w:p w14:paraId="592822B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数量：1台</w:t>
      </w:r>
    </w:p>
    <w:p w14:paraId="7DF14DA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容量：2500kVA</w:t>
      </w:r>
    </w:p>
    <w:p w14:paraId="1C182A0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频率：50Hz</w:t>
      </w:r>
    </w:p>
    <w:p w14:paraId="0851BB9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电压比：38.5</w:t>
      </w:r>
      <w:r>
        <w:rPr>
          <w:rFonts w:hint="eastAsia" w:asciiTheme="minorEastAsia" w:hAnsiTheme="minorEastAsia" w:eastAsiaTheme="minorEastAsia" w:cstheme="minorEastAsia"/>
          <w:snapToGrid w:val="0"/>
          <w:color w:val="auto"/>
          <w:szCs w:val="21"/>
        </w:rPr>
        <w:sym w:font="Symbol" w:char="F0B1"/>
      </w:r>
      <w:r>
        <w:rPr>
          <w:rFonts w:hint="eastAsia" w:asciiTheme="minorEastAsia" w:hAnsiTheme="minorEastAsia" w:eastAsiaTheme="minorEastAsia" w:cstheme="minorEastAsia"/>
          <w:snapToGrid w:val="0"/>
          <w:color w:val="auto"/>
          <w:szCs w:val="21"/>
        </w:rPr>
        <w:t>2×2.5%/6.3kV</w:t>
      </w:r>
    </w:p>
    <w:p w14:paraId="6D19910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阻抗电压</w:t>
      </w:r>
      <w:r>
        <w:rPr>
          <w:rFonts w:hint="eastAsia" w:asciiTheme="minorEastAsia" w:hAnsiTheme="minorEastAsia" w:eastAsiaTheme="minorEastAsia" w:cstheme="minorEastAsia"/>
          <w:color w:val="auto"/>
          <w:szCs w:val="21"/>
        </w:rPr>
        <w:t>（Uk%）</w:t>
      </w:r>
      <w:r>
        <w:rPr>
          <w:rFonts w:hint="eastAsia" w:asciiTheme="minorEastAsia" w:hAnsiTheme="minorEastAsia" w:eastAsiaTheme="minorEastAsia" w:cstheme="minorEastAsia"/>
          <w:snapToGrid w:val="0"/>
          <w:color w:val="auto"/>
          <w:szCs w:val="21"/>
        </w:rPr>
        <w:t>：6.5</w:t>
      </w:r>
    </w:p>
    <w:p w14:paraId="49E8D9F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接线组别：Y, d11</w:t>
      </w:r>
    </w:p>
    <w:p w14:paraId="733B04B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调压形式：无励磁调压</w:t>
      </w:r>
    </w:p>
    <w:p w14:paraId="3083332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绝缘水平：高压侧  冲击耐压（全波，峰值）200kV</w:t>
      </w:r>
    </w:p>
    <w:p w14:paraId="401864F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（截波，峰值）220kV</w:t>
      </w:r>
    </w:p>
    <w:p w14:paraId="340F4AB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工频耐压（1min，有效值）85kV</w:t>
      </w:r>
    </w:p>
    <w:p w14:paraId="0007BD5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低压侧  冲击耐压（全波，峰值）60kV</w:t>
      </w:r>
    </w:p>
    <w:p w14:paraId="497300C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（截波，峰值）65kV</w:t>
      </w:r>
    </w:p>
    <w:p w14:paraId="17159B1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工频耐压（1min，有效值）25kV</w:t>
      </w:r>
    </w:p>
    <w:p w14:paraId="3554B67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空载损耗：≯2.05kW</w:t>
      </w:r>
    </w:p>
    <w:p w14:paraId="6A438AC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负载损耗：≯18.6kW</w:t>
      </w:r>
    </w:p>
    <w:p w14:paraId="3A31EA9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空载电流：≯0.36%</w:t>
      </w:r>
    </w:p>
    <w:p w14:paraId="2F81D93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绝缘材料耐热等级：A</w:t>
      </w:r>
    </w:p>
    <w:p w14:paraId="0990179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变压器油牌号：I-20℃变压器油(通用)-GB 2536</w:t>
      </w:r>
    </w:p>
    <w:p w14:paraId="6E39A70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电流互感器：LR-35，50/5A，10P30/10P30/3只</w:t>
      </w:r>
    </w:p>
    <w:p w14:paraId="7D75328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4.2.2  #1厂用变压器</w:t>
      </w:r>
    </w:p>
    <w:p w14:paraId="7B7525C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户内、三相干式、无励磁调压型环氧树脂浇注降压变压器</w:t>
      </w:r>
    </w:p>
    <w:p w14:paraId="1FA5CBF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型号：SC14-80/6.3</w:t>
      </w:r>
    </w:p>
    <w:p w14:paraId="5F41F67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数量：1台</w:t>
      </w:r>
    </w:p>
    <w:p w14:paraId="748EAE8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容量：80kVA</w:t>
      </w:r>
    </w:p>
    <w:p w14:paraId="1B1013F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频率：50HZ</w:t>
      </w:r>
    </w:p>
    <w:p w14:paraId="37CD342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电压比：6.3±5%/0.4kV</w:t>
      </w:r>
    </w:p>
    <w:p w14:paraId="17B49BC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阻抗电压（Uk%）：4.0</w:t>
      </w:r>
    </w:p>
    <w:p w14:paraId="6CFE241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接线组别：D, yn11</w:t>
      </w:r>
    </w:p>
    <w:p w14:paraId="7819F90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调压形式：无励磁调压</w:t>
      </w:r>
    </w:p>
    <w:p w14:paraId="1B3EC9E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绝缘水平：LI60AC25/LI0AC3</w:t>
      </w:r>
    </w:p>
    <w:p w14:paraId="1419F97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空载损耗：≯0.25kW</w:t>
      </w:r>
    </w:p>
    <w:p w14:paraId="2BAA4E8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负载损耗：≯1.24kW，F(120℃)</w:t>
      </w:r>
    </w:p>
    <w:p w14:paraId="3C9D97B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空载电流：≯1.5%</w:t>
      </w:r>
    </w:p>
    <w:p w14:paraId="4520477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绝缘材料耐热等级：F</w:t>
      </w:r>
    </w:p>
    <w:p w14:paraId="50BCBE9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#1厂用变压器放置于高压开关柜内，为良好地散热，需加装风机。</w:t>
      </w:r>
    </w:p>
    <w:p w14:paraId="57E1F42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4.2.3  #2厂用变压器</w:t>
      </w:r>
    </w:p>
    <w:p w14:paraId="678BBF3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户内、三相干式、无励磁调压型环氧树脂浇注降压变压器</w:t>
      </w:r>
    </w:p>
    <w:p w14:paraId="1314F13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型号：SC14-80/10</w:t>
      </w:r>
    </w:p>
    <w:p w14:paraId="525DDA5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数量：1台</w:t>
      </w:r>
    </w:p>
    <w:p w14:paraId="45F4DA8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容量：80kVA</w:t>
      </w:r>
    </w:p>
    <w:p w14:paraId="012F34B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频率：50HZ</w:t>
      </w:r>
    </w:p>
    <w:p w14:paraId="18DEF7A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电压比：10±5%/0.4kV</w:t>
      </w:r>
    </w:p>
    <w:p w14:paraId="045F9C4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阻抗电压（Uk%）：4.0</w:t>
      </w:r>
    </w:p>
    <w:p w14:paraId="0472FDA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接线组别：D, yn11</w:t>
      </w:r>
    </w:p>
    <w:p w14:paraId="20F5DEF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调压形式：无励磁调压</w:t>
      </w:r>
    </w:p>
    <w:p w14:paraId="6860A57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绝缘水平：LI60AC25/LI0AC3</w:t>
      </w:r>
    </w:p>
    <w:p w14:paraId="039EBFE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空载损耗：≯0.25kW</w:t>
      </w:r>
    </w:p>
    <w:p w14:paraId="0F519AB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负载损耗：≯1.24kW，F(120℃)</w:t>
      </w:r>
    </w:p>
    <w:p w14:paraId="7918770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空载电流：≯1.5%</w:t>
      </w:r>
    </w:p>
    <w:p w14:paraId="4FB0C8C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绝缘材料耐热等级：F</w:t>
      </w:r>
    </w:p>
    <w:p w14:paraId="32BA228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#2厂用变压器放置于高压开关柜内，为良好地散热，需加装风机。</w:t>
      </w:r>
    </w:p>
    <w:p w14:paraId="780A79FD">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8.5 基本结构配置及要求</w:t>
      </w:r>
    </w:p>
    <w:p w14:paraId="2732CBD6">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5.1 油浸式主变压器</w:t>
      </w:r>
    </w:p>
    <w:p w14:paraId="257C9D90">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5.1.1 型式</w:t>
      </w:r>
    </w:p>
    <w:p w14:paraId="6F1FF2A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35kV主变压器为三相双绕组油浸自冷升压变压器，其35kV侧采用套管与钢芯铝绞线连接，6.3kV侧采用套管与电缆连接。</w:t>
      </w:r>
    </w:p>
    <w:p w14:paraId="751EFE6F">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5.1.2 温升</w:t>
      </w:r>
    </w:p>
    <w:p w14:paraId="37C00DE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变压器在本规范规定的使用条件下，各部位的温升不得超过下表中的规定值，并按GB1094.2的规定进行试验：</w:t>
      </w:r>
    </w:p>
    <w:tbl>
      <w:tblPr>
        <w:tblStyle w:val="65"/>
        <w:tblW w:w="0" w:type="auto"/>
        <w:tblInd w:w="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9"/>
        <w:gridCol w:w="2276"/>
      </w:tblGrid>
      <w:tr w14:paraId="536C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vAlign w:val="center"/>
          </w:tcPr>
          <w:p w14:paraId="0BA34E18">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部  位</w:t>
            </w:r>
          </w:p>
        </w:tc>
        <w:tc>
          <w:tcPr>
            <w:tcW w:w="2276" w:type="dxa"/>
            <w:vAlign w:val="center"/>
          </w:tcPr>
          <w:p w14:paraId="1B39A17E">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最高温升(K)</w:t>
            </w:r>
          </w:p>
        </w:tc>
      </w:tr>
      <w:tr w14:paraId="44F1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vAlign w:val="center"/>
          </w:tcPr>
          <w:p w14:paraId="13DD69EA">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线圈(电阻法测量)</w:t>
            </w:r>
          </w:p>
        </w:tc>
        <w:tc>
          <w:tcPr>
            <w:tcW w:w="2276" w:type="dxa"/>
            <w:vAlign w:val="center"/>
          </w:tcPr>
          <w:p w14:paraId="6A36AA31">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65</w:t>
            </w:r>
          </w:p>
        </w:tc>
      </w:tr>
      <w:tr w14:paraId="0BA6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vAlign w:val="center"/>
          </w:tcPr>
          <w:p w14:paraId="24070F93">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顶层油温(温度计测量)</w:t>
            </w:r>
          </w:p>
        </w:tc>
        <w:tc>
          <w:tcPr>
            <w:tcW w:w="2276" w:type="dxa"/>
            <w:vAlign w:val="center"/>
          </w:tcPr>
          <w:p w14:paraId="3242A356">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55</w:t>
            </w:r>
          </w:p>
        </w:tc>
      </w:tr>
      <w:tr w14:paraId="678A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vAlign w:val="center"/>
          </w:tcPr>
          <w:p w14:paraId="51A7AFA1">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油箱及结构件表面(红外线温度计法测量)</w:t>
            </w:r>
          </w:p>
        </w:tc>
        <w:tc>
          <w:tcPr>
            <w:tcW w:w="2276" w:type="dxa"/>
            <w:vAlign w:val="center"/>
          </w:tcPr>
          <w:p w14:paraId="181C29AC">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80</w:t>
            </w:r>
          </w:p>
        </w:tc>
      </w:tr>
      <w:tr w14:paraId="1457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dxa"/>
            <w:vAlign w:val="center"/>
          </w:tcPr>
          <w:p w14:paraId="3A8B2A54">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铁芯</w:t>
            </w:r>
          </w:p>
        </w:tc>
        <w:tc>
          <w:tcPr>
            <w:tcW w:w="2276" w:type="dxa"/>
            <w:vAlign w:val="center"/>
          </w:tcPr>
          <w:p w14:paraId="1B165121">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75</w:t>
            </w:r>
          </w:p>
        </w:tc>
      </w:tr>
    </w:tbl>
    <w:p w14:paraId="4C3995D7">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金属结构件的温升值应不导致绝缘件的损坏和油受到过度老化。</w:t>
      </w:r>
    </w:p>
    <w:p w14:paraId="40B81EB3">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5.1.3 电气特性和性能</w:t>
      </w:r>
    </w:p>
    <w:p w14:paraId="31A0AB3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（1）变压器本体的绝缘水平</w:t>
      </w:r>
    </w:p>
    <w:tbl>
      <w:tblPr>
        <w:tblStyle w:val="65"/>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701"/>
        <w:gridCol w:w="2003"/>
      </w:tblGrid>
      <w:tr w14:paraId="274A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6FD8DDE">
            <w:pPr>
              <w:snapToGrid w:val="0"/>
              <w:spacing w:line="360" w:lineRule="auto"/>
              <w:jc w:val="center"/>
              <w:rPr>
                <w:rFonts w:hint="eastAsia" w:asciiTheme="minorEastAsia" w:hAnsiTheme="minorEastAsia" w:eastAsiaTheme="minorEastAsia" w:cstheme="minorEastAsia"/>
                <w:color w:val="auto"/>
                <w:szCs w:val="21"/>
              </w:rPr>
            </w:pPr>
          </w:p>
        </w:tc>
        <w:tc>
          <w:tcPr>
            <w:tcW w:w="3402" w:type="dxa"/>
            <w:gridSpan w:val="2"/>
            <w:vAlign w:val="center"/>
          </w:tcPr>
          <w:p w14:paraId="46A4D3E3">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雷电冲击耐压 kV(峰值)</w:t>
            </w:r>
          </w:p>
        </w:tc>
        <w:tc>
          <w:tcPr>
            <w:tcW w:w="2003" w:type="dxa"/>
            <w:vAlign w:val="center"/>
          </w:tcPr>
          <w:p w14:paraId="797EBC37">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一分钟工频耐压</w:t>
            </w:r>
          </w:p>
        </w:tc>
      </w:tr>
      <w:tr w14:paraId="006D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0CAB563">
            <w:pPr>
              <w:snapToGrid w:val="0"/>
              <w:spacing w:line="360" w:lineRule="auto"/>
              <w:jc w:val="center"/>
              <w:rPr>
                <w:rFonts w:hint="eastAsia" w:asciiTheme="minorEastAsia" w:hAnsiTheme="minorEastAsia" w:eastAsiaTheme="minorEastAsia" w:cstheme="minorEastAsia"/>
                <w:color w:val="auto"/>
                <w:szCs w:val="21"/>
              </w:rPr>
            </w:pPr>
          </w:p>
        </w:tc>
        <w:tc>
          <w:tcPr>
            <w:tcW w:w="1701" w:type="dxa"/>
            <w:vAlign w:val="center"/>
          </w:tcPr>
          <w:p w14:paraId="1E2CCB9B">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全  波</w:t>
            </w:r>
          </w:p>
        </w:tc>
        <w:tc>
          <w:tcPr>
            <w:tcW w:w="1701" w:type="dxa"/>
            <w:vAlign w:val="center"/>
          </w:tcPr>
          <w:p w14:paraId="05461766">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截  波</w:t>
            </w:r>
          </w:p>
        </w:tc>
        <w:tc>
          <w:tcPr>
            <w:tcW w:w="2003" w:type="dxa"/>
            <w:vAlign w:val="center"/>
          </w:tcPr>
          <w:p w14:paraId="5E147487">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kV(有效值)</w:t>
            </w:r>
          </w:p>
        </w:tc>
      </w:tr>
      <w:tr w14:paraId="0FA9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E4DCB51">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高压</w:t>
            </w:r>
          </w:p>
        </w:tc>
        <w:tc>
          <w:tcPr>
            <w:tcW w:w="1701" w:type="dxa"/>
            <w:vAlign w:val="center"/>
          </w:tcPr>
          <w:p w14:paraId="7CFDEBBE">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200</w:t>
            </w:r>
          </w:p>
        </w:tc>
        <w:tc>
          <w:tcPr>
            <w:tcW w:w="1701" w:type="dxa"/>
            <w:vAlign w:val="center"/>
          </w:tcPr>
          <w:p w14:paraId="3233605C">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220</w:t>
            </w:r>
          </w:p>
        </w:tc>
        <w:tc>
          <w:tcPr>
            <w:tcW w:w="2003" w:type="dxa"/>
            <w:vAlign w:val="center"/>
          </w:tcPr>
          <w:p w14:paraId="62B46DCF">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85</w:t>
            </w:r>
          </w:p>
        </w:tc>
      </w:tr>
      <w:tr w14:paraId="469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2F4689F">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低压</w:t>
            </w:r>
          </w:p>
        </w:tc>
        <w:tc>
          <w:tcPr>
            <w:tcW w:w="1701" w:type="dxa"/>
            <w:vAlign w:val="center"/>
          </w:tcPr>
          <w:p w14:paraId="0937DAFC">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60</w:t>
            </w:r>
          </w:p>
        </w:tc>
        <w:tc>
          <w:tcPr>
            <w:tcW w:w="1701" w:type="dxa"/>
            <w:vAlign w:val="center"/>
          </w:tcPr>
          <w:p w14:paraId="5D717FD7">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65</w:t>
            </w:r>
          </w:p>
        </w:tc>
        <w:tc>
          <w:tcPr>
            <w:tcW w:w="2003" w:type="dxa"/>
            <w:vAlign w:val="center"/>
          </w:tcPr>
          <w:p w14:paraId="2ADEA678">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w:t>
            </w:r>
          </w:p>
        </w:tc>
      </w:tr>
    </w:tbl>
    <w:p w14:paraId="288E701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（2）损耗</w:t>
      </w:r>
    </w:p>
    <w:p w14:paraId="70334EA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在额定电压、额定频率、额定负荷下(绕组温度75℃)：</w:t>
      </w:r>
    </w:p>
    <w:p w14:paraId="173475E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空载损耗：≤2.05kW</w:t>
      </w:r>
    </w:p>
    <w:p w14:paraId="7199D9B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负载损耗：≤18.6kW</w:t>
      </w:r>
    </w:p>
    <w:p w14:paraId="6F470FF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损耗不允许有正偏差，同时需满足2级能效等级限定值要求。 </w:t>
      </w:r>
    </w:p>
    <w:p w14:paraId="1A59D85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（3）空载电流</w:t>
      </w:r>
    </w:p>
    <w:p w14:paraId="402D910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在额定电压和额定频率下试验：</w:t>
      </w:r>
    </w:p>
    <w:p w14:paraId="3C4991A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主变压器空载电流应不大于额定电流的0.5%。</w:t>
      </w:r>
    </w:p>
    <w:p w14:paraId="458A10A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（4）变压器过激磁允许时间</w:t>
      </w:r>
    </w:p>
    <w:p w14:paraId="6EBD6C78">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由于工频电压和频率变化引起的变压器过激磁，其持续时间应符合下表规定。</w:t>
      </w:r>
    </w:p>
    <w:tbl>
      <w:tblPr>
        <w:tblStyle w:val="65"/>
        <w:tblW w:w="0" w:type="auto"/>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985"/>
        <w:gridCol w:w="2126"/>
        <w:gridCol w:w="1984"/>
      </w:tblGrid>
      <w:tr w14:paraId="6A25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985" w:type="dxa"/>
            <w:vAlign w:val="center"/>
          </w:tcPr>
          <w:p w14:paraId="0E1DA513">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   况</w:t>
            </w:r>
          </w:p>
        </w:tc>
        <w:tc>
          <w:tcPr>
            <w:tcW w:w="2126" w:type="dxa"/>
            <w:vAlign w:val="center"/>
          </w:tcPr>
          <w:p w14:paraId="229F860F">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满负荷</w:t>
            </w:r>
          </w:p>
        </w:tc>
        <w:tc>
          <w:tcPr>
            <w:tcW w:w="1984" w:type="dxa"/>
            <w:vAlign w:val="center"/>
          </w:tcPr>
          <w:p w14:paraId="3643937B">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空     载</w:t>
            </w:r>
          </w:p>
        </w:tc>
      </w:tr>
      <w:tr w14:paraId="758C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985" w:type="dxa"/>
            <w:vAlign w:val="center"/>
          </w:tcPr>
          <w:p w14:paraId="07271E7E">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过激磁倍数</w:t>
            </w:r>
          </w:p>
        </w:tc>
        <w:tc>
          <w:tcPr>
            <w:tcW w:w="2126" w:type="dxa"/>
            <w:vAlign w:val="center"/>
          </w:tcPr>
          <w:p w14:paraId="665BC04D">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1.05</w:t>
            </w:r>
          </w:p>
        </w:tc>
        <w:tc>
          <w:tcPr>
            <w:tcW w:w="1984" w:type="dxa"/>
            <w:vAlign w:val="center"/>
          </w:tcPr>
          <w:p w14:paraId="226CF929">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w:t>
            </w:r>
          </w:p>
        </w:tc>
      </w:tr>
      <w:tr w14:paraId="06F0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985" w:type="dxa"/>
            <w:vAlign w:val="center"/>
          </w:tcPr>
          <w:p w14:paraId="5AD2943A">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允许时间</w:t>
            </w:r>
          </w:p>
        </w:tc>
        <w:tc>
          <w:tcPr>
            <w:tcW w:w="2126" w:type="dxa"/>
            <w:vAlign w:val="center"/>
          </w:tcPr>
          <w:p w14:paraId="7AC2BA90">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连续</w:t>
            </w:r>
          </w:p>
        </w:tc>
        <w:tc>
          <w:tcPr>
            <w:tcW w:w="1984" w:type="dxa"/>
            <w:vAlign w:val="center"/>
          </w:tcPr>
          <w:p w14:paraId="79BAA236">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连续</w:t>
            </w:r>
          </w:p>
        </w:tc>
      </w:tr>
    </w:tbl>
    <w:p w14:paraId="7514785C">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注：过激磁倍数为实际施加电压与运行分接头的额定电压之比乘以额定频率与实际频率之比。</w:t>
      </w:r>
    </w:p>
    <w:p w14:paraId="2EB4FB3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（5）承受短路的能力</w:t>
      </w:r>
    </w:p>
    <w:p w14:paraId="3C1F689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承受短路能力按有关规定进行。当变压器高压侧系统容量为无穷大时，在任意分接头下，热稳定能力应能承受变压器满负荷运行时端部三相对称短路电流持续时间2s，线圈的平均温度最高不应超过250℃；动稳定能力应能承受端部三相对称短路动稳定电流持续时间0.25s，变压器各部位应无损坏，明显位移和变形及放电痕迹。</w:t>
      </w:r>
    </w:p>
    <w:p w14:paraId="40B06B3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（6）调压方式</w:t>
      </w:r>
    </w:p>
    <w:p w14:paraId="1B6E020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主变压器采用无励磁调压方式。</w:t>
      </w:r>
    </w:p>
    <w:p w14:paraId="57D48B6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（7）预期寿命</w:t>
      </w:r>
    </w:p>
    <w:p w14:paraId="08D4EF4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变压器的预期寿命不小于30年。</w:t>
      </w:r>
    </w:p>
    <w:p w14:paraId="59E8D60D">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变压器的附属设备将按照卖方提供的使用说明书进行使用和维护，卖方应保证设备能正常运行。</w:t>
      </w:r>
    </w:p>
    <w:p w14:paraId="43043934">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5.1.4 结构</w:t>
      </w:r>
    </w:p>
    <w:p w14:paraId="1E8031D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（1）铁芯</w:t>
      </w:r>
    </w:p>
    <w:p w14:paraId="5CEDBB6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铁芯应采用高质量的冷轧硅钢片叠装而成。主柱和旁轭采用斜接工艺。叠片时应防止叠片漆膜受损。铁芯叠装时所施加的压力应均匀一致。铁芯不应因运输和运行中的振动发生相对位移。铁芯及夹件接地线应通过套管引出接地，以方便于接地和停电测试。</w:t>
      </w:r>
    </w:p>
    <w:p w14:paraId="3D8F4F9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其套管应能承受2000V工频电压（相对于变压器外壳）1分钟。应采取有效措施防止因漏磁所引起局部过热。</w:t>
      </w:r>
    </w:p>
    <w:p w14:paraId="6CA931E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（2）绕组</w:t>
      </w:r>
    </w:p>
    <w:p w14:paraId="7B7977A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绕组的材料应为高电导率的铜导体。变压器各绕组间的所有接线应在变压器油箱内完成。变压器各侧绕组引出线采用顶部出线。绕组的设计应使得高压绕组的冲击电位尽可能呈线性分布。其设计应使绕组在技术规范规定的正常运行、过负荷和短路情况下不发生局部过热，使变压器的温度场分布较均匀。在各种可能的电压下，变压器的电场分布均匀。</w:t>
      </w:r>
    </w:p>
    <w:p w14:paraId="6AB181D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绕组和引线端应有可靠的支撑和固定，以防止短路引起的机械力和运输中的振动产生相对位移。</w:t>
      </w:r>
    </w:p>
    <w:p w14:paraId="30E4C24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（3）无励磁分接开关</w:t>
      </w:r>
    </w:p>
    <w:p w14:paraId="7D805EF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无励磁分接开关的调节范围：±2×2.5%。</w:t>
      </w:r>
    </w:p>
    <w:p w14:paraId="20B2282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无励磁分接开关应采用三相联动操作机构，分接开关的手动操作装置设置在油箱下部合适高度。并在变压器无励磁工作工况下操作，应设置闭锁装置以防止带电操作。</w:t>
      </w:r>
    </w:p>
    <w:p w14:paraId="5A8E26F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分接开关的操作机构上应设置有分接头位置指示器以及位置锁定装置。锁定装置在分接头到位后锁定。</w:t>
      </w:r>
    </w:p>
    <w:p w14:paraId="105A769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无励磁分接开关应具有良好的电气的、机械的和热的性能。分接开关触头应有足够的接触压力，保证触头接触良好，避免过热和增大负载损耗。其接点应能承受变压器的全短路电流而不损坏。分接开关应能承受正反向分接交换共1万次机械寿命试验。</w:t>
      </w:r>
    </w:p>
    <w:p w14:paraId="130C65B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无励磁分接开关应进行单独的试验项目，承包方应将型式试验报告和出厂试验报告提供给招标方。</w:t>
      </w:r>
    </w:p>
    <w:p w14:paraId="1D3D0A6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（4）套管</w:t>
      </w:r>
    </w:p>
    <w:p w14:paraId="4BE79C4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套管的设计、制造和试验应满足有关标准的要求，套管泄漏比距</w:t>
      </w:r>
      <w:r>
        <w:rPr>
          <w:rFonts w:hint="eastAsia" w:asciiTheme="minorEastAsia" w:hAnsiTheme="minorEastAsia" w:eastAsiaTheme="minorEastAsia" w:cstheme="minorEastAsia"/>
          <w:snapToGrid w:val="0"/>
          <w:color w:val="auto"/>
          <w:szCs w:val="21"/>
        </w:rPr>
        <w:sym w:font="Symbol" w:char="F0B3"/>
      </w:r>
      <w:r>
        <w:rPr>
          <w:rFonts w:hint="eastAsia" w:asciiTheme="minorEastAsia" w:hAnsiTheme="minorEastAsia" w:eastAsiaTheme="minorEastAsia" w:cstheme="minorEastAsia"/>
          <w:snapToGrid w:val="0"/>
          <w:color w:val="auto"/>
          <w:szCs w:val="21"/>
        </w:rPr>
        <w:t>2.5cm/kv。高压侧套管采用40.5kV电压等级套管，低压侧套管选用24kV套管。承包方提供的高压套管接线端应能35kV侧与钢芯铝绞线连接，6.3kV侧与电缆连接。</w:t>
      </w:r>
    </w:p>
    <w:p w14:paraId="2CB0F46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套管接线端子连接处，在环境空气中对空气的温升应不大于55K，在油中对油的温升应不大于15K。</w:t>
      </w:r>
    </w:p>
    <w:p w14:paraId="38D5C42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套管的安装位置和相互距离应便于接线，且其带电部分的空气间隙应能满足GB1094.3的要求。</w:t>
      </w:r>
    </w:p>
    <w:p w14:paraId="5F7A2A3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变压器结构应便于拆卸和更换套管或瓷件。</w:t>
      </w:r>
    </w:p>
    <w:p w14:paraId="1091CF9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（5）油箱 </w:t>
      </w:r>
    </w:p>
    <w:p w14:paraId="500EE50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油箱采用金属波纹式，油箱的设计应方便运行和维护。油箱应由高抗张强度的钢板焊接而成，油箱的上部或下部联接应为密封结构。油箱和所有钢构件，应采取良好的喷沙除锈处理，涂漆前应清除铁锈、氧化皮和焊渣。油箱应有足够的强度和刚度，在装卸和运输中不致损坏。</w:t>
      </w:r>
    </w:p>
    <w:p w14:paraId="3F2F005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油箱应能承受下列试验而无任何永久变形和损伤：</w:t>
      </w:r>
    </w:p>
    <w:p w14:paraId="63832452">
      <w:pPr>
        <w:spacing w:line="360" w:lineRule="auto"/>
        <w:ind w:firstLine="840" w:firstLineChars="4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真空度：50 kPa</w:t>
      </w:r>
    </w:p>
    <w:p w14:paraId="7286F928">
      <w:pPr>
        <w:spacing w:line="360" w:lineRule="auto"/>
        <w:ind w:firstLine="840" w:firstLineChars="4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正压力：60kPa</w:t>
      </w:r>
    </w:p>
    <w:p w14:paraId="42CA485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油箱顶应为微拱或斜面形，以使瓦斯继电器动作可靠。</w:t>
      </w:r>
    </w:p>
    <w:p w14:paraId="0DF8DA4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油箱上所有孔、洞都应采用法兰、螺栓连接，并有可靠的密封装置。油箱密封须承受50kPa压力下保持24小时无泄漏。</w:t>
      </w:r>
    </w:p>
    <w:p w14:paraId="4D46593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在油箱顶部的适当位置，应设置温度计测温探头管座，并伸入油内120mm±10mm。</w:t>
      </w:r>
    </w:p>
    <w:p w14:paraId="165B64C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油箱上应设置适当数量的吊耳和牵引点。吊耳的位置应保证在不采用其他措施的情况下，吊索和变压器套管之间有足够的安全距离。油箱上应对变压器重心位置加以标记。</w:t>
      </w:r>
    </w:p>
    <w:p w14:paraId="02D3C87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对安装平面至油箱顶的高度在3m以上时，应为变压器提供一个固定的扶梯，该扶梯应设计在适当的位置，方便从瓦斯继电器中进行气体抽样。</w:t>
      </w:r>
    </w:p>
    <w:p w14:paraId="7BC3DCD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在油箱的下部壁上应装有取油样或放油用阀门，油箱底部应有排油装置。</w:t>
      </w:r>
    </w:p>
    <w:p w14:paraId="534FC8D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变压器应配置压力释放装置并设置在箱盖端部。压力释放装置应配有保护罩，所配挡板应保证油向下排出。</w:t>
      </w:r>
    </w:p>
    <w:p w14:paraId="29014C9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应尽量减少变压器上的管路接头。</w:t>
      </w:r>
    </w:p>
    <w:p w14:paraId="70368FC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变压器不带钢轮，采用平轨安装。</w:t>
      </w:r>
    </w:p>
    <w:p w14:paraId="5C635BF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（6）储油柜</w:t>
      </w:r>
    </w:p>
    <w:p w14:paraId="67DE8F5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储油柜采用胶囊式，其结构应便于清理内部。储油柜的一端应装有油位计，储油柜的容积应保证在最高环境温度与允许负载状态下油不溢出，在最低环境温度与变压器未投入运行时，应能观察到油位指示。</w:t>
      </w:r>
    </w:p>
    <w:p w14:paraId="5E70413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储油柜应有注油、放油和排污油装置，应装设带有油封的吸湿器。</w:t>
      </w:r>
    </w:p>
    <w:p w14:paraId="053D6DB8">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5.1.5 焊接、无损检测和涂漆</w:t>
      </w:r>
    </w:p>
    <w:p w14:paraId="4D66751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（1）焊接</w:t>
      </w:r>
    </w:p>
    <w:p w14:paraId="6A61D34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变压器外壳连接的设计、焊接、检查和实验都符合国家有关标准的要求。需要应力释放的部件在应力释放后加工到最后尺寸。变压器及其附件不允许现场焊接和加工。</w:t>
      </w:r>
    </w:p>
    <w:p w14:paraId="76242CB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焊接件接缝坡口设计合理，坡口表面平整，无缺陷、油污及其它杂物。</w:t>
      </w:r>
    </w:p>
    <w:p w14:paraId="07E9FEA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焊接压力容器部件的焊接方法、工艺及焊接工符合国家标准中的有关规定。</w:t>
      </w:r>
    </w:p>
    <w:p w14:paraId="151EB3E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（2）无损检测</w:t>
      </w:r>
    </w:p>
    <w:p w14:paraId="6FABB39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无损检测按国家标准有关规定进行。</w:t>
      </w:r>
    </w:p>
    <w:p w14:paraId="18C82B0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无损检测方法主要采用磁粉法、染色法和超声波探伤。当用其它方法检查、解释不清或有疑问时，也可采用射线探伤法。</w:t>
      </w:r>
    </w:p>
    <w:p w14:paraId="5FF70D0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将无损检测的详细工艺流程以书面形式提交招标方审查。</w:t>
      </w:r>
    </w:p>
    <w:p w14:paraId="4F65E04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（3）工厂涂漆和保护层</w:t>
      </w:r>
    </w:p>
    <w:p w14:paraId="47E58FB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在合同签订后，变压器外层的颜色由生产厂家负责提供色牌供招标方选择。对于运输和安装过程中可能发生的涂漆损坏，由生产厂家负责提供漆量供变压器重新喷漆。</w:t>
      </w:r>
    </w:p>
    <w:p w14:paraId="4C1B19C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内装有连线和装置的箱柜内、外表面，检验和试验前必须喷好漆后包装，妥善地运到工地。箱柜外表面的油漆颜色由生产厂家负责提供色牌供招标方选择。</w:t>
      </w:r>
    </w:p>
    <w:p w14:paraId="07ADCA22">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5.1.6 冷却装置</w:t>
      </w:r>
    </w:p>
    <w:p w14:paraId="2BE92CF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冷却装置采用片式散热器，散热器应牢固地固定在变压器箱体上，固定方法应能保证其能方便地从变压器上拆卸，具体方式在设计联络会上确定。</w:t>
      </w:r>
    </w:p>
    <w:p w14:paraId="49FB8C6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与油接触的内表面须进行防锈处理，这种防锈处理不允许对油有任何污染，与空气接触的表面按防腐类型涂漆。</w:t>
      </w:r>
    </w:p>
    <w:p w14:paraId="00E861B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散热器整体结构应能承受真空试验，绝对压强小于133Pa，持续时间为10min.后，不得有永久变形和损伤。</w:t>
      </w:r>
    </w:p>
    <w:p w14:paraId="2FFD371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散热器的所有密封元件，应能耐受105</w:t>
      </w:r>
      <w:r>
        <w:rPr>
          <w:rFonts w:hint="eastAsia" w:asciiTheme="minorEastAsia" w:hAnsiTheme="minorEastAsia" w:eastAsiaTheme="minorEastAsia" w:cstheme="minorEastAsia"/>
          <w:snapToGrid w:val="0"/>
          <w:color w:val="auto"/>
          <w:szCs w:val="21"/>
        </w:rPr>
        <w:sym w:font="Symbol" w:char="F0B0"/>
      </w:r>
      <w:r>
        <w:rPr>
          <w:rFonts w:hint="eastAsia" w:asciiTheme="minorEastAsia" w:hAnsiTheme="minorEastAsia" w:eastAsiaTheme="minorEastAsia" w:cstheme="minorEastAsia"/>
          <w:snapToGrid w:val="0"/>
          <w:color w:val="auto"/>
          <w:szCs w:val="21"/>
        </w:rPr>
        <w:t>C变压器油。</w:t>
      </w:r>
    </w:p>
    <w:p w14:paraId="535D679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散热器须经0.5Mpa油压试验。初始油温80~90</w:t>
      </w:r>
      <w:r>
        <w:rPr>
          <w:rFonts w:hint="eastAsia" w:asciiTheme="minorEastAsia" w:hAnsiTheme="minorEastAsia" w:eastAsiaTheme="minorEastAsia" w:cstheme="minorEastAsia"/>
          <w:snapToGrid w:val="0"/>
          <w:color w:val="auto"/>
          <w:szCs w:val="21"/>
        </w:rPr>
        <w:sym w:font="Symbol" w:char="F0B0"/>
      </w:r>
      <w:r>
        <w:rPr>
          <w:rFonts w:hint="eastAsia" w:asciiTheme="minorEastAsia" w:hAnsiTheme="minorEastAsia" w:eastAsiaTheme="minorEastAsia" w:cstheme="minorEastAsia"/>
          <w:snapToGrid w:val="0"/>
          <w:color w:val="auto"/>
          <w:szCs w:val="21"/>
        </w:rPr>
        <w:t>C，历时6h，无渗漏现象。</w:t>
      </w:r>
    </w:p>
    <w:p w14:paraId="364AA0E4">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5.1.7 控制和监测元件</w:t>
      </w:r>
    </w:p>
    <w:p w14:paraId="3593030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为保证变压器的安全运行，承包方至少应为变压器提供下列保护及监测元件：</w:t>
      </w:r>
    </w:p>
    <w:p w14:paraId="58B99F6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（1）1个气体继电器QJ4-80A</w:t>
      </w:r>
    </w:p>
    <w:p w14:paraId="74F54AF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轻瓦斯动作于报警信号，重瓦斯动作于跳开变压器各侧断路器。</w:t>
      </w:r>
    </w:p>
    <w:p w14:paraId="611E4DE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（2）1个压力释放装置YSF8-55/80KJ</w:t>
      </w:r>
    </w:p>
    <w:p w14:paraId="50F14BD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压力释放装置应为自动、自密封型。当油箱压力超过允许值时能可靠动作，动作时应发报警信号。压力释放装置应提供两对电气独立的接点供招标方使用。</w:t>
      </w:r>
    </w:p>
    <w:p w14:paraId="7B4524A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（3）油位指示器</w:t>
      </w:r>
    </w:p>
    <w:p w14:paraId="3E72B0C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变压器的油位指示器应在储油柜的一端装设一个，指示器应为磁性的，并带有低油位报警接点。</w:t>
      </w:r>
    </w:p>
    <w:p w14:paraId="1F3E54C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变压器的油位指示器上应用数字标明刻度及最高、最低油位，以便于观察。</w:t>
      </w:r>
    </w:p>
    <w:p w14:paraId="257AA61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变压器的油位报警接点容量为AC220V，5A或DC 220V、0.5A。</w:t>
      </w:r>
    </w:p>
    <w:p w14:paraId="063C58A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（4）温度检测器</w:t>
      </w:r>
    </w:p>
    <w:p w14:paraId="3B792FA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变压器本体温度检测：承包方应提供足够的用于测量油温和绕组的测温电阻和温度控制器。温度控制器应带有两对电气独立接点和RS485通讯接口，其接点容量在交流220V时，不低于50VA，直流有感负载时，不低于15W。测温电阻应选用铂电阻Pt100（0℃时，100</w:t>
      </w:r>
      <w:r>
        <w:rPr>
          <w:rFonts w:hint="eastAsia" w:asciiTheme="minorEastAsia" w:hAnsiTheme="minorEastAsia" w:eastAsiaTheme="minorEastAsia" w:cstheme="minorEastAsia"/>
          <w:snapToGrid w:val="0"/>
          <w:color w:val="auto"/>
          <w:szCs w:val="21"/>
        </w:rPr>
        <w:sym w:font="Symbol" w:char="F0B1"/>
      </w:r>
      <w:r>
        <w:rPr>
          <w:rFonts w:hint="eastAsia" w:asciiTheme="minorEastAsia" w:hAnsiTheme="minorEastAsia" w:eastAsiaTheme="minorEastAsia" w:cstheme="minorEastAsia"/>
          <w:snapToGrid w:val="0"/>
          <w:color w:val="auto"/>
          <w:szCs w:val="21"/>
        </w:rPr>
        <w:t>0.1</w:t>
      </w:r>
      <w:r>
        <w:rPr>
          <w:rFonts w:hint="eastAsia" w:asciiTheme="minorEastAsia" w:hAnsiTheme="minorEastAsia" w:eastAsiaTheme="minorEastAsia" w:cstheme="minorEastAsia"/>
          <w:snapToGrid w:val="0"/>
          <w:color w:val="auto"/>
          <w:szCs w:val="21"/>
        </w:rPr>
        <w:sym w:font="Symbol" w:char="F057"/>
      </w:r>
      <w:r>
        <w:rPr>
          <w:rFonts w:hint="eastAsia" w:asciiTheme="minorEastAsia" w:hAnsiTheme="minorEastAsia" w:eastAsiaTheme="minorEastAsia" w:cstheme="minorEastAsia"/>
          <w:snapToGrid w:val="0"/>
          <w:color w:val="auto"/>
          <w:szCs w:val="21"/>
        </w:rPr>
        <w:t>），测温电阻的测量范围0℃～150℃，在该范围内其测量误差为-1～+1℃，每个测温电阻应采用三根引线接至变压器端子箱。温度控制器装于变压器本体上，其位置应便于观察；并配套远方温度数控仪，远方数显仪装设在发电厂公用LCU屏上。</w:t>
      </w:r>
    </w:p>
    <w:p w14:paraId="71EEBE2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（5）1个油面温度计WY-803A</w:t>
      </w:r>
    </w:p>
    <w:p w14:paraId="02602A19">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5.1.8 端子箱</w:t>
      </w:r>
    </w:p>
    <w:p w14:paraId="17138DB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承包方应为主变压器配套提供端子箱，用以放置主变信号报警装置，电源自动切换装置以及其它必要的测量、控制、信号设备。</w:t>
      </w:r>
    </w:p>
    <w:p w14:paraId="322BF23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端子箱应配有足够的端子排，用于连接变压器本体保护元件和监测装置元件，使端子箱成为变压器与外部控制、保护、测量、信号系统的接口界面，端子箱至少应留有20%的备用端子，每个端子只允许接一根导线。</w:t>
      </w:r>
    </w:p>
    <w:p w14:paraId="0A79979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方应提供足够数量的铜芯耐油电缆和必要的金属管道将上述保护装置及监测元件接到变压器端子箱的端子排上。招标方提供的交流和直流电源均接到端子箱上，端子箱内设有接地母线。主变压器需用电和控制的设备到端子箱的电缆和金属护套均由承包方提供。</w:t>
      </w:r>
    </w:p>
    <w:p w14:paraId="0AC01AB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端子箱应带有密封门，能防水雾、防尘、防潮和防虫害，其防护等级为IP55，箱门应设有玻璃观察窗。箱内应设有照明灯，防潮加热器和电源插座。</w:t>
      </w:r>
    </w:p>
    <w:p w14:paraId="63CAD2D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端子箱可布置在变压器的附近或变压器的本体上，具体位置及安装方式将在第一次设计联络会上确定。</w:t>
      </w:r>
    </w:p>
    <w:p w14:paraId="4987436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箱体采用的不锈钢厚度不小于2mm。</w:t>
      </w:r>
    </w:p>
    <w:p w14:paraId="67C0DD44">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5.1.9 其他要求</w:t>
      </w:r>
    </w:p>
    <w:p w14:paraId="11000B4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（1）出厂试验必须做冲击试验，局部放电量≤200pC，并出具检测报告。</w:t>
      </w:r>
    </w:p>
    <w:p w14:paraId="434D359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（2）制造厂家必须出具35kV级容量≥8000kVA的检验、投运报告。</w:t>
      </w:r>
    </w:p>
    <w:p w14:paraId="1361367F">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5.2  #1厂用变压器、#2厂用变压器</w:t>
      </w:r>
    </w:p>
    <w:p w14:paraId="391B225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（1）铁芯应由高质量、低损耗、无时效、冷轧晶粒取向硅钢片制成；无毛刺，两面涂绝缘漆，主柱和旁轭要采用45°全斜接缝工艺结构，迭装时所施加的压力应均匀一致。</w:t>
      </w:r>
    </w:p>
    <w:p w14:paraId="43289CD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（2）心柱采用绝缘带包扎，铁芯表面采用绝缘树脂密封以防潮防锈，夹件及紧固件应经表面处理以防止锈蚀。</w:t>
      </w:r>
    </w:p>
    <w:p w14:paraId="7488583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（3）铁芯堆栈和成型应采用先进工艺，以降低空载损耗、空载电流和铁芯噪声。</w:t>
      </w:r>
    </w:p>
    <w:p w14:paraId="037C8E8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（4）所有线圈均采用铜导体，导体应在合适的间距内换位以使铁芯中的涡流最小。换位处线圈应加强绝缘防止匝间短路。</w:t>
      </w:r>
    </w:p>
    <w:p w14:paraId="52961CE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（5）线圈的设计应使引线端和接地端之间的冲击电压尽可能呈线性分布。 </w:t>
      </w:r>
    </w:p>
    <w:p w14:paraId="2BAA35C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（6）线圈和引线端应有可靠的支撑和固定，以防止因运输或运行中各种形式的震动产生相对位移。</w:t>
      </w:r>
    </w:p>
    <w:p w14:paraId="2787CEB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（7）绕组层间采用DMD绝缘材料，绕制完毕后其端部应采用环氧树脂密封固化。</w:t>
      </w:r>
    </w:p>
    <w:p w14:paraId="1EF48B2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（8）线圈的绕制、真空干燥、浇注及固化制造过程应使其无气泡、空穴产生。</w:t>
      </w:r>
    </w:p>
    <w:p w14:paraId="13679FD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变压器本体温度保护采用PTC热敏电阻和Pt100铂电阻双传感原理进行测温，配置温度控制器，具有温度显示、设定、保存以及自动报警、跳闸、门开启报警等功能，计算机通信接口为RS485。温度控制器安装在高压开关柜仪表门上。</w:t>
      </w:r>
    </w:p>
    <w:p w14:paraId="4FD2838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（10）变压器放置于高压开关柜内，为良好地散热，需加装风机。</w:t>
      </w:r>
    </w:p>
    <w:p w14:paraId="018D130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（11）变压器在任何分接头位置时，故障前满载运行条件下都应能承受对称短路电流及不对称短路电流峰值2秒钟，且各部位均应无损坏和明显变形，短路后绕组的平均温度不超过220℃。</w:t>
      </w:r>
    </w:p>
    <w:p w14:paraId="0C351965">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8.6 承包单位提供的图纸和资料</w:t>
      </w:r>
    </w:p>
    <w:p w14:paraId="6E3356B2">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6.1 供设计联络会用图纸</w:t>
      </w:r>
    </w:p>
    <w:p w14:paraId="3CDABC4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承包人应从合同生效日起算的30天内，提交本条所列的图纸和资料，供工程师审查。逾期交图时，作违约处理。下列图纸每项提交4套（其中1套提交工程设计单位，3套直接提交发包人）。</w:t>
      </w:r>
    </w:p>
    <w:p w14:paraId="50F10A6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变压器外形图，包括变压器总体外形尺寸、主体运输重量、主要部件重量、油总重量、器身吊重、吊高及其示意图、起吊位置、牵引孔位置、轨距或支座位置、基础尺寸和要求、散热器布置、套管出线位置和接线端子尺寸、接地端子位置和端子尺寸、梯子位置、压力释放装置位置、连接件（管道法兰）对口尺寸、其他必要的安装尺寸等;</w:t>
      </w:r>
    </w:p>
    <w:p w14:paraId="20988A6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 变压器安装地基尺寸图;</w:t>
      </w:r>
    </w:p>
    <w:p w14:paraId="3FA20EB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（3）变压器铭牌或铭牌标志图;</w:t>
      </w:r>
    </w:p>
    <w:p w14:paraId="51F59E7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（4）变压器本体运输尺寸和固定方式图;</w:t>
      </w:r>
    </w:p>
    <w:p w14:paraId="11A2DB9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（5）主控制箱外形图（安装图）；</w:t>
      </w:r>
    </w:p>
    <w:p w14:paraId="4BE18C2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（6）变压器二次保护接线安装图；</w:t>
      </w:r>
    </w:p>
    <w:p w14:paraId="3DE1A3B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（7）变压器二次保护设备接线图；</w:t>
      </w:r>
    </w:p>
    <w:p w14:paraId="2924328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（8）变压器端子箱接线图;</w:t>
      </w:r>
    </w:p>
    <w:p w14:paraId="43CE104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（9）分接开关电气控制接线图和遥控信号接线图以及控制盘的正视图；</w:t>
      </w:r>
    </w:p>
    <w:p w14:paraId="039C0C6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（10）保护、控制、报警等所需的交流和直流回路的接线原理图;</w:t>
      </w:r>
    </w:p>
    <w:p w14:paraId="7C6B081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（11）所有供给的备品备件外形尺寸图（包括套管、气体继电器、压力释放装置、盘式温度计及升高座等）；</w:t>
      </w:r>
    </w:p>
    <w:p w14:paraId="1E0EA5F6">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6. 2 随变压器一起提供现场安装、调试、试运行和运行维护用的图纸、资料</w:t>
      </w:r>
    </w:p>
    <w:p w14:paraId="250F68A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（1）提供有关条款中全部技术文件;</w:t>
      </w:r>
    </w:p>
    <w:p w14:paraId="353681B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（2）产品合格证书，包括变压器合格证书、主要组部件合格证书（如套管、散热器、分接开关、气体继电器、各种温度计等）；</w:t>
      </w:r>
    </w:p>
    <w:p w14:paraId="06FA52D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（3）产品试验报告，包括变压器出厂试验、型式试验和特殊试验报告、主要组部件试验报告；</w:t>
      </w:r>
    </w:p>
    <w:p w14:paraId="5800B88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（4）变压器油化验单（包括色谱分析）；</w:t>
      </w:r>
    </w:p>
    <w:p w14:paraId="5563F16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（5）变压器安装使用说明书;</w:t>
      </w:r>
    </w:p>
    <w:p w14:paraId="3C2E320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（6）套管安装使用说明书；</w:t>
      </w:r>
    </w:p>
    <w:p w14:paraId="734FE23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（7）储油柜安装使用说明书；</w:t>
      </w:r>
    </w:p>
    <w:p w14:paraId="7785470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（8）吸湿器安装使用说明书;</w:t>
      </w:r>
    </w:p>
    <w:p w14:paraId="38AD1D3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（9）净油器（如果有）安装使用说明书;</w:t>
      </w:r>
    </w:p>
    <w:p w14:paraId="7C8B51E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（10）气体继电器安装使用说明书;</w:t>
      </w:r>
    </w:p>
    <w:p w14:paraId="4440B93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（11）散热器安装使用说明书;</w:t>
      </w:r>
    </w:p>
    <w:p w14:paraId="3F2A578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（12）讯号温度计、电阻温度计、绕组温度计（如果有）使用说明书；</w:t>
      </w:r>
    </w:p>
    <w:p w14:paraId="0299DD5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（13）分接开关安装使用说明书;</w:t>
      </w:r>
    </w:p>
    <w:p w14:paraId="35BC403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（14）压力释放器安装使用说明书;</w:t>
      </w:r>
    </w:p>
    <w:p w14:paraId="5DC5595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（15）二次馈线布置图；</w:t>
      </w:r>
    </w:p>
    <w:p w14:paraId="160927C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（16）安装、维护、检测装置及控制箱等说明书;</w:t>
      </w:r>
    </w:p>
    <w:p w14:paraId="0BEC1CD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（17）其他仪表的使用说明书；</w:t>
      </w:r>
    </w:p>
    <w:p w14:paraId="36D4BDE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（18）冷却系统简图；</w:t>
      </w:r>
    </w:p>
    <w:p w14:paraId="0F293BA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（19）爬梯及储油柜安装图;</w:t>
      </w:r>
    </w:p>
    <w:p w14:paraId="5664724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（20）内部引线走向示意图和内部接地系统示意图；</w:t>
      </w:r>
    </w:p>
    <w:p w14:paraId="7982107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（21）散热器安装图；</w:t>
      </w:r>
    </w:p>
    <w:p w14:paraId="217A7C9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（22）变压器套管布置示意图；</w:t>
      </w:r>
    </w:p>
    <w:p w14:paraId="09BDBB6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（23）主绝缘示意图；</w:t>
      </w:r>
    </w:p>
    <w:p w14:paraId="0F9FDA5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（24）电磁或磁屏蔽示意图；</w:t>
      </w:r>
    </w:p>
    <w:p w14:paraId="1AEB104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（25）变压器温度记录盘安装图；</w:t>
      </w:r>
    </w:p>
    <w:p w14:paraId="03702DE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（26）变压器安装和有关设施设计所需的任何其他图纸和资料;</w:t>
      </w:r>
    </w:p>
    <w:p w14:paraId="0D8C1B3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（27）运行、检修手册和有关资料;</w:t>
      </w:r>
    </w:p>
    <w:p w14:paraId="2B7B2AB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（28）装箱单及拆卸一览表；</w:t>
      </w:r>
    </w:p>
    <w:p w14:paraId="129E115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（29）备品备件等清单。</w:t>
      </w:r>
    </w:p>
    <w:p w14:paraId="1137FF4C">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8.7 试验</w:t>
      </w:r>
    </w:p>
    <w:p w14:paraId="15C107BB">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7.1 出厂试验</w:t>
      </w:r>
    </w:p>
    <w:p w14:paraId="31356CE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① 设备应进行出厂试验，经质量检验部门确认合格后方能出厂，并应具有证明设备合格的产品出厂证明书。</w:t>
      </w:r>
    </w:p>
    <w:p w14:paraId="65047D5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② 电力变压器出厂试验内容、方法及要求应符合GB1094、GB6451、GB10228等标准的要求。</w:t>
      </w:r>
    </w:p>
    <w:p w14:paraId="575E272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③ 承包单位的质量检验部门应按产品设计图样、业主提供的订货资料及本章有关条款逐台检验，只有检验合格后才准予验收，并向业主签发产品合格证书。</w:t>
      </w:r>
    </w:p>
    <w:p w14:paraId="1B6B0E55">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7.2 现场试验</w:t>
      </w:r>
    </w:p>
    <w:p w14:paraId="0DC0D80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在设备安装完成后，承包单位应监督、指导安装单位进行系统调整、校正及测试以证明整个设备的性能达到本技术规范的要求。现场试验应经历两个主要阶段：即现场初步验收试验和最终验收试验。</w:t>
      </w:r>
    </w:p>
    <w:p w14:paraId="5689A51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提供一个验证设备是否达到规定要求的程序和试验大纲给监理单位复核。承包单位应提供一个完整的现场试验报告，以表明设备的特定部件或整个完全符合规定的性能要求。现场试验应在安装完毕的设备上进行。任何部件不能满足规范书要求以及制造厂保证性能时，应由制造厂无偿地加以更换，完成所要求的测量所必需的全部试验设备由制造厂提供。</w:t>
      </w:r>
    </w:p>
    <w:p w14:paraId="7D127AF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最终验收试验重点应放在初步验收试验中不完全满意或在保证期运行中有故障的部分设备的重新试验上。当所有局部最终验收试验完成后，应进行最终设备验收试验以验证是否完全达到其保证的性能指标。</w:t>
      </w:r>
    </w:p>
    <w:p w14:paraId="1F29880B">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8.8 标志、包装、运输、贮存</w:t>
      </w:r>
    </w:p>
    <w:p w14:paraId="6EFEA70C">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8.1 标志</w:t>
      </w:r>
    </w:p>
    <w:p w14:paraId="0CCCC41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（1）设备应有符合当地气象条件和环境的永久性的不锈钢或铜质铭牌，其内容包括：制造厂厂名、商标，产品型号和名称，制造年、月及出厂编号，标明额定值及主要技术数据。</w:t>
      </w:r>
    </w:p>
    <w:p w14:paraId="7B442F6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（2）标志应清晰、耐久，便于观察。</w:t>
      </w:r>
    </w:p>
    <w:p w14:paraId="0DCF5A40">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8.2 包装</w:t>
      </w:r>
    </w:p>
    <w:p w14:paraId="687A746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包装应符合相应的标准或规定，装箱文件、资料清单及装箱清单齐全。</w:t>
      </w:r>
    </w:p>
    <w:p w14:paraId="56364D47">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8.3 运输</w:t>
      </w:r>
    </w:p>
    <w:p w14:paraId="5496B9D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运输应符合相应的标准或规定。</w:t>
      </w:r>
    </w:p>
    <w:p w14:paraId="0C621DCC">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8.</w:t>
      </w:r>
      <w:r>
        <w:rPr>
          <w:rFonts w:hint="eastAsia" w:asciiTheme="minorEastAsia" w:hAnsiTheme="minorEastAsia" w:eastAsiaTheme="minorEastAsia" w:cstheme="minorEastAsia"/>
          <w:snapToGrid w:val="0"/>
          <w:color w:val="auto"/>
          <w:szCs w:val="21"/>
        </w:rPr>
        <w:t>8.4 贮存</w:t>
      </w:r>
    </w:p>
    <w:p w14:paraId="0A55161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（1）贮存设备的场所应干燥、清洁、空气流通，并能防止各种有害气体的侵入，严禁与有腐蚀作用的物品存放在同一场所。</w:t>
      </w:r>
    </w:p>
    <w:p w14:paraId="715AB566">
      <w:pPr>
        <w:spacing w:line="360" w:lineRule="auto"/>
        <w:ind w:firstLine="420" w:firstLineChars="200"/>
        <w:rPr>
          <w:rFonts w:hint="eastAsia" w:asciiTheme="minorEastAsia" w:hAnsiTheme="minorEastAsia" w:eastAsiaTheme="minorEastAsia" w:cstheme="minorEastAsia"/>
          <w:snapToGrid w:val="0"/>
          <w:color w:val="auto"/>
          <w:szCs w:val="21"/>
        </w:rPr>
        <w:sectPr>
          <w:footerReference r:id="rId10"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napToGrid w:val="0"/>
          <w:color w:val="auto"/>
          <w:szCs w:val="21"/>
        </w:rPr>
        <w:t>（2）包装好的设备应保存在相对湿度不大于80%，周围环境为-10~+40℃的场所。</w:t>
      </w:r>
    </w:p>
    <w:p w14:paraId="03AFBED7">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第9章 35kV户外配电设备采购技术要求</w:t>
      </w:r>
    </w:p>
    <w:p w14:paraId="523B58BE">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9.1 承包范围</w:t>
      </w:r>
    </w:p>
    <w:p w14:paraId="13E3F7E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承包单位承担下述供货范围内设备的设计、材料采购、制造、出厂前的预装配和试验、包装、运输、交货、指导安装、现场试验、试运行、验收并应完全符合合同要求。</w:t>
      </w:r>
    </w:p>
    <w:p w14:paraId="17F8F2F6">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9.2 供货范围</w:t>
      </w:r>
    </w:p>
    <w:tbl>
      <w:tblPr>
        <w:tblStyle w:val="65"/>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28" w:type="dxa"/>
          <w:bottom w:w="0" w:type="dxa"/>
          <w:right w:w="28" w:type="dxa"/>
        </w:tblCellMar>
      </w:tblPr>
      <w:tblGrid>
        <w:gridCol w:w="508"/>
        <w:gridCol w:w="3059"/>
        <w:gridCol w:w="2263"/>
        <w:gridCol w:w="634"/>
        <w:gridCol w:w="632"/>
        <w:gridCol w:w="1266"/>
      </w:tblGrid>
      <w:tr w14:paraId="606D61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04" w:type="pct"/>
            <w:vAlign w:val="center"/>
          </w:tcPr>
          <w:p w14:paraId="5B2EB1A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序号</w:t>
            </w:r>
          </w:p>
        </w:tc>
        <w:tc>
          <w:tcPr>
            <w:tcW w:w="1829" w:type="pct"/>
            <w:vAlign w:val="center"/>
          </w:tcPr>
          <w:p w14:paraId="4873A62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名      称</w:t>
            </w:r>
          </w:p>
        </w:tc>
        <w:tc>
          <w:tcPr>
            <w:tcW w:w="1353" w:type="pct"/>
            <w:vAlign w:val="center"/>
          </w:tcPr>
          <w:p w14:paraId="643F49F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型号</w:t>
            </w:r>
          </w:p>
        </w:tc>
        <w:tc>
          <w:tcPr>
            <w:tcW w:w="379" w:type="pct"/>
            <w:vAlign w:val="center"/>
          </w:tcPr>
          <w:p w14:paraId="2AF4E04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单 位</w:t>
            </w:r>
          </w:p>
        </w:tc>
        <w:tc>
          <w:tcPr>
            <w:tcW w:w="378" w:type="pct"/>
            <w:vAlign w:val="center"/>
          </w:tcPr>
          <w:p w14:paraId="73D53B7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 量</w:t>
            </w:r>
          </w:p>
        </w:tc>
        <w:tc>
          <w:tcPr>
            <w:tcW w:w="758" w:type="pct"/>
            <w:vAlign w:val="center"/>
          </w:tcPr>
          <w:p w14:paraId="7861642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备注</w:t>
            </w:r>
          </w:p>
        </w:tc>
      </w:tr>
      <w:tr w14:paraId="563297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04" w:type="pct"/>
            <w:vAlign w:val="center"/>
          </w:tcPr>
          <w:p w14:paraId="279F9FB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829" w:type="pct"/>
            <w:vAlign w:val="center"/>
          </w:tcPr>
          <w:p w14:paraId="780C7747">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35kV户外真空断路器</w:t>
            </w:r>
          </w:p>
        </w:tc>
        <w:tc>
          <w:tcPr>
            <w:tcW w:w="1353" w:type="pct"/>
            <w:vAlign w:val="center"/>
          </w:tcPr>
          <w:p w14:paraId="3EABD66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ZW7-40.5/1250A</w:t>
            </w:r>
          </w:p>
          <w:p w14:paraId="375BE6A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附电流互感器</w:t>
            </w:r>
          </w:p>
        </w:tc>
        <w:tc>
          <w:tcPr>
            <w:tcW w:w="379" w:type="pct"/>
            <w:vAlign w:val="center"/>
          </w:tcPr>
          <w:p w14:paraId="69B555B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378" w:type="pct"/>
            <w:vAlign w:val="center"/>
          </w:tcPr>
          <w:p w14:paraId="6599781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758" w:type="pct"/>
            <w:vAlign w:val="center"/>
          </w:tcPr>
          <w:p w14:paraId="567CEC5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配套端子箱</w:t>
            </w:r>
          </w:p>
        </w:tc>
      </w:tr>
      <w:tr w14:paraId="3D60D5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04" w:type="pct"/>
            <w:vAlign w:val="center"/>
          </w:tcPr>
          <w:p w14:paraId="5887E9E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829" w:type="pct"/>
            <w:vAlign w:val="center"/>
          </w:tcPr>
          <w:p w14:paraId="2812469A">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35kV户外隔离开关 双接地</w:t>
            </w:r>
          </w:p>
        </w:tc>
        <w:tc>
          <w:tcPr>
            <w:tcW w:w="1353" w:type="pct"/>
            <w:vAlign w:val="center"/>
          </w:tcPr>
          <w:p w14:paraId="3A25357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GW5-35D/1250A</w:t>
            </w:r>
          </w:p>
        </w:tc>
        <w:tc>
          <w:tcPr>
            <w:tcW w:w="379" w:type="pct"/>
            <w:vAlign w:val="center"/>
          </w:tcPr>
          <w:p w14:paraId="2B77CCC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378" w:type="pct"/>
            <w:vAlign w:val="center"/>
          </w:tcPr>
          <w:p w14:paraId="264E941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758" w:type="pct"/>
            <w:vAlign w:val="center"/>
          </w:tcPr>
          <w:p w14:paraId="4DA3585F">
            <w:pPr>
              <w:jc w:val="center"/>
              <w:rPr>
                <w:rFonts w:hint="eastAsia" w:asciiTheme="minorEastAsia" w:hAnsiTheme="minorEastAsia" w:eastAsiaTheme="minorEastAsia" w:cstheme="minorEastAsia"/>
                <w:snapToGrid w:val="0"/>
                <w:color w:val="auto"/>
                <w:szCs w:val="21"/>
              </w:rPr>
            </w:pPr>
          </w:p>
        </w:tc>
      </w:tr>
      <w:tr w14:paraId="376450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04" w:type="pct"/>
            <w:vAlign w:val="center"/>
          </w:tcPr>
          <w:p w14:paraId="2A8D9E7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1829" w:type="pct"/>
            <w:vAlign w:val="center"/>
          </w:tcPr>
          <w:p w14:paraId="4EF181C8">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35kV户外隔离开关 单接地</w:t>
            </w:r>
          </w:p>
        </w:tc>
        <w:tc>
          <w:tcPr>
            <w:tcW w:w="1353" w:type="pct"/>
            <w:vAlign w:val="center"/>
          </w:tcPr>
          <w:p w14:paraId="2824D56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GW5-35D/1250A</w:t>
            </w:r>
          </w:p>
        </w:tc>
        <w:tc>
          <w:tcPr>
            <w:tcW w:w="379" w:type="pct"/>
            <w:vAlign w:val="center"/>
          </w:tcPr>
          <w:p w14:paraId="63376B7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378" w:type="pct"/>
            <w:vAlign w:val="center"/>
          </w:tcPr>
          <w:p w14:paraId="5A94772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758" w:type="pct"/>
            <w:vAlign w:val="center"/>
          </w:tcPr>
          <w:p w14:paraId="00252AB8">
            <w:pPr>
              <w:jc w:val="center"/>
              <w:rPr>
                <w:rFonts w:hint="eastAsia" w:asciiTheme="minorEastAsia" w:hAnsiTheme="minorEastAsia" w:eastAsiaTheme="minorEastAsia" w:cstheme="minorEastAsia"/>
                <w:snapToGrid w:val="0"/>
                <w:color w:val="auto"/>
                <w:szCs w:val="21"/>
              </w:rPr>
            </w:pPr>
          </w:p>
        </w:tc>
      </w:tr>
      <w:tr w14:paraId="4D6E46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04" w:type="pct"/>
            <w:vAlign w:val="center"/>
          </w:tcPr>
          <w:p w14:paraId="63589C0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1829" w:type="pct"/>
            <w:vAlign w:val="center"/>
          </w:tcPr>
          <w:p w14:paraId="76600FA3">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35kV户外油浸式电压互感器</w:t>
            </w:r>
          </w:p>
        </w:tc>
        <w:tc>
          <w:tcPr>
            <w:tcW w:w="1353" w:type="pct"/>
            <w:vAlign w:val="center"/>
          </w:tcPr>
          <w:p w14:paraId="47D524F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JDXF7-35</w:t>
            </w:r>
          </w:p>
        </w:tc>
        <w:tc>
          <w:tcPr>
            <w:tcW w:w="379" w:type="pct"/>
            <w:vAlign w:val="center"/>
          </w:tcPr>
          <w:p w14:paraId="26C4927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378" w:type="pct"/>
            <w:vAlign w:val="center"/>
          </w:tcPr>
          <w:p w14:paraId="293306B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758" w:type="pct"/>
            <w:vAlign w:val="center"/>
          </w:tcPr>
          <w:p w14:paraId="2EC658D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配端子箱</w:t>
            </w:r>
          </w:p>
        </w:tc>
      </w:tr>
      <w:tr w14:paraId="287D0B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04" w:type="pct"/>
            <w:vAlign w:val="center"/>
          </w:tcPr>
          <w:p w14:paraId="18A25DB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1829" w:type="pct"/>
            <w:vAlign w:val="center"/>
          </w:tcPr>
          <w:p w14:paraId="12E342A7">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35kV户外油浸式电压互感器</w:t>
            </w:r>
          </w:p>
        </w:tc>
        <w:tc>
          <w:tcPr>
            <w:tcW w:w="1353" w:type="pct"/>
            <w:vAlign w:val="center"/>
          </w:tcPr>
          <w:p w14:paraId="523836E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JDN-35</w:t>
            </w:r>
          </w:p>
        </w:tc>
        <w:tc>
          <w:tcPr>
            <w:tcW w:w="379" w:type="pct"/>
            <w:vAlign w:val="center"/>
          </w:tcPr>
          <w:p w14:paraId="1BC4557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378" w:type="pct"/>
            <w:vAlign w:val="center"/>
          </w:tcPr>
          <w:p w14:paraId="51F34A6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758" w:type="pct"/>
            <w:vAlign w:val="center"/>
          </w:tcPr>
          <w:p w14:paraId="6A6BCE8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配端子箱</w:t>
            </w:r>
          </w:p>
        </w:tc>
      </w:tr>
      <w:tr w14:paraId="4EE1E2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04" w:type="pct"/>
            <w:vAlign w:val="center"/>
          </w:tcPr>
          <w:p w14:paraId="3F52DC4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1829" w:type="pct"/>
            <w:vAlign w:val="center"/>
          </w:tcPr>
          <w:p w14:paraId="716C0305">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35kV户外高压熔断器</w:t>
            </w:r>
          </w:p>
        </w:tc>
        <w:tc>
          <w:tcPr>
            <w:tcW w:w="1353" w:type="pct"/>
            <w:vAlign w:val="center"/>
          </w:tcPr>
          <w:p w14:paraId="63426A1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RW10-35/0.5A</w:t>
            </w:r>
          </w:p>
        </w:tc>
        <w:tc>
          <w:tcPr>
            <w:tcW w:w="379" w:type="pct"/>
            <w:vAlign w:val="center"/>
          </w:tcPr>
          <w:p w14:paraId="4D9836C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378" w:type="pct"/>
            <w:vAlign w:val="center"/>
          </w:tcPr>
          <w:p w14:paraId="6F13D25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w:t>
            </w:r>
          </w:p>
        </w:tc>
        <w:tc>
          <w:tcPr>
            <w:tcW w:w="758" w:type="pct"/>
            <w:vAlign w:val="center"/>
          </w:tcPr>
          <w:p w14:paraId="58E7F6A4">
            <w:pPr>
              <w:jc w:val="center"/>
              <w:rPr>
                <w:rFonts w:hint="eastAsia" w:asciiTheme="minorEastAsia" w:hAnsiTheme="minorEastAsia" w:eastAsiaTheme="minorEastAsia" w:cstheme="minorEastAsia"/>
                <w:snapToGrid w:val="0"/>
                <w:color w:val="auto"/>
                <w:szCs w:val="21"/>
              </w:rPr>
            </w:pPr>
          </w:p>
        </w:tc>
      </w:tr>
      <w:tr w14:paraId="7CB0D0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04" w:type="pct"/>
            <w:vAlign w:val="center"/>
          </w:tcPr>
          <w:p w14:paraId="2F3A3E8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w:t>
            </w:r>
          </w:p>
        </w:tc>
        <w:tc>
          <w:tcPr>
            <w:tcW w:w="1829" w:type="pct"/>
            <w:vAlign w:val="center"/>
          </w:tcPr>
          <w:p w14:paraId="31F46840">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35kV户外避雷器</w:t>
            </w:r>
          </w:p>
        </w:tc>
        <w:tc>
          <w:tcPr>
            <w:tcW w:w="1353" w:type="pct"/>
            <w:vAlign w:val="center"/>
          </w:tcPr>
          <w:p w14:paraId="0A3C553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HY5WZ-54/134</w:t>
            </w:r>
          </w:p>
        </w:tc>
        <w:tc>
          <w:tcPr>
            <w:tcW w:w="379" w:type="pct"/>
            <w:vAlign w:val="center"/>
          </w:tcPr>
          <w:p w14:paraId="77D622F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378" w:type="pct"/>
            <w:vAlign w:val="center"/>
          </w:tcPr>
          <w:p w14:paraId="4161F29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w:t>
            </w:r>
          </w:p>
        </w:tc>
        <w:tc>
          <w:tcPr>
            <w:tcW w:w="758" w:type="pct"/>
            <w:vAlign w:val="center"/>
          </w:tcPr>
          <w:p w14:paraId="5155932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配泄漏及放电记录仪</w:t>
            </w:r>
          </w:p>
        </w:tc>
      </w:tr>
      <w:tr w14:paraId="535D3C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04" w:type="pct"/>
            <w:vAlign w:val="center"/>
          </w:tcPr>
          <w:p w14:paraId="6FFBBE0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w:t>
            </w:r>
          </w:p>
        </w:tc>
        <w:tc>
          <w:tcPr>
            <w:tcW w:w="1829" w:type="pct"/>
            <w:vAlign w:val="center"/>
          </w:tcPr>
          <w:p w14:paraId="16BBAF1A">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规定的备品备件</w:t>
            </w:r>
          </w:p>
        </w:tc>
        <w:tc>
          <w:tcPr>
            <w:tcW w:w="1353" w:type="pct"/>
            <w:vAlign w:val="center"/>
          </w:tcPr>
          <w:p w14:paraId="077BB5BD">
            <w:pPr>
              <w:jc w:val="center"/>
              <w:rPr>
                <w:rFonts w:hint="eastAsia" w:asciiTheme="minorEastAsia" w:hAnsiTheme="minorEastAsia" w:eastAsiaTheme="minorEastAsia" w:cstheme="minorEastAsia"/>
                <w:snapToGrid w:val="0"/>
                <w:color w:val="auto"/>
                <w:szCs w:val="21"/>
              </w:rPr>
            </w:pPr>
          </w:p>
        </w:tc>
        <w:tc>
          <w:tcPr>
            <w:tcW w:w="379" w:type="pct"/>
            <w:vAlign w:val="center"/>
          </w:tcPr>
          <w:p w14:paraId="5F3179C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378" w:type="pct"/>
            <w:vAlign w:val="center"/>
          </w:tcPr>
          <w:p w14:paraId="7FC35AE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758" w:type="pct"/>
            <w:vAlign w:val="center"/>
          </w:tcPr>
          <w:p w14:paraId="44C2CAA2">
            <w:pPr>
              <w:jc w:val="center"/>
              <w:rPr>
                <w:rFonts w:hint="eastAsia" w:asciiTheme="minorEastAsia" w:hAnsiTheme="minorEastAsia" w:eastAsiaTheme="minorEastAsia" w:cstheme="minorEastAsia"/>
                <w:snapToGrid w:val="0"/>
                <w:color w:val="auto"/>
                <w:szCs w:val="21"/>
              </w:rPr>
            </w:pPr>
          </w:p>
        </w:tc>
      </w:tr>
      <w:tr w14:paraId="3EAC5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04" w:type="pct"/>
            <w:vAlign w:val="center"/>
          </w:tcPr>
          <w:p w14:paraId="0F3744D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w:t>
            </w:r>
          </w:p>
        </w:tc>
        <w:tc>
          <w:tcPr>
            <w:tcW w:w="1829" w:type="pct"/>
            <w:vAlign w:val="center"/>
          </w:tcPr>
          <w:p w14:paraId="70797766">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必须的专用工具等</w:t>
            </w:r>
          </w:p>
        </w:tc>
        <w:tc>
          <w:tcPr>
            <w:tcW w:w="1353" w:type="pct"/>
            <w:vAlign w:val="center"/>
          </w:tcPr>
          <w:p w14:paraId="6BEEACE2">
            <w:pPr>
              <w:jc w:val="center"/>
              <w:rPr>
                <w:rFonts w:hint="eastAsia" w:asciiTheme="minorEastAsia" w:hAnsiTheme="minorEastAsia" w:eastAsiaTheme="minorEastAsia" w:cstheme="minorEastAsia"/>
                <w:snapToGrid w:val="0"/>
                <w:color w:val="auto"/>
                <w:szCs w:val="21"/>
              </w:rPr>
            </w:pPr>
          </w:p>
        </w:tc>
        <w:tc>
          <w:tcPr>
            <w:tcW w:w="379" w:type="pct"/>
            <w:vAlign w:val="center"/>
          </w:tcPr>
          <w:p w14:paraId="0D69F14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378" w:type="pct"/>
            <w:vAlign w:val="center"/>
          </w:tcPr>
          <w:p w14:paraId="070BAF9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758" w:type="pct"/>
            <w:vAlign w:val="center"/>
          </w:tcPr>
          <w:p w14:paraId="70A96343">
            <w:pPr>
              <w:jc w:val="center"/>
              <w:rPr>
                <w:rFonts w:hint="eastAsia" w:asciiTheme="minorEastAsia" w:hAnsiTheme="minorEastAsia" w:eastAsiaTheme="minorEastAsia" w:cstheme="minorEastAsia"/>
                <w:snapToGrid w:val="0"/>
                <w:color w:val="auto"/>
                <w:szCs w:val="21"/>
              </w:rPr>
            </w:pPr>
          </w:p>
        </w:tc>
      </w:tr>
    </w:tbl>
    <w:p w14:paraId="56C29433">
      <w:pPr>
        <w:spacing w:line="360" w:lineRule="auto"/>
        <w:ind w:firstLine="51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承包单位应成套供给合同要求的所有</w:t>
      </w:r>
      <w:r>
        <w:rPr>
          <w:rFonts w:hint="eastAsia" w:asciiTheme="minorEastAsia" w:hAnsiTheme="minorEastAsia" w:eastAsiaTheme="minorEastAsia" w:cstheme="minorEastAsia"/>
          <w:color w:val="auto"/>
          <w:szCs w:val="21"/>
        </w:rPr>
        <w:t>设备</w:t>
      </w:r>
      <w:r>
        <w:rPr>
          <w:rFonts w:hint="eastAsia" w:asciiTheme="minorEastAsia" w:hAnsiTheme="minorEastAsia" w:eastAsiaTheme="minorEastAsia" w:cstheme="minorEastAsia"/>
          <w:snapToGrid w:val="0"/>
          <w:color w:val="auto"/>
          <w:szCs w:val="21"/>
        </w:rPr>
        <w:t>安装、试验、拆卸和重新组装所必需的专用工具、专用设备、配件、特殊安装、检验和试验用材料和其他设备。</w:t>
      </w:r>
    </w:p>
    <w:p w14:paraId="4D199CC9">
      <w:pPr>
        <w:spacing w:line="360" w:lineRule="auto"/>
        <w:ind w:firstLine="51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承包单位应为本合同</w:t>
      </w:r>
      <w:r>
        <w:rPr>
          <w:rFonts w:hint="eastAsia" w:asciiTheme="minorEastAsia" w:hAnsiTheme="minorEastAsia" w:eastAsiaTheme="minorEastAsia" w:cstheme="minorEastAsia"/>
          <w:color w:val="auto"/>
          <w:szCs w:val="21"/>
        </w:rPr>
        <w:t>设备</w:t>
      </w:r>
      <w:r>
        <w:rPr>
          <w:rFonts w:hint="eastAsia" w:asciiTheme="minorEastAsia" w:hAnsiTheme="minorEastAsia" w:eastAsiaTheme="minorEastAsia" w:cstheme="minorEastAsia"/>
          <w:snapToGrid w:val="0"/>
          <w:color w:val="auto"/>
          <w:szCs w:val="21"/>
        </w:rPr>
        <w:t>提供运行和维护所需的备品备件及专用工具。</w:t>
      </w:r>
    </w:p>
    <w:p w14:paraId="5565CAC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承包单位应提供相互协调和完善的设计。任何元件或装置，如果技术文件中未专门提到，但它对于一套完整的和性能良好的</w:t>
      </w:r>
      <w:r>
        <w:rPr>
          <w:rFonts w:hint="eastAsia" w:asciiTheme="minorEastAsia" w:hAnsiTheme="minorEastAsia" w:eastAsiaTheme="minorEastAsia" w:cstheme="minorEastAsia"/>
          <w:color w:val="auto"/>
          <w:szCs w:val="21"/>
        </w:rPr>
        <w:t>配电装置</w:t>
      </w:r>
      <w:r>
        <w:rPr>
          <w:rFonts w:hint="eastAsia" w:asciiTheme="minorEastAsia" w:hAnsiTheme="minorEastAsia" w:eastAsiaTheme="minorEastAsia" w:cstheme="minorEastAsia"/>
          <w:snapToGrid w:val="0"/>
          <w:color w:val="auto"/>
          <w:szCs w:val="21"/>
        </w:rPr>
        <w:t>又是必不可少的，或者对于稳定运行，改善</w:t>
      </w:r>
      <w:r>
        <w:rPr>
          <w:rFonts w:hint="eastAsia" w:asciiTheme="minorEastAsia" w:hAnsiTheme="minorEastAsia" w:eastAsiaTheme="minorEastAsia" w:cstheme="minorEastAsia"/>
          <w:color w:val="auto"/>
          <w:szCs w:val="21"/>
        </w:rPr>
        <w:t>配电装置</w:t>
      </w:r>
      <w:r>
        <w:rPr>
          <w:rFonts w:hint="eastAsia" w:asciiTheme="minorEastAsia" w:hAnsiTheme="minorEastAsia" w:eastAsiaTheme="minorEastAsia" w:cstheme="minorEastAsia"/>
          <w:snapToGrid w:val="0"/>
          <w:color w:val="auto"/>
          <w:szCs w:val="21"/>
        </w:rPr>
        <w:t>运行品质都是必要的话，那么这些元件或装置，也应由承包单位提供。</w:t>
      </w:r>
    </w:p>
    <w:p w14:paraId="48947E3E">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9.3  标准及规范</w:t>
      </w:r>
    </w:p>
    <w:p w14:paraId="65B95BCE">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kern w:val="0"/>
          <w:szCs w:val="21"/>
        </w:rPr>
        <w:t>3.1 下列标准供选用：</w:t>
      </w:r>
    </w:p>
    <w:p w14:paraId="1B9000F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35kV户外配电设备的设计、制造、试验、包装、运输、安装除应满足本规范规定的要求外，尚须遵照如下规程规范与标准。若这些标准作出修改时，应以修订后的新标准执行。本合同应遵照的主要规程、规范与标准有：</w:t>
      </w:r>
    </w:p>
    <w:p w14:paraId="753BAFCF">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GB 763      交流高压电器在长期工作时的发热 </w:t>
      </w:r>
    </w:p>
    <w:p w14:paraId="0BD30187">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GB 2706     交流高压电器动、热稳定试验方法 </w:t>
      </w:r>
    </w:p>
    <w:p w14:paraId="7F5C6773">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GB1984      交流高压断路器</w:t>
      </w:r>
    </w:p>
    <w:p w14:paraId="5FC745D5">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GB 1985      高压交流隔离开关和接地开关 </w:t>
      </w:r>
    </w:p>
    <w:p w14:paraId="76827446">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GB 3309      高压开关设备常温下的机械试验 </w:t>
      </w:r>
    </w:p>
    <w:p w14:paraId="0EF7EED9">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GB/T 11022   高压开关设备和控制设备标准的共用技术要求</w:t>
      </w:r>
    </w:p>
    <w:p w14:paraId="1120DCAD">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311.1     高压输变电设备的绝缘配合</w:t>
      </w:r>
    </w:p>
    <w:p w14:paraId="1026B815">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GB 1208      电流互感器 </w:t>
      </w:r>
    </w:p>
    <w:p w14:paraId="200B2E08">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SL 561       水利水电工程导体和电器选择设计规范</w:t>
      </w:r>
    </w:p>
    <w:p w14:paraId="4C4CE467">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SL311        水利水电工程高压配电装置设计规范</w:t>
      </w:r>
    </w:p>
    <w:p w14:paraId="234A6616">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DL/T 5352     高压配电装置设计技术规程</w:t>
      </w:r>
    </w:p>
    <w:p w14:paraId="30FEC82F">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DL/T 5137     电测量及电能计量装置设计技术规程 </w:t>
      </w:r>
    </w:p>
    <w:p w14:paraId="372D95A2">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GB/T50064     交流电气装置的过电压保护和绝缘配合设计规范</w:t>
      </w:r>
    </w:p>
    <w:p w14:paraId="0031BE2B">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DL/T 538      高压带电显示装置</w:t>
      </w:r>
    </w:p>
    <w:p w14:paraId="18A261E6">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191       包装储运图示标志</w:t>
      </w:r>
    </w:p>
    <w:p w14:paraId="28CEDBA5">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50150     电气装置安装工程 电气设备交接试验标准</w:t>
      </w:r>
    </w:p>
    <w:p w14:paraId="70654D14">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DL/T 596      电力设备预防性试验规程</w:t>
      </w:r>
    </w:p>
    <w:p w14:paraId="6E67FC44">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GB/T 156      标准电压</w:t>
      </w:r>
    </w:p>
    <w:p w14:paraId="250E26B9">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GB/T 762      标准电流等级</w:t>
      </w:r>
    </w:p>
    <w:p w14:paraId="04C88329">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4728       电气简图用图形符号</w:t>
      </w:r>
    </w:p>
    <w:p w14:paraId="01ADE21B">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4884       绝缘导线的标记</w:t>
      </w:r>
    </w:p>
    <w:p w14:paraId="3270FEC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电力机械两行业颁发的有关技术要求及规定。</w:t>
      </w:r>
    </w:p>
    <w:p w14:paraId="6F30EA9B">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kern w:val="0"/>
          <w:szCs w:val="21"/>
        </w:rPr>
        <w:t xml:space="preserve">3.2  </w:t>
      </w:r>
      <w:r>
        <w:rPr>
          <w:rFonts w:hint="eastAsia" w:asciiTheme="minorEastAsia" w:hAnsiTheme="minorEastAsia" w:eastAsiaTheme="minorEastAsia" w:cstheme="minorEastAsia"/>
          <w:snapToGrid w:val="0"/>
          <w:color w:val="auto"/>
          <w:szCs w:val="21"/>
        </w:rPr>
        <w:t>所有螺丝、螺母、螺栓、螺杆和有关管件的螺纹应使用GB标准。</w:t>
      </w:r>
    </w:p>
    <w:p w14:paraId="489113E7">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kern w:val="0"/>
          <w:szCs w:val="21"/>
        </w:rPr>
        <w:t>3.3  设备制造应采用先进的工艺，以保证各种运行情况下运行可靠。所有部件的结构、</w:t>
      </w:r>
      <w:r>
        <w:rPr>
          <w:rFonts w:hint="eastAsia" w:asciiTheme="minorEastAsia" w:hAnsiTheme="minorEastAsia" w:eastAsiaTheme="minorEastAsia" w:cstheme="minorEastAsia"/>
          <w:snapToGrid w:val="0"/>
          <w:color w:val="auto"/>
          <w:szCs w:val="21"/>
        </w:rPr>
        <w:t>尺寸和材料应做到在各种应力下不产生扭曲和过量磨损。零部件应有良好的互换性和便于安装及检修。</w:t>
      </w:r>
    </w:p>
    <w:p w14:paraId="719613D0">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9.4 技术规格</w:t>
      </w:r>
    </w:p>
    <w:p w14:paraId="53EF2945">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4.1 工作环境</w:t>
      </w:r>
    </w:p>
    <w:p w14:paraId="591377B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1、35kV户外配电设备安装于户外，无剧烈机械振动，无有害气体及蒸汽，无导电性或爆炸性尘埃。</w:t>
      </w:r>
    </w:p>
    <w:p w14:paraId="5C3D125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2、罗村三级电站所处的建德市属亚热带季风气候，气候温和，雨量充沛。多年平均气温16.7℃，极端最高气温42.9℃，极端最低气温-8.5℃。多年年平均风速1.65m/s，历年最大风速18.0m/s。月平均湿度不大于90%。</w:t>
      </w:r>
    </w:p>
    <w:p w14:paraId="7295C6B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3、污秽等级：</w:t>
      </w:r>
      <w:r>
        <w:rPr>
          <w:rFonts w:hint="eastAsia" w:asciiTheme="minorEastAsia" w:hAnsiTheme="minorEastAsia" w:eastAsiaTheme="minorEastAsia" w:cstheme="minorEastAsia"/>
          <w:snapToGrid w:val="0"/>
          <w:color w:val="auto"/>
          <w:szCs w:val="21"/>
        </w:rPr>
        <w:fldChar w:fldCharType="begin"/>
      </w:r>
      <w:r>
        <w:rPr>
          <w:rFonts w:hint="eastAsia" w:asciiTheme="minorEastAsia" w:hAnsiTheme="minorEastAsia" w:eastAsiaTheme="minorEastAsia" w:cstheme="minorEastAsia"/>
          <w:snapToGrid w:val="0"/>
          <w:color w:val="auto"/>
          <w:szCs w:val="21"/>
        </w:rPr>
        <w:instrText xml:space="preserve"> = 3 \* ROMAN </w:instrText>
      </w:r>
      <w:r>
        <w:rPr>
          <w:rFonts w:hint="eastAsia" w:asciiTheme="minorEastAsia" w:hAnsiTheme="minorEastAsia" w:eastAsiaTheme="minorEastAsia" w:cstheme="minorEastAsia"/>
          <w:snapToGrid w:val="0"/>
          <w:color w:val="auto"/>
          <w:szCs w:val="21"/>
        </w:rPr>
        <w:fldChar w:fldCharType="separate"/>
      </w:r>
      <w:r>
        <w:rPr>
          <w:rFonts w:hint="eastAsia" w:asciiTheme="minorEastAsia" w:hAnsiTheme="minorEastAsia" w:eastAsiaTheme="minorEastAsia" w:cstheme="minorEastAsia"/>
          <w:snapToGrid w:val="0"/>
          <w:color w:val="auto"/>
          <w:szCs w:val="21"/>
        </w:rPr>
        <w:t>III</w:t>
      </w:r>
      <w:r>
        <w:rPr>
          <w:rFonts w:hint="eastAsia" w:asciiTheme="minorEastAsia" w:hAnsiTheme="minorEastAsia" w:eastAsiaTheme="minorEastAsia" w:cstheme="minorEastAsia"/>
          <w:snapToGrid w:val="0"/>
          <w:color w:val="auto"/>
          <w:szCs w:val="21"/>
        </w:rPr>
        <w:fldChar w:fldCharType="end"/>
      </w:r>
      <w:r>
        <w:rPr>
          <w:rFonts w:hint="eastAsia" w:asciiTheme="minorEastAsia" w:hAnsiTheme="minorEastAsia" w:eastAsiaTheme="minorEastAsia" w:cstheme="minorEastAsia"/>
          <w:snapToGrid w:val="0"/>
          <w:color w:val="auto"/>
          <w:szCs w:val="21"/>
        </w:rPr>
        <w:t>级</w:t>
      </w:r>
    </w:p>
    <w:p w14:paraId="579F05D2">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4.2 技术要求</w:t>
      </w:r>
    </w:p>
    <w:p w14:paraId="7AAC9007">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4.2.1 一般技术要求</w:t>
      </w:r>
    </w:p>
    <w:p w14:paraId="20E4B9B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（1）额定电压：40.5kV</w:t>
      </w:r>
    </w:p>
    <w:p w14:paraId="3AF127E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（2）额定频率：50Hz</w:t>
      </w:r>
    </w:p>
    <w:p w14:paraId="65DFE8A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（3）额定电流：1250A</w:t>
      </w:r>
    </w:p>
    <w:p w14:paraId="3A949EE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（4）额定短时耐受电流：25kA（4s）</w:t>
      </w:r>
    </w:p>
    <w:p w14:paraId="0FF3D5C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（5）额定峰值耐受电流：63kA</w:t>
      </w:r>
    </w:p>
    <w:p w14:paraId="6F67163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（6）额定绝缘水平：额定1min工频耐受电压  对地   95kV</w:t>
      </w:r>
    </w:p>
    <w:p w14:paraId="300A77B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断口   118 kV</w:t>
      </w:r>
    </w:p>
    <w:p w14:paraId="5042961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额定雷电冲击耐受电压   对地   185kV</w:t>
      </w:r>
    </w:p>
    <w:p w14:paraId="68A384C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断口   215 kV</w:t>
      </w:r>
    </w:p>
    <w:p w14:paraId="0ED8EB9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（7）具有防止误操作的联锁功能：防止带负荷分合隔离开关</w:t>
      </w:r>
    </w:p>
    <w:p w14:paraId="0251E71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防止带电合接地开关</w:t>
      </w:r>
    </w:p>
    <w:p w14:paraId="3CED538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防止接地时合隔离开关</w:t>
      </w:r>
    </w:p>
    <w:p w14:paraId="4F1DF26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（8）布置型式：户外中型</w:t>
      </w:r>
    </w:p>
    <w:p w14:paraId="0CBC52D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（9）接地：所有设备壳体与构架的相互电气连接应采用紧固连接（螺栓连接或焊接），接地连线的截面积应能安全通过故障接地电流。</w:t>
      </w:r>
    </w:p>
    <w:p w14:paraId="5147A56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（10）温升：主回路组成元件的温升，按GB11022和DL/T593标准的规定，对上述标准未规定的元件（如电流互感器等），其温升不得超过这些元件各自标准的规定。</w:t>
      </w:r>
    </w:p>
    <w:p w14:paraId="3BD977DB">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4.2.2 各元件技术要求</w:t>
      </w:r>
    </w:p>
    <w:p w14:paraId="20240EC3">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4.2.2.1断路器</w:t>
      </w:r>
    </w:p>
    <w:p w14:paraId="6DAB7DC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采用ZW7-40.5型户外真空断路器，内附电流互感器，测量精度达0.2级，内附凝露控制器，能保持断路器在一定的温度、湿度下可靠运行。</w:t>
      </w:r>
    </w:p>
    <w:p w14:paraId="2E02DF9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电气参数</w:t>
      </w:r>
    </w:p>
    <w:p w14:paraId="253E919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（1）额定电压                        40.5kV</w:t>
      </w:r>
    </w:p>
    <w:p w14:paraId="15FADAD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（2）额定频率                        50HZ</w:t>
      </w:r>
    </w:p>
    <w:p w14:paraId="5CF5593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（3）额定电流                        1250A</w:t>
      </w:r>
    </w:p>
    <w:p w14:paraId="31FD3C7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（4）额定热稳定电流                  25kA（4s）</w:t>
      </w:r>
    </w:p>
    <w:p w14:paraId="7137CA2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（5）额定动稳定电流                  63kA</w:t>
      </w:r>
    </w:p>
    <w:p w14:paraId="2476D89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（6）额定短路开断电流                25kA</w:t>
      </w:r>
    </w:p>
    <w:p w14:paraId="5D299A5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（7）1min工频耐受电压                95kV</w:t>
      </w:r>
    </w:p>
    <w:p w14:paraId="652554A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（8）额定雷电冲击耐受电压             185 kV</w:t>
      </w:r>
    </w:p>
    <w:p w14:paraId="13C6B6E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（9）机械寿命                         10000次</w:t>
      </w:r>
    </w:p>
    <w:p w14:paraId="012A47E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（10）额定短路电流开断次数            30次</w:t>
      </w:r>
    </w:p>
    <w:p w14:paraId="4E993FF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（11）额定操作顺序                    O-0.3s-CO-180s-CO</w:t>
      </w:r>
    </w:p>
    <w:p w14:paraId="7FED27E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（12）平均分闸速度                    1.5±0.2m/s</w:t>
      </w:r>
    </w:p>
    <w:p w14:paraId="48E99FB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（13）平均合闸速度                    0.7±0.2 m/s</w:t>
      </w:r>
    </w:p>
    <w:p w14:paraId="4AFC260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（14）触头合闸弹跳时间                ≤2ms</w:t>
      </w:r>
    </w:p>
    <w:p w14:paraId="3BC7319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（15）三相合（分）闸周期性时差        ≤2ms</w:t>
      </w:r>
    </w:p>
    <w:p w14:paraId="49E266B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（16）合闸时间                        ≤150ms</w:t>
      </w:r>
    </w:p>
    <w:p w14:paraId="78E05F6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（17）分闸时间                        ≤60ms</w:t>
      </w:r>
    </w:p>
    <w:p w14:paraId="03D89D2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（18）额定操作电压及辅助回路额定电压  DC220V</w:t>
      </w:r>
    </w:p>
    <w:p w14:paraId="06B2C61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（19）配用机构                        弹簧操动机构</w:t>
      </w:r>
    </w:p>
    <w:p w14:paraId="1D8DE09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（20）电流互感器额定一次电流          150A</w:t>
      </w:r>
    </w:p>
    <w:p w14:paraId="65522F9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（21）电流互感器额定二次电流          5A</w:t>
      </w:r>
    </w:p>
    <w:p w14:paraId="6C8DB71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（22）电流互感器精度                  0.2S/0.5/10P30（35kV线断路器）</w:t>
      </w:r>
    </w:p>
    <w:p w14:paraId="1325553D">
      <w:pPr>
        <w:spacing w:line="360" w:lineRule="auto"/>
        <w:ind w:firstLine="420" w:firstLineChars="200"/>
        <w:rPr>
          <w:rFonts w:hint="eastAsia" w:asciiTheme="minorEastAsia" w:hAnsiTheme="minorEastAsia" w:eastAsiaTheme="minorEastAsia" w:cstheme="minorEastAsia"/>
          <w:snapToGrid w:val="0"/>
          <w:color w:val="auto"/>
          <w:szCs w:val="21"/>
        </w:rPr>
      </w:pPr>
      <w:r>
        <w:rPr>
          <w:rFonts w:asciiTheme="minorEastAsia" w:hAnsiTheme="minorEastAsia" w:eastAsiaTheme="minorEastAsia" w:cstheme="minorEastAsia"/>
          <w:snapToGrid w:val="0"/>
          <w:color w:val="auto"/>
          <w:szCs w:val="21"/>
        </w:rPr>
        <w:tab/>
      </w:r>
      <w:r>
        <w:rPr>
          <w:rFonts w:asciiTheme="minorEastAsia" w:hAnsiTheme="minorEastAsia" w:eastAsiaTheme="minorEastAsia" w:cstheme="minorEastAsia"/>
          <w:snapToGrid w:val="0"/>
          <w:color w:val="auto"/>
          <w:szCs w:val="21"/>
        </w:rPr>
        <w:tab/>
      </w:r>
      <w:r>
        <w:rPr>
          <w:rFonts w:asciiTheme="minorEastAsia" w:hAnsiTheme="minorEastAsia" w:eastAsiaTheme="minorEastAsia" w:cstheme="minorEastAsia"/>
          <w:snapToGrid w:val="0"/>
          <w:color w:val="auto"/>
          <w:szCs w:val="21"/>
        </w:rPr>
        <w:tab/>
      </w:r>
      <w:r>
        <w:rPr>
          <w:rFonts w:asciiTheme="minorEastAsia" w:hAnsiTheme="minorEastAsia" w:eastAsiaTheme="minorEastAsia" w:cstheme="minorEastAsia"/>
          <w:snapToGrid w:val="0"/>
          <w:color w:val="auto"/>
          <w:szCs w:val="21"/>
        </w:rPr>
        <w:tab/>
      </w:r>
      <w:r>
        <w:rPr>
          <w:rFonts w:asciiTheme="minorEastAsia" w:hAnsiTheme="minorEastAsia" w:eastAsiaTheme="minorEastAsia" w:cstheme="minorEastAsia"/>
          <w:snapToGrid w:val="0"/>
          <w:color w:val="auto"/>
          <w:szCs w:val="21"/>
        </w:rPr>
        <w:tab/>
      </w:r>
      <w:r>
        <w:rPr>
          <w:rFonts w:asciiTheme="minorEastAsia" w:hAnsiTheme="minorEastAsia" w:eastAsiaTheme="minorEastAsia" w:cstheme="minorEastAsia"/>
          <w:snapToGrid w:val="0"/>
          <w:color w:val="auto"/>
          <w:szCs w:val="21"/>
        </w:rPr>
        <w:tab/>
      </w:r>
      <w:r>
        <w:rPr>
          <w:rFonts w:asciiTheme="minorEastAsia" w:hAnsiTheme="minorEastAsia" w:eastAsiaTheme="minorEastAsia" w:cstheme="minorEastAsia"/>
          <w:snapToGrid w:val="0"/>
          <w:color w:val="auto"/>
          <w:szCs w:val="21"/>
        </w:rPr>
        <w:tab/>
      </w:r>
      <w:r>
        <w:rPr>
          <w:rFonts w:asciiTheme="minorEastAsia" w:hAnsiTheme="minorEastAsia" w:eastAsiaTheme="minorEastAsia" w:cstheme="minorEastAsia"/>
          <w:snapToGrid w:val="0"/>
          <w:color w:val="auto"/>
          <w:szCs w:val="21"/>
        </w:rPr>
        <w:tab/>
      </w:r>
      <w:r>
        <w:rPr>
          <w:rFonts w:asciiTheme="minorEastAsia" w:hAnsiTheme="minorEastAsia" w:eastAsiaTheme="minorEastAsia" w:cstheme="minorEastAsia"/>
          <w:snapToGrid w:val="0"/>
          <w:color w:val="auto"/>
          <w:szCs w:val="21"/>
        </w:rPr>
        <w:tab/>
      </w:r>
      <w:r>
        <w:rPr>
          <w:rFonts w:hint="eastAsia" w:asciiTheme="minorEastAsia" w:hAnsiTheme="minorEastAsia" w:eastAsiaTheme="minorEastAsia" w:cstheme="minorEastAsia"/>
          <w:snapToGrid w:val="0"/>
          <w:color w:val="auto"/>
          <w:szCs w:val="21"/>
        </w:rPr>
        <w:t>0.2S/10P30/10P30（35kV主变高压侧断路器）</w:t>
      </w:r>
    </w:p>
    <w:p w14:paraId="4FFA31AB">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4.2.2.2 隔离开关</w:t>
      </w:r>
    </w:p>
    <w:p w14:paraId="6A12C28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采用GW5-35D型隔离开关，该开关由三个单极和机构组成，每个单极隔离开关由二个棒式支柱绝缘子分别固定在一个底座上，夹角为50°成一个V型结构，本体一侧瓷瓶转动，另一瓷瓶通过开关底座内的伞齿轮转动。主导电回路采用铜质材料，触头、触指局部两面镀银，操作机构采用CS17手动机构，机构输出轴之间设有机械联锁，并配电磁锁，可确保防误操作。</w:t>
      </w:r>
    </w:p>
    <w:p w14:paraId="201B939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电气参数</w:t>
      </w:r>
    </w:p>
    <w:p w14:paraId="6CAC239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（1）额定电压                        40.5kV</w:t>
      </w:r>
    </w:p>
    <w:p w14:paraId="422AECA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（2）额定频率                        50HZ</w:t>
      </w:r>
    </w:p>
    <w:p w14:paraId="2684D9E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（3）额定电流                        1250A</w:t>
      </w:r>
    </w:p>
    <w:p w14:paraId="73EAC30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（4）额定热稳定电流（有效值）        25kA（3s）</w:t>
      </w:r>
    </w:p>
    <w:p w14:paraId="64E1975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（5）额定动稳定电流（峰值）          63kA</w:t>
      </w:r>
    </w:p>
    <w:p w14:paraId="5CB5D9C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（6）1min工频耐受电压（有效值）     对地114kV  断口132 kV</w:t>
      </w:r>
    </w:p>
    <w:p w14:paraId="0F04D4D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（7）额定雷电冲击耐受电压（峰值）    对地222kV  断口258 kV</w:t>
      </w:r>
    </w:p>
    <w:p w14:paraId="55B34DD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（8）绝缘子爬电距离（爬电比距mm/kV） 1015mm（25）</w:t>
      </w:r>
    </w:p>
    <w:p w14:paraId="68A2E04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（9）机械寿命                          2000次</w:t>
      </w:r>
    </w:p>
    <w:p w14:paraId="3F67BE2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（10）隔离开关断口距离                 ≥530mm</w:t>
      </w:r>
    </w:p>
    <w:p w14:paraId="4F42A93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（11）接地开关断口距离                 ≥560mm</w:t>
      </w:r>
    </w:p>
    <w:p w14:paraId="21D2E2E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（12）主刀操动机构                     CS17手动机构</w:t>
      </w:r>
    </w:p>
    <w:p w14:paraId="611BA43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（13）地刀操动机构                     CS17手动机构</w:t>
      </w:r>
    </w:p>
    <w:p w14:paraId="5CDC1C09">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4.2.2.3 电压互感器</w:t>
      </w:r>
    </w:p>
    <w:p w14:paraId="379A5EB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采用JDXF7-35 、JDN-35型户外油浸式电压互感器。</w:t>
      </w:r>
    </w:p>
    <w:p w14:paraId="7BA74AB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变压器侧电压互感器电气参数</w:t>
      </w:r>
    </w:p>
    <w:p w14:paraId="24B4B4B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（1）额定一次电压                    </w:t>
      </w:r>
      <w:r>
        <w:rPr>
          <w:rFonts w:hint="eastAsia" w:asciiTheme="minorEastAsia" w:hAnsiTheme="minorEastAsia" w:eastAsiaTheme="minorEastAsia" w:cstheme="minorEastAsia"/>
          <w:color w:val="auto"/>
          <w:position w:val="-30"/>
          <w:szCs w:val="21"/>
        </w:rPr>
        <w:object>
          <v:shape id="_x0000_i1032" o:spt="75" type="#_x0000_t75" style="height:34.9pt;width:19.9pt;" o:ole="t" fillcolor="#000005" filled="f" o:preferrelative="t" stroked="f" coordsize="21600,21600">
            <v:path/>
            <v:fill on="f" focussize="0,0"/>
            <v:stroke on="f" joinstyle="miter"/>
            <v:imagedata r:id="rId40" o:title=""/>
            <o:lock v:ext="edit" aspectratio="t"/>
            <w10:wrap type="none"/>
            <w10:anchorlock/>
          </v:shape>
          <o:OLEObject Type="Embed" ProgID="Equation.3" ShapeID="_x0000_i1032" DrawAspect="Content" ObjectID="_1468075732" r:id="rId39">
            <o:LockedField>false</o:LockedField>
          </o:OLEObject>
        </w:object>
      </w:r>
      <w:r>
        <w:rPr>
          <w:rFonts w:hint="eastAsia" w:asciiTheme="minorEastAsia" w:hAnsiTheme="minorEastAsia" w:eastAsiaTheme="minorEastAsia" w:cstheme="minorEastAsia"/>
          <w:snapToGrid w:val="0"/>
          <w:color w:val="auto"/>
          <w:szCs w:val="21"/>
        </w:rPr>
        <w:t xml:space="preserve"> kV</w:t>
      </w:r>
    </w:p>
    <w:p w14:paraId="196370B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（2）额定二次电压                    </w:t>
      </w:r>
      <w:r>
        <w:rPr>
          <w:rFonts w:hint="eastAsia" w:asciiTheme="minorEastAsia" w:hAnsiTheme="minorEastAsia" w:eastAsiaTheme="minorEastAsia" w:cstheme="minorEastAsia"/>
          <w:color w:val="auto"/>
          <w:position w:val="-30"/>
          <w:szCs w:val="21"/>
        </w:rPr>
        <w:object>
          <v:shape id="_x0000_i1033" o:spt="75" type="#_x0000_t75" style="height:34.9pt;width:87pt;" o:ole="t" fillcolor="#000005" filled="f" o:preferrelative="t" stroked="f" coordsize="21600,21600">
            <v:path/>
            <v:fill on="f" focussize="0,0"/>
            <v:stroke on="f" joinstyle="miter"/>
            <v:imagedata r:id="rId42" o:title=""/>
            <o:lock v:ext="edit" aspectratio="t"/>
            <w10:wrap type="none"/>
            <w10:anchorlock/>
          </v:shape>
          <o:OLEObject Type="Embed" ProgID="Equation.3" ShapeID="_x0000_i1033" DrawAspect="Content" ObjectID="_1468075733" r:id="rId41">
            <o:LockedField>false</o:LockedField>
          </o:OLEObject>
        </w:object>
      </w:r>
      <w:r>
        <w:rPr>
          <w:rFonts w:hint="eastAsia" w:asciiTheme="minorEastAsia" w:hAnsiTheme="minorEastAsia" w:eastAsiaTheme="minorEastAsia" w:cstheme="minorEastAsia"/>
          <w:snapToGrid w:val="0"/>
          <w:color w:val="auto"/>
          <w:szCs w:val="21"/>
        </w:rPr>
        <w:t>kV</w:t>
      </w:r>
    </w:p>
    <w:p w14:paraId="3344FCD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（3）准确级                           0.2/0.5/3P                      </w:t>
      </w:r>
    </w:p>
    <w:p w14:paraId="657CAC1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（4）额定输出容量                     80VA/150VA/100VA</w:t>
      </w:r>
    </w:p>
    <w:p w14:paraId="229FCE8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（5）额定绝缘水平                     40.5/95/200kV</w:t>
      </w:r>
    </w:p>
    <w:p w14:paraId="0746422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线路侧电压互感器电气参数</w:t>
      </w:r>
    </w:p>
    <w:p w14:paraId="61B0F3B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（1）额定一次电压                     35kV</w:t>
      </w:r>
    </w:p>
    <w:p w14:paraId="1B621F3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（2）额定二次电压                     100V</w:t>
      </w:r>
    </w:p>
    <w:p w14:paraId="075BBA5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（3）准确级                           0.5                      </w:t>
      </w:r>
    </w:p>
    <w:p w14:paraId="116FB40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（4）额定输出容量                     150VA</w:t>
      </w:r>
    </w:p>
    <w:p w14:paraId="0C64D82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（5）额定绝缘水平                     40.5/95/200kV</w:t>
      </w:r>
    </w:p>
    <w:p w14:paraId="3D7D086A">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4.2.2.4 高压熔断器</w:t>
      </w:r>
    </w:p>
    <w:p w14:paraId="1BA9362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采用RW10-35型高压熔断器，用以保护电压互感器。熔体管采用含氧化硅较高的材料作灭弧介质，应用小直径的金属线做熔丝。</w:t>
      </w:r>
    </w:p>
    <w:p w14:paraId="1DAC6CA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电气参数</w:t>
      </w:r>
    </w:p>
    <w:p w14:paraId="0CFE3AE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（1）额定电压                        40.5kV</w:t>
      </w:r>
    </w:p>
    <w:p w14:paraId="2AFAEB1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（2）额定频率                        50HZ</w:t>
      </w:r>
    </w:p>
    <w:p w14:paraId="03EEE0F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（3）额定电流                        0.5A</w:t>
      </w:r>
    </w:p>
    <w:p w14:paraId="7C30C99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（4）断流容量（三相）                1000MVA</w:t>
      </w:r>
    </w:p>
    <w:p w14:paraId="212A3F8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（5）熔断电流                        0.6～1.8A</w:t>
      </w:r>
    </w:p>
    <w:p w14:paraId="6C6C480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（6）切断最大短路电流                14kA</w:t>
      </w:r>
    </w:p>
    <w:p w14:paraId="5085FE6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（7）过电压倍数不超过                2.5倍工作电压</w:t>
      </w:r>
    </w:p>
    <w:p w14:paraId="685097F7">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4.2.2.5 避雷器</w:t>
      </w:r>
    </w:p>
    <w:p w14:paraId="43EDC76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采用HY5WZ-54/134型户外避雷器，配泄漏及放电记录仪。</w:t>
      </w:r>
    </w:p>
    <w:p w14:paraId="4372665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电气参数</w:t>
      </w:r>
    </w:p>
    <w:p w14:paraId="2C5E26F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（1）系统额定电压                     35kV</w:t>
      </w:r>
    </w:p>
    <w:p w14:paraId="7A219E8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（2）避雷器额定电压                   54kV</w:t>
      </w:r>
    </w:p>
    <w:p w14:paraId="3B5F308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（3）持续运行电压                     43.2 kV</w:t>
      </w:r>
    </w:p>
    <w:p w14:paraId="12A68D6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（4）直流参考电压（U1mA）            ≮77 kV</w:t>
      </w:r>
    </w:p>
    <w:p w14:paraId="372F1C7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（5）1/10μs陡波冲击电流下残压         ≯154 kV</w:t>
      </w:r>
    </w:p>
    <w:p w14:paraId="4879975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（6）8/20μs雷电冲击电流下残压         ≯134 kV</w:t>
      </w:r>
    </w:p>
    <w:p w14:paraId="109AB76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（7）30/60μs操作冲击电流下残压        ≯114 kV</w:t>
      </w:r>
    </w:p>
    <w:p w14:paraId="42D1BFE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（8）2ms方波通流容量                 400A</w:t>
      </w:r>
    </w:p>
    <w:p w14:paraId="42EAB76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（9）4/10μs大电流冲击耐受             100kA</w:t>
      </w:r>
    </w:p>
    <w:p w14:paraId="7684171B">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4.2.2.6 端子箱</w:t>
      </w:r>
    </w:p>
    <w:p w14:paraId="51A9EA0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端子箱需采用户外型，具有不锈钢外壳，带有密封门，能防水雾、防尘、防潮和防虫害，其防护等级为IP55。箱内应设置照明灯、防潮加热器，防潮加热器适用于单相交流220V的电源。箱体采用的不锈钢厚度不小于2mm。</w:t>
      </w:r>
    </w:p>
    <w:p w14:paraId="0C6B3FC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端子箱内所有接线的端子、包括备用端子采用凤凰或魏德米勒品牌，均应为铜质的，电源回路的端子应能压接不小于6mm²的铜导线，其他回路的端子应能压接不小于4mm²的铜导线。端子排应留有15%的裕度。断路器每个跳闸和合闸回路的端子要多留，端子可接电缆的截面为6mm²。</w:t>
      </w:r>
    </w:p>
    <w:p w14:paraId="1EBE4D3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断路器配套端子箱应能实现设备的就地控制，箱内的各类空开、继电器、控制开关、指示灯、按钮等元器件应采用高质量产品，如施耐德、ABB、西门子等品牌的产品。且箱内应设置就地/远方控制转换开关，就地/远方控制转换开关的辅助接点需进入计算机监控系统。</w:t>
      </w:r>
    </w:p>
    <w:p w14:paraId="51C07EF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（4）断路器的跳闸和合闸回路需有监视继电器（按相设置），监视继电器需引出回路断线的信号送至计算机监控系统。跳闸和合闸的直流电源端需有电源监视继电器，失电信号送至计算机监控系统。</w:t>
      </w:r>
    </w:p>
    <w:p w14:paraId="47CC151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断路器与隔离开关之间需在端子箱内实现硬接线的操作逻辑闭锁。硬接线的操作逻辑在设备之间所需的连接电缆均由承包方供货。所有涉及直接跳闸的重要回路应采用动作电压在额定直流电源电压的55%～70%范围以内的中间继电器，并要求其动作功率不低于5W。</w:t>
      </w:r>
    </w:p>
    <w:p w14:paraId="11A793F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（6）端子箱还需预留与计算机监控系统、继电保护系统等的接口，包括接线端子。</w:t>
      </w:r>
    </w:p>
    <w:p w14:paraId="102353DB">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9.5 承包单位提供的图纸和资料</w:t>
      </w:r>
    </w:p>
    <w:p w14:paraId="36040A56">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5.1 供设计联络会用图纸</w:t>
      </w:r>
    </w:p>
    <w:p w14:paraId="4F982EF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承包人应从合同生效日起算的15天内，提交本条所列的图纸和资料，供工程师审查。逾期交图时，作违约处理。下列图纸每项提交4套（其中1套提交工程设计单位，3套直接提交发包人）。</w:t>
      </w:r>
    </w:p>
    <w:p w14:paraId="2D8DE4F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（1）一次主接线图</w:t>
      </w:r>
    </w:p>
    <w:p w14:paraId="14238CE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（2）设备布置平面、断面图</w:t>
      </w:r>
    </w:p>
    <w:p w14:paraId="4499D85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（3）地基图及荷载、吊装要求</w:t>
      </w:r>
    </w:p>
    <w:p w14:paraId="07B91CA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（4）二次原理图</w:t>
      </w:r>
    </w:p>
    <w:p w14:paraId="791F00BB">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5.2 最终的图纸和资料</w:t>
      </w:r>
    </w:p>
    <w:p w14:paraId="0A904A5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（1）所有按规定提交的工厂图纸、安装说明书、操作说明书、产品使用说明书、维修手册等，随包装发运2套。</w:t>
      </w:r>
    </w:p>
    <w:p w14:paraId="064BB49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（2）所有按规定提交的工厂图纸、安装说明书、操作说明书、产品使用说明书、维修手册等资料及产品的厂内检查及试验记录向发包人直接提供3套。</w:t>
      </w:r>
    </w:p>
    <w:p w14:paraId="47370407">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9.6 试验</w:t>
      </w:r>
    </w:p>
    <w:p w14:paraId="1372005B">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6.1 出厂试验</w:t>
      </w:r>
    </w:p>
    <w:p w14:paraId="3DDE301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① 设备应进行出厂试验，经质量检验部门确认合格后方能出厂，并应具有证明设备合格的产品出厂证明书。</w:t>
      </w:r>
    </w:p>
    <w:p w14:paraId="67802CF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② 35kV户外配电设备出厂试验内容、方法及要求应符合GB2706、GB3309、DL/T596等标准的要求。</w:t>
      </w:r>
    </w:p>
    <w:p w14:paraId="536DC89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③ 承包单位的质量检验部门应按产品设计图样、业主提供的订货资料及本章有关条款逐台检验，只有检验合格后才准予验收，并向业主签发产品合格证书。</w:t>
      </w:r>
    </w:p>
    <w:p w14:paraId="7BC19336">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6.2 现场试验</w:t>
      </w:r>
    </w:p>
    <w:p w14:paraId="20AC19F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在设备安装完成后，承包单位应监督、指导安装单位进行系统调整、校正及测试以证明整个设备的性能达到本技术规范的要求。现场试验应经历两个主要阶段：即现场初步验收试验和最终验收试验。</w:t>
      </w:r>
    </w:p>
    <w:p w14:paraId="552074E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提供一个验证设备是否达到规定要求的程序和试验大纲给监理单位复核。承包单位应提供一个完整的现场试验报告，以表明设备的特定部件或整个完全符合规定的性能要求。现场试验应在安装完毕的设备上进行。任何部件不能满足规范书要求以及制造厂保证性能时，应由制造厂无偿地加以更换，完成所要求的测量所必需的全部试验设备由制造厂提供。</w:t>
      </w:r>
    </w:p>
    <w:p w14:paraId="0AC2A186">
      <w:pPr>
        <w:spacing w:line="360" w:lineRule="auto"/>
        <w:ind w:firstLine="420" w:firstLineChars="200"/>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snapToGrid w:val="0"/>
          <w:color w:val="auto"/>
          <w:szCs w:val="21"/>
        </w:rPr>
        <w:t>最终验收试验重点应放在初步验收试验中不完全满意或在保证期运行中有故障的部分设备的重新试验上。当所有局部最终验收试验完成后，应进行最终设备验收试验以验证是否完全达到其保证的性能指标。</w:t>
      </w:r>
    </w:p>
    <w:p w14:paraId="16FC3B80">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9.7 标志、包装、运输、贮存</w:t>
      </w:r>
    </w:p>
    <w:p w14:paraId="00F708E5">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7.1 标志</w:t>
      </w:r>
    </w:p>
    <w:p w14:paraId="39EC0F1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（1）设备应有符合当地气象条件和环境的永久性的不锈钢或铜质铭牌，其内容包括：制造厂厂名、商标，产品型号和名称，制造年、月及出厂编号，标明额定值及主要技术数据。</w:t>
      </w:r>
    </w:p>
    <w:p w14:paraId="117169F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（2）标志应清晰、耐久，便于观察。</w:t>
      </w:r>
    </w:p>
    <w:p w14:paraId="3E6AE7FF">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7.2 包装</w:t>
      </w:r>
    </w:p>
    <w:p w14:paraId="43E345B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包装应符合相应的标准或规定，装箱文件、资料清单及装箱清单齐全。</w:t>
      </w:r>
    </w:p>
    <w:p w14:paraId="1BE94EA6">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7.3 运输</w:t>
      </w:r>
    </w:p>
    <w:p w14:paraId="0256318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运输应符合相应的标准或规定。</w:t>
      </w:r>
    </w:p>
    <w:p w14:paraId="5EF7E40D">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9.</w:t>
      </w:r>
      <w:r>
        <w:rPr>
          <w:rFonts w:hint="eastAsia" w:asciiTheme="minorEastAsia" w:hAnsiTheme="minorEastAsia" w:eastAsiaTheme="minorEastAsia" w:cstheme="minorEastAsia"/>
          <w:snapToGrid w:val="0"/>
          <w:color w:val="auto"/>
          <w:szCs w:val="21"/>
        </w:rPr>
        <w:t>7.4 贮存</w:t>
      </w:r>
    </w:p>
    <w:p w14:paraId="2CFF282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（1）贮存设备的场所应干燥、清洁、空气流通，并能防止各种有害气体的侵入，严禁与有腐蚀作用的物品存放在同一场所。</w:t>
      </w:r>
    </w:p>
    <w:p w14:paraId="3D98E622">
      <w:pPr>
        <w:spacing w:line="360" w:lineRule="auto"/>
        <w:ind w:firstLine="420" w:firstLineChars="200"/>
        <w:rPr>
          <w:rFonts w:hint="eastAsia" w:asciiTheme="minorEastAsia" w:hAnsiTheme="minorEastAsia" w:eastAsiaTheme="minorEastAsia" w:cstheme="minorEastAsia"/>
          <w:snapToGrid w:val="0"/>
          <w:color w:val="auto"/>
          <w:szCs w:val="21"/>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napToGrid w:val="0"/>
          <w:color w:val="auto"/>
          <w:szCs w:val="21"/>
        </w:rPr>
        <w:t>（2）包装好的设备应保存在相对湿度不大于80%，周围环境为-10~+40℃的场所。</w:t>
      </w:r>
    </w:p>
    <w:p w14:paraId="13A4DB02">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第10章 高低压成套开关设备采购技术要求</w:t>
      </w:r>
    </w:p>
    <w:p w14:paraId="31621ECE">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10.1  承包范围</w:t>
      </w:r>
    </w:p>
    <w:p w14:paraId="6843D98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承包单位承担下述供货范围内设备的设计、材料采购、制造、出厂前的预装配和试验、包装、运输、交货、指导安装、现场试验、试运行、验收并应完全符合合同要求。</w:t>
      </w:r>
    </w:p>
    <w:p w14:paraId="783D13C3">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10.2  供货范围</w:t>
      </w:r>
    </w:p>
    <w:p w14:paraId="71833E37">
      <w:pPr>
        <w:pStyle w:val="989"/>
        <w:numPr>
          <w:ilvl w:val="0"/>
          <w:numId w:val="0"/>
        </w:numPr>
        <w:ind w:left="420"/>
        <w:rPr>
          <w:rFonts w:hint="eastAsia" w:asciiTheme="minorEastAsia" w:hAnsiTheme="minorEastAsia" w:eastAsiaTheme="minorEastAsia" w:cstheme="minorEastAsia"/>
          <w:color w:val="auto"/>
          <w:szCs w:val="21"/>
        </w:rPr>
      </w:pPr>
    </w:p>
    <w:tbl>
      <w:tblPr>
        <w:tblStyle w:val="65"/>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28" w:type="dxa"/>
          <w:bottom w:w="0" w:type="dxa"/>
          <w:right w:w="28" w:type="dxa"/>
        </w:tblCellMar>
      </w:tblPr>
      <w:tblGrid>
        <w:gridCol w:w="640"/>
        <w:gridCol w:w="2355"/>
        <w:gridCol w:w="2383"/>
        <w:gridCol w:w="768"/>
        <w:gridCol w:w="729"/>
        <w:gridCol w:w="1487"/>
      </w:tblGrid>
      <w:tr w14:paraId="1E4F4B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56B7D71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序号</w:t>
            </w:r>
          </w:p>
        </w:tc>
        <w:tc>
          <w:tcPr>
            <w:tcW w:w="1408" w:type="pct"/>
            <w:vAlign w:val="center"/>
          </w:tcPr>
          <w:p w14:paraId="090CF3B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名      称</w:t>
            </w:r>
          </w:p>
        </w:tc>
        <w:tc>
          <w:tcPr>
            <w:tcW w:w="1425" w:type="pct"/>
            <w:vAlign w:val="center"/>
          </w:tcPr>
          <w:p w14:paraId="72955CA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型式</w:t>
            </w:r>
          </w:p>
        </w:tc>
        <w:tc>
          <w:tcPr>
            <w:tcW w:w="459" w:type="pct"/>
            <w:vAlign w:val="center"/>
          </w:tcPr>
          <w:p w14:paraId="49C06C3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单 位</w:t>
            </w:r>
          </w:p>
        </w:tc>
        <w:tc>
          <w:tcPr>
            <w:tcW w:w="436" w:type="pct"/>
            <w:vAlign w:val="center"/>
          </w:tcPr>
          <w:p w14:paraId="79CE5C8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 量</w:t>
            </w:r>
          </w:p>
        </w:tc>
        <w:tc>
          <w:tcPr>
            <w:tcW w:w="889" w:type="pct"/>
            <w:vAlign w:val="center"/>
          </w:tcPr>
          <w:p w14:paraId="2215DF2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备注</w:t>
            </w:r>
          </w:p>
        </w:tc>
      </w:tr>
      <w:tr w14:paraId="0C855A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6AC1EC2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408" w:type="pct"/>
            <w:vAlign w:val="center"/>
          </w:tcPr>
          <w:p w14:paraId="32332785">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主变低压侧开关柜</w:t>
            </w:r>
          </w:p>
        </w:tc>
        <w:tc>
          <w:tcPr>
            <w:tcW w:w="1425" w:type="pct"/>
            <w:vAlign w:val="center"/>
          </w:tcPr>
          <w:p w14:paraId="49DD9CE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箱型固定式户内开关柜</w:t>
            </w:r>
          </w:p>
        </w:tc>
        <w:tc>
          <w:tcPr>
            <w:tcW w:w="459" w:type="pct"/>
            <w:vAlign w:val="center"/>
          </w:tcPr>
          <w:p w14:paraId="2B054B4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436" w:type="pct"/>
            <w:vAlign w:val="center"/>
          </w:tcPr>
          <w:p w14:paraId="32AE32F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1400E3C4">
            <w:pPr>
              <w:jc w:val="center"/>
              <w:rPr>
                <w:rFonts w:hint="eastAsia" w:asciiTheme="minorEastAsia" w:hAnsiTheme="minorEastAsia" w:eastAsiaTheme="minorEastAsia" w:cstheme="minorEastAsia"/>
                <w:snapToGrid w:val="0"/>
                <w:color w:val="auto"/>
                <w:szCs w:val="21"/>
              </w:rPr>
            </w:pPr>
          </w:p>
        </w:tc>
      </w:tr>
      <w:tr w14:paraId="3FFFAE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374EE11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408" w:type="pct"/>
            <w:vAlign w:val="center"/>
          </w:tcPr>
          <w:p w14:paraId="37D3BD7B">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6.3kV母线互感器柜</w:t>
            </w:r>
          </w:p>
        </w:tc>
        <w:tc>
          <w:tcPr>
            <w:tcW w:w="1425" w:type="pct"/>
            <w:vAlign w:val="center"/>
          </w:tcPr>
          <w:p w14:paraId="4BD8387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箱型固定式户内开关柜</w:t>
            </w:r>
          </w:p>
        </w:tc>
        <w:tc>
          <w:tcPr>
            <w:tcW w:w="459" w:type="pct"/>
            <w:vAlign w:val="center"/>
          </w:tcPr>
          <w:p w14:paraId="00AB043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436" w:type="pct"/>
            <w:vAlign w:val="center"/>
          </w:tcPr>
          <w:p w14:paraId="0610247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3A0F7FBA">
            <w:pPr>
              <w:jc w:val="center"/>
              <w:rPr>
                <w:rFonts w:hint="eastAsia" w:asciiTheme="minorEastAsia" w:hAnsiTheme="minorEastAsia" w:eastAsiaTheme="minorEastAsia" w:cstheme="minorEastAsia"/>
                <w:snapToGrid w:val="0"/>
                <w:color w:val="auto"/>
                <w:szCs w:val="21"/>
              </w:rPr>
            </w:pPr>
          </w:p>
        </w:tc>
      </w:tr>
      <w:tr w14:paraId="65C5A7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0703249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1408" w:type="pct"/>
            <w:vAlign w:val="center"/>
          </w:tcPr>
          <w:p w14:paraId="216E8F4B">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#1厂用变开关柜</w:t>
            </w:r>
          </w:p>
        </w:tc>
        <w:tc>
          <w:tcPr>
            <w:tcW w:w="1425" w:type="pct"/>
            <w:vAlign w:val="center"/>
          </w:tcPr>
          <w:p w14:paraId="3CF28DF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箱型固定式户内开关柜</w:t>
            </w:r>
          </w:p>
        </w:tc>
        <w:tc>
          <w:tcPr>
            <w:tcW w:w="459" w:type="pct"/>
            <w:vAlign w:val="center"/>
          </w:tcPr>
          <w:p w14:paraId="25D84E7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436" w:type="pct"/>
            <w:vAlign w:val="center"/>
          </w:tcPr>
          <w:p w14:paraId="54B1C29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6B4FFCC1">
            <w:pPr>
              <w:jc w:val="center"/>
              <w:rPr>
                <w:rFonts w:hint="eastAsia" w:asciiTheme="minorEastAsia" w:hAnsiTheme="minorEastAsia" w:eastAsiaTheme="minorEastAsia" w:cstheme="minorEastAsia"/>
                <w:snapToGrid w:val="0"/>
                <w:color w:val="auto"/>
                <w:szCs w:val="21"/>
              </w:rPr>
            </w:pPr>
          </w:p>
        </w:tc>
      </w:tr>
      <w:tr w14:paraId="3DA815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1A241E0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1408" w:type="pct"/>
            <w:vAlign w:val="center"/>
          </w:tcPr>
          <w:p w14:paraId="3A429F02">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#1发电机开关柜</w:t>
            </w:r>
          </w:p>
        </w:tc>
        <w:tc>
          <w:tcPr>
            <w:tcW w:w="1425" w:type="pct"/>
            <w:vAlign w:val="center"/>
          </w:tcPr>
          <w:p w14:paraId="059765F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箱型固定式户内开关柜</w:t>
            </w:r>
          </w:p>
        </w:tc>
        <w:tc>
          <w:tcPr>
            <w:tcW w:w="459" w:type="pct"/>
            <w:vAlign w:val="center"/>
          </w:tcPr>
          <w:p w14:paraId="5B8AEAD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436" w:type="pct"/>
            <w:vAlign w:val="center"/>
          </w:tcPr>
          <w:p w14:paraId="7CDF34E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03AAA945">
            <w:pPr>
              <w:jc w:val="center"/>
              <w:rPr>
                <w:rFonts w:hint="eastAsia" w:asciiTheme="minorEastAsia" w:hAnsiTheme="minorEastAsia" w:eastAsiaTheme="minorEastAsia" w:cstheme="minorEastAsia"/>
                <w:snapToGrid w:val="0"/>
                <w:color w:val="auto"/>
                <w:szCs w:val="21"/>
              </w:rPr>
            </w:pPr>
          </w:p>
        </w:tc>
      </w:tr>
      <w:tr w14:paraId="5F6A1F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68E608B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1408" w:type="pct"/>
            <w:vAlign w:val="center"/>
          </w:tcPr>
          <w:p w14:paraId="594D961C">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#2发电机开关柜</w:t>
            </w:r>
          </w:p>
        </w:tc>
        <w:tc>
          <w:tcPr>
            <w:tcW w:w="1425" w:type="pct"/>
            <w:vAlign w:val="center"/>
          </w:tcPr>
          <w:p w14:paraId="220F9C0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箱型固定式户内开关柜</w:t>
            </w:r>
          </w:p>
        </w:tc>
        <w:tc>
          <w:tcPr>
            <w:tcW w:w="459" w:type="pct"/>
            <w:vAlign w:val="center"/>
          </w:tcPr>
          <w:p w14:paraId="2777B25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436" w:type="pct"/>
            <w:vAlign w:val="center"/>
          </w:tcPr>
          <w:p w14:paraId="2ECC2A4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397F77D4">
            <w:pPr>
              <w:jc w:val="center"/>
              <w:rPr>
                <w:rFonts w:hint="eastAsia" w:asciiTheme="minorEastAsia" w:hAnsiTheme="minorEastAsia" w:eastAsiaTheme="minorEastAsia" w:cstheme="minorEastAsia"/>
                <w:snapToGrid w:val="0"/>
                <w:color w:val="auto"/>
                <w:szCs w:val="21"/>
              </w:rPr>
            </w:pPr>
          </w:p>
        </w:tc>
      </w:tr>
      <w:tr w14:paraId="27EEB0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443096C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1408" w:type="pct"/>
            <w:vAlign w:val="center"/>
          </w:tcPr>
          <w:p w14:paraId="182BF120">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#2厂用变开关柜</w:t>
            </w:r>
          </w:p>
        </w:tc>
        <w:tc>
          <w:tcPr>
            <w:tcW w:w="1425" w:type="pct"/>
            <w:vAlign w:val="center"/>
          </w:tcPr>
          <w:p w14:paraId="6E4D19C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箱型固定式户内开关柜</w:t>
            </w:r>
          </w:p>
        </w:tc>
        <w:tc>
          <w:tcPr>
            <w:tcW w:w="459" w:type="pct"/>
            <w:vAlign w:val="center"/>
          </w:tcPr>
          <w:p w14:paraId="7D18847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436" w:type="pct"/>
            <w:vAlign w:val="center"/>
          </w:tcPr>
          <w:p w14:paraId="0C72B52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62BCDE13">
            <w:pPr>
              <w:jc w:val="center"/>
              <w:rPr>
                <w:rFonts w:hint="eastAsia" w:asciiTheme="minorEastAsia" w:hAnsiTheme="minorEastAsia" w:eastAsiaTheme="minorEastAsia" w:cstheme="minorEastAsia"/>
                <w:snapToGrid w:val="0"/>
                <w:color w:val="auto"/>
                <w:szCs w:val="21"/>
              </w:rPr>
            </w:pPr>
          </w:p>
        </w:tc>
      </w:tr>
      <w:tr w14:paraId="37149D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4FD56D6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w:t>
            </w:r>
          </w:p>
        </w:tc>
        <w:tc>
          <w:tcPr>
            <w:tcW w:w="1408" w:type="pct"/>
            <w:vAlign w:val="center"/>
          </w:tcPr>
          <w:p w14:paraId="491A926A">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中性点电流互感器</w:t>
            </w:r>
          </w:p>
        </w:tc>
        <w:tc>
          <w:tcPr>
            <w:tcW w:w="1425" w:type="pct"/>
            <w:vAlign w:val="center"/>
          </w:tcPr>
          <w:p w14:paraId="1B925DD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AS12/150b/4S</w:t>
            </w:r>
          </w:p>
          <w:p w14:paraId="60E9DD2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200/5A,10P30/10P30</w:t>
            </w:r>
          </w:p>
        </w:tc>
        <w:tc>
          <w:tcPr>
            <w:tcW w:w="459" w:type="pct"/>
            <w:vAlign w:val="center"/>
          </w:tcPr>
          <w:p w14:paraId="2ABDBA6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436" w:type="pct"/>
            <w:vAlign w:val="center"/>
          </w:tcPr>
          <w:p w14:paraId="001BA5E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889" w:type="pct"/>
            <w:vAlign w:val="center"/>
          </w:tcPr>
          <w:p w14:paraId="464A7396">
            <w:pPr>
              <w:jc w:val="center"/>
              <w:rPr>
                <w:rFonts w:hint="eastAsia" w:asciiTheme="minorEastAsia" w:hAnsiTheme="minorEastAsia" w:eastAsiaTheme="minorEastAsia" w:cstheme="minorEastAsia"/>
                <w:snapToGrid w:val="0"/>
                <w:color w:val="auto"/>
                <w:szCs w:val="21"/>
              </w:rPr>
            </w:pPr>
          </w:p>
        </w:tc>
      </w:tr>
      <w:tr w14:paraId="0D6895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04D59ED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w:t>
            </w:r>
          </w:p>
        </w:tc>
        <w:tc>
          <w:tcPr>
            <w:tcW w:w="1408" w:type="pct"/>
            <w:vAlign w:val="center"/>
          </w:tcPr>
          <w:p w14:paraId="6C7F6CF2">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低压配电柜</w:t>
            </w:r>
          </w:p>
        </w:tc>
        <w:tc>
          <w:tcPr>
            <w:tcW w:w="1425" w:type="pct"/>
            <w:vAlign w:val="center"/>
          </w:tcPr>
          <w:p w14:paraId="432D5B9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GGD1</w:t>
            </w:r>
          </w:p>
        </w:tc>
        <w:tc>
          <w:tcPr>
            <w:tcW w:w="459" w:type="pct"/>
            <w:vAlign w:val="center"/>
          </w:tcPr>
          <w:p w14:paraId="3B0C650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436" w:type="pct"/>
            <w:vAlign w:val="center"/>
          </w:tcPr>
          <w:p w14:paraId="520EEAB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889" w:type="pct"/>
            <w:vAlign w:val="center"/>
          </w:tcPr>
          <w:p w14:paraId="6C36E6D0">
            <w:pPr>
              <w:jc w:val="center"/>
              <w:rPr>
                <w:rFonts w:hint="eastAsia" w:asciiTheme="minorEastAsia" w:hAnsiTheme="minorEastAsia" w:eastAsiaTheme="minorEastAsia" w:cstheme="minorEastAsia"/>
                <w:snapToGrid w:val="0"/>
                <w:color w:val="auto"/>
                <w:szCs w:val="21"/>
              </w:rPr>
            </w:pPr>
          </w:p>
        </w:tc>
      </w:tr>
      <w:tr w14:paraId="228B41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000C636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w:t>
            </w:r>
          </w:p>
        </w:tc>
        <w:tc>
          <w:tcPr>
            <w:tcW w:w="1408" w:type="pct"/>
            <w:vAlign w:val="center"/>
          </w:tcPr>
          <w:p w14:paraId="7C2BDFA1">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稳压器柜</w:t>
            </w:r>
          </w:p>
        </w:tc>
        <w:tc>
          <w:tcPr>
            <w:tcW w:w="1425" w:type="pct"/>
            <w:vAlign w:val="center"/>
          </w:tcPr>
          <w:p w14:paraId="2CD4159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PK-10</w:t>
            </w:r>
          </w:p>
        </w:tc>
        <w:tc>
          <w:tcPr>
            <w:tcW w:w="459" w:type="pct"/>
            <w:vAlign w:val="center"/>
          </w:tcPr>
          <w:p w14:paraId="60F9292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436" w:type="pct"/>
            <w:vAlign w:val="center"/>
          </w:tcPr>
          <w:p w14:paraId="11E6F79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5B55383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SBW-30，30kVA</w:t>
            </w:r>
          </w:p>
        </w:tc>
      </w:tr>
      <w:tr w14:paraId="2628D4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74182E2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w:t>
            </w:r>
          </w:p>
        </w:tc>
        <w:tc>
          <w:tcPr>
            <w:tcW w:w="1408" w:type="pct"/>
            <w:vAlign w:val="center"/>
          </w:tcPr>
          <w:p w14:paraId="106F361C">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电源屏</w:t>
            </w:r>
          </w:p>
        </w:tc>
        <w:tc>
          <w:tcPr>
            <w:tcW w:w="1425" w:type="pct"/>
            <w:vAlign w:val="center"/>
          </w:tcPr>
          <w:p w14:paraId="40937A2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PK-10</w:t>
            </w:r>
          </w:p>
        </w:tc>
        <w:tc>
          <w:tcPr>
            <w:tcW w:w="459" w:type="pct"/>
            <w:vAlign w:val="center"/>
          </w:tcPr>
          <w:p w14:paraId="7BE1927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面</w:t>
            </w:r>
          </w:p>
        </w:tc>
        <w:tc>
          <w:tcPr>
            <w:tcW w:w="436" w:type="pct"/>
            <w:vAlign w:val="center"/>
          </w:tcPr>
          <w:p w14:paraId="0439B16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0990B4EE">
            <w:pPr>
              <w:jc w:val="center"/>
              <w:rPr>
                <w:rFonts w:hint="eastAsia" w:asciiTheme="minorEastAsia" w:hAnsiTheme="minorEastAsia" w:eastAsiaTheme="minorEastAsia" w:cstheme="minorEastAsia"/>
                <w:snapToGrid w:val="0"/>
                <w:color w:val="auto"/>
                <w:szCs w:val="21"/>
              </w:rPr>
            </w:pPr>
          </w:p>
        </w:tc>
      </w:tr>
      <w:tr w14:paraId="502F33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791BFDC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w:t>
            </w:r>
          </w:p>
        </w:tc>
        <w:tc>
          <w:tcPr>
            <w:tcW w:w="1408" w:type="pct"/>
            <w:vAlign w:val="center"/>
          </w:tcPr>
          <w:p w14:paraId="275DE4AC">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现地动力配电箱</w:t>
            </w:r>
          </w:p>
        </w:tc>
        <w:tc>
          <w:tcPr>
            <w:tcW w:w="1425" w:type="pct"/>
            <w:vAlign w:val="center"/>
          </w:tcPr>
          <w:p w14:paraId="3ECCA42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XL（W）-21</w:t>
            </w:r>
          </w:p>
        </w:tc>
        <w:tc>
          <w:tcPr>
            <w:tcW w:w="459" w:type="pct"/>
            <w:vAlign w:val="center"/>
          </w:tcPr>
          <w:p w14:paraId="239CD5D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436" w:type="pct"/>
            <w:vAlign w:val="center"/>
          </w:tcPr>
          <w:p w14:paraId="3F0164F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889" w:type="pct"/>
            <w:vAlign w:val="center"/>
          </w:tcPr>
          <w:p w14:paraId="256CF702">
            <w:pPr>
              <w:jc w:val="center"/>
              <w:rPr>
                <w:rFonts w:hint="eastAsia" w:asciiTheme="minorEastAsia" w:hAnsiTheme="minorEastAsia" w:eastAsiaTheme="minorEastAsia" w:cstheme="minorEastAsia"/>
                <w:snapToGrid w:val="0"/>
                <w:color w:val="auto"/>
                <w:szCs w:val="21"/>
              </w:rPr>
            </w:pPr>
          </w:p>
        </w:tc>
      </w:tr>
      <w:tr w14:paraId="6441FF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1E20D86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w:t>
            </w:r>
          </w:p>
        </w:tc>
        <w:tc>
          <w:tcPr>
            <w:tcW w:w="1408" w:type="pct"/>
            <w:vAlign w:val="center"/>
          </w:tcPr>
          <w:p w14:paraId="67538491">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插座箱</w:t>
            </w:r>
          </w:p>
        </w:tc>
        <w:tc>
          <w:tcPr>
            <w:tcW w:w="1425" w:type="pct"/>
            <w:vAlign w:val="center"/>
          </w:tcPr>
          <w:p w14:paraId="22C16435">
            <w:pPr>
              <w:jc w:val="center"/>
              <w:rPr>
                <w:rFonts w:hint="eastAsia" w:asciiTheme="minorEastAsia" w:hAnsiTheme="minorEastAsia" w:eastAsiaTheme="minorEastAsia" w:cstheme="minorEastAsia"/>
                <w:snapToGrid w:val="0"/>
                <w:color w:val="auto"/>
                <w:szCs w:val="21"/>
              </w:rPr>
            </w:pPr>
          </w:p>
        </w:tc>
        <w:tc>
          <w:tcPr>
            <w:tcW w:w="459" w:type="pct"/>
            <w:vAlign w:val="center"/>
          </w:tcPr>
          <w:p w14:paraId="615727C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436" w:type="pct"/>
            <w:vAlign w:val="center"/>
          </w:tcPr>
          <w:p w14:paraId="14A08A3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889" w:type="pct"/>
            <w:vAlign w:val="center"/>
          </w:tcPr>
          <w:p w14:paraId="194BC0FC">
            <w:pPr>
              <w:jc w:val="center"/>
              <w:rPr>
                <w:rFonts w:hint="eastAsia" w:asciiTheme="minorEastAsia" w:hAnsiTheme="minorEastAsia" w:eastAsiaTheme="minorEastAsia" w:cstheme="minorEastAsia"/>
                <w:snapToGrid w:val="0"/>
                <w:color w:val="auto"/>
                <w:szCs w:val="21"/>
              </w:rPr>
            </w:pPr>
          </w:p>
        </w:tc>
      </w:tr>
      <w:tr w14:paraId="376626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0C9DCEC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13</w:t>
            </w:r>
          </w:p>
        </w:tc>
        <w:tc>
          <w:tcPr>
            <w:tcW w:w="1408" w:type="pct"/>
            <w:vAlign w:val="center"/>
          </w:tcPr>
          <w:p w14:paraId="677A5852">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照明箱</w:t>
            </w:r>
          </w:p>
        </w:tc>
        <w:tc>
          <w:tcPr>
            <w:tcW w:w="1425" w:type="pct"/>
            <w:vAlign w:val="center"/>
          </w:tcPr>
          <w:p w14:paraId="2E22006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PXT(R)-3-3*6/1CM</w:t>
            </w:r>
          </w:p>
        </w:tc>
        <w:tc>
          <w:tcPr>
            <w:tcW w:w="459" w:type="pct"/>
            <w:vAlign w:val="center"/>
          </w:tcPr>
          <w:p w14:paraId="432A0BE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436" w:type="pct"/>
            <w:vAlign w:val="center"/>
          </w:tcPr>
          <w:p w14:paraId="1F63F62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889" w:type="pct"/>
            <w:vAlign w:val="center"/>
          </w:tcPr>
          <w:p w14:paraId="2BB1EC1F">
            <w:pPr>
              <w:jc w:val="center"/>
              <w:rPr>
                <w:rFonts w:hint="eastAsia" w:asciiTheme="minorEastAsia" w:hAnsiTheme="minorEastAsia" w:eastAsiaTheme="minorEastAsia" w:cstheme="minorEastAsia"/>
                <w:snapToGrid w:val="0"/>
                <w:color w:val="auto"/>
                <w:szCs w:val="21"/>
              </w:rPr>
            </w:pPr>
          </w:p>
        </w:tc>
      </w:tr>
      <w:tr w14:paraId="49AD1D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0939822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14</w:t>
            </w:r>
          </w:p>
        </w:tc>
        <w:tc>
          <w:tcPr>
            <w:tcW w:w="1408" w:type="pct"/>
            <w:vAlign w:val="center"/>
          </w:tcPr>
          <w:p w14:paraId="63BAD8C1">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消防应急照明箱</w:t>
            </w:r>
          </w:p>
        </w:tc>
        <w:tc>
          <w:tcPr>
            <w:tcW w:w="1425" w:type="pct"/>
            <w:vAlign w:val="center"/>
          </w:tcPr>
          <w:p w14:paraId="41807C68">
            <w:pPr>
              <w:jc w:val="center"/>
              <w:rPr>
                <w:rFonts w:hint="eastAsia" w:asciiTheme="minorEastAsia" w:hAnsiTheme="minorEastAsia" w:eastAsiaTheme="minorEastAsia" w:cstheme="minorEastAsia"/>
                <w:snapToGrid w:val="0"/>
                <w:color w:val="auto"/>
                <w:szCs w:val="21"/>
              </w:rPr>
            </w:pPr>
          </w:p>
        </w:tc>
        <w:tc>
          <w:tcPr>
            <w:tcW w:w="459" w:type="pct"/>
            <w:vAlign w:val="center"/>
          </w:tcPr>
          <w:p w14:paraId="64F6083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436" w:type="pct"/>
            <w:vAlign w:val="center"/>
          </w:tcPr>
          <w:p w14:paraId="2A0EB84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08011446">
            <w:pPr>
              <w:jc w:val="center"/>
              <w:rPr>
                <w:rFonts w:hint="eastAsia" w:asciiTheme="minorEastAsia" w:hAnsiTheme="minorEastAsia" w:eastAsiaTheme="minorEastAsia" w:cstheme="minorEastAsia"/>
                <w:snapToGrid w:val="0"/>
                <w:color w:val="auto"/>
                <w:szCs w:val="21"/>
              </w:rPr>
            </w:pPr>
          </w:p>
        </w:tc>
      </w:tr>
      <w:tr w14:paraId="65AA28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41157AE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15</w:t>
            </w:r>
          </w:p>
        </w:tc>
        <w:tc>
          <w:tcPr>
            <w:tcW w:w="1408" w:type="pct"/>
            <w:vAlign w:val="center"/>
          </w:tcPr>
          <w:p w14:paraId="3AC403FE">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磁力启动器</w:t>
            </w:r>
          </w:p>
        </w:tc>
        <w:tc>
          <w:tcPr>
            <w:tcW w:w="1425" w:type="pct"/>
            <w:vAlign w:val="center"/>
          </w:tcPr>
          <w:p w14:paraId="471EBAFF">
            <w:pPr>
              <w:jc w:val="center"/>
              <w:rPr>
                <w:rFonts w:hint="eastAsia" w:asciiTheme="minorEastAsia" w:hAnsiTheme="minorEastAsia" w:eastAsiaTheme="minorEastAsia" w:cstheme="minorEastAsia"/>
                <w:snapToGrid w:val="0"/>
                <w:color w:val="auto"/>
                <w:szCs w:val="21"/>
              </w:rPr>
            </w:pPr>
          </w:p>
        </w:tc>
        <w:tc>
          <w:tcPr>
            <w:tcW w:w="459" w:type="pct"/>
            <w:vAlign w:val="center"/>
          </w:tcPr>
          <w:p w14:paraId="6765284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只</w:t>
            </w:r>
          </w:p>
        </w:tc>
        <w:tc>
          <w:tcPr>
            <w:tcW w:w="436" w:type="pct"/>
            <w:vAlign w:val="center"/>
          </w:tcPr>
          <w:p w14:paraId="3AA5A7C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kern w:val="0"/>
                <w:szCs w:val="21"/>
              </w:rPr>
              <w:t>3</w:t>
            </w:r>
          </w:p>
        </w:tc>
        <w:tc>
          <w:tcPr>
            <w:tcW w:w="889" w:type="pct"/>
            <w:vAlign w:val="center"/>
          </w:tcPr>
          <w:p w14:paraId="01C246DF">
            <w:pPr>
              <w:jc w:val="center"/>
              <w:rPr>
                <w:rFonts w:hint="eastAsia" w:asciiTheme="minorEastAsia" w:hAnsiTheme="minorEastAsia" w:eastAsiaTheme="minorEastAsia" w:cstheme="minorEastAsia"/>
                <w:snapToGrid w:val="0"/>
                <w:color w:val="auto"/>
                <w:szCs w:val="21"/>
              </w:rPr>
            </w:pPr>
          </w:p>
        </w:tc>
      </w:tr>
      <w:tr w14:paraId="298831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059DEA4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w:t>
            </w:r>
          </w:p>
        </w:tc>
        <w:tc>
          <w:tcPr>
            <w:tcW w:w="1408" w:type="pct"/>
            <w:vAlign w:val="center"/>
          </w:tcPr>
          <w:p w14:paraId="06A6D787">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规定的备品备件</w:t>
            </w:r>
          </w:p>
        </w:tc>
        <w:tc>
          <w:tcPr>
            <w:tcW w:w="1425" w:type="pct"/>
            <w:vAlign w:val="center"/>
          </w:tcPr>
          <w:p w14:paraId="1E47F22A">
            <w:pPr>
              <w:jc w:val="center"/>
              <w:rPr>
                <w:rFonts w:hint="eastAsia" w:asciiTheme="minorEastAsia" w:hAnsiTheme="minorEastAsia" w:eastAsiaTheme="minorEastAsia" w:cstheme="minorEastAsia"/>
                <w:snapToGrid w:val="0"/>
                <w:color w:val="auto"/>
                <w:szCs w:val="21"/>
              </w:rPr>
            </w:pPr>
          </w:p>
        </w:tc>
        <w:tc>
          <w:tcPr>
            <w:tcW w:w="459" w:type="pct"/>
            <w:vAlign w:val="center"/>
          </w:tcPr>
          <w:p w14:paraId="130EF4A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436" w:type="pct"/>
            <w:vAlign w:val="center"/>
          </w:tcPr>
          <w:p w14:paraId="1F3533D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33A1E785">
            <w:pPr>
              <w:jc w:val="center"/>
              <w:rPr>
                <w:rFonts w:hint="eastAsia" w:asciiTheme="minorEastAsia" w:hAnsiTheme="minorEastAsia" w:eastAsiaTheme="minorEastAsia" w:cstheme="minorEastAsia"/>
                <w:snapToGrid w:val="0"/>
                <w:color w:val="auto"/>
                <w:szCs w:val="21"/>
              </w:rPr>
            </w:pPr>
          </w:p>
        </w:tc>
      </w:tr>
      <w:tr w14:paraId="38F17B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383" w:type="pct"/>
            <w:vAlign w:val="center"/>
          </w:tcPr>
          <w:p w14:paraId="6AC12BD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17</w:t>
            </w:r>
          </w:p>
        </w:tc>
        <w:tc>
          <w:tcPr>
            <w:tcW w:w="1408" w:type="pct"/>
            <w:vAlign w:val="center"/>
          </w:tcPr>
          <w:p w14:paraId="35AF0F79">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必须的专用工具等</w:t>
            </w:r>
          </w:p>
        </w:tc>
        <w:tc>
          <w:tcPr>
            <w:tcW w:w="1425" w:type="pct"/>
            <w:vAlign w:val="center"/>
          </w:tcPr>
          <w:p w14:paraId="3F4E0B18">
            <w:pPr>
              <w:jc w:val="center"/>
              <w:rPr>
                <w:rFonts w:hint="eastAsia" w:asciiTheme="minorEastAsia" w:hAnsiTheme="minorEastAsia" w:eastAsiaTheme="minorEastAsia" w:cstheme="minorEastAsia"/>
                <w:snapToGrid w:val="0"/>
                <w:color w:val="auto"/>
                <w:szCs w:val="21"/>
              </w:rPr>
            </w:pPr>
          </w:p>
        </w:tc>
        <w:tc>
          <w:tcPr>
            <w:tcW w:w="459" w:type="pct"/>
            <w:vAlign w:val="center"/>
          </w:tcPr>
          <w:p w14:paraId="293CFD5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436" w:type="pct"/>
            <w:vAlign w:val="center"/>
          </w:tcPr>
          <w:p w14:paraId="6C68D60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889" w:type="pct"/>
            <w:vAlign w:val="center"/>
          </w:tcPr>
          <w:p w14:paraId="72190CC8">
            <w:pPr>
              <w:jc w:val="center"/>
              <w:rPr>
                <w:rFonts w:hint="eastAsia" w:asciiTheme="minorEastAsia" w:hAnsiTheme="minorEastAsia" w:eastAsiaTheme="minorEastAsia" w:cstheme="minorEastAsia"/>
                <w:snapToGrid w:val="0"/>
                <w:color w:val="auto"/>
                <w:szCs w:val="21"/>
              </w:rPr>
            </w:pPr>
          </w:p>
        </w:tc>
      </w:tr>
    </w:tbl>
    <w:p w14:paraId="51084F3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承包单位应成套供给合同要求的所有设备安装、试验、拆卸和重新组装所必需的专用工具、专用设备、配件、特殊安装、检验和试验用材料和其他设备。</w:t>
      </w:r>
    </w:p>
    <w:p w14:paraId="12E96BC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承包单位应为本合同设备提供运行和维护所需的备品备件及专用工具。</w:t>
      </w:r>
    </w:p>
    <w:p w14:paraId="042EAA1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提供相互协调和完善的设计。任何元件或装置，如果技术文件中未专门提到，但它对于一套完整的和性能良好的配电装置又是必不可少的，或者对于稳定运行，改善配电装置运行品质都是必要的话，那么这些元件或装置，也应由承包单位提供。</w:t>
      </w:r>
    </w:p>
    <w:p w14:paraId="268B5BBD">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10.3  标准及规范</w:t>
      </w:r>
    </w:p>
    <w:p w14:paraId="45F1C480">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3.1 下列标准供选用：</w:t>
      </w:r>
    </w:p>
    <w:p w14:paraId="5B36FD6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配电柜的设计、制造、试验、包装、运输、安装除应满足本规范规定的要求外，尚须遵照如下规程规范与标准。若这些标准作出修改时，应以修订后的新标准执行。本合同应遵照的主要规程、规范与标准有：</w:t>
      </w:r>
    </w:p>
    <w:p w14:paraId="2A53D8EC">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3906     3.6kV～40.5kV交流金属封闭开关设备和控制设备</w:t>
      </w:r>
    </w:p>
    <w:p w14:paraId="0DCCC284">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GB 763      交流高压电器在长期工作时的发热 </w:t>
      </w:r>
    </w:p>
    <w:p w14:paraId="1BB0A2D9">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GB 2706     交流高压电器动、热稳定试验方法 </w:t>
      </w:r>
    </w:p>
    <w:p w14:paraId="3934462D">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GB 1985     高压交流隔离开关和接地开关 </w:t>
      </w:r>
    </w:p>
    <w:p w14:paraId="1AD1AA94">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GB 3309      高压开关设备常温下的机械试验 </w:t>
      </w:r>
    </w:p>
    <w:p w14:paraId="5D736D78">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GB/T 11022   高压开关设备和控制设备标准的共用技术要求</w:t>
      </w:r>
    </w:p>
    <w:p w14:paraId="05A92CA2">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311.1     高压输变电设备的绝缘配合</w:t>
      </w:r>
    </w:p>
    <w:p w14:paraId="55E5D543">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GB 1208      电流互感器 </w:t>
      </w:r>
    </w:p>
    <w:p w14:paraId="49793C90">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SD 318       高压开关柜闭锁装置技术条件 </w:t>
      </w:r>
    </w:p>
    <w:p w14:paraId="26454C37">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SL 561       水利水电工程导体和电器选择设计规范</w:t>
      </w:r>
    </w:p>
    <w:p w14:paraId="0094AB03">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DL/T 5352     高压配电装置设计技术规程</w:t>
      </w:r>
    </w:p>
    <w:p w14:paraId="152D4A04">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 xml:space="preserve">DL/T 5137     电测量及电能计量装置设计技术规程 </w:t>
      </w:r>
    </w:p>
    <w:p w14:paraId="5777AFD1">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DL/T 620      交流电气装置的过电压保护和绝缘配合</w:t>
      </w:r>
    </w:p>
    <w:p w14:paraId="056A1F1A">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DL/T 538      高压带电显示装置</w:t>
      </w:r>
    </w:p>
    <w:p w14:paraId="3C882BC1">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191       包装储运图示标志</w:t>
      </w:r>
    </w:p>
    <w:p w14:paraId="03EACB23">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50150     电气装置安装工程 电气设备交接试验标准</w:t>
      </w:r>
    </w:p>
    <w:p w14:paraId="71C95D33">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DL/T 596      电力设备预防性试验规程</w:t>
      </w:r>
    </w:p>
    <w:p w14:paraId="6BB26106">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4205      人机界面标志标识的基本和安全规则 操作规则</w:t>
      </w:r>
    </w:p>
    <w:p w14:paraId="40AA17A7">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GB/T 156      标准电压</w:t>
      </w:r>
    </w:p>
    <w:p w14:paraId="53C97BCC">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GB/T 762      标准电流等级</w:t>
      </w:r>
    </w:p>
    <w:p w14:paraId="74B85918">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GB7251.1      低压成套开关设备</w:t>
      </w:r>
    </w:p>
    <w:p w14:paraId="300764CA">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14048.1～4 低压开关设备和控制设备</w:t>
      </w:r>
    </w:p>
    <w:p w14:paraId="4292D6D3">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4728       电气简图用图形符号</w:t>
      </w:r>
    </w:p>
    <w:p w14:paraId="54F17C86">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4884       绝缘导线的标记</w:t>
      </w:r>
    </w:p>
    <w:p w14:paraId="7A955EC8">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GB 4942.2      低压电器外壳防护等级</w:t>
      </w:r>
    </w:p>
    <w:p w14:paraId="09081139">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JB 5777.3      电力系统二次电路用控制及继电保护屏(柜、台)基本试验方法</w:t>
      </w:r>
    </w:p>
    <w:p w14:paraId="5570977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电力机械两行业颁发的有关技术要求及规定。</w:t>
      </w:r>
    </w:p>
    <w:p w14:paraId="31E6CB5C">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 xml:space="preserve">3.2  </w:t>
      </w:r>
      <w:r>
        <w:rPr>
          <w:rFonts w:hint="eastAsia" w:asciiTheme="minorEastAsia" w:hAnsiTheme="minorEastAsia" w:eastAsiaTheme="minorEastAsia" w:cstheme="minorEastAsia"/>
          <w:snapToGrid w:val="0"/>
          <w:color w:val="auto"/>
          <w:szCs w:val="21"/>
        </w:rPr>
        <w:t>所有螺丝、螺母、螺栓、螺杆和有关管件的螺纹应使用GB标准。</w:t>
      </w:r>
    </w:p>
    <w:p w14:paraId="0540C7CA">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 xml:space="preserve">3.3  </w:t>
      </w:r>
      <w:r>
        <w:rPr>
          <w:rFonts w:hint="eastAsia" w:asciiTheme="minorEastAsia" w:hAnsiTheme="minorEastAsia" w:eastAsiaTheme="minorEastAsia" w:cstheme="minorEastAsia"/>
          <w:snapToGrid w:val="0"/>
          <w:color w:val="auto"/>
          <w:szCs w:val="21"/>
        </w:rPr>
        <w:t>设备制造应采用先进的工艺，以保证各种运行情况下运行可靠。所有部件的结构、尺寸和材料应做到在各种应力下不产生扭曲和过量磨损。零部件应有良好的互换性和便于安装及检修。</w:t>
      </w:r>
    </w:p>
    <w:p w14:paraId="4FA72B9F">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10.4  一般规定</w:t>
      </w:r>
    </w:p>
    <w:p w14:paraId="2C1DE32D">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4.1 设备颜色</w:t>
      </w:r>
    </w:p>
    <w:p w14:paraId="5BFB2D1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所有屏（柜、箱）壳体颜色均采用国际流行灰，色标为RAL 7032；采用桔纹漆，使用环氧粉沫静电噴涂工艺，保证粉末具有附着力强，表面硬度大，耐磨，耐冲击，有良好的色泽持久性等特点，并比喷漆机柜有更好的美观性和耐腐蚀性。</w:t>
      </w:r>
    </w:p>
    <w:p w14:paraId="544A3A80">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4.2 辅助电气设备</w:t>
      </w:r>
    </w:p>
    <w:p w14:paraId="2F1BEFD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高压真空断路器采用的储能电动机应为直流电动机，额定电压应是220V直流电压。装在低压配电柜中的框架断路器采用的储能电动机应为交流电动机，额定电压应是220V交流电压。</w:t>
      </w:r>
    </w:p>
    <w:p w14:paraId="0C47BEDD">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4.3 试验计划</w:t>
      </w:r>
    </w:p>
    <w:p w14:paraId="0719540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承包单位应按有关电气规范的要求制订试验计划，试验计划包括试验项目、试验准备、试验程序、判定标准和试验时间。</w:t>
      </w:r>
    </w:p>
    <w:p w14:paraId="0B1ECEC1">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4.4 试验证明</w:t>
      </w:r>
    </w:p>
    <w:p w14:paraId="4180442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凡在工厂进行的各种设备的检验和试验，应向工程师提供工厂检验记录抄件。</w:t>
      </w:r>
    </w:p>
    <w:p w14:paraId="30B8C805">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4.5 符合发包人提供的图纸要求</w:t>
      </w:r>
    </w:p>
    <w:p w14:paraId="27941EC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发包人提供的高低压开关柜设备采购图纸见招标附图。承包单位提供的所有开关柜及配电设备的柜型、柜内元器件等应满足招标文件技术参数要求，柜体结构、基础等应满足发包人提供的施工图图纸要求。</w:t>
      </w:r>
    </w:p>
    <w:p w14:paraId="6B17C295">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4.6 承包单位提供的图纸和资料</w:t>
      </w:r>
    </w:p>
    <w:p w14:paraId="306C2166">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4.6.1 供审查的图纸</w:t>
      </w:r>
    </w:p>
    <w:p w14:paraId="26BBA81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承包单位应从合同生效日起算的15天内，提交本条所列的图纸和资料，供工程师审查。逾期交图时，作违约处理。下列图纸每项提交4套（其中1套提交工程设计单位，3套直接提交发包人）。</w:t>
      </w:r>
    </w:p>
    <w:p w14:paraId="4670108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（1）高、低压配电设备的一次接线图（含柜内元器件型号、参数及产地）；</w:t>
      </w:r>
    </w:p>
    <w:p w14:paraId="21CE4EC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（2）高、低压配电设备的外形尺寸图；</w:t>
      </w:r>
    </w:p>
    <w:p w14:paraId="0A6F9E6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（3）高、低压配电设备的基础及开孔尺寸图；</w:t>
      </w:r>
    </w:p>
    <w:p w14:paraId="5A8B8F9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（4）高、低压配电设备的二次接线图；</w:t>
      </w:r>
    </w:p>
    <w:p w14:paraId="2C8B110F">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4.6.2  最终的图纸和资料</w:t>
      </w:r>
    </w:p>
    <w:p w14:paraId="3E98C9B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（1）所有按规定提交的工厂图纸、安装说明书、操作说明书、产品使用说明书、维修手册等，随包装发运2套。</w:t>
      </w:r>
    </w:p>
    <w:p w14:paraId="77E42DA5">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（2）所有按规定提交的工厂图纸、安装说明书、操作说明书、产品使用说明书、维修手册等资料及产品的厂内检查及试验记录向发包人直接提供3套。</w:t>
      </w:r>
    </w:p>
    <w:p w14:paraId="200B997A">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10.5  技术要求</w:t>
      </w:r>
    </w:p>
    <w:p w14:paraId="2735193E">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5.1 概述</w:t>
      </w:r>
    </w:p>
    <w:p w14:paraId="7BEC20D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本规范未说明，但又与设计、制造、安装、试验、运输、包装保管和运行、维护等有关的技术要求，按技术文件规定的有关标准执行。</w:t>
      </w:r>
    </w:p>
    <w:p w14:paraId="0BA2AC42">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5.2 主要技术参数</w:t>
      </w:r>
    </w:p>
    <w:p w14:paraId="4C88539E">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5.2.1 6.3（10）kV开关柜</w:t>
      </w:r>
    </w:p>
    <w:p w14:paraId="739E551D">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5.2.1.1 型式</w:t>
      </w:r>
    </w:p>
    <w:p w14:paraId="5FCF4C5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KGN6-12型铠装固定式交流金属封闭开关柜</w:t>
      </w:r>
    </w:p>
    <w:p w14:paraId="16C376EC">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5.2.1.2 开关柜主要参数</w:t>
      </w:r>
    </w:p>
    <w:p w14:paraId="0DBD410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（1）额定电压                 12kV</w:t>
      </w:r>
    </w:p>
    <w:p w14:paraId="00DED63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（2）额定频率                 50HZ</w:t>
      </w:r>
    </w:p>
    <w:p w14:paraId="4BBB08E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（3）主母线额定电流           630A</w:t>
      </w:r>
    </w:p>
    <w:p w14:paraId="6A48DB3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（4）额定热稳定电流           20kA（4s）</w:t>
      </w:r>
    </w:p>
    <w:p w14:paraId="3C48A55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（5）额定动稳定电流           50kA</w:t>
      </w:r>
    </w:p>
    <w:p w14:paraId="40AC85C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（6）额定短路开断电流         20kA</w:t>
      </w:r>
    </w:p>
    <w:p w14:paraId="0A8C61D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（7）1min工频耐受电压         42kV</w:t>
      </w:r>
    </w:p>
    <w:p w14:paraId="5395B38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（8）额定雷电冲击耐受电压      75 kV</w:t>
      </w:r>
    </w:p>
    <w:p w14:paraId="41AADB9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（9）母线型式                  绝缘铜排</w:t>
      </w:r>
    </w:p>
    <w:p w14:paraId="63AB4B4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（10）防护等级                 外壳IP4X</w:t>
      </w:r>
    </w:p>
    <w:p w14:paraId="72D219C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（11）外形尺寸（宽×深×高）   见招标附图</w:t>
      </w:r>
    </w:p>
    <w:p w14:paraId="029C2BAE">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5.2.1.3 主要性能、结构及材料要求</w:t>
      </w:r>
    </w:p>
    <w:p w14:paraId="31A92AAC">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5.2.1.3.1 高压断路器</w:t>
      </w:r>
    </w:p>
    <w:p w14:paraId="259F9B3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采用高压真空断路器，如施耐德宝光的VBGs-12、库柏的CE-12、厦门华电的VEP-M12或同档次、高品质的产品。</w:t>
      </w:r>
    </w:p>
    <w:p w14:paraId="2467B75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电气参数</w:t>
      </w:r>
    </w:p>
    <w:p w14:paraId="743AB3E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（1）额定电压                 7.2（12）kV</w:t>
      </w:r>
    </w:p>
    <w:p w14:paraId="53CB485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（2）额定频率                 50HZ</w:t>
      </w:r>
    </w:p>
    <w:p w14:paraId="29E9FC6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（3）额定电流                 630A</w:t>
      </w:r>
    </w:p>
    <w:p w14:paraId="20882A4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（4）额定热稳定电流           25kA（4s）</w:t>
      </w:r>
    </w:p>
    <w:p w14:paraId="681BB5F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（5）额定动稳定电流           63kA</w:t>
      </w:r>
    </w:p>
    <w:p w14:paraId="48F34D9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（6）额定短路开断电流         25kA</w:t>
      </w:r>
    </w:p>
    <w:p w14:paraId="30093EE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（7）额定短路关合电流         63kA</w:t>
      </w:r>
    </w:p>
    <w:p w14:paraId="745262E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（8）1min工频耐受电压         42kV</w:t>
      </w:r>
    </w:p>
    <w:p w14:paraId="2B5FCDB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（9）额定雷电冲击耐受电压      75 kV</w:t>
      </w:r>
    </w:p>
    <w:p w14:paraId="6D58FA7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（10）操动机构额定电压         DC220V</w:t>
      </w:r>
    </w:p>
    <w:p w14:paraId="2C08DAB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（11）操动机构形式             弹簧储能</w:t>
      </w:r>
    </w:p>
    <w:p w14:paraId="0BAD25B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（12）机械寿命                 30000次</w:t>
      </w:r>
    </w:p>
    <w:p w14:paraId="0B17F3B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（13）分闸时间                 20～50ms</w:t>
      </w:r>
    </w:p>
    <w:p w14:paraId="53C794B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（14）合闸时间                 30～70ms</w:t>
      </w:r>
    </w:p>
    <w:p w14:paraId="1A566EC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（15）触头合闸弹跳时间          ≤2ms</w:t>
      </w:r>
    </w:p>
    <w:p w14:paraId="4F4F942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（16）三相触头合、分闸不同期性  ≤2ms</w:t>
      </w:r>
    </w:p>
    <w:p w14:paraId="0F73E5F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（17）额定短路开断电流开断次数  ≥30次</w:t>
      </w:r>
    </w:p>
    <w:p w14:paraId="56E45BD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（18）额定操作顺序              O-0.3S-CO-180S-CO</w:t>
      </w:r>
    </w:p>
    <w:p w14:paraId="2EBC6D35">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5.2.1.3.2 开关柜主要性能、结构及材料要求</w:t>
      </w:r>
    </w:p>
    <w:p w14:paraId="2460A9A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（1）开关柜内所配一次设备各元件的动、稳定性必须满足要求。</w:t>
      </w:r>
    </w:p>
    <w:p w14:paraId="3AE4FD1B">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（2）开关柜具有可靠的防止误操作的机械联锁装置（简称“五防”要求）。</w:t>
      </w:r>
    </w:p>
    <w:p w14:paraId="2BF1108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开关柜应为金属封闭式结构，柜体骨架由钢板折弯后组装和钢板焊接而成，柜内分断路器室、主母线室、电缆室和仪表室等，防护等级不低于IP4X。所有部件有足够的强度，能承受运输、安装和运行式短路所引起的作用力而不致于损坏。</w:t>
      </w:r>
    </w:p>
    <w:p w14:paraId="0BCB18E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（4）柜内采用绝缘母线，并应具有防潮和阻燃性能以及足够的介电强度，其对母线容量的影响由承包单位考虑。</w:t>
      </w:r>
    </w:p>
    <w:p w14:paraId="79C7AFE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所有用螺栓固定的主母线和分支线接头，对铜导体镀银，铝导体镀锡，并保证其温升不超过标准值，在长期使用期间，从标准温度到额定满负荷温度，固定螺栓的初始接触压力值不应降低，每个连接点不应少于两个螺栓。</w:t>
      </w:r>
    </w:p>
    <w:p w14:paraId="58CAEE7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（6）承包单位对母线的每个接点进行接触电阻测试，需达到有关标准并保证母线接触可靠。</w:t>
      </w:r>
    </w:p>
    <w:p w14:paraId="134796F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（7）母线应标明相别的颜色，A、B、C相分别为黄、绿、红色。</w:t>
      </w:r>
    </w:p>
    <w:p w14:paraId="4CA92CB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（8）高压开关柜中各组件及其支持绝缘件的绝缘爬电比距（高压电器组件外绝缘的爬电距离与最高电压之比）应按凝露型考虑，其纯瓷绝缘不小于2.0cm/kV，环氧树脂绝缘不小于1.8cm/kV。</w:t>
      </w:r>
    </w:p>
    <w:p w14:paraId="1A1F356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（9）开关柜应具有凝露控制显示功能，在柜内装设KWS-XS-5806型智能凝露控制显示器，并配套提供传感器及加热器。</w:t>
      </w:r>
    </w:p>
    <w:p w14:paraId="6EEC8635">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 低压开关柜</w:t>
      </w:r>
    </w:p>
    <w:p w14:paraId="049C4E56">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5.2.2.1 型式</w:t>
      </w:r>
    </w:p>
    <w:p w14:paraId="1FAC7DF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GGD1型交流低压配电柜</w:t>
      </w:r>
    </w:p>
    <w:p w14:paraId="6ADFAEF7">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5.2.2.2 主要技术参数</w:t>
      </w:r>
    </w:p>
    <w:p w14:paraId="38AEA0A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项目                             单位                  数据</w:t>
      </w:r>
    </w:p>
    <w:p w14:paraId="2162CDE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主电路额定绝缘电压                V                    660</w:t>
      </w:r>
    </w:p>
    <w:p w14:paraId="4FC7A13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主电路额定工作电压                V                    380</w:t>
      </w:r>
    </w:p>
    <w:p w14:paraId="4F25BD6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额定频率                          HZ                   50</w:t>
      </w:r>
    </w:p>
    <w:p w14:paraId="57E12C7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水平母线（主母线）额定工作电流    A                    400</w:t>
      </w:r>
    </w:p>
    <w:p w14:paraId="7A2B40B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垂直母线（支母线）额定工作电流    A                    400</w:t>
      </w:r>
    </w:p>
    <w:p w14:paraId="66B861F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额定短时耐受电流 ：（1s）有效值/峰值</w:t>
      </w:r>
    </w:p>
    <w:p w14:paraId="3EB85C2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水平母线（主母线）                kA                  55/105</w:t>
      </w:r>
    </w:p>
    <w:p w14:paraId="19BB763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垂直母线（支母线）                kA                  60/130</w:t>
      </w:r>
    </w:p>
    <w:p w14:paraId="0354596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保护导体（接地主母线）            kA                   50</w:t>
      </w:r>
    </w:p>
    <w:p w14:paraId="73AC9B6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中性母线（中性主母线）            kA                   50</w:t>
      </w:r>
    </w:p>
    <w:p w14:paraId="154CE68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防护等级                          外壳IP30</w:t>
      </w:r>
    </w:p>
    <w:p w14:paraId="5448BF2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外形尺寸（宽×深×高）            mm     800×600×2200</w:t>
      </w:r>
    </w:p>
    <w:p w14:paraId="42FB8490">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 主要性能、结构及材料要求</w:t>
      </w:r>
    </w:p>
    <w:p w14:paraId="3EE658BB">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5.2.2.3.1塑壳断路器</w:t>
      </w:r>
    </w:p>
    <w:p w14:paraId="37C1889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采用高品质的塑壳断路器，如大全凯帆KFM2、常熟开关、TCL罗格朗或同档次的高品质产品。</w:t>
      </w:r>
    </w:p>
    <w:p w14:paraId="710553D7">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5.2.2.3.2 装置适用于交流50HZ，额定工作电压660V及以下的供电系统，并且符合GB7251《低压成套开关设备》。</w:t>
      </w:r>
    </w:p>
    <w:p w14:paraId="0A3587EA">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5.2.2.3.3 柜架和外壳有足够的强度和刚度，能承受所安装元件及短路时所产生的动、热稳定，同时不因成套设备的吊装、运输等情况而影响设备的性能，柜体钢板采用优质冷轧钢板冲压而成，柜架采用冷弯型钢材并配有E=20mm、100mm的安装孔。</w:t>
      </w:r>
    </w:p>
    <w:p w14:paraId="29DD0809">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5.2.2.3.4 配电柜为防护式组合拼装结构，零件用螺栓连接，加工精度保证垂直水平度符合GB/J 232的标准。柜内设备的布置，在任何情况下不得妨碍良好的运行性能，柜内空间需满足检修要求。开关柜端部结构、母线排和电线电缆敷设线槽的布置需合理并考虑后续扩充。</w:t>
      </w:r>
    </w:p>
    <w:p w14:paraId="485D7293">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5.2.2.3.5 防腐及涂层：装置中的金属构件，除外表的门与敷铝锌板结构件外，均需经过镀锌处理，门板及封板在经过防蚀处理后，再用静电环氧粉末喷涂，涂层应保证在使用周期内不剥落。涂层颜色为桔纹漆，国际流行灰，RAL7032色标。</w:t>
      </w:r>
    </w:p>
    <w:p w14:paraId="746FE50D">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5.2.2.3.6 金属部分接地保护：配电柜中，有贯穿于整个柜体排列长度的保护线（PE），金属柜体的各部分与PE线有良好的导电性能，PE线安装在柜体底部，接地保护型式为TN-C-S系统。</w:t>
      </w:r>
    </w:p>
    <w:p w14:paraId="6882B30A">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5.2.2.3.7 配电柜的动力线</w:t>
      </w:r>
    </w:p>
    <w:p w14:paraId="599DF58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（1）应保证方便母排及电缆上出线或下出线。</w:t>
      </w:r>
    </w:p>
    <w:p w14:paraId="5A067A6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（2）母线采用符合相关标准的刚性，硬拉高导电的电解铜加工。</w:t>
      </w:r>
    </w:p>
    <w:p w14:paraId="7E9A49F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（3）柜内电缆采用硬拉的交联聚乙烯绝缘聚氯乙烯护套高导电多股铜芯线，能耐高温并符合GB12706有关标准，电缆采用接线端子和专用导轨固定，使其整齐美观并且牢固，可承受指定的故障条件。</w:t>
      </w:r>
    </w:p>
    <w:p w14:paraId="010D886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（4）在配电柜内的动力线可采用连续油漆或有规律间隔的色标。</w:t>
      </w:r>
    </w:p>
    <w:p w14:paraId="55D1D4F1">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5.2.2.3.8 配电柜的辅助导线的选料、加工、布置应符合相关标准。</w:t>
      </w:r>
    </w:p>
    <w:p w14:paraId="4F699EAD">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5.2.2.3.9 配电柜内设备机械配合和间隙需符合机械和电气距离上的要求。</w:t>
      </w:r>
    </w:p>
    <w:p w14:paraId="3CA20BC0">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5.2.2.3.10 进线回路采用PMAC725型数显智能多功能仪表，仪表应带有RS485接口，并引上端子。</w:t>
      </w:r>
    </w:p>
    <w:p w14:paraId="5179BDEE">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5.2.2.3.11 配电柜内装设的配电开关应配置位置辅助开关，并引上端子，以供监控系统采集。</w:t>
      </w:r>
    </w:p>
    <w:p w14:paraId="746ABF5C">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5.2.2.3.12 配电柜应具有凝露控制显示功能，在每台柜内均装设KWS-3420型智能凝露控制显示器，并在电缆室装设凝露传感器及加热器。</w:t>
      </w:r>
    </w:p>
    <w:p w14:paraId="4E0FE2C1">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5.2.3 稳压器柜</w:t>
      </w:r>
    </w:p>
    <w:p w14:paraId="0884196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罗村三级电站设置1台稳压器柜，柜内布置1套容量为30kVA的三相全自动补偿电力稳压器SBW-30。稳压器柜内配置详见附图。</w:t>
      </w:r>
    </w:p>
    <w:p w14:paraId="0EAC6C1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柜体结构规定采用拼装式NF结构、外形尺寸为800（宽）×600（深）×2260（高）mm的标准屏体，前门为整屏透明钢化玻璃铝型材门，后门为双开门，侧面封闭。屏体应按标准进行保护，应具有良好的防尘、防潮、防屏蔽性能，防护等级均为IP30。</w:t>
      </w:r>
    </w:p>
    <w:p w14:paraId="5752C39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柜内应配置智能温湿度控制器（含温湿度传感器及电加热器）1套。</w:t>
      </w:r>
    </w:p>
    <w:p w14:paraId="4558B0BF">
      <w:pPr>
        <w:spacing w:line="360" w:lineRule="auto"/>
        <w:ind w:left="479" w:leftChars="228"/>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5.2.3</w:t>
      </w:r>
      <w:r>
        <w:rPr>
          <w:rFonts w:hint="eastAsia" w:asciiTheme="minorEastAsia" w:hAnsiTheme="minorEastAsia" w:eastAsiaTheme="minorEastAsia" w:cstheme="minorEastAsia"/>
          <w:color w:val="auto"/>
          <w:kern w:val="0"/>
          <w:szCs w:val="21"/>
        </w:rPr>
        <w:t>.1  技术参数</w:t>
      </w:r>
      <w:r>
        <w:rPr>
          <w:rFonts w:hint="eastAsia" w:asciiTheme="minorEastAsia" w:hAnsiTheme="minorEastAsia" w:eastAsiaTheme="minorEastAsia" w:cstheme="minorEastAsia"/>
          <w:color w:val="auto"/>
          <w:kern w:val="0"/>
          <w:szCs w:val="21"/>
        </w:rPr>
        <w:br w:type="textWrapping"/>
      </w:r>
      <w:r>
        <w:rPr>
          <w:rFonts w:hint="eastAsia" w:asciiTheme="minorEastAsia" w:hAnsiTheme="minorEastAsia" w:eastAsiaTheme="minorEastAsia" w:cstheme="minorEastAsia"/>
          <w:color w:val="auto"/>
          <w:kern w:val="0"/>
          <w:szCs w:val="21"/>
        </w:rPr>
        <w:t>额定容量        30kVA</w:t>
      </w:r>
    </w:p>
    <w:p w14:paraId="47AC66BB">
      <w:pPr>
        <w:spacing w:line="360" w:lineRule="auto"/>
        <w:ind w:left="479" w:leftChars="228"/>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频  率      50Hz</w:t>
      </w:r>
    </w:p>
    <w:p w14:paraId="0D56A70A">
      <w:pPr>
        <w:spacing w:line="360" w:lineRule="auto"/>
        <w:ind w:left="479" w:leftChars="228"/>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输入回路    380V±20%</w:t>
      </w:r>
    </w:p>
    <w:p w14:paraId="0A57E026">
      <w:pPr>
        <w:spacing w:line="360" w:lineRule="auto"/>
        <w:ind w:left="479" w:leftChars="228"/>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输出回路         380V±（1～5）%可调</w:t>
      </w:r>
    </w:p>
    <w:p w14:paraId="2CB91F8E">
      <w:pPr>
        <w:spacing w:line="360" w:lineRule="auto"/>
        <w:ind w:left="479" w:leftChars="228"/>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效    率             ≥98％</w:t>
      </w:r>
    </w:p>
    <w:p w14:paraId="6EAF655D">
      <w:pPr>
        <w:spacing w:line="360" w:lineRule="auto"/>
        <w:ind w:left="479" w:leftChars="228"/>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响应速度    ≤0.04s</w:t>
      </w:r>
    </w:p>
    <w:p w14:paraId="57D699C4">
      <w:pPr>
        <w:spacing w:line="360" w:lineRule="auto"/>
        <w:ind w:left="479" w:leftChars="228"/>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稳定速度    输入电压相对于额定值阶跃变化10%时，稳定时间≤1.5s</w:t>
      </w:r>
    </w:p>
    <w:p w14:paraId="6563AD92">
      <w:pPr>
        <w:spacing w:line="360" w:lineRule="auto"/>
        <w:ind w:left="479" w:leftChars="228"/>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绝缘电阻    ≥2MΩ</w:t>
      </w:r>
    </w:p>
    <w:p w14:paraId="4CC41805">
      <w:pPr>
        <w:spacing w:line="360" w:lineRule="auto"/>
        <w:ind w:left="479" w:leftChars="228"/>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绝缘强度    2000V，1min无击穿</w:t>
      </w:r>
    </w:p>
    <w:p w14:paraId="1D117336">
      <w:pPr>
        <w:spacing w:line="360" w:lineRule="auto"/>
        <w:ind w:left="479" w:leftChars="228"/>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波形畸变    输出电压波形与输入电压波形相比较，其相对谐波含量的增量不大于1%</w:t>
      </w:r>
    </w:p>
    <w:p w14:paraId="78B9FA3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噪  声      ＜50dB  </w:t>
      </w:r>
    </w:p>
    <w:p w14:paraId="447B703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通信功能    配置RS-485通信接口</w:t>
      </w:r>
    </w:p>
    <w:p w14:paraId="1F0B5359">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5.2.3.2  主要性能</w:t>
      </w:r>
    </w:p>
    <w:p w14:paraId="1F73972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（1）自动稳压器柜由三相补偿变压器、三相接触调压器、传动机构、电刷接触器和控制系统等组成。</w:t>
      </w:r>
    </w:p>
    <w:p w14:paraId="6BAD43C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（2）自动稳压器柜的输出电压和输入电压应同相位。</w:t>
      </w:r>
    </w:p>
    <w:p w14:paraId="1B4593C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（3）自动稳压器柜可长期连续使用，电压调节应平稳，同时可用于任何负载（阻性、容性、感性）。</w:t>
      </w:r>
    </w:p>
    <w:p w14:paraId="485FD70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（4）自动稳压器柜应有自动、手动控制方式，同时设有过压、欠压、过载、短路、过热、缺相、逆相、机械传动机构故障等告警及保护功能。并在故障恢复后，能够自动恢复稳压供电。</w:t>
      </w:r>
    </w:p>
    <w:p w14:paraId="119380F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（5）采用LCD高亮液晶显示，能显示出输入输出电压、输出电流值、频率、温度及故障告警状态指示等。</w:t>
      </w:r>
    </w:p>
    <w:p w14:paraId="72BE5712">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5.2.4 电源屏</w:t>
      </w:r>
    </w:p>
    <w:p w14:paraId="51D495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罗村三级电站在中控室设置1面电源屏，屏体结构及颜色同稳压器柜。电源屏内配置详见附图。</w:t>
      </w:r>
    </w:p>
    <w:p w14:paraId="53FB8B3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5.2.4</w:t>
      </w:r>
      <w:r>
        <w:rPr>
          <w:rFonts w:hint="eastAsia" w:asciiTheme="minorEastAsia" w:hAnsiTheme="minorEastAsia" w:eastAsiaTheme="minorEastAsia" w:cstheme="minorEastAsia"/>
          <w:color w:val="auto"/>
          <w:kern w:val="0"/>
          <w:szCs w:val="21"/>
        </w:rPr>
        <w:t>.1 硬件配置</w:t>
      </w:r>
    </w:p>
    <w:p w14:paraId="25F168E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电源屏输入回路从稳压器柜输出回路引1路至；输出回路共21路，设置KFB1-63D20A/1P空气开关21只。</w:t>
      </w:r>
    </w:p>
    <w:p w14:paraId="7287CEA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屏内应配置智能温湿度控制器（含温湿度传感器及电加热器）1套。</w:t>
      </w:r>
    </w:p>
    <w:p w14:paraId="50CA90D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5.2.4</w:t>
      </w:r>
      <w:r>
        <w:rPr>
          <w:rFonts w:hint="eastAsia" w:asciiTheme="minorEastAsia" w:hAnsiTheme="minorEastAsia" w:eastAsiaTheme="minorEastAsia" w:cstheme="minorEastAsia"/>
          <w:color w:val="auto"/>
          <w:kern w:val="0"/>
          <w:szCs w:val="21"/>
        </w:rPr>
        <w:t>.2 此外，屏内还布置1套容量为5kVA的交直流双供电源装置，其性能指标如下：</w:t>
      </w:r>
    </w:p>
    <w:p w14:paraId="44E489D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 容量：5kVA</w:t>
      </w:r>
    </w:p>
    <w:p w14:paraId="7BBF836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b. 输入回路：AC220V，50Hz </w:t>
      </w:r>
    </w:p>
    <w:p w14:paraId="1F6E9010">
      <w:pPr>
        <w:spacing w:line="360" w:lineRule="auto"/>
        <w:ind w:firstLine="1785" w:firstLineChars="85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DC220V </w:t>
      </w:r>
    </w:p>
    <w:p w14:paraId="612B076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 输出回路：AC220V±2％，50Hz</w:t>
      </w:r>
    </w:p>
    <w:p w14:paraId="08D85AD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 效率≥90％</w:t>
      </w:r>
    </w:p>
    <w:p w14:paraId="04C2D11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 切换时间0ms。</w:t>
      </w:r>
    </w:p>
    <w:p w14:paraId="1C2CC24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f．正常时应采用交流供电，交流消失时采用直流逆变供电。逆变器采用智能化模块IPM，采用全数字DSP控制，要求具有精度高，体积小、运行可靠度高等优点。</w:t>
      </w:r>
    </w:p>
    <w:p w14:paraId="1708ACA5">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szCs w:val="21"/>
        </w:rPr>
        <w:t>5.2.5 其余低压配电设备</w:t>
      </w:r>
    </w:p>
    <w:p w14:paraId="25F3E54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（1）消防应急照明配电箱</w:t>
      </w:r>
    </w:p>
    <w:p w14:paraId="0E79897F">
      <w:pPr>
        <w:ind w:firstLine="48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火灾发生时，为集中电源型消防应急灯具供电，消防应急照明配电箱应符合下列规定：</w:t>
      </w:r>
    </w:p>
    <w:p w14:paraId="683E7267">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满足国家标准《消防应急照明和疏散指示系统技术标准》GB 51309-2018的要求；</w:t>
      </w:r>
    </w:p>
    <w:p w14:paraId="36570921">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一体化设计，集成应急电源和分配电装置功能；</w:t>
      </w:r>
    </w:p>
    <w:p w14:paraId="36FFDB4B">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模块化设计，高度集成，保证系统可靠连续工作；</w:t>
      </w:r>
    </w:p>
    <w:p w14:paraId="0166FBF9">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冗余化设计，性能稳定，可靠性高；</w:t>
      </w:r>
    </w:p>
    <w:p w14:paraId="35429324">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中文液晶显示，显示工作状态，方便用户维护；</w:t>
      </w:r>
    </w:p>
    <w:p w14:paraId="0E10C7BB">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与系统主机通信，将自身工作状态上传至主机，实现主机监控；</w:t>
      </w:r>
    </w:p>
    <w:p w14:paraId="321E98CD">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具有消防联动功能，可与现场FAS信号直接联动，应选择具有能接受火灾报警控制器或消防联动控制器干接点信号或DC24V信号接口的产品；</w:t>
      </w:r>
    </w:p>
    <w:p w14:paraId="0267518C">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输出功率：≥0.6kW；</w:t>
      </w:r>
    </w:p>
    <w:p w14:paraId="71B8E409">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输出回路：≥8路；</w:t>
      </w:r>
    </w:p>
    <w:p w14:paraId="52D2FEAD">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输入电源：AC220V、50Hz；</w:t>
      </w:r>
    </w:p>
    <w:p w14:paraId="02665BD9">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输出电压等级：正常/应急DC36V输出；</w:t>
      </w:r>
    </w:p>
    <w:p w14:paraId="03A5B74D">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应急时间：≥90min；</w:t>
      </w:r>
    </w:p>
    <w:p w14:paraId="7898F026">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蓄电池型式：锂电池；</w:t>
      </w:r>
    </w:p>
    <w:p w14:paraId="7B658A3C">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保护：输出过流、过充保护、输出短路、电池欠压保护；</w:t>
      </w:r>
    </w:p>
    <w:p w14:paraId="649BD540">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报警：电池欠压、电池连接、充电器、输出回路，声光故障报警，指示故障类型，并具有实时时钟和历史事件记录功能；</w:t>
      </w:r>
    </w:p>
    <w:p w14:paraId="55B9B6EE">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运行环境：温度-20℃~55℃、湿度≤RH95%；</w:t>
      </w:r>
    </w:p>
    <w:p w14:paraId="17134D39">
      <w:pPr>
        <w:pStyle w:val="983"/>
        <w:numPr>
          <w:ilvl w:val="0"/>
          <w:numId w:val="6"/>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安装方式：嵌墙式安装。</w:t>
      </w:r>
    </w:p>
    <w:p w14:paraId="4B6E70A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（2）现地动力配电箱和插座箱按照招标附图的要求制作。照明箱和插座箱均为嵌墙式布置。</w:t>
      </w:r>
    </w:p>
    <w:p w14:paraId="740BC7B8">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10.6  出厂检验</w:t>
      </w:r>
    </w:p>
    <w:p w14:paraId="29AC2E88">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6.1 合同设备经质量检验部门确认合格后方能出厂，并应具有证明设备合格的产品出厂证明书。</w:t>
      </w:r>
    </w:p>
    <w:p w14:paraId="6A8A1870">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6.2 合同设备出厂试验内容、方法及要求应符合GB的规定。</w:t>
      </w:r>
    </w:p>
    <w:p w14:paraId="2C43E8E5">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6.3 承包单位的质量检验部门应按产品设计图样、业主提供的订货资料及本招标文件有关条款检验，只有检验合格后才准予验收，并向业主签发产品合格证书。</w:t>
      </w:r>
    </w:p>
    <w:p w14:paraId="2D24A9C5">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10.7  标志、包装、运输、贮存</w:t>
      </w:r>
    </w:p>
    <w:p w14:paraId="0057E806">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7.1 标志</w:t>
      </w:r>
    </w:p>
    <w:p w14:paraId="73E600FD">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（1）设备应有符合当地气象条件和环境的永久性的不锈钢或铜质铭牌，其内容包括：制造厂厂名、商标，产品型号和名称，制造年、月及出厂编号，标明额定值及主要技术数据。</w:t>
      </w:r>
    </w:p>
    <w:p w14:paraId="23642A78">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（2）标志应清晰、耐久，便于观察。</w:t>
      </w:r>
    </w:p>
    <w:p w14:paraId="262418DE">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7.2 包装</w:t>
      </w:r>
    </w:p>
    <w:p w14:paraId="254029D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包装应符合相应的标准或规定，装箱文件、资料清单及装箱清单齐全。</w:t>
      </w:r>
    </w:p>
    <w:p w14:paraId="4C032BAF">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7.3 运输</w:t>
      </w:r>
    </w:p>
    <w:p w14:paraId="162886C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运输应符合相应的标准或规定。</w:t>
      </w:r>
    </w:p>
    <w:p w14:paraId="557948C3">
      <w:pPr>
        <w:autoSpaceDE w:val="0"/>
        <w:autoSpaceDN w:val="0"/>
        <w:snapToGrid w:val="0"/>
        <w:spacing w:line="360" w:lineRule="auto"/>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b/>
          <w:color w:val="auto"/>
          <w:kern w:val="0"/>
          <w:szCs w:val="21"/>
        </w:rPr>
        <w:t>10.</w:t>
      </w:r>
      <w:r>
        <w:rPr>
          <w:rFonts w:hint="eastAsia" w:asciiTheme="minorEastAsia" w:hAnsiTheme="minorEastAsia" w:eastAsiaTheme="minorEastAsia" w:cstheme="minorEastAsia"/>
          <w:snapToGrid w:val="0"/>
          <w:color w:val="auto"/>
          <w:kern w:val="0"/>
          <w:szCs w:val="21"/>
        </w:rPr>
        <w:t>7.4 贮存</w:t>
      </w:r>
    </w:p>
    <w:p w14:paraId="55FC8F4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（1）贮存设备的场所应干燥、清洁、空气流通，并能防止各种有害气体的侵入，严禁与有腐蚀作用的物品存放在同一场所。</w:t>
      </w:r>
    </w:p>
    <w:p w14:paraId="168E228C">
      <w:pPr>
        <w:spacing w:line="360" w:lineRule="auto"/>
        <w:ind w:firstLine="420" w:firstLineChars="200"/>
        <w:rPr>
          <w:rFonts w:hint="eastAsia" w:asciiTheme="minorEastAsia" w:hAnsiTheme="minorEastAsia" w:eastAsiaTheme="minorEastAsia" w:cstheme="minorEastAsia"/>
          <w:snapToGrid w:val="0"/>
          <w:color w:val="auto"/>
          <w:szCs w:val="21"/>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napToGrid w:val="0"/>
          <w:color w:val="auto"/>
          <w:szCs w:val="21"/>
        </w:rPr>
        <w:t>（2）包装好的设备应保存在相对湿度不大于80%，周围环境为-10~+40℃的场所。</w:t>
      </w:r>
    </w:p>
    <w:p w14:paraId="72714834">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第11章 计算机监控系统设备采购技术要求</w:t>
      </w:r>
    </w:p>
    <w:p w14:paraId="51CFA7A4">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11.1  一般规定与规范</w:t>
      </w:r>
    </w:p>
    <w:p w14:paraId="00558969">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snapToGrid w:val="0"/>
          <w:color w:val="auto"/>
          <w:szCs w:val="21"/>
        </w:rPr>
        <w:t>1.1 承包范围</w:t>
      </w:r>
    </w:p>
    <w:p w14:paraId="29AA953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承包单位将承包下列项目的设计、制造、试验、包装、运输、交货、指导安装、现场试验、试运行、验收，并应完全符合合同要求。</w:t>
      </w:r>
    </w:p>
    <w:p w14:paraId="440CD0DC">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snapToGrid w:val="0"/>
          <w:color w:val="auto"/>
          <w:szCs w:val="21"/>
        </w:rPr>
        <w:t>1.2 供货范围</w:t>
      </w:r>
    </w:p>
    <w:tbl>
      <w:tblPr>
        <w:tblStyle w:val="65"/>
        <w:tblW w:w="8505"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53"/>
        <w:gridCol w:w="4067"/>
        <w:gridCol w:w="754"/>
        <w:gridCol w:w="851"/>
        <w:gridCol w:w="2080"/>
      </w:tblGrid>
      <w:tr w14:paraId="30FD08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21373E1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序号</w:t>
            </w:r>
          </w:p>
        </w:tc>
        <w:tc>
          <w:tcPr>
            <w:tcW w:w="4067" w:type="dxa"/>
            <w:vAlign w:val="center"/>
          </w:tcPr>
          <w:p w14:paraId="44FB85C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名      称</w:t>
            </w:r>
          </w:p>
        </w:tc>
        <w:tc>
          <w:tcPr>
            <w:tcW w:w="754" w:type="dxa"/>
            <w:vAlign w:val="center"/>
          </w:tcPr>
          <w:p w14:paraId="6257924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单 位</w:t>
            </w:r>
          </w:p>
        </w:tc>
        <w:tc>
          <w:tcPr>
            <w:tcW w:w="851" w:type="dxa"/>
            <w:vAlign w:val="center"/>
          </w:tcPr>
          <w:p w14:paraId="7B578D4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 量</w:t>
            </w:r>
          </w:p>
        </w:tc>
        <w:tc>
          <w:tcPr>
            <w:tcW w:w="2080" w:type="dxa"/>
            <w:vAlign w:val="center"/>
          </w:tcPr>
          <w:p w14:paraId="0FBCF3A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备注</w:t>
            </w:r>
          </w:p>
        </w:tc>
      </w:tr>
      <w:tr w14:paraId="1B84C9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113BEBD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4067" w:type="dxa"/>
            <w:vAlign w:val="center"/>
          </w:tcPr>
          <w:p w14:paraId="6F516CDD">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主机兼操作员工作站</w:t>
            </w:r>
          </w:p>
        </w:tc>
        <w:tc>
          <w:tcPr>
            <w:tcW w:w="754" w:type="dxa"/>
            <w:vAlign w:val="center"/>
          </w:tcPr>
          <w:p w14:paraId="681EE6F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w:t>
            </w:r>
          </w:p>
        </w:tc>
        <w:tc>
          <w:tcPr>
            <w:tcW w:w="851" w:type="dxa"/>
            <w:vAlign w:val="center"/>
          </w:tcPr>
          <w:p w14:paraId="5BE43AD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3531890E">
            <w:pPr>
              <w:jc w:val="center"/>
              <w:rPr>
                <w:rFonts w:hint="eastAsia" w:asciiTheme="minorEastAsia" w:hAnsiTheme="minorEastAsia" w:eastAsiaTheme="minorEastAsia" w:cstheme="minorEastAsia"/>
                <w:snapToGrid w:val="0"/>
                <w:color w:val="auto"/>
                <w:szCs w:val="21"/>
              </w:rPr>
            </w:pPr>
          </w:p>
        </w:tc>
      </w:tr>
      <w:tr w14:paraId="1D0862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531DBA3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4067" w:type="dxa"/>
            <w:vAlign w:val="center"/>
          </w:tcPr>
          <w:p w14:paraId="3CF9ACD4">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通信工作站</w:t>
            </w:r>
          </w:p>
        </w:tc>
        <w:tc>
          <w:tcPr>
            <w:tcW w:w="754" w:type="dxa"/>
            <w:vAlign w:val="center"/>
          </w:tcPr>
          <w:p w14:paraId="1711D92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w:t>
            </w:r>
          </w:p>
        </w:tc>
        <w:tc>
          <w:tcPr>
            <w:tcW w:w="851" w:type="dxa"/>
            <w:vAlign w:val="center"/>
          </w:tcPr>
          <w:p w14:paraId="2C4EA6B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3A4C34C0">
            <w:pPr>
              <w:jc w:val="center"/>
              <w:rPr>
                <w:rFonts w:hint="eastAsia" w:asciiTheme="minorEastAsia" w:hAnsiTheme="minorEastAsia" w:eastAsiaTheme="minorEastAsia" w:cstheme="minorEastAsia"/>
                <w:snapToGrid w:val="0"/>
                <w:color w:val="auto"/>
                <w:szCs w:val="21"/>
              </w:rPr>
            </w:pPr>
          </w:p>
        </w:tc>
      </w:tr>
      <w:tr w14:paraId="6928E9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6C567F3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4067" w:type="dxa"/>
            <w:vAlign w:val="center"/>
          </w:tcPr>
          <w:p w14:paraId="29673DBD">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语音报警装置</w:t>
            </w:r>
          </w:p>
        </w:tc>
        <w:tc>
          <w:tcPr>
            <w:tcW w:w="754" w:type="dxa"/>
            <w:vAlign w:val="center"/>
          </w:tcPr>
          <w:p w14:paraId="146FA64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w:t>
            </w:r>
          </w:p>
        </w:tc>
        <w:tc>
          <w:tcPr>
            <w:tcW w:w="851" w:type="dxa"/>
            <w:vAlign w:val="center"/>
          </w:tcPr>
          <w:p w14:paraId="1D9A352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2080" w:type="dxa"/>
            <w:vAlign w:val="center"/>
          </w:tcPr>
          <w:p w14:paraId="631A2933">
            <w:pPr>
              <w:jc w:val="center"/>
              <w:rPr>
                <w:rFonts w:hint="eastAsia" w:asciiTheme="minorEastAsia" w:hAnsiTheme="minorEastAsia" w:eastAsiaTheme="minorEastAsia" w:cstheme="minorEastAsia"/>
                <w:snapToGrid w:val="0"/>
                <w:color w:val="auto"/>
                <w:szCs w:val="21"/>
              </w:rPr>
            </w:pPr>
          </w:p>
        </w:tc>
      </w:tr>
      <w:tr w14:paraId="61AF18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23E9357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4067" w:type="dxa"/>
            <w:vAlign w:val="center"/>
          </w:tcPr>
          <w:p w14:paraId="3D01E1D7">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机组LCU屏</w:t>
            </w:r>
          </w:p>
        </w:tc>
        <w:tc>
          <w:tcPr>
            <w:tcW w:w="754" w:type="dxa"/>
            <w:vAlign w:val="center"/>
          </w:tcPr>
          <w:p w14:paraId="7EB2852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面</w:t>
            </w:r>
          </w:p>
        </w:tc>
        <w:tc>
          <w:tcPr>
            <w:tcW w:w="851" w:type="dxa"/>
            <w:vAlign w:val="center"/>
          </w:tcPr>
          <w:p w14:paraId="4070C3B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2080" w:type="dxa"/>
            <w:vAlign w:val="center"/>
          </w:tcPr>
          <w:p w14:paraId="11BFBC2C">
            <w:pPr>
              <w:jc w:val="center"/>
              <w:rPr>
                <w:rFonts w:hint="eastAsia" w:asciiTheme="minorEastAsia" w:hAnsiTheme="minorEastAsia" w:eastAsiaTheme="minorEastAsia" w:cstheme="minorEastAsia"/>
                <w:snapToGrid w:val="0"/>
                <w:color w:val="auto"/>
                <w:szCs w:val="21"/>
              </w:rPr>
            </w:pPr>
          </w:p>
        </w:tc>
      </w:tr>
      <w:tr w14:paraId="5176A3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006EEED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4067" w:type="dxa"/>
            <w:vAlign w:val="center"/>
          </w:tcPr>
          <w:p w14:paraId="2F388A81">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公用LCU屏</w:t>
            </w:r>
          </w:p>
        </w:tc>
        <w:tc>
          <w:tcPr>
            <w:tcW w:w="754" w:type="dxa"/>
            <w:vAlign w:val="center"/>
          </w:tcPr>
          <w:p w14:paraId="5520D8C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面</w:t>
            </w:r>
          </w:p>
        </w:tc>
        <w:tc>
          <w:tcPr>
            <w:tcW w:w="851" w:type="dxa"/>
            <w:vAlign w:val="center"/>
          </w:tcPr>
          <w:p w14:paraId="36D620E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3D01B094">
            <w:pPr>
              <w:jc w:val="center"/>
              <w:rPr>
                <w:rFonts w:hint="eastAsia" w:asciiTheme="minorEastAsia" w:hAnsiTheme="minorEastAsia" w:eastAsiaTheme="minorEastAsia" w:cstheme="minorEastAsia"/>
                <w:snapToGrid w:val="0"/>
                <w:color w:val="auto"/>
                <w:szCs w:val="21"/>
              </w:rPr>
            </w:pPr>
          </w:p>
        </w:tc>
      </w:tr>
      <w:tr w14:paraId="2F9636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538FE29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4067" w:type="dxa"/>
            <w:vAlign w:val="center"/>
          </w:tcPr>
          <w:p w14:paraId="26E1875E">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网络及视频设备屏</w:t>
            </w:r>
          </w:p>
        </w:tc>
        <w:tc>
          <w:tcPr>
            <w:tcW w:w="754" w:type="dxa"/>
            <w:vAlign w:val="center"/>
          </w:tcPr>
          <w:p w14:paraId="5ADEFA4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面</w:t>
            </w:r>
          </w:p>
        </w:tc>
        <w:tc>
          <w:tcPr>
            <w:tcW w:w="851" w:type="dxa"/>
            <w:vAlign w:val="center"/>
          </w:tcPr>
          <w:p w14:paraId="195C18D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55A2F3DA">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含网络设备、北斗/GPS卫星时钟、视频设备、网络电缆等</w:t>
            </w:r>
          </w:p>
        </w:tc>
      </w:tr>
      <w:tr w14:paraId="29D2CE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208384E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w:t>
            </w:r>
          </w:p>
        </w:tc>
        <w:tc>
          <w:tcPr>
            <w:tcW w:w="4067" w:type="dxa"/>
            <w:vAlign w:val="center"/>
          </w:tcPr>
          <w:p w14:paraId="227AD3EF">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纵向加密装置</w:t>
            </w:r>
          </w:p>
        </w:tc>
        <w:tc>
          <w:tcPr>
            <w:tcW w:w="754" w:type="dxa"/>
            <w:vAlign w:val="center"/>
          </w:tcPr>
          <w:p w14:paraId="3DA6341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851" w:type="dxa"/>
            <w:vAlign w:val="center"/>
          </w:tcPr>
          <w:p w14:paraId="60104EF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4B304E6A">
            <w:pPr>
              <w:rPr>
                <w:rFonts w:hint="eastAsia" w:asciiTheme="minorEastAsia" w:hAnsiTheme="minorEastAsia" w:eastAsiaTheme="minorEastAsia" w:cstheme="minorEastAsia"/>
                <w:snapToGrid w:val="0"/>
                <w:color w:val="auto"/>
                <w:szCs w:val="21"/>
              </w:rPr>
            </w:pPr>
          </w:p>
        </w:tc>
      </w:tr>
      <w:tr w14:paraId="6EBC02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206DE0D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w:t>
            </w:r>
          </w:p>
        </w:tc>
        <w:tc>
          <w:tcPr>
            <w:tcW w:w="4067" w:type="dxa"/>
            <w:vAlign w:val="center"/>
          </w:tcPr>
          <w:p w14:paraId="32579DB4">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硬件防火墙</w:t>
            </w:r>
          </w:p>
        </w:tc>
        <w:tc>
          <w:tcPr>
            <w:tcW w:w="754" w:type="dxa"/>
            <w:vAlign w:val="center"/>
          </w:tcPr>
          <w:p w14:paraId="6649D70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851" w:type="dxa"/>
            <w:vAlign w:val="center"/>
          </w:tcPr>
          <w:p w14:paraId="39CC3E0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6B747BBD">
            <w:pPr>
              <w:rPr>
                <w:rFonts w:hint="eastAsia" w:asciiTheme="minorEastAsia" w:hAnsiTheme="minorEastAsia" w:eastAsiaTheme="minorEastAsia" w:cstheme="minorEastAsia"/>
                <w:snapToGrid w:val="0"/>
                <w:color w:val="auto"/>
                <w:szCs w:val="21"/>
              </w:rPr>
            </w:pPr>
          </w:p>
        </w:tc>
      </w:tr>
      <w:tr w14:paraId="1A8FE5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243DF6E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w:t>
            </w:r>
          </w:p>
        </w:tc>
        <w:tc>
          <w:tcPr>
            <w:tcW w:w="4067" w:type="dxa"/>
            <w:vAlign w:val="center"/>
          </w:tcPr>
          <w:p w14:paraId="778CA772">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A3/A4网络激光打印机</w:t>
            </w:r>
          </w:p>
        </w:tc>
        <w:tc>
          <w:tcPr>
            <w:tcW w:w="754" w:type="dxa"/>
            <w:vAlign w:val="center"/>
          </w:tcPr>
          <w:p w14:paraId="524FCED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851" w:type="dxa"/>
            <w:vAlign w:val="center"/>
          </w:tcPr>
          <w:p w14:paraId="600E5FC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0775617E">
            <w:pPr>
              <w:jc w:val="center"/>
              <w:rPr>
                <w:rFonts w:hint="eastAsia" w:asciiTheme="minorEastAsia" w:hAnsiTheme="minorEastAsia" w:eastAsiaTheme="minorEastAsia" w:cstheme="minorEastAsia"/>
                <w:snapToGrid w:val="0"/>
                <w:color w:val="auto"/>
                <w:szCs w:val="21"/>
              </w:rPr>
            </w:pPr>
          </w:p>
        </w:tc>
      </w:tr>
      <w:tr w14:paraId="6D07A3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09CAF7E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w:t>
            </w:r>
          </w:p>
        </w:tc>
        <w:tc>
          <w:tcPr>
            <w:tcW w:w="4067" w:type="dxa"/>
            <w:vAlign w:val="center"/>
          </w:tcPr>
          <w:p w14:paraId="2E1E3550">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微机控制台</w:t>
            </w:r>
          </w:p>
        </w:tc>
        <w:tc>
          <w:tcPr>
            <w:tcW w:w="754" w:type="dxa"/>
            <w:vAlign w:val="center"/>
          </w:tcPr>
          <w:p w14:paraId="6E49D64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w:t>
            </w:r>
          </w:p>
        </w:tc>
        <w:tc>
          <w:tcPr>
            <w:tcW w:w="851" w:type="dxa"/>
            <w:vAlign w:val="center"/>
          </w:tcPr>
          <w:p w14:paraId="0A3490C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759FF67A">
            <w:pPr>
              <w:jc w:val="center"/>
              <w:rPr>
                <w:rFonts w:hint="eastAsia" w:asciiTheme="minorEastAsia" w:hAnsiTheme="minorEastAsia" w:eastAsiaTheme="minorEastAsia" w:cstheme="minorEastAsia"/>
                <w:snapToGrid w:val="0"/>
                <w:color w:val="auto"/>
                <w:szCs w:val="21"/>
              </w:rPr>
            </w:pPr>
          </w:p>
        </w:tc>
      </w:tr>
      <w:tr w14:paraId="7EEA4E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684E2ED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w:t>
            </w:r>
          </w:p>
        </w:tc>
        <w:tc>
          <w:tcPr>
            <w:tcW w:w="4067" w:type="dxa"/>
            <w:vAlign w:val="center"/>
          </w:tcPr>
          <w:p w14:paraId="1DD30EF4">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辅机控制设备</w:t>
            </w:r>
          </w:p>
        </w:tc>
        <w:tc>
          <w:tcPr>
            <w:tcW w:w="754" w:type="dxa"/>
            <w:vAlign w:val="center"/>
          </w:tcPr>
          <w:p w14:paraId="46C0B0B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851" w:type="dxa"/>
            <w:vAlign w:val="center"/>
          </w:tcPr>
          <w:p w14:paraId="351E27B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1603D7E5">
            <w:pPr>
              <w:jc w:val="center"/>
              <w:rPr>
                <w:rFonts w:hint="eastAsia" w:asciiTheme="minorEastAsia" w:hAnsiTheme="minorEastAsia" w:eastAsiaTheme="minorEastAsia" w:cstheme="minorEastAsia"/>
                <w:snapToGrid w:val="0"/>
                <w:color w:val="auto"/>
                <w:szCs w:val="21"/>
              </w:rPr>
            </w:pPr>
          </w:p>
        </w:tc>
      </w:tr>
      <w:tr w14:paraId="57563B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4F50899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4067" w:type="dxa"/>
            <w:vAlign w:val="center"/>
          </w:tcPr>
          <w:p w14:paraId="6CB27800">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渗漏排水泵控制箱</w:t>
            </w:r>
          </w:p>
        </w:tc>
        <w:tc>
          <w:tcPr>
            <w:tcW w:w="754" w:type="dxa"/>
            <w:vAlign w:val="center"/>
          </w:tcPr>
          <w:p w14:paraId="5022EB2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851" w:type="dxa"/>
            <w:vAlign w:val="center"/>
          </w:tcPr>
          <w:p w14:paraId="16AC904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1E7F0DC7">
            <w:pPr>
              <w:jc w:val="center"/>
              <w:rPr>
                <w:rFonts w:hint="eastAsia" w:asciiTheme="minorEastAsia" w:hAnsiTheme="minorEastAsia" w:eastAsiaTheme="minorEastAsia" w:cstheme="minorEastAsia"/>
                <w:snapToGrid w:val="0"/>
                <w:color w:val="auto"/>
                <w:szCs w:val="21"/>
              </w:rPr>
            </w:pPr>
          </w:p>
        </w:tc>
      </w:tr>
      <w:tr w14:paraId="328702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27FC7F2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4067" w:type="dxa"/>
            <w:vAlign w:val="center"/>
          </w:tcPr>
          <w:p w14:paraId="37AEF150">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低压空压机控制箱</w:t>
            </w:r>
          </w:p>
        </w:tc>
        <w:tc>
          <w:tcPr>
            <w:tcW w:w="754" w:type="dxa"/>
            <w:vAlign w:val="center"/>
          </w:tcPr>
          <w:p w14:paraId="015AEB1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851" w:type="dxa"/>
            <w:vAlign w:val="center"/>
          </w:tcPr>
          <w:p w14:paraId="397B6DB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7F7A3892">
            <w:pPr>
              <w:jc w:val="center"/>
              <w:rPr>
                <w:rFonts w:hint="eastAsia" w:asciiTheme="minorEastAsia" w:hAnsiTheme="minorEastAsia" w:eastAsiaTheme="minorEastAsia" w:cstheme="minorEastAsia"/>
                <w:snapToGrid w:val="0"/>
                <w:color w:val="auto"/>
                <w:szCs w:val="21"/>
              </w:rPr>
            </w:pPr>
          </w:p>
        </w:tc>
      </w:tr>
      <w:tr w14:paraId="41746E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6B0236F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w:t>
            </w:r>
          </w:p>
        </w:tc>
        <w:tc>
          <w:tcPr>
            <w:tcW w:w="4067" w:type="dxa"/>
            <w:vAlign w:val="center"/>
          </w:tcPr>
          <w:p w14:paraId="08FFB870">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网线</w:t>
            </w:r>
          </w:p>
        </w:tc>
        <w:tc>
          <w:tcPr>
            <w:tcW w:w="754" w:type="dxa"/>
            <w:vAlign w:val="center"/>
          </w:tcPr>
          <w:p w14:paraId="579B57C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米</w:t>
            </w:r>
          </w:p>
        </w:tc>
        <w:tc>
          <w:tcPr>
            <w:tcW w:w="851" w:type="dxa"/>
            <w:vAlign w:val="center"/>
          </w:tcPr>
          <w:p w14:paraId="6DC7A55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600</w:t>
            </w:r>
          </w:p>
        </w:tc>
        <w:tc>
          <w:tcPr>
            <w:tcW w:w="2080" w:type="dxa"/>
            <w:vAlign w:val="center"/>
          </w:tcPr>
          <w:p w14:paraId="24ECA6DE">
            <w:pPr>
              <w:jc w:val="center"/>
              <w:rPr>
                <w:rFonts w:hint="eastAsia" w:asciiTheme="minorEastAsia" w:hAnsiTheme="minorEastAsia" w:eastAsiaTheme="minorEastAsia" w:cstheme="minorEastAsia"/>
                <w:snapToGrid w:val="0"/>
                <w:color w:val="auto"/>
                <w:szCs w:val="21"/>
              </w:rPr>
            </w:pPr>
          </w:p>
        </w:tc>
      </w:tr>
      <w:tr w14:paraId="178EE9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519E949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w:t>
            </w:r>
          </w:p>
        </w:tc>
        <w:tc>
          <w:tcPr>
            <w:tcW w:w="4067" w:type="dxa"/>
            <w:vAlign w:val="center"/>
          </w:tcPr>
          <w:p w14:paraId="00EDD61C">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单模光纤4芯</w:t>
            </w:r>
          </w:p>
        </w:tc>
        <w:tc>
          <w:tcPr>
            <w:tcW w:w="754" w:type="dxa"/>
            <w:vAlign w:val="center"/>
          </w:tcPr>
          <w:p w14:paraId="37A46A2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米</w:t>
            </w:r>
          </w:p>
        </w:tc>
        <w:tc>
          <w:tcPr>
            <w:tcW w:w="851" w:type="dxa"/>
            <w:vAlign w:val="center"/>
          </w:tcPr>
          <w:p w14:paraId="6132689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600</w:t>
            </w:r>
          </w:p>
        </w:tc>
        <w:tc>
          <w:tcPr>
            <w:tcW w:w="2080" w:type="dxa"/>
            <w:vAlign w:val="center"/>
          </w:tcPr>
          <w:p w14:paraId="4371B0E8">
            <w:pPr>
              <w:jc w:val="center"/>
              <w:rPr>
                <w:rFonts w:hint="eastAsia" w:asciiTheme="minorEastAsia" w:hAnsiTheme="minorEastAsia" w:eastAsiaTheme="minorEastAsia" w:cstheme="minorEastAsia"/>
                <w:snapToGrid w:val="0"/>
                <w:color w:val="auto"/>
                <w:szCs w:val="21"/>
              </w:rPr>
            </w:pPr>
          </w:p>
        </w:tc>
      </w:tr>
      <w:tr w14:paraId="6DC916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6426EC4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13</w:t>
            </w:r>
          </w:p>
        </w:tc>
        <w:tc>
          <w:tcPr>
            <w:tcW w:w="4067" w:type="dxa"/>
            <w:vAlign w:val="center"/>
          </w:tcPr>
          <w:p w14:paraId="2DFFEBCF">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计算机监控系统软件</w:t>
            </w:r>
          </w:p>
        </w:tc>
        <w:tc>
          <w:tcPr>
            <w:tcW w:w="754" w:type="dxa"/>
            <w:vAlign w:val="center"/>
          </w:tcPr>
          <w:p w14:paraId="308FE76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w:t>
            </w:r>
          </w:p>
        </w:tc>
        <w:tc>
          <w:tcPr>
            <w:tcW w:w="851" w:type="dxa"/>
            <w:vAlign w:val="center"/>
          </w:tcPr>
          <w:p w14:paraId="518755F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033C66C3">
            <w:pPr>
              <w:jc w:val="center"/>
              <w:rPr>
                <w:rFonts w:hint="eastAsia" w:asciiTheme="minorEastAsia" w:hAnsiTheme="minorEastAsia" w:eastAsiaTheme="minorEastAsia" w:cstheme="minorEastAsia"/>
                <w:b/>
                <w:snapToGrid w:val="0"/>
                <w:color w:val="auto"/>
                <w:szCs w:val="21"/>
              </w:rPr>
            </w:pPr>
          </w:p>
        </w:tc>
      </w:tr>
      <w:tr w14:paraId="16ACC9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341487B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14</w:t>
            </w:r>
          </w:p>
        </w:tc>
        <w:tc>
          <w:tcPr>
            <w:tcW w:w="4067" w:type="dxa"/>
            <w:vAlign w:val="center"/>
          </w:tcPr>
          <w:p w14:paraId="19C412B2">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规定的备品备件</w:t>
            </w:r>
          </w:p>
        </w:tc>
        <w:tc>
          <w:tcPr>
            <w:tcW w:w="754" w:type="dxa"/>
            <w:vAlign w:val="center"/>
          </w:tcPr>
          <w:p w14:paraId="3C27F57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851" w:type="dxa"/>
            <w:vAlign w:val="center"/>
          </w:tcPr>
          <w:p w14:paraId="7D113D7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11AF5B31">
            <w:pPr>
              <w:jc w:val="center"/>
              <w:rPr>
                <w:rFonts w:hint="eastAsia" w:asciiTheme="minorEastAsia" w:hAnsiTheme="minorEastAsia" w:eastAsiaTheme="minorEastAsia" w:cstheme="minorEastAsia"/>
                <w:snapToGrid w:val="0"/>
                <w:color w:val="auto"/>
                <w:szCs w:val="21"/>
              </w:rPr>
            </w:pPr>
          </w:p>
        </w:tc>
      </w:tr>
      <w:tr w14:paraId="7C32E7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79799FE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15</w:t>
            </w:r>
          </w:p>
        </w:tc>
        <w:tc>
          <w:tcPr>
            <w:tcW w:w="4067" w:type="dxa"/>
            <w:vAlign w:val="center"/>
          </w:tcPr>
          <w:p w14:paraId="38FC3AA6">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必须的专用工具等</w:t>
            </w:r>
          </w:p>
        </w:tc>
        <w:tc>
          <w:tcPr>
            <w:tcW w:w="754" w:type="dxa"/>
            <w:vAlign w:val="center"/>
          </w:tcPr>
          <w:p w14:paraId="2325DF2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851" w:type="dxa"/>
            <w:vAlign w:val="center"/>
          </w:tcPr>
          <w:p w14:paraId="73595F7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2080" w:type="dxa"/>
            <w:vAlign w:val="center"/>
          </w:tcPr>
          <w:p w14:paraId="1E1FDFB1">
            <w:pPr>
              <w:jc w:val="center"/>
              <w:rPr>
                <w:rFonts w:hint="eastAsia" w:asciiTheme="minorEastAsia" w:hAnsiTheme="minorEastAsia" w:eastAsiaTheme="minorEastAsia" w:cstheme="minorEastAsia"/>
                <w:snapToGrid w:val="0"/>
                <w:color w:val="auto"/>
                <w:szCs w:val="21"/>
              </w:rPr>
            </w:pPr>
          </w:p>
        </w:tc>
      </w:tr>
    </w:tbl>
    <w:p w14:paraId="7586222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承包单位应成套供给合同要求的所有设备所必需的专用工具、专用设备、配件、特殊安装、检验和测试用材料和其它设备。</w:t>
      </w:r>
    </w:p>
    <w:p w14:paraId="1D64B81A">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承包单位应为本合同</w:t>
      </w:r>
      <w:r>
        <w:rPr>
          <w:rFonts w:hint="eastAsia" w:asciiTheme="minorEastAsia" w:hAnsiTheme="minorEastAsia" w:eastAsiaTheme="minorEastAsia" w:cstheme="minorEastAsia"/>
          <w:color w:val="auto"/>
          <w:szCs w:val="21"/>
        </w:rPr>
        <w:t>设备</w:t>
      </w:r>
      <w:r>
        <w:rPr>
          <w:rFonts w:hint="eastAsia" w:asciiTheme="minorEastAsia" w:hAnsiTheme="minorEastAsia" w:eastAsiaTheme="minorEastAsia" w:cstheme="minorEastAsia"/>
          <w:snapToGrid w:val="0"/>
          <w:color w:val="auto"/>
          <w:szCs w:val="21"/>
        </w:rPr>
        <w:t>提供运行和维护所需的备品备件及专用工具。</w:t>
      </w:r>
    </w:p>
    <w:p w14:paraId="16CC7F8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提供相互协调和完善的设计。任何元件或装置，如果招标文件中未专门提到，但它对于一套完整的和性能良好的计算机监控系统又是必不可少的，或者对于稳定运行，或者对于改善设备运行都是必要的话，那么这些元件或装置，也应由承包单位提供，其费用应包括在总价中。</w:t>
      </w:r>
    </w:p>
    <w:p w14:paraId="14C947C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单位应按招标文件的规定提交图纸、说明书、标准和规范，提供相关的技术培训；完成与工程设计有关的技术联络和协调；接受业主代表参加工厂检验、见证、目睹和出厂验收试验；对业主方人员的培训服务以及与其它设备供应商之间的协调。</w:t>
      </w:r>
    </w:p>
    <w:p w14:paraId="1785ECB0">
      <w:pPr>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snapToGrid w:val="0"/>
          <w:color w:val="auto"/>
          <w:szCs w:val="21"/>
        </w:rPr>
        <w:t>1.3 标准与工艺</w:t>
      </w:r>
    </w:p>
    <w:p w14:paraId="7FBE9716">
      <w:pPr>
        <w:autoSpaceDE w:val="0"/>
        <w:autoSpaceDN w:val="0"/>
        <w:snapToGrid w:val="0"/>
        <w:spacing w:line="360" w:lineRule="auto"/>
        <w:ind w:firstLine="422" w:firstLineChars="200"/>
        <w:textAlignment w:val="baseline"/>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snapToGrid w:val="0"/>
          <w:color w:val="auto"/>
          <w:szCs w:val="21"/>
        </w:rPr>
        <w:t xml:space="preserve">1.3.1 </w:t>
      </w:r>
      <w:r>
        <w:rPr>
          <w:rFonts w:hint="eastAsia" w:asciiTheme="minorEastAsia" w:hAnsiTheme="minorEastAsia" w:eastAsiaTheme="minorEastAsia" w:cstheme="minorEastAsia"/>
          <w:color w:val="auto"/>
          <w:kern w:val="0"/>
          <w:szCs w:val="21"/>
        </w:rPr>
        <w:t>下列标准供选用</w:t>
      </w:r>
    </w:p>
    <w:p w14:paraId="5F453EE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◆《水电厂计算机监控系统基本技术条件》</w:t>
      </w:r>
    </w:p>
    <w:p w14:paraId="04785F0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◆《水力发电厂计算机监控系统设计规定》</w:t>
      </w:r>
    </w:p>
    <w:p w14:paraId="6BF495F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◆《水力发电厂自动化设计技术规范》</w:t>
      </w:r>
    </w:p>
    <w:p w14:paraId="1072DA91">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◆《电力装置的继电保护和自动装置设计规范》</w:t>
      </w:r>
    </w:p>
    <w:p w14:paraId="2231F249">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◆《电力装置的电测量议表装置设计规范》</w:t>
      </w:r>
    </w:p>
    <w:p w14:paraId="073C4477">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◆《不间断电源设备》</w:t>
      </w:r>
    </w:p>
    <w:p w14:paraId="289DACC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◆《包装贮运标志》</w:t>
      </w:r>
    </w:p>
    <w:p w14:paraId="0619A4D4">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◆《机电产品包装通用技术条件》</w:t>
      </w:r>
    </w:p>
    <w:p w14:paraId="3EDEB7E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电气设备预防性试验规程</w:t>
      </w:r>
    </w:p>
    <w:p w14:paraId="6A71D62E">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电工电子产品基本试验规程</w:t>
      </w:r>
    </w:p>
    <w:p w14:paraId="65F23CB2">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安全防范系统通用图形符号</w:t>
      </w:r>
    </w:p>
    <w:p w14:paraId="6D89D536">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◆《安全防范工程技术规范》</w:t>
      </w:r>
    </w:p>
    <w:p w14:paraId="6FD1B9B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◆《水利系统通信业务导则》</w:t>
      </w:r>
    </w:p>
    <w:p w14:paraId="7AA180E0">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◆《水利水电工程通信设计技术规程》       </w:t>
      </w:r>
    </w:p>
    <w:p w14:paraId="53E65E4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◆《电子设备雷击保护导则》</w:t>
      </w:r>
    </w:p>
    <w:p w14:paraId="2FAE0EE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◆《计算机场地技术条件》</w:t>
      </w:r>
    </w:p>
    <w:p w14:paraId="24580FE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◆《工业控制计算机系统验收大纲》</w:t>
      </w:r>
    </w:p>
    <w:p w14:paraId="24713068">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 xml:space="preserve">◆ </w:t>
      </w:r>
      <w:r>
        <w:rPr>
          <w:rFonts w:hint="eastAsia" w:asciiTheme="minorEastAsia" w:hAnsiTheme="minorEastAsia" w:eastAsiaTheme="minorEastAsia" w:cstheme="minorEastAsia"/>
          <w:color w:val="auto"/>
          <w:kern w:val="0"/>
          <w:szCs w:val="21"/>
        </w:rPr>
        <w:t>IEEE802.3 Ethernet(10-BASE-T)</w:t>
      </w:r>
      <w:r>
        <w:rPr>
          <w:rFonts w:hint="eastAsia" w:asciiTheme="minorEastAsia" w:hAnsiTheme="minorEastAsia" w:eastAsiaTheme="minorEastAsia" w:cstheme="minorEastAsia"/>
          <w:snapToGrid w:val="0"/>
          <w:color w:val="auto"/>
          <w:szCs w:val="21"/>
        </w:rPr>
        <w:t>(以太网络标准)</w:t>
      </w:r>
    </w:p>
    <w:p w14:paraId="7CE5752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◆《中国信息技术设备安全标准》</w:t>
      </w:r>
    </w:p>
    <w:p w14:paraId="4973E9FF">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◆《工业企业通信接地设计规范》</w:t>
      </w:r>
    </w:p>
    <w:p w14:paraId="100FAFAD">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◆《工业企业通信设计规范》</w:t>
      </w:r>
    </w:p>
    <w:p w14:paraId="2540E7FA">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snapToGrid w:val="0"/>
          <w:color w:val="auto"/>
          <w:szCs w:val="21"/>
        </w:rPr>
        <w:t>1.3.2</w:t>
      </w:r>
      <w:r>
        <w:rPr>
          <w:rFonts w:hint="eastAsia" w:asciiTheme="minorEastAsia" w:hAnsiTheme="minorEastAsia" w:eastAsiaTheme="minorEastAsia" w:cstheme="minorEastAsia"/>
          <w:color w:val="auto"/>
          <w:kern w:val="0"/>
          <w:szCs w:val="21"/>
        </w:rPr>
        <w:t>承包单位应保证向业主提供的本合同工程设备所依据的标准及规范是最新版本。</w:t>
      </w:r>
    </w:p>
    <w:p w14:paraId="2E8E959E">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snapToGrid w:val="0"/>
          <w:color w:val="auto"/>
          <w:szCs w:val="21"/>
        </w:rPr>
        <w:t>1.3.3</w:t>
      </w:r>
      <w:r>
        <w:rPr>
          <w:rFonts w:hint="eastAsia" w:asciiTheme="minorEastAsia" w:hAnsiTheme="minorEastAsia" w:eastAsiaTheme="minorEastAsia" w:cstheme="minorEastAsia"/>
          <w:color w:val="auto"/>
          <w:kern w:val="0"/>
          <w:szCs w:val="21"/>
        </w:rPr>
        <w:t>如果承包单位采用除上述标准系列列举以外的其它系列标准时，须在投标书中加以说明，并经工程师同意方能使用。</w:t>
      </w:r>
    </w:p>
    <w:p w14:paraId="09C850C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snapToGrid w:val="0"/>
          <w:color w:val="auto"/>
          <w:szCs w:val="21"/>
        </w:rPr>
        <w:t>1.3.4</w:t>
      </w:r>
      <w:r>
        <w:rPr>
          <w:rFonts w:hint="eastAsia" w:asciiTheme="minorEastAsia" w:hAnsiTheme="minorEastAsia" w:eastAsiaTheme="minorEastAsia" w:cstheme="minorEastAsia"/>
          <w:color w:val="auto"/>
          <w:kern w:val="0"/>
          <w:szCs w:val="21"/>
        </w:rPr>
        <w:t>设备制造应采用先进的工艺，以保证各种运行工况正常、可靠；所有螺丝、螺母、螺栓、零部件等应采用GB或ISO标准，并具有良好的互换性和便于安装及检修。</w:t>
      </w:r>
    </w:p>
    <w:p w14:paraId="73F167FF">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 一般规定</w:t>
      </w:r>
    </w:p>
    <w:p w14:paraId="1CE49F80">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1.4.1 设备颜色</w:t>
      </w:r>
    </w:p>
    <w:p w14:paraId="457E42F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承包单位提供的涉及本系统的屏（柜、箱）设备油漆颜色均为国际流行灰，色板为RAL 7032；桔纹漆，采用环氧粉末静电喷涂工艺，着色应具有粉末附着力强，表面硬度大，耐磨，耐冲击；并具有良好的色泽持久性，应比喷漆机柜有更好的美观性和耐腐蚀性。</w:t>
      </w:r>
    </w:p>
    <w:p w14:paraId="1A1A8C81">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1.4.2 备品备件</w:t>
      </w:r>
    </w:p>
    <w:p w14:paraId="274A1CA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1.4.2.1 承包人应按招标文件中有关规定提供正常运行所必备的备品备件，至少包括：全套用于日常维修和保证计算机监控系统正常运行所必须的器件或插件。规定的备品备件价格已包括在投标报价中。</w:t>
      </w:r>
    </w:p>
    <w:p w14:paraId="0EC4A6B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备品备件包装箱上应有明显的标记。保证在规定的条件下，在保存期内不会变质。</w:t>
      </w:r>
    </w:p>
    <w:p w14:paraId="7510D06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1.4.2.2 备品备件</w:t>
      </w:r>
    </w:p>
    <w:p w14:paraId="5B9530C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（1）合同中规定的有关设备测试、运输、付款期限、质量保证等条件，同样适用于备品备件。</w:t>
      </w:r>
    </w:p>
    <w:p w14:paraId="177EFB7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（2）所提供的全部备品备件应能与原部件相互替换，其材料、工艺及构造均与原部件相同。</w:t>
      </w:r>
    </w:p>
    <w:p w14:paraId="77FFB18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所有备件的包装和处理均应适合于在工地长期贮存，每个备品备件的包装箱上都要清楚地标上名称、产品编号、制造厂、产品型号及其它的说明和用途。提供的每个电子插件应有防静电保护措施。当几个品种的备品备件装在一个箱里时，则应在箱外给出目录，箱内附有详细装箱清单。所有箱子都应标志清楚并进行编号。</w:t>
      </w:r>
    </w:p>
    <w:p w14:paraId="4F6C515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（4）备品备件和消耗品应随同设备一起运到工地。</w:t>
      </w:r>
    </w:p>
    <w:p w14:paraId="382615C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（5）投标人应列出所有备品备件和消耗品最近的销售和服务代理人。</w:t>
      </w:r>
    </w:p>
    <w:p w14:paraId="1783D0B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（6）投标人应提供如下规定的备品备件：</w:t>
      </w:r>
    </w:p>
    <w:p w14:paraId="669665C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①控制器插接板：PLC电源模件、CPU模件，每种型号为1个；</w:t>
      </w:r>
    </w:p>
    <w:p w14:paraId="44220F7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②PLC电池：1块；</w:t>
      </w:r>
    </w:p>
    <w:p w14:paraId="27611F6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③操作人员人机接口用的标准键盘1个、光电鼠标器1个；</w:t>
      </w:r>
    </w:p>
    <w:p w14:paraId="1AD717A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④通讯转换器（转485 ）：1个</w:t>
      </w:r>
    </w:p>
    <w:p w14:paraId="7010187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⑤熔断器等易损件：每种型号各3个；</w:t>
      </w:r>
    </w:p>
    <w:p w14:paraId="01F5A8FA">
      <w:pPr>
        <w:spacing w:line="360" w:lineRule="auto"/>
        <w:ind w:left="42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fldChar w:fldCharType="begin"/>
      </w:r>
      <w:r>
        <w:rPr>
          <w:rFonts w:hint="eastAsia" w:asciiTheme="minorEastAsia" w:hAnsiTheme="minorEastAsia" w:eastAsiaTheme="minorEastAsia" w:cstheme="minorEastAsia"/>
          <w:color w:val="auto"/>
          <w:kern w:val="0"/>
          <w:szCs w:val="21"/>
        </w:rPr>
        <w:instrText xml:space="preserve"> = 6 \* GB3 </w:instrText>
      </w:r>
      <w:r>
        <w:rPr>
          <w:rFonts w:hint="eastAsia" w:asciiTheme="minorEastAsia" w:hAnsiTheme="minorEastAsia" w:eastAsiaTheme="minorEastAsia" w:cstheme="minorEastAsia"/>
          <w:color w:val="auto"/>
          <w:kern w:val="0"/>
          <w:szCs w:val="21"/>
        </w:rPr>
        <w:fldChar w:fldCharType="separate"/>
      </w:r>
      <w:r>
        <w:rPr>
          <w:rFonts w:hint="eastAsia" w:asciiTheme="minorEastAsia" w:hAnsiTheme="minorEastAsia" w:eastAsiaTheme="minorEastAsia" w:cstheme="minorEastAsia"/>
          <w:color w:val="auto"/>
          <w:kern w:val="0"/>
          <w:szCs w:val="21"/>
        </w:rPr>
        <w:t>⑥</w:t>
      </w:r>
      <w:r>
        <w:rPr>
          <w:rFonts w:hint="eastAsia" w:asciiTheme="minorEastAsia" w:hAnsiTheme="minorEastAsia" w:eastAsiaTheme="minorEastAsia" w:cstheme="minorEastAsia"/>
          <w:color w:val="auto"/>
          <w:kern w:val="0"/>
          <w:szCs w:val="21"/>
        </w:rPr>
        <w:fldChar w:fldCharType="end"/>
      </w:r>
      <w:r>
        <w:rPr>
          <w:rFonts w:hint="eastAsia" w:asciiTheme="minorEastAsia" w:hAnsiTheme="minorEastAsia" w:eastAsiaTheme="minorEastAsia" w:cstheme="minorEastAsia"/>
          <w:color w:val="auto"/>
          <w:kern w:val="0"/>
          <w:szCs w:val="21"/>
        </w:rPr>
        <w:t>继电器（含底座）：每种型号各3只；</w:t>
      </w:r>
    </w:p>
    <w:p w14:paraId="282ACAF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⑦指示灯：每种型号和颜色各3只；</w:t>
      </w:r>
    </w:p>
    <w:p w14:paraId="5B7DD90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⑧设备屏用智能温湿度控制器1套、温湿度探头各种型号各3只</w:t>
      </w:r>
    </w:p>
    <w:p w14:paraId="5DCF4277">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1.4.3 专用工器具</w:t>
      </w:r>
    </w:p>
    <w:p w14:paraId="578EE79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1.4.3.1 概述</w:t>
      </w:r>
    </w:p>
    <w:p w14:paraId="6552C44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（1）承包单位应提供计算机监控系统长期安全稳定运行所需要的、正常维护和保养所需要的专用维修工具和试验设备。</w:t>
      </w:r>
    </w:p>
    <w:p w14:paraId="41CB8A3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（2）在本章规定提供的所有工具和仪器所需的内部连接电缆、测量用电缆、探测器、电源线和其它专用工具、仪器的辅助设备应包括在供货范围内。</w:t>
      </w:r>
    </w:p>
    <w:p w14:paraId="002ED24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1.4.3.2 专用工器具</w:t>
      </w:r>
    </w:p>
    <w:p w14:paraId="32AF85C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承包单位应提供以下专用工具：</w:t>
      </w:r>
    </w:p>
    <w:p w14:paraId="6E372E0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①用于计算机监控系统设备日常维修的控制器编程、系统维修、调试用的便携式PC机及编程、调试软件1套，PC机从联想、惠普、戴尔等品牌中选择。</w:t>
      </w:r>
    </w:p>
    <w:p w14:paraId="2A55DDA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配置如下：14″真彩TFT液晶显示器及适配卡；Intel 酷睿i7 CPU，主频不低于2.5GHz；内存容量不小于16.0G；硬盘容量不小于1T；光盘驱动器（DVD-RW）；</w:t>
      </w:r>
    </w:p>
    <w:p w14:paraId="6F6450A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②专用安装拆卸工具及附件1套；</w:t>
      </w:r>
    </w:p>
    <w:p w14:paraId="2B6D986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1.4.4 承包单位提供的图纸和资料</w:t>
      </w:r>
    </w:p>
    <w:p w14:paraId="6AD34E1B">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1.4.4.1 图纸和资料</w:t>
      </w:r>
    </w:p>
    <w:p w14:paraId="23905D6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（1）合同生效后30天内，承包单位应提供第一次技术联络会上需要审查和讨论的图纸、资料：</w:t>
      </w:r>
    </w:p>
    <w:p w14:paraId="4531ADC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①计算机监控系统结构图</w:t>
      </w:r>
    </w:p>
    <w:p w14:paraId="16A98A0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②硬件配置图及主要设备清单</w:t>
      </w:r>
    </w:p>
    <w:p w14:paraId="4B43D57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③各屏体外形、尺寸及安装图</w:t>
      </w:r>
    </w:p>
    <w:p w14:paraId="13067DE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④微机控制台外形和尺寸</w:t>
      </w:r>
    </w:p>
    <w:p w14:paraId="6B39EA5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⑤自动化元件和装置的相关产品样本</w:t>
      </w:r>
    </w:p>
    <w:p w14:paraId="3CB9ACA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（2）第一次技术联络会后30天内，承包单位应提供经审查、讨论和修改后的图纸、资料：</w:t>
      </w:r>
    </w:p>
    <w:p w14:paraId="3C20430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①各屏体的原理图、结构图、配线表、详细设备清单</w:t>
      </w:r>
    </w:p>
    <w:p w14:paraId="64BAAFD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②输入输出I/O定义表</w:t>
      </w:r>
    </w:p>
    <w:p w14:paraId="335C4D4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③画面显示及报表格式</w:t>
      </w:r>
    </w:p>
    <w:p w14:paraId="0D082EF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④全部外购设备所附文件</w:t>
      </w:r>
    </w:p>
    <w:p w14:paraId="7038FF5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⑤供设计使用的自动化元件和装置的相关技术文件、资料</w:t>
      </w:r>
    </w:p>
    <w:p w14:paraId="2DDC8D6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（3）随包装箱发运，承包单位应向业主提供下述工程施工安装所需的资料：</w:t>
      </w:r>
    </w:p>
    <w:p w14:paraId="192B727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①全部工程使用的图纸和文件</w:t>
      </w:r>
    </w:p>
    <w:p w14:paraId="10A65EE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②设备清单及技术说明书</w:t>
      </w:r>
    </w:p>
    <w:p w14:paraId="6ABB2B8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③设备安装及运行操作使用说明书</w:t>
      </w:r>
    </w:p>
    <w:p w14:paraId="507B6D0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④软件及功能说明资料</w:t>
      </w:r>
    </w:p>
    <w:p w14:paraId="5DAC05C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⑤各种软件包的操作、维护手册及最终说明书</w:t>
      </w:r>
    </w:p>
    <w:p w14:paraId="362390BC">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1.4.4.2 图纸和资料的数量</w:t>
      </w:r>
    </w:p>
    <w:p w14:paraId="3DCE2E9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（1）所有按规定提交的图纸和资料，向业主提供共4套（其中1套提交工程设计单位，3套直接提交发包人），并注明按合同提交的日期。</w:t>
      </w:r>
    </w:p>
    <w:p w14:paraId="09707CD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（2）所有产品的厂内检查及试验记录随货向业主提供2套。</w:t>
      </w:r>
    </w:p>
    <w:p w14:paraId="1115806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（3）正式提交的图纸均应由承包单位授权代表签署或单位盖章。</w:t>
      </w:r>
    </w:p>
    <w:p w14:paraId="56B95510">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11.2  计算机监控系统配置</w:t>
      </w:r>
    </w:p>
    <w:p w14:paraId="208B13E2">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2.1 监控系统设计原则</w:t>
      </w:r>
    </w:p>
    <w:p w14:paraId="75DF11E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2.1.1 罗村三级电站按照无人值班(少人值守)，以计算机监控为主，常规控制为辅的原则进行总体设计，充分注意计算机监控系统与各常规控制设备的协调配合。常规控制可在主控站与现场控制单元通讯中断(或主控站故障)时作操作备用，它通过电缆直接作用于现地控制单元，现地单元具备运行人员进行常规控制的值班条件。</w:t>
      </w:r>
    </w:p>
    <w:p w14:paraId="5F9E6C4C">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2.1.2 计算机监控系统应高度可靠，其平均故障间隔时间(MTBF)、 平均维修时间(MTTR)及各项可用性指标均达到部颁《水电厂计算机监控系统基本技术条件》的规定。</w:t>
      </w:r>
    </w:p>
    <w:p w14:paraId="00654BB7">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2.1.3 在保证整个系统可靠性、实用性和实时性前提下，体现先进性，系统配置和设备选型符合计算机发展迅速的特点，充分利用计算机领域的先进技术，系统达到目前国内先进水平。</w:t>
      </w:r>
    </w:p>
    <w:p w14:paraId="73A5305D">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2.1.4 采用开放系统，既便于功能和硬件的扩充，又能充分保护用户的投资。软件模块化，结构化的设计，使系统更能适应功能的增加和规模的扩充。</w:t>
      </w:r>
    </w:p>
    <w:p w14:paraId="13C28801">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2.1.5 实时性好，抗干扰能力强。</w:t>
      </w:r>
    </w:p>
    <w:p w14:paraId="17E0253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2.1.6 人机接口功能强，操作方便。</w:t>
      </w:r>
    </w:p>
    <w:p w14:paraId="32721224">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 监控系统硬件配置</w:t>
      </w:r>
    </w:p>
    <w:p w14:paraId="3A183A9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计算机监控系统采用开放系统，由主机兼操作员工作站、打印机、各现地LCU单元以及相应的外设构成（见附图“计算机监控系统结构图”）。</w:t>
      </w:r>
    </w:p>
    <w:p w14:paraId="2048B90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2.2.1 主机兼操作员工作站</w:t>
      </w:r>
    </w:p>
    <w:p w14:paraId="2AD1C7E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（1）工作站功能包括对整个工程计算机监控系统的管理，数据库管理，在线及离线计算功能，各图表、曲线的生成，事故故障信号的分析处理等。</w:t>
      </w:r>
    </w:p>
    <w:p w14:paraId="6ADA1E1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工作站同时供运行值班人员使用，具有图形显示、运行监视和控制功能、发操作控制命令、作定值修改、设定与变更工作方式等功能。所有的操作控制都可以通过鼠标器及键盘而实现；通过显示器可以对设备运行状况作实时监视，并取得所需的各种信息。</w:t>
      </w:r>
    </w:p>
    <w:p w14:paraId="60660B3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（2）工作站工业控制机</w:t>
      </w:r>
    </w:p>
    <w:p w14:paraId="38E24DFF">
      <w:pPr>
        <w:ind w:firstLine="48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采用工业控制机，品牌采用浪潮、联想、中科曙光等同档次、高品质的产品，工控机至少满足以下要求：</w:t>
      </w:r>
    </w:p>
    <w:p w14:paraId="13A72FCF">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CPU</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Intel 酷睿六核i7 （主频不低于3.4GHz）</w:t>
      </w:r>
    </w:p>
    <w:p w14:paraId="0E6AD4CD">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RAM内存</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16GB</w:t>
      </w:r>
    </w:p>
    <w:p w14:paraId="2A5900CD">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硬盘容量</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128SSD+1TB   利用率≤50%</w:t>
      </w:r>
    </w:p>
    <w:p w14:paraId="184B4F04">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2G独立显卡</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1块</w:t>
      </w:r>
    </w:p>
    <w:p w14:paraId="3167B36D">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可读写式光盘驱动器（DVD-RW）1个</w:t>
      </w:r>
    </w:p>
    <w:p w14:paraId="0FCFFD25">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1个10/100Mbps以太网卡</w:t>
      </w:r>
    </w:p>
    <w:p w14:paraId="07C4EBA6">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1台27英寸真彩TFT液晶显示器及适配卡，分辨率≥1600×1200</w:t>
      </w:r>
    </w:p>
    <w:p w14:paraId="4F439C9E">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2路RS232加2路RS485串行口，1个USB口，1个并行口</w:t>
      </w:r>
    </w:p>
    <w:p w14:paraId="39C1025E">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1个工作键盘（104标准键盘）和1个带光标键、数字键的操作键盘及相应接口</w:t>
      </w:r>
    </w:p>
    <w:p w14:paraId="353FE969">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1只跟踪球式鼠标器（便于面板安装固定）为了适应环境，完全密封结构。</w:t>
      </w:r>
    </w:p>
    <w:p w14:paraId="00DA911A">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机内电源300W</w:t>
      </w:r>
    </w:p>
    <w:p w14:paraId="4E2342A8">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有源音箱1对</w:t>
      </w:r>
    </w:p>
    <w:p w14:paraId="2B118D38">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I／O扩展功能卡1块</w:t>
      </w:r>
    </w:p>
    <w:p w14:paraId="0BFC0126">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机内锂电池供电的实时时钟</w:t>
      </w:r>
    </w:p>
    <w:p w14:paraId="3FB8BBB7">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主控站微机应配有一个坚固的通风条件良好的装配箱，此机箱配有300W电源，2个冷却风扇和可拆洗的空气过滤器。</w:t>
      </w:r>
    </w:p>
    <w:p w14:paraId="48230017">
      <w:pPr>
        <w:ind w:firstLine="48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（3）运行环境</w:t>
      </w:r>
    </w:p>
    <w:p w14:paraId="0EED04B2">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电源电压</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180VAC～260VAC 50Hz</w:t>
      </w:r>
    </w:p>
    <w:p w14:paraId="6FC679DA">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温度</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-5℃～+45℃</w:t>
      </w:r>
    </w:p>
    <w:p w14:paraId="1A504E01">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湿度</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≤95％ RH</w:t>
      </w:r>
    </w:p>
    <w:p w14:paraId="6633583C">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海拔高度</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≤1000m</w:t>
      </w:r>
    </w:p>
    <w:p w14:paraId="5A76296D">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耐振能力</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水平加速度0.25G，垂直加速度0.13G，水平、垂直加速度同时作用</w:t>
      </w:r>
    </w:p>
    <w:p w14:paraId="5E05A281">
      <w:pPr>
        <w:numPr>
          <w:ilvl w:val="0"/>
          <w:numId w:val="7"/>
        </w:numPr>
        <w:spacing w:line="360" w:lineRule="auto"/>
        <w:ind w:firstLine="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MTBF</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≥17000h</w:t>
      </w:r>
    </w:p>
    <w:p w14:paraId="09C15B8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2.2.2 通信工作站</w:t>
      </w:r>
    </w:p>
    <w:p w14:paraId="0DFC8AB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配置同主机兼操作员工作站。同时，还设有经Modem与承包人远程诊断中心通讯的通道以及与电力调度中心的通道，远动所需的各种信息量直接由通信工作站经光端机发送，规约采用部颁CDT规约，并预留支持X.25或TCP/IP等标准远程数据通讯功能。</w:t>
      </w:r>
    </w:p>
    <w:p w14:paraId="27AA607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2.2.3 现地自动控制屏（LCU屏）</w:t>
      </w:r>
    </w:p>
    <w:p w14:paraId="511CF82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罗村三级电站的LCU按照所控制对象的不同，分为机组LCU和公用LCU，实现对各生产对象的监控。LCU由PLC、微机自动准同期装置、手动同期装置、水位计、交直流双供电源、通讯管理装置等设备组成。</w:t>
      </w:r>
    </w:p>
    <w:p w14:paraId="131D735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LCU主要完成数据的采集及数据预处理功能，同时也具有控制操作和监视功能。</w:t>
      </w:r>
    </w:p>
    <w:p w14:paraId="31F6954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LCU配有当地的彩色液晶触摸屏，其设计能保证当它与主机系统脱离后仍然能实现对机组进行必要的监视和控制功能，这些功能包括机组的开、停操作，有功、无功负荷增、减；机组运行状态及参数的监视，而当其与主机恢复联系后又能自动地服从上位机系统的控制和管理。</w:t>
      </w:r>
    </w:p>
    <w:p w14:paraId="18B02C8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PLC 要求选用国内著名品牌如南大傲拓公司NA400系列（CPU应不低于CPU401-0301）、国电南自公司SA80系列（CPU应不低于80CPU24103）、南瑞MB80系列（CPU应不低于CPU711E）。</w:t>
      </w:r>
    </w:p>
    <w:p w14:paraId="431FE9D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PLC性能指标要求如下：</w:t>
      </w:r>
    </w:p>
    <w:p w14:paraId="591FA3A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◆CPU 应采用 32 位以上工业级微处理器，主频不小于 300MHz；</w:t>
      </w:r>
    </w:p>
    <w:p w14:paraId="7E60F3B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◆PLC应采用标准CPU，IO模块需独立配置，CPU本体不可集成IO点，确保整个PLC系统运行稳定、可靠；</w:t>
      </w:r>
    </w:p>
    <w:p w14:paraId="3895870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◆内置用户内存容量（不包含扩展内存） ≥4M，CPU本体应具有内置存储，增加CPU数据存储的安全性、稳定性；</w:t>
      </w:r>
    </w:p>
    <w:p w14:paraId="06503E1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◆具有强大的处理能力, CPU 可以处理大量的 I/O 点：可支持最大数字量为 1024点，最大模拟量为 256点，</w:t>
      </w:r>
    </w:p>
    <w:p w14:paraId="2E99CB1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◆在背板电源和用户端电源不断开的情况下， I/O 模块、通讯模块及可拆卸端子排支持带电热插拔；</w:t>
      </w:r>
    </w:p>
    <w:p w14:paraId="34C72E3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◆背板总线支持冗余电源设计；</w:t>
      </w:r>
    </w:p>
    <w:p w14:paraId="2310536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◆PLC 采用冗余电源模块，其中一个损坏时，可以不中断运行。</w:t>
      </w:r>
    </w:p>
    <w:p w14:paraId="54E6399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◆带有独立的串口通信模块，多个 RS485 接口，支持标准 MODBUS RTU 协议，可自定义协议与多功能仪表等通信；</w:t>
      </w:r>
    </w:p>
    <w:p w14:paraId="1572099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◆控制器的通讯模块、 I/O 模块及其它特殊功能模块均应与 CPU 模块严格保持同等的档次、是同一系列的产品；</w:t>
      </w:r>
    </w:p>
    <w:p w14:paraId="62B8FC5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◆支持 Modbus TCP 协议。</w:t>
      </w:r>
    </w:p>
    <w:p w14:paraId="42E27D0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◆模拟量分辨率为16bit；</w:t>
      </w:r>
    </w:p>
    <w:p w14:paraId="41B1C29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◆可编程控制器应支持 LD（梯形图）、 ST（结构文本）、 IL（指令表）、 FBD（功能块图）、 SFC（顺序功能图），且编程软件应支持功能块分装，方便程序移植；</w:t>
      </w:r>
    </w:p>
    <w:p w14:paraId="492B014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◆集成在编程软件中的 PLC 仿真器可以在 PC 上准确地再现目标程序的行为，可脱离硬件进行开发调试；</w:t>
      </w:r>
    </w:p>
    <w:p w14:paraId="31D1F93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◆支持 OPC 国际标准，便于与第三方组态软件通讯。</w:t>
      </w:r>
    </w:p>
    <w:p w14:paraId="4EBC8BD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LCU均采用交直流双回供电，以保证LCU可靠运行。出口继电器采用强电中间继电器，信号继电器选用GZE系列继电器。</w:t>
      </w:r>
    </w:p>
    <w:p w14:paraId="46CCFE8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LCU屏规定采用拼装式结构、外形尺寸为800（宽）×600（深）×2260（高）mm的标准屏体，前门为整屏透明钢化玻璃铝型材门，后门为双开门，侧面封闭。屏体应按标准进行保护，应具有良好的防尘、防潮、防屏蔽性能，防护等级均为IP30。</w:t>
      </w:r>
    </w:p>
    <w:p w14:paraId="1C34AED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LCU屏屏内按钮、信号灯、熔断器和中间继电器等应首选国内知名产品，空气开关应采用KFB1-63系列的交流开关及KFB1-63Z系列专用直流开关，端子排采用ADO绝缘移位端子或魏德米勒或菲尼克斯系列端子。</w:t>
      </w:r>
    </w:p>
    <w:p w14:paraId="424F5EE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2.2.3.1 机组LCU（2套，下面只列1套包含的数量）</w:t>
      </w:r>
    </w:p>
    <w:p w14:paraId="3A2F0F0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PLC</w:t>
      </w:r>
    </w:p>
    <w:p w14:paraId="6383045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开关量输入    160点</w:t>
      </w:r>
    </w:p>
    <w:p w14:paraId="7476048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开关量输出    64点</w:t>
      </w:r>
    </w:p>
    <w:p w14:paraId="3138B011">
      <w:pPr>
        <w:spacing w:line="360" w:lineRule="auto"/>
        <w:ind w:firstLine="735" w:firstLineChars="35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模拟量输入</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32点</w:t>
      </w:r>
    </w:p>
    <w:p w14:paraId="5EE2276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1套与PLC品牌对应的12”真彩TFT液晶触摸屏</w:t>
      </w:r>
    </w:p>
    <w:p w14:paraId="650D68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1套通讯管理装置，实现现地PLC与其它自动化设备(如保护设备等)的通讯。通讯管理装置具有8个可编程串口，1个10M以太网口，1个CAN网口，能够十分方便的实现现地PLC与其它自动化设备的通讯。（包含串口的通讯程序编写）</w:t>
      </w:r>
    </w:p>
    <w:p w14:paraId="237D3F3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1套交直流双供电源</w:t>
      </w:r>
    </w:p>
    <w:p w14:paraId="52941D8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a．型号：GES-1K220</w:t>
      </w:r>
    </w:p>
    <w:p w14:paraId="0F73033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b．输入电压  AC160～270VAC 50Hz和DC220V</w:t>
      </w:r>
    </w:p>
    <w:p w14:paraId="64DF711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c．输出电压  AC220±2%V  50Hz</w:t>
      </w:r>
    </w:p>
    <w:p w14:paraId="674862A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d．输出功率  1kVA</w:t>
      </w:r>
    </w:p>
    <w:p w14:paraId="3BBDE03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e．效率  ≥90％</w:t>
      </w:r>
    </w:p>
    <w:p w14:paraId="6D997E0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f．电源切换时间</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0mS</w:t>
      </w:r>
    </w:p>
    <w:p w14:paraId="1896D98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  SJ-12C型双微机自动准同期装置及手动准同期装置各1套</w:t>
      </w:r>
    </w:p>
    <w:p w14:paraId="01A85FC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  1台可网管模块化交换机，品牌采用三旺通信、北京华飞、华为等同档次、高品质的产品，交换机至少满足以下要求：</w:t>
      </w:r>
    </w:p>
    <w:p w14:paraId="3001572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a、主要技术配置如下：</w:t>
      </w:r>
    </w:p>
    <w:p w14:paraId="7D08870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单模100M光口≥2个，100M电口≥6个。</w:t>
      </w:r>
    </w:p>
    <w:p w14:paraId="15085A3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b、性能指标和特性要求：</w:t>
      </w:r>
    </w:p>
    <w:p w14:paraId="075C6FC4">
      <w:pPr>
        <w:pStyle w:val="983"/>
        <w:numPr>
          <w:ilvl w:val="0"/>
          <w:numId w:val="8"/>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符合工业标准及IEEE802.3标准；</w:t>
      </w:r>
    </w:p>
    <w:p w14:paraId="5EE08192">
      <w:pPr>
        <w:pStyle w:val="983"/>
        <w:numPr>
          <w:ilvl w:val="0"/>
          <w:numId w:val="8"/>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35mm标准导轨式安装；</w:t>
      </w:r>
    </w:p>
    <w:p w14:paraId="67BF249B">
      <w:pPr>
        <w:pStyle w:val="983"/>
        <w:numPr>
          <w:ilvl w:val="0"/>
          <w:numId w:val="8"/>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双路冗余电源输入，具有电源过载保护功能；</w:t>
      </w:r>
    </w:p>
    <w:p w14:paraId="7A5CA0A9">
      <w:pPr>
        <w:pStyle w:val="983"/>
        <w:numPr>
          <w:ilvl w:val="0"/>
          <w:numId w:val="8"/>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支持RSTP、SNMP v1/v2c集中管理设备、Modbus TCP监控、端口镜像、QoS、LLDP、DHCP Client、文件管理、端口统计等功能；</w:t>
      </w:r>
    </w:p>
    <w:p w14:paraId="6591AF59">
      <w:pPr>
        <w:pStyle w:val="983"/>
        <w:numPr>
          <w:ilvl w:val="0"/>
          <w:numId w:val="8"/>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交换机必须带远程侦测的功能，在后台的网管软件中，能发现交换机每个端口的工作情况。</w:t>
      </w:r>
    </w:p>
    <w:p w14:paraId="2D1CB279">
      <w:pPr>
        <w:pStyle w:val="983"/>
        <w:numPr>
          <w:ilvl w:val="0"/>
          <w:numId w:val="8"/>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采用存储-转发技术，支持自动协商功能、自适应全双工/半双工、自适应10/100Base-TX端口、自适应MDI/MDIX；</w:t>
      </w:r>
    </w:p>
    <w:p w14:paraId="2D974AFE">
      <w:pPr>
        <w:pStyle w:val="983"/>
        <w:numPr>
          <w:ilvl w:val="0"/>
          <w:numId w:val="8"/>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MTBF（平均无故障时间）不小于100万小时；</w:t>
      </w:r>
    </w:p>
    <w:p w14:paraId="3DEBD36F">
      <w:pPr>
        <w:pStyle w:val="983"/>
        <w:numPr>
          <w:ilvl w:val="0"/>
          <w:numId w:val="8"/>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工作温度：-40~75℃、存储温度：-40~85℃、相对湿度：5%～95%（无凝露；</w:t>
      </w:r>
    </w:p>
    <w:p w14:paraId="7C66CA1F">
      <w:pPr>
        <w:pStyle w:val="983"/>
        <w:numPr>
          <w:ilvl w:val="0"/>
          <w:numId w:val="8"/>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保护等级IP40，全封闭式金属外壳，无需风扇散热；</w:t>
      </w:r>
    </w:p>
    <w:p w14:paraId="5A157CE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  自动化元件1套（水轮发电机组厂家配套提供，安装在LCU屏上）</w:t>
      </w:r>
    </w:p>
    <w:p w14:paraId="1780B65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  监控屏用智能温湿度控制器（含温湿度传感器及电加热器）1套</w:t>
      </w:r>
    </w:p>
    <w:p w14:paraId="661550A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  机组调速器油泵电动机控制设备1套</w:t>
      </w:r>
    </w:p>
    <w:p w14:paraId="200EC74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2台3.0kW油泵电动机互为备用，自动按油压要求启动，油压降低备用泵启动，油压过高或过低报警，接触器、热继电器以及中间继电器应采用名优品牌。</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677"/>
        <w:gridCol w:w="3066"/>
        <w:gridCol w:w="709"/>
        <w:gridCol w:w="709"/>
        <w:gridCol w:w="1219"/>
      </w:tblGrid>
      <w:tr w14:paraId="31F3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21B9471C">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1677" w:type="dxa"/>
            <w:vAlign w:val="center"/>
          </w:tcPr>
          <w:p w14:paraId="36C97A8B">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名称</w:t>
            </w:r>
          </w:p>
        </w:tc>
        <w:tc>
          <w:tcPr>
            <w:tcW w:w="3066" w:type="dxa"/>
            <w:vAlign w:val="center"/>
          </w:tcPr>
          <w:p w14:paraId="2A1A79D2">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型号及规格</w:t>
            </w:r>
          </w:p>
        </w:tc>
        <w:tc>
          <w:tcPr>
            <w:tcW w:w="709" w:type="dxa"/>
            <w:vAlign w:val="center"/>
          </w:tcPr>
          <w:p w14:paraId="0E9B0CAD">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w:t>
            </w:r>
          </w:p>
        </w:tc>
        <w:tc>
          <w:tcPr>
            <w:tcW w:w="709" w:type="dxa"/>
            <w:vAlign w:val="center"/>
          </w:tcPr>
          <w:p w14:paraId="0A27EC82">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数量</w:t>
            </w:r>
          </w:p>
        </w:tc>
        <w:tc>
          <w:tcPr>
            <w:tcW w:w="1219" w:type="dxa"/>
            <w:vAlign w:val="center"/>
          </w:tcPr>
          <w:p w14:paraId="6E76C473">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r>
      <w:tr w14:paraId="20B1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091FFB6A">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1677" w:type="dxa"/>
            <w:vAlign w:val="center"/>
          </w:tcPr>
          <w:p w14:paraId="58CE356F">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空气开关</w:t>
            </w:r>
          </w:p>
        </w:tc>
        <w:tc>
          <w:tcPr>
            <w:tcW w:w="3066" w:type="dxa"/>
            <w:vAlign w:val="center"/>
          </w:tcPr>
          <w:p w14:paraId="40AFCDDF">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KFB1-63C15A/3P</w:t>
            </w:r>
          </w:p>
        </w:tc>
        <w:tc>
          <w:tcPr>
            <w:tcW w:w="709" w:type="dxa"/>
            <w:vAlign w:val="center"/>
          </w:tcPr>
          <w:p w14:paraId="0E578323">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只</w:t>
            </w:r>
          </w:p>
        </w:tc>
        <w:tc>
          <w:tcPr>
            <w:tcW w:w="709" w:type="dxa"/>
            <w:vAlign w:val="center"/>
          </w:tcPr>
          <w:p w14:paraId="3862AAE4">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1219" w:type="dxa"/>
            <w:vAlign w:val="center"/>
          </w:tcPr>
          <w:p w14:paraId="7CD33B5F">
            <w:pPr>
              <w:snapToGrid w:val="0"/>
              <w:rPr>
                <w:rFonts w:hint="eastAsia" w:asciiTheme="minorEastAsia" w:hAnsiTheme="minorEastAsia" w:eastAsiaTheme="minorEastAsia" w:cstheme="minorEastAsia"/>
                <w:color w:val="auto"/>
                <w:szCs w:val="21"/>
              </w:rPr>
            </w:pPr>
          </w:p>
        </w:tc>
      </w:tr>
      <w:tr w14:paraId="5607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37BD2F25">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1677" w:type="dxa"/>
            <w:vAlign w:val="center"/>
          </w:tcPr>
          <w:p w14:paraId="4A8E31C4">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空气开关</w:t>
            </w:r>
          </w:p>
        </w:tc>
        <w:tc>
          <w:tcPr>
            <w:tcW w:w="3066" w:type="dxa"/>
            <w:vAlign w:val="center"/>
          </w:tcPr>
          <w:p w14:paraId="7CF64DCE">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KFB1-63C6A/2P</w:t>
            </w:r>
          </w:p>
        </w:tc>
        <w:tc>
          <w:tcPr>
            <w:tcW w:w="709" w:type="dxa"/>
            <w:vAlign w:val="center"/>
          </w:tcPr>
          <w:p w14:paraId="6BD2FD48">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只</w:t>
            </w:r>
          </w:p>
        </w:tc>
        <w:tc>
          <w:tcPr>
            <w:tcW w:w="709" w:type="dxa"/>
            <w:vAlign w:val="center"/>
          </w:tcPr>
          <w:p w14:paraId="5614097E">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1219" w:type="dxa"/>
            <w:vAlign w:val="center"/>
          </w:tcPr>
          <w:p w14:paraId="5C06CE84">
            <w:pPr>
              <w:snapToGrid w:val="0"/>
              <w:rPr>
                <w:rFonts w:hint="eastAsia" w:asciiTheme="minorEastAsia" w:hAnsiTheme="minorEastAsia" w:eastAsiaTheme="minorEastAsia" w:cstheme="minorEastAsia"/>
                <w:color w:val="auto"/>
                <w:szCs w:val="21"/>
              </w:rPr>
            </w:pPr>
          </w:p>
        </w:tc>
      </w:tr>
      <w:tr w14:paraId="6E70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6A733DA7">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1677" w:type="dxa"/>
            <w:vAlign w:val="center"/>
          </w:tcPr>
          <w:p w14:paraId="34F01FD2">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接触器</w:t>
            </w:r>
          </w:p>
        </w:tc>
        <w:tc>
          <w:tcPr>
            <w:tcW w:w="3066" w:type="dxa"/>
            <w:vAlign w:val="center"/>
          </w:tcPr>
          <w:p w14:paraId="00C4359D">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A9-30-22，  AC380V</w:t>
            </w:r>
          </w:p>
        </w:tc>
        <w:tc>
          <w:tcPr>
            <w:tcW w:w="709" w:type="dxa"/>
            <w:vAlign w:val="center"/>
          </w:tcPr>
          <w:p w14:paraId="7A4FA9A4">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只</w:t>
            </w:r>
          </w:p>
        </w:tc>
        <w:tc>
          <w:tcPr>
            <w:tcW w:w="709" w:type="dxa"/>
            <w:vAlign w:val="center"/>
          </w:tcPr>
          <w:p w14:paraId="31D57CD8">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1219" w:type="dxa"/>
            <w:vAlign w:val="center"/>
          </w:tcPr>
          <w:p w14:paraId="6BF013B6">
            <w:pPr>
              <w:snapToGrid w:val="0"/>
              <w:rPr>
                <w:rFonts w:hint="eastAsia" w:asciiTheme="minorEastAsia" w:hAnsiTheme="minorEastAsia" w:eastAsiaTheme="minorEastAsia" w:cstheme="minorEastAsia"/>
                <w:color w:val="auto"/>
                <w:szCs w:val="21"/>
              </w:rPr>
            </w:pPr>
          </w:p>
        </w:tc>
      </w:tr>
      <w:tr w14:paraId="769E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2644F572">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1677" w:type="dxa"/>
            <w:vAlign w:val="center"/>
          </w:tcPr>
          <w:p w14:paraId="2E803921">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热继电器</w:t>
            </w:r>
          </w:p>
        </w:tc>
        <w:tc>
          <w:tcPr>
            <w:tcW w:w="3066" w:type="dxa"/>
            <w:vAlign w:val="center"/>
          </w:tcPr>
          <w:p w14:paraId="64AF89DC">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TA25DU</w:t>
            </w:r>
          </w:p>
        </w:tc>
        <w:tc>
          <w:tcPr>
            <w:tcW w:w="709" w:type="dxa"/>
            <w:vAlign w:val="center"/>
          </w:tcPr>
          <w:p w14:paraId="2F4B91B9">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只</w:t>
            </w:r>
          </w:p>
        </w:tc>
        <w:tc>
          <w:tcPr>
            <w:tcW w:w="709" w:type="dxa"/>
            <w:vAlign w:val="center"/>
          </w:tcPr>
          <w:p w14:paraId="2AAE056D">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1219" w:type="dxa"/>
            <w:vAlign w:val="center"/>
          </w:tcPr>
          <w:p w14:paraId="65E59B2B">
            <w:pPr>
              <w:snapToGrid w:val="0"/>
              <w:rPr>
                <w:rFonts w:hint="eastAsia" w:asciiTheme="minorEastAsia" w:hAnsiTheme="minorEastAsia" w:eastAsiaTheme="minorEastAsia" w:cstheme="minorEastAsia"/>
                <w:color w:val="auto"/>
                <w:szCs w:val="21"/>
              </w:rPr>
            </w:pPr>
          </w:p>
        </w:tc>
      </w:tr>
      <w:tr w14:paraId="2B36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655CC672">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1677" w:type="dxa"/>
            <w:vAlign w:val="center"/>
          </w:tcPr>
          <w:p w14:paraId="2046E7B8">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中间继电器</w:t>
            </w:r>
          </w:p>
        </w:tc>
        <w:tc>
          <w:tcPr>
            <w:tcW w:w="3066" w:type="dxa"/>
            <w:vAlign w:val="center"/>
          </w:tcPr>
          <w:p w14:paraId="75B7A97F">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DZJ-202,  AC220V</w:t>
            </w:r>
          </w:p>
        </w:tc>
        <w:tc>
          <w:tcPr>
            <w:tcW w:w="709" w:type="dxa"/>
            <w:vAlign w:val="center"/>
          </w:tcPr>
          <w:p w14:paraId="1CBF53AF">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只</w:t>
            </w:r>
          </w:p>
        </w:tc>
        <w:tc>
          <w:tcPr>
            <w:tcW w:w="709" w:type="dxa"/>
            <w:vAlign w:val="center"/>
          </w:tcPr>
          <w:p w14:paraId="1465C9B3">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1219" w:type="dxa"/>
            <w:vAlign w:val="center"/>
          </w:tcPr>
          <w:p w14:paraId="5E47929F">
            <w:pPr>
              <w:snapToGrid w:val="0"/>
              <w:rPr>
                <w:rFonts w:hint="eastAsia" w:asciiTheme="minorEastAsia" w:hAnsiTheme="minorEastAsia" w:eastAsiaTheme="minorEastAsia" w:cstheme="minorEastAsia"/>
                <w:color w:val="auto"/>
                <w:szCs w:val="21"/>
              </w:rPr>
            </w:pPr>
          </w:p>
        </w:tc>
      </w:tr>
      <w:tr w14:paraId="4A29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712A4F9F">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1677" w:type="dxa"/>
            <w:vAlign w:val="center"/>
          </w:tcPr>
          <w:p w14:paraId="0774B6CD">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切换开关</w:t>
            </w:r>
          </w:p>
        </w:tc>
        <w:tc>
          <w:tcPr>
            <w:tcW w:w="3066" w:type="dxa"/>
            <w:vAlign w:val="center"/>
          </w:tcPr>
          <w:p w14:paraId="0CF47F2F">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LW12-16/4.5733.3T</w:t>
            </w:r>
          </w:p>
        </w:tc>
        <w:tc>
          <w:tcPr>
            <w:tcW w:w="709" w:type="dxa"/>
            <w:vAlign w:val="center"/>
          </w:tcPr>
          <w:p w14:paraId="0F0CFF99">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只</w:t>
            </w:r>
          </w:p>
        </w:tc>
        <w:tc>
          <w:tcPr>
            <w:tcW w:w="709" w:type="dxa"/>
            <w:vAlign w:val="center"/>
          </w:tcPr>
          <w:p w14:paraId="417B69A1">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1219" w:type="dxa"/>
            <w:vAlign w:val="center"/>
          </w:tcPr>
          <w:p w14:paraId="170D6AE8">
            <w:pPr>
              <w:snapToGrid w:val="0"/>
              <w:rPr>
                <w:rFonts w:hint="eastAsia" w:asciiTheme="minorEastAsia" w:hAnsiTheme="minorEastAsia" w:eastAsiaTheme="minorEastAsia" w:cstheme="minorEastAsia"/>
                <w:color w:val="auto"/>
                <w:szCs w:val="21"/>
              </w:rPr>
            </w:pPr>
          </w:p>
        </w:tc>
      </w:tr>
      <w:tr w14:paraId="2DE7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7CDC75A0">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w:t>
            </w:r>
          </w:p>
        </w:tc>
        <w:tc>
          <w:tcPr>
            <w:tcW w:w="1677" w:type="dxa"/>
            <w:vAlign w:val="center"/>
          </w:tcPr>
          <w:p w14:paraId="3086ED71">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按钮</w:t>
            </w:r>
          </w:p>
        </w:tc>
        <w:tc>
          <w:tcPr>
            <w:tcW w:w="3066" w:type="dxa"/>
            <w:vAlign w:val="center"/>
          </w:tcPr>
          <w:p w14:paraId="72CF06FA">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K22-22P/R,G,   AC220V</w:t>
            </w:r>
          </w:p>
        </w:tc>
        <w:tc>
          <w:tcPr>
            <w:tcW w:w="709" w:type="dxa"/>
            <w:vAlign w:val="center"/>
          </w:tcPr>
          <w:p w14:paraId="7EB866E6">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只</w:t>
            </w:r>
          </w:p>
        </w:tc>
        <w:tc>
          <w:tcPr>
            <w:tcW w:w="709" w:type="dxa"/>
            <w:vAlign w:val="center"/>
          </w:tcPr>
          <w:p w14:paraId="0724C47D">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1219" w:type="dxa"/>
            <w:vAlign w:val="center"/>
          </w:tcPr>
          <w:p w14:paraId="65B9991D">
            <w:pPr>
              <w:snapToGrid w:val="0"/>
              <w:rPr>
                <w:rFonts w:hint="eastAsia" w:asciiTheme="minorEastAsia" w:hAnsiTheme="minorEastAsia" w:eastAsiaTheme="minorEastAsia" w:cstheme="minorEastAsia"/>
                <w:color w:val="auto"/>
                <w:szCs w:val="21"/>
              </w:rPr>
            </w:pPr>
          </w:p>
        </w:tc>
      </w:tr>
      <w:tr w14:paraId="7842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00AB37E1">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w:t>
            </w:r>
          </w:p>
        </w:tc>
        <w:tc>
          <w:tcPr>
            <w:tcW w:w="1677" w:type="dxa"/>
            <w:vAlign w:val="center"/>
          </w:tcPr>
          <w:p w14:paraId="7CE0D15F">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信号灯</w:t>
            </w:r>
          </w:p>
        </w:tc>
        <w:tc>
          <w:tcPr>
            <w:tcW w:w="3066" w:type="dxa"/>
            <w:vAlign w:val="center"/>
          </w:tcPr>
          <w:p w14:paraId="6BC8FE16">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K22-DP/R,     AC220V</w:t>
            </w:r>
          </w:p>
        </w:tc>
        <w:tc>
          <w:tcPr>
            <w:tcW w:w="709" w:type="dxa"/>
            <w:vAlign w:val="center"/>
          </w:tcPr>
          <w:p w14:paraId="1A0C9255">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只</w:t>
            </w:r>
          </w:p>
        </w:tc>
        <w:tc>
          <w:tcPr>
            <w:tcW w:w="709" w:type="dxa"/>
            <w:vAlign w:val="center"/>
          </w:tcPr>
          <w:p w14:paraId="0DF202D9">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1219" w:type="dxa"/>
            <w:vAlign w:val="center"/>
          </w:tcPr>
          <w:p w14:paraId="027D7BCA">
            <w:pPr>
              <w:snapToGrid w:val="0"/>
              <w:rPr>
                <w:rFonts w:hint="eastAsia" w:asciiTheme="minorEastAsia" w:hAnsiTheme="minorEastAsia" w:eastAsiaTheme="minorEastAsia" w:cstheme="minorEastAsia"/>
                <w:color w:val="auto"/>
                <w:szCs w:val="21"/>
              </w:rPr>
            </w:pPr>
          </w:p>
        </w:tc>
      </w:tr>
      <w:tr w14:paraId="5C57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25A67E7B">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w:t>
            </w:r>
          </w:p>
        </w:tc>
        <w:tc>
          <w:tcPr>
            <w:tcW w:w="1677" w:type="dxa"/>
            <w:vAlign w:val="center"/>
          </w:tcPr>
          <w:p w14:paraId="5DBCDC6E">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前置开关</w:t>
            </w:r>
          </w:p>
        </w:tc>
        <w:tc>
          <w:tcPr>
            <w:tcW w:w="3066" w:type="dxa"/>
            <w:vAlign w:val="center"/>
          </w:tcPr>
          <w:p w14:paraId="7DC1CD6D">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SCB-T08/60-C11/4P</w:t>
            </w:r>
          </w:p>
        </w:tc>
        <w:tc>
          <w:tcPr>
            <w:tcW w:w="709" w:type="dxa"/>
            <w:vAlign w:val="center"/>
          </w:tcPr>
          <w:p w14:paraId="6B06A2E0">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只</w:t>
            </w:r>
          </w:p>
        </w:tc>
        <w:tc>
          <w:tcPr>
            <w:tcW w:w="709" w:type="dxa"/>
            <w:vAlign w:val="center"/>
          </w:tcPr>
          <w:p w14:paraId="046DD407">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1219" w:type="dxa"/>
            <w:vAlign w:val="center"/>
          </w:tcPr>
          <w:p w14:paraId="3091F8B4">
            <w:pPr>
              <w:snapToGrid w:val="0"/>
              <w:rPr>
                <w:rFonts w:hint="eastAsia" w:asciiTheme="minorEastAsia" w:hAnsiTheme="minorEastAsia" w:eastAsiaTheme="minorEastAsia" w:cstheme="minorEastAsia"/>
                <w:color w:val="auto"/>
                <w:szCs w:val="21"/>
              </w:rPr>
            </w:pPr>
          </w:p>
        </w:tc>
      </w:tr>
      <w:tr w14:paraId="4514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52" w:type="dxa"/>
            <w:vAlign w:val="center"/>
          </w:tcPr>
          <w:p w14:paraId="4AFC41C9">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w:t>
            </w:r>
          </w:p>
        </w:tc>
        <w:tc>
          <w:tcPr>
            <w:tcW w:w="1677" w:type="dxa"/>
            <w:vAlign w:val="center"/>
          </w:tcPr>
          <w:p w14:paraId="31BDD129">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浪涌保护器</w:t>
            </w:r>
          </w:p>
        </w:tc>
        <w:tc>
          <w:tcPr>
            <w:tcW w:w="3066" w:type="dxa"/>
            <w:vAlign w:val="center"/>
          </w:tcPr>
          <w:p w14:paraId="30145ED5">
            <w:pPr>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EPP20T</w:t>
            </w:r>
          </w:p>
        </w:tc>
        <w:tc>
          <w:tcPr>
            <w:tcW w:w="709" w:type="dxa"/>
            <w:vAlign w:val="center"/>
          </w:tcPr>
          <w:p w14:paraId="7C7951C0">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只</w:t>
            </w:r>
          </w:p>
        </w:tc>
        <w:tc>
          <w:tcPr>
            <w:tcW w:w="709" w:type="dxa"/>
            <w:vAlign w:val="center"/>
          </w:tcPr>
          <w:p w14:paraId="14CB3807">
            <w:pPr>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1219" w:type="dxa"/>
            <w:vAlign w:val="center"/>
          </w:tcPr>
          <w:p w14:paraId="5DB12D4F">
            <w:pPr>
              <w:snapToGrid w:val="0"/>
              <w:rPr>
                <w:rFonts w:hint="eastAsia" w:asciiTheme="minorEastAsia" w:hAnsiTheme="minorEastAsia" w:eastAsiaTheme="minorEastAsia" w:cstheme="minorEastAsia"/>
                <w:color w:val="auto"/>
                <w:szCs w:val="21"/>
              </w:rPr>
            </w:pPr>
          </w:p>
        </w:tc>
      </w:tr>
    </w:tbl>
    <w:p w14:paraId="41326A2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（10）发电机加热器控制</w:t>
      </w:r>
    </w:p>
    <w:p w14:paraId="20EC9E6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控制要求：手动和自动。平时根据发电机风道温湿度自动投入或退出，要求开机前自动退出，停机后自动投入。</w:t>
      </w:r>
    </w:p>
    <w:p w14:paraId="4E43258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基本配置：配有交流接触器1只、中间继电器1只、空气开关1只、转换开关1只、智能温湿度控制器1套等元器件。</w:t>
      </w:r>
    </w:p>
    <w:p w14:paraId="23EC9FE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加热器总功率预估：4kW</w:t>
      </w:r>
    </w:p>
    <w:p w14:paraId="2C37B89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2.2.3.2 公用LCU</w:t>
      </w:r>
    </w:p>
    <w:p w14:paraId="21911A0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PLC</w:t>
      </w:r>
    </w:p>
    <w:p w14:paraId="7A01ED7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开关量输入    192点</w:t>
      </w:r>
    </w:p>
    <w:p w14:paraId="47E9627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开关量输出    64点</w:t>
      </w:r>
    </w:p>
    <w:p w14:paraId="19BC096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模拟量输入</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16点</w:t>
      </w:r>
    </w:p>
    <w:p w14:paraId="7129056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1套与PLC品牌对应的12”真彩TFT液晶触摸屏</w:t>
      </w:r>
    </w:p>
    <w:p w14:paraId="138FF23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1套通讯管理装置，实现现地PLC与其它自动化设备(如保护设备等)的通讯。通讯管理装置具有8个可编程串口，1个10M以太网口，1个CAN网口，能够十分方便的实现现地PLC与其它自动化设备的通讯。（包含串口的通讯程序编写）</w:t>
      </w:r>
    </w:p>
    <w:p w14:paraId="6C9C5C1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1套交直流双供电源</w:t>
      </w:r>
    </w:p>
    <w:p w14:paraId="084AC61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a．型号：GES-1K220</w:t>
      </w:r>
    </w:p>
    <w:p w14:paraId="6DE0920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b．输入电压  AC160～270VAC 50Hz和DC220V</w:t>
      </w:r>
    </w:p>
    <w:p w14:paraId="45F5F69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c．输出电压 AC220±2%V  50Hz</w:t>
      </w:r>
    </w:p>
    <w:p w14:paraId="19FF4BA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d．输出功率  1kVA</w:t>
      </w:r>
    </w:p>
    <w:p w14:paraId="2516D80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e．效率  ≥90％</w:t>
      </w:r>
    </w:p>
    <w:p w14:paraId="5E04246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f．不间断电源切换时间  0mS</w:t>
      </w:r>
    </w:p>
    <w:p w14:paraId="776DF81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  1套超声波液位变送器（带防护箱和安装支架，用于电站尾水水位测量）：</w:t>
      </w:r>
    </w:p>
    <w:p w14:paraId="67A4C12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量程：          0～15m</w:t>
      </w:r>
    </w:p>
    <w:p w14:paraId="64C83E5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精度：          ±0.5%</w:t>
      </w:r>
    </w:p>
    <w:p w14:paraId="02C7A15F">
      <w:pPr>
        <w:spacing w:line="360" w:lineRule="auto"/>
        <w:ind w:firstLine="840" w:firstLineChars="4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输出信号        4～20mA</w:t>
      </w:r>
    </w:p>
    <w:p w14:paraId="4FC3084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带电缆长度：    10m</w:t>
      </w:r>
    </w:p>
    <w:p w14:paraId="08B514C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  SJ-12C型双微机自动准同期装置及手动准同期装置各1套</w:t>
      </w:r>
    </w:p>
    <w:p w14:paraId="59DB5AE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  1台可网管模块化交换机，品牌采用三旺通信、北京华飞、华为等同档次、高品质的产品，交换机至少满足以下要求：</w:t>
      </w:r>
    </w:p>
    <w:p w14:paraId="7D704CD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a、主要技术配置如下：</w:t>
      </w:r>
    </w:p>
    <w:p w14:paraId="36068B6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单模100M光口≥2个，100M电口≥6个</w:t>
      </w:r>
      <w:r>
        <w:rPr>
          <w:rFonts w:hint="eastAsia" w:asciiTheme="minorEastAsia" w:hAnsiTheme="minorEastAsia" w:eastAsiaTheme="minorEastAsia" w:cstheme="minorEastAsia"/>
          <w:color w:val="auto"/>
          <w:kern w:val="0"/>
          <w:szCs w:val="21"/>
        </w:rPr>
        <w:t>。</w:t>
      </w:r>
    </w:p>
    <w:p w14:paraId="7C0AE9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b、主要辅助配件如下：</w:t>
      </w:r>
    </w:p>
    <w:p w14:paraId="4331BD6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公用LCU屏采用单模光纤连接，相应的光端接线盒、耦合器、光电转换器、单模跳线等应配套提供。</w:t>
      </w:r>
    </w:p>
    <w:p w14:paraId="6860E0B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c、性能指标和特性要求同机组LCU网络交换机。</w:t>
      </w:r>
    </w:p>
    <w:p w14:paraId="00FB8D3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(8)  35kV侧智能电力监测仪PMAC725N-V1  1只 </w:t>
      </w:r>
    </w:p>
    <w:p w14:paraId="00C3EA1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  DSSD25多功能电度表1只</w:t>
      </w:r>
    </w:p>
    <w:p w14:paraId="26CA882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  监控屏用智能温湿度控制器（含温湿度传感器及电加热器）1套</w:t>
      </w:r>
    </w:p>
    <w:p w14:paraId="59B6ABE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2.2.4  网络及视频设备屏</w:t>
      </w:r>
    </w:p>
    <w:p w14:paraId="7012C03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屏体结构及颜色同LCU屏。</w:t>
      </w:r>
    </w:p>
    <w:p w14:paraId="1FA282C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网络及视频设备屏内布置计算机监控系统的网络交换机、卫星时钟、视频监视系统的硬盘录像机及UPS电源等。</w:t>
      </w:r>
    </w:p>
    <w:p w14:paraId="2595C6D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网络及视频设备屏底部还需布置两根分别用低压支柱绝缘子隔离的铜排，供闸站弱电设备接地用，铜排的规格为60×6mm</w:t>
      </w:r>
      <w:r>
        <w:rPr>
          <w:rFonts w:hint="eastAsia" w:asciiTheme="minorEastAsia" w:hAnsiTheme="minorEastAsia" w:eastAsiaTheme="minorEastAsia" w:cstheme="minorEastAsia"/>
          <w:color w:val="auto"/>
          <w:kern w:val="0"/>
          <w:szCs w:val="21"/>
          <w:vertAlign w:val="superscript"/>
        </w:rPr>
        <w:t>2</w:t>
      </w:r>
      <w:r>
        <w:rPr>
          <w:rFonts w:hint="eastAsia" w:asciiTheme="minorEastAsia" w:hAnsiTheme="minorEastAsia" w:eastAsiaTheme="minorEastAsia" w:cstheme="minorEastAsia"/>
          <w:color w:val="auto"/>
          <w:kern w:val="0"/>
          <w:szCs w:val="21"/>
        </w:rPr>
        <w:t>，每根铜排还需配套20副M13×35的铜接地螺栓。</w:t>
      </w:r>
    </w:p>
    <w:p w14:paraId="53B3EFB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2.2.4.1  可网管模块化交换机</w:t>
      </w:r>
    </w:p>
    <w:p w14:paraId="5EBC1DB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各现地控制单元LCU、工作站、数字硬盘录像机之间的通信，均采用100Mbps以太网络通信。通信主要完成的任务：现地LCU接受操作员工作站的控制命令；控制命令有效性检查，并向操作员工作站报告执行结果；根据操作员工作站要求，周期性传送测量的模拟量或数字量、图像信号的传送等任务。</w:t>
      </w:r>
    </w:p>
    <w:p w14:paraId="6EAD107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2台可网管模块化交换机，其中一台用于监控系统，另一台用于视频系统。品牌采用三旺通信、北京华飞、华为等同档次、高品质的产品，交换机至少满足以下要求：</w:t>
      </w:r>
    </w:p>
    <w:p w14:paraId="0BB5E2B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a、主要技术配置如下：</w:t>
      </w:r>
    </w:p>
    <w:p w14:paraId="55FCDEB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单模1000M光口≥2个，单模100M光口≥4个，100M电口≥18个</w:t>
      </w:r>
      <w:r>
        <w:rPr>
          <w:rFonts w:hint="eastAsia" w:asciiTheme="minorEastAsia" w:hAnsiTheme="minorEastAsia" w:eastAsiaTheme="minorEastAsia" w:cstheme="minorEastAsia"/>
          <w:color w:val="auto"/>
          <w:kern w:val="0"/>
          <w:szCs w:val="21"/>
        </w:rPr>
        <w:t>。</w:t>
      </w:r>
    </w:p>
    <w:p w14:paraId="38EBCB5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b、主要辅助配件如下：</w:t>
      </w:r>
    </w:p>
    <w:p w14:paraId="397B051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罗村三级电站三面LCU屏采用单模光纤连接，其余监控设备全部采用网线连接，相应的光端接线盒、耦合器、光电转换器、单模跳线等应配套提供。</w:t>
      </w:r>
    </w:p>
    <w:p w14:paraId="6123563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c、性能指标和特性要求同机组LCU网络交换机。</w:t>
      </w:r>
    </w:p>
    <w:p w14:paraId="3114A810">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2.2.4.2  网络型卫星同步时钟（1套，含GPS/北斗双模天线30m）</w:t>
      </w:r>
    </w:p>
    <w:p w14:paraId="3251D78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能接收GPS及北斗星系统时间信号。用于实现计算机监控系统、继电保护系统的时间同步。时钟同步装置具备多种对时方式和多种接口，包括：硬对时（1PPS/1PPM/1PPH，差分和空接点）、软对时（串口报文）、编码对时（IRIG-B及DCF77）和网络NTP对时等。时钟同步系统采用双主时钟冗余配置，正常情况下，两台主时钟的时间信号接收单元，独立接收时间同步文卫星发送的时间基准信号；当某一路主时钟的时间信号接收单元发生故障时，该主时钟能自动切换到另一台主时钟的时间接收单元接收到的时间基准信号，实现时间基准信号互为备用。</w:t>
      </w:r>
    </w:p>
    <w:p w14:paraId="5824ED4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时钟同步装置的主要性能参数如下：</w:t>
      </w:r>
    </w:p>
    <w:p w14:paraId="36A01427">
      <w:pPr>
        <w:pStyle w:val="983"/>
        <w:numPr>
          <w:ilvl w:val="0"/>
          <w:numId w:val="9"/>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接收频率：1575.42MHz，可同时跟踪8~12颗GPS卫星</w:t>
      </w:r>
    </w:p>
    <w:p w14:paraId="20FE9861">
      <w:pPr>
        <w:pStyle w:val="983"/>
        <w:numPr>
          <w:ilvl w:val="0"/>
          <w:numId w:val="9"/>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捕获时间：20s~120s</w:t>
      </w:r>
    </w:p>
    <w:p w14:paraId="3D005967">
      <w:pPr>
        <w:pStyle w:val="983"/>
        <w:numPr>
          <w:ilvl w:val="0"/>
          <w:numId w:val="9"/>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无线接收灵敏度：-166dpm</w:t>
      </w:r>
    </w:p>
    <w:p w14:paraId="7498A359">
      <w:pPr>
        <w:pStyle w:val="983"/>
        <w:numPr>
          <w:ilvl w:val="0"/>
          <w:numId w:val="9"/>
        </w:numPr>
        <w:spacing w:line="360" w:lineRule="auto"/>
        <w:ind w:firstLineChars="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时间精度：0.3μs</w:t>
      </w:r>
    </w:p>
    <w:p w14:paraId="763C249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2.2.4.3  UPS电源2套，互为热备用，单套性能如下：</w:t>
      </w:r>
    </w:p>
    <w:p w14:paraId="5FEC43E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a．额定输出容量  3kVA</w:t>
      </w:r>
    </w:p>
    <w:p w14:paraId="2408B22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b．额定输入电压  AC220V  50Hz和DC220V</w:t>
      </w:r>
    </w:p>
    <w:p w14:paraId="1E99455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c．额定输出电压  AC220±2%V  50Hz</w:t>
      </w:r>
    </w:p>
    <w:p w14:paraId="4DBE7D5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d．额定效率      ≥90％</w:t>
      </w:r>
    </w:p>
    <w:p w14:paraId="6B6E581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e．不间断电源切换时间  0mS</w:t>
      </w:r>
    </w:p>
    <w:p w14:paraId="6D6EE49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f．交流正常时应采用交流经稳压和滤波后供电，交流消失时采用直流逆变供电。</w:t>
      </w:r>
    </w:p>
    <w:p w14:paraId="384F787E">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2.2.4.4 硬盘录像机</w:t>
      </w:r>
    </w:p>
    <w:p w14:paraId="41E2B28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详见本招标文件视频监视系统要求，由图像承包人提供。</w:t>
      </w:r>
    </w:p>
    <w:p w14:paraId="359E7E3C">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2.2.4.5  网络电缆</w:t>
      </w:r>
    </w:p>
    <w:p w14:paraId="533A3EC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（1）网络双绞线电缆</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600米</w:t>
      </w:r>
    </w:p>
    <w:p w14:paraId="5F214F4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（2）单模铠装4芯光纤 600米</w:t>
      </w:r>
    </w:p>
    <w:p w14:paraId="244B36E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2.2.4.6  监控屏用智能温湿度控制器（含温湿度传感器及电加热器）1套</w:t>
      </w:r>
    </w:p>
    <w:p w14:paraId="17DBAB91">
      <w:pPr>
        <w:ind w:firstLine="48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 xml:space="preserve">2.2.5  </w:t>
      </w:r>
      <w:r>
        <w:rPr>
          <w:rFonts w:hint="eastAsia" w:asciiTheme="minorEastAsia" w:hAnsiTheme="minorEastAsia" w:eastAsiaTheme="minorEastAsia" w:cstheme="minorEastAsia"/>
          <w:color w:val="auto"/>
          <w:szCs w:val="21"/>
        </w:rPr>
        <w:t>纵向加密认证装置</w:t>
      </w:r>
    </w:p>
    <w:p w14:paraId="5A3955AD">
      <w:pPr>
        <w:ind w:firstLine="48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在满足基本要求的前提下从同档次、高品质的南瑞信通、北京科东、天融信或同档次以上的产品中选择，设备布置于网络及视频设备屏内。单套技术性能要求如下：</w:t>
      </w:r>
    </w:p>
    <w:p w14:paraId="1B367CD4">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接口：5个网络接口，采用RJ45型接口，10/100M自适应，功能是2个内网网口，2个外网网口，1个配置口，心跳口与其他网络接口复用</w:t>
      </w:r>
    </w:p>
    <w:p w14:paraId="279BFF75">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并发加密隧道数：≥1024</w:t>
      </w:r>
    </w:p>
    <w:p w14:paraId="0B4E2AFE">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明文数据包吞吐量：≥196Mbps（50条安全策略，1024字节报文长度）</w:t>
      </w:r>
    </w:p>
    <w:p w14:paraId="38B05D34">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密文数据包吞吐量：≥55Mbps（50条安全策略，1024字节报文长度）</w:t>
      </w:r>
    </w:p>
    <w:p w14:paraId="5E722134">
      <w:pPr>
        <w:spacing w:line="360" w:lineRule="auto"/>
        <w:ind w:firstLine="422"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 xml:space="preserve">2.2.6  </w:t>
      </w:r>
      <w:r>
        <w:rPr>
          <w:rFonts w:hint="eastAsia" w:asciiTheme="minorEastAsia" w:hAnsiTheme="minorEastAsia" w:eastAsiaTheme="minorEastAsia" w:cstheme="minorEastAsia"/>
          <w:color w:val="auto"/>
          <w:szCs w:val="21"/>
        </w:rPr>
        <w:t>硬件防火墙</w:t>
      </w:r>
    </w:p>
    <w:p w14:paraId="5850D498">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在满足基本要求的前提下从同档次、高品质的南瑞信通、北京科东、天融信或同档次以上的产品中选择。单套技术性能要求如下：</w:t>
      </w:r>
    </w:p>
    <w:p w14:paraId="2FF8A283">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标准</w:t>
      </w:r>
      <w:r>
        <w:rPr>
          <w:rFonts w:asciiTheme="minorEastAsia" w:hAnsiTheme="minorEastAsia" w:eastAsiaTheme="minorEastAsia" w:cstheme="minorEastAsia"/>
          <w:color w:val="auto"/>
          <w:szCs w:val="21"/>
        </w:rPr>
        <w:t>10/100M(RJ45)</w:t>
      </w:r>
      <w:r>
        <w:rPr>
          <w:rFonts w:hint="eastAsia" w:asciiTheme="minorEastAsia" w:hAnsiTheme="minorEastAsia" w:eastAsiaTheme="minorEastAsia" w:cstheme="minorEastAsia"/>
          <w:color w:val="auto"/>
          <w:szCs w:val="21"/>
        </w:rPr>
        <w:t>接口</w:t>
      </w:r>
      <w:r>
        <w:rPr>
          <w:rFonts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szCs w:val="21"/>
        </w:rPr>
        <w:t>个（可扩展为</w:t>
      </w:r>
      <w:r>
        <w:rPr>
          <w:rFonts w:asciiTheme="minorEastAsia" w:hAnsiTheme="minorEastAsia" w:eastAsiaTheme="minorEastAsia" w:cstheme="minorEastAsia"/>
          <w:color w:val="auto"/>
          <w:szCs w:val="21"/>
        </w:rPr>
        <w:t>6</w:t>
      </w:r>
      <w:r>
        <w:rPr>
          <w:rFonts w:hint="eastAsia" w:asciiTheme="minorEastAsia" w:hAnsiTheme="minorEastAsia" w:eastAsiaTheme="minorEastAsia" w:cstheme="minorEastAsia"/>
          <w:color w:val="auto"/>
          <w:szCs w:val="21"/>
        </w:rPr>
        <w:t>个）</w:t>
      </w:r>
    </w:p>
    <w:p w14:paraId="707F4684">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独立的管理接口</w:t>
      </w:r>
    </w:p>
    <w:p w14:paraId="5DC1285E">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数据包吞吐量：</w:t>
      </w:r>
      <w:r>
        <w:rPr>
          <w:rFonts w:asciiTheme="minorEastAsia" w:hAnsiTheme="minorEastAsia" w:eastAsiaTheme="minorEastAsia" w:cstheme="minorEastAsia"/>
          <w:color w:val="auto"/>
          <w:szCs w:val="21"/>
        </w:rPr>
        <w:t>100MBps</w:t>
      </w:r>
    </w:p>
    <w:p w14:paraId="56368613">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并发连接数：≥</w:t>
      </w:r>
      <w:r>
        <w:rPr>
          <w:rFonts w:asciiTheme="minorEastAsia" w:hAnsiTheme="minorEastAsia" w:eastAsiaTheme="minorEastAsia" w:cstheme="minorEastAsia"/>
          <w:color w:val="auto"/>
          <w:szCs w:val="21"/>
        </w:rPr>
        <w:t>1,000,000</w:t>
      </w:r>
    </w:p>
    <w:p w14:paraId="04C25E46">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VPN</w:t>
      </w:r>
      <w:r>
        <w:rPr>
          <w:rFonts w:hint="eastAsia" w:asciiTheme="minorEastAsia" w:hAnsiTheme="minorEastAsia" w:eastAsiaTheme="minorEastAsia" w:cstheme="minorEastAsia"/>
          <w:color w:val="auto"/>
          <w:szCs w:val="21"/>
        </w:rPr>
        <w:t>隧道数：</w:t>
      </w:r>
      <w:r>
        <w:rPr>
          <w:rFonts w:asciiTheme="minorEastAsia" w:hAnsiTheme="minorEastAsia" w:eastAsiaTheme="minorEastAsia" w:cstheme="minorEastAsia"/>
          <w:color w:val="auto"/>
          <w:szCs w:val="21"/>
        </w:rPr>
        <w:t>2000</w:t>
      </w:r>
    </w:p>
    <w:p w14:paraId="2FA74EF7">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t>平均延时：≤</w:t>
      </w:r>
      <w:r>
        <w:rPr>
          <w:rFonts w:asciiTheme="minorEastAsia" w:hAnsiTheme="minorEastAsia" w:eastAsiaTheme="minorEastAsia" w:cstheme="minorEastAsia"/>
          <w:color w:val="auto"/>
          <w:szCs w:val="21"/>
        </w:rPr>
        <w:t>40 μs</w:t>
      </w:r>
    </w:p>
    <w:p w14:paraId="408D21A9">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t>丢包率：在吞吐量下的丢包率全部为</w:t>
      </w:r>
      <w:r>
        <w:rPr>
          <w:rFonts w:asciiTheme="minorEastAsia" w:hAnsiTheme="minorEastAsia" w:eastAsiaTheme="minorEastAsia" w:cstheme="minorEastAsia"/>
          <w:color w:val="auto"/>
          <w:szCs w:val="21"/>
        </w:rPr>
        <w:t>0</w:t>
      </w:r>
    </w:p>
    <w:p w14:paraId="052A63ED">
      <w:pPr>
        <w:pStyle w:val="983"/>
        <w:numPr>
          <w:ilvl w:val="0"/>
          <w:numId w:val="10"/>
        </w:numPr>
        <w:spacing w:line="360" w:lineRule="auto"/>
        <w:ind w:firstLineChars="0"/>
        <w:rPr>
          <w:rFonts w:hint="eastAsia" w:asciiTheme="minorEastAsia" w:hAnsiTheme="minorEastAsia" w:eastAsiaTheme="minorEastAsia" w:cstheme="minorEastAsia"/>
          <w:color w:val="auto"/>
          <w:szCs w:val="21"/>
        </w:rPr>
      </w:pPr>
      <w:r>
        <w:rPr>
          <w:rFonts w:asciiTheme="minorEastAsia" w:hAnsiTheme="minorEastAsia" w:eastAsiaTheme="minorEastAsia" w:cstheme="minorEastAsia"/>
          <w:color w:val="auto"/>
          <w:szCs w:val="21"/>
        </w:rPr>
        <w:t>MTBF</w:t>
      </w:r>
      <w:r>
        <w:rPr>
          <w:rFonts w:hint="eastAsia" w:asciiTheme="minorEastAsia" w:hAnsiTheme="minorEastAsia" w:eastAsiaTheme="minorEastAsia" w:cstheme="minorEastAsia"/>
          <w:color w:val="auto"/>
          <w:szCs w:val="21"/>
        </w:rPr>
        <w:t>（平均故障间隔时间）：≥</w:t>
      </w:r>
      <w:r>
        <w:rPr>
          <w:rFonts w:asciiTheme="minorEastAsia" w:hAnsiTheme="minorEastAsia" w:eastAsiaTheme="minorEastAsia" w:cstheme="minorEastAsia"/>
          <w:color w:val="auto"/>
          <w:szCs w:val="21"/>
        </w:rPr>
        <w:t>40,000</w:t>
      </w:r>
      <w:r>
        <w:rPr>
          <w:rFonts w:hint="eastAsia" w:asciiTheme="minorEastAsia" w:hAnsiTheme="minorEastAsia" w:eastAsiaTheme="minorEastAsia" w:cstheme="minorEastAsia"/>
          <w:color w:val="auto"/>
          <w:szCs w:val="21"/>
        </w:rPr>
        <w:t>小时</w:t>
      </w:r>
    </w:p>
    <w:p w14:paraId="552DD47E">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2.2.7  微机控制台</w:t>
      </w:r>
    </w:p>
    <w:p w14:paraId="093531F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设置1张三人席操作控制台，可放置1台主机兼操作员工作站显示器、1台通信工作站显示器、1台图像工作站显示器、打印机以及电话机等设备，同时控制台还可放置必需的资料等东西。控制台推荐采用优质木料制作，尺寸为3000×800mm（长×宽），具体细节在设计协调会时由业主、设计院及承包单位共同商定。</w:t>
      </w:r>
    </w:p>
    <w:p w14:paraId="4330EEDE">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2.2.8  网络激光打印机（A3/A4幅面）</w:t>
      </w:r>
    </w:p>
    <w:p w14:paraId="0C27768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打印机应采用符合工程学的可靠设计，能够确保以最理想的稳固性和灵活性在各种不同类型和尺寸的介质上实现无忧打印。强大的处理能力可以同时处理多项打印作业，可定制的管理解决方案，实现效率最大化，工作电源为190～260VAC。</w:t>
      </w:r>
    </w:p>
    <w:p w14:paraId="6820536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主要性能指标不低于：内存≥8MB，打印速度≥14ppm；字符为ASCll 码及国标一、二级汉字库；最大分辨率4800×1200dpi；带以太网接口，用于事件记录及事故追忆。</w:t>
      </w:r>
    </w:p>
    <w:p w14:paraId="1EF8502C">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2.2.9  辅机控制箱</w:t>
      </w:r>
    </w:p>
    <w:p w14:paraId="3BEFE4C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辅机控制箱在功能上分别实现对相应设备的简易常规手动控制，并输入、输出计算机监控接口；箱内设备由空气开关、接触器、热继电器、按钮、信号灯、自动化元件等设备组成。</w:t>
      </w:r>
    </w:p>
    <w:p w14:paraId="2EC45AF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在手动工况下，它通过电缆直接作用于所控设备的执行元件，完成运行操作。现地操作主要在计算机监控系统退出或设备检修、调试时使用。</w:t>
      </w:r>
    </w:p>
    <w:p w14:paraId="2D3CA84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辅机控制箱挂墙布置，前检修结构，采用亚光不锈钢材料制作，外门防护，可旋出内门板上安装操作按钮和仪表，底板上安装板前面接线的元器件。</w:t>
      </w:r>
    </w:p>
    <w:p w14:paraId="5903A6D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辅机控制箱内元件应采用规定元件，端子排应采用ADO绝缘移位端子或魏德米勒或菲尼克斯系列端子，内部走线采用PVC集线槽，门面板元件功能文字采用丝网工艺印刷。</w:t>
      </w:r>
    </w:p>
    <w:p w14:paraId="7E7904F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2.2.9.1 渗漏排水泵控制箱</w:t>
      </w:r>
    </w:p>
    <w:p w14:paraId="2E1CD09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控制箱的控制对象为：渗漏排水泵共2台，单台电机功率为7.5kW。渗漏排水泵控制纳入公用LCU控制，具有远方和现地控制功能。箱内主要电气元器件如下：</w:t>
      </w:r>
    </w:p>
    <w:tbl>
      <w:tblPr>
        <w:tblStyle w:val="65"/>
        <w:tblW w:w="9065" w:type="dxa"/>
        <w:jc w:val="center"/>
        <w:tblLayout w:type="fixed"/>
        <w:tblCellMar>
          <w:top w:w="0" w:type="dxa"/>
          <w:left w:w="108" w:type="dxa"/>
          <w:bottom w:w="0" w:type="dxa"/>
          <w:right w:w="108" w:type="dxa"/>
        </w:tblCellMar>
      </w:tblPr>
      <w:tblGrid>
        <w:gridCol w:w="861"/>
        <w:gridCol w:w="1886"/>
        <w:gridCol w:w="3165"/>
        <w:gridCol w:w="753"/>
        <w:gridCol w:w="753"/>
        <w:gridCol w:w="1647"/>
      </w:tblGrid>
      <w:tr w14:paraId="5455A4AB">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1674ECAF">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序号</w:t>
            </w:r>
          </w:p>
        </w:tc>
        <w:tc>
          <w:tcPr>
            <w:tcW w:w="1886" w:type="dxa"/>
            <w:tcBorders>
              <w:top w:val="single" w:color="auto" w:sz="4" w:space="0"/>
              <w:left w:val="single" w:color="auto" w:sz="4" w:space="0"/>
              <w:bottom w:val="single" w:color="auto" w:sz="4" w:space="0"/>
              <w:right w:val="single" w:color="auto" w:sz="4" w:space="0"/>
            </w:tcBorders>
            <w:vAlign w:val="center"/>
          </w:tcPr>
          <w:p w14:paraId="5BC06D49">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名   称</w:t>
            </w:r>
          </w:p>
        </w:tc>
        <w:tc>
          <w:tcPr>
            <w:tcW w:w="3165" w:type="dxa"/>
            <w:tcBorders>
              <w:top w:val="single" w:color="auto" w:sz="4" w:space="0"/>
              <w:left w:val="single" w:color="auto" w:sz="4" w:space="0"/>
              <w:bottom w:val="single" w:color="auto" w:sz="4" w:space="0"/>
              <w:right w:val="single" w:color="auto" w:sz="4" w:space="0"/>
            </w:tcBorders>
            <w:vAlign w:val="center"/>
          </w:tcPr>
          <w:p w14:paraId="5F91DDB0">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型号及规格</w:t>
            </w:r>
          </w:p>
        </w:tc>
        <w:tc>
          <w:tcPr>
            <w:tcW w:w="753" w:type="dxa"/>
            <w:tcBorders>
              <w:top w:val="single" w:color="auto" w:sz="4" w:space="0"/>
              <w:left w:val="single" w:color="auto" w:sz="4" w:space="0"/>
              <w:bottom w:val="single" w:color="auto" w:sz="4" w:space="0"/>
              <w:right w:val="single" w:color="auto" w:sz="4" w:space="0"/>
            </w:tcBorders>
            <w:vAlign w:val="center"/>
          </w:tcPr>
          <w:p w14:paraId="72984A09">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单位</w:t>
            </w:r>
          </w:p>
        </w:tc>
        <w:tc>
          <w:tcPr>
            <w:tcW w:w="753" w:type="dxa"/>
            <w:tcBorders>
              <w:top w:val="single" w:color="auto" w:sz="4" w:space="0"/>
              <w:left w:val="single" w:color="auto" w:sz="4" w:space="0"/>
              <w:bottom w:val="single" w:color="auto" w:sz="4" w:space="0"/>
              <w:right w:val="single" w:color="auto" w:sz="4" w:space="0"/>
            </w:tcBorders>
            <w:vAlign w:val="center"/>
          </w:tcPr>
          <w:p w14:paraId="25D9C85B">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数量</w:t>
            </w:r>
          </w:p>
        </w:tc>
        <w:tc>
          <w:tcPr>
            <w:tcW w:w="1647" w:type="dxa"/>
            <w:tcBorders>
              <w:top w:val="single" w:color="auto" w:sz="4" w:space="0"/>
              <w:left w:val="single" w:color="auto" w:sz="4" w:space="0"/>
              <w:bottom w:val="single" w:color="auto" w:sz="4" w:space="0"/>
              <w:right w:val="single" w:color="auto" w:sz="4" w:space="0"/>
            </w:tcBorders>
            <w:vAlign w:val="center"/>
          </w:tcPr>
          <w:p w14:paraId="64BAD2EE">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备注</w:t>
            </w:r>
          </w:p>
        </w:tc>
      </w:tr>
      <w:tr w14:paraId="1A6D6CC5">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5CB81FD">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snapToGrid w:val="0"/>
                <w:color w:val="auto"/>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14:paraId="22841FE4">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空气开关</w:t>
            </w:r>
          </w:p>
        </w:tc>
        <w:tc>
          <w:tcPr>
            <w:tcW w:w="3165" w:type="dxa"/>
            <w:tcBorders>
              <w:top w:val="single" w:color="auto" w:sz="4" w:space="0"/>
              <w:left w:val="single" w:color="auto" w:sz="4" w:space="0"/>
              <w:bottom w:val="single" w:color="auto" w:sz="4" w:space="0"/>
              <w:right w:val="single" w:color="auto" w:sz="4" w:space="0"/>
            </w:tcBorders>
            <w:vAlign w:val="center"/>
          </w:tcPr>
          <w:p w14:paraId="71A3DFCC">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KFB1-63D20A/3P,20A</w:t>
            </w:r>
          </w:p>
        </w:tc>
        <w:tc>
          <w:tcPr>
            <w:tcW w:w="753" w:type="dxa"/>
            <w:tcBorders>
              <w:top w:val="single" w:color="auto" w:sz="4" w:space="0"/>
              <w:left w:val="single" w:color="auto" w:sz="4" w:space="0"/>
              <w:bottom w:val="single" w:color="auto" w:sz="4" w:space="0"/>
              <w:right w:val="single" w:color="auto" w:sz="4" w:space="0"/>
            </w:tcBorders>
            <w:vAlign w:val="center"/>
          </w:tcPr>
          <w:p w14:paraId="0728231E">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68526A1E">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647" w:type="dxa"/>
            <w:tcBorders>
              <w:top w:val="single" w:color="auto" w:sz="4" w:space="0"/>
              <w:left w:val="single" w:color="auto" w:sz="4" w:space="0"/>
              <w:bottom w:val="single" w:color="auto" w:sz="4" w:space="0"/>
              <w:right w:val="single" w:color="auto" w:sz="4" w:space="0"/>
            </w:tcBorders>
            <w:vAlign w:val="center"/>
          </w:tcPr>
          <w:p w14:paraId="78D00F63">
            <w:pPr>
              <w:snapToGrid w:val="0"/>
              <w:spacing w:line="360" w:lineRule="auto"/>
              <w:rPr>
                <w:rFonts w:hint="eastAsia" w:asciiTheme="minorEastAsia" w:hAnsiTheme="minorEastAsia" w:eastAsiaTheme="minorEastAsia" w:cstheme="minorEastAsia"/>
                <w:snapToGrid w:val="0"/>
                <w:color w:val="auto"/>
                <w:szCs w:val="21"/>
              </w:rPr>
            </w:pPr>
          </w:p>
        </w:tc>
      </w:tr>
      <w:tr w14:paraId="708267D8">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3D7E8E0">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14:paraId="2B54F7C4">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空气开关</w:t>
            </w:r>
          </w:p>
        </w:tc>
        <w:tc>
          <w:tcPr>
            <w:tcW w:w="3165" w:type="dxa"/>
            <w:tcBorders>
              <w:top w:val="single" w:color="auto" w:sz="4" w:space="0"/>
              <w:left w:val="single" w:color="auto" w:sz="4" w:space="0"/>
              <w:bottom w:val="single" w:color="auto" w:sz="4" w:space="0"/>
              <w:right w:val="single" w:color="auto" w:sz="4" w:space="0"/>
            </w:tcBorders>
            <w:vAlign w:val="center"/>
          </w:tcPr>
          <w:p w14:paraId="5DF6254E">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KFB1-63C6A/2P,6A</w:t>
            </w:r>
          </w:p>
        </w:tc>
        <w:tc>
          <w:tcPr>
            <w:tcW w:w="753" w:type="dxa"/>
            <w:tcBorders>
              <w:top w:val="single" w:color="auto" w:sz="4" w:space="0"/>
              <w:left w:val="single" w:color="auto" w:sz="4" w:space="0"/>
              <w:bottom w:val="single" w:color="auto" w:sz="4" w:space="0"/>
              <w:right w:val="single" w:color="auto" w:sz="4" w:space="0"/>
            </w:tcBorders>
            <w:vAlign w:val="center"/>
          </w:tcPr>
          <w:p w14:paraId="42B51BA1">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5EA30AEC">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1647" w:type="dxa"/>
            <w:tcBorders>
              <w:top w:val="single" w:color="auto" w:sz="4" w:space="0"/>
              <w:left w:val="single" w:color="auto" w:sz="4" w:space="0"/>
              <w:bottom w:val="single" w:color="auto" w:sz="4" w:space="0"/>
              <w:right w:val="single" w:color="auto" w:sz="4" w:space="0"/>
            </w:tcBorders>
            <w:vAlign w:val="center"/>
          </w:tcPr>
          <w:p w14:paraId="2AC1A1BC">
            <w:pPr>
              <w:snapToGrid w:val="0"/>
              <w:spacing w:line="360" w:lineRule="auto"/>
              <w:rPr>
                <w:rFonts w:hint="eastAsia" w:asciiTheme="minorEastAsia" w:hAnsiTheme="minorEastAsia" w:eastAsiaTheme="minorEastAsia" w:cstheme="minorEastAsia"/>
                <w:snapToGrid w:val="0"/>
                <w:color w:val="auto"/>
                <w:szCs w:val="21"/>
              </w:rPr>
            </w:pPr>
          </w:p>
        </w:tc>
      </w:tr>
      <w:tr w14:paraId="1F4B2AEC">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3363EC5">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14:paraId="37CF39EE">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接触器</w:t>
            </w:r>
          </w:p>
        </w:tc>
        <w:tc>
          <w:tcPr>
            <w:tcW w:w="3165" w:type="dxa"/>
            <w:tcBorders>
              <w:top w:val="single" w:color="auto" w:sz="4" w:space="0"/>
              <w:left w:val="single" w:color="auto" w:sz="4" w:space="0"/>
              <w:bottom w:val="single" w:color="auto" w:sz="4" w:space="0"/>
              <w:right w:val="single" w:color="auto" w:sz="4" w:space="0"/>
            </w:tcBorders>
            <w:vAlign w:val="center"/>
          </w:tcPr>
          <w:p w14:paraId="6FC232F5">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AX12-30-10,AC380V</w:t>
            </w:r>
          </w:p>
        </w:tc>
        <w:tc>
          <w:tcPr>
            <w:tcW w:w="753" w:type="dxa"/>
            <w:tcBorders>
              <w:top w:val="single" w:color="auto" w:sz="4" w:space="0"/>
              <w:left w:val="single" w:color="auto" w:sz="4" w:space="0"/>
              <w:bottom w:val="single" w:color="auto" w:sz="4" w:space="0"/>
              <w:right w:val="single" w:color="auto" w:sz="4" w:space="0"/>
            </w:tcBorders>
            <w:vAlign w:val="center"/>
          </w:tcPr>
          <w:p w14:paraId="2F51BC6C">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62D64422">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647" w:type="dxa"/>
            <w:tcBorders>
              <w:top w:val="single" w:color="auto" w:sz="4" w:space="0"/>
              <w:left w:val="single" w:color="auto" w:sz="4" w:space="0"/>
              <w:bottom w:val="single" w:color="auto" w:sz="4" w:space="0"/>
              <w:right w:val="single" w:color="auto" w:sz="4" w:space="0"/>
            </w:tcBorders>
            <w:vAlign w:val="center"/>
          </w:tcPr>
          <w:p w14:paraId="5DE2A5CE">
            <w:pPr>
              <w:snapToGrid w:val="0"/>
              <w:spacing w:line="360" w:lineRule="auto"/>
              <w:rPr>
                <w:rFonts w:hint="eastAsia" w:asciiTheme="minorEastAsia" w:hAnsiTheme="minorEastAsia" w:eastAsiaTheme="minorEastAsia" w:cstheme="minorEastAsia"/>
                <w:snapToGrid w:val="0"/>
                <w:color w:val="auto"/>
                <w:szCs w:val="21"/>
              </w:rPr>
            </w:pPr>
          </w:p>
        </w:tc>
      </w:tr>
      <w:tr w14:paraId="2B47B3A4">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B1DD9E3">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14:paraId="2EBE7CC2">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热继电器</w:t>
            </w:r>
          </w:p>
        </w:tc>
        <w:tc>
          <w:tcPr>
            <w:tcW w:w="3165" w:type="dxa"/>
            <w:tcBorders>
              <w:top w:val="single" w:color="auto" w:sz="4" w:space="0"/>
              <w:left w:val="single" w:color="auto" w:sz="4" w:space="0"/>
              <w:bottom w:val="single" w:color="auto" w:sz="4" w:space="0"/>
              <w:right w:val="single" w:color="auto" w:sz="4" w:space="0"/>
            </w:tcBorders>
            <w:vAlign w:val="center"/>
          </w:tcPr>
          <w:p w14:paraId="7BCD9B6F">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TA25 DU, Ie=13-19A</w:t>
            </w:r>
          </w:p>
        </w:tc>
        <w:tc>
          <w:tcPr>
            <w:tcW w:w="753" w:type="dxa"/>
            <w:tcBorders>
              <w:top w:val="single" w:color="auto" w:sz="4" w:space="0"/>
              <w:left w:val="single" w:color="auto" w:sz="4" w:space="0"/>
              <w:bottom w:val="single" w:color="auto" w:sz="4" w:space="0"/>
              <w:right w:val="single" w:color="auto" w:sz="4" w:space="0"/>
            </w:tcBorders>
            <w:vAlign w:val="center"/>
          </w:tcPr>
          <w:p w14:paraId="46F86A3A">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3E6C029B">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647" w:type="dxa"/>
            <w:tcBorders>
              <w:top w:val="single" w:color="auto" w:sz="4" w:space="0"/>
              <w:left w:val="single" w:color="auto" w:sz="4" w:space="0"/>
              <w:bottom w:val="single" w:color="auto" w:sz="4" w:space="0"/>
              <w:right w:val="single" w:color="auto" w:sz="4" w:space="0"/>
            </w:tcBorders>
            <w:vAlign w:val="center"/>
          </w:tcPr>
          <w:p w14:paraId="657F73B8">
            <w:pPr>
              <w:snapToGrid w:val="0"/>
              <w:spacing w:line="360" w:lineRule="auto"/>
              <w:rPr>
                <w:rFonts w:hint="eastAsia" w:asciiTheme="minorEastAsia" w:hAnsiTheme="minorEastAsia" w:eastAsiaTheme="minorEastAsia" w:cstheme="minorEastAsia"/>
                <w:snapToGrid w:val="0"/>
                <w:color w:val="auto"/>
                <w:szCs w:val="21"/>
              </w:rPr>
            </w:pPr>
          </w:p>
        </w:tc>
      </w:tr>
      <w:tr w14:paraId="58E2ACB3">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8E6C990">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1886" w:type="dxa"/>
            <w:tcBorders>
              <w:top w:val="single" w:color="auto" w:sz="4" w:space="0"/>
              <w:left w:val="single" w:color="auto" w:sz="4" w:space="0"/>
              <w:bottom w:val="single" w:color="auto" w:sz="4" w:space="0"/>
              <w:right w:val="single" w:color="auto" w:sz="4" w:space="0"/>
            </w:tcBorders>
            <w:vAlign w:val="center"/>
          </w:tcPr>
          <w:p w14:paraId="7866C631">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中间继电器</w:t>
            </w:r>
          </w:p>
        </w:tc>
        <w:tc>
          <w:tcPr>
            <w:tcW w:w="3165" w:type="dxa"/>
            <w:tcBorders>
              <w:top w:val="single" w:color="auto" w:sz="4" w:space="0"/>
              <w:left w:val="single" w:color="auto" w:sz="4" w:space="0"/>
              <w:bottom w:val="single" w:color="auto" w:sz="4" w:space="0"/>
              <w:right w:val="single" w:color="auto" w:sz="4" w:space="0"/>
            </w:tcBorders>
            <w:vAlign w:val="center"/>
          </w:tcPr>
          <w:p w14:paraId="342D2424">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DZJ-202,AC220V</w:t>
            </w:r>
          </w:p>
        </w:tc>
        <w:tc>
          <w:tcPr>
            <w:tcW w:w="753" w:type="dxa"/>
            <w:tcBorders>
              <w:top w:val="single" w:color="auto" w:sz="4" w:space="0"/>
              <w:left w:val="single" w:color="auto" w:sz="4" w:space="0"/>
              <w:bottom w:val="single" w:color="auto" w:sz="4" w:space="0"/>
              <w:right w:val="single" w:color="auto" w:sz="4" w:space="0"/>
            </w:tcBorders>
            <w:vAlign w:val="center"/>
          </w:tcPr>
          <w:p w14:paraId="321C97DD">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1A4CCB78">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1647" w:type="dxa"/>
            <w:tcBorders>
              <w:top w:val="single" w:color="auto" w:sz="4" w:space="0"/>
              <w:left w:val="single" w:color="auto" w:sz="4" w:space="0"/>
              <w:bottom w:val="single" w:color="auto" w:sz="4" w:space="0"/>
              <w:right w:val="single" w:color="auto" w:sz="4" w:space="0"/>
            </w:tcBorders>
            <w:vAlign w:val="center"/>
          </w:tcPr>
          <w:p w14:paraId="183B919A">
            <w:pPr>
              <w:snapToGrid w:val="0"/>
              <w:spacing w:line="360" w:lineRule="auto"/>
              <w:rPr>
                <w:rFonts w:hint="eastAsia" w:asciiTheme="minorEastAsia" w:hAnsiTheme="minorEastAsia" w:eastAsiaTheme="minorEastAsia" w:cstheme="minorEastAsia"/>
                <w:snapToGrid w:val="0"/>
                <w:color w:val="auto"/>
                <w:szCs w:val="21"/>
              </w:rPr>
            </w:pPr>
          </w:p>
        </w:tc>
      </w:tr>
      <w:tr w14:paraId="77588977">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D206F34">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14:paraId="67F20DBA">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切换开关</w:t>
            </w:r>
          </w:p>
        </w:tc>
        <w:tc>
          <w:tcPr>
            <w:tcW w:w="3165" w:type="dxa"/>
            <w:tcBorders>
              <w:top w:val="single" w:color="auto" w:sz="4" w:space="0"/>
              <w:left w:val="single" w:color="auto" w:sz="4" w:space="0"/>
              <w:bottom w:val="single" w:color="auto" w:sz="4" w:space="0"/>
              <w:right w:val="single" w:color="auto" w:sz="4" w:space="0"/>
            </w:tcBorders>
            <w:vAlign w:val="center"/>
          </w:tcPr>
          <w:p w14:paraId="18CF9E5E">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LW39-16B-40B-303/3</w:t>
            </w:r>
          </w:p>
        </w:tc>
        <w:tc>
          <w:tcPr>
            <w:tcW w:w="753" w:type="dxa"/>
            <w:tcBorders>
              <w:top w:val="single" w:color="auto" w:sz="4" w:space="0"/>
              <w:left w:val="single" w:color="auto" w:sz="4" w:space="0"/>
              <w:bottom w:val="single" w:color="auto" w:sz="4" w:space="0"/>
              <w:right w:val="single" w:color="auto" w:sz="4" w:space="0"/>
            </w:tcBorders>
            <w:vAlign w:val="center"/>
          </w:tcPr>
          <w:p w14:paraId="1A3AED28">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5D899B83">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647" w:type="dxa"/>
            <w:tcBorders>
              <w:top w:val="single" w:color="auto" w:sz="4" w:space="0"/>
              <w:left w:val="single" w:color="auto" w:sz="4" w:space="0"/>
              <w:bottom w:val="single" w:color="auto" w:sz="4" w:space="0"/>
              <w:right w:val="single" w:color="auto" w:sz="4" w:space="0"/>
            </w:tcBorders>
            <w:vAlign w:val="center"/>
          </w:tcPr>
          <w:p w14:paraId="76FD61F8">
            <w:pPr>
              <w:snapToGrid w:val="0"/>
              <w:spacing w:line="360" w:lineRule="auto"/>
              <w:rPr>
                <w:rFonts w:hint="eastAsia" w:asciiTheme="minorEastAsia" w:hAnsiTheme="minorEastAsia" w:eastAsiaTheme="minorEastAsia" w:cstheme="minorEastAsia"/>
                <w:snapToGrid w:val="0"/>
                <w:color w:val="auto"/>
                <w:szCs w:val="21"/>
              </w:rPr>
            </w:pPr>
          </w:p>
        </w:tc>
      </w:tr>
      <w:tr w14:paraId="41212A8A">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98A3529">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w:t>
            </w:r>
          </w:p>
        </w:tc>
        <w:tc>
          <w:tcPr>
            <w:tcW w:w="1886" w:type="dxa"/>
            <w:tcBorders>
              <w:top w:val="single" w:color="auto" w:sz="4" w:space="0"/>
              <w:left w:val="single" w:color="auto" w:sz="4" w:space="0"/>
              <w:bottom w:val="single" w:color="auto" w:sz="4" w:space="0"/>
              <w:right w:val="single" w:color="auto" w:sz="4" w:space="0"/>
            </w:tcBorders>
            <w:vAlign w:val="center"/>
          </w:tcPr>
          <w:p w14:paraId="46FAF3DA">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按钮</w:t>
            </w:r>
          </w:p>
        </w:tc>
        <w:tc>
          <w:tcPr>
            <w:tcW w:w="3165" w:type="dxa"/>
            <w:tcBorders>
              <w:top w:val="single" w:color="auto" w:sz="4" w:space="0"/>
              <w:left w:val="single" w:color="auto" w:sz="4" w:space="0"/>
              <w:bottom w:val="single" w:color="auto" w:sz="4" w:space="0"/>
              <w:right w:val="single" w:color="auto" w:sz="4" w:space="0"/>
            </w:tcBorders>
            <w:vAlign w:val="center"/>
          </w:tcPr>
          <w:p w14:paraId="7D764F62">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LA39-B2-11/31, AC220V</w:t>
            </w:r>
          </w:p>
        </w:tc>
        <w:tc>
          <w:tcPr>
            <w:tcW w:w="753" w:type="dxa"/>
            <w:tcBorders>
              <w:top w:val="single" w:color="auto" w:sz="4" w:space="0"/>
              <w:left w:val="single" w:color="auto" w:sz="4" w:space="0"/>
              <w:bottom w:val="single" w:color="auto" w:sz="4" w:space="0"/>
              <w:right w:val="single" w:color="auto" w:sz="4" w:space="0"/>
            </w:tcBorders>
            <w:vAlign w:val="center"/>
          </w:tcPr>
          <w:p w14:paraId="553E711A">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74C3ED50">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1647" w:type="dxa"/>
            <w:tcBorders>
              <w:top w:val="single" w:color="auto" w:sz="4" w:space="0"/>
              <w:left w:val="single" w:color="auto" w:sz="4" w:space="0"/>
              <w:bottom w:val="single" w:color="auto" w:sz="4" w:space="0"/>
              <w:right w:val="single" w:color="auto" w:sz="4" w:space="0"/>
            </w:tcBorders>
            <w:vAlign w:val="center"/>
          </w:tcPr>
          <w:p w14:paraId="63E8C57C">
            <w:pPr>
              <w:snapToGrid w:val="0"/>
              <w:spacing w:line="360" w:lineRule="auto"/>
              <w:rPr>
                <w:rFonts w:hint="eastAsia" w:asciiTheme="minorEastAsia" w:hAnsiTheme="minorEastAsia" w:eastAsiaTheme="minorEastAsia" w:cstheme="minorEastAsia"/>
                <w:snapToGrid w:val="0"/>
                <w:color w:val="auto"/>
                <w:szCs w:val="21"/>
              </w:rPr>
            </w:pPr>
          </w:p>
        </w:tc>
      </w:tr>
      <w:tr w14:paraId="30978A29">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C203BCA">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w:t>
            </w:r>
          </w:p>
        </w:tc>
        <w:tc>
          <w:tcPr>
            <w:tcW w:w="1886" w:type="dxa"/>
            <w:tcBorders>
              <w:top w:val="single" w:color="auto" w:sz="4" w:space="0"/>
              <w:left w:val="single" w:color="auto" w:sz="4" w:space="0"/>
              <w:bottom w:val="single" w:color="auto" w:sz="4" w:space="0"/>
              <w:right w:val="single" w:color="auto" w:sz="4" w:space="0"/>
            </w:tcBorders>
            <w:vAlign w:val="center"/>
          </w:tcPr>
          <w:p w14:paraId="27163E1E">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信号灯</w:t>
            </w:r>
          </w:p>
        </w:tc>
        <w:tc>
          <w:tcPr>
            <w:tcW w:w="3165" w:type="dxa"/>
            <w:tcBorders>
              <w:top w:val="single" w:color="auto" w:sz="4" w:space="0"/>
              <w:left w:val="single" w:color="auto" w:sz="4" w:space="0"/>
              <w:bottom w:val="single" w:color="auto" w:sz="4" w:space="0"/>
              <w:right w:val="single" w:color="auto" w:sz="4" w:space="0"/>
            </w:tcBorders>
            <w:vAlign w:val="center"/>
          </w:tcPr>
          <w:p w14:paraId="0BAB8B91">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AD16-22B/31, AC220V</w:t>
            </w:r>
          </w:p>
        </w:tc>
        <w:tc>
          <w:tcPr>
            <w:tcW w:w="753" w:type="dxa"/>
            <w:tcBorders>
              <w:top w:val="single" w:color="auto" w:sz="4" w:space="0"/>
              <w:left w:val="single" w:color="auto" w:sz="4" w:space="0"/>
              <w:bottom w:val="single" w:color="auto" w:sz="4" w:space="0"/>
              <w:right w:val="single" w:color="auto" w:sz="4" w:space="0"/>
            </w:tcBorders>
            <w:vAlign w:val="center"/>
          </w:tcPr>
          <w:p w14:paraId="3ECDB246">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7BC1235B">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647" w:type="dxa"/>
            <w:tcBorders>
              <w:top w:val="single" w:color="auto" w:sz="4" w:space="0"/>
              <w:left w:val="single" w:color="auto" w:sz="4" w:space="0"/>
              <w:bottom w:val="single" w:color="auto" w:sz="4" w:space="0"/>
              <w:right w:val="single" w:color="auto" w:sz="4" w:space="0"/>
            </w:tcBorders>
            <w:vAlign w:val="center"/>
          </w:tcPr>
          <w:p w14:paraId="2CEFE423">
            <w:pPr>
              <w:snapToGrid w:val="0"/>
              <w:spacing w:line="360" w:lineRule="auto"/>
              <w:rPr>
                <w:rFonts w:hint="eastAsia" w:asciiTheme="minorEastAsia" w:hAnsiTheme="minorEastAsia" w:eastAsiaTheme="minorEastAsia" w:cstheme="minorEastAsia"/>
                <w:snapToGrid w:val="0"/>
                <w:color w:val="auto"/>
                <w:szCs w:val="21"/>
              </w:rPr>
            </w:pPr>
          </w:p>
        </w:tc>
      </w:tr>
      <w:tr w14:paraId="37BA80F2">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167773E4">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w:t>
            </w:r>
          </w:p>
        </w:tc>
        <w:tc>
          <w:tcPr>
            <w:tcW w:w="1886" w:type="dxa"/>
            <w:tcBorders>
              <w:top w:val="single" w:color="auto" w:sz="4" w:space="0"/>
              <w:left w:val="single" w:color="auto" w:sz="4" w:space="0"/>
              <w:bottom w:val="single" w:color="auto" w:sz="4" w:space="0"/>
              <w:right w:val="single" w:color="auto" w:sz="4" w:space="0"/>
            </w:tcBorders>
            <w:vAlign w:val="center"/>
          </w:tcPr>
          <w:p w14:paraId="2F862776">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数显控制变送仪</w:t>
            </w:r>
          </w:p>
        </w:tc>
        <w:tc>
          <w:tcPr>
            <w:tcW w:w="3165" w:type="dxa"/>
            <w:tcBorders>
              <w:top w:val="single" w:color="auto" w:sz="4" w:space="0"/>
              <w:left w:val="single" w:color="auto" w:sz="4" w:space="0"/>
              <w:bottom w:val="single" w:color="auto" w:sz="4" w:space="0"/>
              <w:right w:val="single" w:color="auto" w:sz="4" w:space="0"/>
            </w:tcBorders>
            <w:vAlign w:val="center"/>
          </w:tcPr>
          <w:p w14:paraId="420E74C1">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XMB5466-P-RS485</w:t>
            </w:r>
          </w:p>
        </w:tc>
        <w:tc>
          <w:tcPr>
            <w:tcW w:w="753" w:type="dxa"/>
            <w:tcBorders>
              <w:top w:val="single" w:color="auto" w:sz="4" w:space="0"/>
              <w:left w:val="single" w:color="auto" w:sz="4" w:space="0"/>
              <w:bottom w:val="single" w:color="auto" w:sz="4" w:space="0"/>
              <w:right w:val="single" w:color="auto" w:sz="4" w:space="0"/>
            </w:tcBorders>
            <w:vAlign w:val="center"/>
          </w:tcPr>
          <w:p w14:paraId="22737ECE">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1FF58D76">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47" w:type="dxa"/>
            <w:tcBorders>
              <w:top w:val="single" w:color="auto" w:sz="4" w:space="0"/>
              <w:left w:val="single" w:color="auto" w:sz="4" w:space="0"/>
              <w:bottom w:val="single" w:color="auto" w:sz="4" w:space="0"/>
              <w:right w:val="single" w:color="auto" w:sz="4" w:space="0"/>
            </w:tcBorders>
            <w:vAlign w:val="center"/>
          </w:tcPr>
          <w:p w14:paraId="1FDB56D7">
            <w:pPr>
              <w:snapToGrid w:val="0"/>
              <w:spacing w:line="360" w:lineRule="auto"/>
              <w:rPr>
                <w:rFonts w:hint="eastAsia" w:asciiTheme="minorEastAsia" w:hAnsiTheme="minorEastAsia" w:eastAsiaTheme="minorEastAsia" w:cstheme="minorEastAsia"/>
                <w:snapToGrid w:val="0"/>
                <w:color w:val="auto"/>
                <w:szCs w:val="21"/>
              </w:rPr>
            </w:pPr>
          </w:p>
        </w:tc>
      </w:tr>
      <w:tr w14:paraId="413ACE9E">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781C328">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w:t>
            </w:r>
          </w:p>
        </w:tc>
        <w:tc>
          <w:tcPr>
            <w:tcW w:w="1886" w:type="dxa"/>
            <w:tcBorders>
              <w:top w:val="single" w:color="auto" w:sz="4" w:space="0"/>
              <w:left w:val="single" w:color="auto" w:sz="4" w:space="0"/>
              <w:bottom w:val="single" w:color="auto" w:sz="4" w:space="0"/>
              <w:right w:val="single" w:color="auto" w:sz="4" w:space="0"/>
            </w:tcBorders>
            <w:vAlign w:val="center"/>
          </w:tcPr>
          <w:p w14:paraId="0F99881F">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液位变送器</w:t>
            </w:r>
          </w:p>
        </w:tc>
        <w:tc>
          <w:tcPr>
            <w:tcW w:w="3165" w:type="dxa"/>
            <w:tcBorders>
              <w:top w:val="single" w:color="auto" w:sz="4" w:space="0"/>
              <w:left w:val="single" w:color="auto" w:sz="4" w:space="0"/>
              <w:bottom w:val="single" w:color="auto" w:sz="4" w:space="0"/>
              <w:right w:val="single" w:color="auto" w:sz="4" w:space="0"/>
            </w:tcBorders>
            <w:vAlign w:val="center"/>
          </w:tcPr>
          <w:p w14:paraId="233BBD02">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CS26ED(10m)IIIE-Lm(16m)</w:t>
            </w:r>
          </w:p>
        </w:tc>
        <w:tc>
          <w:tcPr>
            <w:tcW w:w="753" w:type="dxa"/>
            <w:tcBorders>
              <w:top w:val="single" w:color="auto" w:sz="4" w:space="0"/>
              <w:left w:val="single" w:color="auto" w:sz="4" w:space="0"/>
              <w:bottom w:val="single" w:color="auto" w:sz="4" w:space="0"/>
              <w:right w:val="single" w:color="auto" w:sz="4" w:space="0"/>
            </w:tcBorders>
            <w:vAlign w:val="center"/>
          </w:tcPr>
          <w:p w14:paraId="5561D850">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634879CA">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47" w:type="dxa"/>
            <w:tcBorders>
              <w:top w:val="single" w:color="auto" w:sz="4" w:space="0"/>
              <w:left w:val="single" w:color="auto" w:sz="4" w:space="0"/>
              <w:bottom w:val="single" w:color="auto" w:sz="4" w:space="0"/>
              <w:right w:val="single" w:color="auto" w:sz="4" w:space="0"/>
            </w:tcBorders>
            <w:vAlign w:val="center"/>
          </w:tcPr>
          <w:p w14:paraId="4F0F607C">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装于集水井</w:t>
            </w:r>
          </w:p>
        </w:tc>
      </w:tr>
      <w:tr w14:paraId="6F6726EC">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88BD14F">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w:t>
            </w:r>
          </w:p>
        </w:tc>
        <w:tc>
          <w:tcPr>
            <w:tcW w:w="1886" w:type="dxa"/>
            <w:tcBorders>
              <w:top w:val="single" w:color="auto" w:sz="4" w:space="0"/>
              <w:left w:val="single" w:color="auto" w:sz="4" w:space="0"/>
              <w:bottom w:val="single" w:color="auto" w:sz="4" w:space="0"/>
              <w:right w:val="single" w:color="auto" w:sz="4" w:space="0"/>
            </w:tcBorders>
            <w:vAlign w:val="center"/>
          </w:tcPr>
          <w:p w14:paraId="7B6F5052">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温湿度控制器</w:t>
            </w:r>
          </w:p>
        </w:tc>
        <w:tc>
          <w:tcPr>
            <w:tcW w:w="3165" w:type="dxa"/>
            <w:tcBorders>
              <w:top w:val="single" w:color="auto" w:sz="4" w:space="0"/>
              <w:left w:val="single" w:color="auto" w:sz="4" w:space="0"/>
              <w:bottom w:val="single" w:color="auto" w:sz="4" w:space="0"/>
              <w:right w:val="single" w:color="auto" w:sz="4" w:space="0"/>
            </w:tcBorders>
            <w:vAlign w:val="center"/>
          </w:tcPr>
          <w:p w14:paraId="4DC9FDB2">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BW-8122</w:t>
            </w:r>
          </w:p>
        </w:tc>
        <w:tc>
          <w:tcPr>
            <w:tcW w:w="753" w:type="dxa"/>
            <w:tcBorders>
              <w:top w:val="single" w:color="auto" w:sz="4" w:space="0"/>
              <w:left w:val="single" w:color="auto" w:sz="4" w:space="0"/>
              <w:bottom w:val="single" w:color="auto" w:sz="4" w:space="0"/>
              <w:right w:val="single" w:color="auto" w:sz="4" w:space="0"/>
            </w:tcBorders>
            <w:vAlign w:val="center"/>
          </w:tcPr>
          <w:p w14:paraId="7DD99F11">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2C7F248D">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47" w:type="dxa"/>
            <w:tcBorders>
              <w:top w:val="single" w:color="auto" w:sz="4" w:space="0"/>
              <w:left w:val="single" w:color="auto" w:sz="4" w:space="0"/>
              <w:bottom w:val="single" w:color="auto" w:sz="4" w:space="0"/>
              <w:right w:val="single" w:color="auto" w:sz="4" w:space="0"/>
            </w:tcBorders>
            <w:vAlign w:val="center"/>
          </w:tcPr>
          <w:p w14:paraId="7D0A757D">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配套传感器和加热器</w:t>
            </w:r>
          </w:p>
        </w:tc>
      </w:tr>
      <w:tr w14:paraId="3302CF28">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3E4284F">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w:t>
            </w:r>
          </w:p>
        </w:tc>
        <w:tc>
          <w:tcPr>
            <w:tcW w:w="1886" w:type="dxa"/>
            <w:tcBorders>
              <w:top w:val="single" w:color="auto" w:sz="4" w:space="0"/>
              <w:left w:val="single" w:color="auto" w:sz="4" w:space="0"/>
              <w:bottom w:val="single" w:color="auto" w:sz="4" w:space="0"/>
              <w:right w:val="single" w:color="auto" w:sz="4" w:space="0"/>
            </w:tcBorders>
            <w:vAlign w:val="center"/>
          </w:tcPr>
          <w:p w14:paraId="1AD5FB46">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照明开关</w:t>
            </w:r>
          </w:p>
        </w:tc>
        <w:tc>
          <w:tcPr>
            <w:tcW w:w="3165" w:type="dxa"/>
            <w:tcBorders>
              <w:top w:val="single" w:color="auto" w:sz="4" w:space="0"/>
              <w:left w:val="single" w:color="auto" w:sz="4" w:space="0"/>
              <w:bottom w:val="single" w:color="auto" w:sz="4" w:space="0"/>
              <w:right w:val="single" w:color="auto" w:sz="4" w:space="0"/>
            </w:tcBorders>
            <w:vAlign w:val="center"/>
          </w:tcPr>
          <w:p w14:paraId="323057E1">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AC220V, 5A</w:t>
            </w:r>
          </w:p>
        </w:tc>
        <w:tc>
          <w:tcPr>
            <w:tcW w:w="753" w:type="dxa"/>
            <w:tcBorders>
              <w:top w:val="single" w:color="auto" w:sz="4" w:space="0"/>
              <w:left w:val="single" w:color="auto" w:sz="4" w:space="0"/>
              <w:bottom w:val="single" w:color="auto" w:sz="4" w:space="0"/>
              <w:right w:val="single" w:color="auto" w:sz="4" w:space="0"/>
            </w:tcBorders>
            <w:vAlign w:val="center"/>
          </w:tcPr>
          <w:p w14:paraId="148F3A6F">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362882AE">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47" w:type="dxa"/>
            <w:tcBorders>
              <w:top w:val="single" w:color="auto" w:sz="4" w:space="0"/>
              <w:left w:val="single" w:color="auto" w:sz="4" w:space="0"/>
              <w:bottom w:val="single" w:color="auto" w:sz="4" w:space="0"/>
              <w:right w:val="single" w:color="auto" w:sz="4" w:space="0"/>
            </w:tcBorders>
            <w:vAlign w:val="center"/>
          </w:tcPr>
          <w:p w14:paraId="378116A6">
            <w:pPr>
              <w:snapToGrid w:val="0"/>
              <w:spacing w:line="360" w:lineRule="auto"/>
              <w:rPr>
                <w:rFonts w:hint="eastAsia" w:asciiTheme="minorEastAsia" w:hAnsiTheme="minorEastAsia" w:eastAsiaTheme="minorEastAsia" w:cstheme="minorEastAsia"/>
                <w:snapToGrid w:val="0"/>
                <w:color w:val="auto"/>
                <w:szCs w:val="21"/>
              </w:rPr>
            </w:pPr>
          </w:p>
        </w:tc>
      </w:tr>
      <w:tr w14:paraId="3B184120">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2E663035">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13</w:t>
            </w:r>
          </w:p>
        </w:tc>
        <w:tc>
          <w:tcPr>
            <w:tcW w:w="1886" w:type="dxa"/>
            <w:tcBorders>
              <w:top w:val="single" w:color="auto" w:sz="4" w:space="0"/>
              <w:left w:val="single" w:color="auto" w:sz="4" w:space="0"/>
              <w:bottom w:val="single" w:color="auto" w:sz="4" w:space="0"/>
              <w:right w:val="single" w:color="auto" w:sz="4" w:space="0"/>
            </w:tcBorders>
            <w:vAlign w:val="center"/>
          </w:tcPr>
          <w:p w14:paraId="7D1510C8">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照明灯</w:t>
            </w:r>
          </w:p>
        </w:tc>
        <w:tc>
          <w:tcPr>
            <w:tcW w:w="3165" w:type="dxa"/>
            <w:tcBorders>
              <w:top w:val="single" w:color="auto" w:sz="4" w:space="0"/>
              <w:left w:val="single" w:color="auto" w:sz="4" w:space="0"/>
              <w:bottom w:val="single" w:color="auto" w:sz="4" w:space="0"/>
              <w:right w:val="single" w:color="auto" w:sz="4" w:space="0"/>
            </w:tcBorders>
            <w:vAlign w:val="center"/>
          </w:tcPr>
          <w:p w14:paraId="3B0E7102">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AC220V</w:t>
            </w:r>
          </w:p>
        </w:tc>
        <w:tc>
          <w:tcPr>
            <w:tcW w:w="753" w:type="dxa"/>
            <w:tcBorders>
              <w:top w:val="single" w:color="auto" w:sz="4" w:space="0"/>
              <w:left w:val="single" w:color="auto" w:sz="4" w:space="0"/>
              <w:bottom w:val="single" w:color="auto" w:sz="4" w:space="0"/>
              <w:right w:val="single" w:color="auto" w:sz="4" w:space="0"/>
            </w:tcBorders>
            <w:vAlign w:val="center"/>
          </w:tcPr>
          <w:p w14:paraId="7F1E88E4">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53" w:type="dxa"/>
            <w:tcBorders>
              <w:top w:val="single" w:color="auto" w:sz="4" w:space="0"/>
              <w:left w:val="single" w:color="auto" w:sz="4" w:space="0"/>
              <w:bottom w:val="single" w:color="auto" w:sz="4" w:space="0"/>
              <w:right w:val="single" w:color="auto" w:sz="4" w:space="0"/>
            </w:tcBorders>
            <w:vAlign w:val="center"/>
          </w:tcPr>
          <w:p w14:paraId="3D687D93">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47" w:type="dxa"/>
            <w:tcBorders>
              <w:top w:val="single" w:color="auto" w:sz="4" w:space="0"/>
              <w:left w:val="single" w:color="auto" w:sz="4" w:space="0"/>
              <w:bottom w:val="single" w:color="auto" w:sz="4" w:space="0"/>
              <w:right w:val="single" w:color="auto" w:sz="4" w:space="0"/>
            </w:tcBorders>
            <w:vAlign w:val="center"/>
          </w:tcPr>
          <w:p w14:paraId="51B692C1">
            <w:pPr>
              <w:snapToGrid w:val="0"/>
              <w:spacing w:line="360" w:lineRule="auto"/>
              <w:rPr>
                <w:rFonts w:hint="eastAsia" w:asciiTheme="minorEastAsia" w:hAnsiTheme="minorEastAsia" w:eastAsiaTheme="minorEastAsia" w:cstheme="minorEastAsia"/>
                <w:snapToGrid w:val="0"/>
                <w:color w:val="auto"/>
                <w:szCs w:val="21"/>
              </w:rPr>
            </w:pPr>
          </w:p>
        </w:tc>
      </w:tr>
    </w:tbl>
    <w:p w14:paraId="6E0320D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2.2.9.2 低压空压机控制箱</w:t>
      </w:r>
    </w:p>
    <w:p w14:paraId="7E7BEDC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控制箱的控制对象为：低压空压机1台，电机功率为7.5kW。低压空压机控制纳入公用LCU控制，具有远方和现地控制功能。箱内主要电气元器件如下：</w:t>
      </w:r>
    </w:p>
    <w:tbl>
      <w:tblPr>
        <w:tblStyle w:val="65"/>
        <w:tblW w:w="9581" w:type="dxa"/>
        <w:jc w:val="center"/>
        <w:tblLayout w:type="fixed"/>
        <w:tblCellMar>
          <w:top w:w="0" w:type="dxa"/>
          <w:left w:w="108" w:type="dxa"/>
          <w:bottom w:w="0" w:type="dxa"/>
          <w:right w:w="108" w:type="dxa"/>
        </w:tblCellMar>
      </w:tblPr>
      <w:tblGrid>
        <w:gridCol w:w="861"/>
        <w:gridCol w:w="1744"/>
        <w:gridCol w:w="4111"/>
        <w:gridCol w:w="709"/>
        <w:gridCol w:w="709"/>
        <w:gridCol w:w="1447"/>
      </w:tblGrid>
      <w:tr w14:paraId="22FF3E58">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1C776E74">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序号</w:t>
            </w:r>
          </w:p>
        </w:tc>
        <w:tc>
          <w:tcPr>
            <w:tcW w:w="1744" w:type="dxa"/>
            <w:tcBorders>
              <w:top w:val="single" w:color="auto" w:sz="4" w:space="0"/>
              <w:left w:val="single" w:color="auto" w:sz="4" w:space="0"/>
              <w:bottom w:val="single" w:color="auto" w:sz="4" w:space="0"/>
              <w:right w:val="single" w:color="auto" w:sz="4" w:space="0"/>
            </w:tcBorders>
            <w:vAlign w:val="center"/>
          </w:tcPr>
          <w:p w14:paraId="79EA4192">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名   称</w:t>
            </w:r>
          </w:p>
        </w:tc>
        <w:tc>
          <w:tcPr>
            <w:tcW w:w="4111" w:type="dxa"/>
            <w:tcBorders>
              <w:top w:val="single" w:color="auto" w:sz="4" w:space="0"/>
              <w:left w:val="single" w:color="auto" w:sz="4" w:space="0"/>
              <w:bottom w:val="single" w:color="auto" w:sz="4" w:space="0"/>
              <w:right w:val="single" w:color="auto" w:sz="4" w:space="0"/>
            </w:tcBorders>
            <w:vAlign w:val="center"/>
          </w:tcPr>
          <w:p w14:paraId="6D1B4378">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型号及规格</w:t>
            </w:r>
          </w:p>
        </w:tc>
        <w:tc>
          <w:tcPr>
            <w:tcW w:w="709" w:type="dxa"/>
            <w:tcBorders>
              <w:top w:val="single" w:color="auto" w:sz="4" w:space="0"/>
              <w:left w:val="single" w:color="auto" w:sz="4" w:space="0"/>
              <w:bottom w:val="single" w:color="auto" w:sz="4" w:space="0"/>
              <w:right w:val="single" w:color="auto" w:sz="4" w:space="0"/>
            </w:tcBorders>
            <w:vAlign w:val="center"/>
          </w:tcPr>
          <w:p w14:paraId="6DE09537">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776E173D">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数量</w:t>
            </w:r>
          </w:p>
        </w:tc>
        <w:tc>
          <w:tcPr>
            <w:tcW w:w="1447" w:type="dxa"/>
            <w:tcBorders>
              <w:top w:val="single" w:color="auto" w:sz="4" w:space="0"/>
              <w:left w:val="single" w:color="auto" w:sz="4" w:space="0"/>
              <w:bottom w:val="single" w:color="auto" w:sz="4" w:space="0"/>
              <w:right w:val="single" w:color="auto" w:sz="4" w:space="0"/>
            </w:tcBorders>
            <w:vAlign w:val="center"/>
          </w:tcPr>
          <w:p w14:paraId="235F5986">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备注</w:t>
            </w:r>
          </w:p>
        </w:tc>
      </w:tr>
      <w:tr w14:paraId="3BCB3C91">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46023EE2">
            <w:pPr>
              <w:snapToGrid w:val="0"/>
              <w:spacing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snapToGrid w:val="0"/>
                <w:color w:val="auto"/>
                <w:szCs w:val="21"/>
              </w:rPr>
              <w:t>1</w:t>
            </w:r>
          </w:p>
        </w:tc>
        <w:tc>
          <w:tcPr>
            <w:tcW w:w="1744" w:type="dxa"/>
            <w:tcBorders>
              <w:top w:val="single" w:color="auto" w:sz="4" w:space="0"/>
              <w:left w:val="single" w:color="auto" w:sz="4" w:space="0"/>
              <w:bottom w:val="single" w:color="auto" w:sz="4" w:space="0"/>
              <w:right w:val="single" w:color="auto" w:sz="4" w:space="0"/>
            </w:tcBorders>
            <w:vAlign w:val="center"/>
          </w:tcPr>
          <w:p w14:paraId="6FA996F9">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空气开关</w:t>
            </w:r>
          </w:p>
        </w:tc>
        <w:tc>
          <w:tcPr>
            <w:tcW w:w="4111" w:type="dxa"/>
            <w:tcBorders>
              <w:top w:val="single" w:color="auto" w:sz="4" w:space="0"/>
              <w:left w:val="single" w:color="auto" w:sz="4" w:space="0"/>
              <w:bottom w:val="single" w:color="auto" w:sz="4" w:space="0"/>
              <w:right w:val="single" w:color="auto" w:sz="4" w:space="0"/>
            </w:tcBorders>
            <w:vAlign w:val="center"/>
          </w:tcPr>
          <w:p w14:paraId="710316E3">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KFB1-63D20A/3P,20A</w:t>
            </w:r>
          </w:p>
        </w:tc>
        <w:tc>
          <w:tcPr>
            <w:tcW w:w="709" w:type="dxa"/>
            <w:tcBorders>
              <w:top w:val="single" w:color="auto" w:sz="4" w:space="0"/>
              <w:left w:val="single" w:color="auto" w:sz="4" w:space="0"/>
              <w:bottom w:val="single" w:color="auto" w:sz="4" w:space="0"/>
              <w:right w:val="single" w:color="auto" w:sz="4" w:space="0"/>
            </w:tcBorders>
            <w:vAlign w:val="center"/>
          </w:tcPr>
          <w:p w14:paraId="4AE1F8A6">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31EE51FF">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447" w:type="dxa"/>
            <w:tcBorders>
              <w:top w:val="single" w:color="auto" w:sz="4" w:space="0"/>
              <w:left w:val="single" w:color="auto" w:sz="4" w:space="0"/>
              <w:bottom w:val="single" w:color="auto" w:sz="4" w:space="0"/>
              <w:right w:val="single" w:color="auto" w:sz="4" w:space="0"/>
            </w:tcBorders>
            <w:vAlign w:val="center"/>
          </w:tcPr>
          <w:p w14:paraId="68B619CD">
            <w:pPr>
              <w:snapToGrid w:val="0"/>
              <w:spacing w:line="360" w:lineRule="auto"/>
              <w:rPr>
                <w:rFonts w:hint="eastAsia" w:asciiTheme="minorEastAsia" w:hAnsiTheme="minorEastAsia" w:eastAsiaTheme="minorEastAsia" w:cstheme="minorEastAsia"/>
                <w:snapToGrid w:val="0"/>
                <w:color w:val="auto"/>
                <w:szCs w:val="21"/>
              </w:rPr>
            </w:pPr>
          </w:p>
        </w:tc>
      </w:tr>
      <w:tr w14:paraId="760B574A">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3CB977FF">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744" w:type="dxa"/>
            <w:tcBorders>
              <w:top w:val="single" w:color="auto" w:sz="4" w:space="0"/>
              <w:left w:val="single" w:color="auto" w:sz="4" w:space="0"/>
              <w:bottom w:val="single" w:color="auto" w:sz="4" w:space="0"/>
              <w:right w:val="single" w:color="auto" w:sz="4" w:space="0"/>
            </w:tcBorders>
            <w:vAlign w:val="center"/>
          </w:tcPr>
          <w:p w14:paraId="0DCB76A7">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空气开关</w:t>
            </w:r>
          </w:p>
        </w:tc>
        <w:tc>
          <w:tcPr>
            <w:tcW w:w="4111" w:type="dxa"/>
            <w:tcBorders>
              <w:top w:val="single" w:color="auto" w:sz="4" w:space="0"/>
              <w:left w:val="single" w:color="auto" w:sz="4" w:space="0"/>
              <w:bottom w:val="single" w:color="auto" w:sz="4" w:space="0"/>
              <w:right w:val="single" w:color="auto" w:sz="4" w:space="0"/>
            </w:tcBorders>
            <w:vAlign w:val="center"/>
          </w:tcPr>
          <w:p w14:paraId="198BCA6A">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KFB1-63C6A/2P,6A</w:t>
            </w:r>
          </w:p>
        </w:tc>
        <w:tc>
          <w:tcPr>
            <w:tcW w:w="709" w:type="dxa"/>
            <w:tcBorders>
              <w:top w:val="single" w:color="auto" w:sz="4" w:space="0"/>
              <w:left w:val="single" w:color="auto" w:sz="4" w:space="0"/>
              <w:bottom w:val="single" w:color="auto" w:sz="4" w:space="0"/>
              <w:right w:val="single" w:color="auto" w:sz="4" w:space="0"/>
            </w:tcBorders>
            <w:vAlign w:val="center"/>
          </w:tcPr>
          <w:p w14:paraId="54567F21">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17CA4E88">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447" w:type="dxa"/>
            <w:tcBorders>
              <w:top w:val="single" w:color="auto" w:sz="4" w:space="0"/>
              <w:left w:val="single" w:color="auto" w:sz="4" w:space="0"/>
              <w:bottom w:val="single" w:color="auto" w:sz="4" w:space="0"/>
              <w:right w:val="single" w:color="auto" w:sz="4" w:space="0"/>
            </w:tcBorders>
            <w:vAlign w:val="center"/>
          </w:tcPr>
          <w:p w14:paraId="5036D3B4">
            <w:pPr>
              <w:snapToGrid w:val="0"/>
              <w:spacing w:line="360" w:lineRule="auto"/>
              <w:rPr>
                <w:rFonts w:hint="eastAsia" w:asciiTheme="minorEastAsia" w:hAnsiTheme="minorEastAsia" w:eastAsiaTheme="minorEastAsia" w:cstheme="minorEastAsia"/>
                <w:snapToGrid w:val="0"/>
                <w:color w:val="auto"/>
                <w:szCs w:val="21"/>
              </w:rPr>
            </w:pPr>
          </w:p>
        </w:tc>
      </w:tr>
      <w:tr w14:paraId="5E0D34F3">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899A948">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1744" w:type="dxa"/>
            <w:tcBorders>
              <w:top w:val="single" w:color="auto" w:sz="4" w:space="0"/>
              <w:left w:val="single" w:color="auto" w:sz="4" w:space="0"/>
              <w:bottom w:val="single" w:color="auto" w:sz="4" w:space="0"/>
              <w:right w:val="single" w:color="auto" w:sz="4" w:space="0"/>
            </w:tcBorders>
            <w:vAlign w:val="center"/>
          </w:tcPr>
          <w:p w14:paraId="4797C81F">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接触器</w:t>
            </w:r>
          </w:p>
        </w:tc>
        <w:tc>
          <w:tcPr>
            <w:tcW w:w="4111" w:type="dxa"/>
            <w:tcBorders>
              <w:top w:val="single" w:color="auto" w:sz="4" w:space="0"/>
              <w:left w:val="single" w:color="auto" w:sz="4" w:space="0"/>
              <w:bottom w:val="single" w:color="auto" w:sz="4" w:space="0"/>
              <w:right w:val="single" w:color="auto" w:sz="4" w:space="0"/>
            </w:tcBorders>
            <w:vAlign w:val="center"/>
          </w:tcPr>
          <w:p w14:paraId="20222552">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AX12-30-10,AC380V</w:t>
            </w:r>
          </w:p>
        </w:tc>
        <w:tc>
          <w:tcPr>
            <w:tcW w:w="709" w:type="dxa"/>
            <w:tcBorders>
              <w:top w:val="single" w:color="auto" w:sz="4" w:space="0"/>
              <w:left w:val="single" w:color="auto" w:sz="4" w:space="0"/>
              <w:bottom w:val="single" w:color="auto" w:sz="4" w:space="0"/>
              <w:right w:val="single" w:color="auto" w:sz="4" w:space="0"/>
            </w:tcBorders>
            <w:vAlign w:val="center"/>
          </w:tcPr>
          <w:p w14:paraId="61F34DA9">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3BC11DA5">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447" w:type="dxa"/>
            <w:tcBorders>
              <w:top w:val="single" w:color="auto" w:sz="4" w:space="0"/>
              <w:left w:val="single" w:color="auto" w:sz="4" w:space="0"/>
              <w:bottom w:val="single" w:color="auto" w:sz="4" w:space="0"/>
              <w:right w:val="single" w:color="auto" w:sz="4" w:space="0"/>
            </w:tcBorders>
            <w:vAlign w:val="center"/>
          </w:tcPr>
          <w:p w14:paraId="797371CC">
            <w:pPr>
              <w:snapToGrid w:val="0"/>
              <w:spacing w:line="360" w:lineRule="auto"/>
              <w:rPr>
                <w:rFonts w:hint="eastAsia" w:asciiTheme="minorEastAsia" w:hAnsiTheme="minorEastAsia" w:eastAsiaTheme="minorEastAsia" w:cstheme="minorEastAsia"/>
                <w:snapToGrid w:val="0"/>
                <w:color w:val="auto"/>
                <w:szCs w:val="21"/>
              </w:rPr>
            </w:pPr>
          </w:p>
        </w:tc>
      </w:tr>
      <w:tr w14:paraId="3F4FB37F">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DD1C2D3">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1744" w:type="dxa"/>
            <w:tcBorders>
              <w:top w:val="single" w:color="auto" w:sz="4" w:space="0"/>
              <w:left w:val="single" w:color="auto" w:sz="4" w:space="0"/>
              <w:bottom w:val="single" w:color="auto" w:sz="4" w:space="0"/>
              <w:right w:val="single" w:color="auto" w:sz="4" w:space="0"/>
            </w:tcBorders>
            <w:vAlign w:val="center"/>
          </w:tcPr>
          <w:p w14:paraId="0C842486">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热继电器</w:t>
            </w:r>
          </w:p>
        </w:tc>
        <w:tc>
          <w:tcPr>
            <w:tcW w:w="4111" w:type="dxa"/>
            <w:tcBorders>
              <w:top w:val="single" w:color="auto" w:sz="4" w:space="0"/>
              <w:left w:val="single" w:color="auto" w:sz="4" w:space="0"/>
              <w:bottom w:val="single" w:color="auto" w:sz="4" w:space="0"/>
              <w:right w:val="single" w:color="auto" w:sz="4" w:space="0"/>
            </w:tcBorders>
            <w:vAlign w:val="center"/>
          </w:tcPr>
          <w:p w14:paraId="73FD14F6">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TA25 DU, Ie=13-19A</w:t>
            </w:r>
          </w:p>
        </w:tc>
        <w:tc>
          <w:tcPr>
            <w:tcW w:w="709" w:type="dxa"/>
            <w:tcBorders>
              <w:top w:val="single" w:color="auto" w:sz="4" w:space="0"/>
              <w:left w:val="single" w:color="auto" w:sz="4" w:space="0"/>
              <w:bottom w:val="single" w:color="auto" w:sz="4" w:space="0"/>
              <w:right w:val="single" w:color="auto" w:sz="4" w:space="0"/>
            </w:tcBorders>
            <w:vAlign w:val="center"/>
          </w:tcPr>
          <w:p w14:paraId="4DF038D2">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4B34B9DF">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447" w:type="dxa"/>
            <w:tcBorders>
              <w:top w:val="single" w:color="auto" w:sz="4" w:space="0"/>
              <w:left w:val="single" w:color="auto" w:sz="4" w:space="0"/>
              <w:bottom w:val="single" w:color="auto" w:sz="4" w:space="0"/>
              <w:right w:val="single" w:color="auto" w:sz="4" w:space="0"/>
            </w:tcBorders>
            <w:vAlign w:val="center"/>
          </w:tcPr>
          <w:p w14:paraId="3B6C1ABE">
            <w:pPr>
              <w:snapToGrid w:val="0"/>
              <w:spacing w:line="360" w:lineRule="auto"/>
              <w:rPr>
                <w:rFonts w:hint="eastAsia" w:asciiTheme="minorEastAsia" w:hAnsiTheme="minorEastAsia" w:eastAsiaTheme="minorEastAsia" w:cstheme="minorEastAsia"/>
                <w:snapToGrid w:val="0"/>
                <w:color w:val="auto"/>
                <w:szCs w:val="21"/>
              </w:rPr>
            </w:pPr>
          </w:p>
        </w:tc>
      </w:tr>
      <w:tr w14:paraId="7C7FAF86">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66E85FD2">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1744" w:type="dxa"/>
            <w:tcBorders>
              <w:top w:val="single" w:color="auto" w:sz="4" w:space="0"/>
              <w:left w:val="single" w:color="auto" w:sz="4" w:space="0"/>
              <w:bottom w:val="single" w:color="auto" w:sz="4" w:space="0"/>
              <w:right w:val="single" w:color="auto" w:sz="4" w:space="0"/>
            </w:tcBorders>
            <w:vAlign w:val="center"/>
          </w:tcPr>
          <w:p w14:paraId="66B903BF">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中间继电器</w:t>
            </w:r>
          </w:p>
        </w:tc>
        <w:tc>
          <w:tcPr>
            <w:tcW w:w="4111" w:type="dxa"/>
            <w:tcBorders>
              <w:top w:val="single" w:color="auto" w:sz="4" w:space="0"/>
              <w:left w:val="single" w:color="auto" w:sz="4" w:space="0"/>
              <w:bottom w:val="single" w:color="auto" w:sz="4" w:space="0"/>
              <w:right w:val="single" w:color="auto" w:sz="4" w:space="0"/>
            </w:tcBorders>
            <w:vAlign w:val="center"/>
          </w:tcPr>
          <w:p w14:paraId="21223F8C">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DZJ-202,AC220V</w:t>
            </w:r>
          </w:p>
        </w:tc>
        <w:tc>
          <w:tcPr>
            <w:tcW w:w="709" w:type="dxa"/>
            <w:tcBorders>
              <w:top w:val="single" w:color="auto" w:sz="4" w:space="0"/>
              <w:left w:val="single" w:color="auto" w:sz="4" w:space="0"/>
              <w:bottom w:val="single" w:color="auto" w:sz="4" w:space="0"/>
              <w:right w:val="single" w:color="auto" w:sz="4" w:space="0"/>
            </w:tcBorders>
            <w:vAlign w:val="center"/>
          </w:tcPr>
          <w:p w14:paraId="282826BC">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1FB43B0D">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1447" w:type="dxa"/>
            <w:tcBorders>
              <w:top w:val="single" w:color="auto" w:sz="4" w:space="0"/>
              <w:left w:val="single" w:color="auto" w:sz="4" w:space="0"/>
              <w:bottom w:val="single" w:color="auto" w:sz="4" w:space="0"/>
              <w:right w:val="single" w:color="auto" w:sz="4" w:space="0"/>
            </w:tcBorders>
            <w:vAlign w:val="center"/>
          </w:tcPr>
          <w:p w14:paraId="502B50B2">
            <w:pPr>
              <w:snapToGrid w:val="0"/>
              <w:spacing w:line="360" w:lineRule="auto"/>
              <w:rPr>
                <w:rFonts w:hint="eastAsia" w:asciiTheme="minorEastAsia" w:hAnsiTheme="minorEastAsia" w:eastAsiaTheme="minorEastAsia" w:cstheme="minorEastAsia"/>
                <w:snapToGrid w:val="0"/>
                <w:color w:val="auto"/>
                <w:szCs w:val="21"/>
              </w:rPr>
            </w:pPr>
          </w:p>
        </w:tc>
      </w:tr>
      <w:tr w14:paraId="4A3B89E1">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A251F34">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1744" w:type="dxa"/>
            <w:tcBorders>
              <w:top w:val="single" w:color="auto" w:sz="4" w:space="0"/>
              <w:left w:val="single" w:color="auto" w:sz="4" w:space="0"/>
              <w:bottom w:val="single" w:color="auto" w:sz="4" w:space="0"/>
              <w:right w:val="single" w:color="auto" w:sz="4" w:space="0"/>
            </w:tcBorders>
            <w:vAlign w:val="center"/>
          </w:tcPr>
          <w:p w14:paraId="0B39EFD0">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切换开关</w:t>
            </w:r>
          </w:p>
        </w:tc>
        <w:tc>
          <w:tcPr>
            <w:tcW w:w="4111" w:type="dxa"/>
            <w:tcBorders>
              <w:top w:val="single" w:color="auto" w:sz="4" w:space="0"/>
              <w:left w:val="single" w:color="auto" w:sz="4" w:space="0"/>
              <w:bottom w:val="single" w:color="auto" w:sz="4" w:space="0"/>
              <w:right w:val="single" w:color="auto" w:sz="4" w:space="0"/>
            </w:tcBorders>
            <w:vAlign w:val="center"/>
          </w:tcPr>
          <w:p w14:paraId="35E421CC">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LW39-16B-40B-303/3</w:t>
            </w:r>
          </w:p>
        </w:tc>
        <w:tc>
          <w:tcPr>
            <w:tcW w:w="709" w:type="dxa"/>
            <w:tcBorders>
              <w:top w:val="single" w:color="auto" w:sz="4" w:space="0"/>
              <w:left w:val="single" w:color="auto" w:sz="4" w:space="0"/>
              <w:bottom w:val="single" w:color="auto" w:sz="4" w:space="0"/>
              <w:right w:val="single" w:color="auto" w:sz="4" w:space="0"/>
            </w:tcBorders>
            <w:vAlign w:val="center"/>
          </w:tcPr>
          <w:p w14:paraId="30277C7B">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0FD9B4F6">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447" w:type="dxa"/>
            <w:tcBorders>
              <w:top w:val="single" w:color="auto" w:sz="4" w:space="0"/>
              <w:left w:val="single" w:color="auto" w:sz="4" w:space="0"/>
              <w:bottom w:val="single" w:color="auto" w:sz="4" w:space="0"/>
              <w:right w:val="single" w:color="auto" w:sz="4" w:space="0"/>
            </w:tcBorders>
            <w:vAlign w:val="center"/>
          </w:tcPr>
          <w:p w14:paraId="0F6CE83E">
            <w:pPr>
              <w:snapToGrid w:val="0"/>
              <w:spacing w:line="360" w:lineRule="auto"/>
              <w:rPr>
                <w:rFonts w:hint="eastAsia" w:asciiTheme="minorEastAsia" w:hAnsiTheme="minorEastAsia" w:eastAsiaTheme="minorEastAsia" w:cstheme="minorEastAsia"/>
                <w:snapToGrid w:val="0"/>
                <w:color w:val="auto"/>
                <w:szCs w:val="21"/>
              </w:rPr>
            </w:pPr>
          </w:p>
        </w:tc>
      </w:tr>
      <w:tr w14:paraId="57CB1D75">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23011770">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7</w:t>
            </w:r>
          </w:p>
        </w:tc>
        <w:tc>
          <w:tcPr>
            <w:tcW w:w="1744" w:type="dxa"/>
            <w:tcBorders>
              <w:top w:val="single" w:color="auto" w:sz="4" w:space="0"/>
              <w:left w:val="single" w:color="auto" w:sz="4" w:space="0"/>
              <w:bottom w:val="single" w:color="auto" w:sz="4" w:space="0"/>
              <w:right w:val="single" w:color="auto" w:sz="4" w:space="0"/>
            </w:tcBorders>
            <w:vAlign w:val="center"/>
          </w:tcPr>
          <w:p w14:paraId="0A3DB6FE">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按钮</w:t>
            </w:r>
          </w:p>
        </w:tc>
        <w:tc>
          <w:tcPr>
            <w:tcW w:w="4111" w:type="dxa"/>
            <w:tcBorders>
              <w:top w:val="single" w:color="auto" w:sz="4" w:space="0"/>
              <w:left w:val="single" w:color="auto" w:sz="4" w:space="0"/>
              <w:bottom w:val="single" w:color="auto" w:sz="4" w:space="0"/>
              <w:right w:val="single" w:color="auto" w:sz="4" w:space="0"/>
            </w:tcBorders>
            <w:vAlign w:val="center"/>
          </w:tcPr>
          <w:p w14:paraId="713F5EAA">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LA39-B2-11/31, AC220V</w:t>
            </w:r>
          </w:p>
        </w:tc>
        <w:tc>
          <w:tcPr>
            <w:tcW w:w="709" w:type="dxa"/>
            <w:tcBorders>
              <w:top w:val="single" w:color="auto" w:sz="4" w:space="0"/>
              <w:left w:val="single" w:color="auto" w:sz="4" w:space="0"/>
              <w:bottom w:val="single" w:color="auto" w:sz="4" w:space="0"/>
              <w:right w:val="single" w:color="auto" w:sz="4" w:space="0"/>
            </w:tcBorders>
            <w:vAlign w:val="center"/>
          </w:tcPr>
          <w:p w14:paraId="327F094B">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68AA3B14">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1447" w:type="dxa"/>
            <w:tcBorders>
              <w:top w:val="single" w:color="auto" w:sz="4" w:space="0"/>
              <w:left w:val="single" w:color="auto" w:sz="4" w:space="0"/>
              <w:bottom w:val="single" w:color="auto" w:sz="4" w:space="0"/>
              <w:right w:val="single" w:color="auto" w:sz="4" w:space="0"/>
            </w:tcBorders>
            <w:vAlign w:val="center"/>
          </w:tcPr>
          <w:p w14:paraId="6896D0E0">
            <w:pPr>
              <w:snapToGrid w:val="0"/>
              <w:spacing w:line="360" w:lineRule="auto"/>
              <w:rPr>
                <w:rFonts w:hint="eastAsia" w:asciiTheme="minorEastAsia" w:hAnsiTheme="minorEastAsia" w:eastAsiaTheme="minorEastAsia" w:cstheme="minorEastAsia"/>
                <w:snapToGrid w:val="0"/>
                <w:color w:val="auto"/>
                <w:szCs w:val="21"/>
              </w:rPr>
            </w:pPr>
          </w:p>
        </w:tc>
      </w:tr>
      <w:tr w14:paraId="28383064">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B37216B">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8</w:t>
            </w:r>
          </w:p>
        </w:tc>
        <w:tc>
          <w:tcPr>
            <w:tcW w:w="1744" w:type="dxa"/>
            <w:tcBorders>
              <w:top w:val="single" w:color="auto" w:sz="4" w:space="0"/>
              <w:left w:val="single" w:color="auto" w:sz="4" w:space="0"/>
              <w:bottom w:val="single" w:color="auto" w:sz="4" w:space="0"/>
              <w:right w:val="single" w:color="auto" w:sz="4" w:space="0"/>
            </w:tcBorders>
            <w:vAlign w:val="center"/>
          </w:tcPr>
          <w:p w14:paraId="7E7F9ABC">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信号灯</w:t>
            </w:r>
          </w:p>
        </w:tc>
        <w:tc>
          <w:tcPr>
            <w:tcW w:w="4111" w:type="dxa"/>
            <w:tcBorders>
              <w:top w:val="single" w:color="auto" w:sz="4" w:space="0"/>
              <w:left w:val="single" w:color="auto" w:sz="4" w:space="0"/>
              <w:bottom w:val="single" w:color="auto" w:sz="4" w:space="0"/>
              <w:right w:val="single" w:color="auto" w:sz="4" w:space="0"/>
            </w:tcBorders>
            <w:vAlign w:val="center"/>
          </w:tcPr>
          <w:p w14:paraId="0184FA45">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AD16-22B/31, AC220V</w:t>
            </w:r>
          </w:p>
        </w:tc>
        <w:tc>
          <w:tcPr>
            <w:tcW w:w="709" w:type="dxa"/>
            <w:tcBorders>
              <w:top w:val="single" w:color="auto" w:sz="4" w:space="0"/>
              <w:left w:val="single" w:color="auto" w:sz="4" w:space="0"/>
              <w:bottom w:val="single" w:color="auto" w:sz="4" w:space="0"/>
              <w:right w:val="single" w:color="auto" w:sz="4" w:space="0"/>
            </w:tcBorders>
            <w:vAlign w:val="center"/>
          </w:tcPr>
          <w:p w14:paraId="6B7D774D">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4A0BD300">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447" w:type="dxa"/>
            <w:tcBorders>
              <w:top w:val="single" w:color="auto" w:sz="4" w:space="0"/>
              <w:left w:val="single" w:color="auto" w:sz="4" w:space="0"/>
              <w:bottom w:val="single" w:color="auto" w:sz="4" w:space="0"/>
              <w:right w:val="single" w:color="auto" w:sz="4" w:space="0"/>
            </w:tcBorders>
            <w:vAlign w:val="center"/>
          </w:tcPr>
          <w:p w14:paraId="4E7E1846">
            <w:pPr>
              <w:snapToGrid w:val="0"/>
              <w:spacing w:line="360" w:lineRule="auto"/>
              <w:rPr>
                <w:rFonts w:hint="eastAsia" w:asciiTheme="minorEastAsia" w:hAnsiTheme="minorEastAsia" w:eastAsiaTheme="minorEastAsia" w:cstheme="minorEastAsia"/>
                <w:snapToGrid w:val="0"/>
                <w:color w:val="auto"/>
                <w:szCs w:val="21"/>
              </w:rPr>
            </w:pPr>
          </w:p>
        </w:tc>
      </w:tr>
      <w:tr w14:paraId="66C6A5BC">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72DDDF01">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9</w:t>
            </w:r>
          </w:p>
        </w:tc>
        <w:tc>
          <w:tcPr>
            <w:tcW w:w="1744" w:type="dxa"/>
            <w:tcBorders>
              <w:top w:val="single" w:color="auto" w:sz="4" w:space="0"/>
              <w:left w:val="single" w:color="auto" w:sz="4" w:space="0"/>
              <w:bottom w:val="single" w:color="auto" w:sz="4" w:space="0"/>
              <w:right w:val="single" w:color="auto" w:sz="4" w:space="0"/>
            </w:tcBorders>
            <w:vAlign w:val="center"/>
          </w:tcPr>
          <w:p w14:paraId="573F5576">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压力变送器</w:t>
            </w:r>
          </w:p>
        </w:tc>
        <w:tc>
          <w:tcPr>
            <w:tcW w:w="4111" w:type="dxa"/>
            <w:tcBorders>
              <w:top w:val="single" w:color="auto" w:sz="4" w:space="0"/>
              <w:left w:val="single" w:color="auto" w:sz="4" w:space="0"/>
              <w:bottom w:val="single" w:color="auto" w:sz="4" w:space="0"/>
              <w:right w:val="single" w:color="auto" w:sz="4" w:space="0"/>
            </w:tcBorders>
            <w:vAlign w:val="center"/>
          </w:tcPr>
          <w:p w14:paraId="7C6B81E4">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CS26FUF(0～4MPa)IIIERC3-Lm(16m)</w:t>
            </w:r>
          </w:p>
        </w:tc>
        <w:tc>
          <w:tcPr>
            <w:tcW w:w="709" w:type="dxa"/>
            <w:tcBorders>
              <w:top w:val="single" w:color="auto" w:sz="4" w:space="0"/>
              <w:left w:val="single" w:color="auto" w:sz="4" w:space="0"/>
              <w:bottom w:val="single" w:color="auto" w:sz="4" w:space="0"/>
              <w:right w:val="single" w:color="auto" w:sz="4" w:space="0"/>
            </w:tcBorders>
            <w:vAlign w:val="center"/>
          </w:tcPr>
          <w:p w14:paraId="35398D5D">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21551175">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447" w:type="dxa"/>
            <w:tcBorders>
              <w:top w:val="single" w:color="auto" w:sz="4" w:space="0"/>
              <w:left w:val="single" w:color="auto" w:sz="4" w:space="0"/>
              <w:bottom w:val="single" w:color="auto" w:sz="4" w:space="0"/>
              <w:right w:val="single" w:color="auto" w:sz="4" w:space="0"/>
            </w:tcBorders>
            <w:vAlign w:val="center"/>
          </w:tcPr>
          <w:p w14:paraId="654767AC">
            <w:pPr>
              <w:snapToGrid w:val="0"/>
              <w:spacing w:line="360" w:lineRule="auto"/>
              <w:rPr>
                <w:rFonts w:hint="eastAsia" w:asciiTheme="minorEastAsia" w:hAnsiTheme="minorEastAsia" w:eastAsiaTheme="minorEastAsia" w:cstheme="minorEastAsia"/>
                <w:snapToGrid w:val="0"/>
                <w:color w:val="auto"/>
                <w:szCs w:val="21"/>
              </w:rPr>
            </w:pPr>
          </w:p>
        </w:tc>
      </w:tr>
      <w:tr w14:paraId="5DE01007">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2C44B40E">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10</w:t>
            </w:r>
          </w:p>
        </w:tc>
        <w:tc>
          <w:tcPr>
            <w:tcW w:w="1744" w:type="dxa"/>
            <w:tcBorders>
              <w:top w:val="single" w:color="auto" w:sz="4" w:space="0"/>
              <w:left w:val="single" w:color="auto" w:sz="4" w:space="0"/>
              <w:bottom w:val="single" w:color="auto" w:sz="4" w:space="0"/>
              <w:right w:val="single" w:color="auto" w:sz="4" w:space="0"/>
            </w:tcBorders>
            <w:vAlign w:val="center"/>
          </w:tcPr>
          <w:p w14:paraId="03DAC1ED">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温湿度控制器</w:t>
            </w:r>
          </w:p>
        </w:tc>
        <w:tc>
          <w:tcPr>
            <w:tcW w:w="4111" w:type="dxa"/>
            <w:tcBorders>
              <w:top w:val="single" w:color="auto" w:sz="4" w:space="0"/>
              <w:left w:val="single" w:color="auto" w:sz="4" w:space="0"/>
              <w:bottom w:val="single" w:color="auto" w:sz="4" w:space="0"/>
              <w:right w:val="single" w:color="auto" w:sz="4" w:space="0"/>
            </w:tcBorders>
            <w:vAlign w:val="center"/>
          </w:tcPr>
          <w:p w14:paraId="49231D72">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BW-8122</w:t>
            </w:r>
          </w:p>
        </w:tc>
        <w:tc>
          <w:tcPr>
            <w:tcW w:w="709" w:type="dxa"/>
            <w:tcBorders>
              <w:top w:val="single" w:color="auto" w:sz="4" w:space="0"/>
              <w:left w:val="single" w:color="auto" w:sz="4" w:space="0"/>
              <w:bottom w:val="single" w:color="auto" w:sz="4" w:space="0"/>
              <w:right w:val="single" w:color="auto" w:sz="4" w:space="0"/>
            </w:tcBorders>
            <w:vAlign w:val="center"/>
          </w:tcPr>
          <w:p w14:paraId="467F0133">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39E98D40">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447" w:type="dxa"/>
            <w:tcBorders>
              <w:top w:val="single" w:color="auto" w:sz="4" w:space="0"/>
              <w:left w:val="single" w:color="auto" w:sz="4" w:space="0"/>
              <w:bottom w:val="single" w:color="auto" w:sz="4" w:space="0"/>
              <w:right w:val="single" w:color="auto" w:sz="4" w:space="0"/>
            </w:tcBorders>
            <w:vAlign w:val="center"/>
          </w:tcPr>
          <w:p w14:paraId="163D87D2">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配套传感器和加热器</w:t>
            </w:r>
          </w:p>
        </w:tc>
      </w:tr>
      <w:tr w14:paraId="0007BBD9">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09FB699B">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11</w:t>
            </w:r>
          </w:p>
        </w:tc>
        <w:tc>
          <w:tcPr>
            <w:tcW w:w="1744" w:type="dxa"/>
            <w:tcBorders>
              <w:top w:val="single" w:color="auto" w:sz="4" w:space="0"/>
              <w:left w:val="single" w:color="auto" w:sz="4" w:space="0"/>
              <w:bottom w:val="single" w:color="auto" w:sz="4" w:space="0"/>
              <w:right w:val="single" w:color="auto" w:sz="4" w:space="0"/>
            </w:tcBorders>
            <w:vAlign w:val="center"/>
          </w:tcPr>
          <w:p w14:paraId="61533A53">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照明开关</w:t>
            </w:r>
          </w:p>
        </w:tc>
        <w:tc>
          <w:tcPr>
            <w:tcW w:w="4111" w:type="dxa"/>
            <w:tcBorders>
              <w:top w:val="single" w:color="auto" w:sz="4" w:space="0"/>
              <w:left w:val="single" w:color="auto" w:sz="4" w:space="0"/>
              <w:bottom w:val="single" w:color="auto" w:sz="4" w:space="0"/>
              <w:right w:val="single" w:color="auto" w:sz="4" w:space="0"/>
            </w:tcBorders>
            <w:vAlign w:val="center"/>
          </w:tcPr>
          <w:p w14:paraId="63974660">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AC220V, 5A</w:t>
            </w:r>
          </w:p>
        </w:tc>
        <w:tc>
          <w:tcPr>
            <w:tcW w:w="709" w:type="dxa"/>
            <w:tcBorders>
              <w:top w:val="single" w:color="auto" w:sz="4" w:space="0"/>
              <w:left w:val="single" w:color="auto" w:sz="4" w:space="0"/>
              <w:bottom w:val="single" w:color="auto" w:sz="4" w:space="0"/>
              <w:right w:val="single" w:color="auto" w:sz="4" w:space="0"/>
            </w:tcBorders>
            <w:vAlign w:val="center"/>
          </w:tcPr>
          <w:p w14:paraId="30286026">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1DF61B6A">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447" w:type="dxa"/>
            <w:tcBorders>
              <w:top w:val="single" w:color="auto" w:sz="4" w:space="0"/>
              <w:left w:val="single" w:color="auto" w:sz="4" w:space="0"/>
              <w:bottom w:val="single" w:color="auto" w:sz="4" w:space="0"/>
              <w:right w:val="single" w:color="auto" w:sz="4" w:space="0"/>
            </w:tcBorders>
            <w:vAlign w:val="center"/>
          </w:tcPr>
          <w:p w14:paraId="5B1DD937">
            <w:pPr>
              <w:snapToGrid w:val="0"/>
              <w:spacing w:line="360" w:lineRule="auto"/>
              <w:rPr>
                <w:rFonts w:hint="eastAsia" w:asciiTheme="minorEastAsia" w:hAnsiTheme="minorEastAsia" w:eastAsiaTheme="minorEastAsia" w:cstheme="minorEastAsia"/>
                <w:snapToGrid w:val="0"/>
                <w:color w:val="auto"/>
                <w:szCs w:val="21"/>
              </w:rPr>
            </w:pPr>
          </w:p>
        </w:tc>
      </w:tr>
      <w:tr w14:paraId="2B73C897">
        <w:tblPrEx>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14:paraId="213CF5B9">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w:t>
            </w:r>
          </w:p>
        </w:tc>
        <w:tc>
          <w:tcPr>
            <w:tcW w:w="1744" w:type="dxa"/>
            <w:tcBorders>
              <w:top w:val="single" w:color="auto" w:sz="4" w:space="0"/>
              <w:left w:val="single" w:color="auto" w:sz="4" w:space="0"/>
              <w:bottom w:val="single" w:color="auto" w:sz="4" w:space="0"/>
              <w:right w:val="single" w:color="auto" w:sz="4" w:space="0"/>
            </w:tcBorders>
            <w:vAlign w:val="center"/>
          </w:tcPr>
          <w:p w14:paraId="6C615AEA">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照明灯</w:t>
            </w:r>
          </w:p>
        </w:tc>
        <w:tc>
          <w:tcPr>
            <w:tcW w:w="4111" w:type="dxa"/>
            <w:tcBorders>
              <w:top w:val="single" w:color="auto" w:sz="4" w:space="0"/>
              <w:left w:val="single" w:color="auto" w:sz="4" w:space="0"/>
              <w:bottom w:val="single" w:color="auto" w:sz="4" w:space="0"/>
              <w:right w:val="single" w:color="auto" w:sz="4" w:space="0"/>
            </w:tcBorders>
            <w:vAlign w:val="center"/>
          </w:tcPr>
          <w:p w14:paraId="321F57D3">
            <w:pPr>
              <w:snapToGrid w:val="0"/>
              <w:spacing w:line="360" w:lineRule="auto"/>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AC220V</w:t>
            </w:r>
          </w:p>
        </w:tc>
        <w:tc>
          <w:tcPr>
            <w:tcW w:w="709" w:type="dxa"/>
            <w:tcBorders>
              <w:top w:val="single" w:color="auto" w:sz="4" w:space="0"/>
              <w:left w:val="single" w:color="auto" w:sz="4" w:space="0"/>
              <w:bottom w:val="single" w:color="auto" w:sz="4" w:space="0"/>
              <w:right w:val="single" w:color="auto" w:sz="4" w:space="0"/>
            </w:tcBorders>
            <w:vAlign w:val="center"/>
          </w:tcPr>
          <w:p w14:paraId="662AFA02">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只</w:t>
            </w:r>
          </w:p>
        </w:tc>
        <w:tc>
          <w:tcPr>
            <w:tcW w:w="709" w:type="dxa"/>
            <w:tcBorders>
              <w:top w:val="single" w:color="auto" w:sz="4" w:space="0"/>
              <w:left w:val="single" w:color="auto" w:sz="4" w:space="0"/>
              <w:bottom w:val="single" w:color="auto" w:sz="4" w:space="0"/>
              <w:right w:val="single" w:color="auto" w:sz="4" w:space="0"/>
            </w:tcBorders>
            <w:vAlign w:val="center"/>
          </w:tcPr>
          <w:p w14:paraId="71F348A5">
            <w:pPr>
              <w:snapToGrid w:val="0"/>
              <w:spacing w:line="360" w:lineRule="auto"/>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447" w:type="dxa"/>
            <w:tcBorders>
              <w:top w:val="single" w:color="auto" w:sz="4" w:space="0"/>
              <w:left w:val="single" w:color="auto" w:sz="4" w:space="0"/>
              <w:bottom w:val="single" w:color="auto" w:sz="4" w:space="0"/>
              <w:right w:val="single" w:color="auto" w:sz="4" w:space="0"/>
            </w:tcBorders>
            <w:vAlign w:val="center"/>
          </w:tcPr>
          <w:p w14:paraId="13DF6371">
            <w:pPr>
              <w:snapToGrid w:val="0"/>
              <w:spacing w:line="360" w:lineRule="auto"/>
              <w:rPr>
                <w:rFonts w:hint="eastAsia" w:asciiTheme="minorEastAsia" w:hAnsiTheme="minorEastAsia" w:eastAsiaTheme="minorEastAsia" w:cstheme="minorEastAsia"/>
                <w:snapToGrid w:val="0"/>
                <w:color w:val="auto"/>
                <w:szCs w:val="21"/>
              </w:rPr>
            </w:pPr>
          </w:p>
        </w:tc>
      </w:tr>
    </w:tbl>
    <w:p w14:paraId="3874728F">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2.3 监控系统软件配置</w:t>
      </w:r>
    </w:p>
    <w:p w14:paraId="26C6A88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2.3.1 软件</w:t>
      </w:r>
    </w:p>
    <w:p w14:paraId="1B5125E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（1）操作系统及开发平台应采用国产自主可控的高稳定性、高可靠性产品，推荐采用麒麟或凝思操作系统。</w:t>
      </w:r>
    </w:p>
    <w:p w14:paraId="5ADCCE7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（2）软件应选用目前国内先进流行的工控软件，包括图形生成、数据库、动态连接、实时报警等功能。如采用其他类型的开发软件，应在投标文件的差异表中明列。</w:t>
      </w:r>
    </w:p>
    <w:p w14:paraId="72329E0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历史数据库可采用知名度较高，应用较广泛的数据库。</w:t>
      </w:r>
    </w:p>
    <w:p w14:paraId="5D07028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（3）多媒体语言、图形开发工具。</w:t>
      </w:r>
    </w:p>
    <w:p w14:paraId="17E12F4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（4）各种硬件接口支持软件。</w:t>
      </w:r>
    </w:p>
    <w:p w14:paraId="42EEBA2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（5）用于电站自动控制及管理方面的应用软件。</w:t>
      </w:r>
    </w:p>
    <w:p w14:paraId="3B64962D">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2.3.2 随机资料</w:t>
      </w:r>
    </w:p>
    <w:p w14:paraId="09EB562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用户手册、各硬件接口详细资料及编程手册、测试数据、备品备件清单、装箱单、质保书等。</w:t>
      </w:r>
    </w:p>
    <w:p w14:paraId="74C2F337">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11.3  计算机监控系统的功能</w:t>
      </w:r>
    </w:p>
    <w:p w14:paraId="75CCEEFD">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3.1 数据采集与处理</w:t>
      </w:r>
    </w:p>
    <w:p w14:paraId="46101BCD">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3.1.1 模拟量的采集与处理：</w:t>
      </w:r>
    </w:p>
    <w:p w14:paraId="78D6AB1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⑴ 对电量和非电量进行周期采集，越限报警等，对温度量的采集与处理，越复限判断及越限报警，最后经格式化处理后形成实时数据并存入实时数据库。</w:t>
      </w:r>
    </w:p>
    <w:p w14:paraId="7B1EAA7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⑵ 电站主要的模拟量是温度、压力、水位等。</w:t>
      </w:r>
    </w:p>
    <w:p w14:paraId="1146454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3.1.2 开关量的采集与处理</w:t>
      </w:r>
    </w:p>
    <w:p w14:paraId="62F8404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⑴ 对事故信号、断路器分、合及重要继电保护的动作信号等中断开关量信号，计算机监控系统应能以中断方式迅速响应这些信号并作出一系列必要的反应及自动操作。中断开关量信号输入为无源接点输入，中断方式接收。</w:t>
      </w:r>
    </w:p>
    <w:p w14:paraId="2E1D0D3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⑵ 对各类故障信号、隔离开关的位置信号、机组设备运行状态信号，手动自动方式选择的位置信号等非中断开关量信号，最后经格式化处理后存入实时数据库。</w:t>
      </w:r>
    </w:p>
    <w:p w14:paraId="1F1ABC4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3.1.3 开关量输出</w:t>
      </w:r>
    </w:p>
    <w:p w14:paraId="1FBAC9E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特指各类操作指令。计算机在输出这些信号前应进行校验，经判断无误后方可送至执行机构，为保证信号的电气独立性及准确性，开关输出信号也应经光电隔离，接点防抖动处理后发出。</w:t>
      </w:r>
    </w:p>
    <w:p w14:paraId="2A9992C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3.1.4 信号量值及状态设定</w:t>
      </w:r>
    </w:p>
    <w:p w14:paraId="202B64D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对电站由于设备原因而造成的信号出错以及在必要时要进行人工设定值分析处理的信号量，计算机监控系统应允许运行值班人员和系统操作人员对其进行人工设定，并在处理时把它们与正常采集的信号等同对待,计算机监控系统可以区分它们并给出相应标志。</w:t>
      </w:r>
    </w:p>
    <w:p w14:paraId="237D3A7E">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3.2 运行监视和事件报警</w:t>
      </w:r>
    </w:p>
    <w:p w14:paraId="3CB840F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3.2.1 运行实时监视</w:t>
      </w:r>
    </w:p>
    <w:p w14:paraId="18C7653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计算机监控系统可以使运行人员通过显示器对全站各主要设备的运行状态进行实时监视。所有要进行监视的内容包括当前各设备的运行及停运情况，并对各运行参数进行实时显示。</w:t>
      </w:r>
    </w:p>
    <w:p w14:paraId="083F51FB">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3.2.2 参数越复限报警记录</w:t>
      </w:r>
    </w:p>
    <w:p w14:paraId="3256758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监控系统将对某些参数以及计算数据进行监视。对这些参数量值可预先设定其限制范围，启动相关量分析功能，作故障原因提示。对于一些重要参数要有趋势报警。</w:t>
      </w:r>
    </w:p>
    <w:p w14:paraId="1189FF6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3.2.3 事故顺序记录</w:t>
      </w:r>
    </w:p>
    <w:p w14:paraId="3073FE7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当电站发生事故造成断路器跳闸、重合闸动作等情况时，监控系统应立即以中断方式响应并自动显示、记录和打印事故名称及时间；记录和打印相关设备的动作情况，自动推出相关画面，作事故原因分析及提示处理方法，计算机监控系统应能将发生的事故及设备的动作情况按其发生的先后顺序记录下来，且记录的分辨率不超过5ms。</w:t>
      </w:r>
    </w:p>
    <w:p w14:paraId="3FBFC4B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3.2.4 故障状态显示记录</w:t>
      </w:r>
    </w:p>
    <w:p w14:paraId="50AB84A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计算机监控系统定时扫查各故障状态信号，一旦发生状变将在显示器上即时显示出来，同时记录故障及其发生时间，并用语音报警。计算机监控系统对故障状态信号的查询周期不超过2秒。</w:t>
      </w:r>
    </w:p>
    <w:p w14:paraId="6AD0867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3.2.5 事故追忆及相关量记录</w:t>
      </w:r>
    </w:p>
    <w:p w14:paraId="6BEDB51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电站发生事故时，需对事故发生前后的某些重要参数和相关量进行追忆记录，以供运行人员事后分析。</w:t>
      </w:r>
    </w:p>
    <w:p w14:paraId="03F84ED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3.2.6 温度巡测</w:t>
      </w:r>
    </w:p>
    <w:p w14:paraId="41DB4FC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机组测温配置了数字温度仪及温度巡测装置（装于机组测温制动屏），用于测量轴瓦、定子铁芯等的温度，并有越限停机及报警功能。温度巡测装置还通过RS232口或RS485口与机组LCU交换信息。机组LCU收集温度数据后，应具有实时显示当前的最高瓦温及平均瓦温的功能，对重要瓦温的变化率趋势具有越限报警功能，并能按设定的时间间隔记录温度数据、打印有关表格。</w:t>
      </w:r>
    </w:p>
    <w:p w14:paraId="2859E8DE">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3.3 控制与调节</w:t>
      </w:r>
    </w:p>
    <w:p w14:paraId="5F015A7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3.3.1 控制与调节对象：2台机组及其辅助设备、1台主变压器、35kV/10kV线路、厂用变压器以及电站公用设备等。</w:t>
      </w:r>
    </w:p>
    <w:p w14:paraId="61CBEDA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3.3.2 控制与调节方式：远方／现地</w:t>
      </w:r>
    </w:p>
    <w:p w14:paraId="3E6E745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远方方式</w:t>
      </w:r>
    </w:p>
    <w:p w14:paraId="31CDD91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当计算机系统正常运行时，中控室值班人员通过主控站工控机人机接口对设备进行监控，完成自动开、停机，自动准同期并列，增减负荷，调整频率和电压；按给定负荷或负荷曲线、发电机出口电压、系统频率进行自动调整等。</w:t>
      </w:r>
    </w:p>
    <w:p w14:paraId="37C5E95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现地控制</w:t>
      </w:r>
    </w:p>
    <w:p w14:paraId="4CF23E4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当计算机系统退出运行或通讯中断时，值班人员到机旁通过操作键盘或按纽直接向LCU单元发出命令，完成开停机，自动准同期并列，工况转换，负荷调整等操作。</w:t>
      </w:r>
    </w:p>
    <w:p w14:paraId="02CCED2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自动发电控制AGC和自动电压控制AVC</w:t>
      </w:r>
    </w:p>
    <w:p w14:paraId="3B6C734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由于电厂不大，因此AGC功能可适当简化，主要功能：</w:t>
      </w:r>
    </w:p>
    <w:p w14:paraId="1E984F6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按负荷曲线方式控制全厂的总有功功率。</w:t>
      </w:r>
    </w:p>
    <w:p w14:paraId="572D3C2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按给定负荷方式控制全厂的总有功功率。</w:t>
      </w:r>
    </w:p>
    <w:p w14:paraId="23503F7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同样，AVC功能由于机组不大，起不了多大的作用，简单地按维持母线电压运行即可。</w:t>
      </w:r>
    </w:p>
    <w:p w14:paraId="75C5684E">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3.3.3 统计与制表</w:t>
      </w:r>
    </w:p>
    <w:p w14:paraId="2944C09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对采集的定时数据与检测的事件进行在线计算，打印输出各种运行日志和报表。</w:t>
      </w:r>
    </w:p>
    <w:p w14:paraId="7AF5AF14">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3.3.4 人机接口</w:t>
      </w:r>
    </w:p>
    <w:p w14:paraId="2A0860A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在曲线显示系统上显示实时图形，使运行人员对全厂生产过程进行安全监视，并通过主控站微机功能键盘或PLC面板，运行人员可以在线调整画面，显示数据和状态，投退测点，修改参数，控制操作，P、Q调节等。</w:t>
      </w:r>
    </w:p>
    <w:p w14:paraId="189FCC7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3.3.5 画面显示</w:t>
      </w:r>
    </w:p>
    <w:p w14:paraId="7C4DB39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画面显示是计算机监控系统的主要功能。画面调用将允许自动及召唤方式实现。自动方式指当有事故发生时或进行某些操作时有关画面的自动推出，召唤方式指操作某些功能键或以菜单方式调用所需画面。画面种类包括单线图、棒形图、曲线、各种语句、表格等。要求画面显示清晰稳定，画面结构合理，刷新速度快且操作简单。</w:t>
      </w:r>
    </w:p>
    <w:p w14:paraId="6457EA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(l) 单线系统种类</w:t>
      </w:r>
    </w:p>
    <w:p w14:paraId="5317BB4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包括电气主接线图、厂用电接线图、油、水、气系统图等。在这类画面上能实时显示出运行设备的实时状态及某些重要参数的实时值，必要时可通过窗口显示其它有关信息。不同电压等级的母线应用规定颜色加以区别，通断电时母线应能变色显示，油和水系统通断应能动态显示。</w:t>
      </w:r>
    </w:p>
    <w:p w14:paraId="0BF1F8F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剖面图</w:t>
      </w:r>
    </w:p>
    <w:p w14:paraId="6DD28A2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在画面上能实时显示出机组功率、电压、电流、转速、流量、温度、水位等参数，做到形象直观；并能点动弹出各机组的控制画面。至少包括单台或多台机组的正视和侧视图，这些图要求采用三维动画制作来反映机组动态运行状态。</w:t>
      </w:r>
    </w:p>
    <w:p w14:paraId="61CBB91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棒图类</w:t>
      </w:r>
    </w:p>
    <w:p w14:paraId="4AF9661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指机组有功、无功功率(实发、给定、计算应发值)以及效率等的显示。</w:t>
      </w:r>
    </w:p>
    <w:p w14:paraId="2780430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曲线种类</w:t>
      </w:r>
    </w:p>
    <w:p w14:paraId="5CAD835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包括运行电压曲线和频率曲线，给定负荷曲线以及各类运行图。计算机监控系统将能够按照运行操作人员的要求自动的组织相应时间区间，并显示在屏幕上。</w:t>
      </w:r>
    </w:p>
    <w:p w14:paraId="1BD9C09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 表格类</w:t>
      </w:r>
    </w:p>
    <w:p w14:paraId="04B7257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包括参数及参数给定值、特性表、定值变更统计表、各类报警信息统计表，操作统计表、各类运行报表、运行日志、操作票等。</w:t>
      </w:r>
    </w:p>
    <w:p w14:paraId="2A552E3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 运行指导类</w:t>
      </w:r>
    </w:p>
    <w:p w14:paraId="6A07689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 机组工况转换过程监视</w:t>
      </w:r>
    </w:p>
    <w:p w14:paraId="300B22C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当机组启停等指令下达后，监控系统能自动显示相应的机组操作监视画面。画面能以流程框图的形式实时显示机组工况转换过程中每一步骤及执行情况，或提示在工况转换过程受阻的部位及原因。</w:t>
      </w:r>
    </w:p>
    <w:p w14:paraId="7B4C7FE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 电站一次设备操作指导</w:t>
      </w:r>
    </w:p>
    <w:p w14:paraId="05E1C04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当电站一次设备要进行倒闸操作时，监控系统将能根据全厂当前的运行状态及隔离开关和地刀的闭锁条件，判断该设备在当前是否允许操作并给出相应的标志。如果操作是不允许的，则提示其闭锁原因，防止人为的误操作发生。</w:t>
      </w:r>
    </w:p>
    <w:p w14:paraId="653DA0B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 厂用电系统操作指导</w:t>
      </w:r>
    </w:p>
    <w:p w14:paraId="33D17C8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当前厂用电的运行状态及有关厂用电运行方式、倒闸操作限制条件的约束，监控系统能判断某个厂用电断路器或刀闸在当前是否允许操作并给出相应的标志。如果操作允许则提示操作的先后顺序，如果操作不允许则提示其原因。</w:t>
      </w:r>
    </w:p>
    <w:p w14:paraId="100E38E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 事故和故障处理指导</w:t>
      </w:r>
    </w:p>
    <w:p w14:paraId="36E0A46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监控系统可在事故或故障产生时，可推出相应的事故和故障处理指导。</w:t>
      </w:r>
    </w:p>
    <w:p w14:paraId="2B9853E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事故处理指导和恢复正常操作指导的对象有：机组；变压器；监控系统本身；配电装置系统和其它开关设备；电缆及母线；厂用电系统。</w:t>
      </w:r>
    </w:p>
    <w:p w14:paraId="27B634F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 设备状态维修的指导</w:t>
      </w:r>
    </w:p>
    <w:p w14:paraId="24861D5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除了正常地监视各类设备的运行状态外还具备设备的维修指导，如：根据设备生产厂的指标，统计和累加断路器切断负荷电流的时间和大小乘积，达到指定的参数时给出提示，使设备的维护更科学。</w:t>
      </w:r>
    </w:p>
    <w:p w14:paraId="2F534AF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3.3.6 语音报警功能</w:t>
      </w:r>
    </w:p>
    <w:p w14:paraId="6DAA7B8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当需要对重要操作进行提示，以及电厂发生事故或故障时，应能用准确、清晰的语言向有关人员发出报警，并应能够通过拨号上寻呼台，实时召唤值班人员。</w:t>
      </w:r>
    </w:p>
    <w:p w14:paraId="383307D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3.3.7 自诊断和冗余切换</w:t>
      </w:r>
    </w:p>
    <w:p w14:paraId="41617E8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监控系统具备在线自诊断功能，能诊断出系统中的故障，并能定位故障部位。</w:t>
      </w:r>
    </w:p>
    <w:p w14:paraId="7A4EAA1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任何系统网络上的结点发生故障，都可在操作员工作站上给出提示信息，并记入自诊断表中。</w:t>
      </w:r>
    </w:p>
    <w:p w14:paraId="4130BFE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3.3.8 远程诊断</w:t>
      </w:r>
    </w:p>
    <w:p w14:paraId="1B12B02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监控系统具有远方在线诊断的功能。可通过电话拨号方式连通远方计算机与电厂监控系统，进行远方在线诊断。</w:t>
      </w:r>
    </w:p>
    <w:p w14:paraId="1E0B677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3.3.9 培训仿真系统</w:t>
      </w:r>
    </w:p>
    <w:p w14:paraId="0783B3F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本系统提供培训仿真功能，电厂运行和维护人员可在工作站上通过交互式培训，学习掌握对监控系统的操作和对电厂运行和事故处理等方面的知识。培训系统包括学习系统、正常操作训练、事故处理训练，监控系统开发训练，顺控流程的离线调试和学员成绩评价等系统。</w:t>
      </w:r>
    </w:p>
    <w:p w14:paraId="2031A123">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3.4 系统的性能及技术指标</w:t>
      </w:r>
    </w:p>
    <w:p w14:paraId="47FE3C1D">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3.4.1 对系统的一般技术要求</w:t>
      </w:r>
    </w:p>
    <w:p w14:paraId="5E4493C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⑴ 现场条件</w:t>
      </w:r>
    </w:p>
    <w:p w14:paraId="505B7A2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环境条件：计算机主站设备装设在有取暖设备的室内。主控站设备和LCU设备应设计在下列温度和湿度条件下运行。</w:t>
      </w:r>
    </w:p>
    <w:p w14:paraId="5563211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主控站设备</w:t>
      </w:r>
    </w:p>
    <w:p w14:paraId="082F87A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——湿度10～80％</w:t>
      </w:r>
    </w:p>
    <w:p w14:paraId="21DC19D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——温度5～35℃</w:t>
      </w:r>
    </w:p>
    <w:p w14:paraId="6455F1D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LCU 设备：</w:t>
      </w:r>
    </w:p>
    <w:p w14:paraId="195FC9B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——湿度l0～95％</w:t>
      </w:r>
    </w:p>
    <w:p w14:paraId="06CAF12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——温度-5℃～50℃</w:t>
      </w:r>
    </w:p>
    <w:p w14:paraId="1693FDA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⑵ 防振动和冲击</w:t>
      </w:r>
    </w:p>
    <w:p w14:paraId="6776C23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监控系统设备应在振动5～200Hz时，加速度不超过5m/s</w:t>
      </w:r>
      <w:r>
        <w:rPr>
          <w:rFonts w:hint="eastAsia" w:asciiTheme="minorEastAsia" w:hAnsiTheme="minorEastAsia" w:eastAsiaTheme="minorEastAsia" w:cstheme="minorEastAsia"/>
          <w:color w:val="auto"/>
          <w:kern w:val="0"/>
          <w:szCs w:val="21"/>
          <w:vertAlign w:val="superscript"/>
        </w:rPr>
        <w:t>2</w:t>
      </w:r>
      <w:r>
        <w:rPr>
          <w:rFonts w:hint="eastAsia" w:asciiTheme="minorEastAsia" w:hAnsiTheme="minorEastAsia" w:eastAsiaTheme="minorEastAsia" w:cstheme="minorEastAsia"/>
          <w:color w:val="auto"/>
          <w:kern w:val="0"/>
          <w:szCs w:val="21"/>
        </w:rPr>
        <w:t>的条件下长期运行。</w:t>
      </w:r>
    </w:p>
    <w:p w14:paraId="4015B26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⑶ 电气环境：</w:t>
      </w:r>
    </w:p>
    <w:p w14:paraId="3092C27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本系统应考虑到现场环境中可能存在的电磁的、静电的和感应暂态电压，以及电站所处地理位置的特殊情况，并负责确保所有硬件在高静电、高噪声环境下的安全运行，并具有足够的抗雷电干扰措施。暂态电压保护的技术参数和绝缘耐压满足本节的规定。</w:t>
      </w:r>
    </w:p>
    <w:p w14:paraId="4E5D07F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⑷ 尘埃：</w:t>
      </w:r>
    </w:p>
    <w:p w14:paraId="412DC4D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应根据不同的安装位置，考虑防尘措施，采用密闭机柜和带过滤器的通风孔。</w:t>
      </w:r>
    </w:p>
    <w:p w14:paraId="2C4BCEA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⑸ 噪声限制：</w:t>
      </w:r>
    </w:p>
    <w:p w14:paraId="0551B13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在中控室的主控站微机及其外设所引起的噪声小于60分贝。</w:t>
      </w:r>
    </w:p>
    <w:p w14:paraId="0E5A774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⑹ 设备电源：</w:t>
      </w:r>
    </w:p>
    <w:p w14:paraId="0895D35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由UPS电源为各工作站设备提供1路50Hz交流220V的电源，交流电压变化范围-10％～+15％；为各现地LCU屏提供1路50Hz交流220V及1路直流220V的电源，但监控系统应解决LCU的电源切换。</w:t>
      </w:r>
    </w:p>
    <w:p w14:paraId="042FEB1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⑺ 设备的接地：</w:t>
      </w:r>
    </w:p>
    <w:p w14:paraId="257C8BD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计算机监控系统设备和电站设备共用一接地网，不考虑采用单独的接地网。接地系统的接地电阻不大于1Ω。</w:t>
      </w:r>
    </w:p>
    <w:p w14:paraId="5E3B610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3.4.2 系统性能保证</w:t>
      </w:r>
    </w:p>
    <w:p w14:paraId="393771B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状态和报警点采集周期        ≤2s</w:t>
      </w:r>
    </w:p>
    <w:p w14:paraId="5E29048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模拟量采集周期：</w:t>
      </w:r>
    </w:p>
    <w:p w14:paraId="1D992A91">
      <w:pPr>
        <w:spacing w:line="360" w:lineRule="auto"/>
        <w:ind w:firstLine="630" w:firstLineChars="3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 电量                       ≤1s</w:t>
      </w:r>
    </w:p>
    <w:p w14:paraId="5DE2EE0D">
      <w:pPr>
        <w:spacing w:line="360" w:lineRule="auto"/>
        <w:ind w:firstLine="630" w:firstLineChars="3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 非电量                     ≤2s</w:t>
      </w:r>
    </w:p>
    <w:p w14:paraId="5F7E92A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事件顺序记录点分辨率        &lt;5 ms</w:t>
      </w:r>
    </w:p>
    <w:p w14:paraId="2F8D0A3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现地控制级接收控制指令</w:t>
      </w:r>
    </w:p>
    <w:p w14:paraId="783BD7A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到开始执行的时间          &lt;1s</w:t>
      </w:r>
    </w:p>
    <w:p w14:paraId="5797C73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 时钟同步精度                 ± 1ms</w:t>
      </w:r>
    </w:p>
    <w:p w14:paraId="708F32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 平均故障间隔时间(MTBF)</w:t>
      </w:r>
    </w:p>
    <w:p w14:paraId="6559E97C">
      <w:pPr>
        <w:spacing w:line="360" w:lineRule="auto"/>
        <w:ind w:firstLine="630" w:firstLineChars="3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 计算机监控系统             &gt; 10000h</w:t>
      </w:r>
    </w:p>
    <w:p w14:paraId="19EDF093">
      <w:pPr>
        <w:spacing w:line="360" w:lineRule="auto"/>
        <w:ind w:firstLine="630" w:firstLineChars="3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 主控级计算机(含磁盘)       &gt; 17000h</w:t>
      </w:r>
    </w:p>
    <w:p w14:paraId="5FAB1F8B">
      <w:pPr>
        <w:spacing w:line="360" w:lineRule="auto"/>
        <w:ind w:firstLine="630" w:firstLineChars="3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 现地控制单元               &gt; 17000h</w:t>
      </w:r>
    </w:p>
    <w:p w14:paraId="5D05776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 可维护性(MTTR)             &lt; 0.5h</w:t>
      </w:r>
    </w:p>
    <w:p w14:paraId="4C74307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 计算机监控系统可利用率(A)   &gt; 99.9 %</w:t>
      </w:r>
    </w:p>
    <w:p w14:paraId="6AAD88B5">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11.4  计算机监控系统性能指标</w:t>
      </w:r>
    </w:p>
    <w:p w14:paraId="638A0833">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4.1 保证操作安全性措施</w:t>
      </w:r>
    </w:p>
    <w:p w14:paraId="6A02A50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计算机监控系统为每一功能和操作都提供检查和校核，操作有误时能自动闭锁并产生报警。任何自动和手动操作都可以记录、存贮并做出提示。在人机通信中设操作员控制权口令。按控制层次实现操作闭锁，其优先顺序为：现地控制层第一，电站控制层第二。</w:t>
      </w:r>
    </w:p>
    <w:p w14:paraId="3E238458">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4.2 保证通信安全性措施</w:t>
      </w:r>
    </w:p>
    <w:p w14:paraId="469EC94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监控系统的设计可以保证信息中的一个错误不会导致系统关键性的故障。主控层和LCU的通信涉及控制信息时，能对响应有效信息或没有响应有效信息有明确肯定的指示，当通信失败时，考虑2—5次重复通信并发出报警信息。</w:t>
      </w:r>
    </w:p>
    <w:p w14:paraId="19668783">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4.3 保证系统硬件、软件及固件安全性的措施</w:t>
      </w:r>
    </w:p>
    <w:p w14:paraId="5E233AF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4.3.1 具有电源故障保护和自动重新启动的功能</w:t>
      </w:r>
    </w:p>
    <w:p w14:paraId="2754C08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4.3.2 初始状态可以预置并进行重新预置</w:t>
      </w:r>
    </w:p>
    <w:p w14:paraId="661EFC3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4.3.3 有自检能力，检测出故障时能自动报警</w:t>
      </w:r>
    </w:p>
    <w:p w14:paraId="00DD2E2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4.3.4 设备故障时可以自动切除和自动切换</w:t>
      </w:r>
    </w:p>
    <w:p w14:paraId="5699FBB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4.3.5 系统任何单个元件的故障都不会造成生产设备的误动作</w:t>
      </w:r>
    </w:p>
    <w:p w14:paraId="67F5679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4.3.6 系统设计或系统性能应考虑到重载和紧急临界情况</w:t>
      </w:r>
    </w:p>
    <w:p w14:paraId="6062D29B">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4.4 网络结构说明、技术指标（传输速率、传输距离、传输介质等）</w:t>
      </w:r>
    </w:p>
    <w:p w14:paraId="1F853F2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本系统采用以太网，通讯传输的介质为光纤和网络双绞线，传输的速率为1000/100 Mbit/s，通讯规约为TCP/IP。</w:t>
      </w:r>
    </w:p>
    <w:p w14:paraId="7A289923">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4.5 计算机监控系统可扩性和可变性</w:t>
      </w:r>
    </w:p>
    <w:p w14:paraId="2C81B0A7">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4.5.1 系统可扩性的限制</w:t>
      </w:r>
    </w:p>
    <w:p w14:paraId="0AAB520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点容量或存储器容量的极限</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150%</w:t>
      </w:r>
    </w:p>
    <w:p w14:paraId="0DDE5FE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使用的程序、地址、标志或缓冲器的极限</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150%</w:t>
      </w:r>
    </w:p>
    <w:p w14:paraId="75D3A96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数据速率极限</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1000/100 Mbit/s</w:t>
      </w:r>
    </w:p>
    <w:p w14:paraId="257073E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增添部件时,接口修改或部件重新定位等设计和运行的限制   150%</w:t>
      </w:r>
    </w:p>
    <w:p w14:paraId="79F40F87">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4.5.2  系统扩充范围</w:t>
      </w:r>
    </w:p>
    <w:p w14:paraId="0FF5CA3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备用点不少于使用点设备的                              20%</w:t>
      </w:r>
    </w:p>
    <w:p w14:paraId="3BAB5D3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电站控制层CPU负载和存储器容量应预留的余度           ＞50%</w:t>
      </w:r>
    </w:p>
    <w:p w14:paraId="20E4F1A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现地控制装置、外围设备</w:t>
      </w:r>
    </w:p>
    <w:p w14:paraId="5EF8BEA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或系统通信的备用接口</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20%</w:t>
      </w:r>
    </w:p>
    <w:p w14:paraId="2E29535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通道利用率应留有的余度</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50%</w:t>
      </w:r>
    </w:p>
    <w:p w14:paraId="073AEFA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CPU平均负载率不超过</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50%</w:t>
      </w:r>
    </w:p>
    <w:p w14:paraId="33AF154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CPU最大负载率不超过</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70%</w:t>
      </w:r>
    </w:p>
    <w:p w14:paraId="20A4B7B7">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4.5.3 监控系统的可变性在保证系统原有功能正常工作,不受改变影响的情况下,说明用户在运行现场对本系统装置中点参数或结构配置改变的可能性,并说明被改变的各点参数或结构配置的限制条件。</w:t>
      </w:r>
    </w:p>
    <w:p w14:paraId="242DF82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系统允许用户补充、修改被测点的定义、定值、单位、标度及其它数据特征；允许对前置机重新编址和重新布置；允许用户自行开发画面、打印格式及其它功能。</w:t>
      </w:r>
    </w:p>
    <w:p w14:paraId="705629FF">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4.6 监控系统硬件设备特性</w:t>
      </w:r>
    </w:p>
    <w:p w14:paraId="500D7C5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4.6.1 系统结构</w:t>
      </w:r>
    </w:p>
    <w:p w14:paraId="7AEADA7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详见招标附图。</w:t>
      </w:r>
    </w:p>
    <w:p w14:paraId="2636E9D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4.6.2 接口设备特性</w:t>
      </w:r>
    </w:p>
    <w:p w14:paraId="693BAE8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模拟量输入、输出特性</w:t>
      </w:r>
    </w:p>
    <w:p w14:paraId="0F09A98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模拟量输入信号接口连接方式</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差分</w:t>
      </w:r>
    </w:p>
    <w:p w14:paraId="307112D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模拟量输出信号接口连接方式</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差分</w:t>
      </w:r>
    </w:p>
    <w:p w14:paraId="4956985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模拟量输入接口参数</w:t>
      </w:r>
    </w:p>
    <w:p w14:paraId="4B456A6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a、信号范围</w:t>
      </w:r>
    </w:p>
    <w:p w14:paraId="1E9C881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电流</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4--20mA</w:t>
      </w:r>
    </w:p>
    <w:p w14:paraId="64B149A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电压</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0--10V</w:t>
      </w:r>
    </w:p>
    <w:p w14:paraId="05920CF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b、输入阻抗</w:t>
      </w:r>
    </w:p>
    <w:p w14:paraId="19B4444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电流</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＜250Ω</w:t>
      </w:r>
    </w:p>
    <w:p w14:paraId="02E32ED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电压</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＞9MΩ</w:t>
      </w:r>
    </w:p>
    <w:p w14:paraId="31A65A3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c、模数转换分辨率(含符号位)</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 12 位</w:t>
      </w:r>
    </w:p>
    <w:p w14:paraId="14720C3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d、最大误差(25℃)(从变送器取信号)</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≤±0.25%</w:t>
      </w:r>
    </w:p>
    <w:p w14:paraId="295BDA2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e、共模电压</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≥200V</w:t>
      </w:r>
    </w:p>
    <w:p w14:paraId="7164296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f、共模抑制比</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≥90dB</w:t>
      </w:r>
    </w:p>
    <w:p w14:paraId="32AD64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g、常模抑制比</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≥60dB</w:t>
      </w:r>
    </w:p>
    <w:p w14:paraId="02864EC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h、抗干扰措施</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滤波、隔离、抗浪涌</w:t>
      </w:r>
    </w:p>
    <w:p w14:paraId="06DFC69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模拟量输出接口参数</w:t>
      </w:r>
    </w:p>
    <w:p w14:paraId="49BDDE7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a、信号范围:</w:t>
      </w:r>
    </w:p>
    <w:p w14:paraId="567CD01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电流</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4--20mA</w:t>
      </w:r>
    </w:p>
    <w:p w14:paraId="7E3F6FD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电压</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0--10V</w:t>
      </w:r>
    </w:p>
    <w:p w14:paraId="0E223A2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b、负载阻抗</w:t>
      </w:r>
    </w:p>
    <w:p w14:paraId="447E99F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电流</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＜500Ω</w:t>
      </w:r>
    </w:p>
    <w:p w14:paraId="2EECC35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电压</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＞2000Ω</w:t>
      </w:r>
    </w:p>
    <w:p w14:paraId="2A6DCD8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c、信号精度</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±0.25%</w:t>
      </w:r>
    </w:p>
    <w:p w14:paraId="17B1D83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d、模数转换分辨率(含符号位)</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12位</w:t>
      </w:r>
    </w:p>
    <w:p w14:paraId="70A0DD9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e、响应时间</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≤2s</w:t>
      </w:r>
    </w:p>
    <w:p w14:paraId="4D61C86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f、共模电压</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200V</w:t>
      </w:r>
    </w:p>
    <w:p w14:paraId="2562798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数字量、开关量输入接口参数</w:t>
      </w:r>
    </w:p>
    <w:p w14:paraId="2D91C35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a、信号范围</w:t>
      </w:r>
    </w:p>
    <w:p w14:paraId="43BA52F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电流</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10mA</w:t>
      </w:r>
    </w:p>
    <w:p w14:paraId="5917B5B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电压</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24V</w:t>
      </w:r>
    </w:p>
    <w:p w14:paraId="3DDA5A6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b、最小变态检测时间</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2mS</w:t>
      </w:r>
    </w:p>
    <w:p w14:paraId="3B7770F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c、最大变态检测时间</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30mS</w:t>
      </w:r>
    </w:p>
    <w:p w14:paraId="123610E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d、接地电阻</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＜4Ω</w:t>
      </w:r>
    </w:p>
    <w:p w14:paraId="6EAE299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e、在工作电压下接点对地电阻</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＜1MΩ</w:t>
      </w:r>
    </w:p>
    <w:p w14:paraId="12DCA17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f、数字信号输入接口抗干扰及</w:t>
      </w:r>
    </w:p>
    <w:p w14:paraId="1DE2DBC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防浪涌电压措施</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LCU开关量输入采用光隔和浪涌吸收</w:t>
      </w:r>
    </w:p>
    <w:p w14:paraId="6DE2D68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数字量输出接口参数</w:t>
      </w:r>
    </w:p>
    <w:p w14:paraId="3079713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a、信号范围</w:t>
      </w:r>
    </w:p>
    <w:p w14:paraId="75D0699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电流</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0--50mA</w:t>
      </w:r>
    </w:p>
    <w:p w14:paraId="1086442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电压</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0--30V</w:t>
      </w:r>
    </w:p>
    <w:p w14:paraId="4AD34BB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b、信号持续时间</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可调</w:t>
      </w:r>
    </w:p>
    <w:p w14:paraId="07470E8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c、接点开断容量</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50W</w:t>
      </w:r>
    </w:p>
    <w:p w14:paraId="0408F0E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d、继电器固有动作时间</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5mS</w:t>
      </w:r>
    </w:p>
    <w:p w14:paraId="6FCEA3C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脉冲量输入特性</w:t>
      </w:r>
    </w:p>
    <w:p w14:paraId="19309DC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a、信号电压</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5V、12V、24V</w:t>
      </w:r>
    </w:p>
    <w:p w14:paraId="69DE586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b、信号电流</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10mA</w:t>
      </w:r>
    </w:p>
    <w:p w14:paraId="533D144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c、最小变态检测时间</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30mS</w:t>
      </w:r>
    </w:p>
    <w:p w14:paraId="6D6EE19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d、最大计数率</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999999</w:t>
      </w:r>
    </w:p>
    <w:p w14:paraId="42AAF6B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e、最小计数范围</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-999999</w:t>
      </w:r>
    </w:p>
    <w:p w14:paraId="5C5DAA5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f、计数冻结控制方式</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由主机给出冻结及清零指令</w:t>
      </w:r>
    </w:p>
    <w:p w14:paraId="1DE9141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通信接口特性</w:t>
      </w:r>
    </w:p>
    <w:p w14:paraId="7D93A36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与调度系统的通信接口特性</w:t>
      </w:r>
    </w:p>
    <w:p w14:paraId="0EEFD27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a、通信方式</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同步或异步串行方式</w:t>
      </w:r>
    </w:p>
    <w:p w14:paraId="6B2317B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b、与本系统同步时钟校正精度                          ±1mS</w:t>
      </w:r>
    </w:p>
    <w:p w14:paraId="61FD2C4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c、通信接口设备的误码率</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＜3×10-3</w:t>
      </w:r>
    </w:p>
    <w:p w14:paraId="2C38912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d、接口标准</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EIA/RS-232C或CCITT V.24</w:t>
      </w:r>
    </w:p>
    <w:p w14:paraId="3026F3B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总线网的通信接口特性</w:t>
      </w:r>
    </w:p>
    <w:p w14:paraId="51B01DD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a、通信方式</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以太网</w:t>
      </w:r>
    </w:p>
    <w:p w14:paraId="0B6412B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b、接口标准</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IEEE 802.3</w:t>
      </w:r>
    </w:p>
    <w:p w14:paraId="12DD68D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c、传输速率</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10/100Mbps</w:t>
      </w:r>
    </w:p>
    <w:p w14:paraId="4F4FDFB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d、传输介质</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光纤或双绞线</w:t>
      </w:r>
    </w:p>
    <w:p w14:paraId="0F17F24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e、结点数</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1024</w:t>
      </w:r>
    </w:p>
    <w:p w14:paraId="558E3B5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 交流采样</w:t>
      </w:r>
    </w:p>
    <w:p w14:paraId="40F53F6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用多功能仪表进行交流采样</w:t>
      </w:r>
    </w:p>
    <w:p w14:paraId="6928CD6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输入信号</w:t>
      </w:r>
    </w:p>
    <w:p w14:paraId="239CEF2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a、电压</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0～100V</w:t>
      </w:r>
    </w:p>
    <w:p w14:paraId="6316367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b、电流</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0～5A</w:t>
      </w:r>
    </w:p>
    <w:p w14:paraId="0FFBE94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输出接口</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RS232/RS485</w:t>
      </w:r>
    </w:p>
    <w:p w14:paraId="2E51B81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规约</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MODBUS</w:t>
      </w:r>
    </w:p>
    <w:p w14:paraId="6C26930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被测内容            </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V、A、W、VAR、COSφ、Hz</w:t>
      </w:r>
    </w:p>
    <w:p w14:paraId="556F5C8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 人机接口特性</w:t>
      </w:r>
    </w:p>
    <w:p w14:paraId="4154965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显示器</w:t>
      </w:r>
    </w:p>
    <w:p w14:paraId="4FADF86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a、屏幕尺寸</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23英寸液晶</w:t>
      </w:r>
    </w:p>
    <w:p w14:paraId="5DBA3DB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b、分辨率</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1920×1080</w:t>
      </w:r>
    </w:p>
    <w:p w14:paraId="12149E5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c、显示颜色</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32位真彩</w:t>
      </w:r>
    </w:p>
    <w:p w14:paraId="78882DB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d、显示器连接电缆长度</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10m</w:t>
      </w:r>
    </w:p>
    <w:p w14:paraId="6059779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e、可视区域                                    432×324mm</w:t>
      </w:r>
    </w:p>
    <w:p w14:paraId="351BCCE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f、亮度                                           250cd/m2</w:t>
      </w:r>
    </w:p>
    <w:p w14:paraId="2DDACAB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g、对比度                                           1000:1</w:t>
      </w:r>
    </w:p>
    <w:p w14:paraId="4DDBA44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h、水平视角                                          178度</w:t>
      </w:r>
    </w:p>
    <w:p w14:paraId="797929B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i、垂直视角                                          178度</w:t>
      </w:r>
    </w:p>
    <w:p w14:paraId="2C6206F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j、响应时间                                           6ms</w:t>
      </w:r>
    </w:p>
    <w:p w14:paraId="71D51F1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k、水平频率                                      30~92kHz</w:t>
      </w:r>
    </w:p>
    <w:p w14:paraId="0946121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l、垂直频率                                        50~85Hz</w:t>
      </w:r>
    </w:p>
    <w:p w14:paraId="2B4A0FF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m、带宽                                           165MHz</w:t>
      </w:r>
    </w:p>
    <w:p w14:paraId="0A881E4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n、最佳分辨率                                   1920×1080</w:t>
      </w:r>
    </w:p>
    <w:p w14:paraId="7A23C8F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键  盘</w:t>
      </w:r>
    </w:p>
    <w:p w14:paraId="2A5443A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a、标准键盘型式</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104键</w:t>
      </w:r>
    </w:p>
    <w:p w14:paraId="109950B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打印机</w:t>
      </w:r>
    </w:p>
    <w:p w14:paraId="39D9671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a、型式</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A4/A3幅面网络激光打印机</w:t>
      </w:r>
    </w:p>
    <w:p w14:paraId="7FEBE88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b、打字速度</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最少120字符/秒</w:t>
      </w:r>
    </w:p>
    <w:p w14:paraId="5F295A6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c、消音措施</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声音屏蔽</w:t>
      </w:r>
    </w:p>
    <w:p w14:paraId="58017ADA">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4.7 接地措施</w:t>
      </w:r>
    </w:p>
    <w:p w14:paraId="02C1974C">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4.7.1 接地措施</w:t>
      </w:r>
    </w:p>
    <w:p w14:paraId="007809A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监控系统的接地要求及具体措施</w:t>
      </w:r>
      <w:r>
        <w:rPr>
          <w:rFonts w:hint="eastAsia" w:asciiTheme="minorEastAsia" w:hAnsiTheme="minorEastAsia" w:eastAsiaTheme="minorEastAsia" w:cstheme="minorEastAsia"/>
          <w:color w:val="auto"/>
          <w:kern w:val="0"/>
          <w:szCs w:val="21"/>
        </w:rPr>
        <w:tab/>
      </w:r>
    </w:p>
    <w:p w14:paraId="7AC9AE3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监控系统各LCU及在中控室的终端接地使用电站公用接地网接地，接地电阻不大于1Ω。</w:t>
      </w:r>
    </w:p>
    <w:p w14:paraId="5C40BA8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监控系统所属设备柜内接地总线</w:t>
      </w:r>
    </w:p>
    <w:p w14:paraId="28F2653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a、说明资料</w:t>
      </w:r>
      <w:r>
        <w:rPr>
          <w:rFonts w:hint="eastAsia" w:asciiTheme="minorEastAsia" w:hAnsiTheme="minorEastAsia" w:eastAsiaTheme="minorEastAsia" w:cstheme="minorEastAsia"/>
          <w:color w:val="auto"/>
          <w:kern w:val="0"/>
          <w:szCs w:val="21"/>
        </w:rPr>
        <w:tab/>
      </w:r>
    </w:p>
    <w:p w14:paraId="15B039A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设备外壳接地，交流电源中性点接地、直流工作接地和电缆屏蔽层接地在同一屏柜中采用一个公共接地端子。</w:t>
      </w:r>
    </w:p>
    <w:p w14:paraId="1717CC9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b、断面尺寸</w:t>
      </w:r>
      <w:r>
        <w:rPr>
          <w:rFonts w:hint="eastAsia" w:asciiTheme="minorEastAsia" w:hAnsiTheme="minorEastAsia" w:eastAsiaTheme="minorEastAsia" w:cstheme="minorEastAsia"/>
          <w:color w:val="auto"/>
          <w:kern w:val="0"/>
          <w:szCs w:val="21"/>
        </w:rPr>
        <w:tab/>
      </w:r>
    </w:p>
    <w:p w14:paraId="0FFB256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接地铜线断面尺寸超过50mm</w:t>
      </w:r>
      <w:r>
        <w:rPr>
          <w:rFonts w:hint="eastAsia" w:asciiTheme="minorEastAsia" w:hAnsiTheme="minorEastAsia" w:eastAsiaTheme="minorEastAsia" w:cstheme="minorEastAsia"/>
          <w:color w:val="auto"/>
          <w:kern w:val="0"/>
          <w:szCs w:val="21"/>
          <w:vertAlign w:val="superscript"/>
        </w:rPr>
        <w:t>2</w:t>
      </w:r>
      <w:r>
        <w:rPr>
          <w:rFonts w:hint="eastAsia" w:asciiTheme="minorEastAsia" w:hAnsiTheme="minorEastAsia" w:eastAsiaTheme="minorEastAsia" w:cstheme="minorEastAsia"/>
          <w:color w:val="auto"/>
          <w:kern w:val="0"/>
          <w:szCs w:val="21"/>
        </w:rPr>
        <w:t>。</w:t>
      </w:r>
    </w:p>
    <w:p w14:paraId="2A083E3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c、安装措施</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p>
    <w:p w14:paraId="7D3E868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机柜内有接地铜排，能方便地接到电站公用接地网。</w:t>
      </w:r>
    </w:p>
    <w:p w14:paraId="293A8B5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4.7.2 机柜结构</w:t>
      </w:r>
    </w:p>
    <w:p w14:paraId="6C76B67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对外电磁场的屏蔽措施</w:t>
      </w:r>
      <w:r>
        <w:rPr>
          <w:rFonts w:hint="eastAsia" w:asciiTheme="minorEastAsia" w:hAnsiTheme="minorEastAsia" w:eastAsiaTheme="minorEastAsia" w:cstheme="minorEastAsia"/>
          <w:color w:val="auto"/>
          <w:kern w:val="0"/>
          <w:szCs w:val="21"/>
        </w:rPr>
        <w:tab/>
      </w:r>
    </w:p>
    <w:p w14:paraId="032ECBF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屏蔽保护措施满足相关标准中IP42防护等级。</w:t>
      </w:r>
    </w:p>
    <w:p w14:paraId="02B8F99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4.7.3 控制台及机柜结构尺寸及安装要求</w:t>
      </w:r>
    </w:p>
    <w:p w14:paraId="6E3F0D8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电站控制层各硬件设备</w:t>
      </w:r>
    </w:p>
    <w:p w14:paraId="72CB3DB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a、各硬件设备外形尺寸(厚×宽×高)</w:t>
      </w:r>
    </w:p>
    <w:p w14:paraId="7ACEBEA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参见清单及附图</w:t>
      </w:r>
    </w:p>
    <w:p w14:paraId="7F3EC10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b、中控室控制台结构及外形尺寸由承包单位推荐 (拼装式)</w:t>
      </w:r>
    </w:p>
    <w:p w14:paraId="151918D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c、各硬件设备安装要求</w:t>
      </w:r>
    </w:p>
    <w:p w14:paraId="48149B6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显示器的方向、角度及距离给运行人员最佳的监视效果。</w:t>
      </w:r>
    </w:p>
    <w:p w14:paraId="5BED274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操作键盘放在合适的高度。键盘、鼠标和显示器布置在同一水平面上。</w:t>
      </w:r>
    </w:p>
    <w:p w14:paraId="3FB48B9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控制台上便于放置文件资料。</w:t>
      </w:r>
    </w:p>
    <w:p w14:paraId="5EE5461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控制台上人机接口设备的安装及电缆连接便于替换。</w:t>
      </w:r>
    </w:p>
    <w:p w14:paraId="553CB95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现地控制单元各硬件设备</w:t>
      </w:r>
    </w:p>
    <w:p w14:paraId="3B96FE1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 LCU屏外形尺寸(高×宽×深)</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2260×800×600mm</w:t>
      </w:r>
    </w:p>
    <w:p w14:paraId="041E524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 LCU及附属设备安装要求</w:t>
      </w:r>
    </w:p>
    <w:p w14:paraId="36C33C8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现地控制单元安装在机旁，公用LCU布置在中控室内。</w:t>
      </w:r>
    </w:p>
    <w:p w14:paraId="7473515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设备对安装场地要求</w:t>
      </w:r>
    </w:p>
    <w:p w14:paraId="0DBA3E8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电站控制层计算机</w:t>
      </w:r>
    </w:p>
    <w:p w14:paraId="5CD695E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a、允许最高温度</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35℃</w:t>
      </w:r>
    </w:p>
    <w:p w14:paraId="1ED39EE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b、允许最低温度</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5℃ </w:t>
      </w:r>
    </w:p>
    <w:p w14:paraId="73ADE37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c、允许相对湿度变化范围</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10%--80%</w:t>
      </w:r>
    </w:p>
    <w:p w14:paraId="45B9D8C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d、设备对计算机室的屏蔽要求</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无特别要求</w:t>
      </w:r>
    </w:p>
    <w:p w14:paraId="13535D1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e、设备对计算机室尘埃要求</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p>
    <w:p w14:paraId="0FF25EC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采用封闭机柜及带过滤网的通风孔及其它如防尘罩之类的措施。</w:t>
      </w:r>
    </w:p>
    <w:p w14:paraId="6B2F0A4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现地控制单元(LCU)</w:t>
      </w:r>
    </w:p>
    <w:p w14:paraId="1378F69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a、允许最高温度</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50℃</w:t>
      </w:r>
    </w:p>
    <w:p w14:paraId="5792303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b、允许最低温度</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-5℃</w:t>
      </w:r>
    </w:p>
    <w:p w14:paraId="3A74A41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c、允许相对湿度变化范围</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10-95%</w:t>
      </w:r>
    </w:p>
    <w:p w14:paraId="439D67C4">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4.8 软件说明</w:t>
      </w:r>
    </w:p>
    <w:p w14:paraId="2C6B9A4B">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4.8.1  概述</w:t>
      </w:r>
    </w:p>
    <w:p w14:paraId="64A9AF2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本系统应采用目前国内广泛应用的工作站硬件平台，运行于具有多任务的操作系统。采用计算机领域先进的组态软件进行系统设计，并贴近于工程应用客观对象,可提供给使用者集成环境下的简便快速生成工具，构造控制系统，以及完成现场调试和维护。本系统应具有丰富的人机界面和友善的人机接口，操作具有方便、安全、简单、可靠的特点，又能满足运行人员的习惯。</w:t>
      </w:r>
    </w:p>
    <w:p w14:paraId="58B91C5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4.8.2  软件特色</w:t>
      </w:r>
    </w:p>
    <w:p w14:paraId="799DF1E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按照监控系统的硬件配置及功能要求，采用简单方便的数据库菜单配置生成I/O测点及各种功能数据库。数据库便于增加、删除和修改。</w:t>
      </w:r>
    </w:p>
    <w:p w14:paraId="2FA6C4C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数据库采用事件驱动方式，当事件产生后，立刻处理和此事件有关的工作，例如判断是否为事故、故障，是否要启动追忆，推出处理指导，启动顺控流程等。</w:t>
      </w:r>
    </w:p>
    <w:p w14:paraId="3FD4A33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画面生成支持按对象的连接，使得画面可按对象复制，并且画面可独立于实时库进行前景连接检查。</w:t>
      </w:r>
    </w:p>
    <w:p w14:paraId="0261E98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控制流程的编程采用简单通用的方式输入，支持在线调试，在线修改、离线仿真。</w:t>
      </w:r>
    </w:p>
    <w:p w14:paraId="59C32F8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4.8.3 系统软件</w:t>
      </w:r>
    </w:p>
    <w:p w14:paraId="7B10F47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操作系统</w:t>
      </w:r>
    </w:p>
    <w:p w14:paraId="791F078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操作系统软件应是目前国内较为流行的操作系统软件。</w:t>
      </w:r>
    </w:p>
    <w:p w14:paraId="43003F4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操作系统应具有下列特点：</w:t>
      </w:r>
    </w:p>
    <w:p w14:paraId="6DC1278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a、提供了多用户、多进程文件和记录操作，完善的用户安全机制，功能强大、方便的通讯和联网能力。</w:t>
      </w:r>
    </w:p>
    <w:p w14:paraId="05C5B26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b、操作系统在所提供的硬件构造中有实用成功的经验。</w:t>
      </w:r>
    </w:p>
    <w:p w14:paraId="48900C4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c、具有很强的外围设备控制管理能力。</w:t>
      </w:r>
    </w:p>
    <w:p w14:paraId="5F30A8E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d、支持多种高级语言软件开发平台。</w:t>
      </w:r>
    </w:p>
    <w:p w14:paraId="1B23693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e、能将数据从一种格式转换成另一种格式。</w:t>
      </w:r>
    </w:p>
    <w:p w14:paraId="69885C9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f、执行诊断检查、自动切除故障和自动重新启动。</w:t>
      </w:r>
    </w:p>
    <w:p w14:paraId="0C67F74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g、对系统的启动、终止、监视、组态和其它联机活动将有交互式语言、命令程序支持。</w:t>
      </w:r>
    </w:p>
    <w:p w14:paraId="40143B9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h、方便高效的多种通讯功能。</w:t>
      </w:r>
    </w:p>
    <w:p w14:paraId="3D6D46E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i、为系统生成提供服务。</w:t>
      </w:r>
    </w:p>
    <w:p w14:paraId="44ED878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j、文件管理系统采用性能优良的层次文件结构和多重保护机制，提供文件控制功能、包括文件的打开、关闭、读出和记录的基本存取方法。</w:t>
      </w:r>
    </w:p>
    <w:p w14:paraId="3D0BBC3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k、操作系统具有错误检测和校正的标准程序。</w:t>
      </w:r>
    </w:p>
    <w:p w14:paraId="6A04254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操作系统主要内容：</w:t>
      </w:r>
    </w:p>
    <w:p w14:paraId="5F224B3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多线进程控制</w:t>
      </w:r>
    </w:p>
    <w:p w14:paraId="4FA3B94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内存影射文件</w:t>
      </w:r>
    </w:p>
    <w:p w14:paraId="746026A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共享程序库</w:t>
      </w:r>
    </w:p>
    <w:p w14:paraId="4B8DCD8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网络文件服务系统</w:t>
      </w:r>
    </w:p>
    <w:p w14:paraId="0511534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虚拟内存管理</w:t>
      </w:r>
    </w:p>
    <w:p w14:paraId="13CB212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实时支持功能</w:t>
      </w:r>
    </w:p>
    <w:p w14:paraId="59E4CB7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各种多任务调度模式</w:t>
      </w:r>
    </w:p>
    <w:p w14:paraId="10E86B9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分时多任务调度</w:t>
      </w:r>
    </w:p>
    <w:p w14:paraId="20F3FB2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先进先出实时多任务调度</w:t>
      </w:r>
    </w:p>
    <w:p w14:paraId="69DA96B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40级分时优先级</w:t>
      </w:r>
    </w:p>
    <w:p w14:paraId="206785C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强化I/O管理</w:t>
      </w:r>
    </w:p>
    <w:p w14:paraId="22064EE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高可靠性</w:t>
      </w:r>
    </w:p>
    <w:p w14:paraId="70FE663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安全保密性强</w:t>
      </w:r>
    </w:p>
    <w:p w14:paraId="1C0B705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开发系统</w:t>
      </w:r>
    </w:p>
    <w:p w14:paraId="5E22FE6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组态软件的开发系统提供多种工具及管理程序，满足各种应用系统的开发需求。C，C++，JAVA，FORTRAN等高级语言编译系统及交互式可视化环境提供了较强的编程能力和各式各样的工具，开发用户接口可设计直观、灵巧、风格一致的应用程序。提供了实现多进程的开发手段，极大地满足了多种高效并发处理的客观需求。提供了具有国际标准的C，C++，JAVA，TCP/IP等软件接口，使得应用程序具有跨平台的广泛应用环境。</w:t>
      </w:r>
    </w:p>
    <w:p w14:paraId="138C140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网络通讯及网络管理软件</w:t>
      </w:r>
    </w:p>
    <w:p w14:paraId="402A013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TCP/IP通讯软件</w:t>
      </w:r>
    </w:p>
    <w:p w14:paraId="11CA210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网络管理软件</w:t>
      </w:r>
    </w:p>
    <w:p w14:paraId="5FA3C3A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4.8.4 基本应用软件</w:t>
      </w:r>
    </w:p>
    <w:p w14:paraId="09032B5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(1)数据采集与处理</w:t>
      </w:r>
    </w:p>
    <w:p w14:paraId="0BB4204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中断开关量采集与处理</w:t>
      </w:r>
    </w:p>
    <w:p w14:paraId="0BAE48E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状态开关量采集与处理</w:t>
      </w:r>
    </w:p>
    <w:p w14:paraId="215EBB2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模拟量采集与处理</w:t>
      </w:r>
    </w:p>
    <w:p w14:paraId="3F92A14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脉冲量采集与处理</w:t>
      </w:r>
    </w:p>
    <w:p w14:paraId="361C109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数字量采集与处理</w:t>
      </w:r>
    </w:p>
    <w:p w14:paraId="5E0DA11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综合量计算</w:t>
      </w:r>
    </w:p>
    <w:p w14:paraId="7DAA11C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事件顺序记录</w:t>
      </w:r>
    </w:p>
    <w:p w14:paraId="7C4C61F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事故追忆</w:t>
      </w:r>
    </w:p>
    <w:p w14:paraId="3AEC014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电量分时累计</w:t>
      </w:r>
    </w:p>
    <w:p w14:paraId="248BE25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运行工况统计</w:t>
      </w:r>
    </w:p>
    <w:p w14:paraId="67F9F73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参数越复限报警与处理</w:t>
      </w:r>
    </w:p>
    <w:p w14:paraId="32AA837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I/O通道故障检测、报警与处理</w:t>
      </w:r>
    </w:p>
    <w:p w14:paraId="521BC9B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通讯软件</w:t>
      </w:r>
    </w:p>
    <w:p w14:paraId="5368C60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通讯软件基于TCP/IP网络接口。它采用著名Client(客户)-Server(服务器)模式。它为系统各进程间提供了网络透明的通讯服务。为全分布系统的全部资源，数据共享提供了必要的条件和有效的保证。</w:t>
      </w:r>
    </w:p>
    <w:p w14:paraId="5D5CE50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数据库管理软件</w:t>
      </w:r>
    </w:p>
    <w:p w14:paraId="172BC6E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数据库加载</w:t>
      </w:r>
    </w:p>
    <w:p w14:paraId="47B7BB2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对用户编写的数据库语言程序进行语法检查，并按要求建立实时数据库；</w:t>
      </w:r>
    </w:p>
    <w:p w14:paraId="039283B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数据库访问</w:t>
      </w:r>
    </w:p>
    <w:p w14:paraId="2C27A32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借助通讯软件为整个分布系统提供数据库的服务；</w:t>
      </w:r>
    </w:p>
    <w:p w14:paraId="7CBBE91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数据库运行</w:t>
      </w:r>
    </w:p>
    <w:p w14:paraId="4845750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对数据库中的各种类型的输入数据以及各种算术、逻辑、关系运算及各种表达式运算进行操作，并对实时数据进行刷新。</w:t>
      </w:r>
    </w:p>
    <w:p w14:paraId="4E6A641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历史数据库管理</w:t>
      </w:r>
    </w:p>
    <w:p w14:paraId="3C69A58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数据库管理软件满足下列要求：</w:t>
      </w:r>
    </w:p>
    <w:p w14:paraId="6C5479A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支持应用软件直接迅速存取数据及对数据的查询修改和扩充。</w:t>
      </w:r>
    </w:p>
    <w:p w14:paraId="6663FF1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保持应用程序和数据之间的高度独立性。</w:t>
      </w:r>
    </w:p>
    <w:p w14:paraId="3A96A9D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保持数据库中数据的可靠性。将采取措施确保有效的数据记录在数据库中。</w:t>
      </w:r>
    </w:p>
    <w:p w14:paraId="6024D6C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提供数据保护、以防人为或程序造成的不正当修改。</w:t>
      </w:r>
    </w:p>
    <w:p w14:paraId="53813D2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使用任何编程语言编制的应用程序都可以使用数据库中的数据。</w:t>
      </w:r>
    </w:p>
    <w:p w14:paraId="0F928E9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数据库软件能提供各点数据的瞬时状态，事件事故的报警、登录、动作次数，各测量值的越复限处理、登录、定时定期数据的归档、检索等功能，并可将各基本点进行组合、运算，组成较为复杂，便于使用的运算点。同时系统还提供历史数据库软件，以便对历史数据进行存档并具有查阅、打印、检索等功能。</w:t>
      </w:r>
    </w:p>
    <w:p w14:paraId="5658E58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人机接口</w:t>
      </w:r>
    </w:p>
    <w:p w14:paraId="050B997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实时时钟显示</w:t>
      </w:r>
    </w:p>
    <w:p w14:paraId="0E39C85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实时画面显示与刷新</w:t>
      </w:r>
    </w:p>
    <w:p w14:paraId="1DE2CE8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简报窗口</w:t>
      </w:r>
    </w:p>
    <w:p w14:paraId="5761E08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操作命令语法分析与处理</w:t>
      </w:r>
    </w:p>
    <w:p w14:paraId="6982826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参数设定及修改</w:t>
      </w:r>
    </w:p>
    <w:p w14:paraId="3DC268D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趋势曲线</w:t>
      </w:r>
    </w:p>
    <w:p w14:paraId="2000371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语音报警</w:t>
      </w:r>
    </w:p>
    <w:p w14:paraId="1F3E1D4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画面拷贝</w:t>
      </w:r>
    </w:p>
    <w:p w14:paraId="5BB35BA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 控制操作</w:t>
      </w:r>
    </w:p>
    <w:p w14:paraId="50B160B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顺序控制</w:t>
      </w:r>
    </w:p>
    <w:p w14:paraId="14540BC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顺控管理程序负责启动管理各顺控执行程序及对条件有限制的顺控程序加锁等。顺控执行程序检查顺控程序语法，负责执行对一个顺控流程的操作，并完成与数据库与人机接口的信息交往。顺控程序可放在LCU-CPU中或直接由PLC去完成。</w:t>
      </w:r>
    </w:p>
    <w:p w14:paraId="19D6DA2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操作安全闭锁</w:t>
      </w:r>
    </w:p>
    <w:p w14:paraId="32C5AC0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操作过程监视</w:t>
      </w:r>
    </w:p>
    <w:p w14:paraId="1E6FB4E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电动机组的开、停机顺序控制</w:t>
      </w:r>
    </w:p>
    <w:p w14:paraId="5C7F191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断路器、隔离开关、闸门等设备的控制</w:t>
      </w:r>
    </w:p>
    <w:p w14:paraId="5E8557C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 制表打印</w:t>
      </w:r>
    </w:p>
    <w:p w14:paraId="20593E9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运行日志等各种报表数据的自动生成</w:t>
      </w:r>
    </w:p>
    <w:p w14:paraId="023A671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报表管理</w:t>
      </w:r>
    </w:p>
    <w:p w14:paraId="56231BE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报表的显示</w:t>
      </w:r>
    </w:p>
    <w:p w14:paraId="6DC9635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报表的打印</w:t>
      </w:r>
    </w:p>
    <w:p w14:paraId="04592EE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 应用管理</w:t>
      </w:r>
    </w:p>
    <w:p w14:paraId="31E2E1A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定时任务管理</w:t>
      </w:r>
    </w:p>
    <w:p w14:paraId="00480C0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操作员的使用权限管理</w:t>
      </w:r>
    </w:p>
    <w:p w14:paraId="3F6AF3D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系统开发工具管理</w:t>
      </w:r>
    </w:p>
    <w:p w14:paraId="093EA9E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系统文件的备份管理</w:t>
      </w:r>
    </w:p>
    <w:p w14:paraId="5A6DC4D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 系统时钟管理</w:t>
      </w:r>
    </w:p>
    <w:p w14:paraId="32EE8D5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系统实时时钟管理</w:t>
      </w:r>
    </w:p>
    <w:p w14:paraId="2EE1B32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系统时钟校准</w:t>
      </w:r>
    </w:p>
    <w:p w14:paraId="5101BE3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时钟同步</w:t>
      </w:r>
    </w:p>
    <w:p w14:paraId="079EAC9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 系统自诊断</w:t>
      </w:r>
    </w:p>
    <w:p w14:paraId="175F319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自诊断软件能诊断监控系统各部分的健康状况，对于LCU可诊断到模件级故障；对于各计算机、网络设备、通讯通道和外部设备也可诊断出其工作状况，当发现故障时可给出报警信息，并置上相应标志。</w:t>
      </w:r>
    </w:p>
    <w:p w14:paraId="220A7CC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网络通讯监测及管理</w:t>
      </w:r>
    </w:p>
    <w:p w14:paraId="1ADF4E9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通信通道检测及管理</w:t>
      </w:r>
    </w:p>
    <w:p w14:paraId="0C3D135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软件检测及自恢复</w:t>
      </w:r>
    </w:p>
    <w:p w14:paraId="1C0CC8CC">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4.8.5 高级应用软件</w:t>
      </w:r>
    </w:p>
    <w:p w14:paraId="6719CAB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电站的运行辅助指导、运行管理支持软件</w:t>
      </w:r>
    </w:p>
    <w:p w14:paraId="0ED9AEB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发电机机组运行工况统计与检修指导软件</w:t>
      </w:r>
    </w:p>
    <w:p w14:paraId="389B15D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操作联锁指导软件</w:t>
      </w:r>
    </w:p>
    <w:p w14:paraId="61419E7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发电机机组辅助设备和全厂公用设备运行工况统计软件</w:t>
      </w:r>
    </w:p>
    <w:p w14:paraId="2532A80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电站运行信息管理软件</w:t>
      </w:r>
    </w:p>
    <w:p w14:paraId="41F3505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操作票管理软件</w:t>
      </w:r>
    </w:p>
    <w:p w14:paraId="1F17961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事故处理软件</w:t>
      </w:r>
    </w:p>
    <w:p w14:paraId="1060219B">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4.8.6 外部通讯软件</w:t>
      </w:r>
    </w:p>
    <w:p w14:paraId="0EFDC91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与上级调度中心的通讯软件</w:t>
      </w:r>
    </w:p>
    <w:p w14:paraId="67A89E1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与站内自动装置的通讯软件</w:t>
      </w:r>
    </w:p>
    <w:p w14:paraId="3FD74B6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11.</w:t>
      </w:r>
      <w:r>
        <w:rPr>
          <w:rFonts w:hint="eastAsia" w:asciiTheme="minorEastAsia" w:hAnsiTheme="minorEastAsia" w:eastAsiaTheme="minorEastAsia" w:cstheme="minorEastAsia"/>
          <w:color w:val="auto"/>
          <w:kern w:val="0"/>
          <w:szCs w:val="21"/>
        </w:rPr>
        <w:t>4.8.7 工具软件</w:t>
      </w:r>
    </w:p>
    <w:p w14:paraId="59AE475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 数据库开发及调试软件</w:t>
      </w:r>
    </w:p>
    <w:p w14:paraId="70A7FF1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为了适应电站监控的要求,定义了一种功能完善的数据库语言，可为用户提供各种基本输入输出、数学运算、逻辑运算、关系运算、选择运算、控制调节、定时处理、统计运算等功能块。用户可以方便地使用这种语言为系统的各节点定义数据库，并可规定数据在某个时间或事件发生时应完成的操作。</w:t>
      </w:r>
    </w:p>
    <w:p w14:paraId="1D8ED56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数据库形成一个文本文件，用户可方便地阅读与修改。监控系统在现场投运后，用户可根据现场的实际情况，增、删及修改数据测点定义。</w:t>
      </w:r>
    </w:p>
    <w:p w14:paraId="5A31FFE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为了便于数据库的动态调试，还提供一个对实时数据库进行读写访问的调试接口程序。</w:t>
      </w:r>
    </w:p>
    <w:p w14:paraId="39C8053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 交互式图形开发软件</w:t>
      </w:r>
    </w:p>
    <w:p w14:paraId="2C0D690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交互式的图形编辑程序供用户开发人机接口的各种画面，它提供了各种图形编辑、字符编辑、汉字编辑、颜色编辑、图符库等，用户可通过操作鼠标器及键盘，在显示屏幕上方便地开发出所需的画面，并且可以定义图形、颜色、字符、数据与数据库之间的动态连接，以便由实时图形软件显示出反映现场情况的动态的画面及操作流程。</w:t>
      </w:r>
    </w:p>
    <w:p w14:paraId="66EE905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 交互式报表生成软件</w:t>
      </w:r>
    </w:p>
    <w:p w14:paraId="723F946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交互式报表编辑提供了字符、汉字和表格线输入方法，用户可通过鼠标器和键盘在显示屏幕上建立报表格式及报表项与数据库报表功能块的动态连接定义。</w:t>
      </w:r>
    </w:p>
    <w:p w14:paraId="395A8ED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顺序控制程序语言</w:t>
      </w:r>
    </w:p>
    <w:p w14:paraId="6BDD99F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它提供给用户一个语法结构和习惯风格类似于C语言、适合于电站监控的顺序控制语言。用户可根据操作对象的工作特点及要求，根据运行人员的习惯及电站的有关规程，编写自己希望的顺控程序。</w:t>
      </w:r>
    </w:p>
    <w:p w14:paraId="1C13FB8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 PLC编程软件</w:t>
      </w:r>
    </w:p>
    <w:p w14:paraId="71F45EA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使用PLC生产厂家的相应编程软件，用户根据LCU的功能要求和电站实际生产过程的控制顺序要求，进行各种PLC软件功能的编辑和开发。</w:t>
      </w:r>
    </w:p>
    <w:p w14:paraId="716EACC1">
      <w:pPr>
        <w:spacing w:line="360" w:lineRule="auto"/>
        <w:ind w:firstLine="420" w:firstLineChars="200"/>
        <w:rPr>
          <w:rFonts w:hint="eastAsia" w:asciiTheme="minorEastAsia" w:hAnsiTheme="minorEastAsia" w:eastAsiaTheme="minorEastAsia" w:cstheme="minorEastAsia"/>
          <w:color w:val="auto"/>
          <w:kern w:val="0"/>
          <w:szCs w:val="21"/>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kern w:val="0"/>
          <w:szCs w:val="21"/>
        </w:rPr>
        <w:t>(6) 远程诊断软件</w:t>
      </w:r>
    </w:p>
    <w:p w14:paraId="3D4695C2">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第12章  视频监视系统设备采购技术要求</w:t>
      </w:r>
    </w:p>
    <w:p w14:paraId="219B8646">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12.1 一般规定和规范</w:t>
      </w:r>
    </w:p>
    <w:p w14:paraId="7F03648E">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1.1承包范围</w:t>
      </w:r>
    </w:p>
    <w:p w14:paraId="5400609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1.1.1 承包人将承包下列项目的设计、制造、试验；包装、运输、交货；安装指导，参与现场试验、试运行、验收；并应完全符合合同要求。</w:t>
      </w:r>
    </w:p>
    <w:tbl>
      <w:tblPr>
        <w:tblStyle w:val="65"/>
        <w:tblW w:w="8364"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53"/>
        <w:gridCol w:w="3927"/>
        <w:gridCol w:w="894"/>
        <w:gridCol w:w="851"/>
        <w:gridCol w:w="1939"/>
      </w:tblGrid>
      <w:tr w14:paraId="7122E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7D76899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序号</w:t>
            </w:r>
          </w:p>
        </w:tc>
        <w:tc>
          <w:tcPr>
            <w:tcW w:w="3927" w:type="dxa"/>
            <w:vAlign w:val="center"/>
          </w:tcPr>
          <w:p w14:paraId="4FDA282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名      称</w:t>
            </w:r>
          </w:p>
        </w:tc>
        <w:tc>
          <w:tcPr>
            <w:tcW w:w="894" w:type="dxa"/>
            <w:vAlign w:val="center"/>
          </w:tcPr>
          <w:p w14:paraId="063F16D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单 位</w:t>
            </w:r>
          </w:p>
        </w:tc>
        <w:tc>
          <w:tcPr>
            <w:tcW w:w="851" w:type="dxa"/>
            <w:vAlign w:val="center"/>
          </w:tcPr>
          <w:p w14:paraId="242D6FF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 量</w:t>
            </w:r>
          </w:p>
        </w:tc>
        <w:tc>
          <w:tcPr>
            <w:tcW w:w="1939" w:type="dxa"/>
            <w:vAlign w:val="center"/>
          </w:tcPr>
          <w:p w14:paraId="18B7064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备注</w:t>
            </w:r>
          </w:p>
        </w:tc>
      </w:tr>
      <w:tr w14:paraId="5B8352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6D78FA2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3927" w:type="dxa"/>
            <w:vAlign w:val="center"/>
          </w:tcPr>
          <w:p w14:paraId="55841106">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图像工作站</w:t>
            </w:r>
          </w:p>
        </w:tc>
        <w:tc>
          <w:tcPr>
            <w:tcW w:w="894" w:type="dxa"/>
            <w:vAlign w:val="center"/>
          </w:tcPr>
          <w:p w14:paraId="1A9E16B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w:t>
            </w:r>
          </w:p>
        </w:tc>
        <w:tc>
          <w:tcPr>
            <w:tcW w:w="851" w:type="dxa"/>
            <w:vAlign w:val="center"/>
          </w:tcPr>
          <w:p w14:paraId="765AEB9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939" w:type="dxa"/>
            <w:vAlign w:val="center"/>
          </w:tcPr>
          <w:p w14:paraId="6266D461">
            <w:pPr>
              <w:jc w:val="center"/>
              <w:rPr>
                <w:rFonts w:hint="eastAsia" w:asciiTheme="minorEastAsia" w:hAnsiTheme="minorEastAsia" w:eastAsiaTheme="minorEastAsia" w:cstheme="minorEastAsia"/>
                <w:snapToGrid w:val="0"/>
                <w:color w:val="auto"/>
                <w:szCs w:val="21"/>
              </w:rPr>
            </w:pPr>
          </w:p>
        </w:tc>
      </w:tr>
      <w:tr w14:paraId="3CC2BC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379D864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3927" w:type="dxa"/>
            <w:vAlign w:val="center"/>
          </w:tcPr>
          <w:p w14:paraId="25BD0C8F">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数字硬盘录像机</w:t>
            </w:r>
          </w:p>
        </w:tc>
        <w:tc>
          <w:tcPr>
            <w:tcW w:w="894" w:type="dxa"/>
            <w:vAlign w:val="center"/>
          </w:tcPr>
          <w:p w14:paraId="6B06534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台</w:t>
            </w:r>
          </w:p>
        </w:tc>
        <w:tc>
          <w:tcPr>
            <w:tcW w:w="851" w:type="dxa"/>
            <w:vAlign w:val="center"/>
          </w:tcPr>
          <w:p w14:paraId="41DA5F9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939" w:type="dxa"/>
            <w:vAlign w:val="center"/>
          </w:tcPr>
          <w:p w14:paraId="2D07DFF2">
            <w:pPr>
              <w:jc w:val="center"/>
              <w:rPr>
                <w:rFonts w:hint="eastAsia" w:asciiTheme="minorEastAsia" w:hAnsiTheme="minorEastAsia" w:eastAsiaTheme="minorEastAsia" w:cstheme="minorEastAsia"/>
                <w:snapToGrid w:val="0"/>
                <w:color w:val="auto"/>
                <w:szCs w:val="21"/>
              </w:rPr>
            </w:pPr>
          </w:p>
        </w:tc>
      </w:tr>
      <w:tr w14:paraId="612BD2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0098F4F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3927" w:type="dxa"/>
            <w:vAlign w:val="center"/>
          </w:tcPr>
          <w:p w14:paraId="6E25A122">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前端摄像设备</w:t>
            </w:r>
          </w:p>
        </w:tc>
        <w:tc>
          <w:tcPr>
            <w:tcW w:w="894" w:type="dxa"/>
            <w:vAlign w:val="center"/>
          </w:tcPr>
          <w:p w14:paraId="4FB4B9F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851" w:type="dxa"/>
            <w:vAlign w:val="center"/>
          </w:tcPr>
          <w:p w14:paraId="4692E0E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939" w:type="dxa"/>
            <w:vAlign w:val="center"/>
          </w:tcPr>
          <w:p w14:paraId="05FE557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详见第5章2.2.1</w:t>
            </w:r>
          </w:p>
        </w:tc>
      </w:tr>
      <w:tr w14:paraId="49DA99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36E10EB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3927" w:type="dxa"/>
            <w:vAlign w:val="center"/>
          </w:tcPr>
          <w:p w14:paraId="70F96E30">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szCs w:val="21"/>
              </w:rPr>
              <w:t>图像管理系统应用软件</w:t>
            </w:r>
          </w:p>
        </w:tc>
        <w:tc>
          <w:tcPr>
            <w:tcW w:w="894" w:type="dxa"/>
            <w:vAlign w:val="center"/>
          </w:tcPr>
          <w:p w14:paraId="2B2FAD0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w:t>
            </w:r>
          </w:p>
        </w:tc>
        <w:tc>
          <w:tcPr>
            <w:tcW w:w="851" w:type="dxa"/>
            <w:vAlign w:val="center"/>
          </w:tcPr>
          <w:p w14:paraId="6752811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939" w:type="dxa"/>
            <w:vAlign w:val="center"/>
          </w:tcPr>
          <w:p w14:paraId="3A13366B">
            <w:pPr>
              <w:jc w:val="center"/>
              <w:rPr>
                <w:rFonts w:hint="eastAsia" w:asciiTheme="minorEastAsia" w:hAnsiTheme="minorEastAsia" w:eastAsiaTheme="minorEastAsia" w:cstheme="minorEastAsia"/>
                <w:color w:val="auto"/>
                <w:szCs w:val="21"/>
              </w:rPr>
            </w:pPr>
          </w:p>
        </w:tc>
      </w:tr>
      <w:tr w14:paraId="0D1978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56C1337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3927" w:type="dxa"/>
            <w:vAlign w:val="center"/>
          </w:tcPr>
          <w:p w14:paraId="5758441F">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规定的备品备件</w:t>
            </w:r>
          </w:p>
        </w:tc>
        <w:tc>
          <w:tcPr>
            <w:tcW w:w="894" w:type="dxa"/>
            <w:vAlign w:val="center"/>
          </w:tcPr>
          <w:p w14:paraId="4CF30A9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851" w:type="dxa"/>
            <w:vAlign w:val="center"/>
          </w:tcPr>
          <w:p w14:paraId="1124D5B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939" w:type="dxa"/>
            <w:vAlign w:val="center"/>
          </w:tcPr>
          <w:p w14:paraId="1AD015B6">
            <w:pPr>
              <w:jc w:val="center"/>
              <w:rPr>
                <w:rFonts w:hint="eastAsia" w:asciiTheme="minorEastAsia" w:hAnsiTheme="minorEastAsia" w:eastAsiaTheme="minorEastAsia" w:cstheme="minorEastAsia"/>
                <w:snapToGrid w:val="0"/>
                <w:color w:val="auto"/>
                <w:szCs w:val="21"/>
              </w:rPr>
            </w:pPr>
          </w:p>
        </w:tc>
      </w:tr>
      <w:tr w14:paraId="323771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7AC2328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3927" w:type="dxa"/>
            <w:vAlign w:val="center"/>
          </w:tcPr>
          <w:p w14:paraId="2A53D0DC">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必须的专用工具等</w:t>
            </w:r>
          </w:p>
        </w:tc>
        <w:tc>
          <w:tcPr>
            <w:tcW w:w="894" w:type="dxa"/>
            <w:vAlign w:val="center"/>
          </w:tcPr>
          <w:p w14:paraId="7D01561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851" w:type="dxa"/>
            <w:vAlign w:val="center"/>
          </w:tcPr>
          <w:p w14:paraId="25291C8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939" w:type="dxa"/>
            <w:vAlign w:val="center"/>
          </w:tcPr>
          <w:p w14:paraId="4C7C4588">
            <w:pPr>
              <w:jc w:val="center"/>
              <w:rPr>
                <w:rFonts w:hint="eastAsia" w:asciiTheme="minorEastAsia" w:hAnsiTheme="minorEastAsia" w:eastAsiaTheme="minorEastAsia" w:cstheme="minorEastAsia"/>
                <w:snapToGrid w:val="0"/>
                <w:color w:val="auto"/>
                <w:szCs w:val="21"/>
              </w:rPr>
            </w:pPr>
          </w:p>
        </w:tc>
      </w:tr>
    </w:tbl>
    <w:p w14:paraId="18AA166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1.1.2 承包人应成套供给合同要求的所有设备所必需的专用工具、专用设备、配件、特殊安装、检验和测试用材料和其它设备。</w:t>
      </w:r>
    </w:p>
    <w:p w14:paraId="617D9FA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承包人应为本合同设备提供运行和维护所需的备品备件及专用工具。</w:t>
      </w:r>
    </w:p>
    <w:p w14:paraId="447128E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人应提供相互协调和完善的设计。任何元件或装置，如果招标文件中未专门提到，但它对于一套完整的和性能良好的视频监视系统又是必不可少的，或者对于稳定运行，或者对于改善设备运行都是必要的话，那么这些元件或装置，也应由承包单位提供，其费用应包括在总价中。</w:t>
      </w:r>
    </w:p>
    <w:p w14:paraId="05E7A5D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1.1.3 承包人应按招标文件的规定提交图纸、说明书、标准和规范，提供现场安装指导和试验以及相关的技术培训；完成与工程设计有关的技术联络和协调；对业主的培训服务以及与其它设备供应商之间的协调。</w:t>
      </w:r>
    </w:p>
    <w:p w14:paraId="5B918E9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1.1.4 承包人应与其它合同完成的工作给予配合，包括：</w:t>
      </w:r>
    </w:p>
    <w:p w14:paraId="7F6E0E7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与计算机监控系统的连接、联动和系统集成工作。</w:t>
      </w:r>
    </w:p>
    <w:p w14:paraId="67439014">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1.2标准与工艺</w:t>
      </w:r>
    </w:p>
    <w:p w14:paraId="1C9AB32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1.2.1 下列标准供选用：</w:t>
      </w:r>
    </w:p>
    <w:p w14:paraId="5A15C3F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◆《安全防范工程技术规范》</w:t>
      </w:r>
    </w:p>
    <w:p w14:paraId="6ADA747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◆《民用闭路电视监控系统工程技术规范》</w:t>
      </w:r>
    </w:p>
    <w:p w14:paraId="2E537D6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◆《智能建筑设计标准》</w:t>
      </w:r>
    </w:p>
    <w:p w14:paraId="6315601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◆《图像安防监控系统技术要求》</w:t>
      </w:r>
    </w:p>
    <w:p w14:paraId="19EB1F4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◆《建筑与建筑群综合布线系统工程设计规范》</w:t>
      </w:r>
    </w:p>
    <w:p w14:paraId="028B918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◆《防盗报警控制器通用技术条件》</w:t>
      </w:r>
    </w:p>
    <w:p w14:paraId="4FC0963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◆《安全防范工程与要求》      </w:t>
      </w:r>
    </w:p>
    <w:p w14:paraId="69D88C0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◆《电子设备雷击保护导则》</w:t>
      </w:r>
    </w:p>
    <w:p w14:paraId="2C495DC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◆《计算机场地技术条件》</w:t>
      </w:r>
    </w:p>
    <w:p w14:paraId="3BBC7D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◆《工业控制计算机系统验收大纲》</w:t>
      </w:r>
    </w:p>
    <w:p w14:paraId="1F822AB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◆《工业电视系统工程设计规范》</w:t>
      </w:r>
    </w:p>
    <w:p w14:paraId="4C50D10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◆IEEE802.3 Ethernet(10-BASE-T)(以太网络标准)</w:t>
      </w:r>
    </w:p>
    <w:p w14:paraId="55F3A1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◆中国信息技术设备安全标准</w:t>
      </w:r>
    </w:p>
    <w:p w14:paraId="2834181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◆安全防范工程程序和要求</w:t>
      </w:r>
    </w:p>
    <w:p w14:paraId="0FA744D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◆中国企业通讯设计规范</w:t>
      </w:r>
    </w:p>
    <w:p w14:paraId="0B022F1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◆工业企业通讯接地设计规范</w:t>
      </w:r>
    </w:p>
    <w:p w14:paraId="6FB4D98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◆工业企业通讯设计规范</w:t>
      </w:r>
    </w:p>
    <w:p w14:paraId="594A684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1.2.2 承包人应保证向业主提供的本合同工程设备所依据的标准及规范是最新版本。</w:t>
      </w:r>
    </w:p>
    <w:p w14:paraId="6F66C79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1.2.3 如果投标人采用除上述标准系列列举以外的其它系列标准时，须在投标书中加以说明，并经工程师同意方能使用。</w:t>
      </w:r>
    </w:p>
    <w:p w14:paraId="73F47AE0">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1.2.4 设备制造应采用先进的工艺，以保证各种运行工况正常、可靠；所有螺丝、螺母、螺栓、零部件等应采用GB或ISO标准，并具有良好的互换性和便于安装及检修。</w:t>
      </w:r>
    </w:p>
    <w:p w14:paraId="31C192AE">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1.3 设备颜色</w:t>
      </w:r>
    </w:p>
    <w:p w14:paraId="490AA3A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承包人提供的涉及本系统的屏柜设备油漆颜色均为国际流行灰，色板为RAL 7032；桔纹漆，采用环氧粉末静电喷涂工艺，着色应具有粉末附着力强，表面硬度大，耐磨，耐冲击；应具有良好的色泽持久性，并比喷漆机柜有更好的美观性和耐腐蚀性。</w:t>
      </w:r>
    </w:p>
    <w:p w14:paraId="2FFC5B9D">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1.4 备品备件</w:t>
      </w:r>
    </w:p>
    <w:p w14:paraId="5BB7756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1.4.1 承包人应按招标文件中有关规定提供正常运行所必备的备品备件，至少包括：全套用于日常维修和保证图像监视系统正常运行所必须的器件或插件。规定的备品备件价格已包括在投标书中。</w:t>
      </w:r>
    </w:p>
    <w:p w14:paraId="7A5014B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备品备件包装箱上应有明显的标记。保证在规定的条件下，在保存期内不会变质。</w:t>
      </w:r>
    </w:p>
    <w:p w14:paraId="77019D1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1.4.2 备品备件</w:t>
      </w:r>
    </w:p>
    <w:p w14:paraId="0C28AB9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（1）合同中规定的有关设备测试、运输、付款期限、质量保证等条件，同样适用于备品备件。</w:t>
      </w:r>
    </w:p>
    <w:p w14:paraId="1A29A66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（2）所提供的全部备品备件应能与原部件相互替换，其材料、工艺及构造均与原部件相同。</w:t>
      </w:r>
    </w:p>
    <w:p w14:paraId="661EB58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所有备件的包装和处理均应适合于长期贮存，每个备品备件的包装箱上均要清楚地标明名称和用途。当几个品种的备品备件装在一个箱里时，则应在箱外给出目录，箱内附有详细装箱清单。所有箱子都应标志清楚并进行编号。</w:t>
      </w:r>
    </w:p>
    <w:p w14:paraId="4DCC998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（4）备品备件应随设备一起运抵工地。</w:t>
      </w:r>
    </w:p>
    <w:p w14:paraId="67E679A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（5）投标人应列出所有备品备件和消耗品最近的销售和服务代理人。</w:t>
      </w:r>
    </w:p>
    <w:p w14:paraId="5D497FE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（6）投标人应提供如下规定的备品备件：</w:t>
      </w:r>
    </w:p>
    <w:p w14:paraId="3AD71FC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①前端摄像设备1个；</w:t>
      </w:r>
    </w:p>
    <w:p w14:paraId="22C7457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②熔断器等易损件：每种型号各3个；</w:t>
      </w:r>
    </w:p>
    <w:p w14:paraId="7EA7900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③图像线缆接头、插件每种型号和规格各3只。</w:t>
      </w:r>
    </w:p>
    <w:p w14:paraId="3361694D">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1.5 专用工器具</w:t>
      </w:r>
    </w:p>
    <w:p w14:paraId="3F2DF4A1">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1.5.1 概述</w:t>
      </w:r>
    </w:p>
    <w:p w14:paraId="5F53A4E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承包人应提供视频监视系统与图像显示系统设备长期安全稳定运行所需要的、正常维护和保养所需要的专用维修工具和试验设备。安装、调试和试运行阶段所需的各种工具和消耗品应由承包人提供，不计入本条所列的专用工具之中。</w:t>
      </w:r>
    </w:p>
    <w:p w14:paraId="7C0FD8D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（2）在本章规定提供的所有工具和仪器所需的内部连接电缆、测量用电缆、探测器、电源线和其它专用工具、仪器的辅助设备应包括在供货范围内。</w:t>
      </w:r>
    </w:p>
    <w:p w14:paraId="160E916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1.5.2 专用工器具</w:t>
      </w:r>
    </w:p>
    <w:p w14:paraId="5D44E95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承包人应提供视频监视系统专用安装拆卸工具及附件1套。</w:t>
      </w:r>
    </w:p>
    <w:p w14:paraId="2952E8AC">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1.6 承包人提供的图纸和资料</w:t>
      </w:r>
    </w:p>
    <w:p w14:paraId="2A699B4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1.6.1 图纸和资料</w:t>
      </w:r>
    </w:p>
    <w:p w14:paraId="5760B20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（1）合同生效后30天内，应通过承包人向业主提供第一次技术协调会上需要审查和讨论的图纸、资料：</w:t>
      </w:r>
    </w:p>
    <w:p w14:paraId="71D68FB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①视频监视系统结构图</w:t>
      </w:r>
    </w:p>
    <w:p w14:paraId="5369540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②硬件配置图及设备清单</w:t>
      </w:r>
    </w:p>
    <w:p w14:paraId="0467630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③屏体外形、尺寸及安装图</w:t>
      </w:r>
    </w:p>
    <w:p w14:paraId="1DF9E5D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④系统装置涉及的相关产品样本</w:t>
      </w:r>
    </w:p>
    <w:p w14:paraId="2C99063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（2）随包装箱发运，应直接向业主提供下述工程施工安装所需的资料：</w:t>
      </w:r>
    </w:p>
    <w:p w14:paraId="42939F0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①全部工程使用的图纸和文件</w:t>
      </w:r>
    </w:p>
    <w:p w14:paraId="4B01DFD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②设备清单及技术说明书</w:t>
      </w:r>
    </w:p>
    <w:p w14:paraId="13E3009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③设备安装及运行操作使用说明书</w:t>
      </w:r>
    </w:p>
    <w:p w14:paraId="6320FCB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④软件及功能说明资料</w:t>
      </w:r>
    </w:p>
    <w:p w14:paraId="02C2461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⑤各种软件包的操作、维护手册及最终说明书</w:t>
      </w:r>
    </w:p>
    <w:p w14:paraId="1054602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1.6.2 图纸和资料的数量</w:t>
      </w:r>
    </w:p>
    <w:p w14:paraId="4BDDF30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（1）所有按规定提交的图纸和资料，向业主提供共4套（其中1套提交工程设计单位，3套直接提交发包人），并注明按合同提交的日期。</w:t>
      </w:r>
    </w:p>
    <w:p w14:paraId="4F2EE0A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（2）所有产品的厂内检查及试验记录随货向业主提供2套。</w:t>
      </w:r>
    </w:p>
    <w:p w14:paraId="23A2C0F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（3）正式提交的图纸均应由承包单位授权代表签署或单位盖章。</w:t>
      </w:r>
    </w:p>
    <w:p w14:paraId="685B855C">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12.2 视频监视系统的设计</w:t>
      </w:r>
    </w:p>
    <w:p w14:paraId="4FF19F1B">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2.1 系统设计概述</w:t>
      </w:r>
    </w:p>
    <w:p w14:paraId="33E9737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2.1.1 视频监视系统采用10/100Mbps以太网，图像将以数字的方式进行高清晰度传输。</w:t>
      </w:r>
    </w:p>
    <w:p w14:paraId="24ED256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2.1.2 系统主要由图像工作站、显示设备、摄像机、录像设备并结合监控系统的网络设备、卫星时钟及UPS电源等组成。</w:t>
      </w:r>
    </w:p>
    <w:p w14:paraId="7C6D626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 xml:space="preserve">2.1.3 所有摄像机均采用网络型，数字硬盘录像机完成MPEG4数字图像的压缩，并将经压缩后的视音频数据保存在本机上，通过硬盘录像机直接挂到以太网络。 </w:t>
      </w:r>
    </w:p>
    <w:p w14:paraId="4C2BFF4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2.1.4 安放在控制台上的图像工作站，通过以太网接受来自硬盘录像机压缩编码过的图像信号，并通过硬盘录像机实时录像、备份数据和实时回放。</w:t>
      </w:r>
    </w:p>
    <w:p w14:paraId="5FE3BC40">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2.2 工业电视系统的具体设计</w:t>
      </w:r>
    </w:p>
    <w:p w14:paraId="3459C751">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2.2.1 前端设计</w:t>
      </w:r>
    </w:p>
    <w:p w14:paraId="7093CF59">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系统前端设备包括摄像机，具体配置数量见下表；所有涉及系统前端设备安装所需的机座、云台、支架、防雨罩、刮雨器、紧固件等必须的附件承包人均应成套提供。</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5399"/>
        <w:gridCol w:w="1366"/>
      </w:tblGrid>
      <w:tr w14:paraId="4996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 w:type="dxa"/>
            <w:vAlign w:val="center"/>
          </w:tcPr>
          <w:p w14:paraId="68A7BE19">
            <w:pPr>
              <w:pStyle w:val="990"/>
              <w:keepNext w:val="0"/>
              <w:snapToGrid w:val="0"/>
              <w:spacing w:after="0"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序号</w:t>
            </w:r>
          </w:p>
        </w:tc>
        <w:tc>
          <w:tcPr>
            <w:tcW w:w="5399" w:type="dxa"/>
            <w:vAlign w:val="center"/>
          </w:tcPr>
          <w:p w14:paraId="1DE51473">
            <w:pPr>
              <w:pStyle w:val="990"/>
              <w:keepNext w:val="0"/>
              <w:snapToGrid w:val="0"/>
              <w:spacing w:after="0"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摄像机型式</w:t>
            </w:r>
          </w:p>
        </w:tc>
        <w:tc>
          <w:tcPr>
            <w:tcW w:w="1366" w:type="dxa"/>
            <w:vAlign w:val="center"/>
          </w:tcPr>
          <w:p w14:paraId="79467FE4">
            <w:pPr>
              <w:pStyle w:val="990"/>
              <w:keepNext w:val="0"/>
              <w:snapToGrid w:val="0"/>
              <w:spacing w:after="0" w:line="360" w:lineRule="auto"/>
              <w:jc w:val="center"/>
              <w:rPr>
                <w:rFonts w:hint="eastAsia" w:asciiTheme="minorEastAsia" w:hAnsiTheme="minorEastAsia" w:eastAsiaTheme="minorEastAsia" w:cstheme="minorEastAsia"/>
                <w:b/>
                <w:snapToGrid w:val="0"/>
                <w:color w:val="auto"/>
                <w:szCs w:val="21"/>
              </w:rPr>
            </w:pPr>
            <w:r>
              <w:rPr>
                <w:rFonts w:hint="eastAsia" w:asciiTheme="minorEastAsia" w:hAnsiTheme="minorEastAsia" w:eastAsiaTheme="minorEastAsia" w:cstheme="minorEastAsia"/>
                <w:b/>
                <w:snapToGrid w:val="0"/>
                <w:color w:val="auto"/>
                <w:szCs w:val="21"/>
              </w:rPr>
              <w:t>数量</w:t>
            </w:r>
          </w:p>
        </w:tc>
      </w:tr>
      <w:tr w14:paraId="747C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 w:type="dxa"/>
            <w:vAlign w:val="center"/>
          </w:tcPr>
          <w:p w14:paraId="59A5086F">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5399" w:type="dxa"/>
            <w:vAlign w:val="center"/>
          </w:tcPr>
          <w:p w14:paraId="43BB68A6">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户内吸顶式低照度彩色/黑白一体化球机</w:t>
            </w:r>
          </w:p>
        </w:tc>
        <w:tc>
          <w:tcPr>
            <w:tcW w:w="1366" w:type="dxa"/>
            <w:vAlign w:val="center"/>
          </w:tcPr>
          <w:p w14:paraId="709227FE">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r>
      <w:tr w14:paraId="5065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 w:type="dxa"/>
            <w:vAlign w:val="center"/>
          </w:tcPr>
          <w:p w14:paraId="6D0BAAA9">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5399" w:type="dxa"/>
            <w:vAlign w:val="center"/>
          </w:tcPr>
          <w:p w14:paraId="33599AF8">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户内壁挂式低照度彩色/黑白一体化球机</w:t>
            </w:r>
          </w:p>
        </w:tc>
        <w:tc>
          <w:tcPr>
            <w:tcW w:w="1366" w:type="dxa"/>
            <w:vAlign w:val="center"/>
          </w:tcPr>
          <w:p w14:paraId="6321879F">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r>
      <w:tr w14:paraId="05FB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 w:type="dxa"/>
            <w:vAlign w:val="center"/>
          </w:tcPr>
          <w:p w14:paraId="484FA3A3">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5399" w:type="dxa"/>
            <w:vAlign w:val="center"/>
          </w:tcPr>
          <w:p w14:paraId="3B85C601">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户外壁挂式红外彩色/黑白一体化球机</w:t>
            </w:r>
          </w:p>
        </w:tc>
        <w:tc>
          <w:tcPr>
            <w:tcW w:w="1366" w:type="dxa"/>
            <w:vAlign w:val="center"/>
          </w:tcPr>
          <w:p w14:paraId="61D6BBBE">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r>
      <w:tr w14:paraId="11F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 w:type="dxa"/>
            <w:vAlign w:val="center"/>
          </w:tcPr>
          <w:p w14:paraId="3CBDF242">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5399" w:type="dxa"/>
            <w:vAlign w:val="center"/>
          </w:tcPr>
          <w:p w14:paraId="24CEAE25">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户外柱装式红外彩色/黑白一体化球机</w:t>
            </w:r>
          </w:p>
          <w:p w14:paraId="3D761B44">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（配户外摄像机4-5m标准立杆）</w:t>
            </w:r>
          </w:p>
        </w:tc>
        <w:tc>
          <w:tcPr>
            <w:tcW w:w="1366" w:type="dxa"/>
            <w:vAlign w:val="center"/>
          </w:tcPr>
          <w:p w14:paraId="64CA16E4">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r>
      <w:tr w14:paraId="2868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7" w:type="dxa"/>
            <w:vAlign w:val="center"/>
          </w:tcPr>
          <w:p w14:paraId="6CE7139C">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合计</w:t>
            </w:r>
          </w:p>
        </w:tc>
        <w:tc>
          <w:tcPr>
            <w:tcW w:w="5399" w:type="dxa"/>
            <w:vAlign w:val="center"/>
          </w:tcPr>
          <w:p w14:paraId="1D9212FF">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w:t>
            </w:r>
          </w:p>
        </w:tc>
        <w:tc>
          <w:tcPr>
            <w:tcW w:w="1366" w:type="dxa"/>
            <w:vAlign w:val="center"/>
          </w:tcPr>
          <w:p w14:paraId="3E733448">
            <w:pPr>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w:t>
            </w:r>
          </w:p>
        </w:tc>
      </w:tr>
    </w:tbl>
    <w:p w14:paraId="783D354B">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2.2.2 传输设计</w:t>
      </w:r>
    </w:p>
    <w:p w14:paraId="232425B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系统前端设备采用电缆进行图像、控制信号的传输和电源的供电传输。</w:t>
      </w:r>
    </w:p>
    <w:p w14:paraId="17BC13EB">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2.2.3 控制设计</w:t>
      </w:r>
    </w:p>
    <w:p w14:paraId="1C68760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罗村三级电站设置1套图像工作站，实现对硬盘录像机和前端摄像机的控制。</w:t>
      </w:r>
    </w:p>
    <w:p w14:paraId="1A268187">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2.2.4 存储设计</w:t>
      </w:r>
    </w:p>
    <w:p w14:paraId="74515D8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罗村三级电站设置1台16路嵌入式数字图像硬盘录像机对前端设备上传的图像进行存储，由系统管理软件进行管理，通过服务器调看实时、历史图像，要求存储时间不少于30天。</w:t>
      </w:r>
    </w:p>
    <w:p w14:paraId="7C2108B7">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2.2.5 交换机设计</w:t>
      </w:r>
    </w:p>
    <w:p w14:paraId="5A5FC2A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硬盘录像机通过可网管模块化交换机（与监控系统使用不同通道）直接接入监控系统的以太网。</w:t>
      </w:r>
    </w:p>
    <w:p w14:paraId="7E3F0EB4">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2.2.6 卫星同步设计</w:t>
      </w:r>
    </w:p>
    <w:p w14:paraId="4A8867D3">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kern w:val="0"/>
          <w:szCs w:val="21"/>
        </w:rPr>
        <w:t>图像工作站、硬盘录像机通过监控系统以太网对时装置的串行接口与之相连，接收北斗/GPS的授时标准时间，使系统同步在同一时间内，时钟的同步精度为+/-1ms。</w:t>
      </w:r>
    </w:p>
    <w:p w14:paraId="0EDFA575">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2.3 防雷、接地设计</w:t>
      </w:r>
    </w:p>
    <w:p w14:paraId="4296198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系统应设置完善的电源、控制、信号等防雷装置。作为单体设备或装置，其本身应具备的防雷结构不能省缺。投标单位对此应予以重视。</w:t>
      </w:r>
    </w:p>
    <w:p w14:paraId="3C2B8F5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color w:val="auto"/>
          <w:kern w:val="0"/>
          <w:szCs w:val="21"/>
        </w:rPr>
        <w:t>系统还应具有良好的接地措施，所涉及金属设备的外壳、交流电源、电缆屏蔽层等应按有关的规定接地。系统接地应使用公用接地网，接地电阻≤1Ω。</w:t>
      </w:r>
    </w:p>
    <w:p w14:paraId="7804F1E3">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2.4 设备的组屏设计</w:t>
      </w:r>
    </w:p>
    <w:p w14:paraId="361F97F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数字硬盘录像机安装于网络及视频设备屏内，不单独组屏。</w:t>
      </w:r>
    </w:p>
    <w:p w14:paraId="2AA6B43E">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2.5 软件设计</w:t>
      </w:r>
    </w:p>
    <w:p w14:paraId="3FAECBF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2.5.1 基本应用软件</w:t>
      </w:r>
    </w:p>
    <w:p w14:paraId="2FF0BC36">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图像管理系统应用软件  1套</w:t>
      </w:r>
    </w:p>
    <w:p w14:paraId="290EB59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2.5.2 软件的功能</w:t>
      </w:r>
    </w:p>
    <w:p w14:paraId="0DB4F860">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图像集成管理软件，能实现上传图像的调看、控制等多级权限管理，同时自带的网关模块，可以为标准、非标准协议提供转换接口，实现不同的图像监视系统的互连互通，可直观简洁的进行图像调用显示。</w:t>
      </w:r>
    </w:p>
    <w:p w14:paraId="20164517">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另外系统权限管理通过图像集成软件的网管模块可以灵活设定观看、控制的权限级别，同时也为网络提供告警采集、图像时隙配置与切换、数据时隙配置、查询设备工作环境和权限设置管理等功能。</w:t>
      </w:r>
    </w:p>
    <w:p w14:paraId="3437F2C2">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12.3 视频监视系统的硬件配置</w:t>
      </w:r>
    </w:p>
    <w:p w14:paraId="5DEFEE2A">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3.1 系统硬件配置要求</w:t>
      </w:r>
    </w:p>
    <w:p w14:paraId="77C39C6E">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3.1.1 通信介质</w:t>
      </w:r>
    </w:p>
    <w:p w14:paraId="5B68525B">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以太网的通信介质采用网络双绞线和光纤。 </w:t>
      </w:r>
    </w:p>
    <w:p w14:paraId="544FD5AF">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3.1.2 接地</w:t>
      </w:r>
    </w:p>
    <w:p w14:paraId="0E1EBFC9">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系统接地使用公用接地网，接地电阻≤1Ω。</w:t>
      </w:r>
    </w:p>
    <w:p w14:paraId="676931A1">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系统所属设备使用测试仪器时，该设备能为测试仪器提供电源连接和接地连接。</w:t>
      </w:r>
    </w:p>
    <w:p w14:paraId="2D123AC1">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为了避免产生接地环流或地噪声干扰，同时为了设备的安全防护，系统内设备的外壳、交流电源、逻辑回路、信号回路和电缆屏蔽层按有关的规定接地。</w:t>
      </w:r>
    </w:p>
    <w:p w14:paraId="54ECFB23">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3.1.3 视频监视系统的可靠性</w:t>
      </w:r>
    </w:p>
    <w:p w14:paraId="0C59C66C">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计算机显示分辨率                      ≥1920×1080</w:t>
      </w:r>
    </w:p>
    <w:p w14:paraId="49294E67">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系统平均无故障工作时间MTBF           ＞30000小时</w:t>
      </w:r>
    </w:p>
    <w:p w14:paraId="3EE66B41">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系统平均维护时间MTTR                 ＜0.5小时</w:t>
      </w:r>
    </w:p>
    <w:p w14:paraId="51114EC9">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设备可利用率</w:t>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≥99.9%</w:t>
      </w:r>
    </w:p>
    <w:p w14:paraId="1B0A6095">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3.1.4 人机接口响应时间</w:t>
      </w:r>
    </w:p>
    <w:p w14:paraId="16BF1E9B">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图像控制切换响应时间                   ＜0.5秒</w:t>
      </w:r>
    </w:p>
    <w:p w14:paraId="1CE4D94B">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事件报警到系统自动记录相应画面时间差   ＜0.5秒</w:t>
      </w:r>
    </w:p>
    <w:p w14:paraId="41A8F234">
      <w:pPr>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3.2 系统硬件配置</w:t>
      </w:r>
    </w:p>
    <w:p w14:paraId="341B9A66">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3.2.1 图像工作站</w:t>
      </w:r>
    </w:p>
    <w:p w14:paraId="226A15E6">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配置要求同计算机监控系统主机兼操作员工作站。</w:t>
      </w:r>
    </w:p>
    <w:p w14:paraId="6629A33E">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3.2.2 前端摄像机</w:t>
      </w:r>
    </w:p>
    <w:p w14:paraId="7CD75801">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室内外一体化快球形低照度（红外）彩色/黑白自动转换摄像机，要求是由高分辨率、低照度的彩色球驱动器和编程软件组成的相关产品，要求采用技术先进的、知名度较高的产品，如海康威视、大华、英飞拓等，其技术指标不低于：</w:t>
      </w:r>
    </w:p>
    <w:p w14:paraId="5A3018DE">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a．200W像素，30倍光学，16倍数字变焦；1/2.8” Progressive Scan CMOS；</w:t>
      </w:r>
    </w:p>
    <w:p w14:paraId="5E5383C0">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b．彩色解晰度≥1000线，彩色照度0.05 Lux</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color w:val="auto"/>
          <w:kern w:val="0"/>
          <w:szCs w:val="21"/>
        </w:rPr>
        <w:t>@(F1.6,AGC ON)；最小照度0.01Lux@(F1.6,AGC ON)，0 Lux with IR；日夜视自动转换；</w:t>
      </w:r>
    </w:p>
    <w:p w14:paraId="2C5BC4BF">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c．内置中英文OSD屏幕菜单，通过菜单来显示和更改球机信息及参数，可设定和调用预置点、花样扫描、区域扫描和显示区域等；</w:t>
      </w:r>
    </w:p>
    <w:p w14:paraId="03443579">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d．定时自动激活功能，可设定球机空闲一段时间后，启动区域扫描、间歇扫描、连续扫描、花样扫描和调用预置点；</w:t>
      </w:r>
    </w:p>
    <w:p w14:paraId="6269F8AD">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e．内置中/英文输入，具有区域标题设置、预置点标题设置、球机标题设置功能；</w:t>
      </w:r>
    </w:p>
    <w:p w14:paraId="32B775E3">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f．一体化集成设计，结构紧凑，可靠性高；</w:t>
      </w:r>
    </w:p>
    <w:p w14:paraId="13BC3B5B">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g．300个预置点，每个预置点包含云台水平位置、竖直位置、镜头变倍等参数信息，可设置标题；</w:t>
      </w:r>
    </w:p>
    <w:p w14:paraId="052F52A0">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h．采用网络双绞线控制；</w:t>
      </w:r>
    </w:p>
    <w:p w14:paraId="79B708DC">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i．采用精密的电机驱动，运转平稳，反应灵敏；</w:t>
      </w:r>
    </w:p>
    <w:p w14:paraId="4BD699D3">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j．水平360°连续旋转，无监视盲区；</w:t>
      </w:r>
    </w:p>
    <w:p w14:paraId="02A81263">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k．垂直90°、自动翻转180°后连续监视；</w:t>
      </w:r>
    </w:p>
    <w:p w14:paraId="23ECE109">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l．旋转速度根据镜头放大倍数自动调整；</w:t>
      </w:r>
    </w:p>
    <w:p w14:paraId="3E98C16F">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m．自动聚焦、自动白平衡；</w:t>
      </w:r>
    </w:p>
    <w:p w14:paraId="4ED3BD62">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n．具有背光补偿功能；</w:t>
      </w:r>
    </w:p>
    <w:p w14:paraId="7A181B7D">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o．兼容多种控制协议、波特率可调；</w:t>
      </w:r>
    </w:p>
    <w:p w14:paraId="25EA5BF4">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p．具有报警输入和继电器输出功能；</w:t>
      </w:r>
    </w:p>
    <w:p w14:paraId="6DF2F7AB">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q．具有菜单密码保护功能；</w:t>
      </w:r>
    </w:p>
    <w:p w14:paraId="14580812">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r．多种安装方式可根据不同环境进行选择。</w:t>
      </w:r>
    </w:p>
    <w:p w14:paraId="761417EB">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3.2.3 数字硬盘录像机</w:t>
      </w:r>
    </w:p>
    <w:p w14:paraId="7F36855C">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应选用嵌入式技术的硬盘录像机提高对图像记录的保存。要求采用技术先进的、知名度较高的产品，如海康威视、大华、英飞拓等，其技术指标不低于：</w:t>
      </w:r>
    </w:p>
    <w:p w14:paraId="078D6D15">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a．采用高性能POWER PC嵌入式处理器和VXWorks嵌入式RTOS操作系统，脱离PC不稳定因素，杜绝病毒入侵，支持多级用户管理；</w:t>
      </w:r>
    </w:p>
    <w:p w14:paraId="7DDFEB33">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b．支持16路独立全实时音图像MPEG-4 Part 10/H.264/MPEG4 SPS编码方式录像，编码码率以及帧率可动态实施修改或调节，压缩效率高，图像清晰，带宽占用小；</w:t>
      </w:r>
    </w:p>
    <w:p w14:paraId="7C888581">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c．支持VGA、监视器输出，单画面、四画面、八画面、九画面、十六画面、画中画等多画面监视功能；</w:t>
      </w:r>
    </w:p>
    <w:p w14:paraId="760A100A">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d．录像支持CIF、2CIF、4CIF、D1图像分辨率，对多种图像分辨率可以单独设置也可以任意组合；</w:t>
      </w:r>
    </w:p>
    <w:p w14:paraId="66DF8F11">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e．音频压缩算法采用国际标准G.711，压缩比高，声音清晰，连续性好；</w:t>
      </w:r>
    </w:p>
    <w:p w14:paraId="2A527AB6">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f．支持全新硬盘工作管理系统，采用非工作盘休眠处理，减少功耗，延长硬盘寿命；</w:t>
      </w:r>
    </w:p>
    <w:p w14:paraId="3EE9D024">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g．特殊的嵌入式录像文件流处理模式，录像文件无缝连接，可以根据任意时间段取证，无缝录像保证证据连贯合法；同时磁盘无碎片有效延长硬盘寿命；</w:t>
      </w:r>
    </w:p>
    <w:p w14:paraId="40036C5D">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h．支持手动录像、定时录像、报警联动录像、运动检测录像等多种录像模式，并可以实现的图像运动报警、外部报警预录时间调节功能，支持图像遮盖录像；</w:t>
      </w:r>
    </w:p>
    <w:p w14:paraId="4C9863CA">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i．支持快速、慢速、单帧进退等多种回放模式；录像回放时还具有画中画、多画面监视功能；</w:t>
      </w:r>
    </w:p>
    <w:p w14:paraId="2332CFBA">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j．支持内外置刻录机备份方式，同时支持USB外部存储设备备份以及网络存储备份；</w:t>
      </w:r>
    </w:p>
    <w:p w14:paraId="719FD621">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k．支持TCP、UDP、RTP、RTSP、HTTP、DHCP、FTP等网络传输协议，网络客户端支持多台硬盘录像机管理，用户多通道实时监视功能、多用户同时备份与回放；支持网络WEB方式浏览功能；</w:t>
      </w:r>
    </w:p>
    <w:p w14:paraId="1C930838">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l．支持多种RS485接口控制设备，支持主流球机、云台控制协议；支持透明RS232接口控制及数据传输</w:t>
      </w:r>
    </w:p>
    <w:p w14:paraId="09DEE59D">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m．支持系统远程升级、日志查询、、设备参数设置、系统维护等远程协助工作。</w:t>
      </w:r>
    </w:p>
    <w:p w14:paraId="28655A47">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n．具有系统联网功能，便于设置系统分控和实现异地远程监控和管理。</w:t>
      </w:r>
    </w:p>
    <w:p w14:paraId="3C7BBD7C">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o．500GB硬盘空间，硬盘最大支持数量达到8个。</w:t>
      </w:r>
    </w:p>
    <w:p w14:paraId="4C5CB265">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p．每台录像机图像保存时间不少于15天，并以此作为硬盘容量是否达标的验收条件之一。</w:t>
      </w:r>
    </w:p>
    <w:p w14:paraId="6F5ABE3E">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q．具有静止画面自动停止录像功能。</w:t>
      </w:r>
    </w:p>
    <w:p w14:paraId="4785D855">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12.4 视频监视系统的软件功能</w:t>
      </w:r>
    </w:p>
    <w:p w14:paraId="24FE290C">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4.1 视频监视系统软件具体功能要求</w:t>
      </w:r>
    </w:p>
    <w:p w14:paraId="2A6975D6">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 xml:space="preserve">4.1.1 图像监视功能 </w:t>
      </w:r>
    </w:p>
    <w:p w14:paraId="6EACFD74">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系统采用画面分割技术，同一显示器能接受几幅图像信息，画面可任意组合、放大和缩小，并能切换其中任一幅图像；同时具有图像轮巡功能，还可根据要求预设轮巡方案进行操作。</w:t>
      </w:r>
    </w:p>
    <w:p w14:paraId="14A6FED9">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4.1.2 摄像机切换和控制功能</w:t>
      </w:r>
    </w:p>
    <w:p w14:paraId="4996B957">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对系统中配置的可控摄像机进行全面控制，包含左右、上下、远景/近景、近焦/远焦，预置点控制和预编程观看等，同时通过硬盘录像机实现对摄像机的切换。</w:t>
      </w:r>
    </w:p>
    <w:p w14:paraId="6AC8931B">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4.1.3 录像功能</w:t>
      </w:r>
    </w:p>
    <w:p w14:paraId="2FA5DA5D">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对硬盘录像机中的历史文件进行方便的检索和调用，便于操作人员进行分析，同时通过软件也可满足实现远程网络录像功能。</w:t>
      </w:r>
    </w:p>
    <w:p w14:paraId="7D16ABD4">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4.1.4 用户管理和权限控制</w:t>
      </w:r>
    </w:p>
    <w:p w14:paraId="28F20305">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可对用户的功能权限和管辖权限进行设定，当不同优先级的用户同时对同一设备进行操作时应具有协商机制，该部分功能可由用户进行自行设置。</w:t>
      </w:r>
    </w:p>
    <w:p w14:paraId="4506D0F5">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4.1.5 日志功能</w:t>
      </w:r>
    </w:p>
    <w:p w14:paraId="28169DE8">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用户所有重要操作，如登录、控制、退出、报警等，均应有操作记录，软件可对操作记录进行查询和统计，应自动生成系统运行日志，可查询及以报表方式打印输出。所有操作记录具有不可删除和不可更改性（除系统管理员）。</w:t>
      </w:r>
    </w:p>
    <w:p w14:paraId="02F78EBA">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4.1.6 软件界面要求</w:t>
      </w:r>
    </w:p>
    <w:p w14:paraId="02CE7439">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软件具有统一的客户界面，在同一个界面上完成所有系统的所有功能，软件界面友好，并可根据用户要求进行定制，同时也允许用户对软件的界面色彩等基本风格自行调整。</w:t>
      </w:r>
    </w:p>
    <w:p w14:paraId="3DA7B9E5">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4.1.7 系统自维护</w:t>
      </w:r>
    </w:p>
    <w:p w14:paraId="41A71029">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软件应有容错功能，可防止误操作导致的出错和崩溃，且具有数据备份、恢复以及自诊断、自恢复功能，可实现远程对设备的配置、维护和重新启动的功能，提供在线帮助。</w:t>
      </w:r>
    </w:p>
    <w:p w14:paraId="5A502C90">
      <w:pPr>
        <w:snapToGrid w:val="0"/>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4.1.8 设备控制</w:t>
      </w:r>
    </w:p>
    <w:p w14:paraId="0F34703B">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软件可对系统的各种设备进行全面的控制，包含摄像机、硬盘录像机等基本设备，同时软件应具有灵活完善的设备配置功能，便于未来其它类型设备及系统的接入。</w:t>
      </w:r>
    </w:p>
    <w:p w14:paraId="56EDC500">
      <w:pPr>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4.2 软件无缝互连</w:t>
      </w:r>
    </w:p>
    <w:p w14:paraId="7FFA2957">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软件架构开放，配置灵活，便于和别的相关系统进行各种方式的互连（包含硬件接口互连，软件协议互连和翻译，软件数据库共享和互连等手段），同时也可为别的相关系统提供互连接口。</w:t>
      </w:r>
    </w:p>
    <w:p w14:paraId="14055914">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应最大限度地考虑到以后系统互连时只需提供相应的接口，协议和数据库，对软件进行相应的补充修改而不需要更换和添加硬件设备。</w:t>
      </w:r>
    </w:p>
    <w:p w14:paraId="7FBDEBA7">
      <w:pPr>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4.3 软件的升级和服务</w:t>
      </w:r>
    </w:p>
    <w:p w14:paraId="16C83B7E">
      <w:pPr>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软件应可根据用户的习惯对界面和操作进行修改，定制软件必须是在成熟的软件基础上进行，软件应可免费升级和维护。</w:t>
      </w:r>
    </w:p>
    <w:p w14:paraId="003CA195">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12.5 视频监视系统的测试</w:t>
      </w:r>
    </w:p>
    <w:p w14:paraId="5720257A">
      <w:pPr>
        <w:snapToGrid w:val="0"/>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Cs w:val="21"/>
        </w:rPr>
        <w:t>视频监视系统</w:t>
      </w:r>
      <w:r>
        <w:rPr>
          <w:rFonts w:hint="eastAsia" w:asciiTheme="minorEastAsia" w:hAnsiTheme="minorEastAsia" w:eastAsiaTheme="minorEastAsia" w:cstheme="minorEastAsia"/>
          <w:color w:val="auto"/>
          <w:kern w:val="0"/>
          <w:sz w:val="21"/>
          <w:szCs w:val="21"/>
        </w:rPr>
        <w:t>必须进行厂家的产品标准测试和本招标文件规定的所有功能的现场测试。</w:t>
      </w:r>
    </w:p>
    <w:p w14:paraId="67E69B63">
      <w:pPr>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12.</w:t>
      </w:r>
      <w:r>
        <w:rPr>
          <w:rFonts w:hint="eastAsia" w:asciiTheme="minorEastAsia" w:hAnsiTheme="minorEastAsia" w:eastAsiaTheme="minorEastAsia" w:cstheme="minorEastAsia"/>
          <w:color w:val="auto"/>
          <w:kern w:val="0"/>
          <w:szCs w:val="21"/>
        </w:rPr>
        <w:t>5.1 工厂测试</w:t>
      </w:r>
    </w:p>
    <w:p w14:paraId="1C4C0D37">
      <w:pPr>
        <w:pStyle w:val="4"/>
        <w:spacing w:line="360" w:lineRule="auto"/>
        <w:rPr>
          <w:rStyle w:val="317"/>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snapToGrid w:val="0"/>
          <w:color w:val="auto"/>
          <w:sz w:val="21"/>
          <w:szCs w:val="21"/>
        </w:rPr>
        <w:t>5.1.1 主站设备的工厂测试</w:t>
      </w:r>
    </w:p>
    <w:p w14:paraId="6697564C">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主站设备的工厂测试应包括（不限于此）：</w:t>
      </w:r>
    </w:p>
    <w:p w14:paraId="5F6BBBA7">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设备的检查和起动</w:t>
      </w:r>
    </w:p>
    <w:p w14:paraId="4BFB64E1">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电源要求、电压和频率运行范围及失电后设备自动再起动</w:t>
      </w:r>
    </w:p>
    <w:p w14:paraId="3D7A5F30">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执行系统的检查和诊断程序</w:t>
      </w:r>
    </w:p>
    <w:p w14:paraId="3F194633">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每一个应用程序的功能</w:t>
      </w:r>
    </w:p>
    <w:p w14:paraId="521CCFD6">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核实应用程序</w:t>
      </w:r>
    </w:p>
    <w:p w14:paraId="2B161A65">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测量操作员要求的显示和记录</w:t>
      </w:r>
    </w:p>
    <w:p w14:paraId="64B6FF98">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测量操作员要求的显示，控制执行和报警报告在最恶劣负荷条件下的响应时间</w:t>
      </w:r>
    </w:p>
    <w:p w14:paraId="43E96849">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CPU负载率的核实</w:t>
      </w:r>
    </w:p>
    <w:p w14:paraId="2663AE82">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噪声干扰测试</w:t>
      </w:r>
    </w:p>
    <w:p w14:paraId="6FF23D2E">
      <w:pPr>
        <w:pStyle w:val="4"/>
        <w:spacing w:line="360" w:lineRule="auto"/>
        <w:rPr>
          <w:rStyle w:val="317"/>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snapToGrid w:val="0"/>
          <w:color w:val="auto"/>
          <w:sz w:val="21"/>
          <w:szCs w:val="21"/>
        </w:rPr>
        <w:t>5.1.2 现地设备的工厂测试</w:t>
      </w:r>
    </w:p>
    <w:p w14:paraId="5CEAFCF1">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现地设备的工厂测试应包括（不限于此）：</w:t>
      </w:r>
    </w:p>
    <w:p w14:paraId="11BE5A64">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设备的检查和起动</w:t>
      </w:r>
    </w:p>
    <w:p w14:paraId="108E079F">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输入/输出的耐压测试</w:t>
      </w:r>
    </w:p>
    <w:p w14:paraId="1464C410">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电源要求、电压和频率运行范围</w:t>
      </w:r>
    </w:p>
    <w:p w14:paraId="25E5319E">
      <w:pPr>
        <w:pStyle w:val="4"/>
        <w:spacing w:line="360" w:lineRule="auto"/>
        <w:ind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rPr>
        <w:t>12.</w:t>
      </w:r>
      <w:r>
        <w:rPr>
          <w:rFonts w:hint="eastAsia" w:asciiTheme="minorEastAsia" w:hAnsiTheme="minorEastAsia" w:eastAsiaTheme="minorEastAsia" w:cstheme="minorEastAsia"/>
          <w:color w:val="auto"/>
          <w:sz w:val="21"/>
          <w:szCs w:val="21"/>
        </w:rPr>
        <w:t>5.2 现场测试</w:t>
      </w:r>
    </w:p>
    <w:p w14:paraId="69F32039">
      <w:pPr>
        <w:pStyle w:val="4"/>
        <w:spacing w:line="360" w:lineRule="auto"/>
        <w:rPr>
          <w:rStyle w:val="317"/>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snapToGrid w:val="0"/>
          <w:color w:val="auto"/>
          <w:sz w:val="21"/>
          <w:szCs w:val="21"/>
        </w:rPr>
        <w:t>5.2.1 在视频监视系统安装完成后，承包人应负责进行系统调整、校正及测试以证明整个系统的性能达到本技术规范的要求。现场测试应经历两个主要阶段：即现场初步验收测试和最终验收测试。在所有合同设备保证期期满之前一个月内对整个系统予以最终的验收。</w:t>
      </w:r>
    </w:p>
    <w:p w14:paraId="3F04B9DB">
      <w:pPr>
        <w:pStyle w:val="4"/>
        <w:spacing w:line="360" w:lineRule="auto"/>
        <w:rPr>
          <w:rStyle w:val="317"/>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snapToGrid w:val="0"/>
          <w:color w:val="auto"/>
          <w:sz w:val="21"/>
          <w:szCs w:val="21"/>
        </w:rPr>
        <w:t>5.2.2 承包人应提供一个验证系统是否达到规定要求的程序和测试大纲给工程师复核。应根据“工厂测试”中所规定的工厂测试要求，在安装好的系统上重新进行测试。</w:t>
      </w:r>
    </w:p>
    <w:p w14:paraId="227FE9D7">
      <w:pPr>
        <w:pStyle w:val="4"/>
        <w:spacing w:line="360" w:lineRule="auto"/>
        <w:rPr>
          <w:rStyle w:val="317"/>
          <w:rFonts w:hint="eastAsia" w:asciiTheme="minorEastAsia" w:hAnsiTheme="minorEastAsia" w:eastAsiaTheme="minorEastAsia" w:cstheme="minorEastAsia"/>
          <w:snapToGrid w:val="0"/>
          <w:color w:val="auto"/>
          <w:sz w:val="21"/>
          <w:szCs w:val="21"/>
        </w:rPr>
      </w:pPr>
      <w:r>
        <w:rPr>
          <w:rStyle w:val="317"/>
          <w:rFonts w:hint="eastAsia" w:asciiTheme="minorEastAsia" w:hAnsiTheme="minorEastAsia" w:eastAsiaTheme="minorEastAsia" w:cstheme="minorEastAsia"/>
          <w:snapToGrid w:val="0"/>
          <w:color w:val="auto"/>
          <w:sz w:val="21"/>
          <w:szCs w:val="21"/>
        </w:rPr>
        <w:t>现场测试的步骤应至少在计划测试时间的10天前提供。</w:t>
      </w:r>
    </w:p>
    <w:p w14:paraId="7B3F28BA">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承包人应提供一个完整的现场测试报告，以表明系统的特定部件或整个系统完全符合规定的性能要求。</w:t>
      </w:r>
    </w:p>
    <w:p w14:paraId="17ACA11D">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现场测试应在安装完毕的设备上进行。任何部件不能满足规范书要求以及承包人保证性能时，应由承包人无偿地加以更换，完成所要求的测量所必需的全部测试设备由承包人提供。</w:t>
      </w:r>
    </w:p>
    <w:p w14:paraId="7551C684">
      <w:pPr>
        <w:pStyle w:val="4"/>
        <w:spacing w:line="360" w:lineRule="auto"/>
        <w:rPr>
          <w:rStyle w:val="317"/>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color w:val="auto"/>
          <w:sz w:val="21"/>
          <w:szCs w:val="21"/>
        </w:rPr>
        <w:t>5.2.3 现场初步验收测试</w:t>
      </w:r>
    </w:p>
    <w:p w14:paraId="54E178CB">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主站的现场初步验收测试应包括如下内容（不限于此）：</w:t>
      </w:r>
    </w:p>
    <w:p w14:paraId="22162A16">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安装检查、核实内部接线、电源、设备部件、计算机设备以及其它外围设备</w:t>
      </w:r>
    </w:p>
    <w:p w14:paraId="090BD97D">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系统的起动、操作检查以及硬件诊断程序的试运行</w:t>
      </w:r>
    </w:p>
    <w:p w14:paraId="0C4A9576">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操作测试，包括系统显示、报警记录和显示、事件记录和显示、定期记录</w:t>
      </w:r>
    </w:p>
    <w:p w14:paraId="76F84417">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对主站及其外部设备进行性能测试以核实是否达到保证的性能指标</w:t>
      </w:r>
    </w:p>
    <w:p w14:paraId="09AD1D41">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现地设备的现场初步验收测试应包括如下内容（不限于此）：</w:t>
      </w:r>
    </w:p>
    <w:p w14:paraId="33173515">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安装检查、核对输入/输出接线、电源以及设备各部件</w:t>
      </w:r>
    </w:p>
    <w:p w14:paraId="706927BD">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设备的起动、运行检查</w:t>
      </w:r>
    </w:p>
    <w:p w14:paraId="2BEFC6AA">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核对输入/输出端获得的信号</w:t>
      </w:r>
    </w:p>
    <w:p w14:paraId="025C6FDD">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验证运行测试</w:t>
      </w:r>
    </w:p>
    <w:p w14:paraId="4B777F91">
      <w:pPr>
        <w:pStyle w:val="4"/>
        <w:spacing w:line="360" w:lineRule="auto"/>
        <w:rPr>
          <w:rStyle w:val="317"/>
          <w:rFonts w:hint="eastAsia" w:asciiTheme="minorEastAsia" w:hAnsiTheme="minorEastAsia" w:eastAsiaTheme="minorEastAsia" w:cstheme="minorEastAsia"/>
          <w:color w:val="auto"/>
          <w:sz w:val="21"/>
          <w:szCs w:val="21"/>
        </w:rPr>
      </w:pPr>
      <w:r>
        <w:rPr>
          <w:rStyle w:val="317"/>
          <w:rFonts w:hint="eastAsia" w:asciiTheme="minorEastAsia" w:hAnsiTheme="minorEastAsia" w:eastAsiaTheme="minorEastAsia" w:cstheme="minorEastAsia"/>
          <w:color w:val="auto"/>
          <w:sz w:val="21"/>
          <w:szCs w:val="21"/>
        </w:rPr>
        <w:t>性能测试以验证达到全部保证特性指标</w:t>
      </w:r>
    </w:p>
    <w:p w14:paraId="04D481D7">
      <w:pPr>
        <w:pStyle w:val="4"/>
        <w:spacing w:line="360" w:lineRule="auto"/>
        <w:ind w:firstLine="0"/>
        <w:rPr>
          <w:rStyle w:val="317"/>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color w:val="auto"/>
          <w:sz w:val="21"/>
          <w:szCs w:val="21"/>
        </w:rPr>
        <w:t>5.3 可利用率测试</w:t>
      </w:r>
    </w:p>
    <w:p w14:paraId="4B91EBDD">
      <w:pPr>
        <w:pStyle w:val="4"/>
        <w:spacing w:line="360" w:lineRule="auto"/>
        <w:rPr>
          <w:rStyle w:val="317"/>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color w:val="auto"/>
          <w:sz w:val="21"/>
          <w:szCs w:val="21"/>
        </w:rPr>
        <w:t>5.3.1 在现场初步测试圆满完成以后，当系统进入正常的控制运行时，也就开始可利用率测试。可利用率测试期间，不应要求承包人进行特殊测试程序或特殊操作。可利用率测试应与所有控制级设备和软件一同运行。</w:t>
      </w:r>
    </w:p>
    <w:p w14:paraId="1F2DD83C">
      <w:pPr>
        <w:pStyle w:val="4"/>
        <w:spacing w:line="360" w:lineRule="auto"/>
        <w:rPr>
          <w:rStyle w:val="317"/>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color w:val="auto"/>
          <w:sz w:val="21"/>
          <w:szCs w:val="21"/>
        </w:rPr>
        <w:t>5.3.2 可利用率测试期间，发包人的使用和维护负责人将利用系统完成正常控制功能。承包人将完成所有视频监视系统的有关维护工作，以及在此期间的所有备品备件的提供。</w:t>
      </w:r>
    </w:p>
    <w:p w14:paraId="23F9F3B4">
      <w:pPr>
        <w:pStyle w:val="4"/>
        <w:spacing w:line="360" w:lineRule="auto"/>
        <w:rPr>
          <w:rStyle w:val="317"/>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color w:val="auto"/>
          <w:sz w:val="21"/>
          <w:szCs w:val="21"/>
        </w:rPr>
        <w:t>5.3.3 承包人应能在可利用率测试期间的所有时间内被召唤，以修理每个出现的故障和停工期间提供校核和资料的辅助服务。在测试期间，承包人将至少提供一个全工作日的维修人员，但仅在发包人代表的指令下执行维修工作。</w:t>
      </w:r>
    </w:p>
    <w:p w14:paraId="6555A6D8">
      <w:pPr>
        <w:pStyle w:val="4"/>
        <w:spacing w:line="360" w:lineRule="auto"/>
        <w:ind w:firstLine="0"/>
        <w:rPr>
          <w:rStyle w:val="317"/>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color w:val="auto"/>
          <w:sz w:val="21"/>
          <w:szCs w:val="21"/>
        </w:rPr>
        <w:t>5.4 最终验收测试</w:t>
      </w:r>
    </w:p>
    <w:p w14:paraId="2233E385">
      <w:pPr>
        <w:pStyle w:val="4"/>
        <w:spacing w:line="360" w:lineRule="auto"/>
        <w:rPr>
          <w:rStyle w:val="317"/>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color w:val="auto"/>
          <w:sz w:val="21"/>
          <w:szCs w:val="21"/>
        </w:rPr>
        <w:t>5.4.1 局部最终验收测试：应对视频监视系统主要设备的每个部件进行最终验收测试。</w:t>
      </w:r>
    </w:p>
    <w:p w14:paraId="05565831">
      <w:pPr>
        <w:pStyle w:val="4"/>
        <w:spacing w:line="360" w:lineRule="auto"/>
        <w:rPr>
          <w:rStyle w:val="317"/>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color w:val="auto"/>
          <w:sz w:val="21"/>
          <w:szCs w:val="21"/>
        </w:rPr>
        <w:t>5.4.2 最终验收测试应包括：与初步验收测试所包含的内容相同，重点应放在初步验收测试中不完全满意或在保证期运行中有故障的部分设备的重新测试上。</w:t>
      </w:r>
    </w:p>
    <w:p w14:paraId="1386EF7A">
      <w:pPr>
        <w:pStyle w:val="4"/>
        <w:spacing w:line="360" w:lineRule="auto"/>
        <w:rPr>
          <w:rStyle w:val="317"/>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rPr>
        <w:t>12.</w:t>
      </w:r>
      <w:r>
        <w:rPr>
          <w:rStyle w:val="317"/>
          <w:rFonts w:hint="eastAsia" w:asciiTheme="minorEastAsia" w:hAnsiTheme="minorEastAsia" w:eastAsiaTheme="minorEastAsia" w:cstheme="minorEastAsia"/>
          <w:color w:val="auto"/>
          <w:sz w:val="21"/>
          <w:szCs w:val="21"/>
        </w:rPr>
        <w:t>5.4.3 最终系统验收测试：当所有局部最终验收测试完成后，应对整个视频监视系统进行最终的系统验收测试以验证是否完全达到其保证的性能指标。</w:t>
      </w:r>
    </w:p>
    <w:p w14:paraId="3CFC9A2F">
      <w:pPr>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br w:type="page"/>
      </w:r>
    </w:p>
    <w:p w14:paraId="1D315287">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第13章 直流电源装置采购技术要求</w:t>
      </w:r>
    </w:p>
    <w:p w14:paraId="6C4035C1">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13.1 一般规定和规范</w:t>
      </w:r>
    </w:p>
    <w:p w14:paraId="3DF0AC56">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1.1承包范围</w:t>
      </w:r>
    </w:p>
    <w:p w14:paraId="708E06B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1.1.1 承包人将承包下列项目的设计、制造、试验；包装、运输、交货；安装指导，参与现场试验、试运行、验收；并应完全符合合同要求。</w:t>
      </w:r>
    </w:p>
    <w:tbl>
      <w:tblPr>
        <w:tblStyle w:val="65"/>
        <w:tblW w:w="9214"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51"/>
        <w:gridCol w:w="3118"/>
        <w:gridCol w:w="2268"/>
        <w:gridCol w:w="709"/>
        <w:gridCol w:w="709"/>
        <w:gridCol w:w="1559"/>
      </w:tblGrid>
      <w:tr w14:paraId="01C67D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51" w:type="dxa"/>
            <w:vAlign w:val="center"/>
          </w:tcPr>
          <w:p w14:paraId="6C8C751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序号</w:t>
            </w:r>
          </w:p>
        </w:tc>
        <w:tc>
          <w:tcPr>
            <w:tcW w:w="3118" w:type="dxa"/>
            <w:vAlign w:val="center"/>
          </w:tcPr>
          <w:p w14:paraId="773AE76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名      称</w:t>
            </w:r>
          </w:p>
        </w:tc>
        <w:tc>
          <w:tcPr>
            <w:tcW w:w="2268" w:type="dxa"/>
            <w:vAlign w:val="center"/>
          </w:tcPr>
          <w:p w14:paraId="43A89A43">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容量</w:t>
            </w:r>
          </w:p>
        </w:tc>
        <w:tc>
          <w:tcPr>
            <w:tcW w:w="709" w:type="dxa"/>
            <w:vAlign w:val="center"/>
          </w:tcPr>
          <w:p w14:paraId="6E8DD11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单 位</w:t>
            </w:r>
          </w:p>
        </w:tc>
        <w:tc>
          <w:tcPr>
            <w:tcW w:w="709" w:type="dxa"/>
            <w:vAlign w:val="center"/>
          </w:tcPr>
          <w:p w14:paraId="72A91D0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 量</w:t>
            </w:r>
          </w:p>
        </w:tc>
        <w:tc>
          <w:tcPr>
            <w:tcW w:w="1559" w:type="dxa"/>
            <w:vAlign w:val="center"/>
          </w:tcPr>
          <w:p w14:paraId="3C3CE17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备注</w:t>
            </w:r>
          </w:p>
        </w:tc>
      </w:tr>
      <w:tr w14:paraId="529820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51" w:type="dxa"/>
            <w:vAlign w:val="center"/>
          </w:tcPr>
          <w:p w14:paraId="26D8D33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3118" w:type="dxa"/>
            <w:vAlign w:val="center"/>
          </w:tcPr>
          <w:p w14:paraId="22C6842F">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微机直流电源装置</w:t>
            </w:r>
          </w:p>
        </w:tc>
        <w:tc>
          <w:tcPr>
            <w:tcW w:w="2268" w:type="dxa"/>
          </w:tcPr>
          <w:p w14:paraId="69BD535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DC220V，100Ah</w:t>
            </w:r>
          </w:p>
        </w:tc>
        <w:tc>
          <w:tcPr>
            <w:tcW w:w="709" w:type="dxa"/>
            <w:vAlign w:val="center"/>
          </w:tcPr>
          <w:p w14:paraId="2C145AB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套</w:t>
            </w:r>
          </w:p>
        </w:tc>
        <w:tc>
          <w:tcPr>
            <w:tcW w:w="709" w:type="dxa"/>
            <w:vAlign w:val="center"/>
          </w:tcPr>
          <w:p w14:paraId="4D0499E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559" w:type="dxa"/>
            <w:vAlign w:val="center"/>
          </w:tcPr>
          <w:p w14:paraId="29D2776E">
            <w:pPr>
              <w:jc w:val="center"/>
              <w:rPr>
                <w:rFonts w:hint="eastAsia" w:asciiTheme="minorEastAsia" w:hAnsiTheme="minorEastAsia" w:eastAsiaTheme="minorEastAsia" w:cstheme="minorEastAsia"/>
                <w:snapToGrid w:val="0"/>
                <w:color w:val="auto"/>
                <w:szCs w:val="21"/>
              </w:rPr>
            </w:pPr>
          </w:p>
        </w:tc>
      </w:tr>
      <w:tr w14:paraId="400C4A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51" w:type="dxa"/>
            <w:vAlign w:val="center"/>
          </w:tcPr>
          <w:p w14:paraId="4DC8AE7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3118" w:type="dxa"/>
            <w:vAlign w:val="center"/>
          </w:tcPr>
          <w:p w14:paraId="2073333E">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直流充、馈电屏</w:t>
            </w:r>
          </w:p>
        </w:tc>
        <w:tc>
          <w:tcPr>
            <w:tcW w:w="2268" w:type="dxa"/>
            <w:vAlign w:val="center"/>
          </w:tcPr>
          <w:p w14:paraId="25861369">
            <w:pPr>
              <w:jc w:val="center"/>
              <w:rPr>
                <w:rFonts w:hint="eastAsia" w:asciiTheme="minorEastAsia" w:hAnsiTheme="minorEastAsia" w:eastAsiaTheme="minorEastAsia" w:cstheme="minorEastAsia"/>
                <w:snapToGrid w:val="0"/>
                <w:color w:val="auto"/>
                <w:szCs w:val="21"/>
              </w:rPr>
            </w:pPr>
          </w:p>
        </w:tc>
        <w:tc>
          <w:tcPr>
            <w:tcW w:w="709" w:type="dxa"/>
            <w:vAlign w:val="center"/>
          </w:tcPr>
          <w:p w14:paraId="2E5F466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面</w:t>
            </w:r>
          </w:p>
        </w:tc>
        <w:tc>
          <w:tcPr>
            <w:tcW w:w="709" w:type="dxa"/>
            <w:vAlign w:val="center"/>
          </w:tcPr>
          <w:p w14:paraId="1E048756">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559" w:type="dxa"/>
            <w:vAlign w:val="center"/>
          </w:tcPr>
          <w:p w14:paraId="645B007E">
            <w:pPr>
              <w:jc w:val="center"/>
              <w:rPr>
                <w:rFonts w:hint="eastAsia" w:asciiTheme="minorEastAsia" w:hAnsiTheme="minorEastAsia" w:eastAsiaTheme="minorEastAsia" w:cstheme="minorEastAsia"/>
                <w:snapToGrid w:val="0"/>
                <w:color w:val="auto"/>
                <w:szCs w:val="21"/>
              </w:rPr>
            </w:pPr>
          </w:p>
        </w:tc>
      </w:tr>
      <w:tr w14:paraId="357B7D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51" w:type="dxa"/>
            <w:vAlign w:val="center"/>
          </w:tcPr>
          <w:p w14:paraId="230B956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3118" w:type="dxa"/>
            <w:vAlign w:val="center"/>
          </w:tcPr>
          <w:p w14:paraId="698B49B1">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蓄电池屏</w:t>
            </w:r>
          </w:p>
        </w:tc>
        <w:tc>
          <w:tcPr>
            <w:tcW w:w="2268" w:type="dxa"/>
            <w:vAlign w:val="center"/>
          </w:tcPr>
          <w:p w14:paraId="087E8755">
            <w:pPr>
              <w:jc w:val="center"/>
              <w:rPr>
                <w:rFonts w:hint="eastAsia" w:asciiTheme="minorEastAsia" w:hAnsiTheme="minorEastAsia" w:eastAsiaTheme="minorEastAsia" w:cstheme="minorEastAsia"/>
                <w:snapToGrid w:val="0"/>
                <w:color w:val="auto"/>
                <w:szCs w:val="21"/>
              </w:rPr>
            </w:pPr>
          </w:p>
        </w:tc>
        <w:tc>
          <w:tcPr>
            <w:tcW w:w="709" w:type="dxa"/>
            <w:vAlign w:val="center"/>
          </w:tcPr>
          <w:p w14:paraId="3ACBD58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面</w:t>
            </w:r>
          </w:p>
        </w:tc>
        <w:tc>
          <w:tcPr>
            <w:tcW w:w="709" w:type="dxa"/>
            <w:vAlign w:val="center"/>
          </w:tcPr>
          <w:p w14:paraId="04939F0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559" w:type="dxa"/>
            <w:vAlign w:val="center"/>
          </w:tcPr>
          <w:p w14:paraId="39B8E76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含系统内屏间电缆及与蓄电池的连接电缆</w:t>
            </w:r>
          </w:p>
        </w:tc>
      </w:tr>
      <w:tr w14:paraId="5F498D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51" w:type="dxa"/>
            <w:vAlign w:val="center"/>
          </w:tcPr>
          <w:p w14:paraId="1318785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3118" w:type="dxa"/>
            <w:vAlign w:val="center"/>
          </w:tcPr>
          <w:p w14:paraId="2FD25D67">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规定的备品备件</w:t>
            </w:r>
          </w:p>
        </w:tc>
        <w:tc>
          <w:tcPr>
            <w:tcW w:w="2268" w:type="dxa"/>
            <w:vAlign w:val="center"/>
          </w:tcPr>
          <w:p w14:paraId="3473757D">
            <w:pPr>
              <w:jc w:val="center"/>
              <w:rPr>
                <w:rFonts w:hint="eastAsia" w:asciiTheme="minorEastAsia" w:hAnsiTheme="minorEastAsia" w:eastAsiaTheme="minorEastAsia" w:cstheme="minorEastAsia"/>
                <w:snapToGrid w:val="0"/>
                <w:color w:val="auto"/>
                <w:szCs w:val="21"/>
              </w:rPr>
            </w:pPr>
          </w:p>
        </w:tc>
        <w:tc>
          <w:tcPr>
            <w:tcW w:w="709" w:type="dxa"/>
            <w:vAlign w:val="center"/>
          </w:tcPr>
          <w:p w14:paraId="5EC8A08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709" w:type="dxa"/>
            <w:vAlign w:val="center"/>
          </w:tcPr>
          <w:p w14:paraId="3AD0AC7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559" w:type="dxa"/>
            <w:vAlign w:val="center"/>
          </w:tcPr>
          <w:p w14:paraId="7AC01C24">
            <w:pPr>
              <w:jc w:val="center"/>
              <w:rPr>
                <w:rFonts w:hint="eastAsia" w:asciiTheme="minorEastAsia" w:hAnsiTheme="minorEastAsia" w:eastAsiaTheme="minorEastAsia" w:cstheme="minorEastAsia"/>
                <w:b/>
                <w:snapToGrid w:val="0"/>
                <w:color w:val="auto"/>
                <w:szCs w:val="21"/>
              </w:rPr>
            </w:pPr>
          </w:p>
        </w:tc>
      </w:tr>
      <w:tr w14:paraId="57070F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51" w:type="dxa"/>
            <w:vAlign w:val="center"/>
          </w:tcPr>
          <w:p w14:paraId="5383F5A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3118" w:type="dxa"/>
            <w:vAlign w:val="center"/>
          </w:tcPr>
          <w:p w14:paraId="372CD325">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必须的专用工具等</w:t>
            </w:r>
          </w:p>
        </w:tc>
        <w:tc>
          <w:tcPr>
            <w:tcW w:w="2268" w:type="dxa"/>
            <w:vAlign w:val="center"/>
          </w:tcPr>
          <w:p w14:paraId="6F83A873">
            <w:pPr>
              <w:jc w:val="center"/>
              <w:rPr>
                <w:rFonts w:hint="eastAsia" w:asciiTheme="minorEastAsia" w:hAnsiTheme="minorEastAsia" w:eastAsiaTheme="minorEastAsia" w:cstheme="minorEastAsia"/>
                <w:snapToGrid w:val="0"/>
                <w:color w:val="auto"/>
                <w:szCs w:val="21"/>
              </w:rPr>
            </w:pPr>
          </w:p>
        </w:tc>
        <w:tc>
          <w:tcPr>
            <w:tcW w:w="709" w:type="dxa"/>
            <w:vAlign w:val="center"/>
          </w:tcPr>
          <w:p w14:paraId="07D3A23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709" w:type="dxa"/>
            <w:vAlign w:val="center"/>
          </w:tcPr>
          <w:p w14:paraId="1C016E2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559" w:type="dxa"/>
            <w:vAlign w:val="center"/>
          </w:tcPr>
          <w:p w14:paraId="32EDD934">
            <w:pPr>
              <w:jc w:val="center"/>
              <w:rPr>
                <w:rFonts w:hint="eastAsia" w:asciiTheme="minorEastAsia" w:hAnsiTheme="minorEastAsia" w:eastAsiaTheme="minorEastAsia" w:cstheme="minorEastAsia"/>
                <w:snapToGrid w:val="0"/>
                <w:color w:val="auto"/>
                <w:szCs w:val="21"/>
              </w:rPr>
            </w:pPr>
          </w:p>
        </w:tc>
      </w:tr>
    </w:tbl>
    <w:p w14:paraId="1BC533B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1.1.2 承包人应成套供给合同要求的所有设备及设备安装、测试、拆卸和重新组装所必需的专用工具、专用设备、配件、特殊安装、检验和测试用材料和其它设备。</w:t>
      </w:r>
    </w:p>
    <w:p w14:paraId="30BA9D1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提供为本合同设备运行和维护所必需的备品备件。</w:t>
      </w:r>
    </w:p>
    <w:p w14:paraId="6883E55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人应提供相互协调和完善的设计。任何元件或装置，如果招标文件中未专门提到，但它对于一套完整的和性能良好的系统又是必不可少的，或者对于稳定运行，或者对于改善设备运行都是必要的话，那么这些元件或装置，也应由承包人提供，其费用应包括在总价中。</w:t>
      </w:r>
    </w:p>
    <w:p w14:paraId="3EB6E68B">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1.1.3 承包人应按招标文件的规定提交图纸、说明书、标准和规范，提供现场安装和试验以及相关的技术培训；完成与工程设计有关的技术联络和协调；以及与其它设备供应商之间的协调。</w:t>
      </w:r>
    </w:p>
    <w:p w14:paraId="1FCF1863">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1.2 引用标准</w:t>
      </w:r>
    </w:p>
    <w:p w14:paraId="0C30A1F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1.2.1 下列标准供选用：</w:t>
      </w:r>
    </w:p>
    <w:p w14:paraId="0DB84F9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半导体变流器基本要求的规定</w:t>
      </w:r>
    </w:p>
    <w:p w14:paraId="65214EB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继电器及继电器保护装置基本试验方法</w:t>
      </w:r>
    </w:p>
    <w:p w14:paraId="3FDDF10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低压直流设备的特性及安全要求</w:t>
      </w:r>
    </w:p>
    <w:p w14:paraId="6126606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低压直流开关设备</w:t>
      </w:r>
    </w:p>
    <w:p w14:paraId="73B1C94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电力系统直流屏通用技术条件和安全要求</w:t>
      </w:r>
    </w:p>
    <w:p w14:paraId="2321CE6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电控设备用低压直流电源</w:t>
      </w:r>
    </w:p>
    <w:p w14:paraId="640359F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电力系统直流电源柜订货技术条件</w:t>
      </w:r>
    </w:p>
    <w:p w14:paraId="3775E78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小型电力工程直流系统设计规程</w:t>
      </w:r>
    </w:p>
    <w:p w14:paraId="4CD4176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火力发电厂、变电所直流系统设计技术规定</w:t>
      </w:r>
    </w:p>
    <w:p w14:paraId="46FDB1E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1.2.2 承包人应保证向发包人提供的本合同工程设备所依据的标准及规范是最新版本。</w:t>
      </w:r>
    </w:p>
    <w:p w14:paraId="00939AE4">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1.2.3 如果投标人采用除上述标准系列列举以外的其它系列标准时，须在投标书中加以说明，并经工程师同意方能使用。</w:t>
      </w:r>
    </w:p>
    <w:p w14:paraId="238490AD">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1.2.4 设备制造应采用先进的工艺，以保证各种运行工况正常、可靠；所有螺丝、螺母、螺栓、零部件等应采用GB或ISO标准，并具有良好的互换性和便于安装及检修。</w:t>
      </w:r>
    </w:p>
    <w:p w14:paraId="08CC6A14">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1.3 设备颜色</w:t>
      </w:r>
    </w:p>
    <w:p w14:paraId="6AE9F8E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承包人提供的涉及本系统的屏柜设备油漆颜色均为国际流行灰，色板为RAL 7032；桔纹漆，采用环氧粉末静电喷涂工艺，着色应具有粉末附着力强，表面硬度大，耐磨，耐冲击；应具有良好的色泽持久性，并比喷漆机柜有更好的美观性和耐腐蚀性。</w:t>
      </w:r>
    </w:p>
    <w:p w14:paraId="5D22D749">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1.4 备品备件</w:t>
      </w:r>
    </w:p>
    <w:p w14:paraId="2AA4A7A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1.4.1 承包人应按招标文件中有关规定提供正常运行所必须的备品备件，至少包括：全套用于日常维修和保证微机直流装置正常运行所必须的器件或插件。规定的备品备件价格已包括在投标书中。</w:t>
      </w:r>
    </w:p>
    <w:p w14:paraId="4F9F57C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备品备件包装箱上应有明显的标记。保证在规定的条件下，在保存期内不会变质。</w:t>
      </w:r>
    </w:p>
    <w:p w14:paraId="00167A30">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1.4.2 备品备件</w:t>
      </w:r>
    </w:p>
    <w:p w14:paraId="388D48F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（1）合同中规定的有关设备测试、运输、付款期限、质量保证等条件，同样适用于备品备件。</w:t>
      </w:r>
    </w:p>
    <w:p w14:paraId="41966CE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（2）所提供的全部备品备件应能与原部件相互替换，其材料、工艺及构造均与原部件相同。</w:t>
      </w:r>
    </w:p>
    <w:p w14:paraId="27F527D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所有备件的包装和处理均应适合于长期贮存，每个备品备件的包装箱上均要清楚地标明名称和用途。当几个品种的备品备件装在一个箱里时，则应在箱外给出目录，箱内附有详细装箱清单。所有箱子都应标志清楚并进行编号。</w:t>
      </w:r>
    </w:p>
    <w:p w14:paraId="777D2F0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（4）备品备件应随设备一起运抵工地。</w:t>
      </w:r>
    </w:p>
    <w:p w14:paraId="15F0C39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（5）投标人应提供如下规定的备品备件：</w:t>
      </w:r>
    </w:p>
    <w:p w14:paraId="4DC4E05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①专用直流馈线开关：每种型号和规格各3只；</w:t>
      </w:r>
    </w:p>
    <w:p w14:paraId="413A62A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②绝缘监测配套电流互感器：每种型号和规格各3只；</w:t>
      </w:r>
    </w:p>
    <w:p w14:paraId="2B419BB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③电流、电压变送器各1只；</w:t>
      </w:r>
    </w:p>
    <w:p w14:paraId="68CDE1B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④信号灯：每种型号和规格各3只；</w:t>
      </w:r>
    </w:p>
    <w:p w14:paraId="7D71DEE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fldChar w:fldCharType="begin"/>
      </w:r>
      <w:r>
        <w:rPr>
          <w:rFonts w:hint="eastAsia" w:asciiTheme="minorEastAsia" w:hAnsiTheme="minorEastAsia" w:eastAsiaTheme="minorEastAsia" w:cstheme="minorEastAsia"/>
          <w:color w:val="auto"/>
          <w:kern w:val="0"/>
          <w:szCs w:val="21"/>
        </w:rPr>
        <w:instrText xml:space="preserve"> = 5 \* GB3 </w:instrText>
      </w:r>
      <w:r>
        <w:rPr>
          <w:rFonts w:hint="eastAsia" w:asciiTheme="minorEastAsia" w:hAnsiTheme="minorEastAsia" w:eastAsiaTheme="minorEastAsia" w:cstheme="minorEastAsia"/>
          <w:color w:val="auto"/>
          <w:kern w:val="0"/>
          <w:szCs w:val="21"/>
        </w:rPr>
        <w:fldChar w:fldCharType="separate"/>
      </w:r>
      <w:r>
        <w:rPr>
          <w:rFonts w:hint="eastAsia" w:asciiTheme="minorEastAsia" w:hAnsiTheme="minorEastAsia" w:eastAsiaTheme="minorEastAsia" w:cstheme="minorEastAsia"/>
          <w:color w:val="auto"/>
          <w:kern w:val="0"/>
          <w:szCs w:val="21"/>
        </w:rPr>
        <w:t>⑤</w:t>
      </w:r>
      <w:r>
        <w:rPr>
          <w:rFonts w:hint="eastAsia" w:asciiTheme="minorEastAsia" w:hAnsiTheme="minorEastAsia" w:eastAsiaTheme="minorEastAsia" w:cstheme="minorEastAsia"/>
          <w:color w:val="auto"/>
          <w:kern w:val="0"/>
          <w:szCs w:val="21"/>
        </w:rPr>
        <w:fldChar w:fldCharType="end"/>
      </w:r>
      <w:r>
        <w:rPr>
          <w:rFonts w:hint="eastAsia" w:asciiTheme="minorEastAsia" w:hAnsiTheme="minorEastAsia" w:eastAsiaTheme="minorEastAsia" w:cstheme="minorEastAsia"/>
          <w:color w:val="auto"/>
          <w:kern w:val="0"/>
          <w:szCs w:val="21"/>
        </w:rPr>
        <w:t>熔断器：每种型号和规格各3只；</w:t>
      </w:r>
    </w:p>
    <w:p w14:paraId="33A7E56D">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1.5 专用工器具</w:t>
      </w:r>
    </w:p>
    <w:p w14:paraId="16C6284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1.5.1 概述</w:t>
      </w:r>
    </w:p>
    <w:p w14:paraId="52D1B8E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承包人应提供微机直流装置长期安全稳定运行所必须的、正常维护和保养所需要的专用维修工具和试验设备。安装、调试和试运行阶段所需的各种工具和消耗品应由承包人提供，不计入本条所列的专用工具之中。</w:t>
      </w:r>
    </w:p>
    <w:p w14:paraId="76A12BA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（2）在本章规定提供的所有工具和仪器所需的内部连接电缆、测量用电缆、探测器、电源线和其它专用工具、仪器的辅助设备应包括在供货范围内。</w:t>
      </w:r>
    </w:p>
    <w:p w14:paraId="1035430E">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1.5.2 专用工器具</w:t>
      </w:r>
    </w:p>
    <w:p w14:paraId="1DA96EE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承包人应提供用于微机直流装置日常维修的各种专用工具1套；</w:t>
      </w:r>
    </w:p>
    <w:p w14:paraId="32830A5A">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1.6 承包人提供的图纸和资料</w:t>
      </w:r>
    </w:p>
    <w:p w14:paraId="34E4A26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1.6.1 图纸和资料</w:t>
      </w:r>
    </w:p>
    <w:p w14:paraId="7ACC5FE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（1）第一次技术联络会前30天，应通过承包人向业主提供第一次技术协调会上需要审查和讨论的图纸、资料：</w:t>
      </w:r>
    </w:p>
    <w:p w14:paraId="7CEC4D1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①直流电源装置系统原理图</w:t>
      </w:r>
    </w:p>
    <w:p w14:paraId="4610408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②硬件配置图及设备清单</w:t>
      </w:r>
    </w:p>
    <w:p w14:paraId="6E3D520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③屏体外形、尺寸及安装图</w:t>
      </w:r>
    </w:p>
    <w:p w14:paraId="0B2E4A9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（2）随包装箱发运，应向业主直接提供下述工程施工安装所需的资料：</w:t>
      </w:r>
    </w:p>
    <w:p w14:paraId="37F0208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①全部工程使用的图纸和文件</w:t>
      </w:r>
    </w:p>
    <w:p w14:paraId="32C9DDE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②设备清单及技术说明书</w:t>
      </w:r>
    </w:p>
    <w:p w14:paraId="4C685B1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③系统装置涉及的相关产品使用说明书</w:t>
      </w:r>
    </w:p>
    <w:p w14:paraId="7C71533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④设备安装及运行操作使用说明书</w:t>
      </w:r>
    </w:p>
    <w:p w14:paraId="51374FE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1.6.2 图纸和资料的数量</w:t>
      </w:r>
    </w:p>
    <w:p w14:paraId="1060CEA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（1）所有按规定提交的图纸和资料，向业主提供共4套（其中1套提交给工程设计单位，3套直接提交发包人），并注明按合同提交的日期。</w:t>
      </w:r>
    </w:p>
    <w:p w14:paraId="34747CF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（2）所有产品的厂内检查及试验记录随货向业主提供2套。</w:t>
      </w:r>
    </w:p>
    <w:p w14:paraId="5ABA4A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（3）正式提交的图纸均应由承包人授权代表签署或单位盖章。</w:t>
      </w:r>
    </w:p>
    <w:p w14:paraId="35D5AD54">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13.2 直流电源装置的配置及性能</w:t>
      </w:r>
    </w:p>
    <w:p w14:paraId="67AD1C15">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2.1 直流系统的技术条件</w:t>
      </w:r>
    </w:p>
    <w:p w14:paraId="73493B4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2.1.1 使用环境</w:t>
      </w:r>
    </w:p>
    <w:p w14:paraId="26E314C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最高环境温度：≤＋40 </w:t>
      </w:r>
      <w:r>
        <w:rPr>
          <w:rFonts w:hint="eastAsia" w:asciiTheme="minorEastAsia" w:hAnsiTheme="minorEastAsia" w:eastAsiaTheme="minorEastAsia" w:cstheme="minorEastAsia"/>
          <w:color w:val="auto"/>
          <w:kern w:val="0"/>
          <w:szCs w:val="21"/>
        </w:rPr>
        <w:sym w:font="Romantic" w:char="F0B0"/>
      </w:r>
      <w:r>
        <w:rPr>
          <w:rFonts w:hint="eastAsia" w:asciiTheme="minorEastAsia" w:hAnsiTheme="minorEastAsia" w:eastAsiaTheme="minorEastAsia" w:cstheme="minorEastAsia"/>
          <w:color w:val="auto"/>
          <w:kern w:val="0"/>
          <w:szCs w:val="21"/>
        </w:rPr>
        <w:t xml:space="preserve">C </w:t>
      </w:r>
    </w:p>
    <w:p w14:paraId="203D86B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最低环境温度：≥－10 </w:t>
      </w:r>
      <w:r>
        <w:rPr>
          <w:rFonts w:hint="eastAsia" w:asciiTheme="minorEastAsia" w:hAnsiTheme="minorEastAsia" w:eastAsiaTheme="minorEastAsia" w:cstheme="minorEastAsia"/>
          <w:color w:val="auto"/>
          <w:kern w:val="0"/>
          <w:szCs w:val="21"/>
        </w:rPr>
        <w:sym w:font="Romantic" w:char="F0B0"/>
      </w:r>
      <w:r>
        <w:rPr>
          <w:rFonts w:hint="eastAsia" w:asciiTheme="minorEastAsia" w:hAnsiTheme="minorEastAsia" w:eastAsiaTheme="minorEastAsia" w:cstheme="minorEastAsia"/>
          <w:color w:val="auto"/>
          <w:kern w:val="0"/>
          <w:szCs w:val="21"/>
        </w:rPr>
        <w:t>C</w:t>
      </w:r>
    </w:p>
    <w:p w14:paraId="12BD42B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相对湿度： ≤90 %</w:t>
      </w:r>
    </w:p>
    <w:p w14:paraId="75039D3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海拔高度： ≤1200 m</w:t>
      </w:r>
    </w:p>
    <w:p w14:paraId="7452573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地震烈度： ≤7度  </w:t>
      </w:r>
    </w:p>
    <w:p w14:paraId="1EE9EC4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水平与垂直震动：＜0.5 mm</w:t>
      </w:r>
    </w:p>
    <w:p w14:paraId="7E5BA6E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防护等级：IP30 </w:t>
      </w:r>
    </w:p>
    <w:p w14:paraId="43EB2F7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2.1.2 装置的供电电源</w:t>
      </w:r>
    </w:p>
    <w:p w14:paraId="2054869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直流装置采用双路交流供电电源，采用互为备用、自动切换的方式。</w:t>
      </w:r>
    </w:p>
    <w:p w14:paraId="5F330D5E">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2.2 直流系统技术参数</w:t>
      </w:r>
    </w:p>
    <w:p w14:paraId="06B99D6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2.2.1 成套装置系统参数：</w:t>
      </w:r>
    </w:p>
    <w:p w14:paraId="5CDAAA4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输入电源电压：     AC 380×（85%～120%）V</w:t>
      </w:r>
    </w:p>
    <w:p w14:paraId="0D5A12D9">
      <w:pPr>
        <w:spacing w:line="360" w:lineRule="auto"/>
        <w:ind w:firstLine="315" w:firstLineChars="15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输入电源频率：     50×（1±2%）Hz</w:t>
      </w:r>
    </w:p>
    <w:p w14:paraId="0B08C6B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额定输出电压：     DC 220V</w:t>
      </w:r>
    </w:p>
    <w:p w14:paraId="0431889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装置220V额定持续输出电流： 30A</w:t>
      </w:r>
    </w:p>
    <w:p w14:paraId="48A3791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输出稳压精度：     ≤±0.5 % Ue</w:t>
      </w:r>
    </w:p>
    <w:p w14:paraId="6401DAC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输出稳流精度：     ≤±1 % Ie</w:t>
      </w:r>
    </w:p>
    <w:p w14:paraId="193F21C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纹波系数：         ≤0.5%</w:t>
      </w:r>
    </w:p>
    <w:p w14:paraId="7C4138C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输出电压调节范围： （90%~120%）Ue</w:t>
      </w:r>
    </w:p>
    <w:p w14:paraId="45651BD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输出电流调节范围： （0~100%）Ie</w:t>
      </w:r>
    </w:p>
    <w:p w14:paraId="077C140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整流模块输出电流： 10A</w:t>
      </w:r>
    </w:p>
    <w:p w14:paraId="1E1F6C9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装置模块数量：     4只  （爱默生模块）</w:t>
      </w:r>
    </w:p>
    <w:p w14:paraId="448FB5F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系统接线方式：     单母线不分段</w:t>
      </w:r>
    </w:p>
    <w:p w14:paraId="7309380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系统配置方式：     单充电装置（N+1冗余高频开关模块）/单蓄电池组</w:t>
      </w:r>
    </w:p>
    <w:p w14:paraId="2AB81B3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绝缘检测形式：    设置在线式绝缘监测装置，共25路</w:t>
      </w:r>
    </w:p>
    <w:p w14:paraId="6E635B7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蓄电池形式：      德国阳光牌免维护铅酸蓄电池</w:t>
      </w:r>
    </w:p>
    <w:p w14:paraId="0A7C464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蓄电池容量：      100Ah</w:t>
      </w:r>
    </w:p>
    <w:p w14:paraId="7785107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蓄电池个数：      12V，18只</w:t>
      </w:r>
    </w:p>
    <w:p w14:paraId="107E940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整机噪声：        ＜45dB</w:t>
      </w:r>
    </w:p>
    <w:p w14:paraId="3D1A50B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工作方式：        连续</w:t>
      </w:r>
    </w:p>
    <w:p w14:paraId="25399AF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输入回路：        交流380V   2路（从厂用电回路引至）</w:t>
      </w:r>
    </w:p>
    <w:p w14:paraId="591F0EF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直流220V输出回路：16A/18路、40A/7路</w:t>
      </w:r>
    </w:p>
    <w:p w14:paraId="442222C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2.2.2 硬件配置及结构要求</w:t>
      </w:r>
    </w:p>
    <w:p w14:paraId="03BA1E5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直流电源装置屏规定采用拼装式NF结构、外形尺寸为800（宽）×600（深）×2260（高）mm的标准屏体，前门为整屏透明钢化玻璃铝型材门，后门为双开门，侧面封闭。屏体应按相关标准进行保护，应具有良好的防尘、防潮、防屏蔽性能，防护等级均为IP30。</w:t>
      </w:r>
    </w:p>
    <w:p w14:paraId="3C60289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承包人提供的涉及本系统的直流电源屏设备油漆颜色为国际流行灰，色板为RAL 7032；桔纹漆，采用环氧粉末静电喷涂工艺，着色应具有粉末附着力强，表面硬度大，耐磨，耐冲击等特点；并具有良好的色泽持久性，应比喷漆机柜有更好的美观性和耐腐蚀性。</w:t>
      </w:r>
    </w:p>
    <w:p w14:paraId="03F4426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屏内按钮、信号灯、熔断器、中间继电器和电流互感器等应首选国内知名产品，空气开关应采用KFB1系列的交流开关及KFB1-Z系列专用直流开关，端子排采用ADO绝缘移位端子或魏德米勒或菲尼克斯系列端子，屏内线缆布线要求采用PVC线槽。</w:t>
      </w:r>
    </w:p>
    <w:p w14:paraId="4FB3035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硬件配置要求如下：</w:t>
      </w:r>
    </w:p>
    <w:p w14:paraId="416CEB0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（1）直流电源装置由1面充、馈电屏和1面蓄电池屏组成。</w:t>
      </w:r>
    </w:p>
    <w:p w14:paraId="4FE1ADF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（2）屏内应各设置智能温湿度控制器（含温湿度传感器及电加热器）1套。</w:t>
      </w:r>
    </w:p>
    <w:p w14:paraId="7E9262B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（3）直流电源装置由蓄电池、充电模块、稳压装置、放电回路、微机监测系统及各路直流输出开关等组成。</w:t>
      </w:r>
    </w:p>
    <w:p w14:paraId="6266379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（4）充电模块采用高频开关电源模块，模块数量N+1冗余。</w:t>
      </w:r>
    </w:p>
    <w:p w14:paraId="52EF537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（5）直流电源装置能对蓄电池的充电过程实施智能化控制。</w:t>
      </w:r>
    </w:p>
    <w:p w14:paraId="14EFDA3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（6）直流电源装置应具有RS485通信接口输出，能实现“四遥”功能。通信接口和装置的故障信号应分类引出至端子排。</w:t>
      </w:r>
    </w:p>
    <w:p w14:paraId="6A5F457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（7）直流电源装置应配置在线绝缘监测装置。</w:t>
      </w:r>
    </w:p>
    <w:p w14:paraId="580A3E6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（8）输出母线充电回路、电池充电回路应分别加装监测电流和电压的变送器各1只。电流、电压的4~20mA信号应引出至端子排。</w:t>
      </w:r>
    </w:p>
    <w:p w14:paraId="516F3537">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2.3 直流系统性能指标</w:t>
      </w:r>
    </w:p>
    <w:p w14:paraId="4E9A9C5B">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2.3.1 充电装置功能要求及指标：</w:t>
      </w:r>
    </w:p>
    <w:p w14:paraId="0B87DFC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采用微机控制、开关电源整流模块型式的直流装置，按每套N+1冗余模式，每套充电装置配置4只无风扇型高频开关模块。</w:t>
      </w:r>
    </w:p>
    <w:p w14:paraId="2FA92FFB">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 xml:space="preserve">2.3.2 充电装置在微机主监控单元的控制下可实现： </w:t>
      </w:r>
    </w:p>
    <w:p w14:paraId="705DDD7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（1）自动恒压浮充输出；</w:t>
      </w:r>
    </w:p>
    <w:p w14:paraId="0A65779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（2）自动恒流/恒压二阶段均充输出；</w:t>
      </w:r>
    </w:p>
    <w:p w14:paraId="05B2D36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（3）自动/手动均浮充转换；</w:t>
      </w:r>
    </w:p>
    <w:p w14:paraId="3EB4F6A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（4）自动检测输入、输出状态，具有输入缺相、输入过压、输出过压、温度超限、输出限流等保护功能和报警功能；</w:t>
      </w:r>
    </w:p>
    <w:p w14:paraId="76B602D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（5）蓄电池组参数自动检测和充电自动温度补偿；</w:t>
      </w:r>
    </w:p>
    <w:p w14:paraId="74C191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（6）自动检测直流馈出回路开关位置状态；</w:t>
      </w:r>
    </w:p>
    <w:p w14:paraId="1F1A0CC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（7）直流馈出回路绝缘状态自动检测及报警；</w:t>
      </w:r>
    </w:p>
    <w:p w14:paraId="60F8005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（8）向上位机传送本机各项信息并可接受上位机的指令；</w:t>
      </w:r>
    </w:p>
    <w:p w14:paraId="54688E6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（9）主监控单元故障时自动退出运行，退出后，整流模块可自主恒压浮充运行，保障直流母线不失电。</w:t>
      </w:r>
    </w:p>
    <w:p w14:paraId="54F1424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2.3.3 主监控单元性能指标如下：</w:t>
      </w:r>
    </w:p>
    <w:p w14:paraId="07C81DD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（1）采用微机控制，完成对直流电源成套装置智能运行的控制、监测、数据信息分析和管理；</w:t>
      </w:r>
    </w:p>
    <w:p w14:paraId="5DBF3BB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（2）采用液晶汉显界面，人机对话全汉字菜单显示，可完成对成套装置各种运行方式的选择和各参数及定值设定；</w:t>
      </w:r>
    </w:p>
    <w:p w14:paraId="6B15CB2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（3）配置RS-485通信接口，可完成与上位机的信息和命令交换；</w:t>
      </w:r>
    </w:p>
    <w:p w14:paraId="49CB34C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（4）采用蓄电池母线供电，保障交流故障状态下的正常工作。</w:t>
      </w:r>
    </w:p>
    <w:p w14:paraId="52D76A50">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13.</w:t>
      </w:r>
      <w:r>
        <w:rPr>
          <w:rFonts w:hint="eastAsia" w:asciiTheme="minorEastAsia" w:hAnsiTheme="minorEastAsia" w:eastAsiaTheme="minorEastAsia" w:cstheme="minorEastAsia"/>
          <w:color w:val="auto"/>
          <w:kern w:val="0"/>
          <w:szCs w:val="21"/>
        </w:rPr>
        <w:t>2.3.4 整流模块性能指标如下：</w:t>
      </w:r>
    </w:p>
    <w:p w14:paraId="07956F8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（1）采用高频开关整流方式，工作频率：50KHz；</w:t>
      </w:r>
    </w:p>
    <w:p w14:paraId="7D5EB84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（2）模块额定电流20A，每套配置4个无风扇型模块并列运行，均流不平衡度小于5%，效率不低于90%；</w:t>
      </w:r>
    </w:p>
    <w:p w14:paraId="5BE4595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（3）模块具有独立的监控功能，正常时，接受主监控的命令运行，主监控退出后，能独自按设定值恒压运行；</w:t>
      </w:r>
    </w:p>
    <w:p w14:paraId="36E3855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（4）具有输入缺相、输入过电压、输出过电压、自动限流等保护及报警功能；</w:t>
      </w:r>
    </w:p>
    <w:p w14:paraId="34D584C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（5）充电模块可带电插拨。</w:t>
      </w:r>
    </w:p>
    <w:p w14:paraId="0F13B04D">
      <w:pPr>
        <w:spacing w:line="360" w:lineRule="auto"/>
        <w:ind w:firstLine="420" w:firstLineChars="200"/>
        <w:rPr>
          <w:rFonts w:hint="eastAsia" w:asciiTheme="minorEastAsia" w:hAnsiTheme="minorEastAsia" w:eastAsiaTheme="minorEastAsia" w:cstheme="minorEastAsia"/>
          <w:color w:val="auto"/>
          <w:kern w:val="0"/>
          <w:szCs w:val="21"/>
        </w:rPr>
        <w:sectPr>
          <w:pgSz w:w="11906" w:h="16838"/>
          <w:pgMar w:top="1440" w:right="1800" w:bottom="1440" w:left="1800" w:header="851" w:footer="992" w:gutter="0"/>
          <w:cols w:space="425" w:num="1"/>
          <w:docGrid w:type="lines" w:linePitch="312" w:charSpace="0"/>
        </w:sectPr>
      </w:pPr>
    </w:p>
    <w:p w14:paraId="06CC9273">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第14章 继电保护及计量设备采购技术要求</w:t>
      </w:r>
    </w:p>
    <w:p w14:paraId="3B9DAB04">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14.1 一般规定和规范</w:t>
      </w:r>
    </w:p>
    <w:p w14:paraId="4F8FE3EA">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1.1 承包范围</w:t>
      </w:r>
    </w:p>
    <w:p w14:paraId="582D3B8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1.1.1 承包人将承包下列项目的设计、制造、试验；包装、运输、交货；安装指导、现场试验、试运行、验收；并应完全符合合同要求。</w:t>
      </w:r>
    </w:p>
    <w:tbl>
      <w:tblPr>
        <w:tblStyle w:val="65"/>
        <w:tblW w:w="0" w:type="auto"/>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53"/>
        <w:gridCol w:w="4067"/>
        <w:gridCol w:w="754"/>
        <w:gridCol w:w="851"/>
        <w:gridCol w:w="1655"/>
      </w:tblGrid>
      <w:tr w14:paraId="129C12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457A4A9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序号</w:t>
            </w:r>
          </w:p>
        </w:tc>
        <w:tc>
          <w:tcPr>
            <w:tcW w:w="4067" w:type="dxa"/>
            <w:vAlign w:val="center"/>
          </w:tcPr>
          <w:p w14:paraId="6BFE0E4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名      称</w:t>
            </w:r>
          </w:p>
        </w:tc>
        <w:tc>
          <w:tcPr>
            <w:tcW w:w="754" w:type="dxa"/>
            <w:vAlign w:val="center"/>
          </w:tcPr>
          <w:p w14:paraId="118E5F92">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单 位</w:t>
            </w:r>
          </w:p>
        </w:tc>
        <w:tc>
          <w:tcPr>
            <w:tcW w:w="851" w:type="dxa"/>
            <w:vAlign w:val="center"/>
          </w:tcPr>
          <w:p w14:paraId="7288C6B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数 量</w:t>
            </w:r>
          </w:p>
        </w:tc>
        <w:tc>
          <w:tcPr>
            <w:tcW w:w="1655" w:type="dxa"/>
            <w:vAlign w:val="center"/>
          </w:tcPr>
          <w:p w14:paraId="7410153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备注</w:t>
            </w:r>
          </w:p>
        </w:tc>
      </w:tr>
      <w:tr w14:paraId="19DC2E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58AD14D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4067" w:type="dxa"/>
            <w:vAlign w:val="center"/>
          </w:tcPr>
          <w:p w14:paraId="2AA6428B">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#1、#2发电机保护屏</w:t>
            </w:r>
          </w:p>
        </w:tc>
        <w:tc>
          <w:tcPr>
            <w:tcW w:w="754" w:type="dxa"/>
            <w:vAlign w:val="center"/>
          </w:tcPr>
          <w:p w14:paraId="7189F90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面</w:t>
            </w:r>
          </w:p>
        </w:tc>
        <w:tc>
          <w:tcPr>
            <w:tcW w:w="851" w:type="dxa"/>
            <w:vAlign w:val="center"/>
          </w:tcPr>
          <w:p w14:paraId="76E83EE5">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55" w:type="dxa"/>
            <w:vAlign w:val="center"/>
          </w:tcPr>
          <w:p w14:paraId="5FE790E4">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PK-10</w:t>
            </w:r>
          </w:p>
        </w:tc>
      </w:tr>
      <w:tr w14:paraId="3DDA51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062E00ED">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2</w:t>
            </w:r>
          </w:p>
        </w:tc>
        <w:tc>
          <w:tcPr>
            <w:tcW w:w="4067" w:type="dxa"/>
            <w:vAlign w:val="center"/>
          </w:tcPr>
          <w:p w14:paraId="2AADE1C4">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主变保护屏</w:t>
            </w:r>
          </w:p>
        </w:tc>
        <w:tc>
          <w:tcPr>
            <w:tcW w:w="754" w:type="dxa"/>
            <w:vAlign w:val="center"/>
          </w:tcPr>
          <w:p w14:paraId="3FE3F8F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面</w:t>
            </w:r>
          </w:p>
        </w:tc>
        <w:tc>
          <w:tcPr>
            <w:tcW w:w="851" w:type="dxa"/>
            <w:vAlign w:val="center"/>
          </w:tcPr>
          <w:p w14:paraId="01E3E46C">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55" w:type="dxa"/>
            <w:vAlign w:val="center"/>
          </w:tcPr>
          <w:p w14:paraId="7C9BD4DB">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PK-10</w:t>
            </w:r>
          </w:p>
        </w:tc>
      </w:tr>
      <w:tr w14:paraId="095C0D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748AD001">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w:t>
            </w:r>
          </w:p>
        </w:tc>
        <w:tc>
          <w:tcPr>
            <w:tcW w:w="4067" w:type="dxa"/>
            <w:vAlign w:val="center"/>
          </w:tcPr>
          <w:p w14:paraId="5CBD8E5F">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35kV线路保护屏</w:t>
            </w:r>
          </w:p>
        </w:tc>
        <w:tc>
          <w:tcPr>
            <w:tcW w:w="754" w:type="dxa"/>
            <w:vAlign w:val="center"/>
          </w:tcPr>
          <w:p w14:paraId="4FC1EB4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面</w:t>
            </w:r>
          </w:p>
        </w:tc>
        <w:tc>
          <w:tcPr>
            <w:tcW w:w="851" w:type="dxa"/>
            <w:vAlign w:val="center"/>
          </w:tcPr>
          <w:p w14:paraId="220E08B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55" w:type="dxa"/>
            <w:vAlign w:val="center"/>
          </w:tcPr>
          <w:p w14:paraId="4643631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PK-10</w:t>
            </w:r>
          </w:p>
        </w:tc>
      </w:tr>
      <w:tr w14:paraId="6CBE57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6FB41A59">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4</w:t>
            </w:r>
          </w:p>
        </w:tc>
        <w:tc>
          <w:tcPr>
            <w:tcW w:w="4067" w:type="dxa"/>
            <w:vAlign w:val="center"/>
          </w:tcPr>
          <w:p w14:paraId="43B0C2FF">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计量屏</w:t>
            </w:r>
          </w:p>
        </w:tc>
        <w:tc>
          <w:tcPr>
            <w:tcW w:w="754" w:type="dxa"/>
            <w:vAlign w:val="center"/>
          </w:tcPr>
          <w:p w14:paraId="71161DE8">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面</w:t>
            </w:r>
          </w:p>
        </w:tc>
        <w:tc>
          <w:tcPr>
            <w:tcW w:w="851" w:type="dxa"/>
            <w:vAlign w:val="center"/>
          </w:tcPr>
          <w:p w14:paraId="2DD7F03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55" w:type="dxa"/>
            <w:vAlign w:val="center"/>
          </w:tcPr>
          <w:p w14:paraId="4AD6592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PK-10</w:t>
            </w:r>
          </w:p>
        </w:tc>
      </w:tr>
      <w:tr w14:paraId="362C36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4A4D7717">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5</w:t>
            </w:r>
          </w:p>
        </w:tc>
        <w:tc>
          <w:tcPr>
            <w:tcW w:w="4067" w:type="dxa"/>
            <w:vAlign w:val="center"/>
          </w:tcPr>
          <w:p w14:paraId="153245F0">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规定的备品备件</w:t>
            </w:r>
          </w:p>
        </w:tc>
        <w:tc>
          <w:tcPr>
            <w:tcW w:w="754" w:type="dxa"/>
            <w:vAlign w:val="center"/>
          </w:tcPr>
          <w:p w14:paraId="6062C25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851" w:type="dxa"/>
            <w:vAlign w:val="center"/>
          </w:tcPr>
          <w:p w14:paraId="4C7913DE">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55" w:type="dxa"/>
            <w:vAlign w:val="center"/>
          </w:tcPr>
          <w:p w14:paraId="48FD8D03">
            <w:pPr>
              <w:jc w:val="center"/>
              <w:rPr>
                <w:rFonts w:hint="eastAsia" w:asciiTheme="minorEastAsia" w:hAnsiTheme="minorEastAsia" w:eastAsiaTheme="minorEastAsia" w:cstheme="minorEastAsia"/>
                <w:snapToGrid w:val="0"/>
                <w:color w:val="auto"/>
                <w:szCs w:val="21"/>
              </w:rPr>
            </w:pPr>
          </w:p>
        </w:tc>
      </w:tr>
      <w:tr w14:paraId="49B888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753" w:type="dxa"/>
            <w:vAlign w:val="center"/>
          </w:tcPr>
          <w:p w14:paraId="5BCFE42A">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6</w:t>
            </w:r>
          </w:p>
        </w:tc>
        <w:tc>
          <w:tcPr>
            <w:tcW w:w="4067" w:type="dxa"/>
            <w:vAlign w:val="center"/>
          </w:tcPr>
          <w:p w14:paraId="7D0D0A2A">
            <w:pP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必须的专用工具和特殊仪表等</w:t>
            </w:r>
          </w:p>
        </w:tc>
        <w:tc>
          <w:tcPr>
            <w:tcW w:w="754" w:type="dxa"/>
            <w:vAlign w:val="center"/>
          </w:tcPr>
          <w:p w14:paraId="1F4447B0">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项</w:t>
            </w:r>
          </w:p>
        </w:tc>
        <w:tc>
          <w:tcPr>
            <w:tcW w:w="851" w:type="dxa"/>
            <w:vAlign w:val="center"/>
          </w:tcPr>
          <w:p w14:paraId="281FD18F">
            <w:pPr>
              <w:jc w:val="center"/>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w:t>
            </w:r>
          </w:p>
        </w:tc>
        <w:tc>
          <w:tcPr>
            <w:tcW w:w="1655" w:type="dxa"/>
            <w:vAlign w:val="center"/>
          </w:tcPr>
          <w:p w14:paraId="60C5D56C">
            <w:pPr>
              <w:jc w:val="center"/>
              <w:rPr>
                <w:rFonts w:hint="eastAsia" w:asciiTheme="minorEastAsia" w:hAnsiTheme="minorEastAsia" w:eastAsiaTheme="minorEastAsia" w:cstheme="minorEastAsia"/>
                <w:snapToGrid w:val="0"/>
                <w:color w:val="auto"/>
                <w:szCs w:val="21"/>
              </w:rPr>
            </w:pPr>
          </w:p>
        </w:tc>
      </w:tr>
    </w:tbl>
    <w:p w14:paraId="45F1DDE8">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snapToGrid w:val="0"/>
          <w:color w:val="auto"/>
          <w:szCs w:val="21"/>
        </w:rPr>
        <w:t>1.1.2 承包人应成套供给合同要求的</w:t>
      </w:r>
      <w:r>
        <w:rPr>
          <w:rFonts w:hint="eastAsia" w:asciiTheme="minorEastAsia" w:hAnsiTheme="minorEastAsia" w:eastAsiaTheme="minorEastAsia" w:cstheme="minorEastAsia"/>
          <w:color w:val="auto"/>
          <w:kern w:val="0"/>
          <w:szCs w:val="21"/>
        </w:rPr>
        <w:t>所有设备及设备安装、测试、拆卸和重新组装所</w:t>
      </w:r>
      <w:r>
        <w:rPr>
          <w:rFonts w:hint="eastAsia" w:asciiTheme="minorEastAsia" w:hAnsiTheme="minorEastAsia" w:eastAsiaTheme="minorEastAsia" w:cstheme="minorEastAsia"/>
          <w:snapToGrid w:val="0"/>
          <w:color w:val="auto"/>
          <w:szCs w:val="21"/>
        </w:rPr>
        <w:t>必需的专用工具、专用设备、配件、特殊安装、检验和测试用材料和其它设备。</w:t>
      </w:r>
    </w:p>
    <w:p w14:paraId="009CAC2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承包人应为本合同</w:t>
      </w:r>
      <w:r>
        <w:rPr>
          <w:rFonts w:hint="eastAsia" w:asciiTheme="minorEastAsia" w:hAnsiTheme="minorEastAsia" w:eastAsiaTheme="minorEastAsia" w:cstheme="minorEastAsia"/>
          <w:color w:val="auto"/>
          <w:szCs w:val="21"/>
        </w:rPr>
        <w:t>设备</w:t>
      </w:r>
      <w:r>
        <w:rPr>
          <w:rFonts w:hint="eastAsia" w:asciiTheme="minorEastAsia" w:hAnsiTheme="minorEastAsia" w:eastAsiaTheme="minorEastAsia" w:cstheme="minorEastAsia"/>
          <w:snapToGrid w:val="0"/>
          <w:color w:val="auto"/>
          <w:szCs w:val="21"/>
        </w:rPr>
        <w:t>提供运行和维护所需的备品备件及专用工具。</w:t>
      </w:r>
    </w:p>
    <w:p w14:paraId="4656636A">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承包人应提供相互协调和完善的设计。任何元件或装置，如果招标文件中未专门提到，但它对于一套完整的和性能良好的继电保护系统又是必不可少的，或者对于稳定运行，或者对于改善设备运行都是必要的话，那么这些元件或装置，也应由承包人提供，其费用应包括在总价中。</w:t>
      </w:r>
    </w:p>
    <w:p w14:paraId="62694D70">
      <w:pPr>
        <w:spacing w:line="360" w:lineRule="auto"/>
        <w:ind w:firstLine="422"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snapToGrid w:val="0"/>
          <w:color w:val="auto"/>
          <w:szCs w:val="21"/>
        </w:rPr>
        <w:t>1.1.3 承包人应按招标文件的规定提交图纸、说明书、标准和规范，提供现场安装和试验以及相关的技术培训；完成与工程设计有关的技术联络和协调；以及与其它设备供应商之间的协调。</w:t>
      </w:r>
    </w:p>
    <w:p w14:paraId="1EA56A2B">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1.2 引用标准</w:t>
      </w:r>
    </w:p>
    <w:p w14:paraId="6FAD745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1.2.1 下列标准供选用：</w:t>
      </w:r>
    </w:p>
    <w:p w14:paraId="1FB7C36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《水力发电厂自动化设计技术规范》</w:t>
      </w:r>
    </w:p>
    <w:p w14:paraId="5307A33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《小型水力发电站自动化设计规定》</w:t>
      </w:r>
    </w:p>
    <w:p w14:paraId="7FED401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《电力装置的继电保护和自动装置设计规范》</w:t>
      </w:r>
    </w:p>
    <w:p w14:paraId="742367A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《电力装置的电测量议表装置设计规范》</w:t>
      </w:r>
    </w:p>
    <w:p w14:paraId="244FF52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《包装贮运标志》</w:t>
      </w:r>
    </w:p>
    <w:p w14:paraId="5E820CB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《机电产品包装通用技术条件》</w:t>
      </w:r>
    </w:p>
    <w:p w14:paraId="672E169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《电气设备预防性试验规程》</w:t>
      </w:r>
    </w:p>
    <w:p w14:paraId="72F7054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《电工电子产品基本试验规程》</w:t>
      </w:r>
    </w:p>
    <w:p w14:paraId="56FE1E7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《水利水电工程通信设计技术规程》       </w:t>
      </w:r>
    </w:p>
    <w:p w14:paraId="3A91AB8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《电子设备雷击保护导则》</w:t>
      </w:r>
    </w:p>
    <w:p w14:paraId="5CEAB5A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《计算机场地技术条件》</w:t>
      </w:r>
    </w:p>
    <w:p w14:paraId="25F13F0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《中国信息技术设备安全标准》</w:t>
      </w:r>
    </w:p>
    <w:p w14:paraId="50AD1DE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《工业企业通讯接地设计规范》</w:t>
      </w:r>
    </w:p>
    <w:p w14:paraId="2FC2858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《工业企业通讯设计规范》</w:t>
      </w:r>
    </w:p>
    <w:p w14:paraId="71A67827">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1.2.2 承包人应保证向发包人提供的本合同工程设备所依据的标准及规范是最新版本。</w:t>
      </w:r>
    </w:p>
    <w:p w14:paraId="61FE352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1.2.3 如果投标人采用除上述标准系列列举以外的其它系列标准时，须在投标书中加以说明，并经工程师同意方能使用。</w:t>
      </w:r>
    </w:p>
    <w:p w14:paraId="69204794">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1.2.4 设备制造应采用先进的工艺，以保证各种运行工况正常、可靠；所有螺丝、螺母、螺栓、零部件等应采用GB或ISO标准，并具有良好的互换性和便于安装及检修。</w:t>
      </w:r>
    </w:p>
    <w:p w14:paraId="78176398">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1.3 设备颜色</w:t>
      </w:r>
    </w:p>
    <w:p w14:paraId="1EF1B77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承包人提供的涉及本系统的屏柜设备油漆颜色均为国际流行灰，色板为RAL 7032；桔纹漆，采用环氧粉末静电喷涂工艺，着色应具有粉末附着力强，表面硬度大，耐磨，耐冲击；应具有良好的色泽持久性，并比喷漆机柜有更好的美观性和耐腐蚀性。</w:t>
      </w:r>
    </w:p>
    <w:p w14:paraId="6761C8CB">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1.4 备品备件</w:t>
      </w:r>
    </w:p>
    <w:p w14:paraId="5E626EA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1.4.1 承包人应按招标文件中有关规定提供正常运行所必须的备品备件，至少包括：全套用于日常维修和保证微机保护装置正常运行所必须的器件或插件。规定的备品备件价格已包括在投标书中。</w:t>
      </w:r>
    </w:p>
    <w:p w14:paraId="7900989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备品备件包装箱上应有明显的标记。保证在规定的条件下，在保存期内不会变质。</w:t>
      </w:r>
    </w:p>
    <w:p w14:paraId="593E150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1.4.2 备品备件</w:t>
      </w:r>
    </w:p>
    <w:p w14:paraId="23BA1A3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（1）合同中规定的有关设备测试、运输、付款期限、质量保证等条件，同样适用于备品备件。</w:t>
      </w:r>
    </w:p>
    <w:p w14:paraId="0BE934D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（2）所提供的全部备品备件应能与原部件相互替换，其材料、工艺及构造均与原部件相同。</w:t>
      </w:r>
    </w:p>
    <w:p w14:paraId="2B53F67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所有备件的包装和处理均应适合于长期贮存，每个备品备件的包装箱上均要清楚地标明名称和用途。当几个品种的备品备件装在一个箱里时，则应在箱外给出目录，箱内附有详细装箱清单。所有箱子都应标志清楚并进行编号。</w:t>
      </w:r>
    </w:p>
    <w:p w14:paraId="4123838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（4）备品备件应随设备一起运抵工地。</w:t>
      </w:r>
    </w:p>
    <w:p w14:paraId="4C1877B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（5）投标人应提供如下规定的备品备件：</w:t>
      </w:r>
    </w:p>
    <w:p w14:paraId="7F197DA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①专用直流空气开关：每种型号和规格各1只；</w:t>
      </w:r>
    </w:p>
    <w:p w14:paraId="0163FD6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②按钮及转换开关：每种型号和规格各1只；</w:t>
      </w:r>
    </w:p>
    <w:p w14:paraId="01A9237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③信号灯：每种型号和规格各3只；</w:t>
      </w:r>
    </w:p>
    <w:p w14:paraId="3C2E353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④熔断器：每种型号和规格各3只；</w:t>
      </w:r>
    </w:p>
    <w:p w14:paraId="0FCAB63E">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1.5 专用工器具</w:t>
      </w:r>
    </w:p>
    <w:p w14:paraId="24F7B7B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1.5.1 概述</w:t>
      </w:r>
    </w:p>
    <w:p w14:paraId="1D20CAD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承包人应提供微机保护装置长期安全稳定运行所必须的、正常维护和保养所需要的专用维修工具和试验设备。安装、调试和试运行阶段所需的各种工具和消耗品应由承包人提供，不计入本条所列的专用工具之中。</w:t>
      </w:r>
    </w:p>
    <w:p w14:paraId="3AFA841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（2）在本章规定提供的所有工具和仪器所需的内部连接电缆、测量用电缆、探测器、电源线和其它专用工具、仪器的辅助设备应包括在供货范围内。</w:t>
      </w:r>
    </w:p>
    <w:p w14:paraId="5236C7F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1.5.2 专用工器具</w:t>
      </w:r>
    </w:p>
    <w:p w14:paraId="0A15049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承包人应提供用于微机保护装置日常维修的各种专用工具1套。</w:t>
      </w:r>
    </w:p>
    <w:p w14:paraId="044A65D0">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1.6 承包人提供的图纸和资料</w:t>
      </w:r>
    </w:p>
    <w:p w14:paraId="5444F7E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1.6.1 图纸和资料</w:t>
      </w:r>
    </w:p>
    <w:p w14:paraId="63E28C1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（1）第一次技术联络会前30天，应通过承包人向业主提供第一次技术协调会上需要审查和讨论的图纸、资料：</w:t>
      </w:r>
    </w:p>
    <w:p w14:paraId="06F0D3F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①微机保护装置配置图</w:t>
      </w:r>
    </w:p>
    <w:p w14:paraId="6CE29D2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②保护、计量的原理图、结构图、配线表</w:t>
      </w:r>
    </w:p>
    <w:p w14:paraId="261BBFD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③保护屏、计量屏的屏面布置图、屏体结构图和端子图</w:t>
      </w:r>
    </w:p>
    <w:p w14:paraId="17D4424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④全部工程使用的图纸和文件</w:t>
      </w:r>
    </w:p>
    <w:p w14:paraId="1D8FA36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⑤设备清单及技术说明书</w:t>
      </w:r>
    </w:p>
    <w:p w14:paraId="6370FCB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⑥设备安装及运行操作使用说明书</w:t>
      </w:r>
    </w:p>
    <w:p w14:paraId="70C0921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（2）随包装箱发运，应向业主直接提供下述工程施工安装所需的资料：</w:t>
      </w:r>
    </w:p>
    <w:p w14:paraId="265F810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①全部工程使用的图纸和文件</w:t>
      </w:r>
    </w:p>
    <w:p w14:paraId="4776405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②设备清单及技术说明书</w:t>
      </w:r>
    </w:p>
    <w:p w14:paraId="2D37BDD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③系统装置涉及的相关产品使用说明书</w:t>
      </w:r>
    </w:p>
    <w:p w14:paraId="074D3A0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④设备安装及运行操作使用说明书</w:t>
      </w:r>
    </w:p>
    <w:p w14:paraId="35484F8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1.6.2 图纸和资料的数量</w:t>
      </w:r>
    </w:p>
    <w:p w14:paraId="469BBDA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（1）所有按规定提交的图纸和资料，向业主提供共4套（其中1套提交工程设计单位，3套直接提交发包人），并注明按合同提交的日期。</w:t>
      </w:r>
    </w:p>
    <w:p w14:paraId="5648011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（2）所有产品的厂内检查及试验记录随货向业主提供2套。</w:t>
      </w:r>
    </w:p>
    <w:p w14:paraId="3E5F5D8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（3）正式提交的图纸均应由承包单位授权代表签署或单位盖章。</w:t>
      </w:r>
    </w:p>
    <w:p w14:paraId="68BAC205">
      <w:pPr>
        <w:autoSpaceDE w:val="0"/>
        <w:autoSpaceDN w:val="0"/>
        <w:snapToGrid w:val="0"/>
        <w:spacing w:line="360" w:lineRule="auto"/>
        <w:textAlignment w:val="baseline"/>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14.2 继电保护设备技术规范</w:t>
      </w:r>
    </w:p>
    <w:p w14:paraId="5984EEDC">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 一般技术要求</w:t>
      </w:r>
    </w:p>
    <w:p w14:paraId="591BBF1C">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 承包人应提供采用微处理器构成的全数字式继电保护系统，并应保证装置满足可靠性、灵敏性、选择性和速动性的要求。</w:t>
      </w:r>
    </w:p>
    <w:p w14:paraId="49C6E84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 承包人提供的数字式继电保护系统（包括电源装置和所有辅助功能单元），应由标准化的组件构成。所有元器件必须经过严格的抗老化筛选，组件便于更换，所有组件通过标准机箱组装在配线柜内。反应相同故障的保护（如主保护和后备保护）应放在不同的CPU中。</w:t>
      </w:r>
    </w:p>
    <w:p w14:paraId="713D37DD">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2.1.3 硬件结构应采用多CPU系统。</w:t>
      </w:r>
    </w:p>
    <w:p w14:paraId="63191871">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2.1.4 交流电压回路不短路，直流回路不短接，插件要有锁紧设施。</w:t>
      </w:r>
    </w:p>
    <w:p w14:paraId="04340114">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2.1.5 为了使保护装置在整体上有良好的选择性和高可靠性，各保护功能在保护范围设定上应有足够的时段以保证良好的后备。</w:t>
      </w:r>
    </w:p>
    <w:p w14:paraId="5367E690">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2.1.6 保护装置要有足够的过载能力，交流回路在1.2倍额定电压或2倍额定电流下应保证连续工作。10倍额定电流下工作不小于10s，40倍额定电流下工作不小1s。</w:t>
      </w:r>
    </w:p>
    <w:p w14:paraId="5DDAE9E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2.1.7 保护装置要求有不少于8个跳闸出口回路。变压器电气量保护和非电气量保护的跳闸出口回路应分开。</w:t>
      </w:r>
    </w:p>
    <w:p w14:paraId="415096C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2.1.8 每种保护动作的引出信号接点不少于2对电气上独立的转换接点输出。</w:t>
      </w:r>
    </w:p>
    <w:p w14:paraId="31F8C09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2.1.9 跳闸接点在DC220V回路连续通过电流不小于1A，1s闭合电流不小于8A，吸合时间不大于4ms。</w:t>
      </w:r>
    </w:p>
    <w:p w14:paraId="5A9983A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2.1.10 跳闸出口继电器接点应能直接与断路器跳闸线圈相连接，并保证在任何情况下不会妨碍跳闸电路的正常运行。跳闸继电器动作电压范围50%-65%。</w:t>
      </w:r>
    </w:p>
    <w:p w14:paraId="684B6284">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2.1.11 保护装置绝缘性能、耐湿热性能、机械性能、抗电气干扰性能、电源影响性能等应满足国家标准。</w:t>
      </w:r>
    </w:p>
    <w:p w14:paraId="11D4B52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2.1.12 承包人应配置人机接口设备，用于保护系统的调试、整定值的设定及记录、事故显示、确认以及通过打印机对保护系统的电流、电压、相位等实测值进行显示与记录。</w:t>
      </w:r>
    </w:p>
    <w:p w14:paraId="7C734680">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2.1.13 人机接口设备应适应于缺乏程序设计知识的人使用。人机接口设备的型号、规格由承包人推荐。</w:t>
      </w:r>
    </w:p>
    <w:p w14:paraId="437DDA9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2.1.14 保护装置应具有参数监视功能，如：通道输入量有效值、整定值、保护运行状态、计算结果、实时时钟等。</w:t>
      </w:r>
    </w:p>
    <w:p w14:paraId="3CD308D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2.1.15 保护装置应具有在线自动检测功能。装置中任一元件损坏时，不会造成保护误动，且能发出装置异常信号，并有接点引出。</w:t>
      </w:r>
    </w:p>
    <w:p w14:paraId="0E7241B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2.1.16 保护装置应在被保护设备发生故障、保护装置起动时，才允许开放跳闸回路。</w:t>
      </w:r>
    </w:p>
    <w:p w14:paraId="29F6B80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2.1.17 保护装置应具有独立性、完整性、成套性。在成套装置内应含有被保护设备所必需的保护功能、操作功能、电源系统。</w:t>
      </w:r>
    </w:p>
    <w:p w14:paraId="1935FA1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2.1.18 保护装置的保护模块配置应合理。设备保护的主、备用保护应采用分开的CPU模块，当装置出现单一硬件故障退出运行时，被保护设备应能允许继续运行。</w:t>
      </w:r>
    </w:p>
    <w:p w14:paraId="6B85877E">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2.1.19 非电气量保护可经装置触点转换出口或经装置延时后出口，装置应反映其信号。</w:t>
      </w:r>
    </w:p>
    <w:p w14:paraId="3BCD1F5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2.1.20 保护装置中不同种类保护应具有方便的投退功能。</w:t>
      </w:r>
    </w:p>
    <w:p w14:paraId="77470921">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2.1.21 保护装置应具有自复位功能，当软件工作不正常时应能通过自复位电路自动恢复正常工作。</w:t>
      </w:r>
    </w:p>
    <w:p w14:paraId="05DE412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2.1.22 保护装置各保护软件在任何情况下都不得相互影响。</w:t>
      </w:r>
    </w:p>
    <w:p w14:paraId="3650412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2.1.23 数字式保护的系统软件应能提供丰富灵活的手段对保护装置进行整定、监视与保护。</w:t>
      </w:r>
    </w:p>
    <w:p w14:paraId="6490495D">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2.1.24 保护装置应记录必要的信息（如故障波形数据），并通过通讯接口送出；且不应丢失信息，并可重复输出。</w:t>
      </w:r>
    </w:p>
    <w:p w14:paraId="38CF0855">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2.1.25 装置弱电系统（指CPU的电源系统）不允许与保护柜端子有直接电气上的联系。针对不同回路，应分别采用光电耦合、继电器转接、带屏蔽层的变压器磁耦合等隔离措施。</w:t>
      </w:r>
    </w:p>
    <w:p w14:paraId="511939F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2.1.26 装置应有独立的内部时钟，其误差每24h不应超过±5s，应提供外部时钟同步接口。</w:t>
      </w:r>
    </w:p>
    <w:p w14:paraId="6D78E4EE">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2.1.27 当外界电源波动及电源消失时，保护装置不能误动作。</w:t>
      </w:r>
    </w:p>
    <w:p w14:paraId="6480D6AB">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2.1.28 抗干扰能力</w:t>
      </w:r>
    </w:p>
    <w:p w14:paraId="36C23D4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（1）脉冲群干扰</w:t>
      </w:r>
    </w:p>
    <w:p w14:paraId="72C0E32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装置应能承受GB/T14598.13规定的严酷等级为3级的1MHz和100kHz脉冲群干扰试验，试验期间及试验后装置的性能应符合该标准规定的要求。</w:t>
      </w:r>
    </w:p>
    <w:p w14:paraId="77CDE32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（2）静电放电</w:t>
      </w:r>
    </w:p>
    <w:p w14:paraId="13AA4DC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装置应能承受GB/T14598.14规定的严酷等级为3级的静电放电试验，试验期间及试验后装置的性能应符合该标准规定的要求。</w:t>
      </w:r>
    </w:p>
    <w:p w14:paraId="05341E0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（3）辐射电磁场于扰</w:t>
      </w:r>
    </w:p>
    <w:p w14:paraId="60E7C39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装置应能承受GB/T14598．9规定的严酷等级为3级的辐射电磁场干扰试验，试验期间及试验后装置的性能应符合该标准4.5规定的要求。</w:t>
      </w:r>
    </w:p>
    <w:p w14:paraId="2DC18FF9">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（4）快速瞬变干扰</w:t>
      </w:r>
    </w:p>
    <w:p w14:paraId="3718610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装置应能承受GB/T14598.10规定的严酷等级为3级的快速瞬变干扰试验，试验期间及试验后装置的性能应符合该标准规定的要求。</w:t>
      </w:r>
    </w:p>
    <w:p w14:paraId="73D2FE1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2.1.29 绝缘强度和绝缘阻抗</w:t>
      </w:r>
    </w:p>
    <w:p w14:paraId="315049F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本合同所提供的全部设备均应能承受下述试验电压，在输入电源的接口与地之间应有适当的绝缘电阻。</w:t>
      </w:r>
    </w:p>
    <w:p w14:paraId="3AD42E6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（1）试验电压</w:t>
      </w:r>
    </w:p>
    <w:p w14:paraId="2210403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60V以上端子与外壳间应能承受AC 2kV l分钟。</w:t>
      </w:r>
    </w:p>
    <w:p w14:paraId="0D1E87E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60V及以下端子与外壳间应能承受DC 500V 1分钟。</w:t>
      </w:r>
    </w:p>
    <w:p w14:paraId="2F30A66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（2）绝缘阻抗</w:t>
      </w:r>
    </w:p>
    <w:p w14:paraId="49B97E3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设备安装、连接完毕，交流外部端子对地阻抗不应小于lOMΩ，不接地电流回路对地阻抗不应小于1MΩ。</w:t>
      </w:r>
    </w:p>
    <w:p w14:paraId="1ACBA073">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2.1.30 保护装置均应设有RS485通讯口，以便同计算机监控系统联络。</w:t>
      </w:r>
    </w:p>
    <w:p w14:paraId="411804FC">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2.2 装置组装的技术要求</w:t>
      </w:r>
    </w:p>
    <w:p w14:paraId="0962A8D0">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2.2.1 微机保护装置装于各保护屏中，在出厂前装配好，并进行合同所要求的全部试验，以证明设备性能满足发包人的要求。1套10kV线路保护装置安装于主变中压侧开关柜内，承包人负责发货至开关柜承包人。</w:t>
      </w:r>
    </w:p>
    <w:p w14:paraId="6E67120D">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2.2.2 屏体</w:t>
      </w:r>
    </w:p>
    <w:p w14:paraId="07E91F3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保护屏采用拼装式NF结构，外形尺寸为800（宽）×600（深）×2260（高）mm的标准屏体，前门为整屏透明钢化玻璃铝型材门，后门为双开门，侧面封闭。屏体按相关标准进行保护，具有良好的防尘、防潮、防屏蔽性能，防护等级为IP30。</w:t>
      </w:r>
    </w:p>
    <w:p w14:paraId="36D3DA3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屏体结构、型式及颜色应与电站其余屏体相协调。</w:t>
      </w:r>
    </w:p>
    <w:p w14:paraId="6A847E6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2.2.3 屏内电源开关直流采用KFB1-63Z型，交流采用KFB1-63型。其他各种装置或元件应采用名优产品，并应满足有关行业标准。</w:t>
      </w:r>
    </w:p>
    <w:p w14:paraId="7234D22D">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2.2.4 端子</w:t>
      </w:r>
    </w:p>
    <w:p w14:paraId="3AE1DFD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（1）保护屏中所有端子板均应采用ABB的ADO绝缘移位端子或魏德米勒或菲尼克斯系列端子，500V交流电压下额定电流不小于10A。</w:t>
      </w:r>
    </w:p>
    <w:p w14:paraId="657D5C4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（2）在每个端子板上应设有白色或其他浅色的标牌，用螺栓固定在压模条上以表示回路的编号和端子编号。</w:t>
      </w:r>
    </w:p>
    <w:p w14:paraId="1E6F0D8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（3）在每个连接端子上应装有回路标志，或永久性的标志溶液在标片上标上导线编号。</w:t>
      </w:r>
    </w:p>
    <w:p w14:paraId="0936E90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（4）在每个端子上应装有可拆换的或备用的标牌。</w:t>
      </w:r>
    </w:p>
    <w:p w14:paraId="379E79A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（5）所有设备上的备用触点均应接至端子，并至少提供20％的备用端子。</w:t>
      </w:r>
    </w:p>
    <w:p w14:paraId="52C1618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（6）在与电流互感器连接的电流端子排上应设有短接电流互感器次级绕组的短接件。</w:t>
      </w:r>
    </w:p>
    <w:p w14:paraId="2138952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（7）正、负电源端子应隔开1个端子以上。</w:t>
      </w:r>
    </w:p>
    <w:p w14:paraId="633E102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（8）相应的电流、电压、出口、信号端子应采用相应的试验端子。</w:t>
      </w:r>
    </w:p>
    <w:p w14:paraId="549A7EB1">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2.2.5 各模件、模板均应采用表面安装技术。</w:t>
      </w:r>
    </w:p>
    <w:p w14:paraId="478D3DE6">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2.2.6 内部接线</w:t>
      </w:r>
    </w:p>
    <w:p w14:paraId="1008B28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（1）设备的内部接线应在工厂完成，发货前要进行全面检查。</w:t>
      </w:r>
    </w:p>
    <w:p w14:paraId="7EA9974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（2）设备的内部接线应采用阻燃型或耐火型绝缘材料的标准导线；其中电流回路导线截面应大于2.5mm</w:t>
      </w:r>
      <w:r>
        <w:rPr>
          <w:rFonts w:hint="eastAsia" w:asciiTheme="minorEastAsia" w:hAnsiTheme="minorEastAsia" w:eastAsiaTheme="minorEastAsia" w:cstheme="minorEastAsia"/>
          <w:color w:val="auto"/>
          <w:kern w:val="0"/>
          <w:szCs w:val="21"/>
          <w:vertAlign w:val="superscript"/>
        </w:rPr>
        <w:t>2</w:t>
      </w:r>
      <w:r>
        <w:rPr>
          <w:rFonts w:hint="eastAsia" w:asciiTheme="minorEastAsia" w:hAnsiTheme="minorEastAsia" w:eastAsiaTheme="minorEastAsia" w:cstheme="minorEastAsia"/>
          <w:color w:val="auto"/>
          <w:kern w:val="0"/>
          <w:szCs w:val="21"/>
        </w:rPr>
        <w:t>，电压回路导线截面应大于1.5mm</w:t>
      </w:r>
      <w:r>
        <w:rPr>
          <w:rFonts w:hint="eastAsia" w:asciiTheme="minorEastAsia" w:hAnsiTheme="minorEastAsia" w:eastAsiaTheme="minorEastAsia" w:cstheme="minorEastAsia"/>
          <w:color w:val="auto"/>
          <w:kern w:val="0"/>
          <w:szCs w:val="21"/>
          <w:vertAlign w:val="superscript"/>
        </w:rPr>
        <w:t>2</w:t>
      </w:r>
      <w:r>
        <w:rPr>
          <w:rFonts w:hint="eastAsia" w:asciiTheme="minorEastAsia" w:hAnsiTheme="minorEastAsia" w:eastAsiaTheme="minorEastAsia" w:cstheme="minorEastAsia"/>
          <w:color w:val="auto"/>
          <w:kern w:val="0"/>
          <w:szCs w:val="21"/>
        </w:rPr>
        <w:t>。</w:t>
      </w:r>
    </w:p>
    <w:p w14:paraId="1114EFE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（3）所有接线须用防火型槽管保护，外露接线需束在一起，用适当的夹具固定或支持，水平或垂直走向。导线在槽管中所占的空间不得超过70％。</w:t>
      </w:r>
    </w:p>
    <w:p w14:paraId="2519A81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（4）所有导线中间不得有接头，导线在屏柜内的连接均须经端子排或设备接线点。一个端子或一个接线点的连接导线不得超过两条。</w:t>
      </w:r>
    </w:p>
    <w:p w14:paraId="4789E08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2.2.7 接地</w:t>
      </w:r>
    </w:p>
    <w:p w14:paraId="22CB08A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（1）保护装置应与安装场所的主接地网可靠连接。</w:t>
      </w:r>
    </w:p>
    <w:p w14:paraId="52F99CB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（2）屏体接地、交流电源中性点接地和电缆屏蔽层接地在同一机柜中采用一个公共接地端子接地。</w:t>
      </w:r>
    </w:p>
    <w:p w14:paraId="77A3264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（3）机柜接地端子应便于引出与主接地网连接。接点应有良好耐久的电接触点接地。</w:t>
      </w:r>
    </w:p>
    <w:p w14:paraId="0E9136B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（4）保护屏的弱电接地铜排应跟屏体绝缘。</w:t>
      </w:r>
    </w:p>
    <w:p w14:paraId="37E656A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（5）用于连接类似门上可活动部位的导线，应采用多股软导线，并使用铜鼻子连接，线束应有外套塑料管等加强绝缘层，并在可动部位两端用卡子固定。</w:t>
      </w:r>
    </w:p>
    <w:p w14:paraId="2B8679D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2.2.8 铭牌和标志</w:t>
      </w:r>
    </w:p>
    <w:p w14:paraId="7A48214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（1）铭牌</w:t>
      </w:r>
    </w:p>
    <w:p w14:paraId="27C7528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每个独立的设备都应有铭牌。铭牌内容包括：设备名称、型号、制造厂名称、出厂编号及出厂日期等。字迹应清晰、耐久。</w:t>
      </w:r>
    </w:p>
    <w:p w14:paraId="0F89895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（2）识别标志</w:t>
      </w:r>
    </w:p>
    <w:p w14:paraId="4054752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每台设备都应有易于辨认的识别标志，以便与说明文件对照，分布于不同部位的同型号设备识别标志应保持一致。</w:t>
      </w:r>
    </w:p>
    <w:p w14:paraId="4F18E43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（3）警告标志</w:t>
      </w:r>
    </w:p>
    <w:p w14:paraId="54E82D3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为了使用安全，需要注意和特别说明的地方均应有警告标志或安全指示。警告标志应醒目，且不易与其他标志混淆。</w:t>
      </w:r>
    </w:p>
    <w:p w14:paraId="1A3416E9">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2.2.9 工厂涂敷</w:t>
      </w:r>
    </w:p>
    <w:p w14:paraId="6C056B8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（1）所有设备表面均应进行防腐处理，并采用适当的涂敷保护。</w:t>
      </w:r>
    </w:p>
    <w:p w14:paraId="0F5D473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（2）所有需涂敷的表面均要彻底清除粉尘、油渍、锈斑等，并处理毛刺，清洁干燥表面，并作必要的填充以便涂敷。</w:t>
      </w:r>
    </w:p>
    <w:p w14:paraId="3F28675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2.2.10 颜色</w:t>
      </w:r>
    </w:p>
    <w:p w14:paraId="4BE6CF3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屏体的外壳颜色应与电站其余屏体一致。</w:t>
      </w:r>
    </w:p>
    <w:p w14:paraId="07BFB370">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2.3 保护装置配置</w:t>
      </w:r>
    </w:p>
    <w:p w14:paraId="61BE87F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保护装置应采用南瑞继保、国电南自、四方公司等国内知名品牌的产品。</w:t>
      </w:r>
    </w:p>
    <w:p w14:paraId="7963E984">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2.3.1 发电机保护2套</w:t>
      </w:r>
    </w:p>
    <w:p w14:paraId="77191F1D">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#1、#2发电机保护（共2套）组成1面保护屏，内含：发电机主保护装置2套、发电机后备保护装置2套。</w:t>
      </w:r>
    </w:p>
    <w:p w14:paraId="722A8B5B">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发电机保护装置内含纵联差动保护、定子接地保护、过电压保护、复合电压起动的过电流保护、转子一点接地保护、过负荷保护、失磁保护、低电压保护、频率保护。</w:t>
      </w:r>
    </w:p>
    <w:p w14:paraId="12F8651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 xml:space="preserve"> 2.3.2  主变压器保护1套</w:t>
      </w:r>
    </w:p>
    <w:p w14:paraId="26A1C1D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主变压器保护组成1面保护屏，内含：</w:t>
      </w:r>
    </w:p>
    <w:p w14:paraId="64EFE552">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（1）主变压器主保护装置1套、主变压器高压侧后备保护1套、主变压器低压侧后备保护1套</w:t>
      </w:r>
    </w:p>
    <w:p w14:paraId="3C93F76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主变压器保护装置内含纵联差动保护、复合电压启动的过电流保护、过负荷保护。</w:t>
      </w:r>
    </w:p>
    <w:p w14:paraId="77C9181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（2）主变压器非电量保护装置1套</w:t>
      </w:r>
    </w:p>
    <w:p w14:paraId="16EA57E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主变压器非电量保护装置内含瓦斯保护、温度保护、油箱压力保护。</w:t>
      </w:r>
    </w:p>
    <w:p w14:paraId="0FF6AC7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2.3.3  35kV线路保护1套</w:t>
      </w:r>
    </w:p>
    <w:p w14:paraId="60FA9934">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35kV线路保护组成1面保护屏，内含：</w:t>
      </w:r>
    </w:p>
    <w:p w14:paraId="3F439A2C">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（1）35kV线路保护装置2套</w:t>
      </w:r>
    </w:p>
    <w:p w14:paraId="19495D9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至罗村二级电站罗包3510线及至乾变包乾3507线电站侧分别设置35kV线路保护装置1套。</w:t>
      </w:r>
    </w:p>
    <w:p w14:paraId="07B9533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35kV线路保护装置内含相间距离保护、方向过电流保护、单相接地保护、过负荷保护、自动重合闸。</w:t>
      </w:r>
    </w:p>
    <w:p w14:paraId="43CAEB9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（2）35kV线路故障解列装置1套</w:t>
      </w:r>
    </w:p>
    <w:p w14:paraId="054B7C1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35kV线路故障解列装置具有低频、低压、高频、高压控制功能，主要用于低频低压、高频高压解列。</w:t>
      </w:r>
    </w:p>
    <w:p w14:paraId="5ED5348D">
      <w:pPr>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2.4 保护装置技术参数</w:t>
      </w:r>
    </w:p>
    <w:p w14:paraId="08B8A018">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2.4.1  额定参数：</w:t>
      </w:r>
    </w:p>
    <w:p w14:paraId="173F1CC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交流额定电流：5A</w:t>
      </w:r>
    </w:p>
    <w:p w14:paraId="7939ED8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交流额定电压：100/</w:t>
      </w:r>
      <w:r>
        <w:rPr>
          <w:rFonts w:hint="eastAsia" w:asciiTheme="minorEastAsia" w:hAnsiTheme="minorEastAsia" w:eastAsiaTheme="minorEastAsia" w:cstheme="minorEastAsia"/>
          <w:color w:val="auto"/>
          <w:kern w:val="0"/>
          <w:szCs w:val="21"/>
        </w:rPr>
        <w:object>
          <v:shape id="_x0000_i1034" o:spt="75" type="#_x0000_t75" style="height:18pt;width:18pt;" o:ole="t" fillcolor="#000005" filled="f" o:preferrelative="t" stroked="f" coordsize="21600,21600">
            <v:path/>
            <v:fill on="f" focussize="0,0"/>
            <v:stroke on="f" joinstyle="miter"/>
            <v:imagedata r:id="rId44" o:title=""/>
            <o:lock v:ext="edit" aspectratio="t"/>
            <w10:wrap type="none"/>
            <w10:anchorlock/>
          </v:shape>
          <o:OLEObject Type="Embed" ProgID="Equation.3" ShapeID="_x0000_i1034" DrawAspect="Content" ObjectID="_1468075734" r:id="rId43">
            <o:LockedField>false</o:LockedField>
          </o:OLEObject>
        </w:object>
      </w:r>
      <w:r>
        <w:rPr>
          <w:rFonts w:hint="eastAsia" w:asciiTheme="minorEastAsia" w:hAnsiTheme="minorEastAsia" w:eastAsiaTheme="minorEastAsia" w:cstheme="minorEastAsia"/>
          <w:color w:val="auto"/>
          <w:kern w:val="0"/>
          <w:szCs w:val="21"/>
        </w:rPr>
        <w:t>V，100V，380V，220V</w:t>
      </w:r>
    </w:p>
    <w:p w14:paraId="5A7C55F7">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直流电源电压：220V±15%</w:t>
      </w:r>
    </w:p>
    <w:p w14:paraId="6467099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额定频率：50Hz</w:t>
      </w:r>
    </w:p>
    <w:p w14:paraId="68463B9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脉冲量输入电压：DC24V</w:t>
      </w:r>
    </w:p>
    <w:p w14:paraId="389DE89A">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2.4.2  功率消耗：</w:t>
      </w:r>
    </w:p>
    <w:p w14:paraId="063821C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交流电流回路：≤1.0VA/相（I=5A）</w:t>
      </w:r>
    </w:p>
    <w:p w14:paraId="0C8C9F1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交流电压回路：≤0.5VA/相（U≤100V）</w:t>
      </w:r>
    </w:p>
    <w:p w14:paraId="6B5A2791">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直流电源回路：≤15W（静态）、≤25W（动作时）</w:t>
      </w:r>
    </w:p>
    <w:p w14:paraId="48386C92">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2.4.3  过载能力：</w:t>
      </w:r>
    </w:p>
    <w:p w14:paraId="4B86DE28">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交流电流回路：2In时连续工作、10In时10S、40In时1S</w:t>
      </w:r>
    </w:p>
    <w:p w14:paraId="20344753">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交流电压回路：1.2Un时连续工作、1.5Un时10S、2Un时2S</w:t>
      </w:r>
    </w:p>
    <w:p w14:paraId="41D079EF">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2.4.4  保护动作误差：</w:t>
      </w:r>
    </w:p>
    <w:p w14:paraId="54BDF914">
      <w:pPr>
        <w:spacing w:line="360" w:lineRule="auto"/>
        <w:ind w:firstLine="1050" w:firstLineChars="5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电流、电压量：≤5%（典型为2%）</w:t>
      </w:r>
    </w:p>
    <w:p w14:paraId="4CC734C7">
      <w:pPr>
        <w:spacing w:line="360" w:lineRule="auto"/>
        <w:ind w:firstLine="1050" w:firstLineChars="5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时间量：≤1%</w:t>
      </w:r>
    </w:p>
    <w:p w14:paraId="473C611D">
      <w:pPr>
        <w:spacing w:line="360" w:lineRule="auto"/>
        <w:ind w:firstLine="1050" w:firstLineChars="5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整定级差：20mS</w:t>
      </w:r>
    </w:p>
    <w:p w14:paraId="12DAE08A">
      <w:pPr>
        <w:spacing w:line="360" w:lineRule="auto"/>
        <w:ind w:firstLine="1050" w:firstLineChars="5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综合变差：≤2%</w:t>
      </w:r>
    </w:p>
    <w:p w14:paraId="129AC372">
      <w:pPr>
        <w:spacing w:line="360" w:lineRule="auto"/>
        <w:ind w:firstLine="1050" w:firstLineChars="5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返回系数：0.93（速动段）~0.98、1.05~1.10（欠量元件）</w:t>
      </w:r>
    </w:p>
    <w:p w14:paraId="454545F0">
      <w:pPr>
        <w:spacing w:line="360" w:lineRule="auto"/>
        <w:ind w:firstLine="422"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kern w:val="0"/>
          <w:szCs w:val="21"/>
        </w:rPr>
        <w:t>2.4.5 输出接点容量：</w:t>
      </w:r>
    </w:p>
    <w:p w14:paraId="60A71D26">
      <w:pPr>
        <w:spacing w:line="360" w:lineRule="auto"/>
        <w:ind w:firstLine="1050" w:firstLineChars="5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出口接点：接通≥5A（DC220V，不允许断弧）</w:t>
      </w:r>
    </w:p>
    <w:p w14:paraId="5F8E45A1">
      <w:pPr>
        <w:spacing w:line="360" w:lineRule="auto"/>
        <w:ind w:firstLine="1050" w:firstLineChars="5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信号接点：接通≥1A（DC220V）、断开≥30W（DC220V，τ=5mS）、断开≥1A(AC220V)</w:t>
      </w:r>
    </w:p>
    <w:p w14:paraId="66EF4D91">
      <w:pPr>
        <w:spacing w:line="360" w:lineRule="auto"/>
        <w:ind w:firstLine="422"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kern w:val="0"/>
          <w:szCs w:val="21"/>
        </w:rPr>
        <w:t>14.</w:t>
      </w:r>
      <w:r>
        <w:rPr>
          <w:rFonts w:hint="eastAsia" w:asciiTheme="minorEastAsia" w:hAnsiTheme="minorEastAsia" w:eastAsiaTheme="minorEastAsia" w:cstheme="minorEastAsia"/>
          <w:color w:val="auto"/>
          <w:szCs w:val="21"/>
        </w:rPr>
        <w:t>2.5 计量装置的要求</w:t>
      </w:r>
    </w:p>
    <w:p w14:paraId="31EB6CF2">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罗村三级水电站为专线上网，计量表安装在水电站内，并考虑相应线路损耗。在电站中控室内配置计量屏1面，计量点设置在此处。计量屏内采用双向电度表2块，按主副表配置，电能表精度为 0.2S 级。 </w:t>
      </w:r>
    </w:p>
    <w:p w14:paraId="15F80908">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电站需安装电能量采集系统 ERTU  1套，信号送至建德县调。计量屏内设备配置如下：</w:t>
      </w:r>
    </w:p>
    <w:p w14:paraId="5F4842C4">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35kV线路电度表                  2只（主、副表；电力部门提供）</w:t>
      </w:r>
    </w:p>
    <w:p w14:paraId="014BC773">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10kV线路电度表                  1只（电力部门提供）</w:t>
      </w:r>
    </w:p>
    <w:p w14:paraId="381B3400">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ERTU装置                       1台</w:t>
      </w:r>
    </w:p>
    <w:p w14:paraId="32C2C8D5">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电能质量在线监测装置             1台</w:t>
      </w:r>
    </w:p>
    <w:p w14:paraId="294827CF">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电度表试验接线盒                 1套</w:t>
      </w:r>
    </w:p>
    <w:p w14:paraId="6A98C8B6">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机柜及附件                       1套</w:t>
      </w:r>
    </w:p>
    <w:p w14:paraId="3E7770D3">
      <w:pPr>
        <w:spacing w:line="360" w:lineRule="auto"/>
        <w:ind w:firstLine="420" w:firstLineChars="200"/>
        <w:rPr>
          <w:rFonts w:hint="eastAsia" w:asciiTheme="minorEastAsia" w:hAnsiTheme="minorEastAsia" w:eastAsiaTheme="minorEastAsia" w:cstheme="minorEastAsia"/>
          <w:color w:val="auto"/>
          <w:szCs w:val="21"/>
        </w:rPr>
      </w:pPr>
    </w:p>
    <w:p w14:paraId="0F7CC1FC">
      <w:pPr>
        <w:spacing w:line="360" w:lineRule="auto"/>
        <w:ind w:firstLine="420" w:firstLineChars="200"/>
        <w:rPr>
          <w:rFonts w:hint="eastAsia" w:asciiTheme="minorEastAsia" w:hAnsiTheme="minorEastAsia" w:eastAsiaTheme="minorEastAsia" w:cstheme="minorEastAsia"/>
          <w:color w:val="auto"/>
          <w:szCs w:val="21"/>
        </w:rPr>
        <w:sectPr>
          <w:pgSz w:w="11906" w:h="16838"/>
          <w:pgMar w:top="1440" w:right="1800" w:bottom="1440" w:left="1800" w:header="851" w:footer="992" w:gutter="0"/>
          <w:cols w:space="425" w:num="1"/>
          <w:docGrid w:type="lines" w:linePitch="312" w:charSpace="0"/>
        </w:sectPr>
      </w:pPr>
    </w:p>
    <w:p w14:paraId="520DA749">
      <w:pPr>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第15章 机电设备安装技术规范</w:t>
      </w:r>
    </w:p>
    <w:p w14:paraId="1DE27B05">
      <w:pPr>
        <w:pStyle w:val="3"/>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color w:val="auto"/>
          <w:sz w:val="21"/>
          <w:szCs w:val="21"/>
        </w:rPr>
        <w:t>15.1 一般规定</w:t>
      </w:r>
    </w:p>
    <w:p w14:paraId="5DD17F8A">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15.1.1 工作范围</w:t>
      </w:r>
    </w:p>
    <w:p w14:paraId="03A7962A">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承包人应完成的永久工程项目包括：</w:t>
      </w:r>
    </w:p>
    <w:p w14:paraId="0715A445">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（1）2台套与1000kW发电机相配套的卧式混流式水轮机及其辅助设备</w:t>
      </w:r>
      <w:r>
        <w:rPr>
          <w:rFonts w:hint="eastAsia" w:asciiTheme="minorEastAsia" w:hAnsiTheme="minorEastAsia" w:eastAsiaTheme="minorEastAsia" w:cstheme="minorEastAsia"/>
          <w:color w:val="auto"/>
          <w:kern w:val="0"/>
          <w:szCs w:val="21"/>
        </w:rPr>
        <w:t>安装、调试、试运行、指导运行及培训；</w:t>
      </w:r>
    </w:p>
    <w:p w14:paraId="66EB1720">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（2）2台套1000kW（1250kVA）卧式水轮发电机及其辅助设备</w:t>
      </w:r>
      <w:r>
        <w:rPr>
          <w:rFonts w:hint="eastAsia" w:asciiTheme="minorEastAsia" w:hAnsiTheme="minorEastAsia" w:eastAsiaTheme="minorEastAsia" w:cstheme="minorEastAsia"/>
          <w:color w:val="auto"/>
          <w:kern w:val="0"/>
          <w:szCs w:val="21"/>
        </w:rPr>
        <w:t>安装、调试、试运行、指导运行及培训；</w:t>
      </w:r>
    </w:p>
    <w:p w14:paraId="69CE9EC6">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（3）2台套直径为φ800mm、设计压力为1.0MPa的电动蝶阀控制系统及其旁通管、旁通阀</w:t>
      </w:r>
      <w:r>
        <w:rPr>
          <w:rFonts w:hint="eastAsia" w:asciiTheme="minorEastAsia" w:hAnsiTheme="minorEastAsia" w:eastAsiaTheme="minorEastAsia" w:cstheme="minorEastAsia"/>
          <w:color w:val="auto"/>
          <w:kern w:val="0"/>
          <w:szCs w:val="21"/>
        </w:rPr>
        <w:t>安装、调试、试运行、指导运行及培训；</w:t>
      </w:r>
    </w:p>
    <w:p w14:paraId="02066EDE">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（4）2台套调速功为600kg·m的微机调速器及其辅助设备</w:t>
      </w:r>
      <w:r>
        <w:rPr>
          <w:rFonts w:hint="eastAsia" w:asciiTheme="minorEastAsia" w:hAnsiTheme="minorEastAsia" w:eastAsiaTheme="minorEastAsia" w:cstheme="minorEastAsia"/>
          <w:color w:val="auto"/>
          <w:kern w:val="0"/>
          <w:szCs w:val="21"/>
        </w:rPr>
        <w:t>安装、调试、试运行、指导运行及培训；</w:t>
      </w:r>
    </w:p>
    <w:p w14:paraId="1454F58A">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（5）电站技术供水系统设备改造、</w:t>
      </w:r>
      <w:r>
        <w:rPr>
          <w:rFonts w:hint="eastAsia" w:asciiTheme="minorEastAsia" w:hAnsiTheme="minorEastAsia" w:eastAsiaTheme="minorEastAsia" w:cstheme="minorEastAsia"/>
          <w:color w:val="auto"/>
          <w:kern w:val="0"/>
          <w:szCs w:val="21"/>
        </w:rPr>
        <w:t>安装、调试、试运行、指导运行及培训；</w:t>
      </w:r>
    </w:p>
    <w:p w14:paraId="306ADDC3">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（6）电站采暖通风系统设备</w:t>
      </w:r>
      <w:r>
        <w:rPr>
          <w:rFonts w:hint="eastAsia" w:asciiTheme="minorEastAsia" w:hAnsiTheme="minorEastAsia" w:eastAsiaTheme="minorEastAsia" w:cstheme="minorEastAsia"/>
          <w:color w:val="auto"/>
          <w:kern w:val="0"/>
          <w:szCs w:val="21"/>
        </w:rPr>
        <w:t>安装、调试、试运行、指导运行及培训</w:t>
      </w:r>
      <w:r>
        <w:rPr>
          <w:rFonts w:hint="eastAsia" w:asciiTheme="minorEastAsia" w:hAnsiTheme="minorEastAsia" w:eastAsiaTheme="minorEastAsia" w:cstheme="minorEastAsia"/>
          <w:color w:val="auto"/>
          <w:szCs w:val="21"/>
        </w:rPr>
        <w:t>；</w:t>
      </w:r>
    </w:p>
    <w:p w14:paraId="6DE46244">
      <w:pPr>
        <w:spacing w:line="360" w:lineRule="auto"/>
        <w:ind w:firstLine="420" w:firstLineChars="200"/>
        <w:rPr>
          <w:rFonts w:hint="eastAsia" w:asciiTheme="minorEastAsia" w:hAnsiTheme="minorEastAsia" w:eastAsiaTheme="minorEastAsia" w:cstheme="minorEastAsia"/>
          <w:snapToGrid w:val="0"/>
          <w:color w:val="auto"/>
          <w:szCs w:val="21"/>
          <w:lang w:val="zh-CN"/>
        </w:rPr>
      </w:pPr>
      <w:r>
        <w:rPr>
          <w:rFonts w:hint="eastAsia" w:asciiTheme="minorEastAsia" w:hAnsiTheme="minorEastAsia" w:eastAsiaTheme="minorEastAsia" w:cstheme="minorEastAsia"/>
          <w:snapToGrid w:val="0"/>
          <w:color w:val="auto"/>
          <w:szCs w:val="21"/>
          <w:lang w:val="zh-CN"/>
        </w:rPr>
        <w:t>（</w:t>
      </w:r>
      <w:r>
        <w:rPr>
          <w:rFonts w:hint="eastAsia" w:asciiTheme="minorEastAsia" w:hAnsiTheme="minorEastAsia" w:eastAsiaTheme="minorEastAsia" w:cstheme="minorEastAsia"/>
          <w:snapToGrid w:val="0"/>
          <w:color w:val="auto"/>
          <w:szCs w:val="21"/>
        </w:rPr>
        <w:t>7</w:t>
      </w:r>
      <w:r>
        <w:rPr>
          <w:rFonts w:hint="eastAsia" w:asciiTheme="minorEastAsia" w:hAnsiTheme="minorEastAsia" w:eastAsiaTheme="minorEastAsia" w:cstheme="minorEastAsia"/>
          <w:snapToGrid w:val="0"/>
          <w:color w:val="auto"/>
          <w:szCs w:val="21"/>
          <w:lang w:val="zh-CN"/>
        </w:rPr>
        <w:t>）发电机电压配电系统安装；</w:t>
      </w:r>
    </w:p>
    <w:p w14:paraId="368C5359">
      <w:pPr>
        <w:spacing w:line="360" w:lineRule="auto"/>
        <w:ind w:firstLine="420" w:firstLineChars="200"/>
        <w:rPr>
          <w:rFonts w:hint="eastAsia" w:asciiTheme="minorEastAsia" w:hAnsiTheme="minorEastAsia" w:eastAsiaTheme="minorEastAsia" w:cstheme="minorEastAsia"/>
          <w:snapToGrid w:val="0"/>
          <w:color w:val="auto"/>
          <w:szCs w:val="21"/>
          <w:lang w:val="zh-CN"/>
        </w:rPr>
      </w:pPr>
      <w:r>
        <w:rPr>
          <w:rFonts w:hint="eastAsia" w:asciiTheme="minorEastAsia" w:hAnsiTheme="minorEastAsia" w:eastAsiaTheme="minorEastAsia" w:cstheme="minorEastAsia"/>
          <w:snapToGrid w:val="0"/>
          <w:color w:val="auto"/>
          <w:szCs w:val="21"/>
          <w:lang w:val="zh-CN"/>
        </w:rPr>
        <w:t>（</w:t>
      </w:r>
      <w:r>
        <w:rPr>
          <w:rFonts w:hint="eastAsia" w:asciiTheme="minorEastAsia" w:hAnsiTheme="minorEastAsia" w:eastAsiaTheme="minorEastAsia" w:cstheme="minorEastAsia"/>
          <w:snapToGrid w:val="0"/>
          <w:color w:val="auto"/>
          <w:szCs w:val="21"/>
        </w:rPr>
        <w:t>8</w:t>
      </w:r>
      <w:r>
        <w:rPr>
          <w:rFonts w:hint="eastAsia" w:asciiTheme="minorEastAsia" w:hAnsiTheme="minorEastAsia" w:eastAsiaTheme="minorEastAsia" w:cstheme="minorEastAsia"/>
          <w:snapToGrid w:val="0"/>
          <w:color w:val="auto"/>
          <w:szCs w:val="21"/>
          <w:lang w:val="zh-CN"/>
        </w:rPr>
        <w:t>）变压器设备及附属设备工程安装；</w:t>
      </w:r>
    </w:p>
    <w:p w14:paraId="39DBEDDB">
      <w:pPr>
        <w:spacing w:line="360" w:lineRule="auto"/>
        <w:ind w:firstLine="420" w:firstLineChars="200"/>
        <w:rPr>
          <w:rFonts w:hint="eastAsia" w:asciiTheme="minorEastAsia" w:hAnsiTheme="minorEastAsia" w:eastAsiaTheme="minorEastAsia" w:cstheme="minorEastAsia"/>
          <w:snapToGrid w:val="0"/>
          <w:color w:val="auto"/>
          <w:szCs w:val="21"/>
          <w:lang w:val="zh-CN"/>
        </w:rPr>
      </w:pPr>
      <w:r>
        <w:rPr>
          <w:rFonts w:hint="eastAsia" w:asciiTheme="minorEastAsia" w:hAnsiTheme="minorEastAsia" w:eastAsiaTheme="minorEastAsia" w:cstheme="minorEastAsia"/>
          <w:snapToGrid w:val="0"/>
          <w:color w:val="auto"/>
          <w:szCs w:val="21"/>
        </w:rPr>
        <w:t>（9）升压站及配电装置工程安装</w:t>
      </w:r>
      <w:r>
        <w:rPr>
          <w:rFonts w:hint="eastAsia" w:asciiTheme="minorEastAsia" w:hAnsiTheme="minorEastAsia" w:eastAsiaTheme="minorEastAsia" w:cstheme="minorEastAsia"/>
          <w:snapToGrid w:val="0"/>
          <w:color w:val="auto"/>
          <w:szCs w:val="21"/>
          <w:lang w:val="zh-CN"/>
        </w:rPr>
        <w:t>；</w:t>
      </w:r>
    </w:p>
    <w:p w14:paraId="29D28AB2">
      <w:pPr>
        <w:spacing w:line="360" w:lineRule="auto"/>
        <w:ind w:firstLine="420" w:firstLineChars="200"/>
        <w:rPr>
          <w:rFonts w:hint="eastAsia" w:asciiTheme="minorEastAsia" w:hAnsiTheme="minorEastAsia" w:eastAsiaTheme="minorEastAsia" w:cstheme="minorEastAsia"/>
          <w:snapToGrid w:val="0"/>
          <w:color w:val="auto"/>
          <w:szCs w:val="21"/>
          <w:lang w:val="zh-CN"/>
        </w:rPr>
      </w:pPr>
      <w:r>
        <w:rPr>
          <w:rFonts w:hint="eastAsia" w:asciiTheme="minorEastAsia" w:hAnsiTheme="minorEastAsia" w:eastAsiaTheme="minorEastAsia" w:cstheme="minorEastAsia"/>
          <w:snapToGrid w:val="0"/>
          <w:color w:val="auto"/>
          <w:szCs w:val="21"/>
        </w:rPr>
        <w:t>（10）低压配电系统工程安装</w:t>
      </w:r>
      <w:r>
        <w:rPr>
          <w:rFonts w:hint="eastAsia" w:asciiTheme="minorEastAsia" w:hAnsiTheme="minorEastAsia" w:eastAsiaTheme="minorEastAsia" w:cstheme="minorEastAsia"/>
          <w:snapToGrid w:val="0"/>
          <w:color w:val="auto"/>
          <w:szCs w:val="21"/>
          <w:lang w:val="zh-CN"/>
        </w:rPr>
        <w:t>；</w:t>
      </w:r>
    </w:p>
    <w:p w14:paraId="61A6143C">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lang w:val="zh-CN"/>
        </w:rPr>
        <w:t>（1</w:t>
      </w:r>
      <w:r>
        <w:rPr>
          <w:rFonts w:hint="eastAsia" w:asciiTheme="minorEastAsia" w:hAnsiTheme="minorEastAsia" w:eastAsiaTheme="minorEastAsia" w:cstheme="minorEastAsia"/>
          <w:snapToGrid w:val="0"/>
          <w:color w:val="auto"/>
          <w:szCs w:val="21"/>
        </w:rPr>
        <w:t>1</w:t>
      </w:r>
      <w:r>
        <w:rPr>
          <w:rFonts w:hint="eastAsia" w:asciiTheme="minorEastAsia" w:hAnsiTheme="minorEastAsia" w:eastAsiaTheme="minorEastAsia" w:cstheme="minorEastAsia"/>
          <w:snapToGrid w:val="0"/>
          <w:color w:val="auto"/>
          <w:szCs w:val="21"/>
          <w:lang w:val="zh-CN"/>
        </w:rPr>
        <w:t>）电站电缆敷设工程安装；</w:t>
      </w:r>
    </w:p>
    <w:p w14:paraId="234B3F8D">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Cs w:val="21"/>
        </w:rPr>
        <w:t>（12）电站防雷及接地装置工程安装</w:t>
      </w:r>
      <w:r>
        <w:rPr>
          <w:rFonts w:hint="eastAsia" w:asciiTheme="minorEastAsia" w:hAnsiTheme="minorEastAsia" w:eastAsiaTheme="minorEastAsia" w:cstheme="minorEastAsia"/>
          <w:snapToGrid w:val="0"/>
          <w:color w:val="auto"/>
          <w:szCs w:val="21"/>
          <w:lang w:val="zh-CN"/>
        </w:rPr>
        <w:t>；</w:t>
      </w:r>
    </w:p>
    <w:p w14:paraId="3C8662CC">
      <w:pPr>
        <w:spacing w:line="360" w:lineRule="auto"/>
        <w:ind w:firstLine="420" w:firstLineChars="200"/>
        <w:rPr>
          <w:rFonts w:hint="eastAsia" w:asciiTheme="minorEastAsia" w:hAnsiTheme="minorEastAsia" w:eastAsiaTheme="minorEastAsia" w:cstheme="minorEastAsia"/>
          <w:snapToGrid w:val="0"/>
          <w:color w:val="auto"/>
          <w:szCs w:val="21"/>
          <w:lang w:val="zh-CN"/>
        </w:rPr>
      </w:pPr>
      <w:r>
        <w:rPr>
          <w:rFonts w:hint="eastAsia" w:asciiTheme="minorEastAsia" w:hAnsiTheme="minorEastAsia" w:eastAsiaTheme="minorEastAsia" w:cstheme="minorEastAsia"/>
          <w:snapToGrid w:val="0"/>
          <w:color w:val="auto"/>
          <w:szCs w:val="21"/>
          <w:lang w:val="zh-CN"/>
        </w:rPr>
        <w:t>（</w:t>
      </w:r>
      <w:r>
        <w:rPr>
          <w:rFonts w:hint="eastAsia" w:asciiTheme="minorEastAsia" w:hAnsiTheme="minorEastAsia" w:eastAsiaTheme="minorEastAsia" w:cstheme="minorEastAsia"/>
          <w:snapToGrid w:val="0"/>
          <w:color w:val="auto"/>
          <w:szCs w:val="21"/>
        </w:rPr>
        <w:t>13</w:t>
      </w:r>
      <w:r>
        <w:rPr>
          <w:rFonts w:hint="eastAsia" w:asciiTheme="minorEastAsia" w:hAnsiTheme="minorEastAsia" w:eastAsiaTheme="minorEastAsia" w:cstheme="minorEastAsia"/>
          <w:snapToGrid w:val="0"/>
          <w:color w:val="auto"/>
          <w:szCs w:val="21"/>
          <w:lang w:val="zh-CN"/>
        </w:rPr>
        <w:t>）电站户内外照明装置工程安装；</w:t>
      </w:r>
    </w:p>
    <w:p w14:paraId="10A2AD25">
      <w:pPr>
        <w:spacing w:line="360" w:lineRule="auto"/>
        <w:ind w:firstLine="420" w:firstLineChars="200"/>
        <w:rPr>
          <w:rFonts w:hint="eastAsia" w:asciiTheme="minorEastAsia" w:hAnsiTheme="minorEastAsia" w:eastAsiaTheme="minorEastAsia" w:cstheme="minorEastAsia"/>
          <w:snapToGrid w:val="0"/>
          <w:color w:val="auto"/>
          <w:szCs w:val="21"/>
        </w:rPr>
      </w:pPr>
      <w:r>
        <w:rPr>
          <w:rFonts w:hint="eastAsia" w:asciiTheme="minorEastAsia" w:hAnsiTheme="minorEastAsia" w:eastAsiaTheme="minorEastAsia" w:cstheme="minorEastAsia"/>
          <w:snapToGrid w:val="0"/>
          <w:color w:val="auto"/>
          <w:szCs w:val="21"/>
        </w:rPr>
        <w:t>（14）直流电源系统工程安装；</w:t>
      </w:r>
    </w:p>
    <w:p w14:paraId="26A8C83D">
      <w:pPr>
        <w:spacing w:line="360" w:lineRule="auto"/>
        <w:ind w:firstLine="420" w:firstLineChars="200"/>
        <w:rPr>
          <w:rFonts w:hint="eastAsia" w:asciiTheme="minorEastAsia" w:hAnsiTheme="minorEastAsia" w:eastAsiaTheme="minorEastAsia" w:cstheme="minorEastAsia"/>
          <w:snapToGrid w:val="0"/>
          <w:color w:val="auto"/>
          <w:szCs w:val="21"/>
          <w:lang w:val="zh-CN"/>
        </w:rPr>
      </w:pPr>
      <w:r>
        <w:rPr>
          <w:rFonts w:hint="eastAsia" w:asciiTheme="minorEastAsia" w:hAnsiTheme="minorEastAsia" w:eastAsiaTheme="minorEastAsia" w:cstheme="minorEastAsia"/>
          <w:snapToGrid w:val="0"/>
          <w:color w:val="auto"/>
          <w:szCs w:val="21"/>
        </w:rPr>
        <w:t>（15）全厂控制设备、计算机监控系统和视频监视系统的设备安装、调试、试运行、</w:t>
      </w:r>
      <w:r>
        <w:rPr>
          <w:rFonts w:hint="eastAsia" w:asciiTheme="minorEastAsia" w:hAnsiTheme="minorEastAsia" w:eastAsiaTheme="minorEastAsia" w:cstheme="minorEastAsia"/>
          <w:snapToGrid w:val="0"/>
          <w:color w:val="auto"/>
          <w:szCs w:val="21"/>
          <w:lang w:val="zh-CN"/>
        </w:rPr>
        <w:t>指导运行及培训；</w:t>
      </w:r>
    </w:p>
    <w:p w14:paraId="68310D0B">
      <w:pPr>
        <w:spacing w:line="360" w:lineRule="auto"/>
        <w:ind w:firstLine="420" w:firstLineChars="200"/>
        <w:rPr>
          <w:rFonts w:hint="eastAsia" w:asciiTheme="minorEastAsia" w:hAnsiTheme="minorEastAsia" w:eastAsiaTheme="minorEastAsia" w:cstheme="minorEastAsia"/>
          <w:snapToGrid w:val="0"/>
          <w:color w:val="auto"/>
          <w:szCs w:val="21"/>
          <w:lang w:val="zh-CN"/>
        </w:rPr>
      </w:pPr>
      <w:r>
        <w:rPr>
          <w:rFonts w:hint="eastAsia" w:asciiTheme="minorEastAsia" w:hAnsiTheme="minorEastAsia" w:eastAsiaTheme="minorEastAsia" w:cstheme="minorEastAsia"/>
          <w:snapToGrid w:val="0"/>
          <w:color w:val="auto"/>
          <w:szCs w:val="21"/>
          <w:lang w:val="zh-CN"/>
        </w:rPr>
        <w:t>（16）电站通讯系统工程安装；</w:t>
      </w:r>
    </w:p>
    <w:p w14:paraId="6736CDCD">
      <w:pPr>
        <w:spacing w:line="360" w:lineRule="auto"/>
        <w:ind w:firstLine="420" w:firstLineChars="200"/>
        <w:rPr>
          <w:rFonts w:hint="eastAsia" w:asciiTheme="minorEastAsia" w:hAnsiTheme="minorEastAsia" w:eastAsiaTheme="minorEastAsia" w:cstheme="minorEastAsia"/>
          <w:snapToGrid w:val="0"/>
          <w:color w:val="auto"/>
          <w:szCs w:val="21"/>
          <w:lang w:val="zh-CN"/>
        </w:rPr>
      </w:pPr>
      <w:r>
        <w:rPr>
          <w:rFonts w:hint="eastAsia" w:asciiTheme="minorEastAsia" w:hAnsiTheme="minorEastAsia" w:eastAsiaTheme="minorEastAsia" w:cstheme="minorEastAsia"/>
          <w:snapToGrid w:val="0"/>
          <w:color w:val="auto"/>
          <w:szCs w:val="21"/>
          <w:lang w:val="zh-CN"/>
        </w:rPr>
        <w:t>（</w:t>
      </w:r>
      <w:r>
        <w:rPr>
          <w:rFonts w:hint="eastAsia" w:asciiTheme="minorEastAsia" w:hAnsiTheme="minorEastAsia" w:eastAsiaTheme="minorEastAsia" w:cstheme="minorEastAsia"/>
          <w:snapToGrid w:val="0"/>
          <w:color w:val="auto"/>
          <w:szCs w:val="21"/>
        </w:rPr>
        <w:t>17</w:t>
      </w:r>
      <w:r>
        <w:rPr>
          <w:rFonts w:hint="eastAsia" w:asciiTheme="minorEastAsia" w:hAnsiTheme="minorEastAsia" w:eastAsiaTheme="minorEastAsia" w:cstheme="minorEastAsia"/>
          <w:snapToGrid w:val="0"/>
          <w:color w:val="auto"/>
          <w:szCs w:val="21"/>
          <w:lang w:val="zh-CN"/>
        </w:rPr>
        <w:t>）继电保护装置的安装、调试、试运行、指导运行及培训；</w:t>
      </w:r>
    </w:p>
    <w:p w14:paraId="2377100F">
      <w:pPr>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snapToGrid w:val="0"/>
          <w:color w:val="auto"/>
          <w:szCs w:val="21"/>
        </w:rPr>
        <w:t>（18）其他电气设备安装工程的设备采购、安装、调试、试运行、指导运行及培训；</w:t>
      </w:r>
    </w:p>
    <w:p w14:paraId="40F0F230">
      <w:pPr>
        <w:spacing w:line="400" w:lineRule="exact"/>
        <w:ind w:firstLine="495"/>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（19）其它有关工作：在发包人指定的固定囤货场接货、卸货，对设备开箱验收，以及从囤货场到安装地点的二次搬运，对安装设备的临时保管及维护等。</w:t>
      </w:r>
    </w:p>
    <w:p w14:paraId="6AA4DBB4">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15.1.2 承包人应完成的临时工程项目</w:t>
      </w:r>
    </w:p>
    <w:p w14:paraId="07543D74">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（1）施工道路</w:t>
      </w:r>
    </w:p>
    <w:p w14:paraId="3DB25838">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由承包人根据现有的施工道路条件，在满足工程施工的前提下，根据施工的需要，自行确定是否新增施工道路，并负责施工道路的设计、施工、维护和养护；</w:t>
      </w:r>
    </w:p>
    <w:p w14:paraId="4B04DFB5">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（2）施工压气系统；</w:t>
      </w:r>
    </w:p>
    <w:p w14:paraId="27204E38">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（3）施工用水系统；</w:t>
      </w:r>
    </w:p>
    <w:p w14:paraId="7AFB7392">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（4）施工用电(指施工变压器安装以及低压端点以外的线路架设)；</w:t>
      </w:r>
    </w:p>
    <w:p w14:paraId="7B483E80">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（5）施工场地平整；</w:t>
      </w:r>
    </w:p>
    <w:p w14:paraId="550F2625">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（6）临时生产管理及生活设施；</w:t>
      </w:r>
    </w:p>
    <w:p w14:paraId="29FC0B33">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（7）其他临时设施；</w:t>
      </w:r>
    </w:p>
    <w:p w14:paraId="1205CEDC">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（8）施工场地使用完的拆除及整理。</w:t>
      </w:r>
    </w:p>
    <w:p w14:paraId="54BB0518">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15.1.3 发包人（包括其它承包人）承担的相关工程项目及其工作内容</w:t>
      </w:r>
    </w:p>
    <w:p w14:paraId="7F498FB8">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1）永久和临时施工场地的征用。</w:t>
      </w:r>
    </w:p>
    <w:p w14:paraId="6C29E243">
      <w:pPr>
        <w:spacing w:line="46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2）施工所需高压线路和变压器、计量装置的架设与安装。</w:t>
      </w:r>
    </w:p>
    <w:p w14:paraId="3793CDEE">
      <w:pPr>
        <w:pStyle w:val="3"/>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color w:val="auto"/>
          <w:sz w:val="21"/>
          <w:szCs w:val="21"/>
        </w:rPr>
        <w:t>15.2 预埋件埋设</w:t>
      </w:r>
    </w:p>
    <w:p w14:paraId="2E440E74">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15.2.1一般规定</w:t>
      </w:r>
    </w:p>
    <w:p w14:paraId="0D262022">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2.1.1应用范围</w:t>
      </w:r>
    </w:p>
    <w:p w14:paraId="7DA167A2">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本章规定适用于本合同的水轮发电机组及其附属设备、辅助系统设备、通风与空气调节系统、建筑给排水系统、消防系统、各类电缆和防雷、接地装置，以及其它设施和设备的预埋管道和预埋件的埋设。</w:t>
      </w:r>
    </w:p>
    <w:p w14:paraId="62579D98">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2.1.2 承包人责任</w:t>
      </w:r>
    </w:p>
    <w:p w14:paraId="2B035AC7">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（1）承包人应负责预埋件材料的采购、运输、保管、加工、埋设、检查和试验。</w:t>
      </w:r>
    </w:p>
    <w:p w14:paraId="3CD8C54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（2）承包人应按监理人提供的施工安装图纸和监理人的指示，负责埋设在混凝土、地下、水中、基岩和其他砌体中的上述预埋件，并对其漏埋、错埋或其它原因造成的损坏负责。</w:t>
      </w:r>
    </w:p>
    <w:p w14:paraId="7B8488CA">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（3）承包人在完成单元工程，或分部位项目的预埋件，并经自检合格后，应由监理人组织进行预埋件的检查验收。</w:t>
      </w:r>
    </w:p>
    <w:p w14:paraId="1096C07B">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2.1.3 主要提交件</w:t>
      </w:r>
    </w:p>
    <w:p w14:paraId="3E8D093E">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承包人应根据监理人提供的工程布置图、设备安装图及预埋件等施工安装图纸，编制各单元工程或分部位项目的预埋件一览表和材料采购清单，提交监理人。</w:t>
      </w:r>
    </w:p>
    <w:p w14:paraId="399A8416">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2.1.4 引用标准</w:t>
      </w:r>
    </w:p>
    <w:p w14:paraId="54394C31">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（1）《给水排水管道工程施工及验收规范》（GB 50268-2008）；</w:t>
      </w:r>
    </w:p>
    <w:p w14:paraId="2BB7260B">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（2）《电气装置安装工程接地装置施工及验收规范》（GB 50169-2016）；</w:t>
      </w:r>
    </w:p>
    <w:p w14:paraId="67B0E462">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（3）《电气装置安装工程电缆线路施工及验收规范》（GB 50168-2016）；</w:t>
      </w:r>
    </w:p>
    <w:p w14:paraId="12C8960E">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（4）《生活饮用水卫生标准》（GB 5749-2006）；</w:t>
      </w:r>
    </w:p>
    <w:p w14:paraId="3FCAC517">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（5）《焊缝无损检测 射线检测》（GB/T 3323.1~2-2019）；</w:t>
      </w:r>
    </w:p>
    <w:p w14:paraId="63B77484">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（6）《水轮发电机组安装技术规范》（GB/T 8564-2003）；</w:t>
      </w:r>
    </w:p>
    <w:p w14:paraId="152448E1">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（7）《建筑给水排水及采暖工程施工质量验收规范》（GB 50242-2002）；</w:t>
      </w:r>
    </w:p>
    <w:p w14:paraId="6EC06E4E">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（8）《生活饮用水输配水设备及防护材料的安全性评价标准》（GB/T 17219-1998）；</w:t>
      </w:r>
    </w:p>
    <w:p w14:paraId="527C4C38">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（9）《焊缝无损检测 超声检测技术、检测等级和评定》（GB/T 11345-2013）；</w:t>
      </w:r>
    </w:p>
    <w:p w14:paraId="5BD4479C">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（10）《焊缝无损检测 焊缝磁粉检测》（JB/T 26951-2011）；</w:t>
      </w:r>
    </w:p>
    <w:p w14:paraId="446A076F">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（11）《焊缝无损检测 焊缝渗透检测 验收等级》（JB/T 26951-2011）。</w:t>
      </w:r>
    </w:p>
    <w:p w14:paraId="53EF4C23">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15.2.2 预埋件埋设的一般技术要求</w:t>
      </w:r>
    </w:p>
    <w:p w14:paraId="1F15686B">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（1）承包人选用的所有预埋件材料及配件，其品种、型号、规格、性能应满足施工安装图纸要求和国家（行业）的现行有关标准。</w:t>
      </w:r>
    </w:p>
    <w:p w14:paraId="4B9AD6E1">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（2）预埋件埋设前应进行清理，清除其内、外表面被沾染的污物。</w:t>
      </w:r>
    </w:p>
    <w:p w14:paraId="7FC51F23">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（3）承包人需要局部更改预埋件的埋设位置，应经监理人批准，修改后的预埋件埋设位置应避免与其它埋件干扰，修改后的埋设记录应提交监理人。</w:t>
      </w:r>
    </w:p>
    <w:p w14:paraId="72F2990C">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15.2.3 预埋管道的安装和埋设</w:t>
      </w:r>
    </w:p>
    <w:p w14:paraId="051B3BDE">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2.3.1 管道加工和安装</w:t>
      </w:r>
    </w:p>
    <w:p w14:paraId="00AA6EDE">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（l）钢管：</w:t>
      </w:r>
    </w:p>
    <w:p w14:paraId="434B7824">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1）钢管切割和坡口应满足施工安装图纸的要求，并遵守GB/T 8564第12.1.5条的规定；</w:t>
      </w:r>
    </w:p>
    <w:p w14:paraId="572E6ECB">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2）热弯钢管加工可参照GB/T 8564第12章表36的规定执行；</w:t>
      </w:r>
    </w:p>
    <w:p w14:paraId="0B80904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3）电缆管道弯曲半径不应小于穿入电缆的最小允许弯曲半径，电缆的最小弯曲半径详见GB 50165表5.1.7的规定；</w:t>
      </w:r>
    </w:p>
    <w:p w14:paraId="5357C8CE">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4）电缆管之间采用套管焊接，连接时两管口对准、点焊连接牢固、密封良好；连接套管长度不小于电缆管外径的</w:t>
      </w:r>
      <w:r>
        <w:rPr>
          <w:rFonts w:hint="eastAsia" w:asciiTheme="minorEastAsia" w:hAnsiTheme="minorEastAsia" w:eastAsiaTheme="minorEastAsia" w:cstheme="minorEastAsia"/>
          <w:color w:val="auto"/>
          <w:sz w:val="21"/>
          <w:szCs w:val="21"/>
          <w:u w:val="single"/>
        </w:rPr>
        <w:t>2.2</w:t>
      </w:r>
      <w:r>
        <w:rPr>
          <w:rFonts w:hint="eastAsia" w:asciiTheme="minorEastAsia" w:hAnsiTheme="minorEastAsia" w:eastAsiaTheme="minorEastAsia" w:cstheme="minorEastAsia"/>
          <w:color w:val="auto"/>
          <w:sz w:val="21"/>
          <w:szCs w:val="21"/>
        </w:rPr>
        <w:t>倍；</w:t>
      </w:r>
    </w:p>
    <w:p w14:paraId="5F654BB0">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5）输送介质的管道弯制后的截面最大、最小外径差：当输送压力小于10MPa时，不应超过管道外径的</w:t>
      </w:r>
      <w:r>
        <w:rPr>
          <w:rFonts w:hint="eastAsia" w:asciiTheme="minorEastAsia" w:hAnsiTheme="minorEastAsia" w:eastAsiaTheme="minorEastAsia" w:cstheme="minorEastAsia"/>
          <w:color w:val="auto"/>
          <w:sz w:val="21"/>
          <w:szCs w:val="21"/>
          <w:u w:val="single"/>
        </w:rPr>
        <w:t>8%</w:t>
      </w:r>
      <w:r>
        <w:rPr>
          <w:rFonts w:hint="eastAsia" w:asciiTheme="minorEastAsia" w:hAnsiTheme="minorEastAsia" w:eastAsiaTheme="minorEastAsia" w:cstheme="minorEastAsia"/>
          <w:color w:val="auto"/>
          <w:sz w:val="21"/>
          <w:szCs w:val="21"/>
        </w:rPr>
        <w:t>；电缆管道弯制后的截面最大与最小外径差不应超过管道外径的</w:t>
      </w:r>
      <w:r>
        <w:rPr>
          <w:rFonts w:hint="eastAsia" w:asciiTheme="minorEastAsia" w:hAnsiTheme="minorEastAsia" w:eastAsiaTheme="minorEastAsia" w:cstheme="minorEastAsia"/>
          <w:color w:val="auto"/>
          <w:sz w:val="21"/>
          <w:szCs w:val="21"/>
          <w:u w:val="single"/>
        </w:rPr>
        <w:t>10%</w:t>
      </w:r>
      <w:r>
        <w:rPr>
          <w:rFonts w:hint="eastAsia" w:asciiTheme="minorEastAsia" w:hAnsiTheme="minorEastAsia" w:eastAsiaTheme="minorEastAsia" w:cstheme="minorEastAsia"/>
          <w:color w:val="auto"/>
          <w:sz w:val="21"/>
          <w:szCs w:val="21"/>
        </w:rPr>
        <w:t>；</w:t>
      </w:r>
    </w:p>
    <w:p w14:paraId="6CADA0D1">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6）采用钢管加工的风管不应采用焊制和褶皱弯头；</w:t>
      </w:r>
    </w:p>
    <w:p w14:paraId="0321350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7）管道任何位置不应有十字形焊缝及在焊缝处开孔；</w:t>
      </w:r>
    </w:p>
    <w:p w14:paraId="388D01DF">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8）预埋管道采用焊接连接的管道时，应对焊面及坡口两侧</w:t>
      </w:r>
      <w:r>
        <w:rPr>
          <w:rFonts w:hint="eastAsia" w:asciiTheme="minorEastAsia" w:hAnsiTheme="minorEastAsia" w:eastAsiaTheme="minorEastAsia" w:cstheme="minorEastAsia"/>
          <w:color w:val="auto"/>
          <w:sz w:val="21"/>
          <w:szCs w:val="21"/>
          <w:u w:val="single"/>
        </w:rPr>
        <w:t>30mm</w:t>
      </w:r>
      <w:r>
        <w:rPr>
          <w:rFonts w:hint="eastAsia" w:asciiTheme="minorEastAsia" w:hAnsiTheme="minorEastAsia" w:eastAsiaTheme="minorEastAsia" w:cstheme="minorEastAsia"/>
          <w:color w:val="auto"/>
          <w:sz w:val="21"/>
          <w:szCs w:val="21"/>
        </w:rPr>
        <w:t>范围内清除油污、铁锈、毛刺等，焊接后清除管道内外壁焊疤，焊缝表面应无裂纹、夹渣、凹陷及过烧等缺陷；</w:t>
      </w:r>
    </w:p>
    <w:p w14:paraId="6EE91BED">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9）碳素钢管采用电弧焊焊接、不锈钢管采用氢弧焊焊接。机组的油、气系统及有特殊要求的水系统管道及薄壁口径小的测压管道对口焊接，应符合GB 8564第12.2节的有关规定。</w:t>
      </w:r>
    </w:p>
    <w:p w14:paraId="0804324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（2）铸铁管：</w:t>
      </w:r>
    </w:p>
    <w:p w14:paraId="7FEBB44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1）安装铸铁管前，应清除其表面的粘沙、飞刺、沥青块及承插部位的沥青涂层；</w:t>
      </w:r>
    </w:p>
    <w:p w14:paraId="32B97E24">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2）安装铸铁管接口用的橡胶圈不应有气孔、裂缝、重皮或老化等缺陷；</w:t>
      </w:r>
    </w:p>
    <w:p w14:paraId="19B7C7F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3）承插铸铁管的给水与排水管道捻口安装，应遵守GB 50242第9.2.12条、第9.2.13条和第10.2.4条的规定。</w:t>
      </w:r>
    </w:p>
    <w:p w14:paraId="7A49ACBF">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（3）塑料管、复合管：</w:t>
      </w:r>
    </w:p>
    <w:p w14:paraId="2D59CC27">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1）管道切割、加工应使用专用工具；</w:t>
      </w:r>
    </w:p>
    <w:p w14:paraId="67A021B2">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2）加工后管道端面应平整垂直于轴线，或按相应管道工程技术规程要求的切割面，并不应有裂纹、毛刺等缺陷，接口内外应清理干净；</w:t>
      </w:r>
    </w:p>
    <w:p w14:paraId="1D53D1B6">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3）冬季安装应采取保温防冻措施，不得使用冻硬的橡胶圈；</w:t>
      </w:r>
    </w:p>
    <w:p w14:paraId="3EF93A81">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4）塑料管、复合管与金属管件的连接应使用专用连结管件；</w:t>
      </w:r>
    </w:p>
    <w:p w14:paraId="6359EF01">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5）用硬塑料管作电缆管，在套接或插接时，插人深度为管道内径1.1~1.8倍，在插接面上涂以胶合剂粘牢密封；采用套接时，套管两端应采取密封措施。</w:t>
      </w:r>
    </w:p>
    <w:p w14:paraId="770DB8D9">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2.3.2 管道埋设</w:t>
      </w:r>
    </w:p>
    <w:p w14:paraId="67660A12">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（1）预埋管道通过沉降缝或伸缩缝时，必须按施工安装图纸要求做过缝处理。</w:t>
      </w:r>
    </w:p>
    <w:p w14:paraId="4F5913C0">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（2）预埋管道安装就位后，应采用支撑固定，防止混凝土浇筑或回填过程中发生变形或位移，钢支撑可留在混凝土内，预埋钢管用支撑焊接固定时，不应烧伤管道内壁。</w:t>
      </w:r>
    </w:p>
    <w:p w14:paraId="736D9A61">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（3）埋设在沟槽内的管道，沟槽底面应按施工安装图纸要求进行填平夯实后才能铺设。</w:t>
      </w:r>
    </w:p>
    <w:p w14:paraId="3E3AC185">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（4）预埋管道管口伸出墙、柱、梁、板面距离，应按施工安装图纸要求和监理人指示，以及有关规范的规定进行埋设。管道埋设施工间断时，应及时暂封管口。</w:t>
      </w:r>
    </w:p>
    <w:p w14:paraId="7FFE4A50">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（5）电气管道的埋设，还应遵守GB 50168第四章的有关规定，当电气管道终端设置在明装的管道盒或设备上，应采用模板固定管道，以保持正确位置。</w:t>
      </w:r>
    </w:p>
    <w:p w14:paraId="3DE2CA1F">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（6）机组排水、排油管道坡度，应遵守GB/T 8564第12.3.3条的规定；生活污水铸铁管、塑料管的坡度，应参照GB 50242表5.2.2、表5.2.3的数据选定；地下埋设雨水管道的最小坡度，应参照GB 50242表5.3.3的数据选定；电缆管道的埋设坡度应不小于0.1%。</w:t>
      </w:r>
    </w:p>
    <w:p w14:paraId="1AD12122">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（7）测压管道应考虑排空，测压孔符合施工图纸要求。图纸未表明的预埋管道应减少拐弯，管线最短。</w:t>
      </w:r>
    </w:p>
    <w:p w14:paraId="7D6B6B12">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各类穿越墙壁和梁柱的管道，应加设相应的防护套管；穿过屋面的管道应有污水肩和防雨帽，并根据需要采用防水材料嵌填密实；防爆和防火管道，应采用不燃且对人体无害的柔性材料封堵；风管与混凝土、砖风道的连接口，应顺气流方向插人，并采用密封措施。</w:t>
      </w:r>
    </w:p>
    <w:p w14:paraId="21CEA730">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2.3.3 金属管道焊缝检验和缺陷处理</w:t>
      </w:r>
    </w:p>
    <w:p w14:paraId="0E80D585">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（1）焊缝外观检查：</w:t>
      </w:r>
    </w:p>
    <w:p w14:paraId="69F03626">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1）不得有熔化金属流到焊缝处未熔化的母材上；</w:t>
      </w:r>
    </w:p>
    <w:p w14:paraId="4ACB9D0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2）焊缝和热影响区表面不得有裂纹、气孔、孤坑和灰渣等缺陷；</w:t>
      </w:r>
    </w:p>
    <w:p w14:paraId="76FBB021">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3）管缝表面光顺、均匀，焊道与母材应平缓过渡，并应焊满。</w:t>
      </w:r>
    </w:p>
    <w:p w14:paraId="734E6B8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（2）焊缝无损检测：管道焊缝进行无损检测的方法，应按施工安装图纸或监理人的指示执行。</w:t>
      </w:r>
    </w:p>
    <w:p w14:paraId="3F15580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（3）不合格焊缝应及时返修，同一部位的返修次数超过二次后，应重新制订返修措施，提交监理人批准。返修后应再次检验至合格。</w:t>
      </w:r>
    </w:p>
    <w:p w14:paraId="52CF1130">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2.3.4 管道试验</w:t>
      </w:r>
    </w:p>
    <w:p w14:paraId="53A63A85">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管道埋设完毕，承包人应在混凝土浇筑、工程回填或砌体砌筑前，按施工安装图纸要求进行管道试验，试验记录应提交监理人。（2）给水管道的强度耐压试验和严密性耐压试验的试验压力和试验持续时间，应符合GB 50242的规定；机组辅助设备系统管路的试验压力和试验持续时间，应符合GB/T8546第12.5节的规定。</w:t>
      </w:r>
    </w:p>
    <w:p w14:paraId="33B897F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（3）排水、雨水管道等无压管道应作灌水试验。排水管灌满水持续15分钟后，再灌满水观察5分钟；雨水管灌水持续时间1小时；敞口水箱满水试验静止24小时，均以不渗漏为合格。</w:t>
      </w:r>
    </w:p>
    <w:p w14:paraId="790F95B4">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2.3.5 管道的冲洗和防腐</w:t>
      </w:r>
    </w:p>
    <w:p w14:paraId="089DB386">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（l）用水冲洗的管道，应按系统达到的压力和流量进行，直至出口处的水色和透明度与入口处目测一致为合格。输送生活饮用水的管道通水水质应遵守GB 5749的规定。</w:t>
      </w:r>
    </w:p>
    <w:p w14:paraId="3F3CAF3B">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（2）输气管道采用压缩空气吹扫，管内空气流速止</w:t>
      </w:r>
      <w:r>
        <w:rPr>
          <w:rFonts w:hint="eastAsia" w:asciiTheme="minorEastAsia" w:hAnsiTheme="minorEastAsia" w:eastAsiaTheme="minorEastAsia" w:cstheme="minorEastAsia"/>
          <w:color w:val="auto"/>
          <w:sz w:val="21"/>
          <w:szCs w:val="21"/>
          <w:u w:val="single"/>
        </w:rPr>
        <w:t>5~10m/s</w:t>
      </w:r>
      <w:r>
        <w:rPr>
          <w:rFonts w:hint="eastAsia" w:asciiTheme="minorEastAsia" w:hAnsiTheme="minorEastAsia" w:eastAsiaTheme="minorEastAsia" w:cstheme="minorEastAsia"/>
          <w:color w:val="auto"/>
          <w:sz w:val="21"/>
          <w:szCs w:val="21"/>
        </w:rPr>
        <w:t>，在气体排出口的白纸上未发现赃物和水分为合格。</w:t>
      </w:r>
    </w:p>
    <w:p w14:paraId="6BF9138B">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油系统管道应采用与运行相同牌号的油料，以每8小时为循环周期进行冲洗，在温度40~70℃范围内反复升降油温2~3次；管道经油循环冲洗后，用200目滤网检查，目测每平每平方厘米内残存的污物不超过3颗粒为合格。</w:t>
      </w:r>
    </w:p>
    <w:p w14:paraId="636B6ED3">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（4）调速器液压管道的冲洗，应按施工安装图纸、供货商技术文件和GB/T8564附录D的要求进行。</w:t>
      </w:r>
    </w:p>
    <w:p w14:paraId="76539424">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（5）埋地敷设管道的防腐处理应遵守以下规定：</w:t>
      </w:r>
    </w:p>
    <w:p w14:paraId="11879C3A">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l）钢管的防腐应遵守GB 50268的规定；</w:t>
      </w:r>
    </w:p>
    <w:p w14:paraId="20FB416F">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2）采用水泥接口的铸铁管，在有侵蚀性地下水时，应在接口处涂沥青防腐层；</w:t>
      </w:r>
    </w:p>
    <w:p w14:paraId="265F5BCC">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3）采用橡胶接口的埋设管道，在土壤或地下水对橡胶圈有腐蚀的地段，应用沥青胶泥、沥青麻丝或沥青锯末等材料做好封闭橡胶接口。</w:t>
      </w:r>
    </w:p>
    <w:p w14:paraId="4F87F161">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2.3.6 预埋管道的交付验收</w:t>
      </w:r>
    </w:p>
    <w:p w14:paraId="051D91D0">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（1）预埋管道的交付验收应在该土建工程项目施工前，由监理人会同承包人，按隐蔽工程验收程序进行检查和验收。检查验收记录应提交监理人。</w:t>
      </w:r>
    </w:p>
    <w:p w14:paraId="1121923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2）预埋管道交付验收时，承包人应向监理人提交以下检查验收资料：</w:t>
      </w:r>
    </w:p>
    <w:p w14:paraId="350EA85D">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1）预埋管道埋设竣工图（含管道实际走线图）；</w:t>
      </w:r>
    </w:p>
    <w:p w14:paraId="7E3BC44F">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2）预埋管道材料及配件等的产品合格证、安装使用说明书和材料试验报告；</w:t>
      </w:r>
    </w:p>
    <w:p w14:paraId="6982DE55">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3）预埋管道安装埋设的质量检查记录和隐蔽工程验收记录；</w:t>
      </w:r>
    </w:p>
    <w:p w14:paraId="3CCCFC88">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4）监理人要求提交的其它检查验收资料。</w:t>
      </w:r>
    </w:p>
    <w:p w14:paraId="177990C0">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15.2.4 固定件埋设</w:t>
      </w:r>
    </w:p>
    <w:p w14:paraId="27F64E84">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2.4.1 固定件的加工和安装埋设</w:t>
      </w:r>
    </w:p>
    <w:p w14:paraId="1A4E5A5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用焊接固定时，不得烧伤固定件的工作面，无显著变形和位移；采用支架固定时，支架应有足够的强度和刚度。在浇筑混凝土、砖砌或回填土时，固定件应保持位置正确、牢固可靠。固定件的安装偏差应符合施工安装图纸和供货商技术文件的要求。</w:t>
      </w:r>
    </w:p>
    <w:p w14:paraId="4DCC4D27">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（2）照明设备专用盒的埋设件的四周应无缝隙，并紧贴饰面。</w:t>
      </w:r>
    </w:p>
    <w:p w14:paraId="354C61C4">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（3）电气部分的固定件埋设应满足施工安装图纸的要求，并遵守GB 50168第4章的有关规定。</w:t>
      </w:r>
    </w:p>
    <w:p w14:paraId="58CDDDE2">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（4）固定件不得跨沉降缝和伸缩缝埋设。</w:t>
      </w:r>
    </w:p>
    <w:p w14:paraId="08E3497B">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2.4.2 预埋固定件的交付验收</w:t>
      </w:r>
    </w:p>
    <w:p w14:paraId="0873164F">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（1）预埋固定件埋设完成后，应由监理人会同承包人，按隐蔽工程验收程序进行检查和验收。检查验收记录应提交监理人。</w:t>
      </w:r>
    </w:p>
    <w:p w14:paraId="5E1E5285">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（2）预埋固定件验收时，承包人应向监理人提交以下验收资料：</w:t>
      </w:r>
    </w:p>
    <w:p w14:paraId="4044AAB3">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1）预埋固定件埋设竣工图；</w:t>
      </w:r>
    </w:p>
    <w:p w14:paraId="4FB6A4F1">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2）预埋固定件材料产品合格证、安装使用说明书等；</w:t>
      </w:r>
    </w:p>
    <w:p w14:paraId="32244BE6">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3）预埋固定件加工和安装的质量检查验收记录。</w:t>
      </w:r>
    </w:p>
    <w:p w14:paraId="5043539C">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15.2.5 接地装置埋设</w:t>
      </w:r>
    </w:p>
    <w:p w14:paraId="5B118068">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2.5.1 接地装置的安装与埋设</w:t>
      </w:r>
    </w:p>
    <w:p w14:paraId="5CD5B783">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（1）接地体（线）采用搭接焊接，其焊缝长度和质量要求，应满足施工安装图纸的要求，应遵守GB 50169第3.4.1~3.4.4条的规定，焊接后应将焊缝清理干净，并作防腐处理。</w:t>
      </w:r>
    </w:p>
    <w:p w14:paraId="6D40DE3F">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（2）埋设的接地装置应从施工安装图纸规定的地点引出，其引出位置应作明显标记，并采取防腐与保护措施。</w:t>
      </w:r>
    </w:p>
    <w:p w14:paraId="2B17553D">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（3）接地线通过建筑物沉降缝和伸缩缝时，应按施工安装图纸要求采取过缝处理。</w:t>
      </w:r>
    </w:p>
    <w:p w14:paraId="5332A86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（4）所有金属设备和构件，均应按施工安装图纸的要求可靠接地。利用各种金属管道、金属构件等作接地线时，保证有可靠的电气连接。</w:t>
      </w:r>
    </w:p>
    <w:p w14:paraId="7EFC0FB8">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（5）承包人在施工期间应妥善保护好已敷设的接地装置。在交付验收前造成接地装置的损坏或丢失，应由承包人负责修复或重置。</w:t>
      </w:r>
    </w:p>
    <w:p w14:paraId="2F14F877">
      <w:pPr>
        <w:tabs>
          <w:tab w:val="left" w:pos="567"/>
        </w:tabs>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b/>
          <w:color w:val="auto"/>
          <w:szCs w:val="21"/>
        </w:rPr>
        <w:t>2.5.2 接地装置的交付验收</w:t>
      </w:r>
    </w:p>
    <w:p w14:paraId="7402AED2">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（1）接地装置的隐蔽部位应在土建工程施工进程中进行安装埋设，并由监理人会同承包人进行检查及验收。隐蔽部位交付验收后，才能进行混凝土浇筑或其它砌筑回填作业。</w:t>
      </w:r>
    </w:p>
    <w:p w14:paraId="0E2E10B2">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（2）接地装置埋设全部完成后，应由监理人会同承包人进行接地装置的检查和验收，承包人应向监理人提交以下验收资料：</w:t>
      </w:r>
    </w:p>
    <w:p w14:paraId="124711A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1）接地装置埋设竣工图；</w:t>
      </w:r>
    </w:p>
    <w:p w14:paraId="0234FBF9">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2）接地装置材料及外购件的产品合格证和使用说明书；</w:t>
      </w:r>
    </w:p>
    <w:p w14:paraId="5587C3B1">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3）接地装置隐蔽工程质量检查和验收记录。</w:t>
      </w:r>
    </w:p>
    <w:p w14:paraId="15FCF78D">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15.2.6 预埋件埋设的验收</w:t>
      </w:r>
    </w:p>
    <w:p w14:paraId="498AA2BD">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本工程预埋管道、预埋固定件和接地装置等预埋件，应在各相关机电设备安装前，由监理人会同承包人进行分项验收。其验收资料应列人各单项工程的完工验收资料中。</w:t>
      </w:r>
    </w:p>
    <w:p w14:paraId="4C794203">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15.2.7 计量和支付</w:t>
      </w:r>
    </w:p>
    <w:p w14:paraId="1E30D377">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（l）除合同另有约定外，预埋管道按施工图纸所示尺寸计算有效长度（重量）以米（或吨）为单位计量，由发包人按《工程量清单》相应项目有效工程量的每米（或吨）工程单价支付。</w:t>
      </w:r>
    </w:p>
    <w:p w14:paraId="56975383">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除合同另有约定外，永久设备预埋件的安装费用包含在《工程量清单》相应设备安装项目有效工程量的工程单价中，发包人不另行支付。除此之外，其他预埋件安装按施工图纸所示尺寸计算的预埋件有效重量以吨为单位计量，由发包人按《工程量清单》相应项目有效工程量的每吨工程单价支付。</w:t>
      </w:r>
    </w:p>
    <w:p w14:paraId="788B03DF">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（3）接地系统的预埋件按施工图纸所示接地装置的尺寸计算有效重量（长度）以吨（或米）为单位计量，由发包人按《工程量清单》相应项目有效工程量的每吨（或米）工程单价支付。</w:t>
      </w:r>
    </w:p>
    <w:p w14:paraId="1869873E">
      <w:pPr>
        <w:pStyle w:val="3"/>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color w:val="auto"/>
          <w:sz w:val="21"/>
          <w:szCs w:val="21"/>
        </w:rPr>
        <w:t>15.3 机电设备安装</w:t>
      </w:r>
    </w:p>
    <w:p w14:paraId="7CEEE063">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15.3.1 一般规定</w:t>
      </w:r>
    </w:p>
    <w:p w14:paraId="7C36B43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3.1.1 应用范围</w:t>
      </w:r>
    </w:p>
    <w:p w14:paraId="16DEC51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本章规定适用于水利水电工程永久机电设备的安装以及机组启动试运行收等工作。</w:t>
      </w:r>
    </w:p>
    <w:p w14:paraId="4E87028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3.1.2 承包人责任</w:t>
      </w:r>
    </w:p>
    <w:p w14:paraId="50EB44B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承包人应负责接收交付安装的全部永久机电设备、备品备件、安装专用工器具以及用于安装的各项材料，在合同约定的交货地点进行机电设备的交货验收，并由发包人会同机电设备供货商（以下简称供货商）与承包人正式办理设备交接手续。</w:t>
      </w:r>
    </w:p>
    <w:p w14:paraId="6A28CF0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（2）承包人应负责上述机电设备和材料的接货卸车、清点交接、损伤签证、仓储管理、开箱检验，以及从交货地点至安装现场的运输工作。</w:t>
      </w:r>
    </w:p>
    <w:p w14:paraId="744764D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按合同约定，承包人负责的机电设备安装工作应包括零部件加工制作；管路、埋件与接地线等的现场制作安装；二期混凝土浇筑；机电设备系统安装后的调试、试验和启动试运行、指导运行及培训；质量检查和验收，以及施工安装期和缺陷责任期的试运行、维护保养和缺陷修复等全部工作。</w:t>
      </w:r>
    </w:p>
    <w:p w14:paraId="533CFDD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（4）除合同约定由发包人提供的设备、材料外，承包人应负责提供为安装工作所需的材料、设备、检测器具和临时设施等。</w:t>
      </w:r>
    </w:p>
    <w:p w14:paraId="4C9FB09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3.1.3 主要提交件</w:t>
      </w:r>
    </w:p>
    <w:p w14:paraId="5D7E99F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（l）机电设备安装进度计划</w:t>
      </w:r>
    </w:p>
    <w:p w14:paraId="7C9A8DE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承包人应在机电设备安装开始前30天，按监理人批准的工程施工总进度计划，编制本工程机电设备安装进度计划提交监理人批准。</w:t>
      </w:r>
    </w:p>
    <w:p w14:paraId="2583C4C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安装工程进度计划应满足合同约定的完工日期要求。网络图的编制应提供下列各项数据和内容，以及与相关土建工程施工计划的接点关系。网络图应标明：</w:t>
      </w:r>
    </w:p>
    <w:p w14:paraId="2264E9A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1）作业和相应节点编号；</w:t>
      </w:r>
    </w:p>
    <w:p w14:paraId="25F336A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2）作业持续时间；</w:t>
      </w:r>
    </w:p>
    <w:p w14:paraId="480E3CF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3）各节点的最早开始及最早完成安装的日期；</w:t>
      </w:r>
    </w:p>
    <w:p w14:paraId="76D1FE9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4）各节点的最迟开始及最迟完成安装的日期；</w:t>
      </w:r>
    </w:p>
    <w:p w14:paraId="6177006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5）各项安装工作开始前要求完成的土建工程面貌；</w:t>
      </w:r>
    </w:p>
    <w:p w14:paraId="54D1E73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6）附资源配置及其说明（以按月所需的人工、材料、设备等资源数据）。</w:t>
      </w:r>
    </w:p>
    <w:p w14:paraId="1F903A9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（2）主要机电设备安装方案和工艺措施报告</w:t>
      </w:r>
    </w:p>
    <w:p w14:paraId="4C5DCBF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承包人应在机电设备安装开始前，编制主要机电设备安装方案和工艺措施报告，提交监理人批准，其内容包括：</w:t>
      </w:r>
    </w:p>
    <w:p w14:paraId="1A4D821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1）安装场地和临时设施的布置及说明；</w:t>
      </w:r>
    </w:p>
    <w:p w14:paraId="0698F1C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2）本合同范围内主要及大型设备的运输、吊装方案；</w:t>
      </w:r>
    </w:p>
    <w:p w14:paraId="30F70FA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3）机组的主要部件（包括主要埋入部件）的安装程序和工艺措施等；</w:t>
      </w:r>
    </w:p>
    <w:p w14:paraId="17FE2E5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4）机电设备的安装、检查、试验及试运行工作计划；</w:t>
      </w:r>
    </w:p>
    <w:p w14:paraId="54CC5B8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5）机电设备安装过程的质量控制措施。</w:t>
      </w:r>
    </w:p>
    <w:p w14:paraId="63285D2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6）施工安全及环境保护措施。</w:t>
      </w:r>
    </w:p>
    <w:p w14:paraId="06B469B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7）监理人要求提交的其它资料。</w:t>
      </w:r>
    </w:p>
    <w:p w14:paraId="09C9186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（3）承包人要求发包人提交的机电设备和材料交货计划</w:t>
      </w:r>
    </w:p>
    <w:p w14:paraId="2AD952E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承包人应根据机电设备安装进度的需要，编制一份要求发包人向承包人交付机电设备和材料的计划，提交监理人确认后，作为发包人交货的依据。</w:t>
      </w:r>
    </w:p>
    <w:p w14:paraId="3A0BFCC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（4）安装工作进度实施报告</w:t>
      </w:r>
    </w:p>
    <w:p w14:paraId="1890FDE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应按合同约定和监理人的指示，定期（周、月、年）向监理人提交安装工作进度实施报告。报告内容应说明安装计划完成的形象进度、质量控制和安全施工情况、下阶段安装计划安排，以及要求发包人（或监理人）协调解决的问题。</w:t>
      </w:r>
    </w:p>
    <w:p w14:paraId="7E93307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3.1.4 引用标准</w:t>
      </w:r>
    </w:p>
    <w:p w14:paraId="6CE708C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（1）《电力变压器 第1部分:总则》（GB/T 1094.1）；</w:t>
      </w:r>
    </w:p>
    <w:p w14:paraId="5241434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（2）《火灾自动报警系统施工及验收规范》（GB 50166）；</w:t>
      </w:r>
    </w:p>
    <w:p w14:paraId="42983E9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（3）《同步电机励磁系统 大、中型同步发电机励磁系统技术要求》（GB/T 7409.3）；</w:t>
      </w:r>
    </w:p>
    <w:p w14:paraId="5F13F33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（4）《电气装置安装工程电气设备交接试验标准》（GB 50150）；</w:t>
      </w:r>
    </w:p>
    <w:p w14:paraId="66E6D1C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（5）《电气装置安装工程电缆线路施工及验收规范》（GB 50168）；</w:t>
      </w:r>
    </w:p>
    <w:p w14:paraId="63659DA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（6）《电气装置安装工程接地装置施工及验收规范》（GB 50169）；</w:t>
      </w:r>
    </w:p>
    <w:p w14:paraId="307D0BB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（7）《互感器试验导则》（GB/T 22071）；</w:t>
      </w:r>
    </w:p>
    <w:p w14:paraId="3BE65EB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（8）《通信管道工程施工及验收标准》（GB/T 50374）；</w:t>
      </w:r>
    </w:p>
    <w:p w14:paraId="6DBC727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（9）《建筑电气工程施工质量验收规范》（GB 50303）；</w:t>
      </w:r>
    </w:p>
    <w:p w14:paraId="05B326A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（10）《接地系统的土壤电阻率、接地阻抗和地面电位测量导则 第1部分:常规测量》（GB/T 17949.1）；</w:t>
      </w:r>
    </w:p>
    <w:p w14:paraId="62B085D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（11）《金属封闭母线》（GB/T 8349）；</w:t>
      </w:r>
    </w:p>
    <w:p w14:paraId="2759723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（12）《电气装置安装工程低压电器施工及验收规范》（GB 50254）；</w:t>
      </w:r>
    </w:p>
    <w:p w14:paraId="015DF34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（13）《电气装置安装工程起重机电气装置施工及验收规范》（GB 50256）；</w:t>
      </w:r>
    </w:p>
    <w:p w14:paraId="1E9AF13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（14）《电气装置安装工程爆炸和火灾危险环境电气装置施工及验收规范》（GB 50257）；</w:t>
      </w:r>
    </w:p>
    <w:p w14:paraId="27215BF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（15）《建筑电气工程施工质量验收规范》（GB 50303）；</w:t>
      </w:r>
    </w:p>
    <w:p w14:paraId="6D6748B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（16）《六氟化硫电气设备中气体管理和检测导则》（GB/T 8905）；</w:t>
      </w:r>
    </w:p>
    <w:p w14:paraId="27CE67C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（17）《民用闭路电视监视系统工程技术规范》（GB 50198）；</w:t>
      </w:r>
    </w:p>
    <w:p w14:paraId="066356C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（18）《电气装置安装工程盘柜及二次回路结线施工及验收规范》（GB 50171）；</w:t>
      </w:r>
    </w:p>
    <w:p w14:paraId="471B3BF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（19）《电气装置安装工程蓄电池施工及验收规范》（GB 50172）；</w:t>
      </w:r>
    </w:p>
    <w:p w14:paraId="432AD60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（20）《电气装置安装工程电力变压器、油浸电抗器、互感器施工及验收规范》(GB 50148)；</w:t>
      </w:r>
    </w:p>
    <w:p w14:paraId="481DEDD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（21）《电气装置安装工程高压电器施工及验收规范》(GB 50147)；</w:t>
      </w:r>
    </w:p>
    <w:p w14:paraId="49355A4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（22）《电气装置安装工程母线装置施工及验收规范》(GB 50149)；</w:t>
      </w:r>
    </w:p>
    <w:p w14:paraId="3A47AC9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（23）《电工流体 变压器和开关用的未使用过的矿物绝缘油》（GB 2536）；</w:t>
      </w:r>
    </w:p>
    <w:p w14:paraId="4B40516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（24）《高压开关设备六氟化硫气体密封试验导则》(GB/T 11023)；</w:t>
      </w:r>
    </w:p>
    <w:p w14:paraId="42CB6A0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（25）《工业电视系统工程设计标准》(GB/T 50115)；</w:t>
      </w:r>
    </w:p>
    <w:p w14:paraId="2E567F6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（26）《水电厂计算机监控系统基本技术条件》（DL/T 578）；</w:t>
      </w:r>
    </w:p>
    <w:p w14:paraId="67E9D49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（27）《大中型水轮发电机静止整流励磁系统及装置试验规程》（DL/T 489）；</w:t>
      </w:r>
    </w:p>
    <w:p w14:paraId="6C8862D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（28）《大中型水轮发电机微机励磁调节器试验导则》（DL/T 1013）；</w:t>
      </w:r>
    </w:p>
    <w:p w14:paraId="5022D5F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（29）《大中型水轮发电机静止整流励磁系统技术条件》（DL/T 583）；</w:t>
      </w:r>
    </w:p>
    <w:p w14:paraId="1B84E4E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（30）《电力光纤通信工程验收规范》（DL/T 5344）；</w:t>
      </w:r>
    </w:p>
    <w:p w14:paraId="013C45D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（31）《接地装置特性参数测量导则》（DL/T 475）；</w:t>
      </w:r>
    </w:p>
    <w:p w14:paraId="741AF25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（32）《水电厂计算机监控系统试验验收规程》（DL/T 822）；</w:t>
      </w:r>
    </w:p>
    <w:p w14:paraId="5E28774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（33）《继电保护和安全自动装置通用技术条件》（DL/T 478）；</w:t>
      </w:r>
    </w:p>
    <w:p w14:paraId="1627F2C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（34）《电力系统继电保护及安全自动装置柜(屏)通用技术条件》（DL/T 720）；</w:t>
      </w:r>
    </w:p>
    <w:p w14:paraId="6CB5976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（35）《电力系统用蓄电池直流电源装置运行与维护技术规程》（DL/T 724）；</w:t>
      </w:r>
    </w:p>
    <w:p w14:paraId="50D7AF7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（36）《水电厂机组自动化元件及系统运行维护与检验试验规程》（DL/T 619）；</w:t>
      </w:r>
    </w:p>
    <w:p w14:paraId="2C4A0F6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（37）《电力系统继电保护及安全自动装置运行评价规程》（DL/T 623）；</w:t>
      </w:r>
    </w:p>
    <w:p w14:paraId="23FC9CA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（38）《继电保护微机型试验装置技术条件》（DL/T 624）；</w:t>
      </w:r>
    </w:p>
    <w:p w14:paraId="2924F69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（39）《水力发电厂计算机监控系统设计规范》（NB/T 10879）；</w:t>
      </w:r>
    </w:p>
    <w:p w14:paraId="5DE3AEB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（40）《电力设备典型消防规程》（DL 5027）；</w:t>
      </w:r>
    </w:p>
    <w:p w14:paraId="0AE53D1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（41）《水轮发电机组自动化元件（装置）及其系统基本技术条件》（GB/T 11805）；</w:t>
      </w:r>
    </w:p>
    <w:p w14:paraId="1DD0A91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（42）《给水排水管道工程施工及验收规范》（GB 50268）；</w:t>
      </w:r>
    </w:p>
    <w:p w14:paraId="41F8867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（43）《水轮发电机组安装技术规范》（GB/T 8564）；</w:t>
      </w:r>
    </w:p>
    <w:p w14:paraId="4E520CB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（44）《通风与空调工程施工质量验收规范》（GB 50243）；</w:t>
      </w:r>
    </w:p>
    <w:p w14:paraId="15BACD5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（45）《现场设备、工业管道焊接工程施工规范》（GB 50236）；</w:t>
      </w:r>
    </w:p>
    <w:p w14:paraId="626C19F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（46）《压缩机、风机、泵安装工程施工及验收规范》（GB 50275）；</w:t>
      </w:r>
    </w:p>
    <w:p w14:paraId="2A5AD5B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（47）《机械设备安装工程施工及验收通用规范》（GB 50231）；</w:t>
      </w:r>
    </w:p>
    <w:p w14:paraId="31A6F7B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（48）《起重设备安装工程施工及验收规范》（GB 50278）；</w:t>
      </w:r>
    </w:p>
    <w:p w14:paraId="111AEA2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（49）《工业金属管道工程施工规范》（GB 50235）；</w:t>
      </w:r>
    </w:p>
    <w:p w14:paraId="2749B08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（50）《水轮机调速系统试验》（GB/T 9652.2）；</w:t>
      </w:r>
    </w:p>
    <w:p w14:paraId="79E9EB6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（51）《水轮机、蓄能泵和水泵水轮机模型验收试验》（GB/T 15613）；</w:t>
      </w:r>
    </w:p>
    <w:p w14:paraId="39054F1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（52）《涡轮机油》（GB 11120）；</w:t>
      </w:r>
    </w:p>
    <w:p w14:paraId="04E0AF9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（53）《水轮发电机组启动试验规程》（DL/T 507）；</w:t>
      </w:r>
    </w:p>
    <w:p w14:paraId="220F722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（54）《水轮机电液调节系统及装置调整试验导则》（DL/T 496）；</w:t>
      </w:r>
    </w:p>
    <w:p w14:paraId="0A2F566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（55）《通风管道技术规程》（JGJ 141）；</w:t>
      </w:r>
    </w:p>
    <w:p w14:paraId="048C8AA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（56）《水利水电建设工程验收规程》（SL 223）；</w:t>
      </w:r>
    </w:p>
    <w:p w14:paraId="6CCB449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3.1.5 安装技术文件</w:t>
      </w:r>
    </w:p>
    <w:p w14:paraId="5CEE93A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（1）安装技术文件内容：</w:t>
      </w:r>
    </w:p>
    <w:p w14:paraId="306ADAD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1）发包人提供的机电设备布置总图、机电设备安装布置图、机电设计系统图、设备加工图及设计说明书等（以下统称施工安装图纸）；</w:t>
      </w:r>
    </w:p>
    <w:p w14:paraId="14C4685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2）本合同引用的国家标准和行业标准；</w:t>
      </w:r>
    </w:p>
    <w:p w14:paraId="3A5E77B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3）供货商提供的图纸、安装技术标准、安装作业指导书、运行维护说明书，以及其它有关的技术文件和资料（以下统称供货商技术文件）；</w:t>
      </w:r>
    </w:p>
    <w:p w14:paraId="331AA0D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4）履行合同中监理人发出的指示和监理人批准的承包人提交件。</w:t>
      </w:r>
    </w:p>
    <w:p w14:paraId="5D33D95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（2）安装技术文件的提交和批准：</w:t>
      </w:r>
    </w:p>
    <w:p w14:paraId="3206888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1）按合同约定，由发包人提供的施工安装图纸，应在该项设备安装前，由监理人签发给承包人和（或）供货商现场代表（以下简称供货商代表）；</w:t>
      </w:r>
    </w:p>
    <w:p w14:paraId="12F2591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2）为保证机电设备安装的质量和安全，供货商应向发包人提交每项机电设备的上述第（1）项的全部安装技术文件。监理人和承包人还应有权根据安装工作需要，要求供货商代表提交补充的安装技术文件。</w:t>
      </w:r>
    </w:p>
    <w:p w14:paraId="037CDF8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3.1.6 供货商代表</w:t>
      </w:r>
    </w:p>
    <w:p w14:paraId="49E972C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（1）供货商代表应参加设备到货的清点检查，在交货验收文件及开箱检验报告上签字见证。若配置的零部件数量不足或产品存在质量问题，应由供货商代表负责处理。</w:t>
      </w:r>
    </w:p>
    <w:p w14:paraId="152232A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供货商代表应指导承包人的安装作业；参加监理人组织的机电设备安装质量的检查、试验和试运行，检查和试验记录应由供货商代表签证。承包人应允许供货商代表进入设备安装现场检查安装质量，并查阅承包人的安装记录和检测资料。</w:t>
      </w:r>
    </w:p>
    <w:p w14:paraId="61F20D1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（3）承包人在设备安装中需要调用备品备件，应经监理人审批和供货商代表签认。若备品备件不足，需要补充供货时，应由发包人责成供货商代表解决。</w:t>
      </w:r>
    </w:p>
    <w:p w14:paraId="2670F72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（4）定期向监理人提交现场工作报告。承包人可根据安装工作的需要，要求供货商代表补充提交相关的技术文件和资料。</w:t>
      </w:r>
    </w:p>
    <w:p w14:paraId="38AF4A8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3.1.7 机电设备的交付和接收</w:t>
      </w:r>
    </w:p>
    <w:p w14:paraId="066EC32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l）供货商产地机电设备的交付和接收。按合同约定，在供货商产地就地交付的产品及有关的技术文件等，应由发包人会同承包人，根据供货商的供货清单，与供货商共同清点无误后，就地办理交付和接收手续。承包人还应对上述设备、材料等的装卸、运输、保管直至运抵工地储存的全过程负责。</w:t>
      </w:r>
    </w:p>
    <w:p w14:paraId="4FA0457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（2）工地现场机电设备的交付和接收。按合同约定，在现场交付的产品及其技术文件，应由监理人会同供货商代表和承包人，根据供货商的供货清单，共同检查清点无误后，在现场办理交付和接收手续。</w:t>
      </w:r>
    </w:p>
    <w:p w14:paraId="2F17492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3.1.8 机电设备的现场运输和仓储管理</w:t>
      </w:r>
    </w:p>
    <w:p w14:paraId="5D7168D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（1）承包人在接收机电设备后，应对接收的产品及其技术文件的到货卸车、损伤签证、沿程保护，吊运入库、现场运输和仓储保管承担责任。</w:t>
      </w:r>
    </w:p>
    <w:p w14:paraId="7DC07C2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（2）对有保温（或恒温）、防潮和防锈蚀要求的设备、部件和特殊材料，承包人应按供货商技术文件要求，采取特殊保护措施。</w:t>
      </w:r>
    </w:p>
    <w:p w14:paraId="7613AA9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（3）对露天存放或在安装场地临时存放的设备和部件，应由承包人进行覆盖保护和采取存放场地的排水措施。</w:t>
      </w:r>
    </w:p>
    <w:p w14:paraId="592A546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3.1.9 机电设备安装场地和辅助设施</w:t>
      </w:r>
    </w:p>
    <w:p w14:paraId="37B4048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（1）承包人应按监理人批准的机电设备安装工艺措施报告的要求，统一布置机电设备安装专用场地与设备临时储存场所。</w:t>
      </w:r>
    </w:p>
    <w:p w14:paraId="16BEFFE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承包人应按监理人批准的机电设备安装进度计划，提出机电设备安装使用场内桥机、桅杆、门机、缆机、电梯等起重、运输设备，以及对混凝土浇筑、供电、供水、供风、试验、修配加工、照明、通信等辅助设施的使用计划提交监理人，由监理人组织协调解决土建施工与机电设备安装使用场地和辅助设施的矛盾。</w:t>
      </w:r>
    </w:p>
    <w:p w14:paraId="706A5AD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安装场地的温度不宜低于5℃，湿度不宜高于85%。主厂房安装场地内的发电机定子和转子组装工位范围内，承包人应采取有效的防潮、防尘、保温及防火等措施，以形成适应于发电机定子和转子组装技术要求的良好环境。</w:t>
      </w:r>
    </w:p>
    <w:p w14:paraId="1FB9E03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（4）机电设备部件的组装和总装配场地在安装全过程都必须保持清洁。安装完毕后，必须对机组各部位进行清扫和检查，不允许残留灰尘、油污、杂物等不洁物。</w:t>
      </w:r>
    </w:p>
    <w:p w14:paraId="375EB62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3.1.10 机电设备安装前开箱清点和检查</w:t>
      </w:r>
    </w:p>
    <w:p w14:paraId="17FF628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机电设备安装前，应由监理人会同承包人和供货商代表进行机电设备的开箱清点和检查，清点检查记录应由各方签认。到货设备（包括零部件、材料、安装工器具及随机技术文件等）应符合供货清单所列的型号、规格和数量，以及其它相关技术文件。</w:t>
      </w:r>
    </w:p>
    <w:p w14:paraId="65E4B2D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（2）安装前需要进行检测和试验的设备及部件，应由承包人会同监理人和供货商代表进行检测和试验，经检侧试验合格，才可进行安装。检侧和试验成果应提交监理人。</w:t>
      </w:r>
    </w:p>
    <w:p w14:paraId="20A1138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3.1.11 机电设备的缺陷处理</w:t>
      </w:r>
    </w:p>
    <w:p w14:paraId="06E80EA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安装过程中发现的设备缺陷，应由监理人会同承包人和供货商代表共同进行复查，经复查确认设备缺陷属于制造原因，应由供货商负责修复。凡能在现场修复的，应由供货商或委托承包人负责，修复费用由供货商承担。</w:t>
      </w:r>
    </w:p>
    <w:p w14:paraId="7B00998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（2）缺陷修复后，承包人应协助供货商代表编写“设备缺陷检查和修复报告”，经监理人、承包人和供货商代表共同签字后作为机电设备质量验收的附件。</w:t>
      </w:r>
    </w:p>
    <w:p w14:paraId="0740048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3.1.12 机电设备安装的检查、试验和验收</w:t>
      </w:r>
    </w:p>
    <w:p w14:paraId="039E624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承包人完成各单项机电设备安装后，经自检合格，应按批准格式做好记录提交监理人。由监理人会同承包人和供货商代表（或其它有关单位），按施工安装图纸、供货商技术文件和相关技术规范，进行检查、试验和验收。检查、试验和验收报告作为机组启动试运行前的验收资料。</w:t>
      </w:r>
    </w:p>
    <w:p w14:paraId="659D91BC">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15.3.2 一般技术要求</w:t>
      </w:r>
    </w:p>
    <w:p w14:paraId="79EA078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3.2.1 安装作业安全</w:t>
      </w:r>
    </w:p>
    <w:p w14:paraId="2609F8F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（l）承包人应在设备安装开始前，按SL 400的规定，编制一份“机电设备安装工程安全措施文件”，提交监理人批准。其内容包括：</w:t>
      </w:r>
    </w:p>
    <w:p w14:paraId="573D25C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1）机电设备安装作业安全规定；</w:t>
      </w:r>
    </w:p>
    <w:p w14:paraId="4C51AAB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2）机电设备运输和装卸作业安全措施；</w:t>
      </w:r>
    </w:p>
    <w:p w14:paraId="1F00BDA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3）重大设备部件吊装作业安全措施；</w:t>
      </w:r>
    </w:p>
    <w:p w14:paraId="54C691B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4）现场用电作业安全措施；</w:t>
      </w:r>
    </w:p>
    <w:p w14:paraId="352AA20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5）机修作业安全措施；</w:t>
      </w:r>
    </w:p>
    <w:p w14:paraId="000EF10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6）现场焊接作业安全措施；</w:t>
      </w:r>
    </w:p>
    <w:p w14:paraId="0B023A3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7）高空作业安全措施；</w:t>
      </w:r>
    </w:p>
    <w:p w14:paraId="188D0F3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8）涂装作业安全措施；</w:t>
      </w:r>
    </w:p>
    <w:p w14:paraId="316FE26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9）压缩空气作业安全措施；</w:t>
      </w:r>
    </w:p>
    <w:p w14:paraId="042CD94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10）油处理作业安全措施；</w:t>
      </w:r>
    </w:p>
    <w:p w14:paraId="16433F0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11）机动车驾驶安全规定；</w:t>
      </w:r>
    </w:p>
    <w:p w14:paraId="1CC1238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12）安全警示标志；</w:t>
      </w:r>
    </w:p>
    <w:p w14:paraId="384BAE0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13）安全防护用品使用规定；</w:t>
      </w:r>
    </w:p>
    <w:p w14:paraId="641BE03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14）防火、防爆、防汛及安全措施等．</w:t>
      </w:r>
    </w:p>
    <w:p w14:paraId="5EF8089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（2）承包人应编制“机电设备安装作业安全手册”提交监理人批准。作业安全手册应发给安装作业人员人手一册。全部安装人员应经过安全培训和考核，考核不合格者不准上岗。</w:t>
      </w:r>
    </w:p>
    <w:p w14:paraId="33129B0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3.2.2 计量器具、检测仪表和自动化元件</w:t>
      </w:r>
    </w:p>
    <w:p w14:paraId="5E6E9B1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（l）各种计量器具均应具有产品合格证，并应经具备校验资质证书的专业检测单位检验和标定。全部计量器具在有效期内的检测精度不低于被测对象要求的精度。</w:t>
      </w:r>
    </w:p>
    <w:p w14:paraId="10A4568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（2）承包人应对使用的计量器具和检测仪表进行校测复验，不合格的器具和仪表应及时更换。</w:t>
      </w:r>
    </w:p>
    <w:p w14:paraId="6B35362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（3）机组、电气设备的检测仪表和自动化元件，均应按供货商技术文件及GB 50131、GB/T 11805的规定进行检验合格后，才能安装使用。</w:t>
      </w:r>
    </w:p>
    <w:p w14:paraId="3E04FED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3.2.3 设备和零部件的现场制作</w:t>
      </w:r>
    </w:p>
    <w:p w14:paraId="00DB69C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按合同约定在现场制作的设备和零部件，应由承包人按施工安装图纸和（或）监理人批准的加工图进行制作，并在安装前，由监理人负责检查和验收。经监理人检验合格并签认后，才能投人使用。</w:t>
      </w:r>
    </w:p>
    <w:p w14:paraId="262CD35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3.2.4 焊接</w:t>
      </w:r>
    </w:p>
    <w:p w14:paraId="61DDDD1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（l）承包人的焊工应持有国家或行业颁发相应的合格证书。当供货合同中规定有特殊焊接要求时，承包人应对焊工进行专项培训与试焊考核，考核合格者才准上岗。</w:t>
      </w:r>
    </w:p>
    <w:p w14:paraId="1786B41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（2）承包人从事焊缝无损检测的人员应持有国家或行业颁发的专业合格证书，才能从事相应的焊缝检测工作。</w:t>
      </w:r>
    </w:p>
    <w:p w14:paraId="7A0135F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（3）重要设备和部件的焊接，承包人应按焊接工艺评定或供货商技术文件制订的焊接工艺进行。</w:t>
      </w:r>
    </w:p>
    <w:p w14:paraId="070599A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重要设备和部件的焊接焊缝，承包人应按供货商安装技术文件的规定进行外观检查和无损检测。焊缝质量经评定合格，并按规定的格式做好焊缝外观检查记录和无损检测报告提交监理人。经监理人、承包人和供货商代表签认后，作为设备安装验收资料。</w:t>
      </w:r>
    </w:p>
    <w:p w14:paraId="1AA6E19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3.2.5 安装偏差</w:t>
      </w:r>
    </w:p>
    <w:p w14:paraId="1421E0C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机电设备安装及其基础预埋件，以及电缆桥架和管道等支吊架的安装的偏差均应控制在施工安装图纸和供货商技术文件规定的允许范围内。</w:t>
      </w:r>
    </w:p>
    <w:p w14:paraId="2C39AF6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3.2.6 机电设备的安装试验</w:t>
      </w:r>
    </w:p>
    <w:p w14:paraId="1DFE3F9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所有机电设备均应按施工安装图纸、供货商技术文件的要求和相关规范的规定进行安装试验。其中主要机电设备的安装、调试、试验应在供货商代表的指导下进行。承包人在完成每项机电设备的安装试验后，应按批准的格式和内容编写项目安装试验报告提交监理人。</w:t>
      </w:r>
    </w:p>
    <w:p w14:paraId="4AF7BD9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3.2.7 耐压试验与渗漏试验</w:t>
      </w:r>
    </w:p>
    <w:p w14:paraId="29F38BA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（1）机组承压设备及连接件的耐压试验与渗漏试验，其试验要求应遵守GB/T 8564第12.5节的规定。</w:t>
      </w:r>
    </w:p>
    <w:p w14:paraId="26F27D6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（2）建筑给排水系统和消防系统的耐压试验与渗漏试验应遵守GB 50242的有关规定。</w:t>
      </w:r>
    </w:p>
    <w:p w14:paraId="574AE45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（3）试验结束后，承包人应将试验记录提交监理人。</w:t>
      </w:r>
    </w:p>
    <w:p w14:paraId="296D70C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3.2.8 涂装</w:t>
      </w:r>
    </w:p>
    <w:p w14:paraId="53C861C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（1）承包人接收机电设备时，应对设备表面涂装的保护层质量进行检查，若发现有损伤部位应由供货商负责处理。</w:t>
      </w:r>
    </w:p>
    <w:p w14:paraId="423C1EA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（2）需由承包人涂装的设备、管道和附件，其表层的除锈等级和涂装要求、应符合施工安装图纸和供货商技术文件的要求。</w:t>
      </w:r>
    </w:p>
    <w:p w14:paraId="1DBDED6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（3）各项设备和附件的涂装颜色应与其电站厂房和设备房间的建筑装饰相协调，并符合设备及附件的标识要求。</w:t>
      </w:r>
    </w:p>
    <w:p w14:paraId="613ABBA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3.2.9 运行标识</w:t>
      </w:r>
    </w:p>
    <w:p w14:paraId="7F8E2A8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全部机电设备安装完毕后，承包人应协助发包人完成全厂的运行标识工作，其主要内容包括：</w:t>
      </w:r>
    </w:p>
    <w:p w14:paraId="6EAF78E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（l）设备安全标识；</w:t>
      </w:r>
    </w:p>
    <w:p w14:paraId="26D5DEC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（2）设备操作指示；</w:t>
      </w:r>
    </w:p>
    <w:p w14:paraId="1FABA9C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（3）管路识别标示；</w:t>
      </w:r>
    </w:p>
    <w:p w14:paraId="0DE4D68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（4）管路介质流向标识；</w:t>
      </w:r>
    </w:p>
    <w:p w14:paraId="446A46C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（5）消防安全标识；</w:t>
      </w:r>
    </w:p>
    <w:p w14:paraId="44A0299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（6）人身安全警示；</w:t>
      </w:r>
    </w:p>
    <w:p w14:paraId="565761A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（7）通行安全指示；</w:t>
      </w:r>
    </w:p>
    <w:p w14:paraId="36B863A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（8）发包人要求提供的其它标识。</w:t>
      </w:r>
    </w:p>
    <w:p w14:paraId="019FEACA">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15.3.3 水轮发电机组及其附属设备安装</w:t>
      </w:r>
    </w:p>
    <w:p w14:paraId="3EEC87A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3.3.1 水轮机</w:t>
      </w:r>
    </w:p>
    <w:p w14:paraId="2E46CD10">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（l）埋入部件</w:t>
      </w:r>
    </w:p>
    <w:p w14:paraId="3D9BFDE5">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l）埋入部件安装应定位准确；基础板、拉紧器等固定件应加固牢靠；</w:t>
      </w:r>
    </w:p>
    <w:p w14:paraId="02657A84">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2）埋入部件与混凝土结合的外表面应无污染和严重锈蚀、埋入部件的过流面焊缝应磨光，过流表面的粗糙度，应遵守《水轮机、蓄能泵和水泵水轮机模型验收试验》 （GB/T15613）的规定，埋入部件与混凝土连接的过流表面应平滑过渡；</w:t>
      </w:r>
    </w:p>
    <w:p w14:paraId="304DA2EC">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3）埋入部件的安装程序、工艺要求和允许偏差，应遵守供货商技术文件和GB/T 8564《水轮发电机组安装技术规范》第5节的规定；</w:t>
      </w:r>
    </w:p>
    <w:p w14:paraId="618805A6">
      <w:pPr>
        <w:pStyle w:val="59"/>
        <w:spacing w:before="0" w:beforeAutospacing="0" w:after="0" w:afterAutospacing="0" w:line="50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（2）蜗壳安装</w:t>
      </w:r>
    </w:p>
    <w:p w14:paraId="71878C45">
      <w:pPr>
        <w:pStyle w:val="59"/>
        <w:spacing w:before="0" w:beforeAutospacing="0" w:after="0" w:afterAutospacing="0" w:line="460" w:lineRule="exact"/>
        <w:ind w:firstLine="420"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蜗壳安装应与原设备进水管完全匹配。</w:t>
      </w:r>
    </w:p>
    <w:p w14:paraId="70F977A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（3）转轮安装</w:t>
      </w:r>
    </w:p>
    <w:p w14:paraId="7B7672A4">
      <w:pPr>
        <w:spacing w:line="400" w:lineRule="exact"/>
        <w:ind w:firstLine="525" w:firstLineChars="25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转轮安装应遵守GB/T 8564《水轮发电机组安装技术规范》第5.2节的规定；</w:t>
      </w:r>
    </w:p>
    <w:p w14:paraId="2292249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（4）导水机构：安装</w:t>
      </w:r>
    </w:p>
    <w:p w14:paraId="4C1B1A3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1）导水机构的安装程序、工艺要求和允许偏差，应遵守GB/T8564《水轮发电机组安装技术规范》第5.3.1~5.3.3条的规定；</w:t>
      </w:r>
    </w:p>
    <w:p w14:paraId="10C4541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2）导叶接力器的严密性耐压试验、导叶及接力器安装调整，应遵守GB/T 8564《水轮发电机组安装技术规范》第5.5.1~5.5.4条的规定。装有导叶分段关闭装置的导叶接力器，其关闭规律应遵守供货商技术文件的规定。</w:t>
      </w:r>
    </w:p>
    <w:p w14:paraId="1F21D62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（5）转动部件：水轮机转动部件的就位安装，应遵守GB/T8564《水轮发电机组安装技术规范》第5.4节的规定。</w:t>
      </w:r>
    </w:p>
    <w:p w14:paraId="736108E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（6）水导推力轴承、主轴密封及其它附件：</w:t>
      </w:r>
    </w:p>
    <w:p w14:paraId="724783B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1）水轮机的水导轴承及其循环油冷却系统设备、主轴工作密封和检修密封、机坑内管路、管件以及自动化元件的安装程序和工艺要求，应遵守GB/T 8564《水轮发电机组安装技术规范》第5.6节的规定。</w:t>
      </w:r>
    </w:p>
    <w:p w14:paraId="46CB549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2）水轮机机坑内的通道盖板、支架及管道等附件的安装，应遵守GB/T 8564《水轮发电机组安装技术规范》第5.7节的规定。</w:t>
      </w:r>
    </w:p>
    <w:p w14:paraId="623F8CB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（5）水轮机的检查、试验和验收，应按GB/T 8564《水轮发电机组安装技术规范》3附录A.2、GB/T 11805《水轮发电机组自动化元件(装置)及其系统基本技术条件》等规范及本章第6.1.12条的规定进行。</w:t>
      </w:r>
    </w:p>
    <w:p w14:paraId="621D897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2.3.2 发电机</w:t>
      </w:r>
    </w:p>
    <w:p w14:paraId="2296A61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（1）发电机总装应遵守GB/T 8564《水轮发电机组安装技术规范》第9.5.1~9.5.15条的规定；</w:t>
      </w:r>
    </w:p>
    <w:p w14:paraId="292A61B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（2）定子安装方位应与发电机主引出线和中性点引出线方位相符合。定子安装应遵守GB/T8564《水轮发电机组安装技术规范》第9.5.3条规定；</w:t>
      </w:r>
    </w:p>
    <w:p w14:paraId="2BAD8F4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（3）转子中心和安装高程的偏差值，应遵守GB/T 8564《水轮发电机组安装技术规范》第9.5.4条的规定；</w:t>
      </w:r>
    </w:p>
    <w:p w14:paraId="549DC0C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（4）发电机主引出线和中性点引出线与相关设备应按施工安装图纸的要求进行连接，并应遵守GB 50149-2010《电气装置安装工程母线装置施工及验收规范》[的规定。</w:t>
      </w:r>
    </w:p>
    <w:p w14:paraId="71746CC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（5）发电机的检查、试验和验收，应按GB/T8564《水轮发电机组安装技术规范》附录A.2和第14章、GB 50150《电气装置安装工程电气设备交接试验标准》、GB 11805《水轮发电机组自动化元件(装置)及其系统基本技术条件》等规范及本章第6.1.12条的规定进行。</w:t>
      </w:r>
    </w:p>
    <w:p w14:paraId="372B943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3.3.3 调速器及其操作系统</w:t>
      </w:r>
    </w:p>
    <w:p w14:paraId="2AA3A53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（l）调速器及其操作系统设备应按施工安装图纸的要求进行安装，并应遵守GB/T 8564《水轮发电机组安装技术规范》第8章的规定。</w:t>
      </w:r>
    </w:p>
    <w:p w14:paraId="5EB42D8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（2）调速系统用油牌号和各项指标，应满足供货商技术文件的要求，并应遵守GB 11120《涡轮机油》的规定。</w:t>
      </w:r>
    </w:p>
    <w:p w14:paraId="3EA22B2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（3）调速器及其操作系统的检查、试验和验收，应按GB/T 8564《水轮发电机组安装技术规范》第8章、GB 50150《电气装置安装工程电气设备交接试验标准》、DL/T 496《水轮机电液调节系统及装置调整试验导则》、GB/T 9652.2《水轮机调速系统试验》等规范及本章第6.1.12条的规定进行。</w:t>
      </w:r>
    </w:p>
    <w:p w14:paraId="3483071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3.3.4 进水阀及其操作系统</w:t>
      </w:r>
    </w:p>
    <w:p w14:paraId="7C28C8C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（1）进水阀、旁通管路及其阀门、管件、承压元件等应按进水阀设计压力作严密性试验；空气阀止水面应作密封试验。上述试验记录应提交监理人。</w:t>
      </w:r>
    </w:p>
    <w:p w14:paraId="0DEAC99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（2）进水阀及其操作系统的检查、试验和验收，应按GB/T 8564《水轮发电机组安装技术规范》第13章和GB 50150《电气装置安装工程电气设备交接试验标准》等规范及本章第6.1.12条的规定进行。</w:t>
      </w:r>
    </w:p>
    <w:p w14:paraId="6614D4F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3.3.5励磁系统</w:t>
      </w:r>
    </w:p>
    <w:p w14:paraId="5893DF5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（1）励磁系统的安装，应遵守GB/T 5564、GB/T7409.3《同步电机励磁系统-大中型同步发电机励磁系统技术要求》的规定。</w:t>
      </w:r>
    </w:p>
    <w:p w14:paraId="1F58E8D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（2）励磁系统电缆敷设及盘内配线，应遵守GB 50168《电缆线路施工及验收规范》和GB 50171《电气装置安装工程盘、柜及二次回路结线施工及验收规范》的规定。</w:t>
      </w:r>
    </w:p>
    <w:p w14:paraId="12452AA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（3）励磁系统的检查、试验和验收，应按GB/T8564《水轮发电机组安装技术规范》附录A.2、GB/T 7409.3《同步电机励磁系统大、中型同步发电机励磁系统技术要求》、DL/T 489《大中型水轮发电机静止整流励磁系统及装置试验规程》、DL/T 583《大中型水轮发电机静止整流励磁系统及装置技术条件》、DL/T 1013《大中型水轮发电机微机励磁调节器试验和调整导则》、GB 50171《电气装置安装工程盘、柜及二次回路结线施工及验收规范》等规范及本章第6.1.12条的规定进行。</w:t>
      </w:r>
    </w:p>
    <w:p w14:paraId="1A191D43">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15.3.4 水力机械辅助设备系统安装</w:t>
      </w:r>
    </w:p>
    <w:p w14:paraId="4EF8D2A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水力机械辅助设备系统包括技术供水系统、排水系统、全厂压缩空气系统、透平油系统、电站水力监视测量系统等。</w:t>
      </w:r>
    </w:p>
    <w:p w14:paraId="654D9AD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（1）由承包人在现场配置的各种容器、管道和管件、设备基础等的制作安装应满足施工安装图纸要求，并遵守GB 50235《工业金属管道工程施工及验收规范》、GB 50236《现场设备、工业管道焊接工程施工及验收规范》、GB/T8564《水轮发电机组安装技术规范》第12章的规定。</w:t>
      </w:r>
    </w:p>
    <w:p w14:paraId="24B4BF2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（2）油、气系统及有特殊要求的水系统的钢管对口焊接，应采用氩弧焊封底，电弧焊盖面的焊接工艺；管道外径D≤50mm的对口焊接采用全氩弧焊。</w:t>
      </w:r>
    </w:p>
    <w:p w14:paraId="084F58E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（3）设备与电动机联轴器的径向位移、端面间隙、轴线倾斜等均应满足供货商技术文件的要求，并遵守GB 50275《压缩机、风机、泵安装工程施工及验收规范》、GB 50231《机械设备安装工程施工及验收通用规范》的规定。</w:t>
      </w:r>
    </w:p>
    <w:p w14:paraId="4DF46C4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（4）各项辅助设备电气装置的安装，应遵守GB 50254《电气装置安装工程低压电气施工及验收规范》的规定。</w:t>
      </w:r>
    </w:p>
    <w:p w14:paraId="038B979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（5）透平油的各项质量指标，应遵守GB 11120《涡轮机油》的规定。</w:t>
      </w:r>
    </w:p>
    <w:p w14:paraId="390B3E5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（6）油系统的滤油、验油和充油，应遵守GB 11120《涡轮机油》和GB 50150《电气装置安装工程电气设备交接试验标准》的规定。</w:t>
      </w:r>
    </w:p>
    <w:p w14:paraId="56E201C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（7）水力机械辅助设备系统安装完毕后，应按本章第2.1.12条的规定进行检查、试验和验收。各系统运行应正常，各项参数满足设计要求，设备无有害振动和不良噪声。</w:t>
      </w:r>
    </w:p>
    <w:p w14:paraId="2B3471C2">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15.3.5 发电机电压配电设备安装</w:t>
      </w:r>
    </w:p>
    <w:p w14:paraId="74D1B3E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3.5.1 发电机断路器及其附属设备</w:t>
      </w:r>
    </w:p>
    <w:p w14:paraId="210913D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（1）安装前应检查所有部位和附件应齐全，无损伤变形及锈蚀；绝缘部件应无裂缝、无剥落或破损，绝缘良好。基础及所有组件就位正确、安装牢固、接地可靠．</w:t>
      </w:r>
    </w:p>
    <w:p w14:paraId="09C3A26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（2）组件按规定编号顺序进行组装，并按供货商技术文件要求选用吊装器具、吊点以及吊装程序。</w:t>
      </w:r>
    </w:p>
    <w:p w14:paraId="00A8ECB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（3）与出线电力电缆连接时不应使电缆受到机械应力。</w:t>
      </w:r>
    </w:p>
    <w:p w14:paraId="479A02C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（4）导电接触面无氧化层，清洗干净。电气连接应可靠且接触良好，断路器及其操作机构的联动应正常。</w:t>
      </w:r>
    </w:p>
    <w:p w14:paraId="247A575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（5）调整后操作机构的联合动作的各项参数，应符合供货商技术文件的规定。</w:t>
      </w:r>
    </w:p>
    <w:p w14:paraId="3FCD135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（6）发电机断路器及其附属设备的检查，试验和验收，应按GB 50150《电气装置安装工程电气设备交接试验标准》、GB 50147-2010《电气装置安装工程高压电器施工及验收规范》、GB 50171《电气装置安装工程盘、柜及二次回路结线施工及验收规范》等规范及本章第6.1.12条的规定进行。</w:t>
      </w:r>
    </w:p>
    <w:p w14:paraId="4DBAD31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3.5.2 发电机主引出线及相关设备</w:t>
      </w:r>
    </w:p>
    <w:p w14:paraId="27F6E0F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（1）主引出线：</w:t>
      </w:r>
    </w:p>
    <w:p w14:paraId="73288F4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1）电缆支架的安装应固定牢固、无显著变形，全长应有良好接地。</w:t>
      </w:r>
    </w:p>
    <w:p w14:paraId="7C1F310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2）当采用机械敷设电缆时，应控制电缆承受的拉力、敷设速度不超过GB 50168《电气装置安装工程电缆线路施工及验收规范》第5.1节规定的限值。</w:t>
      </w:r>
    </w:p>
    <w:p w14:paraId="78826B9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3）在复杂条件下用机械敷设大截面电缆时，应编制施工措施，确定敷设方法、线盘架设位置、电缆牵引方向，校核牵引力和侧压力，配备敷设人员和机具。</w:t>
      </w:r>
    </w:p>
    <w:p w14:paraId="201981B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4）其它要求见高压电缆节。</w:t>
      </w:r>
    </w:p>
    <w:p w14:paraId="622483D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（2）励磁变压器、厂用变压器及各类组合柜：</w:t>
      </w:r>
    </w:p>
    <w:p w14:paraId="3470F31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1）变压器本体及所有附件应齐全，无锈蚀、无损坏，绝缘良好；</w:t>
      </w:r>
    </w:p>
    <w:p w14:paraId="032CA0B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2）基础埋件应正确；</w:t>
      </w:r>
    </w:p>
    <w:p w14:paraId="2098A8C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3）与母线的连接不应使母线及外壳受到机械应力。软连接部分不得有折损、表面凹陷及锈蚀；</w:t>
      </w:r>
    </w:p>
    <w:p w14:paraId="0BE1916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4）互感器的变比分接头位置和极性应正确；</w:t>
      </w:r>
    </w:p>
    <w:p w14:paraId="189D493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5）二次接线端子应连接牢固，绝缘良好，标志清晰。</w:t>
      </w:r>
    </w:p>
    <w:p w14:paraId="7B482D1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发电机主引出线及相关设备的检查、试验和验收，应按GB50147-2010《电气装置安装工程高压电器施工及验收规范》、GB50148-2016《电气装置安装工程电力变压器、油浸电抗器、互感器施工及验收规范》、GB50149-2010《电气装置安装工程母线装置施工及验收规范》、GB 50171《电气装置安装工程盘、柜及二次回路结线施工及验收规范》、GB 50169《电气装置安装工程接地装置施工及验收规范》、GB 50168《电气装置安装工程电缆线路施工及验收规范》、GB 1208《电流互感器》、GB 50150《电气装置安装工程电气设备交接试验标准》等规范及本章第6.1.12条的规定进行。</w:t>
      </w:r>
    </w:p>
    <w:p w14:paraId="4B80BF15">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15.3.6 电力变压器及其附属设备安装</w:t>
      </w:r>
    </w:p>
    <w:p w14:paraId="5D3B9D1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l）承包人应按GB50148-2016《电气装置安装工程电力变压器、油浸电抗器、互感器施工及验收规范》第2.4.1~2.4.5条要求，对变压器器身进行检查。检查完毕后，必须用合格的变压器油进行冲洗，并清洗油箱底部，不得有遗留杂物。</w:t>
      </w:r>
    </w:p>
    <w:p w14:paraId="72B030C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（2）变压器干燥条件，应遵守GB50148-2016《电气装置安装工程电力变压器、油浸电抗器、互感器施工及验收规范》第2.5节的要求。</w:t>
      </w:r>
    </w:p>
    <w:p w14:paraId="4FE0C62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（3）变压器的高压侧和电缆的连接、以及低压侧和电缆的连接，应按供货商技术文件对消除相互连接中心线偏差的要求，进行调整至合格为止。</w:t>
      </w:r>
    </w:p>
    <w:p w14:paraId="106307D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（4）变压器本体及附件的就位安装，应遵守GB50148-2016《电气装置安装工程电力变压器、油浸电抗器、互感器施工及验收规范》第2.6节的规定。</w:t>
      </w:r>
    </w:p>
    <w:p w14:paraId="10F31DA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（5）承包人应按GB50148-2016《电气装置安装工程电力变压器、油浸电抗器、互感器施工及验收规范》第2.8.1~2.8.4条的规定进行热油循环补油和静置。</w:t>
      </w:r>
    </w:p>
    <w:p w14:paraId="34CE35D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（6）变压器的整体密封试验，应遵守GB50148-2016《电气装置安装工程电力变压器、油浸电抗器、互感器施工及验收规范》第2.9.1条的规定。</w:t>
      </w:r>
    </w:p>
    <w:p w14:paraId="3E7FE47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（7）变压器中性点设备安装，应遵守GB50147-2010《电气装置安装工程高压电器施工及验收规范》的规定。</w:t>
      </w:r>
    </w:p>
    <w:p w14:paraId="2A279A5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（8）变压器轨道及埋件安装，应遵守本章第23.14.1条的规定。</w:t>
      </w:r>
    </w:p>
    <w:p w14:paraId="2061BD5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（9）变压器及其附属设备的检查、试验和验收，应按GB50147-2010《电气装置安装工程高压电器施工及验收规范》、GB50147-2010《电气装置安装工程电力变压器、油浸电抗器、互感器施工及验收规范》、GB 50150《电气装置安装工程电气设备交接试验标准》、GB 50169《接地装置施工及验收规范》、GB 50171《电气装置安装工程盘柜及二次回路结线施工及验收规范》等规范及本章第6.1.12条的规定进行。</w:t>
      </w:r>
    </w:p>
    <w:p w14:paraId="66EF8254">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15.3.7 开关站及其进（出）线设备安装</w:t>
      </w:r>
    </w:p>
    <w:p w14:paraId="5350D21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3.7.1金属铠装中置柜开关设备</w:t>
      </w:r>
    </w:p>
    <w:p w14:paraId="6E460A4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要求详见高低压开关柜小节。</w:t>
      </w:r>
    </w:p>
    <w:p w14:paraId="491445D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3.7.2高压电缆</w:t>
      </w:r>
    </w:p>
    <w:p w14:paraId="1176341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（1）电缆支架的安装应固定牢固、无显著变形，全长应有良好接地。</w:t>
      </w:r>
    </w:p>
    <w:p w14:paraId="2DA782E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（2）当采用机械敷设电缆时，应控制电缆承受的拉力、敷设速度不超过GB 50168《电气装置安装工程电缆线路施工及验收规范》第5.1节规定的限值。</w:t>
      </w:r>
    </w:p>
    <w:p w14:paraId="1EC22AD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（3）在复杂条件下用机械敷设大截面电缆时，应编制施工措施，确定敷设方法、线盘架设位置、电缆牵引方向，校核牵引力和侧压力，配备敷设人员和机具。</w:t>
      </w:r>
    </w:p>
    <w:p w14:paraId="4CEA473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（4）电缆终端安装，应遵守GB 50168《电气装置安装工程电缆线路施工及验收规范》第6.2节的要求，电缆终端、接头均不应有渗漏。</w:t>
      </w:r>
    </w:p>
    <w:p w14:paraId="2E87761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（5）高压电缆的检查、试验和验收，应按GB 50168《电气装置安装工程电缆线路施工及验收规范》、GB 50150《电气装置安装工程电气设备交接试验标准》等规范及本章第6.1.12条的规定进行。</w:t>
      </w:r>
    </w:p>
    <w:p w14:paraId="7D31755B">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15.3.8 厂用电系统安装</w:t>
      </w:r>
    </w:p>
    <w:p w14:paraId="421599D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3.8.1 厂用变压器</w:t>
      </w:r>
    </w:p>
    <w:p w14:paraId="521482F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厂用变压器的检查、试验和验收，应遵守GB50147-2010《电气装置安装工程电力变压器,油浸电抗器,互感器施工及验收规范》、GB 1094.11《电力变压器》、GB 50150《电气装置安装工程电气设备交接试验标准》、GB 50169《接地装置施工及验收规范》和GB 50171《电气装置安装工程盘、柜及二次回路结线施工及验收规范》等规范及本章第6.1.12条的规定进行。</w:t>
      </w:r>
    </w:p>
    <w:p w14:paraId="538E1A4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3.8.2 高、低压开关柜、</w:t>
      </w:r>
    </w:p>
    <w:p w14:paraId="7F45BD1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（1）屏、柜及端子箱基础应按施工安装图纸要求与接地网可靠连接。</w:t>
      </w:r>
    </w:p>
    <w:p w14:paraId="7E55493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（2）高、低压开关柜的检查、试验和验收，应按GB50147-2010《电气装置安装工程高压电器施工及验收规范》、GB50149-2010《电气装置安装工程母线装置施工及验收规范》、GB 50150《电气装置安装工程电气设备交接试验标准》、GB 50169《接地装置施工及验收规范》和GB 50171《电气装置安装工程盘、柜及二次回路结线施工及验收规范》等规范及本章第6.1.12条的规定进行。</w:t>
      </w:r>
    </w:p>
    <w:p w14:paraId="50083F07">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15.3.9 照明系统安装</w:t>
      </w:r>
    </w:p>
    <w:p w14:paraId="0EA06D8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（1）照明管路的埋设应按施工安装图纸要求埋设。</w:t>
      </w:r>
    </w:p>
    <w:p w14:paraId="1948B95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（2）配线前，应进行各回路的绝缘检查，绝缘电阻值应符合现行国家标准的有关规定。电线、电缆的回路标记清晰，接地可靠。</w:t>
      </w:r>
    </w:p>
    <w:p w14:paraId="1533C54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（3）照明系统的检查、试验和验收，应按施工安装图纸、供货商技术文件和GB 50303《建筑电气工程质量验收规范》、GB 50259《电气装置安装工程电气照明装置施工及验收规范》等规范及本章第6.1.12条的规定进行。</w:t>
      </w:r>
    </w:p>
    <w:p w14:paraId="3EAE4928">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15.3.10 接地系统安装</w:t>
      </w:r>
    </w:p>
    <w:p w14:paraId="7B5DA1C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（1）承包人应负责接地体、接地连接件的制作和接地装置的敷设。</w:t>
      </w:r>
    </w:p>
    <w:p w14:paraId="0CF6F97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（2）接地装置的埋设部分隐蔽前，承包人会同监理人共同检查埋设质量，做好中间检查。发现质量不合格的，承包人应进行修复。</w:t>
      </w:r>
    </w:p>
    <w:p w14:paraId="131377D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（3）承包人应按施工安装图纸要求，进行电气设备、构架、基础和辅助装置的工作接地、保护接地和防雷接地，以及所有明敷接地线及接地引线的敷设和连接。</w:t>
      </w:r>
    </w:p>
    <w:p w14:paraId="026D7D7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（4）已完工的接地系统应进行初步测试，如测试值不能满足施工安装图纸要求时，应由监理人会同承包人及有关方面采取措施解决，并提交“接地系统初步测试报告”。</w:t>
      </w:r>
    </w:p>
    <w:p w14:paraId="791CE30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（5）全厂接地系统完工后，承包人应会同监理人及有关部门，对全厂接地系统的接地电阻、接触电位差、跨步电位差以及接地网的连通等进行全面检查、测试和验收，并提交“全厂接地系统测试报告”。</w:t>
      </w:r>
    </w:p>
    <w:p w14:paraId="6ADC88B0">
      <w:pPr>
        <w:spacing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kern w:val="0"/>
          <w:szCs w:val="21"/>
        </w:rPr>
        <w:t>（6）接地系统的检查、试验和验收，应按GB/T 17949.1《接地电阻测量导则》、DL/T 475《接地装置特性参数测量导则》、GB 50169《电气装置安装工程接地装置施工及验收规范》等规范及本章第6.1.12条的规定进行。</w:t>
      </w:r>
    </w:p>
    <w:p w14:paraId="1024C0B2">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15.3.11 控制保护系统安装</w:t>
      </w:r>
    </w:p>
    <w:p w14:paraId="107ACC5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3.11.1 计算机监控系统</w:t>
      </w:r>
    </w:p>
    <w:p w14:paraId="516CEBB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计算机监控系统应在供货商代表指导下，由承包人负责安装。工作内容包括主计算机及服务器、运行人员操作台和操作员工作站、模拟屏、网络和通信设备、音响报警和语音自动告警系统设备、工程师/培训站、GPS（卫星同步时钟系统）设备、现地控制单元屏柜、电源柜等。</w:t>
      </w:r>
    </w:p>
    <w:p w14:paraId="1A6A435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（2）承包人应在供货商代表的指导下进行计算机监控系统的外部输入/输出回路正确性的验证试验，以及系统的调试、调整和测试等现场试验。现场试验应遵守GB 50150《电气装置安装工程电气设备交接试验标准》、DL/T 822《水电厂计算机监控系统试验验收规程》的规定。</w:t>
      </w:r>
    </w:p>
    <w:p w14:paraId="251E0E2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（3）计算机监控系统的安装，应遵守GB 50171《电气装置安装工程盘、柜及二次回路结线施工及验收规范》、GB 50168《电缆线路施工及验收规范》、DL/T 5065《水力发电厂计算机监控系统设计规范》、DL/T 578《水电厂计算机监控系统基本技术条件》的规定和电站运行要求。</w:t>
      </w:r>
    </w:p>
    <w:p w14:paraId="01DEC0C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3.11.2 继电保护和安全自动装置</w:t>
      </w:r>
    </w:p>
    <w:p w14:paraId="6713456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（1）承包人应负责全厂继电保护和自动装置屏（柜）的安装、电缆和光缆的敷设、光纤熔接、屏测电缆接线和相关设备的二次回路接线等工作。</w:t>
      </w:r>
    </w:p>
    <w:p w14:paraId="52943BD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承包人应在供货商代表的指导下，进行继电保护和安全自动装置输入/输出回路正确性验证试验，绝缘电阻试验、二次回路耐压试验、电流电压互感器伏安特性试验和极性检查，其工作内容包括进行装置测试和调整、定制设定、模拟试验、电流电压试验、单机调试和联调、性能试验等。</w:t>
      </w:r>
    </w:p>
    <w:p w14:paraId="012053A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（3）继电保护设备和安全自动装置的安装和试验，应遵守GB 50171《电气装置安装工程盘、柜及二次回路结线施工及验收规范》、GB 50168《电缆线路施工及验收规范》、DL/T 478《静态继电保护及安全自动装置通用技术条件》、DL/T 619《水电厂自动化元件及其系统运行》、DL/T 623《电力系统继电保护及安全自动装置运行评价规程》、DL/T 624《继电保护微机型试验装置技术条件》和DL/T 720《电力系统继电保护柜、屏通用技术条件》的规定。</w:t>
      </w:r>
    </w:p>
    <w:p w14:paraId="3DE7325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3.11.3 直流系统设备</w:t>
      </w:r>
    </w:p>
    <w:p w14:paraId="0560E0E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（1）直流系统设备的安装工作内容包括蓄电池组、充电柜、直流配电屏（柜）的安装及直流配电系统的电缆敷设和接线工作。</w:t>
      </w:r>
    </w:p>
    <w:p w14:paraId="7375C95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（2）承包人应在供货商代表的指导下，进行直流电源设备的外部输入/输出接线正确性验证试验、耐压及绝缘试验等。</w:t>
      </w:r>
    </w:p>
    <w:p w14:paraId="5F054A6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承包人在供货商代表的指导下，进行系统的调试和现场试验，试验项目包括绝缘监察及信号报警试验、蓄电池组容量试验、充电装置稳流精度测量、充电装置稳压精度测量、充电装置纹波系数测量、直流母线连续供电试验、微机控制自动转换程序试验等。</w:t>
      </w:r>
    </w:p>
    <w:p w14:paraId="120F53E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（4）直流系统设备的安装和试验，应遵守GB 50171《电气装置安装工程盘、柜及二次回路结线施工及验收规范》、GB 50168《电缆线路施工及验收规范》、GB 50172《电气装置安装工程盘、柜及二次回路结线施工及验收规范》、GB 50150《电气装置安装工程电气设备交接试验标准》和DL/T 724《电力系统用蓄电池直流电源装置运行与维护技术规程》的规定。</w:t>
      </w:r>
    </w:p>
    <w:p w14:paraId="410277F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3.11.4 工业电视系统</w:t>
      </w:r>
    </w:p>
    <w:p w14:paraId="7A51CBB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（1）工业电视系统的安装包括电视系统装备安装、电缆和光缆的敷设、电缆接线、光纤熔接等工作。</w:t>
      </w:r>
    </w:p>
    <w:p w14:paraId="0160445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（2）承包人应配合供货商代表进行工业电视系统的现场试验，其工作内容包括摄像机单体调试、系统调试、联动控制功能试验、网络功能试验等。</w:t>
      </w:r>
    </w:p>
    <w:p w14:paraId="10A2437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（3）工业电视系统的安装，应遵守GB 50198《民用闭路监视电视系统工程技术规范》 和GBJ 115《工业电视系统工程设计规范》 的规定。</w:t>
      </w:r>
    </w:p>
    <w:p w14:paraId="0E07AC5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3.11.5 其它二次回路设备</w:t>
      </w:r>
    </w:p>
    <w:p w14:paraId="4FF8F03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（1）其它二次回路设备的安装包括机组附属设备、机械辅助设备和其它设备的控制柜、控制箱、测量柜、计量柜、端子箱等。</w:t>
      </w:r>
    </w:p>
    <w:p w14:paraId="34E4BB6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其它二次回路设备的现场试验应包括输人／输出正确性验证试验、电源试验、绝缘电阻试验、二次回路耐压试验、电流电压互感器伏安特性试验和极性检查、模拟量零漂和精度检查、连续通电试验等的试验项目。</w:t>
      </w:r>
    </w:p>
    <w:p w14:paraId="643A785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（3）其它二次回路设备的安装、试验应遵守GB 50171《电气装置安装工程盘、柜及二次回路结线施工及验收规范》、GB 50168《电气装置安装工程电缆线路施工及验收规范》和GB 50150《电气装置安装工程电气设备交接试验标准》等规范的规定。</w:t>
      </w:r>
    </w:p>
    <w:p w14:paraId="7436082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3.11.6 控制保护系统的联调和验收</w:t>
      </w:r>
    </w:p>
    <w:p w14:paraId="5E2E3CA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控制保护系统各单元工程的现场试验、系统联调和验收，应按GB 50171《电气装置安装工程盘、柜及二次回路结线施工及验收规范》、GB 50172《电气装置安装工程蓄电池施工及验收规范》、GB 50168《电气装置安装工程电缆线路施工及验收规范》、DL/T 822《水电厂计算机监控系统试验验收规程》、DL/T 724《电力系统用蓄电池直流电源装置运行与维护技术规程》等规范及本章第6.1.12条的规定进行。</w:t>
      </w:r>
    </w:p>
    <w:p w14:paraId="56C905CA">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15.3.12 通信系统安装</w:t>
      </w:r>
    </w:p>
    <w:p w14:paraId="429A3EA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（1）通信系统设备的安装，还应满足电力系统和（或）电信系统的接入系统要求。</w:t>
      </w:r>
    </w:p>
    <w:p w14:paraId="49FE6FF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（2）承包人应在供货商代表指导下，进行通信设备的安装工作。其工作内容包括通信设备机柜、电源柜、配线柜（箱）、电话分线盒、插座和电话机、维护管理工作站等。</w:t>
      </w:r>
    </w:p>
    <w:p w14:paraId="742C06A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（3）承包人应配合供货商代表进行通信系统的调试和测试，包括与电力系统、电信公网的联合调试工作。其调试和测试项目包括设备通电试验、系统性能测试、系统功能检查等。</w:t>
      </w:r>
    </w:p>
    <w:p w14:paraId="69D6DE1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（4）通信系统各单元工程的现场试验、系统联调和验收，应按DL/T5344《电力光纤通信工程验收规范》、YD 5079《通信电源设备安装工程验收规范》、YD/T 5017《国内卫星通信地球站设备安装工程验收规范》、YD 5077《程控电话交换设备安装工程验收规范》、YD 5044《同步数字系列（sdh）光缆传输设备安装工程验收暂行规定》、GB 50172《电气装置安装工程蓄电池施工及验收规范》、GB 50171《电气装置安装工程盘、柜及二次回路结线施工及验收规范》、GB 50374《通信管道工程施工及验收规范》、GB 50168《电气装置安装工程电缆线路施工及验收规范》 和GB 50169《电气装置安装工程接地装置施工及验收规范》 等规范及本章第6.1.12条的规定进行。</w:t>
      </w:r>
    </w:p>
    <w:p w14:paraId="33490843">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15.3.13 电缆线路安装</w:t>
      </w:r>
    </w:p>
    <w:p w14:paraId="163E547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（1）电缆线路安装前，承包人应编制电缆统计清册和敷设路径图，提交监理人。</w:t>
      </w:r>
    </w:p>
    <w:p w14:paraId="0AAD35F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（2）电缆管及桥架、支架应安装牢固、整齐，接地良好。</w:t>
      </w:r>
    </w:p>
    <w:p w14:paraId="75DE0614">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（3）电缆的配线和敷设，以及电缆终端与接头制作，应遵守GB 50168第5章和第6.2节的规定。当采用机械敷设电缆时，应控制电缆承受的拉力、敷设速度不超过供货商技术文件和GB 50168《电气装置安装工程电缆线路施工及验收规范》第5.1节的规定。</w:t>
      </w:r>
    </w:p>
    <w:p w14:paraId="216C6B3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（4）直埋电缆在直线段每隔50—100m处及电缆接头、转弯、进入建筑物等处，均应设置明显的方位标志或标桩。</w:t>
      </w:r>
    </w:p>
    <w:p w14:paraId="6F1B53E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（5）屏蔽电缆和铠装电缆的屏蔽层，应按施工安装图纸要求的接地方式可靠接地。</w:t>
      </w:r>
    </w:p>
    <w:p w14:paraId="2AF46F8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（6）布放光缆及光钎熔接应按光钎供货商规定的工艺方法、采用专用设备进行熔接。</w:t>
      </w:r>
    </w:p>
    <w:p w14:paraId="50FD047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（7）电缆线路的检查、试验和验收，应按GB 50168《电气装置安装工程电缆线路施工及验收规范》、GB 50169《电气装置安装工程接地装置施工及验收规范》等规范及本章第6.1.12条的规定进行。</w:t>
      </w:r>
    </w:p>
    <w:p w14:paraId="56E6F256">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15.3.14 消防系统安装</w:t>
      </w:r>
    </w:p>
    <w:p w14:paraId="6DA1B57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3.14.1 消防给水系统</w:t>
      </w:r>
    </w:p>
    <w:p w14:paraId="3109532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（1）承包人应在供货商代表的指导下，进行消防设备及其附件的安装和调试。安装调试人员应具有相应等级的资质证书。</w:t>
      </w:r>
    </w:p>
    <w:p w14:paraId="26C90AC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（2）消防设备均应经国家质量监督检验中心认证，并由当地消防部门认可的合格产品。</w:t>
      </w:r>
    </w:p>
    <w:p w14:paraId="194B4A0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（3）消防产品应进行外观检测及电气试验。对有消防电气控制要求设备应逐台通电试验。</w:t>
      </w:r>
    </w:p>
    <w:p w14:paraId="42BA92D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（4）承包人应负责消防给水系统的调试，调试方案应经监理人批准。室内消火栓应进行试射试验。</w:t>
      </w:r>
    </w:p>
    <w:p w14:paraId="549DF22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3.14.2 电缆防火封堵</w:t>
      </w:r>
    </w:p>
    <w:p w14:paraId="39CC2B4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（l）电缆防火封堵，应遵守GB 50168《电气装置安装工程电缆线路施工及验收规范》第7节的有关规定。防火封堵材料应遵守现行行业标准GA 161的规定。</w:t>
      </w:r>
    </w:p>
    <w:p w14:paraId="721FC5D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（2）电缆防火封堵墙安装完毕后，承包人应会同监理人、供货商代表和当地消防部门代表，共同进行电缆防火封堵的验收。并由承包人编写安装验收报告，提交监理人。</w:t>
      </w:r>
    </w:p>
    <w:p w14:paraId="4B1F4F3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3.14.3 消防系统的联合检查和试验验收</w:t>
      </w:r>
    </w:p>
    <w:p w14:paraId="6BB6C45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（1）消防系统的各单元系统全部安装和调试完成后，承包人应在当地消防部门的指导下，会同监理人和供货商代表，共同进行联合检查和验收。</w:t>
      </w:r>
    </w:p>
    <w:p w14:paraId="5B85BAC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（2）联合检查的试验项目包括火灾自动报警系统与消防给水系统的模拟联动试验等。</w:t>
      </w:r>
    </w:p>
    <w:p w14:paraId="0B34A9E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（3）承包人应负责编制消防系统安装验收报告，提交监理人，并经有关各方签字后，作为消防系统安装的完工验收资料。</w:t>
      </w:r>
    </w:p>
    <w:p w14:paraId="752E7C6F">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15.3.15 输水管线阀门安装</w:t>
      </w:r>
    </w:p>
    <w:p w14:paraId="7022B5A1">
      <w:pPr>
        <w:spacing w:line="400" w:lineRule="exact"/>
        <w:ind w:firstLine="420"/>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（1）管道阀门及管件安装前，应进行下列准备工作：</w:t>
      </w:r>
    </w:p>
    <w:p w14:paraId="1B556036">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1）检查、测量阀门及管件的规格型号及有关尺寸，应符合设计和其产品安装使用说明书的要求。</w:t>
      </w:r>
    </w:p>
    <w:p w14:paraId="6FFB9D61">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2）测量阀门及管件安装位置的有关尺寸，应符合设计要求。</w:t>
      </w:r>
    </w:p>
    <w:p w14:paraId="11711040">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3）检查阀门及管件，应无损伤、内部洁净无杂物。</w:t>
      </w:r>
    </w:p>
    <w:p w14:paraId="01A62614">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4）应进行严密性耐压试验，在最大静水压下保持30min，其密封的渗漏水量不应超过设计允许值。</w:t>
      </w:r>
    </w:p>
    <w:p w14:paraId="0C255044">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5）应按水流流向确定阀门的安装方向。</w:t>
      </w:r>
    </w:p>
    <w:p w14:paraId="605DF9CF">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2）阀门安装位置应符合设计要求。沿水流方向的阀门、管件安装中心线，应根据钢管的实际中心确定；横向中心线与设计中心线的偏差，不应大于15mm；阀门法兰面与管道轴线垂直度偏差不应大于1mm/m，阀门与管道同轴度偏差不应大于3mm。</w:t>
      </w:r>
    </w:p>
    <w:p w14:paraId="59781D87">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（3）管道与阀门之间应连接自然，不得使用强力对接或承受外加重力负荷。法兰连接螺栓紧固力应均匀。阀门安装后，其法兰密封面应无渗漏水现象。</w:t>
      </w:r>
    </w:p>
    <w:p w14:paraId="1112300F">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（4）有防水锤和自身稳定性要求的阀门在安装时，应符合下列要求：</w:t>
      </w:r>
    </w:p>
    <w:p w14:paraId="72D61AC5">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1）需设置混凝土支墩的，其外形尺寸和浇筑应符合设计要求。</w:t>
      </w:r>
    </w:p>
    <w:p w14:paraId="4FEC1F19">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2）混凝土支墩上的阀体应采用槽钢及斜（平）垫铁垫实，地脚螺栓和垫铁埋设应按基础埋件要求进行。</w:t>
      </w:r>
    </w:p>
    <w:p w14:paraId="2738B785">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（5）蝶阀安装应符合下列规定：</w:t>
      </w:r>
    </w:p>
    <w:p w14:paraId="5F2FFFD2">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1）蝶阀与其他阀门、管件连接的管子，伸出混凝土墙面的长度，宜控制在300～500mm。</w:t>
      </w:r>
    </w:p>
    <w:p w14:paraId="151D9450">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2）为便于检修时将蝶阀向伸缩方向移动，其基础螺栓和螺孔间应有足够的调节裕量，其值不应小于法兰之间橡胶垫圈的厚度。</w:t>
      </w:r>
    </w:p>
    <w:p w14:paraId="770D6D0E">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（6）球阀安装应符合下列规定：</w:t>
      </w:r>
    </w:p>
    <w:p w14:paraId="7CA082E0">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1）需要在现场分解、清扫和组装的球阀，组装后应符合下列要求：</w:t>
      </w:r>
    </w:p>
    <w:p w14:paraId="671916BE">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2）轴承间隙应符合设计要求。</w:t>
      </w:r>
    </w:p>
    <w:p w14:paraId="0BF5188A">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3）各组合缝间隙应符合SL317-2015要求。</w:t>
      </w:r>
    </w:p>
    <w:p w14:paraId="2A8D0D77">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4）工作密封及检修密封的止水面接触应严密，用0.005mm塞尺检查应不能通过，否则应进行研磨处理。</w:t>
      </w:r>
    </w:p>
    <w:p w14:paraId="5991FA22">
      <w:pPr>
        <w:spacing w:line="400" w:lineRule="exact"/>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 xml:space="preserve">      5）密封盖行程及配合尺寸应符合设计要求，其实际行程不宜小于设计值的80%，动作应灵活。</w:t>
      </w:r>
    </w:p>
    <w:p w14:paraId="7001A852">
      <w:pPr>
        <w:spacing w:line="400" w:lineRule="exact"/>
        <w:ind w:firstLine="99" w:firstLineChars="50"/>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（7）球阀的阀板转动应灵活，与固定部件之间的间隙不宜小于2mm。密封盖与密封圈之间的最大间隙应小于密封盖的实际行程。</w:t>
      </w:r>
    </w:p>
    <w:p w14:paraId="3741238C">
      <w:pPr>
        <w:spacing w:line="400" w:lineRule="exact"/>
        <w:ind w:firstLine="99" w:firstLineChars="50"/>
        <w:rPr>
          <w:rFonts w:hint="eastAsia" w:asciiTheme="minorEastAsia" w:hAnsiTheme="minorEastAsia" w:eastAsiaTheme="minorEastAsia" w:cstheme="minorEastAsia"/>
          <w:color w:val="auto"/>
          <w:spacing w:val="-6"/>
          <w:szCs w:val="21"/>
        </w:rPr>
      </w:pPr>
      <w:r>
        <w:rPr>
          <w:rFonts w:hint="eastAsia" w:asciiTheme="minorEastAsia" w:hAnsiTheme="minorEastAsia" w:eastAsiaTheme="minorEastAsia" w:cstheme="minorEastAsia"/>
          <w:color w:val="auto"/>
          <w:spacing w:val="-6"/>
          <w:szCs w:val="21"/>
        </w:rPr>
        <w:t>（8）旁通阀安装的垂直偏差不宜大于2mm/m。安装后连同旁通管一起，应按要求做严密性耐压试验。</w:t>
      </w:r>
    </w:p>
    <w:p w14:paraId="7DFE696F">
      <w:pPr>
        <w:spacing w:line="400" w:lineRule="exact"/>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pacing w:val="-6"/>
          <w:szCs w:val="21"/>
        </w:rPr>
        <w:t>（9）空气阀的安装除了符合设计要求，还应符合下列规定：空气阀的止水面应按(SL317-2015)《泵站设备安装及验收规范》中的2.1.7条的要求做煤油渗漏试验。安装后应动作正确。当钢管内无水时，空气阀应在全开位置，充水关闭后不应漏水。</w:t>
      </w:r>
    </w:p>
    <w:p w14:paraId="17BBD72C">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15.3.16 机组启动试运行</w:t>
      </w:r>
    </w:p>
    <w:p w14:paraId="647CE2F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3.16.1 承包人的启动试运行职责</w:t>
      </w:r>
    </w:p>
    <w:p w14:paraId="059D556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（1）参加机组启动验收委员会及试运行工作组的工作。负责编写机组启动试验和试运行大纲等有关技术文件，并实施机组启动试验、试运行和检修工作。</w:t>
      </w:r>
    </w:p>
    <w:p w14:paraId="0BE54A9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（2）参加由试运行工作组组织的机组启动前的检查验收工作，并负责做好检查验收记录。</w:t>
      </w:r>
    </w:p>
    <w:p w14:paraId="17516D6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（3）负责或配合供货商代表、按供货商提供的机组调试程序、DL/T 507《水轮发电机组启动试验规程》、GB/T 8564《水轮发电机组安装技术规范》、SL 223《水利水电建设工程验收规程》以及经机组启动验收委员会批准的机组启动试验大纲和计划安排，进行机组启动试验和试运行工作。</w:t>
      </w:r>
    </w:p>
    <w:p w14:paraId="2CE8434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（4）编写机组启动试验简报。</w:t>
      </w:r>
    </w:p>
    <w:p w14:paraId="3280E83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（5）编写机组启动试验报告和试运行工作报告，提交机组启动验收委员会批准。</w:t>
      </w:r>
    </w:p>
    <w:p w14:paraId="761FEC15">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3.16.2 机组启动试运行前的检查</w:t>
      </w:r>
    </w:p>
    <w:p w14:paraId="220AB27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（1）机组启动试运行前，经试运行工作组检查机组已具备启动验收条件，确认引水、尾水系统及机组设备均已完成了规定的各项试验、验收工作，证明已能满足试运行需要。</w:t>
      </w:r>
    </w:p>
    <w:p w14:paraId="175805A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（2）试运行的各项安全措施均已按试运行试验文件的要求落实到位。</w:t>
      </w:r>
    </w:p>
    <w:p w14:paraId="769445D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color w:val="auto"/>
          <w:szCs w:val="21"/>
        </w:rPr>
        <w:t>15.</w:t>
      </w:r>
      <w:r>
        <w:rPr>
          <w:rFonts w:hint="eastAsia" w:asciiTheme="minorEastAsia" w:hAnsiTheme="minorEastAsia" w:eastAsiaTheme="minorEastAsia" w:cstheme="minorEastAsia"/>
          <w:snapToGrid w:val="0"/>
          <w:color w:val="auto"/>
          <w:kern w:val="0"/>
          <w:szCs w:val="21"/>
        </w:rPr>
        <w:t>3.16.3 机组启动试运行</w:t>
      </w:r>
    </w:p>
    <w:p w14:paraId="10EA844E">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（l）遵照本章第3.16.1条的规定，进行机组启动试验和试运行工作：</w:t>
      </w:r>
    </w:p>
    <w:p w14:paraId="0117DD0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1）检查机组充水试验和空载试运行；</w:t>
      </w:r>
    </w:p>
    <w:p w14:paraId="4456A538">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2）检查机组带主变压器与高压配电装置试验和并列及负荷试验；</w:t>
      </w:r>
    </w:p>
    <w:p w14:paraId="36CDB9B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3）机组带负荷连续运行，以及连续运行结束后消缺处理情况；</w:t>
      </w:r>
    </w:p>
    <w:p w14:paraId="45840BF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4）进行机组带负荷连续运行，其运行要求应遵守SL 223《水利水电建设工程验收规程》第6.5.5条的规定。</w:t>
      </w:r>
    </w:p>
    <w:p w14:paraId="33DB83A0">
      <w:pPr>
        <w:spacing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kern w:val="0"/>
          <w:szCs w:val="21"/>
        </w:rPr>
        <w:t>（2）上述机组启动试运行工作全部完成后，应由承包人编写机组带负荷连续运行情况报告，提交机组机组启动验收委员会。</w:t>
      </w:r>
    </w:p>
    <w:p w14:paraId="1BCC8252">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15.3.17 完工验收</w:t>
      </w:r>
    </w:p>
    <w:p w14:paraId="082D186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机电设备安装全部完成后，承包人应向监理人申请机电设备安装工程的完工验收，并提交以下完工资料：</w:t>
      </w:r>
    </w:p>
    <w:p w14:paraId="62889CA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（1）机电设备安装项目清单及相关技术文件。</w:t>
      </w:r>
    </w:p>
    <w:p w14:paraId="207C8E80">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（2）安装竣工图及相关竣工资料。</w:t>
      </w:r>
    </w:p>
    <w:p w14:paraId="2559A5DA">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（3）安装用材料和外购件的产品质量证明书和使用说明书。</w:t>
      </w:r>
    </w:p>
    <w:p w14:paraId="58ACE9DC">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（4）重要组件焊接工艺报告。</w:t>
      </w:r>
    </w:p>
    <w:p w14:paraId="38732822">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（5）各项机电设备和单元工程安装的检查、试验和验收记录。</w:t>
      </w:r>
    </w:p>
    <w:p w14:paraId="7F1DCD3B">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（6）机电设备缺陷、修复及检验记录。</w:t>
      </w:r>
    </w:p>
    <w:p w14:paraId="2657CC6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（7）机组启动试验和试运行报告。</w:t>
      </w:r>
    </w:p>
    <w:p w14:paraId="756D9A4F">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（8）质量事故处理报告。</w:t>
      </w:r>
    </w:p>
    <w:p w14:paraId="3FA6B336">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（9）机组及其相关机电设备的交接清册（包括备品、备件及专用工器具等）。</w:t>
      </w:r>
    </w:p>
    <w:p w14:paraId="5515670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（10）列入保修期继续施工的尾工项目清单。</w:t>
      </w:r>
    </w:p>
    <w:p w14:paraId="477E492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（11）监理人要求提交的其它完工资料。</w:t>
      </w:r>
    </w:p>
    <w:p w14:paraId="6FDA1F13">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15.3.18 计量和支付</w:t>
      </w:r>
    </w:p>
    <w:p w14:paraId="2CB05161">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（1）本章第2.3~2.14节各项设备的安装，按施工图纸所示设备数量以相应的单位计量，按《工程量清单》相应项目的工程单价或总价支付。</w:t>
      </w:r>
    </w:p>
    <w:p w14:paraId="238E9C9D">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（2）上款所述《工程量清单》的总价项目，由承包人按批准的安装进度计划对总价项目进行分解，分解结果经发包人批准后作为合同支付的依据。</w:t>
      </w:r>
    </w:p>
    <w:p w14:paraId="440CB709">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（3）由承包人按合同要求采购的装置性材料及其安装，包含在《工程量清单》相应机电设备安装项目的工程单价或总价中，发包人不另行支付。</w:t>
      </w:r>
    </w:p>
    <w:p w14:paraId="0EDB7297">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承包人为本合同机电设备安装工作所进行的开箱检查、验收、清扫、仓储保管、安装现场运输、主体设备及随机成套供应的管路与附件安装、涂装、现场试验、调试、试运行和移交生产前的维护保养等工作所需的费用，包含在《工程量清单》相应机电设备安装项目的工程单价或总价中，发包人不另行支付。</w:t>
      </w:r>
    </w:p>
    <w:p w14:paraId="27B6B593">
      <w:pPr>
        <w:spacing w:line="400" w:lineRule="exact"/>
        <w:ind w:firstLine="420" w:firstLineChars="200"/>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除本合同专项列入《工程量清单》的临时工程和措施项目外，承包人为完成机电设备安装而修建的其它临时工程和采取的其它措施所需的费用，包含在《工程量清单》相应机电设备安装项目的工程单价或总价中，发包人不另行支付。</w:t>
      </w:r>
    </w:p>
    <w:p w14:paraId="56D743FC">
      <w:pPr>
        <w:rPr>
          <w:rFonts w:hint="eastAsia" w:asciiTheme="minorEastAsia" w:hAnsiTheme="minorEastAsia" w:eastAsiaTheme="minorEastAsia" w:cstheme="minorEastAsia"/>
          <w:color w:val="auto"/>
          <w:szCs w:val="21"/>
        </w:rPr>
      </w:pPr>
    </w:p>
    <w:p w14:paraId="7F1AE2A4">
      <w:pPr>
        <w:pStyle w:val="60"/>
        <w:numPr>
          <w:ilvl w:val="0"/>
          <w:numId w:val="11"/>
        </w:numPr>
        <w:rPr>
          <w:rFonts w:hint="eastAsia" w:asciiTheme="minorEastAsia" w:hAnsiTheme="minorEastAsia" w:eastAsiaTheme="minorEastAsia" w:cstheme="minorEastAsia"/>
          <w:color w:val="auto"/>
          <w:sz w:val="21"/>
          <w:szCs w:val="21"/>
        </w:rPr>
        <w:sectPr>
          <w:pgSz w:w="11906" w:h="16838"/>
          <w:pgMar w:top="1440" w:right="1800" w:bottom="1440" w:left="1800" w:header="851" w:footer="992" w:gutter="0"/>
          <w:cols w:space="425" w:num="1"/>
          <w:docGrid w:type="lines" w:linePitch="326" w:charSpace="0"/>
        </w:sectPr>
      </w:pPr>
    </w:p>
    <w:p w14:paraId="6CFF0B0C">
      <w:pPr>
        <w:outlineLvl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第16章 附图</w:t>
      </w:r>
    </w:p>
    <w:p w14:paraId="19CE7AF9">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说  明</w:t>
      </w:r>
    </w:p>
    <w:p w14:paraId="270F9A14">
      <w:pPr>
        <w:autoSpaceDE w:val="0"/>
        <w:autoSpaceDN w:val="0"/>
        <w:ind w:firstLine="42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本标段提供的全部附图仅供投标人在编制投标文件时使用,  不得在施工实施时作为施工详图使用, 否则, 由此而造成的一切后果均由承包人自负。</w:t>
      </w:r>
    </w:p>
    <w:p w14:paraId="29E4B792">
      <w:pPr>
        <w:pStyle w:val="794"/>
        <w:autoSpaceDE w:val="0"/>
        <w:autoSpaceDN w:val="0"/>
        <w:adjustRightInd w:val="0"/>
        <w:ind w:left="660" w:firstLine="0" w:firstLineChars="0"/>
        <w:textAlignment w:val="baseline"/>
        <w:rPr>
          <w:rFonts w:hint="eastAsia" w:asciiTheme="minorEastAsia" w:hAnsiTheme="minorEastAsia" w:eastAsiaTheme="minorEastAsia" w:cstheme="minorEastAsia"/>
          <w:snapToGrid w:val="0"/>
          <w:color w:val="auto"/>
          <w:kern w:val="0"/>
          <w:sz w:val="21"/>
          <w:szCs w:val="21"/>
        </w:rPr>
      </w:pPr>
    </w:p>
    <w:p w14:paraId="464D4D84">
      <w:pPr>
        <w:pStyle w:val="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附  图</w:t>
      </w:r>
    </w:p>
    <w:p w14:paraId="5F257B5D">
      <w:pPr>
        <w:pStyle w:val="794"/>
        <w:autoSpaceDE w:val="0"/>
        <w:autoSpaceDN w:val="0"/>
        <w:adjustRightInd w:val="0"/>
        <w:ind w:left="660" w:firstLine="0" w:firstLineChars="0"/>
        <w:textAlignment w:val="baseline"/>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 xml:space="preserve">本招标文件附有下列图纸:  </w:t>
      </w:r>
    </w:p>
    <w:p w14:paraId="74D786E4">
      <w:pPr>
        <w:autoSpaceDE w:val="0"/>
        <w:autoSpaceDN w:val="0"/>
        <w:jc w:val="center"/>
        <w:textAlignment w:val="baseline"/>
        <w:rPr>
          <w:rFonts w:hint="eastAsia" w:asciiTheme="minorEastAsia" w:hAnsiTheme="minorEastAsia" w:eastAsiaTheme="minorEastAsia" w:cstheme="minorEastAsia"/>
          <w:b/>
          <w:snapToGrid w:val="0"/>
          <w:color w:val="auto"/>
          <w:kern w:val="0"/>
          <w:szCs w:val="21"/>
          <w:u w:val="double"/>
        </w:rPr>
      </w:pPr>
      <w:r>
        <w:rPr>
          <w:rFonts w:hint="eastAsia" w:asciiTheme="minorEastAsia" w:hAnsiTheme="minorEastAsia" w:eastAsiaTheme="minorEastAsia" w:cstheme="minorEastAsia"/>
          <w:b/>
          <w:snapToGrid w:val="0"/>
          <w:color w:val="auto"/>
          <w:kern w:val="0"/>
          <w:szCs w:val="21"/>
          <w:u w:val="double"/>
        </w:rPr>
        <w:t>附  图  目  录</w:t>
      </w:r>
    </w:p>
    <w:tbl>
      <w:tblPr>
        <w:tblStyle w:val="65"/>
        <w:tblW w:w="81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3"/>
        <w:gridCol w:w="4709"/>
        <w:gridCol w:w="1952"/>
      </w:tblGrid>
      <w:tr w14:paraId="31853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60" w:hRule="atLeast"/>
          <w:jc w:val="center"/>
        </w:trPr>
        <w:tc>
          <w:tcPr>
            <w:tcW w:w="1443" w:type="dxa"/>
            <w:vAlign w:val="center"/>
          </w:tcPr>
          <w:p w14:paraId="12884CFD">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序 号</w:t>
            </w:r>
          </w:p>
        </w:tc>
        <w:tc>
          <w:tcPr>
            <w:tcW w:w="4709" w:type="dxa"/>
            <w:vAlign w:val="center"/>
          </w:tcPr>
          <w:p w14:paraId="1BD1AF92">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图          名</w:t>
            </w:r>
          </w:p>
        </w:tc>
        <w:tc>
          <w:tcPr>
            <w:tcW w:w="1952" w:type="dxa"/>
            <w:vAlign w:val="center"/>
          </w:tcPr>
          <w:p w14:paraId="4ADD614C">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备   注</w:t>
            </w:r>
          </w:p>
        </w:tc>
      </w:tr>
      <w:tr w14:paraId="4229C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0" w:hRule="atLeast"/>
          <w:jc w:val="center"/>
        </w:trPr>
        <w:tc>
          <w:tcPr>
            <w:tcW w:w="1443" w:type="dxa"/>
            <w:vAlign w:val="center"/>
          </w:tcPr>
          <w:p w14:paraId="40C232D4">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附图1</w:t>
            </w:r>
          </w:p>
        </w:tc>
        <w:tc>
          <w:tcPr>
            <w:tcW w:w="4709" w:type="dxa"/>
            <w:vAlign w:val="center"/>
          </w:tcPr>
          <w:p w14:paraId="21F4BA54">
            <w:pPr>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发电厂 厂房平面图</w:t>
            </w:r>
          </w:p>
        </w:tc>
        <w:tc>
          <w:tcPr>
            <w:tcW w:w="1952" w:type="dxa"/>
            <w:vAlign w:val="center"/>
          </w:tcPr>
          <w:p w14:paraId="7A00FD0E">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仅供招标时使用</w:t>
            </w:r>
          </w:p>
        </w:tc>
      </w:tr>
      <w:tr w14:paraId="09513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0" w:hRule="atLeast"/>
          <w:jc w:val="center"/>
        </w:trPr>
        <w:tc>
          <w:tcPr>
            <w:tcW w:w="1443" w:type="dxa"/>
            <w:vAlign w:val="center"/>
          </w:tcPr>
          <w:p w14:paraId="36CCDA6F">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附图2</w:t>
            </w:r>
          </w:p>
        </w:tc>
        <w:tc>
          <w:tcPr>
            <w:tcW w:w="4709" w:type="dxa"/>
            <w:vAlign w:val="center"/>
          </w:tcPr>
          <w:p w14:paraId="64D91F7F">
            <w:pPr>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发电厂 横剖面图</w:t>
            </w:r>
          </w:p>
        </w:tc>
        <w:tc>
          <w:tcPr>
            <w:tcW w:w="1952" w:type="dxa"/>
            <w:vAlign w:val="center"/>
          </w:tcPr>
          <w:p w14:paraId="4DBFBE5A">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仅供招标时使用</w:t>
            </w:r>
          </w:p>
        </w:tc>
      </w:tr>
      <w:tr w14:paraId="76155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0" w:hRule="atLeast"/>
          <w:jc w:val="center"/>
        </w:trPr>
        <w:tc>
          <w:tcPr>
            <w:tcW w:w="1443" w:type="dxa"/>
            <w:vAlign w:val="center"/>
          </w:tcPr>
          <w:p w14:paraId="2A2F47B7">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附图3</w:t>
            </w:r>
          </w:p>
        </w:tc>
        <w:tc>
          <w:tcPr>
            <w:tcW w:w="4709" w:type="dxa"/>
            <w:vAlign w:val="center"/>
          </w:tcPr>
          <w:p w14:paraId="2400D2A1">
            <w:pPr>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发电厂 纵剖面图</w:t>
            </w:r>
          </w:p>
        </w:tc>
        <w:tc>
          <w:tcPr>
            <w:tcW w:w="1952" w:type="dxa"/>
            <w:vAlign w:val="center"/>
          </w:tcPr>
          <w:p w14:paraId="0B254AD7">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仅供招标时使用</w:t>
            </w:r>
          </w:p>
        </w:tc>
      </w:tr>
      <w:tr w14:paraId="6BFFE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0" w:hRule="atLeast"/>
          <w:jc w:val="center"/>
        </w:trPr>
        <w:tc>
          <w:tcPr>
            <w:tcW w:w="1443" w:type="dxa"/>
            <w:vAlign w:val="center"/>
          </w:tcPr>
          <w:p w14:paraId="6470446E">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附图4</w:t>
            </w:r>
          </w:p>
        </w:tc>
        <w:tc>
          <w:tcPr>
            <w:tcW w:w="4709" w:type="dxa"/>
            <w:vAlign w:val="center"/>
          </w:tcPr>
          <w:p w14:paraId="668D67D5">
            <w:pPr>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发电厂 电气主接线图</w:t>
            </w:r>
          </w:p>
        </w:tc>
        <w:tc>
          <w:tcPr>
            <w:tcW w:w="1952" w:type="dxa"/>
            <w:vAlign w:val="center"/>
          </w:tcPr>
          <w:p w14:paraId="47E5C460">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仅供招标时使用</w:t>
            </w:r>
          </w:p>
        </w:tc>
      </w:tr>
      <w:tr w14:paraId="70A36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0" w:hRule="atLeast"/>
          <w:jc w:val="center"/>
        </w:trPr>
        <w:tc>
          <w:tcPr>
            <w:tcW w:w="1443" w:type="dxa"/>
            <w:vAlign w:val="center"/>
          </w:tcPr>
          <w:p w14:paraId="304B6122">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附图5</w:t>
            </w:r>
          </w:p>
        </w:tc>
        <w:tc>
          <w:tcPr>
            <w:tcW w:w="4709" w:type="dxa"/>
            <w:vAlign w:val="center"/>
          </w:tcPr>
          <w:p w14:paraId="08A232BA">
            <w:pPr>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发电厂 10kV开关柜一次订货图</w:t>
            </w:r>
          </w:p>
        </w:tc>
        <w:tc>
          <w:tcPr>
            <w:tcW w:w="1952" w:type="dxa"/>
            <w:vAlign w:val="center"/>
          </w:tcPr>
          <w:p w14:paraId="3C32420B">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仅供招标时使用</w:t>
            </w:r>
          </w:p>
        </w:tc>
      </w:tr>
      <w:tr w14:paraId="005B2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0" w:hRule="atLeast"/>
          <w:jc w:val="center"/>
        </w:trPr>
        <w:tc>
          <w:tcPr>
            <w:tcW w:w="1443" w:type="dxa"/>
            <w:vAlign w:val="center"/>
          </w:tcPr>
          <w:p w14:paraId="43217D99">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附图6</w:t>
            </w:r>
          </w:p>
        </w:tc>
        <w:tc>
          <w:tcPr>
            <w:tcW w:w="4709" w:type="dxa"/>
            <w:vAlign w:val="center"/>
          </w:tcPr>
          <w:p w14:paraId="45E20972">
            <w:pPr>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发电厂 厂用电接线图</w:t>
            </w:r>
          </w:p>
        </w:tc>
        <w:tc>
          <w:tcPr>
            <w:tcW w:w="1952" w:type="dxa"/>
            <w:vAlign w:val="center"/>
          </w:tcPr>
          <w:p w14:paraId="058D8B5A">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仅供招标时使用</w:t>
            </w:r>
          </w:p>
        </w:tc>
      </w:tr>
      <w:tr w14:paraId="7E250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0" w:hRule="atLeast"/>
          <w:jc w:val="center"/>
        </w:trPr>
        <w:tc>
          <w:tcPr>
            <w:tcW w:w="1443" w:type="dxa"/>
            <w:vAlign w:val="center"/>
          </w:tcPr>
          <w:p w14:paraId="1147AA7D">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附图7</w:t>
            </w:r>
          </w:p>
        </w:tc>
        <w:tc>
          <w:tcPr>
            <w:tcW w:w="4709" w:type="dxa"/>
            <w:vAlign w:val="center"/>
          </w:tcPr>
          <w:p w14:paraId="73D7AB4E">
            <w:pPr>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发电厂 厂用低压配电柜订货图</w:t>
            </w:r>
          </w:p>
        </w:tc>
        <w:tc>
          <w:tcPr>
            <w:tcW w:w="1952" w:type="dxa"/>
            <w:vAlign w:val="center"/>
          </w:tcPr>
          <w:p w14:paraId="18B1FA18">
            <w:pPr>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仅供招标时使用</w:t>
            </w:r>
          </w:p>
        </w:tc>
      </w:tr>
      <w:tr w14:paraId="2DDFB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0" w:hRule="atLeast"/>
          <w:jc w:val="center"/>
        </w:trPr>
        <w:tc>
          <w:tcPr>
            <w:tcW w:w="1443" w:type="dxa"/>
            <w:vAlign w:val="center"/>
          </w:tcPr>
          <w:p w14:paraId="6F388029">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附图8</w:t>
            </w:r>
          </w:p>
        </w:tc>
        <w:tc>
          <w:tcPr>
            <w:tcW w:w="4709" w:type="dxa"/>
            <w:vAlign w:val="center"/>
          </w:tcPr>
          <w:p w14:paraId="39D487BA">
            <w:pPr>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发电厂 现地动力配电箱接线图</w:t>
            </w:r>
          </w:p>
        </w:tc>
        <w:tc>
          <w:tcPr>
            <w:tcW w:w="1952" w:type="dxa"/>
            <w:vAlign w:val="center"/>
          </w:tcPr>
          <w:p w14:paraId="4B3FE36E">
            <w:pPr>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仅供招标时使用</w:t>
            </w:r>
          </w:p>
        </w:tc>
      </w:tr>
      <w:tr w14:paraId="08FE2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0" w:hRule="atLeast"/>
          <w:jc w:val="center"/>
        </w:trPr>
        <w:tc>
          <w:tcPr>
            <w:tcW w:w="1443" w:type="dxa"/>
            <w:vAlign w:val="center"/>
          </w:tcPr>
          <w:p w14:paraId="418E8DF6">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附图9</w:t>
            </w:r>
          </w:p>
        </w:tc>
        <w:tc>
          <w:tcPr>
            <w:tcW w:w="4709" w:type="dxa"/>
            <w:vAlign w:val="center"/>
          </w:tcPr>
          <w:p w14:paraId="76837925">
            <w:pPr>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发电厂 稳压器柜和电源屏接线图</w:t>
            </w:r>
          </w:p>
        </w:tc>
        <w:tc>
          <w:tcPr>
            <w:tcW w:w="1952" w:type="dxa"/>
            <w:vAlign w:val="center"/>
          </w:tcPr>
          <w:p w14:paraId="378930B0">
            <w:pPr>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仅供招标时使用</w:t>
            </w:r>
          </w:p>
        </w:tc>
      </w:tr>
      <w:tr w14:paraId="42541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0" w:hRule="atLeast"/>
          <w:jc w:val="center"/>
        </w:trPr>
        <w:tc>
          <w:tcPr>
            <w:tcW w:w="1443" w:type="dxa"/>
            <w:vAlign w:val="center"/>
          </w:tcPr>
          <w:p w14:paraId="4282F1EE">
            <w:pPr>
              <w:autoSpaceDE w:val="0"/>
              <w:autoSpaceDN w:val="0"/>
              <w:jc w:val="center"/>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附图10</w:t>
            </w:r>
          </w:p>
        </w:tc>
        <w:tc>
          <w:tcPr>
            <w:tcW w:w="4709" w:type="dxa"/>
            <w:vAlign w:val="center"/>
          </w:tcPr>
          <w:p w14:paraId="4D41CA0D">
            <w:pPr>
              <w:autoSpaceDE w:val="0"/>
              <w:autoSpaceDN w:val="0"/>
              <w:textAlignment w:val="baseline"/>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发电厂 监控系统结构图</w:t>
            </w:r>
          </w:p>
        </w:tc>
        <w:tc>
          <w:tcPr>
            <w:tcW w:w="1952" w:type="dxa"/>
            <w:vAlign w:val="center"/>
          </w:tcPr>
          <w:p w14:paraId="4212AFBE">
            <w:pPr>
              <w:jc w:val="center"/>
              <w:rPr>
                <w:rFonts w:hint="eastAsia"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仅供招标时使用</w:t>
            </w:r>
          </w:p>
        </w:tc>
      </w:tr>
    </w:tbl>
    <w:p w14:paraId="2DD7137D">
      <w:pPr>
        <w:pStyle w:val="2"/>
        <w:numPr>
          <w:ilvl w:val="0"/>
          <w:numId w:val="0"/>
        </w:numPr>
        <w:rPr>
          <w:rFonts w:hint="eastAsia" w:asciiTheme="minorEastAsia" w:hAnsiTheme="minorEastAsia" w:eastAsiaTheme="minorEastAsia" w:cstheme="minorEastAsia"/>
          <w:color w:val="auto"/>
          <w:sz w:val="21"/>
          <w:szCs w:val="21"/>
        </w:rPr>
      </w:pPr>
    </w:p>
    <w:p w14:paraId="63AE1F52">
      <w:pPr>
        <w:pStyle w:val="2"/>
        <w:numPr>
          <w:ilvl w:val="0"/>
          <w:numId w:val="0"/>
        </w:num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四、商务要求</w:t>
      </w:r>
    </w:p>
    <w:p w14:paraId="33AFDD7E">
      <w:pPr>
        <w:rPr>
          <w:rFonts w:hint="eastAsia" w:asciiTheme="minorEastAsia" w:hAnsiTheme="minorEastAsia" w:eastAsiaTheme="minorEastAsia" w:cstheme="minorEastAsia"/>
          <w:color w:val="auto"/>
          <w:sz w:val="24"/>
        </w:rPr>
      </w:pPr>
    </w:p>
    <w:p w14:paraId="07CB4AAC">
      <w:pPr>
        <w:numPr>
          <w:ilvl w:val="0"/>
          <w:numId w:val="12"/>
        </w:numPr>
        <w:autoSpaceDE w:val="0"/>
        <w:autoSpaceDN w:val="0"/>
        <w:snapToGrid w:val="0"/>
        <w:spacing w:line="440" w:lineRule="exact"/>
        <w:ind w:right="-178" w:rightChars="-85"/>
        <w:textAlignment w:val="bottom"/>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24"/>
        </w:rPr>
        <w:t>采购设备的总体要求</w:t>
      </w:r>
    </w:p>
    <w:p w14:paraId="633696C8">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1、必须符合招标文件(包括补充更正，如有)的技术要求和配置；必须是国内相应制造厂商生产并提供的原装合格产品；必须是2025年1月1日以后生产的、符合国家质量技术标准的设备。</w:t>
      </w:r>
    </w:p>
    <w:p w14:paraId="384A12C4">
      <w:pPr>
        <w:autoSpaceDE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2、售后服务按国家市场监督管理总局和国家其他有关规定执行，国家没有规定的按厂商规定执行。国家规定标准低于厂商标准的按厂商标准执行。</w:t>
      </w:r>
    </w:p>
    <w:p w14:paraId="05B19B7C">
      <w:pPr>
        <w:numPr>
          <w:ilvl w:val="0"/>
          <w:numId w:val="12"/>
        </w:numPr>
        <w:autoSpaceDE w:val="0"/>
        <w:autoSpaceDN w:val="0"/>
        <w:snapToGrid w:val="0"/>
        <w:spacing w:line="440" w:lineRule="exact"/>
        <w:ind w:right="-178" w:rightChars="-85"/>
        <w:textAlignment w:val="bottom"/>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 xml:space="preserve"> 付款方式</w:t>
      </w:r>
    </w:p>
    <w:p w14:paraId="7F3154D2">
      <w:pPr>
        <w:spacing w:line="360" w:lineRule="auto"/>
        <w:ind w:firstLine="460" w:firstLineChars="192"/>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1.采购单位根据合同、投标文件等资料进行验收。</w:t>
      </w:r>
    </w:p>
    <w:p w14:paraId="56EB9755">
      <w:pPr>
        <w:spacing w:line="360" w:lineRule="auto"/>
        <w:ind w:firstLine="460" w:firstLineChars="192"/>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2.本采购项目分期支付。</w:t>
      </w:r>
    </w:p>
    <w:p w14:paraId="1BF10A20">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1）合同签订后支付合同总价30%的预付款。</w:t>
      </w:r>
    </w:p>
    <w:p w14:paraId="26585E4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2）设备分批次到现场经采购单位验收合格后，采购单位向中标供应商支付至该批次设备合同价的50%。</w:t>
      </w:r>
    </w:p>
    <w:p w14:paraId="3681FEC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3）所有设备安装调试后支付至合同总价80%；</w:t>
      </w:r>
    </w:p>
    <w:p w14:paraId="2C9AD9A5">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4）通过采购单位组织的验收，待结算审核后，采购单位向中标供应商支付至审定金额的98.5%。</w:t>
      </w:r>
    </w:p>
    <w:p w14:paraId="69D15985">
      <w:pPr>
        <w:pStyle w:val="63"/>
        <w:spacing w:line="360" w:lineRule="auto"/>
        <w:ind w:left="0" w:leftChars="0"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结算时，中标供应商将结款申请1份、发票原件（开具当期应付金额）及复印件1份、采购清单1分、合同复印件1份和采购单位验收确认的《验收反馈表》（验收通过后需提供验收报告）提交采购单位，由采购单位向中标供应商支付结算项目款。</w:t>
      </w:r>
    </w:p>
    <w:p w14:paraId="1E8EA0E5">
      <w:pPr>
        <w:pStyle w:val="63"/>
        <w:spacing w:line="360" w:lineRule="auto"/>
        <w:ind w:left="0" w:leftChars="0"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5）中标总价的1.5%作为质量保修金，待中标供应商投标文件中响应的质保年限期满后清算（不计利息），并扣除维修费用等（若发生）。</w:t>
      </w:r>
    </w:p>
    <w:p w14:paraId="748631D9">
      <w:pPr>
        <w:spacing w:line="48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3.中标供应商应按照采购内容提供增值税专用发票，若遇国家政策变化，税率应按国家政策作相应调整。</w:t>
      </w:r>
      <w:r>
        <w:rPr>
          <w:rFonts w:hint="eastAsia" w:asciiTheme="minorEastAsia" w:hAnsiTheme="minorEastAsia" w:eastAsiaTheme="minorEastAsia" w:cstheme="minorEastAsia"/>
          <w:b/>
          <w:bCs/>
          <w:color w:val="auto"/>
          <w:sz w:val="24"/>
        </w:rPr>
        <w:t xml:space="preserve">     </w:t>
      </w:r>
    </w:p>
    <w:p w14:paraId="6CB6FE6F">
      <w:pPr>
        <w:numPr>
          <w:ilvl w:val="0"/>
          <w:numId w:val="12"/>
        </w:numPr>
        <w:autoSpaceDE w:val="0"/>
        <w:autoSpaceDN w:val="0"/>
        <w:snapToGrid w:val="0"/>
        <w:spacing w:line="440" w:lineRule="exact"/>
        <w:ind w:right="-178" w:rightChars="-85"/>
        <w:textAlignment w:val="bottom"/>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 xml:space="preserve"> 售后服务</w:t>
      </w:r>
    </w:p>
    <w:p w14:paraId="305559A2">
      <w:pPr>
        <w:numPr>
          <w:ilvl w:val="0"/>
          <w:numId w:val="13"/>
        </w:numPr>
        <w:autoSpaceDE w:val="0"/>
        <w:snapToGrid w:val="0"/>
        <w:spacing w:line="440" w:lineRule="exact"/>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所有设备原厂质量保修期≥1年（招标规格参数内有注明的以招标规格参数要求为准）。保质期内因不能排除的故障而影响工作的情况每发生一次，其质保期相应延长60天，质保期内因货物本身缺陷造成各种故障应由中标供应商免费技术服务和维修。合同标的质量保修期自标的验收合格并签字盖章后开始计算。</w:t>
      </w:r>
    </w:p>
    <w:p w14:paraId="2C40EC8C">
      <w:pPr>
        <w:numPr>
          <w:ilvl w:val="0"/>
          <w:numId w:val="13"/>
        </w:numPr>
        <w:autoSpaceDE w:val="0"/>
        <w:snapToGrid w:val="0"/>
        <w:spacing w:line="440" w:lineRule="exact"/>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在设备及软件（或系统）整个使用期内，乙方应确保正常使用，在接到甲方维修要求后在</w:t>
      </w:r>
      <w:r>
        <w:rPr>
          <w:rFonts w:hint="eastAsia" w:asciiTheme="minorEastAsia" w:hAnsiTheme="minorEastAsia" w:eastAsiaTheme="minorEastAsia" w:cstheme="minorEastAsia"/>
          <w:color w:val="auto"/>
          <w:sz w:val="24"/>
          <w:u w:val="single"/>
        </w:rPr>
        <w:t xml:space="preserve"> 1 </w:t>
      </w:r>
      <w:r>
        <w:rPr>
          <w:rFonts w:hint="eastAsia" w:asciiTheme="minorEastAsia" w:hAnsiTheme="minorEastAsia" w:eastAsiaTheme="minorEastAsia" w:cstheme="minorEastAsia"/>
          <w:color w:val="auto"/>
          <w:sz w:val="24"/>
        </w:rPr>
        <w:t>小时内响应并提出解决方案，</w:t>
      </w:r>
      <w:r>
        <w:rPr>
          <w:rFonts w:hint="eastAsia" w:asciiTheme="minorEastAsia" w:hAnsiTheme="minorEastAsia" w:eastAsiaTheme="minorEastAsia" w:cstheme="minorEastAsia"/>
          <w:color w:val="auto"/>
          <w:sz w:val="24"/>
          <w:u w:val="single"/>
        </w:rPr>
        <w:t xml:space="preserve"> 4  </w:t>
      </w:r>
      <w:r>
        <w:rPr>
          <w:rFonts w:hint="eastAsia" w:asciiTheme="minorEastAsia" w:hAnsiTheme="minorEastAsia" w:eastAsiaTheme="minorEastAsia" w:cstheme="minorEastAsia"/>
          <w:color w:val="auto"/>
          <w:sz w:val="24"/>
        </w:rPr>
        <w:t>小时内到达现场对故障进行处理，维修过程中所需材料乙方在接到通知后应及时提供，最长不超过</w:t>
      </w:r>
      <w:r>
        <w:rPr>
          <w:rFonts w:hint="eastAsia" w:asciiTheme="minorEastAsia" w:hAnsiTheme="minorEastAsia" w:eastAsiaTheme="minorEastAsia" w:cstheme="minorEastAsia"/>
          <w:color w:val="auto"/>
          <w:sz w:val="24"/>
          <w:u w:val="single"/>
        </w:rPr>
        <w:t xml:space="preserve"> 24  </w:t>
      </w:r>
      <w:r>
        <w:rPr>
          <w:rFonts w:hint="eastAsia" w:asciiTheme="minorEastAsia" w:hAnsiTheme="minorEastAsia" w:eastAsiaTheme="minorEastAsia" w:cstheme="minorEastAsia"/>
          <w:color w:val="auto"/>
          <w:sz w:val="24"/>
        </w:rPr>
        <w:t>小时必须送达甲方。若</w:t>
      </w:r>
      <w:r>
        <w:rPr>
          <w:rFonts w:hint="eastAsia" w:asciiTheme="minorEastAsia" w:hAnsiTheme="minorEastAsia" w:eastAsiaTheme="minorEastAsia" w:cstheme="minorEastAsia"/>
          <w:color w:val="auto"/>
          <w:sz w:val="24"/>
          <w:u w:val="single"/>
        </w:rPr>
        <w:t xml:space="preserve">24  </w:t>
      </w:r>
      <w:r>
        <w:rPr>
          <w:rFonts w:hint="eastAsia" w:asciiTheme="minorEastAsia" w:hAnsiTheme="minorEastAsia" w:eastAsiaTheme="minorEastAsia" w:cstheme="minorEastAsia"/>
          <w:color w:val="auto"/>
          <w:sz w:val="24"/>
        </w:rPr>
        <w:t>小时内无法修复的，应及时提供相应备用设备并负责安装调试，为此，乙方应提供相应承诺书。</w:t>
      </w:r>
    </w:p>
    <w:p w14:paraId="072AAF87">
      <w:pPr>
        <w:autoSpaceDE w:val="0"/>
        <w:spacing w:line="480" w:lineRule="exact"/>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3.在质保期内，中标供应商应负责对其提供的设备进行现场维修、损坏件更换，不收取额外费用，响应时间必须满足采购人工作正常运行的要求。</w:t>
      </w:r>
    </w:p>
    <w:p w14:paraId="0506F21F">
      <w:pPr>
        <w:autoSpaceDE w:val="0"/>
        <w:spacing w:line="480" w:lineRule="exact"/>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4.供应商在投标文件中须说明保修期内提供的服务计划。</w:t>
      </w:r>
    </w:p>
    <w:p w14:paraId="7683AB7B">
      <w:pPr>
        <w:numPr>
          <w:ilvl w:val="0"/>
          <w:numId w:val="12"/>
        </w:numPr>
        <w:autoSpaceDE w:val="0"/>
        <w:autoSpaceDN w:val="0"/>
        <w:snapToGrid w:val="0"/>
        <w:spacing w:line="440" w:lineRule="exact"/>
        <w:ind w:right="-178" w:rightChars="-85"/>
        <w:textAlignment w:val="bottom"/>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培训</w:t>
      </w:r>
    </w:p>
    <w:p w14:paraId="56F91638">
      <w:pPr>
        <w:autoSpaceDE w:val="0"/>
        <w:autoSpaceDN w:val="0"/>
        <w:snapToGrid w:val="0"/>
        <w:spacing w:line="440" w:lineRule="exact"/>
        <w:ind w:firstLine="480" w:firstLineChars="200"/>
        <w:textAlignment w:val="bottom"/>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snapToGrid w:val="0"/>
          <w:color w:val="auto"/>
          <w:kern w:val="0"/>
          <w:sz w:val="24"/>
        </w:rPr>
        <w:t>投标方应提供相应的培训计划，详细说明培训的方式、地点、人数、</w:t>
      </w:r>
      <w:r>
        <w:rPr>
          <w:rFonts w:hint="eastAsia" w:asciiTheme="minorEastAsia" w:hAnsiTheme="minorEastAsia" w:eastAsiaTheme="minorEastAsia" w:cstheme="minorEastAsia"/>
          <w:color w:val="auto"/>
          <w:sz w:val="24"/>
        </w:rPr>
        <w:t>时间等实质性内容。</w:t>
      </w:r>
    </w:p>
    <w:p w14:paraId="779B850A">
      <w:pPr>
        <w:numPr>
          <w:ilvl w:val="0"/>
          <w:numId w:val="12"/>
        </w:numPr>
        <w:autoSpaceDE w:val="0"/>
        <w:autoSpaceDN w:val="0"/>
        <w:snapToGrid w:val="0"/>
        <w:spacing w:line="440" w:lineRule="exact"/>
        <w:ind w:right="-178" w:rightChars="-85"/>
        <w:textAlignment w:val="bottom"/>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完成时间</w:t>
      </w:r>
    </w:p>
    <w:p w14:paraId="619A4E58">
      <w:pPr>
        <w:autoSpaceDE w:val="0"/>
        <w:spacing w:line="480" w:lineRule="exact"/>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自合同签订生效之日起</w:t>
      </w:r>
      <w:r>
        <w:rPr>
          <w:rFonts w:hint="eastAsia" w:asciiTheme="minorEastAsia" w:hAnsiTheme="minorEastAsia" w:eastAsiaTheme="minorEastAsia" w:cstheme="minorEastAsia"/>
          <w:color w:val="auto"/>
          <w:sz w:val="24"/>
          <w:u w:val="single"/>
        </w:rPr>
        <w:t>至2027年4月15 日前</w:t>
      </w:r>
      <w:r>
        <w:rPr>
          <w:rFonts w:hint="eastAsia" w:asciiTheme="minorEastAsia" w:hAnsiTheme="minorEastAsia" w:eastAsiaTheme="minorEastAsia" w:cstheme="minorEastAsia"/>
          <w:color w:val="auto"/>
          <w:sz w:val="24"/>
        </w:rPr>
        <w:t>完成所有设备</w:t>
      </w:r>
      <w:r>
        <w:rPr>
          <w:rFonts w:hint="eastAsia" w:asciiTheme="minorEastAsia" w:hAnsiTheme="minorEastAsia" w:eastAsiaTheme="minorEastAsia" w:cstheme="minorEastAsia"/>
          <w:bCs/>
          <w:color w:val="auto"/>
          <w:sz w:val="24"/>
        </w:rPr>
        <w:t>运输装卸、安装调试、试运行并通过采购单位的验收</w:t>
      </w:r>
      <w:r>
        <w:rPr>
          <w:rFonts w:hint="eastAsia" w:asciiTheme="minorEastAsia" w:hAnsiTheme="minorEastAsia" w:eastAsiaTheme="minorEastAsia" w:cstheme="minorEastAsia"/>
          <w:color w:val="auto"/>
          <w:sz w:val="24"/>
        </w:rPr>
        <w:t>。如在规定的时间内由于供应商的原因不能完成交货的，供应商应承担由此给采购单位造成的损失。</w:t>
      </w:r>
    </w:p>
    <w:p w14:paraId="1D6F0674">
      <w:pPr>
        <w:autoSpaceDE w:val="0"/>
        <w:spacing w:line="480" w:lineRule="exact"/>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安装地点：</w:t>
      </w:r>
      <w:r>
        <w:rPr>
          <w:rStyle w:val="359"/>
          <w:rFonts w:asciiTheme="minorEastAsia" w:hAnsiTheme="minorEastAsia" w:eastAsiaTheme="minorEastAsia" w:cstheme="minorEastAsia"/>
          <w:color w:val="auto"/>
        </w:rPr>
        <w:t>采购单位指定</w:t>
      </w:r>
      <w:r>
        <w:rPr>
          <w:rFonts w:hint="eastAsia" w:asciiTheme="minorEastAsia" w:hAnsiTheme="minorEastAsia" w:eastAsiaTheme="minorEastAsia" w:cstheme="minorEastAsia"/>
          <w:color w:val="auto"/>
          <w:sz w:val="24"/>
        </w:rPr>
        <w:t>。</w:t>
      </w:r>
    </w:p>
    <w:p w14:paraId="0032292B">
      <w:pPr>
        <w:autoSpaceDE w:val="0"/>
        <w:spacing w:line="480" w:lineRule="exact"/>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安装标准：符合我国国家有关技术规范要求和技术标准，所有的软件和硬件必须保证同时安装到位。</w:t>
      </w:r>
    </w:p>
    <w:p w14:paraId="3D4C85E7">
      <w:pPr>
        <w:autoSpaceDE w:val="0"/>
        <w:spacing w:line="480" w:lineRule="exact"/>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 中标方免费提供中标设备（软件和硬件）的安装调试服务。</w:t>
      </w:r>
    </w:p>
    <w:p w14:paraId="53E4176D">
      <w:pPr>
        <w:autoSpaceDE w:val="0"/>
        <w:autoSpaceDN w:val="0"/>
        <w:spacing w:line="440" w:lineRule="exact"/>
        <w:ind w:firstLine="480" w:firstLineChars="200"/>
        <w:textAlignment w:val="bottom"/>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 投标方应在投标文件中应提供安装计划、对安装场地和环境的要求。</w:t>
      </w:r>
    </w:p>
    <w:p w14:paraId="2510E951">
      <w:pPr>
        <w:numPr>
          <w:ilvl w:val="0"/>
          <w:numId w:val="12"/>
        </w:numPr>
        <w:autoSpaceDE w:val="0"/>
        <w:autoSpaceDN w:val="0"/>
        <w:snapToGrid w:val="0"/>
        <w:spacing w:line="440" w:lineRule="exact"/>
        <w:ind w:right="-178" w:rightChars="-85"/>
        <w:textAlignment w:val="bottom"/>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验收</w:t>
      </w:r>
    </w:p>
    <w:p w14:paraId="25B4EA21">
      <w:pPr>
        <w:autoSpaceDE w:val="0"/>
        <w:autoSpaceDN w:val="0"/>
        <w:spacing w:line="440" w:lineRule="exact"/>
        <w:ind w:left="-181" w:leftChars="-86" w:right="-178" w:rightChars="-85" w:firstLine="600" w:firstLineChars="250"/>
        <w:textAlignment w:val="bottom"/>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供货方应提供系统设备的有效检验材料，经采购人认可后，与合同的技术指标一起作为验收标准。采购人对系统设备验收合格后，在《验收反馈表》上签署意见并加盖单位公章。验收中发现系统设备达不到验收标准或合同规定的技术指标，卖方必须更换，并负担由此给用户造成的损失，直到验收合格为止。</w:t>
      </w:r>
    </w:p>
    <w:p w14:paraId="6177465D">
      <w:pPr>
        <w:autoSpaceDE w:val="0"/>
        <w:autoSpaceDN w:val="0"/>
        <w:spacing w:line="440" w:lineRule="exact"/>
        <w:ind w:left="-181" w:leftChars="-86" w:right="-178" w:rightChars="-85" w:firstLine="600" w:firstLineChars="250"/>
        <w:textAlignment w:val="bottom"/>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投标方应于投标书中提供系统设备的验收标准和检测办法，并在验收中提供买方认可的相应检测手段，验收标准应符合中国有关的国家、地方、行业的标准，如若中标，经买方确认后作为验收的依据。</w:t>
      </w:r>
    </w:p>
    <w:p w14:paraId="4BA3DFC6">
      <w:pPr>
        <w:autoSpaceDE w:val="0"/>
        <w:autoSpaceDN w:val="0"/>
        <w:spacing w:line="440" w:lineRule="exact"/>
        <w:ind w:left="-181" w:leftChars="-86" w:right="-178" w:rightChars="-85" w:firstLine="600" w:firstLineChars="250"/>
        <w:textAlignment w:val="bottom"/>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验收费用由产品供应商承担。</w:t>
      </w:r>
    </w:p>
    <w:p w14:paraId="67CE0323">
      <w:pPr>
        <w:numPr>
          <w:ilvl w:val="0"/>
          <w:numId w:val="12"/>
        </w:numPr>
        <w:autoSpaceDE w:val="0"/>
        <w:autoSpaceDN w:val="0"/>
        <w:snapToGrid w:val="0"/>
        <w:spacing w:line="440" w:lineRule="exact"/>
        <w:ind w:right="-178" w:rightChars="-85"/>
        <w:textAlignment w:val="bottom"/>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履约保证金</w:t>
      </w:r>
    </w:p>
    <w:p w14:paraId="5D88918C">
      <w:pPr>
        <w:widowControl w:val="0"/>
        <w:adjustRightInd/>
        <w:spacing w:line="360" w:lineRule="auto"/>
        <w:ind w:firstLine="480" w:firstLineChars="200"/>
        <w:jc w:val="both"/>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在正式合同签订生效之日起7个工作日内，由中标人按合同总金额2%缴纳至采购单位指定账号（可以以银行出具保函形式提交）作为履约保证金。项目竣工验收通过后，无质量、服务问题，履约保证金由采购人无息退还。因中标人的质量、服务问题造成采购人损失的，采购人有权要求中标人以其履约保证金作出补偿。</w:t>
      </w:r>
    </w:p>
    <w:p w14:paraId="3CF5E599">
      <w:pPr>
        <w:widowControl w:val="0"/>
        <w:adjustRightInd/>
        <w:spacing w:line="360" w:lineRule="auto"/>
        <w:ind w:firstLine="480" w:firstLineChars="200"/>
        <w:jc w:val="both"/>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br w:type="page"/>
      </w:r>
    </w:p>
    <w:p w14:paraId="6B1097FD">
      <w:pPr>
        <w:numPr>
          <w:ilvl w:val="0"/>
          <w:numId w:val="14"/>
        </w:numPr>
        <w:snapToGrid w:val="0"/>
        <w:spacing w:line="360" w:lineRule="auto"/>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b/>
          <w:color w:val="auto"/>
          <w:sz w:val="36"/>
          <w:szCs w:val="36"/>
        </w:rPr>
        <w:t xml:space="preserve">  评标办法</w:t>
      </w:r>
    </w:p>
    <w:p w14:paraId="251698FA">
      <w:pPr>
        <w:pStyle w:val="63"/>
        <w:ind w:firstLine="643"/>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32"/>
          <w:szCs w:val="20"/>
        </w:rPr>
        <w:t>评标办法前附表</w:t>
      </w:r>
    </w:p>
    <w:tbl>
      <w:tblPr>
        <w:tblStyle w:val="66"/>
        <w:tblpPr w:leftFromText="180" w:rightFromText="180" w:vertAnchor="text" w:horzAnchor="page" w:tblpX="918" w:tblpY="249"/>
        <w:tblOverlap w:val="never"/>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5684"/>
        <w:gridCol w:w="666"/>
        <w:gridCol w:w="1229"/>
        <w:gridCol w:w="1695"/>
      </w:tblGrid>
      <w:tr w14:paraId="700C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17320760">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5684" w:type="dxa"/>
            <w:vAlign w:val="center"/>
          </w:tcPr>
          <w:p w14:paraId="57F74C06">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评标标准</w:t>
            </w:r>
          </w:p>
        </w:tc>
        <w:tc>
          <w:tcPr>
            <w:tcW w:w="666" w:type="dxa"/>
            <w:vAlign w:val="center"/>
          </w:tcPr>
          <w:p w14:paraId="7D4AEEF0">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权重</w:t>
            </w:r>
          </w:p>
        </w:tc>
        <w:tc>
          <w:tcPr>
            <w:tcW w:w="1229" w:type="dxa"/>
            <w:vAlign w:val="center"/>
          </w:tcPr>
          <w:p w14:paraId="2F9203AA">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主观分/客观分属性</w:t>
            </w:r>
          </w:p>
        </w:tc>
        <w:tc>
          <w:tcPr>
            <w:tcW w:w="1695" w:type="dxa"/>
            <w:vAlign w:val="center"/>
          </w:tcPr>
          <w:p w14:paraId="288558AE">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投标文件中评标标准相应的商务技术资料目录*</w:t>
            </w:r>
          </w:p>
        </w:tc>
      </w:tr>
      <w:tr w14:paraId="1200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Align w:val="center"/>
          </w:tcPr>
          <w:p w14:paraId="2F6B7405">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5684" w:type="dxa"/>
            <w:vAlign w:val="center"/>
          </w:tcPr>
          <w:p w14:paraId="2C8A5C97">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满足招标文件要求且投标报价最低的投标报价为评标基准价，其价格分为满分。其他投标人的价格分统一按照下列公式计算：投标报价得分=（评标基准价/投标报价）×30</w:t>
            </w:r>
          </w:p>
          <w:p w14:paraId="25B02404">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特别说明：为避免出现恶意低价竞争的情况，导致项目无法保质保量完成，故本项目设定投标人的投标报价低于满足招标文件全部实质性要求的所有投标人平均报价的90%，作无效标处理。</w:t>
            </w:r>
          </w:p>
        </w:tc>
        <w:tc>
          <w:tcPr>
            <w:tcW w:w="666" w:type="dxa"/>
            <w:vAlign w:val="center"/>
          </w:tcPr>
          <w:p w14:paraId="3E3656BB">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30</w:t>
            </w:r>
          </w:p>
        </w:tc>
        <w:tc>
          <w:tcPr>
            <w:tcW w:w="1229" w:type="dxa"/>
            <w:vAlign w:val="center"/>
          </w:tcPr>
          <w:p w14:paraId="0C2CFD1C">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客观分</w:t>
            </w:r>
          </w:p>
        </w:tc>
        <w:tc>
          <w:tcPr>
            <w:tcW w:w="1695" w:type="dxa"/>
            <w:vAlign w:val="center"/>
          </w:tcPr>
          <w:p w14:paraId="7CB5437D">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价格分</w:t>
            </w:r>
          </w:p>
        </w:tc>
      </w:tr>
      <w:tr w14:paraId="617A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Align w:val="center"/>
          </w:tcPr>
          <w:p w14:paraId="4A88ADC1">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5684" w:type="dxa"/>
            <w:vAlign w:val="center"/>
          </w:tcPr>
          <w:p w14:paraId="2F7D8CEE">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投标人具有有效的质量管理体系认证证书的得1分；</w:t>
            </w:r>
          </w:p>
          <w:p w14:paraId="3EC7FD02">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投标人具有有效的环境管理体系认证证书的得1分；</w:t>
            </w:r>
          </w:p>
          <w:p w14:paraId="06BF7F2F">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投标人具有有效的职业健康安全管理体系认证证书的得1分；</w:t>
            </w:r>
          </w:p>
          <w:p w14:paraId="7684480A">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投标人具有有效的测量管理体系认证证书的得1分；</w:t>
            </w:r>
          </w:p>
          <w:p w14:paraId="7B793552">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注：须提供有效证书复印件和国家认证认可监督管理委员会网址</w:t>
            </w:r>
            <w:bookmarkStart w:id="27" w:name="OLE_LINK1"/>
            <w:r>
              <w:rPr>
                <w:rFonts w:hint="eastAsia" w:asciiTheme="minorEastAsia" w:hAnsiTheme="minorEastAsia" w:eastAsiaTheme="minorEastAsia" w:cstheme="minorEastAsia"/>
                <w:color w:val="auto"/>
                <w:sz w:val="24"/>
              </w:rPr>
              <w:t>www.cnca.gov.cn</w:t>
            </w:r>
            <w:bookmarkEnd w:id="27"/>
            <w:r>
              <w:rPr>
                <w:rFonts w:hint="eastAsia" w:asciiTheme="minorEastAsia" w:hAnsiTheme="minorEastAsia" w:eastAsiaTheme="minorEastAsia" w:cstheme="minorEastAsia"/>
                <w:color w:val="auto"/>
                <w:sz w:val="24"/>
              </w:rPr>
              <w:t>查询结果为“有效”截图，否则不得分。</w:t>
            </w:r>
          </w:p>
        </w:tc>
        <w:tc>
          <w:tcPr>
            <w:tcW w:w="666" w:type="dxa"/>
            <w:vAlign w:val="center"/>
          </w:tcPr>
          <w:p w14:paraId="1E38F4B1">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4</w:t>
            </w:r>
          </w:p>
        </w:tc>
        <w:tc>
          <w:tcPr>
            <w:tcW w:w="1229" w:type="dxa"/>
            <w:vAlign w:val="center"/>
          </w:tcPr>
          <w:p w14:paraId="0533F9F8">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客观分</w:t>
            </w:r>
          </w:p>
        </w:tc>
        <w:tc>
          <w:tcPr>
            <w:tcW w:w="1695" w:type="dxa"/>
            <w:vAlign w:val="center"/>
          </w:tcPr>
          <w:p w14:paraId="07F7DDC9">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认证证书</w:t>
            </w:r>
          </w:p>
        </w:tc>
      </w:tr>
      <w:tr w14:paraId="21E4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F38294A">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5684" w:type="dxa"/>
            <w:vAlign w:val="center"/>
          </w:tcPr>
          <w:p w14:paraId="28B63285">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投标人提供自2023年1月1日（以合同签订时间为准）以来承担过单机容量1000kW、转速1000r/min及以上水轮发电机组成套项目业绩，每有一个得0.5分,最高得3分。</w:t>
            </w:r>
          </w:p>
          <w:p w14:paraId="17F1A7F4">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注：加盖投标人公章的合同复印件。</w:t>
            </w:r>
          </w:p>
        </w:tc>
        <w:tc>
          <w:tcPr>
            <w:tcW w:w="666" w:type="dxa"/>
            <w:vAlign w:val="center"/>
          </w:tcPr>
          <w:p w14:paraId="47878D77">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1229" w:type="dxa"/>
            <w:vAlign w:val="center"/>
          </w:tcPr>
          <w:p w14:paraId="28995D9A">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客观分</w:t>
            </w:r>
          </w:p>
        </w:tc>
        <w:tc>
          <w:tcPr>
            <w:tcW w:w="1695" w:type="dxa"/>
            <w:vAlign w:val="center"/>
          </w:tcPr>
          <w:p w14:paraId="19F269F0">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业绩经验</w:t>
            </w:r>
          </w:p>
        </w:tc>
      </w:tr>
      <w:tr w14:paraId="3099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16B9BB72">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p>
        </w:tc>
        <w:tc>
          <w:tcPr>
            <w:tcW w:w="5684" w:type="dxa"/>
            <w:vAlign w:val="center"/>
          </w:tcPr>
          <w:p w14:paraId="5F3DEAD3">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根据投标人企业综合实力、技术力量（管理人员、技术人员、作业人员数量、工作经验等）、针对本项目的履约能力等进行打分，最高得</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分。</w:t>
            </w:r>
          </w:p>
        </w:tc>
        <w:tc>
          <w:tcPr>
            <w:tcW w:w="666" w:type="dxa"/>
            <w:vAlign w:val="center"/>
          </w:tcPr>
          <w:p w14:paraId="48CCBFFA">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2</w:t>
            </w:r>
          </w:p>
        </w:tc>
        <w:tc>
          <w:tcPr>
            <w:tcW w:w="1229" w:type="dxa"/>
            <w:vAlign w:val="center"/>
          </w:tcPr>
          <w:p w14:paraId="2AB076CC">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Align w:val="center"/>
          </w:tcPr>
          <w:p w14:paraId="05507EB5">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综合实力</w:t>
            </w:r>
          </w:p>
        </w:tc>
      </w:tr>
      <w:tr w14:paraId="2DC0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2603101A">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p>
        </w:tc>
        <w:tc>
          <w:tcPr>
            <w:tcW w:w="5684" w:type="dxa"/>
            <w:vAlign w:val="center"/>
          </w:tcPr>
          <w:p w14:paraId="16D0EB81">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符合明确指标参数得</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分。对关键性投标产品的性能指标及技术参数负偏离或缺漏项的每项扣</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分，对非关键投标产品的性能指标及技术参数属负偏离或缺漏项的每项扣</w:t>
            </w:r>
            <w:r>
              <w:rPr>
                <w:rFonts w:hint="eastAsia" w:asciiTheme="minorEastAsia" w:hAnsiTheme="minorEastAsia" w:eastAsiaTheme="minorEastAsia" w:cstheme="minorEastAsia"/>
                <w:color w:val="auto"/>
                <w:sz w:val="24"/>
                <w:lang w:val="en-US" w:eastAsia="zh-CN"/>
              </w:rPr>
              <w:t>0.5</w:t>
            </w:r>
            <w:r>
              <w:rPr>
                <w:rFonts w:hint="eastAsia" w:asciiTheme="minorEastAsia" w:hAnsiTheme="minorEastAsia" w:eastAsiaTheme="minorEastAsia" w:cstheme="minorEastAsia"/>
                <w:color w:val="auto"/>
                <w:sz w:val="24"/>
              </w:rPr>
              <w:t>分，扣完为止。</w:t>
            </w:r>
          </w:p>
        </w:tc>
        <w:tc>
          <w:tcPr>
            <w:tcW w:w="666" w:type="dxa"/>
            <w:vAlign w:val="center"/>
          </w:tcPr>
          <w:p w14:paraId="1A4D6CE4">
            <w:pPr>
              <w:widowControl w:val="0"/>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1229" w:type="dxa"/>
            <w:vAlign w:val="center"/>
          </w:tcPr>
          <w:p w14:paraId="5335E869">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客观分</w:t>
            </w:r>
          </w:p>
        </w:tc>
        <w:tc>
          <w:tcPr>
            <w:tcW w:w="1695" w:type="dxa"/>
            <w:vMerge w:val="restart"/>
            <w:vAlign w:val="center"/>
          </w:tcPr>
          <w:p w14:paraId="5559CFD3">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技术参数响应程度</w:t>
            </w:r>
          </w:p>
        </w:tc>
      </w:tr>
      <w:tr w14:paraId="3D43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7442A635">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w:t>
            </w:r>
          </w:p>
        </w:tc>
        <w:tc>
          <w:tcPr>
            <w:tcW w:w="5684" w:type="dxa"/>
            <w:vAlign w:val="center"/>
          </w:tcPr>
          <w:p w14:paraId="1A8E5C56">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对投标产品性能指标、技术参数属正偏或高配的、有先进程度的每项加1分，最高得</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分，无实质性意义的正偏离不加分。</w:t>
            </w:r>
          </w:p>
        </w:tc>
        <w:tc>
          <w:tcPr>
            <w:tcW w:w="666" w:type="dxa"/>
            <w:vAlign w:val="center"/>
          </w:tcPr>
          <w:p w14:paraId="1AC0C07E">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5</w:t>
            </w:r>
          </w:p>
        </w:tc>
        <w:tc>
          <w:tcPr>
            <w:tcW w:w="1229" w:type="dxa"/>
            <w:vAlign w:val="center"/>
          </w:tcPr>
          <w:p w14:paraId="5936B178">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客观分</w:t>
            </w:r>
          </w:p>
        </w:tc>
        <w:tc>
          <w:tcPr>
            <w:tcW w:w="1695" w:type="dxa"/>
            <w:vMerge w:val="continue"/>
            <w:vAlign w:val="center"/>
          </w:tcPr>
          <w:p w14:paraId="2BCAF7CC">
            <w:pPr>
              <w:widowControl w:val="0"/>
              <w:jc w:val="center"/>
              <w:rPr>
                <w:rFonts w:hint="eastAsia" w:asciiTheme="minorEastAsia" w:hAnsiTheme="minorEastAsia" w:eastAsiaTheme="minorEastAsia" w:cstheme="minorEastAsia"/>
                <w:color w:val="auto"/>
                <w:sz w:val="24"/>
              </w:rPr>
            </w:pPr>
          </w:p>
        </w:tc>
      </w:tr>
      <w:tr w14:paraId="130E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2EFEDAF8">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w:t>
            </w:r>
          </w:p>
        </w:tc>
        <w:tc>
          <w:tcPr>
            <w:tcW w:w="5684" w:type="dxa"/>
            <w:vAlign w:val="center"/>
          </w:tcPr>
          <w:p w14:paraId="0B2B6F28">
            <w:pPr>
              <w:widowControl w:val="0"/>
              <w:jc w:val="both"/>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Hans"/>
              </w:rPr>
              <w:t>根据投标</w:t>
            </w:r>
            <w:r>
              <w:rPr>
                <w:rFonts w:hint="eastAsia" w:asciiTheme="minorEastAsia" w:hAnsiTheme="minorEastAsia" w:eastAsiaTheme="minorEastAsia" w:cstheme="minorEastAsia"/>
                <w:color w:val="auto"/>
                <w:sz w:val="24"/>
              </w:rPr>
              <w:t>单位的生产、试验设备、技术开发能力等情况进行综合比较评分，最高得6分</w:t>
            </w:r>
            <w:r>
              <w:rPr>
                <w:rFonts w:hint="eastAsia" w:asciiTheme="minorEastAsia" w:hAnsiTheme="minorEastAsia" w:eastAsiaTheme="minorEastAsia" w:cstheme="minorEastAsia"/>
                <w:color w:val="auto"/>
                <w:sz w:val="24"/>
                <w:lang w:eastAsia="zh-CN"/>
              </w:rPr>
              <w:t>。</w:t>
            </w:r>
          </w:p>
          <w:p w14:paraId="5724FC5E">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注：提供租房合同或产权证明、设备购置发票或其他证明文件并加盖公章。</w:t>
            </w:r>
          </w:p>
        </w:tc>
        <w:tc>
          <w:tcPr>
            <w:tcW w:w="666" w:type="dxa"/>
            <w:vAlign w:val="center"/>
          </w:tcPr>
          <w:p w14:paraId="371D117E">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w:t>
            </w:r>
          </w:p>
        </w:tc>
        <w:tc>
          <w:tcPr>
            <w:tcW w:w="1229" w:type="dxa"/>
            <w:vAlign w:val="center"/>
          </w:tcPr>
          <w:p w14:paraId="63C390DA">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Merge w:val="restart"/>
            <w:vAlign w:val="center"/>
          </w:tcPr>
          <w:p w14:paraId="278FBACA">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生产能力</w:t>
            </w:r>
          </w:p>
        </w:tc>
      </w:tr>
      <w:tr w14:paraId="391C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EFCF538">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5684" w:type="dxa"/>
            <w:vAlign w:val="center"/>
          </w:tcPr>
          <w:p w14:paraId="0348E1B3">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1、投标单位自有线圈绝缘机器人包带机、卧式硬支承动平衡机、台车式燃气热处理炉、转子超速试验平台和发电机整机试验平台等同等或优于的设备，每提供一项得1分，最高得4分，未提供不得分。</w:t>
            </w:r>
          </w:p>
          <w:p w14:paraId="7365B55F">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注：以上所列设备均需提供实物照片、设备参数、采购发票等相关证明材料；未提供或提供不全不得分。</w:t>
            </w:r>
          </w:p>
        </w:tc>
        <w:tc>
          <w:tcPr>
            <w:tcW w:w="666" w:type="dxa"/>
            <w:vAlign w:val="center"/>
          </w:tcPr>
          <w:p w14:paraId="254F706A">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p>
        </w:tc>
        <w:tc>
          <w:tcPr>
            <w:tcW w:w="1229" w:type="dxa"/>
            <w:vAlign w:val="center"/>
          </w:tcPr>
          <w:p w14:paraId="39B8E98D">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客观分</w:t>
            </w:r>
          </w:p>
        </w:tc>
        <w:tc>
          <w:tcPr>
            <w:tcW w:w="1695" w:type="dxa"/>
            <w:vMerge w:val="continue"/>
            <w:vAlign w:val="center"/>
          </w:tcPr>
          <w:p w14:paraId="01FF9DD8">
            <w:pPr>
              <w:widowControl w:val="0"/>
              <w:jc w:val="center"/>
              <w:rPr>
                <w:rFonts w:hint="eastAsia" w:asciiTheme="minorEastAsia" w:hAnsiTheme="minorEastAsia" w:eastAsiaTheme="minorEastAsia" w:cstheme="minorEastAsia"/>
                <w:color w:val="auto"/>
                <w:sz w:val="24"/>
              </w:rPr>
            </w:pPr>
          </w:p>
        </w:tc>
      </w:tr>
      <w:tr w14:paraId="5E21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5B8ED12C">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5684" w:type="dxa"/>
            <w:vAlign w:val="center"/>
          </w:tcPr>
          <w:p w14:paraId="6A8CA7C9">
            <w:pPr>
              <w:widowControl w:val="0"/>
              <w:jc w:val="both"/>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项目负责人</w:t>
            </w:r>
            <w:r>
              <w:rPr>
                <w:rFonts w:hint="eastAsia" w:asciiTheme="minorEastAsia" w:hAnsiTheme="minorEastAsia" w:eastAsiaTheme="minorEastAsia" w:cstheme="minorEastAsia"/>
                <w:color w:val="auto"/>
                <w:sz w:val="24"/>
                <w:lang w:eastAsia="zh-CN"/>
              </w:rPr>
              <w:t>：</w:t>
            </w:r>
          </w:p>
          <w:p w14:paraId="1AEE5504">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具有水利类相关专业中级工程师的得1分，具有水利类相关专业副高级工程师得2分，具有水利类相关专业正高级工程师的得3分。</w:t>
            </w:r>
          </w:p>
          <w:p w14:paraId="40C3DFA3">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注：须提供证书复印件及在投标单位近3个月的社保证明，否则不得分。</w:t>
            </w:r>
          </w:p>
        </w:tc>
        <w:tc>
          <w:tcPr>
            <w:tcW w:w="666" w:type="dxa"/>
            <w:vAlign w:val="center"/>
          </w:tcPr>
          <w:p w14:paraId="4A309342">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1229" w:type="dxa"/>
            <w:vAlign w:val="center"/>
          </w:tcPr>
          <w:p w14:paraId="446FEE78">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客观分</w:t>
            </w:r>
          </w:p>
        </w:tc>
        <w:tc>
          <w:tcPr>
            <w:tcW w:w="1695" w:type="dxa"/>
            <w:vMerge w:val="restart"/>
            <w:vAlign w:val="center"/>
          </w:tcPr>
          <w:p w14:paraId="60498D5C">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拟派项目团队人员</w:t>
            </w:r>
          </w:p>
        </w:tc>
      </w:tr>
      <w:tr w14:paraId="513B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80B4EE7">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w:t>
            </w:r>
          </w:p>
        </w:tc>
        <w:tc>
          <w:tcPr>
            <w:tcW w:w="5684" w:type="dxa"/>
            <w:vAlign w:val="center"/>
          </w:tcPr>
          <w:p w14:paraId="58DCA37E">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拟派项目团队人员（项目负责人除外）：</w:t>
            </w:r>
          </w:p>
          <w:p w14:paraId="0BF8B0DE">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项目组其他主要成员（不包含项目负责人）配备“机电制造、机械设计、水轮机设计、电气技术、电气自动化、机械技术、水利、计算机、电子信息”专业中级工程师及以上职称证书的，每个专业得1分，本项最高得5分。 </w:t>
            </w:r>
          </w:p>
          <w:p w14:paraId="73A93B89">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注：须提供证书复印件及在投标单位近3个月的社保证明，否则不得分</w:t>
            </w:r>
          </w:p>
        </w:tc>
        <w:tc>
          <w:tcPr>
            <w:tcW w:w="666" w:type="dxa"/>
            <w:vAlign w:val="center"/>
          </w:tcPr>
          <w:p w14:paraId="11B18213">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p>
        </w:tc>
        <w:tc>
          <w:tcPr>
            <w:tcW w:w="1229" w:type="dxa"/>
            <w:vAlign w:val="center"/>
          </w:tcPr>
          <w:p w14:paraId="7B6F93C8">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客观分</w:t>
            </w:r>
          </w:p>
        </w:tc>
        <w:tc>
          <w:tcPr>
            <w:tcW w:w="1695" w:type="dxa"/>
            <w:vMerge w:val="continue"/>
            <w:vAlign w:val="center"/>
          </w:tcPr>
          <w:p w14:paraId="6F573FEB">
            <w:pPr>
              <w:widowControl w:val="0"/>
              <w:jc w:val="center"/>
              <w:rPr>
                <w:rFonts w:hint="eastAsia" w:asciiTheme="minorEastAsia" w:hAnsiTheme="minorEastAsia" w:eastAsiaTheme="minorEastAsia" w:cstheme="minorEastAsia"/>
                <w:color w:val="auto"/>
                <w:sz w:val="24"/>
              </w:rPr>
            </w:pPr>
          </w:p>
        </w:tc>
      </w:tr>
      <w:tr w14:paraId="6D4B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77FA936C">
            <w:pPr>
              <w:widowControl w:val="0"/>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11</w:t>
            </w:r>
          </w:p>
        </w:tc>
        <w:tc>
          <w:tcPr>
            <w:tcW w:w="5684" w:type="dxa"/>
            <w:vAlign w:val="center"/>
          </w:tcPr>
          <w:p w14:paraId="645440AF">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投标人进行现场踏勘的得</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分（以采购单位出具的现场踏勘证明材料为准,</w:t>
            </w:r>
            <w:r>
              <w:rPr>
                <w:rFonts w:hint="eastAsia" w:asciiTheme="minorEastAsia" w:hAnsiTheme="minorEastAsia" w:eastAsiaTheme="minorEastAsia" w:cstheme="minorEastAsia"/>
                <w:color w:val="auto"/>
                <w:sz w:val="24"/>
                <w:lang w:val="en-US" w:eastAsia="zh-CN"/>
              </w:rPr>
              <w:t>投标文件中</w:t>
            </w:r>
            <w:r>
              <w:rPr>
                <w:rFonts w:hint="eastAsia" w:asciiTheme="minorEastAsia" w:hAnsiTheme="minorEastAsia" w:eastAsiaTheme="minorEastAsia" w:cstheme="minorEastAsia"/>
                <w:color w:val="auto"/>
                <w:sz w:val="24"/>
              </w:rPr>
              <w:t>提供现场踏勘</w:t>
            </w:r>
            <w:r>
              <w:rPr>
                <w:rFonts w:hint="eastAsia" w:asciiTheme="minorEastAsia" w:hAnsiTheme="minorEastAsia" w:eastAsiaTheme="minorEastAsia" w:cstheme="minorEastAsia"/>
                <w:color w:val="auto"/>
                <w:sz w:val="24"/>
                <w:lang w:val="en-US" w:eastAsia="zh-CN"/>
              </w:rPr>
              <w:t>原件</w:t>
            </w:r>
            <w:r>
              <w:rPr>
                <w:rFonts w:hint="eastAsia" w:asciiTheme="minorEastAsia" w:hAnsiTheme="minorEastAsia" w:eastAsiaTheme="minorEastAsia" w:cstheme="minorEastAsia"/>
                <w:color w:val="auto"/>
                <w:sz w:val="24"/>
              </w:rPr>
              <w:t>证明材料加盖公章，不提供不得分）。</w:t>
            </w:r>
          </w:p>
        </w:tc>
        <w:tc>
          <w:tcPr>
            <w:tcW w:w="666" w:type="dxa"/>
            <w:vAlign w:val="center"/>
          </w:tcPr>
          <w:p w14:paraId="27F1663F">
            <w:pPr>
              <w:widowControl w:val="0"/>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w:t>
            </w:r>
          </w:p>
        </w:tc>
        <w:tc>
          <w:tcPr>
            <w:tcW w:w="1229" w:type="dxa"/>
            <w:vAlign w:val="center"/>
          </w:tcPr>
          <w:p w14:paraId="49DF2A41">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客观分</w:t>
            </w:r>
          </w:p>
        </w:tc>
        <w:tc>
          <w:tcPr>
            <w:tcW w:w="1695" w:type="dxa"/>
            <w:vMerge w:val="restart"/>
            <w:vAlign w:val="center"/>
          </w:tcPr>
          <w:p w14:paraId="50D2F54F">
            <w:pPr>
              <w:widowControl w:val="0"/>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现场踏勘</w:t>
            </w:r>
          </w:p>
        </w:tc>
      </w:tr>
      <w:tr w14:paraId="43EA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auto"/>
            <w:vAlign w:val="center"/>
          </w:tcPr>
          <w:p w14:paraId="41BA5F77">
            <w:pPr>
              <w:widowControl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12</w:t>
            </w:r>
          </w:p>
        </w:tc>
        <w:tc>
          <w:tcPr>
            <w:tcW w:w="5684" w:type="dxa"/>
            <w:vAlign w:val="center"/>
          </w:tcPr>
          <w:p w14:paraId="2E13C00A">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投标人根据现场踏勘提出合理化建议，且提出相应措施方案，根据其内容酌情打分，每提供一条符合采购人要求的得1分，最高得</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分。</w:t>
            </w:r>
          </w:p>
        </w:tc>
        <w:tc>
          <w:tcPr>
            <w:tcW w:w="666" w:type="dxa"/>
            <w:vAlign w:val="center"/>
          </w:tcPr>
          <w:p w14:paraId="58A58DDC">
            <w:pPr>
              <w:widowControl w:val="0"/>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w:t>
            </w:r>
          </w:p>
        </w:tc>
        <w:tc>
          <w:tcPr>
            <w:tcW w:w="1229" w:type="dxa"/>
            <w:vAlign w:val="center"/>
          </w:tcPr>
          <w:p w14:paraId="74328BD8">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Merge w:val="continue"/>
            <w:vAlign w:val="center"/>
          </w:tcPr>
          <w:p w14:paraId="693CFF2D">
            <w:pPr>
              <w:widowControl w:val="0"/>
              <w:jc w:val="center"/>
              <w:rPr>
                <w:rFonts w:hint="eastAsia" w:asciiTheme="minorEastAsia" w:hAnsiTheme="minorEastAsia" w:eastAsiaTheme="minorEastAsia" w:cstheme="minorEastAsia"/>
                <w:color w:val="auto"/>
                <w:sz w:val="24"/>
              </w:rPr>
            </w:pPr>
          </w:p>
        </w:tc>
      </w:tr>
      <w:tr w14:paraId="284E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auto"/>
            <w:vAlign w:val="center"/>
          </w:tcPr>
          <w:p w14:paraId="4D9A2F43">
            <w:pPr>
              <w:widowControl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13</w:t>
            </w:r>
          </w:p>
        </w:tc>
        <w:tc>
          <w:tcPr>
            <w:tcW w:w="5684" w:type="dxa"/>
            <w:vAlign w:val="center"/>
          </w:tcPr>
          <w:p w14:paraId="5FC30FBF">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根据投标人对本项目实际情况的理解及重难点分析情况进行打分，包括对项目技术工艺路线的理解，明确阐述技术工艺流程，分析重难点问题并提出应对解决措施，最高得</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分。</w:t>
            </w:r>
          </w:p>
        </w:tc>
        <w:tc>
          <w:tcPr>
            <w:tcW w:w="666" w:type="dxa"/>
            <w:vAlign w:val="center"/>
          </w:tcPr>
          <w:p w14:paraId="3366E283">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4</w:t>
            </w:r>
          </w:p>
        </w:tc>
        <w:tc>
          <w:tcPr>
            <w:tcW w:w="1229" w:type="dxa"/>
            <w:vAlign w:val="center"/>
          </w:tcPr>
          <w:p w14:paraId="072EB833">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Align w:val="center"/>
          </w:tcPr>
          <w:p w14:paraId="6CCCAD22">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项目理解及重难点分析</w:t>
            </w:r>
          </w:p>
        </w:tc>
      </w:tr>
      <w:tr w14:paraId="69A7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auto"/>
            <w:vAlign w:val="center"/>
          </w:tcPr>
          <w:p w14:paraId="65FFBA1A">
            <w:pPr>
              <w:widowControl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14</w:t>
            </w:r>
          </w:p>
        </w:tc>
        <w:tc>
          <w:tcPr>
            <w:tcW w:w="5684" w:type="dxa"/>
            <w:vAlign w:val="center"/>
          </w:tcPr>
          <w:p w14:paraId="4E0BF0AA">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根据投标人提供的实施计划方案，方案内容但不限于包括总体实施步骤、供货运输计划、施工部署方案等，由评委在分值范围打分，最高得</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分。</w:t>
            </w:r>
          </w:p>
        </w:tc>
        <w:tc>
          <w:tcPr>
            <w:tcW w:w="666" w:type="dxa"/>
            <w:vAlign w:val="center"/>
          </w:tcPr>
          <w:p w14:paraId="011FC692">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3</w:t>
            </w:r>
          </w:p>
        </w:tc>
        <w:tc>
          <w:tcPr>
            <w:tcW w:w="1229" w:type="dxa"/>
            <w:vAlign w:val="center"/>
          </w:tcPr>
          <w:p w14:paraId="011B4AB7">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Merge w:val="restart"/>
            <w:vAlign w:val="center"/>
          </w:tcPr>
          <w:p w14:paraId="3ED7D50D">
            <w:pPr>
              <w:widowControl w:val="0"/>
              <w:jc w:val="center"/>
              <w:rPr>
                <w:rFonts w:hint="eastAsia" w:asciiTheme="minorEastAsia" w:hAnsiTheme="minorEastAsia" w:eastAsiaTheme="minorEastAsia" w:cstheme="minorEastAsia"/>
                <w:color w:val="auto"/>
                <w:sz w:val="24"/>
                <w:lang w:bidi="ar"/>
              </w:rPr>
            </w:pPr>
            <w:r>
              <w:rPr>
                <w:rFonts w:hint="eastAsia" w:asciiTheme="minorEastAsia" w:hAnsiTheme="minorEastAsia" w:eastAsiaTheme="minorEastAsia" w:cstheme="minorEastAsia"/>
                <w:color w:val="auto"/>
                <w:sz w:val="24"/>
                <w:lang w:bidi="ar"/>
              </w:rPr>
              <w:t>项目实施方案</w:t>
            </w:r>
          </w:p>
          <w:p w14:paraId="493C27B1">
            <w:pPr>
              <w:widowControl w:val="0"/>
              <w:jc w:val="center"/>
              <w:rPr>
                <w:rFonts w:hint="eastAsia" w:asciiTheme="minorEastAsia" w:hAnsiTheme="minorEastAsia" w:eastAsiaTheme="minorEastAsia" w:cstheme="minorEastAsia"/>
                <w:color w:val="auto"/>
                <w:sz w:val="24"/>
              </w:rPr>
            </w:pPr>
          </w:p>
        </w:tc>
      </w:tr>
      <w:tr w14:paraId="1A0B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auto"/>
            <w:vAlign w:val="center"/>
          </w:tcPr>
          <w:p w14:paraId="74109801">
            <w:pPr>
              <w:widowControl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15</w:t>
            </w:r>
          </w:p>
        </w:tc>
        <w:tc>
          <w:tcPr>
            <w:tcW w:w="5684" w:type="dxa"/>
            <w:vAlign w:val="center"/>
          </w:tcPr>
          <w:p w14:paraId="5733D10A">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lang w:bidi="ar"/>
              </w:rPr>
              <w:t>根据投标人提供的安装、调试、验收方案，方案内容包含但不限于人员安排、安装、调试、验收步骤以及问题解决方案），由评委在分值范围打分</w:t>
            </w:r>
            <w:r>
              <w:rPr>
                <w:rFonts w:hint="eastAsia" w:asciiTheme="minorEastAsia" w:hAnsiTheme="minorEastAsia" w:eastAsiaTheme="minorEastAsia" w:cstheme="minorEastAsia"/>
                <w:color w:val="auto"/>
                <w:sz w:val="24"/>
              </w:rPr>
              <w:t>，最高得</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分。</w:t>
            </w:r>
          </w:p>
        </w:tc>
        <w:tc>
          <w:tcPr>
            <w:tcW w:w="666" w:type="dxa"/>
            <w:vAlign w:val="center"/>
          </w:tcPr>
          <w:p w14:paraId="39B134E9">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3</w:t>
            </w:r>
          </w:p>
        </w:tc>
        <w:tc>
          <w:tcPr>
            <w:tcW w:w="1229" w:type="dxa"/>
            <w:vAlign w:val="center"/>
          </w:tcPr>
          <w:p w14:paraId="588519A6">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Merge w:val="continue"/>
            <w:vAlign w:val="center"/>
          </w:tcPr>
          <w:p w14:paraId="7900C0A7">
            <w:pPr>
              <w:widowControl w:val="0"/>
              <w:jc w:val="center"/>
              <w:rPr>
                <w:rFonts w:hint="eastAsia" w:asciiTheme="minorEastAsia" w:hAnsiTheme="minorEastAsia" w:eastAsiaTheme="minorEastAsia" w:cstheme="minorEastAsia"/>
                <w:color w:val="auto"/>
                <w:sz w:val="24"/>
              </w:rPr>
            </w:pPr>
          </w:p>
        </w:tc>
      </w:tr>
      <w:tr w14:paraId="6A96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auto"/>
            <w:vAlign w:val="center"/>
          </w:tcPr>
          <w:p w14:paraId="13EF0A3F">
            <w:pPr>
              <w:widowControl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16</w:t>
            </w:r>
          </w:p>
        </w:tc>
        <w:tc>
          <w:tcPr>
            <w:tcW w:w="5684" w:type="dxa"/>
            <w:vAlign w:val="center"/>
          </w:tcPr>
          <w:p w14:paraId="7BFACBC7">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结合自身经验，根据项目需求及现场条件，提供设备方案，方案内容包含但不限于机组布置图、总装配图等，评委根据方案的完整性及设计功能、性能、各细节处理与采购需求吻合程度进行综合打分，最高得5分。</w:t>
            </w:r>
          </w:p>
        </w:tc>
        <w:tc>
          <w:tcPr>
            <w:tcW w:w="666" w:type="dxa"/>
            <w:vAlign w:val="center"/>
          </w:tcPr>
          <w:p w14:paraId="5C32693E">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p>
        </w:tc>
        <w:tc>
          <w:tcPr>
            <w:tcW w:w="1229" w:type="dxa"/>
            <w:vAlign w:val="center"/>
          </w:tcPr>
          <w:p w14:paraId="3AD9B5D4">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Align w:val="center"/>
          </w:tcPr>
          <w:p w14:paraId="79A8873A">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设备方案</w:t>
            </w:r>
          </w:p>
        </w:tc>
      </w:tr>
      <w:tr w14:paraId="2C17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auto"/>
            <w:vAlign w:val="center"/>
          </w:tcPr>
          <w:p w14:paraId="763AF677">
            <w:pPr>
              <w:widowControl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17</w:t>
            </w:r>
          </w:p>
        </w:tc>
        <w:tc>
          <w:tcPr>
            <w:tcW w:w="5684" w:type="dxa"/>
            <w:vAlign w:val="center"/>
          </w:tcPr>
          <w:p w14:paraId="5279F755">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根据投标人针对本项目制定的项目进度承诺及保障措施是否合理、可行性，以及是否具有针对性，包括包括各阶段工作计划、时间进度安排、</w:t>
            </w:r>
            <w:r>
              <w:rPr>
                <w:rFonts w:hint="eastAsia" w:asciiTheme="minorEastAsia" w:hAnsiTheme="minorEastAsia" w:eastAsiaTheme="minorEastAsia" w:cstheme="minorEastAsia"/>
                <w:color w:val="auto"/>
                <w:sz w:val="24"/>
                <w:lang w:val="zh-CN"/>
              </w:rPr>
              <w:t>项目组织管理</w:t>
            </w:r>
            <w:r>
              <w:rPr>
                <w:rFonts w:hint="eastAsia" w:asciiTheme="minorEastAsia" w:hAnsiTheme="minorEastAsia" w:eastAsiaTheme="minorEastAsia" w:cstheme="minorEastAsia"/>
                <w:color w:val="auto"/>
                <w:sz w:val="24"/>
              </w:rPr>
              <w:t>及保障措施等等，由评委在分值范围内打分，最高得</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分。</w:t>
            </w:r>
          </w:p>
        </w:tc>
        <w:tc>
          <w:tcPr>
            <w:tcW w:w="666" w:type="dxa"/>
            <w:vAlign w:val="center"/>
          </w:tcPr>
          <w:p w14:paraId="79317150">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3</w:t>
            </w:r>
          </w:p>
        </w:tc>
        <w:tc>
          <w:tcPr>
            <w:tcW w:w="1229" w:type="dxa"/>
            <w:vAlign w:val="center"/>
          </w:tcPr>
          <w:p w14:paraId="458CF77F">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Align w:val="center"/>
          </w:tcPr>
          <w:p w14:paraId="3C8C7C70">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项目进度承诺及保障措施</w:t>
            </w:r>
          </w:p>
        </w:tc>
      </w:tr>
      <w:tr w14:paraId="4DCA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auto"/>
            <w:vAlign w:val="center"/>
          </w:tcPr>
          <w:p w14:paraId="4A82C2FF">
            <w:pPr>
              <w:widowControl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18</w:t>
            </w:r>
          </w:p>
        </w:tc>
        <w:tc>
          <w:tcPr>
            <w:tcW w:w="5684" w:type="dxa"/>
            <w:vAlign w:val="center"/>
          </w:tcPr>
          <w:p w14:paraId="2FCC745E">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根据投标人针对本项目制定的质量保障措施，内容包含但不限于包括产品质量承诺、施工质量管控措施及人员质量管理措施等等，由评委在分值范围内打分，最高得</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分。</w:t>
            </w:r>
          </w:p>
        </w:tc>
        <w:tc>
          <w:tcPr>
            <w:tcW w:w="666" w:type="dxa"/>
            <w:vAlign w:val="center"/>
          </w:tcPr>
          <w:p w14:paraId="008EF50F">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2</w:t>
            </w:r>
          </w:p>
        </w:tc>
        <w:tc>
          <w:tcPr>
            <w:tcW w:w="1229" w:type="dxa"/>
            <w:vAlign w:val="center"/>
          </w:tcPr>
          <w:p w14:paraId="2D37D13D">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Align w:val="center"/>
          </w:tcPr>
          <w:p w14:paraId="42453DE4">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质量保证措施</w:t>
            </w:r>
          </w:p>
        </w:tc>
      </w:tr>
      <w:tr w14:paraId="21C6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auto"/>
            <w:vAlign w:val="center"/>
          </w:tcPr>
          <w:p w14:paraId="25221FC9">
            <w:pPr>
              <w:widowControl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19</w:t>
            </w:r>
          </w:p>
        </w:tc>
        <w:tc>
          <w:tcPr>
            <w:tcW w:w="5684" w:type="dxa"/>
            <w:vAlign w:val="center"/>
          </w:tcPr>
          <w:p w14:paraId="0AD38079">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eastAsia="zh-Hans"/>
              </w:rPr>
              <w:t>根据投标人针对本项目的培训方案，方案内容包含但不限于培训时间、培训内容、场地安排及技术人员安排等，由评委在分值范围内打分</w:t>
            </w:r>
            <w:r>
              <w:rPr>
                <w:rFonts w:hint="eastAsia" w:asciiTheme="minorEastAsia" w:hAnsiTheme="minorEastAsia" w:eastAsiaTheme="minorEastAsia" w:cstheme="minorEastAsia"/>
                <w:color w:val="auto"/>
                <w:sz w:val="24"/>
              </w:rPr>
              <w:t>，最高得</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分。</w:t>
            </w:r>
          </w:p>
        </w:tc>
        <w:tc>
          <w:tcPr>
            <w:tcW w:w="666" w:type="dxa"/>
            <w:vAlign w:val="center"/>
          </w:tcPr>
          <w:p w14:paraId="24312ECD">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1</w:t>
            </w:r>
          </w:p>
        </w:tc>
        <w:tc>
          <w:tcPr>
            <w:tcW w:w="1229" w:type="dxa"/>
            <w:vAlign w:val="center"/>
          </w:tcPr>
          <w:p w14:paraId="2872B48E">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Align w:val="center"/>
          </w:tcPr>
          <w:p w14:paraId="739738A3">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培训方案</w:t>
            </w:r>
          </w:p>
        </w:tc>
      </w:tr>
      <w:tr w14:paraId="19CE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auto"/>
            <w:vAlign w:val="center"/>
          </w:tcPr>
          <w:p w14:paraId="322ADAF1">
            <w:pPr>
              <w:widowControl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20</w:t>
            </w:r>
          </w:p>
        </w:tc>
        <w:tc>
          <w:tcPr>
            <w:tcW w:w="5684" w:type="dxa"/>
            <w:vAlign w:val="center"/>
          </w:tcPr>
          <w:p w14:paraId="53952AA4">
            <w:pPr>
              <w:widowControl w:val="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eastAsia="zh-Hans"/>
              </w:rPr>
              <w:t>根据投标人针对本项目提供的安全保障措施，内容包含但不限于安全管理制度、安全措施、应急预案、安全管理人员安排、文明施工及环境保护措施等，由评委在分值范围内打分</w:t>
            </w:r>
            <w:r>
              <w:rPr>
                <w:rFonts w:hint="eastAsia" w:asciiTheme="minorEastAsia" w:hAnsiTheme="minorEastAsia" w:eastAsiaTheme="minorEastAsia" w:cstheme="minorEastAsia"/>
                <w:color w:val="auto"/>
                <w:sz w:val="24"/>
              </w:rPr>
              <w:t>，最高得</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分。</w:t>
            </w:r>
          </w:p>
        </w:tc>
        <w:tc>
          <w:tcPr>
            <w:tcW w:w="666" w:type="dxa"/>
            <w:vAlign w:val="center"/>
          </w:tcPr>
          <w:p w14:paraId="7B2B4EBF">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3</w:t>
            </w:r>
          </w:p>
        </w:tc>
        <w:tc>
          <w:tcPr>
            <w:tcW w:w="1229" w:type="dxa"/>
            <w:vAlign w:val="center"/>
          </w:tcPr>
          <w:p w14:paraId="004B4176">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Align w:val="center"/>
          </w:tcPr>
          <w:p w14:paraId="20CA657D">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安全保障措施</w:t>
            </w:r>
          </w:p>
        </w:tc>
      </w:tr>
      <w:tr w14:paraId="381C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shd w:val="clear" w:color="auto" w:fill="auto"/>
            <w:vAlign w:val="center"/>
          </w:tcPr>
          <w:p w14:paraId="4947801F">
            <w:pPr>
              <w:widowControl w:val="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1</w:t>
            </w:r>
          </w:p>
        </w:tc>
        <w:tc>
          <w:tcPr>
            <w:tcW w:w="5684" w:type="dxa"/>
            <w:vAlign w:val="center"/>
          </w:tcPr>
          <w:p w14:paraId="0A240645">
            <w:pPr>
              <w:widowControl w:val="0"/>
              <w:jc w:val="both"/>
              <w:rPr>
                <w:rFonts w:hint="eastAsia" w:asciiTheme="minorEastAsia" w:hAnsiTheme="minorEastAsia" w:eastAsiaTheme="minorEastAsia" w:cstheme="minorEastAsia"/>
                <w:color w:val="auto"/>
                <w:sz w:val="24"/>
                <w:lang w:val="zh-CN" w:eastAsia="zh-Hans"/>
              </w:rPr>
            </w:pPr>
            <w:r>
              <w:rPr>
                <w:rFonts w:hint="eastAsia" w:asciiTheme="minorEastAsia" w:hAnsiTheme="minorEastAsia" w:eastAsiaTheme="minorEastAsia" w:cstheme="minorEastAsia"/>
                <w:color w:val="auto"/>
                <w:sz w:val="24"/>
                <w:lang w:val="zh-CN" w:eastAsia="zh-Hans"/>
              </w:rPr>
              <w:t>根据投标人的售后服务方案的全面性、合理性、可行性服务进行综合评分，提供快速的售后服务响应、售后服务承诺的可行性、完整性，对务承诺的保障的合理安排，由评委在分值范围内打分</w:t>
            </w:r>
            <w:r>
              <w:rPr>
                <w:rFonts w:hint="eastAsia" w:asciiTheme="minorEastAsia" w:hAnsiTheme="minorEastAsia" w:eastAsiaTheme="minorEastAsia" w:cstheme="minorEastAsia"/>
                <w:color w:val="auto"/>
                <w:sz w:val="24"/>
              </w:rPr>
              <w:t>，最高得</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分。</w:t>
            </w:r>
          </w:p>
        </w:tc>
        <w:tc>
          <w:tcPr>
            <w:tcW w:w="666" w:type="dxa"/>
            <w:vAlign w:val="center"/>
          </w:tcPr>
          <w:p w14:paraId="490FC728">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3</w:t>
            </w:r>
          </w:p>
        </w:tc>
        <w:tc>
          <w:tcPr>
            <w:tcW w:w="1229" w:type="dxa"/>
            <w:vAlign w:val="center"/>
          </w:tcPr>
          <w:p w14:paraId="7856ADE2">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主观分</w:t>
            </w:r>
          </w:p>
        </w:tc>
        <w:tc>
          <w:tcPr>
            <w:tcW w:w="1695" w:type="dxa"/>
            <w:vMerge w:val="restart"/>
            <w:vAlign w:val="center"/>
          </w:tcPr>
          <w:p w14:paraId="014EFD97">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售后服务</w:t>
            </w:r>
          </w:p>
        </w:tc>
      </w:tr>
      <w:tr w14:paraId="3260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2B569723">
            <w:pPr>
              <w:widowControl w:val="0"/>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2</w:t>
            </w:r>
          </w:p>
        </w:tc>
        <w:tc>
          <w:tcPr>
            <w:tcW w:w="5684" w:type="dxa"/>
            <w:vAlign w:val="center"/>
          </w:tcPr>
          <w:p w14:paraId="5BD96295">
            <w:pPr>
              <w:widowControl w:val="0"/>
              <w:jc w:val="both"/>
              <w:rPr>
                <w:rFonts w:hint="eastAsia" w:asciiTheme="minorEastAsia" w:hAnsiTheme="minorEastAsia" w:eastAsiaTheme="minorEastAsia" w:cstheme="minorEastAsia"/>
                <w:color w:val="auto"/>
                <w:sz w:val="24"/>
                <w:lang w:val="zh-CN" w:eastAsia="zh-Hans"/>
              </w:rPr>
            </w:pPr>
            <w:r>
              <w:rPr>
                <w:rFonts w:hint="eastAsia" w:asciiTheme="minorEastAsia" w:hAnsiTheme="minorEastAsia" w:eastAsiaTheme="minorEastAsia" w:cstheme="minorEastAsia"/>
                <w:color w:val="auto"/>
                <w:sz w:val="24"/>
                <w:lang w:val="zh-CN" w:eastAsia="zh-Hans"/>
              </w:rPr>
              <w:t>质保期承诺，满足招标文件要求基础上每增加半年得1分，最高2分，承诺书格式自拟，</w:t>
            </w:r>
            <w:r>
              <w:rPr>
                <w:rFonts w:hint="eastAsia" w:asciiTheme="minorEastAsia" w:hAnsiTheme="minorEastAsia" w:eastAsiaTheme="minorEastAsia" w:cstheme="minorEastAsia"/>
                <w:color w:val="auto"/>
                <w:sz w:val="24"/>
              </w:rPr>
              <w:t>不提供不得分</w:t>
            </w:r>
            <w:r>
              <w:rPr>
                <w:rFonts w:hint="eastAsia" w:asciiTheme="minorEastAsia" w:hAnsiTheme="minorEastAsia" w:eastAsiaTheme="minorEastAsia" w:cstheme="minorEastAsia"/>
                <w:color w:val="auto"/>
                <w:sz w:val="24"/>
                <w:lang w:val="zh-CN" w:eastAsia="zh-Hans"/>
              </w:rPr>
              <w:t>。</w:t>
            </w:r>
          </w:p>
        </w:tc>
        <w:tc>
          <w:tcPr>
            <w:tcW w:w="666" w:type="dxa"/>
            <w:vAlign w:val="center"/>
          </w:tcPr>
          <w:p w14:paraId="7B67938C">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1229" w:type="dxa"/>
            <w:vAlign w:val="center"/>
          </w:tcPr>
          <w:p w14:paraId="1588F00C">
            <w:pPr>
              <w:widowControl w:val="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客观分</w:t>
            </w:r>
          </w:p>
        </w:tc>
        <w:tc>
          <w:tcPr>
            <w:tcW w:w="1695" w:type="dxa"/>
            <w:vMerge w:val="continue"/>
            <w:vAlign w:val="center"/>
          </w:tcPr>
          <w:p w14:paraId="4692F5DC">
            <w:pPr>
              <w:widowControl w:val="0"/>
              <w:jc w:val="center"/>
              <w:rPr>
                <w:rFonts w:hint="eastAsia" w:asciiTheme="minorEastAsia" w:hAnsiTheme="minorEastAsia" w:eastAsiaTheme="minorEastAsia" w:cstheme="minorEastAsia"/>
                <w:color w:val="auto"/>
                <w:sz w:val="24"/>
              </w:rPr>
            </w:pPr>
          </w:p>
        </w:tc>
      </w:tr>
    </w:tbl>
    <w:p w14:paraId="0CD2A423">
      <w:pPr>
        <w:rPr>
          <w:rFonts w:hint="eastAsia" w:asciiTheme="minorEastAsia" w:hAnsiTheme="minorEastAsia" w:eastAsiaTheme="minorEastAsia" w:cstheme="minorEastAsia"/>
          <w:color w:val="auto"/>
          <w:sz w:val="24"/>
        </w:rPr>
      </w:pPr>
    </w:p>
    <w:p w14:paraId="5DBAA335">
      <w:pPr>
        <w:rPr>
          <w:rFonts w:hint="eastAsia" w:asciiTheme="minorEastAsia" w:hAnsiTheme="minorEastAsia" w:eastAsiaTheme="minorEastAsia" w:cstheme="minorEastAsia"/>
          <w:color w:val="auto"/>
          <w:sz w:val="24"/>
        </w:rPr>
      </w:pPr>
    </w:p>
    <w:p w14:paraId="3563711F">
      <w:pPr>
        <w:snapToGrid w:val="0"/>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0"/>
          <w:szCs w:val="20"/>
          <w:shd w:val="clear" w:color="auto" w:fill="FFFFFF"/>
        </w:rPr>
        <w:t>*</w:t>
      </w:r>
      <w:r>
        <w:rPr>
          <w:rFonts w:hint="eastAsia" w:asciiTheme="minorEastAsia" w:hAnsiTheme="minorEastAsia" w:eastAsiaTheme="minorEastAsia" w:cstheme="minorEastAsia"/>
          <w:b/>
          <w:color w:val="auto"/>
          <w:sz w:val="24"/>
        </w:rPr>
        <w:t>备注：</w:t>
      </w:r>
      <w:r>
        <w:rPr>
          <w:rFonts w:hint="eastAsia" w:asciiTheme="minorEastAsia" w:hAnsiTheme="minorEastAsia" w:eastAsiaTheme="minorEastAsia" w:cstheme="minorEastAsia"/>
          <w:color w:val="auto"/>
          <w:sz w:val="24"/>
        </w:rPr>
        <w:t>投标人编制投标文件（商务技术文件部分）时，建议按此目录（序号和内容）提供评标标准相应的商务技术资料。 </w:t>
      </w:r>
    </w:p>
    <w:p w14:paraId="4EBF9B11">
      <w:pPr>
        <w:snapToGrid w:val="0"/>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32"/>
        </w:rPr>
        <w:t>一、评标方法</w:t>
      </w:r>
    </w:p>
    <w:p w14:paraId="2DE9C2A9">
      <w:pPr>
        <w:adjustRightInd/>
        <w:spacing w:line="360" w:lineRule="auto"/>
        <w:ind w:firstLine="472" w:firstLineChars="196"/>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color w:val="auto"/>
          <w:kern w:val="0"/>
          <w:sz w:val="24"/>
        </w:rPr>
        <w:t>1.本项目采用综合评分法。</w:t>
      </w:r>
      <w:r>
        <w:rPr>
          <w:rFonts w:hint="eastAsia" w:asciiTheme="minorEastAsia" w:hAnsiTheme="minorEastAsia" w:eastAsiaTheme="minorEastAsia" w:cstheme="minorEastAsia"/>
          <w:color w:val="auto"/>
          <w:kern w:val="0"/>
          <w:sz w:val="24"/>
        </w:rPr>
        <w:t>综合评分法，是指投标文件满足招标文件全部实质性要求，且按照评审因素的量化指标评审得分最高的投标人为中标候选人的评标方法。</w:t>
      </w:r>
    </w:p>
    <w:p w14:paraId="1784F801">
      <w:pPr>
        <w:adjustRightInd/>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color w:val="auto"/>
          <w:sz w:val="32"/>
        </w:rPr>
        <w:t>二、评标标准</w:t>
      </w:r>
    </w:p>
    <w:p w14:paraId="4F833E38">
      <w:pPr>
        <w:spacing w:line="360" w:lineRule="auto"/>
        <w:ind w:firstLine="472"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color w:val="auto"/>
          <w:sz w:val="24"/>
        </w:rPr>
        <w:t>评标标准：</w:t>
      </w:r>
      <w:r>
        <w:rPr>
          <w:rFonts w:hint="eastAsia" w:asciiTheme="minorEastAsia" w:hAnsiTheme="minorEastAsia" w:eastAsiaTheme="minorEastAsia" w:cstheme="minorEastAsia"/>
          <w:color w:val="auto"/>
          <w:kern w:val="0"/>
          <w:sz w:val="24"/>
        </w:rPr>
        <w:t>见评标办法前附表。</w:t>
      </w:r>
    </w:p>
    <w:p w14:paraId="3D7FEB3F">
      <w:pPr>
        <w:spacing w:line="360" w:lineRule="auto"/>
        <w:outlineLvl w:val="0"/>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三、评标程序</w:t>
      </w:r>
    </w:p>
    <w:p w14:paraId="4054A4AE">
      <w:pPr>
        <w:spacing w:line="360" w:lineRule="auto"/>
        <w:ind w:firstLine="472" w:firstLineChars="196"/>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color w:val="auto"/>
          <w:kern w:val="0"/>
          <w:sz w:val="24"/>
        </w:rPr>
        <w:t>3.1符合性审查。</w:t>
      </w:r>
      <w:r>
        <w:rPr>
          <w:rFonts w:hint="eastAsia" w:asciiTheme="minorEastAsia" w:hAnsiTheme="minorEastAsia" w:eastAsiaTheme="minorEastAsia" w:cstheme="minorEastAsia"/>
          <w:color w:val="auto"/>
          <w:kern w:val="0"/>
          <w:sz w:val="24"/>
        </w:rPr>
        <w:t>评标委员会应当对符合资格的投标人的投标文件进行符合性审查，以确定其是否满足招标文件的实质性要求。不满足招标文件的实质性要求的，投标无效。</w:t>
      </w:r>
    </w:p>
    <w:p w14:paraId="792F8621">
      <w:pPr>
        <w:spacing w:line="360" w:lineRule="auto"/>
        <w:ind w:firstLine="472" w:firstLineChars="196"/>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color w:val="auto"/>
          <w:kern w:val="0"/>
          <w:sz w:val="24"/>
        </w:rPr>
        <w:t>3.2 比较与评价。</w:t>
      </w:r>
      <w:r>
        <w:rPr>
          <w:rFonts w:hint="eastAsia" w:asciiTheme="minorEastAsia" w:hAnsiTheme="minorEastAsia" w:eastAsiaTheme="minorEastAsia" w:cstheme="minorEastAsia"/>
          <w:color w:val="auto"/>
          <w:kern w:val="0"/>
          <w:sz w:val="24"/>
        </w:rPr>
        <w:t>评标委员会应当按照招标文件中规定的评标方法和标准，对符合性审查合格的投标文件进行商务和技术评估，综合比较与评价。</w:t>
      </w:r>
    </w:p>
    <w:p w14:paraId="0BDA2828">
      <w:pPr>
        <w:spacing w:line="360" w:lineRule="auto"/>
        <w:ind w:firstLine="472" w:firstLineChars="196"/>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color w:val="auto"/>
          <w:kern w:val="0"/>
          <w:sz w:val="24"/>
        </w:rPr>
        <w:t>3.3汇总商务技术得分。</w:t>
      </w:r>
      <w:r>
        <w:rPr>
          <w:rFonts w:hint="eastAsia" w:asciiTheme="minorEastAsia" w:hAnsiTheme="minorEastAsia" w:eastAsiaTheme="minorEastAsia" w:cstheme="minorEastAsia"/>
          <w:color w:val="auto"/>
          <w:kern w:val="0"/>
          <w:sz w:val="24"/>
        </w:rPr>
        <w:t>评标委员会各成员应当独立对每个投标人的商务和技术文件进行评价，并汇总商务技术得分情况。</w:t>
      </w:r>
    </w:p>
    <w:p w14:paraId="13EB243F">
      <w:pPr>
        <w:spacing w:line="360" w:lineRule="auto"/>
        <w:ind w:firstLine="472" w:firstLineChars="196"/>
        <w:rPr>
          <w:rFonts w:hint="eastAsia"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3.4报价评审。</w:t>
      </w:r>
    </w:p>
    <w:p w14:paraId="50F8B6AF">
      <w:pPr>
        <w:pStyle w:val="136"/>
        <w:spacing w:before="0"/>
        <w:ind w:firstLine="508" w:firstLineChars="212"/>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3.4.1投标文件报价出现前后不一致的，按照下列规定修正：</w:t>
      </w:r>
    </w:p>
    <w:p w14:paraId="4E49DE01">
      <w:pPr>
        <w:pStyle w:val="136"/>
        <w:spacing w:before="0"/>
        <w:ind w:firstLine="480"/>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3.4.1.1投标文件中开标一览表(报价表）内容与投标文件中相应内容不一致的，以开标一览表(报价表）为准；</w:t>
      </w:r>
    </w:p>
    <w:p w14:paraId="666EA546">
      <w:pPr>
        <w:pStyle w:val="136"/>
        <w:spacing w:before="0"/>
        <w:ind w:firstLine="480"/>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3.4.1.2大写金额和小写金额不一致的，以大写金额为准；</w:t>
      </w:r>
    </w:p>
    <w:p w14:paraId="4130CD79">
      <w:pPr>
        <w:pStyle w:val="136"/>
        <w:spacing w:before="0"/>
        <w:ind w:firstLine="480"/>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3.4.1.3单价金额小数点或者百分比有明显错位的，以开标一览表的总价为准，并修改单价；</w:t>
      </w:r>
    </w:p>
    <w:p w14:paraId="25E70F8C">
      <w:pPr>
        <w:pStyle w:val="136"/>
        <w:spacing w:before="0"/>
        <w:ind w:firstLine="480"/>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3.4.1.4总价金额与按单价汇总金额不一致的，以单价金额计算结果为准。</w:t>
      </w:r>
    </w:p>
    <w:p w14:paraId="74E47AC5">
      <w:pPr>
        <w:pStyle w:val="136"/>
        <w:spacing w:before="0"/>
        <w:ind w:firstLine="480"/>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3.4.1.5同时出现两种以上不一致的，按照3.4.1规定的顺序修正。修正后的报价按照建德市企采的规定经投标人确认后产生约束力。</w:t>
      </w:r>
    </w:p>
    <w:p w14:paraId="390997F3">
      <w:pPr>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3.4.2投标文件出现不是唯一的、有选择性投标报价的，投标无效。</w:t>
      </w:r>
    </w:p>
    <w:p w14:paraId="63AB1A5C">
      <w:pPr>
        <w:snapToGrid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3.4.3投标报价超过招标文件中规定的预算金额或者最高限价的，投标无效。</w:t>
      </w:r>
    </w:p>
    <w:p w14:paraId="20C07B37">
      <w:pPr>
        <w:pStyle w:val="136"/>
        <w:spacing w:before="0"/>
        <w:ind w:firstLine="480"/>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color w:val="auto"/>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55921C4C">
      <w:pPr>
        <w:spacing w:line="360" w:lineRule="auto"/>
        <w:ind w:firstLine="482"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color w:val="auto"/>
          <w:kern w:val="0"/>
          <w:sz w:val="24"/>
        </w:rPr>
        <w:t>3.5排序与推荐。</w:t>
      </w:r>
      <w:r>
        <w:rPr>
          <w:rFonts w:hint="eastAsia" w:asciiTheme="minorEastAsia" w:hAnsiTheme="minorEastAsia" w:eastAsiaTheme="minorEastAsia" w:cstheme="minorEastAsia"/>
          <w:color w:val="auto"/>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审得分相同的，采取随机抽取（抽签）方式确定。</w:t>
      </w:r>
    </w:p>
    <w:p w14:paraId="38DBF1CA">
      <w:pPr>
        <w:spacing w:line="360" w:lineRule="auto"/>
        <w:ind w:firstLine="480" w:firstLineChars="200"/>
        <w:rPr>
          <w:rFonts w:hint="eastAsia"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5303A8D">
      <w:pPr>
        <w:spacing w:line="360" w:lineRule="auto"/>
        <w:ind w:firstLine="472" w:firstLineChars="196"/>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color w:val="auto"/>
          <w:kern w:val="0"/>
          <w:sz w:val="24"/>
        </w:rPr>
        <w:t>3.6编写评标报告。</w:t>
      </w:r>
      <w:r>
        <w:rPr>
          <w:rFonts w:hint="eastAsia" w:asciiTheme="minorEastAsia" w:hAnsiTheme="minorEastAsia" w:eastAsiaTheme="minorEastAsia" w:cstheme="minorEastAsia"/>
          <w:color w:val="auto"/>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FF446D">
      <w:pPr>
        <w:shd w:val="clear" w:color="auto" w:fill="FFFFFF"/>
        <w:adjustRightInd/>
        <w:spacing w:after="225" w:line="315" w:lineRule="atLeast"/>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t>四、评标中的其他事项</w:t>
      </w:r>
    </w:p>
    <w:p w14:paraId="7F9EFA38">
      <w:pPr>
        <w:pStyle w:val="136"/>
        <w:spacing w:before="0"/>
        <w:ind w:firstLine="472" w:firstLineChars="196"/>
        <w:rPr>
          <w:rFonts w:hint="eastAsia" w:asciiTheme="minorEastAsia" w:hAnsiTheme="minorEastAsia" w:eastAsiaTheme="minorEastAsia" w:cstheme="minorEastAsia"/>
          <w:color w:val="auto"/>
          <w:kern w:val="0"/>
          <w:szCs w:val="24"/>
        </w:rPr>
      </w:pPr>
      <w:r>
        <w:rPr>
          <w:rFonts w:hint="eastAsia" w:asciiTheme="minorEastAsia" w:hAnsiTheme="minorEastAsia" w:eastAsiaTheme="minorEastAsia" w:cstheme="minorEastAsia"/>
          <w:b/>
          <w:color w:val="auto"/>
          <w:kern w:val="0"/>
          <w:szCs w:val="24"/>
        </w:rPr>
        <w:t>4.1投标人澄清、说明或者补正。</w:t>
      </w:r>
      <w:r>
        <w:rPr>
          <w:rFonts w:hint="eastAsia" w:asciiTheme="minorEastAsia" w:hAnsiTheme="minorEastAsia" w:eastAsiaTheme="minorEastAsia" w:cstheme="minorEastAsia"/>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E537529">
      <w:pPr>
        <w:pStyle w:val="25"/>
        <w:spacing w:line="360" w:lineRule="auto"/>
        <w:ind w:left="954" w:leftChars="226" w:hanging="479"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kern w:val="0"/>
        </w:rPr>
        <w:t>4.2投标无效。</w:t>
      </w:r>
      <w:r>
        <w:rPr>
          <w:rFonts w:hint="eastAsia" w:asciiTheme="minorEastAsia" w:hAnsiTheme="minorEastAsia" w:eastAsiaTheme="minorEastAsia" w:cstheme="minorEastAsia"/>
          <w:color w:val="auto"/>
          <w:szCs w:val="21"/>
        </w:rPr>
        <w:t>有下列情形之一的，投标无效：</w:t>
      </w:r>
    </w:p>
    <w:p w14:paraId="3A487BC0">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4.2.1投标人不具备招标文件中规定的资格要求的（投标人未提供有效的资格文件的，视为投标人不具备招标文件中规定的资格要求）；</w:t>
      </w:r>
    </w:p>
    <w:p w14:paraId="632EF325">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4.2.2投标文件未按照招标文件要求签署、盖章的；</w:t>
      </w:r>
    </w:p>
    <w:p w14:paraId="14B9CF44">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4.2.3投标文件含有采购人不能接受的附加条件的；</w:t>
      </w:r>
    </w:p>
    <w:p w14:paraId="3A291EF5">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4.2.4投标文件中承诺的投标有效期少于招标文件中载明的投标有效期的；</w:t>
      </w:r>
    </w:p>
    <w:p w14:paraId="233AA004">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4.2.5投标文件出现不是唯一的、有选择性投标报价的；</w:t>
      </w:r>
    </w:p>
    <w:p w14:paraId="26E224EE">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4.2.6投标报价超过招标文件中规定的预算金额或者最高限价的；</w:t>
      </w:r>
    </w:p>
    <w:p w14:paraId="7A46D2CD">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4.2.7报价明显低于其他通过符合性审查投标人的报价，有可能影响产品质量或者不能诚信履约的，未能按要求提供书面说明或者提交相关证明材料，不能证明其报价合理性的；</w:t>
      </w:r>
      <w:r>
        <w:rPr>
          <w:rFonts w:hint="eastAsia" w:asciiTheme="minorEastAsia" w:hAnsiTheme="minorEastAsia" w:eastAsiaTheme="minorEastAsia" w:cstheme="minorEastAsia"/>
          <w:b/>
          <w:bCs/>
          <w:color w:val="auto"/>
          <w:kern w:val="0"/>
          <w:sz w:val="24"/>
        </w:rPr>
        <w:t>如该项目设有招标风险控制价的，低于报价文件满足招标文件全部实质性要求的供应商平均报价的90%作无效投标处理。</w:t>
      </w:r>
    </w:p>
    <w:p w14:paraId="497C5A0B">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4.2.9投标人对根据修正原则修正后的报价不确认的；</w:t>
      </w:r>
    </w:p>
    <w:p w14:paraId="77EA4633">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4.2.10投标人提供虚假材料投标的；</w:t>
      </w:r>
    </w:p>
    <w:p w14:paraId="0EB45174">
      <w:pPr>
        <w:spacing w:line="360" w:lineRule="auto"/>
        <w:ind w:firstLine="240" w:firstLineChars="1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4.2.11投标人有恶意串通、妨碍其他投标人的竞争行为、损害采购人或者其他投标人的合法权益情形的；</w:t>
      </w:r>
    </w:p>
    <w:p w14:paraId="1F6DC8A1">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4.2.12投标人仅提交备份投标文件，未在电子交易平台传输递交投标文件的，投标无效；</w:t>
      </w:r>
    </w:p>
    <w:p w14:paraId="3A9941D0">
      <w:pPr>
        <w:pStyle w:val="3"/>
        <w:ind w:left="862" w:leftChars="205"/>
        <w:rPr>
          <w:rFonts w:hint="eastAsia" w:asciiTheme="minorEastAsia" w:hAnsiTheme="minorEastAsia" w:eastAsiaTheme="minorEastAsia" w:cstheme="minorEastAsia"/>
          <w:b w:val="0"/>
          <w:bCs w:val="0"/>
          <w:color w:val="auto"/>
          <w:kern w:val="0"/>
          <w:sz w:val="24"/>
          <w:szCs w:val="24"/>
          <w:lang w:val="en-US"/>
        </w:rPr>
      </w:pPr>
      <w:r>
        <w:rPr>
          <w:rFonts w:hint="eastAsia" w:asciiTheme="minorEastAsia" w:hAnsiTheme="minorEastAsia" w:eastAsiaTheme="minorEastAsia" w:cstheme="minorEastAsia"/>
          <w:b w:val="0"/>
          <w:bCs w:val="0"/>
          <w:color w:val="auto"/>
          <w:kern w:val="0"/>
          <w:sz w:val="24"/>
          <w:szCs w:val="24"/>
          <w:lang w:val="en-US"/>
        </w:rPr>
        <w:t>4.2.13 投标文件不满足招标文件的其他实质性要求的；</w:t>
      </w:r>
    </w:p>
    <w:p w14:paraId="6DEB0943">
      <w:pPr>
        <w:spacing w:line="360" w:lineRule="auto"/>
        <w:ind w:firstLine="482"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bCs/>
          <w:color w:val="auto"/>
          <w:kern w:val="0"/>
          <w:sz w:val="24"/>
        </w:rPr>
        <w:t>4.2.14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6FBEA2A9">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4.2.15</w:t>
      </w:r>
      <w:r>
        <w:rPr>
          <w:rFonts w:hint="eastAsia" w:asciiTheme="minorEastAsia" w:hAnsiTheme="minorEastAsia" w:eastAsiaTheme="minorEastAsia" w:cstheme="minorEastAsia"/>
          <w:color w:val="auto"/>
          <w:sz w:val="24"/>
        </w:rPr>
        <w:t>未注明或标明的服务质量标准和技术要求、服务内容等与招标文件有重大偏离的投标文件</w:t>
      </w:r>
      <w:r>
        <w:rPr>
          <w:rFonts w:hint="eastAsia" w:asciiTheme="minorEastAsia" w:hAnsiTheme="minorEastAsia" w:eastAsiaTheme="minorEastAsia" w:cstheme="minorEastAsia"/>
          <w:b/>
          <w:bCs/>
          <w:color w:val="auto"/>
          <w:sz w:val="24"/>
        </w:rPr>
        <w:t>（技术参数中打▲号的条件不满足按技术指标与招标文件有重大偏离处理）</w:t>
      </w:r>
    </w:p>
    <w:p w14:paraId="026ED152">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4.2.16法律法规、规章（适用本市的）及省级以上规范性文件（适用本市的）规定的其他无效情形。</w:t>
      </w:r>
    </w:p>
    <w:p w14:paraId="15EB7F91">
      <w:pPr>
        <w:pStyle w:val="25"/>
        <w:snapToGrid w:val="0"/>
        <w:spacing w:line="360" w:lineRule="auto"/>
        <w:ind w:firstLine="472" w:firstLineChars="19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5.废标。</w:t>
      </w:r>
      <w:r>
        <w:rPr>
          <w:rFonts w:hint="eastAsia" w:asciiTheme="minorEastAsia" w:hAnsiTheme="minorEastAsia" w:eastAsiaTheme="minorEastAsia" w:cstheme="minorEastAsia"/>
          <w:color w:val="auto"/>
        </w:rPr>
        <w:t>根据建德市企采规定，在采购中，出现下列情形之一的，应予废标：</w:t>
      </w:r>
    </w:p>
    <w:p w14:paraId="23343E0A">
      <w:pPr>
        <w:pStyle w:val="25"/>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5.1符合专业条件的供应商或者对招标文件作实质响应的供应商不足3家的；</w:t>
      </w:r>
    </w:p>
    <w:p w14:paraId="6F4D8AF7">
      <w:pPr>
        <w:pStyle w:val="25"/>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5.2出现影响采购公正的违法、违规行为的；</w:t>
      </w:r>
    </w:p>
    <w:p w14:paraId="14A5A2A1">
      <w:pPr>
        <w:pStyle w:val="25"/>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5.3投标人的报价均超过了采购预算，采购人不能支付的；</w:t>
      </w:r>
    </w:p>
    <w:p w14:paraId="53BBDCE6">
      <w:pPr>
        <w:pStyle w:val="25"/>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5.4因重大变故，采购任务取消的。</w:t>
      </w:r>
    </w:p>
    <w:p w14:paraId="537921B6">
      <w:pPr>
        <w:pStyle w:val="25"/>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废标后，采购代理机构应当将废标理由通知所有投标人。</w:t>
      </w:r>
    </w:p>
    <w:p w14:paraId="73EE2CB5">
      <w:pPr>
        <w:pStyle w:val="25"/>
        <w:snapToGrid w:val="0"/>
        <w:spacing w:line="360" w:lineRule="auto"/>
        <w:ind w:firstLine="590" w:firstLineChars="24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6.修改招标文件，重新组织采购活动。</w:t>
      </w:r>
      <w:r>
        <w:rPr>
          <w:rFonts w:hint="eastAsia" w:asciiTheme="minorEastAsia" w:hAnsiTheme="minorEastAsia" w:eastAsiaTheme="minorEastAsia" w:cstheme="minorEastAsia"/>
          <w:color w:val="auto"/>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9D57BFE">
      <w:pPr>
        <w:pStyle w:val="25"/>
        <w:snapToGrid w:val="0"/>
        <w:spacing w:line="360" w:lineRule="auto"/>
        <w:ind w:firstLine="4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kern w:val="0"/>
        </w:rPr>
        <w:t>7.重新开展采购。</w:t>
      </w:r>
      <w:r>
        <w:rPr>
          <w:rFonts w:hint="eastAsia" w:asciiTheme="minorEastAsia" w:hAnsiTheme="minorEastAsia" w:eastAsiaTheme="minorEastAsia" w:cstheme="minorEastAsia"/>
          <w:color w:val="auto"/>
        </w:rPr>
        <w:t>有建德市企采规定的违法行为之一，影响或者可能影响中标结果的，依照下列规定处理：</w:t>
      </w:r>
    </w:p>
    <w:p w14:paraId="1CE5AE6A">
      <w:pPr>
        <w:pStyle w:val="25"/>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7.1未确定中标供应商的，终止本次国有企业采购活动，重新开展国有企业采购活动。</w:t>
      </w:r>
    </w:p>
    <w:p w14:paraId="1DB56957">
      <w:pPr>
        <w:pStyle w:val="25"/>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7.2已确定中标供应商但尚未签订国有企业采购合同的，中标结果无效，从合格的中标候选人中另行确定中标供应商；没有合格的中标候选人的，重新开展采购活动。</w:t>
      </w:r>
    </w:p>
    <w:p w14:paraId="55DF97B8">
      <w:pPr>
        <w:pStyle w:val="25"/>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7.3采购合同已签订但尚未履行的，撤销合同，从合格的中标候选人中另行确定中标供应商；没有合格的中标候选人的，重新开展采购活动。</w:t>
      </w:r>
    </w:p>
    <w:p w14:paraId="4F4297AF">
      <w:pPr>
        <w:pStyle w:val="25"/>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7.4采购合同已经履行，给采购人、供应商造成损失的，由责任人承担赔偿责任。</w:t>
      </w:r>
    </w:p>
    <w:p w14:paraId="112E3708">
      <w:pPr>
        <w:pStyle w:val="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7.5采购当事人有其他违反国有企业采购法或者国有企业采购法实施条例等法律法规规定的行为，经改正后仍然影响或者可能影响中标结果或者依法被认定为中标无效的，依照7.1-7.4规定处理。</w:t>
      </w:r>
    </w:p>
    <w:bookmarkEnd w:id="25"/>
    <w:p w14:paraId="149AD582">
      <w:pPr>
        <w:rPr>
          <w:rFonts w:hint="eastAsia" w:asciiTheme="minorEastAsia" w:hAnsiTheme="minorEastAsia" w:eastAsiaTheme="minorEastAsia" w:cstheme="minorEastAsia"/>
          <w:color w:val="auto"/>
          <w:sz w:val="24"/>
        </w:rPr>
      </w:pPr>
      <w:bookmarkStart w:id="28" w:name="第五部分"/>
      <w:bookmarkStart w:id="29" w:name="_Toc86217003"/>
    </w:p>
    <w:p w14:paraId="398E6B9A">
      <w:pPr>
        <w:rPr>
          <w:rFonts w:hint="eastAsia" w:asciiTheme="minorEastAsia" w:hAnsiTheme="minorEastAsia" w:eastAsiaTheme="minorEastAsia" w:cstheme="minorEastAsia"/>
          <w:color w:val="auto"/>
          <w:sz w:val="24"/>
        </w:rPr>
      </w:pPr>
    </w:p>
    <w:p w14:paraId="1038C813">
      <w:pPr>
        <w:rPr>
          <w:rFonts w:hint="eastAsia" w:asciiTheme="minorEastAsia" w:hAnsiTheme="minorEastAsia" w:eastAsiaTheme="minorEastAsia" w:cstheme="minorEastAsia"/>
          <w:color w:val="auto"/>
          <w:sz w:val="24"/>
        </w:rPr>
      </w:pPr>
    </w:p>
    <w:p w14:paraId="3EDBD4CC">
      <w:pPr>
        <w:rPr>
          <w:rFonts w:hint="eastAsia" w:asciiTheme="minorEastAsia" w:hAnsiTheme="minorEastAsia" w:eastAsiaTheme="minorEastAsia" w:cstheme="minorEastAsia"/>
          <w:color w:val="auto"/>
          <w:sz w:val="24"/>
        </w:rPr>
      </w:pPr>
    </w:p>
    <w:p w14:paraId="03FC5894">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14:paraId="23CD7BB2">
      <w:pPr>
        <w:spacing w:line="312" w:lineRule="auto"/>
        <w:jc w:val="center"/>
        <w:outlineLvl w:val="0"/>
        <w:rPr>
          <w:rStyle w:val="359"/>
          <w:rFonts w:hint="default"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color w:val="auto"/>
          <w:sz w:val="36"/>
          <w:szCs w:val="36"/>
        </w:rPr>
        <w:t xml:space="preserve">第五部分 </w:t>
      </w:r>
      <w:r>
        <w:rPr>
          <w:rStyle w:val="359"/>
          <w:rFonts w:asciiTheme="minorEastAsia" w:hAnsiTheme="minorEastAsia" w:eastAsiaTheme="minorEastAsia" w:cstheme="minorEastAsia"/>
          <w:bCs/>
          <w:color w:val="auto"/>
          <w:sz w:val="36"/>
          <w:szCs w:val="36"/>
        </w:rPr>
        <w:t>采购合同</w:t>
      </w:r>
    </w:p>
    <w:p w14:paraId="7C39F364">
      <w:pPr>
        <w:pStyle w:val="33"/>
        <w:snapToGrid w:val="0"/>
        <w:spacing w:line="312" w:lineRule="auto"/>
        <w:jc w:val="center"/>
        <w:rPr>
          <w:rFonts w:hint="eastAsia" w:asciiTheme="minorEastAsia" w:hAnsiTheme="minorEastAsia" w:eastAsiaTheme="minorEastAsia" w:cstheme="minorEastAsia"/>
          <w:b/>
          <w:color w:val="auto"/>
          <w:sz w:val="30"/>
        </w:rPr>
      </w:pPr>
      <w:r>
        <w:rPr>
          <w:rFonts w:hint="eastAsia" w:asciiTheme="minorEastAsia" w:hAnsiTheme="minorEastAsia" w:eastAsiaTheme="minorEastAsia" w:cstheme="minorEastAsia"/>
          <w:b/>
          <w:color w:val="auto"/>
          <w:sz w:val="24"/>
          <w:szCs w:val="24"/>
        </w:rPr>
        <w:t>（本合同为合同样稿，最终稿由三方协商后确定）</w:t>
      </w:r>
    </w:p>
    <w:p w14:paraId="659889D8">
      <w:pPr>
        <w:pStyle w:val="33"/>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sz w:val="24"/>
          <w:szCs w:val="24"/>
        </w:rPr>
        <w:t>合同编号：</w:t>
      </w:r>
    </w:p>
    <w:p w14:paraId="6B9DFF4F">
      <w:pPr>
        <w:pStyle w:val="3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甲方（使用方）：建德市罗村水力发电有限公司</w:t>
      </w:r>
    </w:p>
    <w:p w14:paraId="640F1943">
      <w:pPr>
        <w:pStyle w:val="3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乙方（供应商）:</w:t>
      </w:r>
    </w:p>
    <w:p w14:paraId="4840418C">
      <w:pPr>
        <w:pStyle w:val="33"/>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bCs/>
          <w:color w:val="auto"/>
          <w:sz w:val="24"/>
          <w:szCs w:val="24"/>
        </w:rPr>
        <w:t>见证方（代理机构）：杭州欧方工程管理有限公司</w:t>
      </w:r>
    </w:p>
    <w:p w14:paraId="7C8C0425">
      <w:pPr>
        <w:pStyle w:val="33"/>
        <w:rPr>
          <w:rFonts w:hint="eastAsia" w:asciiTheme="minorEastAsia" w:hAnsiTheme="minorEastAsia" w:eastAsiaTheme="minorEastAsia" w:cstheme="minorEastAsia"/>
          <w:color w:val="auto"/>
          <w:sz w:val="24"/>
          <w:szCs w:val="24"/>
        </w:rPr>
      </w:pPr>
    </w:p>
    <w:p w14:paraId="3E3D6A58">
      <w:pPr>
        <w:pStyle w:val="33"/>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根据《中华人民共和国民法典》的规定，经</w:t>
      </w:r>
      <w:r>
        <w:rPr>
          <w:rFonts w:hint="eastAsia" w:asciiTheme="minorEastAsia" w:hAnsiTheme="minorEastAsia" w:eastAsiaTheme="minorEastAsia" w:cstheme="minorEastAsia"/>
          <w:color w:val="auto"/>
          <w:sz w:val="24"/>
          <w:szCs w:val="24"/>
          <w:u w:val="single"/>
        </w:rPr>
        <w:t>公开招标</w:t>
      </w:r>
      <w:r>
        <w:rPr>
          <w:rFonts w:hint="eastAsia" w:asciiTheme="minorEastAsia" w:hAnsiTheme="minorEastAsia" w:eastAsiaTheme="minorEastAsia" w:cstheme="minorEastAsia"/>
          <w:color w:val="auto"/>
          <w:sz w:val="24"/>
          <w:szCs w:val="24"/>
        </w:rPr>
        <w:t>（采购方式），确定乙方为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（项目全称）的中标单位。为明确双方的权利和义务，经甲乙双方协商达成合同如下：</w:t>
      </w:r>
    </w:p>
    <w:p w14:paraId="3BCD33F5">
      <w:pPr>
        <w:pStyle w:val="3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kern w:val="0"/>
          <w:sz w:val="24"/>
        </w:rPr>
        <w:t>第一条：</w:t>
      </w:r>
      <w:r>
        <w:rPr>
          <w:rFonts w:hint="eastAsia" w:asciiTheme="minorEastAsia" w:hAnsiTheme="minorEastAsia" w:eastAsiaTheme="minorEastAsia" w:cstheme="minorEastAsia"/>
          <w:color w:val="auto"/>
          <w:sz w:val="24"/>
          <w:szCs w:val="24"/>
        </w:rPr>
        <w:t>货物内容、数量、价款</w:t>
      </w:r>
    </w:p>
    <w:tbl>
      <w:tblPr>
        <w:tblStyle w:val="6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85"/>
        <w:gridCol w:w="720"/>
        <w:gridCol w:w="3600"/>
        <w:gridCol w:w="720"/>
        <w:gridCol w:w="720"/>
        <w:gridCol w:w="1080"/>
        <w:gridCol w:w="1260"/>
      </w:tblGrid>
      <w:tr w14:paraId="360D0A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185" w:type="dxa"/>
            <w:tcBorders>
              <w:top w:val="single" w:color="auto" w:sz="4" w:space="0"/>
              <w:left w:val="single" w:color="auto" w:sz="4" w:space="0"/>
              <w:bottom w:val="nil"/>
              <w:right w:val="single" w:color="auto" w:sz="4" w:space="0"/>
            </w:tcBorders>
            <w:vAlign w:val="center"/>
          </w:tcPr>
          <w:p w14:paraId="467EF120">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项目（货物）名称</w:t>
            </w:r>
          </w:p>
        </w:tc>
        <w:tc>
          <w:tcPr>
            <w:tcW w:w="720" w:type="dxa"/>
            <w:tcBorders>
              <w:top w:val="single" w:color="auto" w:sz="4" w:space="0"/>
              <w:left w:val="single" w:color="auto" w:sz="4" w:space="0"/>
              <w:bottom w:val="nil"/>
              <w:right w:val="single" w:color="auto" w:sz="4" w:space="0"/>
            </w:tcBorders>
            <w:vAlign w:val="center"/>
          </w:tcPr>
          <w:p w14:paraId="7679F6C9">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品牌</w:t>
            </w:r>
          </w:p>
        </w:tc>
        <w:tc>
          <w:tcPr>
            <w:tcW w:w="3600" w:type="dxa"/>
            <w:tcBorders>
              <w:top w:val="single" w:color="auto" w:sz="4" w:space="0"/>
              <w:left w:val="single" w:color="auto" w:sz="4" w:space="0"/>
              <w:bottom w:val="nil"/>
              <w:right w:val="single" w:color="auto" w:sz="4" w:space="0"/>
            </w:tcBorders>
            <w:vAlign w:val="center"/>
          </w:tcPr>
          <w:p w14:paraId="52ACF52E">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规格型号（或配置）及主要技术参数</w:t>
            </w:r>
          </w:p>
        </w:tc>
        <w:tc>
          <w:tcPr>
            <w:tcW w:w="720" w:type="dxa"/>
            <w:tcBorders>
              <w:top w:val="single" w:color="auto" w:sz="4" w:space="0"/>
              <w:left w:val="single" w:color="auto" w:sz="4" w:space="0"/>
              <w:bottom w:val="nil"/>
              <w:right w:val="single" w:color="auto" w:sz="4" w:space="0"/>
            </w:tcBorders>
            <w:vAlign w:val="center"/>
          </w:tcPr>
          <w:p w14:paraId="609121AA">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w:t>
            </w:r>
          </w:p>
        </w:tc>
        <w:tc>
          <w:tcPr>
            <w:tcW w:w="720" w:type="dxa"/>
            <w:tcBorders>
              <w:top w:val="single" w:color="auto" w:sz="4" w:space="0"/>
              <w:left w:val="single" w:color="auto" w:sz="4" w:space="0"/>
              <w:bottom w:val="nil"/>
              <w:right w:val="single" w:color="auto" w:sz="4" w:space="0"/>
            </w:tcBorders>
            <w:vAlign w:val="center"/>
          </w:tcPr>
          <w:p w14:paraId="36896FAD">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数量</w:t>
            </w:r>
          </w:p>
        </w:tc>
        <w:tc>
          <w:tcPr>
            <w:tcW w:w="1080" w:type="dxa"/>
            <w:tcBorders>
              <w:top w:val="single" w:color="auto" w:sz="4" w:space="0"/>
              <w:left w:val="single" w:color="auto" w:sz="4" w:space="0"/>
              <w:bottom w:val="nil"/>
              <w:right w:val="single" w:color="auto" w:sz="4" w:space="0"/>
            </w:tcBorders>
            <w:vAlign w:val="center"/>
          </w:tcPr>
          <w:p w14:paraId="5D19D797">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单价（元）</w:t>
            </w:r>
          </w:p>
        </w:tc>
        <w:tc>
          <w:tcPr>
            <w:tcW w:w="1260" w:type="dxa"/>
            <w:tcBorders>
              <w:top w:val="single" w:color="auto" w:sz="4" w:space="0"/>
              <w:left w:val="single" w:color="auto" w:sz="4" w:space="0"/>
              <w:bottom w:val="nil"/>
              <w:right w:val="single" w:color="auto" w:sz="4" w:space="0"/>
            </w:tcBorders>
            <w:vAlign w:val="center"/>
          </w:tcPr>
          <w:p w14:paraId="2DA768BA">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总价（元）</w:t>
            </w:r>
          </w:p>
        </w:tc>
      </w:tr>
      <w:tr w14:paraId="631D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85" w:type="dxa"/>
            <w:vAlign w:val="center"/>
          </w:tcPr>
          <w:p w14:paraId="0E3C3035">
            <w:pPr>
              <w:rPr>
                <w:rFonts w:hint="eastAsia" w:asciiTheme="minorEastAsia" w:hAnsiTheme="minorEastAsia" w:eastAsiaTheme="minorEastAsia" w:cstheme="minorEastAsia"/>
                <w:color w:val="auto"/>
                <w:sz w:val="24"/>
              </w:rPr>
            </w:pPr>
          </w:p>
        </w:tc>
        <w:tc>
          <w:tcPr>
            <w:tcW w:w="720" w:type="dxa"/>
            <w:vAlign w:val="center"/>
          </w:tcPr>
          <w:p w14:paraId="39D5306F">
            <w:pPr>
              <w:rPr>
                <w:rFonts w:hint="eastAsia" w:asciiTheme="minorEastAsia" w:hAnsiTheme="minorEastAsia" w:eastAsiaTheme="minorEastAsia" w:cstheme="minorEastAsia"/>
                <w:color w:val="auto"/>
                <w:sz w:val="24"/>
              </w:rPr>
            </w:pPr>
          </w:p>
        </w:tc>
        <w:tc>
          <w:tcPr>
            <w:tcW w:w="3600" w:type="dxa"/>
            <w:vAlign w:val="center"/>
          </w:tcPr>
          <w:p w14:paraId="23178D26">
            <w:pPr>
              <w:rPr>
                <w:rFonts w:hint="eastAsia" w:asciiTheme="minorEastAsia" w:hAnsiTheme="minorEastAsia" w:eastAsiaTheme="minorEastAsia" w:cstheme="minorEastAsia"/>
                <w:color w:val="auto"/>
                <w:sz w:val="24"/>
              </w:rPr>
            </w:pPr>
          </w:p>
        </w:tc>
        <w:tc>
          <w:tcPr>
            <w:tcW w:w="720" w:type="dxa"/>
            <w:vAlign w:val="center"/>
          </w:tcPr>
          <w:p w14:paraId="22413996">
            <w:pPr>
              <w:rPr>
                <w:rFonts w:hint="eastAsia" w:asciiTheme="minorEastAsia" w:hAnsiTheme="minorEastAsia" w:eastAsiaTheme="minorEastAsia" w:cstheme="minorEastAsia"/>
                <w:color w:val="auto"/>
                <w:sz w:val="24"/>
              </w:rPr>
            </w:pPr>
          </w:p>
        </w:tc>
        <w:tc>
          <w:tcPr>
            <w:tcW w:w="720" w:type="dxa"/>
            <w:vAlign w:val="center"/>
          </w:tcPr>
          <w:p w14:paraId="083C0028">
            <w:pPr>
              <w:rPr>
                <w:rFonts w:hint="eastAsia" w:asciiTheme="minorEastAsia" w:hAnsiTheme="minorEastAsia" w:eastAsiaTheme="minorEastAsia" w:cstheme="minorEastAsia"/>
                <w:color w:val="auto"/>
                <w:sz w:val="24"/>
              </w:rPr>
            </w:pPr>
          </w:p>
        </w:tc>
        <w:tc>
          <w:tcPr>
            <w:tcW w:w="1080" w:type="dxa"/>
            <w:vAlign w:val="center"/>
          </w:tcPr>
          <w:p w14:paraId="07578FA0">
            <w:pPr>
              <w:rPr>
                <w:rFonts w:hint="eastAsia" w:asciiTheme="minorEastAsia" w:hAnsiTheme="minorEastAsia" w:eastAsiaTheme="minorEastAsia" w:cstheme="minorEastAsia"/>
                <w:color w:val="auto"/>
                <w:sz w:val="24"/>
              </w:rPr>
            </w:pPr>
          </w:p>
        </w:tc>
        <w:tc>
          <w:tcPr>
            <w:tcW w:w="1260" w:type="dxa"/>
            <w:vAlign w:val="center"/>
          </w:tcPr>
          <w:p w14:paraId="75898CD0">
            <w:pPr>
              <w:rPr>
                <w:rFonts w:hint="eastAsia" w:asciiTheme="minorEastAsia" w:hAnsiTheme="minorEastAsia" w:eastAsiaTheme="minorEastAsia" w:cstheme="minorEastAsia"/>
                <w:color w:val="auto"/>
                <w:sz w:val="24"/>
              </w:rPr>
            </w:pPr>
          </w:p>
        </w:tc>
      </w:tr>
      <w:tr w14:paraId="76CE88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6945" w:type="dxa"/>
            <w:gridSpan w:val="5"/>
            <w:tcBorders>
              <w:top w:val="single" w:color="auto" w:sz="4" w:space="0"/>
              <w:left w:val="single" w:color="auto" w:sz="4" w:space="0"/>
              <w:bottom w:val="single" w:color="auto" w:sz="4" w:space="0"/>
              <w:right w:val="single" w:color="auto" w:sz="4" w:space="0"/>
            </w:tcBorders>
            <w:vAlign w:val="center"/>
          </w:tcPr>
          <w:p w14:paraId="1EB8E31A">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合计：人民币                          整</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2DF71220">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元</w:t>
            </w:r>
          </w:p>
        </w:tc>
      </w:tr>
    </w:tbl>
    <w:p w14:paraId="1B14306F">
      <w:pPr>
        <w:pStyle w:val="33"/>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p>
    <w:p w14:paraId="623F4B42">
      <w:pPr>
        <w:pStyle w:val="33"/>
        <w:numPr>
          <w:ilvl w:val="0"/>
          <w:numId w:val="15"/>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以上表格可自行扩展；商品型号、数量、配置要求等也可附详细清单；</w:t>
      </w:r>
    </w:p>
    <w:p w14:paraId="0EFFA3EE">
      <w:pPr>
        <w:numPr>
          <w:ilvl w:val="0"/>
          <w:numId w:val="15"/>
        </w:num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金额包括但不限于设备设计、生产、供货、运输装卸、二次搬运费、拆除、安装调试、产品保护、保险、配件及材料、附件、产品保管、技术服务费、运杂费、人工、试运行、备品备件、专用工具、税金、利润、辅助工作以及售后服务等本项目所有可能涉及的一切费用。</w:t>
      </w:r>
    </w:p>
    <w:p w14:paraId="04FE4F0E">
      <w:pPr>
        <w:numPr>
          <w:ilvl w:val="0"/>
          <w:numId w:val="15"/>
        </w:num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电线电缆、管材</w:t>
      </w:r>
      <w:r>
        <w:rPr>
          <w:rFonts w:hint="eastAsia" w:asciiTheme="minorEastAsia" w:hAnsiTheme="minorEastAsia" w:eastAsiaTheme="minorEastAsia" w:cstheme="minorEastAsia"/>
          <w:color w:val="auto"/>
          <w:sz w:val="24"/>
          <w:lang w:eastAsia="zh-CN"/>
        </w:rPr>
        <w:t>、接地装置</w:t>
      </w:r>
      <w:r>
        <w:rPr>
          <w:rFonts w:hint="eastAsia" w:asciiTheme="minorEastAsia" w:hAnsiTheme="minorEastAsia" w:eastAsiaTheme="minorEastAsia" w:cstheme="minorEastAsia"/>
          <w:color w:val="auto"/>
          <w:sz w:val="24"/>
          <w:lang w:val="en-US" w:eastAsia="zh-CN"/>
        </w:rPr>
        <w:t>材料</w:t>
      </w:r>
      <w:r>
        <w:rPr>
          <w:rFonts w:hint="eastAsia" w:asciiTheme="minorEastAsia" w:hAnsiTheme="minorEastAsia" w:eastAsiaTheme="minorEastAsia" w:cstheme="minorEastAsia"/>
          <w:color w:val="auto"/>
          <w:sz w:val="24"/>
        </w:rPr>
        <w:t>根据投标单价按实结算</w:t>
      </w:r>
      <w:r>
        <w:rPr>
          <w:rFonts w:hint="eastAsia" w:asciiTheme="minorEastAsia" w:hAnsiTheme="minorEastAsia" w:eastAsiaTheme="minorEastAsia" w:cstheme="minorEastAsia"/>
          <w:color w:val="auto"/>
          <w:sz w:val="24"/>
          <w:lang w:eastAsia="zh-CN"/>
        </w:rPr>
        <w:t>。</w:t>
      </w:r>
    </w:p>
    <w:p w14:paraId="2C283EFA">
      <w:pPr>
        <w:numPr>
          <w:ilvl w:val="0"/>
          <w:numId w:val="15"/>
        </w:num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本项目为交钥匙工程，清单中所列的主要为采购设备清单，但</w:t>
      </w:r>
      <w:r>
        <w:rPr>
          <w:rFonts w:hint="eastAsia" w:asciiTheme="minorEastAsia" w:hAnsiTheme="minorEastAsia" w:eastAsiaTheme="minorEastAsia" w:cstheme="minorEastAsia"/>
          <w:color w:val="auto"/>
          <w:sz w:val="24"/>
          <w:lang w:val="en-US" w:eastAsia="zh-CN"/>
        </w:rPr>
        <w:t>乙方</w:t>
      </w:r>
      <w:r>
        <w:rPr>
          <w:rFonts w:hint="eastAsia" w:asciiTheme="minorEastAsia" w:hAnsiTheme="minorEastAsia" w:eastAsiaTheme="minorEastAsia" w:cstheme="minorEastAsia"/>
          <w:color w:val="auto"/>
          <w:sz w:val="24"/>
        </w:rPr>
        <w:t>所投安装设备并不限于以上设备清单，</w:t>
      </w:r>
      <w:r>
        <w:rPr>
          <w:rFonts w:hint="eastAsia" w:asciiTheme="minorEastAsia" w:hAnsiTheme="minorEastAsia" w:eastAsiaTheme="minorEastAsia" w:cstheme="minorEastAsia"/>
          <w:color w:val="auto"/>
          <w:sz w:val="24"/>
          <w:lang w:val="en-US" w:eastAsia="zh-CN"/>
        </w:rPr>
        <w:t>乙方</w:t>
      </w:r>
      <w:r>
        <w:rPr>
          <w:rFonts w:hint="eastAsia" w:asciiTheme="minorEastAsia" w:hAnsiTheme="minorEastAsia" w:eastAsiaTheme="minorEastAsia" w:cstheme="minorEastAsia"/>
          <w:color w:val="auto"/>
          <w:sz w:val="24"/>
        </w:rPr>
        <w:t>应根据所投设备的具体安装和使用情况，对清单中未列出和本技术规格书内未说明的，而</w:t>
      </w:r>
      <w:r>
        <w:rPr>
          <w:rFonts w:hint="eastAsia" w:asciiTheme="minorEastAsia" w:hAnsiTheme="minorEastAsia" w:eastAsiaTheme="minorEastAsia" w:cstheme="minorEastAsia"/>
          <w:color w:val="auto"/>
          <w:sz w:val="24"/>
          <w:lang w:val="en-US" w:eastAsia="zh-CN"/>
        </w:rPr>
        <w:t>乙方</w:t>
      </w:r>
      <w:r>
        <w:rPr>
          <w:rFonts w:hint="eastAsia" w:asciiTheme="minorEastAsia" w:hAnsiTheme="minorEastAsia" w:eastAsiaTheme="minorEastAsia" w:cstheme="minorEastAsia"/>
          <w:color w:val="auto"/>
          <w:sz w:val="24"/>
        </w:rPr>
        <w:t>为使整套设备能够按本技术规格书要求长期正常有效运行所需的货物和服务须在清单中予以补充，并包含在</w:t>
      </w:r>
      <w:r>
        <w:rPr>
          <w:rFonts w:hint="eastAsia" w:asciiTheme="minorEastAsia" w:hAnsiTheme="minorEastAsia" w:eastAsiaTheme="minorEastAsia" w:cstheme="minorEastAsia"/>
          <w:color w:val="auto"/>
          <w:sz w:val="24"/>
          <w:lang w:val="en-US" w:eastAsia="zh-CN"/>
        </w:rPr>
        <w:t>中标</w:t>
      </w:r>
      <w:r>
        <w:rPr>
          <w:rFonts w:hint="eastAsia" w:asciiTheme="minorEastAsia" w:hAnsiTheme="minorEastAsia" w:eastAsiaTheme="minorEastAsia" w:cstheme="minorEastAsia"/>
          <w:color w:val="auto"/>
          <w:sz w:val="24"/>
        </w:rPr>
        <w:t>价内</w:t>
      </w:r>
      <w:r>
        <w:rPr>
          <w:rFonts w:hint="eastAsia" w:asciiTheme="minorEastAsia" w:hAnsiTheme="minorEastAsia" w:eastAsiaTheme="minorEastAsia" w:cstheme="minorEastAsia"/>
          <w:color w:val="auto"/>
          <w:sz w:val="24"/>
          <w:lang w:eastAsia="zh-CN"/>
        </w:rPr>
        <w:t>。</w:t>
      </w:r>
    </w:p>
    <w:p w14:paraId="38605464">
      <w:pPr>
        <w:numPr>
          <w:ilvl w:val="0"/>
          <w:numId w:val="15"/>
        </w:num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合同价款中包含与提供服务有关的一切费用，甲方不再另行支付费用。</w:t>
      </w:r>
    </w:p>
    <w:p w14:paraId="639E9C41">
      <w:pPr>
        <w:widowControl w:val="0"/>
        <w:tabs>
          <w:tab w:val="left" w:pos="5500"/>
        </w:tabs>
        <w:autoSpaceDE w:val="0"/>
        <w:snapToGrid w:val="0"/>
        <w:spacing w:line="312" w:lineRule="auto"/>
        <w:rPr>
          <w:rFonts w:hint="eastAsia"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第二条：质量要求：</w:t>
      </w:r>
    </w:p>
    <w:p w14:paraId="1D50BF42">
      <w:pPr>
        <w:numPr>
          <w:ilvl w:val="0"/>
          <w:numId w:val="16"/>
        </w:numPr>
        <w:adjustRightInd/>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乙方保证所供商品(包括商品部件、配件)是2025年1月1日以后生产的、未使用过的，符合国家规定的技术规格和质量标准的出厂原装合格产品，并且是完全符合本次招标文件(包括补充更正，如有)中采购货物要求所规定的技术参数和质量要求。</w:t>
      </w:r>
    </w:p>
    <w:p w14:paraId="25597696">
      <w:pPr>
        <w:numPr>
          <w:ilvl w:val="0"/>
          <w:numId w:val="16"/>
        </w:num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售后服务按国家市场监督管理总局和国家其他有关规定执行，国家没有规定的按厂商规定执行。国家规定标准低于厂商标准的按厂商标准执行。</w:t>
      </w:r>
    </w:p>
    <w:p w14:paraId="27BEF3FA">
      <w:pPr>
        <w:widowControl w:val="0"/>
        <w:tabs>
          <w:tab w:val="left" w:pos="5500"/>
        </w:tabs>
        <w:autoSpaceDE w:val="0"/>
        <w:snapToGrid w:val="0"/>
        <w:spacing w:line="312" w:lineRule="auto"/>
        <w:rPr>
          <w:rFonts w:hint="eastAsia"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第三条：合同履行时间、地点</w:t>
      </w:r>
    </w:p>
    <w:p w14:paraId="274BC151">
      <w:pPr>
        <w:widowControl w:val="0"/>
        <w:numPr>
          <w:ilvl w:val="0"/>
          <w:numId w:val="17"/>
        </w:numPr>
        <w:autoSpaceDE w:val="0"/>
        <w:snapToGrid w:val="0"/>
        <w:spacing w:line="312"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kern w:val="0"/>
          <w:sz w:val="24"/>
        </w:rPr>
        <w:t>合同履行时间：自合同签订生效之日起至</w:t>
      </w:r>
      <w:r>
        <w:rPr>
          <w:rFonts w:hint="eastAsia" w:asciiTheme="minorEastAsia" w:hAnsiTheme="minorEastAsia" w:eastAsiaTheme="minorEastAsia" w:cstheme="minorEastAsia"/>
          <w:color w:val="auto"/>
          <w:kern w:val="0"/>
          <w:sz w:val="24"/>
          <w:lang w:val="en-US" w:eastAsia="zh-CN"/>
        </w:rPr>
        <w:t xml:space="preserve">   </w:t>
      </w:r>
      <w:r>
        <w:rPr>
          <w:rFonts w:hint="eastAsia" w:asciiTheme="minorEastAsia" w:hAnsiTheme="minorEastAsia" w:eastAsiaTheme="minorEastAsia" w:cstheme="minorEastAsia"/>
          <w:color w:val="auto"/>
          <w:kern w:val="0"/>
          <w:sz w:val="24"/>
        </w:rPr>
        <w:t>年</w:t>
      </w:r>
      <w:r>
        <w:rPr>
          <w:rFonts w:hint="eastAsia" w:asciiTheme="minorEastAsia" w:hAnsiTheme="minorEastAsia" w:eastAsiaTheme="minorEastAsia" w:cstheme="minorEastAsia"/>
          <w:color w:val="auto"/>
          <w:kern w:val="0"/>
          <w:sz w:val="24"/>
          <w:lang w:val="en-US" w:eastAsia="zh-CN"/>
        </w:rPr>
        <w:t xml:space="preserve">   </w:t>
      </w:r>
      <w:r>
        <w:rPr>
          <w:rFonts w:hint="eastAsia" w:asciiTheme="minorEastAsia" w:hAnsiTheme="minorEastAsia" w:eastAsiaTheme="minorEastAsia" w:cstheme="minorEastAsia"/>
          <w:color w:val="auto"/>
          <w:kern w:val="0"/>
          <w:sz w:val="24"/>
        </w:rPr>
        <w:t>月</w:t>
      </w:r>
      <w:r>
        <w:rPr>
          <w:rFonts w:hint="eastAsia" w:asciiTheme="minorEastAsia" w:hAnsiTheme="minorEastAsia" w:eastAsiaTheme="minorEastAsia" w:cstheme="minorEastAsia"/>
          <w:color w:val="auto"/>
          <w:kern w:val="0"/>
          <w:sz w:val="24"/>
          <w:lang w:val="en-US" w:eastAsia="zh-CN"/>
        </w:rPr>
        <w:t xml:space="preserve">   </w:t>
      </w:r>
      <w:r>
        <w:rPr>
          <w:rFonts w:hint="eastAsia" w:asciiTheme="minorEastAsia" w:hAnsiTheme="minorEastAsia" w:eastAsiaTheme="minorEastAsia" w:cstheme="minorEastAsia"/>
          <w:color w:val="auto"/>
          <w:kern w:val="0"/>
          <w:sz w:val="24"/>
        </w:rPr>
        <w:t xml:space="preserve"> 日前完成所有设备运输装卸、安装调试、试运行并通过</w:t>
      </w:r>
      <w:r>
        <w:rPr>
          <w:rFonts w:hint="eastAsia" w:asciiTheme="minorEastAsia" w:hAnsiTheme="minorEastAsia" w:eastAsiaTheme="minorEastAsia" w:cstheme="minorEastAsia"/>
          <w:color w:val="auto"/>
          <w:kern w:val="0"/>
          <w:sz w:val="24"/>
          <w:lang w:val="en-US" w:eastAsia="zh-CN"/>
        </w:rPr>
        <w:t>甲方</w:t>
      </w:r>
      <w:r>
        <w:rPr>
          <w:rFonts w:hint="eastAsia" w:asciiTheme="minorEastAsia" w:hAnsiTheme="minorEastAsia" w:eastAsiaTheme="minorEastAsia" w:cstheme="minorEastAsia"/>
          <w:color w:val="auto"/>
          <w:kern w:val="0"/>
          <w:sz w:val="24"/>
        </w:rPr>
        <w:t>的验收</w:t>
      </w:r>
      <w:r>
        <w:rPr>
          <w:rFonts w:hint="eastAsia" w:asciiTheme="minorEastAsia" w:hAnsiTheme="minorEastAsia" w:eastAsiaTheme="minorEastAsia" w:cstheme="minorEastAsia"/>
          <w:bCs/>
          <w:color w:val="auto"/>
          <w:sz w:val="24"/>
        </w:rPr>
        <w:t>。如在规定的时间内由于乙方的原因不能完成交货的，乙方应承担由此给甲方造成的损失。</w:t>
      </w:r>
    </w:p>
    <w:p w14:paraId="7904BAA2">
      <w:pPr>
        <w:widowControl w:val="0"/>
        <w:numPr>
          <w:ilvl w:val="0"/>
          <w:numId w:val="17"/>
        </w:numPr>
        <w:autoSpaceDE w:val="0"/>
        <w:snapToGrid w:val="0"/>
        <w:spacing w:line="312"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合同履行地点：根据甲方实际要求确定。</w:t>
      </w:r>
    </w:p>
    <w:p w14:paraId="14E9441D">
      <w:pPr>
        <w:pStyle w:val="59"/>
        <w:numPr>
          <w:ilvl w:val="0"/>
          <w:numId w:val="17"/>
        </w:num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auto"/>
          <w:kern w:val="2"/>
        </w:rPr>
        <w:t>凡合同所列机型停产或市场断货，乙方可在不改变品牌、机型、档次、基本功能等前提下向甲方提供相应配置高于原配置的商品供甲方选择，最终以甲方确认为准（相关证明由乙方提供，且经甲方认可），若无法提供优于原中标产品性能参数的产品，给甲方造成的一切费用及损失均由乙方承担，并按照合同相应条款追究乙方相应责任（包括</w:t>
      </w:r>
      <w:r>
        <w:rPr>
          <w:rFonts w:hint="eastAsia" w:asciiTheme="minorEastAsia" w:hAnsiTheme="minorEastAsia" w:eastAsiaTheme="minorEastAsia" w:cstheme="minorEastAsia"/>
          <w:color w:val="auto"/>
        </w:rPr>
        <w:t>但不限于扣除履约保证金、项目款、解除合同等）。</w:t>
      </w:r>
    </w:p>
    <w:p w14:paraId="094F7FF9">
      <w:pPr>
        <w:widowControl w:val="0"/>
        <w:tabs>
          <w:tab w:val="left" w:pos="5500"/>
        </w:tabs>
        <w:autoSpaceDE w:val="0"/>
        <w:snapToGrid w:val="0"/>
        <w:spacing w:line="312" w:lineRule="auto"/>
        <w:rPr>
          <w:rFonts w:hint="eastAsia" w:asciiTheme="minorEastAsia" w:hAnsiTheme="minorEastAsia" w:eastAsiaTheme="minorEastAsia" w:cstheme="minorEastAsia"/>
          <w:color w:val="auto"/>
        </w:rPr>
      </w:pPr>
      <w:bookmarkStart w:id="30" w:name="bookmark52"/>
      <w:bookmarkEnd w:id="30"/>
      <w:bookmarkStart w:id="31" w:name="bookmark51"/>
      <w:bookmarkEnd w:id="31"/>
      <w:bookmarkStart w:id="32" w:name="bookmark53"/>
      <w:bookmarkEnd w:id="32"/>
      <w:r>
        <w:rPr>
          <w:rFonts w:hint="eastAsia" w:asciiTheme="minorEastAsia" w:hAnsiTheme="minorEastAsia" w:eastAsiaTheme="minorEastAsia" w:cstheme="minorEastAsia"/>
          <w:b/>
          <w:color w:val="auto"/>
          <w:kern w:val="0"/>
          <w:sz w:val="24"/>
        </w:rPr>
        <w:t>第四条：验收时间、组织</w:t>
      </w:r>
    </w:p>
    <w:p w14:paraId="4D2C5830">
      <w:pPr>
        <w:pStyle w:val="59"/>
        <w:numPr>
          <w:ilvl w:val="0"/>
          <w:numId w:val="18"/>
        </w:numPr>
        <w:rPr>
          <w:rFonts w:hint="eastAsia" w:asciiTheme="minorEastAsia" w:hAnsiTheme="minorEastAsia" w:eastAsiaTheme="minorEastAsia" w:cstheme="minorEastAsia"/>
          <w:bCs/>
          <w:color w:val="auto"/>
          <w:kern w:val="2"/>
        </w:rPr>
      </w:pPr>
      <w:r>
        <w:rPr>
          <w:rFonts w:hint="eastAsia" w:asciiTheme="minorEastAsia" w:hAnsiTheme="minorEastAsia" w:eastAsiaTheme="minorEastAsia" w:cstheme="minorEastAsia"/>
          <w:bCs/>
          <w:color w:val="auto"/>
          <w:kern w:val="2"/>
        </w:rPr>
        <w:t>乙方将合同标的运至甲方指定地点后，由甲方组织专业技术人员进行验收，符合招标要求及满足合同标的的方可接收。若货物不符合招标文件要求或不满足合同标的要求的，甲方作退货处理，直至乙方提供的货物符合要求为止，因此产生的费用由乙方承担。</w:t>
      </w:r>
    </w:p>
    <w:p w14:paraId="570677FF">
      <w:pPr>
        <w:pStyle w:val="59"/>
        <w:numPr>
          <w:ilvl w:val="0"/>
          <w:numId w:val="18"/>
        </w:numPr>
        <w:rPr>
          <w:rFonts w:hint="eastAsia" w:asciiTheme="minorEastAsia" w:hAnsiTheme="minorEastAsia" w:eastAsiaTheme="minorEastAsia" w:cstheme="minorEastAsia"/>
          <w:bCs/>
          <w:color w:val="auto"/>
          <w:kern w:val="2"/>
        </w:rPr>
      </w:pPr>
      <w:r>
        <w:rPr>
          <w:rFonts w:hint="eastAsia" w:asciiTheme="minorEastAsia" w:hAnsiTheme="minorEastAsia" w:eastAsiaTheme="minorEastAsia" w:cstheme="minorEastAsia"/>
          <w:bCs/>
          <w:color w:val="auto"/>
          <w:kern w:val="2"/>
        </w:rPr>
        <w:t>无论验收是否通过，均由乙方承担所有的验收费用。</w:t>
      </w:r>
    </w:p>
    <w:p w14:paraId="3F505093">
      <w:pPr>
        <w:widowControl w:val="0"/>
        <w:autoSpaceDE w:val="0"/>
        <w:snapToGrid w:val="0"/>
        <w:spacing w:line="312" w:lineRule="auto"/>
        <w:rPr>
          <w:rFonts w:hint="eastAsia"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第五条：项目款支付</w:t>
      </w:r>
    </w:p>
    <w:p w14:paraId="3EFBE20B">
      <w:pPr>
        <w:spacing w:line="360" w:lineRule="auto"/>
        <w:ind w:firstLine="460" w:firstLineChars="192"/>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1.甲方根据合同、投标文件等资料进行验收。</w:t>
      </w:r>
    </w:p>
    <w:p w14:paraId="6A5E0076">
      <w:pPr>
        <w:spacing w:line="360" w:lineRule="auto"/>
        <w:ind w:firstLine="460" w:firstLineChars="192"/>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2.本采购项目分期支付。</w:t>
      </w:r>
    </w:p>
    <w:p w14:paraId="4979A59D">
      <w:pPr>
        <w:pStyle w:val="63"/>
        <w:widowControl w:val="0"/>
        <w:spacing w:line="312" w:lineRule="auto"/>
        <w:ind w:left="0" w:leftChars="0"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1）合同签订后支付合同总价30%的预付款。</w:t>
      </w:r>
    </w:p>
    <w:p w14:paraId="118C5F27">
      <w:pPr>
        <w:pStyle w:val="63"/>
        <w:widowControl w:val="0"/>
        <w:spacing w:line="312" w:lineRule="auto"/>
        <w:ind w:left="0" w:leftChars="0"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2）设备分批次到现场经</w:t>
      </w:r>
      <w:r>
        <w:rPr>
          <w:rFonts w:hint="eastAsia" w:asciiTheme="minorEastAsia" w:hAnsiTheme="minorEastAsia" w:eastAsiaTheme="minorEastAsia" w:cstheme="minorEastAsia"/>
          <w:color w:val="auto"/>
          <w:sz w:val="24"/>
          <w:lang w:val="en-US" w:eastAsia="zh-CN"/>
        </w:rPr>
        <w:t>甲方</w:t>
      </w:r>
      <w:r>
        <w:rPr>
          <w:rFonts w:hint="eastAsia" w:asciiTheme="minorEastAsia" w:hAnsiTheme="minorEastAsia" w:eastAsiaTheme="minorEastAsia" w:cstheme="minorEastAsia"/>
          <w:color w:val="auto"/>
          <w:sz w:val="24"/>
        </w:rPr>
        <w:t>验收合格后，</w:t>
      </w:r>
      <w:r>
        <w:rPr>
          <w:rFonts w:hint="eastAsia" w:asciiTheme="minorEastAsia" w:hAnsiTheme="minorEastAsia" w:eastAsiaTheme="minorEastAsia" w:cstheme="minorEastAsia"/>
          <w:color w:val="auto"/>
          <w:sz w:val="24"/>
          <w:lang w:val="en-US" w:eastAsia="zh-CN"/>
        </w:rPr>
        <w:t>甲方</w:t>
      </w:r>
      <w:r>
        <w:rPr>
          <w:rFonts w:hint="eastAsia" w:asciiTheme="minorEastAsia" w:hAnsiTheme="minorEastAsia" w:eastAsiaTheme="minorEastAsia" w:cstheme="minorEastAsia"/>
          <w:color w:val="auto"/>
          <w:sz w:val="24"/>
        </w:rPr>
        <w:t>向</w:t>
      </w:r>
      <w:r>
        <w:rPr>
          <w:rFonts w:hint="eastAsia" w:asciiTheme="minorEastAsia" w:hAnsiTheme="minorEastAsia" w:eastAsiaTheme="minorEastAsia" w:cstheme="minorEastAsia"/>
          <w:color w:val="auto"/>
          <w:sz w:val="24"/>
          <w:lang w:val="en-US" w:eastAsia="zh-CN"/>
        </w:rPr>
        <w:t>乙方</w:t>
      </w:r>
      <w:r>
        <w:rPr>
          <w:rFonts w:hint="eastAsia" w:asciiTheme="minorEastAsia" w:hAnsiTheme="minorEastAsia" w:eastAsiaTheme="minorEastAsia" w:cstheme="minorEastAsia"/>
          <w:color w:val="auto"/>
          <w:sz w:val="24"/>
        </w:rPr>
        <w:t>支付至该批次设备合同价的50%。</w:t>
      </w:r>
    </w:p>
    <w:p w14:paraId="46F8A6A8">
      <w:pPr>
        <w:pStyle w:val="63"/>
        <w:widowControl w:val="0"/>
        <w:spacing w:line="312" w:lineRule="auto"/>
        <w:ind w:left="0" w:leftChars="0"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3）所有设备安装调试后支付至合同总价80%；</w:t>
      </w:r>
    </w:p>
    <w:p w14:paraId="3F8D7B51">
      <w:pPr>
        <w:pStyle w:val="63"/>
        <w:widowControl w:val="0"/>
        <w:spacing w:line="312" w:lineRule="auto"/>
        <w:ind w:left="0" w:leftChars="0"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4）通过</w:t>
      </w:r>
      <w:r>
        <w:rPr>
          <w:rFonts w:hint="eastAsia" w:asciiTheme="minorEastAsia" w:hAnsiTheme="minorEastAsia" w:eastAsiaTheme="minorEastAsia" w:cstheme="minorEastAsia"/>
          <w:color w:val="auto"/>
          <w:sz w:val="24"/>
          <w:lang w:val="en-US" w:eastAsia="zh-CN"/>
        </w:rPr>
        <w:t>甲方</w:t>
      </w:r>
      <w:r>
        <w:rPr>
          <w:rFonts w:hint="eastAsia" w:asciiTheme="minorEastAsia" w:hAnsiTheme="minorEastAsia" w:eastAsiaTheme="minorEastAsia" w:cstheme="minorEastAsia"/>
          <w:color w:val="auto"/>
          <w:sz w:val="24"/>
        </w:rPr>
        <w:t>组织的验收，待结算审核后，</w:t>
      </w:r>
      <w:r>
        <w:rPr>
          <w:rFonts w:hint="eastAsia" w:asciiTheme="minorEastAsia" w:hAnsiTheme="minorEastAsia" w:eastAsiaTheme="minorEastAsia" w:cstheme="minorEastAsia"/>
          <w:color w:val="auto"/>
          <w:sz w:val="24"/>
          <w:lang w:val="en-US" w:eastAsia="zh-CN"/>
        </w:rPr>
        <w:t>甲方</w:t>
      </w:r>
      <w:r>
        <w:rPr>
          <w:rFonts w:hint="eastAsia" w:asciiTheme="minorEastAsia" w:hAnsiTheme="minorEastAsia" w:eastAsiaTheme="minorEastAsia" w:cstheme="minorEastAsia"/>
          <w:color w:val="auto"/>
          <w:sz w:val="24"/>
        </w:rPr>
        <w:t>向</w:t>
      </w:r>
      <w:r>
        <w:rPr>
          <w:rFonts w:hint="eastAsia" w:asciiTheme="minorEastAsia" w:hAnsiTheme="minorEastAsia" w:eastAsiaTheme="minorEastAsia" w:cstheme="minorEastAsia"/>
          <w:color w:val="auto"/>
          <w:sz w:val="24"/>
          <w:lang w:val="en-US" w:eastAsia="zh-CN"/>
        </w:rPr>
        <w:t>乙方</w:t>
      </w:r>
      <w:r>
        <w:rPr>
          <w:rFonts w:hint="eastAsia" w:asciiTheme="minorEastAsia" w:hAnsiTheme="minorEastAsia" w:eastAsiaTheme="minorEastAsia" w:cstheme="minorEastAsia"/>
          <w:color w:val="auto"/>
          <w:sz w:val="24"/>
        </w:rPr>
        <w:t>支付至审定金额的98.5%。</w:t>
      </w:r>
    </w:p>
    <w:p w14:paraId="71D51491">
      <w:pPr>
        <w:pStyle w:val="63"/>
        <w:widowControl w:val="0"/>
        <w:spacing w:line="312" w:lineRule="auto"/>
        <w:ind w:left="0" w:leftChars="0"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）结算时，</w:t>
      </w:r>
      <w:r>
        <w:rPr>
          <w:rFonts w:hint="eastAsia" w:asciiTheme="minorEastAsia" w:hAnsiTheme="minorEastAsia" w:eastAsiaTheme="minorEastAsia" w:cstheme="minorEastAsia"/>
          <w:color w:val="auto"/>
          <w:sz w:val="24"/>
          <w:lang w:val="en-US" w:eastAsia="zh-CN"/>
        </w:rPr>
        <w:t>乙方</w:t>
      </w:r>
      <w:r>
        <w:rPr>
          <w:rFonts w:hint="eastAsia" w:asciiTheme="minorEastAsia" w:hAnsiTheme="minorEastAsia" w:eastAsiaTheme="minorEastAsia" w:cstheme="minorEastAsia"/>
          <w:color w:val="auto"/>
          <w:sz w:val="24"/>
        </w:rPr>
        <w:t>将结款申请1份、发票原件（开具当期应付金额）及复印件1份、采购清单1分、合同复印件1份和</w:t>
      </w:r>
      <w:r>
        <w:rPr>
          <w:rFonts w:hint="eastAsia" w:asciiTheme="minorEastAsia" w:hAnsiTheme="minorEastAsia" w:eastAsiaTheme="minorEastAsia" w:cstheme="minorEastAsia"/>
          <w:color w:val="auto"/>
          <w:sz w:val="24"/>
          <w:lang w:val="en-US" w:eastAsia="zh-CN"/>
        </w:rPr>
        <w:t>甲方</w:t>
      </w:r>
      <w:r>
        <w:rPr>
          <w:rFonts w:hint="eastAsia" w:asciiTheme="minorEastAsia" w:hAnsiTheme="minorEastAsia" w:eastAsiaTheme="minorEastAsia" w:cstheme="minorEastAsia"/>
          <w:color w:val="auto"/>
          <w:sz w:val="24"/>
        </w:rPr>
        <w:t>验收确认的《验收反馈表》（验收通过后需提供验收报告）提交</w:t>
      </w:r>
      <w:r>
        <w:rPr>
          <w:rFonts w:hint="eastAsia" w:asciiTheme="minorEastAsia" w:hAnsiTheme="minorEastAsia" w:eastAsiaTheme="minorEastAsia" w:cstheme="minorEastAsia"/>
          <w:color w:val="auto"/>
          <w:sz w:val="24"/>
          <w:lang w:val="en-US" w:eastAsia="zh-CN"/>
        </w:rPr>
        <w:t>甲方</w:t>
      </w:r>
      <w:r>
        <w:rPr>
          <w:rFonts w:hint="eastAsia" w:asciiTheme="minorEastAsia" w:hAnsiTheme="minorEastAsia" w:eastAsiaTheme="minorEastAsia" w:cstheme="minorEastAsia"/>
          <w:color w:val="auto"/>
          <w:sz w:val="24"/>
        </w:rPr>
        <w:t>，由</w:t>
      </w:r>
      <w:r>
        <w:rPr>
          <w:rFonts w:hint="eastAsia" w:asciiTheme="minorEastAsia" w:hAnsiTheme="minorEastAsia" w:eastAsiaTheme="minorEastAsia" w:cstheme="minorEastAsia"/>
          <w:color w:val="auto"/>
          <w:sz w:val="24"/>
          <w:lang w:val="en-US" w:eastAsia="zh-CN"/>
        </w:rPr>
        <w:t>甲方</w:t>
      </w:r>
      <w:r>
        <w:rPr>
          <w:rFonts w:hint="eastAsia" w:asciiTheme="minorEastAsia" w:hAnsiTheme="minorEastAsia" w:eastAsiaTheme="minorEastAsia" w:cstheme="minorEastAsia"/>
          <w:color w:val="auto"/>
          <w:sz w:val="24"/>
        </w:rPr>
        <w:t>向</w:t>
      </w:r>
      <w:r>
        <w:rPr>
          <w:rFonts w:hint="eastAsia" w:asciiTheme="minorEastAsia" w:hAnsiTheme="minorEastAsia" w:eastAsiaTheme="minorEastAsia" w:cstheme="minorEastAsia"/>
          <w:color w:val="auto"/>
          <w:sz w:val="24"/>
          <w:lang w:val="en-US" w:eastAsia="zh-CN"/>
        </w:rPr>
        <w:t>乙方</w:t>
      </w:r>
      <w:r>
        <w:rPr>
          <w:rFonts w:hint="eastAsia" w:asciiTheme="minorEastAsia" w:hAnsiTheme="minorEastAsia" w:eastAsiaTheme="minorEastAsia" w:cstheme="minorEastAsia"/>
          <w:color w:val="auto"/>
          <w:sz w:val="24"/>
        </w:rPr>
        <w:t>支付结算项目款。</w:t>
      </w:r>
    </w:p>
    <w:p w14:paraId="58C1AF8C">
      <w:pPr>
        <w:pStyle w:val="63"/>
        <w:widowControl w:val="0"/>
        <w:spacing w:line="312" w:lineRule="auto"/>
        <w:ind w:left="0" w:leftChars="0"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）中标总价的1.5%作为质量保修金，待</w:t>
      </w:r>
      <w:r>
        <w:rPr>
          <w:rFonts w:hint="eastAsia" w:asciiTheme="minorEastAsia" w:hAnsiTheme="minorEastAsia" w:eastAsiaTheme="minorEastAsia" w:cstheme="minorEastAsia"/>
          <w:color w:val="auto"/>
          <w:sz w:val="24"/>
          <w:lang w:val="en-US" w:eastAsia="zh-CN"/>
        </w:rPr>
        <w:t>乙方</w:t>
      </w:r>
      <w:r>
        <w:rPr>
          <w:rFonts w:hint="eastAsia" w:asciiTheme="minorEastAsia" w:hAnsiTheme="minorEastAsia" w:eastAsiaTheme="minorEastAsia" w:cstheme="minorEastAsia"/>
          <w:color w:val="auto"/>
          <w:sz w:val="24"/>
        </w:rPr>
        <w:t>投标文件中响应的质保年限期满后清算（不计利息），并扣除维修费用等（若发生）。</w:t>
      </w:r>
    </w:p>
    <w:p w14:paraId="669F3920">
      <w:pPr>
        <w:pStyle w:val="63"/>
        <w:widowControl w:val="0"/>
        <w:spacing w:line="312" w:lineRule="auto"/>
        <w:ind w:left="0" w:leftChars="0"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en-US" w:eastAsia="zh-CN"/>
        </w:rPr>
        <w:t>乙方</w:t>
      </w:r>
      <w:r>
        <w:rPr>
          <w:rFonts w:hint="eastAsia" w:asciiTheme="minorEastAsia" w:hAnsiTheme="minorEastAsia" w:eastAsiaTheme="minorEastAsia" w:cstheme="minorEastAsia"/>
          <w:color w:val="auto"/>
          <w:sz w:val="24"/>
        </w:rPr>
        <w:t>应按照采购内容提供增值税专用发票，若遇国家政策变化，税率应按国家政策作相应调整。</w:t>
      </w:r>
    </w:p>
    <w:p w14:paraId="65A9F2DE">
      <w:pPr>
        <w:widowControl w:val="0"/>
        <w:autoSpaceDE w:val="0"/>
        <w:spacing w:line="312" w:lineRule="auto"/>
        <w:ind w:right="113" w:rightChars="54"/>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第六条：履约保证金</w:t>
      </w:r>
    </w:p>
    <w:p w14:paraId="274FADAD">
      <w:pPr>
        <w:widowControl w:val="0"/>
        <w:autoSpaceDE w:val="0"/>
        <w:snapToGrid w:val="0"/>
        <w:spacing w:line="312" w:lineRule="auto"/>
        <w:ind w:firstLine="493" w:firstLineChars="209"/>
        <w:rPr>
          <w:rStyle w:val="359"/>
          <w:rFonts w:hint="default" w:asciiTheme="minorEastAsia" w:hAnsiTheme="minorEastAsia" w:eastAsiaTheme="minorEastAsia" w:cstheme="minorEastAsia"/>
          <w:color w:val="auto"/>
        </w:rPr>
      </w:pPr>
      <w:r>
        <w:rPr>
          <w:rStyle w:val="359"/>
          <w:rFonts w:asciiTheme="minorEastAsia" w:hAnsiTheme="minorEastAsia" w:eastAsiaTheme="minorEastAsia" w:cstheme="minorEastAsia"/>
          <w:b w:val="0"/>
          <w:bCs/>
          <w:color w:val="auto"/>
        </w:rPr>
        <w:t>在正式合同签订生效之日起7个工作日内，由乙方按合同总金额</w:t>
      </w:r>
      <w:r>
        <w:rPr>
          <w:rStyle w:val="359"/>
          <w:rFonts w:hint="eastAsia" w:asciiTheme="minorEastAsia" w:hAnsiTheme="minorEastAsia" w:eastAsiaTheme="minorEastAsia" w:cstheme="minorEastAsia"/>
          <w:b w:val="0"/>
          <w:bCs/>
          <w:color w:val="auto"/>
          <w:lang w:val="en-US"/>
        </w:rPr>
        <w:t>2</w:t>
      </w:r>
      <w:r>
        <w:rPr>
          <w:rStyle w:val="359"/>
          <w:rFonts w:asciiTheme="minorEastAsia" w:hAnsiTheme="minorEastAsia" w:eastAsiaTheme="minorEastAsia" w:cstheme="minorEastAsia"/>
          <w:b w:val="0"/>
          <w:bCs/>
          <w:color w:val="auto"/>
        </w:rPr>
        <w:t>%缴纳至甲方指定账号（可以以银行出具保函形式提交）作为履约保证金。项目竣工验收通过后，无质量、服务问题，履约保证金由甲方无息退还。因乙方的质量、服务问题造成甲方损失的，甲方有权要求乙方以其履约保证金作出补偿。</w:t>
      </w:r>
    </w:p>
    <w:p w14:paraId="4C42A0A8">
      <w:pPr>
        <w:widowControl w:val="0"/>
        <w:autoSpaceDE w:val="0"/>
        <w:snapToGrid w:val="0"/>
        <w:spacing w:line="312" w:lineRule="auto"/>
        <w:rPr>
          <w:rFonts w:hint="eastAsia"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第七条：售后服务</w:t>
      </w:r>
    </w:p>
    <w:p w14:paraId="3925FC8C">
      <w:pPr>
        <w:widowControl w:val="0"/>
        <w:numPr>
          <w:ilvl w:val="0"/>
          <w:numId w:val="19"/>
        </w:numPr>
        <w:autoSpaceDE w:val="0"/>
        <w:snapToGrid w:val="0"/>
        <w:spacing w:line="312" w:lineRule="auto"/>
        <w:ind w:firstLine="501" w:firstLineChars="209"/>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售后服务按不低于</w:t>
      </w:r>
      <w:r>
        <w:rPr>
          <w:rFonts w:hint="eastAsia" w:asciiTheme="minorEastAsia" w:hAnsiTheme="minorEastAsia" w:eastAsiaTheme="minorEastAsia" w:cstheme="minorEastAsia"/>
          <w:bCs/>
          <w:color w:val="auto"/>
          <w:sz w:val="24"/>
        </w:rPr>
        <w:t>国家市场监督管理总局</w:t>
      </w:r>
      <w:r>
        <w:rPr>
          <w:rFonts w:hint="eastAsia" w:asciiTheme="minorEastAsia" w:hAnsiTheme="minorEastAsia" w:eastAsiaTheme="minorEastAsia" w:cstheme="minorEastAsia"/>
          <w:color w:val="auto"/>
          <w:kern w:val="0"/>
          <w:sz w:val="24"/>
        </w:rPr>
        <w:t>和国家其他有关规定执行，国家没有规</w:t>
      </w:r>
      <w:r>
        <w:rPr>
          <w:rFonts w:hint="eastAsia" w:asciiTheme="minorEastAsia" w:hAnsiTheme="minorEastAsia" w:eastAsiaTheme="minorEastAsia" w:cstheme="minorEastAsia"/>
          <w:color w:val="auto"/>
          <w:sz w:val="24"/>
        </w:rPr>
        <w:t>定的按厂商</w:t>
      </w:r>
      <w:r>
        <w:rPr>
          <w:rFonts w:hint="eastAsia" w:asciiTheme="minorEastAsia" w:hAnsiTheme="minorEastAsia" w:eastAsiaTheme="minorEastAsia" w:cstheme="minorEastAsia"/>
          <w:color w:val="auto"/>
          <w:kern w:val="0"/>
          <w:sz w:val="24"/>
        </w:rPr>
        <w:t>规定执行。国家规定标准低于厂商标准的按厂商标准执行。</w:t>
      </w:r>
    </w:p>
    <w:p w14:paraId="781974C9">
      <w:pPr>
        <w:widowControl w:val="0"/>
        <w:numPr>
          <w:ilvl w:val="0"/>
          <w:numId w:val="19"/>
        </w:numPr>
        <w:autoSpaceDE w:val="0"/>
        <w:snapToGrid w:val="0"/>
        <w:spacing w:line="312" w:lineRule="auto"/>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本项目</w:t>
      </w:r>
      <w:r>
        <w:rPr>
          <w:rFonts w:hint="eastAsia" w:asciiTheme="minorEastAsia" w:hAnsiTheme="minorEastAsia" w:eastAsiaTheme="minorEastAsia" w:cstheme="minorEastAsia"/>
          <w:color w:val="auto"/>
          <w:sz w:val="24"/>
        </w:rPr>
        <w:t>设备原厂质量保修期</w:t>
      </w:r>
      <w:r>
        <w:rPr>
          <w:rFonts w:hint="eastAsia" w:asciiTheme="minorEastAsia" w:hAnsiTheme="minorEastAsia" w:eastAsiaTheme="minorEastAsia" w:cstheme="minorEastAsia"/>
          <w:color w:val="auto"/>
          <w:sz w:val="24"/>
          <w:u w:val="single"/>
        </w:rPr>
        <w:t xml:space="preserve">   年</w:t>
      </w:r>
      <w:r>
        <w:rPr>
          <w:rFonts w:hint="eastAsia" w:asciiTheme="minorEastAsia" w:hAnsiTheme="minorEastAsia" w:eastAsiaTheme="minorEastAsia" w:cstheme="minorEastAsia"/>
          <w:color w:val="auto"/>
          <w:sz w:val="24"/>
        </w:rPr>
        <w:t>（招标规格参数内有注明的以招标规格参数要求为准）。保质期内因不能排除的故障而影响工作的情况每发生一次，其质保期相应延长60天，质保期内因货物本身缺陷造成各种故障应由乙方免费技术服务和维修。合同标的质量保修期自标的验收合格并签字盖章后开始计算。</w:t>
      </w:r>
    </w:p>
    <w:p w14:paraId="2FE8B72D">
      <w:pPr>
        <w:widowControl w:val="0"/>
        <w:numPr>
          <w:ilvl w:val="0"/>
          <w:numId w:val="19"/>
        </w:numPr>
        <w:autoSpaceDE w:val="0"/>
        <w:snapToGrid w:val="0"/>
        <w:spacing w:line="312" w:lineRule="auto"/>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在设备及软件（或系统）整个使用期内，乙方应确保正常使用，在接到甲方维修要求后在</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小时内响应并提出解决方案，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小时内到达现场对故障进行处理，维修过程中所需材料乙方在接到通知后应及时提供，最长不超过</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小时必须送达甲方。若</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小时内无法修复的，应及时提供相应备用设备并负责安装调试，为此，乙方应提供相应承诺书。</w:t>
      </w:r>
    </w:p>
    <w:p w14:paraId="46BCC9C1">
      <w:pPr>
        <w:widowControl w:val="0"/>
        <w:numPr>
          <w:ilvl w:val="0"/>
          <w:numId w:val="19"/>
        </w:numPr>
        <w:autoSpaceDE w:val="0"/>
        <w:snapToGrid w:val="0"/>
        <w:spacing w:line="312" w:lineRule="auto"/>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在质保期内，乙方应负责对其提供的设备进行现场维修、损坏件更换，不收取额外费用，响应时间必须满足甲方工作正常运行的要求。</w:t>
      </w:r>
    </w:p>
    <w:p w14:paraId="0366FC4D">
      <w:pPr>
        <w:widowControl w:val="0"/>
        <w:numPr>
          <w:ilvl w:val="0"/>
          <w:numId w:val="19"/>
        </w:numPr>
        <w:autoSpaceDE w:val="0"/>
        <w:snapToGrid w:val="0"/>
        <w:spacing w:line="312" w:lineRule="auto"/>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乙方在投标文件中须说明保修期内提供的服务计划。</w:t>
      </w:r>
    </w:p>
    <w:p w14:paraId="4C695FEC">
      <w:pPr>
        <w:widowControl w:val="0"/>
        <w:autoSpaceDE w:val="0"/>
        <w:snapToGrid w:val="0"/>
        <w:spacing w:line="312"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bCs/>
          <w:color w:val="auto"/>
          <w:kern w:val="0"/>
          <w:sz w:val="24"/>
        </w:rPr>
        <w:t>第八条：</w:t>
      </w:r>
      <w:r>
        <w:rPr>
          <w:rFonts w:hint="eastAsia" w:asciiTheme="minorEastAsia" w:hAnsiTheme="minorEastAsia" w:eastAsiaTheme="minorEastAsia" w:cstheme="minorEastAsia"/>
          <w:color w:val="auto"/>
          <w:sz w:val="24"/>
        </w:rPr>
        <w:t>乙</w:t>
      </w:r>
      <w:r>
        <w:rPr>
          <w:rFonts w:hint="eastAsia" w:asciiTheme="minorEastAsia" w:hAnsiTheme="minorEastAsia" w:eastAsiaTheme="minorEastAsia" w:cstheme="minorEastAsia"/>
          <w:color w:val="auto"/>
          <w:kern w:val="0"/>
          <w:sz w:val="24"/>
        </w:rPr>
        <w:t>方承担合同标的供货、安装调试及交付前的一切费用(包括不可预见费用)和市场风险。</w:t>
      </w:r>
    </w:p>
    <w:p w14:paraId="06598311">
      <w:pPr>
        <w:widowControl w:val="0"/>
        <w:autoSpaceDE w:val="0"/>
        <w:snapToGrid w:val="0"/>
        <w:spacing w:line="312" w:lineRule="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第九条：其他约定：</w:t>
      </w:r>
    </w:p>
    <w:p w14:paraId="0300B09D">
      <w:pPr>
        <w:widowControl w:val="0"/>
        <w:autoSpaceDE w:val="0"/>
        <w:snapToGrid w:val="0"/>
        <w:spacing w:line="312"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1.按招标文件要求及投标文件内容提供设备及服务。</w:t>
      </w:r>
    </w:p>
    <w:p w14:paraId="06322B9D">
      <w:pPr>
        <w:widowControl w:val="0"/>
        <w:adjustRightInd/>
        <w:spacing w:line="312" w:lineRule="auto"/>
        <w:ind w:firstLine="480" w:firstLineChars="200"/>
        <w:jc w:val="both"/>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u w:val="single"/>
        </w:rPr>
        <w:t xml:space="preserve">2.              </w:t>
      </w:r>
    </w:p>
    <w:p w14:paraId="14859B67">
      <w:pPr>
        <w:widowControl w:val="0"/>
        <w:autoSpaceDE w:val="0"/>
        <w:snapToGrid w:val="0"/>
        <w:spacing w:line="312" w:lineRule="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第十条：违约责任</w:t>
      </w:r>
    </w:p>
    <w:p w14:paraId="2894A52B">
      <w:pPr>
        <w:widowControl w:val="0"/>
        <w:autoSpaceDE w:val="0"/>
        <w:snapToGrid w:val="0"/>
        <w:spacing w:line="312" w:lineRule="auto"/>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由于乙方原因(除不可抗力外)不能按期交付合同标的，对超出交付期的每一天，乙方应按合同总价款的千分之三承担违约金，在合同货款支付时一次性扣除。若超出交付期十天(含十天)以上的，甲方有权终止合同并提请监管部门按照有关文件规定对乙方进行处理。</w:t>
      </w:r>
    </w:p>
    <w:p w14:paraId="605B6A1F">
      <w:pPr>
        <w:widowControl w:val="0"/>
        <w:autoSpaceDE w:val="0"/>
        <w:snapToGrid w:val="0"/>
        <w:spacing w:line="312" w:lineRule="auto"/>
        <w:ind w:firstLine="501" w:firstLineChars="20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乙方按合同要求将货物送达甲方后，经验收合格后，甲方超出付款期支付货款的，每逾一天，甲方应向乙方支付合同货物金额的千分之三的滞纳金。如遇特殊情况甲方要求推迟供货或验收的，必须事先征得乙方的同意，否则应承担由此给乙方造成的损失。</w:t>
      </w:r>
    </w:p>
    <w:p w14:paraId="55A9CD7C">
      <w:pPr>
        <w:widowControl w:val="0"/>
        <w:autoSpaceDE w:val="0"/>
        <w:snapToGrid w:val="0"/>
        <w:spacing w:line="312" w:lineRule="auto"/>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第十一条：争议的解决</w:t>
      </w:r>
    </w:p>
    <w:p w14:paraId="1486108A">
      <w:pPr>
        <w:widowControl w:val="0"/>
        <w:numPr>
          <w:ilvl w:val="0"/>
          <w:numId w:val="20"/>
        </w:numPr>
        <w:autoSpaceDE w:val="0"/>
        <w:snapToGrid w:val="0"/>
        <w:spacing w:line="312"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因质量问题发生争议的，由</w:t>
      </w:r>
      <w:r>
        <w:rPr>
          <w:rFonts w:hint="eastAsia" w:asciiTheme="minorEastAsia" w:hAnsiTheme="minorEastAsia" w:eastAsiaTheme="minorEastAsia" w:cstheme="minorEastAsia"/>
          <w:color w:val="auto"/>
          <w:sz w:val="24"/>
        </w:rPr>
        <w:t>甲</w:t>
      </w:r>
      <w:r>
        <w:rPr>
          <w:rFonts w:hint="eastAsia" w:asciiTheme="minorEastAsia" w:hAnsiTheme="minorEastAsia" w:eastAsiaTheme="minorEastAsia" w:cstheme="minorEastAsia"/>
          <w:color w:val="auto"/>
          <w:kern w:val="0"/>
          <w:sz w:val="24"/>
        </w:rPr>
        <w:t>方委托有关技术部门进行质量鉴定，该鉴定的结论</w:t>
      </w:r>
      <w:r>
        <w:rPr>
          <w:rFonts w:hint="eastAsia" w:asciiTheme="minorEastAsia" w:hAnsiTheme="minorEastAsia" w:eastAsiaTheme="minorEastAsia" w:cstheme="minorEastAsia"/>
          <w:color w:val="auto"/>
          <w:sz w:val="24"/>
        </w:rPr>
        <w:t>甲</w:t>
      </w:r>
      <w:r>
        <w:rPr>
          <w:rFonts w:hint="eastAsia" w:asciiTheme="minorEastAsia" w:hAnsiTheme="minorEastAsia" w:eastAsiaTheme="minorEastAsia" w:cstheme="minorEastAsia"/>
          <w:bCs/>
          <w:color w:val="auto"/>
          <w:kern w:val="0"/>
          <w:sz w:val="24"/>
        </w:rPr>
        <w:t>乙</w:t>
      </w:r>
      <w:r>
        <w:rPr>
          <w:rFonts w:hint="eastAsia" w:asciiTheme="minorEastAsia" w:hAnsiTheme="minorEastAsia" w:eastAsiaTheme="minorEastAsia" w:cstheme="minorEastAsia"/>
          <w:color w:val="auto"/>
          <w:kern w:val="0"/>
          <w:sz w:val="24"/>
        </w:rPr>
        <w:t>双方应当接受，各方均有权直接向对方索赔，并签订书面处理协议书，报见证方备案。</w:t>
      </w:r>
    </w:p>
    <w:p w14:paraId="6D40590C">
      <w:pPr>
        <w:widowControl w:val="0"/>
        <w:numPr>
          <w:ilvl w:val="0"/>
          <w:numId w:val="20"/>
        </w:numPr>
        <w:snapToGrid w:val="0"/>
        <w:spacing w:line="312"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双方无法通过协商解决合同争议的，任何一方有权向建德市人民法院提出诉讼。</w:t>
      </w:r>
    </w:p>
    <w:p w14:paraId="4B7A9E0D">
      <w:pPr>
        <w:widowControl w:val="0"/>
        <w:snapToGrid w:val="0"/>
        <w:spacing w:line="312"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第十二条：合同的生效</w:t>
      </w:r>
    </w:p>
    <w:p w14:paraId="4A14C08B">
      <w:pPr>
        <w:widowControl w:val="0"/>
        <w:numPr>
          <w:ilvl w:val="0"/>
          <w:numId w:val="21"/>
        </w:numPr>
        <w:autoSpaceDE w:val="0"/>
        <w:spacing w:line="312"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本合同一式陆份，甲、乙双方各执二份，见证单位一份，监管部门一份。</w:t>
      </w:r>
    </w:p>
    <w:p w14:paraId="575A9F83">
      <w:pPr>
        <w:widowControl w:val="0"/>
        <w:numPr>
          <w:ilvl w:val="0"/>
          <w:numId w:val="21"/>
        </w:numPr>
        <w:autoSpaceDE w:val="0"/>
        <w:snapToGrid w:val="0"/>
        <w:spacing w:line="312"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本合同经</w:t>
      </w:r>
      <w:r>
        <w:rPr>
          <w:rFonts w:hint="eastAsia" w:asciiTheme="minorEastAsia" w:hAnsiTheme="minorEastAsia" w:eastAsiaTheme="minorEastAsia" w:cstheme="minorEastAsia"/>
          <w:color w:val="auto"/>
          <w:sz w:val="24"/>
        </w:rPr>
        <w:t>甲</w:t>
      </w:r>
      <w:r>
        <w:rPr>
          <w:rFonts w:hint="eastAsia" w:asciiTheme="minorEastAsia" w:hAnsiTheme="minorEastAsia" w:eastAsiaTheme="minorEastAsia" w:cstheme="minorEastAsia"/>
          <w:bCs/>
          <w:color w:val="auto"/>
          <w:kern w:val="0"/>
          <w:sz w:val="24"/>
        </w:rPr>
        <w:t>乙</w:t>
      </w:r>
      <w:r>
        <w:rPr>
          <w:rFonts w:hint="eastAsia" w:asciiTheme="minorEastAsia" w:hAnsiTheme="minorEastAsia" w:eastAsiaTheme="minorEastAsia" w:cstheme="minorEastAsia"/>
          <w:color w:val="auto"/>
          <w:kern w:val="0"/>
          <w:sz w:val="24"/>
        </w:rPr>
        <w:t>双方法定代表人或委托代理人签字并加盖公章（或合同章）后生效。</w:t>
      </w:r>
    </w:p>
    <w:p w14:paraId="566BC4CC">
      <w:pPr>
        <w:pStyle w:val="33"/>
        <w:widowControl w:val="0"/>
        <w:numPr>
          <w:ilvl w:val="0"/>
          <w:numId w:val="21"/>
        </w:numPr>
        <w:snapToGrid w:val="0"/>
        <w:spacing w:line="312"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本合同未尽事宜，经双方商议可续签补充协议。该补充协议与本合同具有相同法律效力，但该补充协议的内容不能实质性修改招标文件的主要条款。</w:t>
      </w:r>
    </w:p>
    <w:p w14:paraId="5161481A">
      <w:pPr>
        <w:pStyle w:val="33"/>
        <w:widowControl w:val="0"/>
        <w:numPr>
          <w:ilvl w:val="0"/>
          <w:numId w:val="21"/>
        </w:numPr>
        <w:snapToGrid w:val="0"/>
        <w:spacing w:line="312"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本合同未涉及的部分以招标文件（招标编号：    ）(包括补充更正，如有)为准，上述招标文件与乙方针对本项目投标文件及记录是本合同的附件，与本合同具有同等法律效力，但附件与主合同的规定不一致时，以主合同为准。</w:t>
      </w:r>
    </w:p>
    <w:p w14:paraId="0B828137">
      <w:pPr>
        <w:pStyle w:val="3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（以下无正文）</w:t>
      </w:r>
    </w:p>
    <w:p w14:paraId="4DEC4793">
      <w:pPr>
        <w:pStyle w:val="33"/>
        <w:rPr>
          <w:rFonts w:hint="eastAsia" w:asciiTheme="minorEastAsia" w:hAnsiTheme="minorEastAsia" w:eastAsiaTheme="minorEastAsia" w:cstheme="minorEastAsia"/>
          <w:color w:val="auto"/>
          <w:sz w:val="24"/>
          <w:szCs w:val="24"/>
        </w:rPr>
      </w:pPr>
    </w:p>
    <w:p w14:paraId="35BED9F6">
      <w:pPr>
        <w:pStyle w:val="33"/>
        <w:rPr>
          <w:rFonts w:hint="eastAsia" w:asciiTheme="minorEastAsia" w:hAnsiTheme="minorEastAsia" w:eastAsiaTheme="minorEastAsia" w:cstheme="minorEastAsia"/>
          <w:color w:val="auto"/>
          <w:sz w:val="24"/>
          <w:szCs w:val="24"/>
        </w:rPr>
      </w:pPr>
    </w:p>
    <w:p w14:paraId="25856728">
      <w:pPr>
        <w:pStyle w:val="33"/>
        <w:rPr>
          <w:rFonts w:hint="eastAsia" w:asciiTheme="minorEastAsia" w:hAnsiTheme="minorEastAsia" w:eastAsiaTheme="minorEastAsia" w:cstheme="minorEastAsia"/>
          <w:color w:val="auto"/>
          <w:sz w:val="24"/>
          <w:szCs w:val="24"/>
        </w:rPr>
      </w:pPr>
    </w:p>
    <w:p w14:paraId="2188BD3A">
      <w:pPr>
        <w:pStyle w:val="33"/>
        <w:widowControl w:val="0"/>
        <w:snapToGrid w:val="0"/>
        <w:spacing w:line="312"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甲方（盖章）：                               乙方（盖章）：</w:t>
      </w:r>
    </w:p>
    <w:p w14:paraId="0B6AC585">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法定代表人或受委托人                         法定代表人或受委托人</w:t>
      </w:r>
    </w:p>
    <w:p w14:paraId="54D1A89D">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                                     （签字）</w:t>
      </w:r>
    </w:p>
    <w:p w14:paraId="10E8FD81">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                                       地址：</w:t>
      </w:r>
    </w:p>
    <w:p w14:paraId="0539CBF8">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邮编：                                       邮编：</w:t>
      </w:r>
    </w:p>
    <w:p w14:paraId="3A91F9BA">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                                       电话：</w:t>
      </w:r>
    </w:p>
    <w:p w14:paraId="33CEB0C8">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                                       传真：</w:t>
      </w:r>
    </w:p>
    <w:p w14:paraId="79D4BF4F">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签约时间：     年   月   日</w:t>
      </w:r>
    </w:p>
    <w:p w14:paraId="25DB9391">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签约地点：</w:t>
      </w:r>
    </w:p>
    <w:p w14:paraId="3EF6C919">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p>
    <w:p w14:paraId="60636A26">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见证单位：（盖章）</w:t>
      </w:r>
    </w:p>
    <w:p w14:paraId="21C376A0">
      <w:pPr>
        <w:pStyle w:val="33"/>
        <w:widowControl w:val="0"/>
        <w:snapToGrid w:val="0"/>
        <w:spacing w:line="312" w:lineRule="auto"/>
        <w:ind w:left="180"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法定代表人或委托代理人（签字或盖章）:</w:t>
      </w:r>
    </w:p>
    <w:p w14:paraId="054BAE78">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时间：2025年   月   日</w:t>
      </w:r>
    </w:p>
    <w:p w14:paraId="0FD5C360">
      <w:pPr>
        <w:rPr>
          <w:rFonts w:hint="eastAsia" w:asciiTheme="minorEastAsia" w:hAnsiTheme="minorEastAsia" w:eastAsiaTheme="minorEastAsia" w:cstheme="minorEastAsia"/>
          <w:color w:val="auto"/>
          <w:sz w:val="24"/>
        </w:rPr>
      </w:pPr>
    </w:p>
    <w:p w14:paraId="25A89786">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14:paraId="1C74F743">
      <w:pPr>
        <w:spacing w:line="360" w:lineRule="auto"/>
        <w:jc w:val="center"/>
        <w:outlineLvl w:val="0"/>
        <w:rPr>
          <w:rFonts w:hint="eastAsia" w:asciiTheme="minorEastAsia" w:hAnsiTheme="minorEastAsia" w:eastAsiaTheme="minorEastAsia" w:cstheme="minorEastAsia"/>
          <w:b/>
          <w:color w:val="auto"/>
          <w:sz w:val="36"/>
          <w:szCs w:val="20"/>
        </w:rPr>
      </w:pPr>
      <w:r>
        <w:rPr>
          <w:rFonts w:hint="eastAsia" w:asciiTheme="minorEastAsia" w:hAnsiTheme="minorEastAsia" w:eastAsiaTheme="minorEastAsia" w:cstheme="minorEastAsia"/>
          <w:b/>
          <w:color w:val="auto"/>
          <w:sz w:val="36"/>
          <w:szCs w:val="20"/>
        </w:rPr>
        <w:t>第六部分 应提交的有关格式范例</w:t>
      </w:r>
    </w:p>
    <w:p w14:paraId="4B736A75">
      <w:pPr>
        <w:spacing w:line="360" w:lineRule="auto"/>
        <w:jc w:val="center"/>
        <w:outlineLvl w:val="0"/>
        <w:rPr>
          <w:rFonts w:hint="eastAsia" w:asciiTheme="minorEastAsia" w:hAnsiTheme="minorEastAsia" w:eastAsiaTheme="minorEastAsia" w:cstheme="minorEastAsia"/>
          <w:b/>
          <w:color w:val="auto"/>
          <w:kern w:val="0"/>
          <w:sz w:val="36"/>
          <w:szCs w:val="36"/>
        </w:rPr>
      </w:pPr>
    </w:p>
    <w:p w14:paraId="14A8D242">
      <w:pPr>
        <w:spacing w:line="360" w:lineRule="auto"/>
        <w:jc w:val="center"/>
        <w:outlineLvl w:val="0"/>
        <w:rPr>
          <w:rFonts w:hint="eastAsia" w:asciiTheme="minorEastAsia" w:hAnsiTheme="minorEastAsia" w:eastAsiaTheme="minorEastAsia" w:cstheme="minorEastAsia"/>
          <w:b/>
          <w:color w:val="auto"/>
          <w:kern w:val="0"/>
          <w:sz w:val="36"/>
          <w:szCs w:val="36"/>
        </w:rPr>
      </w:pPr>
      <w:r>
        <w:rPr>
          <w:rFonts w:hint="eastAsia" w:asciiTheme="minorEastAsia" w:hAnsiTheme="minorEastAsia" w:eastAsiaTheme="minorEastAsia" w:cstheme="minorEastAsia"/>
          <w:b/>
          <w:color w:val="auto"/>
          <w:kern w:val="0"/>
          <w:sz w:val="36"/>
          <w:szCs w:val="36"/>
        </w:rPr>
        <w:t>资格文件部分</w:t>
      </w:r>
    </w:p>
    <w:p w14:paraId="26168632">
      <w:pPr>
        <w:spacing w:line="360" w:lineRule="auto"/>
        <w:jc w:val="center"/>
        <w:outlineLvl w:val="0"/>
        <w:rPr>
          <w:rFonts w:hint="eastAsia" w:asciiTheme="minorEastAsia" w:hAnsiTheme="minorEastAsia" w:eastAsiaTheme="minorEastAsia" w:cstheme="minorEastAsia"/>
          <w:b/>
          <w:color w:val="auto"/>
          <w:kern w:val="0"/>
          <w:sz w:val="36"/>
          <w:szCs w:val="36"/>
        </w:rPr>
      </w:pPr>
      <w:r>
        <w:rPr>
          <w:rFonts w:hint="eastAsia" w:asciiTheme="minorEastAsia" w:hAnsiTheme="minorEastAsia" w:eastAsiaTheme="minorEastAsia" w:cstheme="minorEastAsia"/>
          <w:b/>
          <w:color w:val="auto"/>
          <w:kern w:val="0"/>
          <w:sz w:val="36"/>
          <w:szCs w:val="36"/>
        </w:rPr>
        <w:t>目录</w:t>
      </w:r>
    </w:p>
    <w:p w14:paraId="43DE51BB">
      <w:pPr>
        <w:spacing w:line="360" w:lineRule="auto"/>
        <w:jc w:val="center"/>
        <w:outlineLvl w:val="0"/>
        <w:rPr>
          <w:rFonts w:hint="eastAsia" w:asciiTheme="minorEastAsia" w:hAnsiTheme="minorEastAsia" w:eastAsiaTheme="minorEastAsia" w:cstheme="minorEastAsia"/>
          <w:b/>
          <w:color w:val="auto"/>
          <w:kern w:val="0"/>
          <w:sz w:val="36"/>
          <w:szCs w:val="36"/>
        </w:rPr>
      </w:pPr>
    </w:p>
    <w:p w14:paraId="5B6B4A55">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（1）符合参加国有企业采购活动应当具备的一般条件的承诺函………（页码）</w:t>
      </w:r>
    </w:p>
    <w:p w14:paraId="52FAAAFC">
      <w:pPr>
        <w:snapToGrid w:val="0"/>
        <w:spacing w:line="360" w:lineRule="auto"/>
        <w:rPr>
          <w:rFonts w:hint="eastAsia" w:asciiTheme="minorEastAsia" w:hAnsiTheme="minorEastAsia" w:eastAsiaTheme="minorEastAsia" w:cstheme="minorEastAsia"/>
          <w:snapToGrid w:val="0"/>
          <w:color w:val="auto"/>
          <w:kern w:val="28"/>
          <w:sz w:val="24"/>
          <w:szCs w:val="20"/>
        </w:rPr>
      </w:pPr>
      <w:r>
        <w:rPr>
          <w:rFonts w:hint="eastAsia" w:asciiTheme="minorEastAsia" w:hAnsiTheme="minorEastAsia" w:eastAsiaTheme="minorEastAsia" w:cstheme="minorEastAsia"/>
          <w:snapToGrid w:val="0"/>
          <w:color w:val="auto"/>
          <w:kern w:val="28"/>
          <w:sz w:val="24"/>
          <w:szCs w:val="20"/>
        </w:rPr>
        <w:t>（2）营业执照</w:t>
      </w:r>
      <w:r>
        <w:rPr>
          <w:rFonts w:hint="eastAsia" w:asciiTheme="minorEastAsia" w:hAnsiTheme="minorEastAsia" w:eastAsiaTheme="minorEastAsia" w:cstheme="minorEastAsia"/>
          <w:color w:val="auto"/>
          <w:sz w:val="24"/>
        </w:rPr>
        <w:t>………………………………………………………………（页码）</w:t>
      </w:r>
    </w:p>
    <w:p w14:paraId="16761E66">
      <w:pPr>
        <w:snapToGrid w:val="0"/>
        <w:spacing w:line="360" w:lineRule="auto"/>
        <w:rPr>
          <w:rFonts w:hint="eastAsia" w:asciiTheme="minorEastAsia" w:hAnsiTheme="minorEastAsia" w:eastAsiaTheme="minorEastAsia" w:cstheme="minorEastAsia"/>
          <w:snapToGrid w:val="0"/>
          <w:color w:val="auto"/>
          <w:kern w:val="28"/>
          <w:sz w:val="24"/>
          <w:szCs w:val="20"/>
        </w:rPr>
      </w:pPr>
      <w:r>
        <w:rPr>
          <w:rFonts w:hint="eastAsia" w:asciiTheme="minorEastAsia" w:hAnsiTheme="minorEastAsia" w:eastAsiaTheme="minorEastAsia" w:cstheme="minorEastAsia"/>
          <w:snapToGrid w:val="0"/>
          <w:color w:val="auto"/>
          <w:kern w:val="28"/>
          <w:sz w:val="24"/>
          <w:szCs w:val="20"/>
        </w:rPr>
        <w:t>（3）投标保证金转账、汇款凭证</w:t>
      </w:r>
      <w:r>
        <w:rPr>
          <w:rFonts w:hint="eastAsia" w:asciiTheme="minorEastAsia" w:hAnsiTheme="minorEastAsia" w:eastAsiaTheme="minorEastAsia" w:cstheme="minorEastAsia"/>
          <w:color w:val="auto"/>
          <w:sz w:val="24"/>
        </w:rPr>
        <w:t>…………………………………………（页码）</w:t>
      </w:r>
    </w:p>
    <w:p w14:paraId="3CEB4414">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napToGrid w:val="0"/>
          <w:color w:val="auto"/>
          <w:kern w:val="28"/>
          <w:sz w:val="24"/>
          <w:szCs w:val="20"/>
          <w:lang w:eastAsia="zh-CN"/>
        </w:rPr>
        <w:t>（</w:t>
      </w:r>
      <w:r>
        <w:rPr>
          <w:rFonts w:hint="eastAsia" w:asciiTheme="minorEastAsia" w:hAnsiTheme="minorEastAsia" w:eastAsiaTheme="minorEastAsia" w:cstheme="minorEastAsia"/>
          <w:snapToGrid w:val="0"/>
          <w:color w:val="auto"/>
          <w:kern w:val="28"/>
          <w:sz w:val="24"/>
          <w:szCs w:val="20"/>
          <w:lang w:val="en-US" w:eastAsia="zh-CN"/>
        </w:rPr>
        <w:t>4</w:t>
      </w:r>
      <w:r>
        <w:rPr>
          <w:rFonts w:hint="eastAsia" w:asciiTheme="minorEastAsia" w:hAnsiTheme="minorEastAsia" w:eastAsiaTheme="minorEastAsia" w:cstheme="minorEastAsia"/>
          <w:snapToGrid w:val="0"/>
          <w:color w:val="auto"/>
          <w:kern w:val="28"/>
          <w:sz w:val="24"/>
          <w:szCs w:val="20"/>
          <w:lang w:eastAsia="zh-CN"/>
        </w:rPr>
        <w:t>）</w:t>
      </w:r>
      <w:r>
        <w:rPr>
          <w:rFonts w:hint="eastAsia" w:asciiTheme="minorEastAsia" w:hAnsiTheme="minorEastAsia" w:eastAsiaTheme="minorEastAsia" w:cstheme="minorEastAsia"/>
          <w:snapToGrid w:val="0"/>
          <w:color w:val="auto"/>
          <w:kern w:val="28"/>
          <w:sz w:val="24"/>
          <w:szCs w:val="20"/>
        </w:rPr>
        <w:t>联合协议</w:t>
      </w:r>
      <w:r>
        <w:rPr>
          <w:rFonts w:hint="eastAsia" w:asciiTheme="minorEastAsia" w:hAnsiTheme="minorEastAsia" w:eastAsiaTheme="minorEastAsia" w:cstheme="minorEastAsia"/>
          <w:color w:val="auto"/>
          <w:sz w:val="24"/>
        </w:rPr>
        <w:t>………………………………………………………………（页码）</w:t>
      </w:r>
    </w:p>
    <w:p w14:paraId="2B8E542C">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）本项目的特定资格要求………………………………………………（页码）</w:t>
      </w:r>
    </w:p>
    <w:p w14:paraId="61EC05F2">
      <w:pPr>
        <w:snapToGrid w:val="0"/>
        <w:spacing w:line="360" w:lineRule="auto"/>
        <w:ind w:firstLine="480" w:firstLineChars="200"/>
        <w:rPr>
          <w:rFonts w:hint="eastAsia" w:asciiTheme="minorEastAsia" w:hAnsiTheme="minorEastAsia" w:eastAsiaTheme="minorEastAsia" w:cstheme="minorEastAsia"/>
          <w:color w:val="auto"/>
          <w:sz w:val="24"/>
        </w:rPr>
      </w:pPr>
    </w:p>
    <w:p w14:paraId="4586909B">
      <w:pPr>
        <w:spacing w:line="360" w:lineRule="auto"/>
        <w:ind w:firstLine="480" w:firstLineChars="200"/>
        <w:rPr>
          <w:rFonts w:hint="eastAsia" w:asciiTheme="minorEastAsia" w:hAnsiTheme="minorEastAsia" w:eastAsiaTheme="minorEastAsia" w:cstheme="minorEastAsia"/>
          <w:color w:val="auto"/>
          <w:sz w:val="24"/>
        </w:rPr>
      </w:pPr>
    </w:p>
    <w:p w14:paraId="78B00790">
      <w:pPr>
        <w:snapToGrid w:val="0"/>
        <w:spacing w:line="360" w:lineRule="auto"/>
        <w:ind w:right="480"/>
        <w:jc w:val="cente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color w:val="auto"/>
          <w:kern w:val="0"/>
          <w:sz w:val="24"/>
        </w:rPr>
        <w:br w:type="page"/>
      </w:r>
      <w:r>
        <w:rPr>
          <w:rFonts w:hint="eastAsia" w:asciiTheme="minorEastAsia" w:hAnsiTheme="minorEastAsia" w:eastAsiaTheme="minorEastAsia" w:cstheme="minorEastAsia"/>
          <w:b/>
          <w:color w:val="auto"/>
          <w:kern w:val="0"/>
          <w:sz w:val="32"/>
          <w:szCs w:val="32"/>
        </w:rPr>
        <w:t xml:space="preserve">  一、 符合参加国有企业采购活动应当具备的一般条件的承诺函</w:t>
      </w:r>
    </w:p>
    <w:p w14:paraId="412DA026">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建德市罗村水力发电有限公司 、杭州欧方工程管理有限公司：</w:t>
      </w:r>
    </w:p>
    <w:p w14:paraId="6C4C6989">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我方参与</w:t>
      </w:r>
      <w:r>
        <w:rPr>
          <w:rFonts w:hint="eastAsia" w:asciiTheme="minorEastAsia" w:hAnsiTheme="minorEastAsia" w:eastAsiaTheme="minorEastAsia" w:cstheme="minorEastAsia"/>
          <w:color w:val="auto"/>
          <w:sz w:val="24"/>
          <w:lang w:eastAsia="zh-CN"/>
        </w:rPr>
        <w:t>建德市罗村三级电站更新改造暨梯级集控建设工程（机电设备）采购项目</w:t>
      </w:r>
      <w:r>
        <w:rPr>
          <w:rFonts w:hint="eastAsia" w:asciiTheme="minorEastAsia" w:hAnsiTheme="minorEastAsia" w:eastAsiaTheme="minorEastAsia" w:cstheme="minorEastAsia"/>
          <w:color w:val="auto"/>
          <w:sz w:val="24"/>
        </w:rPr>
        <w:t>【招标编号：HZOFCG2025B-088】国有企业采购活动，郑重承诺：</w:t>
      </w:r>
    </w:p>
    <w:p w14:paraId="1A32DE7D">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（一）未被“信用中国”（www.creditchina.gov.cn）列入失信被执行人、重大税收违法失信主体、采购严重违法失信行为记录名单；</w:t>
      </w:r>
    </w:p>
    <w:p w14:paraId="4C7D2C60">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二</w:t>
      </w:r>
      <w:r>
        <w:rPr>
          <w:rFonts w:hint="eastAsia" w:asciiTheme="minorEastAsia" w:hAnsiTheme="minorEastAsia" w:eastAsiaTheme="minorEastAsia" w:cstheme="minorEastAsia"/>
          <w:color w:val="auto"/>
          <w:sz w:val="24"/>
        </w:rPr>
        <w:t>）不存在以下情况：</w:t>
      </w:r>
    </w:p>
    <w:p w14:paraId="63E1E701">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1、单位负责人为同一人或者存在直接控股、管理关系的不同供应商参加同一合同项下的国有企业采购活动的；</w:t>
      </w:r>
    </w:p>
    <w:p w14:paraId="1B163FA2">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2、为采购项目提供整体设计、规范编制或者项目管理、监理、检测等服务后再参加该采购项目的其他采购活动的。</w:t>
      </w:r>
    </w:p>
    <w:p w14:paraId="32475F74">
      <w:pPr>
        <w:snapToGrid w:val="0"/>
        <w:spacing w:line="360" w:lineRule="auto"/>
        <w:ind w:firstLine="5520" w:firstLineChars="23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zh-CN"/>
        </w:rPr>
        <w:t>投标人名称(电子签名）：</w:t>
      </w:r>
    </w:p>
    <w:p w14:paraId="507D048E">
      <w:pPr>
        <w:snapToGrid w:val="0"/>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zh-CN"/>
        </w:rPr>
        <w:t xml:space="preserve">                        </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日期</w:t>
      </w:r>
      <w:r>
        <w:rPr>
          <w:rFonts w:hint="eastAsia" w:asciiTheme="minorEastAsia" w:hAnsiTheme="minorEastAsia" w:eastAsiaTheme="minorEastAsia" w:cstheme="minorEastAsia"/>
          <w:color w:val="auto"/>
          <w:kern w:val="0"/>
          <w:sz w:val="24"/>
        </w:rPr>
        <w:t xml:space="preserve">：  年  </w:t>
      </w:r>
      <w:r>
        <w:rPr>
          <w:rFonts w:hint="eastAsia" w:asciiTheme="minorEastAsia" w:hAnsiTheme="minorEastAsia" w:eastAsiaTheme="minorEastAsia" w:cstheme="minorEastAsia"/>
          <w:color w:val="auto"/>
          <w:kern w:val="0"/>
          <w:sz w:val="24"/>
          <w:lang w:val="zh-CN"/>
        </w:rPr>
        <w:t>月</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日</w:t>
      </w:r>
    </w:p>
    <w:p w14:paraId="61C4E374">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6854904B">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2BF32EBE">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79B7B654">
      <w:pPr>
        <w:snapToGrid w:val="0"/>
        <w:spacing w:line="360" w:lineRule="auto"/>
        <w:ind w:right="480"/>
        <w:rPr>
          <w:rFonts w:hint="eastAsia" w:asciiTheme="minorEastAsia" w:hAnsiTheme="minorEastAsia" w:eastAsiaTheme="minorEastAsia" w:cstheme="minorEastAsia"/>
          <w:b/>
          <w:color w:val="auto"/>
          <w:kern w:val="0"/>
          <w:sz w:val="32"/>
          <w:szCs w:val="32"/>
        </w:rPr>
      </w:pPr>
    </w:p>
    <w:p w14:paraId="11D0A234">
      <w:pPr>
        <w:spacing w:line="360" w:lineRule="auto"/>
        <w:ind w:firstLine="643" w:firstLineChars="200"/>
        <w:jc w:val="cente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t>二、营业执照复印件加盖公章</w:t>
      </w:r>
    </w:p>
    <w:p w14:paraId="4154BAFF">
      <w:pPr>
        <w:spacing w:line="360" w:lineRule="auto"/>
        <w:ind w:firstLine="643" w:firstLineChars="200"/>
        <w:jc w:val="center"/>
        <w:rPr>
          <w:rFonts w:hint="eastAsia" w:asciiTheme="minorEastAsia" w:hAnsiTheme="minorEastAsia" w:eastAsiaTheme="minorEastAsia" w:cstheme="minorEastAsia"/>
          <w:b/>
          <w:color w:val="auto"/>
          <w:kern w:val="0"/>
          <w:sz w:val="32"/>
          <w:szCs w:val="32"/>
        </w:rPr>
      </w:pPr>
    </w:p>
    <w:p w14:paraId="0ED249CF">
      <w:pPr>
        <w:spacing w:line="360" w:lineRule="auto"/>
        <w:ind w:firstLine="643" w:firstLineChars="200"/>
        <w:jc w:val="center"/>
        <w:rPr>
          <w:rFonts w:hint="eastAsia" w:asciiTheme="minorEastAsia" w:hAnsiTheme="minorEastAsia" w:eastAsiaTheme="minorEastAsia" w:cstheme="minorEastAsia"/>
          <w:b/>
          <w:color w:val="auto"/>
          <w:kern w:val="0"/>
          <w:sz w:val="32"/>
          <w:szCs w:val="32"/>
        </w:rPr>
      </w:pPr>
    </w:p>
    <w:p w14:paraId="74E9010C">
      <w:pPr>
        <w:spacing w:line="360" w:lineRule="auto"/>
        <w:ind w:firstLine="643" w:firstLineChars="200"/>
        <w:jc w:val="cente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t>三、投标保证金转账、汇款凭证复印件</w:t>
      </w:r>
    </w:p>
    <w:p w14:paraId="565AF0D2">
      <w:pPr>
        <w:spacing w:line="360" w:lineRule="auto"/>
        <w:ind w:firstLine="643" w:firstLineChars="200"/>
        <w:jc w:val="center"/>
        <w:rPr>
          <w:rFonts w:hint="eastAsia" w:asciiTheme="minorEastAsia" w:hAnsiTheme="minorEastAsia" w:eastAsiaTheme="minorEastAsia" w:cstheme="minorEastAsia"/>
          <w:b/>
          <w:color w:val="auto"/>
          <w:kern w:val="0"/>
          <w:sz w:val="32"/>
          <w:szCs w:val="32"/>
          <w:lang w:val="en-US" w:eastAsia="zh-CN"/>
        </w:rPr>
      </w:pPr>
    </w:p>
    <w:p w14:paraId="1C78D40A">
      <w:pPr>
        <w:spacing w:line="360" w:lineRule="auto"/>
        <w:ind w:firstLine="643" w:firstLineChars="200"/>
        <w:jc w:val="center"/>
        <w:rPr>
          <w:rFonts w:hint="eastAsia" w:asciiTheme="minorEastAsia" w:hAnsiTheme="minorEastAsia" w:eastAsiaTheme="minorEastAsia" w:cstheme="minorEastAsia"/>
          <w:b/>
          <w:color w:val="auto"/>
          <w:kern w:val="0"/>
          <w:sz w:val="32"/>
          <w:szCs w:val="32"/>
          <w:lang w:val="en-US" w:eastAsia="zh-CN"/>
        </w:rPr>
      </w:pPr>
    </w:p>
    <w:p w14:paraId="319058A4">
      <w:pPr>
        <w:spacing w:line="360" w:lineRule="auto"/>
        <w:ind w:firstLine="643" w:firstLineChars="200"/>
        <w:jc w:val="center"/>
        <w:rPr>
          <w:rFonts w:hint="eastAsia" w:asciiTheme="minorEastAsia" w:hAnsiTheme="minorEastAsia" w:eastAsiaTheme="minorEastAsia" w:cstheme="minorEastAsia"/>
          <w:b/>
          <w:color w:val="auto"/>
          <w:kern w:val="0"/>
          <w:sz w:val="32"/>
          <w:szCs w:val="32"/>
          <w:lang w:val="en-US" w:eastAsia="zh-CN"/>
        </w:rPr>
      </w:pPr>
    </w:p>
    <w:p w14:paraId="0801B7FD">
      <w:pPr>
        <w:spacing w:line="360" w:lineRule="auto"/>
        <w:ind w:firstLine="643" w:firstLineChars="200"/>
        <w:jc w:val="cente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lang w:val="en-US" w:eastAsia="zh-CN"/>
        </w:rPr>
        <w:t>四、</w:t>
      </w:r>
      <w:r>
        <w:rPr>
          <w:rFonts w:hint="eastAsia" w:asciiTheme="minorEastAsia" w:hAnsiTheme="minorEastAsia" w:eastAsiaTheme="minorEastAsia" w:cstheme="minorEastAsia"/>
          <w:b/>
          <w:color w:val="auto"/>
          <w:kern w:val="0"/>
          <w:sz w:val="32"/>
          <w:szCs w:val="32"/>
        </w:rPr>
        <w:t>联合协议（如果有）</w:t>
      </w:r>
    </w:p>
    <w:p w14:paraId="0C59F2FD">
      <w:pPr>
        <w:spacing w:line="360"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[以联合体形式投标的，提供联合协议（附件5）；本项目不接受联合体投标或者投标人不以联合体形式投标的，则不需要提供]</w:t>
      </w:r>
    </w:p>
    <w:p w14:paraId="1B383514">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5063A18D">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05049D75">
      <w:pPr>
        <w:spacing w:line="360" w:lineRule="auto"/>
        <w:ind w:firstLine="480" w:firstLineChars="200"/>
        <w:rPr>
          <w:rFonts w:hint="eastAsia" w:asciiTheme="minorEastAsia" w:hAnsiTheme="minorEastAsia" w:eastAsiaTheme="minorEastAsia" w:cstheme="minorEastAsia"/>
          <w:color w:val="auto"/>
          <w:sz w:val="24"/>
        </w:rPr>
      </w:pPr>
    </w:p>
    <w:p w14:paraId="55645FB8">
      <w:pPr>
        <w:spacing w:line="360" w:lineRule="auto"/>
        <w:ind w:left="150"/>
        <w:jc w:val="center"/>
        <w:rPr>
          <w:rFonts w:hint="eastAsia" w:asciiTheme="minorEastAsia" w:hAnsiTheme="minorEastAsia" w:eastAsiaTheme="minorEastAsia" w:cstheme="minorEastAsia"/>
          <w:b/>
          <w:color w:val="auto"/>
          <w:kern w:val="0"/>
          <w:sz w:val="32"/>
          <w:szCs w:val="32"/>
        </w:rPr>
      </w:pPr>
    </w:p>
    <w:p w14:paraId="5E5D6B83">
      <w:pPr>
        <w:spacing w:line="360" w:lineRule="auto"/>
        <w:ind w:left="150"/>
        <w:jc w:val="cente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lang w:val="en-US" w:eastAsia="zh-CN"/>
        </w:rPr>
        <w:t>五</w:t>
      </w:r>
      <w:r>
        <w:rPr>
          <w:rFonts w:hint="eastAsia" w:asciiTheme="minorEastAsia" w:hAnsiTheme="minorEastAsia" w:eastAsiaTheme="minorEastAsia" w:cstheme="minorEastAsia"/>
          <w:b/>
          <w:color w:val="auto"/>
          <w:kern w:val="0"/>
          <w:sz w:val="32"/>
          <w:szCs w:val="32"/>
        </w:rPr>
        <w:t>、本项目的特定资格要求（如果有）</w:t>
      </w:r>
    </w:p>
    <w:p w14:paraId="73EAFFB4">
      <w:pPr>
        <w:spacing w:line="360" w:lineRule="auto"/>
        <w:ind w:firstLine="482" w:firstLineChars="200"/>
        <w:rPr>
          <w:rFonts w:hint="eastAsia" w:asciiTheme="minorEastAsia" w:hAnsiTheme="minorEastAsia" w:eastAsiaTheme="minorEastAsia" w:cstheme="minorEastAsia"/>
          <w:b/>
          <w:color w:val="auto"/>
          <w:sz w:val="24"/>
        </w:rPr>
      </w:pPr>
    </w:p>
    <w:p w14:paraId="74683AFB">
      <w:pPr>
        <w:adjustRightInd/>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br w:type="page"/>
      </w:r>
    </w:p>
    <w:p w14:paraId="10AE96F5">
      <w:pPr>
        <w:spacing w:line="360" w:lineRule="auto"/>
        <w:ind w:right="420"/>
        <w:jc w:val="center"/>
        <w:rPr>
          <w:rFonts w:hint="eastAsia" w:asciiTheme="minorEastAsia" w:hAnsiTheme="minorEastAsia" w:eastAsiaTheme="minorEastAsia" w:cstheme="minorEastAsia"/>
          <w:b/>
          <w:color w:val="auto"/>
          <w:kern w:val="0"/>
          <w:sz w:val="36"/>
          <w:szCs w:val="36"/>
        </w:rPr>
      </w:pPr>
      <w:r>
        <w:rPr>
          <w:rFonts w:hint="eastAsia" w:asciiTheme="minorEastAsia" w:hAnsiTheme="minorEastAsia" w:eastAsiaTheme="minorEastAsia" w:cstheme="minorEastAsia"/>
          <w:b/>
          <w:color w:val="auto"/>
          <w:kern w:val="0"/>
          <w:sz w:val="36"/>
          <w:szCs w:val="36"/>
        </w:rPr>
        <w:t>商务技术文件部分</w:t>
      </w:r>
    </w:p>
    <w:p w14:paraId="6882ADAD">
      <w:pPr>
        <w:spacing w:line="360" w:lineRule="auto"/>
        <w:jc w:val="center"/>
        <w:outlineLvl w:val="0"/>
        <w:rPr>
          <w:rFonts w:hint="eastAsia" w:asciiTheme="minorEastAsia" w:hAnsiTheme="minorEastAsia" w:eastAsiaTheme="minorEastAsia" w:cstheme="minorEastAsia"/>
          <w:b/>
          <w:color w:val="auto"/>
          <w:kern w:val="0"/>
          <w:sz w:val="28"/>
          <w:szCs w:val="28"/>
        </w:rPr>
      </w:pPr>
      <w:r>
        <w:rPr>
          <w:rFonts w:hint="eastAsia" w:asciiTheme="minorEastAsia" w:hAnsiTheme="minorEastAsia" w:eastAsiaTheme="minorEastAsia" w:cstheme="minorEastAsia"/>
          <w:b/>
          <w:color w:val="auto"/>
          <w:kern w:val="0"/>
          <w:sz w:val="28"/>
          <w:szCs w:val="28"/>
        </w:rPr>
        <w:t>目录</w:t>
      </w:r>
    </w:p>
    <w:p w14:paraId="7EC396B2">
      <w:pPr>
        <w:snapToGrid w:val="0"/>
        <w:spacing w:line="360" w:lineRule="auto"/>
        <w:rPr>
          <w:rFonts w:hint="eastAsia" w:asciiTheme="minorEastAsia" w:hAnsiTheme="minorEastAsia" w:eastAsiaTheme="minorEastAsia" w:cstheme="minorEastAsia"/>
          <w:color w:val="auto"/>
          <w:sz w:val="20"/>
          <w:szCs w:val="22"/>
        </w:rPr>
      </w:pPr>
      <w:r>
        <w:rPr>
          <w:rFonts w:hint="eastAsia" w:asciiTheme="minorEastAsia" w:hAnsiTheme="minorEastAsia" w:eastAsiaTheme="minorEastAsia" w:cstheme="minorEastAsia"/>
          <w:color w:val="auto"/>
          <w:sz w:val="22"/>
          <w:szCs w:val="22"/>
        </w:rPr>
        <w:t>（1）投标函</w:t>
      </w:r>
      <w:r>
        <w:rPr>
          <w:rFonts w:hint="eastAsia" w:asciiTheme="minorEastAsia" w:hAnsiTheme="minorEastAsia" w:eastAsiaTheme="minorEastAsia" w:cstheme="minorEastAsia"/>
          <w:color w:val="auto"/>
          <w:sz w:val="20"/>
          <w:szCs w:val="22"/>
        </w:rPr>
        <w:t>…………………………………………………………………………………（页码）</w:t>
      </w:r>
      <w:r>
        <w:rPr>
          <w:rFonts w:hint="eastAsia" w:asciiTheme="minorEastAsia" w:hAnsiTheme="minorEastAsia" w:eastAsiaTheme="minorEastAsia" w:cstheme="minorEastAsia"/>
          <w:color w:val="auto"/>
          <w:sz w:val="22"/>
          <w:szCs w:val="22"/>
        </w:rPr>
        <w:t xml:space="preserve">（2）授权委托书或法定代表人（单位负责人、自然人本人）身份证明 </w:t>
      </w:r>
      <w:r>
        <w:rPr>
          <w:rFonts w:hint="eastAsia" w:asciiTheme="minorEastAsia" w:hAnsiTheme="minorEastAsia" w:eastAsiaTheme="minorEastAsia" w:cstheme="minorEastAsia"/>
          <w:color w:val="auto"/>
          <w:sz w:val="20"/>
          <w:szCs w:val="22"/>
        </w:rPr>
        <w:t>………（页码）</w:t>
      </w:r>
    </w:p>
    <w:p w14:paraId="76E15C83">
      <w:pPr>
        <w:snapToGrid w:val="0"/>
        <w:spacing w:line="360" w:lineRule="auto"/>
        <w:rPr>
          <w:rFonts w:hint="eastAsia" w:asciiTheme="minorEastAsia" w:hAnsiTheme="minorEastAsia" w:eastAsiaTheme="minorEastAsia" w:cstheme="minorEastAsia"/>
          <w:color w:val="auto"/>
          <w:sz w:val="20"/>
          <w:szCs w:val="22"/>
        </w:rPr>
      </w:pPr>
      <w:r>
        <w:rPr>
          <w:rFonts w:hint="eastAsia" w:asciiTheme="minorEastAsia" w:hAnsiTheme="minorEastAsia" w:eastAsiaTheme="minorEastAsia" w:cstheme="minorEastAsia"/>
          <w:color w:val="auto"/>
          <w:sz w:val="22"/>
          <w:szCs w:val="22"/>
        </w:rPr>
        <w:t>（3）分包意向协议</w:t>
      </w:r>
      <w:r>
        <w:rPr>
          <w:rFonts w:hint="eastAsia" w:asciiTheme="minorEastAsia" w:hAnsiTheme="minorEastAsia" w:eastAsiaTheme="minorEastAsia" w:cstheme="minorEastAsia"/>
          <w:color w:val="auto"/>
          <w:sz w:val="20"/>
          <w:szCs w:val="22"/>
        </w:rPr>
        <w:t>…………………………………………………………………………（页码）</w:t>
      </w:r>
    </w:p>
    <w:p w14:paraId="0342FA15">
      <w:pPr>
        <w:snapToGrid w:val="0"/>
        <w:spacing w:line="360" w:lineRule="auto"/>
        <w:rPr>
          <w:rFonts w:hint="eastAsia" w:asciiTheme="minorEastAsia" w:hAnsiTheme="minorEastAsia" w:eastAsiaTheme="minorEastAsia" w:cstheme="minorEastAsia"/>
          <w:color w:val="auto"/>
          <w:sz w:val="20"/>
          <w:szCs w:val="22"/>
        </w:rPr>
      </w:pPr>
      <w:r>
        <w:rPr>
          <w:rFonts w:hint="eastAsia" w:asciiTheme="minorEastAsia" w:hAnsiTheme="minorEastAsia" w:eastAsiaTheme="minorEastAsia" w:cstheme="minorEastAsia"/>
          <w:color w:val="auto"/>
          <w:sz w:val="22"/>
          <w:szCs w:val="22"/>
        </w:rPr>
        <w:t>（4）符合性审查资料</w:t>
      </w:r>
      <w:r>
        <w:rPr>
          <w:rFonts w:hint="eastAsia" w:asciiTheme="minorEastAsia" w:hAnsiTheme="minorEastAsia" w:eastAsiaTheme="minorEastAsia" w:cstheme="minorEastAsia"/>
          <w:color w:val="auto"/>
          <w:sz w:val="20"/>
          <w:szCs w:val="22"/>
        </w:rPr>
        <w:t>………………………………………………………………………（页码）</w:t>
      </w:r>
    </w:p>
    <w:p w14:paraId="4E210B44">
      <w:pPr>
        <w:snapToGrid w:val="0"/>
        <w:spacing w:line="360" w:lineRule="auto"/>
        <w:rPr>
          <w:rFonts w:hint="eastAsia" w:asciiTheme="minorEastAsia" w:hAnsiTheme="minorEastAsia" w:eastAsiaTheme="minorEastAsia" w:cstheme="minorEastAsia"/>
          <w:color w:val="auto"/>
          <w:sz w:val="20"/>
          <w:szCs w:val="22"/>
        </w:rPr>
      </w:pPr>
      <w:r>
        <w:rPr>
          <w:rFonts w:hint="eastAsia" w:asciiTheme="minorEastAsia" w:hAnsiTheme="minorEastAsia" w:eastAsiaTheme="minorEastAsia" w:cstheme="minorEastAsia"/>
          <w:color w:val="auto"/>
          <w:sz w:val="22"/>
          <w:szCs w:val="22"/>
        </w:rPr>
        <w:t>（5）评标标准相应的商务技术资料</w:t>
      </w:r>
      <w:r>
        <w:rPr>
          <w:rFonts w:hint="eastAsia" w:asciiTheme="minorEastAsia" w:hAnsiTheme="minorEastAsia" w:eastAsiaTheme="minorEastAsia" w:cstheme="minorEastAsia"/>
          <w:color w:val="auto"/>
          <w:sz w:val="20"/>
          <w:szCs w:val="22"/>
        </w:rPr>
        <w:t>…………………………</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0"/>
          <w:szCs w:val="22"/>
        </w:rPr>
        <w:t>…</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0"/>
          <w:szCs w:val="22"/>
        </w:rPr>
        <w:t>……………（页码）</w:t>
      </w:r>
      <w:r>
        <w:rPr>
          <w:rFonts w:hint="eastAsia" w:asciiTheme="minorEastAsia" w:hAnsiTheme="minorEastAsia" w:eastAsiaTheme="minorEastAsia" w:cstheme="minorEastAsia"/>
          <w:color w:val="auto"/>
          <w:sz w:val="22"/>
          <w:szCs w:val="22"/>
        </w:rPr>
        <w:t>（6）技术参数对照表</w:t>
      </w:r>
      <w:r>
        <w:rPr>
          <w:rFonts w:hint="eastAsia" w:asciiTheme="minorEastAsia" w:hAnsiTheme="minorEastAsia" w:eastAsiaTheme="minorEastAsia" w:cstheme="minorEastAsia"/>
          <w:color w:val="auto"/>
          <w:sz w:val="20"/>
          <w:szCs w:val="22"/>
        </w:rPr>
        <w:t>… ……………………</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0"/>
          <w:szCs w:val="22"/>
        </w:rPr>
        <w:t>…</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0"/>
          <w:szCs w:val="22"/>
        </w:rPr>
        <w:t>…</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0"/>
          <w:szCs w:val="22"/>
        </w:rPr>
        <w:t>…</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0"/>
          <w:szCs w:val="22"/>
        </w:rPr>
        <w:t>…</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0"/>
          <w:szCs w:val="22"/>
        </w:rPr>
        <w:t>…………………（页码）</w:t>
      </w:r>
    </w:p>
    <w:p w14:paraId="61A0A57F">
      <w:pPr>
        <w:snapToGrid w:val="0"/>
        <w:spacing w:line="360" w:lineRule="auto"/>
        <w:rPr>
          <w:rFonts w:hint="eastAsia" w:asciiTheme="minorEastAsia" w:hAnsiTheme="minorEastAsia" w:eastAsiaTheme="minorEastAsia" w:cstheme="minorEastAsia"/>
          <w:color w:val="auto"/>
          <w:sz w:val="20"/>
          <w:szCs w:val="22"/>
        </w:rPr>
      </w:pPr>
      <w:r>
        <w:rPr>
          <w:rFonts w:hint="eastAsia" w:asciiTheme="minorEastAsia" w:hAnsiTheme="minorEastAsia" w:eastAsiaTheme="minorEastAsia" w:cstheme="minorEastAsia"/>
          <w:color w:val="auto"/>
          <w:sz w:val="22"/>
          <w:szCs w:val="22"/>
        </w:rPr>
        <w:t>（7）商务技术偏离表</w:t>
      </w:r>
      <w:r>
        <w:rPr>
          <w:rFonts w:hint="eastAsia" w:asciiTheme="minorEastAsia" w:hAnsiTheme="minorEastAsia" w:eastAsiaTheme="minorEastAsia" w:cstheme="minorEastAsia"/>
          <w:color w:val="auto"/>
          <w:sz w:val="20"/>
          <w:szCs w:val="22"/>
        </w:rPr>
        <w:t>………………………………………………………………………（页码）</w:t>
      </w:r>
    </w:p>
    <w:p w14:paraId="1FD468CF">
      <w:pPr>
        <w:snapToGrid w:val="0"/>
        <w:spacing w:line="360" w:lineRule="auto"/>
        <w:rPr>
          <w:rFonts w:hint="eastAsia" w:asciiTheme="minorEastAsia" w:hAnsiTheme="minorEastAsia" w:eastAsiaTheme="minorEastAsia" w:cstheme="minorEastAsia"/>
          <w:color w:val="auto"/>
          <w:sz w:val="22"/>
          <w:szCs w:val="22"/>
          <w:lang w:val="zh-CN"/>
        </w:rPr>
      </w:pPr>
      <w:r>
        <w:rPr>
          <w:rFonts w:hint="eastAsia" w:asciiTheme="minorEastAsia" w:hAnsiTheme="minorEastAsia" w:eastAsiaTheme="minorEastAsia" w:cstheme="minorEastAsia"/>
          <w:color w:val="auto"/>
          <w:sz w:val="22"/>
          <w:szCs w:val="22"/>
          <w:lang w:val="zh-CN"/>
        </w:rPr>
        <w:t>（</w:t>
      </w:r>
      <w:r>
        <w:rPr>
          <w:rFonts w:hint="eastAsia" w:asciiTheme="minorEastAsia" w:hAnsiTheme="minorEastAsia" w:eastAsiaTheme="minorEastAsia" w:cstheme="minorEastAsia"/>
          <w:color w:val="auto"/>
          <w:sz w:val="22"/>
          <w:szCs w:val="22"/>
        </w:rPr>
        <w:t>8</w:t>
      </w:r>
      <w:r>
        <w:rPr>
          <w:rFonts w:hint="eastAsia" w:asciiTheme="minorEastAsia" w:hAnsiTheme="minorEastAsia" w:eastAsiaTheme="minorEastAsia" w:cstheme="minorEastAsia"/>
          <w:color w:val="auto"/>
          <w:sz w:val="22"/>
          <w:szCs w:val="22"/>
          <w:lang w:val="zh-CN"/>
        </w:rPr>
        <w:t>）备品备件清单（若有）</w:t>
      </w:r>
      <w:r>
        <w:rPr>
          <w:rFonts w:hint="eastAsia" w:asciiTheme="minorEastAsia" w:hAnsiTheme="minorEastAsia" w:eastAsiaTheme="minorEastAsia" w:cstheme="minorEastAsia"/>
          <w:color w:val="auto"/>
          <w:sz w:val="20"/>
          <w:szCs w:val="22"/>
        </w:rPr>
        <w:t>………………………………………………………………（页码）</w:t>
      </w:r>
    </w:p>
    <w:p w14:paraId="3C2BC139">
      <w:pPr>
        <w:snapToGrid w:val="0"/>
        <w:spacing w:line="360" w:lineRule="auto"/>
        <w:rPr>
          <w:rFonts w:hint="eastAsia" w:asciiTheme="minorEastAsia" w:hAnsiTheme="minorEastAsia" w:eastAsiaTheme="minorEastAsia" w:cstheme="minorEastAsia"/>
          <w:color w:val="auto"/>
          <w:sz w:val="20"/>
          <w:szCs w:val="22"/>
        </w:rPr>
      </w:pPr>
      <w:r>
        <w:rPr>
          <w:rFonts w:hint="eastAsia" w:asciiTheme="minorEastAsia" w:hAnsiTheme="minorEastAsia" w:eastAsiaTheme="minorEastAsia" w:cstheme="minorEastAsia"/>
          <w:color w:val="auto"/>
          <w:sz w:val="22"/>
          <w:szCs w:val="22"/>
          <w:lang w:val="zh-CN"/>
        </w:rPr>
        <w:t>（</w:t>
      </w:r>
      <w:r>
        <w:rPr>
          <w:rFonts w:hint="eastAsia" w:asciiTheme="minorEastAsia" w:hAnsiTheme="minorEastAsia" w:eastAsiaTheme="minorEastAsia" w:cstheme="minorEastAsia"/>
          <w:color w:val="auto"/>
          <w:sz w:val="22"/>
          <w:szCs w:val="22"/>
        </w:rPr>
        <w:t>9</w:t>
      </w:r>
      <w:r>
        <w:rPr>
          <w:rFonts w:hint="eastAsia" w:asciiTheme="minorEastAsia" w:hAnsiTheme="minorEastAsia" w:eastAsiaTheme="minorEastAsia" w:cstheme="minorEastAsia"/>
          <w:color w:val="auto"/>
          <w:sz w:val="22"/>
          <w:szCs w:val="22"/>
          <w:lang w:val="zh-CN"/>
        </w:rPr>
        <w:t>）国有企业采购供应商廉洁自律承诺书</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0"/>
          <w:szCs w:val="22"/>
        </w:rPr>
        <w:t>…………………………………………（页码）</w:t>
      </w:r>
    </w:p>
    <w:p w14:paraId="10F76FAA">
      <w:pPr>
        <w:snapToGrid w:val="0"/>
        <w:spacing w:line="360" w:lineRule="auto"/>
        <w:jc w:val="center"/>
        <w:rPr>
          <w:rFonts w:hint="eastAsia" w:asciiTheme="minorEastAsia" w:hAnsiTheme="minorEastAsia" w:eastAsiaTheme="minorEastAsia" w:cstheme="minorEastAsia"/>
          <w:b/>
          <w:color w:val="auto"/>
          <w:kern w:val="0"/>
          <w:sz w:val="32"/>
          <w:szCs w:val="32"/>
          <w:lang w:val="zh-CN"/>
        </w:rPr>
      </w:pPr>
    </w:p>
    <w:p w14:paraId="058DFB1C">
      <w:pPr>
        <w:snapToGrid w:val="0"/>
        <w:spacing w:line="360" w:lineRule="auto"/>
        <w:jc w:val="center"/>
        <w:rPr>
          <w:rFonts w:hint="eastAsia" w:asciiTheme="minorEastAsia" w:hAnsiTheme="minorEastAsia" w:eastAsiaTheme="minorEastAsia" w:cstheme="minorEastAsia"/>
          <w:b/>
          <w:color w:val="auto"/>
          <w:kern w:val="0"/>
          <w:sz w:val="32"/>
          <w:szCs w:val="32"/>
          <w:lang w:val="zh-CN"/>
        </w:rPr>
      </w:pPr>
    </w:p>
    <w:p w14:paraId="3BBA414E">
      <w:pPr>
        <w:snapToGrid w:val="0"/>
        <w:spacing w:line="360" w:lineRule="auto"/>
        <w:jc w:val="center"/>
        <w:rPr>
          <w:rFonts w:hint="eastAsia" w:asciiTheme="minorEastAsia" w:hAnsiTheme="minorEastAsia" w:eastAsiaTheme="minorEastAsia" w:cstheme="minorEastAsia"/>
          <w:b/>
          <w:color w:val="auto"/>
          <w:kern w:val="0"/>
          <w:sz w:val="32"/>
          <w:szCs w:val="32"/>
          <w:lang w:val="zh-CN"/>
        </w:rPr>
      </w:pPr>
    </w:p>
    <w:p w14:paraId="339C87D6">
      <w:pPr>
        <w:snapToGrid w:val="0"/>
        <w:spacing w:line="360" w:lineRule="auto"/>
        <w:jc w:val="center"/>
        <w:rPr>
          <w:rFonts w:hint="eastAsia" w:asciiTheme="minorEastAsia" w:hAnsiTheme="minorEastAsia" w:eastAsiaTheme="minorEastAsia" w:cstheme="minorEastAsia"/>
          <w:b/>
          <w:color w:val="auto"/>
          <w:kern w:val="0"/>
          <w:sz w:val="32"/>
          <w:szCs w:val="32"/>
          <w:lang w:val="zh-CN"/>
        </w:rPr>
      </w:pPr>
    </w:p>
    <w:p w14:paraId="3B2A5DF5">
      <w:pPr>
        <w:snapToGrid w:val="0"/>
        <w:spacing w:line="360" w:lineRule="auto"/>
        <w:jc w:val="center"/>
        <w:rPr>
          <w:rFonts w:hint="eastAsia" w:asciiTheme="minorEastAsia" w:hAnsiTheme="minorEastAsia" w:eastAsiaTheme="minorEastAsia" w:cstheme="minorEastAsia"/>
          <w:b/>
          <w:color w:val="auto"/>
          <w:kern w:val="0"/>
          <w:sz w:val="32"/>
          <w:szCs w:val="32"/>
          <w:lang w:val="zh-CN"/>
        </w:rPr>
      </w:pPr>
    </w:p>
    <w:p w14:paraId="3A55CECD">
      <w:pPr>
        <w:snapToGrid w:val="0"/>
        <w:spacing w:line="360" w:lineRule="auto"/>
        <w:jc w:val="center"/>
        <w:outlineLvl w:val="0"/>
        <w:rPr>
          <w:rFonts w:hint="eastAsia" w:asciiTheme="minorEastAsia" w:hAnsiTheme="minorEastAsia" w:eastAsiaTheme="minorEastAsia" w:cstheme="minorEastAsia"/>
          <w:b/>
          <w:color w:val="auto"/>
          <w:kern w:val="0"/>
          <w:sz w:val="32"/>
          <w:szCs w:val="32"/>
        </w:rPr>
      </w:pPr>
    </w:p>
    <w:p w14:paraId="47D7AC61">
      <w:pPr>
        <w:snapToGrid w:val="0"/>
        <w:spacing w:line="360" w:lineRule="auto"/>
        <w:jc w:val="center"/>
        <w:outlineLvl w:val="0"/>
        <w:rPr>
          <w:rFonts w:hint="eastAsia" w:asciiTheme="minorEastAsia" w:hAnsiTheme="minorEastAsia" w:eastAsiaTheme="minorEastAsia" w:cstheme="minorEastAsia"/>
          <w:b/>
          <w:color w:val="auto"/>
          <w:kern w:val="0"/>
          <w:sz w:val="32"/>
          <w:szCs w:val="32"/>
        </w:rPr>
      </w:pPr>
    </w:p>
    <w:p w14:paraId="13D5880C">
      <w:pPr>
        <w:rPr>
          <w:rFonts w:hint="eastAsia" w:asciiTheme="minorEastAsia" w:hAnsiTheme="minorEastAsia" w:eastAsiaTheme="minorEastAsia" w:cstheme="minorEastAsia"/>
          <w:color w:val="auto"/>
        </w:rPr>
      </w:pPr>
    </w:p>
    <w:p w14:paraId="11BF86A0">
      <w:pPr>
        <w:snapToGrid w:val="0"/>
        <w:spacing w:line="360" w:lineRule="auto"/>
        <w:jc w:val="center"/>
        <w:outlineLvl w:val="0"/>
        <w:rPr>
          <w:rFonts w:hint="eastAsia" w:asciiTheme="minorEastAsia" w:hAnsiTheme="minorEastAsia" w:eastAsiaTheme="minorEastAsia" w:cstheme="minorEastAsia"/>
          <w:b/>
          <w:color w:val="auto"/>
          <w:kern w:val="0"/>
          <w:sz w:val="32"/>
          <w:szCs w:val="32"/>
        </w:rPr>
      </w:pPr>
    </w:p>
    <w:p w14:paraId="2B6BE422">
      <w:pPr>
        <w:snapToGrid w:val="0"/>
        <w:spacing w:line="360" w:lineRule="auto"/>
        <w:jc w:val="center"/>
        <w:outlineLvl w:val="0"/>
        <w:rPr>
          <w:rFonts w:hint="eastAsia" w:asciiTheme="minorEastAsia" w:hAnsiTheme="minorEastAsia" w:eastAsiaTheme="minorEastAsia" w:cstheme="minorEastAsia"/>
          <w:b/>
          <w:color w:val="auto"/>
          <w:kern w:val="0"/>
          <w:sz w:val="32"/>
          <w:szCs w:val="32"/>
        </w:rPr>
      </w:pPr>
    </w:p>
    <w:p w14:paraId="77AC679B">
      <w:pPr>
        <w:pStyle w:val="3"/>
        <w:rPr>
          <w:rFonts w:hint="eastAsia" w:asciiTheme="minorEastAsia" w:hAnsiTheme="minorEastAsia" w:eastAsiaTheme="minorEastAsia" w:cstheme="minorEastAsia"/>
          <w:color w:val="auto"/>
          <w:lang w:val="en-US"/>
        </w:rPr>
      </w:pPr>
    </w:p>
    <w:p w14:paraId="16DB6B08">
      <w:pPr>
        <w:rPr>
          <w:rFonts w:hint="eastAsia" w:asciiTheme="minorEastAsia" w:hAnsiTheme="minorEastAsia" w:eastAsiaTheme="minorEastAsia" w:cstheme="minorEastAsia"/>
          <w:color w:val="auto"/>
        </w:rPr>
      </w:pPr>
    </w:p>
    <w:p w14:paraId="15AD3E0C">
      <w:pPr>
        <w:snapToGrid w:val="0"/>
        <w:spacing w:line="360" w:lineRule="auto"/>
        <w:ind w:firstLine="3855" w:firstLineChars="1200"/>
        <w:outlineLvl w:val="0"/>
        <w:rPr>
          <w:rFonts w:hint="eastAsia" w:asciiTheme="minorEastAsia" w:hAnsiTheme="minorEastAsia" w:eastAsiaTheme="minorEastAsia" w:cstheme="minorEastAsia"/>
          <w:b/>
          <w:color w:val="auto"/>
          <w:kern w:val="0"/>
          <w:sz w:val="32"/>
          <w:szCs w:val="32"/>
        </w:rPr>
      </w:pPr>
    </w:p>
    <w:p w14:paraId="3D52774B">
      <w:pPr>
        <w:snapToGrid w:val="0"/>
        <w:spacing w:line="360" w:lineRule="auto"/>
        <w:ind w:firstLine="3855" w:firstLineChars="1200"/>
        <w:outlineLvl w:val="0"/>
        <w:rPr>
          <w:rFonts w:hint="eastAsia" w:asciiTheme="minorEastAsia" w:hAnsiTheme="minorEastAsia" w:eastAsiaTheme="minorEastAsia" w:cstheme="minorEastAsia"/>
          <w:b/>
          <w:color w:val="auto"/>
          <w:kern w:val="0"/>
          <w:sz w:val="32"/>
          <w:szCs w:val="32"/>
        </w:rPr>
      </w:pPr>
    </w:p>
    <w:p w14:paraId="77A4B0E4">
      <w:pPr>
        <w:snapToGrid w:val="0"/>
        <w:spacing w:line="360" w:lineRule="auto"/>
        <w:ind w:firstLine="3855" w:firstLineChars="1200"/>
        <w:outlineLvl w:val="0"/>
        <w:rPr>
          <w:rFonts w:hint="eastAsia" w:asciiTheme="minorEastAsia" w:hAnsiTheme="minorEastAsia" w:eastAsiaTheme="minorEastAsia" w:cstheme="minorEastAsia"/>
          <w:b/>
          <w:color w:val="auto"/>
          <w:kern w:val="0"/>
          <w:sz w:val="32"/>
          <w:szCs w:val="32"/>
        </w:rPr>
      </w:pPr>
    </w:p>
    <w:p w14:paraId="5D7F3D79">
      <w:pPr>
        <w:adjustRightInd/>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br w:type="page"/>
      </w:r>
    </w:p>
    <w:p w14:paraId="24373488">
      <w:pPr>
        <w:snapToGrid w:val="0"/>
        <w:spacing w:line="360" w:lineRule="auto"/>
        <w:jc w:val="center"/>
        <w:outlineLvl w:val="0"/>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kern w:val="0"/>
          <w:sz w:val="32"/>
          <w:szCs w:val="32"/>
        </w:rPr>
        <w:t>一、投标</w:t>
      </w:r>
      <w:r>
        <w:rPr>
          <w:rFonts w:hint="eastAsia" w:asciiTheme="minorEastAsia" w:hAnsiTheme="minorEastAsia" w:eastAsiaTheme="minorEastAsia" w:cstheme="minorEastAsia"/>
          <w:b/>
          <w:color w:val="auto"/>
          <w:sz w:val="32"/>
          <w:szCs w:val="32"/>
        </w:rPr>
        <w:t>函</w:t>
      </w:r>
    </w:p>
    <w:p w14:paraId="14D100B1">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建德市罗村水力发电有限公司 、杭州欧方工程管理有限公司：</w:t>
      </w:r>
    </w:p>
    <w:p w14:paraId="58C53B57">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我方参加你方组织的</w:t>
      </w:r>
      <w:r>
        <w:rPr>
          <w:rFonts w:hint="eastAsia" w:asciiTheme="minorEastAsia" w:hAnsiTheme="minorEastAsia" w:eastAsiaTheme="minorEastAsia" w:cstheme="minorEastAsia"/>
          <w:color w:val="auto"/>
          <w:sz w:val="24"/>
          <w:lang w:eastAsia="zh-CN"/>
        </w:rPr>
        <w:t>建德市罗村三级电站更新改造暨梯级集控建设工程（机电设备）采购项目</w:t>
      </w:r>
      <w:r>
        <w:rPr>
          <w:rFonts w:hint="eastAsia" w:asciiTheme="minorEastAsia" w:hAnsiTheme="minorEastAsia" w:eastAsiaTheme="minorEastAsia" w:cstheme="minorEastAsia"/>
          <w:color w:val="auto"/>
          <w:sz w:val="24"/>
        </w:rPr>
        <w:t>【招标编号：HZOFCG2025B-088】招标的有关活动，并对此项目进行投标。为此：</w:t>
      </w:r>
    </w:p>
    <w:p w14:paraId="768791CD">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1、我方承诺投标有效期从提交投标文件的截止之日起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天（不少于90天）</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rPr>
        <w:t>本投标文件在投标有效期满之前均具有约束力。</w:t>
      </w:r>
    </w:p>
    <w:p w14:paraId="384D5743">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2、我方的投标文件包括以下内容：</w:t>
      </w:r>
    </w:p>
    <w:p w14:paraId="343BD75E">
      <w:pPr>
        <w:snapToGrid w:val="0"/>
        <w:spacing w:line="360" w:lineRule="auto"/>
        <w:ind w:left="210" w:leftChars="1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2.1资格文件：</w:t>
      </w:r>
    </w:p>
    <w:p w14:paraId="40C13DBA">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2.1.1承诺函；</w:t>
      </w:r>
    </w:p>
    <w:p w14:paraId="43EE5FAA">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2.1.2营业执照；</w:t>
      </w:r>
    </w:p>
    <w:p w14:paraId="7617ED2D">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2.1.3投标保证金转账、汇款凭证复印件（如果有）</w:t>
      </w:r>
    </w:p>
    <w:p w14:paraId="60536333">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2.1.4</w:t>
      </w:r>
      <w:r>
        <w:rPr>
          <w:rFonts w:hint="eastAsia" w:asciiTheme="minorEastAsia" w:hAnsiTheme="minorEastAsia" w:eastAsiaTheme="minorEastAsia" w:cstheme="minorEastAsia"/>
          <w:snapToGrid w:val="0"/>
          <w:color w:val="auto"/>
          <w:kern w:val="28"/>
          <w:sz w:val="24"/>
          <w:szCs w:val="20"/>
        </w:rPr>
        <w:t>联合协议（如果有）；</w:t>
      </w:r>
    </w:p>
    <w:p w14:paraId="5CEC08D6">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本项目的特定资格要求</w:t>
      </w:r>
      <w:r>
        <w:rPr>
          <w:rFonts w:hint="eastAsia" w:asciiTheme="minorEastAsia" w:hAnsiTheme="minorEastAsia" w:eastAsiaTheme="minorEastAsia" w:cstheme="minorEastAsia"/>
          <w:snapToGrid w:val="0"/>
          <w:color w:val="auto"/>
          <w:kern w:val="28"/>
          <w:sz w:val="24"/>
          <w:szCs w:val="20"/>
        </w:rPr>
        <w:t>（如果有）</w:t>
      </w:r>
      <w:r>
        <w:rPr>
          <w:rFonts w:hint="eastAsia" w:asciiTheme="minorEastAsia" w:hAnsiTheme="minorEastAsia" w:eastAsiaTheme="minorEastAsia" w:cstheme="minorEastAsia"/>
          <w:color w:val="auto"/>
          <w:sz w:val="24"/>
        </w:rPr>
        <w:t>。</w:t>
      </w:r>
    </w:p>
    <w:p w14:paraId="6EB249E8">
      <w:pPr>
        <w:snapToGrid w:val="0"/>
        <w:spacing w:line="360" w:lineRule="auto"/>
        <w:ind w:left="210" w:leftChars="100"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 xml:space="preserve"> </w:t>
      </w:r>
      <w:r>
        <w:rPr>
          <w:rFonts w:hint="eastAsia" w:asciiTheme="minorEastAsia" w:hAnsiTheme="minorEastAsia" w:eastAsiaTheme="minorEastAsia" w:cstheme="minorEastAsia"/>
          <w:color w:val="auto"/>
          <w:sz w:val="24"/>
        </w:rPr>
        <w:t>商务技术</w:t>
      </w:r>
      <w:r>
        <w:rPr>
          <w:rFonts w:hint="eastAsia" w:asciiTheme="minorEastAsia" w:hAnsiTheme="minorEastAsia" w:eastAsiaTheme="minorEastAsia" w:cstheme="minorEastAsia"/>
          <w:color w:val="auto"/>
          <w:sz w:val="24"/>
          <w:lang w:val="zh-CN"/>
        </w:rPr>
        <w:t>文件：</w:t>
      </w:r>
    </w:p>
    <w:p w14:paraId="6451298B">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2.2.1投标函；</w:t>
      </w:r>
      <w:r>
        <w:rPr>
          <w:rFonts w:hint="eastAsia" w:asciiTheme="minorEastAsia" w:hAnsiTheme="minorEastAsia" w:eastAsiaTheme="minorEastAsia" w:cstheme="minorEastAsia"/>
          <w:color w:val="auto"/>
          <w:sz w:val="24"/>
          <w:lang w:val="zh-CN"/>
        </w:rPr>
        <w:t xml:space="preserve"> </w:t>
      </w:r>
    </w:p>
    <w:p w14:paraId="47791A90">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2.2.2授权委托书或法定代表人（单位负责人）身份证明；</w:t>
      </w:r>
    </w:p>
    <w:p w14:paraId="1398BA24">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2.2.3分包意向协议</w:t>
      </w:r>
      <w:r>
        <w:rPr>
          <w:rFonts w:hint="eastAsia" w:asciiTheme="minorEastAsia" w:hAnsiTheme="minorEastAsia" w:eastAsiaTheme="minorEastAsia" w:cstheme="minorEastAsia"/>
          <w:snapToGrid w:val="0"/>
          <w:color w:val="auto"/>
          <w:kern w:val="28"/>
          <w:sz w:val="24"/>
          <w:szCs w:val="20"/>
        </w:rPr>
        <w:t>（如果有）</w:t>
      </w:r>
      <w:r>
        <w:rPr>
          <w:rFonts w:hint="eastAsia" w:asciiTheme="minorEastAsia" w:hAnsiTheme="minorEastAsia" w:eastAsiaTheme="minorEastAsia" w:cstheme="minorEastAsia"/>
          <w:color w:val="auto"/>
          <w:sz w:val="24"/>
        </w:rPr>
        <w:t>；</w:t>
      </w:r>
    </w:p>
    <w:p w14:paraId="1759393C">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2.2.4符合性审查资料；</w:t>
      </w:r>
    </w:p>
    <w:p w14:paraId="0DC419D5">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2.2.5评标标准相应的商务技术资料；</w:t>
      </w:r>
    </w:p>
    <w:p w14:paraId="53E316AD">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2.2.6技术参数对照表；</w:t>
      </w:r>
    </w:p>
    <w:p w14:paraId="38C8EE07">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2.2.7商务技术偏离表；</w:t>
      </w:r>
    </w:p>
    <w:p w14:paraId="673B808A">
      <w:pPr>
        <w:snapToGrid w:val="0"/>
        <w:spacing w:line="360" w:lineRule="auto"/>
        <w:ind w:left="420" w:leftChars="200"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8</w:t>
      </w:r>
      <w:r>
        <w:rPr>
          <w:rFonts w:hint="eastAsia" w:asciiTheme="minorEastAsia" w:hAnsiTheme="minorEastAsia" w:eastAsiaTheme="minorEastAsia" w:cstheme="minorEastAsia"/>
          <w:color w:val="auto"/>
          <w:sz w:val="24"/>
          <w:lang w:val="zh-CN"/>
        </w:rPr>
        <w:t>国有企业采购供应商廉洁自律承诺书；</w:t>
      </w:r>
    </w:p>
    <w:p w14:paraId="63F453B8">
      <w:pPr>
        <w:snapToGrid w:val="0"/>
        <w:spacing w:line="360" w:lineRule="auto"/>
        <w:ind w:left="210" w:leftChars="1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w:t>
      </w:r>
      <w:r>
        <w:rPr>
          <w:rFonts w:hint="eastAsia" w:asciiTheme="minorEastAsia" w:hAnsiTheme="minorEastAsia" w:eastAsiaTheme="minorEastAsia" w:cstheme="minorEastAsia"/>
          <w:color w:val="auto"/>
          <w:sz w:val="24"/>
        </w:rPr>
        <w:t>3报价文件</w:t>
      </w:r>
    </w:p>
    <w:p w14:paraId="38177C39">
      <w:pPr>
        <w:snapToGrid w:val="0"/>
        <w:spacing w:line="360" w:lineRule="auto"/>
        <w:ind w:left="420" w:leftChars="2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2.3.1开标一览表（报价表）；</w:t>
      </w:r>
    </w:p>
    <w:p w14:paraId="0BC47E31">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3、我方承诺除商务技术偏离表列出的偏离外，我方响应招标文件的全部要求。</w:t>
      </w:r>
    </w:p>
    <w:p w14:paraId="1CB5B7C4">
      <w:pPr>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4、如我方中标，我方承诺：</w:t>
      </w:r>
    </w:p>
    <w:p w14:paraId="6B81ED8F">
      <w:pPr>
        <w:snapToGrid w:val="0"/>
        <w:spacing w:line="360" w:lineRule="auto"/>
        <w:ind w:left="210" w:leftChars="1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4.1在收到中标通知书后，在中标通知书规定的期限内与你方签订合同； </w:t>
      </w:r>
    </w:p>
    <w:p w14:paraId="5B04D59B">
      <w:pPr>
        <w:snapToGrid w:val="0"/>
        <w:spacing w:line="360" w:lineRule="auto"/>
        <w:ind w:left="210" w:leftChars="1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4.2在签订合同时不向你方提出附加条件； </w:t>
      </w:r>
    </w:p>
    <w:p w14:paraId="184926D8">
      <w:pPr>
        <w:snapToGrid w:val="0"/>
        <w:spacing w:line="360" w:lineRule="auto"/>
        <w:ind w:left="210" w:leftChars="1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4.3按照招标文件要求提交履约保证金； </w:t>
      </w:r>
    </w:p>
    <w:p w14:paraId="3B4FE926">
      <w:pPr>
        <w:snapToGrid w:val="0"/>
        <w:spacing w:line="360" w:lineRule="auto"/>
        <w:ind w:left="210" w:leftChars="1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4.4在合同约定的期限内完成合同规定的全部义务。 </w:t>
      </w:r>
    </w:p>
    <w:p w14:paraId="34F5B9D8">
      <w:pPr>
        <w:snapToGrid w:val="0"/>
        <w:spacing w:line="360" w:lineRule="auto"/>
        <w:ind w:left="210" w:leftChars="10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5、其他补充说明：</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7B604273">
      <w:pPr>
        <w:spacing w:line="360" w:lineRule="auto"/>
        <w:ind w:firstLine="3600" w:firstLineChars="15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投标人名称（电子签名）：                          </w:t>
      </w:r>
    </w:p>
    <w:p w14:paraId="70D9AF26">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日期：  年   月   日</w:t>
      </w:r>
    </w:p>
    <w:p w14:paraId="40FBAC98">
      <w:pPr>
        <w:snapToGrid w:val="0"/>
        <w:spacing w:line="360" w:lineRule="auto"/>
        <w:ind w:left="420" w:leftChars="200" w:firstLine="4200" w:firstLineChars="1750"/>
        <w:rPr>
          <w:rFonts w:hint="eastAsia" w:asciiTheme="minorEastAsia" w:hAnsiTheme="minorEastAsia" w:eastAsiaTheme="minorEastAsia" w:cstheme="minorEastAsia"/>
          <w:color w:val="auto"/>
          <w:kern w:val="0"/>
          <w:sz w:val="24"/>
          <w:u w:val="single"/>
        </w:rPr>
      </w:pPr>
    </w:p>
    <w:p w14:paraId="4679A743">
      <w:pPr>
        <w:spacing w:line="360" w:lineRule="auto"/>
        <w:ind w:right="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注：按本格式和要求提供。</w:t>
      </w:r>
    </w:p>
    <w:p w14:paraId="15BB5C51">
      <w:pPr>
        <w:snapToGrid w:val="0"/>
        <w:spacing w:line="360" w:lineRule="auto"/>
        <w:jc w:val="center"/>
        <w:rPr>
          <w:rFonts w:hint="eastAsia" w:asciiTheme="minorEastAsia" w:hAnsiTheme="minorEastAsia" w:eastAsiaTheme="minorEastAsia" w:cstheme="minorEastAsia"/>
          <w:b/>
          <w:color w:val="auto"/>
          <w:kern w:val="0"/>
          <w:sz w:val="32"/>
          <w:szCs w:val="32"/>
        </w:rPr>
      </w:pPr>
    </w:p>
    <w:p w14:paraId="14320F73">
      <w:pPr>
        <w:snapToGrid w:val="0"/>
        <w:spacing w:line="360" w:lineRule="auto"/>
        <w:rPr>
          <w:rFonts w:hint="eastAsia" w:asciiTheme="minorEastAsia" w:hAnsiTheme="minorEastAsia" w:eastAsiaTheme="minorEastAsia" w:cstheme="minorEastAsia"/>
          <w:color w:val="auto"/>
          <w:sz w:val="24"/>
        </w:rPr>
      </w:pPr>
    </w:p>
    <w:p w14:paraId="1A977ACA">
      <w:pPr>
        <w:jc w:val="center"/>
        <w:rPr>
          <w:rFonts w:hint="eastAsia" w:asciiTheme="minorEastAsia" w:hAnsiTheme="minorEastAsia" w:eastAsiaTheme="minorEastAsia" w:cstheme="minorEastAsia"/>
          <w:b/>
          <w:color w:val="auto"/>
          <w:kern w:val="0"/>
          <w:sz w:val="32"/>
          <w:szCs w:val="32"/>
        </w:rPr>
      </w:pPr>
    </w:p>
    <w:p w14:paraId="16FC6992">
      <w:pPr>
        <w:jc w:val="center"/>
        <w:rPr>
          <w:rFonts w:hint="eastAsia" w:asciiTheme="minorEastAsia" w:hAnsiTheme="minorEastAsia" w:eastAsiaTheme="minorEastAsia" w:cstheme="minorEastAsia"/>
          <w:b/>
          <w:color w:val="auto"/>
          <w:kern w:val="0"/>
          <w:sz w:val="32"/>
          <w:szCs w:val="32"/>
        </w:rPr>
      </w:pPr>
    </w:p>
    <w:p w14:paraId="06608B35">
      <w:pPr>
        <w:jc w:val="center"/>
        <w:rPr>
          <w:rFonts w:hint="eastAsia" w:asciiTheme="minorEastAsia" w:hAnsiTheme="minorEastAsia" w:eastAsiaTheme="minorEastAsia" w:cstheme="minorEastAsia"/>
          <w:b/>
          <w:color w:val="auto"/>
          <w:kern w:val="0"/>
          <w:sz w:val="32"/>
          <w:szCs w:val="32"/>
        </w:rPr>
      </w:pPr>
    </w:p>
    <w:p w14:paraId="5E808BEB">
      <w:pPr>
        <w:jc w:val="center"/>
        <w:rPr>
          <w:rFonts w:hint="eastAsia" w:asciiTheme="minorEastAsia" w:hAnsiTheme="minorEastAsia" w:eastAsiaTheme="minorEastAsia" w:cstheme="minorEastAsia"/>
          <w:b/>
          <w:color w:val="auto"/>
          <w:kern w:val="0"/>
          <w:sz w:val="32"/>
          <w:szCs w:val="32"/>
        </w:rPr>
      </w:pPr>
    </w:p>
    <w:p w14:paraId="344A2AA5">
      <w:pPr>
        <w:jc w:val="center"/>
        <w:rPr>
          <w:rFonts w:hint="eastAsia" w:asciiTheme="minorEastAsia" w:hAnsiTheme="minorEastAsia" w:eastAsiaTheme="minorEastAsia" w:cstheme="minorEastAsia"/>
          <w:b/>
          <w:color w:val="auto"/>
          <w:kern w:val="0"/>
          <w:sz w:val="32"/>
          <w:szCs w:val="32"/>
        </w:rPr>
      </w:pPr>
    </w:p>
    <w:p w14:paraId="36723BC1">
      <w:pPr>
        <w:jc w:val="center"/>
        <w:rPr>
          <w:rFonts w:hint="eastAsia" w:asciiTheme="minorEastAsia" w:hAnsiTheme="minorEastAsia" w:eastAsiaTheme="minorEastAsia" w:cstheme="minorEastAsia"/>
          <w:b/>
          <w:color w:val="auto"/>
          <w:kern w:val="0"/>
          <w:sz w:val="32"/>
          <w:szCs w:val="32"/>
        </w:rPr>
      </w:pPr>
    </w:p>
    <w:p w14:paraId="0BF9F5CF">
      <w:pPr>
        <w:jc w:val="center"/>
        <w:rPr>
          <w:rFonts w:hint="eastAsia" w:asciiTheme="minorEastAsia" w:hAnsiTheme="minorEastAsia" w:eastAsiaTheme="minorEastAsia" w:cstheme="minorEastAsia"/>
          <w:b/>
          <w:color w:val="auto"/>
          <w:kern w:val="0"/>
          <w:sz w:val="32"/>
          <w:szCs w:val="32"/>
        </w:rPr>
      </w:pPr>
    </w:p>
    <w:p w14:paraId="6B1011B7">
      <w:pPr>
        <w:jc w:val="center"/>
        <w:rPr>
          <w:rFonts w:hint="eastAsia" w:asciiTheme="minorEastAsia" w:hAnsiTheme="minorEastAsia" w:eastAsiaTheme="minorEastAsia" w:cstheme="minorEastAsia"/>
          <w:b/>
          <w:color w:val="auto"/>
          <w:kern w:val="0"/>
          <w:sz w:val="32"/>
          <w:szCs w:val="32"/>
        </w:rPr>
      </w:pPr>
    </w:p>
    <w:p w14:paraId="0EC5CBDC">
      <w:pPr>
        <w:jc w:val="center"/>
        <w:rPr>
          <w:rFonts w:hint="eastAsia" w:asciiTheme="minorEastAsia" w:hAnsiTheme="minorEastAsia" w:eastAsiaTheme="minorEastAsia" w:cstheme="minorEastAsia"/>
          <w:b/>
          <w:color w:val="auto"/>
          <w:kern w:val="0"/>
          <w:sz w:val="32"/>
          <w:szCs w:val="32"/>
        </w:rPr>
      </w:pPr>
    </w:p>
    <w:p w14:paraId="0FA4699E">
      <w:pPr>
        <w:jc w:val="center"/>
        <w:rPr>
          <w:rFonts w:hint="eastAsia" w:asciiTheme="minorEastAsia" w:hAnsiTheme="minorEastAsia" w:eastAsiaTheme="minorEastAsia" w:cstheme="minorEastAsia"/>
          <w:b/>
          <w:color w:val="auto"/>
          <w:kern w:val="0"/>
          <w:sz w:val="32"/>
          <w:szCs w:val="32"/>
        </w:rPr>
      </w:pPr>
    </w:p>
    <w:p w14:paraId="3032B1C4">
      <w:pPr>
        <w:jc w:val="center"/>
        <w:rPr>
          <w:rFonts w:hint="eastAsia" w:asciiTheme="minorEastAsia" w:hAnsiTheme="minorEastAsia" w:eastAsiaTheme="minorEastAsia" w:cstheme="minorEastAsia"/>
          <w:b/>
          <w:color w:val="auto"/>
          <w:kern w:val="0"/>
          <w:sz w:val="32"/>
          <w:szCs w:val="32"/>
        </w:rPr>
      </w:pPr>
    </w:p>
    <w:p w14:paraId="457397F9">
      <w:pPr>
        <w:jc w:val="center"/>
        <w:rPr>
          <w:rFonts w:hint="eastAsia" w:asciiTheme="minorEastAsia" w:hAnsiTheme="minorEastAsia" w:eastAsiaTheme="minorEastAsia" w:cstheme="minorEastAsia"/>
          <w:b/>
          <w:color w:val="auto"/>
          <w:kern w:val="0"/>
          <w:sz w:val="32"/>
          <w:szCs w:val="32"/>
        </w:rPr>
      </w:pPr>
    </w:p>
    <w:p w14:paraId="4EAB53AC">
      <w:pPr>
        <w:jc w:val="center"/>
        <w:rPr>
          <w:rFonts w:hint="eastAsia" w:asciiTheme="minorEastAsia" w:hAnsiTheme="minorEastAsia" w:eastAsiaTheme="minorEastAsia" w:cstheme="minorEastAsia"/>
          <w:b/>
          <w:color w:val="auto"/>
          <w:kern w:val="0"/>
          <w:sz w:val="32"/>
          <w:szCs w:val="32"/>
        </w:rPr>
      </w:pPr>
    </w:p>
    <w:p w14:paraId="1AC3FD9B">
      <w:pPr>
        <w:jc w:val="center"/>
        <w:rPr>
          <w:rFonts w:hint="eastAsia" w:asciiTheme="minorEastAsia" w:hAnsiTheme="minorEastAsia" w:eastAsiaTheme="minorEastAsia" w:cstheme="minorEastAsia"/>
          <w:b/>
          <w:color w:val="auto"/>
          <w:kern w:val="0"/>
          <w:sz w:val="32"/>
          <w:szCs w:val="32"/>
        </w:rPr>
      </w:pPr>
    </w:p>
    <w:p w14:paraId="75C686B4">
      <w:pPr>
        <w:jc w:val="center"/>
        <w:rPr>
          <w:rFonts w:hint="eastAsia" w:asciiTheme="minorEastAsia" w:hAnsiTheme="minorEastAsia" w:eastAsiaTheme="minorEastAsia" w:cstheme="minorEastAsia"/>
          <w:b/>
          <w:color w:val="auto"/>
          <w:kern w:val="0"/>
          <w:sz w:val="32"/>
          <w:szCs w:val="32"/>
        </w:rPr>
      </w:pPr>
    </w:p>
    <w:p w14:paraId="499C82AD">
      <w:pPr>
        <w:jc w:val="center"/>
        <w:rPr>
          <w:rFonts w:hint="eastAsia" w:asciiTheme="minorEastAsia" w:hAnsiTheme="minorEastAsia" w:eastAsiaTheme="minorEastAsia" w:cstheme="minorEastAsia"/>
          <w:b/>
          <w:color w:val="auto"/>
          <w:kern w:val="0"/>
          <w:sz w:val="32"/>
          <w:szCs w:val="32"/>
        </w:rPr>
      </w:pPr>
    </w:p>
    <w:p w14:paraId="31A9FB91">
      <w:pPr>
        <w:jc w:val="center"/>
        <w:rPr>
          <w:rFonts w:hint="eastAsia" w:asciiTheme="minorEastAsia" w:hAnsiTheme="minorEastAsia" w:eastAsiaTheme="minorEastAsia" w:cstheme="minorEastAsia"/>
          <w:b/>
          <w:color w:val="auto"/>
          <w:kern w:val="0"/>
          <w:sz w:val="32"/>
          <w:szCs w:val="32"/>
        </w:rPr>
      </w:pPr>
    </w:p>
    <w:p w14:paraId="14AD57AC">
      <w:pPr>
        <w:jc w:val="center"/>
        <w:rPr>
          <w:rFonts w:hint="eastAsia" w:asciiTheme="minorEastAsia" w:hAnsiTheme="minorEastAsia" w:eastAsiaTheme="minorEastAsia" w:cstheme="minorEastAsia"/>
          <w:b/>
          <w:color w:val="auto"/>
          <w:kern w:val="0"/>
          <w:sz w:val="32"/>
          <w:szCs w:val="32"/>
        </w:rPr>
      </w:pPr>
    </w:p>
    <w:p w14:paraId="0D17E890">
      <w:pPr>
        <w:jc w:val="center"/>
        <w:rPr>
          <w:rFonts w:hint="eastAsia" w:asciiTheme="minorEastAsia" w:hAnsiTheme="minorEastAsia" w:eastAsiaTheme="minorEastAsia" w:cstheme="minorEastAsia"/>
          <w:b/>
          <w:color w:val="auto"/>
          <w:kern w:val="0"/>
          <w:sz w:val="32"/>
          <w:szCs w:val="32"/>
        </w:rPr>
      </w:pPr>
    </w:p>
    <w:p w14:paraId="4FE8C479">
      <w:pPr>
        <w:jc w:val="center"/>
        <w:rPr>
          <w:rFonts w:hint="eastAsia" w:asciiTheme="minorEastAsia" w:hAnsiTheme="minorEastAsia" w:eastAsiaTheme="minorEastAsia" w:cstheme="minorEastAsia"/>
          <w:b/>
          <w:color w:val="auto"/>
          <w:kern w:val="0"/>
          <w:sz w:val="32"/>
          <w:szCs w:val="32"/>
        </w:rPr>
      </w:pPr>
    </w:p>
    <w:p w14:paraId="52CA8569">
      <w:pPr>
        <w:rPr>
          <w:rFonts w:hint="eastAsia" w:asciiTheme="minorEastAsia" w:hAnsiTheme="minorEastAsia" w:eastAsiaTheme="minorEastAsia" w:cstheme="minorEastAsia"/>
          <w:b/>
          <w:color w:val="auto"/>
          <w:kern w:val="0"/>
          <w:sz w:val="32"/>
          <w:szCs w:val="32"/>
        </w:rPr>
      </w:pPr>
    </w:p>
    <w:p w14:paraId="49E2712B">
      <w:pPr>
        <w:adjustRightInd/>
        <w:jc w:val="center"/>
        <w:rPr>
          <w:rFonts w:hint="eastAsia" w:asciiTheme="minorEastAsia" w:hAnsiTheme="minorEastAsia" w:eastAsiaTheme="minorEastAsia" w:cstheme="minorEastAsia"/>
          <w:b/>
          <w:color w:val="auto"/>
          <w:kern w:val="0"/>
          <w:sz w:val="32"/>
          <w:szCs w:val="32"/>
          <w:lang w:val="zh-CN"/>
        </w:rPr>
      </w:pPr>
      <w:r>
        <w:rPr>
          <w:rFonts w:hint="eastAsia" w:asciiTheme="minorEastAsia" w:hAnsiTheme="minorEastAsia" w:eastAsiaTheme="minorEastAsia" w:cstheme="minorEastAsia"/>
          <w:b/>
          <w:color w:val="auto"/>
          <w:kern w:val="0"/>
          <w:sz w:val="32"/>
          <w:szCs w:val="32"/>
          <w:lang w:val="zh-CN"/>
        </w:rPr>
        <w:t>二、授权委托书或法定代表人（单位负责人、自然人本人）身份证明</w:t>
      </w:r>
    </w:p>
    <w:p w14:paraId="5D4864AF">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p>
    <w:p w14:paraId="67E939A1">
      <w:pPr>
        <w:snapToGrid w:val="0"/>
        <w:spacing w:line="360" w:lineRule="auto"/>
        <w:jc w:val="center"/>
        <w:rPr>
          <w:rFonts w:hint="eastAsia" w:asciiTheme="minorEastAsia" w:hAnsiTheme="minorEastAsia" w:eastAsiaTheme="minorEastAsia" w:cstheme="minorEastAsia"/>
          <w:b/>
          <w:color w:val="auto"/>
          <w:kern w:val="0"/>
          <w:sz w:val="32"/>
          <w:szCs w:val="32"/>
          <w:lang w:val="zh-CN"/>
        </w:rPr>
      </w:pPr>
      <w:r>
        <w:rPr>
          <w:rFonts w:hint="eastAsia" w:asciiTheme="minorEastAsia" w:hAnsiTheme="minorEastAsia" w:eastAsiaTheme="minorEastAsia" w:cstheme="minorEastAsia"/>
          <w:b/>
          <w:color w:val="auto"/>
          <w:kern w:val="0"/>
          <w:sz w:val="32"/>
          <w:szCs w:val="32"/>
          <w:lang w:val="zh-CN"/>
        </w:rPr>
        <w:t>授权委托书（适用于非联合体投标）</w:t>
      </w:r>
    </w:p>
    <w:p w14:paraId="510A0AD3">
      <w:pPr>
        <w:snapToGrid w:val="0"/>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t>建德市罗村水力发电有限公司 、杭州欧方工程管理有限公司</w:t>
      </w:r>
      <w:r>
        <w:rPr>
          <w:rFonts w:hint="eastAsia" w:asciiTheme="minorEastAsia" w:hAnsiTheme="minorEastAsia" w:eastAsiaTheme="minorEastAsia" w:cstheme="minorEastAsia"/>
          <w:color w:val="auto"/>
          <w:kern w:val="0"/>
          <w:sz w:val="24"/>
          <w:lang w:val="zh-CN"/>
        </w:rPr>
        <w:t>：</w:t>
      </w:r>
    </w:p>
    <w:p w14:paraId="2F1B5CC3">
      <w:pPr>
        <w:snapToGrid w:val="0"/>
        <w:spacing w:line="360" w:lineRule="auto"/>
        <w:ind w:firstLine="576"/>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现</w:t>
      </w:r>
      <w:r>
        <w:rPr>
          <w:rFonts w:hint="eastAsia" w:asciiTheme="minorEastAsia" w:hAnsiTheme="minorEastAsia" w:eastAsiaTheme="minorEastAsia" w:cstheme="minorEastAsia"/>
          <w:color w:val="auto"/>
          <w:kern w:val="0"/>
          <w:sz w:val="24"/>
          <w:lang w:val="zh-CN"/>
        </w:rPr>
        <w:t>委托</w:t>
      </w:r>
      <w:r>
        <w:rPr>
          <w:rFonts w:hint="eastAsia" w:asciiTheme="minorEastAsia" w:hAnsiTheme="minorEastAsia" w:eastAsiaTheme="minorEastAsia" w:cstheme="minorEastAsia"/>
          <w:color w:val="auto"/>
          <w:kern w:val="0"/>
          <w:sz w:val="24"/>
          <w:u w:val="single"/>
          <w:lang w:val="zh-CN"/>
        </w:rPr>
        <w:t xml:space="preserve">          </w:t>
      </w:r>
      <w:r>
        <w:rPr>
          <w:rFonts w:hint="eastAsia" w:asciiTheme="minorEastAsia" w:hAnsiTheme="minorEastAsia" w:eastAsiaTheme="minorEastAsia" w:cstheme="minorEastAsia"/>
          <w:color w:val="auto"/>
          <w:kern w:val="0"/>
          <w:sz w:val="24"/>
          <w:lang w:val="zh-CN"/>
        </w:rPr>
        <w:t>（姓名）为我方代理人（身份证号码：</w:t>
      </w:r>
      <w:r>
        <w:rPr>
          <w:rFonts w:hint="eastAsia" w:asciiTheme="minorEastAsia" w:hAnsiTheme="minorEastAsia" w:eastAsiaTheme="minorEastAsia" w:cstheme="minorEastAsia"/>
          <w:color w:val="auto"/>
          <w:kern w:val="0"/>
          <w:sz w:val="24"/>
          <w:u w:val="single"/>
          <w:lang w:val="zh-CN"/>
        </w:rPr>
        <w:t xml:space="preserve">          </w:t>
      </w:r>
      <w:r>
        <w:rPr>
          <w:rFonts w:hint="eastAsia" w:asciiTheme="minorEastAsia" w:hAnsiTheme="minorEastAsia" w:eastAsiaTheme="minorEastAsia" w:cstheme="minorEastAsia"/>
          <w:color w:val="auto"/>
          <w:kern w:val="0"/>
          <w:sz w:val="24"/>
          <w:lang w:val="zh-CN"/>
        </w:rPr>
        <w:t>，手机：</w:t>
      </w:r>
      <w:r>
        <w:rPr>
          <w:rFonts w:hint="eastAsia" w:asciiTheme="minorEastAsia" w:hAnsiTheme="minorEastAsia" w:eastAsiaTheme="minorEastAsia" w:cstheme="minorEastAsia"/>
          <w:color w:val="auto"/>
          <w:kern w:val="0"/>
          <w:sz w:val="24"/>
          <w:u w:val="single"/>
          <w:lang w:val="zh-CN"/>
        </w:rPr>
        <w:t xml:space="preserve">          </w:t>
      </w:r>
      <w:r>
        <w:rPr>
          <w:rFonts w:hint="eastAsia" w:asciiTheme="minorEastAsia" w:hAnsiTheme="minorEastAsia" w:eastAsiaTheme="minorEastAsia" w:cstheme="minorEastAsia"/>
          <w:color w:val="auto"/>
          <w:kern w:val="0"/>
          <w:sz w:val="24"/>
          <w:lang w:val="zh-CN"/>
        </w:rPr>
        <w:t>），以我方名义处理</w:t>
      </w:r>
      <w:r>
        <w:rPr>
          <w:rFonts w:hint="eastAsia" w:asciiTheme="minorEastAsia" w:hAnsiTheme="minorEastAsia" w:eastAsiaTheme="minorEastAsia" w:cstheme="minorEastAsia"/>
          <w:color w:val="auto"/>
          <w:sz w:val="24"/>
          <w:lang w:eastAsia="zh-CN"/>
        </w:rPr>
        <w:t>建德市罗村三级电站更新改造暨梯级集控建设工程（机电设备）采购项目</w:t>
      </w:r>
      <w:r>
        <w:rPr>
          <w:rFonts w:hint="eastAsia" w:asciiTheme="minorEastAsia" w:hAnsiTheme="minorEastAsia" w:eastAsiaTheme="minorEastAsia" w:cstheme="minorEastAsia"/>
          <w:color w:val="auto"/>
          <w:sz w:val="24"/>
        </w:rPr>
        <w:t>【招标编号：HZOFCG2025B-088】</w:t>
      </w:r>
      <w:r>
        <w:rPr>
          <w:rFonts w:hint="eastAsia" w:asciiTheme="minorEastAsia" w:hAnsiTheme="minorEastAsia" w:eastAsiaTheme="minorEastAsia" w:cstheme="minorEastAsia"/>
          <w:color w:val="auto"/>
          <w:kern w:val="0"/>
          <w:sz w:val="24"/>
          <w:lang w:val="zh-CN"/>
        </w:rPr>
        <w:t>采购投标的一切事项，其法律后果由我方承担。</w:t>
      </w:r>
    </w:p>
    <w:p w14:paraId="62912017">
      <w:pPr>
        <w:snapToGrid w:val="0"/>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委托期限</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lang w:val="zh-CN"/>
        </w:rPr>
        <w:t>自</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年</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月</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日起至</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年</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月</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日止。</w:t>
      </w:r>
    </w:p>
    <w:p w14:paraId="1FB08FAE">
      <w:pPr>
        <w:snapToGrid w:val="0"/>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特此告知。</w:t>
      </w:r>
    </w:p>
    <w:p w14:paraId="60BAB17B">
      <w:pPr>
        <w:snapToGrid w:val="0"/>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zh-CN"/>
        </w:rPr>
        <w:t xml:space="preserve">                                               投标人名称(电子签名）：</w:t>
      </w:r>
    </w:p>
    <w:p w14:paraId="064E58FC">
      <w:pPr>
        <w:snapToGrid w:val="0"/>
        <w:spacing w:line="360" w:lineRule="auto"/>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                                              签发日期：  年  月   日</w:t>
      </w:r>
    </w:p>
    <w:p w14:paraId="3B888DE6">
      <w:pPr>
        <w:snapToGrid w:val="0"/>
        <w:spacing w:line="360" w:lineRule="auto"/>
        <w:rPr>
          <w:rFonts w:hint="eastAsia" w:asciiTheme="minorEastAsia" w:hAnsiTheme="minorEastAsia" w:eastAsiaTheme="minorEastAsia" w:cstheme="minorEastAsia"/>
          <w:color w:val="auto"/>
          <w:sz w:val="24"/>
        </w:rPr>
      </w:pPr>
    </w:p>
    <w:p w14:paraId="0CBAC6A0">
      <w:pPr>
        <w:pStyle w:val="85"/>
        <w:rPr>
          <w:rFonts w:hint="eastAsia" w:asciiTheme="minorEastAsia" w:hAnsiTheme="minorEastAsia" w:eastAsiaTheme="minorEastAsia" w:cstheme="minorEastAsia"/>
          <w:color w:val="auto"/>
        </w:rPr>
      </w:pPr>
    </w:p>
    <w:p w14:paraId="633C0809">
      <w:pPr>
        <w:rPr>
          <w:rFonts w:hint="eastAsia" w:asciiTheme="minorEastAsia" w:hAnsiTheme="minorEastAsia" w:eastAsiaTheme="minorEastAsia" w:cstheme="minorEastAsia"/>
          <w:color w:val="auto"/>
          <w:sz w:val="24"/>
        </w:rPr>
      </w:pPr>
    </w:p>
    <w:p w14:paraId="74F4571C">
      <w:pPr>
        <w:pStyle w:val="85"/>
        <w:rPr>
          <w:rFonts w:hint="eastAsia" w:asciiTheme="minorEastAsia" w:hAnsiTheme="minorEastAsia" w:eastAsiaTheme="minorEastAsia" w:cstheme="minorEastAsia"/>
          <w:color w:val="auto"/>
        </w:rPr>
      </w:pPr>
    </w:p>
    <w:p w14:paraId="3F30B32F">
      <w:pPr>
        <w:rPr>
          <w:rFonts w:hint="eastAsia" w:asciiTheme="minorEastAsia" w:hAnsiTheme="minorEastAsia" w:eastAsiaTheme="minorEastAsia" w:cstheme="minorEastAsia"/>
          <w:color w:val="auto"/>
          <w:sz w:val="24"/>
        </w:rPr>
      </w:pPr>
    </w:p>
    <w:p w14:paraId="791973DF">
      <w:pPr>
        <w:pStyle w:val="85"/>
        <w:rPr>
          <w:rFonts w:hint="eastAsia" w:asciiTheme="minorEastAsia" w:hAnsiTheme="minorEastAsia" w:eastAsiaTheme="minorEastAsia" w:cstheme="minorEastAsia"/>
          <w:color w:val="auto"/>
        </w:rPr>
      </w:pPr>
    </w:p>
    <w:p w14:paraId="1483BE7D">
      <w:pPr>
        <w:rPr>
          <w:rFonts w:hint="eastAsia" w:asciiTheme="minorEastAsia" w:hAnsiTheme="minorEastAsia" w:eastAsiaTheme="minorEastAsia" w:cstheme="minorEastAsia"/>
          <w:color w:val="auto"/>
          <w:sz w:val="24"/>
        </w:rPr>
      </w:pPr>
    </w:p>
    <w:p w14:paraId="312E7BD7">
      <w:pPr>
        <w:pStyle w:val="85"/>
        <w:rPr>
          <w:rFonts w:hint="eastAsia" w:asciiTheme="minorEastAsia" w:hAnsiTheme="minorEastAsia" w:eastAsiaTheme="minorEastAsia" w:cstheme="minorEastAsia"/>
          <w:color w:val="auto"/>
        </w:rPr>
      </w:pPr>
    </w:p>
    <w:p w14:paraId="1CC2EC47">
      <w:pPr>
        <w:rPr>
          <w:rFonts w:hint="eastAsia" w:asciiTheme="minorEastAsia" w:hAnsiTheme="minorEastAsia" w:eastAsiaTheme="minorEastAsia" w:cstheme="minorEastAsia"/>
          <w:color w:val="auto"/>
          <w:sz w:val="24"/>
        </w:rPr>
      </w:pPr>
    </w:p>
    <w:p w14:paraId="00D9399D">
      <w:pPr>
        <w:pStyle w:val="85"/>
        <w:rPr>
          <w:rFonts w:hint="eastAsia" w:asciiTheme="minorEastAsia" w:hAnsiTheme="minorEastAsia" w:eastAsiaTheme="minorEastAsia" w:cstheme="minorEastAsia"/>
          <w:color w:val="auto"/>
        </w:rPr>
      </w:pPr>
    </w:p>
    <w:p w14:paraId="3602400C">
      <w:pPr>
        <w:rPr>
          <w:rFonts w:hint="eastAsia" w:asciiTheme="minorEastAsia" w:hAnsiTheme="minorEastAsia" w:eastAsiaTheme="minorEastAsia" w:cstheme="minorEastAsia"/>
          <w:color w:val="auto"/>
          <w:sz w:val="24"/>
        </w:rPr>
      </w:pPr>
    </w:p>
    <w:p w14:paraId="2E15C206">
      <w:pPr>
        <w:pStyle w:val="85"/>
        <w:rPr>
          <w:rFonts w:hint="eastAsia" w:asciiTheme="minorEastAsia" w:hAnsiTheme="minorEastAsia" w:eastAsiaTheme="minorEastAsia" w:cstheme="minorEastAsia"/>
          <w:color w:val="auto"/>
        </w:rPr>
      </w:pPr>
    </w:p>
    <w:p w14:paraId="06BA5506">
      <w:pPr>
        <w:rPr>
          <w:rFonts w:hint="eastAsia" w:asciiTheme="minorEastAsia" w:hAnsiTheme="minorEastAsia" w:eastAsiaTheme="minorEastAsia" w:cstheme="minorEastAsia"/>
          <w:color w:val="auto"/>
          <w:sz w:val="24"/>
        </w:rPr>
      </w:pPr>
    </w:p>
    <w:p w14:paraId="1E81BF08">
      <w:pPr>
        <w:pStyle w:val="85"/>
        <w:rPr>
          <w:rFonts w:hint="eastAsia" w:asciiTheme="minorEastAsia" w:hAnsiTheme="minorEastAsia" w:eastAsiaTheme="minorEastAsia" w:cstheme="minorEastAsia"/>
          <w:color w:val="auto"/>
        </w:rPr>
      </w:pPr>
    </w:p>
    <w:p w14:paraId="5F821552">
      <w:pPr>
        <w:rPr>
          <w:rFonts w:hint="eastAsia" w:asciiTheme="minorEastAsia" w:hAnsiTheme="minorEastAsia" w:eastAsiaTheme="minorEastAsia" w:cstheme="minorEastAsia"/>
          <w:color w:val="auto"/>
          <w:sz w:val="24"/>
        </w:rPr>
      </w:pPr>
    </w:p>
    <w:p w14:paraId="0093C9E8">
      <w:pPr>
        <w:pStyle w:val="85"/>
        <w:rPr>
          <w:rFonts w:hint="eastAsia" w:asciiTheme="minorEastAsia" w:hAnsiTheme="minorEastAsia" w:eastAsiaTheme="minorEastAsia" w:cstheme="minorEastAsia"/>
          <w:color w:val="auto"/>
        </w:rPr>
      </w:pPr>
    </w:p>
    <w:p w14:paraId="45D18DF5">
      <w:pPr>
        <w:rPr>
          <w:rFonts w:hint="eastAsia" w:asciiTheme="minorEastAsia" w:hAnsiTheme="minorEastAsia" w:eastAsiaTheme="minorEastAsia" w:cstheme="minorEastAsia"/>
          <w:color w:val="auto"/>
          <w:sz w:val="24"/>
        </w:rPr>
      </w:pPr>
    </w:p>
    <w:p w14:paraId="38B0D555">
      <w:pPr>
        <w:pStyle w:val="85"/>
        <w:rPr>
          <w:rFonts w:hint="eastAsia" w:asciiTheme="minorEastAsia" w:hAnsiTheme="minorEastAsia" w:eastAsiaTheme="minorEastAsia" w:cstheme="minorEastAsia"/>
          <w:color w:val="auto"/>
        </w:rPr>
      </w:pPr>
    </w:p>
    <w:p w14:paraId="1CD70406">
      <w:pPr>
        <w:rPr>
          <w:rFonts w:hint="eastAsia" w:asciiTheme="minorEastAsia" w:hAnsiTheme="minorEastAsia" w:eastAsiaTheme="minorEastAsia" w:cstheme="minorEastAsia"/>
          <w:color w:val="auto"/>
        </w:rPr>
      </w:pPr>
    </w:p>
    <w:p w14:paraId="5B3FA224">
      <w:pPr>
        <w:snapToGrid w:val="0"/>
        <w:spacing w:line="360" w:lineRule="auto"/>
        <w:rPr>
          <w:rFonts w:hint="eastAsia" w:asciiTheme="minorEastAsia" w:hAnsiTheme="minorEastAsia" w:eastAsiaTheme="minorEastAsia" w:cstheme="minorEastAsia"/>
          <w:color w:val="auto"/>
          <w:sz w:val="24"/>
        </w:rPr>
      </w:pPr>
    </w:p>
    <w:p w14:paraId="2AD765BF">
      <w:pPr>
        <w:jc w:val="center"/>
        <w:rPr>
          <w:rFonts w:hint="eastAsia" w:asciiTheme="minorEastAsia" w:hAnsiTheme="minorEastAsia" w:eastAsiaTheme="minorEastAsia" w:cstheme="minorEastAsia"/>
          <w:b/>
          <w:color w:val="auto"/>
          <w:kern w:val="0"/>
          <w:sz w:val="32"/>
          <w:szCs w:val="32"/>
          <w:lang w:val="zh-CN"/>
        </w:rPr>
      </w:pPr>
      <w:r>
        <w:rPr>
          <w:rFonts w:hint="eastAsia" w:asciiTheme="minorEastAsia" w:hAnsiTheme="minorEastAsia" w:eastAsiaTheme="minorEastAsia" w:cstheme="minorEastAsia"/>
          <w:b/>
          <w:color w:val="auto"/>
          <w:kern w:val="0"/>
          <w:sz w:val="32"/>
          <w:szCs w:val="32"/>
          <w:lang w:val="zh-CN"/>
        </w:rPr>
        <w:t>授权委托书（适用于联合体投标）</w:t>
      </w:r>
    </w:p>
    <w:p w14:paraId="48EBF547">
      <w:pPr>
        <w:snapToGrid w:val="0"/>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t>建德市罗村水力发电有限公司 、杭州欧方工程管理有限公司</w:t>
      </w:r>
      <w:r>
        <w:rPr>
          <w:rFonts w:hint="eastAsia" w:asciiTheme="minorEastAsia" w:hAnsiTheme="minorEastAsia" w:eastAsiaTheme="minorEastAsia" w:cstheme="minorEastAsia"/>
          <w:color w:val="auto"/>
          <w:kern w:val="0"/>
          <w:sz w:val="24"/>
          <w:lang w:val="zh-CN"/>
        </w:rPr>
        <w:t>：</w:t>
      </w:r>
    </w:p>
    <w:p w14:paraId="75BFBBCA">
      <w:pPr>
        <w:snapToGrid w:val="0"/>
        <w:spacing w:line="360" w:lineRule="auto"/>
        <w:ind w:firstLine="576"/>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现</w:t>
      </w:r>
      <w:r>
        <w:rPr>
          <w:rFonts w:hint="eastAsia" w:asciiTheme="minorEastAsia" w:hAnsiTheme="minorEastAsia" w:eastAsiaTheme="minorEastAsia" w:cstheme="minorEastAsia"/>
          <w:color w:val="auto"/>
          <w:kern w:val="0"/>
          <w:sz w:val="24"/>
          <w:lang w:val="zh-CN"/>
        </w:rPr>
        <w:t>委托</w:t>
      </w:r>
      <w:r>
        <w:rPr>
          <w:rFonts w:hint="eastAsia" w:asciiTheme="minorEastAsia" w:hAnsiTheme="minorEastAsia" w:eastAsiaTheme="minorEastAsia" w:cstheme="minorEastAsia"/>
          <w:color w:val="auto"/>
          <w:kern w:val="0"/>
          <w:sz w:val="24"/>
          <w:u w:val="single"/>
          <w:lang w:val="zh-CN"/>
        </w:rPr>
        <w:t xml:space="preserve">          </w:t>
      </w:r>
      <w:r>
        <w:rPr>
          <w:rFonts w:hint="eastAsia" w:asciiTheme="minorEastAsia" w:hAnsiTheme="minorEastAsia" w:eastAsiaTheme="minorEastAsia" w:cstheme="minorEastAsia"/>
          <w:color w:val="auto"/>
          <w:kern w:val="0"/>
          <w:sz w:val="24"/>
          <w:lang w:val="zh-CN"/>
        </w:rPr>
        <w:t>（姓名）为我方代理人（身份证号码：</w:t>
      </w:r>
      <w:r>
        <w:rPr>
          <w:rFonts w:hint="eastAsia" w:asciiTheme="minorEastAsia" w:hAnsiTheme="minorEastAsia" w:eastAsiaTheme="minorEastAsia" w:cstheme="minorEastAsia"/>
          <w:color w:val="auto"/>
          <w:kern w:val="0"/>
          <w:sz w:val="24"/>
          <w:u w:val="single"/>
          <w:lang w:val="zh-CN"/>
        </w:rPr>
        <w:t xml:space="preserve">          </w:t>
      </w:r>
      <w:r>
        <w:rPr>
          <w:rFonts w:hint="eastAsia" w:asciiTheme="minorEastAsia" w:hAnsiTheme="minorEastAsia" w:eastAsiaTheme="minorEastAsia" w:cstheme="minorEastAsia"/>
          <w:color w:val="auto"/>
          <w:kern w:val="0"/>
          <w:sz w:val="24"/>
          <w:lang w:val="zh-CN"/>
        </w:rPr>
        <w:t>，手机：</w:t>
      </w:r>
      <w:r>
        <w:rPr>
          <w:rFonts w:hint="eastAsia" w:asciiTheme="minorEastAsia" w:hAnsiTheme="minorEastAsia" w:eastAsiaTheme="minorEastAsia" w:cstheme="minorEastAsia"/>
          <w:color w:val="auto"/>
          <w:kern w:val="0"/>
          <w:sz w:val="24"/>
          <w:u w:val="single"/>
          <w:lang w:val="zh-CN"/>
        </w:rPr>
        <w:t xml:space="preserve">          </w:t>
      </w:r>
      <w:r>
        <w:rPr>
          <w:rFonts w:hint="eastAsia" w:asciiTheme="minorEastAsia" w:hAnsiTheme="minorEastAsia" w:eastAsiaTheme="minorEastAsia" w:cstheme="minorEastAsia"/>
          <w:color w:val="auto"/>
          <w:kern w:val="0"/>
          <w:sz w:val="24"/>
          <w:lang w:val="zh-CN"/>
        </w:rPr>
        <w:t>），以我方名义处理</w:t>
      </w:r>
      <w:r>
        <w:rPr>
          <w:rFonts w:hint="eastAsia" w:asciiTheme="minorEastAsia" w:hAnsiTheme="minorEastAsia" w:eastAsiaTheme="minorEastAsia" w:cstheme="minorEastAsia"/>
          <w:color w:val="auto"/>
          <w:sz w:val="24"/>
          <w:lang w:eastAsia="zh-CN"/>
        </w:rPr>
        <w:t>建德市罗村三级电站更新改造暨梯级集控建设工程（机电设备）采购项目</w:t>
      </w:r>
      <w:r>
        <w:rPr>
          <w:rFonts w:hint="eastAsia" w:asciiTheme="minorEastAsia" w:hAnsiTheme="minorEastAsia" w:eastAsiaTheme="minorEastAsia" w:cstheme="minorEastAsia"/>
          <w:color w:val="auto"/>
          <w:sz w:val="24"/>
        </w:rPr>
        <w:t>【招标编号：HZOFCG2025B-088】采购</w:t>
      </w:r>
      <w:r>
        <w:rPr>
          <w:rFonts w:hint="eastAsia" w:asciiTheme="minorEastAsia" w:hAnsiTheme="minorEastAsia" w:eastAsiaTheme="minorEastAsia" w:cstheme="minorEastAsia"/>
          <w:color w:val="auto"/>
          <w:kern w:val="0"/>
          <w:sz w:val="24"/>
          <w:lang w:val="zh-CN"/>
        </w:rPr>
        <w:t>投标的一切事项，其法律后果由我方承担。</w:t>
      </w:r>
    </w:p>
    <w:p w14:paraId="0F523628">
      <w:pPr>
        <w:snapToGrid w:val="0"/>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委托期限</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lang w:val="zh-CN"/>
        </w:rPr>
        <w:t>自</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年</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月</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日起至</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年</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月</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日止。</w:t>
      </w:r>
    </w:p>
    <w:p w14:paraId="6051A467">
      <w:pPr>
        <w:snapToGrid w:val="0"/>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特此告知。</w:t>
      </w:r>
    </w:p>
    <w:p w14:paraId="3ECD8DF5">
      <w:pPr>
        <w:snapToGrid w:val="0"/>
        <w:spacing w:line="360" w:lineRule="auto"/>
        <w:jc w:val="right"/>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联合体成员名称(电子签名/公章）：</w:t>
      </w:r>
    </w:p>
    <w:p w14:paraId="70FB57F3">
      <w:pPr>
        <w:snapToGrid w:val="0"/>
        <w:spacing w:line="360" w:lineRule="auto"/>
        <w:jc w:val="right"/>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联合体成员名称(电子签名/公章）：</w:t>
      </w:r>
    </w:p>
    <w:p w14:paraId="707A764B">
      <w:pPr>
        <w:snapToGrid w:val="0"/>
        <w:spacing w:line="360" w:lineRule="auto"/>
        <w:ind w:firstLine="5760" w:firstLineChars="24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lang w:val="zh-CN"/>
        </w:rPr>
        <w:t>……</w:t>
      </w:r>
    </w:p>
    <w:p w14:paraId="7F5FE7E2">
      <w:pPr>
        <w:snapToGrid w:val="0"/>
        <w:spacing w:line="360" w:lineRule="auto"/>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                                               日期：  年  月   日</w:t>
      </w:r>
    </w:p>
    <w:p w14:paraId="43A19833">
      <w:pPr>
        <w:autoSpaceDE w:val="0"/>
        <w:autoSpaceDN w:val="0"/>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kern w:val="0"/>
          <w:sz w:val="32"/>
          <w:szCs w:val="32"/>
          <w:lang w:val="zh-CN"/>
        </w:rPr>
        <w:t>法定代表人、单位负责人或自然人本人</w:t>
      </w:r>
      <w:r>
        <w:rPr>
          <w:rFonts w:hint="eastAsia" w:asciiTheme="minorEastAsia" w:hAnsiTheme="minorEastAsia" w:eastAsiaTheme="minorEastAsia" w:cstheme="minorEastAsia"/>
          <w:b/>
          <w:color w:val="auto"/>
          <w:sz w:val="30"/>
          <w:szCs w:val="30"/>
        </w:rPr>
        <w:t>的身份证明（适用于法定代表人、单位负责人或者自然人本人代表投标人参加投标）</w:t>
      </w:r>
    </w:p>
    <w:p w14:paraId="60B47E6E">
      <w:pPr>
        <w:pStyle w:val="154"/>
        <w:spacing w:line="360"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身份证件扫描件：</w:t>
      </w:r>
    </w:p>
    <w:tbl>
      <w:tblPr>
        <w:tblStyle w:val="6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D0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C5B8E94">
            <w:pPr>
              <w:pStyle w:val="154"/>
              <w:adjustRightInd w:val="0"/>
              <w:spacing w:line="360"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正面：                                 反面：</w:t>
            </w:r>
          </w:p>
          <w:p w14:paraId="46AAC82D">
            <w:pPr>
              <w:pStyle w:val="154"/>
              <w:adjustRightInd w:val="0"/>
              <w:spacing w:line="360" w:lineRule="auto"/>
              <w:rPr>
                <w:rFonts w:hint="eastAsia" w:asciiTheme="minorEastAsia" w:hAnsiTheme="minorEastAsia" w:eastAsiaTheme="minorEastAsia" w:cstheme="minorEastAsia"/>
                <w:bCs/>
                <w:color w:val="auto"/>
                <w:sz w:val="24"/>
              </w:rPr>
            </w:pPr>
          </w:p>
        </w:tc>
      </w:tr>
    </w:tbl>
    <w:p w14:paraId="738DDE76">
      <w:pPr>
        <w:snapToGrid w:val="0"/>
        <w:spacing w:line="360" w:lineRule="auto"/>
        <w:ind w:firstLine="576"/>
        <w:jc w:val="center"/>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                </w:t>
      </w:r>
    </w:p>
    <w:p w14:paraId="35561F31">
      <w:pPr>
        <w:snapToGrid w:val="0"/>
        <w:spacing w:line="360" w:lineRule="auto"/>
        <w:ind w:firstLine="576"/>
        <w:jc w:val="center"/>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                  投标人名称(电子签名）：                              </w:t>
      </w:r>
    </w:p>
    <w:p w14:paraId="64030249">
      <w:pPr>
        <w:spacing w:line="360" w:lineRule="auto"/>
        <w:jc w:val="center"/>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                   日期：  年  月  日</w:t>
      </w:r>
    </w:p>
    <w:p w14:paraId="19EE5847">
      <w:pPr>
        <w:jc w:val="center"/>
        <w:rPr>
          <w:rFonts w:hint="eastAsia" w:asciiTheme="minorEastAsia" w:hAnsiTheme="minorEastAsia" w:eastAsiaTheme="minorEastAsia" w:cstheme="minorEastAsia"/>
          <w:b/>
          <w:color w:val="auto"/>
          <w:kern w:val="0"/>
          <w:sz w:val="32"/>
          <w:szCs w:val="32"/>
        </w:rPr>
      </w:pPr>
    </w:p>
    <w:p w14:paraId="2C68D91A">
      <w:pPr>
        <w:snapToGrid w:val="0"/>
        <w:spacing w:line="360" w:lineRule="auto"/>
        <w:jc w:val="cente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t>三、分包意向协议（如果有）</w:t>
      </w:r>
    </w:p>
    <w:p w14:paraId="1030CF4B">
      <w:pPr>
        <w:spacing w:line="360" w:lineRule="auto"/>
        <w:ind w:firstLine="120" w:firstLineChars="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
          <w:color w:val="auto"/>
          <w:sz w:val="24"/>
        </w:rPr>
        <w:t>中标后以分包方式履行合同的，提供分包意向协议(附件6)；采购人不同意分包或者投标人中标后不以分包方式履行合同的，则不需要提供。</w:t>
      </w:r>
      <w:r>
        <w:rPr>
          <w:rFonts w:hint="eastAsia" w:asciiTheme="minorEastAsia" w:hAnsiTheme="minorEastAsia" w:eastAsiaTheme="minorEastAsia" w:cstheme="minorEastAsia"/>
          <w:color w:val="auto"/>
          <w:sz w:val="24"/>
        </w:rPr>
        <w:t>]</w:t>
      </w:r>
    </w:p>
    <w:p w14:paraId="63F28ECC">
      <w:pPr>
        <w:snapToGrid w:val="0"/>
        <w:spacing w:line="360" w:lineRule="auto"/>
        <w:rPr>
          <w:rFonts w:hint="eastAsia" w:asciiTheme="minorEastAsia" w:hAnsiTheme="minorEastAsia" w:eastAsiaTheme="minorEastAsia" w:cstheme="minorEastAsia"/>
          <w:color w:val="auto"/>
          <w:kern w:val="0"/>
          <w:sz w:val="24"/>
        </w:rPr>
      </w:pPr>
    </w:p>
    <w:p w14:paraId="790FC02F">
      <w:pPr>
        <w:jc w:val="center"/>
        <w:rPr>
          <w:rFonts w:hint="eastAsia" w:asciiTheme="minorEastAsia" w:hAnsiTheme="minorEastAsia" w:eastAsiaTheme="minorEastAsia" w:cstheme="minorEastAsia"/>
          <w:b/>
          <w:color w:val="auto"/>
          <w:kern w:val="0"/>
          <w:sz w:val="32"/>
          <w:szCs w:val="32"/>
        </w:rPr>
      </w:pPr>
    </w:p>
    <w:p w14:paraId="76F69852">
      <w:pPr>
        <w:pStyle w:val="3"/>
        <w:rPr>
          <w:rFonts w:hint="eastAsia" w:asciiTheme="minorEastAsia" w:hAnsiTheme="minorEastAsia" w:eastAsiaTheme="minorEastAsia" w:cstheme="minorEastAsia"/>
          <w:color w:val="auto"/>
          <w:lang w:val="en-US"/>
        </w:rPr>
      </w:pPr>
    </w:p>
    <w:p w14:paraId="16A81B28">
      <w:pPr>
        <w:rPr>
          <w:rFonts w:hint="eastAsia" w:asciiTheme="minorEastAsia" w:hAnsiTheme="minorEastAsia" w:eastAsiaTheme="minorEastAsia" w:cstheme="minorEastAsia"/>
          <w:color w:val="auto"/>
        </w:rPr>
      </w:pPr>
    </w:p>
    <w:p w14:paraId="21D916FF">
      <w:pPr>
        <w:pStyle w:val="3"/>
        <w:rPr>
          <w:rFonts w:hint="eastAsia" w:asciiTheme="minorEastAsia" w:hAnsiTheme="minorEastAsia" w:eastAsiaTheme="minorEastAsia" w:cstheme="minorEastAsia"/>
          <w:color w:val="auto"/>
          <w:lang w:val="en-US"/>
        </w:rPr>
      </w:pPr>
    </w:p>
    <w:p w14:paraId="34CCCE7E">
      <w:pPr>
        <w:jc w:val="center"/>
        <w:rPr>
          <w:rFonts w:hint="eastAsia" w:asciiTheme="minorEastAsia" w:hAnsiTheme="minorEastAsia" w:eastAsiaTheme="minorEastAsia" w:cstheme="minorEastAsia"/>
          <w:b/>
          <w:color w:val="auto"/>
          <w:kern w:val="0"/>
          <w:sz w:val="32"/>
          <w:szCs w:val="32"/>
        </w:rPr>
      </w:pPr>
    </w:p>
    <w:p w14:paraId="3EA33937">
      <w:pPr>
        <w:jc w:val="cente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t>四、符合性审查资料</w:t>
      </w:r>
    </w:p>
    <w:p w14:paraId="40179B69">
      <w:pPr>
        <w:jc w:val="center"/>
        <w:rPr>
          <w:rFonts w:hint="eastAsia" w:asciiTheme="minorEastAsia" w:hAnsiTheme="minorEastAsia" w:eastAsiaTheme="minorEastAsia" w:cstheme="minorEastAsia"/>
          <w:b/>
          <w:color w:val="auto"/>
          <w:kern w:val="0"/>
          <w:sz w:val="32"/>
          <w:szCs w:val="32"/>
        </w:rPr>
      </w:pPr>
    </w:p>
    <w:tbl>
      <w:tblPr>
        <w:tblStyle w:val="6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2F5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0498B5F1">
            <w:pPr>
              <w:snapToGrid w:val="0"/>
              <w:spacing w:line="240" w:lineRule="atLeast"/>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序号</w:t>
            </w:r>
          </w:p>
        </w:tc>
        <w:tc>
          <w:tcPr>
            <w:tcW w:w="4991" w:type="dxa"/>
            <w:vAlign w:val="center"/>
          </w:tcPr>
          <w:p w14:paraId="04FDF2B9">
            <w:pPr>
              <w:snapToGrid w:val="0"/>
              <w:spacing w:line="240" w:lineRule="atLeast"/>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实质性要求</w:t>
            </w:r>
          </w:p>
        </w:tc>
        <w:tc>
          <w:tcPr>
            <w:tcW w:w="2551" w:type="dxa"/>
            <w:vAlign w:val="center"/>
          </w:tcPr>
          <w:p w14:paraId="2D7598FE">
            <w:pPr>
              <w:snapToGrid w:val="0"/>
              <w:spacing w:line="240" w:lineRule="atLeast"/>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需要提供的符合性审查资料</w:t>
            </w:r>
          </w:p>
        </w:tc>
        <w:tc>
          <w:tcPr>
            <w:tcW w:w="1418" w:type="dxa"/>
            <w:vAlign w:val="center"/>
          </w:tcPr>
          <w:p w14:paraId="0F943C7E">
            <w:pPr>
              <w:snapToGrid w:val="0"/>
              <w:spacing w:line="240" w:lineRule="atLeast"/>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投标文件中的</w:t>
            </w:r>
          </w:p>
          <w:p w14:paraId="12557C2A">
            <w:pPr>
              <w:snapToGrid w:val="0"/>
              <w:spacing w:line="240" w:lineRule="atLeast"/>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页码位置</w:t>
            </w:r>
          </w:p>
        </w:tc>
      </w:tr>
      <w:tr w14:paraId="0FB6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963FE8E">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4991" w:type="dxa"/>
          </w:tcPr>
          <w:p w14:paraId="128FEACC">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投标文件按照招标文件要求签署、盖章。</w:t>
            </w:r>
          </w:p>
        </w:tc>
        <w:tc>
          <w:tcPr>
            <w:tcW w:w="2551" w:type="dxa"/>
            <w:vAlign w:val="center"/>
          </w:tcPr>
          <w:p w14:paraId="477F564E">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需要使用电子签名或者签字盖章的投标文件的组成部分</w:t>
            </w:r>
          </w:p>
        </w:tc>
        <w:tc>
          <w:tcPr>
            <w:tcW w:w="1418" w:type="dxa"/>
          </w:tcPr>
          <w:p w14:paraId="1F83A4C2">
            <w:pPr>
              <w:rPr>
                <w:rFonts w:hint="eastAsia" w:asciiTheme="minorEastAsia" w:hAnsiTheme="minorEastAsia" w:eastAsiaTheme="minorEastAsia" w:cstheme="minorEastAsia"/>
                <w:color w:val="auto"/>
                <w:sz w:val="24"/>
              </w:rPr>
            </w:pPr>
          </w:p>
          <w:p w14:paraId="2EAB5848">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见投标文件</w:t>
            </w:r>
          </w:p>
          <w:p w14:paraId="7858958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第</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页</w:t>
            </w:r>
          </w:p>
        </w:tc>
      </w:tr>
      <w:tr w14:paraId="3F58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D07C4EE">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4991" w:type="dxa"/>
          </w:tcPr>
          <w:p w14:paraId="759040C3">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投标文件中承诺的投标有效期不少于招标文件中载明的投标有效期。</w:t>
            </w:r>
          </w:p>
        </w:tc>
        <w:tc>
          <w:tcPr>
            <w:tcW w:w="2551" w:type="dxa"/>
            <w:vAlign w:val="center"/>
          </w:tcPr>
          <w:p w14:paraId="771915B7">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投标函</w:t>
            </w:r>
          </w:p>
        </w:tc>
        <w:tc>
          <w:tcPr>
            <w:tcW w:w="1418" w:type="dxa"/>
          </w:tcPr>
          <w:p w14:paraId="3E571D7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见投标文件第</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页</w:t>
            </w:r>
          </w:p>
        </w:tc>
      </w:tr>
      <w:tr w14:paraId="17CE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C6F1DDC">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4991" w:type="dxa"/>
          </w:tcPr>
          <w:p w14:paraId="6E62CC6B">
            <w:pPr>
              <w:spacing w:line="360" w:lineRule="auto"/>
              <w:rPr>
                <w:rFonts w:hint="eastAsia" w:asciiTheme="minorEastAsia" w:hAnsiTheme="minorEastAsia" w:eastAsiaTheme="minorEastAsia" w:cstheme="minorEastAsia"/>
                <w:color w:val="auto"/>
                <w:sz w:val="24"/>
              </w:rPr>
            </w:pPr>
          </w:p>
          <w:p w14:paraId="692EA62C">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投标文件满足招标文件的其他实质性要求。</w:t>
            </w:r>
          </w:p>
        </w:tc>
        <w:tc>
          <w:tcPr>
            <w:tcW w:w="2551" w:type="dxa"/>
            <w:vAlign w:val="center"/>
          </w:tcPr>
          <w:p w14:paraId="02B2D435">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rPr>
              <w:t>招标文件其它实质性要求相应的材料（“▲” 系指实质性要求条款，招标文件无其他实质性要求的，无需提供）</w:t>
            </w:r>
          </w:p>
        </w:tc>
        <w:tc>
          <w:tcPr>
            <w:tcW w:w="1418" w:type="dxa"/>
          </w:tcPr>
          <w:p w14:paraId="190CD60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见投标文件第</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页</w:t>
            </w:r>
          </w:p>
        </w:tc>
      </w:tr>
    </w:tbl>
    <w:p w14:paraId="12586D31">
      <w:pPr>
        <w:spacing w:line="360" w:lineRule="auto"/>
        <w:ind w:right="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注：按本格式和要求提供。</w:t>
      </w:r>
    </w:p>
    <w:p w14:paraId="389D31F0">
      <w:pPr>
        <w:jc w:val="center"/>
        <w:rPr>
          <w:rFonts w:hint="eastAsia" w:asciiTheme="minorEastAsia" w:hAnsiTheme="minorEastAsia" w:eastAsiaTheme="minorEastAsia" w:cstheme="minorEastAsia"/>
          <w:b/>
          <w:color w:val="auto"/>
          <w:kern w:val="0"/>
          <w:sz w:val="32"/>
          <w:szCs w:val="32"/>
        </w:rPr>
      </w:pPr>
    </w:p>
    <w:p w14:paraId="0C2938A9">
      <w:pPr>
        <w:jc w:val="cente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t xml:space="preserve">            </w:t>
      </w:r>
    </w:p>
    <w:p w14:paraId="46E0E427">
      <w:pPr>
        <w:jc w:val="center"/>
        <w:rPr>
          <w:rFonts w:hint="eastAsia" w:asciiTheme="minorEastAsia" w:hAnsiTheme="minorEastAsia" w:eastAsiaTheme="minorEastAsia" w:cstheme="minorEastAsia"/>
          <w:b/>
          <w:color w:val="auto"/>
          <w:kern w:val="0"/>
          <w:sz w:val="32"/>
          <w:szCs w:val="32"/>
        </w:rPr>
      </w:pPr>
    </w:p>
    <w:p w14:paraId="1BD89F10">
      <w:pPr>
        <w:jc w:val="center"/>
        <w:rPr>
          <w:rFonts w:hint="eastAsia" w:asciiTheme="minorEastAsia" w:hAnsiTheme="minorEastAsia" w:eastAsiaTheme="minorEastAsia" w:cstheme="minorEastAsia"/>
          <w:b/>
          <w:color w:val="auto"/>
          <w:kern w:val="0"/>
          <w:sz w:val="32"/>
          <w:szCs w:val="32"/>
        </w:rPr>
      </w:pPr>
    </w:p>
    <w:p w14:paraId="696375AC">
      <w:pPr>
        <w:jc w:val="center"/>
        <w:rPr>
          <w:rFonts w:hint="eastAsia" w:asciiTheme="minorEastAsia" w:hAnsiTheme="minorEastAsia" w:eastAsiaTheme="minorEastAsia" w:cstheme="minorEastAsia"/>
          <w:b/>
          <w:color w:val="auto"/>
          <w:kern w:val="0"/>
          <w:sz w:val="32"/>
          <w:szCs w:val="32"/>
        </w:rPr>
      </w:pPr>
    </w:p>
    <w:p w14:paraId="114A3DBF">
      <w:pPr>
        <w:jc w:val="center"/>
        <w:rPr>
          <w:rFonts w:hint="eastAsia" w:asciiTheme="minorEastAsia" w:hAnsiTheme="minorEastAsia" w:eastAsiaTheme="minorEastAsia" w:cstheme="minorEastAsia"/>
          <w:b/>
          <w:color w:val="auto"/>
          <w:kern w:val="0"/>
          <w:sz w:val="32"/>
          <w:szCs w:val="32"/>
        </w:rPr>
      </w:pPr>
    </w:p>
    <w:p w14:paraId="7F2A4469">
      <w:pPr>
        <w:adjustRightInd/>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br w:type="page"/>
      </w:r>
    </w:p>
    <w:p w14:paraId="7ACE48BE">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kern w:val="0"/>
          <w:sz w:val="32"/>
          <w:szCs w:val="32"/>
        </w:rPr>
        <w:t>五、评标标准相应的商务技术资料</w:t>
      </w:r>
    </w:p>
    <w:p w14:paraId="24AC594D">
      <w:pPr>
        <w:snapToGrid w:val="0"/>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（按招标文件第四部分评标办法前附表中“投标文件中评标标准相应的商务技术资料目录”提供资料。）</w:t>
      </w:r>
    </w:p>
    <w:p w14:paraId="01232AF8">
      <w:pPr>
        <w:jc w:val="center"/>
        <w:rPr>
          <w:rFonts w:hint="eastAsia" w:asciiTheme="minorEastAsia" w:hAnsiTheme="minorEastAsia" w:eastAsiaTheme="minorEastAsia" w:cstheme="minorEastAsia"/>
          <w:b/>
          <w:color w:val="auto"/>
          <w:kern w:val="0"/>
          <w:sz w:val="32"/>
          <w:szCs w:val="32"/>
        </w:rPr>
      </w:pPr>
    </w:p>
    <w:p w14:paraId="29933694">
      <w:pPr>
        <w:ind w:firstLine="2891" w:firstLineChars="900"/>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t>六、技术参数对照表</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421"/>
        <w:gridCol w:w="994"/>
        <w:gridCol w:w="851"/>
        <w:gridCol w:w="1577"/>
        <w:gridCol w:w="994"/>
        <w:gridCol w:w="994"/>
        <w:gridCol w:w="886"/>
      </w:tblGrid>
      <w:tr w14:paraId="7F41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noWrap w:val="0"/>
            <w:vAlign w:val="center"/>
          </w:tcPr>
          <w:p w14:paraId="137AE045">
            <w:pPr>
              <w:adjustRightInd w:val="0"/>
              <w:snapToGrid w:val="0"/>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序号</w:t>
            </w:r>
          </w:p>
        </w:tc>
        <w:tc>
          <w:tcPr>
            <w:tcW w:w="836" w:type="pct"/>
            <w:noWrap w:val="0"/>
            <w:vAlign w:val="center"/>
          </w:tcPr>
          <w:p w14:paraId="3B9E133E">
            <w:pPr>
              <w:adjustRightInd w:val="0"/>
              <w:snapToGrid w:val="0"/>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招标规格和</w:t>
            </w:r>
          </w:p>
          <w:p w14:paraId="11126DD8">
            <w:pPr>
              <w:adjustRightInd w:val="0"/>
              <w:snapToGrid w:val="0"/>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技术要求</w:t>
            </w:r>
          </w:p>
        </w:tc>
        <w:tc>
          <w:tcPr>
            <w:tcW w:w="585" w:type="pct"/>
            <w:noWrap w:val="0"/>
            <w:vAlign w:val="center"/>
          </w:tcPr>
          <w:p w14:paraId="32D96249">
            <w:pPr>
              <w:adjustRightInd w:val="0"/>
              <w:snapToGrid w:val="0"/>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投标</w:t>
            </w:r>
          </w:p>
          <w:p w14:paraId="63BBB233">
            <w:pPr>
              <w:adjustRightInd w:val="0"/>
              <w:snapToGrid w:val="0"/>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品牌</w:t>
            </w:r>
          </w:p>
        </w:tc>
        <w:tc>
          <w:tcPr>
            <w:tcW w:w="501" w:type="pct"/>
            <w:noWrap w:val="0"/>
            <w:vAlign w:val="center"/>
          </w:tcPr>
          <w:p w14:paraId="46A64847">
            <w:pPr>
              <w:adjustRightInd w:val="0"/>
              <w:snapToGrid w:val="0"/>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规格</w:t>
            </w:r>
          </w:p>
          <w:p w14:paraId="1F0E367B">
            <w:pPr>
              <w:adjustRightInd w:val="0"/>
              <w:snapToGrid w:val="0"/>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型号</w:t>
            </w:r>
          </w:p>
        </w:tc>
        <w:tc>
          <w:tcPr>
            <w:tcW w:w="928" w:type="pct"/>
            <w:noWrap w:val="0"/>
            <w:vAlign w:val="center"/>
          </w:tcPr>
          <w:p w14:paraId="2D5C0A11">
            <w:pPr>
              <w:adjustRightInd w:val="0"/>
              <w:snapToGrid w:val="0"/>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技术参数和需求响应</w:t>
            </w:r>
          </w:p>
        </w:tc>
        <w:tc>
          <w:tcPr>
            <w:tcW w:w="585" w:type="pct"/>
            <w:noWrap w:val="0"/>
            <w:vAlign w:val="center"/>
          </w:tcPr>
          <w:p w14:paraId="70E537C3">
            <w:pPr>
              <w:adjustRightInd w:val="0"/>
              <w:snapToGrid w:val="0"/>
              <w:jc w:val="center"/>
              <w:rPr>
                <w:rFonts w:hint="eastAsia" w:asciiTheme="minorEastAsia" w:hAnsiTheme="minorEastAsia" w:eastAsiaTheme="minorEastAsia" w:cstheme="minorEastAsia"/>
                <w:color w:val="auto"/>
                <w:spacing w:val="20"/>
                <w:sz w:val="24"/>
                <w:szCs w:val="24"/>
                <w:highlight w:val="none"/>
                <w:lang w:val="en-US" w:eastAsia="zh-CN"/>
              </w:rPr>
            </w:pPr>
            <w:r>
              <w:rPr>
                <w:rFonts w:hint="eastAsia" w:asciiTheme="minorEastAsia" w:hAnsiTheme="minorEastAsia" w:eastAsiaTheme="minorEastAsia" w:cstheme="minorEastAsia"/>
                <w:color w:val="auto"/>
                <w:spacing w:val="20"/>
                <w:sz w:val="24"/>
                <w:szCs w:val="24"/>
                <w:highlight w:val="none"/>
                <w:lang w:val="en-US" w:eastAsia="zh-CN"/>
              </w:rPr>
              <w:t>数量</w:t>
            </w:r>
          </w:p>
        </w:tc>
        <w:tc>
          <w:tcPr>
            <w:tcW w:w="585" w:type="pct"/>
            <w:noWrap w:val="0"/>
            <w:vAlign w:val="center"/>
          </w:tcPr>
          <w:p w14:paraId="0E73489A">
            <w:pPr>
              <w:adjustRightInd w:val="0"/>
              <w:snapToGrid w:val="0"/>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偏离</w:t>
            </w:r>
          </w:p>
        </w:tc>
        <w:tc>
          <w:tcPr>
            <w:tcW w:w="521" w:type="pct"/>
            <w:noWrap w:val="0"/>
            <w:vAlign w:val="center"/>
          </w:tcPr>
          <w:p w14:paraId="4CDEF618">
            <w:pPr>
              <w:adjustRightInd w:val="0"/>
              <w:snapToGrid w:val="0"/>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说明</w:t>
            </w:r>
          </w:p>
        </w:tc>
      </w:tr>
      <w:tr w14:paraId="5571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noWrap w:val="0"/>
            <w:vAlign w:val="center"/>
          </w:tcPr>
          <w:p w14:paraId="04400C09">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836" w:type="pct"/>
            <w:noWrap w:val="0"/>
            <w:vAlign w:val="center"/>
          </w:tcPr>
          <w:p w14:paraId="1DB6AC67">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6A97E905">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01" w:type="pct"/>
            <w:noWrap w:val="0"/>
            <w:vAlign w:val="center"/>
          </w:tcPr>
          <w:p w14:paraId="665ADCE5">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928" w:type="pct"/>
            <w:noWrap w:val="0"/>
            <w:vAlign w:val="center"/>
          </w:tcPr>
          <w:p w14:paraId="01BE6201">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282F5BB8">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11870000">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21" w:type="pct"/>
            <w:noWrap w:val="0"/>
            <w:vAlign w:val="center"/>
          </w:tcPr>
          <w:p w14:paraId="4096B88C">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r>
      <w:tr w14:paraId="6D30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noWrap w:val="0"/>
            <w:vAlign w:val="center"/>
          </w:tcPr>
          <w:p w14:paraId="0597F358">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836" w:type="pct"/>
            <w:noWrap w:val="0"/>
            <w:vAlign w:val="center"/>
          </w:tcPr>
          <w:p w14:paraId="2E85C41A">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78B31671">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01" w:type="pct"/>
            <w:noWrap w:val="0"/>
            <w:vAlign w:val="center"/>
          </w:tcPr>
          <w:p w14:paraId="4837DE69">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928" w:type="pct"/>
            <w:noWrap w:val="0"/>
            <w:vAlign w:val="center"/>
          </w:tcPr>
          <w:p w14:paraId="2A7B1A43">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57623F2C">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6FC82354">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21" w:type="pct"/>
            <w:noWrap w:val="0"/>
            <w:vAlign w:val="center"/>
          </w:tcPr>
          <w:p w14:paraId="6329D984">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r>
      <w:tr w14:paraId="0E59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noWrap w:val="0"/>
            <w:vAlign w:val="center"/>
          </w:tcPr>
          <w:p w14:paraId="7960C2E1">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836" w:type="pct"/>
            <w:noWrap w:val="0"/>
            <w:vAlign w:val="center"/>
          </w:tcPr>
          <w:p w14:paraId="3369010F">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5F22AE84">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01" w:type="pct"/>
            <w:noWrap w:val="0"/>
            <w:vAlign w:val="center"/>
          </w:tcPr>
          <w:p w14:paraId="33D354FC">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928" w:type="pct"/>
            <w:noWrap w:val="0"/>
            <w:vAlign w:val="center"/>
          </w:tcPr>
          <w:p w14:paraId="36A556AC">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02784E59">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2EE8DD18">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21" w:type="pct"/>
            <w:noWrap w:val="0"/>
            <w:vAlign w:val="center"/>
          </w:tcPr>
          <w:p w14:paraId="3E430C2B">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r>
      <w:tr w14:paraId="231E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noWrap w:val="0"/>
            <w:vAlign w:val="center"/>
          </w:tcPr>
          <w:p w14:paraId="49C81F60">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836" w:type="pct"/>
            <w:noWrap w:val="0"/>
            <w:vAlign w:val="center"/>
          </w:tcPr>
          <w:p w14:paraId="23AB2947">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253D310C">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01" w:type="pct"/>
            <w:noWrap w:val="0"/>
            <w:vAlign w:val="center"/>
          </w:tcPr>
          <w:p w14:paraId="722499C7">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928" w:type="pct"/>
            <w:noWrap w:val="0"/>
            <w:vAlign w:val="center"/>
          </w:tcPr>
          <w:p w14:paraId="0A13D62B">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14BB5C05">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250123F0">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21" w:type="pct"/>
            <w:noWrap w:val="0"/>
            <w:vAlign w:val="center"/>
          </w:tcPr>
          <w:p w14:paraId="1C62E901">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r>
      <w:tr w14:paraId="298B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noWrap w:val="0"/>
            <w:vAlign w:val="center"/>
          </w:tcPr>
          <w:p w14:paraId="559BE473">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836" w:type="pct"/>
            <w:noWrap w:val="0"/>
            <w:vAlign w:val="center"/>
          </w:tcPr>
          <w:p w14:paraId="780B3B59">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383AF950">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01" w:type="pct"/>
            <w:noWrap w:val="0"/>
            <w:vAlign w:val="center"/>
          </w:tcPr>
          <w:p w14:paraId="7D98391B">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928" w:type="pct"/>
            <w:noWrap w:val="0"/>
            <w:vAlign w:val="center"/>
          </w:tcPr>
          <w:p w14:paraId="2B903BD3">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4152F6AB">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605B7839">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21" w:type="pct"/>
            <w:noWrap w:val="0"/>
            <w:vAlign w:val="center"/>
          </w:tcPr>
          <w:p w14:paraId="0E511116">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r>
      <w:tr w14:paraId="7D34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4" w:type="pct"/>
            <w:noWrap w:val="0"/>
            <w:vAlign w:val="center"/>
          </w:tcPr>
          <w:p w14:paraId="50A79745">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w:t>
            </w:r>
          </w:p>
        </w:tc>
        <w:tc>
          <w:tcPr>
            <w:tcW w:w="836" w:type="pct"/>
            <w:noWrap w:val="0"/>
            <w:vAlign w:val="center"/>
          </w:tcPr>
          <w:p w14:paraId="1DB8488C">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766DB995">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01" w:type="pct"/>
            <w:noWrap w:val="0"/>
            <w:vAlign w:val="center"/>
          </w:tcPr>
          <w:p w14:paraId="248FCA29">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928" w:type="pct"/>
            <w:noWrap w:val="0"/>
            <w:vAlign w:val="center"/>
          </w:tcPr>
          <w:p w14:paraId="3F18404C">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292CD16F">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85" w:type="pct"/>
            <w:noWrap w:val="0"/>
            <w:vAlign w:val="center"/>
          </w:tcPr>
          <w:p w14:paraId="4E7EF089">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c>
          <w:tcPr>
            <w:tcW w:w="521" w:type="pct"/>
            <w:noWrap w:val="0"/>
            <w:vAlign w:val="center"/>
          </w:tcPr>
          <w:p w14:paraId="09187406">
            <w:pPr>
              <w:adjustRightInd w:val="0"/>
              <w:snapToGrid w:val="0"/>
              <w:spacing w:line="480" w:lineRule="auto"/>
              <w:jc w:val="center"/>
              <w:rPr>
                <w:rFonts w:hint="eastAsia" w:asciiTheme="minorEastAsia" w:hAnsiTheme="minorEastAsia" w:eastAsiaTheme="minorEastAsia" w:cstheme="minorEastAsia"/>
                <w:color w:val="auto"/>
                <w:spacing w:val="20"/>
                <w:sz w:val="24"/>
                <w:szCs w:val="24"/>
                <w:highlight w:val="none"/>
              </w:rPr>
            </w:pPr>
          </w:p>
        </w:tc>
      </w:tr>
    </w:tbl>
    <w:p w14:paraId="2B791122">
      <w:pPr>
        <w:numPr>
          <w:ilvl w:val="0"/>
          <w:numId w:val="22"/>
        </w:numPr>
        <w:spacing w:line="360" w:lineRule="auto"/>
        <w:ind w:right="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如投标文件技术参数和需求各项完全响应招标文件技术要求，无任何偏离的，只需在序号1的说明项内填写“完全响应招标文件技术要求，无任何偏离。”</w:t>
      </w:r>
    </w:p>
    <w:p w14:paraId="3A53015A">
      <w:pPr>
        <w:numPr>
          <w:ilvl w:val="0"/>
          <w:numId w:val="22"/>
        </w:numPr>
        <w:spacing w:line="360" w:lineRule="auto"/>
        <w:ind w:right="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如有偏离，必须在偏离表中进行详细对比说明并注明正偏离和负偏离。</w:t>
      </w:r>
    </w:p>
    <w:p w14:paraId="19CC8A14">
      <w:pPr>
        <w:spacing w:line="360" w:lineRule="auto"/>
        <w:ind w:right="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、表格行数不够可增加。</w:t>
      </w:r>
    </w:p>
    <w:p w14:paraId="282E439F">
      <w:pPr>
        <w:jc w:val="center"/>
        <w:rPr>
          <w:rFonts w:hint="eastAsia" w:asciiTheme="minorEastAsia" w:hAnsiTheme="minorEastAsia" w:eastAsiaTheme="minorEastAsia" w:cstheme="minorEastAsia"/>
          <w:b/>
          <w:color w:val="auto"/>
          <w:kern w:val="0"/>
          <w:sz w:val="32"/>
          <w:szCs w:val="32"/>
        </w:rPr>
      </w:pPr>
    </w:p>
    <w:p w14:paraId="6E2F5694">
      <w:pPr>
        <w:jc w:val="center"/>
        <w:rPr>
          <w:rFonts w:hint="eastAsia" w:asciiTheme="minorEastAsia" w:hAnsiTheme="minorEastAsia" w:eastAsiaTheme="minorEastAsia" w:cstheme="minorEastAsia"/>
          <w:b/>
          <w:color w:val="auto"/>
          <w:kern w:val="0"/>
          <w:sz w:val="32"/>
          <w:szCs w:val="32"/>
        </w:rPr>
      </w:pPr>
    </w:p>
    <w:p w14:paraId="1188590B">
      <w:pPr>
        <w:jc w:val="cente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t>七、商务技术偏离表</w:t>
      </w:r>
    </w:p>
    <w:tbl>
      <w:tblPr>
        <w:tblStyle w:val="6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3304"/>
        <w:gridCol w:w="3182"/>
        <w:gridCol w:w="1145"/>
      </w:tblGrid>
      <w:tr w14:paraId="7F31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6" w:type="pct"/>
          </w:tcPr>
          <w:p w14:paraId="3F6162E9">
            <w:pPr>
              <w:widowControl w:val="0"/>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序号</w:t>
            </w:r>
          </w:p>
        </w:tc>
        <w:tc>
          <w:tcPr>
            <w:tcW w:w="1945" w:type="pct"/>
          </w:tcPr>
          <w:p w14:paraId="424B443F">
            <w:pPr>
              <w:widowControl w:val="0"/>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招标文件章节及具体内容</w:t>
            </w:r>
          </w:p>
        </w:tc>
        <w:tc>
          <w:tcPr>
            <w:tcW w:w="1873" w:type="pct"/>
          </w:tcPr>
          <w:p w14:paraId="49401136">
            <w:pPr>
              <w:widowControl w:val="0"/>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投标文件章节及具体内容</w:t>
            </w:r>
          </w:p>
        </w:tc>
        <w:tc>
          <w:tcPr>
            <w:tcW w:w="674" w:type="pct"/>
          </w:tcPr>
          <w:p w14:paraId="6A58BA0B">
            <w:pPr>
              <w:widowControl w:val="0"/>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偏离说明</w:t>
            </w:r>
          </w:p>
        </w:tc>
      </w:tr>
      <w:tr w14:paraId="7456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2C7D34AC">
            <w:pPr>
              <w:widowControl w:val="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p>
        </w:tc>
        <w:tc>
          <w:tcPr>
            <w:tcW w:w="1945" w:type="pct"/>
          </w:tcPr>
          <w:p w14:paraId="65B088D5">
            <w:pPr>
              <w:widowControl w:val="0"/>
              <w:jc w:val="center"/>
              <w:rPr>
                <w:rFonts w:hint="eastAsia" w:asciiTheme="minorEastAsia" w:hAnsiTheme="minorEastAsia" w:eastAsiaTheme="minorEastAsia" w:cstheme="minorEastAsia"/>
                <w:b/>
                <w:color w:val="auto"/>
                <w:kern w:val="0"/>
                <w:sz w:val="32"/>
                <w:szCs w:val="32"/>
              </w:rPr>
            </w:pPr>
          </w:p>
        </w:tc>
        <w:tc>
          <w:tcPr>
            <w:tcW w:w="1873" w:type="pct"/>
          </w:tcPr>
          <w:p w14:paraId="142C74A7">
            <w:pPr>
              <w:widowControl w:val="0"/>
              <w:jc w:val="center"/>
              <w:rPr>
                <w:rFonts w:hint="eastAsia" w:asciiTheme="minorEastAsia" w:hAnsiTheme="minorEastAsia" w:eastAsiaTheme="minorEastAsia" w:cstheme="minorEastAsia"/>
                <w:b/>
                <w:color w:val="auto"/>
                <w:kern w:val="0"/>
                <w:sz w:val="32"/>
                <w:szCs w:val="32"/>
              </w:rPr>
            </w:pPr>
          </w:p>
        </w:tc>
        <w:tc>
          <w:tcPr>
            <w:tcW w:w="674" w:type="pct"/>
          </w:tcPr>
          <w:p w14:paraId="14F2A4FF">
            <w:pPr>
              <w:widowControl w:val="0"/>
              <w:jc w:val="center"/>
              <w:rPr>
                <w:rFonts w:hint="eastAsia" w:asciiTheme="minorEastAsia" w:hAnsiTheme="minorEastAsia" w:eastAsiaTheme="minorEastAsia" w:cstheme="minorEastAsia"/>
                <w:b/>
                <w:color w:val="auto"/>
                <w:kern w:val="0"/>
                <w:sz w:val="32"/>
                <w:szCs w:val="32"/>
              </w:rPr>
            </w:pPr>
          </w:p>
        </w:tc>
      </w:tr>
      <w:tr w14:paraId="46DB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58C6C22B">
            <w:pPr>
              <w:widowControl w:val="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w:t>
            </w:r>
          </w:p>
        </w:tc>
        <w:tc>
          <w:tcPr>
            <w:tcW w:w="1945" w:type="pct"/>
          </w:tcPr>
          <w:p w14:paraId="4CAE8936">
            <w:pPr>
              <w:widowControl w:val="0"/>
              <w:jc w:val="center"/>
              <w:rPr>
                <w:rFonts w:hint="eastAsia" w:asciiTheme="minorEastAsia" w:hAnsiTheme="minorEastAsia" w:eastAsiaTheme="minorEastAsia" w:cstheme="minorEastAsia"/>
                <w:b/>
                <w:color w:val="auto"/>
                <w:kern w:val="0"/>
                <w:sz w:val="32"/>
                <w:szCs w:val="32"/>
              </w:rPr>
            </w:pPr>
          </w:p>
        </w:tc>
        <w:tc>
          <w:tcPr>
            <w:tcW w:w="1873" w:type="pct"/>
          </w:tcPr>
          <w:p w14:paraId="53408974">
            <w:pPr>
              <w:widowControl w:val="0"/>
              <w:jc w:val="center"/>
              <w:rPr>
                <w:rFonts w:hint="eastAsia" w:asciiTheme="minorEastAsia" w:hAnsiTheme="minorEastAsia" w:eastAsiaTheme="minorEastAsia" w:cstheme="minorEastAsia"/>
                <w:b/>
                <w:color w:val="auto"/>
                <w:kern w:val="0"/>
                <w:sz w:val="32"/>
                <w:szCs w:val="32"/>
              </w:rPr>
            </w:pPr>
          </w:p>
        </w:tc>
        <w:tc>
          <w:tcPr>
            <w:tcW w:w="674" w:type="pct"/>
          </w:tcPr>
          <w:p w14:paraId="63A3BC53">
            <w:pPr>
              <w:widowControl w:val="0"/>
              <w:jc w:val="center"/>
              <w:rPr>
                <w:rFonts w:hint="eastAsia" w:asciiTheme="minorEastAsia" w:hAnsiTheme="minorEastAsia" w:eastAsiaTheme="minorEastAsia" w:cstheme="minorEastAsia"/>
                <w:b/>
                <w:color w:val="auto"/>
                <w:kern w:val="0"/>
                <w:sz w:val="32"/>
                <w:szCs w:val="32"/>
              </w:rPr>
            </w:pPr>
          </w:p>
        </w:tc>
      </w:tr>
      <w:tr w14:paraId="595B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2600D5A1">
            <w:pPr>
              <w:widowControl w:val="0"/>
              <w:jc w:val="cente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w:t>
            </w:r>
          </w:p>
        </w:tc>
        <w:tc>
          <w:tcPr>
            <w:tcW w:w="1945" w:type="pct"/>
          </w:tcPr>
          <w:p w14:paraId="32080BDF">
            <w:pPr>
              <w:widowControl w:val="0"/>
              <w:jc w:val="center"/>
              <w:rPr>
                <w:rFonts w:hint="eastAsia" w:asciiTheme="minorEastAsia" w:hAnsiTheme="minorEastAsia" w:eastAsiaTheme="minorEastAsia" w:cstheme="minorEastAsia"/>
                <w:b/>
                <w:color w:val="auto"/>
                <w:kern w:val="0"/>
                <w:sz w:val="32"/>
                <w:szCs w:val="32"/>
              </w:rPr>
            </w:pPr>
          </w:p>
        </w:tc>
        <w:tc>
          <w:tcPr>
            <w:tcW w:w="1873" w:type="pct"/>
          </w:tcPr>
          <w:p w14:paraId="3FC59D20">
            <w:pPr>
              <w:widowControl w:val="0"/>
              <w:jc w:val="center"/>
              <w:rPr>
                <w:rFonts w:hint="eastAsia" w:asciiTheme="minorEastAsia" w:hAnsiTheme="minorEastAsia" w:eastAsiaTheme="minorEastAsia" w:cstheme="minorEastAsia"/>
                <w:b/>
                <w:color w:val="auto"/>
                <w:kern w:val="0"/>
                <w:sz w:val="32"/>
                <w:szCs w:val="32"/>
              </w:rPr>
            </w:pPr>
          </w:p>
        </w:tc>
        <w:tc>
          <w:tcPr>
            <w:tcW w:w="674" w:type="pct"/>
          </w:tcPr>
          <w:p w14:paraId="3B2AA789">
            <w:pPr>
              <w:widowControl w:val="0"/>
              <w:jc w:val="center"/>
              <w:rPr>
                <w:rFonts w:hint="eastAsia" w:asciiTheme="minorEastAsia" w:hAnsiTheme="minorEastAsia" w:eastAsiaTheme="minorEastAsia" w:cstheme="minorEastAsia"/>
                <w:b/>
                <w:color w:val="auto"/>
                <w:kern w:val="0"/>
                <w:sz w:val="32"/>
                <w:szCs w:val="32"/>
              </w:rPr>
            </w:pPr>
          </w:p>
        </w:tc>
      </w:tr>
    </w:tbl>
    <w:p w14:paraId="0CAB761B">
      <w:pPr>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投标人保证：除商务技术偏离表列出的偏离外，投标人响应招标文件的全部要求</w:t>
      </w:r>
    </w:p>
    <w:p w14:paraId="5D7A286C">
      <w:pPr>
        <w:jc w:val="center"/>
        <w:rPr>
          <w:rFonts w:hint="eastAsia" w:asciiTheme="minorEastAsia" w:hAnsiTheme="minorEastAsia" w:eastAsiaTheme="minorEastAsia" w:cstheme="minorEastAsia"/>
          <w:b/>
          <w:color w:val="auto"/>
          <w:kern w:val="0"/>
          <w:sz w:val="32"/>
          <w:szCs w:val="32"/>
        </w:rPr>
      </w:pPr>
    </w:p>
    <w:p w14:paraId="02D1737C">
      <w:pPr>
        <w:spacing w:line="360" w:lineRule="auto"/>
        <w:ind w:right="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注：按本格式和要求提供。</w:t>
      </w:r>
    </w:p>
    <w:p w14:paraId="1DABB007">
      <w:pPr>
        <w:spacing w:line="360" w:lineRule="auto"/>
        <w:jc w:val="center"/>
        <w:rPr>
          <w:rFonts w:hint="eastAsia" w:asciiTheme="minorEastAsia" w:hAnsiTheme="minorEastAsia" w:eastAsiaTheme="minorEastAsia" w:cstheme="minorEastAsia"/>
          <w:b/>
          <w:color w:val="auto"/>
          <w:sz w:val="48"/>
          <w:szCs w:val="48"/>
        </w:rPr>
      </w:pPr>
      <w:r>
        <w:rPr>
          <w:rFonts w:hint="eastAsia" w:asciiTheme="minorEastAsia" w:hAnsiTheme="minorEastAsia" w:eastAsiaTheme="minorEastAsia" w:cstheme="minorEastAsia"/>
          <w:b/>
          <w:color w:val="auto"/>
          <w:kern w:val="0"/>
          <w:sz w:val="32"/>
          <w:szCs w:val="32"/>
        </w:rPr>
        <w:t>八、备品备件清单（若有）</w:t>
      </w:r>
    </w:p>
    <w:tbl>
      <w:tblPr>
        <w:tblStyle w:val="65"/>
        <w:tblpPr w:leftFromText="180" w:rightFromText="180" w:vertAnchor="text" w:tblpY="1"/>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88"/>
        <w:gridCol w:w="1994"/>
        <w:gridCol w:w="2260"/>
        <w:gridCol w:w="833"/>
        <w:gridCol w:w="1680"/>
      </w:tblGrid>
      <w:tr w14:paraId="3B03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23" w:type="dxa"/>
            <w:tcBorders>
              <w:top w:val="single" w:color="auto" w:sz="6" w:space="0"/>
              <w:left w:val="single" w:color="auto" w:sz="6" w:space="0"/>
              <w:bottom w:val="single" w:color="auto" w:sz="6" w:space="0"/>
              <w:right w:val="single" w:color="auto" w:sz="4" w:space="0"/>
            </w:tcBorders>
            <w:vAlign w:val="center"/>
          </w:tcPr>
          <w:p w14:paraId="353CCFAA">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名称</w:t>
            </w:r>
          </w:p>
        </w:tc>
        <w:tc>
          <w:tcPr>
            <w:tcW w:w="1288" w:type="dxa"/>
            <w:tcBorders>
              <w:top w:val="single" w:color="auto" w:sz="6" w:space="0"/>
              <w:left w:val="single" w:color="auto" w:sz="4" w:space="0"/>
              <w:bottom w:val="single" w:color="auto" w:sz="6" w:space="0"/>
              <w:right w:val="single" w:color="auto" w:sz="6" w:space="0"/>
            </w:tcBorders>
            <w:vAlign w:val="center"/>
          </w:tcPr>
          <w:p w14:paraId="70204BFC">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品牌</w:t>
            </w:r>
          </w:p>
        </w:tc>
        <w:tc>
          <w:tcPr>
            <w:tcW w:w="1994" w:type="dxa"/>
            <w:tcBorders>
              <w:top w:val="single" w:color="auto" w:sz="6" w:space="0"/>
              <w:left w:val="single" w:color="auto" w:sz="6" w:space="0"/>
              <w:bottom w:val="single" w:color="auto" w:sz="6" w:space="0"/>
              <w:right w:val="single" w:color="auto" w:sz="4" w:space="0"/>
            </w:tcBorders>
            <w:vAlign w:val="center"/>
          </w:tcPr>
          <w:p w14:paraId="1170A718">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制造厂/原产地</w:t>
            </w:r>
          </w:p>
        </w:tc>
        <w:tc>
          <w:tcPr>
            <w:tcW w:w="2260" w:type="dxa"/>
            <w:tcBorders>
              <w:top w:val="single" w:color="auto" w:sz="6" w:space="0"/>
              <w:left w:val="single" w:color="auto" w:sz="4" w:space="0"/>
              <w:bottom w:val="single" w:color="auto" w:sz="6" w:space="0"/>
              <w:right w:val="single" w:color="auto" w:sz="6" w:space="0"/>
            </w:tcBorders>
            <w:vAlign w:val="center"/>
          </w:tcPr>
          <w:p w14:paraId="3AF77EC7">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规格型号</w:t>
            </w:r>
          </w:p>
        </w:tc>
        <w:tc>
          <w:tcPr>
            <w:tcW w:w="833" w:type="dxa"/>
            <w:tcBorders>
              <w:top w:val="single" w:color="auto" w:sz="6" w:space="0"/>
              <w:left w:val="single" w:color="auto" w:sz="6" w:space="0"/>
              <w:bottom w:val="single" w:color="auto" w:sz="4" w:space="0"/>
              <w:right w:val="single" w:color="auto" w:sz="4" w:space="0"/>
            </w:tcBorders>
            <w:vAlign w:val="center"/>
          </w:tcPr>
          <w:p w14:paraId="22C2D512">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单位</w:t>
            </w:r>
          </w:p>
        </w:tc>
        <w:tc>
          <w:tcPr>
            <w:tcW w:w="1680" w:type="dxa"/>
            <w:tcBorders>
              <w:top w:val="single" w:color="auto" w:sz="6" w:space="0"/>
              <w:left w:val="single" w:color="auto" w:sz="4" w:space="0"/>
              <w:bottom w:val="single" w:color="auto" w:sz="4" w:space="0"/>
              <w:right w:val="single" w:color="auto" w:sz="6" w:space="0"/>
            </w:tcBorders>
            <w:vAlign w:val="center"/>
          </w:tcPr>
          <w:p w14:paraId="5D9421F1">
            <w:pPr>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单价（元）</w:t>
            </w:r>
          </w:p>
        </w:tc>
      </w:tr>
      <w:tr w14:paraId="04F4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723" w:type="dxa"/>
            <w:tcBorders>
              <w:top w:val="single" w:color="auto" w:sz="6" w:space="0"/>
              <w:left w:val="single" w:color="auto" w:sz="6" w:space="0"/>
              <w:bottom w:val="single" w:color="auto" w:sz="6" w:space="0"/>
              <w:right w:val="single" w:color="auto" w:sz="4" w:space="0"/>
            </w:tcBorders>
            <w:vAlign w:val="center"/>
          </w:tcPr>
          <w:p w14:paraId="078C9C82">
            <w:pPr>
              <w:jc w:val="center"/>
              <w:rPr>
                <w:rFonts w:hint="eastAsia" w:asciiTheme="minorEastAsia" w:hAnsiTheme="minorEastAsia" w:eastAsiaTheme="minorEastAsia" w:cstheme="minorEastAsia"/>
                <w:color w:val="auto"/>
              </w:rPr>
            </w:pPr>
          </w:p>
        </w:tc>
        <w:tc>
          <w:tcPr>
            <w:tcW w:w="1288" w:type="dxa"/>
            <w:tcBorders>
              <w:top w:val="single" w:color="auto" w:sz="6" w:space="0"/>
              <w:left w:val="single" w:color="auto" w:sz="4" w:space="0"/>
              <w:bottom w:val="single" w:color="auto" w:sz="6" w:space="0"/>
              <w:right w:val="single" w:color="auto" w:sz="6" w:space="0"/>
            </w:tcBorders>
            <w:vAlign w:val="center"/>
          </w:tcPr>
          <w:p w14:paraId="0B6C3F5E">
            <w:pPr>
              <w:jc w:val="center"/>
              <w:rPr>
                <w:rFonts w:hint="eastAsia" w:asciiTheme="minorEastAsia" w:hAnsiTheme="minorEastAsia" w:eastAsiaTheme="minorEastAsia" w:cstheme="minorEastAsia"/>
                <w:color w:val="auto"/>
              </w:rPr>
            </w:pPr>
          </w:p>
        </w:tc>
        <w:tc>
          <w:tcPr>
            <w:tcW w:w="1994" w:type="dxa"/>
            <w:tcBorders>
              <w:top w:val="single" w:color="auto" w:sz="6" w:space="0"/>
              <w:left w:val="single" w:color="auto" w:sz="6" w:space="0"/>
              <w:bottom w:val="single" w:color="auto" w:sz="6" w:space="0"/>
              <w:right w:val="single" w:color="auto" w:sz="4" w:space="0"/>
            </w:tcBorders>
            <w:vAlign w:val="center"/>
          </w:tcPr>
          <w:p w14:paraId="13184371">
            <w:pPr>
              <w:jc w:val="center"/>
              <w:rPr>
                <w:rFonts w:hint="eastAsia" w:asciiTheme="minorEastAsia" w:hAnsiTheme="minorEastAsia" w:eastAsiaTheme="minorEastAsia" w:cstheme="minorEastAsia"/>
                <w:color w:val="auto"/>
              </w:rPr>
            </w:pPr>
          </w:p>
        </w:tc>
        <w:tc>
          <w:tcPr>
            <w:tcW w:w="2260" w:type="dxa"/>
            <w:tcBorders>
              <w:top w:val="single" w:color="auto" w:sz="6" w:space="0"/>
              <w:left w:val="single" w:color="auto" w:sz="4" w:space="0"/>
              <w:bottom w:val="single" w:color="auto" w:sz="6" w:space="0"/>
              <w:right w:val="single" w:color="auto" w:sz="6" w:space="0"/>
            </w:tcBorders>
            <w:vAlign w:val="center"/>
          </w:tcPr>
          <w:p w14:paraId="1ED7E93A">
            <w:pPr>
              <w:jc w:val="center"/>
              <w:rPr>
                <w:rFonts w:hint="eastAsia" w:asciiTheme="minorEastAsia" w:hAnsiTheme="minorEastAsia" w:eastAsiaTheme="minorEastAsia" w:cstheme="minorEastAsia"/>
                <w:color w:val="auto"/>
              </w:rPr>
            </w:pPr>
          </w:p>
        </w:tc>
        <w:tc>
          <w:tcPr>
            <w:tcW w:w="833" w:type="dxa"/>
            <w:tcBorders>
              <w:top w:val="single" w:color="auto" w:sz="6" w:space="0"/>
              <w:left w:val="single" w:color="auto" w:sz="6" w:space="0"/>
              <w:bottom w:val="single" w:color="auto" w:sz="6" w:space="0"/>
              <w:right w:val="single" w:color="auto" w:sz="4" w:space="0"/>
            </w:tcBorders>
            <w:vAlign w:val="center"/>
          </w:tcPr>
          <w:p w14:paraId="139718B4">
            <w:pPr>
              <w:jc w:val="center"/>
              <w:rPr>
                <w:rFonts w:hint="eastAsia" w:asciiTheme="minorEastAsia" w:hAnsiTheme="minorEastAsia" w:eastAsiaTheme="minorEastAsia" w:cstheme="minorEastAsia"/>
                <w:color w:val="auto"/>
              </w:rPr>
            </w:pPr>
          </w:p>
        </w:tc>
        <w:tc>
          <w:tcPr>
            <w:tcW w:w="1680" w:type="dxa"/>
            <w:tcBorders>
              <w:top w:val="single" w:color="auto" w:sz="6" w:space="0"/>
              <w:left w:val="single" w:color="auto" w:sz="4" w:space="0"/>
              <w:bottom w:val="single" w:color="auto" w:sz="6" w:space="0"/>
              <w:right w:val="single" w:color="auto" w:sz="6" w:space="0"/>
            </w:tcBorders>
            <w:vAlign w:val="center"/>
          </w:tcPr>
          <w:p w14:paraId="6A681AE5">
            <w:pPr>
              <w:jc w:val="center"/>
              <w:rPr>
                <w:rFonts w:hint="eastAsia" w:asciiTheme="minorEastAsia" w:hAnsiTheme="minorEastAsia" w:eastAsiaTheme="minorEastAsia" w:cstheme="minorEastAsia"/>
                <w:color w:val="auto"/>
              </w:rPr>
            </w:pPr>
          </w:p>
        </w:tc>
      </w:tr>
      <w:tr w14:paraId="0697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723" w:type="dxa"/>
            <w:tcBorders>
              <w:top w:val="single" w:color="auto" w:sz="6" w:space="0"/>
              <w:left w:val="single" w:color="auto" w:sz="6" w:space="0"/>
              <w:bottom w:val="single" w:color="auto" w:sz="6" w:space="0"/>
              <w:right w:val="single" w:color="auto" w:sz="4" w:space="0"/>
            </w:tcBorders>
            <w:vAlign w:val="center"/>
          </w:tcPr>
          <w:p w14:paraId="7F8B3621">
            <w:pPr>
              <w:jc w:val="center"/>
              <w:rPr>
                <w:rFonts w:hint="eastAsia" w:asciiTheme="minorEastAsia" w:hAnsiTheme="minorEastAsia" w:eastAsiaTheme="minorEastAsia" w:cstheme="minorEastAsia"/>
                <w:color w:val="auto"/>
              </w:rPr>
            </w:pPr>
          </w:p>
        </w:tc>
        <w:tc>
          <w:tcPr>
            <w:tcW w:w="1288" w:type="dxa"/>
            <w:tcBorders>
              <w:top w:val="single" w:color="auto" w:sz="6" w:space="0"/>
              <w:left w:val="single" w:color="auto" w:sz="4" w:space="0"/>
              <w:bottom w:val="single" w:color="auto" w:sz="6" w:space="0"/>
              <w:right w:val="single" w:color="auto" w:sz="6" w:space="0"/>
            </w:tcBorders>
            <w:vAlign w:val="center"/>
          </w:tcPr>
          <w:p w14:paraId="32C43FA0">
            <w:pPr>
              <w:jc w:val="center"/>
              <w:rPr>
                <w:rFonts w:hint="eastAsia" w:asciiTheme="minorEastAsia" w:hAnsiTheme="minorEastAsia" w:eastAsiaTheme="minorEastAsia" w:cstheme="minorEastAsia"/>
                <w:color w:val="auto"/>
              </w:rPr>
            </w:pPr>
          </w:p>
        </w:tc>
        <w:tc>
          <w:tcPr>
            <w:tcW w:w="1994" w:type="dxa"/>
            <w:tcBorders>
              <w:top w:val="single" w:color="auto" w:sz="6" w:space="0"/>
              <w:left w:val="single" w:color="auto" w:sz="6" w:space="0"/>
              <w:bottom w:val="single" w:color="auto" w:sz="6" w:space="0"/>
              <w:right w:val="single" w:color="auto" w:sz="4" w:space="0"/>
            </w:tcBorders>
            <w:vAlign w:val="center"/>
          </w:tcPr>
          <w:p w14:paraId="2C18B007">
            <w:pPr>
              <w:jc w:val="center"/>
              <w:rPr>
                <w:rFonts w:hint="eastAsia" w:asciiTheme="minorEastAsia" w:hAnsiTheme="minorEastAsia" w:eastAsiaTheme="minorEastAsia" w:cstheme="minorEastAsia"/>
                <w:color w:val="auto"/>
              </w:rPr>
            </w:pPr>
          </w:p>
        </w:tc>
        <w:tc>
          <w:tcPr>
            <w:tcW w:w="2260" w:type="dxa"/>
            <w:tcBorders>
              <w:top w:val="single" w:color="auto" w:sz="6" w:space="0"/>
              <w:left w:val="single" w:color="auto" w:sz="4" w:space="0"/>
              <w:bottom w:val="single" w:color="auto" w:sz="6" w:space="0"/>
              <w:right w:val="single" w:color="auto" w:sz="6" w:space="0"/>
            </w:tcBorders>
            <w:vAlign w:val="center"/>
          </w:tcPr>
          <w:p w14:paraId="27D02EEC">
            <w:pPr>
              <w:jc w:val="center"/>
              <w:rPr>
                <w:rFonts w:hint="eastAsia" w:asciiTheme="minorEastAsia" w:hAnsiTheme="minorEastAsia" w:eastAsiaTheme="minorEastAsia" w:cstheme="minorEastAsia"/>
                <w:color w:val="auto"/>
              </w:rPr>
            </w:pPr>
          </w:p>
        </w:tc>
        <w:tc>
          <w:tcPr>
            <w:tcW w:w="833" w:type="dxa"/>
            <w:tcBorders>
              <w:top w:val="single" w:color="auto" w:sz="6" w:space="0"/>
              <w:left w:val="single" w:color="auto" w:sz="6" w:space="0"/>
              <w:bottom w:val="single" w:color="auto" w:sz="6" w:space="0"/>
              <w:right w:val="single" w:color="auto" w:sz="4" w:space="0"/>
            </w:tcBorders>
            <w:vAlign w:val="center"/>
          </w:tcPr>
          <w:p w14:paraId="0FD7B09D">
            <w:pPr>
              <w:jc w:val="center"/>
              <w:rPr>
                <w:rFonts w:hint="eastAsia" w:asciiTheme="minorEastAsia" w:hAnsiTheme="minorEastAsia" w:eastAsiaTheme="minorEastAsia" w:cstheme="minorEastAsia"/>
                <w:color w:val="auto"/>
              </w:rPr>
            </w:pPr>
          </w:p>
        </w:tc>
        <w:tc>
          <w:tcPr>
            <w:tcW w:w="1680" w:type="dxa"/>
            <w:tcBorders>
              <w:top w:val="single" w:color="auto" w:sz="6" w:space="0"/>
              <w:left w:val="single" w:color="auto" w:sz="4" w:space="0"/>
              <w:bottom w:val="single" w:color="auto" w:sz="6" w:space="0"/>
              <w:right w:val="single" w:color="auto" w:sz="6" w:space="0"/>
            </w:tcBorders>
            <w:vAlign w:val="center"/>
          </w:tcPr>
          <w:p w14:paraId="2BAAC96D">
            <w:pPr>
              <w:jc w:val="center"/>
              <w:rPr>
                <w:rFonts w:hint="eastAsia" w:asciiTheme="minorEastAsia" w:hAnsiTheme="minorEastAsia" w:eastAsiaTheme="minorEastAsia" w:cstheme="minorEastAsia"/>
                <w:color w:val="auto"/>
              </w:rPr>
            </w:pPr>
          </w:p>
        </w:tc>
      </w:tr>
      <w:tr w14:paraId="1613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723" w:type="dxa"/>
            <w:tcBorders>
              <w:top w:val="single" w:color="auto" w:sz="6" w:space="0"/>
              <w:left w:val="single" w:color="auto" w:sz="6" w:space="0"/>
              <w:bottom w:val="single" w:color="auto" w:sz="6" w:space="0"/>
              <w:right w:val="single" w:color="auto" w:sz="4" w:space="0"/>
            </w:tcBorders>
            <w:vAlign w:val="center"/>
          </w:tcPr>
          <w:p w14:paraId="68922E64">
            <w:pPr>
              <w:jc w:val="center"/>
              <w:rPr>
                <w:rFonts w:hint="eastAsia" w:asciiTheme="minorEastAsia" w:hAnsiTheme="minorEastAsia" w:eastAsiaTheme="minorEastAsia" w:cstheme="minorEastAsia"/>
                <w:color w:val="auto"/>
              </w:rPr>
            </w:pPr>
          </w:p>
        </w:tc>
        <w:tc>
          <w:tcPr>
            <w:tcW w:w="1288" w:type="dxa"/>
            <w:tcBorders>
              <w:top w:val="single" w:color="auto" w:sz="6" w:space="0"/>
              <w:left w:val="single" w:color="auto" w:sz="4" w:space="0"/>
              <w:bottom w:val="single" w:color="auto" w:sz="6" w:space="0"/>
              <w:right w:val="single" w:color="auto" w:sz="6" w:space="0"/>
            </w:tcBorders>
            <w:vAlign w:val="center"/>
          </w:tcPr>
          <w:p w14:paraId="0147E927">
            <w:pPr>
              <w:jc w:val="center"/>
              <w:rPr>
                <w:rFonts w:hint="eastAsia" w:asciiTheme="minorEastAsia" w:hAnsiTheme="minorEastAsia" w:eastAsiaTheme="minorEastAsia" w:cstheme="minorEastAsia"/>
                <w:color w:val="auto"/>
              </w:rPr>
            </w:pPr>
          </w:p>
        </w:tc>
        <w:tc>
          <w:tcPr>
            <w:tcW w:w="1994" w:type="dxa"/>
            <w:tcBorders>
              <w:top w:val="single" w:color="auto" w:sz="6" w:space="0"/>
              <w:left w:val="single" w:color="auto" w:sz="6" w:space="0"/>
              <w:bottom w:val="single" w:color="auto" w:sz="6" w:space="0"/>
              <w:right w:val="single" w:color="auto" w:sz="4" w:space="0"/>
            </w:tcBorders>
            <w:vAlign w:val="center"/>
          </w:tcPr>
          <w:p w14:paraId="6C75F910">
            <w:pPr>
              <w:jc w:val="center"/>
              <w:rPr>
                <w:rFonts w:hint="eastAsia" w:asciiTheme="minorEastAsia" w:hAnsiTheme="minorEastAsia" w:eastAsiaTheme="minorEastAsia" w:cstheme="minorEastAsia"/>
                <w:color w:val="auto"/>
              </w:rPr>
            </w:pPr>
          </w:p>
        </w:tc>
        <w:tc>
          <w:tcPr>
            <w:tcW w:w="2260" w:type="dxa"/>
            <w:tcBorders>
              <w:top w:val="single" w:color="auto" w:sz="6" w:space="0"/>
              <w:left w:val="single" w:color="auto" w:sz="4" w:space="0"/>
              <w:bottom w:val="single" w:color="auto" w:sz="6" w:space="0"/>
              <w:right w:val="single" w:color="auto" w:sz="6" w:space="0"/>
            </w:tcBorders>
            <w:vAlign w:val="center"/>
          </w:tcPr>
          <w:p w14:paraId="3844B575">
            <w:pPr>
              <w:jc w:val="center"/>
              <w:rPr>
                <w:rFonts w:hint="eastAsia" w:asciiTheme="minorEastAsia" w:hAnsiTheme="minorEastAsia" w:eastAsiaTheme="minorEastAsia" w:cstheme="minorEastAsia"/>
                <w:color w:val="auto"/>
              </w:rPr>
            </w:pPr>
          </w:p>
        </w:tc>
        <w:tc>
          <w:tcPr>
            <w:tcW w:w="833" w:type="dxa"/>
            <w:tcBorders>
              <w:top w:val="single" w:color="auto" w:sz="6" w:space="0"/>
              <w:left w:val="single" w:color="auto" w:sz="6" w:space="0"/>
              <w:bottom w:val="single" w:color="auto" w:sz="6" w:space="0"/>
              <w:right w:val="single" w:color="auto" w:sz="4" w:space="0"/>
            </w:tcBorders>
            <w:vAlign w:val="center"/>
          </w:tcPr>
          <w:p w14:paraId="4BF0E8D8">
            <w:pPr>
              <w:jc w:val="center"/>
              <w:rPr>
                <w:rFonts w:hint="eastAsia" w:asciiTheme="minorEastAsia" w:hAnsiTheme="minorEastAsia" w:eastAsiaTheme="minorEastAsia" w:cstheme="minorEastAsia"/>
                <w:color w:val="auto"/>
              </w:rPr>
            </w:pPr>
          </w:p>
        </w:tc>
        <w:tc>
          <w:tcPr>
            <w:tcW w:w="1680" w:type="dxa"/>
            <w:tcBorders>
              <w:top w:val="single" w:color="auto" w:sz="6" w:space="0"/>
              <w:left w:val="single" w:color="auto" w:sz="4" w:space="0"/>
              <w:bottom w:val="single" w:color="auto" w:sz="6" w:space="0"/>
              <w:right w:val="single" w:color="auto" w:sz="6" w:space="0"/>
            </w:tcBorders>
            <w:vAlign w:val="center"/>
          </w:tcPr>
          <w:p w14:paraId="1AEA6256">
            <w:pPr>
              <w:jc w:val="center"/>
              <w:rPr>
                <w:rFonts w:hint="eastAsia" w:asciiTheme="minorEastAsia" w:hAnsiTheme="minorEastAsia" w:eastAsiaTheme="minorEastAsia" w:cstheme="minorEastAsia"/>
                <w:color w:val="auto"/>
              </w:rPr>
            </w:pPr>
          </w:p>
        </w:tc>
      </w:tr>
      <w:tr w14:paraId="1FDB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723" w:type="dxa"/>
            <w:tcBorders>
              <w:top w:val="single" w:color="auto" w:sz="6" w:space="0"/>
              <w:left w:val="single" w:color="auto" w:sz="6" w:space="0"/>
              <w:bottom w:val="single" w:color="auto" w:sz="6" w:space="0"/>
              <w:right w:val="single" w:color="auto" w:sz="4" w:space="0"/>
            </w:tcBorders>
            <w:vAlign w:val="center"/>
          </w:tcPr>
          <w:p w14:paraId="106A78B9">
            <w:pPr>
              <w:jc w:val="center"/>
              <w:rPr>
                <w:rFonts w:hint="eastAsia" w:asciiTheme="minorEastAsia" w:hAnsiTheme="minorEastAsia" w:eastAsiaTheme="minorEastAsia" w:cstheme="minorEastAsia"/>
                <w:color w:val="auto"/>
              </w:rPr>
            </w:pPr>
          </w:p>
        </w:tc>
        <w:tc>
          <w:tcPr>
            <w:tcW w:w="1288" w:type="dxa"/>
            <w:tcBorders>
              <w:top w:val="single" w:color="auto" w:sz="6" w:space="0"/>
              <w:left w:val="single" w:color="auto" w:sz="4" w:space="0"/>
              <w:bottom w:val="single" w:color="auto" w:sz="6" w:space="0"/>
              <w:right w:val="single" w:color="auto" w:sz="6" w:space="0"/>
            </w:tcBorders>
            <w:vAlign w:val="center"/>
          </w:tcPr>
          <w:p w14:paraId="351614CD">
            <w:pPr>
              <w:jc w:val="center"/>
              <w:rPr>
                <w:rFonts w:hint="eastAsia" w:asciiTheme="minorEastAsia" w:hAnsiTheme="minorEastAsia" w:eastAsiaTheme="minorEastAsia" w:cstheme="minorEastAsia"/>
                <w:color w:val="auto"/>
              </w:rPr>
            </w:pPr>
          </w:p>
        </w:tc>
        <w:tc>
          <w:tcPr>
            <w:tcW w:w="1994" w:type="dxa"/>
            <w:tcBorders>
              <w:top w:val="single" w:color="auto" w:sz="6" w:space="0"/>
              <w:left w:val="single" w:color="auto" w:sz="6" w:space="0"/>
              <w:bottom w:val="single" w:color="auto" w:sz="6" w:space="0"/>
              <w:right w:val="single" w:color="auto" w:sz="4" w:space="0"/>
            </w:tcBorders>
            <w:vAlign w:val="center"/>
          </w:tcPr>
          <w:p w14:paraId="31B2D17C">
            <w:pPr>
              <w:jc w:val="center"/>
              <w:rPr>
                <w:rFonts w:hint="eastAsia" w:asciiTheme="minorEastAsia" w:hAnsiTheme="minorEastAsia" w:eastAsiaTheme="minorEastAsia" w:cstheme="minorEastAsia"/>
                <w:color w:val="auto"/>
              </w:rPr>
            </w:pPr>
          </w:p>
        </w:tc>
        <w:tc>
          <w:tcPr>
            <w:tcW w:w="2260" w:type="dxa"/>
            <w:tcBorders>
              <w:top w:val="single" w:color="auto" w:sz="6" w:space="0"/>
              <w:left w:val="single" w:color="auto" w:sz="4" w:space="0"/>
              <w:bottom w:val="single" w:color="auto" w:sz="6" w:space="0"/>
              <w:right w:val="single" w:color="auto" w:sz="6" w:space="0"/>
            </w:tcBorders>
            <w:vAlign w:val="center"/>
          </w:tcPr>
          <w:p w14:paraId="0B3AD76B">
            <w:pPr>
              <w:jc w:val="center"/>
              <w:rPr>
                <w:rFonts w:hint="eastAsia" w:asciiTheme="minorEastAsia" w:hAnsiTheme="minorEastAsia" w:eastAsiaTheme="minorEastAsia" w:cstheme="minorEastAsia"/>
                <w:color w:val="auto"/>
              </w:rPr>
            </w:pPr>
          </w:p>
        </w:tc>
        <w:tc>
          <w:tcPr>
            <w:tcW w:w="833" w:type="dxa"/>
            <w:tcBorders>
              <w:top w:val="single" w:color="auto" w:sz="6" w:space="0"/>
              <w:left w:val="single" w:color="auto" w:sz="6" w:space="0"/>
              <w:bottom w:val="single" w:color="auto" w:sz="6" w:space="0"/>
              <w:right w:val="single" w:color="auto" w:sz="4" w:space="0"/>
            </w:tcBorders>
            <w:vAlign w:val="center"/>
          </w:tcPr>
          <w:p w14:paraId="55F9B177">
            <w:pPr>
              <w:jc w:val="center"/>
              <w:rPr>
                <w:rFonts w:hint="eastAsia" w:asciiTheme="minorEastAsia" w:hAnsiTheme="minorEastAsia" w:eastAsiaTheme="minorEastAsia" w:cstheme="minorEastAsia"/>
                <w:color w:val="auto"/>
              </w:rPr>
            </w:pPr>
          </w:p>
        </w:tc>
        <w:tc>
          <w:tcPr>
            <w:tcW w:w="1680" w:type="dxa"/>
            <w:tcBorders>
              <w:top w:val="single" w:color="auto" w:sz="6" w:space="0"/>
              <w:left w:val="single" w:color="auto" w:sz="4" w:space="0"/>
              <w:bottom w:val="single" w:color="auto" w:sz="6" w:space="0"/>
              <w:right w:val="single" w:color="auto" w:sz="6" w:space="0"/>
            </w:tcBorders>
            <w:vAlign w:val="center"/>
          </w:tcPr>
          <w:p w14:paraId="55B3C504">
            <w:pPr>
              <w:jc w:val="center"/>
              <w:rPr>
                <w:rFonts w:hint="eastAsia" w:asciiTheme="minorEastAsia" w:hAnsiTheme="minorEastAsia" w:eastAsiaTheme="minorEastAsia" w:cstheme="minorEastAsia"/>
                <w:color w:val="auto"/>
              </w:rPr>
            </w:pPr>
          </w:p>
        </w:tc>
      </w:tr>
      <w:tr w14:paraId="3E48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723" w:type="dxa"/>
            <w:tcBorders>
              <w:top w:val="single" w:color="auto" w:sz="6" w:space="0"/>
              <w:left w:val="single" w:color="auto" w:sz="6" w:space="0"/>
              <w:bottom w:val="single" w:color="auto" w:sz="6" w:space="0"/>
              <w:right w:val="single" w:color="auto" w:sz="4" w:space="0"/>
            </w:tcBorders>
            <w:vAlign w:val="center"/>
          </w:tcPr>
          <w:p w14:paraId="12488A3F">
            <w:pPr>
              <w:jc w:val="center"/>
              <w:rPr>
                <w:rFonts w:hint="eastAsia" w:asciiTheme="minorEastAsia" w:hAnsiTheme="minorEastAsia" w:eastAsiaTheme="minorEastAsia" w:cstheme="minorEastAsia"/>
                <w:color w:val="auto"/>
              </w:rPr>
            </w:pPr>
          </w:p>
        </w:tc>
        <w:tc>
          <w:tcPr>
            <w:tcW w:w="1288" w:type="dxa"/>
            <w:tcBorders>
              <w:top w:val="single" w:color="auto" w:sz="6" w:space="0"/>
              <w:left w:val="single" w:color="auto" w:sz="4" w:space="0"/>
              <w:bottom w:val="single" w:color="auto" w:sz="6" w:space="0"/>
              <w:right w:val="single" w:color="auto" w:sz="6" w:space="0"/>
            </w:tcBorders>
            <w:vAlign w:val="center"/>
          </w:tcPr>
          <w:p w14:paraId="59051AC4">
            <w:pPr>
              <w:jc w:val="center"/>
              <w:rPr>
                <w:rFonts w:hint="eastAsia" w:asciiTheme="minorEastAsia" w:hAnsiTheme="minorEastAsia" w:eastAsiaTheme="minorEastAsia" w:cstheme="minorEastAsia"/>
                <w:color w:val="auto"/>
              </w:rPr>
            </w:pPr>
          </w:p>
        </w:tc>
        <w:tc>
          <w:tcPr>
            <w:tcW w:w="1994" w:type="dxa"/>
            <w:tcBorders>
              <w:top w:val="single" w:color="auto" w:sz="6" w:space="0"/>
              <w:left w:val="single" w:color="auto" w:sz="6" w:space="0"/>
              <w:bottom w:val="single" w:color="auto" w:sz="6" w:space="0"/>
              <w:right w:val="single" w:color="auto" w:sz="4" w:space="0"/>
            </w:tcBorders>
            <w:vAlign w:val="center"/>
          </w:tcPr>
          <w:p w14:paraId="0BC4F2C0">
            <w:pPr>
              <w:jc w:val="center"/>
              <w:rPr>
                <w:rFonts w:hint="eastAsia" w:asciiTheme="minorEastAsia" w:hAnsiTheme="minorEastAsia" w:eastAsiaTheme="minorEastAsia" w:cstheme="minorEastAsia"/>
                <w:color w:val="auto"/>
              </w:rPr>
            </w:pPr>
          </w:p>
        </w:tc>
        <w:tc>
          <w:tcPr>
            <w:tcW w:w="2260" w:type="dxa"/>
            <w:tcBorders>
              <w:top w:val="single" w:color="auto" w:sz="6" w:space="0"/>
              <w:left w:val="single" w:color="auto" w:sz="4" w:space="0"/>
              <w:bottom w:val="single" w:color="auto" w:sz="6" w:space="0"/>
              <w:right w:val="single" w:color="auto" w:sz="6" w:space="0"/>
            </w:tcBorders>
            <w:vAlign w:val="center"/>
          </w:tcPr>
          <w:p w14:paraId="79552CE2">
            <w:pPr>
              <w:jc w:val="center"/>
              <w:rPr>
                <w:rFonts w:hint="eastAsia" w:asciiTheme="minorEastAsia" w:hAnsiTheme="minorEastAsia" w:eastAsiaTheme="minorEastAsia" w:cstheme="minorEastAsia"/>
                <w:color w:val="auto"/>
              </w:rPr>
            </w:pPr>
          </w:p>
        </w:tc>
        <w:tc>
          <w:tcPr>
            <w:tcW w:w="833" w:type="dxa"/>
            <w:tcBorders>
              <w:top w:val="single" w:color="auto" w:sz="6" w:space="0"/>
              <w:left w:val="single" w:color="auto" w:sz="6" w:space="0"/>
              <w:bottom w:val="single" w:color="auto" w:sz="6" w:space="0"/>
              <w:right w:val="single" w:color="auto" w:sz="4" w:space="0"/>
            </w:tcBorders>
            <w:vAlign w:val="center"/>
          </w:tcPr>
          <w:p w14:paraId="51522DC7">
            <w:pPr>
              <w:jc w:val="center"/>
              <w:rPr>
                <w:rFonts w:hint="eastAsia" w:asciiTheme="minorEastAsia" w:hAnsiTheme="minorEastAsia" w:eastAsiaTheme="minorEastAsia" w:cstheme="minorEastAsia"/>
                <w:color w:val="auto"/>
              </w:rPr>
            </w:pPr>
          </w:p>
        </w:tc>
        <w:tc>
          <w:tcPr>
            <w:tcW w:w="1680" w:type="dxa"/>
            <w:tcBorders>
              <w:top w:val="single" w:color="auto" w:sz="6" w:space="0"/>
              <w:left w:val="single" w:color="auto" w:sz="4" w:space="0"/>
              <w:bottom w:val="single" w:color="auto" w:sz="6" w:space="0"/>
              <w:right w:val="single" w:color="auto" w:sz="6" w:space="0"/>
            </w:tcBorders>
            <w:vAlign w:val="center"/>
          </w:tcPr>
          <w:p w14:paraId="581490A8">
            <w:pPr>
              <w:jc w:val="center"/>
              <w:rPr>
                <w:rFonts w:hint="eastAsia" w:asciiTheme="minorEastAsia" w:hAnsiTheme="minorEastAsia" w:eastAsiaTheme="minorEastAsia" w:cstheme="minorEastAsia"/>
                <w:color w:val="auto"/>
              </w:rPr>
            </w:pPr>
          </w:p>
        </w:tc>
      </w:tr>
      <w:tr w14:paraId="652E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3" w:type="dxa"/>
            <w:tcBorders>
              <w:top w:val="single" w:color="auto" w:sz="6" w:space="0"/>
              <w:left w:val="single" w:color="auto" w:sz="6" w:space="0"/>
              <w:bottom w:val="single" w:color="auto" w:sz="6" w:space="0"/>
              <w:right w:val="single" w:color="auto" w:sz="4" w:space="0"/>
            </w:tcBorders>
            <w:vAlign w:val="center"/>
          </w:tcPr>
          <w:p w14:paraId="7405D195">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1288" w:type="dxa"/>
            <w:tcBorders>
              <w:top w:val="single" w:color="auto" w:sz="6" w:space="0"/>
              <w:left w:val="single" w:color="auto" w:sz="4" w:space="0"/>
              <w:bottom w:val="single" w:color="auto" w:sz="6" w:space="0"/>
              <w:right w:val="single" w:color="auto" w:sz="6" w:space="0"/>
            </w:tcBorders>
            <w:vAlign w:val="center"/>
          </w:tcPr>
          <w:p w14:paraId="067B2750">
            <w:pPr>
              <w:jc w:val="center"/>
              <w:rPr>
                <w:rFonts w:hint="eastAsia" w:asciiTheme="minorEastAsia" w:hAnsiTheme="minorEastAsia" w:eastAsiaTheme="minorEastAsia" w:cstheme="minorEastAsia"/>
                <w:color w:val="auto"/>
              </w:rPr>
            </w:pPr>
          </w:p>
        </w:tc>
        <w:tc>
          <w:tcPr>
            <w:tcW w:w="1994" w:type="dxa"/>
            <w:tcBorders>
              <w:top w:val="single" w:color="auto" w:sz="6" w:space="0"/>
              <w:left w:val="single" w:color="auto" w:sz="6" w:space="0"/>
              <w:bottom w:val="single" w:color="auto" w:sz="6" w:space="0"/>
              <w:right w:val="single" w:color="auto" w:sz="4" w:space="0"/>
            </w:tcBorders>
            <w:vAlign w:val="center"/>
          </w:tcPr>
          <w:p w14:paraId="4B9CA844">
            <w:pPr>
              <w:jc w:val="center"/>
              <w:rPr>
                <w:rFonts w:hint="eastAsia" w:asciiTheme="minorEastAsia" w:hAnsiTheme="minorEastAsia" w:eastAsiaTheme="minorEastAsia" w:cstheme="minorEastAsia"/>
                <w:color w:val="auto"/>
              </w:rPr>
            </w:pPr>
          </w:p>
        </w:tc>
        <w:tc>
          <w:tcPr>
            <w:tcW w:w="2260" w:type="dxa"/>
            <w:tcBorders>
              <w:top w:val="single" w:color="auto" w:sz="6" w:space="0"/>
              <w:left w:val="single" w:color="auto" w:sz="4" w:space="0"/>
              <w:bottom w:val="single" w:color="auto" w:sz="6" w:space="0"/>
              <w:right w:val="single" w:color="auto" w:sz="6" w:space="0"/>
            </w:tcBorders>
            <w:vAlign w:val="center"/>
          </w:tcPr>
          <w:p w14:paraId="2575D022">
            <w:pPr>
              <w:jc w:val="center"/>
              <w:rPr>
                <w:rFonts w:hint="eastAsia" w:asciiTheme="minorEastAsia" w:hAnsiTheme="minorEastAsia" w:eastAsiaTheme="minorEastAsia" w:cstheme="minorEastAsia"/>
                <w:color w:val="auto"/>
              </w:rPr>
            </w:pPr>
          </w:p>
        </w:tc>
        <w:tc>
          <w:tcPr>
            <w:tcW w:w="833" w:type="dxa"/>
            <w:tcBorders>
              <w:top w:val="single" w:color="auto" w:sz="6" w:space="0"/>
              <w:left w:val="single" w:color="auto" w:sz="6" w:space="0"/>
              <w:bottom w:val="single" w:color="auto" w:sz="6" w:space="0"/>
              <w:right w:val="single" w:color="auto" w:sz="4" w:space="0"/>
            </w:tcBorders>
            <w:vAlign w:val="center"/>
          </w:tcPr>
          <w:p w14:paraId="0D9AA9B4">
            <w:pPr>
              <w:jc w:val="center"/>
              <w:rPr>
                <w:rFonts w:hint="eastAsia" w:asciiTheme="minorEastAsia" w:hAnsiTheme="minorEastAsia" w:eastAsiaTheme="minorEastAsia" w:cstheme="minorEastAsia"/>
                <w:color w:val="auto"/>
              </w:rPr>
            </w:pPr>
          </w:p>
        </w:tc>
        <w:tc>
          <w:tcPr>
            <w:tcW w:w="1680" w:type="dxa"/>
            <w:tcBorders>
              <w:top w:val="single" w:color="auto" w:sz="6" w:space="0"/>
              <w:left w:val="single" w:color="auto" w:sz="4" w:space="0"/>
              <w:bottom w:val="single" w:color="auto" w:sz="6" w:space="0"/>
              <w:right w:val="single" w:color="auto" w:sz="6" w:space="0"/>
            </w:tcBorders>
            <w:vAlign w:val="center"/>
          </w:tcPr>
          <w:p w14:paraId="21581F86">
            <w:pPr>
              <w:jc w:val="center"/>
              <w:rPr>
                <w:rFonts w:hint="eastAsia" w:asciiTheme="minorEastAsia" w:hAnsiTheme="minorEastAsia" w:eastAsiaTheme="minorEastAsia" w:cstheme="minorEastAsia"/>
                <w:color w:val="auto"/>
              </w:rPr>
            </w:pPr>
          </w:p>
        </w:tc>
      </w:tr>
    </w:tbl>
    <w:p w14:paraId="25429C71">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注：备品备件是指供应商在供货时免费赠送给采购单位的工具及零配件，以备用。</w:t>
      </w:r>
    </w:p>
    <w:p w14:paraId="714D06E4">
      <w:pPr>
        <w:ind w:firstLine="1911" w:firstLineChars="595"/>
        <w:rPr>
          <w:rFonts w:hint="eastAsia" w:asciiTheme="minorEastAsia" w:hAnsiTheme="minorEastAsia" w:eastAsiaTheme="minorEastAsia" w:cstheme="minorEastAsia"/>
          <w:b/>
          <w:bCs/>
          <w:color w:val="auto"/>
          <w:sz w:val="32"/>
          <w:szCs w:val="32"/>
        </w:rPr>
      </w:pPr>
    </w:p>
    <w:p w14:paraId="501F3C9F">
      <w:pPr>
        <w:ind w:firstLine="1911" w:firstLineChars="595"/>
        <w:rPr>
          <w:rFonts w:hint="eastAsia" w:asciiTheme="minorEastAsia" w:hAnsiTheme="minorEastAsia" w:eastAsiaTheme="minorEastAsia" w:cstheme="minorEastAsia"/>
          <w:b/>
          <w:bCs/>
          <w:color w:val="auto"/>
          <w:sz w:val="32"/>
          <w:szCs w:val="32"/>
        </w:rPr>
      </w:pPr>
    </w:p>
    <w:p w14:paraId="23121C3B">
      <w:pPr>
        <w:ind w:firstLine="1911" w:firstLineChars="595"/>
        <w:rPr>
          <w:rFonts w:hint="eastAsia" w:asciiTheme="minorEastAsia" w:hAnsiTheme="minorEastAsia" w:eastAsiaTheme="minorEastAsia" w:cstheme="minorEastAsia"/>
          <w:b/>
          <w:bCs/>
          <w:color w:val="auto"/>
          <w:sz w:val="32"/>
          <w:szCs w:val="32"/>
        </w:rPr>
      </w:pPr>
    </w:p>
    <w:p w14:paraId="6685F4AF">
      <w:pPr>
        <w:ind w:firstLine="1911" w:firstLineChars="595"/>
        <w:rPr>
          <w:rFonts w:hint="eastAsia" w:asciiTheme="minorEastAsia" w:hAnsiTheme="minorEastAsia" w:eastAsiaTheme="minorEastAsia" w:cstheme="minorEastAsia"/>
          <w:b/>
          <w:bCs/>
          <w:color w:val="auto"/>
          <w:sz w:val="32"/>
          <w:szCs w:val="32"/>
        </w:rPr>
      </w:pPr>
    </w:p>
    <w:p w14:paraId="06776983">
      <w:pPr>
        <w:ind w:firstLine="1911" w:firstLineChars="595"/>
        <w:rPr>
          <w:rFonts w:hint="eastAsia" w:asciiTheme="minorEastAsia" w:hAnsiTheme="minorEastAsia" w:eastAsiaTheme="minorEastAsia" w:cstheme="minorEastAsia"/>
          <w:b/>
          <w:bCs/>
          <w:color w:val="auto"/>
          <w:sz w:val="32"/>
          <w:szCs w:val="32"/>
        </w:rPr>
      </w:pPr>
    </w:p>
    <w:p w14:paraId="5F545CBB">
      <w:pPr>
        <w:adjustRightInd/>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br w:type="page"/>
      </w:r>
    </w:p>
    <w:p w14:paraId="28400A06">
      <w:pPr>
        <w:ind w:firstLine="1911" w:firstLineChars="595"/>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bCs/>
          <w:color w:val="auto"/>
          <w:sz w:val="32"/>
          <w:szCs w:val="32"/>
        </w:rPr>
        <w:t>九</w:t>
      </w:r>
      <w:r>
        <w:rPr>
          <w:rFonts w:hint="eastAsia" w:asciiTheme="minorEastAsia" w:hAnsiTheme="minorEastAsia" w:eastAsiaTheme="minorEastAsia" w:cstheme="minorEastAsia"/>
          <w:b/>
          <w:color w:val="auto"/>
          <w:kern w:val="0"/>
          <w:sz w:val="32"/>
          <w:szCs w:val="32"/>
        </w:rPr>
        <w:t>、</w:t>
      </w:r>
      <w:r>
        <w:rPr>
          <w:rFonts w:hint="eastAsia" w:asciiTheme="minorEastAsia" w:hAnsiTheme="minorEastAsia" w:eastAsiaTheme="minorEastAsia" w:cstheme="minorEastAsia"/>
          <w:b/>
          <w:color w:val="auto"/>
          <w:kern w:val="0"/>
          <w:sz w:val="32"/>
          <w:szCs w:val="32"/>
          <w:lang w:val="zh-CN"/>
        </w:rPr>
        <w:t>采购供应商廉洁自律承诺书</w:t>
      </w:r>
    </w:p>
    <w:p w14:paraId="4F54B5D2">
      <w:pPr>
        <w:snapToGrid w:val="0"/>
        <w:spacing w:line="360" w:lineRule="auto"/>
        <w:rPr>
          <w:rFonts w:hint="eastAsia" w:asciiTheme="minorEastAsia" w:hAnsiTheme="minorEastAsia" w:eastAsiaTheme="minorEastAsia" w:cstheme="minorEastAsia"/>
          <w:color w:val="auto"/>
          <w:sz w:val="24"/>
        </w:rPr>
      </w:pPr>
    </w:p>
    <w:p w14:paraId="6FD682A2">
      <w:pPr>
        <w:snapToGrid w:val="0"/>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t>建德市罗村水力发电有限公司 、杭州欧方工程管理有限公司</w:t>
      </w:r>
      <w:r>
        <w:rPr>
          <w:rFonts w:hint="eastAsia" w:asciiTheme="minorEastAsia" w:hAnsiTheme="minorEastAsia" w:eastAsiaTheme="minorEastAsia" w:cstheme="minorEastAsia"/>
          <w:color w:val="auto"/>
          <w:kern w:val="0"/>
          <w:sz w:val="24"/>
          <w:lang w:val="zh-CN"/>
        </w:rPr>
        <w:t>：</w:t>
      </w:r>
    </w:p>
    <w:p w14:paraId="32460C6C">
      <w:pPr>
        <w:autoSpaceDE w:val="0"/>
        <w:autoSpaceDN w:val="0"/>
        <w:spacing w:line="360" w:lineRule="auto"/>
        <w:ind w:left="2" w:leftChars="1"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我单位响应你</w:t>
      </w:r>
      <w:r>
        <w:rPr>
          <w:rFonts w:hint="eastAsia" w:asciiTheme="minorEastAsia" w:hAnsiTheme="minorEastAsia" w:eastAsiaTheme="minorEastAsia" w:cstheme="minorEastAsia"/>
          <w:color w:val="auto"/>
          <w:sz w:val="24"/>
        </w:rPr>
        <w:t>单位</w:t>
      </w:r>
      <w:r>
        <w:rPr>
          <w:rFonts w:hint="eastAsia" w:asciiTheme="minorEastAsia" w:hAnsiTheme="minorEastAsia" w:eastAsiaTheme="minorEastAsia" w:cstheme="minorEastAsia"/>
          <w:color w:val="auto"/>
          <w:kern w:val="0"/>
          <w:sz w:val="24"/>
          <w:lang w:val="zh-CN"/>
        </w:rPr>
        <w:t>项目招标要求参加投标。在这次投标过程中和中标后，我们将严格遵守国家法律法规要求，并郑重承诺：</w:t>
      </w:r>
    </w:p>
    <w:p w14:paraId="03ADF4B1">
      <w:pPr>
        <w:autoSpaceDE w:val="0"/>
        <w:autoSpaceDN w:val="0"/>
        <w:spacing w:line="360" w:lineRule="auto"/>
        <w:ind w:left="2" w:leftChars="1"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一、不向项目有关人员及部门赠送礼金礼物、有价证券、回扣以及中介费、介绍费、咨询费等好处费； </w:t>
      </w:r>
    </w:p>
    <w:p w14:paraId="42AF8521">
      <w:pPr>
        <w:autoSpaceDE w:val="0"/>
        <w:autoSpaceDN w:val="0"/>
        <w:spacing w:line="360" w:lineRule="auto"/>
        <w:ind w:left="2" w:leftChars="1"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二、不为项目有关人员及部门报销应由你方单位或个人支付的费用； </w:t>
      </w:r>
    </w:p>
    <w:p w14:paraId="30E46D83">
      <w:pPr>
        <w:autoSpaceDE w:val="0"/>
        <w:autoSpaceDN w:val="0"/>
        <w:spacing w:line="360" w:lineRule="auto"/>
        <w:ind w:left="2" w:leftChars="1"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三、不向项目有关人员及部门提供有可能影响公正的宴请和健身娱乐等活动； </w:t>
      </w:r>
    </w:p>
    <w:p w14:paraId="34EB96DD">
      <w:pPr>
        <w:autoSpaceDE w:val="0"/>
        <w:autoSpaceDN w:val="0"/>
        <w:spacing w:line="360" w:lineRule="auto"/>
        <w:ind w:left="2" w:leftChars="1"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四、不为项目有关人员及部门出国（境）、旅游等提供方便；</w:t>
      </w:r>
    </w:p>
    <w:p w14:paraId="0873B0B4">
      <w:pPr>
        <w:autoSpaceDE w:val="0"/>
        <w:autoSpaceDN w:val="0"/>
        <w:spacing w:line="360" w:lineRule="auto"/>
        <w:ind w:left="481" w:leftChars="229"/>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五、不为项目有关人员个人装修住房、婚丧嫁娶、配偶子女工作安排等提供</w:t>
      </w:r>
    </w:p>
    <w:p w14:paraId="5D4A14AB">
      <w:pPr>
        <w:autoSpaceDE w:val="0"/>
        <w:autoSpaceDN w:val="0"/>
        <w:spacing w:line="360" w:lineRule="auto"/>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好处；</w:t>
      </w:r>
    </w:p>
    <w:p w14:paraId="48C4CC00">
      <w:pPr>
        <w:autoSpaceDE w:val="0"/>
        <w:autoSpaceDN w:val="0"/>
        <w:spacing w:line="360" w:lineRule="auto"/>
        <w:ind w:left="481" w:leftChars="229"/>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六、严格遵守《</w:t>
      </w:r>
      <w:r>
        <w:rPr>
          <w:rFonts w:hint="eastAsia" w:asciiTheme="minorEastAsia" w:hAnsiTheme="minorEastAsia" w:eastAsiaTheme="minorEastAsia" w:cstheme="minorEastAsia"/>
          <w:color w:val="auto"/>
          <w:sz w:val="24"/>
          <w:lang w:val="zh-CN"/>
        </w:rPr>
        <w:t>中华人民共和国</w:t>
      </w:r>
      <w:r>
        <w:rPr>
          <w:rFonts w:hint="eastAsia" w:asciiTheme="minorEastAsia" w:hAnsiTheme="minorEastAsia" w:eastAsiaTheme="minorEastAsia" w:cstheme="minorEastAsia"/>
          <w:color w:val="auto"/>
          <w:kern w:val="0"/>
          <w:sz w:val="24"/>
          <w:lang w:val="zh-CN"/>
        </w:rPr>
        <w:t>招标投标法》</w:t>
      </w:r>
      <w:r>
        <w:rPr>
          <w:rFonts w:hint="eastAsia" w:asciiTheme="minorEastAsia" w:hAnsiTheme="minorEastAsia" w:eastAsiaTheme="minorEastAsia" w:cstheme="minorEastAsia"/>
          <w:color w:val="auto"/>
          <w:sz w:val="24"/>
          <w:lang w:val="zh-CN"/>
        </w:rPr>
        <w:t>《中华人民共和国民法典》</w:t>
      </w:r>
      <w:r>
        <w:rPr>
          <w:rFonts w:hint="eastAsia" w:asciiTheme="minorEastAsia" w:hAnsiTheme="minorEastAsia" w:eastAsiaTheme="minorEastAsia" w:cstheme="minorEastAsia"/>
          <w:color w:val="auto"/>
          <w:kern w:val="0"/>
          <w:sz w:val="24"/>
          <w:lang w:val="zh-CN"/>
        </w:rPr>
        <w:t xml:space="preserve">等法律法规，诚实守信，合法经营，坚决抵制各种违法违纪行为。 </w:t>
      </w:r>
    </w:p>
    <w:p w14:paraId="665DB4A5">
      <w:pPr>
        <w:autoSpaceDE w:val="0"/>
        <w:autoSpaceDN w:val="0"/>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如违反上述承诺，你</w:t>
      </w:r>
      <w:r>
        <w:rPr>
          <w:rFonts w:hint="eastAsia" w:asciiTheme="minorEastAsia" w:hAnsiTheme="minorEastAsia" w:eastAsiaTheme="minorEastAsia" w:cstheme="minorEastAsia"/>
          <w:color w:val="auto"/>
          <w:sz w:val="24"/>
        </w:rPr>
        <w:t>单位</w:t>
      </w:r>
      <w:r>
        <w:rPr>
          <w:rFonts w:hint="eastAsia" w:asciiTheme="minorEastAsia" w:hAnsiTheme="minorEastAsia" w:eastAsiaTheme="minorEastAsia" w:cstheme="minorEastAsia"/>
          <w:color w:val="auto"/>
          <w:kern w:val="0"/>
          <w:sz w:val="24"/>
          <w:lang w:val="zh-CN"/>
        </w:rPr>
        <w:t>有权立即取消我单位投标、中标或在建项目的建设资格，有权拒绝我单位在一定时期内进入你</w:t>
      </w:r>
      <w:r>
        <w:rPr>
          <w:rFonts w:hint="eastAsia" w:asciiTheme="minorEastAsia" w:hAnsiTheme="minorEastAsia" w:eastAsiaTheme="minorEastAsia" w:cstheme="minorEastAsia"/>
          <w:color w:val="auto"/>
          <w:sz w:val="24"/>
        </w:rPr>
        <w:t>单位</w:t>
      </w:r>
      <w:r>
        <w:rPr>
          <w:rFonts w:hint="eastAsia" w:asciiTheme="minorEastAsia" w:hAnsiTheme="minorEastAsia" w:eastAsiaTheme="minorEastAsia" w:cstheme="minorEastAsia"/>
          <w:color w:val="auto"/>
          <w:kern w:val="0"/>
          <w:sz w:val="24"/>
          <w:lang w:val="zh-CN"/>
        </w:rPr>
        <w:t>进行项目建设或其他经营活动，并通报市财政局。由此引起的相应损失均由我单位承担。</w:t>
      </w:r>
    </w:p>
    <w:p w14:paraId="4E8F40C7">
      <w:pPr>
        <w:autoSpaceDE w:val="0"/>
        <w:autoSpaceDN w:val="0"/>
        <w:spacing w:line="360" w:lineRule="auto"/>
        <w:ind w:left="2"/>
        <w:rPr>
          <w:rFonts w:hint="eastAsia" w:asciiTheme="minorEastAsia" w:hAnsiTheme="minorEastAsia" w:eastAsiaTheme="minorEastAsia" w:cstheme="minorEastAsia"/>
          <w:color w:val="auto"/>
          <w:kern w:val="0"/>
          <w:sz w:val="24"/>
          <w:lang w:val="zh-CN"/>
        </w:rPr>
      </w:pPr>
    </w:p>
    <w:p w14:paraId="32DECC9E">
      <w:pPr>
        <w:autoSpaceDE w:val="0"/>
        <w:autoSpaceDN w:val="0"/>
        <w:spacing w:line="360" w:lineRule="auto"/>
        <w:ind w:left="2"/>
        <w:rPr>
          <w:rFonts w:hint="eastAsia" w:asciiTheme="minorEastAsia" w:hAnsiTheme="minorEastAsia" w:eastAsiaTheme="minorEastAsia" w:cstheme="minorEastAsia"/>
          <w:color w:val="auto"/>
          <w:kern w:val="0"/>
          <w:sz w:val="24"/>
          <w:lang w:val="zh-CN"/>
        </w:rPr>
      </w:pPr>
    </w:p>
    <w:p w14:paraId="604671DF">
      <w:pPr>
        <w:autoSpaceDE w:val="0"/>
        <w:autoSpaceDN w:val="0"/>
        <w:spacing w:line="360" w:lineRule="auto"/>
        <w:ind w:left="2"/>
        <w:rPr>
          <w:rFonts w:hint="eastAsia" w:asciiTheme="minorEastAsia" w:hAnsiTheme="minorEastAsia" w:eastAsiaTheme="minorEastAsia" w:cstheme="minorEastAsia"/>
          <w:color w:val="auto"/>
          <w:kern w:val="0"/>
          <w:sz w:val="24"/>
          <w:lang w:val="zh-CN"/>
        </w:rPr>
      </w:pPr>
    </w:p>
    <w:p w14:paraId="21567A1E">
      <w:pPr>
        <w:autoSpaceDE w:val="0"/>
        <w:autoSpaceDN w:val="0"/>
        <w:spacing w:line="360" w:lineRule="auto"/>
        <w:ind w:left="2" w:leftChars="1" w:right="1120" w:firstLine="4560" w:firstLineChars="19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投标人名称（</w:t>
      </w:r>
      <w:r>
        <w:rPr>
          <w:rFonts w:hint="eastAsia" w:asciiTheme="minorEastAsia" w:hAnsiTheme="minorEastAsia" w:eastAsiaTheme="minorEastAsia" w:cstheme="minorEastAsia"/>
          <w:color w:val="auto"/>
          <w:sz w:val="24"/>
        </w:rPr>
        <w:t>电子签名</w:t>
      </w:r>
      <w:r>
        <w:rPr>
          <w:rFonts w:hint="eastAsia" w:asciiTheme="minorEastAsia" w:hAnsiTheme="minorEastAsia" w:eastAsiaTheme="minorEastAsia" w:cstheme="minorEastAsia"/>
          <w:color w:val="auto"/>
          <w:kern w:val="0"/>
          <w:sz w:val="24"/>
          <w:lang w:val="zh-CN"/>
        </w:rPr>
        <w:t xml:space="preserve">）：                                                                                                                                                                                                               </w:t>
      </w:r>
    </w:p>
    <w:p w14:paraId="771F13CF">
      <w:pPr>
        <w:spacing w:line="360" w:lineRule="auto"/>
        <w:ind w:left="4620" w:leftChars="2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zh-CN"/>
        </w:rPr>
        <w:t>日期</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lang w:val="zh-CN"/>
        </w:rPr>
        <w:t xml:space="preserve">   年   月   日</w:t>
      </w:r>
    </w:p>
    <w:p w14:paraId="1AB0A98F">
      <w:pPr>
        <w:spacing w:line="360" w:lineRule="auto"/>
        <w:jc w:val="center"/>
        <w:rPr>
          <w:rFonts w:hint="eastAsia" w:asciiTheme="minorEastAsia" w:hAnsiTheme="minorEastAsia" w:eastAsiaTheme="minorEastAsia" w:cstheme="minorEastAsia"/>
          <w:b/>
          <w:bCs/>
          <w:color w:val="auto"/>
          <w:sz w:val="24"/>
        </w:rPr>
      </w:pPr>
    </w:p>
    <w:p w14:paraId="03B67F57">
      <w:pPr>
        <w:spacing w:line="360" w:lineRule="auto"/>
        <w:ind w:right="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注：按本格式和要求提供。</w:t>
      </w:r>
    </w:p>
    <w:p w14:paraId="1FD54F80">
      <w:pPr>
        <w:spacing w:line="360" w:lineRule="auto"/>
        <w:jc w:val="center"/>
        <w:rPr>
          <w:rFonts w:hint="eastAsia" w:asciiTheme="minorEastAsia" w:hAnsiTheme="minorEastAsia" w:eastAsiaTheme="minorEastAsia" w:cstheme="minorEastAsia"/>
          <w:b/>
          <w:bCs/>
          <w:color w:val="auto"/>
          <w:sz w:val="24"/>
        </w:rPr>
        <w:sectPr>
          <w:headerReference r:id="rId12" w:type="first"/>
          <w:footerReference r:id="rId14" w:type="first"/>
          <w:headerReference r:id="rId11" w:type="default"/>
          <w:footerReference r:id="rId13" w:type="default"/>
          <w:pgSz w:w="11905" w:h="16838"/>
          <w:pgMar w:top="1474" w:right="1814" w:bottom="1474" w:left="1814" w:header="851" w:footer="850" w:gutter="0"/>
          <w:cols w:space="0" w:num="1"/>
          <w:docGrid w:linePitch="312" w:charSpace="0"/>
        </w:sectPr>
      </w:pPr>
    </w:p>
    <w:p w14:paraId="655B74A0">
      <w:pPr>
        <w:spacing w:line="360" w:lineRule="auto"/>
        <w:jc w:val="center"/>
        <w:outlineLvl w:val="0"/>
        <w:rPr>
          <w:rFonts w:hint="eastAsia" w:asciiTheme="minorEastAsia" w:hAnsiTheme="minorEastAsia" w:eastAsiaTheme="minorEastAsia" w:cstheme="minorEastAsia"/>
          <w:b/>
          <w:color w:val="auto"/>
          <w:kern w:val="0"/>
          <w:sz w:val="36"/>
          <w:szCs w:val="36"/>
        </w:rPr>
      </w:pPr>
      <w:r>
        <w:rPr>
          <w:rFonts w:hint="eastAsia" w:asciiTheme="minorEastAsia" w:hAnsiTheme="minorEastAsia" w:eastAsiaTheme="minorEastAsia" w:cstheme="minorEastAsia"/>
          <w:b/>
          <w:color w:val="auto"/>
          <w:kern w:val="0"/>
          <w:sz w:val="36"/>
          <w:szCs w:val="36"/>
        </w:rPr>
        <w:t>报价文件部分</w:t>
      </w:r>
    </w:p>
    <w:p w14:paraId="70BD2326">
      <w:pPr>
        <w:spacing w:line="360" w:lineRule="auto"/>
        <w:jc w:val="center"/>
        <w:outlineLvl w:val="0"/>
        <w:rPr>
          <w:rFonts w:hint="eastAsia" w:asciiTheme="minorEastAsia" w:hAnsiTheme="minorEastAsia" w:eastAsiaTheme="minorEastAsia" w:cstheme="minorEastAsia"/>
          <w:b/>
          <w:color w:val="auto"/>
          <w:kern w:val="0"/>
          <w:sz w:val="36"/>
          <w:szCs w:val="36"/>
        </w:rPr>
      </w:pPr>
      <w:r>
        <w:rPr>
          <w:rFonts w:hint="eastAsia" w:asciiTheme="minorEastAsia" w:hAnsiTheme="minorEastAsia" w:eastAsiaTheme="minorEastAsia" w:cstheme="minorEastAsia"/>
          <w:b/>
          <w:color w:val="auto"/>
          <w:kern w:val="0"/>
          <w:sz w:val="36"/>
          <w:szCs w:val="36"/>
        </w:rPr>
        <w:t>目录</w:t>
      </w:r>
    </w:p>
    <w:p w14:paraId="37372795">
      <w:pPr>
        <w:spacing w:line="360" w:lineRule="auto"/>
        <w:jc w:val="center"/>
        <w:outlineLvl w:val="0"/>
        <w:rPr>
          <w:rFonts w:hint="eastAsia" w:asciiTheme="minorEastAsia" w:hAnsiTheme="minorEastAsia" w:eastAsiaTheme="minorEastAsia" w:cstheme="minorEastAsia"/>
          <w:b/>
          <w:color w:val="auto"/>
          <w:kern w:val="0"/>
          <w:sz w:val="36"/>
          <w:szCs w:val="36"/>
        </w:rPr>
      </w:pPr>
    </w:p>
    <w:p w14:paraId="2AD70B73">
      <w:pPr>
        <w:numPr>
          <w:ilvl w:val="0"/>
          <w:numId w:val="23"/>
        </w:numPr>
        <w:snapToGrid w:val="0"/>
        <w:spacing w:line="360" w:lineRule="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开标一览表（报价表）………………………………………………………（页码）</w:t>
      </w:r>
    </w:p>
    <w:p w14:paraId="3A39EDA2">
      <w:pPr>
        <w:snapToGrid w:val="0"/>
        <w:spacing w:line="360" w:lineRule="auto"/>
        <w:rPr>
          <w:rFonts w:hint="eastAsia" w:asciiTheme="minorEastAsia" w:hAnsiTheme="minorEastAsia" w:eastAsiaTheme="minorEastAsia" w:cstheme="minorEastAsia"/>
          <w:color w:val="auto"/>
          <w:sz w:val="24"/>
        </w:rPr>
      </w:pPr>
    </w:p>
    <w:p w14:paraId="531DF3CC">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7C01E59E">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3AD6BA17">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64F28511">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5B96ACF7">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16F06A50">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5F615FD9">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5AC6509D">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60085964">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5B93319B">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4CBDB1BF">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53F589C4">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409D8194">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4C1B6AB0">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7E0EAF37">
      <w:pPr>
        <w:snapToGrid w:val="0"/>
        <w:spacing w:line="360" w:lineRule="auto"/>
        <w:ind w:right="480"/>
        <w:jc w:val="center"/>
        <w:rPr>
          <w:rFonts w:hint="eastAsia" w:asciiTheme="minorEastAsia" w:hAnsiTheme="minorEastAsia" w:eastAsiaTheme="minorEastAsia" w:cstheme="minorEastAsia"/>
          <w:b/>
          <w:color w:val="auto"/>
          <w:kern w:val="0"/>
          <w:sz w:val="32"/>
          <w:szCs w:val="32"/>
        </w:rPr>
      </w:pPr>
    </w:p>
    <w:p w14:paraId="64277726">
      <w:pPr>
        <w:pStyle w:val="696"/>
        <w:keepNext w:val="0"/>
        <w:pageBreakBefore w:val="0"/>
        <w:tabs>
          <w:tab w:val="clear" w:pos="720"/>
        </w:tabs>
        <w:snapToGrid w:val="0"/>
        <w:spacing w:before="120" w:after="120"/>
        <w:ind w:firstLine="643"/>
        <w:outlineLvl w:val="9"/>
        <w:rPr>
          <w:rFonts w:hint="eastAsia" w:asciiTheme="minorEastAsia" w:hAnsiTheme="minorEastAsia" w:eastAsiaTheme="minorEastAsia" w:cstheme="minorEastAsia"/>
          <w:color w:val="auto"/>
          <w:kern w:val="2"/>
          <w:sz w:val="32"/>
          <w:szCs w:val="32"/>
        </w:rPr>
        <w:sectPr>
          <w:headerReference r:id="rId16" w:type="first"/>
          <w:footerReference r:id="rId18" w:type="first"/>
          <w:headerReference r:id="rId15" w:type="default"/>
          <w:footerReference r:id="rId17" w:type="default"/>
          <w:pgSz w:w="11905" w:h="16838"/>
          <w:pgMar w:top="1474" w:right="1814" w:bottom="1474" w:left="1814" w:header="851" w:footer="850" w:gutter="0"/>
          <w:cols w:space="0" w:num="1"/>
          <w:docGrid w:linePitch="312" w:charSpace="0"/>
        </w:sectPr>
      </w:pPr>
    </w:p>
    <w:p w14:paraId="7E90DC30">
      <w:pPr>
        <w:pStyle w:val="696"/>
        <w:keepNext w:val="0"/>
        <w:pageBreakBefore w:val="0"/>
        <w:tabs>
          <w:tab w:val="clear" w:pos="720"/>
        </w:tabs>
        <w:snapToGrid w:val="0"/>
        <w:spacing w:before="120" w:after="120"/>
        <w:ind w:firstLine="643"/>
        <w:outlineLvl w:val="9"/>
        <w:rPr>
          <w:rFonts w:hint="eastAsia" w:asciiTheme="minorEastAsia" w:hAnsiTheme="minorEastAsia" w:eastAsiaTheme="minorEastAsia" w:cstheme="minorEastAsia"/>
          <w:color w:val="auto"/>
          <w:kern w:val="2"/>
          <w:sz w:val="32"/>
          <w:szCs w:val="32"/>
        </w:rPr>
      </w:pPr>
      <w:r>
        <w:rPr>
          <w:rFonts w:hint="eastAsia" w:asciiTheme="minorEastAsia" w:hAnsiTheme="minorEastAsia" w:eastAsiaTheme="minorEastAsia" w:cstheme="minorEastAsia"/>
          <w:color w:val="auto"/>
          <w:kern w:val="2"/>
          <w:sz w:val="32"/>
          <w:szCs w:val="32"/>
        </w:rPr>
        <w:t>一、开标一览表（报价表）</w:t>
      </w:r>
    </w:p>
    <w:p w14:paraId="1FE8D6E6">
      <w:pPr>
        <w:snapToGrid w:val="0"/>
        <w:spacing w:line="360" w:lineRule="auto"/>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t>建德市罗村水力发电有限公司 、杭州欧方工程管理有限公司</w:t>
      </w:r>
      <w:r>
        <w:rPr>
          <w:rFonts w:hint="eastAsia" w:asciiTheme="minorEastAsia" w:hAnsiTheme="minorEastAsia" w:eastAsiaTheme="minorEastAsia" w:cstheme="minorEastAsia"/>
          <w:color w:val="auto"/>
          <w:kern w:val="0"/>
          <w:sz w:val="24"/>
          <w:lang w:val="zh-CN"/>
        </w:rPr>
        <w:t>：</w:t>
      </w:r>
    </w:p>
    <w:p w14:paraId="7BE819B0">
      <w:pPr>
        <w:snapToGrid w:val="0"/>
        <w:spacing w:line="360" w:lineRule="auto"/>
        <w:ind w:firstLine="482"/>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Theme="minorEastAsia" w:hAnsiTheme="minorEastAsia" w:eastAsiaTheme="minorEastAsia" w:cstheme="minorEastAsia"/>
          <w:color w:val="auto"/>
          <w:sz w:val="24"/>
          <w:lang w:eastAsia="zh-CN"/>
        </w:rPr>
        <w:t>建德市罗村三级电站更新改造暨梯级集控建设工程（机电设备）采购项目</w:t>
      </w:r>
      <w:r>
        <w:rPr>
          <w:rFonts w:hint="eastAsia" w:asciiTheme="minorEastAsia" w:hAnsiTheme="minorEastAsia" w:eastAsiaTheme="minorEastAsia" w:cstheme="minorEastAsia"/>
          <w:color w:val="auto"/>
          <w:kern w:val="0"/>
          <w:sz w:val="24"/>
          <w:lang w:val="zh-CN"/>
        </w:rPr>
        <w:t>【招标编号：</w:t>
      </w:r>
      <w:r>
        <w:rPr>
          <w:rFonts w:hint="eastAsia" w:asciiTheme="minorEastAsia" w:hAnsiTheme="minorEastAsia" w:eastAsiaTheme="minorEastAsia" w:cstheme="minorEastAsia"/>
          <w:color w:val="auto"/>
          <w:sz w:val="24"/>
        </w:rPr>
        <w:t>HZOFCG2025B-088】的实施</w:t>
      </w:r>
      <w:r>
        <w:rPr>
          <w:rFonts w:hint="eastAsia" w:asciiTheme="minorEastAsia" w:hAnsiTheme="minorEastAsia" w:eastAsiaTheme="minorEastAsia" w:cstheme="minorEastAsia"/>
          <w:color w:val="auto"/>
          <w:kern w:val="0"/>
          <w:sz w:val="24"/>
          <w:lang w:val="zh-CN"/>
        </w:rPr>
        <w:t>。</w:t>
      </w:r>
    </w:p>
    <w:p w14:paraId="230EE588">
      <w:pPr>
        <w:numPr>
          <w:ilvl w:val="0"/>
          <w:numId w:val="24"/>
        </w:numPr>
        <w:spacing w:line="360" w:lineRule="auto"/>
        <w:jc w:val="center"/>
        <w:rPr>
          <w:rFonts w:hint="eastAsia" w:asciiTheme="minorEastAsia" w:hAnsiTheme="minorEastAsia" w:eastAsiaTheme="minorEastAsia" w:cstheme="minorEastAsia"/>
          <w:b/>
          <w:color w:val="auto"/>
          <w:kern w:val="0"/>
          <w:sz w:val="24"/>
          <w:lang w:val="zh-CN"/>
        </w:rPr>
      </w:pPr>
      <w:r>
        <w:rPr>
          <w:rFonts w:hint="eastAsia" w:asciiTheme="minorEastAsia" w:hAnsiTheme="minorEastAsia" w:eastAsiaTheme="minorEastAsia" w:cstheme="minorEastAsia"/>
          <w:b/>
          <w:color w:val="auto"/>
          <w:kern w:val="0"/>
          <w:sz w:val="24"/>
          <w:lang w:val="zh-CN"/>
        </w:rPr>
        <w:t>开标一览表（报价表）(单位均为人民币元）</w:t>
      </w:r>
    </w:p>
    <w:p w14:paraId="342F2D82">
      <w:pPr>
        <w:pStyle w:val="2"/>
        <w:numPr>
          <w:ilvl w:val="0"/>
          <w:numId w:val="0"/>
        </w:numPr>
        <w:rPr>
          <w:rFonts w:hint="default" w:asciiTheme="minorEastAsia" w:hAnsiTheme="minorEastAsia" w:eastAsiaTheme="minorEastAsia" w:cstheme="minorEastAsia"/>
          <w:color w:val="auto"/>
          <w:kern w:val="0"/>
          <w:lang w:val="en-US" w:eastAsia="zh-CN"/>
        </w:rPr>
      </w:pPr>
      <w:r>
        <w:rPr>
          <w:rFonts w:hint="eastAsia" w:asciiTheme="minorEastAsia" w:hAnsiTheme="minorEastAsia" w:eastAsiaTheme="minorEastAsia" w:cstheme="minorEastAsia"/>
          <w:color w:val="auto"/>
          <w:kern w:val="0"/>
          <w:lang w:val="en-US" w:eastAsia="zh-CN"/>
        </w:rPr>
        <w:t>1、总表</w:t>
      </w:r>
    </w:p>
    <w:tbl>
      <w:tblPr>
        <w:tblStyle w:val="6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6"/>
        <w:gridCol w:w="3115"/>
        <w:gridCol w:w="2969"/>
      </w:tblGrid>
      <w:tr w14:paraId="1B58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C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编号</w:t>
            </w:r>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4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项目名称</w:t>
            </w:r>
          </w:p>
        </w:tc>
        <w:tc>
          <w:tcPr>
            <w:tcW w:w="1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1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投标报价（元）</w:t>
            </w:r>
          </w:p>
        </w:tc>
      </w:tr>
      <w:tr w14:paraId="1A48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8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一</w:t>
            </w:r>
          </w:p>
        </w:tc>
        <w:tc>
          <w:tcPr>
            <w:tcW w:w="1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0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设备费用</w:t>
            </w:r>
          </w:p>
        </w:tc>
        <w:tc>
          <w:tcPr>
            <w:tcW w:w="1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4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p>
        </w:tc>
      </w:tr>
      <w:tr w14:paraId="0991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8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二</w:t>
            </w:r>
          </w:p>
        </w:tc>
        <w:tc>
          <w:tcPr>
            <w:tcW w:w="1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2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配套工程费用</w:t>
            </w:r>
          </w:p>
        </w:tc>
        <w:tc>
          <w:tcPr>
            <w:tcW w:w="1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6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bidi="ar"/>
              </w:rPr>
            </w:pPr>
          </w:p>
        </w:tc>
      </w:tr>
      <w:tr w14:paraId="4350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2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8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合计：一+二</w:t>
            </w:r>
          </w:p>
        </w:tc>
        <w:tc>
          <w:tcPr>
            <w:tcW w:w="1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D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p>
        </w:tc>
      </w:tr>
    </w:tbl>
    <w:p w14:paraId="708611F8">
      <w:pPr>
        <w:pStyle w:val="2"/>
        <w:numPr>
          <w:ilvl w:val="0"/>
          <w:numId w:val="0"/>
        </w:numPr>
        <w:rPr>
          <w:rFonts w:hint="eastAsia" w:asciiTheme="minorEastAsia" w:hAnsiTheme="minorEastAsia" w:eastAsiaTheme="minorEastAsia" w:cstheme="minorEastAsia"/>
          <w:color w:val="auto"/>
          <w:kern w:val="0"/>
          <w:lang w:eastAsia="zh-CN"/>
        </w:rPr>
      </w:pPr>
    </w:p>
    <w:p w14:paraId="1ECEFCB4">
      <w:pPr>
        <w:pStyle w:val="2"/>
        <w:numPr>
          <w:ilvl w:val="0"/>
          <w:numId w:val="0"/>
        </w:num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lang w:val="en-US" w:eastAsia="zh-CN"/>
        </w:rPr>
        <w:t>2、详细</w:t>
      </w:r>
      <w:r>
        <w:rPr>
          <w:rFonts w:hint="eastAsia" w:asciiTheme="minorEastAsia" w:hAnsiTheme="minorEastAsia" w:eastAsiaTheme="minorEastAsia" w:cstheme="minorEastAsia"/>
          <w:color w:val="auto"/>
          <w:kern w:val="0"/>
        </w:rPr>
        <w:t>清单表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891"/>
        <w:gridCol w:w="583"/>
        <w:gridCol w:w="1967"/>
        <w:gridCol w:w="583"/>
        <w:gridCol w:w="583"/>
        <w:gridCol w:w="939"/>
        <w:gridCol w:w="939"/>
        <w:gridCol w:w="1425"/>
      </w:tblGrid>
      <w:tr w14:paraId="0BBF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609" w:type="dxa"/>
            <w:vAlign w:val="center"/>
          </w:tcPr>
          <w:p w14:paraId="7BF9226F">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i w:val="0"/>
                <w:iCs w:val="0"/>
                <w:color w:val="auto"/>
                <w:kern w:val="0"/>
                <w:sz w:val="24"/>
                <w:szCs w:val="24"/>
                <w:u w:val="none"/>
                <w:lang w:val="en-US" w:eastAsia="zh-CN" w:bidi="ar"/>
              </w:rPr>
              <w:t>编号</w:t>
            </w:r>
          </w:p>
        </w:tc>
        <w:tc>
          <w:tcPr>
            <w:tcW w:w="980" w:type="dxa"/>
            <w:vAlign w:val="center"/>
          </w:tcPr>
          <w:p w14:paraId="071158D2">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i w:val="0"/>
                <w:iCs w:val="0"/>
                <w:color w:val="auto"/>
                <w:kern w:val="0"/>
                <w:sz w:val="24"/>
                <w:szCs w:val="24"/>
                <w:u w:val="none"/>
                <w:lang w:val="en-US" w:eastAsia="zh-CN" w:bidi="ar"/>
              </w:rPr>
              <w:t>项目名称</w:t>
            </w:r>
          </w:p>
        </w:tc>
        <w:tc>
          <w:tcPr>
            <w:tcW w:w="609" w:type="dxa"/>
          </w:tcPr>
          <w:p w14:paraId="26845499">
            <w:pPr>
              <w:spacing w:line="360" w:lineRule="auto"/>
              <w:jc w:val="center"/>
              <w:rPr>
                <w:rFonts w:hint="eastAsia" w:asciiTheme="minorEastAsia" w:hAnsiTheme="minorEastAsia" w:eastAsiaTheme="minorEastAsia" w:cstheme="minorEastAsia"/>
                <w:b/>
                <w:color w:val="auto"/>
                <w:sz w:val="24"/>
              </w:rPr>
            </w:pPr>
          </w:p>
          <w:p w14:paraId="52B8FB2B">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品牌</w:t>
            </w:r>
          </w:p>
        </w:tc>
        <w:tc>
          <w:tcPr>
            <w:tcW w:w="2278" w:type="dxa"/>
            <w:vAlign w:val="center"/>
          </w:tcPr>
          <w:p w14:paraId="32AD7BB1">
            <w:pPr>
              <w:spacing w:line="360" w:lineRule="auto"/>
              <w:jc w:val="center"/>
              <w:rPr>
                <w:rFonts w:hint="eastAsia" w:asciiTheme="minorEastAsia" w:hAnsiTheme="minorEastAsia" w:eastAsiaTheme="minorEastAsia" w:cstheme="minorEastAsia"/>
                <w:b/>
                <w:bCs w:val="0"/>
                <w:color w:val="auto"/>
                <w:sz w:val="24"/>
              </w:rPr>
            </w:pPr>
            <w:r>
              <w:rPr>
                <w:rFonts w:hint="eastAsia" w:asciiTheme="minorEastAsia" w:hAnsiTheme="minorEastAsia" w:eastAsiaTheme="minorEastAsia" w:cstheme="minorEastAsia"/>
                <w:b/>
                <w:bCs w:val="0"/>
                <w:color w:val="auto"/>
                <w:sz w:val="24"/>
              </w:rPr>
              <w:t>规格型号及主要技术参数</w:t>
            </w:r>
          </w:p>
        </w:tc>
        <w:tc>
          <w:tcPr>
            <w:tcW w:w="609" w:type="dxa"/>
            <w:vAlign w:val="center"/>
          </w:tcPr>
          <w:p w14:paraId="4F4A8399">
            <w:pPr>
              <w:spacing w:line="360" w:lineRule="auto"/>
              <w:jc w:val="center"/>
              <w:rPr>
                <w:rFonts w:hint="eastAsia" w:asciiTheme="minorEastAsia" w:hAnsiTheme="minorEastAsia" w:eastAsiaTheme="minorEastAsia" w:cstheme="minorEastAsia"/>
                <w:b/>
                <w:bCs w:val="0"/>
                <w:color w:val="auto"/>
                <w:sz w:val="24"/>
              </w:rPr>
            </w:pPr>
            <w:r>
              <w:rPr>
                <w:rFonts w:hint="eastAsia" w:asciiTheme="minorEastAsia" w:hAnsiTheme="minorEastAsia" w:eastAsiaTheme="minorEastAsia" w:cstheme="minorEastAsia"/>
                <w:b/>
                <w:bCs w:val="0"/>
                <w:i w:val="0"/>
                <w:iCs w:val="0"/>
                <w:color w:val="auto"/>
                <w:kern w:val="0"/>
                <w:sz w:val="24"/>
                <w:szCs w:val="24"/>
                <w:u w:val="none"/>
                <w:lang w:val="en-US" w:eastAsia="zh-CN" w:bidi="ar"/>
              </w:rPr>
              <w:t>单位</w:t>
            </w:r>
          </w:p>
        </w:tc>
        <w:tc>
          <w:tcPr>
            <w:tcW w:w="609" w:type="dxa"/>
            <w:vAlign w:val="center"/>
          </w:tcPr>
          <w:p w14:paraId="2AA1B27B">
            <w:pPr>
              <w:spacing w:line="360" w:lineRule="auto"/>
              <w:jc w:val="center"/>
              <w:rPr>
                <w:rFonts w:hint="eastAsia" w:asciiTheme="minorEastAsia" w:hAnsiTheme="minorEastAsia" w:eastAsiaTheme="minorEastAsia" w:cstheme="minorEastAsia"/>
                <w:b/>
                <w:bCs w:val="0"/>
                <w:color w:val="auto"/>
                <w:sz w:val="24"/>
              </w:rPr>
            </w:pPr>
            <w:r>
              <w:rPr>
                <w:rFonts w:hint="eastAsia" w:asciiTheme="minorEastAsia" w:hAnsiTheme="minorEastAsia" w:eastAsiaTheme="minorEastAsia" w:cstheme="minorEastAsia"/>
                <w:b/>
                <w:bCs w:val="0"/>
                <w:color w:val="auto"/>
                <w:sz w:val="24"/>
              </w:rPr>
              <w:t>数量</w:t>
            </w:r>
          </w:p>
        </w:tc>
        <w:tc>
          <w:tcPr>
            <w:tcW w:w="609" w:type="dxa"/>
            <w:vAlign w:val="center"/>
          </w:tcPr>
          <w:p w14:paraId="73959829">
            <w:pPr>
              <w:spacing w:line="360" w:lineRule="auto"/>
              <w:jc w:val="center"/>
              <w:rPr>
                <w:rFonts w:hint="eastAsia" w:asciiTheme="minorEastAsia" w:hAnsiTheme="minorEastAsia" w:eastAsiaTheme="minorEastAsia" w:cstheme="minorEastAsia"/>
                <w:b/>
                <w:bCs w:val="0"/>
                <w:color w:val="auto"/>
                <w:sz w:val="24"/>
                <w:lang w:val="en-US" w:eastAsia="zh-CN"/>
              </w:rPr>
            </w:pPr>
            <w:r>
              <w:rPr>
                <w:rFonts w:hint="eastAsia" w:asciiTheme="minorEastAsia" w:hAnsiTheme="minorEastAsia" w:eastAsiaTheme="minorEastAsia" w:cstheme="minorEastAsia"/>
                <w:b/>
                <w:bCs w:val="0"/>
                <w:color w:val="auto"/>
                <w:sz w:val="24"/>
              </w:rPr>
              <w:t>单价</w:t>
            </w:r>
            <w:r>
              <w:rPr>
                <w:rFonts w:hint="eastAsia" w:asciiTheme="minorEastAsia" w:hAnsiTheme="minorEastAsia" w:eastAsiaTheme="minorEastAsia" w:cstheme="minorEastAsia"/>
                <w:b/>
                <w:bCs w:val="0"/>
                <w:color w:val="auto"/>
                <w:sz w:val="24"/>
                <w:lang w:eastAsia="zh-CN"/>
              </w:rPr>
              <w:t>（</w:t>
            </w:r>
            <w:r>
              <w:rPr>
                <w:rFonts w:hint="eastAsia" w:asciiTheme="minorEastAsia" w:hAnsiTheme="minorEastAsia" w:eastAsiaTheme="minorEastAsia" w:cstheme="minorEastAsia"/>
                <w:b/>
                <w:bCs w:val="0"/>
                <w:i w:val="0"/>
                <w:iCs w:val="0"/>
                <w:color w:val="auto"/>
                <w:kern w:val="0"/>
                <w:sz w:val="24"/>
                <w:szCs w:val="24"/>
                <w:u w:val="none"/>
                <w:lang w:val="en-US" w:eastAsia="zh-CN" w:bidi="ar"/>
              </w:rPr>
              <w:t>元</w:t>
            </w:r>
            <w:r>
              <w:rPr>
                <w:rFonts w:hint="eastAsia" w:asciiTheme="minorEastAsia" w:hAnsiTheme="minorEastAsia" w:eastAsiaTheme="minorEastAsia" w:cstheme="minorEastAsia"/>
                <w:b/>
                <w:bCs w:val="0"/>
                <w:color w:val="auto"/>
                <w:sz w:val="24"/>
                <w:lang w:eastAsia="zh-CN"/>
              </w:rPr>
              <w:t>）</w:t>
            </w:r>
          </w:p>
        </w:tc>
        <w:tc>
          <w:tcPr>
            <w:tcW w:w="609" w:type="dxa"/>
            <w:vAlign w:val="center"/>
          </w:tcPr>
          <w:p w14:paraId="42C94636">
            <w:pPr>
              <w:spacing w:line="360" w:lineRule="auto"/>
              <w:jc w:val="center"/>
              <w:rPr>
                <w:rFonts w:hint="eastAsia" w:asciiTheme="minorEastAsia" w:hAnsiTheme="minorEastAsia" w:eastAsiaTheme="minorEastAsia" w:cstheme="minorEastAsia"/>
                <w:b/>
                <w:bCs w:val="0"/>
                <w:color w:val="auto"/>
                <w:sz w:val="24"/>
              </w:rPr>
            </w:pPr>
            <w:r>
              <w:rPr>
                <w:rFonts w:hint="eastAsia" w:asciiTheme="minorEastAsia" w:hAnsiTheme="minorEastAsia" w:eastAsiaTheme="minorEastAsia" w:cstheme="minorEastAsia"/>
                <w:b/>
                <w:bCs w:val="0"/>
                <w:color w:val="auto"/>
                <w:sz w:val="24"/>
              </w:rPr>
              <w:t>合计</w:t>
            </w:r>
            <w:r>
              <w:rPr>
                <w:rFonts w:hint="eastAsia" w:asciiTheme="minorEastAsia" w:hAnsiTheme="minorEastAsia" w:eastAsiaTheme="minorEastAsia" w:cstheme="minorEastAsia"/>
                <w:b/>
                <w:bCs w:val="0"/>
                <w:color w:val="auto"/>
                <w:sz w:val="24"/>
                <w:lang w:eastAsia="zh-CN"/>
              </w:rPr>
              <w:t>（</w:t>
            </w:r>
            <w:r>
              <w:rPr>
                <w:rFonts w:hint="eastAsia" w:asciiTheme="minorEastAsia" w:hAnsiTheme="minorEastAsia" w:eastAsiaTheme="minorEastAsia" w:cstheme="minorEastAsia"/>
                <w:b/>
                <w:bCs w:val="0"/>
                <w:i w:val="0"/>
                <w:iCs w:val="0"/>
                <w:color w:val="auto"/>
                <w:kern w:val="0"/>
                <w:sz w:val="24"/>
                <w:szCs w:val="24"/>
                <w:u w:val="none"/>
                <w:lang w:val="en-US" w:eastAsia="zh-CN" w:bidi="ar"/>
              </w:rPr>
              <w:t>元</w:t>
            </w:r>
            <w:r>
              <w:rPr>
                <w:rFonts w:hint="eastAsia" w:asciiTheme="minorEastAsia" w:hAnsiTheme="minorEastAsia" w:eastAsiaTheme="minorEastAsia" w:cstheme="minorEastAsia"/>
                <w:b/>
                <w:bCs w:val="0"/>
                <w:color w:val="auto"/>
                <w:sz w:val="24"/>
                <w:lang w:eastAsia="zh-CN"/>
              </w:rPr>
              <w:t>）</w:t>
            </w:r>
          </w:p>
        </w:tc>
        <w:tc>
          <w:tcPr>
            <w:tcW w:w="1575" w:type="dxa"/>
            <w:vAlign w:val="center"/>
          </w:tcPr>
          <w:p w14:paraId="501084D6">
            <w:pPr>
              <w:spacing w:line="360" w:lineRule="auto"/>
              <w:jc w:val="center"/>
              <w:rPr>
                <w:rFonts w:hint="eastAsia" w:asciiTheme="minorEastAsia" w:hAnsiTheme="minorEastAsia" w:eastAsiaTheme="minorEastAsia" w:cstheme="minorEastAsia"/>
                <w:b/>
                <w:bCs w:val="0"/>
                <w:color w:val="auto"/>
                <w:sz w:val="24"/>
              </w:rPr>
            </w:pPr>
          </w:p>
          <w:p w14:paraId="7F2FAF34">
            <w:pPr>
              <w:spacing w:line="360" w:lineRule="auto"/>
              <w:jc w:val="center"/>
              <w:rPr>
                <w:rFonts w:hint="eastAsia" w:asciiTheme="minorEastAsia" w:hAnsiTheme="minorEastAsia" w:eastAsiaTheme="minorEastAsia" w:cstheme="minorEastAsia"/>
                <w:b/>
                <w:bCs w:val="0"/>
                <w:color w:val="auto"/>
                <w:sz w:val="24"/>
              </w:rPr>
            </w:pPr>
            <w:r>
              <w:rPr>
                <w:rFonts w:hint="eastAsia" w:asciiTheme="minorEastAsia" w:hAnsiTheme="minorEastAsia" w:eastAsiaTheme="minorEastAsia" w:cstheme="minorEastAsia"/>
                <w:b/>
                <w:bCs w:val="0"/>
                <w:color w:val="auto"/>
                <w:sz w:val="24"/>
              </w:rPr>
              <w:t>备注（如果有）</w:t>
            </w:r>
          </w:p>
          <w:p w14:paraId="604BA884">
            <w:pPr>
              <w:spacing w:line="360" w:lineRule="auto"/>
              <w:jc w:val="center"/>
              <w:rPr>
                <w:rFonts w:hint="eastAsia" w:asciiTheme="minorEastAsia" w:hAnsiTheme="minorEastAsia" w:eastAsiaTheme="minorEastAsia" w:cstheme="minorEastAsia"/>
                <w:b/>
                <w:bCs w:val="0"/>
                <w:color w:val="auto"/>
                <w:sz w:val="24"/>
              </w:rPr>
            </w:pPr>
          </w:p>
        </w:tc>
      </w:tr>
      <w:tr w14:paraId="5131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09" w:type="dxa"/>
            <w:vAlign w:val="center"/>
          </w:tcPr>
          <w:p w14:paraId="730B00BC">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980" w:type="dxa"/>
            <w:vAlign w:val="center"/>
          </w:tcPr>
          <w:p w14:paraId="0B1F457B">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XX</w:t>
            </w:r>
          </w:p>
        </w:tc>
        <w:tc>
          <w:tcPr>
            <w:tcW w:w="609" w:type="dxa"/>
            <w:vAlign w:val="center"/>
          </w:tcPr>
          <w:p w14:paraId="12A4A031">
            <w:pPr>
              <w:snapToGrid w:val="0"/>
              <w:spacing w:line="360" w:lineRule="auto"/>
              <w:jc w:val="center"/>
              <w:rPr>
                <w:rFonts w:hint="eastAsia" w:asciiTheme="minorEastAsia" w:hAnsiTheme="minorEastAsia" w:eastAsiaTheme="minorEastAsia" w:cstheme="minorEastAsia"/>
                <w:color w:val="auto"/>
                <w:sz w:val="24"/>
              </w:rPr>
            </w:pPr>
          </w:p>
        </w:tc>
        <w:tc>
          <w:tcPr>
            <w:tcW w:w="2278" w:type="dxa"/>
            <w:vAlign w:val="center"/>
          </w:tcPr>
          <w:p w14:paraId="78F62C93">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10D601F5">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2DC7E446">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56D572EF">
            <w:pPr>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412DDDB9">
            <w:pPr>
              <w:spacing w:line="360" w:lineRule="auto"/>
              <w:jc w:val="center"/>
              <w:rPr>
                <w:rFonts w:hint="eastAsia" w:asciiTheme="minorEastAsia" w:hAnsiTheme="minorEastAsia" w:eastAsiaTheme="minorEastAsia" w:cstheme="minorEastAsia"/>
                <w:color w:val="auto"/>
                <w:sz w:val="24"/>
              </w:rPr>
            </w:pPr>
          </w:p>
        </w:tc>
        <w:tc>
          <w:tcPr>
            <w:tcW w:w="1575" w:type="dxa"/>
            <w:vAlign w:val="center"/>
          </w:tcPr>
          <w:p w14:paraId="5624E8B5">
            <w:pPr>
              <w:spacing w:line="360" w:lineRule="auto"/>
              <w:jc w:val="center"/>
              <w:rPr>
                <w:rFonts w:hint="eastAsia" w:asciiTheme="minorEastAsia" w:hAnsiTheme="minorEastAsia" w:eastAsiaTheme="minorEastAsia" w:cstheme="minorEastAsia"/>
                <w:color w:val="auto"/>
                <w:sz w:val="24"/>
              </w:rPr>
            </w:pPr>
          </w:p>
        </w:tc>
      </w:tr>
      <w:tr w14:paraId="2F08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9" w:type="dxa"/>
            <w:vAlign w:val="center"/>
          </w:tcPr>
          <w:p w14:paraId="533BBE20">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980" w:type="dxa"/>
            <w:vAlign w:val="center"/>
          </w:tcPr>
          <w:p w14:paraId="65096F0F">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XX</w:t>
            </w:r>
          </w:p>
        </w:tc>
        <w:tc>
          <w:tcPr>
            <w:tcW w:w="609" w:type="dxa"/>
            <w:vAlign w:val="center"/>
          </w:tcPr>
          <w:p w14:paraId="36D6B7CF">
            <w:pPr>
              <w:snapToGrid w:val="0"/>
              <w:spacing w:line="360" w:lineRule="auto"/>
              <w:jc w:val="center"/>
              <w:rPr>
                <w:rFonts w:hint="eastAsia" w:asciiTheme="minorEastAsia" w:hAnsiTheme="minorEastAsia" w:eastAsiaTheme="minorEastAsia" w:cstheme="minorEastAsia"/>
                <w:color w:val="auto"/>
                <w:sz w:val="24"/>
              </w:rPr>
            </w:pPr>
          </w:p>
        </w:tc>
        <w:tc>
          <w:tcPr>
            <w:tcW w:w="2278" w:type="dxa"/>
            <w:vAlign w:val="center"/>
          </w:tcPr>
          <w:p w14:paraId="3C8D745A">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57007160">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24EAAEB8">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74BA8EFE">
            <w:pPr>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083F38CA">
            <w:pPr>
              <w:spacing w:line="360" w:lineRule="auto"/>
              <w:jc w:val="center"/>
              <w:rPr>
                <w:rFonts w:hint="eastAsia" w:asciiTheme="minorEastAsia" w:hAnsiTheme="minorEastAsia" w:eastAsiaTheme="minorEastAsia" w:cstheme="minorEastAsia"/>
                <w:color w:val="auto"/>
                <w:sz w:val="24"/>
              </w:rPr>
            </w:pPr>
          </w:p>
        </w:tc>
        <w:tc>
          <w:tcPr>
            <w:tcW w:w="1575" w:type="dxa"/>
            <w:vAlign w:val="center"/>
          </w:tcPr>
          <w:p w14:paraId="6EA6ADA9">
            <w:pPr>
              <w:spacing w:line="360" w:lineRule="auto"/>
              <w:jc w:val="center"/>
              <w:rPr>
                <w:rFonts w:hint="eastAsia" w:asciiTheme="minorEastAsia" w:hAnsiTheme="minorEastAsia" w:eastAsiaTheme="minorEastAsia" w:cstheme="minorEastAsia"/>
                <w:color w:val="auto"/>
                <w:sz w:val="24"/>
              </w:rPr>
            </w:pPr>
          </w:p>
        </w:tc>
      </w:tr>
      <w:tr w14:paraId="553E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9" w:type="dxa"/>
            <w:vAlign w:val="center"/>
          </w:tcPr>
          <w:p w14:paraId="5DAF9091">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tc>
        <w:tc>
          <w:tcPr>
            <w:tcW w:w="980" w:type="dxa"/>
            <w:vAlign w:val="center"/>
          </w:tcPr>
          <w:p w14:paraId="088EE2F9">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7A36B669">
            <w:pPr>
              <w:snapToGrid w:val="0"/>
              <w:spacing w:line="360" w:lineRule="auto"/>
              <w:jc w:val="center"/>
              <w:rPr>
                <w:rFonts w:hint="eastAsia" w:asciiTheme="minorEastAsia" w:hAnsiTheme="minorEastAsia" w:eastAsiaTheme="minorEastAsia" w:cstheme="minorEastAsia"/>
                <w:color w:val="auto"/>
                <w:sz w:val="24"/>
              </w:rPr>
            </w:pPr>
          </w:p>
        </w:tc>
        <w:tc>
          <w:tcPr>
            <w:tcW w:w="2278" w:type="dxa"/>
            <w:vAlign w:val="center"/>
          </w:tcPr>
          <w:p w14:paraId="6997A24A">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0BF36394">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3DA98C22">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0F0DCA3B">
            <w:pPr>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24FA767C">
            <w:pPr>
              <w:spacing w:line="360" w:lineRule="auto"/>
              <w:jc w:val="center"/>
              <w:rPr>
                <w:rFonts w:hint="eastAsia" w:asciiTheme="minorEastAsia" w:hAnsiTheme="minorEastAsia" w:eastAsiaTheme="minorEastAsia" w:cstheme="minorEastAsia"/>
                <w:color w:val="auto"/>
                <w:sz w:val="24"/>
              </w:rPr>
            </w:pPr>
          </w:p>
        </w:tc>
        <w:tc>
          <w:tcPr>
            <w:tcW w:w="1575" w:type="dxa"/>
            <w:vAlign w:val="center"/>
          </w:tcPr>
          <w:p w14:paraId="2748C89A">
            <w:pPr>
              <w:spacing w:line="360" w:lineRule="auto"/>
              <w:jc w:val="center"/>
              <w:rPr>
                <w:rFonts w:hint="eastAsia" w:asciiTheme="minorEastAsia" w:hAnsiTheme="minorEastAsia" w:eastAsiaTheme="minorEastAsia" w:cstheme="minorEastAsia"/>
                <w:color w:val="auto"/>
                <w:sz w:val="24"/>
              </w:rPr>
            </w:pPr>
          </w:p>
        </w:tc>
      </w:tr>
      <w:tr w14:paraId="7E35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9" w:type="dxa"/>
            <w:vAlign w:val="center"/>
          </w:tcPr>
          <w:p w14:paraId="511D42BC">
            <w:pPr>
              <w:spacing w:line="360" w:lineRule="auto"/>
              <w:jc w:val="center"/>
              <w:rPr>
                <w:rFonts w:hint="eastAsia" w:asciiTheme="minorEastAsia" w:hAnsiTheme="minorEastAsia" w:eastAsiaTheme="minorEastAsia" w:cstheme="minorEastAsia"/>
                <w:color w:val="auto"/>
                <w:sz w:val="24"/>
              </w:rPr>
            </w:pPr>
          </w:p>
        </w:tc>
        <w:tc>
          <w:tcPr>
            <w:tcW w:w="980" w:type="dxa"/>
            <w:vAlign w:val="center"/>
          </w:tcPr>
          <w:p w14:paraId="2F7C3975">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336040EE">
            <w:pPr>
              <w:snapToGrid w:val="0"/>
              <w:spacing w:line="360" w:lineRule="auto"/>
              <w:jc w:val="center"/>
              <w:rPr>
                <w:rFonts w:hint="eastAsia" w:asciiTheme="minorEastAsia" w:hAnsiTheme="minorEastAsia" w:eastAsiaTheme="minorEastAsia" w:cstheme="minorEastAsia"/>
                <w:color w:val="auto"/>
                <w:sz w:val="24"/>
              </w:rPr>
            </w:pPr>
          </w:p>
        </w:tc>
        <w:tc>
          <w:tcPr>
            <w:tcW w:w="2278" w:type="dxa"/>
            <w:vAlign w:val="center"/>
          </w:tcPr>
          <w:p w14:paraId="1A87EAAD">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6261EDBC">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605AC10E">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23A533D2">
            <w:pPr>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47691357">
            <w:pPr>
              <w:spacing w:line="360" w:lineRule="auto"/>
              <w:jc w:val="center"/>
              <w:rPr>
                <w:rFonts w:hint="eastAsia" w:asciiTheme="minorEastAsia" w:hAnsiTheme="minorEastAsia" w:eastAsiaTheme="minorEastAsia" w:cstheme="minorEastAsia"/>
                <w:color w:val="auto"/>
                <w:sz w:val="24"/>
              </w:rPr>
            </w:pPr>
          </w:p>
        </w:tc>
        <w:tc>
          <w:tcPr>
            <w:tcW w:w="1575" w:type="dxa"/>
            <w:vAlign w:val="center"/>
          </w:tcPr>
          <w:p w14:paraId="7D421DFB">
            <w:pPr>
              <w:spacing w:line="360" w:lineRule="auto"/>
              <w:jc w:val="center"/>
              <w:rPr>
                <w:rFonts w:hint="eastAsia" w:asciiTheme="minorEastAsia" w:hAnsiTheme="minorEastAsia" w:eastAsiaTheme="minorEastAsia" w:cstheme="minorEastAsia"/>
                <w:color w:val="auto"/>
                <w:sz w:val="24"/>
              </w:rPr>
            </w:pPr>
          </w:p>
        </w:tc>
      </w:tr>
      <w:tr w14:paraId="294E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09" w:type="dxa"/>
            <w:vAlign w:val="center"/>
          </w:tcPr>
          <w:p w14:paraId="40453828">
            <w:pPr>
              <w:spacing w:line="360" w:lineRule="auto"/>
              <w:jc w:val="center"/>
              <w:rPr>
                <w:rFonts w:hint="eastAsia" w:asciiTheme="minorEastAsia" w:hAnsiTheme="minorEastAsia" w:eastAsiaTheme="minorEastAsia" w:cstheme="minorEastAsia"/>
                <w:color w:val="auto"/>
                <w:sz w:val="24"/>
              </w:rPr>
            </w:pPr>
          </w:p>
        </w:tc>
        <w:tc>
          <w:tcPr>
            <w:tcW w:w="980" w:type="dxa"/>
            <w:vAlign w:val="center"/>
          </w:tcPr>
          <w:p w14:paraId="1282E300">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4FB008DA">
            <w:pPr>
              <w:snapToGrid w:val="0"/>
              <w:spacing w:line="360" w:lineRule="auto"/>
              <w:jc w:val="center"/>
              <w:rPr>
                <w:rFonts w:hint="eastAsia" w:asciiTheme="minorEastAsia" w:hAnsiTheme="minorEastAsia" w:eastAsiaTheme="minorEastAsia" w:cstheme="minorEastAsia"/>
                <w:color w:val="auto"/>
                <w:sz w:val="24"/>
              </w:rPr>
            </w:pPr>
          </w:p>
        </w:tc>
        <w:tc>
          <w:tcPr>
            <w:tcW w:w="2278" w:type="dxa"/>
            <w:vAlign w:val="center"/>
          </w:tcPr>
          <w:p w14:paraId="0996E43C">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34F13C66">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4B4B37A2">
            <w:pPr>
              <w:snapToGrid w:val="0"/>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3AA3FC51">
            <w:pPr>
              <w:spacing w:line="360" w:lineRule="auto"/>
              <w:jc w:val="center"/>
              <w:rPr>
                <w:rFonts w:hint="eastAsia" w:asciiTheme="minorEastAsia" w:hAnsiTheme="minorEastAsia" w:eastAsiaTheme="minorEastAsia" w:cstheme="minorEastAsia"/>
                <w:color w:val="auto"/>
                <w:sz w:val="24"/>
              </w:rPr>
            </w:pPr>
          </w:p>
        </w:tc>
        <w:tc>
          <w:tcPr>
            <w:tcW w:w="609" w:type="dxa"/>
            <w:vAlign w:val="center"/>
          </w:tcPr>
          <w:p w14:paraId="5A084F54">
            <w:pPr>
              <w:spacing w:line="360" w:lineRule="auto"/>
              <w:jc w:val="center"/>
              <w:rPr>
                <w:rFonts w:hint="eastAsia" w:asciiTheme="minorEastAsia" w:hAnsiTheme="minorEastAsia" w:eastAsiaTheme="minorEastAsia" w:cstheme="minorEastAsia"/>
                <w:color w:val="auto"/>
                <w:sz w:val="24"/>
              </w:rPr>
            </w:pPr>
          </w:p>
        </w:tc>
        <w:tc>
          <w:tcPr>
            <w:tcW w:w="1575" w:type="dxa"/>
            <w:vAlign w:val="center"/>
          </w:tcPr>
          <w:p w14:paraId="2A7416F3">
            <w:pPr>
              <w:spacing w:line="360" w:lineRule="auto"/>
              <w:jc w:val="center"/>
              <w:rPr>
                <w:rFonts w:hint="eastAsia" w:asciiTheme="minorEastAsia" w:hAnsiTheme="minorEastAsia" w:eastAsiaTheme="minorEastAsia" w:cstheme="minorEastAsia"/>
                <w:color w:val="auto"/>
                <w:sz w:val="24"/>
              </w:rPr>
            </w:pPr>
          </w:p>
        </w:tc>
      </w:tr>
      <w:tr w14:paraId="7150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09" w:type="dxa"/>
            <w:vAlign w:val="center"/>
          </w:tcPr>
          <w:p w14:paraId="60B15922">
            <w:pPr>
              <w:spacing w:line="360" w:lineRule="auto"/>
              <w:jc w:val="center"/>
              <w:rPr>
                <w:rFonts w:hint="eastAsia" w:asciiTheme="minorEastAsia" w:hAnsiTheme="minorEastAsia" w:eastAsiaTheme="minorEastAsia" w:cstheme="minorEastAsia"/>
                <w:b/>
                <w:color w:val="auto"/>
                <w:sz w:val="24"/>
              </w:rPr>
            </w:pPr>
          </w:p>
        </w:tc>
        <w:tc>
          <w:tcPr>
            <w:tcW w:w="6303" w:type="dxa"/>
            <w:gridSpan w:val="7"/>
            <w:vAlign w:val="center"/>
          </w:tcPr>
          <w:p w14:paraId="2EDE4886">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投标报价（小写）</w:t>
            </w:r>
          </w:p>
        </w:tc>
        <w:tc>
          <w:tcPr>
            <w:tcW w:w="1575" w:type="dxa"/>
            <w:vAlign w:val="center"/>
          </w:tcPr>
          <w:p w14:paraId="41205118">
            <w:pPr>
              <w:spacing w:line="360" w:lineRule="auto"/>
              <w:jc w:val="center"/>
              <w:rPr>
                <w:rFonts w:hint="eastAsia" w:asciiTheme="minorEastAsia" w:hAnsiTheme="minorEastAsia" w:eastAsiaTheme="minorEastAsia" w:cstheme="minorEastAsia"/>
                <w:color w:val="auto"/>
                <w:sz w:val="24"/>
              </w:rPr>
            </w:pPr>
          </w:p>
        </w:tc>
      </w:tr>
      <w:tr w14:paraId="7C69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09" w:type="dxa"/>
            <w:vAlign w:val="center"/>
          </w:tcPr>
          <w:p w14:paraId="28A6E88F">
            <w:pPr>
              <w:spacing w:line="360" w:lineRule="auto"/>
              <w:jc w:val="center"/>
              <w:rPr>
                <w:rFonts w:hint="eastAsia" w:asciiTheme="minorEastAsia" w:hAnsiTheme="minorEastAsia" w:eastAsiaTheme="minorEastAsia" w:cstheme="minorEastAsia"/>
                <w:b/>
                <w:color w:val="auto"/>
                <w:sz w:val="24"/>
              </w:rPr>
            </w:pPr>
          </w:p>
        </w:tc>
        <w:tc>
          <w:tcPr>
            <w:tcW w:w="6303" w:type="dxa"/>
            <w:gridSpan w:val="7"/>
            <w:vAlign w:val="center"/>
          </w:tcPr>
          <w:p w14:paraId="3B475F4D">
            <w:pPr>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投标报价（大写）</w:t>
            </w:r>
          </w:p>
        </w:tc>
        <w:tc>
          <w:tcPr>
            <w:tcW w:w="1575" w:type="dxa"/>
            <w:vAlign w:val="center"/>
          </w:tcPr>
          <w:p w14:paraId="1B34B16F">
            <w:pPr>
              <w:spacing w:line="360" w:lineRule="auto"/>
              <w:jc w:val="center"/>
              <w:rPr>
                <w:rFonts w:hint="eastAsia" w:asciiTheme="minorEastAsia" w:hAnsiTheme="minorEastAsia" w:eastAsiaTheme="minorEastAsia" w:cstheme="minorEastAsia"/>
                <w:color w:val="auto"/>
                <w:sz w:val="24"/>
              </w:rPr>
            </w:pPr>
          </w:p>
        </w:tc>
      </w:tr>
    </w:tbl>
    <w:p w14:paraId="7B3CEEF1">
      <w:pPr>
        <w:snapToGrid w:val="0"/>
        <w:spacing w:line="360" w:lineRule="auto"/>
        <w:ind w:left="480"/>
        <w:rPr>
          <w:rFonts w:hint="eastAsia" w:asciiTheme="minorEastAsia" w:hAnsiTheme="minorEastAsia" w:eastAsiaTheme="minorEastAsia" w:cstheme="minorEastAsia"/>
          <w:b/>
          <w:color w:val="auto"/>
          <w:kern w:val="0"/>
          <w:sz w:val="24"/>
          <w:lang w:val="zh-CN"/>
        </w:rPr>
      </w:pPr>
    </w:p>
    <w:p w14:paraId="6EB8CDFC">
      <w:pPr>
        <w:snapToGrid w:val="0"/>
        <w:spacing w:line="360" w:lineRule="auto"/>
        <w:ind w:left="480"/>
        <w:rPr>
          <w:rFonts w:hint="eastAsia" w:asciiTheme="minorEastAsia" w:hAnsiTheme="minorEastAsia" w:eastAsiaTheme="minorEastAsia" w:cstheme="minorEastAsia"/>
          <w:b/>
          <w:color w:val="auto"/>
          <w:kern w:val="0"/>
          <w:sz w:val="24"/>
          <w:lang w:val="zh-CN"/>
        </w:rPr>
      </w:pPr>
      <w:r>
        <w:rPr>
          <w:rFonts w:hint="eastAsia" w:asciiTheme="minorEastAsia" w:hAnsiTheme="minorEastAsia" w:eastAsiaTheme="minorEastAsia" w:cstheme="minorEastAsia"/>
          <w:b/>
          <w:color w:val="auto"/>
          <w:kern w:val="0"/>
          <w:sz w:val="24"/>
          <w:lang w:val="zh-CN"/>
        </w:rPr>
        <w:t>注：</w:t>
      </w:r>
    </w:p>
    <w:p w14:paraId="289F10DF">
      <w:pPr>
        <w:spacing w:line="360" w:lineRule="auto"/>
        <w:ind w:left="-2" w:leftChars="-1"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1、投标人需按本表</w:t>
      </w:r>
      <w:r>
        <w:rPr>
          <w:rFonts w:hint="eastAsia" w:asciiTheme="minorEastAsia" w:hAnsiTheme="minorEastAsia" w:eastAsiaTheme="minorEastAsia" w:cstheme="minorEastAsia"/>
          <w:color w:val="auto"/>
          <w:kern w:val="0"/>
          <w:sz w:val="24"/>
        </w:rPr>
        <w:t>或者采购清单</w:t>
      </w:r>
      <w:r>
        <w:rPr>
          <w:rFonts w:hint="eastAsia" w:asciiTheme="minorEastAsia" w:hAnsiTheme="minorEastAsia" w:eastAsiaTheme="minorEastAsia" w:cstheme="minorEastAsia"/>
          <w:color w:val="auto"/>
          <w:kern w:val="0"/>
          <w:sz w:val="24"/>
          <w:lang w:val="zh-CN"/>
        </w:rPr>
        <w:t>格式填写</w:t>
      </w:r>
      <w:r>
        <w:rPr>
          <w:rFonts w:hint="eastAsia" w:asciiTheme="minorEastAsia" w:hAnsiTheme="minorEastAsia" w:eastAsiaTheme="minorEastAsia" w:cstheme="minorEastAsia"/>
          <w:b/>
          <w:color w:val="auto"/>
          <w:kern w:val="0"/>
          <w:sz w:val="24"/>
          <w:lang w:val="zh-CN"/>
        </w:rPr>
        <w:t>，</w:t>
      </w:r>
      <w:r>
        <w:rPr>
          <w:rFonts w:hint="eastAsia" w:asciiTheme="minorEastAsia" w:hAnsiTheme="minorEastAsia" w:eastAsiaTheme="minorEastAsia" w:cstheme="minorEastAsia"/>
          <w:b/>
          <w:color w:val="auto"/>
          <w:kern w:val="0"/>
          <w:sz w:val="24"/>
        </w:rPr>
        <w:t>否则视为</w:t>
      </w:r>
      <w:r>
        <w:rPr>
          <w:rFonts w:hint="eastAsia" w:asciiTheme="minorEastAsia" w:hAnsiTheme="minorEastAsia" w:eastAsiaTheme="minorEastAsia" w:cstheme="minorEastAsia"/>
          <w:b/>
          <w:color w:val="auto"/>
          <w:sz w:val="24"/>
        </w:rPr>
        <w:t>投标文件含有采购人不能接受的附加条件，投标无效</w:t>
      </w:r>
      <w:r>
        <w:rPr>
          <w:rFonts w:hint="eastAsia" w:asciiTheme="minorEastAsia" w:hAnsiTheme="minorEastAsia" w:eastAsiaTheme="minorEastAsia" w:cstheme="minorEastAsia"/>
          <w:color w:val="auto"/>
          <w:kern w:val="0"/>
          <w:sz w:val="24"/>
          <w:lang w:val="zh-CN"/>
        </w:rPr>
        <w:t>。</w:t>
      </w:r>
    </w:p>
    <w:p w14:paraId="7819B88A">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zh-CN"/>
        </w:rPr>
        <w:t>2、有关本项目实施所涉及的一切费用均计入报价。</w:t>
      </w:r>
      <w:r>
        <w:rPr>
          <w:rFonts w:hint="eastAsia" w:asciiTheme="minorEastAsia" w:hAnsiTheme="minorEastAsia" w:eastAsiaTheme="minorEastAsia" w:cstheme="minorEastAsia"/>
          <w:b/>
          <w:color w:val="auto"/>
          <w:kern w:val="0"/>
          <w:sz w:val="24"/>
          <w:lang w:val="zh-CN"/>
        </w:rPr>
        <w:t>采购人将以合同形式有偿取得货物或服务，不接受投标人给予的赠品、回扣或者与采购无关的其他商品、服务</w:t>
      </w:r>
      <w:r>
        <w:rPr>
          <w:rFonts w:hint="eastAsia" w:asciiTheme="minorEastAsia" w:hAnsiTheme="minorEastAsia" w:eastAsiaTheme="minorEastAsia" w:cstheme="minorEastAsia"/>
          <w:color w:val="auto"/>
          <w:kern w:val="0"/>
          <w:sz w:val="24"/>
          <w:lang w:val="zh-CN"/>
        </w:rPr>
        <w:t>，</w:t>
      </w:r>
      <w:r>
        <w:rPr>
          <w:rFonts w:hint="eastAsia" w:asciiTheme="minorEastAsia" w:hAnsiTheme="minorEastAsia" w:eastAsiaTheme="minorEastAsia" w:cstheme="minorEastAsia"/>
          <w:b/>
          <w:color w:val="auto"/>
          <w:kern w:val="0"/>
          <w:sz w:val="24"/>
          <w:lang w:val="zh-CN"/>
        </w:rPr>
        <w:t>不得出现“0元”“免费赠送”等形式的无偿报价，</w:t>
      </w:r>
      <w:r>
        <w:rPr>
          <w:rFonts w:hint="eastAsia" w:asciiTheme="minorEastAsia" w:hAnsiTheme="minorEastAsia" w:eastAsiaTheme="minorEastAsia" w:cstheme="minorEastAsia"/>
          <w:b/>
          <w:color w:val="auto"/>
          <w:kern w:val="0"/>
          <w:sz w:val="24"/>
        </w:rPr>
        <w:t>否则视为</w:t>
      </w:r>
      <w:r>
        <w:rPr>
          <w:rFonts w:hint="eastAsia" w:asciiTheme="minorEastAsia" w:hAnsiTheme="minorEastAsia" w:eastAsiaTheme="minorEastAsia" w:cstheme="minorEastAsia"/>
          <w:b/>
          <w:color w:val="auto"/>
          <w:sz w:val="24"/>
        </w:rPr>
        <w:t>投标文件含有采购人不能接受的附加条件，投标无效</w:t>
      </w:r>
      <w:r>
        <w:rPr>
          <w:rFonts w:hint="eastAsia" w:asciiTheme="minorEastAsia" w:hAnsiTheme="minorEastAsia" w:eastAsiaTheme="minorEastAsia" w:cstheme="minorEastAsia"/>
          <w:b/>
          <w:color w:val="auto"/>
          <w:kern w:val="0"/>
          <w:sz w:val="24"/>
          <w:lang w:val="zh-CN"/>
        </w:rPr>
        <w:t>；采购内容未包含在《开标一览表（报价表）》名称栏中，投标人不能作出合理解释的，</w:t>
      </w:r>
      <w:r>
        <w:rPr>
          <w:rFonts w:hint="eastAsia" w:asciiTheme="minorEastAsia" w:hAnsiTheme="minorEastAsia" w:eastAsiaTheme="minorEastAsia" w:cstheme="minorEastAsia"/>
          <w:b/>
          <w:color w:val="auto"/>
          <w:kern w:val="0"/>
          <w:sz w:val="24"/>
        </w:rPr>
        <w:t>视为</w:t>
      </w:r>
      <w:r>
        <w:rPr>
          <w:rFonts w:hint="eastAsia" w:asciiTheme="minorEastAsia" w:hAnsiTheme="minorEastAsia" w:eastAsiaTheme="minorEastAsia" w:cstheme="minorEastAsia"/>
          <w:b/>
          <w:color w:val="auto"/>
          <w:sz w:val="24"/>
        </w:rPr>
        <w:t>投标文件含有采购人不能接受的附加条件的，投标无效。</w:t>
      </w:r>
    </w:p>
    <w:p w14:paraId="7F37D7E3">
      <w:pPr>
        <w:snapToGrid w:val="0"/>
        <w:spacing w:line="360" w:lineRule="auto"/>
        <w:ind w:firstLine="480" w:firstLineChars="2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3、特别提示：采购代理机构将对项目名称和项目编号，中标供应商名称、地址和中标金额，主要中标标的名称、品牌（如果有）、规格型号、数量、单价等予以公示。</w:t>
      </w:r>
    </w:p>
    <w:p w14:paraId="1F58EAC8">
      <w:pPr>
        <w:snapToGrid w:val="0"/>
        <w:spacing w:line="360" w:lineRule="auto"/>
        <w:ind w:firstLine="480" w:firstLineChars="200"/>
        <w:rPr>
          <w:rFonts w:hint="eastAsia" w:asciiTheme="minorEastAsia" w:hAnsiTheme="minorEastAsia" w:eastAsiaTheme="minorEastAsia" w:cstheme="minorEastAsia"/>
          <w:color w:val="auto"/>
          <w:kern w:val="0"/>
          <w:sz w:val="24"/>
          <w:lang w:val="zh-CN"/>
        </w:rPr>
      </w:pPr>
    </w:p>
    <w:p w14:paraId="71D52B2B">
      <w:pPr>
        <w:spacing w:line="360" w:lineRule="auto"/>
        <w:ind w:firstLine="482" w:firstLineChars="200"/>
        <w:rPr>
          <w:rFonts w:hint="eastAsia" w:asciiTheme="minorEastAsia" w:hAnsiTheme="minorEastAsia" w:eastAsiaTheme="minorEastAsia" w:cstheme="minorEastAsia"/>
          <w:b/>
          <w:color w:val="auto"/>
          <w:kern w:val="0"/>
          <w:sz w:val="24"/>
        </w:rPr>
      </w:pPr>
    </w:p>
    <w:p w14:paraId="3A7AC9F5">
      <w:pPr>
        <w:spacing w:line="360" w:lineRule="auto"/>
        <w:ind w:right="-874" w:rightChars="-416"/>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kern w:val="0"/>
          <w:sz w:val="24"/>
          <w:lang w:val="zh-CN"/>
        </w:rPr>
        <w:t>供应商名称（电子签名）：</w:t>
      </w:r>
    </w:p>
    <w:p w14:paraId="453C9A27">
      <w:pPr>
        <w:autoSpaceDE w:val="0"/>
        <w:autoSpaceDN w:val="0"/>
        <w:spacing w:line="360" w:lineRule="auto"/>
        <w:ind w:left="5040" w:hanging="5040" w:hangingChars="21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                                            日期：    年  月   日</w:t>
      </w:r>
    </w:p>
    <w:p w14:paraId="7D93E336">
      <w:pPr>
        <w:pStyle w:val="696"/>
        <w:keepNext w:val="0"/>
        <w:pageBreakBefore w:val="0"/>
        <w:tabs>
          <w:tab w:val="clear" w:pos="720"/>
        </w:tabs>
        <w:snapToGrid w:val="0"/>
        <w:spacing w:before="120" w:after="120"/>
        <w:ind w:firstLine="643"/>
        <w:outlineLvl w:val="9"/>
        <w:rPr>
          <w:rFonts w:hint="eastAsia" w:asciiTheme="minorEastAsia" w:hAnsiTheme="minorEastAsia" w:eastAsiaTheme="minorEastAsia" w:cstheme="minorEastAsia"/>
          <w:color w:val="auto"/>
          <w:kern w:val="0"/>
          <w:sz w:val="24"/>
          <w:lang w:val="zh-CN"/>
        </w:rPr>
      </w:pPr>
    </w:p>
    <w:p w14:paraId="092C05EF">
      <w:pPr>
        <w:rPr>
          <w:rFonts w:hint="eastAsia" w:asciiTheme="minorEastAsia" w:hAnsiTheme="minorEastAsia" w:eastAsiaTheme="minorEastAsia" w:cstheme="minorEastAsia"/>
          <w:b/>
          <w:color w:val="auto"/>
          <w:spacing w:val="6"/>
          <w:sz w:val="32"/>
          <w:szCs w:val="32"/>
        </w:rPr>
      </w:pPr>
      <w:r>
        <w:rPr>
          <w:rFonts w:hint="eastAsia" w:asciiTheme="minorEastAsia" w:hAnsiTheme="minorEastAsia" w:eastAsiaTheme="minorEastAsia" w:cstheme="minorEastAsia"/>
          <w:b/>
          <w:color w:val="auto"/>
          <w:spacing w:val="6"/>
          <w:sz w:val="32"/>
          <w:szCs w:val="32"/>
        </w:rPr>
        <w:br w:type="page"/>
      </w:r>
    </w:p>
    <w:p w14:paraId="1F1745E5">
      <w:pPr>
        <w:spacing w:line="360" w:lineRule="auto"/>
        <w:rPr>
          <w:rFonts w:hint="eastAsia" w:asciiTheme="minorEastAsia" w:hAnsiTheme="minorEastAsia" w:eastAsiaTheme="minorEastAsia" w:cstheme="minorEastAsia"/>
          <w:b/>
          <w:color w:val="auto"/>
          <w:spacing w:val="6"/>
          <w:sz w:val="32"/>
          <w:szCs w:val="32"/>
        </w:rPr>
      </w:pPr>
      <w:r>
        <w:rPr>
          <w:rFonts w:hint="eastAsia" w:asciiTheme="minorEastAsia" w:hAnsiTheme="minorEastAsia" w:eastAsiaTheme="minorEastAsia" w:cstheme="minorEastAsia"/>
          <w:b/>
          <w:color w:val="auto"/>
          <w:spacing w:val="6"/>
          <w:sz w:val="32"/>
          <w:szCs w:val="32"/>
        </w:rPr>
        <w:t>附件2：质疑函范本及制作说明</w:t>
      </w:r>
    </w:p>
    <w:p w14:paraId="00A0E7C5">
      <w:pPr>
        <w:spacing w:line="360" w:lineRule="auto"/>
        <w:jc w:val="center"/>
        <w:rPr>
          <w:rFonts w:hint="eastAsia" w:asciiTheme="minorEastAsia" w:hAnsiTheme="minorEastAsia" w:eastAsiaTheme="minorEastAsia" w:cstheme="minorEastAsia"/>
          <w:b/>
          <w:color w:val="auto"/>
          <w:spacing w:val="6"/>
          <w:sz w:val="32"/>
          <w:szCs w:val="32"/>
        </w:rPr>
      </w:pPr>
      <w:r>
        <w:rPr>
          <w:rFonts w:hint="eastAsia" w:asciiTheme="minorEastAsia" w:hAnsiTheme="minorEastAsia" w:eastAsiaTheme="minorEastAsia" w:cstheme="minorEastAsia"/>
          <w:b/>
          <w:color w:val="auto"/>
          <w:spacing w:val="6"/>
          <w:sz w:val="32"/>
          <w:szCs w:val="32"/>
        </w:rPr>
        <w:t>质疑函范本</w:t>
      </w:r>
    </w:p>
    <w:p w14:paraId="08FC5DD0">
      <w:pPr>
        <w:snapToGrid w:val="0"/>
        <w:spacing w:before="240" w:beforeLines="100" w:line="360"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一、质疑供应商基本信息</w:t>
      </w:r>
    </w:p>
    <w:p w14:paraId="06D8B693">
      <w:pPr>
        <w:snapToGrid w:val="0"/>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质疑供应商：</w:t>
      </w:r>
      <w:r>
        <w:rPr>
          <w:rFonts w:hint="eastAsia" w:asciiTheme="minorEastAsia" w:hAnsiTheme="minorEastAsia" w:eastAsiaTheme="minorEastAsia" w:cstheme="minorEastAsia"/>
          <w:color w:val="auto"/>
          <w:sz w:val="24"/>
          <w:u w:val="dotted"/>
        </w:rPr>
        <w:t xml:space="preserve">                                        </w:t>
      </w:r>
    </w:p>
    <w:p w14:paraId="1632730E">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邮编：</w:t>
      </w:r>
      <w:r>
        <w:rPr>
          <w:rFonts w:hint="eastAsia" w:asciiTheme="minorEastAsia" w:hAnsiTheme="minorEastAsia" w:eastAsiaTheme="minorEastAsia" w:cstheme="minorEastAsia"/>
          <w:color w:val="auto"/>
          <w:sz w:val="24"/>
          <w:u w:val="dotted"/>
        </w:rPr>
        <w:t xml:space="preserve">                                                   </w:t>
      </w:r>
    </w:p>
    <w:p w14:paraId="2FDE2C14">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联系电话：</w:t>
      </w:r>
      <w:r>
        <w:rPr>
          <w:rFonts w:hint="eastAsia" w:asciiTheme="minorEastAsia" w:hAnsiTheme="minorEastAsia" w:eastAsiaTheme="minorEastAsia" w:cstheme="minorEastAsia"/>
          <w:color w:val="auto"/>
          <w:sz w:val="24"/>
          <w:u w:val="dotted"/>
        </w:rPr>
        <w:t xml:space="preserve">                              </w:t>
      </w:r>
    </w:p>
    <w:p w14:paraId="347F6604">
      <w:pPr>
        <w:snapToGrid w:val="0"/>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授权代表：</w:t>
      </w:r>
      <w:r>
        <w:rPr>
          <w:rFonts w:hint="eastAsia" w:asciiTheme="minorEastAsia" w:hAnsiTheme="minorEastAsia" w:eastAsiaTheme="minorEastAsia" w:cstheme="minorEastAsia"/>
          <w:color w:val="auto"/>
          <w:sz w:val="24"/>
          <w:u w:val="dotted"/>
        </w:rPr>
        <w:t xml:space="preserve">                                          </w:t>
      </w:r>
    </w:p>
    <w:p w14:paraId="483CB946">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 xml:space="preserve"> </w:t>
      </w:r>
    </w:p>
    <w:p w14:paraId="1C22B1EB">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地址： </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邮编：</w:t>
      </w:r>
      <w:r>
        <w:rPr>
          <w:rFonts w:hint="eastAsia" w:asciiTheme="minorEastAsia" w:hAnsiTheme="minorEastAsia" w:eastAsiaTheme="minorEastAsia" w:cstheme="minorEastAsia"/>
          <w:color w:val="auto"/>
          <w:sz w:val="24"/>
          <w:u w:val="dotted"/>
        </w:rPr>
        <w:t xml:space="preserve">                                                </w:t>
      </w:r>
    </w:p>
    <w:p w14:paraId="201A7232">
      <w:pPr>
        <w:snapToGrid w:val="0"/>
        <w:spacing w:line="360"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二、质疑项目基本情况</w:t>
      </w:r>
    </w:p>
    <w:p w14:paraId="75AA435B">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质疑项目的名称：</w:t>
      </w:r>
      <w:r>
        <w:rPr>
          <w:rFonts w:hint="eastAsia" w:asciiTheme="minorEastAsia" w:hAnsiTheme="minorEastAsia" w:eastAsiaTheme="minorEastAsia" w:cstheme="minorEastAsia"/>
          <w:color w:val="auto"/>
          <w:sz w:val="24"/>
          <w:u w:val="dotted"/>
        </w:rPr>
        <w:t xml:space="preserve">                                      </w:t>
      </w:r>
    </w:p>
    <w:p w14:paraId="4B5DAC4B">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质疑项目的编号：</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包号：</w:t>
      </w:r>
      <w:r>
        <w:rPr>
          <w:rFonts w:hint="eastAsia" w:asciiTheme="minorEastAsia" w:hAnsiTheme="minorEastAsia" w:eastAsiaTheme="minorEastAsia" w:cstheme="minorEastAsia"/>
          <w:color w:val="auto"/>
          <w:sz w:val="24"/>
          <w:u w:val="dotted"/>
        </w:rPr>
        <w:t xml:space="preserve">                 </w:t>
      </w:r>
    </w:p>
    <w:p w14:paraId="294950EB">
      <w:pPr>
        <w:snapToGrid w:val="0"/>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采购人名称：</w:t>
      </w:r>
      <w:r>
        <w:rPr>
          <w:rFonts w:hint="eastAsia" w:asciiTheme="minorEastAsia" w:hAnsiTheme="minorEastAsia" w:eastAsiaTheme="minorEastAsia" w:cstheme="minorEastAsia"/>
          <w:color w:val="auto"/>
          <w:sz w:val="24"/>
          <w:u w:val="dotted"/>
        </w:rPr>
        <w:t xml:space="preserve">                                         </w:t>
      </w:r>
    </w:p>
    <w:p w14:paraId="4B8CDE61">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采购文件获取日期：</w:t>
      </w:r>
      <w:r>
        <w:rPr>
          <w:rFonts w:hint="eastAsia" w:asciiTheme="minorEastAsia" w:hAnsiTheme="minorEastAsia" w:eastAsiaTheme="minorEastAsia" w:cstheme="minorEastAsia"/>
          <w:color w:val="auto"/>
          <w:sz w:val="24"/>
          <w:u w:val="dotted"/>
        </w:rPr>
        <w:t xml:space="preserve">                                           </w:t>
      </w:r>
    </w:p>
    <w:p w14:paraId="6CC4ACE9">
      <w:pPr>
        <w:snapToGrid w:val="0"/>
        <w:spacing w:line="360"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三、质疑事项具体内容</w:t>
      </w:r>
    </w:p>
    <w:p w14:paraId="7A5C45EC">
      <w:pPr>
        <w:snapToGrid w:val="0"/>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质疑事项1：</w:t>
      </w:r>
      <w:r>
        <w:rPr>
          <w:rFonts w:hint="eastAsia" w:asciiTheme="minorEastAsia" w:hAnsiTheme="minorEastAsia" w:eastAsiaTheme="minorEastAsia" w:cstheme="minorEastAsia"/>
          <w:color w:val="auto"/>
          <w:sz w:val="24"/>
          <w:u w:val="dotted"/>
        </w:rPr>
        <w:t xml:space="preserve">                                         </w:t>
      </w:r>
    </w:p>
    <w:p w14:paraId="33DABE80">
      <w:pPr>
        <w:snapToGrid w:val="0"/>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事实依据：</w:t>
      </w:r>
      <w:r>
        <w:rPr>
          <w:rFonts w:hint="eastAsia" w:asciiTheme="minorEastAsia" w:hAnsiTheme="minorEastAsia" w:eastAsiaTheme="minorEastAsia" w:cstheme="minorEastAsia"/>
          <w:color w:val="auto"/>
          <w:sz w:val="24"/>
          <w:u w:val="dotted"/>
        </w:rPr>
        <w:t xml:space="preserve">                                          </w:t>
      </w:r>
    </w:p>
    <w:p w14:paraId="53480705">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dotted"/>
        </w:rPr>
        <w:t xml:space="preserve">                                                       </w:t>
      </w:r>
    </w:p>
    <w:p w14:paraId="650EC4F3">
      <w:pPr>
        <w:snapToGrid w:val="0"/>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法律依据：</w:t>
      </w:r>
      <w:r>
        <w:rPr>
          <w:rFonts w:hint="eastAsia" w:asciiTheme="minorEastAsia" w:hAnsiTheme="minorEastAsia" w:eastAsiaTheme="minorEastAsia" w:cstheme="minorEastAsia"/>
          <w:color w:val="auto"/>
          <w:sz w:val="24"/>
          <w:u w:val="dotted"/>
        </w:rPr>
        <w:t xml:space="preserve">                                          </w:t>
      </w:r>
    </w:p>
    <w:p w14:paraId="39F19059">
      <w:pPr>
        <w:snapToGrid w:val="0"/>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u w:val="dotted"/>
        </w:rPr>
        <w:t xml:space="preserve">                                                     </w:t>
      </w:r>
    </w:p>
    <w:p w14:paraId="7E958918">
      <w:pPr>
        <w:snapToGrid w:val="0"/>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质疑事项2</w:t>
      </w:r>
    </w:p>
    <w:p w14:paraId="3E29565C">
      <w:pPr>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p w14:paraId="3BBFDEFD">
      <w:pPr>
        <w:snapToGrid w:val="0"/>
        <w:spacing w:line="360"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四、与质疑事项相关的质疑请求</w:t>
      </w:r>
    </w:p>
    <w:p w14:paraId="54B69884">
      <w:pPr>
        <w:snapToGrid w:val="0"/>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请求：</w:t>
      </w:r>
      <w:r>
        <w:rPr>
          <w:rFonts w:hint="eastAsia" w:asciiTheme="minorEastAsia" w:hAnsiTheme="minorEastAsia" w:eastAsiaTheme="minorEastAsia" w:cstheme="minorEastAsia"/>
          <w:color w:val="auto"/>
          <w:sz w:val="24"/>
          <w:u w:val="dotted"/>
        </w:rPr>
        <w:t xml:space="preserve">                                               </w:t>
      </w:r>
    </w:p>
    <w:p w14:paraId="5634760C">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签字(签章）：                   公章：                      </w:t>
      </w:r>
    </w:p>
    <w:p w14:paraId="301316D4">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日期：    </w:t>
      </w:r>
    </w:p>
    <w:p w14:paraId="54C002D6">
      <w:pPr>
        <w:spacing w:line="360" w:lineRule="auto"/>
        <w:rPr>
          <w:rFonts w:hint="eastAsia" w:asciiTheme="minorEastAsia" w:hAnsiTheme="minorEastAsia" w:eastAsiaTheme="minorEastAsia" w:cstheme="minorEastAsia"/>
          <w:b/>
          <w:color w:val="auto"/>
          <w:sz w:val="24"/>
        </w:rPr>
      </w:pPr>
    </w:p>
    <w:p w14:paraId="6165BFBA">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质疑函制作说明：</w:t>
      </w:r>
    </w:p>
    <w:p w14:paraId="66C48F0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1.供应商提出质疑时，应提交质疑函和必要的证明材料。</w:t>
      </w:r>
    </w:p>
    <w:p w14:paraId="170CDB19">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rPr>
        <w:t>供应商签署的授权委托书。授权委托书应载明代理人的姓名或者名称、代理事项、具体权限、期限和相关事项。</w:t>
      </w:r>
    </w:p>
    <w:p w14:paraId="069EEB1F">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3.质疑供应商若对项目的某一分包进行质疑，质疑函中应列明具体分包号。</w:t>
      </w:r>
    </w:p>
    <w:p w14:paraId="19F1080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4.质疑函的质疑事项应具体、明确，并有必要的事实依据和法律依据。</w:t>
      </w:r>
    </w:p>
    <w:p w14:paraId="2CA65264">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5.质疑函的质疑请求应与质疑事项相关。</w:t>
      </w:r>
    </w:p>
    <w:p w14:paraId="68C71D9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6.质疑供应商为自然人的，质疑函应由本人签字；质疑供应商为法人或者其他组织的，质疑函应由法定代表人、主要负责人，或者其授权代表签字或者盖章，并加盖公章。</w:t>
      </w:r>
    </w:p>
    <w:p w14:paraId="288FE530">
      <w:pPr>
        <w:spacing w:line="360" w:lineRule="auto"/>
        <w:ind w:firstLine="600" w:firstLineChars="200"/>
        <w:rPr>
          <w:rFonts w:hint="eastAsia" w:asciiTheme="minorEastAsia" w:hAnsiTheme="minorEastAsia" w:eastAsiaTheme="minorEastAsia" w:cstheme="minorEastAsia"/>
          <w:color w:val="auto"/>
          <w:sz w:val="30"/>
          <w:szCs w:val="30"/>
        </w:rPr>
      </w:pPr>
    </w:p>
    <w:p w14:paraId="03722843">
      <w:pPr>
        <w:spacing w:line="360" w:lineRule="auto"/>
        <w:jc w:val="center"/>
        <w:rPr>
          <w:rFonts w:hint="eastAsia" w:asciiTheme="minorEastAsia" w:hAnsiTheme="minorEastAsia" w:eastAsiaTheme="minorEastAsia" w:cstheme="minorEastAsia"/>
          <w:b/>
          <w:color w:val="auto"/>
          <w:spacing w:val="6"/>
          <w:sz w:val="32"/>
          <w:szCs w:val="32"/>
        </w:rPr>
      </w:pPr>
    </w:p>
    <w:p w14:paraId="1D1E9C56">
      <w:pPr>
        <w:spacing w:line="360" w:lineRule="auto"/>
        <w:jc w:val="center"/>
        <w:rPr>
          <w:rFonts w:hint="eastAsia" w:asciiTheme="minorEastAsia" w:hAnsiTheme="minorEastAsia" w:eastAsiaTheme="minorEastAsia" w:cstheme="minorEastAsia"/>
          <w:b/>
          <w:color w:val="auto"/>
          <w:spacing w:val="6"/>
          <w:sz w:val="32"/>
          <w:szCs w:val="32"/>
        </w:rPr>
      </w:pPr>
    </w:p>
    <w:p w14:paraId="4395B925">
      <w:pPr>
        <w:spacing w:line="360" w:lineRule="auto"/>
        <w:jc w:val="center"/>
        <w:rPr>
          <w:rFonts w:hint="eastAsia" w:asciiTheme="minorEastAsia" w:hAnsiTheme="minorEastAsia" w:eastAsiaTheme="minorEastAsia" w:cstheme="minorEastAsia"/>
          <w:b/>
          <w:color w:val="auto"/>
          <w:spacing w:val="6"/>
          <w:sz w:val="32"/>
          <w:szCs w:val="32"/>
        </w:rPr>
      </w:pPr>
    </w:p>
    <w:p w14:paraId="63E250D2">
      <w:pPr>
        <w:spacing w:line="360" w:lineRule="auto"/>
        <w:jc w:val="center"/>
        <w:rPr>
          <w:rFonts w:hint="eastAsia" w:asciiTheme="minorEastAsia" w:hAnsiTheme="minorEastAsia" w:eastAsiaTheme="minorEastAsia" w:cstheme="minorEastAsia"/>
          <w:b/>
          <w:color w:val="auto"/>
          <w:spacing w:val="6"/>
          <w:sz w:val="32"/>
          <w:szCs w:val="32"/>
        </w:rPr>
      </w:pPr>
    </w:p>
    <w:p w14:paraId="5A7B43B9">
      <w:pPr>
        <w:spacing w:line="360" w:lineRule="auto"/>
        <w:jc w:val="center"/>
        <w:rPr>
          <w:rFonts w:hint="eastAsia" w:asciiTheme="minorEastAsia" w:hAnsiTheme="minorEastAsia" w:eastAsiaTheme="minorEastAsia" w:cstheme="minorEastAsia"/>
          <w:b/>
          <w:color w:val="auto"/>
          <w:spacing w:val="6"/>
          <w:sz w:val="32"/>
          <w:szCs w:val="32"/>
        </w:rPr>
      </w:pPr>
    </w:p>
    <w:p w14:paraId="1C074580">
      <w:pPr>
        <w:spacing w:line="360" w:lineRule="auto"/>
        <w:jc w:val="center"/>
        <w:rPr>
          <w:rFonts w:hint="eastAsia" w:asciiTheme="minorEastAsia" w:hAnsiTheme="minorEastAsia" w:eastAsiaTheme="minorEastAsia" w:cstheme="minorEastAsia"/>
          <w:b/>
          <w:color w:val="auto"/>
          <w:spacing w:val="6"/>
          <w:sz w:val="32"/>
          <w:szCs w:val="32"/>
        </w:rPr>
      </w:pPr>
    </w:p>
    <w:p w14:paraId="44F23AEF">
      <w:pPr>
        <w:spacing w:line="360" w:lineRule="auto"/>
        <w:jc w:val="center"/>
        <w:rPr>
          <w:rFonts w:hint="eastAsia" w:asciiTheme="minorEastAsia" w:hAnsiTheme="minorEastAsia" w:eastAsiaTheme="minorEastAsia" w:cstheme="minorEastAsia"/>
          <w:b/>
          <w:color w:val="auto"/>
          <w:spacing w:val="6"/>
          <w:sz w:val="32"/>
          <w:szCs w:val="32"/>
        </w:rPr>
      </w:pPr>
    </w:p>
    <w:p w14:paraId="2F8B799E">
      <w:pPr>
        <w:pStyle w:val="85"/>
        <w:ind w:firstLine="667"/>
        <w:rPr>
          <w:rFonts w:hint="eastAsia" w:asciiTheme="minorEastAsia" w:hAnsiTheme="minorEastAsia" w:eastAsiaTheme="minorEastAsia" w:cstheme="minorEastAsia"/>
          <w:b/>
          <w:color w:val="auto"/>
          <w:spacing w:val="6"/>
          <w:sz w:val="32"/>
          <w:szCs w:val="32"/>
        </w:rPr>
      </w:pPr>
    </w:p>
    <w:p w14:paraId="762BC151">
      <w:pPr>
        <w:rPr>
          <w:rFonts w:hint="eastAsia" w:asciiTheme="minorEastAsia" w:hAnsiTheme="minorEastAsia" w:eastAsiaTheme="minorEastAsia" w:cstheme="minorEastAsia"/>
          <w:color w:val="auto"/>
        </w:rPr>
      </w:pPr>
    </w:p>
    <w:p w14:paraId="7F42A0C7">
      <w:pPr>
        <w:spacing w:line="360" w:lineRule="auto"/>
        <w:jc w:val="center"/>
        <w:rPr>
          <w:rFonts w:hint="eastAsia" w:asciiTheme="minorEastAsia" w:hAnsiTheme="minorEastAsia" w:eastAsiaTheme="minorEastAsia" w:cstheme="minorEastAsia"/>
          <w:b/>
          <w:color w:val="auto"/>
          <w:spacing w:val="6"/>
          <w:sz w:val="32"/>
          <w:szCs w:val="32"/>
        </w:rPr>
      </w:pPr>
    </w:p>
    <w:p w14:paraId="54771DE0">
      <w:pPr>
        <w:spacing w:line="360" w:lineRule="auto"/>
        <w:rPr>
          <w:rFonts w:hint="eastAsia" w:asciiTheme="minorEastAsia" w:hAnsiTheme="minorEastAsia" w:eastAsiaTheme="minorEastAsia" w:cstheme="minorEastAsia"/>
          <w:b/>
          <w:color w:val="auto"/>
          <w:spacing w:val="6"/>
          <w:sz w:val="32"/>
          <w:szCs w:val="32"/>
        </w:rPr>
      </w:pPr>
    </w:p>
    <w:p w14:paraId="70276519">
      <w:pPr>
        <w:spacing w:line="360" w:lineRule="auto"/>
        <w:rPr>
          <w:rFonts w:hint="eastAsia" w:asciiTheme="minorEastAsia" w:hAnsiTheme="minorEastAsia" w:eastAsiaTheme="minorEastAsia" w:cstheme="minorEastAsia"/>
          <w:b/>
          <w:color w:val="auto"/>
          <w:spacing w:val="6"/>
          <w:sz w:val="32"/>
          <w:szCs w:val="32"/>
        </w:rPr>
      </w:pPr>
    </w:p>
    <w:p w14:paraId="7691765C">
      <w:pPr>
        <w:spacing w:line="360" w:lineRule="auto"/>
        <w:rPr>
          <w:rFonts w:hint="eastAsia" w:asciiTheme="minorEastAsia" w:hAnsiTheme="minorEastAsia" w:eastAsiaTheme="minorEastAsia" w:cstheme="minorEastAsia"/>
          <w:b/>
          <w:color w:val="auto"/>
          <w:spacing w:val="6"/>
          <w:sz w:val="32"/>
          <w:szCs w:val="32"/>
        </w:rPr>
      </w:pPr>
      <w:r>
        <w:rPr>
          <w:rFonts w:hint="eastAsia" w:asciiTheme="minorEastAsia" w:hAnsiTheme="minorEastAsia" w:eastAsiaTheme="minorEastAsia" w:cstheme="minorEastAsia"/>
          <w:b/>
          <w:color w:val="auto"/>
          <w:spacing w:val="6"/>
          <w:sz w:val="32"/>
          <w:szCs w:val="32"/>
        </w:rPr>
        <w:t>附件3：投诉书范本及制作说明</w:t>
      </w:r>
    </w:p>
    <w:p w14:paraId="12B75EB7">
      <w:pPr>
        <w:spacing w:line="360" w:lineRule="auto"/>
        <w:jc w:val="center"/>
        <w:rPr>
          <w:rFonts w:hint="eastAsia" w:asciiTheme="minorEastAsia" w:hAnsiTheme="minorEastAsia" w:eastAsiaTheme="minorEastAsia" w:cstheme="minorEastAsia"/>
          <w:b/>
          <w:color w:val="auto"/>
          <w:sz w:val="24"/>
        </w:rPr>
      </w:pPr>
    </w:p>
    <w:p w14:paraId="7DC7C9BC">
      <w:pPr>
        <w:spacing w:line="360" w:lineRule="auto"/>
        <w:jc w:val="center"/>
        <w:rPr>
          <w:rFonts w:hint="eastAsia" w:asciiTheme="minorEastAsia" w:hAnsiTheme="minorEastAsia" w:eastAsiaTheme="minorEastAsia" w:cstheme="minorEastAsia"/>
          <w:b/>
          <w:color w:val="auto"/>
          <w:spacing w:val="6"/>
          <w:sz w:val="32"/>
          <w:szCs w:val="32"/>
        </w:rPr>
      </w:pPr>
      <w:r>
        <w:rPr>
          <w:rFonts w:hint="eastAsia" w:asciiTheme="minorEastAsia" w:hAnsiTheme="minorEastAsia" w:eastAsiaTheme="minorEastAsia" w:cstheme="minorEastAsia"/>
          <w:b/>
          <w:color w:val="auto"/>
          <w:spacing w:val="6"/>
          <w:sz w:val="32"/>
          <w:szCs w:val="32"/>
        </w:rPr>
        <w:t>投诉书范本</w:t>
      </w:r>
    </w:p>
    <w:p w14:paraId="17FBA76F">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一、投诉相关主体基本情况</w:t>
      </w:r>
    </w:p>
    <w:p w14:paraId="5A0E5FEF">
      <w:pPr>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投诉人：</w:t>
      </w:r>
      <w:r>
        <w:rPr>
          <w:rFonts w:hint="eastAsia" w:asciiTheme="minorEastAsia" w:hAnsiTheme="minorEastAsia" w:eastAsiaTheme="minorEastAsia" w:cstheme="minorEastAsia"/>
          <w:color w:val="auto"/>
          <w:sz w:val="24"/>
          <w:u w:val="dotted"/>
        </w:rPr>
        <w:t xml:space="preserve">                                               </w:t>
      </w:r>
    </w:p>
    <w:p w14:paraId="09DCB468">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地     址：</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邮编：</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u w:val="single"/>
        </w:rPr>
        <w:t xml:space="preserve">   </w:t>
      </w:r>
    </w:p>
    <w:p w14:paraId="07E5FB59">
      <w:pPr>
        <w:tabs>
          <w:tab w:val="left" w:pos="6510"/>
        </w:tabs>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法定代表人/主要负责人：</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 xml:space="preserve">  </w:t>
      </w:r>
    </w:p>
    <w:p w14:paraId="537AA677">
      <w:pPr>
        <w:tabs>
          <w:tab w:val="left" w:pos="6510"/>
        </w:tabs>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联系电话：</w:t>
      </w:r>
      <w:r>
        <w:rPr>
          <w:rFonts w:hint="eastAsia" w:asciiTheme="minorEastAsia" w:hAnsiTheme="minorEastAsia" w:eastAsiaTheme="minorEastAsia" w:cstheme="minorEastAsia"/>
          <w:color w:val="auto"/>
          <w:sz w:val="24"/>
          <w:u w:val="dotted"/>
        </w:rPr>
        <w:t xml:space="preserve">                                             </w:t>
      </w:r>
    </w:p>
    <w:p w14:paraId="28EAC148">
      <w:pPr>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授权代表：</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联系电话</w:t>
      </w:r>
      <w:r>
        <w:rPr>
          <w:rFonts w:hint="eastAsia" w:asciiTheme="minorEastAsia" w:hAnsiTheme="minorEastAsia" w:eastAsiaTheme="minorEastAsia" w:cstheme="minorEastAsia"/>
          <w:color w:val="auto"/>
          <w:sz w:val="24"/>
          <w:u w:val="dotted"/>
        </w:rPr>
        <w:t xml:space="preserve">：                  </w:t>
      </w:r>
    </w:p>
    <w:p w14:paraId="0B97B6A7">
      <w:pPr>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地     址：</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邮编：</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dotted"/>
        </w:rPr>
        <w:t xml:space="preserve">                   </w:t>
      </w:r>
    </w:p>
    <w:p w14:paraId="41D465A1">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被投诉人1：</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u w:val="single"/>
        </w:rPr>
        <w:t xml:space="preserve">  </w:t>
      </w:r>
    </w:p>
    <w:p w14:paraId="50605E81">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地     址：</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邮编：</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u w:val="single"/>
        </w:rPr>
        <w:t xml:space="preserve"> </w:t>
      </w:r>
    </w:p>
    <w:p w14:paraId="3C011762">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联系人：</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联系电话：</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u w:val="single"/>
        </w:rPr>
        <w:t xml:space="preserve"> </w:t>
      </w:r>
    </w:p>
    <w:p w14:paraId="6170D8EF">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被投诉人2</w:t>
      </w:r>
    </w:p>
    <w:p w14:paraId="2652FE45">
      <w:pPr>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w:t>
      </w:r>
    </w:p>
    <w:p w14:paraId="7E5FD95D">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相关供应商：</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u w:val="single"/>
        </w:rPr>
        <w:t xml:space="preserve">    </w:t>
      </w:r>
    </w:p>
    <w:p w14:paraId="50EF9359">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地     址：</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邮编：</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u w:val="single"/>
        </w:rPr>
        <w:t xml:space="preserve"> </w:t>
      </w:r>
    </w:p>
    <w:p w14:paraId="4F74E71B">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联系人：</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联系电话：</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u w:val="single"/>
        </w:rPr>
        <w:t xml:space="preserve">      </w:t>
      </w:r>
    </w:p>
    <w:p w14:paraId="21ED9972">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二、投诉项目基本情况</w:t>
      </w:r>
    </w:p>
    <w:p w14:paraId="32C2BE1E">
      <w:pPr>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采购项目名称：</w:t>
      </w:r>
      <w:r>
        <w:rPr>
          <w:rFonts w:hint="eastAsia" w:asciiTheme="minorEastAsia" w:hAnsiTheme="minorEastAsia" w:eastAsiaTheme="minorEastAsia" w:cstheme="minorEastAsia"/>
          <w:color w:val="auto"/>
          <w:sz w:val="24"/>
          <w:u w:val="dotted"/>
        </w:rPr>
        <w:t xml:space="preserve">                                        </w:t>
      </w:r>
    </w:p>
    <w:p w14:paraId="4D4FEDF1">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采购项目编号：</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包号：</w:t>
      </w:r>
      <w:r>
        <w:rPr>
          <w:rFonts w:hint="eastAsia" w:asciiTheme="minorEastAsia" w:hAnsiTheme="minorEastAsia" w:eastAsiaTheme="minorEastAsia" w:cstheme="minorEastAsia"/>
          <w:color w:val="auto"/>
          <w:sz w:val="24"/>
          <w:u w:val="dotted"/>
        </w:rPr>
        <w:t xml:space="preserve">              </w:t>
      </w:r>
    </w:p>
    <w:p w14:paraId="5465EADA">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采购人名称：</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u w:val="single"/>
        </w:rPr>
        <w:t xml:space="preserve">  </w:t>
      </w:r>
    </w:p>
    <w:p w14:paraId="2D896B1C">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代理机构名称：</w:t>
      </w:r>
      <w:r>
        <w:rPr>
          <w:rFonts w:hint="eastAsia" w:asciiTheme="minorEastAsia" w:hAnsiTheme="minorEastAsia" w:eastAsiaTheme="minorEastAsia" w:cstheme="minorEastAsia"/>
          <w:color w:val="auto"/>
          <w:sz w:val="24"/>
          <w:u w:val="dotted"/>
        </w:rPr>
        <w:t xml:space="preserve">                                         </w:t>
      </w:r>
    </w:p>
    <w:p w14:paraId="3337DC34">
      <w:pPr>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采购文件公告：</w:t>
      </w:r>
      <w:r>
        <w:rPr>
          <w:rFonts w:hint="eastAsia" w:asciiTheme="minorEastAsia" w:hAnsiTheme="minorEastAsia" w:eastAsiaTheme="minorEastAsia" w:cstheme="minorEastAsia"/>
          <w:color w:val="auto"/>
          <w:sz w:val="24"/>
          <w:u w:val="dotted"/>
        </w:rPr>
        <w:t xml:space="preserve">是/否 </w:t>
      </w:r>
      <w:r>
        <w:rPr>
          <w:rFonts w:hint="eastAsia" w:asciiTheme="minorEastAsia" w:hAnsiTheme="minorEastAsia" w:eastAsiaTheme="minorEastAsia" w:cstheme="minorEastAsia"/>
          <w:color w:val="auto"/>
          <w:sz w:val="24"/>
        </w:rPr>
        <w:t>公告期限：</w:t>
      </w:r>
      <w:r>
        <w:rPr>
          <w:rFonts w:hint="eastAsia" w:asciiTheme="minorEastAsia" w:hAnsiTheme="minorEastAsia" w:eastAsiaTheme="minorEastAsia" w:cstheme="minorEastAsia"/>
          <w:color w:val="auto"/>
          <w:sz w:val="24"/>
          <w:u w:val="dotted"/>
        </w:rPr>
        <w:t xml:space="preserve">                                 </w:t>
      </w:r>
    </w:p>
    <w:p w14:paraId="58FD5697">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采购结果公告：</w:t>
      </w:r>
      <w:r>
        <w:rPr>
          <w:rFonts w:hint="eastAsia" w:asciiTheme="minorEastAsia" w:hAnsiTheme="minorEastAsia" w:eastAsiaTheme="minorEastAsia" w:cstheme="minorEastAsia"/>
          <w:color w:val="auto"/>
          <w:sz w:val="24"/>
          <w:u w:val="dotted"/>
        </w:rPr>
        <w:t xml:space="preserve">是/否 </w:t>
      </w:r>
      <w:r>
        <w:rPr>
          <w:rFonts w:hint="eastAsia" w:asciiTheme="minorEastAsia" w:hAnsiTheme="minorEastAsia" w:eastAsiaTheme="minorEastAsia" w:cstheme="minorEastAsia"/>
          <w:color w:val="auto"/>
          <w:sz w:val="24"/>
        </w:rPr>
        <w:t>公告期限：</w:t>
      </w:r>
      <w:r>
        <w:rPr>
          <w:rFonts w:hint="eastAsia" w:asciiTheme="minorEastAsia" w:hAnsiTheme="minorEastAsia" w:eastAsiaTheme="minorEastAsia" w:cstheme="minorEastAsia"/>
          <w:color w:val="auto"/>
          <w:sz w:val="24"/>
          <w:u w:val="dotted"/>
        </w:rPr>
        <w:t xml:space="preserve">                        </w:t>
      </w:r>
    </w:p>
    <w:p w14:paraId="0340FF18">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三、质疑基本情况</w:t>
      </w:r>
    </w:p>
    <w:p w14:paraId="7D59DC3B">
      <w:pPr>
        <w:spacing w:line="360" w:lineRule="auto"/>
        <w:ind w:firstLine="480" w:firstLineChars="200"/>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投诉人于</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提出质疑，质疑事项为：</w:t>
      </w:r>
      <w:r>
        <w:rPr>
          <w:rFonts w:hint="eastAsia" w:asciiTheme="minorEastAsia" w:hAnsiTheme="minorEastAsia" w:eastAsiaTheme="minorEastAsia" w:cstheme="minorEastAsia"/>
          <w:color w:val="auto"/>
          <w:sz w:val="24"/>
          <w:u w:val="dotted"/>
        </w:rPr>
        <w:t xml:space="preserve">                                </w:t>
      </w:r>
    </w:p>
    <w:p w14:paraId="646B63D2">
      <w:pPr>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 xml:space="preserve">  </w:t>
      </w:r>
    </w:p>
    <w:p w14:paraId="41F1A9EA">
      <w:pPr>
        <w:spacing w:line="360" w:lineRule="auto"/>
        <w:ind w:firstLine="360" w:firstLineChars="1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dotted"/>
        </w:rPr>
        <w:t>采购人/代理机构</w:t>
      </w:r>
      <w:r>
        <w:rPr>
          <w:rFonts w:hint="eastAsia" w:asciiTheme="minorEastAsia" w:hAnsiTheme="minorEastAsia" w:eastAsiaTheme="minorEastAsia" w:cstheme="minorEastAsia"/>
          <w:color w:val="auto"/>
          <w:sz w:val="24"/>
        </w:rPr>
        <w:t>于</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日，就质疑事项作出了答复/没有在法定期限内作出答复。</w:t>
      </w:r>
    </w:p>
    <w:p w14:paraId="736D9509">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四、投诉事项具体内容</w:t>
      </w:r>
    </w:p>
    <w:p w14:paraId="7FBFEC66">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投诉事项 1：</w:t>
      </w:r>
      <w:r>
        <w:rPr>
          <w:rFonts w:hint="eastAsia" w:asciiTheme="minorEastAsia" w:hAnsiTheme="minorEastAsia" w:eastAsiaTheme="minorEastAsia" w:cstheme="minorEastAsia"/>
          <w:color w:val="auto"/>
          <w:sz w:val="24"/>
          <w:u w:val="dotted"/>
        </w:rPr>
        <w:t xml:space="preserve">                                       </w:t>
      </w:r>
    </w:p>
    <w:p w14:paraId="4C19BAEA">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事实依据：</w:t>
      </w:r>
      <w:r>
        <w:rPr>
          <w:rFonts w:hint="eastAsia" w:asciiTheme="minorEastAsia" w:hAnsiTheme="minorEastAsia" w:eastAsiaTheme="minorEastAsia" w:cstheme="minorEastAsia"/>
          <w:color w:val="auto"/>
          <w:sz w:val="24"/>
          <w:u w:val="dotted"/>
        </w:rPr>
        <w:t xml:space="preserve">                                         </w:t>
      </w:r>
    </w:p>
    <w:p w14:paraId="28BE46DD">
      <w:pPr>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u w:val="dotted"/>
        </w:rPr>
        <w:t xml:space="preserve">                                                      </w:t>
      </w:r>
    </w:p>
    <w:p w14:paraId="0CC28E92">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法律依据：</w:t>
      </w:r>
      <w:r>
        <w:rPr>
          <w:rFonts w:hint="eastAsia" w:asciiTheme="minorEastAsia" w:hAnsiTheme="minorEastAsia" w:eastAsiaTheme="minorEastAsia" w:cstheme="minorEastAsia"/>
          <w:color w:val="auto"/>
          <w:sz w:val="24"/>
          <w:u w:val="dotted"/>
        </w:rPr>
        <w:t xml:space="preserve">                                          </w:t>
      </w:r>
    </w:p>
    <w:p w14:paraId="38398957">
      <w:pPr>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u w:val="dotted"/>
        </w:rPr>
        <w:t xml:space="preserve">                                                      </w:t>
      </w:r>
    </w:p>
    <w:p w14:paraId="538D42FB">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投诉事项2</w:t>
      </w:r>
    </w:p>
    <w:p w14:paraId="72DA1499">
      <w:pPr>
        <w:spacing w:line="360" w:lineRule="auto"/>
        <w:rPr>
          <w:rFonts w:hint="eastAsia" w:asciiTheme="minorEastAsia" w:hAnsiTheme="minorEastAsia" w:eastAsiaTheme="minorEastAsia" w:cstheme="minorEastAsia"/>
          <w:color w:val="auto"/>
          <w:sz w:val="24"/>
          <w:u w:val="dotted"/>
        </w:rPr>
      </w:pPr>
      <w:r>
        <w:rPr>
          <w:rFonts w:hint="eastAsia" w:asciiTheme="minorEastAsia" w:hAnsiTheme="minorEastAsia" w:eastAsiaTheme="minorEastAsia" w:cstheme="minorEastAsia"/>
          <w:color w:val="auto"/>
          <w:sz w:val="24"/>
        </w:rPr>
        <w:t>……</w:t>
      </w:r>
    </w:p>
    <w:p w14:paraId="0F16F341">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五、与投诉事项相关的投诉请求</w:t>
      </w:r>
    </w:p>
    <w:p w14:paraId="6413538D">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请求：</w:t>
      </w:r>
      <w:r>
        <w:rPr>
          <w:rFonts w:hint="eastAsia" w:asciiTheme="minorEastAsia" w:hAnsiTheme="minorEastAsia" w:eastAsiaTheme="minorEastAsia" w:cstheme="minorEastAsia"/>
          <w:color w:val="auto"/>
          <w:sz w:val="24"/>
          <w:u w:val="dotted"/>
        </w:rPr>
        <w:t xml:space="preserve">                                              </w:t>
      </w:r>
      <w:r>
        <w:rPr>
          <w:rFonts w:hint="eastAsia" w:asciiTheme="minorEastAsia" w:hAnsiTheme="minorEastAsia" w:eastAsiaTheme="minorEastAsia" w:cstheme="minorEastAsia"/>
          <w:color w:val="auto"/>
          <w:sz w:val="24"/>
        </w:rPr>
        <w:t xml:space="preserve"> </w:t>
      </w:r>
    </w:p>
    <w:p w14:paraId="50843B69">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 xml:space="preserve">                                                                                                    </w:t>
      </w:r>
    </w:p>
    <w:p w14:paraId="2C16F6B1">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签字(签章）：                   公章：                      </w:t>
      </w:r>
    </w:p>
    <w:p w14:paraId="3B6F01ED">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日期：    </w:t>
      </w:r>
    </w:p>
    <w:p w14:paraId="0FDBB796">
      <w:pPr>
        <w:spacing w:line="360" w:lineRule="auto"/>
        <w:rPr>
          <w:rFonts w:hint="eastAsia" w:asciiTheme="minorEastAsia" w:hAnsiTheme="minorEastAsia" w:eastAsiaTheme="minorEastAsia" w:cstheme="minorEastAsia"/>
          <w:b/>
          <w:color w:val="auto"/>
          <w:sz w:val="24"/>
        </w:rPr>
      </w:pPr>
    </w:p>
    <w:p w14:paraId="0AE21220">
      <w:pP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br w:type="page"/>
      </w:r>
    </w:p>
    <w:p w14:paraId="6652CB9D">
      <w:pPr>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投诉书制作说明：</w:t>
      </w:r>
    </w:p>
    <w:p w14:paraId="66C7D09E">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t>1.投诉人提起投诉时，应当提交投诉书和必要的证明材料，并按照被投诉人和与投诉事项有关的供应商数量提供投诉书副本。</w:t>
      </w:r>
    </w:p>
    <w:p w14:paraId="1F390174">
      <w:pPr>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t>2.投诉人若委托代理人进行投诉的，投诉书应按照要求列明“授权代表”的有关内容，并在附件中提交由</w:t>
      </w:r>
      <w:r>
        <w:rPr>
          <w:rFonts w:hint="eastAsia" w:asciiTheme="minorEastAsia" w:hAnsiTheme="minorEastAsia" w:eastAsiaTheme="minorEastAsia" w:cstheme="minorEastAsia"/>
          <w:color w:val="auto"/>
          <w:kern w:val="0"/>
          <w:sz w:val="24"/>
        </w:rPr>
        <w:t>投诉人签署的授权委托书。授权委托书应当载明代理人的姓名或者名称、代理事项、具体权限、期限和相关事项。</w:t>
      </w:r>
    </w:p>
    <w:p w14:paraId="547ED85A">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3.投诉人若对项目的某一分包进行投诉，投诉书应列明具体分包号。</w:t>
      </w:r>
    </w:p>
    <w:p w14:paraId="4759936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4.投诉书应简要列明质疑事项，质疑函、质疑答复等作为附件材料提供。</w:t>
      </w:r>
    </w:p>
    <w:p w14:paraId="0B072172">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5.投诉书的投诉事项应具体、明确，并有必要的事实依据和法律依据。</w:t>
      </w:r>
    </w:p>
    <w:p w14:paraId="5699317C">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6.投诉书的投诉请求应与投诉事项相关。</w:t>
      </w:r>
    </w:p>
    <w:p w14:paraId="600D8C5E">
      <w:pPr>
        <w:spacing w:line="360" w:lineRule="auto"/>
        <w:ind w:firstLine="480" w:firstLineChars="200"/>
        <w:rPr>
          <w:rFonts w:hint="eastAsia" w:asciiTheme="minorEastAsia" w:hAnsiTheme="minorEastAsia" w:eastAsiaTheme="minorEastAsia" w:cstheme="minorEastAsia"/>
          <w:b/>
          <w:color w:val="auto"/>
          <w:spacing w:val="6"/>
          <w:sz w:val="32"/>
          <w:szCs w:val="32"/>
        </w:rPr>
      </w:pPr>
      <w:r>
        <w:rPr>
          <w:rFonts w:hint="eastAsia" w:asciiTheme="minorEastAsia" w:hAnsiTheme="minorEastAsia" w:eastAsiaTheme="minorEastAsia" w:cstheme="minorEastAsia"/>
          <w:color w:val="auto"/>
          <w:sz w:val="24"/>
        </w:rPr>
        <w:t>7.投诉人为自然人的，投诉书应当由本人签字；投诉人为法人或者其他组织的，投诉书应当由法定代表人、主要负责人，或者其授权代表签字或者盖章，并加盖公章。</w:t>
      </w:r>
    </w:p>
    <w:p w14:paraId="729BDCDB">
      <w:pPr>
        <w:autoSpaceDE w:val="0"/>
        <w:autoSpaceDN w:val="0"/>
        <w:jc w:val="center"/>
        <w:rPr>
          <w:rFonts w:hint="eastAsia" w:asciiTheme="minorEastAsia" w:hAnsiTheme="minorEastAsia" w:eastAsiaTheme="minorEastAsia" w:cstheme="minorEastAsia"/>
          <w:b/>
          <w:color w:val="auto"/>
          <w:spacing w:val="6"/>
          <w:sz w:val="32"/>
          <w:szCs w:val="32"/>
        </w:rPr>
      </w:pPr>
    </w:p>
    <w:p w14:paraId="1C92C5AC">
      <w:pPr>
        <w:autoSpaceDE w:val="0"/>
        <w:autoSpaceDN w:val="0"/>
        <w:jc w:val="center"/>
        <w:rPr>
          <w:rFonts w:hint="eastAsia" w:asciiTheme="minorEastAsia" w:hAnsiTheme="minorEastAsia" w:eastAsiaTheme="minorEastAsia" w:cstheme="minorEastAsia"/>
          <w:b/>
          <w:color w:val="auto"/>
          <w:spacing w:val="6"/>
          <w:sz w:val="32"/>
          <w:szCs w:val="32"/>
        </w:rPr>
      </w:pPr>
    </w:p>
    <w:p w14:paraId="70E9C84C">
      <w:pPr>
        <w:rPr>
          <w:rFonts w:hint="eastAsia" w:asciiTheme="minorEastAsia" w:hAnsiTheme="minorEastAsia" w:eastAsiaTheme="minorEastAsia" w:cstheme="minorEastAsia"/>
          <w:b/>
          <w:color w:val="auto"/>
          <w:spacing w:val="6"/>
          <w:sz w:val="32"/>
          <w:szCs w:val="32"/>
        </w:rPr>
      </w:pPr>
      <w:r>
        <w:rPr>
          <w:rFonts w:hint="eastAsia" w:asciiTheme="minorEastAsia" w:hAnsiTheme="minorEastAsia" w:eastAsiaTheme="minorEastAsia" w:cstheme="minorEastAsia"/>
          <w:b/>
          <w:color w:val="auto"/>
          <w:spacing w:val="6"/>
          <w:sz w:val="32"/>
          <w:szCs w:val="32"/>
        </w:rPr>
        <w:br w:type="page"/>
      </w:r>
    </w:p>
    <w:p w14:paraId="17FE71B7">
      <w:pPr>
        <w:autoSpaceDE w:val="0"/>
        <w:autoSpaceDN w:val="0"/>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color w:val="auto"/>
          <w:spacing w:val="6"/>
          <w:sz w:val="32"/>
          <w:szCs w:val="32"/>
        </w:rPr>
        <w:t>附件4：</w:t>
      </w:r>
      <w:r>
        <w:rPr>
          <w:rFonts w:hint="eastAsia" w:asciiTheme="minorEastAsia" w:hAnsiTheme="minorEastAsia" w:eastAsiaTheme="minorEastAsia" w:cstheme="minorEastAsia"/>
          <w:b/>
          <w:bCs/>
          <w:color w:val="auto"/>
          <w:sz w:val="32"/>
          <w:szCs w:val="32"/>
        </w:rPr>
        <w:t>业务专用章使用说明函</w:t>
      </w:r>
    </w:p>
    <w:p w14:paraId="398AEA8C">
      <w:pPr>
        <w:spacing w:line="360" w:lineRule="auto"/>
        <w:rPr>
          <w:rFonts w:hint="eastAsia" w:asciiTheme="minorEastAsia" w:hAnsiTheme="minorEastAsia" w:eastAsiaTheme="minorEastAsia" w:cstheme="minorEastAsia"/>
          <w:color w:val="auto"/>
          <w:sz w:val="24"/>
          <w:u w:val="single"/>
        </w:rPr>
      </w:pPr>
    </w:p>
    <w:p w14:paraId="4E0754AF">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建德市罗村水力发电有限公司 、杭州欧方工程管理有限公司：</w:t>
      </w:r>
    </w:p>
    <w:p w14:paraId="22EE8248">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zh-CN"/>
        </w:rPr>
        <w:t>我方</w:t>
      </w:r>
      <w:r>
        <w:rPr>
          <w:rFonts w:hint="eastAsia" w:asciiTheme="minorEastAsia" w:hAnsiTheme="minorEastAsia" w:eastAsiaTheme="minorEastAsia" w:cstheme="minorEastAsia"/>
          <w:color w:val="auto"/>
          <w:kern w:val="0"/>
          <w:sz w:val="24"/>
          <w:u w:val="single"/>
          <w:lang w:val="zh-CN"/>
        </w:rPr>
        <w:t xml:space="preserve">                         </w:t>
      </w:r>
      <w:r>
        <w:rPr>
          <w:rFonts w:hint="eastAsia" w:asciiTheme="minorEastAsia" w:hAnsiTheme="minorEastAsia" w:eastAsiaTheme="minorEastAsia" w:cstheme="minorEastAsia"/>
          <w:color w:val="auto"/>
          <w:sz w:val="24"/>
        </w:rPr>
        <w:t>(投标人全称）是中华人民共和国依法登记注册的合法企业，</w:t>
      </w:r>
      <w:r>
        <w:rPr>
          <w:rFonts w:hint="eastAsia" w:asciiTheme="minorEastAsia" w:hAnsiTheme="minorEastAsia" w:eastAsiaTheme="minorEastAsia" w:cstheme="minorEastAsia"/>
          <w:bCs/>
          <w:color w:val="auto"/>
          <w:sz w:val="24"/>
        </w:rPr>
        <w:t>在参加</w:t>
      </w:r>
      <w:r>
        <w:rPr>
          <w:rFonts w:hint="eastAsia" w:asciiTheme="minorEastAsia" w:hAnsiTheme="minorEastAsia" w:eastAsiaTheme="minorEastAsia" w:cstheme="minorEastAsia"/>
          <w:color w:val="auto"/>
          <w:sz w:val="24"/>
        </w:rPr>
        <w:t>你方组织的</w:t>
      </w:r>
      <w:r>
        <w:rPr>
          <w:rFonts w:hint="eastAsia" w:asciiTheme="minorEastAsia" w:hAnsiTheme="minorEastAsia" w:eastAsiaTheme="minorEastAsia" w:cstheme="minorEastAsia"/>
          <w:color w:val="auto"/>
          <w:sz w:val="24"/>
          <w:lang w:eastAsia="zh-CN"/>
        </w:rPr>
        <w:t>建德市罗村三级电站更新改造暨梯级集控建设工程（机电设备）采购项目</w:t>
      </w:r>
      <w:r>
        <w:rPr>
          <w:rFonts w:hint="eastAsia" w:asciiTheme="minorEastAsia" w:hAnsiTheme="minorEastAsia" w:eastAsiaTheme="minorEastAsia" w:cstheme="minorEastAsia"/>
          <w:color w:val="auto"/>
          <w:sz w:val="24"/>
        </w:rPr>
        <w:t>【招标编号：HZOFCG2025B-088】</w:t>
      </w:r>
      <w:r>
        <w:rPr>
          <w:rFonts w:hint="eastAsia" w:asciiTheme="minorEastAsia" w:hAnsiTheme="minorEastAsia" w:eastAsiaTheme="minorEastAsia" w:cstheme="minorEastAsia"/>
          <w:bCs/>
          <w:color w:val="auto"/>
          <w:sz w:val="24"/>
        </w:rPr>
        <w:t>投标活动中作如下说明：</w:t>
      </w:r>
      <w:r>
        <w:rPr>
          <w:rFonts w:hint="eastAsia" w:asciiTheme="minorEastAsia" w:hAnsiTheme="minorEastAsia" w:eastAsiaTheme="minorEastAsia" w:cstheme="minorEastAsia"/>
          <w:color w:val="auto"/>
          <w:sz w:val="24"/>
        </w:rPr>
        <w:t xml:space="preserve">我方所使用的“XX专用章”与法定名称章具有同等的法律效力，对使用“XX专用章”的行为予以完全承认，并愿意承担相应责任。   </w:t>
      </w:r>
    </w:p>
    <w:p w14:paraId="791060AD">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特此说明。</w:t>
      </w:r>
    </w:p>
    <w:p w14:paraId="799E24F3">
      <w:pPr>
        <w:spacing w:line="360" w:lineRule="auto"/>
        <w:ind w:firstLine="494"/>
        <w:rPr>
          <w:rFonts w:hint="eastAsia" w:asciiTheme="minorEastAsia" w:hAnsiTheme="minorEastAsia" w:eastAsiaTheme="minorEastAsia" w:cstheme="minorEastAsia"/>
          <w:color w:val="auto"/>
          <w:sz w:val="24"/>
        </w:rPr>
      </w:pPr>
    </w:p>
    <w:p w14:paraId="5E7F62F6">
      <w:pPr>
        <w:spacing w:line="360" w:lineRule="auto"/>
        <w:ind w:firstLine="494"/>
        <w:rPr>
          <w:rFonts w:hint="eastAsia" w:asciiTheme="minorEastAsia" w:hAnsiTheme="minorEastAsia" w:eastAsiaTheme="minorEastAsia" w:cstheme="minorEastAsia"/>
          <w:color w:val="auto"/>
          <w:sz w:val="24"/>
        </w:rPr>
      </w:pPr>
    </w:p>
    <w:p w14:paraId="78744F85">
      <w:pPr>
        <w:spacing w:line="360" w:lineRule="auto"/>
        <w:ind w:firstLine="494"/>
        <w:rPr>
          <w:rFonts w:hint="eastAsia" w:asciiTheme="minorEastAsia" w:hAnsiTheme="minorEastAsia" w:eastAsiaTheme="minorEastAsia" w:cstheme="minorEastAsia"/>
          <w:color w:val="auto"/>
          <w:sz w:val="24"/>
        </w:rPr>
      </w:pPr>
    </w:p>
    <w:p w14:paraId="2E4DA7F4">
      <w:pPr>
        <w:spacing w:line="360" w:lineRule="auto"/>
        <w:ind w:right="480" w:firstLine="4080" w:firstLineChars="17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投标单位（法定名称章）：</w:t>
      </w:r>
    </w:p>
    <w:p w14:paraId="4AA40E3F">
      <w:pPr>
        <w:ind w:right="1440" w:firstLine="494"/>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日期：       年     月   日</w:t>
      </w:r>
    </w:p>
    <w:p w14:paraId="04003C42">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附：</w:t>
      </w:r>
    </w:p>
    <w:p w14:paraId="083E875B">
      <w:pPr>
        <w:spacing w:line="360" w:lineRule="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
          <w:bCs/>
          <w:color w:val="auto"/>
          <w:sz w:val="24"/>
        </w:rPr>
        <mc:AlternateContent>
          <mc:Choice Requires="wps">
            <w:drawing>
              <wp:anchor distT="0" distB="0" distL="114300" distR="114300" simplePos="0" relativeHeight="25166438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209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nFoJq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b/>
          <w:bCs/>
          <w:color w:val="auto"/>
          <w:sz w:val="24"/>
        </w:rPr>
        <mc:AlternateContent>
          <mc:Choice Requires="wps">
            <w:drawing>
              <wp:anchor distT="0" distB="0" distL="114300" distR="114300" simplePos="0" relativeHeight="25166540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107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BO+fS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tBO+f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color w:val="auto"/>
          <w:sz w:val="24"/>
        </w:rPr>
        <w:t>投标单位法定名称章（印模）                投标单位“XX专用章”（印模）</w:t>
      </w:r>
    </w:p>
    <w:p w14:paraId="6F7981B2">
      <w:pPr>
        <w:autoSpaceDE w:val="0"/>
        <w:autoSpaceDN w:val="0"/>
        <w:jc w:val="center"/>
        <w:rPr>
          <w:rFonts w:hint="eastAsia" w:asciiTheme="minorEastAsia" w:hAnsiTheme="minorEastAsia" w:eastAsiaTheme="minorEastAsia" w:cstheme="minorEastAsia"/>
          <w:b/>
          <w:color w:val="auto"/>
          <w:spacing w:val="6"/>
          <w:sz w:val="32"/>
          <w:szCs w:val="32"/>
        </w:rPr>
      </w:pPr>
    </w:p>
    <w:p w14:paraId="675A391E">
      <w:pPr>
        <w:autoSpaceDE w:val="0"/>
        <w:autoSpaceDN w:val="0"/>
        <w:jc w:val="center"/>
        <w:rPr>
          <w:rFonts w:hint="eastAsia" w:asciiTheme="minorEastAsia" w:hAnsiTheme="minorEastAsia" w:eastAsiaTheme="minorEastAsia" w:cstheme="minorEastAsia"/>
          <w:b/>
          <w:color w:val="auto"/>
          <w:spacing w:val="6"/>
          <w:sz w:val="32"/>
          <w:szCs w:val="32"/>
        </w:rPr>
      </w:pPr>
    </w:p>
    <w:p w14:paraId="4DA25C62">
      <w:pPr>
        <w:autoSpaceDE w:val="0"/>
        <w:autoSpaceDN w:val="0"/>
        <w:jc w:val="center"/>
        <w:rPr>
          <w:rFonts w:hint="eastAsia" w:asciiTheme="minorEastAsia" w:hAnsiTheme="minorEastAsia" w:eastAsiaTheme="minorEastAsia" w:cstheme="minorEastAsia"/>
          <w:b/>
          <w:color w:val="auto"/>
          <w:spacing w:val="6"/>
          <w:sz w:val="32"/>
          <w:szCs w:val="32"/>
        </w:rPr>
      </w:pPr>
    </w:p>
    <w:p w14:paraId="15BD2F74">
      <w:pPr>
        <w:autoSpaceDE w:val="0"/>
        <w:autoSpaceDN w:val="0"/>
        <w:jc w:val="center"/>
        <w:rPr>
          <w:rFonts w:hint="eastAsia" w:asciiTheme="minorEastAsia" w:hAnsiTheme="minorEastAsia" w:eastAsiaTheme="minorEastAsia" w:cstheme="minorEastAsia"/>
          <w:b/>
          <w:color w:val="auto"/>
          <w:spacing w:val="6"/>
          <w:sz w:val="32"/>
          <w:szCs w:val="32"/>
        </w:rPr>
      </w:pPr>
    </w:p>
    <w:p w14:paraId="66EF9980">
      <w:pPr>
        <w:autoSpaceDE w:val="0"/>
        <w:autoSpaceDN w:val="0"/>
        <w:jc w:val="center"/>
        <w:rPr>
          <w:rFonts w:hint="eastAsia" w:asciiTheme="minorEastAsia" w:hAnsiTheme="minorEastAsia" w:eastAsiaTheme="minorEastAsia" w:cstheme="minorEastAsia"/>
          <w:b/>
          <w:color w:val="auto"/>
          <w:spacing w:val="6"/>
          <w:sz w:val="32"/>
          <w:szCs w:val="32"/>
        </w:rPr>
      </w:pPr>
    </w:p>
    <w:p w14:paraId="0878E9D3">
      <w:pPr>
        <w:autoSpaceDE w:val="0"/>
        <w:autoSpaceDN w:val="0"/>
        <w:jc w:val="center"/>
        <w:rPr>
          <w:rFonts w:hint="eastAsia" w:asciiTheme="minorEastAsia" w:hAnsiTheme="minorEastAsia" w:eastAsiaTheme="minorEastAsia" w:cstheme="minorEastAsia"/>
          <w:b/>
          <w:color w:val="auto"/>
          <w:spacing w:val="6"/>
          <w:sz w:val="32"/>
          <w:szCs w:val="32"/>
        </w:rPr>
      </w:pPr>
    </w:p>
    <w:p w14:paraId="5CF3C2E7">
      <w:pPr>
        <w:autoSpaceDE w:val="0"/>
        <w:autoSpaceDN w:val="0"/>
        <w:jc w:val="center"/>
        <w:rPr>
          <w:rFonts w:hint="eastAsia" w:asciiTheme="minorEastAsia" w:hAnsiTheme="minorEastAsia" w:eastAsiaTheme="minorEastAsia" w:cstheme="minorEastAsia"/>
          <w:b/>
          <w:color w:val="auto"/>
          <w:spacing w:val="6"/>
          <w:sz w:val="32"/>
          <w:szCs w:val="32"/>
        </w:rPr>
      </w:pPr>
    </w:p>
    <w:p w14:paraId="450E7E38">
      <w:pPr>
        <w:autoSpaceDE w:val="0"/>
        <w:autoSpaceDN w:val="0"/>
        <w:jc w:val="center"/>
        <w:rPr>
          <w:rFonts w:hint="eastAsia" w:asciiTheme="minorEastAsia" w:hAnsiTheme="minorEastAsia" w:eastAsiaTheme="minorEastAsia" w:cstheme="minorEastAsia"/>
          <w:b/>
          <w:color w:val="auto"/>
          <w:spacing w:val="6"/>
          <w:sz w:val="32"/>
          <w:szCs w:val="32"/>
        </w:rPr>
      </w:pPr>
    </w:p>
    <w:p w14:paraId="117098EE">
      <w:pPr>
        <w:snapToGrid w:val="0"/>
        <w:spacing w:line="360" w:lineRule="auto"/>
        <w:jc w:val="center"/>
        <w:outlineLvl w:val="0"/>
        <w:rPr>
          <w:rFonts w:hint="eastAsia" w:asciiTheme="minorEastAsia" w:hAnsiTheme="minorEastAsia" w:eastAsiaTheme="minorEastAsia" w:cstheme="minorEastAsia"/>
          <w:b/>
          <w:color w:val="auto"/>
          <w:kern w:val="0"/>
          <w:sz w:val="32"/>
          <w:szCs w:val="32"/>
        </w:rPr>
      </w:pPr>
    </w:p>
    <w:p w14:paraId="3B08176E">
      <w:pPr>
        <w:snapToGrid w:val="0"/>
        <w:spacing w:line="360" w:lineRule="auto"/>
        <w:jc w:val="center"/>
        <w:outlineLvl w:val="0"/>
        <w:rPr>
          <w:rFonts w:hint="eastAsia" w:asciiTheme="minorEastAsia" w:hAnsiTheme="minorEastAsia" w:eastAsiaTheme="minorEastAsia" w:cstheme="minorEastAsia"/>
          <w:b/>
          <w:color w:val="auto"/>
          <w:kern w:val="0"/>
          <w:sz w:val="32"/>
          <w:szCs w:val="32"/>
        </w:rPr>
      </w:pPr>
    </w:p>
    <w:p w14:paraId="0E0B2E4B">
      <w:pP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br w:type="page"/>
      </w:r>
    </w:p>
    <w:p w14:paraId="3B1541AB">
      <w:pPr>
        <w:snapToGrid w:val="0"/>
        <w:spacing w:line="336" w:lineRule="auto"/>
        <w:jc w:val="center"/>
        <w:outlineLvl w:val="0"/>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t>附件5：联合协议</w:t>
      </w:r>
    </w:p>
    <w:p w14:paraId="233604E9">
      <w:pPr>
        <w:spacing w:line="336" w:lineRule="auto"/>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（以联合体形式投标的，提供联合协议；本项目不接受联合体投标或者投标人不以联合体形式投标的，则不需要提供）</w:t>
      </w:r>
    </w:p>
    <w:p w14:paraId="07F0BCD6">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u w:val="single"/>
        </w:rPr>
        <w:t>（联合体所有成员名称）</w:t>
      </w:r>
      <w:r>
        <w:rPr>
          <w:rFonts w:hint="eastAsia" w:asciiTheme="minorEastAsia" w:hAnsiTheme="minorEastAsia" w:eastAsiaTheme="minorEastAsia" w:cstheme="minorEastAsia"/>
          <w:color w:val="auto"/>
          <w:kern w:val="0"/>
          <w:sz w:val="24"/>
        </w:rPr>
        <w:t>自愿</w:t>
      </w:r>
      <w:r>
        <w:rPr>
          <w:rFonts w:hint="eastAsia" w:asciiTheme="minorEastAsia" w:hAnsiTheme="minorEastAsia" w:eastAsiaTheme="minorEastAsia" w:cstheme="minorEastAsia"/>
          <w:color w:val="auto"/>
          <w:kern w:val="0"/>
          <w:sz w:val="24"/>
          <w:lang w:val="zh-CN"/>
        </w:rPr>
        <w:t>组成一个联合体，以一个投标人的身份</w:t>
      </w:r>
      <w:r>
        <w:rPr>
          <w:rFonts w:hint="eastAsia" w:asciiTheme="minorEastAsia" w:hAnsiTheme="minorEastAsia" w:eastAsiaTheme="minorEastAsia" w:cstheme="minorEastAsia"/>
          <w:color w:val="auto"/>
          <w:kern w:val="0"/>
          <w:sz w:val="24"/>
        </w:rPr>
        <w:t>参加</w:t>
      </w:r>
      <w:r>
        <w:rPr>
          <w:rFonts w:hint="eastAsia" w:asciiTheme="minorEastAsia" w:hAnsiTheme="minorEastAsia" w:eastAsiaTheme="minorEastAsia" w:cstheme="minorEastAsia"/>
          <w:color w:val="auto"/>
          <w:sz w:val="24"/>
          <w:lang w:eastAsia="zh-CN"/>
        </w:rPr>
        <w:t>建德市罗村三级电站更新改造暨梯级集控建设工程（机电设备）采购项目</w:t>
      </w:r>
      <w:r>
        <w:rPr>
          <w:rFonts w:hint="eastAsia" w:asciiTheme="minorEastAsia" w:hAnsiTheme="minorEastAsia" w:eastAsiaTheme="minorEastAsia" w:cstheme="minorEastAsia"/>
          <w:color w:val="auto"/>
          <w:sz w:val="24"/>
        </w:rPr>
        <w:t>【招标编号：HZOFCG2025B-088】</w:t>
      </w:r>
      <w:r>
        <w:rPr>
          <w:rFonts w:hint="eastAsia" w:asciiTheme="minorEastAsia" w:hAnsiTheme="minorEastAsia" w:eastAsiaTheme="minorEastAsia" w:cstheme="minorEastAsia"/>
          <w:color w:val="auto"/>
          <w:kern w:val="0"/>
          <w:sz w:val="24"/>
          <w:lang w:val="zh-CN"/>
        </w:rPr>
        <w:t xml:space="preserve">投标。 </w:t>
      </w:r>
    </w:p>
    <w:p w14:paraId="602750F2">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一、各方一致决定，</w:t>
      </w:r>
      <w:r>
        <w:rPr>
          <w:rFonts w:hint="eastAsia" w:asciiTheme="minorEastAsia" w:hAnsiTheme="minorEastAsia" w:eastAsiaTheme="minorEastAsia" w:cstheme="minorEastAsia"/>
          <w:color w:val="auto"/>
          <w:kern w:val="0"/>
          <w:sz w:val="24"/>
          <w:u w:val="single"/>
        </w:rPr>
        <w:t>（某联合体成员名称）</w:t>
      </w:r>
      <w:r>
        <w:rPr>
          <w:rFonts w:hint="eastAsia" w:asciiTheme="minorEastAsia" w:hAnsiTheme="minorEastAsia" w:eastAsiaTheme="minorEastAsia" w:cstheme="minorEastAsia"/>
          <w:color w:val="auto"/>
          <w:kern w:val="0"/>
          <w:sz w:val="24"/>
        </w:rPr>
        <w:t>为联合体</w:t>
      </w:r>
      <w:r>
        <w:rPr>
          <w:rFonts w:hint="eastAsia" w:asciiTheme="minorEastAsia" w:hAnsiTheme="minorEastAsia" w:eastAsiaTheme="minorEastAsia" w:cstheme="minorEastAsia"/>
          <w:color w:val="auto"/>
          <w:kern w:val="0"/>
          <w:sz w:val="24"/>
          <w:lang w:val="zh-CN"/>
        </w:rPr>
        <w:t>牵头人</w:t>
      </w:r>
      <w:r>
        <w:rPr>
          <w:rFonts w:hint="eastAsia" w:asciiTheme="minorEastAsia" w:hAnsiTheme="minorEastAsia" w:eastAsiaTheme="minorEastAsia" w:cstheme="minorEastAsia"/>
          <w:color w:val="auto"/>
          <w:sz w:val="24"/>
        </w:rPr>
        <w:t>，代表所有联合体成员负责投标和合同实施阶段的主办、协调工作</w:t>
      </w:r>
      <w:r>
        <w:rPr>
          <w:rFonts w:hint="eastAsia" w:asciiTheme="minorEastAsia" w:hAnsiTheme="minorEastAsia" w:eastAsiaTheme="minorEastAsia" w:cstheme="minorEastAsia"/>
          <w:color w:val="auto"/>
          <w:kern w:val="0"/>
          <w:sz w:val="24"/>
          <w:lang w:val="zh-CN"/>
        </w:rPr>
        <w:t>。</w:t>
      </w:r>
    </w:p>
    <w:p w14:paraId="5A562774">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二、</w:t>
      </w:r>
      <w:r>
        <w:rPr>
          <w:rFonts w:hint="eastAsia" w:asciiTheme="minorEastAsia" w:hAnsiTheme="minorEastAsia" w:eastAsiaTheme="minorEastAsia" w:cstheme="minorEastAsia"/>
          <w:color w:val="auto"/>
          <w:sz w:val="24"/>
        </w:rPr>
        <w:t>所有联合体成员各方签署授权书，授权书载明的</w:t>
      </w:r>
      <w:r>
        <w:rPr>
          <w:rFonts w:hint="eastAsia" w:asciiTheme="minorEastAsia" w:hAnsiTheme="minorEastAsia" w:eastAsiaTheme="minorEastAsia" w:cstheme="minorEastAsia"/>
          <w:color w:val="auto"/>
          <w:kern w:val="0"/>
          <w:sz w:val="24"/>
          <w:lang w:val="zh-CN"/>
        </w:rPr>
        <w:t>授权代表根据招标文件规定及投标内容而对采购人、采购代理机构所作的任何合法承诺，包括书面澄清及响应等均对联合投标各方产生约束力。</w:t>
      </w:r>
    </w:p>
    <w:p w14:paraId="51DED264">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三、本次联合投标中，分工如下：</w:t>
      </w:r>
    </w:p>
    <w:p w14:paraId="5ECD554A">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u w:val="single"/>
        </w:rPr>
        <w:t>（联合体成员1）</w:t>
      </w:r>
      <w:r>
        <w:rPr>
          <w:rFonts w:hint="eastAsia" w:asciiTheme="minorEastAsia" w:hAnsiTheme="minorEastAsia" w:eastAsiaTheme="minorEastAsia" w:cstheme="minorEastAsia"/>
          <w:color w:val="auto"/>
          <w:kern w:val="0"/>
          <w:sz w:val="24"/>
          <w:lang w:val="zh-CN"/>
        </w:rPr>
        <w:t>承担的工作和义务为：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kern w:val="0"/>
          <w:sz w:val="24"/>
          <w:lang w:val="zh-CN"/>
        </w:rPr>
        <w:t>；</w:t>
      </w:r>
    </w:p>
    <w:p w14:paraId="3E7081F0">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u w:val="single"/>
        </w:rPr>
        <w:t>（联合体成员2）</w:t>
      </w:r>
      <w:r>
        <w:rPr>
          <w:rFonts w:hint="eastAsia" w:asciiTheme="minorEastAsia" w:hAnsiTheme="minorEastAsia" w:eastAsiaTheme="minorEastAsia" w:cstheme="minorEastAsia"/>
          <w:color w:val="auto"/>
          <w:kern w:val="0"/>
          <w:sz w:val="24"/>
          <w:lang w:val="zh-CN"/>
        </w:rPr>
        <w:t>承担的工作和义务为：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kern w:val="0"/>
          <w:sz w:val="24"/>
          <w:lang w:val="zh-CN"/>
        </w:rPr>
        <w:t>；</w:t>
      </w:r>
    </w:p>
    <w:p w14:paraId="139E652C">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w:t>
      </w:r>
    </w:p>
    <w:p w14:paraId="3392F250">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四、如果中标，</w:t>
      </w:r>
      <w:r>
        <w:rPr>
          <w:rFonts w:hint="eastAsia" w:asciiTheme="minorEastAsia" w:hAnsiTheme="minorEastAsia" w:eastAsiaTheme="minorEastAsia" w:cstheme="minorEastAsia"/>
          <w:color w:val="auto"/>
          <w:sz w:val="24"/>
        </w:rPr>
        <w:t>联合体各成员方共同与采购人签订合同，并就采购合同约定的事项对采购人承担连带责任。</w:t>
      </w:r>
    </w:p>
    <w:p w14:paraId="58D8794F">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五、有关本次联合投标的其他事宜：</w:t>
      </w:r>
    </w:p>
    <w:p w14:paraId="2E206A9B">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1、联合体各方不再单独参加或者与其他供应商另外组成联合体参加同一合同项下的采购活动。</w:t>
      </w:r>
    </w:p>
    <w:p w14:paraId="2E6F1D8F">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2、联合体中有同类资质的各方按照联合体分工承担相同工作的，按照资质等级较低的供应商确定资质等级。</w:t>
      </w:r>
    </w:p>
    <w:p w14:paraId="375C4E16">
      <w:pPr>
        <w:snapToGrid w:val="0"/>
        <w:spacing w:line="336"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3、本协议提交采购人、采购代理机构后，联合体各方不得以任何形式对上述内容进行修改或撤销。</w:t>
      </w:r>
    </w:p>
    <w:p w14:paraId="678F15F1">
      <w:pPr>
        <w:snapToGrid w:val="0"/>
        <w:spacing w:line="336" w:lineRule="auto"/>
        <w:jc w:val="right"/>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联合体成员名称(电子签名/公章）：</w:t>
      </w:r>
    </w:p>
    <w:p w14:paraId="638C97BB">
      <w:pPr>
        <w:snapToGrid w:val="0"/>
        <w:spacing w:line="336" w:lineRule="auto"/>
        <w:jc w:val="right"/>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联合体成员名称(电子签名/公章）：</w:t>
      </w:r>
    </w:p>
    <w:p w14:paraId="55512CBF">
      <w:pPr>
        <w:snapToGrid w:val="0"/>
        <w:spacing w:line="336" w:lineRule="auto"/>
        <w:ind w:right="960"/>
        <w:jc w:val="center"/>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                   ……</w:t>
      </w:r>
    </w:p>
    <w:p w14:paraId="600AF181">
      <w:pPr>
        <w:snapToGrid w:val="0"/>
        <w:spacing w:line="336" w:lineRule="auto"/>
        <w:jc w:val="right"/>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日期：  年  月   日</w:t>
      </w:r>
    </w:p>
    <w:p w14:paraId="15BFCC14">
      <w:pPr>
        <w:spacing w:line="336" w:lineRule="auto"/>
        <w:ind w:right="420"/>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color w:val="auto"/>
          <w:sz w:val="24"/>
        </w:rPr>
        <w:t>注：按本格式和要求提供。</w:t>
      </w:r>
    </w:p>
    <w:p w14:paraId="5096AA9D">
      <w:pPr>
        <w:snapToGrid w:val="0"/>
        <w:spacing w:line="360" w:lineRule="auto"/>
        <w:jc w:val="center"/>
        <w:outlineLvl w:val="0"/>
        <w:rPr>
          <w:rFonts w:hint="eastAsia" w:asciiTheme="minorEastAsia" w:hAnsiTheme="minorEastAsia" w:eastAsiaTheme="minorEastAsia" w:cstheme="minorEastAsia"/>
          <w:b/>
          <w:color w:val="auto"/>
          <w:kern w:val="0"/>
          <w:sz w:val="32"/>
          <w:szCs w:val="32"/>
        </w:rPr>
      </w:pPr>
    </w:p>
    <w:p w14:paraId="58BBE06D">
      <w:pPr>
        <w:snapToGrid w:val="0"/>
        <w:spacing w:line="360" w:lineRule="auto"/>
        <w:jc w:val="center"/>
        <w:outlineLvl w:val="0"/>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t>附件6：分包意向协议</w:t>
      </w:r>
    </w:p>
    <w:p w14:paraId="02B9D880">
      <w:pPr>
        <w:spacing w:line="360" w:lineRule="auto"/>
        <w:ind w:firstLine="120" w:firstLineChars="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
          <w:color w:val="auto"/>
          <w:sz w:val="24"/>
        </w:rPr>
        <w:t>中标后以分包方式履行合同的，提供分包意向协议；采购人不同意分包或者投标人中标后不以分包方式履行合同的，则不需要提供。</w:t>
      </w:r>
      <w:r>
        <w:rPr>
          <w:rFonts w:hint="eastAsia" w:asciiTheme="minorEastAsia" w:hAnsiTheme="minorEastAsia" w:eastAsiaTheme="minorEastAsia" w:cstheme="minorEastAsia"/>
          <w:color w:val="auto"/>
          <w:sz w:val="24"/>
        </w:rPr>
        <w:t>）</w:t>
      </w:r>
    </w:p>
    <w:p w14:paraId="47A5794C">
      <w:pPr>
        <w:snapToGrid w:val="0"/>
        <w:spacing w:line="360"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u w:val="single"/>
        </w:rPr>
        <w:t>（投标人名称）</w:t>
      </w:r>
      <w:r>
        <w:rPr>
          <w:rFonts w:hint="eastAsia" w:asciiTheme="minorEastAsia" w:hAnsiTheme="minorEastAsia" w:eastAsiaTheme="minorEastAsia" w:cstheme="minorEastAsia"/>
          <w:color w:val="auto"/>
          <w:kern w:val="0"/>
          <w:sz w:val="24"/>
          <w:lang w:val="zh-CN"/>
        </w:rPr>
        <w:t>若成为</w:t>
      </w:r>
      <w:r>
        <w:rPr>
          <w:rFonts w:hint="eastAsia" w:asciiTheme="minorEastAsia" w:hAnsiTheme="minorEastAsia" w:eastAsiaTheme="minorEastAsia" w:cstheme="minorEastAsia"/>
          <w:color w:val="auto"/>
          <w:sz w:val="24"/>
          <w:lang w:eastAsia="zh-CN"/>
        </w:rPr>
        <w:t>建德市罗村三级电站更新改造暨梯级集控建设工程（机电设备）采购项目</w:t>
      </w:r>
      <w:r>
        <w:rPr>
          <w:rFonts w:hint="eastAsia" w:asciiTheme="minorEastAsia" w:hAnsiTheme="minorEastAsia" w:eastAsiaTheme="minorEastAsia" w:cstheme="minorEastAsia"/>
          <w:color w:val="auto"/>
          <w:sz w:val="24"/>
        </w:rPr>
        <w:t>【招标编号：HZOFCG2025B-088】</w:t>
      </w:r>
      <w:r>
        <w:rPr>
          <w:rFonts w:hint="eastAsia" w:asciiTheme="minorEastAsia" w:hAnsiTheme="minorEastAsia" w:eastAsiaTheme="minorEastAsia" w:cstheme="minorEastAsia"/>
          <w:color w:val="auto"/>
          <w:kern w:val="0"/>
          <w:sz w:val="24"/>
          <w:lang w:val="zh-CN"/>
        </w:rPr>
        <w:t>的中标供应商，将依法采取分包方式履行合同。</w:t>
      </w:r>
      <w:r>
        <w:rPr>
          <w:rFonts w:hint="eastAsia" w:asciiTheme="minorEastAsia" w:hAnsiTheme="minorEastAsia" w:eastAsiaTheme="minorEastAsia" w:cstheme="minorEastAsia"/>
          <w:color w:val="auto"/>
          <w:kern w:val="0"/>
          <w:sz w:val="24"/>
          <w:u w:val="single"/>
        </w:rPr>
        <w:t>（投标人名称）</w:t>
      </w:r>
      <w:r>
        <w:rPr>
          <w:rFonts w:hint="eastAsia" w:asciiTheme="minorEastAsia" w:hAnsiTheme="minorEastAsia" w:eastAsiaTheme="minorEastAsia" w:cstheme="minorEastAsia"/>
          <w:color w:val="auto"/>
          <w:kern w:val="0"/>
          <w:sz w:val="24"/>
        </w:rPr>
        <w:t>与</w:t>
      </w:r>
      <w:r>
        <w:rPr>
          <w:rFonts w:hint="eastAsia" w:asciiTheme="minorEastAsia" w:hAnsiTheme="minorEastAsia" w:eastAsiaTheme="minorEastAsia" w:cstheme="minorEastAsia"/>
          <w:color w:val="auto"/>
          <w:kern w:val="0"/>
          <w:sz w:val="24"/>
          <w:u w:val="single"/>
        </w:rPr>
        <w:t>（所有分包供应商名称）</w:t>
      </w:r>
      <w:r>
        <w:rPr>
          <w:rFonts w:hint="eastAsia" w:asciiTheme="minorEastAsia" w:hAnsiTheme="minorEastAsia" w:eastAsiaTheme="minorEastAsia" w:cstheme="minorEastAsia"/>
          <w:color w:val="auto"/>
          <w:kern w:val="0"/>
          <w:sz w:val="24"/>
        </w:rPr>
        <w:t>达成分包意向协议</w:t>
      </w:r>
      <w:r>
        <w:rPr>
          <w:rFonts w:hint="eastAsia" w:asciiTheme="minorEastAsia" w:hAnsiTheme="minorEastAsia" w:eastAsiaTheme="minorEastAsia" w:cstheme="minorEastAsia"/>
          <w:color w:val="auto"/>
          <w:kern w:val="0"/>
          <w:sz w:val="24"/>
          <w:lang w:val="zh-CN"/>
        </w:rPr>
        <w:t xml:space="preserve">。 </w:t>
      </w:r>
    </w:p>
    <w:p w14:paraId="62E3925E">
      <w:pPr>
        <w:snapToGrid w:val="0"/>
        <w:spacing w:line="360"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一、分包标的及数量</w:t>
      </w:r>
    </w:p>
    <w:p w14:paraId="1C3D26E3">
      <w:pPr>
        <w:snapToGrid w:val="0"/>
        <w:spacing w:line="360"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u w:val="single"/>
        </w:rPr>
        <w:t>（投标人名称）</w:t>
      </w:r>
      <w:r>
        <w:rPr>
          <w:rFonts w:hint="eastAsia" w:asciiTheme="minorEastAsia" w:hAnsiTheme="minorEastAsia" w:eastAsiaTheme="minorEastAsia" w:cstheme="minorEastAsia"/>
          <w:color w:val="auto"/>
          <w:kern w:val="0"/>
          <w:sz w:val="24"/>
          <w:lang w:val="zh-CN"/>
        </w:rPr>
        <w:t>将</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kern w:val="0"/>
          <w:sz w:val="24"/>
          <w:u w:val="single"/>
        </w:rPr>
        <w:t xml:space="preserve">  XX工作内容   </w:t>
      </w:r>
      <w:r>
        <w:rPr>
          <w:rFonts w:hint="eastAsia" w:asciiTheme="minorEastAsia" w:hAnsiTheme="minorEastAsia" w:eastAsiaTheme="minorEastAsia" w:cstheme="minorEastAsia"/>
          <w:color w:val="auto"/>
          <w:sz w:val="24"/>
        </w:rPr>
        <w:t>分包给</w:t>
      </w:r>
      <w:r>
        <w:rPr>
          <w:rFonts w:hint="eastAsia" w:asciiTheme="minorEastAsia" w:hAnsiTheme="minorEastAsia" w:eastAsiaTheme="minorEastAsia" w:cstheme="minorEastAsia"/>
          <w:color w:val="auto"/>
          <w:kern w:val="0"/>
          <w:sz w:val="24"/>
          <w:u w:val="single"/>
        </w:rPr>
        <w:t>（分包供应商1名称）</w:t>
      </w:r>
      <w:r>
        <w:rPr>
          <w:rFonts w:hint="eastAsia" w:asciiTheme="minorEastAsia" w:hAnsiTheme="minorEastAsia" w:eastAsiaTheme="minorEastAsia" w:cstheme="minorEastAsia"/>
          <w:color w:val="auto"/>
          <w:kern w:val="0"/>
          <w:sz w:val="24"/>
          <w:lang w:val="zh-CN"/>
        </w:rPr>
        <w:t>，</w:t>
      </w:r>
      <w:r>
        <w:rPr>
          <w:rFonts w:hint="eastAsia" w:asciiTheme="minorEastAsia" w:hAnsiTheme="minorEastAsia" w:eastAsiaTheme="minorEastAsia" w:cstheme="minorEastAsia"/>
          <w:color w:val="auto"/>
          <w:kern w:val="0"/>
          <w:sz w:val="24"/>
          <w:u w:val="single"/>
        </w:rPr>
        <w:t>（分包供应商1名称），</w:t>
      </w:r>
      <w:r>
        <w:rPr>
          <w:rFonts w:hint="eastAsia" w:asciiTheme="minorEastAsia" w:hAnsiTheme="minorEastAsia" w:eastAsiaTheme="minorEastAsia" w:cstheme="minorEastAsia"/>
          <w:color w:val="auto"/>
          <w:kern w:val="0"/>
          <w:sz w:val="24"/>
          <w:lang w:val="zh-CN"/>
        </w:rPr>
        <w:t>具备承</w:t>
      </w:r>
      <w:r>
        <w:rPr>
          <w:rFonts w:hint="eastAsia" w:asciiTheme="minorEastAsia" w:hAnsiTheme="minorEastAsia" w:eastAsiaTheme="minorEastAsia" w:cstheme="minorEastAsia"/>
          <w:color w:val="auto"/>
          <w:kern w:val="0"/>
          <w:sz w:val="24"/>
        </w:rPr>
        <w:t>担</w:t>
      </w:r>
      <w:r>
        <w:rPr>
          <w:rFonts w:hint="eastAsia" w:asciiTheme="minorEastAsia" w:hAnsiTheme="minorEastAsia" w:eastAsiaTheme="minorEastAsia" w:cstheme="minorEastAsia"/>
          <w:color w:val="auto"/>
          <w:kern w:val="0"/>
          <w:sz w:val="24"/>
          <w:u w:val="single"/>
          <w:lang w:val="zh-CN"/>
        </w:rPr>
        <w:t>XX工作内容</w:t>
      </w:r>
      <w:r>
        <w:rPr>
          <w:rFonts w:hint="eastAsia" w:asciiTheme="minorEastAsia" w:hAnsiTheme="minorEastAsia" w:eastAsiaTheme="minorEastAsia" w:cstheme="minorEastAsia"/>
          <w:color w:val="auto"/>
          <w:kern w:val="0"/>
          <w:sz w:val="24"/>
          <w:lang w:val="zh-CN"/>
        </w:rPr>
        <w:t>相应资质条件且不得再次分包；</w:t>
      </w:r>
    </w:p>
    <w:p w14:paraId="0CCE56D6">
      <w:pPr>
        <w:pStyle w:val="3"/>
        <w:ind w:left="664" w:leftChars="316" w:firstLine="229" w:firstLineChars="95"/>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p>
    <w:p w14:paraId="06591184">
      <w:pPr>
        <w:snapToGrid w:val="0"/>
        <w:spacing w:line="360"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二、分包工作履行期限、地点、方式</w:t>
      </w:r>
    </w:p>
    <w:p w14:paraId="14007189">
      <w:pPr>
        <w:snapToGrid w:val="0"/>
        <w:spacing w:line="360" w:lineRule="auto"/>
        <w:ind w:firstLine="576"/>
        <w:rPr>
          <w:rFonts w:hint="eastAsia"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u w:val="single"/>
        </w:rPr>
        <w:t xml:space="preserve">                                                                                  </w:t>
      </w:r>
    </w:p>
    <w:p w14:paraId="4A86E360">
      <w:pPr>
        <w:snapToGrid w:val="0"/>
        <w:spacing w:line="360"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三、质量</w:t>
      </w:r>
    </w:p>
    <w:p w14:paraId="686B9CB9">
      <w:pPr>
        <w:snapToGrid w:val="0"/>
        <w:spacing w:line="360"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u w:val="single"/>
        </w:rPr>
        <w:t xml:space="preserve">                                                                                       </w:t>
      </w:r>
    </w:p>
    <w:p w14:paraId="46EB0B5F">
      <w:pPr>
        <w:snapToGrid w:val="0"/>
        <w:spacing w:line="360"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四、价款或者报酬</w:t>
      </w:r>
    </w:p>
    <w:p w14:paraId="1E165ECC">
      <w:pPr>
        <w:snapToGrid w:val="0"/>
        <w:spacing w:line="360" w:lineRule="auto"/>
        <w:ind w:left="573" w:leftChars="273"/>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u w:val="single"/>
        </w:rPr>
        <w:t xml:space="preserve">                                                                                     </w:t>
      </w:r>
    </w:p>
    <w:p w14:paraId="33DFF31F">
      <w:pPr>
        <w:snapToGrid w:val="0"/>
        <w:spacing w:line="360" w:lineRule="auto"/>
        <w:ind w:left="573" w:leftChars="273"/>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五、违约责任</w:t>
      </w:r>
    </w:p>
    <w:p w14:paraId="124A6076">
      <w:pPr>
        <w:snapToGrid w:val="0"/>
        <w:spacing w:line="360"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u w:val="single"/>
        </w:rPr>
        <w:t xml:space="preserve">                                                                                     </w:t>
      </w:r>
    </w:p>
    <w:p w14:paraId="7CFAD698">
      <w:pPr>
        <w:snapToGrid w:val="0"/>
        <w:spacing w:line="360"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六、争议解决的办法</w:t>
      </w:r>
    </w:p>
    <w:p w14:paraId="5423654E">
      <w:pPr>
        <w:snapToGrid w:val="0"/>
        <w:spacing w:line="360" w:lineRule="auto"/>
        <w:ind w:firstLine="576"/>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u w:val="single"/>
        </w:rPr>
        <w:t xml:space="preserve">                                                                                  </w:t>
      </w:r>
    </w:p>
    <w:p w14:paraId="1EC74BCC">
      <w:pPr>
        <w:snapToGrid w:val="0"/>
        <w:spacing w:line="360" w:lineRule="auto"/>
        <w:ind w:left="5758" w:leftChars="342" w:hanging="5040" w:hangingChars="210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                                         投标人名称(电子签名）：</w:t>
      </w:r>
    </w:p>
    <w:p w14:paraId="2E72D92E">
      <w:pPr>
        <w:snapToGrid w:val="0"/>
        <w:spacing w:line="360" w:lineRule="auto"/>
        <w:jc w:val="right"/>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分包供应商名称(电子签名/公章）：</w:t>
      </w:r>
    </w:p>
    <w:p w14:paraId="216158F0">
      <w:pPr>
        <w:snapToGrid w:val="0"/>
        <w:spacing w:line="360" w:lineRule="auto"/>
        <w:ind w:firstLine="5760" w:firstLineChars="24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4"/>
          <w:lang w:val="zh-CN"/>
        </w:rPr>
        <w:t>……</w:t>
      </w:r>
    </w:p>
    <w:p w14:paraId="287FF5EE">
      <w:pPr>
        <w:spacing w:line="360" w:lineRule="auto"/>
        <w:jc w:val="center"/>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 xml:space="preserve">                                        日期：  年  月   日</w:t>
      </w:r>
    </w:p>
    <w:p w14:paraId="6F074287">
      <w:pPr>
        <w:spacing w:line="360" w:lineRule="auto"/>
        <w:ind w:right="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注：按本格式和要求提供。</w:t>
      </w:r>
    </w:p>
    <w:p w14:paraId="781596E6">
      <w:pP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br w:type="page"/>
      </w:r>
    </w:p>
    <w:p w14:paraId="4CFA7D13">
      <w:pPr>
        <w:spacing w:line="360" w:lineRule="auto"/>
        <w:ind w:right="420"/>
        <w:rPr>
          <w:rFonts w:hint="eastAsia" w:asciiTheme="minorEastAsia" w:hAnsiTheme="minorEastAsia" w:eastAsiaTheme="minorEastAsia" w:cstheme="minorEastAsia"/>
          <w:b/>
          <w:color w:val="auto"/>
          <w:kern w:val="0"/>
          <w:sz w:val="44"/>
          <w:szCs w:val="44"/>
        </w:rPr>
      </w:pPr>
      <w:r>
        <w:rPr>
          <w:rFonts w:hint="eastAsia" w:asciiTheme="minorEastAsia" w:hAnsiTheme="minorEastAsia" w:eastAsiaTheme="minorEastAsia" w:cstheme="minorEastAsia"/>
          <w:b/>
          <w:color w:val="auto"/>
          <w:kern w:val="0"/>
          <w:sz w:val="32"/>
          <w:szCs w:val="32"/>
        </w:rPr>
        <w:t>附件7：</w:t>
      </w:r>
      <w:r>
        <w:rPr>
          <w:rFonts w:hint="eastAsia" w:asciiTheme="minorEastAsia" w:hAnsiTheme="minorEastAsia" w:eastAsiaTheme="minorEastAsia" w:cstheme="minorEastAsia"/>
          <w:b/>
          <w:color w:val="auto"/>
          <w:sz w:val="32"/>
          <w:szCs w:val="32"/>
        </w:rPr>
        <w:t>现场踏勘确认书（如有）</w:t>
      </w:r>
    </w:p>
    <w:p w14:paraId="4543A707">
      <w:pPr>
        <w:adjustRightInd/>
        <w:spacing w:line="720" w:lineRule="auto"/>
        <w:ind w:firstLine="560" w:firstLineChars="200"/>
        <w:rPr>
          <w:rFonts w:hint="eastAsia" w:asciiTheme="minorEastAsia" w:hAnsiTheme="minorEastAsia" w:eastAsiaTheme="minorEastAsia" w:cstheme="minorEastAsia"/>
          <w:color w:val="auto"/>
          <w:sz w:val="28"/>
          <w:szCs w:val="36"/>
        </w:rPr>
      </w:pPr>
    </w:p>
    <w:p w14:paraId="05F4370F">
      <w:pPr>
        <w:adjustRightInd/>
        <w:spacing w:line="720" w:lineRule="auto"/>
        <w:ind w:firstLine="560" w:firstLineChars="200"/>
        <w:rPr>
          <w:rFonts w:hint="eastAsia" w:asciiTheme="minorEastAsia" w:hAnsiTheme="minorEastAsia" w:eastAsiaTheme="minorEastAsia" w:cstheme="minorEastAsia"/>
          <w:color w:val="auto"/>
          <w:sz w:val="28"/>
          <w:szCs w:val="36"/>
        </w:rPr>
      </w:pPr>
      <w:r>
        <w:rPr>
          <w:rFonts w:hint="eastAsia" w:asciiTheme="minorEastAsia" w:hAnsiTheme="minorEastAsia" w:eastAsiaTheme="minorEastAsia" w:cstheme="minorEastAsia"/>
          <w:color w:val="auto"/>
          <w:sz w:val="28"/>
          <w:szCs w:val="36"/>
        </w:rPr>
        <w:t>根据招标文件要求，    (公司）对“  项目名称 ”（招标编号：  ）现场进行实地踏勘，获得投标所需要相关资料。</w:t>
      </w:r>
    </w:p>
    <w:p w14:paraId="36228683">
      <w:pPr>
        <w:numPr>
          <w:ilvl w:val="0"/>
          <w:numId w:val="25"/>
        </w:numPr>
        <w:adjustRightInd/>
        <w:spacing w:line="720" w:lineRule="auto"/>
        <w:ind w:firstLine="560" w:firstLineChars="200"/>
        <w:rPr>
          <w:rFonts w:hint="eastAsia" w:asciiTheme="minorEastAsia" w:hAnsiTheme="minorEastAsia" w:eastAsiaTheme="minorEastAsia" w:cstheme="minorEastAsia"/>
          <w:color w:val="auto"/>
          <w:sz w:val="28"/>
          <w:szCs w:val="36"/>
        </w:rPr>
      </w:pPr>
      <w:r>
        <w:rPr>
          <w:rFonts w:hint="eastAsia" w:asciiTheme="minorEastAsia" w:hAnsiTheme="minorEastAsia" w:eastAsiaTheme="minorEastAsia" w:cstheme="minorEastAsia"/>
          <w:color w:val="auto"/>
          <w:sz w:val="28"/>
          <w:szCs w:val="36"/>
        </w:rPr>
        <w:t>经现场踏勘，该投标单位对该项目需求已充分了解。</w:t>
      </w:r>
    </w:p>
    <w:p w14:paraId="4EB9C2EB">
      <w:pPr>
        <w:numPr>
          <w:ilvl w:val="0"/>
          <w:numId w:val="25"/>
        </w:numPr>
        <w:adjustRightInd/>
        <w:spacing w:line="720" w:lineRule="auto"/>
        <w:ind w:firstLine="560" w:firstLineChars="200"/>
        <w:rPr>
          <w:rFonts w:hint="eastAsia" w:asciiTheme="minorEastAsia" w:hAnsiTheme="minorEastAsia" w:eastAsiaTheme="minorEastAsia" w:cstheme="minorEastAsia"/>
          <w:color w:val="auto"/>
          <w:sz w:val="28"/>
          <w:szCs w:val="36"/>
        </w:rPr>
      </w:pPr>
      <w:r>
        <w:rPr>
          <w:rFonts w:hint="eastAsia" w:asciiTheme="minorEastAsia" w:hAnsiTheme="minorEastAsia" w:eastAsiaTheme="minorEastAsia" w:cstheme="minorEastAsia"/>
          <w:color w:val="auto"/>
          <w:sz w:val="28"/>
          <w:szCs w:val="36"/>
        </w:rPr>
        <w:t>若该投标单位中标，不得对项目现状提出异议，不得以非正常理由拒绝签署项目合同书或履行所约定的各项义务。</w:t>
      </w:r>
    </w:p>
    <w:p w14:paraId="2950E6F0">
      <w:pPr>
        <w:adjustRightInd/>
        <w:spacing w:line="720" w:lineRule="auto"/>
        <w:ind w:firstLine="560" w:firstLineChars="200"/>
        <w:rPr>
          <w:rFonts w:hint="eastAsia" w:asciiTheme="minorEastAsia" w:hAnsiTheme="minorEastAsia" w:eastAsiaTheme="minorEastAsia" w:cstheme="minorEastAsia"/>
          <w:color w:val="auto"/>
          <w:sz w:val="28"/>
          <w:szCs w:val="36"/>
        </w:rPr>
      </w:pPr>
      <w:r>
        <w:rPr>
          <w:rFonts w:hint="eastAsia" w:asciiTheme="minorEastAsia" w:hAnsiTheme="minorEastAsia" w:eastAsiaTheme="minorEastAsia" w:cstheme="minorEastAsia"/>
          <w:color w:val="auto"/>
          <w:sz w:val="28"/>
          <w:szCs w:val="36"/>
        </w:rPr>
        <w:t>特此证明。</w:t>
      </w:r>
    </w:p>
    <w:p w14:paraId="351F90EE">
      <w:pPr>
        <w:pStyle w:val="644"/>
        <w:ind w:firstLine="560"/>
        <w:rPr>
          <w:rFonts w:hint="eastAsia" w:asciiTheme="minorEastAsia" w:hAnsiTheme="minorEastAsia" w:eastAsiaTheme="minorEastAsia" w:cstheme="minorEastAsia"/>
          <w:color w:val="auto"/>
          <w:sz w:val="28"/>
          <w:szCs w:val="36"/>
        </w:rPr>
      </w:pPr>
    </w:p>
    <w:p w14:paraId="110B408A">
      <w:pPr>
        <w:adjustRightInd/>
        <w:spacing w:line="720" w:lineRule="auto"/>
        <w:ind w:left="2100" w:leftChars="1000"/>
        <w:rPr>
          <w:rFonts w:hint="eastAsia" w:asciiTheme="minorEastAsia" w:hAnsiTheme="minorEastAsia" w:eastAsiaTheme="minorEastAsia" w:cstheme="minorEastAsia"/>
          <w:color w:val="auto"/>
          <w:sz w:val="28"/>
          <w:szCs w:val="36"/>
        </w:rPr>
      </w:pPr>
      <w:r>
        <w:rPr>
          <w:rFonts w:hint="eastAsia" w:asciiTheme="minorEastAsia" w:hAnsiTheme="minorEastAsia" w:eastAsiaTheme="minorEastAsia" w:cstheme="minorEastAsia"/>
          <w:color w:val="auto"/>
          <w:sz w:val="28"/>
          <w:szCs w:val="36"/>
        </w:rPr>
        <w:t>采购单位（盖章）：</w:t>
      </w:r>
    </w:p>
    <w:p w14:paraId="225EA7D1">
      <w:pPr>
        <w:adjustRightInd/>
        <w:spacing w:line="720" w:lineRule="auto"/>
        <w:ind w:left="2100" w:leftChars="1000"/>
        <w:rPr>
          <w:rFonts w:hint="eastAsia" w:asciiTheme="minorEastAsia" w:hAnsiTheme="minorEastAsia" w:eastAsiaTheme="minorEastAsia" w:cstheme="minorEastAsia"/>
          <w:color w:val="auto"/>
          <w:sz w:val="28"/>
          <w:szCs w:val="36"/>
          <w:u w:val="single"/>
        </w:rPr>
      </w:pPr>
      <w:r>
        <w:rPr>
          <w:rFonts w:hint="eastAsia" w:asciiTheme="minorEastAsia" w:hAnsiTheme="minorEastAsia" w:eastAsiaTheme="minorEastAsia" w:cstheme="minorEastAsia"/>
          <w:color w:val="auto"/>
          <w:sz w:val="28"/>
          <w:szCs w:val="36"/>
        </w:rPr>
        <w:t>投标人授权代表人（签字）：</w:t>
      </w:r>
      <w:r>
        <w:rPr>
          <w:rFonts w:hint="eastAsia" w:asciiTheme="minorEastAsia" w:hAnsiTheme="minorEastAsia" w:eastAsiaTheme="minorEastAsia" w:cstheme="minorEastAsia"/>
          <w:color w:val="auto"/>
          <w:sz w:val="28"/>
          <w:szCs w:val="36"/>
          <w:u w:val="single"/>
        </w:rPr>
        <w:t xml:space="preserve">          </w:t>
      </w:r>
    </w:p>
    <w:p w14:paraId="78F18668">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8"/>
          <w:szCs w:val="36"/>
        </w:rPr>
        <w:t>日期：   年  月  日</w:t>
      </w:r>
      <w:bookmarkEnd w:id="28"/>
      <w:bookmarkEnd w:id="29"/>
    </w:p>
    <w:p w14:paraId="5A35E33D">
      <w:pPr>
        <w:rPr>
          <w:rFonts w:hint="eastAsia" w:asciiTheme="minorEastAsia" w:hAnsiTheme="minorEastAsia" w:eastAsiaTheme="minorEastAsia" w:cstheme="minorEastAsia"/>
          <w:color w:val="auto"/>
        </w:rPr>
      </w:pPr>
    </w:p>
    <w:p w14:paraId="5AB4E7AD">
      <w:pPr>
        <w:rPr>
          <w:rFonts w:hint="eastAsia" w:asciiTheme="minorEastAsia" w:hAnsiTheme="minorEastAsia" w:eastAsiaTheme="minorEastAsia" w:cstheme="minorEastAsia"/>
          <w:color w:val="auto"/>
        </w:rPr>
      </w:pPr>
    </w:p>
    <w:p w14:paraId="357AC8E3">
      <w:pPr>
        <w:rPr>
          <w:rFonts w:hint="eastAsia" w:asciiTheme="minorEastAsia" w:hAnsiTheme="minorEastAsia" w:eastAsiaTheme="minorEastAsia" w:cstheme="minorEastAsia"/>
          <w:color w:val="auto"/>
        </w:rPr>
      </w:pPr>
    </w:p>
    <w:p w14:paraId="7DEC2FD4">
      <w:pPr>
        <w:rPr>
          <w:rFonts w:hint="eastAsia" w:asciiTheme="minorEastAsia" w:hAnsiTheme="minorEastAsia" w:eastAsiaTheme="minorEastAsia" w:cstheme="minorEastAsia"/>
          <w:color w:val="auto"/>
        </w:rPr>
      </w:pPr>
    </w:p>
    <w:p w14:paraId="09F12FD3">
      <w:pPr>
        <w:rPr>
          <w:rFonts w:hint="eastAsia" w:asciiTheme="minorEastAsia" w:hAnsiTheme="minorEastAsia" w:eastAsiaTheme="minorEastAsia" w:cstheme="minorEastAsia"/>
          <w:color w:val="auto"/>
        </w:rPr>
      </w:pPr>
    </w:p>
    <w:sectPr>
      <w:headerReference r:id="rId20" w:type="first"/>
      <w:footerReference r:id="rId23" w:type="first"/>
      <w:headerReference r:id="rId19" w:type="default"/>
      <w:footerReference r:id="rId21" w:type="default"/>
      <w:footerReference r:id="rId22" w:type="even"/>
      <w:pgSz w:w="11905" w:h="16838"/>
      <w:pgMar w:top="1474" w:right="1814" w:bottom="1474" w:left="1814"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003F01FF"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PMingLiU-ExtB"/>
    <w:panose1 w:val="00000000000000000000"/>
    <w:charset w:val="00"/>
    <w:family w:val="modern"/>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宋体">
    <w:panose1 w:val="02010600030101010101"/>
    <w:charset w:val="86"/>
    <w:family w:val="auto"/>
    <w:pitch w:val="default"/>
    <w:sig w:usb0="00000203" w:usb1="288F0000" w:usb2="00000006" w:usb3="00000000" w:csb0="00040001" w:csb1="00000000"/>
  </w:font>
  <w:font w:name="Romantic">
    <w:altName w:val="Segoe Print"/>
    <w:panose1 w:val="000004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FBB0">
    <w:pPr>
      <w:pStyle w:val="40"/>
      <w:rPr>
        <w:rStyle w:val="75"/>
      </w:rPr>
    </w:pPr>
    <w:r>
      <w:fldChar w:fldCharType="begin"/>
    </w:r>
    <w:r>
      <w:rPr>
        <w:rStyle w:val="75"/>
      </w:rPr>
      <w:instrText xml:space="preserve">PAGE  </w:instrText>
    </w:r>
    <w:r>
      <w:fldChar w:fldCharType="end"/>
    </w:r>
  </w:p>
  <w:p w14:paraId="2D7DA2FF">
    <w:pPr>
      <w:pStyle w:val="4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B46D">
    <w:pPr>
      <w:pStyle w:val="40"/>
      <w:jc w:val="center"/>
      <w:rPr>
        <w:szCs w:val="2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BB7E9">
                          <w:pPr>
                            <w:pStyle w:val="40"/>
                          </w:pPr>
                          <w:r>
                            <w:t xml:space="preserve">第 </w:t>
                          </w:r>
                          <w:r>
                            <w:fldChar w:fldCharType="begin"/>
                          </w:r>
                          <w:r>
                            <w:instrText xml:space="preserve"> PAGE  \* MERGEFORMAT </w:instrText>
                          </w:r>
                          <w:r>
                            <w:fldChar w:fldCharType="separate"/>
                          </w:r>
                          <w:r>
                            <w:t>272</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77BB7E9">
                    <w:pPr>
                      <w:pStyle w:val="40"/>
                    </w:pPr>
                    <w:r>
                      <w:t xml:space="preserve">第 </w:t>
                    </w:r>
                    <w:r>
                      <w:fldChar w:fldCharType="begin"/>
                    </w:r>
                    <w:r>
                      <w:instrText xml:space="preserve"> PAGE  \* MERGEFORMAT </w:instrText>
                    </w:r>
                    <w:r>
                      <w:fldChar w:fldCharType="separate"/>
                    </w:r>
                    <w:r>
                      <w:t>272</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v:textbox>
            </v:shape>
          </w:pict>
        </mc:Fallback>
      </mc:AlternateContent>
    </w:r>
  </w:p>
  <w:p w14:paraId="51F8E437"/>
  <w:p w14:paraId="70169C5F"/>
  <w:p w14:paraId="2E86D4A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3B97">
    <w:pPr>
      <w:pStyle w:val="40"/>
      <w:rPr>
        <w:rStyle w:val="75"/>
      </w:rPr>
    </w:pPr>
    <w:r>
      <w:fldChar w:fldCharType="begin"/>
    </w:r>
    <w:r>
      <w:rPr>
        <w:rStyle w:val="75"/>
      </w:rPr>
      <w:instrText xml:space="preserve">PAGE  </w:instrText>
    </w:r>
    <w:r>
      <w:fldChar w:fldCharType="end"/>
    </w:r>
  </w:p>
  <w:p w14:paraId="6EA0A28B">
    <w:pPr>
      <w:pStyle w:val="40"/>
    </w:pPr>
  </w:p>
  <w:p w14:paraId="079E84CD"/>
  <w:p w14:paraId="49F36F2F"/>
  <w:p w14:paraId="19E431D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039A">
    <w:pPr>
      <w:pStyle w:val="40"/>
    </w:pPr>
    <w:r>
      <w:rPr>
        <w:rFonts w:hint="eastAsia"/>
      </w:rPr>
      <w:t xml:space="preserve">第 </w:t>
    </w:r>
    <w:r>
      <w:rPr>
        <w:rFonts w:hint="eastAsia"/>
      </w:rPr>
      <w:fldChar w:fldCharType="begin"/>
    </w:r>
    <w:r>
      <w:rPr>
        <w:rFonts w:hint="eastAsia"/>
      </w:rPr>
      <w:instrText xml:space="preserve"> PAGE </w:instrText>
    </w:r>
    <w:r>
      <w:rPr>
        <w:rFonts w:hint="eastAsia"/>
      </w:rPr>
      <w:fldChar w:fldCharType="separate"/>
    </w:r>
    <w: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w:instrText>
    </w:r>
    <w:r>
      <w:rPr>
        <w:rFonts w:hint="eastAsia"/>
      </w:rPr>
      <w:fldChar w:fldCharType="separate"/>
    </w:r>
    <w:r>
      <w:t>69</w:t>
    </w:r>
    <w:r>
      <w:rPr>
        <w:rFonts w:hint="eastAsia"/>
      </w:rPr>
      <w:fldChar w:fldCharType="end"/>
    </w:r>
    <w:bookmarkStart w:id="33" w:name="_Toc91899912"/>
    <w:bookmarkStart w:id="34" w:name="_Toc36110187"/>
    <w:bookmarkStart w:id="35" w:name="_Toc131845147"/>
    <w:bookmarkStart w:id="36" w:name="_Toc164085800"/>
    <w:r>
      <w:rPr>
        <w:rFonts w:hint="eastAsia"/>
      </w:rPr>
      <w:t xml:space="preserve"> 页</w:t>
    </w:r>
    <w:bookmarkEnd w:id="33"/>
    <w:bookmarkEnd w:id="34"/>
    <w:bookmarkEnd w:id="35"/>
    <w:bookmarkEnd w:id="36"/>
  </w:p>
  <w:p w14:paraId="3CBE2116"/>
  <w:p w14:paraId="01B73E56"/>
  <w:p w14:paraId="7C39AD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918F">
    <w:pPr>
      <w:pStyle w:val="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C5A36">
                          <w:pPr>
                            <w:pStyle w:val="4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38C5A36">
                    <w:pPr>
                      <w:pStyle w:val="4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74D3">
    <w:pPr>
      <w:pStyle w:val="4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0C3C9">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760C3C9">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0183">
    <w:pPr>
      <w:pStyle w:val="4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42AE8">
                          <w:pPr>
                            <w:pStyle w:val="4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7842AE8">
                    <w:pPr>
                      <w:pStyle w:val="4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4D99">
    <w:pPr>
      <w:pStyle w:val="40"/>
      <w:pBdr>
        <w:top w:val="single" w:color="auto" w:sz="4" w:space="1"/>
      </w:pBd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E023A">
                          <w:pPr>
                            <w:pStyle w:val="40"/>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A0E023A">
                    <w:pPr>
                      <w:pStyle w:val="40"/>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E2B2">
    <w:pPr>
      <w:pStyle w:val="40"/>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27880">
                          <w:pPr>
                            <w:pStyle w:val="40"/>
                          </w:pPr>
                          <w:r>
                            <w:t xml:space="preserve">第 </w:t>
                          </w:r>
                          <w:r>
                            <w:fldChar w:fldCharType="begin"/>
                          </w:r>
                          <w:r>
                            <w:instrText xml:space="preserve"> PAGE  \* MERGEFORMAT </w:instrText>
                          </w:r>
                          <w:r>
                            <w:fldChar w:fldCharType="separate"/>
                          </w:r>
                          <w:r>
                            <w:t>245</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E827880">
                    <w:pPr>
                      <w:pStyle w:val="40"/>
                    </w:pPr>
                    <w:r>
                      <w:t xml:space="preserve">第 </w:t>
                    </w:r>
                    <w:r>
                      <w:fldChar w:fldCharType="begin"/>
                    </w:r>
                    <w:r>
                      <w:instrText xml:space="preserve"> PAGE  \* MERGEFORMAT </w:instrText>
                    </w:r>
                    <w:r>
                      <w:fldChar w:fldCharType="separate"/>
                    </w:r>
                    <w:r>
                      <w:t>245</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v:textbox>
            </v:shape>
          </w:pict>
        </mc:Fallback>
      </mc:AlternateContent>
    </w:r>
  </w:p>
  <w:p w14:paraId="5DDA0A0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F78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EBA3BC5">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C1712">
    <w:pPr>
      <w:pStyle w:val="40"/>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6962A">
                          <w:pPr>
                            <w:pStyle w:val="40"/>
                          </w:pPr>
                          <w:r>
                            <w:t xml:space="preserve">第 </w:t>
                          </w:r>
                          <w:r>
                            <w:fldChar w:fldCharType="begin"/>
                          </w:r>
                          <w:r>
                            <w:instrText xml:space="preserve"> PAGE  \* MERGEFORMAT </w:instrText>
                          </w:r>
                          <w:r>
                            <w:fldChar w:fldCharType="separate"/>
                          </w:r>
                          <w:r>
                            <w:t>271</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606962A">
                    <w:pPr>
                      <w:pStyle w:val="40"/>
                    </w:pPr>
                    <w:r>
                      <w:t xml:space="preserve">第 </w:t>
                    </w:r>
                    <w:r>
                      <w:fldChar w:fldCharType="begin"/>
                    </w:r>
                    <w:r>
                      <w:instrText xml:space="preserve"> PAGE  \* MERGEFORMAT </w:instrText>
                    </w:r>
                    <w:r>
                      <w:fldChar w:fldCharType="separate"/>
                    </w:r>
                    <w:r>
                      <w:t>271</w:t>
                    </w:r>
                    <w:r>
                      <w:fldChar w:fldCharType="end"/>
                    </w:r>
                    <w:r>
                      <w:t xml:space="preserve"> 页 共 </w:t>
                    </w:r>
                    <w:r>
                      <w:fldChar w:fldCharType="begin"/>
                    </w:r>
                    <w:r>
                      <w:instrText xml:space="preserve"> NUMPAGES  \* MERGEFORMAT </w:instrText>
                    </w:r>
                    <w:r>
                      <w:fldChar w:fldCharType="separate"/>
                    </w:r>
                    <w:r>
                      <w:t>283</w:t>
                    </w:r>
                    <w:r>
                      <w:fldChar w:fldCharType="end"/>
                    </w:r>
                    <w:r>
                      <w:t xml:space="preserve"> 页</w:t>
                    </w:r>
                  </w:p>
                </w:txbxContent>
              </v:textbox>
            </v:shape>
          </w:pict>
        </mc:Fallback>
      </mc:AlternateContent>
    </w:r>
  </w:p>
  <w:p w14:paraId="406B2ED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C2C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1FBAF78">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6828E">
    <w:pPr>
      <w:pStyle w:val="42"/>
    </w:pPr>
    <w:r>
      <w:t></w:t>
    </w:r>
    <w:r>
      <w:rPr>
        <w:rFonts w:hint="eastAsia"/>
      </w:rPr>
      <w:t xml:space="preserve">           </w:t>
    </w:r>
    <w:r>
      <w:rPr>
        <w:rFonts w:hint="eastAsia"/>
        <w:lang w:val="zh-CN"/>
      </w:rPr>
      <w:t>建德市国有企业采购公开招标</w:t>
    </w:r>
  </w:p>
  <w:p w14:paraId="1A435AF2">
    <w:pPr>
      <w:pStyle w:val="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015E">
    <w:pPr>
      <w:pStyle w:val="42"/>
    </w:pPr>
    <w:r>
      <w:rPr>
        <w:lang w:val="zh-CN"/>
      </w:rPr>
      <w:t></w:t>
    </w:r>
    <w:r>
      <w:tab/>
    </w:r>
    <w:r>
      <w:rPr>
        <w:lang w:val="zh-CN"/>
      </w:rPr>
      <w:t></w:t>
    </w:r>
    <w:r>
      <w:tab/>
    </w:r>
    <w:r>
      <w:rPr>
        <w:rFonts w:hint="eastAsia"/>
        <w:lang w:val="zh-CN"/>
      </w:rPr>
      <w:t>建德市国有企业采购公开招标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5BCE">
    <w:pPr>
      <w:pStyle w:val="42"/>
    </w:pPr>
    <w:r>
      <w:t></w:t>
    </w:r>
    <w:r>
      <w:rPr>
        <w:rFonts w:hint="eastAsia"/>
      </w:rPr>
      <w:t xml:space="preserve">           </w:t>
    </w:r>
    <w:r>
      <w:rPr>
        <w:rFonts w:hint="eastAsia"/>
        <w:lang w:val="zh-CN"/>
      </w:rPr>
      <w:t>建德市国有企业采购公开招标</w:t>
    </w:r>
  </w:p>
  <w:p w14:paraId="2836AFC5">
    <w:pPr>
      <w:pStyle w:val="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E009">
    <w:pPr>
      <w:pStyle w:val="42"/>
      <w:rPr>
        <w:rFonts w:ascii="仿宋_GB2312" w:eastAsia="仿宋_GB2312"/>
        <w:b/>
        <w:i/>
        <w:u w:val="single"/>
      </w:rPr>
    </w:pPr>
    <w:r>
      <w:t></w:t>
    </w:r>
    <w:r>
      <w:rPr>
        <w:rFonts w:hint="eastAsia"/>
      </w:rPr>
      <w:t xml:space="preserve">                                          建德市国有企业采购</w:t>
    </w:r>
    <w:r>
      <w:t>公开招标文件</w:t>
    </w:r>
  </w:p>
  <w:p w14:paraId="3C368569">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532FD">
    <w:pPr>
      <w:pStyle w:val="42"/>
      <w:jc w:val="right"/>
    </w:pPr>
    <w:r>
      <w:t></w:t>
    </w:r>
    <w:r>
      <w:rPr>
        <w:rFonts w:hint="eastAsia"/>
      </w:rPr>
      <w:t xml:space="preserve">                                                                    </w:t>
    </w:r>
    <w:r>
      <w:t>杭州市</w:t>
    </w:r>
    <w:r>
      <w:rPr>
        <w:rFonts w:hint="eastAsia"/>
      </w:rPr>
      <w:t>国有企业采购</w:t>
    </w:r>
    <w:r>
      <w:t>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A083">
    <w:pPr>
      <w:pStyle w:val="42"/>
      <w:jc w:val="right"/>
      <w:rPr>
        <w:rFonts w:ascii="仿宋_GB2312" w:eastAsia="仿宋_GB2312"/>
        <w:b/>
        <w:i/>
        <w:u w:val="single"/>
      </w:rPr>
    </w:pPr>
    <w:r>
      <w:rPr>
        <w:rFonts w:hint="eastAsia"/>
      </w:rPr>
      <w:t xml:space="preserve">                                  </w:t>
    </w:r>
    <w:r>
      <w:t>杭州市</w:t>
    </w:r>
    <w:r>
      <w:rPr>
        <w:rFonts w:hint="eastAsia"/>
      </w:rPr>
      <w:t>国有企业采购</w:t>
    </w:r>
    <w:r>
      <w:t>公开招标文件</w:t>
    </w:r>
  </w:p>
  <w:p w14:paraId="4D1069BE">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D61D">
    <w:pPr>
      <w:pStyle w:val="42"/>
      <w:jc w:val="right"/>
    </w:pPr>
    <w:r>
      <w:rPr>
        <w:rFonts w:hint="eastAsia"/>
      </w:rPr>
      <w:t xml:space="preserve">                                                                                                        </w:t>
    </w:r>
    <w:r>
      <w:t>杭州市</w:t>
    </w:r>
    <w:r>
      <w:rPr>
        <w:rFonts w:hint="eastAsia"/>
      </w:rPr>
      <w:t>国有企业采购</w:t>
    </w:r>
    <w:r>
      <w:t>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660C">
    <w:pPr>
      <w:pStyle w:val="42"/>
      <w:rPr>
        <w:rFonts w:ascii="仿宋_GB2312" w:eastAsia="仿宋_GB2312"/>
        <w:b/>
        <w:i/>
        <w:iCs/>
        <w:u w:val="single"/>
      </w:rPr>
    </w:pPr>
    <w:r>
      <w:t></w:t>
    </w:r>
    <w:r>
      <w:rPr>
        <w:rFonts w:hint="eastAsia"/>
      </w:rPr>
      <w:t>建德市国有企业采购</w:t>
    </w:r>
    <w:r>
      <w:t>公开招标文件</w:t>
    </w:r>
  </w:p>
  <w:p w14:paraId="772EA68B"/>
  <w:p w14:paraId="611C70BC"/>
  <w:p w14:paraId="494F19A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B4F8">
    <w:pPr>
      <w:pStyle w:val="42"/>
    </w:pPr>
    <w:r>
      <w:t></w:t>
    </w:r>
    <w:r>
      <w:rPr>
        <w:rFonts w:hint="eastAsia"/>
      </w:rPr>
      <w:t xml:space="preserve">                                             </w:t>
    </w:r>
    <w:r>
      <w:t>杭州市</w:t>
    </w:r>
    <w:r>
      <w:rPr>
        <w:rFonts w:hint="eastAsia"/>
      </w:rPr>
      <w:t>国有企业采购</w:t>
    </w:r>
    <w:r>
      <w:t>公开招标文件</w:t>
    </w:r>
  </w:p>
  <w:p w14:paraId="26727CCC"/>
  <w:p w14:paraId="1626076D"/>
  <w:p w14:paraId="07B809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3D0EE"/>
    <w:multiLevelType w:val="singleLevel"/>
    <w:tmpl w:val="8E43D0EE"/>
    <w:lvl w:ilvl="0" w:tentative="0">
      <w:start w:val="1"/>
      <w:numFmt w:val="decimal"/>
      <w:suff w:val="nothing"/>
      <w:lvlText w:val="%1．"/>
      <w:lvlJc w:val="left"/>
      <w:pPr>
        <w:ind w:left="0" w:firstLine="400"/>
      </w:pPr>
      <w:rPr>
        <w:rFonts w:hint="default"/>
      </w:rPr>
    </w:lvl>
  </w:abstractNum>
  <w:abstractNum w:abstractNumId="1">
    <w:nsid w:val="9C8AC8EF"/>
    <w:multiLevelType w:val="multilevel"/>
    <w:tmpl w:val="9C8AC8EF"/>
    <w:lvl w:ilvl="0" w:tentative="0">
      <w:start w:val="1"/>
      <w:numFmt w:val="chineseCounting"/>
      <w:pStyle w:val="2"/>
      <w:suff w:val="nothing"/>
      <w:lvlText w:val="%1、"/>
      <w:lvlJc w:val="left"/>
      <w:pPr>
        <w:ind w:left="-220"/>
      </w:pPr>
      <w:rPr>
        <w:rFonts w:hint="eastAsia"/>
      </w:rPr>
    </w:lvl>
    <w:lvl w:ilvl="1" w:tentative="0">
      <w:start w:val="1"/>
      <w:numFmt w:val="bullet"/>
      <w:lvlText w:val="o"/>
      <w:lvlJc w:val="left"/>
      <w:pPr>
        <w:ind w:left="1230" w:hanging="360"/>
      </w:pPr>
      <w:rPr>
        <w:rFonts w:hint="default" w:ascii="Courier New" w:hAnsi="Courier New" w:eastAsia="Courier New" w:cs="Courier New"/>
      </w:rPr>
    </w:lvl>
    <w:lvl w:ilvl="2" w:tentative="0">
      <w:start w:val="1"/>
      <w:numFmt w:val="bullet"/>
      <w:lvlText w:val="§"/>
      <w:lvlJc w:val="left"/>
      <w:pPr>
        <w:ind w:left="1950" w:hanging="360"/>
      </w:pPr>
      <w:rPr>
        <w:rFonts w:hint="default" w:ascii="Wingdings" w:hAnsi="Wingdings" w:eastAsia="Wingdings" w:cs="Wingdings"/>
      </w:rPr>
    </w:lvl>
    <w:lvl w:ilvl="3" w:tentative="0">
      <w:start w:val="1"/>
      <w:numFmt w:val="bullet"/>
      <w:lvlText w:val="·"/>
      <w:lvlJc w:val="left"/>
      <w:pPr>
        <w:ind w:left="2670" w:hanging="360"/>
      </w:pPr>
      <w:rPr>
        <w:rFonts w:hint="default" w:ascii="Symbol" w:hAnsi="Symbol" w:eastAsia="Symbol" w:cs="Symbol"/>
      </w:rPr>
    </w:lvl>
    <w:lvl w:ilvl="4" w:tentative="0">
      <w:start w:val="1"/>
      <w:numFmt w:val="bullet"/>
      <w:lvlText w:val="o"/>
      <w:lvlJc w:val="left"/>
      <w:pPr>
        <w:ind w:left="3390" w:hanging="360"/>
      </w:pPr>
      <w:rPr>
        <w:rFonts w:hint="default" w:ascii="Courier New" w:hAnsi="Courier New" w:eastAsia="Courier New" w:cs="Courier New"/>
      </w:rPr>
    </w:lvl>
    <w:lvl w:ilvl="5" w:tentative="0">
      <w:start w:val="1"/>
      <w:numFmt w:val="bullet"/>
      <w:lvlText w:val="§"/>
      <w:lvlJc w:val="left"/>
      <w:pPr>
        <w:ind w:left="4110" w:hanging="360"/>
      </w:pPr>
      <w:rPr>
        <w:rFonts w:hint="default" w:ascii="Wingdings" w:hAnsi="Wingdings" w:eastAsia="Wingdings" w:cs="Wingdings"/>
      </w:rPr>
    </w:lvl>
    <w:lvl w:ilvl="6" w:tentative="0">
      <w:start w:val="1"/>
      <w:numFmt w:val="bullet"/>
      <w:lvlText w:val="·"/>
      <w:lvlJc w:val="left"/>
      <w:pPr>
        <w:ind w:left="4830" w:hanging="360"/>
      </w:pPr>
      <w:rPr>
        <w:rFonts w:hint="default" w:ascii="Symbol" w:hAnsi="Symbol" w:eastAsia="Symbol" w:cs="Symbol"/>
      </w:rPr>
    </w:lvl>
    <w:lvl w:ilvl="7" w:tentative="0">
      <w:start w:val="1"/>
      <w:numFmt w:val="bullet"/>
      <w:lvlText w:val="o"/>
      <w:lvlJc w:val="left"/>
      <w:pPr>
        <w:ind w:left="5550" w:hanging="360"/>
      </w:pPr>
      <w:rPr>
        <w:rFonts w:hint="default" w:ascii="Courier New" w:hAnsi="Courier New" w:eastAsia="Courier New" w:cs="Courier New"/>
      </w:rPr>
    </w:lvl>
    <w:lvl w:ilvl="8" w:tentative="0">
      <w:start w:val="1"/>
      <w:numFmt w:val="bullet"/>
      <w:lvlText w:val="§"/>
      <w:lvlJc w:val="left"/>
      <w:pPr>
        <w:ind w:left="6270" w:hanging="360"/>
      </w:pPr>
      <w:rPr>
        <w:rFonts w:hint="default" w:ascii="Wingdings" w:hAnsi="Wingdings" w:eastAsia="Wingdings" w:cs="Wingdings"/>
      </w:rPr>
    </w:lvl>
  </w:abstractNum>
  <w:abstractNum w:abstractNumId="2">
    <w:nsid w:val="A2D5E282"/>
    <w:multiLevelType w:val="singleLevel"/>
    <w:tmpl w:val="A2D5E282"/>
    <w:lvl w:ilvl="0" w:tentative="0">
      <w:start w:val="1"/>
      <w:numFmt w:val="decimal"/>
      <w:suff w:val="nothing"/>
      <w:lvlText w:val="（%1）"/>
      <w:lvlJc w:val="left"/>
    </w:lvl>
  </w:abstractNum>
  <w:abstractNum w:abstractNumId="3">
    <w:nsid w:val="B5E6894D"/>
    <w:multiLevelType w:val="singleLevel"/>
    <w:tmpl w:val="B5E6894D"/>
    <w:lvl w:ilvl="0" w:tentative="0">
      <w:start w:val="1"/>
      <w:numFmt w:val="decimal"/>
      <w:suff w:val="space"/>
      <w:lvlText w:val="%1."/>
      <w:lvlJc w:val="left"/>
    </w:lvl>
  </w:abstractNum>
  <w:abstractNum w:abstractNumId="4">
    <w:nsid w:val="B9C35CCB"/>
    <w:multiLevelType w:val="singleLevel"/>
    <w:tmpl w:val="B9C35CCB"/>
    <w:lvl w:ilvl="0" w:tentative="0">
      <w:start w:val="1"/>
      <w:numFmt w:val="decimal"/>
      <w:suff w:val="nothing"/>
      <w:lvlText w:val="%1．"/>
      <w:lvlJc w:val="left"/>
      <w:pPr>
        <w:ind w:left="0" w:firstLine="400"/>
      </w:pPr>
      <w:rPr>
        <w:rFonts w:hint="default"/>
      </w:rPr>
    </w:lvl>
  </w:abstractNum>
  <w:abstractNum w:abstractNumId="5">
    <w:nsid w:val="C87EBA27"/>
    <w:multiLevelType w:val="singleLevel"/>
    <w:tmpl w:val="C87EBA27"/>
    <w:lvl w:ilvl="0" w:tentative="0">
      <w:start w:val="1"/>
      <w:numFmt w:val="chineseCounting"/>
      <w:suff w:val="nothing"/>
      <w:lvlText w:val="（%1）"/>
      <w:lvlJc w:val="left"/>
      <w:pPr>
        <w:ind w:left="0" w:firstLine="420"/>
      </w:pPr>
      <w:rPr>
        <w:rFonts w:hint="eastAsia"/>
      </w:rPr>
    </w:lvl>
  </w:abstractNum>
  <w:abstractNum w:abstractNumId="6">
    <w:nsid w:val="C9B98332"/>
    <w:multiLevelType w:val="singleLevel"/>
    <w:tmpl w:val="C9B98332"/>
    <w:lvl w:ilvl="0" w:tentative="0">
      <w:start w:val="1"/>
      <w:numFmt w:val="decimal"/>
      <w:suff w:val="nothing"/>
      <w:lvlText w:val="%1．"/>
      <w:lvlJc w:val="left"/>
      <w:pPr>
        <w:ind w:left="0" w:firstLine="400"/>
      </w:pPr>
      <w:rPr>
        <w:rFonts w:hint="default"/>
      </w:rPr>
    </w:lvl>
  </w:abstractNum>
  <w:abstractNum w:abstractNumId="7">
    <w:nsid w:val="F9D91313"/>
    <w:multiLevelType w:val="singleLevel"/>
    <w:tmpl w:val="F9D91313"/>
    <w:lvl w:ilvl="0" w:tentative="0">
      <w:start w:val="4"/>
      <w:numFmt w:val="chineseCounting"/>
      <w:suff w:val="space"/>
      <w:lvlText w:val="第%1部分"/>
      <w:lvlJc w:val="left"/>
      <w:rPr>
        <w:rFonts w:hint="eastAsia"/>
      </w:rPr>
    </w:lvl>
  </w:abstractNum>
  <w:abstractNum w:abstractNumId="8">
    <w:nsid w:val="09D43CA2"/>
    <w:multiLevelType w:val="singleLevel"/>
    <w:tmpl w:val="09D43CA2"/>
    <w:lvl w:ilvl="0" w:tentative="0">
      <w:start w:val="1"/>
      <w:numFmt w:val="chineseCounting"/>
      <w:suff w:val="nothing"/>
      <w:lvlText w:val="（%1）"/>
      <w:lvlJc w:val="left"/>
      <w:rPr>
        <w:rFonts w:hint="eastAsia"/>
      </w:rPr>
    </w:lvl>
  </w:abstractNum>
  <w:abstractNum w:abstractNumId="9">
    <w:nsid w:val="19237B84"/>
    <w:multiLevelType w:val="singleLevel"/>
    <w:tmpl w:val="19237B84"/>
    <w:lvl w:ilvl="0" w:tentative="0">
      <w:start w:val="1"/>
      <w:numFmt w:val="decimal"/>
      <w:suff w:val="nothing"/>
      <w:lvlText w:val="%1．"/>
      <w:lvlJc w:val="left"/>
      <w:pPr>
        <w:ind w:left="0" w:firstLine="400"/>
      </w:pPr>
      <w:rPr>
        <w:rFonts w:hint="default"/>
      </w:rPr>
    </w:lvl>
  </w:abstractNum>
  <w:abstractNum w:abstractNumId="10">
    <w:nsid w:val="1D1C73FE"/>
    <w:multiLevelType w:val="multilevel"/>
    <w:tmpl w:val="1D1C73FE"/>
    <w:lvl w:ilvl="0" w:tentative="0">
      <w:start w:val="1"/>
      <w:numFmt w:val="bullet"/>
      <w:lvlText w:val=""/>
      <w:lvlJc w:val="left"/>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39721FB"/>
    <w:multiLevelType w:val="multilevel"/>
    <w:tmpl w:val="239721FB"/>
    <w:lvl w:ilvl="0" w:tentative="0">
      <w:start w:val="1"/>
      <w:numFmt w:val="decimal"/>
      <w:pStyle w:val="989"/>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4830F019"/>
    <w:multiLevelType w:val="singleLevel"/>
    <w:tmpl w:val="4830F019"/>
    <w:lvl w:ilvl="0" w:tentative="0">
      <w:start w:val="1"/>
      <w:numFmt w:val="decimal"/>
      <w:suff w:val="nothing"/>
      <w:lvlText w:val="%1．"/>
      <w:lvlJc w:val="left"/>
      <w:pPr>
        <w:ind w:left="0" w:firstLine="400"/>
      </w:pPr>
      <w:rPr>
        <w:rFonts w:hint="default"/>
      </w:rPr>
    </w:lvl>
  </w:abstractNum>
  <w:abstractNum w:abstractNumId="13">
    <w:nsid w:val="546A439A"/>
    <w:multiLevelType w:val="singleLevel"/>
    <w:tmpl w:val="546A439A"/>
    <w:lvl w:ilvl="0" w:tentative="0">
      <w:start w:val="1"/>
      <w:numFmt w:val="decimal"/>
      <w:lvlText w:val="(%1)"/>
      <w:lvlJc w:val="left"/>
      <w:pPr>
        <w:ind w:left="425" w:hanging="425"/>
      </w:pPr>
      <w:rPr>
        <w:rFonts w:hint="default"/>
      </w:rPr>
    </w:lvl>
  </w:abstractNum>
  <w:abstractNum w:abstractNumId="14">
    <w:nsid w:val="5512F548"/>
    <w:multiLevelType w:val="singleLevel"/>
    <w:tmpl w:val="5512F548"/>
    <w:lvl w:ilvl="0" w:tentative="0">
      <w:start w:val="1"/>
      <w:numFmt w:val="decimal"/>
      <w:suff w:val="nothing"/>
      <w:lvlText w:val="%1、"/>
      <w:lvlJc w:val="left"/>
    </w:lvl>
  </w:abstractNum>
  <w:abstractNum w:abstractNumId="15">
    <w:nsid w:val="5A17D27A"/>
    <w:multiLevelType w:val="singleLevel"/>
    <w:tmpl w:val="5A17D27A"/>
    <w:lvl w:ilvl="0" w:tentative="0">
      <w:start w:val="3"/>
      <w:numFmt w:val="chineseCounting"/>
      <w:suff w:val="nothing"/>
      <w:lvlText w:val="%1、"/>
      <w:lvlJc w:val="left"/>
    </w:lvl>
  </w:abstractNum>
  <w:abstractNum w:abstractNumId="16">
    <w:nsid w:val="5CFFEBB4"/>
    <w:multiLevelType w:val="singleLevel"/>
    <w:tmpl w:val="5CFFEBB4"/>
    <w:lvl w:ilvl="0" w:tentative="0">
      <w:start w:val="1"/>
      <w:numFmt w:val="decimal"/>
      <w:suff w:val="nothing"/>
      <w:lvlText w:val="%1．"/>
      <w:lvlJc w:val="left"/>
      <w:pPr>
        <w:ind w:left="0" w:firstLine="400"/>
      </w:pPr>
      <w:rPr>
        <w:rFonts w:hint="default"/>
      </w:rPr>
    </w:lvl>
  </w:abstractNum>
  <w:abstractNum w:abstractNumId="17">
    <w:nsid w:val="6548558B"/>
    <w:multiLevelType w:val="multilevel"/>
    <w:tmpl w:val="6548558B"/>
    <w:lvl w:ilvl="0" w:tentative="0">
      <w:start w:val="1"/>
      <w:numFmt w:val="japaneseCounting"/>
      <w:lvlText w:val="%1、"/>
      <w:lvlJc w:val="left"/>
      <w:pPr>
        <w:ind w:left="3920" w:hanging="660"/>
      </w:pPr>
      <w:rPr>
        <w:rFonts w:hint="default"/>
      </w:rPr>
    </w:lvl>
    <w:lvl w:ilvl="1" w:tentative="0">
      <w:start w:val="1"/>
      <w:numFmt w:val="lowerLetter"/>
      <w:lvlText w:val="%2)"/>
      <w:lvlJc w:val="left"/>
      <w:pPr>
        <w:ind w:left="4100" w:hanging="420"/>
      </w:pPr>
    </w:lvl>
    <w:lvl w:ilvl="2" w:tentative="0">
      <w:start w:val="1"/>
      <w:numFmt w:val="lowerRoman"/>
      <w:lvlText w:val="%3."/>
      <w:lvlJc w:val="right"/>
      <w:pPr>
        <w:ind w:left="4520" w:hanging="420"/>
      </w:pPr>
    </w:lvl>
    <w:lvl w:ilvl="3" w:tentative="0">
      <w:start w:val="1"/>
      <w:numFmt w:val="decimal"/>
      <w:lvlText w:val="%4."/>
      <w:lvlJc w:val="left"/>
      <w:pPr>
        <w:ind w:left="4940" w:hanging="420"/>
      </w:pPr>
    </w:lvl>
    <w:lvl w:ilvl="4" w:tentative="0">
      <w:start w:val="1"/>
      <w:numFmt w:val="lowerLetter"/>
      <w:lvlText w:val="%5)"/>
      <w:lvlJc w:val="left"/>
      <w:pPr>
        <w:ind w:left="5360" w:hanging="420"/>
      </w:pPr>
    </w:lvl>
    <w:lvl w:ilvl="5" w:tentative="0">
      <w:start w:val="1"/>
      <w:numFmt w:val="lowerRoman"/>
      <w:lvlText w:val="%6."/>
      <w:lvlJc w:val="right"/>
      <w:pPr>
        <w:ind w:left="5780" w:hanging="420"/>
      </w:pPr>
    </w:lvl>
    <w:lvl w:ilvl="6" w:tentative="0">
      <w:start w:val="1"/>
      <w:numFmt w:val="decimal"/>
      <w:lvlText w:val="%7."/>
      <w:lvlJc w:val="left"/>
      <w:pPr>
        <w:ind w:left="6200" w:hanging="420"/>
      </w:pPr>
    </w:lvl>
    <w:lvl w:ilvl="7" w:tentative="0">
      <w:start w:val="1"/>
      <w:numFmt w:val="lowerLetter"/>
      <w:lvlText w:val="%8)"/>
      <w:lvlJc w:val="left"/>
      <w:pPr>
        <w:ind w:left="6620" w:hanging="420"/>
      </w:pPr>
    </w:lvl>
    <w:lvl w:ilvl="8" w:tentative="0">
      <w:start w:val="1"/>
      <w:numFmt w:val="lowerRoman"/>
      <w:lvlText w:val="%9."/>
      <w:lvlJc w:val="right"/>
      <w:pPr>
        <w:ind w:left="7040" w:hanging="420"/>
      </w:pPr>
    </w:lvl>
  </w:abstractNum>
  <w:abstractNum w:abstractNumId="18">
    <w:nsid w:val="655E1364"/>
    <w:multiLevelType w:val="multilevel"/>
    <w:tmpl w:val="655E1364"/>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9">
    <w:nsid w:val="67C81414"/>
    <w:multiLevelType w:val="singleLevel"/>
    <w:tmpl w:val="67C81414"/>
    <w:lvl w:ilvl="0" w:tentative="0">
      <w:start w:val="1"/>
      <w:numFmt w:val="decimal"/>
      <w:suff w:val="nothing"/>
      <w:lvlText w:val="%1、"/>
      <w:lvlJc w:val="left"/>
    </w:lvl>
  </w:abstractNum>
  <w:abstractNum w:abstractNumId="20">
    <w:nsid w:val="69505CF2"/>
    <w:multiLevelType w:val="multilevel"/>
    <w:tmpl w:val="69505CF2"/>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1">
    <w:nsid w:val="70F06FA9"/>
    <w:multiLevelType w:val="multilevel"/>
    <w:tmpl w:val="70F06FA9"/>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2">
    <w:nsid w:val="7265E8F2"/>
    <w:multiLevelType w:val="singleLevel"/>
    <w:tmpl w:val="7265E8F2"/>
    <w:lvl w:ilvl="0" w:tentative="0">
      <w:start w:val="1"/>
      <w:numFmt w:val="decimal"/>
      <w:suff w:val="nothing"/>
      <w:lvlText w:val="%1．"/>
      <w:lvlJc w:val="left"/>
      <w:pPr>
        <w:ind w:left="0" w:firstLine="400"/>
      </w:pPr>
      <w:rPr>
        <w:rFonts w:hint="default"/>
      </w:rPr>
    </w:lvl>
  </w:abstractNum>
  <w:abstractNum w:abstractNumId="23">
    <w:nsid w:val="73EDB86F"/>
    <w:multiLevelType w:val="singleLevel"/>
    <w:tmpl w:val="73EDB86F"/>
    <w:lvl w:ilvl="0" w:tentative="0">
      <w:start w:val="1"/>
      <w:numFmt w:val="decimal"/>
      <w:suff w:val="space"/>
      <w:lvlText w:val="%1."/>
      <w:lvlJc w:val="left"/>
    </w:lvl>
  </w:abstractNum>
  <w:abstractNum w:abstractNumId="24">
    <w:nsid w:val="7D4F17D2"/>
    <w:multiLevelType w:val="multilevel"/>
    <w:tmpl w:val="7D4F17D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11"/>
  </w:num>
  <w:num w:numId="3">
    <w:abstractNumId w:val="13"/>
  </w:num>
  <w:num w:numId="4">
    <w:abstractNumId w:val="4"/>
  </w:num>
  <w:num w:numId="5">
    <w:abstractNumId w:val="15"/>
  </w:num>
  <w:num w:numId="6">
    <w:abstractNumId w:val="24"/>
  </w:num>
  <w:num w:numId="7">
    <w:abstractNumId w:val="10"/>
  </w:num>
  <w:num w:numId="8">
    <w:abstractNumId w:val="18"/>
  </w:num>
  <w:num w:numId="9">
    <w:abstractNumId w:val="21"/>
  </w:num>
  <w:num w:numId="10">
    <w:abstractNumId w:val="20"/>
  </w:num>
  <w:num w:numId="11">
    <w:abstractNumId w:val="17"/>
  </w:num>
  <w:num w:numId="12">
    <w:abstractNumId w:val="5"/>
  </w:num>
  <w:num w:numId="13">
    <w:abstractNumId w:val="23"/>
  </w:num>
  <w:num w:numId="14">
    <w:abstractNumId w:val="7"/>
  </w:num>
  <w:num w:numId="15">
    <w:abstractNumId w:val="0"/>
  </w:num>
  <w:num w:numId="16">
    <w:abstractNumId w:val="16"/>
  </w:num>
  <w:num w:numId="17">
    <w:abstractNumId w:val="12"/>
  </w:num>
  <w:num w:numId="18">
    <w:abstractNumId w:val="22"/>
  </w:num>
  <w:num w:numId="19">
    <w:abstractNumId w:val="3"/>
  </w:num>
  <w:num w:numId="20">
    <w:abstractNumId w:val="6"/>
  </w:num>
  <w:num w:numId="21">
    <w:abstractNumId w:val="9"/>
  </w:num>
  <w:num w:numId="22">
    <w:abstractNumId w:val="14"/>
  </w:num>
  <w:num w:numId="23">
    <w:abstractNumId w:val="2"/>
  </w:num>
  <w:num w:numId="24">
    <w:abstractNumId w:val="8"/>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静不安分">
    <w15:presenceInfo w15:providerId="WPS Office" w15:userId="2437037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2A"/>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4884"/>
    <w:rsid w:val="00095954"/>
    <w:rsid w:val="000960BA"/>
    <w:rsid w:val="0009662A"/>
    <w:rsid w:val="0009690D"/>
    <w:rsid w:val="000969A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04E0"/>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C74"/>
    <w:rsid w:val="000F7D4B"/>
    <w:rsid w:val="00100B44"/>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87"/>
    <w:rsid w:val="001168F8"/>
    <w:rsid w:val="001176FF"/>
    <w:rsid w:val="00117EE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1C"/>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904"/>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852"/>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1B3"/>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41E"/>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17"/>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45A"/>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986"/>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4883"/>
    <w:rsid w:val="003656D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150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1E6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1"/>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1D01"/>
    <w:rsid w:val="003B2930"/>
    <w:rsid w:val="003B31A7"/>
    <w:rsid w:val="003B4587"/>
    <w:rsid w:val="003B4B51"/>
    <w:rsid w:val="003B4FE1"/>
    <w:rsid w:val="003B514E"/>
    <w:rsid w:val="003B5531"/>
    <w:rsid w:val="003B636A"/>
    <w:rsid w:val="003B69CE"/>
    <w:rsid w:val="003B70A1"/>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57F13"/>
    <w:rsid w:val="0046028A"/>
    <w:rsid w:val="00460E3A"/>
    <w:rsid w:val="00460E68"/>
    <w:rsid w:val="004614BC"/>
    <w:rsid w:val="004619A5"/>
    <w:rsid w:val="00461F80"/>
    <w:rsid w:val="0046240D"/>
    <w:rsid w:val="00462898"/>
    <w:rsid w:val="00462C7D"/>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B21"/>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181"/>
    <w:rsid w:val="0050079C"/>
    <w:rsid w:val="0050106A"/>
    <w:rsid w:val="005010BC"/>
    <w:rsid w:val="00501848"/>
    <w:rsid w:val="00502B31"/>
    <w:rsid w:val="0050434C"/>
    <w:rsid w:val="00505279"/>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37B64"/>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C2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EE"/>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291"/>
    <w:rsid w:val="0058460B"/>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3CA2"/>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4B3"/>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8A5"/>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922"/>
    <w:rsid w:val="00603B1C"/>
    <w:rsid w:val="006042CD"/>
    <w:rsid w:val="00605217"/>
    <w:rsid w:val="006054A5"/>
    <w:rsid w:val="006059E4"/>
    <w:rsid w:val="00605D60"/>
    <w:rsid w:val="006062A0"/>
    <w:rsid w:val="00607015"/>
    <w:rsid w:val="00607960"/>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5C5D"/>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5C0"/>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3F"/>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4F71"/>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4A62"/>
    <w:rsid w:val="006E727B"/>
    <w:rsid w:val="006E76C8"/>
    <w:rsid w:val="006E7A92"/>
    <w:rsid w:val="006F01FF"/>
    <w:rsid w:val="006F0CB2"/>
    <w:rsid w:val="006F12BC"/>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6E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475"/>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1ADD"/>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2FA1"/>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377"/>
    <w:rsid w:val="007F682B"/>
    <w:rsid w:val="007F78E8"/>
    <w:rsid w:val="007F79FA"/>
    <w:rsid w:val="007F7F8F"/>
    <w:rsid w:val="00800509"/>
    <w:rsid w:val="0080078E"/>
    <w:rsid w:val="00800B7F"/>
    <w:rsid w:val="00800F3B"/>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111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8A4"/>
    <w:rsid w:val="00873AAC"/>
    <w:rsid w:val="00873C61"/>
    <w:rsid w:val="00873DFD"/>
    <w:rsid w:val="008749BF"/>
    <w:rsid w:val="00875542"/>
    <w:rsid w:val="00875E14"/>
    <w:rsid w:val="0087677E"/>
    <w:rsid w:val="0087712C"/>
    <w:rsid w:val="008774BB"/>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616F"/>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4BC7"/>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0CE"/>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848"/>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39F2"/>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A0E"/>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0921"/>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5CF7"/>
    <w:rsid w:val="00A266CC"/>
    <w:rsid w:val="00A26DB4"/>
    <w:rsid w:val="00A27425"/>
    <w:rsid w:val="00A27F0F"/>
    <w:rsid w:val="00A3023E"/>
    <w:rsid w:val="00A305C5"/>
    <w:rsid w:val="00A30919"/>
    <w:rsid w:val="00A30B82"/>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73D"/>
    <w:rsid w:val="00A433E8"/>
    <w:rsid w:val="00A43A1D"/>
    <w:rsid w:val="00A43AB0"/>
    <w:rsid w:val="00A44854"/>
    <w:rsid w:val="00A44A45"/>
    <w:rsid w:val="00A44ED6"/>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5F5"/>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0B0"/>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0FFB"/>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AC2"/>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282"/>
    <w:rsid w:val="00B6440A"/>
    <w:rsid w:val="00B65788"/>
    <w:rsid w:val="00B65844"/>
    <w:rsid w:val="00B66054"/>
    <w:rsid w:val="00B6677F"/>
    <w:rsid w:val="00B66A62"/>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2B0"/>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4E1A"/>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D7E9B"/>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D77"/>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6C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B1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05D"/>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C22"/>
    <w:rsid w:val="00CD1D00"/>
    <w:rsid w:val="00CD2009"/>
    <w:rsid w:val="00CD27AC"/>
    <w:rsid w:val="00CD2A82"/>
    <w:rsid w:val="00CD3CAB"/>
    <w:rsid w:val="00CD44FF"/>
    <w:rsid w:val="00CD46A7"/>
    <w:rsid w:val="00CD47BC"/>
    <w:rsid w:val="00CD4E50"/>
    <w:rsid w:val="00CD57CB"/>
    <w:rsid w:val="00CD6470"/>
    <w:rsid w:val="00CD64E1"/>
    <w:rsid w:val="00CD66BA"/>
    <w:rsid w:val="00CD68D5"/>
    <w:rsid w:val="00CD699D"/>
    <w:rsid w:val="00CD6A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968"/>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242"/>
    <w:rsid w:val="00D2371E"/>
    <w:rsid w:val="00D237E0"/>
    <w:rsid w:val="00D23A17"/>
    <w:rsid w:val="00D25676"/>
    <w:rsid w:val="00D2579F"/>
    <w:rsid w:val="00D2580E"/>
    <w:rsid w:val="00D265A7"/>
    <w:rsid w:val="00D2690C"/>
    <w:rsid w:val="00D27129"/>
    <w:rsid w:val="00D279E7"/>
    <w:rsid w:val="00D27CCA"/>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183"/>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BEE"/>
    <w:rsid w:val="00D60C60"/>
    <w:rsid w:val="00D61E1D"/>
    <w:rsid w:val="00D61E6F"/>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4C7D"/>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71E"/>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8B2"/>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35B"/>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4D1E"/>
    <w:rsid w:val="00E35A45"/>
    <w:rsid w:val="00E35F7F"/>
    <w:rsid w:val="00E36392"/>
    <w:rsid w:val="00E36B32"/>
    <w:rsid w:val="00E37A6F"/>
    <w:rsid w:val="00E37A9C"/>
    <w:rsid w:val="00E40222"/>
    <w:rsid w:val="00E40406"/>
    <w:rsid w:val="00E4082B"/>
    <w:rsid w:val="00E40835"/>
    <w:rsid w:val="00E408EC"/>
    <w:rsid w:val="00E409B5"/>
    <w:rsid w:val="00E40BCB"/>
    <w:rsid w:val="00E4148E"/>
    <w:rsid w:val="00E4208F"/>
    <w:rsid w:val="00E42999"/>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B53"/>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7E0"/>
    <w:rsid w:val="00EB7B67"/>
    <w:rsid w:val="00EC0703"/>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BCA"/>
    <w:rsid w:val="00EE5FCD"/>
    <w:rsid w:val="00EE63BF"/>
    <w:rsid w:val="00EE6CB9"/>
    <w:rsid w:val="00EE6D45"/>
    <w:rsid w:val="00EE6E89"/>
    <w:rsid w:val="00EF0D4B"/>
    <w:rsid w:val="00EF0FE6"/>
    <w:rsid w:val="00EF1130"/>
    <w:rsid w:val="00EF1432"/>
    <w:rsid w:val="00EF1511"/>
    <w:rsid w:val="00EF1F01"/>
    <w:rsid w:val="00EF2C39"/>
    <w:rsid w:val="00EF2C5F"/>
    <w:rsid w:val="00EF3487"/>
    <w:rsid w:val="00EF3811"/>
    <w:rsid w:val="00EF3AC4"/>
    <w:rsid w:val="00EF3C2F"/>
    <w:rsid w:val="00EF3FF9"/>
    <w:rsid w:val="00EF41AF"/>
    <w:rsid w:val="00EF4DB4"/>
    <w:rsid w:val="00EF5234"/>
    <w:rsid w:val="00EF55E9"/>
    <w:rsid w:val="00EF5B41"/>
    <w:rsid w:val="00EF611C"/>
    <w:rsid w:val="00EF625F"/>
    <w:rsid w:val="00EF62C0"/>
    <w:rsid w:val="00EF6D5A"/>
    <w:rsid w:val="00EF71E6"/>
    <w:rsid w:val="00F0050F"/>
    <w:rsid w:val="00F0058A"/>
    <w:rsid w:val="00F00630"/>
    <w:rsid w:val="00F00922"/>
    <w:rsid w:val="00F00924"/>
    <w:rsid w:val="00F00AE9"/>
    <w:rsid w:val="00F0187E"/>
    <w:rsid w:val="00F01BE6"/>
    <w:rsid w:val="00F01F75"/>
    <w:rsid w:val="00F0217A"/>
    <w:rsid w:val="00F026D3"/>
    <w:rsid w:val="00F027E8"/>
    <w:rsid w:val="00F03395"/>
    <w:rsid w:val="00F034E6"/>
    <w:rsid w:val="00F03E4C"/>
    <w:rsid w:val="00F042D1"/>
    <w:rsid w:val="00F04388"/>
    <w:rsid w:val="00F04D19"/>
    <w:rsid w:val="00F050A3"/>
    <w:rsid w:val="00F06340"/>
    <w:rsid w:val="00F0665D"/>
    <w:rsid w:val="00F06BD6"/>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10"/>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3D48"/>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5BA6"/>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1FD4"/>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06D"/>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7C"/>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871D6"/>
    <w:rsid w:val="011F6449"/>
    <w:rsid w:val="01236AFB"/>
    <w:rsid w:val="013130FF"/>
    <w:rsid w:val="0134797A"/>
    <w:rsid w:val="01687703"/>
    <w:rsid w:val="0196797C"/>
    <w:rsid w:val="019F7441"/>
    <w:rsid w:val="01B37585"/>
    <w:rsid w:val="01C04E49"/>
    <w:rsid w:val="01C86BAE"/>
    <w:rsid w:val="01D55165"/>
    <w:rsid w:val="01D85524"/>
    <w:rsid w:val="01D96D82"/>
    <w:rsid w:val="01DF6BF8"/>
    <w:rsid w:val="01E40F01"/>
    <w:rsid w:val="01EC2C57"/>
    <w:rsid w:val="01FA3D45"/>
    <w:rsid w:val="01FF4B87"/>
    <w:rsid w:val="02134C06"/>
    <w:rsid w:val="022856D8"/>
    <w:rsid w:val="022E1342"/>
    <w:rsid w:val="02557C87"/>
    <w:rsid w:val="025C672E"/>
    <w:rsid w:val="025F0711"/>
    <w:rsid w:val="02672869"/>
    <w:rsid w:val="026B2E25"/>
    <w:rsid w:val="026C4FD1"/>
    <w:rsid w:val="02824D4D"/>
    <w:rsid w:val="02895B83"/>
    <w:rsid w:val="028F0098"/>
    <w:rsid w:val="02985DC6"/>
    <w:rsid w:val="029C4435"/>
    <w:rsid w:val="02B604C5"/>
    <w:rsid w:val="02B87C8B"/>
    <w:rsid w:val="02BF3353"/>
    <w:rsid w:val="02C34669"/>
    <w:rsid w:val="02DC4B10"/>
    <w:rsid w:val="02DD76CE"/>
    <w:rsid w:val="02F36323"/>
    <w:rsid w:val="02F41BAB"/>
    <w:rsid w:val="02F5619C"/>
    <w:rsid w:val="03087B13"/>
    <w:rsid w:val="0326446A"/>
    <w:rsid w:val="0328539C"/>
    <w:rsid w:val="032D5555"/>
    <w:rsid w:val="032F7747"/>
    <w:rsid w:val="033702A9"/>
    <w:rsid w:val="03393F6A"/>
    <w:rsid w:val="035717DD"/>
    <w:rsid w:val="035E0C59"/>
    <w:rsid w:val="036634D2"/>
    <w:rsid w:val="037A340B"/>
    <w:rsid w:val="03B629A7"/>
    <w:rsid w:val="03C350C4"/>
    <w:rsid w:val="03DD35E4"/>
    <w:rsid w:val="03DF01D1"/>
    <w:rsid w:val="03E017D2"/>
    <w:rsid w:val="03F1578E"/>
    <w:rsid w:val="04076900"/>
    <w:rsid w:val="041A5A3B"/>
    <w:rsid w:val="042311BA"/>
    <w:rsid w:val="042B157A"/>
    <w:rsid w:val="044742D6"/>
    <w:rsid w:val="044965DC"/>
    <w:rsid w:val="04542AD4"/>
    <w:rsid w:val="046517CD"/>
    <w:rsid w:val="047010F6"/>
    <w:rsid w:val="0473673D"/>
    <w:rsid w:val="048760F2"/>
    <w:rsid w:val="048E56D2"/>
    <w:rsid w:val="048F763B"/>
    <w:rsid w:val="04982B21"/>
    <w:rsid w:val="049F330E"/>
    <w:rsid w:val="04A5226E"/>
    <w:rsid w:val="04AA775C"/>
    <w:rsid w:val="04AF1889"/>
    <w:rsid w:val="04C57A13"/>
    <w:rsid w:val="04D03D52"/>
    <w:rsid w:val="04D07A99"/>
    <w:rsid w:val="04E06764"/>
    <w:rsid w:val="04E33C83"/>
    <w:rsid w:val="04E70360"/>
    <w:rsid w:val="04EC2DD7"/>
    <w:rsid w:val="04F66F48"/>
    <w:rsid w:val="0509441B"/>
    <w:rsid w:val="050D65F7"/>
    <w:rsid w:val="0510168A"/>
    <w:rsid w:val="05251E14"/>
    <w:rsid w:val="0530758E"/>
    <w:rsid w:val="053E0B8B"/>
    <w:rsid w:val="054E09BE"/>
    <w:rsid w:val="05585425"/>
    <w:rsid w:val="05607F4A"/>
    <w:rsid w:val="05A131E3"/>
    <w:rsid w:val="05A16594"/>
    <w:rsid w:val="05A7762D"/>
    <w:rsid w:val="05B42F17"/>
    <w:rsid w:val="05B71827"/>
    <w:rsid w:val="05C60BF6"/>
    <w:rsid w:val="05D473D2"/>
    <w:rsid w:val="05DD246D"/>
    <w:rsid w:val="05DE61E6"/>
    <w:rsid w:val="05DF0409"/>
    <w:rsid w:val="05E07041"/>
    <w:rsid w:val="05EF1FFE"/>
    <w:rsid w:val="060519C4"/>
    <w:rsid w:val="060C11C7"/>
    <w:rsid w:val="060E5941"/>
    <w:rsid w:val="060F48B5"/>
    <w:rsid w:val="06110FAF"/>
    <w:rsid w:val="06320490"/>
    <w:rsid w:val="063476E9"/>
    <w:rsid w:val="06357182"/>
    <w:rsid w:val="06400C4E"/>
    <w:rsid w:val="064249C6"/>
    <w:rsid w:val="06493CA7"/>
    <w:rsid w:val="065A6178"/>
    <w:rsid w:val="06622973"/>
    <w:rsid w:val="066F1CF3"/>
    <w:rsid w:val="067032E2"/>
    <w:rsid w:val="06732DD2"/>
    <w:rsid w:val="067535EE"/>
    <w:rsid w:val="067E2606"/>
    <w:rsid w:val="067E6234"/>
    <w:rsid w:val="06930BB8"/>
    <w:rsid w:val="069D1231"/>
    <w:rsid w:val="06B50CF4"/>
    <w:rsid w:val="06B84C89"/>
    <w:rsid w:val="06BB2083"/>
    <w:rsid w:val="06CA3990"/>
    <w:rsid w:val="06CB2732"/>
    <w:rsid w:val="06D575E9"/>
    <w:rsid w:val="06DE5019"/>
    <w:rsid w:val="06DF3FC3"/>
    <w:rsid w:val="071023CF"/>
    <w:rsid w:val="07155AFD"/>
    <w:rsid w:val="07245D42"/>
    <w:rsid w:val="07264C62"/>
    <w:rsid w:val="072E6CF9"/>
    <w:rsid w:val="07343D73"/>
    <w:rsid w:val="07373DFF"/>
    <w:rsid w:val="074B23B8"/>
    <w:rsid w:val="076621A7"/>
    <w:rsid w:val="076F5347"/>
    <w:rsid w:val="077010BF"/>
    <w:rsid w:val="0779354C"/>
    <w:rsid w:val="0783652C"/>
    <w:rsid w:val="07952E86"/>
    <w:rsid w:val="07AA0C5A"/>
    <w:rsid w:val="07B6268B"/>
    <w:rsid w:val="07CB1A68"/>
    <w:rsid w:val="07DA68AB"/>
    <w:rsid w:val="08061376"/>
    <w:rsid w:val="08332819"/>
    <w:rsid w:val="0834033F"/>
    <w:rsid w:val="08452D77"/>
    <w:rsid w:val="086401F8"/>
    <w:rsid w:val="0870456A"/>
    <w:rsid w:val="08751CAA"/>
    <w:rsid w:val="087C3D79"/>
    <w:rsid w:val="087E4C40"/>
    <w:rsid w:val="088F370D"/>
    <w:rsid w:val="08901A19"/>
    <w:rsid w:val="08983078"/>
    <w:rsid w:val="08A871D0"/>
    <w:rsid w:val="08C90A87"/>
    <w:rsid w:val="08D66AD6"/>
    <w:rsid w:val="08DA0EE6"/>
    <w:rsid w:val="08DA33A3"/>
    <w:rsid w:val="08E80F13"/>
    <w:rsid w:val="09297778"/>
    <w:rsid w:val="09335624"/>
    <w:rsid w:val="0944690F"/>
    <w:rsid w:val="09535675"/>
    <w:rsid w:val="095F057D"/>
    <w:rsid w:val="095F346D"/>
    <w:rsid w:val="09642282"/>
    <w:rsid w:val="096D1D5A"/>
    <w:rsid w:val="097266A2"/>
    <w:rsid w:val="09733572"/>
    <w:rsid w:val="0976268F"/>
    <w:rsid w:val="09772C16"/>
    <w:rsid w:val="098353B5"/>
    <w:rsid w:val="09931095"/>
    <w:rsid w:val="0997284E"/>
    <w:rsid w:val="09A46ABD"/>
    <w:rsid w:val="09A92330"/>
    <w:rsid w:val="09B06B87"/>
    <w:rsid w:val="09C13146"/>
    <w:rsid w:val="09DA2234"/>
    <w:rsid w:val="09E04166"/>
    <w:rsid w:val="09EE2985"/>
    <w:rsid w:val="09F77876"/>
    <w:rsid w:val="0A1C0718"/>
    <w:rsid w:val="0A2A02F6"/>
    <w:rsid w:val="0A3D724D"/>
    <w:rsid w:val="0A3E7710"/>
    <w:rsid w:val="0A5B7E63"/>
    <w:rsid w:val="0A5C592B"/>
    <w:rsid w:val="0A794B51"/>
    <w:rsid w:val="0A7C5E93"/>
    <w:rsid w:val="0A981059"/>
    <w:rsid w:val="0A9A0497"/>
    <w:rsid w:val="0AA374A5"/>
    <w:rsid w:val="0AA87EEE"/>
    <w:rsid w:val="0AAB7649"/>
    <w:rsid w:val="0AAC4746"/>
    <w:rsid w:val="0ABC5606"/>
    <w:rsid w:val="0AC46297"/>
    <w:rsid w:val="0AC566BE"/>
    <w:rsid w:val="0AD1117E"/>
    <w:rsid w:val="0ADE5D3C"/>
    <w:rsid w:val="0AE72A95"/>
    <w:rsid w:val="0AE77F86"/>
    <w:rsid w:val="0B03428F"/>
    <w:rsid w:val="0B051958"/>
    <w:rsid w:val="0B30404E"/>
    <w:rsid w:val="0B3B0B7C"/>
    <w:rsid w:val="0B4C6C14"/>
    <w:rsid w:val="0B4E0E79"/>
    <w:rsid w:val="0B547599"/>
    <w:rsid w:val="0B5E376C"/>
    <w:rsid w:val="0B631A88"/>
    <w:rsid w:val="0B683D45"/>
    <w:rsid w:val="0B6D4294"/>
    <w:rsid w:val="0B7F3F11"/>
    <w:rsid w:val="0B884417"/>
    <w:rsid w:val="0B9176F8"/>
    <w:rsid w:val="0B920249"/>
    <w:rsid w:val="0BCF2858"/>
    <w:rsid w:val="0BF41E46"/>
    <w:rsid w:val="0BF6188C"/>
    <w:rsid w:val="0BF73C91"/>
    <w:rsid w:val="0C0A15BD"/>
    <w:rsid w:val="0C0F616A"/>
    <w:rsid w:val="0C13107F"/>
    <w:rsid w:val="0C170175"/>
    <w:rsid w:val="0C234952"/>
    <w:rsid w:val="0C3010E8"/>
    <w:rsid w:val="0C321039"/>
    <w:rsid w:val="0C5456E2"/>
    <w:rsid w:val="0C566AD6"/>
    <w:rsid w:val="0C571A41"/>
    <w:rsid w:val="0C5C1171"/>
    <w:rsid w:val="0C5E1CBC"/>
    <w:rsid w:val="0C615B50"/>
    <w:rsid w:val="0C711B61"/>
    <w:rsid w:val="0C8445DA"/>
    <w:rsid w:val="0C87121B"/>
    <w:rsid w:val="0C8740C0"/>
    <w:rsid w:val="0C937D2A"/>
    <w:rsid w:val="0C970F7A"/>
    <w:rsid w:val="0C9E19D5"/>
    <w:rsid w:val="0CB20747"/>
    <w:rsid w:val="0CB641E8"/>
    <w:rsid w:val="0CB70234"/>
    <w:rsid w:val="0CC007F7"/>
    <w:rsid w:val="0CC21944"/>
    <w:rsid w:val="0CC617AC"/>
    <w:rsid w:val="0CD161B4"/>
    <w:rsid w:val="0CE618DF"/>
    <w:rsid w:val="0CED653C"/>
    <w:rsid w:val="0CFE707A"/>
    <w:rsid w:val="0D063BDA"/>
    <w:rsid w:val="0D08375F"/>
    <w:rsid w:val="0D0A48BF"/>
    <w:rsid w:val="0D153941"/>
    <w:rsid w:val="0D184CFB"/>
    <w:rsid w:val="0D4A7419"/>
    <w:rsid w:val="0D5474C6"/>
    <w:rsid w:val="0D556D8D"/>
    <w:rsid w:val="0D5C24F8"/>
    <w:rsid w:val="0D7816AE"/>
    <w:rsid w:val="0D7E7B62"/>
    <w:rsid w:val="0D7F3E0A"/>
    <w:rsid w:val="0D827401"/>
    <w:rsid w:val="0D84094E"/>
    <w:rsid w:val="0D8A00E9"/>
    <w:rsid w:val="0D8D589E"/>
    <w:rsid w:val="0DA01C73"/>
    <w:rsid w:val="0DAE46EF"/>
    <w:rsid w:val="0DBC6E0C"/>
    <w:rsid w:val="0DC50BB6"/>
    <w:rsid w:val="0DC569D5"/>
    <w:rsid w:val="0DD63300"/>
    <w:rsid w:val="0DDE336F"/>
    <w:rsid w:val="0DE335FC"/>
    <w:rsid w:val="0DF50604"/>
    <w:rsid w:val="0DF702FE"/>
    <w:rsid w:val="0E012A71"/>
    <w:rsid w:val="0E060E51"/>
    <w:rsid w:val="0E191EFC"/>
    <w:rsid w:val="0E2350DD"/>
    <w:rsid w:val="0E5604B2"/>
    <w:rsid w:val="0E5719EA"/>
    <w:rsid w:val="0E6753E5"/>
    <w:rsid w:val="0E6A2710"/>
    <w:rsid w:val="0E6D5D79"/>
    <w:rsid w:val="0E710BF6"/>
    <w:rsid w:val="0E8E7E9F"/>
    <w:rsid w:val="0E9D0089"/>
    <w:rsid w:val="0EA66190"/>
    <w:rsid w:val="0EB77646"/>
    <w:rsid w:val="0EB803EE"/>
    <w:rsid w:val="0EC10F7D"/>
    <w:rsid w:val="0EC266A4"/>
    <w:rsid w:val="0EDC5694"/>
    <w:rsid w:val="0EE16A55"/>
    <w:rsid w:val="0EEA79A9"/>
    <w:rsid w:val="0EF716A8"/>
    <w:rsid w:val="0EF94D4B"/>
    <w:rsid w:val="0F00500D"/>
    <w:rsid w:val="0F062D03"/>
    <w:rsid w:val="0F14747F"/>
    <w:rsid w:val="0F2566AA"/>
    <w:rsid w:val="0F2E3EDD"/>
    <w:rsid w:val="0F4958DC"/>
    <w:rsid w:val="0F515DF7"/>
    <w:rsid w:val="0F517A28"/>
    <w:rsid w:val="0F5573DD"/>
    <w:rsid w:val="0F596BA8"/>
    <w:rsid w:val="0F6248D2"/>
    <w:rsid w:val="0F692FC4"/>
    <w:rsid w:val="0F693536"/>
    <w:rsid w:val="0F7B0511"/>
    <w:rsid w:val="0F7B76D9"/>
    <w:rsid w:val="0F816ACD"/>
    <w:rsid w:val="0F9832DB"/>
    <w:rsid w:val="0FA5069E"/>
    <w:rsid w:val="0FAE176B"/>
    <w:rsid w:val="0FB22F76"/>
    <w:rsid w:val="0FBF3FD2"/>
    <w:rsid w:val="0FBF7FF3"/>
    <w:rsid w:val="0FC71A98"/>
    <w:rsid w:val="0FCF7BC5"/>
    <w:rsid w:val="0FD3751C"/>
    <w:rsid w:val="0FE425F6"/>
    <w:rsid w:val="0FEA3728"/>
    <w:rsid w:val="0FEB39D9"/>
    <w:rsid w:val="0FEC3E57"/>
    <w:rsid w:val="100C28E0"/>
    <w:rsid w:val="10127AA5"/>
    <w:rsid w:val="10436BDA"/>
    <w:rsid w:val="10603F12"/>
    <w:rsid w:val="10646583"/>
    <w:rsid w:val="107A6525"/>
    <w:rsid w:val="107D4B15"/>
    <w:rsid w:val="108125EE"/>
    <w:rsid w:val="10831E63"/>
    <w:rsid w:val="108A3C80"/>
    <w:rsid w:val="109E4479"/>
    <w:rsid w:val="10BD6F35"/>
    <w:rsid w:val="10C06328"/>
    <w:rsid w:val="10C26171"/>
    <w:rsid w:val="10C3255D"/>
    <w:rsid w:val="10CA1891"/>
    <w:rsid w:val="10D52B69"/>
    <w:rsid w:val="10E548CC"/>
    <w:rsid w:val="10F33360"/>
    <w:rsid w:val="10FC16EA"/>
    <w:rsid w:val="110F1D40"/>
    <w:rsid w:val="11266F33"/>
    <w:rsid w:val="11531A90"/>
    <w:rsid w:val="117A285D"/>
    <w:rsid w:val="118963A1"/>
    <w:rsid w:val="11B65FE3"/>
    <w:rsid w:val="11BD6E3E"/>
    <w:rsid w:val="11C1677A"/>
    <w:rsid w:val="11C6522A"/>
    <w:rsid w:val="11DF131B"/>
    <w:rsid w:val="11E104CC"/>
    <w:rsid w:val="11E20309"/>
    <w:rsid w:val="11F830F9"/>
    <w:rsid w:val="12255233"/>
    <w:rsid w:val="122F22A3"/>
    <w:rsid w:val="12530213"/>
    <w:rsid w:val="12592091"/>
    <w:rsid w:val="125E4936"/>
    <w:rsid w:val="127723A9"/>
    <w:rsid w:val="12862074"/>
    <w:rsid w:val="12883966"/>
    <w:rsid w:val="129E45B4"/>
    <w:rsid w:val="12AE1052"/>
    <w:rsid w:val="12C028F6"/>
    <w:rsid w:val="12C73B30"/>
    <w:rsid w:val="12D4505D"/>
    <w:rsid w:val="12D81596"/>
    <w:rsid w:val="12F81A6B"/>
    <w:rsid w:val="13072A44"/>
    <w:rsid w:val="13421B62"/>
    <w:rsid w:val="135B1040"/>
    <w:rsid w:val="135B443E"/>
    <w:rsid w:val="135E44C2"/>
    <w:rsid w:val="135F4BE2"/>
    <w:rsid w:val="1377252F"/>
    <w:rsid w:val="13915917"/>
    <w:rsid w:val="139231D1"/>
    <w:rsid w:val="13972AF8"/>
    <w:rsid w:val="139B1A0A"/>
    <w:rsid w:val="139D25C7"/>
    <w:rsid w:val="13A51976"/>
    <w:rsid w:val="13BF3CE4"/>
    <w:rsid w:val="13C411CB"/>
    <w:rsid w:val="13EE6E5B"/>
    <w:rsid w:val="141008D8"/>
    <w:rsid w:val="14125FE6"/>
    <w:rsid w:val="14150A44"/>
    <w:rsid w:val="142163F0"/>
    <w:rsid w:val="146D271E"/>
    <w:rsid w:val="14713F62"/>
    <w:rsid w:val="147F6DE6"/>
    <w:rsid w:val="14886F07"/>
    <w:rsid w:val="148D4BF9"/>
    <w:rsid w:val="148D505F"/>
    <w:rsid w:val="14982588"/>
    <w:rsid w:val="149A5AD9"/>
    <w:rsid w:val="149E54BE"/>
    <w:rsid w:val="14A01236"/>
    <w:rsid w:val="14A7619D"/>
    <w:rsid w:val="14AB2494"/>
    <w:rsid w:val="14B46A8F"/>
    <w:rsid w:val="14E13CC7"/>
    <w:rsid w:val="14E87F43"/>
    <w:rsid w:val="14F81A1E"/>
    <w:rsid w:val="15033A47"/>
    <w:rsid w:val="150536C3"/>
    <w:rsid w:val="150C1963"/>
    <w:rsid w:val="151447A0"/>
    <w:rsid w:val="15145780"/>
    <w:rsid w:val="151D7C38"/>
    <w:rsid w:val="152359C3"/>
    <w:rsid w:val="153B4ABB"/>
    <w:rsid w:val="154A6454"/>
    <w:rsid w:val="15590EE8"/>
    <w:rsid w:val="156355DF"/>
    <w:rsid w:val="156649BE"/>
    <w:rsid w:val="15746899"/>
    <w:rsid w:val="15762120"/>
    <w:rsid w:val="15836462"/>
    <w:rsid w:val="15A37C46"/>
    <w:rsid w:val="15A530EA"/>
    <w:rsid w:val="15C34AB0"/>
    <w:rsid w:val="15CC70C4"/>
    <w:rsid w:val="15E3263E"/>
    <w:rsid w:val="15EC4728"/>
    <w:rsid w:val="15EE7D7F"/>
    <w:rsid w:val="162072FF"/>
    <w:rsid w:val="1644684C"/>
    <w:rsid w:val="16451A26"/>
    <w:rsid w:val="16535D4D"/>
    <w:rsid w:val="16646293"/>
    <w:rsid w:val="166565F0"/>
    <w:rsid w:val="16796A28"/>
    <w:rsid w:val="167F185F"/>
    <w:rsid w:val="16A8729C"/>
    <w:rsid w:val="16B33777"/>
    <w:rsid w:val="16BC70A7"/>
    <w:rsid w:val="16C11582"/>
    <w:rsid w:val="16C6339E"/>
    <w:rsid w:val="16EB0762"/>
    <w:rsid w:val="17045380"/>
    <w:rsid w:val="172F2D79"/>
    <w:rsid w:val="173B3498"/>
    <w:rsid w:val="17557BEF"/>
    <w:rsid w:val="17646E8E"/>
    <w:rsid w:val="177B0C05"/>
    <w:rsid w:val="17914E66"/>
    <w:rsid w:val="17987CD2"/>
    <w:rsid w:val="17AA569F"/>
    <w:rsid w:val="17B16DCB"/>
    <w:rsid w:val="17BD3EAD"/>
    <w:rsid w:val="17D349C1"/>
    <w:rsid w:val="17D34DF7"/>
    <w:rsid w:val="17D80170"/>
    <w:rsid w:val="17FD3BBB"/>
    <w:rsid w:val="181E0BA3"/>
    <w:rsid w:val="18244F26"/>
    <w:rsid w:val="1829217E"/>
    <w:rsid w:val="1830729E"/>
    <w:rsid w:val="18414ADE"/>
    <w:rsid w:val="1870062C"/>
    <w:rsid w:val="187B2A53"/>
    <w:rsid w:val="18817102"/>
    <w:rsid w:val="18830A15"/>
    <w:rsid w:val="18852B28"/>
    <w:rsid w:val="188B5321"/>
    <w:rsid w:val="18A74A4F"/>
    <w:rsid w:val="18DC0363"/>
    <w:rsid w:val="18DE5293"/>
    <w:rsid w:val="18E1003E"/>
    <w:rsid w:val="18F34D83"/>
    <w:rsid w:val="192A37C4"/>
    <w:rsid w:val="192B77DB"/>
    <w:rsid w:val="193E071D"/>
    <w:rsid w:val="19932372"/>
    <w:rsid w:val="19946D55"/>
    <w:rsid w:val="19A20DD5"/>
    <w:rsid w:val="19A215AC"/>
    <w:rsid w:val="19A228E7"/>
    <w:rsid w:val="19A52E4A"/>
    <w:rsid w:val="19AE03F1"/>
    <w:rsid w:val="19B05E2A"/>
    <w:rsid w:val="19BB08C0"/>
    <w:rsid w:val="19E16D92"/>
    <w:rsid w:val="19F71DF3"/>
    <w:rsid w:val="1A071A03"/>
    <w:rsid w:val="1A11007A"/>
    <w:rsid w:val="1A11084C"/>
    <w:rsid w:val="1A1A3838"/>
    <w:rsid w:val="1A1A60DF"/>
    <w:rsid w:val="1A1C3241"/>
    <w:rsid w:val="1A1E49AB"/>
    <w:rsid w:val="1A1F16AE"/>
    <w:rsid w:val="1A332FCB"/>
    <w:rsid w:val="1A352420"/>
    <w:rsid w:val="1A376963"/>
    <w:rsid w:val="1A3A17E5"/>
    <w:rsid w:val="1A3B5C77"/>
    <w:rsid w:val="1A472154"/>
    <w:rsid w:val="1A6B2A23"/>
    <w:rsid w:val="1A6D0C94"/>
    <w:rsid w:val="1A890B80"/>
    <w:rsid w:val="1A984BAD"/>
    <w:rsid w:val="1AA36EB0"/>
    <w:rsid w:val="1AB47FAD"/>
    <w:rsid w:val="1AB8220E"/>
    <w:rsid w:val="1AB84DFF"/>
    <w:rsid w:val="1ACC48EB"/>
    <w:rsid w:val="1ACF5914"/>
    <w:rsid w:val="1AE314C2"/>
    <w:rsid w:val="1AE4166C"/>
    <w:rsid w:val="1AF06CFB"/>
    <w:rsid w:val="1AF11B8D"/>
    <w:rsid w:val="1AF424A5"/>
    <w:rsid w:val="1AF743F8"/>
    <w:rsid w:val="1AF916A0"/>
    <w:rsid w:val="1AFD0A64"/>
    <w:rsid w:val="1AFD1CF3"/>
    <w:rsid w:val="1B0442B2"/>
    <w:rsid w:val="1B11359C"/>
    <w:rsid w:val="1B2A271F"/>
    <w:rsid w:val="1B2D1349"/>
    <w:rsid w:val="1B530544"/>
    <w:rsid w:val="1B713184"/>
    <w:rsid w:val="1B7455D9"/>
    <w:rsid w:val="1B9206DD"/>
    <w:rsid w:val="1B966EEF"/>
    <w:rsid w:val="1BA209CF"/>
    <w:rsid w:val="1BB4777D"/>
    <w:rsid w:val="1BC2714F"/>
    <w:rsid w:val="1BCC1DC6"/>
    <w:rsid w:val="1BD13E7A"/>
    <w:rsid w:val="1BD75AB8"/>
    <w:rsid w:val="1BD81872"/>
    <w:rsid w:val="1BE96EEF"/>
    <w:rsid w:val="1C0459C2"/>
    <w:rsid w:val="1C1B3B4A"/>
    <w:rsid w:val="1C204A0A"/>
    <w:rsid w:val="1C250B51"/>
    <w:rsid w:val="1C28551E"/>
    <w:rsid w:val="1C433FA1"/>
    <w:rsid w:val="1C5172BA"/>
    <w:rsid w:val="1C5F33CB"/>
    <w:rsid w:val="1C6C7C4F"/>
    <w:rsid w:val="1C88086E"/>
    <w:rsid w:val="1C9F1DD3"/>
    <w:rsid w:val="1CCD2057"/>
    <w:rsid w:val="1CE51334"/>
    <w:rsid w:val="1CEC2B3E"/>
    <w:rsid w:val="1CF279B4"/>
    <w:rsid w:val="1CFF214E"/>
    <w:rsid w:val="1D0139E2"/>
    <w:rsid w:val="1D216C8C"/>
    <w:rsid w:val="1D266CE1"/>
    <w:rsid w:val="1D3603DA"/>
    <w:rsid w:val="1D383886"/>
    <w:rsid w:val="1D3958E6"/>
    <w:rsid w:val="1D3963AF"/>
    <w:rsid w:val="1D3F35B6"/>
    <w:rsid w:val="1D4D4DFF"/>
    <w:rsid w:val="1D4F1A4B"/>
    <w:rsid w:val="1D526E45"/>
    <w:rsid w:val="1D6A673C"/>
    <w:rsid w:val="1D9247AE"/>
    <w:rsid w:val="1D975B9E"/>
    <w:rsid w:val="1DA82F09"/>
    <w:rsid w:val="1DA92258"/>
    <w:rsid w:val="1DB567EC"/>
    <w:rsid w:val="1DBF2E6B"/>
    <w:rsid w:val="1DC15D79"/>
    <w:rsid w:val="1DD2442A"/>
    <w:rsid w:val="1DD77306"/>
    <w:rsid w:val="1DE1641B"/>
    <w:rsid w:val="1DF51A98"/>
    <w:rsid w:val="1DF63C75"/>
    <w:rsid w:val="1E051CD9"/>
    <w:rsid w:val="1E060837"/>
    <w:rsid w:val="1E15149D"/>
    <w:rsid w:val="1E1E141D"/>
    <w:rsid w:val="1E215788"/>
    <w:rsid w:val="1E382E0D"/>
    <w:rsid w:val="1E3D060F"/>
    <w:rsid w:val="1E3F7D2E"/>
    <w:rsid w:val="1E4134E4"/>
    <w:rsid w:val="1E5062B3"/>
    <w:rsid w:val="1E523514"/>
    <w:rsid w:val="1E530CA3"/>
    <w:rsid w:val="1E5B639E"/>
    <w:rsid w:val="1E714A66"/>
    <w:rsid w:val="1E802593"/>
    <w:rsid w:val="1E8B6156"/>
    <w:rsid w:val="1E90379A"/>
    <w:rsid w:val="1EA4787A"/>
    <w:rsid w:val="1EA703CC"/>
    <w:rsid w:val="1EB51D82"/>
    <w:rsid w:val="1EB7330C"/>
    <w:rsid w:val="1ECE694A"/>
    <w:rsid w:val="1ED2301D"/>
    <w:rsid w:val="1EFA3C4B"/>
    <w:rsid w:val="1F02489B"/>
    <w:rsid w:val="1F031D48"/>
    <w:rsid w:val="1F0A0FF3"/>
    <w:rsid w:val="1F0C571A"/>
    <w:rsid w:val="1F3F1511"/>
    <w:rsid w:val="1F454277"/>
    <w:rsid w:val="1F472D5E"/>
    <w:rsid w:val="1F537FD3"/>
    <w:rsid w:val="1F5771FF"/>
    <w:rsid w:val="1F675F89"/>
    <w:rsid w:val="1F751511"/>
    <w:rsid w:val="1F7A31F0"/>
    <w:rsid w:val="1F7C3B44"/>
    <w:rsid w:val="1F884DA0"/>
    <w:rsid w:val="1F941997"/>
    <w:rsid w:val="1F9961B3"/>
    <w:rsid w:val="1F9B480F"/>
    <w:rsid w:val="1FA0658E"/>
    <w:rsid w:val="1FD52574"/>
    <w:rsid w:val="1FE61346"/>
    <w:rsid w:val="1FE868A9"/>
    <w:rsid w:val="1FEB5DD4"/>
    <w:rsid w:val="1FFC2C71"/>
    <w:rsid w:val="20034907"/>
    <w:rsid w:val="201227DB"/>
    <w:rsid w:val="20173E4B"/>
    <w:rsid w:val="202417A3"/>
    <w:rsid w:val="202A4011"/>
    <w:rsid w:val="2039253E"/>
    <w:rsid w:val="203A6BC1"/>
    <w:rsid w:val="20462111"/>
    <w:rsid w:val="204E48BC"/>
    <w:rsid w:val="20511636"/>
    <w:rsid w:val="20547378"/>
    <w:rsid w:val="2059673D"/>
    <w:rsid w:val="20765541"/>
    <w:rsid w:val="20773208"/>
    <w:rsid w:val="208921B3"/>
    <w:rsid w:val="208C0B17"/>
    <w:rsid w:val="20973DEB"/>
    <w:rsid w:val="20B26522"/>
    <w:rsid w:val="20B44310"/>
    <w:rsid w:val="20B6593D"/>
    <w:rsid w:val="20C41A43"/>
    <w:rsid w:val="20EB5DCE"/>
    <w:rsid w:val="210668C5"/>
    <w:rsid w:val="211116EB"/>
    <w:rsid w:val="211F1ED0"/>
    <w:rsid w:val="212C3D17"/>
    <w:rsid w:val="213B5E42"/>
    <w:rsid w:val="214E638E"/>
    <w:rsid w:val="216133FC"/>
    <w:rsid w:val="217F4373"/>
    <w:rsid w:val="218A3F2C"/>
    <w:rsid w:val="219865D1"/>
    <w:rsid w:val="219F0B0D"/>
    <w:rsid w:val="21D4251F"/>
    <w:rsid w:val="21D56769"/>
    <w:rsid w:val="21DE2BA8"/>
    <w:rsid w:val="21E52EF3"/>
    <w:rsid w:val="21F80DD9"/>
    <w:rsid w:val="21F973F1"/>
    <w:rsid w:val="21FB5D7B"/>
    <w:rsid w:val="22015E94"/>
    <w:rsid w:val="22052A8B"/>
    <w:rsid w:val="2208666C"/>
    <w:rsid w:val="220B1C3D"/>
    <w:rsid w:val="221D1D20"/>
    <w:rsid w:val="22317971"/>
    <w:rsid w:val="22334A87"/>
    <w:rsid w:val="2234120F"/>
    <w:rsid w:val="22437BC1"/>
    <w:rsid w:val="22484CBB"/>
    <w:rsid w:val="224B4355"/>
    <w:rsid w:val="226B2757"/>
    <w:rsid w:val="2278245D"/>
    <w:rsid w:val="227B405E"/>
    <w:rsid w:val="227F78B3"/>
    <w:rsid w:val="22987080"/>
    <w:rsid w:val="229879F0"/>
    <w:rsid w:val="229A47A7"/>
    <w:rsid w:val="22A20FA7"/>
    <w:rsid w:val="22AB375D"/>
    <w:rsid w:val="22AC4529"/>
    <w:rsid w:val="22B150AC"/>
    <w:rsid w:val="22BE6801"/>
    <w:rsid w:val="22CC769A"/>
    <w:rsid w:val="22D56B65"/>
    <w:rsid w:val="22E449E3"/>
    <w:rsid w:val="22ED6DD3"/>
    <w:rsid w:val="22F15F51"/>
    <w:rsid w:val="22F46581"/>
    <w:rsid w:val="231F7242"/>
    <w:rsid w:val="23305E7B"/>
    <w:rsid w:val="233139A1"/>
    <w:rsid w:val="233500BF"/>
    <w:rsid w:val="23377FF7"/>
    <w:rsid w:val="233A0AA7"/>
    <w:rsid w:val="235963F1"/>
    <w:rsid w:val="235A6AF5"/>
    <w:rsid w:val="236B425F"/>
    <w:rsid w:val="23810484"/>
    <w:rsid w:val="23836192"/>
    <w:rsid w:val="23901F29"/>
    <w:rsid w:val="23906919"/>
    <w:rsid w:val="239C0061"/>
    <w:rsid w:val="23A070E8"/>
    <w:rsid w:val="23A45F21"/>
    <w:rsid w:val="23B2407F"/>
    <w:rsid w:val="23B908A4"/>
    <w:rsid w:val="23C31FCF"/>
    <w:rsid w:val="23C40371"/>
    <w:rsid w:val="23C94F25"/>
    <w:rsid w:val="23D41AC5"/>
    <w:rsid w:val="23E95BEF"/>
    <w:rsid w:val="23F64F4C"/>
    <w:rsid w:val="23FD0064"/>
    <w:rsid w:val="241F2510"/>
    <w:rsid w:val="24212865"/>
    <w:rsid w:val="24264B88"/>
    <w:rsid w:val="242A6ACA"/>
    <w:rsid w:val="242F26B6"/>
    <w:rsid w:val="24354C79"/>
    <w:rsid w:val="24384A9D"/>
    <w:rsid w:val="243948BB"/>
    <w:rsid w:val="244016C1"/>
    <w:rsid w:val="24422DFE"/>
    <w:rsid w:val="2448014D"/>
    <w:rsid w:val="245375B0"/>
    <w:rsid w:val="24544288"/>
    <w:rsid w:val="245D3851"/>
    <w:rsid w:val="24627D04"/>
    <w:rsid w:val="24642C0A"/>
    <w:rsid w:val="246C6F40"/>
    <w:rsid w:val="2483647E"/>
    <w:rsid w:val="24AB32DF"/>
    <w:rsid w:val="24B22173"/>
    <w:rsid w:val="24B6415E"/>
    <w:rsid w:val="24B95AD9"/>
    <w:rsid w:val="24BE24DA"/>
    <w:rsid w:val="24CF5825"/>
    <w:rsid w:val="24D663E6"/>
    <w:rsid w:val="24D77F2B"/>
    <w:rsid w:val="24D92557"/>
    <w:rsid w:val="24EC7B7F"/>
    <w:rsid w:val="24F0318B"/>
    <w:rsid w:val="25184E18"/>
    <w:rsid w:val="252C662A"/>
    <w:rsid w:val="2531393D"/>
    <w:rsid w:val="25317C88"/>
    <w:rsid w:val="257665BD"/>
    <w:rsid w:val="258521D7"/>
    <w:rsid w:val="258B00E2"/>
    <w:rsid w:val="25910F48"/>
    <w:rsid w:val="25A917A6"/>
    <w:rsid w:val="25B46F3D"/>
    <w:rsid w:val="25BE27CC"/>
    <w:rsid w:val="25F74A5C"/>
    <w:rsid w:val="25FA3833"/>
    <w:rsid w:val="25FB762A"/>
    <w:rsid w:val="26152DFC"/>
    <w:rsid w:val="2628662C"/>
    <w:rsid w:val="262A525E"/>
    <w:rsid w:val="262D45DE"/>
    <w:rsid w:val="263D712B"/>
    <w:rsid w:val="26443D59"/>
    <w:rsid w:val="264F2AD0"/>
    <w:rsid w:val="2653592E"/>
    <w:rsid w:val="265A320F"/>
    <w:rsid w:val="26733F17"/>
    <w:rsid w:val="26867B60"/>
    <w:rsid w:val="26871DC8"/>
    <w:rsid w:val="26946172"/>
    <w:rsid w:val="269C1322"/>
    <w:rsid w:val="269D1654"/>
    <w:rsid w:val="26A53EF9"/>
    <w:rsid w:val="26A60202"/>
    <w:rsid w:val="26A94201"/>
    <w:rsid w:val="26AC274F"/>
    <w:rsid w:val="26C14114"/>
    <w:rsid w:val="26D331E5"/>
    <w:rsid w:val="26DD00C8"/>
    <w:rsid w:val="270216DD"/>
    <w:rsid w:val="27044A29"/>
    <w:rsid w:val="27167136"/>
    <w:rsid w:val="271909D4"/>
    <w:rsid w:val="271D34C8"/>
    <w:rsid w:val="27280C17"/>
    <w:rsid w:val="272A0CB2"/>
    <w:rsid w:val="274F7745"/>
    <w:rsid w:val="275859A0"/>
    <w:rsid w:val="275B723E"/>
    <w:rsid w:val="276142BF"/>
    <w:rsid w:val="27642706"/>
    <w:rsid w:val="276A4BA9"/>
    <w:rsid w:val="2772703F"/>
    <w:rsid w:val="27783712"/>
    <w:rsid w:val="277F5944"/>
    <w:rsid w:val="27820FA4"/>
    <w:rsid w:val="278D41FD"/>
    <w:rsid w:val="278E3170"/>
    <w:rsid w:val="27907362"/>
    <w:rsid w:val="279B001D"/>
    <w:rsid w:val="27A6495D"/>
    <w:rsid w:val="27AA40BC"/>
    <w:rsid w:val="27B02D58"/>
    <w:rsid w:val="27CB43C4"/>
    <w:rsid w:val="27D019DA"/>
    <w:rsid w:val="27E806D5"/>
    <w:rsid w:val="27EE1E60"/>
    <w:rsid w:val="27FA27FC"/>
    <w:rsid w:val="280677D8"/>
    <w:rsid w:val="28246B07"/>
    <w:rsid w:val="282C255A"/>
    <w:rsid w:val="283104DE"/>
    <w:rsid w:val="28333E1D"/>
    <w:rsid w:val="283350DF"/>
    <w:rsid w:val="2838132E"/>
    <w:rsid w:val="283C0E1E"/>
    <w:rsid w:val="28446343"/>
    <w:rsid w:val="28454BD6"/>
    <w:rsid w:val="28455253"/>
    <w:rsid w:val="28456613"/>
    <w:rsid w:val="28551971"/>
    <w:rsid w:val="285B1C53"/>
    <w:rsid w:val="286C3843"/>
    <w:rsid w:val="287A5637"/>
    <w:rsid w:val="289522DC"/>
    <w:rsid w:val="289F7086"/>
    <w:rsid w:val="28B01B68"/>
    <w:rsid w:val="28B27332"/>
    <w:rsid w:val="28BE6B17"/>
    <w:rsid w:val="28C32028"/>
    <w:rsid w:val="28C36E49"/>
    <w:rsid w:val="28C45A67"/>
    <w:rsid w:val="28C66939"/>
    <w:rsid w:val="28C70CDE"/>
    <w:rsid w:val="28CC490F"/>
    <w:rsid w:val="28DE40AA"/>
    <w:rsid w:val="28F11C08"/>
    <w:rsid w:val="291B6C85"/>
    <w:rsid w:val="29316E30"/>
    <w:rsid w:val="29345E77"/>
    <w:rsid w:val="293A32D8"/>
    <w:rsid w:val="294C65AD"/>
    <w:rsid w:val="29500971"/>
    <w:rsid w:val="295B69D2"/>
    <w:rsid w:val="296543A4"/>
    <w:rsid w:val="29713FC2"/>
    <w:rsid w:val="29783D35"/>
    <w:rsid w:val="297A5D79"/>
    <w:rsid w:val="29806583"/>
    <w:rsid w:val="298A6510"/>
    <w:rsid w:val="298B3C4C"/>
    <w:rsid w:val="298C7B83"/>
    <w:rsid w:val="299A22A0"/>
    <w:rsid w:val="299D58EC"/>
    <w:rsid w:val="299E3412"/>
    <w:rsid w:val="29A76BAF"/>
    <w:rsid w:val="29B62EB1"/>
    <w:rsid w:val="29C66159"/>
    <w:rsid w:val="29C9048F"/>
    <w:rsid w:val="29DB4666"/>
    <w:rsid w:val="29E11C7D"/>
    <w:rsid w:val="29E43918"/>
    <w:rsid w:val="29F26D24"/>
    <w:rsid w:val="2A054327"/>
    <w:rsid w:val="2A0C1546"/>
    <w:rsid w:val="2A15033F"/>
    <w:rsid w:val="2A1662C1"/>
    <w:rsid w:val="2A1C7367"/>
    <w:rsid w:val="2A2815FA"/>
    <w:rsid w:val="2A332A5B"/>
    <w:rsid w:val="2A426494"/>
    <w:rsid w:val="2A554419"/>
    <w:rsid w:val="2A5A558B"/>
    <w:rsid w:val="2A626559"/>
    <w:rsid w:val="2A6D6092"/>
    <w:rsid w:val="2A7D76B4"/>
    <w:rsid w:val="2AA075F4"/>
    <w:rsid w:val="2AA1765E"/>
    <w:rsid w:val="2ADB626D"/>
    <w:rsid w:val="2AEA324F"/>
    <w:rsid w:val="2AEF78BB"/>
    <w:rsid w:val="2B0674C1"/>
    <w:rsid w:val="2B151BE2"/>
    <w:rsid w:val="2B1971F4"/>
    <w:rsid w:val="2B437463"/>
    <w:rsid w:val="2B512E32"/>
    <w:rsid w:val="2B597E59"/>
    <w:rsid w:val="2B703976"/>
    <w:rsid w:val="2B7807EE"/>
    <w:rsid w:val="2B860FAC"/>
    <w:rsid w:val="2BA50BF7"/>
    <w:rsid w:val="2BB8608A"/>
    <w:rsid w:val="2BBF00EC"/>
    <w:rsid w:val="2BC37CFD"/>
    <w:rsid w:val="2BC439A8"/>
    <w:rsid w:val="2BC74EA2"/>
    <w:rsid w:val="2BD5237F"/>
    <w:rsid w:val="2BD63337"/>
    <w:rsid w:val="2BDD3B36"/>
    <w:rsid w:val="2BE4765A"/>
    <w:rsid w:val="2BE536CE"/>
    <w:rsid w:val="2BE758D9"/>
    <w:rsid w:val="2BF346BB"/>
    <w:rsid w:val="2BFD7524"/>
    <w:rsid w:val="2C02201D"/>
    <w:rsid w:val="2C09049E"/>
    <w:rsid w:val="2C0A653C"/>
    <w:rsid w:val="2C174AF9"/>
    <w:rsid w:val="2C191F85"/>
    <w:rsid w:val="2C1D2D14"/>
    <w:rsid w:val="2C3D481C"/>
    <w:rsid w:val="2C5524AE"/>
    <w:rsid w:val="2C7E75F6"/>
    <w:rsid w:val="2C8631DC"/>
    <w:rsid w:val="2CBC739B"/>
    <w:rsid w:val="2CD248D4"/>
    <w:rsid w:val="2CD258AD"/>
    <w:rsid w:val="2CDF383C"/>
    <w:rsid w:val="2CDF614E"/>
    <w:rsid w:val="2CE82D6F"/>
    <w:rsid w:val="2CF17001"/>
    <w:rsid w:val="2D1A3236"/>
    <w:rsid w:val="2D2F71A3"/>
    <w:rsid w:val="2D314CC9"/>
    <w:rsid w:val="2D343236"/>
    <w:rsid w:val="2D375814"/>
    <w:rsid w:val="2D52151C"/>
    <w:rsid w:val="2D531891"/>
    <w:rsid w:val="2D575011"/>
    <w:rsid w:val="2D60735C"/>
    <w:rsid w:val="2D662AFE"/>
    <w:rsid w:val="2D684463"/>
    <w:rsid w:val="2D7B1018"/>
    <w:rsid w:val="2D7C0EAC"/>
    <w:rsid w:val="2D872B3B"/>
    <w:rsid w:val="2D9C066C"/>
    <w:rsid w:val="2DA252C2"/>
    <w:rsid w:val="2DA27975"/>
    <w:rsid w:val="2DAF5F38"/>
    <w:rsid w:val="2DBD6687"/>
    <w:rsid w:val="2DD15014"/>
    <w:rsid w:val="2DD24266"/>
    <w:rsid w:val="2DD7176A"/>
    <w:rsid w:val="2DF72DE4"/>
    <w:rsid w:val="2E0054CD"/>
    <w:rsid w:val="2E0220AF"/>
    <w:rsid w:val="2E093550"/>
    <w:rsid w:val="2E14000D"/>
    <w:rsid w:val="2E183793"/>
    <w:rsid w:val="2E277E7A"/>
    <w:rsid w:val="2E322317"/>
    <w:rsid w:val="2E3F7A9E"/>
    <w:rsid w:val="2E4B082A"/>
    <w:rsid w:val="2E4D4C86"/>
    <w:rsid w:val="2E556795"/>
    <w:rsid w:val="2E5D459D"/>
    <w:rsid w:val="2E5D4E86"/>
    <w:rsid w:val="2E5D790B"/>
    <w:rsid w:val="2E6206A8"/>
    <w:rsid w:val="2E712CF1"/>
    <w:rsid w:val="2E8B0409"/>
    <w:rsid w:val="2E9215C0"/>
    <w:rsid w:val="2E9A3C18"/>
    <w:rsid w:val="2EA944D2"/>
    <w:rsid w:val="2EAC422C"/>
    <w:rsid w:val="2EAE40F8"/>
    <w:rsid w:val="2EB536D8"/>
    <w:rsid w:val="2EBB0FEE"/>
    <w:rsid w:val="2EBB278D"/>
    <w:rsid w:val="2EC60F6B"/>
    <w:rsid w:val="2EC63002"/>
    <w:rsid w:val="2ECB2EFB"/>
    <w:rsid w:val="2ED1039E"/>
    <w:rsid w:val="2EE36312"/>
    <w:rsid w:val="2F0A6B38"/>
    <w:rsid w:val="2F25085E"/>
    <w:rsid w:val="2F326AD7"/>
    <w:rsid w:val="2F407445"/>
    <w:rsid w:val="2F466846"/>
    <w:rsid w:val="2F937F7F"/>
    <w:rsid w:val="2F946CCB"/>
    <w:rsid w:val="2FA3158A"/>
    <w:rsid w:val="2FA433C5"/>
    <w:rsid w:val="2FB27C17"/>
    <w:rsid w:val="2FB83A61"/>
    <w:rsid w:val="2FBF55B6"/>
    <w:rsid w:val="2FD25781"/>
    <w:rsid w:val="2FD71E49"/>
    <w:rsid w:val="2FDC745C"/>
    <w:rsid w:val="2FEC3129"/>
    <w:rsid w:val="2FF05432"/>
    <w:rsid w:val="2FF65D56"/>
    <w:rsid w:val="2FFD7934"/>
    <w:rsid w:val="30171547"/>
    <w:rsid w:val="302477D8"/>
    <w:rsid w:val="305308D8"/>
    <w:rsid w:val="306233EC"/>
    <w:rsid w:val="306F0EA2"/>
    <w:rsid w:val="30733ACD"/>
    <w:rsid w:val="3082583C"/>
    <w:rsid w:val="308C3862"/>
    <w:rsid w:val="309379D8"/>
    <w:rsid w:val="30977539"/>
    <w:rsid w:val="30A06F5B"/>
    <w:rsid w:val="30A270F7"/>
    <w:rsid w:val="30A76A47"/>
    <w:rsid w:val="30BC2C37"/>
    <w:rsid w:val="30D826BB"/>
    <w:rsid w:val="30DF1478"/>
    <w:rsid w:val="30EC586F"/>
    <w:rsid w:val="30F009F7"/>
    <w:rsid w:val="30F57DBC"/>
    <w:rsid w:val="30FD4BD0"/>
    <w:rsid w:val="310E5321"/>
    <w:rsid w:val="311327DC"/>
    <w:rsid w:val="31307046"/>
    <w:rsid w:val="314D7BF8"/>
    <w:rsid w:val="31550888"/>
    <w:rsid w:val="3166515D"/>
    <w:rsid w:val="317624B4"/>
    <w:rsid w:val="318F6165"/>
    <w:rsid w:val="319C6071"/>
    <w:rsid w:val="31A240F4"/>
    <w:rsid w:val="31AC537E"/>
    <w:rsid w:val="31AD7299"/>
    <w:rsid w:val="31B533E9"/>
    <w:rsid w:val="31BE2D7E"/>
    <w:rsid w:val="31D125D7"/>
    <w:rsid w:val="31D95F77"/>
    <w:rsid w:val="31E3679B"/>
    <w:rsid w:val="31E732FD"/>
    <w:rsid w:val="31EB6578"/>
    <w:rsid w:val="320D7387"/>
    <w:rsid w:val="321506CD"/>
    <w:rsid w:val="32266F65"/>
    <w:rsid w:val="32290665"/>
    <w:rsid w:val="32495441"/>
    <w:rsid w:val="32517576"/>
    <w:rsid w:val="32534AFB"/>
    <w:rsid w:val="32696CB3"/>
    <w:rsid w:val="326F30B5"/>
    <w:rsid w:val="32702019"/>
    <w:rsid w:val="3276294B"/>
    <w:rsid w:val="327F6A81"/>
    <w:rsid w:val="32827CEF"/>
    <w:rsid w:val="328718AD"/>
    <w:rsid w:val="32A36F3E"/>
    <w:rsid w:val="32BE5C2C"/>
    <w:rsid w:val="32C263C3"/>
    <w:rsid w:val="32D57EA5"/>
    <w:rsid w:val="32E427DE"/>
    <w:rsid w:val="32FB6478"/>
    <w:rsid w:val="32FD564D"/>
    <w:rsid w:val="331F035E"/>
    <w:rsid w:val="331F746E"/>
    <w:rsid w:val="332378F3"/>
    <w:rsid w:val="33263B3F"/>
    <w:rsid w:val="332801C0"/>
    <w:rsid w:val="333948D8"/>
    <w:rsid w:val="333C1C99"/>
    <w:rsid w:val="33513762"/>
    <w:rsid w:val="336963EB"/>
    <w:rsid w:val="336C0182"/>
    <w:rsid w:val="336D4581"/>
    <w:rsid w:val="337F3437"/>
    <w:rsid w:val="3381276E"/>
    <w:rsid w:val="33816EEB"/>
    <w:rsid w:val="338813BB"/>
    <w:rsid w:val="33BB1256"/>
    <w:rsid w:val="33BC2E13"/>
    <w:rsid w:val="33C030A8"/>
    <w:rsid w:val="33C543BD"/>
    <w:rsid w:val="33C93758"/>
    <w:rsid w:val="33D068BE"/>
    <w:rsid w:val="33D31EF5"/>
    <w:rsid w:val="33EB55CD"/>
    <w:rsid w:val="33EC4C02"/>
    <w:rsid w:val="33F7453E"/>
    <w:rsid w:val="34040237"/>
    <w:rsid w:val="340D2360"/>
    <w:rsid w:val="3410665D"/>
    <w:rsid w:val="34211214"/>
    <w:rsid w:val="342C61EA"/>
    <w:rsid w:val="342E63AB"/>
    <w:rsid w:val="343B4069"/>
    <w:rsid w:val="3442156A"/>
    <w:rsid w:val="344A041F"/>
    <w:rsid w:val="346040E6"/>
    <w:rsid w:val="347D25A2"/>
    <w:rsid w:val="34850C96"/>
    <w:rsid w:val="348B7FB5"/>
    <w:rsid w:val="348C0A37"/>
    <w:rsid w:val="348E2A01"/>
    <w:rsid w:val="34950E68"/>
    <w:rsid w:val="34984B38"/>
    <w:rsid w:val="34986E94"/>
    <w:rsid w:val="34A94D49"/>
    <w:rsid w:val="34AF62C9"/>
    <w:rsid w:val="34B00BC9"/>
    <w:rsid w:val="34B6203A"/>
    <w:rsid w:val="34BA1A48"/>
    <w:rsid w:val="34C46934"/>
    <w:rsid w:val="34CB4388"/>
    <w:rsid w:val="34D31153"/>
    <w:rsid w:val="34DF14AF"/>
    <w:rsid w:val="34FA6E12"/>
    <w:rsid w:val="34FB796B"/>
    <w:rsid w:val="354D7158"/>
    <w:rsid w:val="35676663"/>
    <w:rsid w:val="356B2D42"/>
    <w:rsid w:val="357070B5"/>
    <w:rsid w:val="35777939"/>
    <w:rsid w:val="358D5588"/>
    <w:rsid w:val="358D6543"/>
    <w:rsid w:val="35924418"/>
    <w:rsid w:val="35973796"/>
    <w:rsid w:val="359F072B"/>
    <w:rsid w:val="35B649B5"/>
    <w:rsid w:val="35C1713F"/>
    <w:rsid w:val="35D46361"/>
    <w:rsid w:val="36183408"/>
    <w:rsid w:val="3637277E"/>
    <w:rsid w:val="363A3B40"/>
    <w:rsid w:val="365302AE"/>
    <w:rsid w:val="3660023F"/>
    <w:rsid w:val="36607A0A"/>
    <w:rsid w:val="366E227C"/>
    <w:rsid w:val="366F2E0D"/>
    <w:rsid w:val="367B6A5C"/>
    <w:rsid w:val="369D12D4"/>
    <w:rsid w:val="36A74ADA"/>
    <w:rsid w:val="36A84BAB"/>
    <w:rsid w:val="36AD60D5"/>
    <w:rsid w:val="36B224F9"/>
    <w:rsid w:val="36BE19DF"/>
    <w:rsid w:val="36D047A4"/>
    <w:rsid w:val="36D44842"/>
    <w:rsid w:val="36DB7A54"/>
    <w:rsid w:val="36EC0CC9"/>
    <w:rsid w:val="36ED12B4"/>
    <w:rsid w:val="36FD3E6E"/>
    <w:rsid w:val="3717055E"/>
    <w:rsid w:val="372633C5"/>
    <w:rsid w:val="372B49E6"/>
    <w:rsid w:val="372E6486"/>
    <w:rsid w:val="37357164"/>
    <w:rsid w:val="373F410B"/>
    <w:rsid w:val="37577E04"/>
    <w:rsid w:val="379A346B"/>
    <w:rsid w:val="37CF580A"/>
    <w:rsid w:val="37EE7094"/>
    <w:rsid w:val="37EF1A09"/>
    <w:rsid w:val="37F35A2D"/>
    <w:rsid w:val="380D2735"/>
    <w:rsid w:val="380F20AB"/>
    <w:rsid w:val="381E22EE"/>
    <w:rsid w:val="38251997"/>
    <w:rsid w:val="38296C89"/>
    <w:rsid w:val="383002EB"/>
    <w:rsid w:val="385373AF"/>
    <w:rsid w:val="38586797"/>
    <w:rsid w:val="385D15DF"/>
    <w:rsid w:val="386C0E23"/>
    <w:rsid w:val="387B14EE"/>
    <w:rsid w:val="387B504A"/>
    <w:rsid w:val="387E2D8D"/>
    <w:rsid w:val="38A01F72"/>
    <w:rsid w:val="38AC78FA"/>
    <w:rsid w:val="38BC0149"/>
    <w:rsid w:val="38C04328"/>
    <w:rsid w:val="38C27BE4"/>
    <w:rsid w:val="38CC7CCD"/>
    <w:rsid w:val="38D87D1C"/>
    <w:rsid w:val="38E17D08"/>
    <w:rsid w:val="38FD0499"/>
    <w:rsid w:val="38FE7A29"/>
    <w:rsid w:val="39047736"/>
    <w:rsid w:val="390E2362"/>
    <w:rsid w:val="391B511C"/>
    <w:rsid w:val="391C7B3B"/>
    <w:rsid w:val="394B77AC"/>
    <w:rsid w:val="39555F8E"/>
    <w:rsid w:val="39636459"/>
    <w:rsid w:val="39642E25"/>
    <w:rsid w:val="39673821"/>
    <w:rsid w:val="39693A3D"/>
    <w:rsid w:val="396B7F6C"/>
    <w:rsid w:val="39706B79"/>
    <w:rsid w:val="3980268B"/>
    <w:rsid w:val="39B263C8"/>
    <w:rsid w:val="39B417A9"/>
    <w:rsid w:val="39C62C3D"/>
    <w:rsid w:val="39CF1500"/>
    <w:rsid w:val="39EE1244"/>
    <w:rsid w:val="39F279C8"/>
    <w:rsid w:val="39F60B9B"/>
    <w:rsid w:val="39FA1E33"/>
    <w:rsid w:val="39FC5695"/>
    <w:rsid w:val="3A006D8E"/>
    <w:rsid w:val="3A0D43C8"/>
    <w:rsid w:val="3A1E0667"/>
    <w:rsid w:val="3A2B22F1"/>
    <w:rsid w:val="3A3651E5"/>
    <w:rsid w:val="3A4B6C9E"/>
    <w:rsid w:val="3A6B3438"/>
    <w:rsid w:val="3A744481"/>
    <w:rsid w:val="3A8C5CE4"/>
    <w:rsid w:val="3A8C7BEF"/>
    <w:rsid w:val="3A906246"/>
    <w:rsid w:val="3AA27206"/>
    <w:rsid w:val="3AC8566A"/>
    <w:rsid w:val="3AEB3C92"/>
    <w:rsid w:val="3B1C22BD"/>
    <w:rsid w:val="3B2349B7"/>
    <w:rsid w:val="3B266A1C"/>
    <w:rsid w:val="3B2C087E"/>
    <w:rsid w:val="3B2F036E"/>
    <w:rsid w:val="3B4A51A8"/>
    <w:rsid w:val="3B5B5607"/>
    <w:rsid w:val="3B60677A"/>
    <w:rsid w:val="3B616CFF"/>
    <w:rsid w:val="3B6259F6"/>
    <w:rsid w:val="3B8A37F6"/>
    <w:rsid w:val="3B8B34A8"/>
    <w:rsid w:val="3B976654"/>
    <w:rsid w:val="3BAA5C47"/>
    <w:rsid w:val="3BBA6143"/>
    <w:rsid w:val="3BC01EFC"/>
    <w:rsid w:val="3BCA786A"/>
    <w:rsid w:val="3BCE740A"/>
    <w:rsid w:val="3BD02A97"/>
    <w:rsid w:val="3BD31E2F"/>
    <w:rsid w:val="3BD41F3D"/>
    <w:rsid w:val="3BE75ACE"/>
    <w:rsid w:val="3BF15831"/>
    <w:rsid w:val="3C09008A"/>
    <w:rsid w:val="3C0E61D6"/>
    <w:rsid w:val="3C105946"/>
    <w:rsid w:val="3C243C4B"/>
    <w:rsid w:val="3C255BE7"/>
    <w:rsid w:val="3C261771"/>
    <w:rsid w:val="3C2B4FD9"/>
    <w:rsid w:val="3C374EA5"/>
    <w:rsid w:val="3C471448"/>
    <w:rsid w:val="3C5F759A"/>
    <w:rsid w:val="3C633A8B"/>
    <w:rsid w:val="3C6C525A"/>
    <w:rsid w:val="3C97225D"/>
    <w:rsid w:val="3C9B3F0D"/>
    <w:rsid w:val="3C9C5ED7"/>
    <w:rsid w:val="3CA803D8"/>
    <w:rsid w:val="3CAB7EC8"/>
    <w:rsid w:val="3CC01BC6"/>
    <w:rsid w:val="3CCE23CB"/>
    <w:rsid w:val="3CD17D17"/>
    <w:rsid w:val="3CF03B2D"/>
    <w:rsid w:val="3CF647B9"/>
    <w:rsid w:val="3D066478"/>
    <w:rsid w:val="3D0E3C97"/>
    <w:rsid w:val="3D2A134E"/>
    <w:rsid w:val="3D332398"/>
    <w:rsid w:val="3D384C7A"/>
    <w:rsid w:val="3D3B56F0"/>
    <w:rsid w:val="3D3C7F39"/>
    <w:rsid w:val="3D440F09"/>
    <w:rsid w:val="3D4504A0"/>
    <w:rsid w:val="3D5F6B21"/>
    <w:rsid w:val="3D6E33D0"/>
    <w:rsid w:val="3D6E6391"/>
    <w:rsid w:val="3D8734BB"/>
    <w:rsid w:val="3D8A3387"/>
    <w:rsid w:val="3D9902F3"/>
    <w:rsid w:val="3D9A11D4"/>
    <w:rsid w:val="3DA16D89"/>
    <w:rsid w:val="3DA364BE"/>
    <w:rsid w:val="3DA91E2A"/>
    <w:rsid w:val="3DD2229E"/>
    <w:rsid w:val="3DE041CB"/>
    <w:rsid w:val="3DE503C5"/>
    <w:rsid w:val="3DF26781"/>
    <w:rsid w:val="3E005F56"/>
    <w:rsid w:val="3E0D48F6"/>
    <w:rsid w:val="3E1868B4"/>
    <w:rsid w:val="3E2B711B"/>
    <w:rsid w:val="3E2E064A"/>
    <w:rsid w:val="3E367B2B"/>
    <w:rsid w:val="3E377251"/>
    <w:rsid w:val="3E38578C"/>
    <w:rsid w:val="3E421F1A"/>
    <w:rsid w:val="3E42664B"/>
    <w:rsid w:val="3E436EC7"/>
    <w:rsid w:val="3E5A7334"/>
    <w:rsid w:val="3E665081"/>
    <w:rsid w:val="3E744BC7"/>
    <w:rsid w:val="3E7720F3"/>
    <w:rsid w:val="3E7B5D6B"/>
    <w:rsid w:val="3E800582"/>
    <w:rsid w:val="3E843E66"/>
    <w:rsid w:val="3E852940"/>
    <w:rsid w:val="3E874E46"/>
    <w:rsid w:val="3E8F51FE"/>
    <w:rsid w:val="3E926F87"/>
    <w:rsid w:val="3E9A59DE"/>
    <w:rsid w:val="3EA6485A"/>
    <w:rsid w:val="3EAD0503"/>
    <w:rsid w:val="3EAF4836"/>
    <w:rsid w:val="3EBB76E9"/>
    <w:rsid w:val="3EBC5F44"/>
    <w:rsid w:val="3EC33DFA"/>
    <w:rsid w:val="3ED92B93"/>
    <w:rsid w:val="3EDB6D7D"/>
    <w:rsid w:val="3EE576C2"/>
    <w:rsid w:val="3EE946F5"/>
    <w:rsid w:val="3EEB5665"/>
    <w:rsid w:val="3EED6041"/>
    <w:rsid w:val="3EEE6411"/>
    <w:rsid w:val="3EF67B21"/>
    <w:rsid w:val="3F044669"/>
    <w:rsid w:val="3F060E16"/>
    <w:rsid w:val="3F0E3630"/>
    <w:rsid w:val="3F143319"/>
    <w:rsid w:val="3F1D1096"/>
    <w:rsid w:val="3F2F0234"/>
    <w:rsid w:val="3F3B19D7"/>
    <w:rsid w:val="3F402BB2"/>
    <w:rsid w:val="3F422B55"/>
    <w:rsid w:val="3F6363FE"/>
    <w:rsid w:val="3F677F42"/>
    <w:rsid w:val="3F6A3050"/>
    <w:rsid w:val="3F6D0024"/>
    <w:rsid w:val="3F72393E"/>
    <w:rsid w:val="3F756B8F"/>
    <w:rsid w:val="3F7C275B"/>
    <w:rsid w:val="3F95482B"/>
    <w:rsid w:val="3FA855DD"/>
    <w:rsid w:val="3FB91486"/>
    <w:rsid w:val="3FC512A1"/>
    <w:rsid w:val="3FE74635"/>
    <w:rsid w:val="3FF81180"/>
    <w:rsid w:val="3FF86C89"/>
    <w:rsid w:val="40023682"/>
    <w:rsid w:val="400E0F9A"/>
    <w:rsid w:val="40114E38"/>
    <w:rsid w:val="40175FA1"/>
    <w:rsid w:val="4019356B"/>
    <w:rsid w:val="401D732F"/>
    <w:rsid w:val="40234380"/>
    <w:rsid w:val="40353AA6"/>
    <w:rsid w:val="403E6DF1"/>
    <w:rsid w:val="40582B17"/>
    <w:rsid w:val="40592157"/>
    <w:rsid w:val="405A3350"/>
    <w:rsid w:val="40621B84"/>
    <w:rsid w:val="406E1CAE"/>
    <w:rsid w:val="40943EA4"/>
    <w:rsid w:val="409C7B23"/>
    <w:rsid w:val="40A0133A"/>
    <w:rsid w:val="40A84E4B"/>
    <w:rsid w:val="40AC0BA9"/>
    <w:rsid w:val="40B261A2"/>
    <w:rsid w:val="40C31A53"/>
    <w:rsid w:val="40D916DC"/>
    <w:rsid w:val="40DF1C9F"/>
    <w:rsid w:val="40ED0AAF"/>
    <w:rsid w:val="40F21D86"/>
    <w:rsid w:val="40FF545D"/>
    <w:rsid w:val="410067C8"/>
    <w:rsid w:val="4134048C"/>
    <w:rsid w:val="41384420"/>
    <w:rsid w:val="41391F47"/>
    <w:rsid w:val="413E3B11"/>
    <w:rsid w:val="415723CD"/>
    <w:rsid w:val="415D3E87"/>
    <w:rsid w:val="41693699"/>
    <w:rsid w:val="417B0CA4"/>
    <w:rsid w:val="417C5ABA"/>
    <w:rsid w:val="418B713B"/>
    <w:rsid w:val="418F0D2A"/>
    <w:rsid w:val="41A35612"/>
    <w:rsid w:val="41A53138"/>
    <w:rsid w:val="41B617E9"/>
    <w:rsid w:val="41BD747A"/>
    <w:rsid w:val="41C52353"/>
    <w:rsid w:val="41D01505"/>
    <w:rsid w:val="41EA4FEF"/>
    <w:rsid w:val="41FA7928"/>
    <w:rsid w:val="421E3EFC"/>
    <w:rsid w:val="42383E55"/>
    <w:rsid w:val="42474939"/>
    <w:rsid w:val="424C3C57"/>
    <w:rsid w:val="425F778B"/>
    <w:rsid w:val="42613FF3"/>
    <w:rsid w:val="42660D96"/>
    <w:rsid w:val="42733236"/>
    <w:rsid w:val="428667D2"/>
    <w:rsid w:val="42997141"/>
    <w:rsid w:val="429A4C67"/>
    <w:rsid w:val="42CB766D"/>
    <w:rsid w:val="42CD1CE0"/>
    <w:rsid w:val="42D208FA"/>
    <w:rsid w:val="42E1381E"/>
    <w:rsid w:val="42E13849"/>
    <w:rsid w:val="42E859D2"/>
    <w:rsid w:val="42ED6459"/>
    <w:rsid w:val="42FE58DD"/>
    <w:rsid w:val="430828BF"/>
    <w:rsid w:val="430F7403"/>
    <w:rsid w:val="43140575"/>
    <w:rsid w:val="43174B3D"/>
    <w:rsid w:val="433A4ADA"/>
    <w:rsid w:val="43401821"/>
    <w:rsid w:val="43481A79"/>
    <w:rsid w:val="434B790E"/>
    <w:rsid w:val="435F7A73"/>
    <w:rsid w:val="4360274F"/>
    <w:rsid w:val="43654AFE"/>
    <w:rsid w:val="43657023"/>
    <w:rsid w:val="436A53CA"/>
    <w:rsid w:val="437F46CD"/>
    <w:rsid w:val="438C2802"/>
    <w:rsid w:val="43977AB6"/>
    <w:rsid w:val="43A3342B"/>
    <w:rsid w:val="43A7763B"/>
    <w:rsid w:val="43B65AD0"/>
    <w:rsid w:val="43BB30E7"/>
    <w:rsid w:val="43BE56FA"/>
    <w:rsid w:val="43C77C27"/>
    <w:rsid w:val="43DE09EE"/>
    <w:rsid w:val="43E16670"/>
    <w:rsid w:val="43E65C0C"/>
    <w:rsid w:val="43E758B2"/>
    <w:rsid w:val="44002FAD"/>
    <w:rsid w:val="44123DDC"/>
    <w:rsid w:val="4439619F"/>
    <w:rsid w:val="443B1F26"/>
    <w:rsid w:val="443D3AFC"/>
    <w:rsid w:val="44474412"/>
    <w:rsid w:val="447459AC"/>
    <w:rsid w:val="448B5125"/>
    <w:rsid w:val="449101DD"/>
    <w:rsid w:val="44986F84"/>
    <w:rsid w:val="44A1052F"/>
    <w:rsid w:val="44A61C97"/>
    <w:rsid w:val="44AF4BBA"/>
    <w:rsid w:val="44BA514C"/>
    <w:rsid w:val="44D836DF"/>
    <w:rsid w:val="44DC3DAF"/>
    <w:rsid w:val="44DE1391"/>
    <w:rsid w:val="44F9110D"/>
    <w:rsid w:val="450F4A4B"/>
    <w:rsid w:val="451B225C"/>
    <w:rsid w:val="45237196"/>
    <w:rsid w:val="452410C9"/>
    <w:rsid w:val="452B429C"/>
    <w:rsid w:val="45317DFB"/>
    <w:rsid w:val="453E269A"/>
    <w:rsid w:val="45401AF6"/>
    <w:rsid w:val="455E024A"/>
    <w:rsid w:val="456D3CE4"/>
    <w:rsid w:val="45723ADA"/>
    <w:rsid w:val="4579042C"/>
    <w:rsid w:val="457C4AF8"/>
    <w:rsid w:val="457F0571"/>
    <w:rsid w:val="45851176"/>
    <w:rsid w:val="4585575A"/>
    <w:rsid w:val="45A92CD3"/>
    <w:rsid w:val="45BA06EF"/>
    <w:rsid w:val="45C63B94"/>
    <w:rsid w:val="45F778D3"/>
    <w:rsid w:val="45FF11DB"/>
    <w:rsid w:val="46081EE8"/>
    <w:rsid w:val="460A2D4E"/>
    <w:rsid w:val="460E7DA5"/>
    <w:rsid w:val="461801CE"/>
    <w:rsid w:val="461E55A5"/>
    <w:rsid w:val="46345F7C"/>
    <w:rsid w:val="46394999"/>
    <w:rsid w:val="46422483"/>
    <w:rsid w:val="46454953"/>
    <w:rsid w:val="46484B59"/>
    <w:rsid w:val="464949DA"/>
    <w:rsid w:val="4659254A"/>
    <w:rsid w:val="465B0637"/>
    <w:rsid w:val="465E3F0D"/>
    <w:rsid w:val="466A16E6"/>
    <w:rsid w:val="466E6ED7"/>
    <w:rsid w:val="46780E1B"/>
    <w:rsid w:val="46826C09"/>
    <w:rsid w:val="46893F2B"/>
    <w:rsid w:val="46965745"/>
    <w:rsid w:val="4698326B"/>
    <w:rsid w:val="469D4D26"/>
    <w:rsid w:val="46A936CA"/>
    <w:rsid w:val="46AC4F69"/>
    <w:rsid w:val="46AF182F"/>
    <w:rsid w:val="46B727AA"/>
    <w:rsid w:val="46BB2149"/>
    <w:rsid w:val="46BC33FE"/>
    <w:rsid w:val="46C2653A"/>
    <w:rsid w:val="46C4686E"/>
    <w:rsid w:val="46CD560B"/>
    <w:rsid w:val="46D544C0"/>
    <w:rsid w:val="46DE0C49"/>
    <w:rsid w:val="46EA7DE1"/>
    <w:rsid w:val="46FC37FA"/>
    <w:rsid w:val="47060B1D"/>
    <w:rsid w:val="470D3C59"/>
    <w:rsid w:val="471C3BAA"/>
    <w:rsid w:val="47280A93"/>
    <w:rsid w:val="473A4323"/>
    <w:rsid w:val="4743523B"/>
    <w:rsid w:val="47645ACA"/>
    <w:rsid w:val="47717B3F"/>
    <w:rsid w:val="477B778F"/>
    <w:rsid w:val="477C493B"/>
    <w:rsid w:val="47814868"/>
    <w:rsid w:val="478203EC"/>
    <w:rsid w:val="47B025FA"/>
    <w:rsid w:val="47B976A3"/>
    <w:rsid w:val="47BB1907"/>
    <w:rsid w:val="47BE6D02"/>
    <w:rsid w:val="47D1458C"/>
    <w:rsid w:val="4809698F"/>
    <w:rsid w:val="4811697D"/>
    <w:rsid w:val="48315726"/>
    <w:rsid w:val="483C6D09"/>
    <w:rsid w:val="48497FAC"/>
    <w:rsid w:val="485A1529"/>
    <w:rsid w:val="4875679A"/>
    <w:rsid w:val="487A3E25"/>
    <w:rsid w:val="487F7124"/>
    <w:rsid w:val="488022AC"/>
    <w:rsid w:val="488B5503"/>
    <w:rsid w:val="48920E74"/>
    <w:rsid w:val="48937E21"/>
    <w:rsid w:val="489A0361"/>
    <w:rsid w:val="489B7043"/>
    <w:rsid w:val="48A4239B"/>
    <w:rsid w:val="48B31FCB"/>
    <w:rsid w:val="48B94FF3"/>
    <w:rsid w:val="48CC36A0"/>
    <w:rsid w:val="48D771FB"/>
    <w:rsid w:val="48DA400F"/>
    <w:rsid w:val="48DD7331"/>
    <w:rsid w:val="48E37AAB"/>
    <w:rsid w:val="48FD4B4C"/>
    <w:rsid w:val="49096483"/>
    <w:rsid w:val="490A68E0"/>
    <w:rsid w:val="491055FE"/>
    <w:rsid w:val="49303C2F"/>
    <w:rsid w:val="49555C0D"/>
    <w:rsid w:val="495F5B3E"/>
    <w:rsid w:val="496D45F2"/>
    <w:rsid w:val="496F77D7"/>
    <w:rsid w:val="497654FD"/>
    <w:rsid w:val="498019BD"/>
    <w:rsid w:val="49900B72"/>
    <w:rsid w:val="49B64211"/>
    <w:rsid w:val="49C03205"/>
    <w:rsid w:val="49DA1E78"/>
    <w:rsid w:val="49DF11B1"/>
    <w:rsid w:val="49EC0ADD"/>
    <w:rsid w:val="49F6167F"/>
    <w:rsid w:val="4A064FA0"/>
    <w:rsid w:val="4A16615C"/>
    <w:rsid w:val="4A370CCC"/>
    <w:rsid w:val="4A4424D7"/>
    <w:rsid w:val="4A5F4890"/>
    <w:rsid w:val="4A6718D3"/>
    <w:rsid w:val="4A7F653C"/>
    <w:rsid w:val="4AB82D0F"/>
    <w:rsid w:val="4AEB7664"/>
    <w:rsid w:val="4AEC1C9E"/>
    <w:rsid w:val="4AF835AC"/>
    <w:rsid w:val="4AFD7C19"/>
    <w:rsid w:val="4B0567D1"/>
    <w:rsid w:val="4B09298A"/>
    <w:rsid w:val="4B0C67B3"/>
    <w:rsid w:val="4B182BCD"/>
    <w:rsid w:val="4B1D01E3"/>
    <w:rsid w:val="4B236AAE"/>
    <w:rsid w:val="4B472626"/>
    <w:rsid w:val="4B5C6F5D"/>
    <w:rsid w:val="4B707271"/>
    <w:rsid w:val="4B771FE9"/>
    <w:rsid w:val="4B7B7C81"/>
    <w:rsid w:val="4B8F5D11"/>
    <w:rsid w:val="4B9739F7"/>
    <w:rsid w:val="4BA16D51"/>
    <w:rsid w:val="4BA57FE8"/>
    <w:rsid w:val="4BBA6964"/>
    <w:rsid w:val="4BC76BA9"/>
    <w:rsid w:val="4BCB5E91"/>
    <w:rsid w:val="4BE43A95"/>
    <w:rsid w:val="4BE558F8"/>
    <w:rsid w:val="4BE62CCB"/>
    <w:rsid w:val="4BEE2503"/>
    <w:rsid w:val="4C245A30"/>
    <w:rsid w:val="4C295851"/>
    <w:rsid w:val="4C4E43C6"/>
    <w:rsid w:val="4C4F0870"/>
    <w:rsid w:val="4C6360CA"/>
    <w:rsid w:val="4C6A2D93"/>
    <w:rsid w:val="4C7B6C84"/>
    <w:rsid w:val="4C7D7706"/>
    <w:rsid w:val="4C806C7C"/>
    <w:rsid w:val="4C87271B"/>
    <w:rsid w:val="4C8E4C41"/>
    <w:rsid w:val="4C8F39C7"/>
    <w:rsid w:val="4C940979"/>
    <w:rsid w:val="4C942B6D"/>
    <w:rsid w:val="4CB61B48"/>
    <w:rsid w:val="4CB6685F"/>
    <w:rsid w:val="4CC367FE"/>
    <w:rsid w:val="4CE17569"/>
    <w:rsid w:val="4CE26857"/>
    <w:rsid w:val="4CE27936"/>
    <w:rsid w:val="4CE46B2E"/>
    <w:rsid w:val="4D077F3C"/>
    <w:rsid w:val="4D0C6761"/>
    <w:rsid w:val="4D123355"/>
    <w:rsid w:val="4D1639B1"/>
    <w:rsid w:val="4D1B60CB"/>
    <w:rsid w:val="4D2A3B31"/>
    <w:rsid w:val="4D312C52"/>
    <w:rsid w:val="4D4C506C"/>
    <w:rsid w:val="4D673998"/>
    <w:rsid w:val="4D6D5452"/>
    <w:rsid w:val="4D74391A"/>
    <w:rsid w:val="4D777400"/>
    <w:rsid w:val="4D84185E"/>
    <w:rsid w:val="4D872151"/>
    <w:rsid w:val="4D87534F"/>
    <w:rsid w:val="4D8C33FE"/>
    <w:rsid w:val="4D905305"/>
    <w:rsid w:val="4D964A72"/>
    <w:rsid w:val="4D992B4B"/>
    <w:rsid w:val="4D9950AB"/>
    <w:rsid w:val="4D9C1254"/>
    <w:rsid w:val="4DA047FA"/>
    <w:rsid w:val="4DB10DD3"/>
    <w:rsid w:val="4DBA0F65"/>
    <w:rsid w:val="4DC34CC0"/>
    <w:rsid w:val="4DF27705"/>
    <w:rsid w:val="4E0F65F6"/>
    <w:rsid w:val="4E13385C"/>
    <w:rsid w:val="4E1E0531"/>
    <w:rsid w:val="4E3B42D2"/>
    <w:rsid w:val="4E5D3ACD"/>
    <w:rsid w:val="4E5D456E"/>
    <w:rsid w:val="4E793892"/>
    <w:rsid w:val="4E800872"/>
    <w:rsid w:val="4EB42276"/>
    <w:rsid w:val="4EB62E28"/>
    <w:rsid w:val="4EBE3A8B"/>
    <w:rsid w:val="4EC569ED"/>
    <w:rsid w:val="4EC61781"/>
    <w:rsid w:val="4ED50EA1"/>
    <w:rsid w:val="4ED61206"/>
    <w:rsid w:val="4EDD03B5"/>
    <w:rsid w:val="4EEC050C"/>
    <w:rsid w:val="4EF72982"/>
    <w:rsid w:val="4F02606E"/>
    <w:rsid w:val="4F104EC3"/>
    <w:rsid w:val="4F1A1F84"/>
    <w:rsid w:val="4F277882"/>
    <w:rsid w:val="4F3A5808"/>
    <w:rsid w:val="4F423034"/>
    <w:rsid w:val="4F47354A"/>
    <w:rsid w:val="4F7F751B"/>
    <w:rsid w:val="4F8810DB"/>
    <w:rsid w:val="4F911C54"/>
    <w:rsid w:val="4FAF5DA3"/>
    <w:rsid w:val="4FC83B4F"/>
    <w:rsid w:val="4FDC5FC3"/>
    <w:rsid w:val="4FE625E0"/>
    <w:rsid w:val="4FF736F9"/>
    <w:rsid w:val="4FFE7A92"/>
    <w:rsid w:val="501716A5"/>
    <w:rsid w:val="501C0736"/>
    <w:rsid w:val="501C796A"/>
    <w:rsid w:val="501D480B"/>
    <w:rsid w:val="5021480F"/>
    <w:rsid w:val="50285660"/>
    <w:rsid w:val="502D2C76"/>
    <w:rsid w:val="503037B8"/>
    <w:rsid w:val="50361381"/>
    <w:rsid w:val="50395ABF"/>
    <w:rsid w:val="503D071F"/>
    <w:rsid w:val="503F0BFC"/>
    <w:rsid w:val="50493828"/>
    <w:rsid w:val="504A1A7A"/>
    <w:rsid w:val="505F0FDC"/>
    <w:rsid w:val="50856A77"/>
    <w:rsid w:val="50962ECB"/>
    <w:rsid w:val="509C4C8B"/>
    <w:rsid w:val="509D1A2B"/>
    <w:rsid w:val="509F443B"/>
    <w:rsid w:val="50A42E38"/>
    <w:rsid w:val="50A4577F"/>
    <w:rsid w:val="50B415EA"/>
    <w:rsid w:val="50B73D1F"/>
    <w:rsid w:val="50BD0662"/>
    <w:rsid w:val="50BD5BC9"/>
    <w:rsid w:val="50BE7671"/>
    <w:rsid w:val="50C11EEE"/>
    <w:rsid w:val="50C6560A"/>
    <w:rsid w:val="50E70472"/>
    <w:rsid w:val="50E97CFC"/>
    <w:rsid w:val="50F1639A"/>
    <w:rsid w:val="50FA4028"/>
    <w:rsid w:val="50FE0AB7"/>
    <w:rsid w:val="510D65B7"/>
    <w:rsid w:val="511157AB"/>
    <w:rsid w:val="51215792"/>
    <w:rsid w:val="514069D9"/>
    <w:rsid w:val="5142540C"/>
    <w:rsid w:val="514E59DC"/>
    <w:rsid w:val="51620350"/>
    <w:rsid w:val="51644DBE"/>
    <w:rsid w:val="51711289"/>
    <w:rsid w:val="517A5731"/>
    <w:rsid w:val="518832C8"/>
    <w:rsid w:val="51915481"/>
    <w:rsid w:val="51926C40"/>
    <w:rsid w:val="51945803"/>
    <w:rsid w:val="51980BB2"/>
    <w:rsid w:val="519D3C50"/>
    <w:rsid w:val="51A0432A"/>
    <w:rsid w:val="51A86090"/>
    <w:rsid w:val="51B7396D"/>
    <w:rsid w:val="51E732F9"/>
    <w:rsid w:val="51F54E50"/>
    <w:rsid w:val="520517AF"/>
    <w:rsid w:val="52196FA6"/>
    <w:rsid w:val="521F0E9F"/>
    <w:rsid w:val="52263E21"/>
    <w:rsid w:val="522A1187"/>
    <w:rsid w:val="522E4CC3"/>
    <w:rsid w:val="5234518C"/>
    <w:rsid w:val="523C53F3"/>
    <w:rsid w:val="5244713B"/>
    <w:rsid w:val="524644C3"/>
    <w:rsid w:val="524950EF"/>
    <w:rsid w:val="525768A4"/>
    <w:rsid w:val="525C7843"/>
    <w:rsid w:val="52615633"/>
    <w:rsid w:val="52675D5E"/>
    <w:rsid w:val="526F4DE4"/>
    <w:rsid w:val="527728CF"/>
    <w:rsid w:val="52911BE2"/>
    <w:rsid w:val="52977FD4"/>
    <w:rsid w:val="529D0E34"/>
    <w:rsid w:val="52A116FA"/>
    <w:rsid w:val="52A25790"/>
    <w:rsid w:val="52A96B6F"/>
    <w:rsid w:val="52B45975"/>
    <w:rsid w:val="52CA1B96"/>
    <w:rsid w:val="52D94AA4"/>
    <w:rsid w:val="52DF683D"/>
    <w:rsid w:val="52EA3A62"/>
    <w:rsid w:val="52F50BB8"/>
    <w:rsid w:val="52F51A0E"/>
    <w:rsid w:val="53041419"/>
    <w:rsid w:val="53097272"/>
    <w:rsid w:val="53191BD8"/>
    <w:rsid w:val="532707B4"/>
    <w:rsid w:val="53473029"/>
    <w:rsid w:val="534B3E88"/>
    <w:rsid w:val="53544462"/>
    <w:rsid w:val="53561D8F"/>
    <w:rsid w:val="53835884"/>
    <w:rsid w:val="538D45EC"/>
    <w:rsid w:val="5397158E"/>
    <w:rsid w:val="53993DEB"/>
    <w:rsid w:val="539D45B7"/>
    <w:rsid w:val="53A07E2B"/>
    <w:rsid w:val="53BF1640"/>
    <w:rsid w:val="53BF452D"/>
    <w:rsid w:val="53C0391E"/>
    <w:rsid w:val="53D55AFF"/>
    <w:rsid w:val="53F561A1"/>
    <w:rsid w:val="54013861"/>
    <w:rsid w:val="541F781D"/>
    <w:rsid w:val="543547EF"/>
    <w:rsid w:val="54375430"/>
    <w:rsid w:val="54487265"/>
    <w:rsid w:val="544D6070"/>
    <w:rsid w:val="5457134B"/>
    <w:rsid w:val="54605E1E"/>
    <w:rsid w:val="546B498A"/>
    <w:rsid w:val="546F50A2"/>
    <w:rsid w:val="547E0169"/>
    <w:rsid w:val="5480281E"/>
    <w:rsid w:val="54857525"/>
    <w:rsid w:val="549C19A3"/>
    <w:rsid w:val="54A2071D"/>
    <w:rsid w:val="54A276E1"/>
    <w:rsid w:val="54AB56D0"/>
    <w:rsid w:val="54B3506A"/>
    <w:rsid w:val="54B75204"/>
    <w:rsid w:val="54C0055D"/>
    <w:rsid w:val="54C30C68"/>
    <w:rsid w:val="54C833B7"/>
    <w:rsid w:val="54CA0D16"/>
    <w:rsid w:val="54CC5154"/>
    <w:rsid w:val="54DD4057"/>
    <w:rsid w:val="54E7490F"/>
    <w:rsid w:val="54F4175C"/>
    <w:rsid w:val="550764A4"/>
    <w:rsid w:val="550B2BF6"/>
    <w:rsid w:val="551A685B"/>
    <w:rsid w:val="551C775D"/>
    <w:rsid w:val="55214EB5"/>
    <w:rsid w:val="55327033"/>
    <w:rsid w:val="553377F5"/>
    <w:rsid w:val="553625CD"/>
    <w:rsid w:val="55364EFD"/>
    <w:rsid w:val="555D4828"/>
    <w:rsid w:val="557A0749"/>
    <w:rsid w:val="557A4C8B"/>
    <w:rsid w:val="55886BA1"/>
    <w:rsid w:val="558931E1"/>
    <w:rsid w:val="55923347"/>
    <w:rsid w:val="55925180"/>
    <w:rsid w:val="55983B1B"/>
    <w:rsid w:val="55A8376B"/>
    <w:rsid w:val="55CB6554"/>
    <w:rsid w:val="55DC29B6"/>
    <w:rsid w:val="55DD4241"/>
    <w:rsid w:val="55E276DA"/>
    <w:rsid w:val="55E3109F"/>
    <w:rsid w:val="55EE0200"/>
    <w:rsid w:val="55F73DD4"/>
    <w:rsid w:val="560F4F39"/>
    <w:rsid w:val="5632768A"/>
    <w:rsid w:val="56372280"/>
    <w:rsid w:val="56487BCA"/>
    <w:rsid w:val="564F3968"/>
    <w:rsid w:val="56513437"/>
    <w:rsid w:val="565C5AA9"/>
    <w:rsid w:val="56616827"/>
    <w:rsid w:val="566B6D1E"/>
    <w:rsid w:val="568455BA"/>
    <w:rsid w:val="568702DB"/>
    <w:rsid w:val="56A2193A"/>
    <w:rsid w:val="56A81F52"/>
    <w:rsid w:val="56BD6237"/>
    <w:rsid w:val="56BD7FF4"/>
    <w:rsid w:val="56BF36D8"/>
    <w:rsid w:val="56D504FC"/>
    <w:rsid w:val="56E66275"/>
    <w:rsid w:val="57032A2C"/>
    <w:rsid w:val="5705494D"/>
    <w:rsid w:val="570F5219"/>
    <w:rsid w:val="57136C40"/>
    <w:rsid w:val="571921A6"/>
    <w:rsid w:val="5720443F"/>
    <w:rsid w:val="57337211"/>
    <w:rsid w:val="575D12B5"/>
    <w:rsid w:val="57610A87"/>
    <w:rsid w:val="576862D5"/>
    <w:rsid w:val="57695284"/>
    <w:rsid w:val="57783371"/>
    <w:rsid w:val="577B1140"/>
    <w:rsid w:val="577B7F21"/>
    <w:rsid w:val="577F181B"/>
    <w:rsid w:val="577F32E6"/>
    <w:rsid w:val="5780342F"/>
    <w:rsid w:val="57921984"/>
    <w:rsid w:val="579737F0"/>
    <w:rsid w:val="57982C27"/>
    <w:rsid w:val="579932E7"/>
    <w:rsid w:val="57AB7B30"/>
    <w:rsid w:val="57AE0107"/>
    <w:rsid w:val="57AF5251"/>
    <w:rsid w:val="57B26373"/>
    <w:rsid w:val="57B60A02"/>
    <w:rsid w:val="57B63F04"/>
    <w:rsid w:val="57CD20C2"/>
    <w:rsid w:val="57D52024"/>
    <w:rsid w:val="57D675AB"/>
    <w:rsid w:val="57D73717"/>
    <w:rsid w:val="57D95FDD"/>
    <w:rsid w:val="57DA3E17"/>
    <w:rsid w:val="57E3191D"/>
    <w:rsid w:val="57FF48DC"/>
    <w:rsid w:val="580F7106"/>
    <w:rsid w:val="58226260"/>
    <w:rsid w:val="583077A8"/>
    <w:rsid w:val="5837110E"/>
    <w:rsid w:val="58514199"/>
    <w:rsid w:val="587324F6"/>
    <w:rsid w:val="587358E6"/>
    <w:rsid w:val="58847591"/>
    <w:rsid w:val="588751FD"/>
    <w:rsid w:val="5887604A"/>
    <w:rsid w:val="58917D2F"/>
    <w:rsid w:val="5894085C"/>
    <w:rsid w:val="589B34B2"/>
    <w:rsid w:val="58AE4F0C"/>
    <w:rsid w:val="58B85899"/>
    <w:rsid w:val="58C26FB9"/>
    <w:rsid w:val="58CD5831"/>
    <w:rsid w:val="58D06F50"/>
    <w:rsid w:val="58D97E3F"/>
    <w:rsid w:val="58DFB7BE"/>
    <w:rsid w:val="58E2735A"/>
    <w:rsid w:val="58E351BA"/>
    <w:rsid w:val="58E363A9"/>
    <w:rsid w:val="58E91552"/>
    <w:rsid w:val="59166304"/>
    <w:rsid w:val="591F52DC"/>
    <w:rsid w:val="594462C4"/>
    <w:rsid w:val="595E1678"/>
    <w:rsid w:val="596D5BD4"/>
    <w:rsid w:val="59750523"/>
    <w:rsid w:val="59756D76"/>
    <w:rsid w:val="597610C2"/>
    <w:rsid w:val="597E3DD8"/>
    <w:rsid w:val="59975605"/>
    <w:rsid w:val="59B95DD0"/>
    <w:rsid w:val="59C36A7A"/>
    <w:rsid w:val="59D52950"/>
    <w:rsid w:val="59DA4BE8"/>
    <w:rsid w:val="59DC6549"/>
    <w:rsid w:val="59DE4FE1"/>
    <w:rsid w:val="59F40CA9"/>
    <w:rsid w:val="59F80043"/>
    <w:rsid w:val="5A09252F"/>
    <w:rsid w:val="5A0B2778"/>
    <w:rsid w:val="5A144CFE"/>
    <w:rsid w:val="5A2A7C7B"/>
    <w:rsid w:val="5A2B3123"/>
    <w:rsid w:val="5A3115B5"/>
    <w:rsid w:val="5A324732"/>
    <w:rsid w:val="5A3B26B8"/>
    <w:rsid w:val="5A3E2560"/>
    <w:rsid w:val="5A53777D"/>
    <w:rsid w:val="5A5415CC"/>
    <w:rsid w:val="5A580056"/>
    <w:rsid w:val="5A5D31A1"/>
    <w:rsid w:val="5A5D3B6E"/>
    <w:rsid w:val="5A634CDE"/>
    <w:rsid w:val="5A637A76"/>
    <w:rsid w:val="5A653116"/>
    <w:rsid w:val="5A6D33BA"/>
    <w:rsid w:val="5A6F4AB9"/>
    <w:rsid w:val="5A792B1F"/>
    <w:rsid w:val="5A7E70E6"/>
    <w:rsid w:val="5A8430B8"/>
    <w:rsid w:val="5A874767"/>
    <w:rsid w:val="5A9D2736"/>
    <w:rsid w:val="5AA85BE2"/>
    <w:rsid w:val="5AAD6F28"/>
    <w:rsid w:val="5AAF6DFC"/>
    <w:rsid w:val="5AB741B0"/>
    <w:rsid w:val="5AB96073"/>
    <w:rsid w:val="5ACB7C5C"/>
    <w:rsid w:val="5ACE14FA"/>
    <w:rsid w:val="5AD23FCE"/>
    <w:rsid w:val="5AD63A24"/>
    <w:rsid w:val="5AEB20AC"/>
    <w:rsid w:val="5AF310B4"/>
    <w:rsid w:val="5B2116D9"/>
    <w:rsid w:val="5B2E1A1D"/>
    <w:rsid w:val="5B366A24"/>
    <w:rsid w:val="5B386973"/>
    <w:rsid w:val="5B3F4CBF"/>
    <w:rsid w:val="5B4241B2"/>
    <w:rsid w:val="5B4B3510"/>
    <w:rsid w:val="5B4C27FD"/>
    <w:rsid w:val="5B5419FF"/>
    <w:rsid w:val="5B835E40"/>
    <w:rsid w:val="5B843A1C"/>
    <w:rsid w:val="5B873E3F"/>
    <w:rsid w:val="5B90055D"/>
    <w:rsid w:val="5BB0023B"/>
    <w:rsid w:val="5BD37603"/>
    <w:rsid w:val="5BDA0E05"/>
    <w:rsid w:val="5BEC0CF4"/>
    <w:rsid w:val="5C0004B4"/>
    <w:rsid w:val="5C00077E"/>
    <w:rsid w:val="5C01606D"/>
    <w:rsid w:val="5C02690E"/>
    <w:rsid w:val="5C1271C4"/>
    <w:rsid w:val="5C196DA7"/>
    <w:rsid w:val="5C2A048C"/>
    <w:rsid w:val="5C3635D1"/>
    <w:rsid w:val="5C481B0C"/>
    <w:rsid w:val="5C4E46A0"/>
    <w:rsid w:val="5C615072"/>
    <w:rsid w:val="5C7D4023"/>
    <w:rsid w:val="5C7D4A92"/>
    <w:rsid w:val="5C7F0CFE"/>
    <w:rsid w:val="5C80234E"/>
    <w:rsid w:val="5C8A680C"/>
    <w:rsid w:val="5C8D1BE7"/>
    <w:rsid w:val="5C904CB9"/>
    <w:rsid w:val="5C9F03FC"/>
    <w:rsid w:val="5C9F30C9"/>
    <w:rsid w:val="5CB07DD9"/>
    <w:rsid w:val="5CD2031B"/>
    <w:rsid w:val="5CF26D5D"/>
    <w:rsid w:val="5CF92A4F"/>
    <w:rsid w:val="5CFB2822"/>
    <w:rsid w:val="5D0621E4"/>
    <w:rsid w:val="5D0C4701"/>
    <w:rsid w:val="5D0F0395"/>
    <w:rsid w:val="5D1340B8"/>
    <w:rsid w:val="5D221076"/>
    <w:rsid w:val="5D296EBB"/>
    <w:rsid w:val="5D2D2508"/>
    <w:rsid w:val="5D384E12"/>
    <w:rsid w:val="5D397964"/>
    <w:rsid w:val="5D3B58B9"/>
    <w:rsid w:val="5D5A391C"/>
    <w:rsid w:val="5D5F10C0"/>
    <w:rsid w:val="5D7134BD"/>
    <w:rsid w:val="5D78495C"/>
    <w:rsid w:val="5D81328C"/>
    <w:rsid w:val="5D852344"/>
    <w:rsid w:val="5D891B7B"/>
    <w:rsid w:val="5D964551"/>
    <w:rsid w:val="5DAD38EE"/>
    <w:rsid w:val="5DBD2A96"/>
    <w:rsid w:val="5DC505E5"/>
    <w:rsid w:val="5DCA41FA"/>
    <w:rsid w:val="5DD72166"/>
    <w:rsid w:val="5DDB2B96"/>
    <w:rsid w:val="5DE11C39"/>
    <w:rsid w:val="5E006862"/>
    <w:rsid w:val="5E0207B9"/>
    <w:rsid w:val="5E1834A1"/>
    <w:rsid w:val="5E227B93"/>
    <w:rsid w:val="5E261785"/>
    <w:rsid w:val="5E337FF2"/>
    <w:rsid w:val="5E341674"/>
    <w:rsid w:val="5E343D6A"/>
    <w:rsid w:val="5E415A77"/>
    <w:rsid w:val="5E4500B2"/>
    <w:rsid w:val="5E4A7017"/>
    <w:rsid w:val="5E552BBA"/>
    <w:rsid w:val="5E5D201D"/>
    <w:rsid w:val="5E611C10"/>
    <w:rsid w:val="5E6E102A"/>
    <w:rsid w:val="5E7A0F3F"/>
    <w:rsid w:val="5E843D62"/>
    <w:rsid w:val="5E87F601"/>
    <w:rsid w:val="5EA762EA"/>
    <w:rsid w:val="5EB57407"/>
    <w:rsid w:val="5EC045F3"/>
    <w:rsid w:val="5EC42B19"/>
    <w:rsid w:val="5EDA6F6D"/>
    <w:rsid w:val="5EFC7377"/>
    <w:rsid w:val="5F003B12"/>
    <w:rsid w:val="5F06174D"/>
    <w:rsid w:val="5F192F04"/>
    <w:rsid w:val="5F247292"/>
    <w:rsid w:val="5F286F77"/>
    <w:rsid w:val="5F37766E"/>
    <w:rsid w:val="5F3A3602"/>
    <w:rsid w:val="5F3D3EB1"/>
    <w:rsid w:val="5F45733B"/>
    <w:rsid w:val="5F6277C6"/>
    <w:rsid w:val="5F677827"/>
    <w:rsid w:val="5F69359F"/>
    <w:rsid w:val="5F6D0B1D"/>
    <w:rsid w:val="5F773417"/>
    <w:rsid w:val="5F840C85"/>
    <w:rsid w:val="5F8623A3"/>
    <w:rsid w:val="5F8A3F77"/>
    <w:rsid w:val="5F8D0B82"/>
    <w:rsid w:val="5F8F74AA"/>
    <w:rsid w:val="5F9D61ED"/>
    <w:rsid w:val="5FA42567"/>
    <w:rsid w:val="5FBF0F0E"/>
    <w:rsid w:val="5FBF1411"/>
    <w:rsid w:val="5FC02406"/>
    <w:rsid w:val="5FCC5339"/>
    <w:rsid w:val="5FD255E8"/>
    <w:rsid w:val="5FE34A5B"/>
    <w:rsid w:val="5FFE1E36"/>
    <w:rsid w:val="60095AF0"/>
    <w:rsid w:val="600A4D82"/>
    <w:rsid w:val="600C654D"/>
    <w:rsid w:val="60114DD6"/>
    <w:rsid w:val="60206DA2"/>
    <w:rsid w:val="60232584"/>
    <w:rsid w:val="60401F8B"/>
    <w:rsid w:val="604065EA"/>
    <w:rsid w:val="604223DA"/>
    <w:rsid w:val="604A1623"/>
    <w:rsid w:val="6050675C"/>
    <w:rsid w:val="605D7816"/>
    <w:rsid w:val="605E50CE"/>
    <w:rsid w:val="605E77BD"/>
    <w:rsid w:val="6065645C"/>
    <w:rsid w:val="606E61E9"/>
    <w:rsid w:val="607330CE"/>
    <w:rsid w:val="607B5C80"/>
    <w:rsid w:val="60825176"/>
    <w:rsid w:val="609F2AC4"/>
    <w:rsid w:val="60A32AE1"/>
    <w:rsid w:val="60A54FD3"/>
    <w:rsid w:val="60C05441"/>
    <w:rsid w:val="60D80176"/>
    <w:rsid w:val="60E76E71"/>
    <w:rsid w:val="60F31CBA"/>
    <w:rsid w:val="60F71BD3"/>
    <w:rsid w:val="60FA2EE8"/>
    <w:rsid w:val="61054A27"/>
    <w:rsid w:val="610A52BC"/>
    <w:rsid w:val="61162567"/>
    <w:rsid w:val="611D2366"/>
    <w:rsid w:val="6121125D"/>
    <w:rsid w:val="61330309"/>
    <w:rsid w:val="6138071B"/>
    <w:rsid w:val="61421856"/>
    <w:rsid w:val="614442C4"/>
    <w:rsid w:val="615207C8"/>
    <w:rsid w:val="615227C4"/>
    <w:rsid w:val="61654E3F"/>
    <w:rsid w:val="61665FE8"/>
    <w:rsid w:val="617410CB"/>
    <w:rsid w:val="617A5F38"/>
    <w:rsid w:val="6182292A"/>
    <w:rsid w:val="618A35AD"/>
    <w:rsid w:val="618C17C7"/>
    <w:rsid w:val="61942060"/>
    <w:rsid w:val="619F7F92"/>
    <w:rsid w:val="61B37CD9"/>
    <w:rsid w:val="61B72CE8"/>
    <w:rsid w:val="61E84C4F"/>
    <w:rsid w:val="61F94C26"/>
    <w:rsid w:val="62000E56"/>
    <w:rsid w:val="620104A1"/>
    <w:rsid w:val="62063949"/>
    <w:rsid w:val="620E40BA"/>
    <w:rsid w:val="6213563A"/>
    <w:rsid w:val="621962AB"/>
    <w:rsid w:val="62210161"/>
    <w:rsid w:val="622240E6"/>
    <w:rsid w:val="62282C9B"/>
    <w:rsid w:val="623A0EAA"/>
    <w:rsid w:val="6249085B"/>
    <w:rsid w:val="624F3E49"/>
    <w:rsid w:val="62632286"/>
    <w:rsid w:val="62885958"/>
    <w:rsid w:val="629F6831"/>
    <w:rsid w:val="62AE3B94"/>
    <w:rsid w:val="62C90F25"/>
    <w:rsid w:val="62D84CC4"/>
    <w:rsid w:val="62DB3DBE"/>
    <w:rsid w:val="62DB47B4"/>
    <w:rsid w:val="62E70783"/>
    <w:rsid w:val="62F40B65"/>
    <w:rsid w:val="62F51D1A"/>
    <w:rsid w:val="62FC2CFE"/>
    <w:rsid w:val="630040E0"/>
    <w:rsid w:val="63024505"/>
    <w:rsid w:val="63027A37"/>
    <w:rsid w:val="630628CB"/>
    <w:rsid w:val="63161C90"/>
    <w:rsid w:val="63416D0D"/>
    <w:rsid w:val="6343709C"/>
    <w:rsid w:val="63535B4C"/>
    <w:rsid w:val="635600A5"/>
    <w:rsid w:val="635B1DB5"/>
    <w:rsid w:val="63624ED5"/>
    <w:rsid w:val="63652B9B"/>
    <w:rsid w:val="63711FED"/>
    <w:rsid w:val="63755A13"/>
    <w:rsid w:val="63880DDC"/>
    <w:rsid w:val="638D750D"/>
    <w:rsid w:val="63A70B3A"/>
    <w:rsid w:val="63AC6CC0"/>
    <w:rsid w:val="63B07EEF"/>
    <w:rsid w:val="63BA10DD"/>
    <w:rsid w:val="63DD0B1A"/>
    <w:rsid w:val="63E43B3C"/>
    <w:rsid w:val="63E902B0"/>
    <w:rsid w:val="63ED479F"/>
    <w:rsid w:val="63ED595E"/>
    <w:rsid w:val="64055776"/>
    <w:rsid w:val="641461CF"/>
    <w:rsid w:val="64240056"/>
    <w:rsid w:val="642F26E9"/>
    <w:rsid w:val="643E143A"/>
    <w:rsid w:val="64491666"/>
    <w:rsid w:val="6449313E"/>
    <w:rsid w:val="644944F5"/>
    <w:rsid w:val="64495FE5"/>
    <w:rsid w:val="6454268D"/>
    <w:rsid w:val="645B3DFE"/>
    <w:rsid w:val="647C4CCB"/>
    <w:rsid w:val="647D5D78"/>
    <w:rsid w:val="648B6EEF"/>
    <w:rsid w:val="648E281E"/>
    <w:rsid w:val="64C158BF"/>
    <w:rsid w:val="64CE2EAA"/>
    <w:rsid w:val="64E35BA2"/>
    <w:rsid w:val="64EF325A"/>
    <w:rsid w:val="64F90675"/>
    <w:rsid w:val="651E4B62"/>
    <w:rsid w:val="65202952"/>
    <w:rsid w:val="6523659C"/>
    <w:rsid w:val="6534606B"/>
    <w:rsid w:val="653B47C5"/>
    <w:rsid w:val="653C3090"/>
    <w:rsid w:val="65417171"/>
    <w:rsid w:val="654F78F7"/>
    <w:rsid w:val="65854376"/>
    <w:rsid w:val="658767BE"/>
    <w:rsid w:val="65892531"/>
    <w:rsid w:val="65901886"/>
    <w:rsid w:val="65995BCE"/>
    <w:rsid w:val="659D6878"/>
    <w:rsid w:val="65A44FD7"/>
    <w:rsid w:val="65AC59B4"/>
    <w:rsid w:val="65D606DA"/>
    <w:rsid w:val="65EC0485"/>
    <w:rsid w:val="66133D90"/>
    <w:rsid w:val="66195831"/>
    <w:rsid w:val="661C2A8A"/>
    <w:rsid w:val="661D1A42"/>
    <w:rsid w:val="661F70AE"/>
    <w:rsid w:val="66286A3B"/>
    <w:rsid w:val="662E75B1"/>
    <w:rsid w:val="66342C2E"/>
    <w:rsid w:val="663E784C"/>
    <w:rsid w:val="663F4950"/>
    <w:rsid w:val="66552ACF"/>
    <w:rsid w:val="668B6A45"/>
    <w:rsid w:val="668F4233"/>
    <w:rsid w:val="66C814F3"/>
    <w:rsid w:val="66D24120"/>
    <w:rsid w:val="66EF1F08"/>
    <w:rsid w:val="671140AF"/>
    <w:rsid w:val="6716225F"/>
    <w:rsid w:val="671C000A"/>
    <w:rsid w:val="672D1356"/>
    <w:rsid w:val="672F3F24"/>
    <w:rsid w:val="67311C4A"/>
    <w:rsid w:val="673E055F"/>
    <w:rsid w:val="673E6C62"/>
    <w:rsid w:val="674A015A"/>
    <w:rsid w:val="674E7656"/>
    <w:rsid w:val="67551CE3"/>
    <w:rsid w:val="675D60DF"/>
    <w:rsid w:val="676236F6"/>
    <w:rsid w:val="676610FD"/>
    <w:rsid w:val="67780F59"/>
    <w:rsid w:val="677D22DE"/>
    <w:rsid w:val="67A22552"/>
    <w:rsid w:val="67B22DCC"/>
    <w:rsid w:val="67B67778"/>
    <w:rsid w:val="67BE7144"/>
    <w:rsid w:val="67BE71AA"/>
    <w:rsid w:val="67D85D3D"/>
    <w:rsid w:val="67D90273"/>
    <w:rsid w:val="67DE35E9"/>
    <w:rsid w:val="67DE5875"/>
    <w:rsid w:val="67E1286C"/>
    <w:rsid w:val="67E5244D"/>
    <w:rsid w:val="67E55852"/>
    <w:rsid w:val="67EB1AB4"/>
    <w:rsid w:val="67EF6BB9"/>
    <w:rsid w:val="67FA1285"/>
    <w:rsid w:val="680E73DA"/>
    <w:rsid w:val="68151FD4"/>
    <w:rsid w:val="681F15E7"/>
    <w:rsid w:val="6837248C"/>
    <w:rsid w:val="684150B9"/>
    <w:rsid w:val="68551F4F"/>
    <w:rsid w:val="68574602"/>
    <w:rsid w:val="6865279D"/>
    <w:rsid w:val="68690E91"/>
    <w:rsid w:val="687C10C9"/>
    <w:rsid w:val="68802085"/>
    <w:rsid w:val="688356D2"/>
    <w:rsid w:val="68840C16"/>
    <w:rsid w:val="68876EFB"/>
    <w:rsid w:val="68880F3A"/>
    <w:rsid w:val="68884654"/>
    <w:rsid w:val="68944676"/>
    <w:rsid w:val="689B6EBF"/>
    <w:rsid w:val="689D59C0"/>
    <w:rsid w:val="689F444F"/>
    <w:rsid w:val="68A33FC6"/>
    <w:rsid w:val="68B16022"/>
    <w:rsid w:val="68B35572"/>
    <w:rsid w:val="68B82B11"/>
    <w:rsid w:val="68B858B8"/>
    <w:rsid w:val="68B96DBB"/>
    <w:rsid w:val="68CA2805"/>
    <w:rsid w:val="68E937A3"/>
    <w:rsid w:val="6908045D"/>
    <w:rsid w:val="691E0EE4"/>
    <w:rsid w:val="69321B4A"/>
    <w:rsid w:val="6937148E"/>
    <w:rsid w:val="693764BC"/>
    <w:rsid w:val="693E15D3"/>
    <w:rsid w:val="69401815"/>
    <w:rsid w:val="69484F69"/>
    <w:rsid w:val="69627681"/>
    <w:rsid w:val="69674FF3"/>
    <w:rsid w:val="696A2092"/>
    <w:rsid w:val="69720C67"/>
    <w:rsid w:val="6977531D"/>
    <w:rsid w:val="69790883"/>
    <w:rsid w:val="698D4023"/>
    <w:rsid w:val="699B59ED"/>
    <w:rsid w:val="699E02E9"/>
    <w:rsid w:val="69A004FC"/>
    <w:rsid w:val="69B83AA1"/>
    <w:rsid w:val="69BB6DF8"/>
    <w:rsid w:val="69C40F37"/>
    <w:rsid w:val="69CC2BFF"/>
    <w:rsid w:val="69D132AC"/>
    <w:rsid w:val="69E30726"/>
    <w:rsid w:val="69EF33C0"/>
    <w:rsid w:val="69EF78EB"/>
    <w:rsid w:val="69FD55B8"/>
    <w:rsid w:val="6A006552"/>
    <w:rsid w:val="6A0B1C62"/>
    <w:rsid w:val="6A0C16F7"/>
    <w:rsid w:val="6A130CD7"/>
    <w:rsid w:val="6A2406C8"/>
    <w:rsid w:val="6A442509"/>
    <w:rsid w:val="6A634570"/>
    <w:rsid w:val="6A6C10E4"/>
    <w:rsid w:val="6A6D7501"/>
    <w:rsid w:val="6A7554EE"/>
    <w:rsid w:val="6A7D43A3"/>
    <w:rsid w:val="6AA933EA"/>
    <w:rsid w:val="6AC271BE"/>
    <w:rsid w:val="6ACE3875"/>
    <w:rsid w:val="6AD77F57"/>
    <w:rsid w:val="6ADB605C"/>
    <w:rsid w:val="6ADE0BD1"/>
    <w:rsid w:val="6AE96859"/>
    <w:rsid w:val="6AED777A"/>
    <w:rsid w:val="6B147746"/>
    <w:rsid w:val="6B1B3BF9"/>
    <w:rsid w:val="6B2021C6"/>
    <w:rsid w:val="6B24787C"/>
    <w:rsid w:val="6B3D3BD5"/>
    <w:rsid w:val="6B3D3FDE"/>
    <w:rsid w:val="6B573233"/>
    <w:rsid w:val="6B5B46E4"/>
    <w:rsid w:val="6B5B6274"/>
    <w:rsid w:val="6B635123"/>
    <w:rsid w:val="6B935D53"/>
    <w:rsid w:val="6B9B011C"/>
    <w:rsid w:val="6BA0301F"/>
    <w:rsid w:val="6BA73DCD"/>
    <w:rsid w:val="6BBE4C73"/>
    <w:rsid w:val="6BCC507E"/>
    <w:rsid w:val="6BCD06D0"/>
    <w:rsid w:val="6BD43E22"/>
    <w:rsid w:val="6BFD579B"/>
    <w:rsid w:val="6C08629F"/>
    <w:rsid w:val="6C132CAA"/>
    <w:rsid w:val="6C196F71"/>
    <w:rsid w:val="6C1B3E73"/>
    <w:rsid w:val="6C226FCB"/>
    <w:rsid w:val="6C2A5301"/>
    <w:rsid w:val="6C31226F"/>
    <w:rsid w:val="6C3D1CF3"/>
    <w:rsid w:val="6C452A9D"/>
    <w:rsid w:val="6C552F0B"/>
    <w:rsid w:val="6C571AC0"/>
    <w:rsid w:val="6C74077D"/>
    <w:rsid w:val="6C781944"/>
    <w:rsid w:val="6C8C67B7"/>
    <w:rsid w:val="6C9C3206"/>
    <w:rsid w:val="6C9D744C"/>
    <w:rsid w:val="6CA34196"/>
    <w:rsid w:val="6CBD10F1"/>
    <w:rsid w:val="6CD231EE"/>
    <w:rsid w:val="6CFC34E0"/>
    <w:rsid w:val="6D057587"/>
    <w:rsid w:val="6D161F81"/>
    <w:rsid w:val="6D167928"/>
    <w:rsid w:val="6D1A6A3D"/>
    <w:rsid w:val="6D252683"/>
    <w:rsid w:val="6D26299B"/>
    <w:rsid w:val="6D3344AA"/>
    <w:rsid w:val="6D382A06"/>
    <w:rsid w:val="6D3A657B"/>
    <w:rsid w:val="6D3E42BD"/>
    <w:rsid w:val="6D4772EC"/>
    <w:rsid w:val="6D4E2697"/>
    <w:rsid w:val="6D5910F7"/>
    <w:rsid w:val="6D7777CF"/>
    <w:rsid w:val="6D9078AF"/>
    <w:rsid w:val="6D91263F"/>
    <w:rsid w:val="6D9D6E0A"/>
    <w:rsid w:val="6DA64BBC"/>
    <w:rsid w:val="6DAA3FEF"/>
    <w:rsid w:val="6DC0172B"/>
    <w:rsid w:val="6DCB690C"/>
    <w:rsid w:val="6DCE2DC4"/>
    <w:rsid w:val="6DCE3AA5"/>
    <w:rsid w:val="6DD41A5B"/>
    <w:rsid w:val="6DEC3D19"/>
    <w:rsid w:val="6DF43C2E"/>
    <w:rsid w:val="6DF51CA3"/>
    <w:rsid w:val="6E001573"/>
    <w:rsid w:val="6E020BA6"/>
    <w:rsid w:val="6E025D77"/>
    <w:rsid w:val="6E174662"/>
    <w:rsid w:val="6E23380B"/>
    <w:rsid w:val="6E335A77"/>
    <w:rsid w:val="6E4316CA"/>
    <w:rsid w:val="6E586021"/>
    <w:rsid w:val="6E5F44EB"/>
    <w:rsid w:val="6E8335BD"/>
    <w:rsid w:val="6E8E12EF"/>
    <w:rsid w:val="6E8E4DD0"/>
    <w:rsid w:val="6E972936"/>
    <w:rsid w:val="6EA463A2"/>
    <w:rsid w:val="6EAA39A2"/>
    <w:rsid w:val="6ED446C5"/>
    <w:rsid w:val="6EDC5B3C"/>
    <w:rsid w:val="6EEA72AC"/>
    <w:rsid w:val="6F045092"/>
    <w:rsid w:val="6F2531F7"/>
    <w:rsid w:val="6F2A7D94"/>
    <w:rsid w:val="6F3D07AE"/>
    <w:rsid w:val="6F576E1E"/>
    <w:rsid w:val="6F6563A0"/>
    <w:rsid w:val="6F81463D"/>
    <w:rsid w:val="6F8331F1"/>
    <w:rsid w:val="6F8A5317"/>
    <w:rsid w:val="6F926644"/>
    <w:rsid w:val="6F9C52CB"/>
    <w:rsid w:val="6FAE1A09"/>
    <w:rsid w:val="6FBE238B"/>
    <w:rsid w:val="6FC5234C"/>
    <w:rsid w:val="6FD75BF8"/>
    <w:rsid w:val="6FDD4B42"/>
    <w:rsid w:val="6FE253D4"/>
    <w:rsid w:val="700417EE"/>
    <w:rsid w:val="70125E9D"/>
    <w:rsid w:val="7013062A"/>
    <w:rsid w:val="701A2DBF"/>
    <w:rsid w:val="70294DB1"/>
    <w:rsid w:val="7054787E"/>
    <w:rsid w:val="707723D0"/>
    <w:rsid w:val="708A4432"/>
    <w:rsid w:val="70976100"/>
    <w:rsid w:val="70AF5725"/>
    <w:rsid w:val="70B50C6B"/>
    <w:rsid w:val="70C40F7D"/>
    <w:rsid w:val="70CF2615"/>
    <w:rsid w:val="70D82475"/>
    <w:rsid w:val="70DF1913"/>
    <w:rsid w:val="70EE5FFA"/>
    <w:rsid w:val="70F5661B"/>
    <w:rsid w:val="70FF43CD"/>
    <w:rsid w:val="710214AD"/>
    <w:rsid w:val="710F3025"/>
    <w:rsid w:val="7112169D"/>
    <w:rsid w:val="711B7CC6"/>
    <w:rsid w:val="71360107"/>
    <w:rsid w:val="7137174F"/>
    <w:rsid w:val="713B688E"/>
    <w:rsid w:val="713E5CD4"/>
    <w:rsid w:val="7145658E"/>
    <w:rsid w:val="71594881"/>
    <w:rsid w:val="717790AD"/>
    <w:rsid w:val="71946BA2"/>
    <w:rsid w:val="71B17A61"/>
    <w:rsid w:val="71D43752"/>
    <w:rsid w:val="71DB20DB"/>
    <w:rsid w:val="71F1796A"/>
    <w:rsid w:val="71F17B50"/>
    <w:rsid w:val="71F61881"/>
    <w:rsid w:val="72050057"/>
    <w:rsid w:val="72154626"/>
    <w:rsid w:val="72180A57"/>
    <w:rsid w:val="721A78F0"/>
    <w:rsid w:val="72262B5D"/>
    <w:rsid w:val="72283FF7"/>
    <w:rsid w:val="722E7212"/>
    <w:rsid w:val="723A0474"/>
    <w:rsid w:val="72522CC7"/>
    <w:rsid w:val="7257024F"/>
    <w:rsid w:val="725923E4"/>
    <w:rsid w:val="72734A09"/>
    <w:rsid w:val="72864BF7"/>
    <w:rsid w:val="729023FC"/>
    <w:rsid w:val="729F75AC"/>
    <w:rsid w:val="72A367A4"/>
    <w:rsid w:val="72C54B39"/>
    <w:rsid w:val="72F23E71"/>
    <w:rsid w:val="73221F8B"/>
    <w:rsid w:val="732950C8"/>
    <w:rsid w:val="733F5AA2"/>
    <w:rsid w:val="73463ECB"/>
    <w:rsid w:val="73463FFB"/>
    <w:rsid w:val="73467A28"/>
    <w:rsid w:val="737547B1"/>
    <w:rsid w:val="73AC1DE4"/>
    <w:rsid w:val="73C0646E"/>
    <w:rsid w:val="73CA0659"/>
    <w:rsid w:val="73CE18B4"/>
    <w:rsid w:val="73F800F2"/>
    <w:rsid w:val="742222F5"/>
    <w:rsid w:val="742A6EC9"/>
    <w:rsid w:val="742B35F1"/>
    <w:rsid w:val="743C4652"/>
    <w:rsid w:val="743D6C54"/>
    <w:rsid w:val="74476126"/>
    <w:rsid w:val="74706664"/>
    <w:rsid w:val="747800B5"/>
    <w:rsid w:val="747F3682"/>
    <w:rsid w:val="748F3516"/>
    <w:rsid w:val="749C4185"/>
    <w:rsid w:val="74A0760B"/>
    <w:rsid w:val="74A53C41"/>
    <w:rsid w:val="74B15375"/>
    <w:rsid w:val="74B23D8F"/>
    <w:rsid w:val="74B575A8"/>
    <w:rsid w:val="74B66E2F"/>
    <w:rsid w:val="74BD6CB3"/>
    <w:rsid w:val="74CE1D48"/>
    <w:rsid w:val="74D86DBA"/>
    <w:rsid w:val="74E120FE"/>
    <w:rsid w:val="74F506C7"/>
    <w:rsid w:val="75007BB6"/>
    <w:rsid w:val="75067759"/>
    <w:rsid w:val="75082E7D"/>
    <w:rsid w:val="751752C5"/>
    <w:rsid w:val="75241F9B"/>
    <w:rsid w:val="752E6DCD"/>
    <w:rsid w:val="752F02A1"/>
    <w:rsid w:val="753344AB"/>
    <w:rsid w:val="753931F6"/>
    <w:rsid w:val="753D4E5A"/>
    <w:rsid w:val="7551380D"/>
    <w:rsid w:val="75600BE5"/>
    <w:rsid w:val="7564475C"/>
    <w:rsid w:val="75752846"/>
    <w:rsid w:val="7583797F"/>
    <w:rsid w:val="758608CE"/>
    <w:rsid w:val="75900CEC"/>
    <w:rsid w:val="75A90F84"/>
    <w:rsid w:val="75AE5430"/>
    <w:rsid w:val="75B378C2"/>
    <w:rsid w:val="75D20F1D"/>
    <w:rsid w:val="75DA2C18"/>
    <w:rsid w:val="75DE06A5"/>
    <w:rsid w:val="75E02BD6"/>
    <w:rsid w:val="75E0564B"/>
    <w:rsid w:val="75F54412"/>
    <w:rsid w:val="76080F69"/>
    <w:rsid w:val="76086611"/>
    <w:rsid w:val="761D08E0"/>
    <w:rsid w:val="761D65A2"/>
    <w:rsid w:val="762322A2"/>
    <w:rsid w:val="765D347C"/>
    <w:rsid w:val="765E152C"/>
    <w:rsid w:val="76683AF9"/>
    <w:rsid w:val="767E2641"/>
    <w:rsid w:val="76826699"/>
    <w:rsid w:val="768833D7"/>
    <w:rsid w:val="7695568D"/>
    <w:rsid w:val="76C87133"/>
    <w:rsid w:val="76CD08D5"/>
    <w:rsid w:val="76D75AA1"/>
    <w:rsid w:val="76DB4B92"/>
    <w:rsid w:val="77052AA4"/>
    <w:rsid w:val="77136511"/>
    <w:rsid w:val="77204A34"/>
    <w:rsid w:val="772B1C5E"/>
    <w:rsid w:val="77340A39"/>
    <w:rsid w:val="77351FD0"/>
    <w:rsid w:val="77472422"/>
    <w:rsid w:val="774A7995"/>
    <w:rsid w:val="775A7F45"/>
    <w:rsid w:val="777F31F2"/>
    <w:rsid w:val="7785391A"/>
    <w:rsid w:val="77945088"/>
    <w:rsid w:val="77A80CB1"/>
    <w:rsid w:val="77AB5943"/>
    <w:rsid w:val="77BA4E88"/>
    <w:rsid w:val="77D1700D"/>
    <w:rsid w:val="77EC04CC"/>
    <w:rsid w:val="78056103"/>
    <w:rsid w:val="780D4FB8"/>
    <w:rsid w:val="78130758"/>
    <w:rsid w:val="78216CB5"/>
    <w:rsid w:val="78232A2D"/>
    <w:rsid w:val="782347DB"/>
    <w:rsid w:val="7823599A"/>
    <w:rsid w:val="782729C5"/>
    <w:rsid w:val="78376D36"/>
    <w:rsid w:val="783F0EE9"/>
    <w:rsid w:val="785901FD"/>
    <w:rsid w:val="787119EB"/>
    <w:rsid w:val="78727511"/>
    <w:rsid w:val="78731750"/>
    <w:rsid w:val="78775729"/>
    <w:rsid w:val="78860FAB"/>
    <w:rsid w:val="78874D6A"/>
    <w:rsid w:val="789F1501"/>
    <w:rsid w:val="78A06008"/>
    <w:rsid w:val="78A314FC"/>
    <w:rsid w:val="78A42DB0"/>
    <w:rsid w:val="78A656AB"/>
    <w:rsid w:val="78AD3E82"/>
    <w:rsid w:val="78B2245C"/>
    <w:rsid w:val="78C134BB"/>
    <w:rsid w:val="78C25DA2"/>
    <w:rsid w:val="78CF22B3"/>
    <w:rsid w:val="78E172CC"/>
    <w:rsid w:val="78EA1D1F"/>
    <w:rsid w:val="78FD700F"/>
    <w:rsid w:val="79033B9C"/>
    <w:rsid w:val="7904172F"/>
    <w:rsid w:val="790F7E27"/>
    <w:rsid w:val="792A231A"/>
    <w:rsid w:val="79316829"/>
    <w:rsid w:val="793B7903"/>
    <w:rsid w:val="79534C4C"/>
    <w:rsid w:val="796C0C40"/>
    <w:rsid w:val="796C4DDB"/>
    <w:rsid w:val="797E66A9"/>
    <w:rsid w:val="79814830"/>
    <w:rsid w:val="798518A4"/>
    <w:rsid w:val="7986452E"/>
    <w:rsid w:val="79957FC1"/>
    <w:rsid w:val="799E3870"/>
    <w:rsid w:val="79A25BD4"/>
    <w:rsid w:val="79A97383"/>
    <w:rsid w:val="79B5042F"/>
    <w:rsid w:val="79B565E2"/>
    <w:rsid w:val="79C86838"/>
    <w:rsid w:val="79E27E8B"/>
    <w:rsid w:val="79E44E4D"/>
    <w:rsid w:val="79F10EE3"/>
    <w:rsid w:val="79F850CE"/>
    <w:rsid w:val="79FD443C"/>
    <w:rsid w:val="79FFF56E"/>
    <w:rsid w:val="7A036672"/>
    <w:rsid w:val="7A0423EA"/>
    <w:rsid w:val="7A1D1975"/>
    <w:rsid w:val="7A305927"/>
    <w:rsid w:val="7A3C008C"/>
    <w:rsid w:val="7A3E5150"/>
    <w:rsid w:val="7A4670D6"/>
    <w:rsid w:val="7A534B63"/>
    <w:rsid w:val="7A5E7D4D"/>
    <w:rsid w:val="7A615382"/>
    <w:rsid w:val="7A67303B"/>
    <w:rsid w:val="7A7430CC"/>
    <w:rsid w:val="7A907FCF"/>
    <w:rsid w:val="7A9D67A7"/>
    <w:rsid w:val="7AAB1D04"/>
    <w:rsid w:val="7AB651E7"/>
    <w:rsid w:val="7ABA4368"/>
    <w:rsid w:val="7AD038B6"/>
    <w:rsid w:val="7AD05746"/>
    <w:rsid w:val="7AD93877"/>
    <w:rsid w:val="7B0F0D14"/>
    <w:rsid w:val="7B1032F0"/>
    <w:rsid w:val="7B256ABC"/>
    <w:rsid w:val="7B257FFD"/>
    <w:rsid w:val="7B333C04"/>
    <w:rsid w:val="7B343476"/>
    <w:rsid w:val="7B4927AB"/>
    <w:rsid w:val="7B5A1B28"/>
    <w:rsid w:val="7B5A2978"/>
    <w:rsid w:val="7B5A7E4C"/>
    <w:rsid w:val="7B5E33BF"/>
    <w:rsid w:val="7B667AF9"/>
    <w:rsid w:val="7B733820"/>
    <w:rsid w:val="7B7468F8"/>
    <w:rsid w:val="7B803CF3"/>
    <w:rsid w:val="7B845E33"/>
    <w:rsid w:val="7B922569"/>
    <w:rsid w:val="7BBD0AA3"/>
    <w:rsid w:val="7BD61B65"/>
    <w:rsid w:val="7BEE0103"/>
    <w:rsid w:val="7BF1074D"/>
    <w:rsid w:val="7BF2233F"/>
    <w:rsid w:val="7C0A0FE4"/>
    <w:rsid w:val="7C10151B"/>
    <w:rsid w:val="7C1728A9"/>
    <w:rsid w:val="7C1F0B6F"/>
    <w:rsid w:val="7C254906"/>
    <w:rsid w:val="7C2634EC"/>
    <w:rsid w:val="7C4613A4"/>
    <w:rsid w:val="7C590818"/>
    <w:rsid w:val="7C6E3A20"/>
    <w:rsid w:val="7C7C10F6"/>
    <w:rsid w:val="7C7C6DB0"/>
    <w:rsid w:val="7C7E1AF1"/>
    <w:rsid w:val="7C835849"/>
    <w:rsid w:val="7C8362CC"/>
    <w:rsid w:val="7C853BEA"/>
    <w:rsid w:val="7C881368"/>
    <w:rsid w:val="7C8C2AE3"/>
    <w:rsid w:val="7C9107CA"/>
    <w:rsid w:val="7CA518D8"/>
    <w:rsid w:val="7CAE4AB6"/>
    <w:rsid w:val="7CC34C7A"/>
    <w:rsid w:val="7CC3658D"/>
    <w:rsid w:val="7CC55E61"/>
    <w:rsid w:val="7CC60F7E"/>
    <w:rsid w:val="7CE27788"/>
    <w:rsid w:val="7CE502B1"/>
    <w:rsid w:val="7CEF3F9C"/>
    <w:rsid w:val="7D067DC0"/>
    <w:rsid w:val="7D0A0BA4"/>
    <w:rsid w:val="7D0C32F1"/>
    <w:rsid w:val="7D0D15B6"/>
    <w:rsid w:val="7D0F408D"/>
    <w:rsid w:val="7D112351"/>
    <w:rsid w:val="7D1E30DE"/>
    <w:rsid w:val="7D24527D"/>
    <w:rsid w:val="7D2A3A55"/>
    <w:rsid w:val="7D491C6C"/>
    <w:rsid w:val="7D4E2E80"/>
    <w:rsid w:val="7D5429C0"/>
    <w:rsid w:val="7D5C301D"/>
    <w:rsid w:val="7D697134"/>
    <w:rsid w:val="7D6A6A08"/>
    <w:rsid w:val="7D6E6D43"/>
    <w:rsid w:val="7D83129F"/>
    <w:rsid w:val="7D892787"/>
    <w:rsid w:val="7D9C5E3A"/>
    <w:rsid w:val="7D9D6DDE"/>
    <w:rsid w:val="7DA56AAE"/>
    <w:rsid w:val="7DB57A34"/>
    <w:rsid w:val="7DBF4025"/>
    <w:rsid w:val="7DD00F61"/>
    <w:rsid w:val="7DE42AC4"/>
    <w:rsid w:val="7DE60973"/>
    <w:rsid w:val="7DED1230"/>
    <w:rsid w:val="7DEF0916"/>
    <w:rsid w:val="7DF06F0E"/>
    <w:rsid w:val="7DFF759B"/>
    <w:rsid w:val="7E086B4E"/>
    <w:rsid w:val="7E1C603C"/>
    <w:rsid w:val="7E1E5218"/>
    <w:rsid w:val="7E1F1740"/>
    <w:rsid w:val="7E2442BD"/>
    <w:rsid w:val="7E25566B"/>
    <w:rsid w:val="7E2C14D8"/>
    <w:rsid w:val="7E3037AE"/>
    <w:rsid w:val="7E413C0D"/>
    <w:rsid w:val="7E61605D"/>
    <w:rsid w:val="7E8D0C00"/>
    <w:rsid w:val="7E957AB5"/>
    <w:rsid w:val="7E9A4E1F"/>
    <w:rsid w:val="7E9F0EEE"/>
    <w:rsid w:val="7EA7723A"/>
    <w:rsid w:val="7EAB10E4"/>
    <w:rsid w:val="7EAF501B"/>
    <w:rsid w:val="7ED344FD"/>
    <w:rsid w:val="7EE36A72"/>
    <w:rsid w:val="7EE50A3C"/>
    <w:rsid w:val="7EE5313E"/>
    <w:rsid w:val="7EEF4B39"/>
    <w:rsid w:val="7EF56FBB"/>
    <w:rsid w:val="7EFE1AFE"/>
    <w:rsid w:val="7F0768EB"/>
    <w:rsid w:val="7F0D7F93"/>
    <w:rsid w:val="7F143BEC"/>
    <w:rsid w:val="7F18149D"/>
    <w:rsid w:val="7F1C16AA"/>
    <w:rsid w:val="7F2F0755"/>
    <w:rsid w:val="7F3057A9"/>
    <w:rsid w:val="7F431716"/>
    <w:rsid w:val="7F4B5A22"/>
    <w:rsid w:val="7F5C371A"/>
    <w:rsid w:val="7F65392B"/>
    <w:rsid w:val="7F6F47AA"/>
    <w:rsid w:val="7F715AF2"/>
    <w:rsid w:val="7F886E69"/>
    <w:rsid w:val="7F9047D2"/>
    <w:rsid w:val="7F97027D"/>
    <w:rsid w:val="7FAD75B9"/>
    <w:rsid w:val="7FB17429"/>
    <w:rsid w:val="7FE42C4B"/>
    <w:rsid w:val="7FF43E95"/>
    <w:rsid w:val="BB7FA927"/>
    <w:rsid w:val="BFFD4238"/>
    <w:rsid w:val="CDDFC4BE"/>
    <w:rsid w:val="DEFF8383"/>
    <w:rsid w:val="ED7EB5FD"/>
    <w:rsid w:val="EE77AFA3"/>
    <w:rsid w:val="EFFF84E0"/>
    <w:rsid w:val="F5FFD31F"/>
    <w:rsid w:val="FB3D2B6A"/>
    <w:rsid w:val="FDDD20E1"/>
    <w:rsid w:val="FFBBAC7B"/>
    <w:rsid w:val="FFCF1770"/>
    <w:rsid w:val="FFFA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pPr>
    <w:rPr>
      <w:rFonts w:ascii="Times New Roman" w:hAnsi="Times New Roman" w:eastAsia="宋体" w:cs="Times New Roman"/>
      <w:kern w:val="2"/>
      <w:sz w:val="21"/>
      <w:szCs w:val="24"/>
      <w:lang w:val="en-US" w:eastAsia="zh-CN" w:bidi="ar-SA"/>
    </w:rPr>
  </w:style>
  <w:style w:type="paragraph" w:styleId="2">
    <w:name w:val="heading 1"/>
    <w:basedOn w:val="1"/>
    <w:next w:val="1"/>
    <w:link w:val="287"/>
    <w:qFormat/>
    <w:uiPriority w:val="9"/>
    <w:pPr>
      <w:numPr>
        <w:ilvl w:val="0"/>
        <w:numId w:val="1"/>
      </w:numPr>
      <w:tabs>
        <w:tab w:val="left" w:pos="432"/>
      </w:tabs>
      <w:spacing w:line="440" w:lineRule="exact"/>
      <w:ind w:firstLine="430"/>
      <w:outlineLvl w:val="0"/>
    </w:pPr>
    <w:rPr>
      <w:rFonts w:hAnsi="宋体" w:cs="宋体"/>
      <w:b/>
      <w:bCs/>
      <w:spacing w:val="1"/>
      <w:kern w:val="44"/>
      <w:sz w:val="24"/>
    </w:rPr>
  </w:style>
  <w:style w:type="paragraph" w:styleId="3">
    <w:name w:val="heading 2"/>
    <w:basedOn w:val="1"/>
    <w:next w:val="4"/>
    <w:qFormat/>
    <w:uiPriority w:val="0"/>
    <w:pPr>
      <w:keepNext/>
      <w:keepLines/>
      <w:tabs>
        <w:tab w:val="left" w:pos="432"/>
      </w:tabs>
      <w:adjustRightInd/>
      <w:spacing w:line="360" w:lineRule="auto"/>
      <w:ind w:left="432" w:hanging="432"/>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7"/>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2"/>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1"/>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2">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98"/>
    <w:qFormat/>
    <w:uiPriority w:val="0"/>
    <w:pPr>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1697"/>
      </w:tabs>
      <w:adjustRightInd/>
      <w:spacing w:after="156" w:afterLines="50"/>
      <w:ind w:left="1697" w:hanging="420"/>
    </w:pPr>
    <w:rPr>
      <w:kern w:val="0"/>
      <w:sz w:val="24"/>
      <w:szCs w:val="20"/>
    </w:rPr>
  </w:style>
  <w:style w:type="paragraph" w:styleId="14">
    <w:name w:val="List Bullet 4"/>
    <w:basedOn w:val="1"/>
    <w:unhideWhenUsed/>
    <w:qFormat/>
    <w:uiPriority w:val="99"/>
    <w:pPr>
      <w:tabs>
        <w:tab w:val="left" w:pos="432"/>
      </w:tabs>
      <w:adjustRightInd/>
      <w:spacing w:before="40" w:after="160"/>
      <w:ind w:left="432" w:hanging="432"/>
      <w:contextualSpacing/>
    </w:pPr>
    <w:rPr>
      <w:rFonts w:ascii="Cambria" w:hAnsi="Cambria" w:eastAsia="微软雅黑"/>
      <w:color w:val="595959"/>
      <w:kern w:val="20"/>
      <w:szCs w:val="20"/>
      <w:lang w:val="zh-CN"/>
    </w:rPr>
  </w:style>
  <w:style w:type="paragraph" w:styleId="15">
    <w:name w:val="List Number"/>
    <w:basedOn w:val="1"/>
    <w:qFormat/>
    <w:uiPriority w:val="0"/>
    <w:pPr>
      <w:tabs>
        <w:tab w:val="left" w:pos="390"/>
        <w:tab w:val="left" w:pos="454"/>
      </w:tabs>
      <w:adjustRightInd/>
      <w:spacing w:after="156" w:afterLines="50"/>
      <w:ind w:left="454" w:hanging="284"/>
    </w:pPr>
    <w:rPr>
      <w:kern w:val="0"/>
      <w:sz w:val="24"/>
      <w:szCs w:val="20"/>
    </w:rPr>
  </w:style>
  <w:style w:type="paragraph" w:styleId="16">
    <w:name w:val="caption"/>
    <w:basedOn w:val="1"/>
    <w:next w:val="1"/>
    <w:link w:val="234"/>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7"/>
    <w:qFormat/>
    <w:uiPriority w:val="0"/>
    <w:pPr>
      <w:shd w:val="clear" w:color="auto" w:fill="000080"/>
    </w:pPr>
  </w:style>
  <w:style w:type="paragraph" w:styleId="19">
    <w:name w:val="annotation text"/>
    <w:basedOn w:val="1"/>
    <w:link w:val="348"/>
    <w:qFormat/>
    <w:uiPriority w:val="99"/>
  </w:style>
  <w:style w:type="paragraph" w:styleId="20">
    <w:name w:val="Salutation"/>
    <w:basedOn w:val="1"/>
    <w:next w:val="1"/>
    <w:link w:val="302"/>
    <w:qFormat/>
    <w:uiPriority w:val="0"/>
    <w:rPr>
      <w:rFonts w:ascii="仿宋_GB2312" w:eastAsia="仿宋_GB2312"/>
      <w:sz w:val="28"/>
      <w:szCs w:val="20"/>
    </w:rPr>
  </w:style>
  <w:style w:type="paragraph" w:styleId="21">
    <w:name w:val="Body Text 3"/>
    <w:basedOn w:val="1"/>
    <w:link w:val="334"/>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4"/>
    <w:qFormat/>
    <w:uiPriority w:val="0"/>
    <w:pPr>
      <w:autoSpaceDE w:val="0"/>
      <w:autoSpaceDN w:val="0"/>
      <w:spacing w:line="360" w:lineRule="auto"/>
    </w:pPr>
    <w:rPr>
      <w:rFonts w:ascii="宋体" w:hAnsi="Arial" w:cs="Arial"/>
      <w:snapToGrid w:val="0"/>
      <w:sz w:val="24"/>
      <w:szCs w:val="21"/>
      <w:lang w:val="zh-CN"/>
    </w:rPr>
  </w:style>
  <w:style w:type="paragraph" w:customStyle="1" w:styleId="24">
    <w:name w:val="正文新表格fffffffffffff"/>
    <w:basedOn w:val="23"/>
    <w:qFormat/>
    <w:uiPriority w:val="0"/>
    <w:pPr>
      <w:tabs>
        <w:tab w:val="center" w:pos="733"/>
      </w:tabs>
      <w:snapToGrid w:val="0"/>
    </w:pPr>
    <w:rPr>
      <w:rFonts w:hAnsi="黑体"/>
      <w:kern w:val="0"/>
    </w:rPr>
  </w:style>
  <w:style w:type="paragraph" w:styleId="25">
    <w:name w:val="Body Text Indent"/>
    <w:basedOn w:val="1"/>
    <w:next w:val="4"/>
    <w:link w:val="269"/>
    <w:qFormat/>
    <w:uiPriority w:val="0"/>
    <w:pPr>
      <w:spacing w:line="480" w:lineRule="exact"/>
      <w:ind w:firstLine="480" w:firstLineChars="200"/>
    </w:pPr>
    <w:rPr>
      <w:rFonts w:ascii="宋体" w:hAnsi="宋体"/>
      <w:sz w:val="24"/>
    </w:rPr>
  </w:style>
  <w:style w:type="paragraph" w:styleId="26">
    <w:name w:val="List Number 3"/>
    <w:basedOn w:val="1"/>
    <w:qFormat/>
    <w:uiPriority w:val="0"/>
    <w:pPr>
      <w:tabs>
        <w:tab w:val="left" w:pos="360"/>
        <w:tab w:val="left" w:pos="482"/>
      </w:tabs>
      <w:adjustRightInd/>
      <w:spacing w:after="156" w:afterLines="50"/>
      <w:ind w:left="482" w:hanging="340"/>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pPr>
    <w:rPr>
      <w:rFonts w:ascii="宋体" w:hAnsi="宋体"/>
      <w:color w:val="000000"/>
      <w:kern w:val="0"/>
      <w:sz w:val="24"/>
      <w:szCs w:val="20"/>
    </w:rPr>
  </w:style>
  <w:style w:type="paragraph" w:styleId="30">
    <w:name w:val="HTML Address"/>
    <w:basedOn w:val="1"/>
    <w:link w:val="224"/>
    <w:qFormat/>
    <w:uiPriority w:val="0"/>
    <w:pPr>
      <w:adjustRightInd/>
      <w:ind w:firstLine="200" w:firstLineChars="200"/>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30"/>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6"/>
    <w:qFormat/>
    <w:uiPriority w:val="0"/>
    <w:pPr>
      <w:ind w:left="100" w:leftChars="2500"/>
    </w:pPr>
    <w:rPr>
      <w:rFonts w:ascii="宋体"/>
      <w:sz w:val="24"/>
      <w:szCs w:val="21"/>
      <w:lang w:val="zh-CN"/>
    </w:rPr>
  </w:style>
  <w:style w:type="paragraph" w:styleId="37">
    <w:name w:val="Body Text Indent 2"/>
    <w:basedOn w:val="1"/>
    <w:link w:val="312"/>
    <w:qFormat/>
    <w:uiPriority w:val="0"/>
    <w:pPr>
      <w:spacing w:line="360" w:lineRule="auto"/>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93"/>
    <w:qFormat/>
    <w:uiPriority w:val="0"/>
    <w:rPr>
      <w:sz w:val="18"/>
      <w:szCs w:val="18"/>
    </w:rPr>
  </w:style>
  <w:style w:type="paragraph" w:styleId="40">
    <w:name w:val="footer"/>
    <w:basedOn w:val="1"/>
    <w:link w:val="387"/>
    <w:qFormat/>
    <w:uiPriority w:val="99"/>
    <w:pPr>
      <w:tabs>
        <w:tab w:val="center" w:pos="4153"/>
        <w:tab w:val="right" w:pos="8306"/>
      </w:tabs>
      <w:snapToGrid w:val="0"/>
    </w:pPr>
    <w:rPr>
      <w:sz w:val="18"/>
      <w:szCs w:val="18"/>
    </w:rPr>
  </w:style>
  <w:style w:type="paragraph" w:styleId="41">
    <w:name w:val="envelope return"/>
    <w:basedOn w:val="1"/>
    <w:qFormat/>
    <w:uiPriority w:val="0"/>
    <w:pPr>
      <w:snapToGrid w:val="0"/>
    </w:pPr>
    <w:rPr>
      <w:rFonts w:hint="eastAsia" w:ascii="Arial" w:hAnsi="Arial" w:cs="Arial"/>
    </w:rPr>
  </w:style>
  <w:style w:type="paragraph" w:styleId="42">
    <w:name w:val="header"/>
    <w:basedOn w:val="1"/>
    <w:link w:val="396"/>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9"/>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basedOn w:val="1"/>
    <w:next w:val="1"/>
    <w:link w:val="138"/>
    <w:qFormat/>
    <w:uiPriority w:val="0"/>
    <w:pPr>
      <w:snapToGrid w:val="0"/>
      <w:spacing w:before="240" w:after="480"/>
      <w:jc w:val="center"/>
    </w:pPr>
    <w:rPr>
      <w:rFonts w:ascii="Arial" w:hAnsi="Arial" w:eastAsia="隶书"/>
      <w:b/>
      <w:bCs/>
      <w:kern w:val="28"/>
      <w:sz w:val="44"/>
      <w:szCs w:val="32"/>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4"/>
    <w:link w:val="314"/>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9"/>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6"/>
    <w:qFormat/>
    <w:uiPriority w:val="0"/>
    <w:pPr>
      <w:spacing w:after="120" w:line="480" w:lineRule="auto"/>
    </w:pPr>
  </w:style>
  <w:style w:type="paragraph" w:styleId="58">
    <w:name w:val="HTML Preformatted"/>
    <w:basedOn w:val="1"/>
    <w:link w:val="3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pPr>
    <w:rPr>
      <w:rFonts w:ascii="黑体" w:hAnsi="Courier New" w:eastAsia="黑体"/>
      <w:kern w:val="0"/>
      <w:sz w:val="20"/>
      <w:szCs w:val="20"/>
    </w:rPr>
  </w:style>
  <w:style w:type="paragraph" w:styleId="59">
    <w:name w:val="Normal (Web)"/>
    <w:basedOn w:val="1"/>
    <w:qFormat/>
    <w:uiPriority w:val="99"/>
    <w:pPr>
      <w:spacing w:before="100" w:beforeAutospacing="1" w:after="100" w:afterAutospacing="1"/>
    </w:pPr>
    <w:rPr>
      <w:rFonts w:ascii="宋体" w:hAnsi="宋体"/>
      <w:kern w:val="0"/>
      <w:sz w:val="24"/>
    </w:rPr>
  </w:style>
  <w:style w:type="paragraph" w:styleId="60">
    <w:name w:val="Title"/>
    <w:basedOn w:val="1"/>
    <w:next w:val="1"/>
    <w:link w:val="290"/>
    <w:qFormat/>
    <w:uiPriority w:val="10"/>
    <w:pPr>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101"/>
    <w:qFormat/>
    <w:uiPriority w:val="0"/>
    <w:rPr>
      <w:b/>
      <w:bCs/>
    </w:rPr>
  </w:style>
  <w:style w:type="paragraph" w:styleId="62">
    <w:name w:val="Body Text First Indent"/>
    <w:basedOn w:val="23"/>
    <w:link w:val="325"/>
    <w:qFormat/>
    <w:uiPriority w:val="0"/>
    <w:pPr>
      <w:ind w:firstLine="420"/>
    </w:pPr>
    <w:rPr>
      <w:rFonts w:hAnsi="Calibri" w:cs="Times New Roman"/>
      <w:snapToGrid/>
      <w:szCs w:val="20"/>
    </w:rPr>
  </w:style>
  <w:style w:type="paragraph" w:styleId="63">
    <w:name w:val="Body Text First Indent 2"/>
    <w:basedOn w:val="25"/>
    <w:next w:val="64"/>
    <w:link w:val="126"/>
    <w:qFormat/>
    <w:uiPriority w:val="0"/>
    <w:pPr>
      <w:adjustRightInd/>
      <w:spacing w:after="120" w:line="240" w:lineRule="auto"/>
      <w:ind w:left="420" w:leftChars="200" w:firstLine="210"/>
    </w:pPr>
    <w:rPr>
      <w:sz w:val="21"/>
    </w:rPr>
  </w:style>
  <w:style w:type="paragraph" w:customStyle="1" w:styleId="64">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Theme"/>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8">
    <w:name w:val="Table Elegant"/>
    <w:basedOn w:val="6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9">
    <w:name w:val="Table Grid 5"/>
    <w:basedOn w:val="6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0">
    <w:name w:val="Table Grid 8"/>
    <w:basedOn w:val="6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1">
    <w:name w:val="Table Professional"/>
    <w:basedOn w:val="6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3">
    <w:name w:val="Strong"/>
    <w:qFormat/>
    <w:uiPriority w:val="22"/>
    <w:rPr>
      <w:b/>
      <w:bCs/>
    </w:rPr>
  </w:style>
  <w:style w:type="character" w:styleId="74">
    <w:name w:val="endnote reference"/>
    <w:qFormat/>
    <w:uiPriority w:val="0"/>
    <w:rPr>
      <w:vertAlign w:val="superscript"/>
    </w:rPr>
  </w:style>
  <w:style w:type="character" w:styleId="75">
    <w:name w:val="page number"/>
    <w:basedOn w:val="72"/>
    <w:qFormat/>
    <w:uiPriority w:val="0"/>
    <w:rPr>
      <w:rFonts w:ascii="Arial" w:hAnsi="Arial" w:eastAsia="黑体" w:cs="Arial"/>
      <w:snapToGrid w:val="0"/>
      <w:kern w:val="0"/>
      <w:szCs w:val="21"/>
    </w:rPr>
  </w:style>
  <w:style w:type="character" w:styleId="76">
    <w:name w:val="FollowedHyperlink"/>
    <w:qFormat/>
    <w:uiPriority w:val="99"/>
    <w:rPr>
      <w:rFonts w:ascii="Arial" w:hAnsi="Arial" w:eastAsia="黑体" w:cs="Arial"/>
      <w:snapToGrid w:val="0"/>
      <w:color w:val="000000"/>
      <w:kern w:val="0"/>
      <w:sz w:val="18"/>
      <w:szCs w:val="18"/>
      <w:u w:val="none"/>
    </w:rPr>
  </w:style>
  <w:style w:type="character" w:styleId="77">
    <w:name w:val="Emphasis"/>
    <w:qFormat/>
    <w:uiPriority w:val="20"/>
    <w:rPr>
      <w:color w:val="CC0033"/>
    </w:rPr>
  </w:style>
  <w:style w:type="character" w:styleId="78">
    <w:name w:val="line number"/>
    <w:basedOn w:val="72"/>
    <w:qFormat/>
    <w:uiPriority w:val="0"/>
    <w:rPr>
      <w:rFonts w:ascii="Arial" w:hAnsi="Arial" w:eastAsia="黑体" w:cs="Arial"/>
      <w:snapToGrid w:val="0"/>
      <w:kern w:val="0"/>
      <w:szCs w:val="21"/>
    </w:rPr>
  </w:style>
  <w:style w:type="character" w:styleId="79">
    <w:name w:val="Hyperlink"/>
    <w:basedOn w:val="72"/>
    <w:qFormat/>
    <w:uiPriority w:val="99"/>
    <w:rPr>
      <w:rFonts w:ascii="Arial" w:hAnsi="Arial" w:eastAsia="黑体" w:cs="Arial"/>
      <w:snapToGrid w:val="0"/>
      <w:color w:val="000000"/>
      <w:kern w:val="0"/>
      <w:sz w:val="18"/>
      <w:szCs w:val="18"/>
      <w:u w:val="none"/>
    </w:rPr>
  </w:style>
  <w:style w:type="character" w:styleId="80">
    <w:name w:val="HTML Code"/>
    <w:qFormat/>
    <w:uiPriority w:val="0"/>
    <w:rPr>
      <w:rFonts w:ascii="黑体" w:hAnsi="Courier New" w:eastAsia="黑体" w:cs="楷体_GB2312"/>
      <w:sz w:val="20"/>
      <w:szCs w:val="20"/>
    </w:rPr>
  </w:style>
  <w:style w:type="character" w:styleId="81">
    <w:name w:val="annotation reference"/>
    <w:qFormat/>
    <w:uiPriority w:val="99"/>
    <w:rPr>
      <w:sz w:val="21"/>
      <w:szCs w:val="21"/>
    </w:rPr>
  </w:style>
  <w:style w:type="paragraph" w:customStyle="1" w:styleId="82">
    <w:name w:val="正文首行缩进1"/>
    <w:basedOn w:val="23"/>
    <w:qFormat/>
    <w:uiPriority w:val="0"/>
    <w:pPr>
      <w:suppressAutoHyphens/>
      <w:autoSpaceDE/>
      <w:autoSpaceDN/>
      <w:adjustRightInd/>
      <w:spacing w:after="120" w:line="240" w:lineRule="auto"/>
      <w:ind w:firstLine="420"/>
    </w:pPr>
    <w:rPr>
      <w:rFonts w:ascii="Times New Roman"/>
      <w:kern w:val="1"/>
      <w:sz w:val="28"/>
      <w:szCs w:val="24"/>
      <w:lang w:val="en-US" w:eastAsia="ar-SA"/>
    </w:rPr>
  </w:style>
  <w:style w:type="paragraph" w:customStyle="1" w:styleId="83">
    <w:name w:val="Default"/>
    <w:link w:val="23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4">
    <w:name w:val="**正文"/>
    <w:basedOn w:val="1"/>
    <w:qFormat/>
    <w:uiPriority w:val="99"/>
    <w:pPr>
      <w:ind w:firstLine="480" w:firstLineChars="200"/>
    </w:pPr>
    <w:rPr>
      <w:rFonts w:ascii="Calibri" w:hAnsi="Calibri" w:eastAsia="仿宋_GB2312"/>
      <w:kern w:val="0"/>
      <w:sz w:val="24"/>
      <w:szCs w:val="32"/>
    </w:rPr>
  </w:style>
  <w:style w:type="paragraph" w:customStyle="1" w:styleId="85">
    <w:name w:val="首行缩进"/>
    <w:basedOn w:val="1"/>
    <w:next w:val="1"/>
    <w:qFormat/>
    <w:uiPriority w:val="0"/>
    <w:pPr>
      <w:spacing w:line="360" w:lineRule="auto"/>
      <w:ind w:firstLine="480" w:firstLineChars="200"/>
    </w:pPr>
    <w:rPr>
      <w:rFonts w:ascii="宋体"/>
      <w:sz w:val="24"/>
      <w:szCs w:val="20"/>
    </w:rPr>
  </w:style>
  <w:style w:type="paragraph" w:customStyle="1" w:styleId="8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character" w:customStyle="1" w:styleId="87">
    <w:name w:val="表格非标题文字 Char"/>
    <w:link w:val="88"/>
    <w:qFormat/>
    <w:uiPriority w:val="0"/>
    <w:rPr>
      <w:rFonts w:ascii="Futura Bk" w:hAnsi="Futura Bk"/>
      <w:kern w:val="2"/>
      <w:sz w:val="18"/>
      <w:szCs w:val="21"/>
      <w:lang w:val="en-US" w:eastAsia="zh-CN" w:bidi="ar-SA"/>
    </w:rPr>
  </w:style>
  <w:style w:type="paragraph" w:customStyle="1" w:styleId="88">
    <w:name w:val="表格非标题文字"/>
    <w:link w:val="87"/>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snapToGrid w:val="0"/>
      <w:spacing w:line="360" w:lineRule="auto"/>
      <w:ind w:firstLine="482"/>
    </w:pPr>
    <w:rPr>
      <w:rFonts w:ascii="宋体" w:hAnsi="宋体"/>
      <w:kern w:val="0"/>
      <w:sz w:val="24"/>
      <w:szCs w:val="20"/>
    </w:rPr>
  </w:style>
  <w:style w:type="character" w:customStyle="1" w:styleId="91">
    <w:name w:val="Char Char71"/>
    <w:semiHidden/>
    <w:qFormat/>
    <w:uiPriority w:val="0"/>
    <w:rPr>
      <w:rFonts w:eastAsia="宋体"/>
      <w:kern w:val="2"/>
      <w:sz w:val="21"/>
      <w:szCs w:val="24"/>
      <w:lang w:val="en-US" w:eastAsia="zh-CN" w:bidi="ar-SA"/>
    </w:rPr>
  </w:style>
  <w:style w:type="character" w:customStyle="1" w:styleId="92">
    <w:name w:val="Char Char6"/>
    <w:qFormat/>
    <w:uiPriority w:val="0"/>
    <w:rPr>
      <w:rFonts w:eastAsia="宋体"/>
      <w:kern w:val="2"/>
      <w:sz w:val="21"/>
      <w:szCs w:val="24"/>
      <w:lang w:val="en-US" w:eastAsia="zh-CN" w:bidi="ar-SA"/>
    </w:rPr>
  </w:style>
  <w:style w:type="character" w:customStyle="1" w:styleId="93">
    <w:name w:val="正文缩进 Char"/>
    <w:qFormat/>
    <w:uiPriority w:val="0"/>
    <w:rPr>
      <w:rFonts w:eastAsia="宋体"/>
      <w:kern w:val="2"/>
      <w:sz w:val="21"/>
      <w:lang w:val="en-US" w:eastAsia="zh-CN"/>
    </w:rPr>
  </w:style>
  <w:style w:type="character" w:customStyle="1" w:styleId="94">
    <w:name w:val="正文首行缩进 Char1"/>
    <w:qFormat/>
    <w:uiPriority w:val="0"/>
    <w:rPr>
      <w:rFonts w:ascii="宋体" w:hAnsi="Times New Roman" w:eastAsia="宋体" w:cs="Times New Roman"/>
      <w:snapToGrid w:val="0"/>
      <w:kern w:val="2"/>
      <w:sz w:val="24"/>
      <w:szCs w:val="21"/>
      <w:lang w:val="zh-CN"/>
    </w:rPr>
  </w:style>
  <w:style w:type="character" w:customStyle="1" w:styleId="95">
    <w:name w:val="Char Char28"/>
    <w:qFormat/>
    <w:uiPriority w:val="6"/>
    <w:rPr>
      <w:rFonts w:ascii="仿宋_GB2312" w:hAnsi="仿宋_GB2312" w:eastAsia="仿宋_GB2312"/>
      <w:kern w:val="1"/>
      <w:sz w:val="28"/>
    </w:rPr>
  </w:style>
  <w:style w:type="character" w:customStyle="1" w:styleId="96">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7">
    <w:name w:val="Heading 1 Char"/>
    <w:qFormat/>
    <w:uiPriority w:val="6"/>
    <w:rPr>
      <w:rFonts w:ascii="Times New Roman" w:hAnsi="Times New Roman" w:eastAsia="黑体" w:cs="Times New Roman"/>
      <w:b/>
      <w:kern w:val="0"/>
      <w:sz w:val="24"/>
      <w:szCs w:val="24"/>
    </w:rPr>
  </w:style>
  <w:style w:type="character" w:customStyle="1" w:styleId="98">
    <w:name w:val="U_正文 Char"/>
    <w:link w:val="99"/>
    <w:qFormat/>
    <w:uiPriority w:val="0"/>
    <w:rPr>
      <w:sz w:val="24"/>
      <w:szCs w:val="24"/>
    </w:rPr>
  </w:style>
  <w:style w:type="paragraph" w:customStyle="1" w:styleId="99">
    <w:name w:val="U_正文"/>
    <w:basedOn w:val="1"/>
    <w:link w:val="98"/>
    <w:qFormat/>
    <w:uiPriority w:val="0"/>
    <w:pPr>
      <w:adjustRightInd/>
      <w:spacing w:beforeLines="20" w:afterLines="20" w:line="300" w:lineRule="auto"/>
      <w:ind w:firstLine="200" w:firstLineChars="200"/>
    </w:pPr>
    <w:rPr>
      <w:kern w:val="0"/>
      <w:sz w:val="24"/>
    </w:rPr>
  </w:style>
  <w:style w:type="character" w:customStyle="1" w:styleId="100">
    <w:name w:val="HTML 地址 Char1"/>
    <w:qFormat/>
    <w:uiPriority w:val="0"/>
    <w:rPr>
      <w:rFonts w:ascii="Times New Roman" w:hAnsi="Times New Roman" w:eastAsia="宋体" w:cs="Times New Roman"/>
      <w:i/>
      <w:iCs/>
      <w:szCs w:val="24"/>
    </w:rPr>
  </w:style>
  <w:style w:type="character" w:customStyle="1" w:styleId="101">
    <w:name w:val="批注主题 字符"/>
    <w:link w:val="61"/>
    <w:qFormat/>
    <w:uiPriority w:val="0"/>
    <w:rPr>
      <w:b/>
      <w:bCs/>
      <w:kern w:val="2"/>
      <w:sz w:val="21"/>
      <w:szCs w:val="24"/>
    </w:rPr>
  </w:style>
  <w:style w:type="character" w:customStyle="1" w:styleId="102">
    <w:name w:val="Char Char51"/>
    <w:qFormat/>
    <w:uiPriority w:val="0"/>
    <w:rPr>
      <w:rFonts w:ascii="宋体" w:hAnsi="Courier New" w:eastAsia="宋体"/>
      <w:kern w:val="2"/>
      <w:sz w:val="21"/>
      <w:lang w:val="en-US" w:eastAsia="zh-CN"/>
    </w:rPr>
  </w:style>
  <w:style w:type="character" w:customStyle="1" w:styleId="103">
    <w:name w:val="表正文 Char"/>
    <w:qFormat/>
    <w:uiPriority w:val="0"/>
    <w:rPr>
      <w:rFonts w:ascii="宋体" w:eastAsia="宋体"/>
      <w:snapToGrid w:val="0"/>
      <w:color w:val="000000"/>
      <w:kern w:val="28"/>
      <w:sz w:val="28"/>
      <w:lang w:val="en-US" w:eastAsia="zh-CN" w:bidi="ar-SA"/>
    </w:rPr>
  </w:style>
  <w:style w:type="character" w:customStyle="1" w:styleId="104">
    <w:name w:val="Char Char34"/>
    <w:qFormat/>
    <w:uiPriority w:val="6"/>
    <w:rPr>
      <w:b/>
      <w:kern w:val="1"/>
      <w:sz w:val="28"/>
      <w:szCs w:val="28"/>
    </w:rPr>
  </w:style>
  <w:style w:type="character" w:customStyle="1" w:styleId="105">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6">
    <w:name w:val="哈哈正文 Char"/>
    <w:link w:val="107"/>
    <w:qFormat/>
    <w:uiPriority w:val="0"/>
    <w:rPr>
      <w:rFonts w:ascii="宋体" w:hAnsi="宋体" w:eastAsia="宋体"/>
      <w:kern w:val="2"/>
      <w:sz w:val="24"/>
      <w:lang w:bidi="ar-SA"/>
    </w:rPr>
  </w:style>
  <w:style w:type="paragraph" w:customStyle="1" w:styleId="107">
    <w:name w:val="哈哈正文"/>
    <w:basedOn w:val="1"/>
    <w:link w:val="106"/>
    <w:qFormat/>
    <w:uiPriority w:val="0"/>
    <w:pPr>
      <w:adjustRightInd/>
      <w:spacing w:line="360" w:lineRule="auto"/>
      <w:ind w:firstLine="200" w:firstLineChars="200"/>
    </w:pPr>
    <w:rPr>
      <w:rFonts w:ascii="宋体" w:hAnsi="宋体"/>
      <w:sz w:val="24"/>
      <w:szCs w:val="20"/>
    </w:rPr>
  </w:style>
  <w:style w:type="character" w:customStyle="1" w:styleId="108">
    <w:name w:val="未处理的提及1"/>
    <w:qFormat/>
    <w:uiPriority w:val="0"/>
    <w:rPr>
      <w:color w:val="808080"/>
      <w:shd w:val="clear" w:color="auto" w:fill="E6E6E6"/>
    </w:rPr>
  </w:style>
  <w:style w:type="character" w:customStyle="1" w:styleId="109">
    <w:name w:val="txt"/>
    <w:qFormat/>
    <w:uiPriority w:val="0"/>
    <w:rPr>
      <w:rFonts w:ascii="仿宋_GB2312" w:eastAsia="微软雅黑"/>
      <w:b/>
      <w:kern w:val="2"/>
      <w:sz w:val="32"/>
      <w:szCs w:val="32"/>
      <w:lang w:val="en-US" w:eastAsia="zh-CN" w:bidi="ar-SA"/>
    </w:rPr>
  </w:style>
  <w:style w:type="character" w:customStyle="1" w:styleId="110">
    <w:name w:val="二级标题 Char Char"/>
    <w:qFormat/>
    <w:uiPriority w:val="0"/>
    <w:rPr>
      <w:rFonts w:ascii="宋体" w:hAnsi="宋体" w:eastAsia="宋体"/>
      <w:b/>
      <w:snapToGrid w:val="0"/>
      <w:kern w:val="2"/>
      <w:sz w:val="24"/>
      <w:szCs w:val="24"/>
      <w:lang w:val="en-US" w:eastAsia="zh-CN" w:bidi="ar-SA"/>
    </w:rPr>
  </w:style>
  <w:style w:type="character" w:customStyle="1" w:styleId="111">
    <w:name w:val="Char Char32"/>
    <w:qFormat/>
    <w:uiPriority w:val="6"/>
    <w:rPr>
      <w:b/>
      <w:kern w:val="1"/>
      <w:sz w:val="24"/>
      <w:szCs w:val="24"/>
    </w:rPr>
  </w:style>
  <w:style w:type="character" w:customStyle="1" w:styleId="112">
    <w:name w:val="PI Char1"/>
    <w:qFormat/>
    <w:uiPriority w:val="0"/>
    <w:rPr>
      <w:rFonts w:ascii="宋体" w:hAnsi="宋体"/>
      <w:kern w:val="2"/>
      <w:sz w:val="24"/>
      <w:szCs w:val="24"/>
    </w:rPr>
  </w:style>
  <w:style w:type="character" w:customStyle="1" w:styleId="113">
    <w:name w:val="tw4winTerm"/>
    <w:qFormat/>
    <w:uiPriority w:val="0"/>
    <w:rPr>
      <w:color w:val="0000FF"/>
    </w:rPr>
  </w:style>
  <w:style w:type="character" w:customStyle="1" w:styleId="114">
    <w:name w:val="Footer Char"/>
    <w:qFormat/>
    <w:locked/>
    <w:uiPriority w:val="0"/>
    <w:rPr>
      <w:rFonts w:eastAsia="宋体"/>
      <w:kern w:val="2"/>
      <w:sz w:val="18"/>
      <w:lang w:val="en-US" w:eastAsia="zh-CN" w:bidi="ar-SA"/>
    </w:rPr>
  </w:style>
  <w:style w:type="character" w:customStyle="1" w:styleId="115">
    <w:name w:val="普通文字 Char Char1"/>
    <w:qFormat/>
    <w:uiPriority w:val="0"/>
    <w:rPr>
      <w:rFonts w:ascii="宋体" w:hAnsi="Courier New"/>
      <w:kern w:val="2"/>
      <w:sz w:val="21"/>
    </w:rPr>
  </w:style>
  <w:style w:type="character" w:customStyle="1" w:styleId="116">
    <w:name w:val="Char Char101"/>
    <w:qFormat/>
    <w:uiPriority w:val="6"/>
    <w:rPr>
      <w:rFonts w:ascii="宋体" w:hAnsi="宋体"/>
      <w:kern w:val="2"/>
      <w:sz w:val="21"/>
      <w:szCs w:val="24"/>
      <w:lang w:val="en-US" w:eastAsia="zh-CN"/>
    </w:rPr>
  </w:style>
  <w:style w:type="character" w:customStyle="1" w:styleId="117">
    <w:name w:val="标题 4 Char"/>
    <w:qFormat/>
    <w:uiPriority w:val="0"/>
    <w:rPr>
      <w:rFonts w:ascii="Arial" w:hAnsi="Arial" w:eastAsia="黑体"/>
      <w:b/>
      <w:kern w:val="2"/>
      <w:sz w:val="28"/>
    </w:rPr>
  </w:style>
  <w:style w:type="character" w:customStyle="1" w:styleId="118">
    <w:name w:val="链接"/>
    <w:qFormat/>
    <w:uiPriority w:val="0"/>
    <w:rPr>
      <w:color w:val="0000FF"/>
      <w:sz w:val="21"/>
      <w:szCs w:val="21"/>
      <w:u w:val="single"/>
    </w:rPr>
  </w:style>
  <w:style w:type="character" w:customStyle="1" w:styleId="119">
    <w:name w:val="h4 Char"/>
    <w:qFormat/>
    <w:uiPriority w:val="0"/>
    <w:rPr>
      <w:rFonts w:ascii="Arial" w:hAnsi="Arial" w:eastAsia="黑体"/>
      <w:b/>
      <w:bCs/>
      <w:kern w:val="2"/>
      <w:sz w:val="28"/>
      <w:szCs w:val="28"/>
      <w:lang w:val="zh-CN" w:eastAsia="zh-CN" w:bidi="ar-SA"/>
    </w:rPr>
  </w:style>
  <w:style w:type="character" w:customStyle="1" w:styleId="120">
    <w:name w:val="5正文 Char"/>
    <w:link w:val="121"/>
    <w:qFormat/>
    <w:uiPriority w:val="0"/>
    <w:rPr>
      <w:rFonts w:ascii="仿宋_GB2312" w:hAnsi="微软雅黑" w:eastAsia="仿宋_GB2312"/>
      <w:sz w:val="28"/>
      <w:szCs w:val="21"/>
    </w:rPr>
  </w:style>
  <w:style w:type="paragraph" w:customStyle="1" w:styleId="121">
    <w:name w:val="5正文"/>
    <w:basedOn w:val="1"/>
    <w:link w:val="120"/>
    <w:qFormat/>
    <w:uiPriority w:val="0"/>
    <w:pPr>
      <w:adjustRightInd/>
      <w:spacing w:line="360" w:lineRule="auto"/>
      <w:ind w:firstLine="566" w:firstLineChars="202"/>
    </w:pPr>
    <w:rPr>
      <w:rFonts w:ascii="仿宋_GB2312" w:hAnsi="微软雅黑" w:eastAsia="仿宋_GB2312"/>
      <w:kern w:val="0"/>
      <w:sz w:val="28"/>
      <w:szCs w:val="21"/>
    </w:rPr>
  </w:style>
  <w:style w:type="character" w:customStyle="1" w:styleId="122">
    <w:name w:val="标题 3 字符"/>
    <w:qFormat/>
    <w:uiPriority w:val="9"/>
    <w:rPr>
      <w:b/>
      <w:bCs/>
      <w:kern w:val="2"/>
      <w:sz w:val="32"/>
      <w:szCs w:val="32"/>
    </w:rPr>
  </w:style>
  <w:style w:type="character" w:customStyle="1" w:styleId="123">
    <w:name w:val="样式6 Char"/>
    <w:qFormat/>
    <w:uiPriority w:val="0"/>
    <w:rPr>
      <w:rFonts w:ascii="仿宋_GB2312" w:hAnsi="宋体" w:eastAsia="仿宋_GB2312"/>
      <w:b/>
      <w:bCs/>
      <w:kern w:val="2"/>
      <w:sz w:val="24"/>
      <w:szCs w:val="24"/>
      <w:lang w:val="en-US" w:eastAsia="zh-CN" w:bidi="ar-SA"/>
    </w:rPr>
  </w:style>
  <w:style w:type="character" w:customStyle="1" w:styleId="124">
    <w:name w:val="Char Char14"/>
    <w:qFormat/>
    <w:uiPriority w:val="6"/>
    <w:rPr>
      <w:rFonts w:ascii="黑体" w:hAnsi="黑体" w:eastAsia="黑体"/>
    </w:rPr>
  </w:style>
  <w:style w:type="character" w:customStyle="1" w:styleId="125">
    <w:name w:val="Heading 2 Hidden Char"/>
    <w:qFormat/>
    <w:uiPriority w:val="0"/>
    <w:rPr>
      <w:rFonts w:ascii="仿宋_GB2312" w:eastAsia="仿宋_GB2312"/>
      <w:b/>
      <w:bCs/>
      <w:kern w:val="2"/>
      <w:sz w:val="24"/>
      <w:szCs w:val="24"/>
      <w:lang w:val="zh-CN" w:eastAsia="zh-CN" w:bidi="ar-SA"/>
    </w:rPr>
  </w:style>
  <w:style w:type="character" w:customStyle="1" w:styleId="126">
    <w:name w:val="正文文本首行缩进 2 字符"/>
    <w:link w:val="63"/>
    <w:qFormat/>
    <w:uiPriority w:val="0"/>
    <w:rPr>
      <w:rFonts w:ascii="宋体" w:hAnsi="宋体"/>
      <w:kern w:val="2"/>
      <w:sz w:val="21"/>
      <w:szCs w:val="24"/>
    </w:rPr>
  </w:style>
  <w:style w:type="character" w:customStyle="1" w:styleId="127">
    <w:name w:val="font11"/>
    <w:qFormat/>
    <w:uiPriority w:val="0"/>
    <w:rPr>
      <w:rFonts w:hint="default" w:ascii="Times New Roman" w:hAnsi="Times New Roman" w:cs="Times New Roman"/>
      <w:color w:val="000000"/>
      <w:sz w:val="22"/>
      <w:szCs w:val="22"/>
      <w:u w:val="none"/>
    </w:rPr>
  </w:style>
  <w:style w:type="character" w:customStyle="1" w:styleId="128">
    <w:name w:val="表正文 Char1"/>
    <w:qFormat/>
    <w:uiPriority w:val="0"/>
    <w:rPr>
      <w:rFonts w:ascii="宋体" w:eastAsia="宋体"/>
      <w:snapToGrid w:val="0"/>
      <w:color w:val="000000"/>
      <w:kern w:val="28"/>
      <w:sz w:val="28"/>
    </w:rPr>
  </w:style>
  <w:style w:type="character" w:customStyle="1" w:styleId="129">
    <w:name w:val="blue1"/>
    <w:basedOn w:val="72"/>
    <w:qFormat/>
    <w:uiPriority w:val="0"/>
    <w:rPr>
      <w:rFonts w:ascii="Arial" w:hAnsi="Arial" w:eastAsia="黑体" w:cs="Arial"/>
      <w:snapToGrid w:val="0"/>
      <w:kern w:val="0"/>
      <w:szCs w:val="21"/>
    </w:rPr>
  </w:style>
  <w:style w:type="character" w:customStyle="1" w:styleId="130">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31">
    <w:name w:val="标书1 Char"/>
    <w:qFormat/>
    <w:uiPriority w:val="0"/>
    <w:rPr>
      <w:rFonts w:eastAsia="宋体"/>
      <w:b/>
      <w:bCs/>
      <w:kern w:val="44"/>
      <w:sz w:val="44"/>
      <w:szCs w:val="44"/>
      <w:lang w:val="en-US" w:eastAsia="zh-CN" w:bidi="ar-SA"/>
    </w:rPr>
  </w:style>
  <w:style w:type="character" w:customStyle="1" w:styleId="132">
    <w:name w:val="样式5 Char"/>
    <w:qFormat/>
    <w:uiPriority w:val="0"/>
    <w:rPr>
      <w:rFonts w:ascii="仿宋_GB2312" w:hAnsi="仿宋" w:eastAsia="仿宋_GB2312"/>
      <w:kern w:val="2"/>
      <w:sz w:val="24"/>
      <w:szCs w:val="24"/>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插图说明 Char"/>
    <w:qFormat/>
    <w:uiPriority w:val="0"/>
    <w:rPr>
      <w:rFonts w:eastAsia="黑体"/>
      <w:sz w:val="24"/>
      <w:lang w:val="en-US" w:eastAsia="zh-CN"/>
    </w:rPr>
  </w:style>
  <w:style w:type="character" w:customStyle="1" w:styleId="135">
    <w:name w:val="正文2 Char Char"/>
    <w:link w:val="136"/>
    <w:qFormat/>
    <w:uiPriority w:val="0"/>
    <w:rPr>
      <w:rFonts w:eastAsia="宋体"/>
      <w:kern w:val="2"/>
      <w:sz w:val="24"/>
      <w:lang w:val="en-US" w:eastAsia="zh-CN" w:bidi="ar-SA"/>
    </w:rPr>
  </w:style>
  <w:style w:type="paragraph" w:customStyle="1" w:styleId="136">
    <w:name w:val="正文2"/>
    <w:basedOn w:val="1"/>
    <w:link w:val="135"/>
    <w:qFormat/>
    <w:uiPriority w:val="0"/>
    <w:pPr>
      <w:spacing w:before="156" w:line="360" w:lineRule="auto"/>
      <w:ind w:firstLine="510" w:firstLineChars="200"/>
    </w:pPr>
    <w:rPr>
      <w:sz w:val="24"/>
      <w:szCs w:val="20"/>
    </w:rPr>
  </w:style>
  <w:style w:type="character" w:customStyle="1" w:styleId="137">
    <w:name w:val="Char Char24"/>
    <w:qFormat/>
    <w:uiPriority w:val="6"/>
    <w:rPr>
      <w:kern w:val="1"/>
      <w:sz w:val="21"/>
    </w:rPr>
  </w:style>
  <w:style w:type="character" w:customStyle="1" w:styleId="138">
    <w:name w:val="副标题 字符"/>
    <w:link w:val="48"/>
    <w:qFormat/>
    <w:uiPriority w:val="0"/>
    <w:rPr>
      <w:rFonts w:ascii="Arial" w:hAnsi="Arial" w:eastAsia="隶书"/>
      <w:b/>
      <w:bCs/>
      <w:kern w:val="28"/>
      <w:sz w:val="44"/>
      <w:szCs w:val="32"/>
      <w:lang w:val="en-US" w:eastAsia="zh-CN" w:bidi="ar-SA"/>
    </w:rPr>
  </w:style>
  <w:style w:type="character" w:customStyle="1" w:styleId="139">
    <w:name w:val="普通文字 Char1 Char"/>
    <w:qFormat/>
    <w:uiPriority w:val="0"/>
    <w:rPr>
      <w:rFonts w:ascii="宋体" w:hAnsi="Courier New" w:eastAsia="宋体"/>
      <w:kern w:val="2"/>
      <w:sz w:val="21"/>
      <w:szCs w:val="24"/>
      <w:lang w:val="en-US" w:eastAsia="zh-CN" w:bidi="ar-SA"/>
    </w:rPr>
  </w:style>
  <w:style w:type="character" w:customStyle="1" w:styleId="140">
    <w:name w:val="h3 Char1"/>
    <w:qFormat/>
    <w:uiPriority w:val="0"/>
    <w:rPr>
      <w:rFonts w:eastAsia="宋体"/>
      <w:b/>
      <w:bCs/>
      <w:kern w:val="2"/>
      <w:sz w:val="32"/>
      <w:szCs w:val="32"/>
      <w:lang w:bidi="ar-SA"/>
    </w:rPr>
  </w:style>
  <w:style w:type="character" w:customStyle="1" w:styleId="141">
    <w:name w:val="标题 Char1"/>
    <w:qFormat/>
    <w:uiPriority w:val="0"/>
    <w:rPr>
      <w:rFonts w:ascii="Cambria" w:hAnsi="Cambria" w:eastAsia="宋体" w:cs="Times New Roman"/>
      <w:b/>
      <w:bCs/>
      <w:sz w:val="32"/>
      <w:szCs w:val="32"/>
      <w:lang w:bidi="ar-SA"/>
    </w:rPr>
  </w:style>
  <w:style w:type="character" w:customStyle="1" w:styleId="142">
    <w:name w:val="gf正文1 Char"/>
    <w:qFormat/>
    <w:uiPriority w:val="0"/>
    <w:rPr>
      <w:rFonts w:ascii="宋体" w:hAnsi="宋体" w:eastAsia="宋体" w:cs="宋体"/>
      <w:kern w:val="2"/>
      <w:sz w:val="24"/>
      <w:szCs w:val="24"/>
      <w:lang w:val="en-US" w:eastAsia="zh-CN" w:bidi="ar-SA"/>
    </w:rPr>
  </w:style>
  <w:style w:type="character" w:customStyle="1" w:styleId="143">
    <w:name w:val="正文文本缩进 Char1"/>
    <w:qFormat/>
    <w:uiPriority w:val="0"/>
    <w:rPr>
      <w:rFonts w:ascii="Calibri" w:hAnsi="Calibri"/>
      <w:sz w:val="28"/>
    </w:rPr>
  </w:style>
  <w:style w:type="character" w:customStyle="1" w:styleId="144">
    <w:name w:val="No Spacing Char"/>
    <w:link w:val="145"/>
    <w:qFormat/>
    <w:uiPriority w:val="1"/>
    <w:rPr>
      <w:sz w:val="22"/>
      <w:szCs w:val="22"/>
      <w:lang w:val="en-US" w:eastAsia="zh-CN" w:bidi="ar-SA"/>
    </w:rPr>
  </w:style>
  <w:style w:type="paragraph" w:customStyle="1" w:styleId="145">
    <w:name w:val="无间隔1"/>
    <w:link w:val="144"/>
    <w:qFormat/>
    <w:uiPriority w:val="1"/>
    <w:rPr>
      <w:rFonts w:ascii="Times New Roman" w:hAnsi="Times New Roman" w:eastAsia="宋体" w:cs="Times New Roman"/>
      <w:sz w:val="22"/>
      <w:szCs w:val="22"/>
      <w:lang w:val="en-US" w:eastAsia="zh-CN" w:bidi="ar-SA"/>
    </w:rPr>
  </w:style>
  <w:style w:type="character" w:customStyle="1" w:styleId="146">
    <w:name w:val="样式7 Char"/>
    <w:qFormat/>
    <w:uiPriority w:val="0"/>
    <w:rPr>
      <w:rFonts w:ascii="仿宋_GB2312" w:hAnsi="仿宋" w:eastAsia="仿宋_GB2312"/>
      <w:b/>
      <w:kern w:val="2"/>
      <w:sz w:val="24"/>
      <w:szCs w:val="24"/>
    </w:rPr>
  </w:style>
  <w:style w:type="character" w:customStyle="1" w:styleId="147">
    <w:name w:val="font12gray1"/>
    <w:qFormat/>
    <w:uiPriority w:val="0"/>
    <w:rPr>
      <w:rFonts w:ascii="仿宋_GB2312" w:eastAsia="微软雅黑"/>
      <w:b/>
      <w:spacing w:val="300"/>
      <w:kern w:val="2"/>
      <w:sz w:val="18"/>
      <w:szCs w:val="18"/>
      <w:lang w:val="en-US" w:eastAsia="zh-CN" w:bidi="ar-SA"/>
    </w:rPr>
  </w:style>
  <w:style w:type="character" w:customStyle="1" w:styleId="148">
    <w:name w:val="Char Char7"/>
    <w:semiHidden/>
    <w:qFormat/>
    <w:uiPriority w:val="0"/>
    <w:rPr>
      <w:rFonts w:eastAsia="宋体"/>
      <w:kern w:val="2"/>
      <w:sz w:val="21"/>
      <w:szCs w:val="24"/>
      <w:lang w:val="en-US" w:eastAsia="zh-CN" w:bidi="ar-SA"/>
    </w:rPr>
  </w:style>
  <w:style w:type="character" w:customStyle="1" w:styleId="149">
    <w:name w:val="表名 Char"/>
    <w:qFormat/>
    <w:uiPriority w:val="0"/>
    <w:rPr>
      <w:rFonts w:eastAsia="宋体"/>
      <w:b/>
      <w:bCs/>
      <w:kern w:val="2"/>
      <w:sz w:val="24"/>
      <w:szCs w:val="24"/>
      <w:lang w:val="en-US" w:eastAsia="zh-CN" w:bidi="ar-SA"/>
    </w:rPr>
  </w:style>
  <w:style w:type="character" w:customStyle="1" w:styleId="150">
    <w:name w:val="Document Map Char"/>
    <w:qFormat/>
    <w:locked/>
    <w:uiPriority w:val="0"/>
    <w:rPr>
      <w:rFonts w:eastAsia="宋体"/>
      <w:kern w:val="2"/>
      <w:sz w:val="21"/>
      <w:szCs w:val="24"/>
      <w:lang w:val="en-US" w:eastAsia="zh-CN" w:bidi="ar-SA"/>
    </w:rPr>
  </w:style>
  <w:style w:type="character" w:customStyle="1" w:styleId="151">
    <w:name w:val="font41"/>
    <w:basedOn w:val="72"/>
    <w:qFormat/>
    <w:uiPriority w:val="0"/>
    <w:rPr>
      <w:rFonts w:hint="eastAsia" w:ascii="仿宋_GB2312" w:eastAsia="仿宋_GB2312" w:cs="仿宋_GB2312"/>
      <w:color w:val="000000"/>
      <w:sz w:val="22"/>
      <w:szCs w:val="22"/>
      <w:u w:val="none"/>
    </w:rPr>
  </w:style>
  <w:style w:type="character" w:customStyle="1" w:styleId="152">
    <w:name w:val="标题 6 字符"/>
    <w:link w:val="8"/>
    <w:qFormat/>
    <w:uiPriority w:val="0"/>
    <w:rPr>
      <w:rFonts w:ascii="Arial" w:hAnsi="Arial" w:eastAsia="黑体"/>
      <w:b/>
      <w:bCs/>
      <w:kern w:val="2"/>
      <w:sz w:val="24"/>
      <w:szCs w:val="24"/>
    </w:rPr>
  </w:style>
  <w:style w:type="character" w:customStyle="1" w:styleId="153">
    <w:name w:val="纯文本 Char_0"/>
    <w:link w:val="154"/>
    <w:qFormat/>
    <w:uiPriority w:val="0"/>
    <w:rPr>
      <w:rFonts w:ascii="宋体" w:hAnsi="Courier New"/>
      <w:kern w:val="2"/>
      <w:sz w:val="21"/>
      <w:szCs w:val="21"/>
      <w:lang w:val="en-US" w:eastAsia="zh-CN"/>
    </w:rPr>
  </w:style>
  <w:style w:type="paragraph" w:customStyle="1" w:styleId="154">
    <w:name w:val="纯文本_0_0"/>
    <w:basedOn w:val="155"/>
    <w:link w:val="153"/>
    <w:qFormat/>
    <w:uiPriority w:val="0"/>
    <w:rPr>
      <w:rFonts w:ascii="宋体" w:hAnsi="Courier New"/>
      <w:szCs w:val="21"/>
    </w:rPr>
  </w:style>
  <w:style w:type="paragraph" w:customStyle="1" w:styleId="1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6">
    <w:name w:val="Balloon Text Char"/>
    <w:qFormat/>
    <w:locked/>
    <w:uiPriority w:val="0"/>
    <w:rPr>
      <w:rFonts w:eastAsia="宋体"/>
      <w:kern w:val="2"/>
      <w:sz w:val="18"/>
      <w:szCs w:val="18"/>
      <w:lang w:val="en-US" w:eastAsia="zh-CN" w:bidi="ar-SA"/>
    </w:rPr>
  </w:style>
  <w:style w:type="character" w:customStyle="1" w:styleId="157">
    <w:name w:val="正文 项目2 Char"/>
    <w:basedOn w:val="158"/>
    <w:qFormat/>
    <w:uiPriority w:val="0"/>
    <w:rPr>
      <w:rFonts w:ascii="仿宋_GB2312" w:hAnsi="仿宋_GB2312" w:eastAsia="仿宋_GB2312"/>
      <w:kern w:val="2"/>
      <w:sz w:val="24"/>
      <w:lang w:bidi="ar-SA"/>
    </w:rPr>
  </w:style>
  <w:style w:type="character" w:customStyle="1" w:styleId="158">
    <w:name w:val="正文 项目 Char"/>
    <w:qFormat/>
    <w:uiPriority w:val="0"/>
    <w:rPr>
      <w:rFonts w:ascii="仿宋_GB2312" w:hAnsi="仿宋_GB2312" w:eastAsia="仿宋_GB2312"/>
      <w:kern w:val="2"/>
      <w:sz w:val="24"/>
      <w:lang w:bidi="ar-SA"/>
    </w:rPr>
  </w:style>
  <w:style w:type="character" w:customStyle="1" w:styleId="159">
    <w:name w:val="h Char Char1"/>
    <w:qFormat/>
    <w:uiPriority w:val="0"/>
    <w:rPr>
      <w:rFonts w:eastAsia="宋体"/>
      <w:kern w:val="2"/>
      <w:sz w:val="18"/>
      <w:szCs w:val="18"/>
      <w:lang w:val="en-US" w:eastAsia="zh-CN" w:bidi="ar-SA"/>
    </w:rPr>
  </w:style>
  <w:style w:type="character" w:customStyle="1" w:styleId="160">
    <w:name w:val="Char Char27"/>
    <w:qFormat/>
    <w:uiPriority w:val="6"/>
    <w:rPr>
      <w:rFonts w:ascii="宋体" w:hAnsi="宋体" w:eastAsia="宋体"/>
      <w:color w:val="000000"/>
      <w:kern w:val="1"/>
      <w:sz w:val="28"/>
      <w:lang w:val="en-US" w:eastAsia="zh-CN" w:bidi="ar-SA"/>
    </w:rPr>
  </w:style>
  <w:style w:type="character" w:customStyle="1" w:styleId="161">
    <w:name w:val="px14"/>
    <w:qFormat/>
    <w:uiPriority w:val="0"/>
    <w:rPr>
      <w:rFonts w:ascii="仿宋_GB2312" w:eastAsia="微软雅黑" w:cs="Times New Roman"/>
      <w:b/>
      <w:kern w:val="2"/>
      <w:sz w:val="32"/>
      <w:szCs w:val="32"/>
      <w:lang w:val="en-US" w:eastAsia="zh-CN" w:bidi="ar-SA"/>
    </w:rPr>
  </w:style>
  <w:style w:type="character" w:customStyle="1" w:styleId="162">
    <w:name w:val="HTML 预设格式 Char1"/>
    <w:qFormat/>
    <w:uiPriority w:val="0"/>
    <w:rPr>
      <w:rFonts w:ascii="Courier New" w:hAnsi="Courier New" w:eastAsia="宋体" w:cs="Courier New"/>
      <w:sz w:val="20"/>
      <w:szCs w:val="20"/>
    </w:rPr>
  </w:style>
  <w:style w:type="character" w:customStyle="1" w:styleId="163">
    <w:name w:val="普通文字 Char1"/>
    <w:qFormat/>
    <w:uiPriority w:val="0"/>
    <w:rPr>
      <w:rFonts w:ascii="宋体" w:hAnsi="Courier New" w:eastAsia="宋体"/>
      <w:kern w:val="2"/>
      <w:sz w:val="21"/>
      <w:lang w:val="en-US" w:eastAsia="zh-CN"/>
    </w:rPr>
  </w:style>
  <w:style w:type="character" w:customStyle="1" w:styleId="164">
    <w:name w:val="hei16b1"/>
    <w:qFormat/>
    <w:uiPriority w:val="0"/>
    <w:rPr>
      <w:rFonts w:hint="default" w:ascii="Arial" w:hAnsi="Arial" w:cs="Arial"/>
      <w:b/>
      <w:bCs/>
      <w:color w:val="000000"/>
      <w:sz w:val="24"/>
      <w:szCs w:val="24"/>
    </w:rPr>
  </w:style>
  <w:style w:type="character" w:customStyle="1" w:styleId="165">
    <w:name w:val="正文（绿盟科技） Char"/>
    <w:link w:val="166"/>
    <w:qFormat/>
    <w:uiPriority w:val="0"/>
    <w:rPr>
      <w:rFonts w:ascii="Arial" w:hAnsi="Arial"/>
      <w:sz w:val="21"/>
      <w:szCs w:val="21"/>
    </w:rPr>
  </w:style>
  <w:style w:type="paragraph" w:customStyle="1" w:styleId="166">
    <w:name w:val="正文（绿盟科技）"/>
    <w:link w:val="165"/>
    <w:qFormat/>
    <w:uiPriority w:val="0"/>
    <w:pPr>
      <w:spacing w:line="300" w:lineRule="auto"/>
    </w:pPr>
    <w:rPr>
      <w:rFonts w:ascii="Arial" w:hAnsi="Arial" w:eastAsia="宋体" w:cs="Times New Roman"/>
      <w:sz w:val="21"/>
      <w:szCs w:val="21"/>
      <w:lang w:val="en-US" w:eastAsia="zh-CN" w:bidi="ar-SA"/>
    </w:rPr>
  </w:style>
  <w:style w:type="character" w:customStyle="1" w:styleId="167">
    <w:name w:val="Char Char19"/>
    <w:qFormat/>
    <w:uiPriority w:val="6"/>
    <w:rPr>
      <w:rFonts w:ascii="宋体" w:hAnsi="宋体"/>
      <w:i/>
      <w:sz w:val="24"/>
      <w:szCs w:val="24"/>
    </w:rPr>
  </w:style>
  <w:style w:type="character" w:customStyle="1" w:styleId="168">
    <w:name w:val="页脚 Char"/>
    <w:qFormat/>
    <w:uiPriority w:val="0"/>
    <w:rPr>
      <w:rFonts w:eastAsia="仿宋_GB2312"/>
      <w:kern w:val="2"/>
      <w:sz w:val="18"/>
      <w:lang w:val="en-US" w:eastAsia="zh-CN"/>
    </w:rPr>
  </w:style>
  <w:style w:type="character" w:customStyle="1" w:styleId="169">
    <w:name w:val="批注主题 Char"/>
    <w:qFormat/>
    <w:uiPriority w:val="0"/>
    <w:rPr>
      <w:rFonts w:eastAsia="宋体"/>
      <w:b/>
      <w:bCs/>
      <w:kern w:val="2"/>
      <w:sz w:val="21"/>
      <w:szCs w:val="24"/>
      <w:lang w:val="en-US" w:eastAsia="zh-CN" w:bidi="ar-SA"/>
    </w:rPr>
  </w:style>
  <w:style w:type="character" w:customStyle="1" w:styleId="170">
    <w:name w:val="Comment Text Char"/>
    <w:qFormat/>
    <w:locked/>
    <w:uiPriority w:val="0"/>
    <w:rPr>
      <w:rFonts w:ascii="宋体" w:hAnsi="宋体" w:eastAsia="宋体"/>
      <w:kern w:val="2"/>
      <w:sz w:val="24"/>
      <w:lang w:val="en-US" w:eastAsia="zh-CN" w:bidi="ar-SA"/>
    </w:rPr>
  </w:style>
  <w:style w:type="character" w:customStyle="1" w:styleId="171">
    <w:name w:val="标题 2 字符"/>
    <w:qFormat/>
    <w:uiPriority w:val="1"/>
    <w:rPr>
      <w:rFonts w:ascii="仿宋_GB2312" w:hAnsi="Times New Roman" w:eastAsia="仿宋_GB2312" w:cs="Times New Roman"/>
      <w:b/>
      <w:kern w:val="2"/>
      <w:sz w:val="24"/>
      <w:lang w:val="zh-CN"/>
    </w:rPr>
  </w:style>
  <w:style w:type="character" w:customStyle="1" w:styleId="172">
    <w:name w:val="Char Char72"/>
    <w:qFormat/>
    <w:uiPriority w:val="0"/>
    <w:rPr>
      <w:rFonts w:eastAsia="宋体"/>
      <w:kern w:val="2"/>
      <w:sz w:val="21"/>
      <w:szCs w:val="24"/>
      <w:lang w:val="en-US" w:eastAsia="zh-CN" w:bidi="ar-SA"/>
    </w:rPr>
  </w:style>
  <w:style w:type="character" w:customStyle="1" w:styleId="173">
    <w:name w:val="正文文本缩进 Char2"/>
    <w:qFormat/>
    <w:uiPriority w:val="0"/>
    <w:rPr>
      <w:rFonts w:ascii="Times New Roman" w:hAnsi="Times New Roman" w:eastAsia="宋体" w:cs="Times New Roman"/>
      <w:snapToGrid w:val="0"/>
      <w:kern w:val="0"/>
      <w:szCs w:val="24"/>
    </w:rPr>
  </w:style>
  <w:style w:type="character" w:customStyle="1" w:styleId="174">
    <w:name w:val="样式2 Char"/>
    <w:qFormat/>
    <w:uiPriority w:val="0"/>
    <w:rPr>
      <w:rFonts w:ascii="仿宋_GB2312" w:hAnsi="仿宋" w:eastAsia="仿宋_GB2312" w:cs="仿宋_GB2312"/>
      <w:b/>
      <w:bCs/>
      <w:sz w:val="32"/>
      <w:szCs w:val="30"/>
      <w:lang w:val="zh-CN"/>
    </w:rPr>
  </w:style>
  <w:style w:type="character" w:customStyle="1" w:styleId="175">
    <w:name w:val="表格名称[858D7CFB-ED40-4347-BF05-701D383B685F]"/>
    <w:link w:val="176"/>
    <w:qFormat/>
    <w:uiPriority w:val="0"/>
    <w:rPr>
      <w:sz w:val="32"/>
    </w:rPr>
  </w:style>
  <w:style w:type="paragraph" w:customStyle="1" w:styleId="176">
    <w:name w:val="表格名称"/>
    <w:basedOn w:val="3"/>
    <w:link w:val="175"/>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7">
    <w:name w:val="Char Char4"/>
    <w:qFormat/>
    <w:uiPriority w:val="0"/>
    <w:rPr>
      <w:rFonts w:eastAsia="宋体"/>
      <w:b/>
      <w:sz w:val="24"/>
      <w:lang w:val="en-GB" w:eastAsia="zh-CN" w:bidi="ar-SA"/>
    </w:rPr>
  </w:style>
  <w:style w:type="character" w:customStyle="1" w:styleId="178">
    <w:name w:val="c7 style3"/>
    <w:qFormat/>
    <w:uiPriority w:val="0"/>
  </w:style>
  <w:style w:type="character" w:customStyle="1" w:styleId="179">
    <w:name w:val="正文文本 3 Char1"/>
    <w:semiHidden/>
    <w:qFormat/>
    <w:uiPriority w:val="99"/>
    <w:rPr>
      <w:rFonts w:ascii="Times New Roman" w:hAnsi="Times New Roman" w:eastAsia="宋体" w:cs="Times New Roman"/>
      <w:sz w:val="16"/>
      <w:szCs w:val="16"/>
    </w:rPr>
  </w:style>
  <w:style w:type="character" w:customStyle="1" w:styleId="180">
    <w:name w:val="tw4winInternal"/>
    <w:qFormat/>
    <w:uiPriority w:val="0"/>
    <w:rPr>
      <w:rFonts w:ascii="Courier New" w:hAnsi="Courier New" w:cs="Courier New"/>
      <w:color w:val="FF0000"/>
      <w:lang w:val="en-US" w:eastAsia="zh-CN"/>
    </w:rPr>
  </w:style>
  <w:style w:type="character" w:customStyle="1" w:styleId="181">
    <w:name w:val="Char Char10"/>
    <w:semiHidden/>
    <w:qFormat/>
    <w:uiPriority w:val="0"/>
    <w:rPr>
      <w:rFonts w:ascii="宋体" w:hAnsi="宋体"/>
      <w:kern w:val="2"/>
      <w:sz w:val="21"/>
      <w:szCs w:val="24"/>
      <w:lang w:val="en-US" w:eastAsia="zh-CN"/>
    </w:rPr>
  </w:style>
  <w:style w:type="character" w:customStyle="1" w:styleId="182">
    <w:name w:val="shadow11"/>
    <w:qFormat/>
    <w:uiPriority w:val="0"/>
    <w:rPr>
      <w:color w:val="000000"/>
      <w:sz w:val="21"/>
    </w:rPr>
  </w:style>
  <w:style w:type="character" w:customStyle="1" w:styleId="183">
    <w:name w:val="正文非缩进 Char3"/>
    <w:qFormat/>
    <w:uiPriority w:val="0"/>
    <w:rPr>
      <w:rFonts w:ascii="宋体" w:eastAsia="宋体"/>
      <w:snapToGrid w:val="0"/>
      <w:color w:val="000000"/>
      <w:kern w:val="28"/>
      <w:sz w:val="28"/>
      <w:lang w:val="en-US" w:eastAsia="zh-CN" w:bidi="ar-SA"/>
    </w:rPr>
  </w:style>
  <w:style w:type="character" w:customStyle="1" w:styleId="184">
    <w:name w:val="Char Char"/>
    <w:qFormat/>
    <w:uiPriority w:val="0"/>
    <w:rPr>
      <w:rFonts w:ascii="宋体" w:hAnsi="Courier New" w:eastAsia="宋体"/>
      <w:kern w:val="2"/>
      <w:sz w:val="21"/>
      <w:lang w:val="en-US" w:eastAsia="zh-CN" w:bidi="ar-SA"/>
    </w:rPr>
  </w:style>
  <w:style w:type="character" w:customStyle="1" w:styleId="185">
    <w:name w:val="签名 Char1"/>
    <w:qFormat/>
    <w:uiPriority w:val="0"/>
    <w:rPr>
      <w:rFonts w:ascii="Times New Roman" w:hAnsi="Times New Roman" w:eastAsia="宋体" w:cs="Times New Roman"/>
      <w:szCs w:val="24"/>
    </w:rPr>
  </w:style>
  <w:style w:type="character" w:customStyle="1" w:styleId="186">
    <w:name w:val="日期 字符"/>
    <w:link w:val="36"/>
    <w:qFormat/>
    <w:uiPriority w:val="0"/>
    <w:rPr>
      <w:rFonts w:ascii="宋体"/>
      <w:kern w:val="2"/>
      <w:sz w:val="24"/>
      <w:szCs w:val="21"/>
      <w:lang w:val="zh-CN"/>
    </w:rPr>
  </w:style>
  <w:style w:type="character" w:customStyle="1" w:styleId="187">
    <w:name w:val="标题 9 字符"/>
    <w:link w:val="11"/>
    <w:qFormat/>
    <w:uiPriority w:val="0"/>
    <w:rPr>
      <w:rFonts w:ascii="Arial" w:hAnsi="Arial" w:eastAsia="黑体"/>
      <w:kern w:val="2"/>
      <w:sz w:val="21"/>
      <w:szCs w:val="21"/>
    </w:rPr>
  </w:style>
  <w:style w:type="character" w:customStyle="1" w:styleId="188">
    <w:name w:val="Char Char18"/>
    <w:qFormat/>
    <w:uiPriority w:val="6"/>
    <w:rPr>
      <w:rFonts w:ascii="宋体" w:hAnsi="宋体"/>
      <w:sz w:val="28"/>
    </w:rPr>
  </w:style>
  <w:style w:type="character" w:customStyle="1" w:styleId="189">
    <w:name w:val="批注文字 Char"/>
    <w:qFormat/>
    <w:uiPriority w:val="0"/>
    <w:rPr>
      <w:kern w:val="2"/>
      <w:sz w:val="21"/>
      <w:szCs w:val="24"/>
    </w:rPr>
  </w:style>
  <w:style w:type="character" w:customStyle="1" w:styleId="190">
    <w:name w:val="Char Char22"/>
    <w:qFormat/>
    <w:uiPriority w:val="6"/>
    <w:rPr>
      <w:rFonts w:ascii="宋体" w:hAnsi="宋体"/>
      <w:kern w:val="1"/>
      <w:sz w:val="24"/>
      <w:szCs w:val="24"/>
    </w:rPr>
  </w:style>
  <w:style w:type="character" w:customStyle="1" w:styleId="191">
    <w:name w:val="pt141"/>
    <w:qFormat/>
    <w:uiPriority w:val="0"/>
    <w:rPr>
      <w:color w:val="330066"/>
      <w:sz w:val="22"/>
      <w:szCs w:val="22"/>
    </w:rPr>
  </w:style>
  <w:style w:type="character" w:customStyle="1" w:styleId="192">
    <w:name w:val="正文文本缩进 2 Char1"/>
    <w:semiHidden/>
    <w:qFormat/>
    <w:uiPriority w:val="99"/>
    <w:rPr>
      <w:rFonts w:ascii="Times New Roman" w:hAnsi="Times New Roman" w:eastAsia="宋体" w:cs="Times New Roman"/>
      <w:szCs w:val="24"/>
    </w:rPr>
  </w:style>
  <w:style w:type="character" w:customStyle="1" w:styleId="193">
    <w:name w:val="批注框文本 字符1"/>
    <w:link w:val="39"/>
    <w:qFormat/>
    <w:uiPriority w:val="0"/>
    <w:rPr>
      <w:kern w:val="2"/>
      <w:sz w:val="18"/>
      <w:szCs w:val="18"/>
    </w:rPr>
  </w:style>
  <w:style w:type="character" w:customStyle="1" w:styleId="194">
    <w:name w:val="Char Char611"/>
    <w:qFormat/>
    <w:uiPriority w:val="0"/>
    <w:rPr>
      <w:rFonts w:eastAsia="宋体"/>
      <w:kern w:val="2"/>
      <w:sz w:val="21"/>
      <w:szCs w:val="24"/>
      <w:lang w:val="en-US" w:eastAsia="zh-CN" w:bidi="ar-SA"/>
    </w:rPr>
  </w:style>
  <w:style w:type="character" w:customStyle="1" w:styleId="195">
    <w:name w:val="highlight1"/>
    <w:qFormat/>
    <w:uiPriority w:val="0"/>
    <w:rPr>
      <w:rFonts w:ascii="仿宋_GB2312" w:eastAsia="微软雅黑"/>
      <w:b/>
      <w:kern w:val="2"/>
      <w:sz w:val="23"/>
      <w:szCs w:val="23"/>
      <w:lang w:val="en-US" w:eastAsia="zh-CN" w:bidi="ar-SA"/>
    </w:rPr>
  </w:style>
  <w:style w:type="character" w:customStyle="1" w:styleId="196">
    <w:name w:val="my正文 Char"/>
    <w:link w:val="197"/>
    <w:qFormat/>
    <w:locked/>
    <w:uiPriority w:val="0"/>
    <w:rPr>
      <w:rFonts w:ascii="Tahoma" w:hAnsi="Tahoma"/>
      <w:sz w:val="24"/>
      <w:szCs w:val="24"/>
    </w:rPr>
  </w:style>
  <w:style w:type="paragraph" w:customStyle="1" w:styleId="197">
    <w:name w:val="my正文"/>
    <w:basedOn w:val="1"/>
    <w:link w:val="196"/>
    <w:qFormat/>
    <w:uiPriority w:val="0"/>
    <w:pPr>
      <w:adjustRightInd/>
      <w:spacing w:line="360" w:lineRule="auto"/>
      <w:ind w:firstLine="480" w:firstLineChars="200"/>
    </w:pPr>
    <w:rPr>
      <w:rFonts w:ascii="Tahoma" w:hAnsi="Tahoma"/>
      <w:kern w:val="0"/>
      <w:sz w:val="24"/>
    </w:rPr>
  </w:style>
  <w:style w:type="character" w:customStyle="1" w:styleId="198">
    <w:name w:val="正文缩进 字符2"/>
    <w:link w:val="4"/>
    <w:qFormat/>
    <w:uiPriority w:val="0"/>
    <w:rPr>
      <w:rFonts w:ascii="宋体" w:eastAsia="宋体"/>
      <w:snapToGrid w:val="0"/>
      <w:color w:val="000000"/>
      <w:kern w:val="28"/>
      <w:sz w:val="28"/>
      <w:lang w:val="en-US" w:eastAsia="zh-CN" w:bidi="ar-SA"/>
    </w:rPr>
  </w:style>
  <w:style w:type="character" w:customStyle="1" w:styleId="199">
    <w:name w:val="Used by Word for text of Help footnotes Char Char1"/>
    <w:qFormat/>
    <w:uiPriority w:val="0"/>
    <w:rPr>
      <w:color w:val="0000FF"/>
      <w:sz w:val="21"/>
    </w:rPr>
  </w:style>
  <w:style w:type="character" w:customStyle="1" w:styleId="200">
    <w:name w:val="页眉 Char"/>
    <w:qFormat/>
    <w:uiPriority w:val="0"/>
    <w:rPr>
      <w:rFonts w:eastAsia="仿宋_GB2312"/>
      <w:kern w:val="2"/>
      <w:sz w:val="18"/>
      <w:lang w:val="en-US" w:eastAsia="zh-CN"/>
    </w:rPr>
  </w:style>
  <w:style w:type="character" w:customStyle="1" w:styleId="201">
    <w:name w:val="FA正文 Char Char"/>
    <w:qFormat/>
    <w:uiPriority w:val="0"/>
    <w:rPr>
      <w:rFonts w:hAnsi="宋体"/>
      <w:kern w:val="2"/>
      <w:sz w:val="24"/>
      <w:lang w:bidi="ar-SA"/>
    </w:rPr>
  </w:style>
  <w:style w:type="character" w:customStyle="1" w:styleId="202">
    <w:name w:val="纯文本 字符"/>
    <w:qFormat/>
    <w:uiPriority w:val="0"/>
    <w:rPr>
      <w:rFonts w:ascii="宋体" w:hAnsi="Courier New" w:eastAsia="宋体" w:cs="Arial"/>
      <w:snapToGrid w:val="0"/>
      <w:kern w:val="2"/>
      <w:sz w:val="21"/>
      <w:szCs w:val="21"/>
      <w:lang w:val="en-US" w:eastAsia="zh-CN" w:bidi="ar-SA"/>
    </w:rPr>
  </w:style>
  <w:style w:type="character" w:customStyle="1" w:styleId="203">
    <w:name w:val="3级 Char"/>
    <w:link w:val="204"/>
    <w:qFormat/>
    <w:uiPriority w:val="0"/>
    <w:rPr>
      <w:rFonts w:ascii="宋体" w:hAnsi="宋体"/>
      <w:b/>
      <w:bCs/>
      <w:snapToGrid/>
      <w:sz w:val="28"/>
    </w:rPr>
  </w:style>
  <w:style w:type="paragraph" w:customStyle="1" w:styleId="204">
    <w:name w:val="3级"/>
    <w:basedOn w:val="205"/>
    <w:link w:val="203"/>
    <w:qFormat/>
    <w:uiPriority w:val="0"/>
    <w:pPr>
      <w:ind w:left="0" w:right="466" w:firstLine="288"/>
    </w:pPr>
    <w:rPr>
      <w:rFonts w:hAnsi="宋体"/>
      <w:snapToGrid/>
    </w:rPr>
  </w:style>
  <w:style w:type="paragraph" w:customStyle="1" w:styleId="205">
    <w:name w:val="样式 标题 3h33rd level3BOD 0H3l3CTHeading 3 - oldLevel 3 He..."/>
    <w:basedOn w:val="5"/>
    <w:qFormat/>
    <w:uiPriority w:val="99"/>
    <w:pPr>
      <w:keepLines w:val="0"/>
      <w:tabs>
        <w:tab w:val="clear" w:pos="900"/>
      </w:tabs>
      <w:adjustRightInd/>
      <w:spacing w:before="240" w:after="240" w:line="360" w:lineRule="auto"/>
      <w:ind w:left="851" w:right="407" w:rightChars="194" w:hanging="851"/>
    </w:pPr>
    <w:rPr>
      <w:rFonts w:ascii="宋体" w:hAnsi="Arial"/>
      <w:snapToGrid w:val="0"/>
      <w:kern w:val="0"/>
      <w:sz w:val="28"/>
      <w:szCs w:val="20"/>
    </w:rPr>
  </w:style>
  <w:style w:type="character" w:customStyle="1" w:styleId="206">
    <w:name w:val="myp11"/>
    <w:qFormat/>
    <w:uiPriority w:val="0"/>
    <w:rPr>
      <w:rFonts w:ascii="仿宋_GB2312" w:eastAsia="微软雅黑"/>
      <w:b/>
      <w:kern w:val="2"/>
      <w:sz w:val="32"/>
      <w:szCs w:val="32"/>
      <w:lang w:val="en-US" w:eastAsia="zh-CN" w:bidi="ar-SA"/>
    </w:rPr>
  </w:style>
  <w:style w:type="character" w:customStyle="1" w:styleId="207">
    <w:name w:val="文档结构图 字符"/>
    <w:link w:val="18"/>
    <w:qFormat/>
    <w:uiPriority w:val="0"/>
    <w:rPr>
      <w:kern w:val="2"/>
      <w:sz w:val="21"/>
      <w:szCs w:val="24"/>
      <w:shd w:val="clear" w:color="auto" w:fill="000080"/>
    </w:rPr>
  </w:style>
  <w:style w:type="character" w:customStyle="1" w:styleId="208">
    <w:name w:val="H6 Char"/>
    <w:qFormat/>
    <w:uiPriority w:val="0"/>
    <w:rPr>
      <w:rFonts w:ascii="Arial" w:hAnsi="Arial" w:eastAsia="黑体"/>
      <w:b/>
      <w:bCs/>
      <w:kern w:val="2"/>
      <w:sz w:val="24"/>
      <w:szCs w:val="24"/>
    </w:rPr>
  </w:style>
  <w:style w:type="character" w:customStyle="1" w:styleId="209">
    <w:name w:val="Char Char91"/>
    <w:qFormat/>
    <w:uiPriority w:val="0"/>
    <w:rPr>
      <w:rFonts w:eastAsia="宋体"/>
      <w:kern w:val="2"/>
      <w:sz w:val="18"/>
      <w:szCs w:val="18"/>
      <w:lang w:val="en-US" w:eastAsia="zh-CN" w:bidi="ar-SA"/>
    </w:rPr>
  </w:style>
  <w:style w:type="character" w:customStyle="1" w:styleId="210">
    <w:name w:val="副标题 Char1"/>
    <w:qFormat/>
    <w:uiPriority w:val="0"/>
    <w:rPr>
      <w:rFonts w:ascii="Cambria" w:hAnsi="Cambria" w:eastAsia="宋体" w:cs="Times New Roman"/>
      <w:b/>
      <w:bCs/>
      <w:snapToGrid w:val="0"/>
      <w:kern w:val="28"/>
      <w:sz w:val="32"/>
      <w:szCs w:val="32"/>
    </w:rPr>
  </w:style>
  <w:style w:type="character" w:customStyle="1" w:styleId="211">
    <w:name w:val="font61"/>
    <w:qFormat/>
    <w:uiPriority w:val="0"/>
    <w:rPr>
      <w:rFonts w:hint="eastAsia" w:ascii="仿宋" w:hAnsi="仿宋" w:eastAsia="仿宋" w:cs="仿宋"/>
      <w:color w:val="000000"/>
      <w:sz w:val="20"/>
      <w:szCs w:val="20"/>
      <w:u w:val="none"/>
    </w:rPr>
  </w:style>
  <w:style w:type="character" w:customStyle="1" w:styleId="21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3">
    <w:name w:val="Char Char211"/>
    <w:qFormat/>
    <w:uiPriority w:val="0"/>
    <w:rPr>
      <w:rFonts w:eastAsia="宋体"/>
      <w:b/>
      <w:bCs/>
      <w:kern w:val="2"/>
      <w:sz w:val="21"/>
      <w:szCs w:val="24"/>
      <w:lang w:val="en-US" w:eastAsia="zh-CN" w:bidi="ar-SA"/>
    </w:rPr>
  </w:style>
  <w:style w:type="character" w:customStyle="1" w:styleId="214">
    <w:name w:val="标题 2 Char"/>
    <w:qFormat/>
    <w:uiPriority w:val="0"/>
    <w:rPr>
      <w:rFonts w:ascii="Arial" w:hAnsi="Arial" w:eastAsia="黑体"/>
      <w:b/>
      <w:kern w:val="2"/>
      <w:sz w:val="32"/>
      <w:lang w:val="en-US" w:eastAsia="zh-CN"/>
    </w:rPr>
  </w:style>
  <w:style w:type="character" w:customStyle="1" w:styleId="215">
    <w:name w:val="maywed421"/>
    <w:qFormat/>
    <w:uiPriority w:val="0"/>
    <w:rPr>
      <w:color w:val="366FB6"/>
      <w:u w:val="none"/>
    </w:rPr>
  </w:style>
  <w:style w:type="character" w:customStyle="1" w:styleId="216">
    <w:name w:val="正文文本缩进 Char"/>
    <w:qFormat/>
    <w:uiPriority w:val="0"/>
    <w:rPr>
      <w:rFonts w:ascii="宋体" w:hAnsi="宋体"/>
      <w:kern w:val="2"/>
      <w:sz w:val="24"/>
      <w:szCs w:val="24"/>
    </w:rPr>
  </w:style>
  <w:style w:type="character" w:customStyle="1" w:styleId="217">
    <w:name w:val="Char Char102"/>
    <w:semiHidden/>
    <w:qFormat/>
    <w:uiPriority w:val="0"/>
    <w:rPr>
      <w:rFonts w:ascii="宋体" w:hAnsi="宋体"/>
      <w:kern w:val="2"/>
      <w:sz w:val="21"/>
      <w:szCs w:val="24"/>
      <w:lang w:val="en-US" w:eastAsia="zh-CN"/>
    </w:rPr>
  </w:style>
  <w:style w:type="character" w:customStyle="1" w:styleId="218">
    <w:name w:val="页眉 Char1"/>
    <w:qFormat/>
    <w:uiPriority w:val="0"/>
    <w:rPr>
      <w:rFonts w:eastAsia="宋体"/>
      <w:kern w:val="2"/>
      <w:sz w:val="18"/>
      <w:szCs w:val="18"/>
      <w:lang w:val="en-US" w:eastAsia="zh-CN" w:bidi="ar-SA"/>
    </w:rPr>
  </w:style>
  <w:style w:type="character" w:customStyle="1" w:styleId="219">
    <w:name w:val="md"/>
    <w:basedOn w:val="72"/>
    <w:qFormat/>
    <w:uiPriority w:val="0"/>
    <w:rPr>
      <w:rFonts w:ascii="Arial" w:hAnsi="Arial" w:eastAsia="黑体" w:cs="Arial"/>
      <w:snapToGrid w:val="0"/>
      <w:kern w:val="0"/>
      <w:szCs w:val="21"/>
    </w:rPr>
  </w:style>
  <w:style w:type="character" w:customStyle="1" w:styleId="220">
    <w:name w:val="big1"/>
    <w:qFormat/>
    <w:uiPriority w:val="0"/>
    <w:rPr>
      <w:rFonts w:hint="eastAsia" w:ascii="宋体" w:hAnsi="宋体" w:eastAsia="宋体"/>
      <w:color w:val="333333"/>
      <w:sz w:val="22"/>
      <w:szCs w:val="22"/>
    </w:rPr>
  </w:style>
  <w:style w:type="character" w:customStyle="1" w:styleId="221">
    <w:name w:val="Char Char311"/>
    <w:qFormat/>
    <w:uiPriority w:val="0"/>
    <w:rPr>
      <w:rFonts w:eastAsia="宋体"/>
      <w:kern w:val="2"/>
      <w:sz w:val="21"/>
      <w:szCs w:val="24"/>
      <w:lang w:val="en-US" w:eastAsia="zh-CN" w:bidi="ar-SA"/>
    </w:rPr>
  </w:style>
  <w:style w:type="character" w:customStyle="1" w:styleId="222">
    <w:name w:val="Char Char81"/>
    <w:qFormat/>
    <w:uiPriority w:val="6"/>
    <w:rPr>
      <w:rFonts w:eastAsia="宋体"/>
      <w:b/>
      <w:sz w:val="24"/>
      <w:lang w:val="en-GB" w:eastAsia="zh-CN"/>
    </w:rPr>
  </w:style>
  <w:style w:type="character" w:customStyle="1" w:styleId="223">
    <w:name w:val="样式3 Char"/>
    <w:basedOn w:val="174"/>
    <w:qFormat/>
    <w:uiPriority w:val="0"/>
    <w:rPr>
      <w:rFonts w:ascii="仿宋_GB2312" w:hAnsi="仿宋" w:eastAsia="仿宋_GB2312" w:cs="仿宋_GB2312"/>
      <w:sz w:val="32"/>
      <w:szCs w:val="30"/>
      <w:lang w:val="zh-CN"/>
    </w:rPr>
  </w:style>
  <w:style w:type="character" w:customStyle="1" w:styleId="224">
    <w:name w:val="HTML 地址 字符"/>
    <w:link w:val="30"/>
    <w:qFormat/>
    <w:uiPriority w:val="0"/>
    <w:rPr>
      <w:rFonts w:ascii="宋体" w:hAnsi="宋体"/>
      <w:i/>
      <w:iCs/>
      <w:sz w:val="24"/>
      <w:szCs w:val="24"/>
    </w:rPr>
  </w:style>
  <w:style w:type="character" w:customStyle="1" w:styleId="225">
    <w:name w:val="正文首行缩进 2 Char1"/>
    <w:qFormat/>
    <w:uiPriority w:val="0"/>
    <w:rPr>
      <w:rFonts w:ascii="Times New Roman" w:hAnsi="Times New Roman" w:eastAsia="宋体" w:cs="Times New Roman"/>
      <w:kern w:val="2"/>
      <w:sz w:val="24"/>
      <w:szCs w:val="24"/>
    </w:rPr>
  </w:style>
  <w:style w:type="character" w:customStyle="1" w:styleId="226">
    <w:name w:val="副标题 Char2"/>
    <w:qFormat/>
    <w:uiPriority w:val="0"/>
    <w:rPr>
      <w:rFonts w:ascii="Cambria" w:hAnsi="Cambria" w:eastAsia="宋体" w:cs="Times New Roman"/>
      <w:b/>
      <w:bCs/>
      <w:snapToGrid w:val="0"/>
      <w:kern w:val="28"/>
      <w:sz w:val="32"/>
      <w:szCs w:val="32"/>
    </w:rPr>
  </w:style>
  <w:style w:type="character" w:customStyle="1" w:styleId="227">
    <w:name w:val="标题4-dyf Char"/>
    <w:link w:val="228"/>
    <w:qFormat/>
    <w:uiPriority w:val="0"/>
    <w:rPr>
      <w:rFonts w:ascii="Cambria" w:hAnsi="Cambria"/>
      <w:b/>
      <w:bCs/>
      <w:color w:val="000000"/>
      <w:kern w:val="2"/>
      <w:sz w:val="21"/>
      <w:szCs w:val="21"/>
    </w:rPr>
  </w:style>
  <w:style w:type="paragraph" w:customStyle="1" w:styleId="228">
    <w:name w:val="标题4-dyf"/>
    <w:basedOn w:val="6"/>
    <w:link w:val="227"/>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9">
    <w:name w:val="dectext1"/>
    <w:qFormat/>
    <w:uiPriority w:val="0"/>
    <w:rPr>
      <w:rFonts w:ascii="宋体" w:hAnsi="宋体" w:eastAsia="宋体"/>
      <w:color w:val="333333"/>
      <w:sz w:val="21"/>
      <w:szCs w:val="21"/>
      <w:u w:val="none"/>
    </w:rPr>
  </w:style>
  <w:style w:type="character" w:customStyle="1" w:styleId="230">
    <w:name w:val="冯 Char"/>
    <w:link w:val="231"/>
    <w:qFormat/>
    <w:uiPriority w:val="0"/>
    <w:rPr>
      <w:rFonts w:ascii="宋体" w:hAnsi="宋体"/>
      <w:color w:val="000000"/>
      <w:sz w:val="24"/>
      <w:szCs w:val="24"/>
    </w:rPr>
  </w:style>
  <w:style w:type="paragraph" w:customStyle="1" w:styleId="231">
    <w:name w:val="冯"/>
    <w:basedOn w:val="1"/>
    <w:link w:val="230"/>
    <w:qFormat/>
    <w:uiPriority w:val="0"/>
    <w:pPr>
      <w:adjustRightInd/>
      <w:spacing w:line="360" w:lineRule="auto"/>
      <w:ind w:firstLine="480" w:firstLineChars="200"/>
    </w:pPr>
    <w:rPr>
      <w:rFonts w:ascii="宋体" w:hAnsi="宋体"/>
      <w:color w:val="000000"/>
      <w:kern w:val="0"/>
      <w:sz w:val="24"/>
    </w:rPr>
  </w:style>
  <w:style w:type="character" w:customStyle="1" w:styleId="232">
    <w:name w:val="Header Char"/>
    <w:qFormat/>
    <w:locked/>
    <w:uiPriority w:val="0"/>
    <w:rPr>
      <w:rFonts w:eastAsia="宋体"/>
      <w:kern w:val="2"/>
      <w:sz w:val="18"/>
      <w:szCs w:val="18"/>
      <w:lang w:val="en-US" w:eastAsia="zh-CN" w:bidi="ar-SA"/>
    </w:rPr>
  </w:style>
  <w:style w:type="character" w:customStyle="1" w:styleId="233">
    <w:name w:val="Char Char12"/>
    <w:qFormat/>
    <w:uiPriority w:val="0"/>
    <w:rPr>
      <w:rFonts w:ascii="仿宋_GB2312" w:eastAsia="仿宋_GB2312"/>
      <w:b/>
      <w:bCs/>
      <w:kern w:val="2"/>
      <w:sz w:val="24"/>
      <w:szCs w:val="24"/>
      <w:lang w:val="zh-CN" w:eastAsia="zh-CN" w:bidi="ar-SA"/>
    </w:rPr>
  </w:style>
  <w:style w:type="character" w:customStyle="1" w:styleId="234">
    <w:name w:val="题注 字符"/>
    <w:link w:val="16"/>
    <w:qFormat/>
    <w:uiPriority w:val="0"/>
    <w:rPr>
      <w:b/>
      <w:kern w:val="2"/>
      <w:sz w:val="28"/>
    </w:rPr>
  </w:style>
  <w:style w:type="character" w:customStyle="1" w:styleId="235">
    <w:name w:val="普通文字 Char3"/>
    <w:qFormat/>
    <w:uiPriority w:val="0"/>
    <w:rPr>
      <w:rFonts w:ascii="宋体" w:hAnsi="Courier New" w:eastAsia="宋体"/>
      <w:kern w:val="2"/>
      <w:sz w:val="21"/>
      <w:lang w:val="en-US" w:eastAsia="zh-CN" w:bidi="ar-SA"/>
    </w:rPr>
  </w:style>
  <w:style w:type="character" w:customStyle="1" w:styleId="236">
    <w:name w:val="公文正文 Char"/>
    <w:qFormat/>
    <w:uiPriority w:val="0"/>
    <w:rPr>
      <w:rFonts w:ascii="仿宋_GB2312" w:eastAsia="仿宋_GB2312"/>
      <w:kern w:val="2"/>
      <w:sz w:val="24"/>
      <w:szCs w:val="24"/>
      <w:lang w:val="en-US" w:eastAsia="zh-CN" w:bidi="ar-SA"/>
    </w:rPr>
  </w:style>
  <w:style w:type="character" w:customStyle="1" w:styleId="237">
    <w:name w:val="正文首行缩进 Char Char Char Char Char"/>
    <w:qFormat/>
    <w:uiPriority w:val="0"/>
    <w:rPr>
      <w:rFonts w:ascii="宋体"/>
      <w:kern w:val="2"/>
      <w:sz w:val="24"/>
      <w:lang w:val="zh-CN"/>
    </w:rPr>
  </w:style>
  <w:style w:type="character" w:customStyle="1" w:styleId="238">
    <w:name w:val="PI Char"/>
    <w:qFormat/>
    <w:uiPriority w:val="0"/>
    <w:rPr>
      <w:rFonts w:ascii="宋体" w:hAnsi="宋体" w:eastAsia="宋体"/>
      <w:kern w:val="2"/>
      <w:sz w:val="24"/>
      <w:szCs w:val="24"/>
      <w:lang w:val="en-US" w:eastAsia="zh-CN" w:bidi="ar-SA"/>
    </w:rPr>
  </w:style>
  <w:style w:type="character" w:customStyle="1" w:styleId="239">
    <w:name w:val="Default Char"/>
    <w:link w:val="83"/>
    <w:qFormat/>
    <w:uiPriority w:val="0"/>
    <w:rPr>
      <w:rFonts w:ascii="仿宋_GB2312" w:eastAsia="仿宋_GB2312" w:cs="仿宋_GB2312"/>
      <w:color w:val="000000"/>
      <w:sz w:val="24"/>
      <w:szCs w:val="24"/>
      <w:lang w:val="en-US" w:eastAsia="zh-CN" w:bidi="ar-SA"/>
    </w:rPr>
  </w:style>
  <w:style w:type="character" w:customStyle="1" w:styleId="240">
    <w:name w:val="style91"/>
    <w:qFormat/>
    <w:uiPriority w:val="0"/>
    <w:rPr>
      <w:color w:val="333333"/>
    </w:rPr>
  </w:style>
  <w:style w:type="character" w:customStyle="1" w:styleId="241">
    <w:name w:val="列出段落 Char2"/>
    <w:qFormat/>
    <w:uiPriority w:val="34"/>
    <w:rPr>
      <w:rFonts w:ascii="Calibri" w:hAnsi="Calibri"/>
      <w:kern w:val="2"/>
      <w:sz w:val="28"/>
    </w:rPr>
  </w:style>
  <w:style w:type="character" w:customStyle="1" w:styleId="242">
    <w:name w:val="mdeck"/>
    <w:qFormat/>
    <w:uiPriority w:val="0"/>
    <w:rPr>
      <w:rFonts w:ascii="仿宋_GB2312" w:eastAsia="微软雅黑"/>
      <w:b/>
      <w:kern w:val="2"/>
      <w:sz w:val="32"/>
      <w:szCs w:val="32"/>
      <w:lang w:val="en-US" w:eastAsia="zh-CN" w:bidi="ar-SA"/>
    </w:rPr>
  </w:style>
  <w:style w:type="character" w:customStyle="1" w:styleId="243">
    <w:name w:val="unnamed11"/>
    <w:qFormat/>
    <w:uiPriority w:val="0"/>
    <w:rPr>
      <w:sz w:val="20"/>
      <w:szCs w:val="20"/>
    </w:rPr>
  </w:style>
  <w:style w:type="character" w:customStyle="1" w:styleId="244">
    <w:name w:val="正文文本 Char2"/>
    <w:semiHidden/>
    <w:qFormat/>
    <w:uiPriority w:val="99"/>
    <w:rPr>
      <w:rFonts w:ascii="Times New Roman" w:hAnsi="Times New Roman" w:eastAsia="宋体" w:cs="Times New Roman"/>
      <w:snapToGrid w:val="0"/>
      <w:kern w:val="0"/>
      <w:szCs w:val="24"/>
    </w:rPr>
  </w:style>
  <w:style w:type="character" w:customStyle="1" w:styleId="245">
    <w:name w:val="标书正文格式 Char"/>
    <w:qFormat/>
    <w:uiPriority w:val="0"/>
    <w:rPr>
      <w:rFonts w:eastAsia="楷体_GB2312"/>
      <w:kern w:val="2"/>
      <w:sz w:val="24"/>
      <w:szCs w:val="24"/>
      <w:lang w:bidi="ar-SA"/>
    </w:rPr>
  </w:style>
  <w:style w:type="character" w:customStyle="1" w:styleId="246">
    <w:name w:val="Char Char11"/>
    <w:qFormat/>
    <w:locked/>
    <w:uiPriority w:val="0"/>
    <w:rPr>
      <w:rFonts w:ascii="宋体" w:hAnsi="宋体" w:eastAsia="宋体"/>
      <w:b/>
      <w:kern w:val="2"/>
      <w:sz w:val="24"/>
      <w:szCs w:val="24"/>
      <w:lang w:val="en-US" w:eastAsia="zh-CN" w:bidi="ar-SA"/>
    </w:rPr>
  </w:style>
  <w:style w:type="character" w:customStyle="1" w:styleId="247">
    <w:name w:val="ca-131"/>
    <w:qFormat/>
    <w:uiPriority w:val="0"/>
    <w:rPr>
      <w:rFonts w:hint="eastAsia" w:ascii="仿宋_GB2312" w:eastAsia="仿宋_GB2312"/>
      <w:b/>
      <w:bCs/>
      <w:color w:val="000000"/>
      <w:spacing w:val="-20"/>
      <w:sz w:val="24"/>
      <w:szCs w:val="24"/>
    </w:rPr>
  </w:style>
  <w:style w:type="character" w:customStyle="1" w:styleId="248">
    <w:name w:val="tw4winMark"/>
    <w:qFormat/>
    <w:uiPriority w:val="0"/>
    <w:rPr>
      <w:rFonts w:ascii="Courier New" w:hAnsi="Courier New" w:cs="Courier New"/>
      <w:vanish/>
      <w:color w:val="800080"/>
      <w:sz w:val="24"/>
      <w:szCs w:val="24"/>
      <w:vertAlign w:val="subscript"/>
    </w:rPr>
  </w:style>
  <w:style w:type="character" w:customStyle="1" w:styleId="249">
    <w:name w:val="正文样式 Char"/>
    <w:link w:val="250"/>
    <w:qFormat/>
    <w:uiPriority w:val="0"/>
    <w:rPr>
      <w:rFonts w:ascii="Calibri" w:hAnsi="Calibri"/>
      <w:sz w:val="24"/>
      <w:szCs w:val="24"/>
    </w:rPr>
  </w:style>
  <w:style w:type="paragraph" w:customStyle="1" w:styleId="250">
    <w:name w:val="正文样式"/>
    <w:basedOn w:val="1"/>
    <w:link w:val="249"/>
    <w:qFormat/>
    <w:uiPriority w:val="0"/>
    <w:pPr>
      <w:adjustRightInd/>
      <w:spacing w:line="360" w:lineRule="auto"/>
      <w:ind w:firstLine="480" w:firstLineChars="200"/>
    </w:pPr>
    <w:rPr>
      <w:kern w:val="0"/>
      <w:sz w:val="24"/>
    </w:rPr>
  </w:style>
  <w:style w:type="character" w:customStyle="1" w:styleId="251">
    <w:name w:val="表正文 Char3"/>
    <w:qFormat/>
    <w:uiPriority w:val="0"/>
    <w:rPr>
      <w:rFonts w:eastAsia="宋体"/>
    </w:rPr>
  </w:style>
  <w:style w:type="character" w:customStyle="1" w:styleId="252">
    <w:name w:val="H5 Char"/>
    <w:qFormat/>
    <w:uiPriority w:val="0"/>
    <w:rPr>
      <w:b/>
      <w:bCs/>
      <w:kern w:val="2"/>
      <w:sz w:val="28"/>
      <w:szCs w:val="28"/>
    </w:rPr>
  </w:style>
  <w:style w:type="character" w:customStyle="1" w:styleId="253">
    <w:name w:val="Char Char3"/>
    <w:qFormat/>
    <w:uiPriority w:val="0"/>
    <w:rPr>
      <w:rFonts w:eastAsia="宋体"/>
      <w:kern w:val="2"/>
      <w:sz w:val="21"/>
      <w:szCs w:val="24"/>
      <w:lang w:val="en-US" w:eastAsia="zh-CN" w:bidi="ar-SA"/>
    </w:rPr>
  </w:style>
  <w:style w:type="character" w:customStyle="1" w:styleId="254">
    <w:name w:val="正文 编号 Char"/>
    <w:qFormat/>
    <w:uiPriority w:val="0"/>
    <w:rPr>
      <w:rFonts w:ascii="仿宋_GB2312" w:hAnsi="仿宋_GB2312" w:eastAsia="仿宋_GB2312"/>
      <w:kern w:val="2"/>
      <w:sz w:val="24"/>
      <w:lang w:bidi="ar-SA"/>
    </w:rPr>
  </w:style>
  <w:style w:type="character" w:customStyle="1" w:styleId="255">
    <w:name w:val="question-title2"/>
    <w:qFormat/>
    <w:uiPriority w:val="6"/>
    <w:rPr>
      <w:rFonts w:ascii="Arial" w:hAnsi="Arial" w:eastAsia="黑体" w:cs="Arial"/>
      <w:snapToGrid w:val="0"/>
      <w:kern w:val="0"/>
      <w:szCs w:val="21"/>
    </w:rPr>
  </w:style>
  <w:style w:type="character" w:customStyle="1" w:styleId="256">
    <w:name w:val="gf正文1 Char Char"/>
    <w:link w:val="257"/>
    <w:qFormat/>
    <w:uiPriority w:val="0"/>
    <w:rPr>
      <w:rFonts w:ascii="宋体" w:hAnsi="宋体" w:cs="宋体"/>
      <w:kern w:val="2"/>
      <w:sz w:val="24"/>
      <w:szCs w:val="24"/>
    </w:rPr>
  </w:style>
  <w:style w:type="paragraph" w:customStyle="1" w:styleId="257">
    <w:name w:val="gf正文1"/>
    <w:basedOn w:val="1"/>
    <w:link w:val="256"/>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8">
    <w:name w:val="Char Char15"/>
    <w:qFormat/>
    <w:uiPriority w:val="6"/>
    <w:rPr>
      <w:rFonts w:ascii="宋体" w:hAnsi="宋体"/>
      <w:kern w:val="1"/>
      <w:sz w:val="21"/>
    </w:rPr>
  </w:style>
  <w:style w:type="character" w:customStyle="1" w:styleId="259">
    <w:name w:val="正文缩进 Char3"/>
    <w:qFormat/>
    <w:uiPriority w:val="0"/>
    <w:rPr>
      <w:rFonts w:ascii="宋体" w:eastAsia="宋体"/>
      <w:snapToGrid w:val="0"/>
      <w:color w:val="000000"/>
      <w:kern w:val="28"/>
      <w:sz w:val="28"/>
      <w:lang w:val="en-US" w:eastAsia="zh-CN" w:bidi="ar-SA"/>
    </w:rPr>
  </w:style>
  <w:style w:type="character" w:customStyle="1" w:styleId="260">
    <w:name w:val="列出段落 Char1"/>
    <w:link w:val="261"/>
    <w:qFormat/>
    <w:uiPriority w:val="0"/>
    <w:rPr>
      <w:rFonts w:ascii="Calibri" w:hAnsi="Calibri"/>
      <w:sz w:val="24"/>
      <w:lang w:eastAsia="en-US"/>
    </w:rPr>
  </w:style>
  <w:style w:type="paragraph" w:customStyle="1" w:styleId="261">
    <w:name w:val="列表1"/>
    <w:basedOn w:val="1"/>
    <w:next w:val="262"/>
    <w:link w:val="260"/>
    <w:qFormat/>
    <w:uiPriority w:val="0"/>
    <w:pPr>
      <w:adjustRightInd/>
      <w:spacing w:after="200" w:line="360" w:lineRule="auto"/>
      <w:ind w:left="720" w:firstLine="200" w:firstLineChars="200"/>
    </w:pPr>
    <w:rPr>
      <w:kern w:val="0"/>
      <w:sz w:val="24"/>
      <w:szCs w:val="20"/>
      <w:lang w:eastAsia="en-US"/>
    </w:rPr>
  </w:style>
  <w:style w:type="paragraph" w:customStyle="1" w:styleId="262">
    <w:name w:val="列表段落1"/>
    <w:basedOn w:val="1"/>
    <w:qFormat/>
    <w:uiPriority w:val="34"/>
    <w:pPr>
      <w:spacing w:line="360" w:lineRule="auto"/>
      <w:ind w:firstLine="200" w:firstLineChars="200"/>
    </w:pPr>
    <w:rPr>
      <w:rFonts w:eastAsia="楷体_GB2312" w:cs="Lucida Sans"/>
      <w:sz w:val="24"/>
    </w:rPr>
  </w:style>
  <w:style w:type="character" w:customStyle="1" w:styleId="263">
    <w:name w:val="Char Char8"/>
    <w:qFormat/>
    <w:uiPriority w:val="0"/>
    <w:rPr>
      <w:rFonts w:eastAsia="宋体"/>
      <w:b/>
      <w:sz w:val="24"/>
      <w:lang w:val="en-GB" w:eastAsia="zh-CN"/>
    </w:rPr>
  </w:style>
  <w:style w:type="character" w:customStyle="1" w:styleId="264">
    <w:name w:val="Normal Indent Char Char"/>
    <w:qFormat/>
    <w:uiPriority w:val="0"/>
    <w:rPr>
      <w:rFonts w:eastAsia="宋体"/>
      <w:kern w:val="2"/>
      <w:sz w:val="21"/>
      <w:lang w:val="en-US" w:eastAsia="zh-CN" w:bidi="ar-SA"/>
    </w:rPr>
  </w:style>
  <w:style w:type="character" w:customStyle="1" w:styleId="265">
    <w:name w:val="列表段落 字符"/>
    <w:qFormat/>
    <w:uiPriority w:val="99"/>
  </w:style>
  <w:style w:type="character" w:customStyle="1" w:styleId="266">
    <w:name w:val="Ò³Ã¼ Char Char1"/>
    <w:qFormat/>
    <w:uiPriority w:val="0"/>
    <w:rPr>
      <w:rFonts w:eastAsia="宋体"/>
      <w:kern w:val="2"/>
      <w:sz w:val="18"/>
      <w:szCs w:val="18"/>
      <w:lang w:val="en-US" w:eastAsia="zh-CN" w:bidi="ar-SA"/>
    </w:rPr>
  </w:style>
  <w:style w:type="character" w:customStyle="1" w:styleId="267">
    <w:name w:val="方案正文 Char"/>
    <w:qFormat/>
    <w:uiPriority w:val="0"/>
    <w:rPr>
      <w:rFonts w:ascii="仿宋_GB2312" w:eastAsia="仿宋_GB2312"/>
      <w:b/>
      <w:color w:val="000000"/>
      <w:kern w:val="2"/>
      <w:sz w:val="24"/>
      <w:lang w:val="en-US" w:eastAsia="zh-CN" w:bidi="ar-SA"/>
    </w:rPr>
  </w:style>
  <w:style w:type="character" w:customStyle="1" w:styleId="268">
    <w:name w:val="Char Char30"/>
    <w:qFormat/>
    <w:uiPriority w:val="6"/>
    <w:rPr>
      <w:rFonts w:ascii="Arial" w:hAnsi="Arial" w:eastAsia="黑体"/>
      <w:kern w:val="1"/>
      <w:sz w:val="21"/>
      <w:szCs w:val="21"/>
    </w:rPr>
  </w:style>
  <w:style w:type="character" w:customStyle="1" w:styleId="269">
    <w:name w:val="正文文本缩进 字符1"/>
    <w:link w:val="25"/>
    <w:qFormat/>
    <w:uiPriority w:val="0"/>
    <w:rPr>
      <w:rFonts w:ascii="宋体" w:hAnsi="宋体"/>
      <w:kern w:val="2"/>
      <w:sz w:val="24"/>
      <w:szCs w:val="24"/>
    </w:rPr>
  </w:style>
  <w:style w:type="character" w:customStyle="1" w:styleId="270">
    <w:name w:val="font01"/>
    <w:qFormat/>
    <w:uiPriority w:val="0"/>
    <w:rPr>
      <w:rFonts w:hint="eastAsia" w:ascii="微软雅黑" w:hAnsi="微软雅黑" w:eastAsia="微软雅黑" w:cs="微软雅黑"/>
      <w:color w:val="000000"/>
      <w:sz w:val="20"/>
      <w:szCs w:val="20"/>
      <w:u w:val="none"/>
    </w:rPr>
  </w:style>
  <w:style w:type="character" w:customStyle="1" w:styleId="271">
    <w:name w:val="Char Char20"/>
    <w:qFormat/>
    <w:uiPriority w:val="6"/>
    <w:rPr>
      <w:kern w:val="1"/>
      <w:sz w:val="24"/>
    </w:rPr>
  </w:style>
  <w:style w:type="character" w:customStyle="1" w:styleId="272">
    <w:name w:val="tw4winExternal"/>
    <w:qFormat/>
    <w:uiPriority w:val="0"/>
    <w:rPr>
      <w:rFonts w:ascii="Courier New" w:hAnsi="Courier New" w:cs="Courier New"/>
      <w:color w:val="808080"/>
      <w:lang w:val="en-US" w:eastAsia="zh-CN"/>
    </w:rPr>
  </w:style>
  <w:style w:type="character" w:customStyle="1" w:styleId="273">
    <w:name w:val="标题 4 Char1"/>
    <w:qFormat/>
    <w:uiPriority w:val="9"/>
    <w:rPr>
      <w:rFonts w:ascii="Cambria" w:hAnsi="Cambria" w:eastAsia="宋体" w:cs="Times New Roman"/>
      <w:b/>
      <w:bCs/>
      <w:kern w:val="2"/>
      <w:sz w:val="28"/>
      <w:szCs w:val="28"/>
    </w:rPr>
  </w:style>
  <w:style w:type="character" w:customStyle="1" w:styleId="274">
    <w:name w:val="批注文字 Char2"/>
    <w:qFormat/>
    <w:uiPriority w:val="99"/>
    <w:rPr>
      <w:rFonts w:ascii="Times New Roman" w:hAnsi="Times New Roman" w:eastAsia="宋体" w:cs="Times New Roman"/>
      <w:snapToGrid w:val="0"/>
      <w:kern w:val="0"/>
      <w:szCs w:val="24"/>
    </w:rPr>
  </w:style>
  <w:style w:type="character" w:customStyle="1" w:styleId="275">
    <w:name w:val="正文文本 2 Char"/>
    <w:qFormat/>
    <w:uiPriority w:val="0"/>
    <w:rPr>
      <w:rFonts w:eastAsia="宋体"/>
      <w:kern w:val="2"/>
      <w:sz w:val="21"/>
      <w:szCs w:val="24"/>
      <w:lang w:val="en-US" w:eastAsia="zh-CN" w:bidi="ar-SA"/>
    </w:rPr>
  </w:style>
  <w:style w:type="character" w:customStyle="1" w:styleId="276">
    <w:name w:val="Ò³Ã¼ Char Char"/>
    <w:qFormat/>
    <w:uiPriority w:val="0"/>
    <w:rPr>
      <w:rFonts w:eastAsia="宋体"/>
      <w:kern w:val="2"/>
      <w:sz w:val="18"/>
      <w:lang w:val="en-US" w:eastAsia="zh-CN" w:bidi="ar-SA"/>
    </w:rPr>
  </w:style>
  <w:style w:type="character" w:customStyle="1" w:styleId="277">
    <w:name w:val="message1"/>
    <w:qFormat/>
    <w:uiPriority w:val="0"/>
    <w:rPr>
      <w:rFonts w:hint="default" w:ascii="Tahoma" w:hAnsi="Tahoma" w:cs="Tahoma"/>
      <w:sz w:val="18"/>
      <w:szCs w:val="18"/>
    </w:rPr>
  </w:style>
  <w:style w:type="character" w:customStyle="1" w:styleId="278">
    <w:name w:val="Char Char23"/>
    <w:qFormat/>
    <w:uiPriority w:val="6"/>
    <w:rPr>
      <w:color w:val="0000FF"/>
      <w:sz w:val="21"/>
    </w:rPr>
  </w:style>
  <w:style w:type="character" w:customStyle="1" w:styleId="279">
    <w:name w:val="批注框文本 字符"/>
    <w:qFormat/>
    <w:uiPriority w:val="0"/>
    <w:rPr>
      <w:rFonts w:ascii="Arial" w:hAnsi="Arial" w:eastAsia="黑体" w:cs="Arial"/>
      <w:snapToGrid w:val="0"/>
      <w:kern w:val="0"/>
      <w:sz w:val="18"/>
      <w:szCs w:val="18"/>
    </w:rPr>
  </w:style>
  <w:style w:type="character" w:customStyle="1" w:styleId="280">
    <w:name w:val="纯文本 Char2"/>
    <w:semiHidden/>
    <w:qFormat/>
    <w:uiPriority w:val="99"/>
    <w:rPr>
      <w:rFonts w:ascii="宋体" w:hAnsi="Courier New" w:eastAsia="宋体" w:cs="Courier New"/>
    </w:rPr>
  </w:style>
  <w:style w:type="character" w:customStyle="1" w:styleId="281">
    <w:name w:val="Char Char25"/>
    <w:qFormat/>
    <w:uiPriority w:val="6"/>
    <w:rPr>
      <w:rFonts w:ascii="宋体" w:hAnsi="宋体"/>
      <w:kern w:val="1"/>
      <w:sz w:val="24"/>
      <w:lang w:val="zh-CN"/>
    </w:rPr>
  </w:style>
  <w:style w:type="character" w:customStyle="1" w:styleId="282">
    <w:name w:val="Char Char411"/>
    <w:qFormat/>
    <w:uiPriority w:val="0"/>
    <w:rPr>
      <w:rFonts w:eastAsia="宋体"/>
      <w:b/>
      <w:sz w:val="24"/>
      <w:lang w:val="en-GB" w:eastAsia="zh-CN" w:bidi="ar-SA"/>
    </w:rPr>
  </w:style>
  <w:style w:type="character" w:customStyle="1" w:styleId="283">
    <w:name w:val="Heading 7 Char"/>
    <w:qFormat/>
    <w:locked/>
    <w:uiPriority w:val="0"/>
    <w:rPr>
      <w:rFonts w:ascii="宋体" w:hAnsi="宋体" w:eastAsia="宋体"/>
      <w:b/>
      <w:bCs/>
      <w:kern w:val="2"/>
      <w:sz w:val="24"/>
      <w:szCs w:val="24"/>
      <w:lang w:val="en-US" w:eastAsia="zh-CN" w:bidi="ar-SA"/>
    </w:rPr>
  </w:style>
  <w:style w:type="character" w:customStyle="1" w:styleId="284">
    <w:name w:val="此正文 Char"/>
    <w:link w:val="285"/>
    <w:qFormat/>
    <w:uiPriority w:val="0"/>
    <w:rPr>
      <w:kern w:val="2"/>
      <w:sz w:val="24"/>
      <w:szCs w:val="24"/>
    </w:rPr>
  </w:style>
  <w:style w:type="paragraph" w:customStyle="1" w:styleId="285">
    <w:name w:val="此正文"/>
    <w:basedOn w:val="1"/>
    <w:link w:val="284"/>
    <w:qFormat/>
    <w:uiPriority w:val="0"/>
    <w:pPr>
      <w:adjustRightInd/>
      <w:spacing w:line="360" w:lineRule="auto"/>
      <w:ind w:firstLine="200" w:firstLineChars="200"/>
    </w:pPr>
    <w:rPr>
      <w:sz w:val="24"/>
    </w:rPr>
  </w:style>
  <w:style w:type="character" w:customStyle="1" w:styleId="286">
    <w:name w:val="Char Char2"/>
    <w:qFormat/>
    <w:uiPriority w:val="0"/>
    <w:rPr>
      <w:rFonts w:eastAsia="宋体"/>
      <w:b/>
      <w:bCs/>
      <w:kern w:val="2"/>
      <w:sz w:val="21"/>
      <w:szCs w:val="24"/>
      <w:lang w:val="en-US" w:eastAsia="zh-CN" w:bidi="ar-SA"/>
    </w:rPr>
  </w:style>
  <w:style w:type="character" w:customStyle="1" w:styleId="287">
    <w:name w:val="标题 1 字符1"/>
    <w:link w:val="2"/>
    <w:qFormat/>
    <w:uiPriority w:val="9"/>
    <w:rPr>
      <w:rFonts w:hAnsi="宋体" w:cs="宋体"/>
      <w:b/>
      <w:bCs/>
      <w:spacing w:val="1"/>
      <w:kern w:val="44"/>
      <w:sz w:val="24"/>
      <w:szCs w:val="24"/>
    </w:rPr>
  </w:style>
  <w:style w:type="character" w:customStyle="1" w:styleId="288">
    <w:name w:val="Footer-Even Char1"/>
    <w:qFormat/>
    <w:uiPriority w:val="0"/>
    <w:rPr>
      <w:rFonts w:eastAsia="宋体"/>
      <w:kern w:val="2"/>
      <w:sz w:val="18"/>
      <w:szCs w:val="18"/>
      <w:lang w:val="en-US" w:eastAsia="zh-CN" w:bidi="ar-SA"/>
    </w:rPr>
  </w:style>
  <w:style w:type="character" w:customStyle="1" w:styleId="289">
    <w:name w:val="Char Char29"/>
    <w:qFormat/>
    <w:uiPriority w:val="6"/>
    <w:rPr>
      <w:rFonts w:ascii="Arial" w:hAnsi="Arial" w:eastAsia="微软雅黑"/>
      <w:b/>
      <w:kern w:val="1"/>
      <w:sz w:val="44"/>
      <w:szCs w:val="32"/>
      <w:lang w:val="en-US" w:eastAsia="zh-CN" w:bidi="ar-SA"/>
    </w:rPr>
  </w:style>
  <w:style w:type="character" w:customStyle="1" w:styleId="290">
    <w:name w:val="标题 字符"/>
    <w:link w:val="60"/>
    <w:qFormat/>
    <w:uiPriority w:val="10"/>
    <w:rPr>
      <w:b/>
      <w:sz w:val="24"/>
      <w:lang w:val="en-GB"/>
    </w:rPr>
  </w:style>
  <w:style w:type="character" w:customStyle="1" w:styleId="291">
    <w:name w:val="font81"/>
    <w:qFormat/>
    <w:uiPriority w:val="0"/>
    <w:rPr>
      <w:rFonts w:ascii="微软雅黑" w:hAnsi="微软雅黑" w:eastAsia="微软雅黑" w:cs="微软雅黑"/>
      <w:color w:val="000000"/>
      <w:sz w:val="20"/>
      <w:szCs w:val="20"/>
      <w:u w:val="none"/>
    </w:rPr>
  </w:style>
  <w:style w:type="character" w:customStyle="1" w:styleId="292">
    <w:name w:val="Char Char312"/>
    <w:qFormat/>
    <w:uiPriority w:val="0"/>
    <w:rPr>
      <w:rFonts w:ascii="Times New Roman" w:hAnsi="Times New Roman" w:eastAsia="宋体" w:cs="Times New Roman"/>
      <w:b/>
      <w:kern w:val="2"/>
      <w:sz w:val="32"/>
      <w:szCs w:val="24"/>
      <w:lang w:val="en-US" w:eastAsia="zh-CN" w:bidi="ar-SA"/>
    </w:rPr>
  </w:style>
  <w:style w:type="character" w:customStyle="1" w:styleId="293">
    <w:name w:val="t21"/>
    <w:qFormat/>
    <w:uiPriority w:val="0"/>
    <w:rPr>
      <w:rFonts w:ascii="仿宋_GB2312" w:eastAsia="微软雅黑"/>
      <w:b/>
      <w:kern w:val="2"/>
      <w:sz w:val="23"/>
      <w:szCs w:val="23"/>
      <w:lang w:val="en-US" w:eastAsia="zh-CN" w:bidi="ar-SA"/>
    </w:rPr>
  </w:style>
  <w:style w:type="character" w:customStyle="1" w:styleId="294">
    <w:name w:val="样式8 Char"/>
    <w:qFormat/>
    <w:uiPriority w:val="0"/>
    <w:rPr>
      <w:rFonts w:ascii="仿宋_GB2312" w:hAnsi="宋体" w:eastAsia="仿宋_GB2312"/>
      <w:b/>
      <w:bCs/>
      <w:kern w:val="2"/>
      <w:sz w:val="24"/>
      <w:szCs w:val="24"/>
    </w:rPr>
  </w:style>
  <w:style w:type="character" w:customStyle="1" w:styleId="295">
    <w:name w:val="表格 Char Char"/>
    <w:qFormat/>
    <w:uiPriority w:val="0"/>
    <w:rPr>
      <w:rFonts w:ascii="宋体" w:hAnsi="宋体" w:eastAsia="宋体"/>
      <w:lang w:bidi="ar-SA"/>
    </w:rPr>
  </w:style>
  <w:style w:type="character" w:customStyle="1" w:styleId="296">
    <w:name w:val="正文文本 字符1"/>
    <w:qFormat/>
    <w:uiPriority w:val="0"/>
    <w:rPr>
      <w:rFonts w:ascii="Calibri" w:hAnsi="Calibri" w:eastAsia="黑体" w:cs="Arial"/>
      <w:snapToGrid w:val="0"/>
      <w:kern w:val="2"/>
      <w:sz w:val="28"/>
      <w:szCs w:val="21"/>
    </w:rPr>
  </w:style>
  <w:style w:type="character" w:customStyle="1" w:styleId="297">
    <w:name w:val="标题 5 字符"/>
    <w:link w:val="7"/>
    <w:qFormat/>
    <w:uiPriority w:val="9"/>
    <w:rPr>
      <w:b/>
      <w:bCs/>
      <w:kern w:val="2"/>
      <w:sz w:val="28"/>
      <w:szCs w:val="28"/>
    </w:rPr>
  </w:style>
  <w:style w:type="character" w:customStyle="1" w:styleId="298">
    <w:name w:val="标题 6 Char1"/>
    <w:qFormat/>
    <w:uiPriority w:val="0"/>
    <w:rPr>
      <w:rFonts w:ascii="Arial" w:hAnsi="Arial" w:eastAsia="黑体" w:cs="Times New Roman"/>
      <w:b/>
      <w:sz w:val="24"/>
      <w:szCs w:val="20"/>
      <w:lang w:bidi="ar-SA"/>
    </w:rPr>
  </w:style>
  <w:style w:type="character" w:customStyle="1" w:styleId="299">
    <w:name w:val="带编号样式 Char"/>
    <w:qFormat/>
    <w:uiPriority w:val="0"/>
    <w:rPr>
      <w:rFonts w:ascii="仿宋_GB2312" w:eastAsia="仿宋_GB2312"/>
      <w:color w:val="000000"/>
      <w:sz w:val="24"/>
      <w:lang w:bidi="ar-SA"/>
    </w:rPr>
  </w:style>
  <w:style w:type="character" w:customStyle="1" w:styleId="300">
    <w:name w:val="unnamed31"/>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qFormat/>
    <w:uiPriority w:val="0"/>
    <w:rPr>
      <w:rFonts w:ascii="宋体" w:eastAsia="宋体"/>
      <w:kern w:val="2"/>
      <w:sz w:val="24"/>
      <w:szCs w:val="24"/>
      <w:lang w:val="zh-CN" w:bidi="ar-SA"/>
    </w:rPr>
  </w:style>
  <w:style w:type="character" w:customStyle="1" w:styleId="302">
    <w:name w:val="称呼 字符"/>
    <w:link w:val="20"/>
    <w:qFormat/>
    <w:uiPriority w:val="0"/>
    <w:rPr>
      <w:rFonts w:ascii="仿宋_GB2312" w:eastAsia="仿宋_GB2312"/>
      <w:kern w:val="2"/>
      <w:sz w:val="28"/>
    </w:rPr>
  </w:style>
  <w:style w:type="character" w:customStyle="1" w:styleId="303">
    <w:name w:val="文本正文 Char Char"/>
    <w:qFormat/>
    <w:locked/>
    <w:uiPriority w:val="0"/>
    <w:rPr>
      <w:sz w:val="24"/>
      <w:lang w:bidi="ar-SA"/>
    </w:rPr>
  </w:style>
  <w:style w:type="character" w:customStyle="1" w:styleId="304">
    <w:name w:val="正文缩进 字符"/>
    <w:qFormat/>
    <w:uiPriority w:val="0"/>
    <w:rPr>
      <w:rFonts w:ascii="宋体" w:eastAsia="宋体"/>
      <w:snapToGrid w:val="0"/>
      <w:color w:val="000000"/>
      <w:kern w:val="28"/>
      <w:sz w:val="28"/>
      <w:lang w:val="en-US" w:eastAsia="zh-CN" w:bidi="ar-SA"/>
    </w:rPr>
  </w:style>
  <w:style w:type="character" w:customStyle="1" w:styleId="305">
    <w:name w:val="HTML 预设格式 字符"/>
    <w:link w:val="58"/>
    <w:qFormat/>
    <w:uiPriority w:val="0"/>
    <w:rPr>
      <w:rFonts w:ascii="黑体" w:hAnsi="Courier New" w:eastAsia="黑体"/>
    </w:rPr>
  </w:style>
  <w:style w:type="character" w:customStyle="1" w:styleId="306">
    <w:name w:val="正文文本 2 字符1"/>
    <w:link w:val="57"/>
    <w:qFormat/>
    <w:uiPriority w:val="0"/>
    <w:rPr>
      <w:kern w:val="2"/>
      <w:sz w:val="21"/>
      <w:szCs w:val="24"/>
    </w:rPr>
  </w:style>
  <w:style w:type="character" w:customStyle="1" w:styleId="307">
    <w:name w:val="样式 样式 标题 4h4H4Fab-4T5Ref Heading 1rh1Heading sqlsect 1.2.3.... +... Char"/>
    <w:link w:val="308"/>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qFormat/>
    <w:uiPriority w:val="0"/>
    <w:pPr>
      <w:tabs>
        <w:tab w:val="left" w:pos="2356"/>
      </w:tabs>
    </w:pPr>
  </w:style>
  <w:style w:type="paragraph" w:customStyle="1" w:styleId="309">
    <w:name w:val="样式 标题 4h4H4Fab-4T5Ref Heading 1rh1Heading sqlsect 1.2.3...."/>
    <w:basedOn w:val="6"/>
    <w:link w:val="417"/>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qFormat/>
    <w:uiPriority w:val="0"/>
    <w:rPr>
      <w:rFonts w:ascii="宋体" w:eastAsia="宋体"/>
      <w:snapToGrid w:val="0"/>
      <w:color w:val="000000"/>
      <w:kern w:val="28"/>
      <w:sz w:val="28"/>
      <w:lang w:val="en-US" w:eastAsia="zh-CN" w:bidi="ar-SA"/>
    </w:rPr>
  </w:style>
  <w:style w:type="character" w:customStyle="1" w:styleId="311">
    <w:name w:val="标题 7 字符"/>
    <w:link w:val="9"/>
    <w:qFormat/>
    <w:uiPriority w:val="0"/>
    <w:rPr>
      <w:b/>
      <w:bCs/>
      <w:kern w:val="2"/>
      <w:sz w:val="24"/>
      <w:szCs w:val="24"/>
    </w:rPr>
  </w:style>
  <w:style w:type="character" w:customStyle="1" w:styleId="312">
    <w:name w:val="正文文本缩进 2 字符"/>
    <w:link w:val="37"/>
    <w:qFormat/>
    <w:uiPriority w:val="0"/>
    <w:rPr>
      <w:rFonts w:ascii="宋体"/>
      <w:sz w:val="28"/>
    </w:rPr>
  </w:style>
  <w:style w:type="character" w:customStyle="1" w:styleId="313">
    <w:name w:val="Char Char5"/>
    <w:qFormat/>
    <w:uiPriority w:val="0"/>
    <w:rPr>
      <w:rFonts w:ascii="宋体" w:hAnsi="Courier New" w:eastAsia="宋体"/>
      <w:kern w:val="2"/>
      <w:sz w:val="21"/>
      <w:lang w:val="en-US" w:eastAsia="zh-CN"/>
    </w:rPr>
  </w:style>
  <w:style w:type="character" w:customStyle="1" w:styleId="314">
    <w:name w:val="脚注文本 字符"/>
    <w:link w:val="51"/>
    <w:qFormat/>
    <w:uiPriority w:val="0"/>
    <w:rPr>
      <w:color w:val="0000FF"/>
      <w:sz w:val="21"/>
    </w:rPr>
  </w:style>
  <w:style w:type="character" w:customStyle="1" w:styleId="315">
    <w:name w:val="称呼 Char1"/>
    <w:qFormat/>
    <w:uiPriority w:val="0"/>
    <w:rPr>
      <w:rFonts w:ascii="Times New Roman" w:hAnsi="Times New Roman" w:eastAsia="宋体" w:cs="Times New Roman"/>
      <w:szCs w:val="24"/>
    </w:rPr>
  </w:style>
  <w:style w:type="character" w:customStyle="1" w:styleId="316">
    <w:name w:val="正文1 Char"/>
    <w:qFormat/>
    <w:uiPriority w:val="0"/>
    <w:rPr>
      <w:rFonts w:ascii="宋体" w:eastAsia="宋体"/>
      <w:snapToGrid w:val="0"/>
      <w:color w:val="000000"/>
      <w:kern w:val="28"/>
      <w:sz w:val="28"/>
      <w:lang w:val="en-US" w:eastAsia="zh-CN" w:bidi="ar-SA"/>
    </w:rPr>
  </w:style>
  <w:style w:type="character" w:customStyle="1" w:styleId="317">
    <w:name w:val="正文缩进 Char1"/>
    <w:qFormat/>
    <w:uiPriority w:val="0"/>
    <w:rPr>
      <w:rFonts w:ascii="宋体" w:eastAsia="宋体"/>
      <w:snapToGrid w:val="0"/>
      <w:color w:val="000000"/>
      <w:kern w:val="28"/>
      <w:sz w:val="28"/>
      <w:lang w:val="en-US" w:eastAsia="zh-CN" w:bidi="ar-SA"/>
    </w:rPr>
  </w:style>
  <w:style w:type="character" w:customStyle="1" w:styleId="318">
    <w:name w:val="font21"/>
    <w:qFormat/>
    <w:uiPriority w:val="0"/>
    <w:rPr>
      <w:rFonts w:hint="eastAsia" w:ascii="宋体" w:hAnsi="宋体" w:eastAsia="宋体"/>
      <w:kern w:val="2"/>
      <w:sz w:val="28"/>
      <w:szCs w:val="28"/>
      <w:lang w:val="en-US" w:eastAsia="zh-CN" w:bidi="ar-SA"/>
    </w:rPr>
  </w:style>
  <w:style w:type="character" w:customStyle="1" w:styleId="319">
    <w:name w:val="Char Char26"/>
    <w:qFormat/>
    <w:uiPriority w:val="6"/>
    <w:rPr>
      <w:kern w:val="1"/>
      <w:sz w:val="21"/>
      <w:szCs w:val="24"/>
    </w:rPr>
  </w:style>
  <w:style w:type="character" w:customStyle="1" w:styleId="320">
    <w:name w:val="Item List Char"/>
    <w:link w:val="321"/>
    <w:qFormat/>
    <w:uiPriority w:val="0"/>
    <w:rPr>
      <w:rFonts w:ascii="Arial"/>
      <w:bCs/>
      <w:sz w:val="21"/>
      <w:szCs w:val="21"/>
      <w:lang w:val="en-US" w:eastAsia="zh-CN" w:bidi="ar-SA"/>
    </w:rPr>
  </w:style>
  <w:style w:type="paragraph" w:customStyle="1" w:styleId="321">
    <w:name w:val="Item List"/>
    <w:link w:val="32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qFormat/>
    <w:uiPriority w:val="0"/>
    <w:rPr>
      <w:rFonts w:ascii="Times New Roman" w:hAnsi="Times New Roman" w:eastAsia="宋体" w:cs="Times New Roman"/>
      <w:sz w:val="18"/>
      <w:szCs w:val="18"/>
    </w:rPr>
  </w:style>
  <w:style w:type="character" w:customStyle="1" w:styleId="323">
    <w:name w:val="纯文本 Char1"/>
    <w:link w:val="324"/>
    <w:qFormat/>
    <w:uiPriority w:val="0"/>
    <w:rPr>
      <w:rFonts w:ascii="宋体" w:hAnsi="Courier New"/>
    </w:rPr>
  </w:style>
  <w:style w:type="paragraph" w:customStyle="1" w:styleId="324">
    <w:name w:val="纯文本1"/>
    <w:basedOn w:val="1"/>
    <w:link w:val="323"/>
    <w:qFormat/>
    <w:uiPriority w:val="0"/>
    <w:pPr>
      <w:adjustRightInd/>
    </w:pPr>
    <w:rPr>
      <w:rFonts w:ascii="宋体" w:hAnsi="Courier New"/>
      <w:kern w:val="0"/>
      <w:sz w:val="20"/>
      <w:szCs w:val="20"/>
    </w:rPr>
  </w:style>
  <w:style w:type="character" w:customStyle="1" w:styleId="325">
    <w:name w:val="正文文本首行缩进 字符"/>
    <w:link w:val="62"/>
    <w:qFormat/>
    <w:uiPriority w:val="0"/>
    <w:rPr>
      <w:rFonts w:ascii="宋体"/>
      <w:kern w:val="2"/>
      <w:sz w:val="24"/>
      <w:lang w:val="zh-CN"/>
    </w:rPr>
  </w:style>
  <w:style w:type="character" w:customStyle="1" w:styleId="326">
    <w:name w:val="h3 Char"/>
    <w:qFormat/>
    <w:uiPriority w:val="0"/>
    <w:rPr>
      <w:rFonts w:eastAsia="宋体"/>
      <w:b/>
      <w:kern w:val="2"/>
      <w:sz w:val="32"/>
      <w:lang w:val="en-US" w:eastAsia="zh-CN" w:bidi="ar-SA"/>
    </w:rPr>
  </w:style>
  <w:style w:type="character" w:customStyle="1" w:styleId="327">
    <w:name w:val="dandyren_title1"/>
    <w:qFormat/>
    <w:uiPriority w:val="0"/>
    <w:rPr>
      <w:b/>
      <w:bCs/>
      <w:color w:val="FF6633"/>
      <w:sz w:val="18"/>
      <w:szCs w:val="18"/>
    </w:rPr>
  </w:style>
  <w:style w:type="character" w:customStyle="1" w:styleId="328">
    <w:name w:val="Char Char31"/>
    <w:qFormat/>
    <w:uiPriority w:val="6"/>
    <w:rPr>
      <w:rFonts w:ascii="Arial" w:hAnsi="Arial" w:eastAsia="黑体"/>
      <w:kern w:val="1"/>
      <w:sz w:val="24"/>
      <w:szCs w:val="24"/>
    </w:rPr>
  </w:style>
  <w:style w:type="character" w:customStyle="1" w:styleId="329">
    <w:name w:val="h Char1"/>
    <w:qFormat/>
    <w:uiPriority w:val="0"/>
    <w:rPr>
      <w:sz w:val="18"/>
      <w:szCs w:val="18"/>
    </w:rPr>
  </w:style>
  <w:style w:type="character" w:customStyle="1" w:styleId="330">
    <w:name w:val="solutionfonts"/>
    <w:qFormat/>
    <w:uiPriority w:val="0"/>
  </w:style>
  <w:style w:type="character" w:customStyle="1" w:styleId="331">
    <w:name w:val="标题 4 字符1"/>
    <w:link w:val="6"/>
    <w:qFormat/>
    <w:uiPriority w:val="9"/>
    <w:rPr>
      <w:rFonts w:ascii="Arial" w:hAnsi="Arial" w:eastAsia="黑体"/>
      <w:b/>
      <w:bCs/>
      <w:kern w:val="2"/>
      <w:sz w:val="28"/>
      <w:szCs w:val="28"/>
      <w:lang w:val="zh-CN"/>
    </w:rPr>
  </w:style>
  <w:style w:type="character" w:customStyle="1" w:styleId="332">
    <w:name w:val="首行缩进 Char"/>
    <w:qFormat/>
    <w:uiPriority w:val="0"/>
    <w:rPr>
      <w:rFonts w:ascii="宋体" w:eastAsia="宋体"/>
      <w:kern w:val="2"/>
      <w:sz w:val="24"/>
      <w:lang w:val="en-US" w:eastAsia="zh-CN" w:bidi="ar-SA"/>
    </w:rPr>
  </w:style>
  <w:style w:type="character" w:customStyle="1" w:styleId="333">
    <w:name w:val="Char Char52"/>
    <w:qFormat/>
    <w:uiPriority w:val="0"/>
    <w:rPr>
      <w:rFonts w:ascii="宋体" w:hAnsi="Courier New" w:eastAsia="宋体"/>
      <w:kern w:val="2"/>
      <w:sz w:val="21"/>
      <w:lang w:val="en-US" w:eastAsia="zh-CN"/>
    </w:rPr>
  </w:style>
  <w:style w:type="character" w:customStyle="1" w:styleId="334">
    <w:name w:val="正文文本 3 字符"/>
    <w:link w:val="21"/>
    <w:qFormat/>
    <w:uiPriority w:val="0"/>
    <w:rPr>
      <w:kern w:val="2"/>
      <w:sz w:val="21"/>
    </w:rPr>
  </w:style>
  <w:style w:type="character" w:customStyle="1" w:styleId="335">
    <w:name w:val="font31"/>
    <w:basedOn w:val="72"/>
    <w:qFormat/>
    <w:uiPriority w:val="0"/>
    <w:rPr>
      <w:rFonts w:hint="eastAsia" w:ascii="仿宋" w:hAnsi="仿宋" w:eastAsia="仿宋" w:cs="仿宋"/>
      <w:color w:val="000000"/>
      <w:sz w:val="20"/>
      <w:szCs w:val="20"/>
      <w:u w:val="none"/>
    </w:rPr>
  </w:style>
  <w:style w:type="character" w:customStyle="1" w:styleId="336">
    <w:name w:val="正文说明 Char"/>
    <w:link w:val="337"/>
    <w:qFormat/>
    <w:uiPriority w:val="0"/>
    <w:rPr>
      <w:sz w:val="24"/>
      <w:szCs w:val="24"/>
    </w:rPr>
  </w:style>
  <w:style w:type="paragraph" w:customStyle="1" w:styleId="337">
    <w:name w:val="正文说明"/>
    <w:basedOn w:val="1"/>
    <w:link w:val="336"/>
    <w:qFormat/>
    <w:uiPriority w:val="0"/>
    <w:pPr>
      <w:adjustRightInd/>
      <w:spacing w:line="360" w:lineRule="auto"/>
    </w:pPr>
    <w:rPr>
      <w:kern w:val="0"/>
      <w:sz w:val="24"/>
    </w:rPr>
  </w:style>
  <w:style w:type="character" w:customStyle="1" w:styleId="338">
    <w:name w:val="脚注文本 Char1"/>
    <w:qFormat/>
    <w:uiPriority w:val="0"/>
    <w:rPr>
      <w:rFonts w:ascii="Times New Roman" w:hAnsi="Times New Roman" w:eastAsia="宋体" w:cs="Times New Roman"/>
      <w:sz w:val="18"/>
      <w:szCs w:val="18"/>
    </w:rPr>
  </w:style>
  <w:style w:type="character" w:customStyle="1" w:styleId="339">
    <w:name w:val="Char Char1211"/>
    <w:qFormat/>
    <w:uiPriority w:val="0"/>
    <w:rPr>
      <w:rFonts w:ascii="仿宋_GB2312" w:eastAsia="仿宋_GB2312"/>
      <w:b/>
      <w:bCs/>
      <w:kern w:val="2"/>
      <w:sz w:val="24"/>
      <w:szCs w:val="24"/>
      <w:lang w:val="zh-CN" w:eastAsia="zh-CN" w:bidi="ar-SA"/>
    </w:rPr>
  </w:style>
  <w:style w:type="character" w:customStyle="1" w:styleId="340">
    <w:name w:val="标题 Char"/>
    <w:qFormat/>
    <w:uiPriority w:val="0"/>
    <w:rPr>
      <w:rFonts w:eastAsia="宋体"/>
      <w:b/>
      <w:sz w:val="24"/>
      <w:lang w:val="en-GB" w:eastAsia="zh-CN" w:bidi="ar-SA"/>
    </w:rPr>
  </w:style>
  <w:style w:type="character" w:customStyle="1" w:styleId="341">
    <w:name w:val="Char Char35"/>
    <w:qFormat/>
    <w:uiPriority w:val="6"/>
    <w:rPr>
      <w:rFonts w:ascii="Arial" w:hAnsi="Arial" w:eastAsia="黑体"/>
      <w:b/>
      <w:kern w:val="1"/>
      <w:sz w:val="28"/>
      <w:szCs w:val="28"/>
      <w:lang w:val="zh-CN"/>
    </w:rPr>
  </w:style>
  <w:style w:type="character" w:customStyle="1" w:styleId="342">
    <w:name w:val="纯文本 Char Char Char"/>
    <w:qFormat/>
    <w:uiPriority w:val="0"/>
    <w:rPr>
      <w:rFonts w:ascii="宋体" w:hAnsi="Courier New" w:eastAsia="宋体"/>
      <w:kern w:val="2"/>
      <w:sz w:val="21"/>
      <w:lang w:val="en-US" w:eastAsia="zh-CN" w:bidi="ar-SA"/>
    </w:rPr>
  </w:style>
  <w:style w:type="character" w:customStyle="1" w:styleId="343">
    <w:name w:val="Table Text Char"/>
    <w:link w:val="344"/>
    <w:qFormat/>
    <w:uiPriority w:val="0"/>
    <w:rPr>
      <w:sz w:val="24"/>
      <w:szCs w:val="24"/>
    </w:rPr>
  </w:style>
  <w:style w:type="paragraph" w:customStyle="1" w:styleId="344">
    <w:name w:val="Table Text"/>
    <w:basedOn w:val="1"/>
    <w:link w:val="343"/>
    <w:qFormat/>
    <w:uiPriority w:val="0"/>
    <w:pPr>
      <w:spacing w:before="60" w:after="60"/>
    </w:pPr>
    <w:rPr>
      <w:kern w:val="0"/>
      <w:sz w:val="24"/>
    </w:rPr>
  </w:style>
  <w:style w:type="character" w:customStyle="1" w:styleId="345">
    <w:name w:val="正文1 Char1"/>
    <w:qFormat/>
    <w:uiPriority w:val="0"/>
    <w:rPr>
      <w:rFonts w:ascii="仿宋_GB2312" w:hAnsi="Courier New" w:eastAsia="仿宋_GB2312"/>
      <w:kern w:val="28"/>
      <w:sz w:val="24"/>
      <w:szCs w:val="24"/>
      <w:lang w:val="en-US" w:eastAsia="zh-CN"/>
    </w:rPr>
  </w:style>
  <w:style w:type="character" w:customStyle="1" w:styleId="346">
    <w:name w:val="页脚 Char1"/>
    <w:qFormat/>
    <w:uiPriority w:val="0"/>
    <w:rPr>
      <w:rFonts w:eastAsia="宋体"/>
      <w:kern w:val="2"/>
      <w:sz w:val="18"/>
      <w:szCs w:val="18"/>
      <w:lang w:val="en-US" w:eastAsia="zh-CN" w:bidi="ar-SA"/>
    </w:rPr>
  </w:style>
  <w:style w:type="character" w:customStyle="1" w:styleId="347">
    <w:name w:val="Bold"/>
    <w:qFormat/>
    <w:uiPriority w:val="0"/>
    <w:rPr>
      <w:rFonts w:ascii="Arial" w:hAnsi="Arial" w:eastAsia="黑体" w:cs="Times New Roman"/>
      <w:b/>
      <w:kern w:val="2"/>
      <w:sz w:val="32"/>
      <w:szCs w:val="32"/>
      <w:lang w:val="en-US" w:eastAsia="zh-CN" w:bidi="ar-SA"/>
    </w:rPr>
  </w:style>
  <w:style w:type="character" w:customStyle="1" w:styleId="348">
    <w:name w:val="批注文字 字符1"/>
    <w:link w:val="19"/>
    <w:qFormat/>
    <w:uiPriority w:val="0"/>
    <w:rPr>
      <w:kern w:val="2"/>
      <w:sz w:val="21"/>
      <w:szCs w:val="24"/>
    </w:rPr>
  </w:style>
  <w:style w:type="character" w:customStyle="1" w:styleId="349">
    <w:name w:val="签名 字符"/>
    <w:link w:val="43"/>
    <w:qFormat/>
    <w:uiPriority w:val="0"/>
    <w:rPr>
      <w:rFonts w:eastAsia="仿宋_GB2312"/>
      <w:sz w:val="24"/>
    </w:rPr>
  </w:style>
  <w:style w:type="character" w:customStyle="1" w:styleId="350">
    <w:name w:val="hui3"/>
    <w:qFormat/>
    <w:uiPriority w:val="0"/>
    <w:rPr>
      <w:color w:val="333333"/>
    </w:rPr>
  </w:style>
  <w:style w:type="character" w:customStyle="1" w:styleId="351">
    <w:name w:val="Char Char17"/>
    <w:qFormat/>
    <w:uiPriority w:val="6"/>
    <w:rPr>
      <w:rFonts w:eastAsia="仿宋_GB2312"/>
      <w:sz w:val="24"/>
    </w:rPr>
  </w:style>
  <w:style w:type="character" w:customStyle="1" w:styleId="352">
    <w:name w:val="标题 4 字符"/>
    <w:qFormat/>
    <w:uiPriority w:val="9"/>
    <w:rPr>
      <w:rFonts w:ascii="等线 Light" w:hAnsi="等线 Light" w:eastAsia="等线 Light" w:cs="Times New Roman"/>
      <w:b/>
      <w:bCs/>
      <w:snapToGrid w:val="0"/>
      <w:kern w:val="0"/>
      <w:sz w:val="28"/>
      <w:szCs w:val="28"/>
    </w:rPr>
  </w:style>
  <w:style w:type="character" w:customStyle="1" w:styleId="353">
    <w:name w:val="Char Char37"/>
    <w:qFormat/>
    <w:uiPriority w:val="6"/>
    <w:rPr>
      <w:b/>
      <w:kern w:val="1"/>
      <w:sz w:val="44"/>
      <w:szCs w:val="44"/>
    </w:rPr>
  </w:style>
  <w:style w:type="character" w:customStyle="1" w:styleId="354">
    <w:name w:val="列出段落 Char"/>
    <w:qFormat/>
    <w:uiPriority w:val="0"/>
    <w:rPr>
      <w:rFonts w:eastAsia="楷体_GB2312" w:cs="Lucida Sans"/>
      <w:kern w:val="2"/>
      <w:sz w:val="24"/>
      <w:szCs w:val="24"/>
      <w:lang w:val="en-US" w:eastAsia="zh-CN" w:bidi="ar-SA"/>
    </w:rPr>
  </w:style>
  <w:style w:type="character" w:customStyle="1" w:styleId="355">
    <w:name w:val="正文文本缩进 3 Char1"/>
    <w:semiHidden/>
    <w:qFormat/>
    <w:uiPriority w:val="99"/>
    <w:rPr>
      <w:rFonts w:ascii="Times New Roman" w:hAnsi="Times New Roman" w:eastAsia="宋体" w:cs="Times New Roman"/>
      <w:sz w:val="16"/>
      <w:szCs w:val="16"/>
    </w:rPr>
  </w:style>
  <w:style w:type="character" w:customStyle="1" w:styleId="356">
    <w:name w:val="公文正文 Char Char"/>
    <w:link w:val="357"/>
    <w:qFormat/>
    <w:uiPriority w:val="0"/>
    <w:rPr>
      <w:rFonts w:ascii="仿宋_GB2312" w:eastAsia="仿宋_GB2312"/>
      <w:kern w:val="2"/>
      <w:sz w:val="24"/>
      <w:szCs w:val="24"/>
    </w:rPr>
  </w:style>
  <w:style w:type="paragraph" w:customStyle="1" w:styleId="357">
    <w:name w:val="公文正文"/>
    <w:basedOn w:val="1"/>
    <w:link w:val="356"/>
    <w:qFormat/>
    <w:uiPriority w:val="0"/>
    <w:pPr>
      <w:adjustRightInd/>
      <w:spacing w:before="156" w:line="360" w:lineRule="auto"/>
      <w:ind w:firstLine="360" w:firstLineChars="200"/>
    </w:pPr>
    <w:rPr>
      <w:rFonts w:ascii="仿宋_GB2312" w:eastAsia="仿宋_GB2312"/>
      <w:sz w:val="24"/>
    </w:rPr>
  </w:style>
  <w:style w:type="character" w:customStyle="1" w:styleId="358">
    <w:name w:val="Table Text Char1"/>
    <w:qFormat/>
    <w:uiPriority w:val="0"/>
    <w:rPr>
      <w:rFonts w:eastAsia="宋体"/>
      <w:sz w:val="24"/>
      <w:szCs w:val="24"/>
      <w:lang w:val="en-US" w:eastAsia="zh-CN" w:bidi="ar-SA"/>
    </w:rPr>
  </w:style>
  <w:style w:type="character" w:customStyle="1" w:styleId="359">
    <w:name w:val="标题 1 Char Char"/>
    <w:basedOn w:val="72"/>
    <w:qFormat/>
    <w:uiPriority w:val="0"/>
    <w:rPr>
      <w:rFonts w:hint="eastAsia" w:ascii="宋体" w:hAnsi="宋体" w:eastAsia="宋体"/>
      <w:b/>
      <w:spacing w:val="-2"/>
      <w:sz w:val="24"/>
      <w:lang w:val="en-US" w:eastAsia="zh-CN" w:bidi="ar-SA"/>
    </w:rPr>
  </w:style>
  <w:style w:type="character" w:customStyle="1" w:styleId="360">
    <w:name w:val="正文（缩进2汉字） Char"/>
    <w:link w:val="361"/>
    <w:qFormat/>
    <w:uiPriority w:val="0"/>
    <w:rPr>
      <w:rFonts w:ascii="宋体"/>
    </w:rPr>
  </w:style>
  <w:style w:type="paragraph" w:customStyle="1" w:styleId="361">
    <w:name w:val="正文（缩进2汉字）"/>
    <w:basedOn w:val="1"/>
    <w:link w:val="36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题 8 字符"/>
    <w:link w:val="10"/>
    <w:qFormat/>
    <w:uiPriority w:val="0"/>
    <w:rPr>
      <w:rFonts w:ascii="Arial" w:hAnsi="Arial" w:eastAsia="黑体"/>
      <w:kern w:val="2"/>
      <w:sz w:val="24"/>
      <w:szCs w:val="24"/>
    </w:rPr>
  </w:style>
  <w:style w:type="character" w:customStyle="1" w:styleId="363">
    <w:name w:val="标书表格字体格式 Char"/>
    <w:qFormat/>
    <w:uiPriority w:val="0"/>
    <w:rPr>
      <w:kern w:val="2"/>
      <w:sz w:val="21"/>
      <w:szCs w:val="24"/>
      <w:lang w:bidi="ar-SA"/>
    </w:rPr>
  </w:style>
  <w:style w:type="character" w:customStyle="1" w:styleId="364">
    <w:name w:val="tw4winError"/>
    <w:qFormat/>
    <w:uiPriority w:val="0"/>
    <w:rPr>
      <w:rFonts w:ascii="Courier New" w:hAnsi="Courier New" w:cs="Courier New"/>
      <w:color w:val="00FF00"/>
      <w:sz w:val="40"/>
      <w:szCs w:val="40"/>
    </w:rPr>
  </w:style>
  <w:style w:type="character" w:customStyle="1" w:styleId="365">
    <w:name w:val="Body Text(ch) Char Char"/>
    <w:qFormat/>
    <w:uiPriority w:val="0"/>
    <w:rPr>
      <w:rFonts w:ascii="宋体"/>
      <w:kern w:val="2"/>
      <w:sz w:val="24"/>
      <w:szCs w:val="21"/>
      <w:lang w:val="zh-CN"/>
    </w:rPr>
  </w:style>
  <w:style w:type="character" w:customStyle="1" w:styleId="366">
    <w:name w:val="正文首行缩进两字 Char"/>
    <w:qFormat/>
    <w:uiPriority w:val="0"/>
    <w:rPr>
      <w:sz w:val="24"/>
      <w:szCs w:val="24"/>
      <w:lang w:val="en-US" w:eastAsia="zh-CN" w:bidi="ar-SA"/>
    </w:rPr>
  </w:style>
  <w:style w:type="character" w:customStyle="1" w:styleId="367">
    <w:name w:val="正文文本 Char"/>
    <w:qFormat/>
    <w:uiPriority w:val="0"/>
    <w:rPr>
      <w:rFonts w:eastAsia="宋体"/>
      <w:kern w:val="2"/>
      <w:sz w:val="24"/>
      <w:szCs w:val="24"/>
      <w:lang w:val="en-US" w:eastAsia="zh-CN" w:bidi="ar-SA"/>
    </w:rPr>
  </w:style>
  <w:style w:type="character" w:customStyle="1" w:styleId="368">
    <w:name w:val="文档结构图 字符1"/>
    <w:qFormat/>
    <w:uiPriority w:val="0"/>
    <w:rPr>
      <w:rFonts w:ascii="宋体" w:hAnsi="Calibri" w:eastAsia="黑体" w:cs="Arial"/>
      <w:snapToGrid w:val="0"/>
      <w:kern w:val="2"/>
      <w:sz w:val="18"/>
      <w:szCs w:val="18"/>
    </w:rPr>
  </w:style>
  <w:style w:type="character" w:customStyle="1" w:styleId="369">
    <w:name w:val="content"/>
    <w:qFormat/>
    <w:uiPriority w:val="0"/>
  </w:style>
  <w:style w:type="character" w:customStyle="1" w:styleId="370">
    <w:name w:val="tw4winPopup"/>
    <w:qFormat/>
    <w:uiPriority w:val="0"/>
    <w:rPr>
      <w:rFonts w:ascii="Courier New" w:hAnsi="Courier New" w:cs="Courier New"/>
      <w:color w:val="008000"/>
      <w:lang w:val="en-US" w:eastAsia="zh-CN"/>
    </w:rPr>
  </w:style>
  <w:style w:type="character" w:customStyle="1" w:styleId="371">
    <w:name w:val="param-name"/>
    <w:qFormat/>
    <w:uiPriority w:val="99"/>
    <w:rPr>
      <w:rFonts w:ascii="Arial" w:hAnsi="Arial" w:eastAsia="黑体" w:cs="Arial"/>
      <w:snapToGrid w:val="0"/>
      <w:kern w:val="0"/>
      <w:szCs w:val="21"/>
    </w:rPr>
  </w:style>
  <w:style w:type="character" w:customStyle="1" w:styleId="372">
    <w:name w:val="标准正文格式 Char"/>
    <w:qFormat/>
    <w:uiPriority w:val="0"/>
    <w:rPr>
      <w:rFonts w:ascii="宋体" w:eastAsia="仿宋_GB2312" w:cs="宋体"/>
      <w:color w:val="000000"/>
      <w:sz w:val="24"/>
      <w:lang w:val="en-US" w:eastAsia="zh-CN" w:bidi="ar-SA"/>
    </w:rPr>
  </w:style>
  <w:style w:type="character" w:customStyle="1" w:styleId="373">
    <w:name w:val="Char Char212"/>
    <w:qFormat/>
    <w:uiPriority w:val="0"/>
    <w:rPr>
      <w:rFonts w:eastAsia="宋体"/>
      <w:b/>
      <w:bCs/>
      <w:kern w:val="2"/>
      <w:sz w:val="21"/>
      <w:szCs w:val="24"/>
      <w:lang w:val="en-US" w:eastAsia="zh-CN" w:bidi="ar-SA"/>
    </w:rPr>
  </w:style>
  <w:style w:type="character" w:customStyle="1" w:styleId="374">
    <w:name w:val="文档结构图 Char"/>
    <w:qFormat/>
    <w:uiPriority w:val="0"/>
    <w:rPr>
      <w:rFonts w:eastAsia="宋体"/>
      <w:kern w:val="2"/>
      <w:sz w:val="21"/>
      <w:szCs w:val="24"/>
      <w:lang w:val="en-US" w:eastAsia="zh-CN" w:bidi="ar-SA"/>
    </w:rPr>
  </w:style>
  <w:style w:type="character" w:customStyle="1" w:styleId="375">
    <w:name w:val="zbggmain style9"/>
    <w:qFormat/>
    <w:uiPriority w:val="0"/>
  </w:style>
  <w:style w:type="character" w:customStyle="1" w:styleId="376">
    <w:name w:val="Char Char16"/>
    <w:qFormat/>
    <w:uiPriority w:val="6"/>
    <w:rPr>
      <w:kern w:val="1"/>
      <w:sz w:val="18"/>
      <w:szCs w:val="18"/>
    </w:rPr>
  </w:style>
  <w:style w:type="character" w:customStyle="1" w:styleId="377">
    <w:name w:val="font51"/>
    <w:basedOn w:val="72"/>
    <w:qFormat/>
    <w:uiPriority w:val="0"/>
    <w:rPr>
      <w:rFonts w:hint="eastAsia" w:ascii="仿宋" w:hAnsi="仿宋" w:eastAsia="仿宋" w:cs="仿宋"/>
      <w:color w:val="000000"/>
      <w:sz w:val="20"/>
      <w:szCs w:val="20"/>
      <w:u w:val="none"/>
    </w:rPr>
  </w:style>
  <w:style w:type="character" w:customStyle="1" w:styleId="378">
    <w:name w:val="Char Char82"/>
    <w:qFormat/>
    <w:uiPriority w:val="0"/>
    <w:rPr>
      <w:rFonts w:eastAsia="宋体"/>
      <w:b/>
      <w:sz w:val="24"/>
      <w:lang w:val="en-GB" w:eastAsia="zh-CN"/>
    </w:rPr>
  </w:style>
  <w:style w:type="character" w:customStyle="1" w:styleId="379">
    <w:name w:val="正文文本缩进 3 字符"/>
    <w:link w:val="54"/>
    <w:qFormat/>
    <w:uiPriority w:val="0"/>
    <w:rPr>
      <w:kern w:val="2"/>
      <w:sz w:val="24"/>
    </w:rPr>
  </w:style>
  <w:style w:type="character" w:customStyle="1" w:styleId="380">
    <w:name w:val="日期 Char1"/>
    <w:semiHidden/>
    <w:qFormat/>
    <w:uiPriority w:val="99"/>
    <w:rPr>
      <w:rFonts w:ascii="Times New Roman" w:hAnsi="Times New Roman" w:eastAsia="宋体" w:cs="Times New Roman"/>
      <w:szCs w:val="24"/>
    </w:rPr>
  </w:style>
  <w:style w:type="character" w:customStyle="1" w:styleId="381">
    <w:name w:val="页眉 字符"/>
    <w:qFormat/>
    <w:uiPriority w:val="99"/>
    <w:rPr>
      <w:kern w:val="2"/>
      <w:sz w:val="18"/>
      <w:szCs w:val="18"/>
    </w:rPr>
  </w:style>
  <w:style w:type="character" w:customStyle="1" w:styleId="382">
    <w:name w:val="Char Char33"/>
    <w:qFormat/>
    <w:uiPriority w:val="6"/>
    <w:rPr>
      <w:rFonts w:ascii="Arial" w:hAnsi="Arial" w:eastAsia="黑体"/>
      <w:b/>
      <w:kern w:val="1"/>
      <w:sz w:val="24"/>
      <w:szCs w:val="24"/>
    </w:rPr>
  </w:style>
  <w:style w:type="character" w:customStyle="1" w:styleId="383">
    <w:name w:val="b11_01b Char"/>
    <w:link w:val="384"/>
    <w:qFormat/>
    <w:uiPriority w:val="0"/>
    <w:rPr>
      <w:rFonts w:ascii="Verdana" w:hAnsi="Verdana"/>
      <w:b/>
      <w:bCs/>
      <w:color w:val="4A82CA"/>
      <w:sz w:val="17"/>
      <w:szCs w:val="17"/>
    </w:rPr>
  </w:style>
  <w:style w:type="paragraph" w:customStyle="1" w:styleId="384">
    <w:name w:val="b11_01b"/>
    <w:basedOn w:val="1"/>
    <w:next w:val="1"/>
    <w:link w:val="383"/>
    <w:qFormat/>
    <w:uiPriority w:val="0"/>
    <w:pPr>
      <w:adjustRightInd/>
      <w:spacing w:before="100" w:beforeAutospacing="1" w:after="100" w:afterAutospacing="1" w:line="384" w:lineRule="auto"/>
    </w:pPr>
    <w:rPr>
      <w:rFonts w:ascii="Verdana" w:hAnsi="Verdana"/>
      <w:b/>
      <w:bCs/>
      <w:color w:val="4A82CA"/>
      <w:kern w:val="0"/>
      <w:sz w:val="17"/>
      <w:szCs w:val="17"/>
    </w:rPr>
  </w:style>
  <w:style w:type="character" w:customStyle="1" w:styleId="385">
    <w:name w:val="Char Char121"/>
    <w:qFormat/>
    <w:uiPriority w:val="6"/>
    <w:rPr>
      <w:rFonts w:ascii="仿宋_GB2312" w:eastAsia="仿宋_GB2312"/>
      <w:b/>
      <w:bCs/>
      <w:kern w:val="2"/>
      <w:sz w:val="24"/>
      <w:szCs w:val="24"/>
      <w:lang w:val="zh-CN" w:eastAsia="zh-CN" w:bidi="ar-SA"/>
    </w:rPr>
  </w:style>
  <w:style w:type="character" w:customStyle="1" w:styleId="386">
    <w:name w:val="Footer-Even Char"/>
    <w:qFormat/>
    <w:uiPriority w:val="0"/>
    <w:rPr>
      <w:rFonts w:eastAsia="宋体"/>
      <w:kern w:val="2"/>
      <w:sz w:val="18"/>
      <w:lang w:val="en-US" w:eastAsia="zh-CN" w:bidi="ar-SA"/>
    </w:rPr>
  </w:style>
  <w:style w:type="character" w:customStyle="1" w:styleId="387">
    <w:name w:val="页脚 字符2"/>
    <w:link w:val="40"/>
    <w:qFormat/>
    <w:locked/>
    <w:uiPriority w:val="99"/>
    <w:rPr>
      <w:kern w:val="2"/>
      <w:sz w:val="18"/>
      <w:szCs w:val="18"/>
    </w:rPr>
  </w:style>
  <w:style w:type="character" w:customStyle="1" w:styleId="388">
    <w:name w:val="Char Char36"/>
    <w:qFormat/>
    <w:uiPriority w:val="6"/>
    <w:rPr>
      <w:rFonts w:ascii="仿宋_GB2312" w:hAnsi="仿宋_GB2312" w:eastAsia="仿宋_GB2312" w:cs="Arial"/>
      <w:b/>
      <w:kern w:val="1"/>
      <w:sz w:val="32"/>
      <w:szCs w:val="32"/>
      <w:lang w:val="zh-CN" w:eastAsia="zh-CN" w:bidi="ar-SA"/>
    </w:rPr>
  </w:style>
  <w:style w:type="character" w:customStyle="1" w:styleId="389">
    <w:name w:val="Char Char61"/>
    <w:qFormat/>
    <w:uiPriority w:val="6"/>
    <w:rPr>
      <w:rFonts w:eastAsia="宋体"/>
      <w:kern w:val="2"/>
      <w:sz w:val="21"/>
      <w:szCs w:val="24"/>
      <w:lang w:val="en-US" w:eastAsia="zh-CN" w:bidi="ar-SA"/>
    </w:rPr>
  </w:style>
  <w:style w:type="character" w:customStyle="1" w:styleId="390">
    <w:name w:val="正文文字缩进 2 Char Char"/>
    <w:qFormat/>
    <w:uiPriority w:val="0"/>
    <w:rPr>
      <w:rFonts w:ascii="宋体"/>
      <w:sz w:val="28"/>
    </w:rPr>
  </w:style>
  <w:style w:type="character" w:customStyle="1" w:styleId="391">
    <w:name w:val="f141"/>
    <w:qFormat/>
    <w:uiPriority w:val="0"/>
    <w:rPr>
      <w:rFonts w:ascii="Tahoma" w:hAnsi="Tahoma" w:eastAsia="宋体"/>
      <w:b/>
      <w:kern w:val="2"/>
      <w:sz w:val="21"/>
      <w:szCs w:val="21"/>
      <w:lang w:val="en-US" w:eastAsia="zh-CN" w:bidi="ar-SA"/>
    </w:rPr>
  </w:style>
  <w:style w:type="character" w:customStyle="1" w:styleId="392">
    <w:name w:val="段落 Char Char"/>
    <w:link w:val="393"/>
    <w:qFormat/>
    <w:uiPriority w:val="0"/>
    <w:rPr>
      <w:rFonts w:ascii="宋体" w:hAnsi="宋体"/>
      <w:sz w:val="24"/>
    </w:rPr>
  </w:style>
  <w:style w:type="paragraph" w:customStyle="1" w:styleId="393">
    <w:name w:val="段落"/>
    <w:basedOn w:val="1"/>
    <w:link w:val="392"/>
    <w:qFormat/>
    <w:uiPriority w:val="0"/>
    <w:pPr>
      <w:adjustRightInd/>
      <w:spacing w:line="360" w:lineRule="auto"/>
      <w:ind w:firstLine="480" w:firstLineChars="200"/>
    </w:pPr>
    <w:rPr>
      <w:rFonts w:ascii="宋体" w:hAnsi="宋体"/>
      <w:kern w:val="0"/>
      <w:sz w:val="24"/>
      <w:szCs w:val="20"/>
    </w:rPr>
  </w:style>
  <w:style w:type="character" w:customStyle="1" w:styleId="394">
    <w:name w:val="标题 3 Char2"/>
    <w:qFormat/>
    <w:uiPriority w:val="0"/>
    <w:rPr>
      <w:rFonts w:eastAsia="宋体"/>
      <w:b/>
      <w:bCs/>
      <w:kern w:val="2"/>
      <w:sz w:val="32"/>
      <w:szCs w:val="32"/>
      <w:lang w:val="en-US" w:eastAsia="zh-CN" w:bidi="ar-SA"/>
    </w:rPr>
  </w:style>
  <w:style w:type="character" w:customStyle="1" w:styleId="395">
    <w:name w:val="apple-converted-space"/>
    <w:qFormat/>
    <w:uiPriority w:val="0"/>
  </w:style>
  <w:style w:type="character" w:customStyle="1" w:styleId="396">
    <w:name w:val="页眉 字符2"/>
    <w:link w:val="42"/>
    <w:qFormat/>
    <w:uiPriority w:val="99"/>
    <w:rPr>
      <w:kern w:val="2"/>
      <w:sz w:val="18"/>
      <w:szCs w:val="18"/>
    </w:rPr>
  </w:style>
  <w:style w:type="character" w:customStyle="1" w:styleId="397">
    <w:name w:val="Char Char9"/>
    <w:qFormat/>
    <w:uiPriority w:val="0"/>
    <w:rPr>
      <w:rFonts w:eastAsia="宋体"/>
      <w:kern w:val="2"/>
      <w:sz w:val="18"/>
      <w:szCs w:val="18"/>
      <w:lang w:val="en-US" w:eastAsia="zh-CN" w:bidi="ar-SA"/>
    </w:rPr>
  </w:style>
  <w:style w:type="character" w:customStyle="1" w:styleId="398">
    <w:name w:val="Char Char41"/>
    <w:qFormat/>
    <w:uiPriority w:val="0"/>
    <w:rPr>
      <w:rFonts w:eastAsia="宋体"/>
      <w:b/>
      <w:sz w:val="24"/>
      <w:lang w:val="en-GB" w:eastAsia="zh-CN" w:bidi="ar-SA"/>
    </w:rPr>
  </w:style>
  <w:style w:type="character" w:customStyle="1" w:styleId="399">
    <w:name w:val="large1"/>
    <w:qFormat/>
    <w:uiPriority w:val="0"/>
    <w:rPr>
      <w:rFonts w:hint="eastAsia" w:ascii="宋体" w:hAnsi="宋体" w:eastAsia="宋体"/>
      <w:sz w:val="21"/>
      <w:szCs w:val="21"/>
    </w:rPr>
  </w:style>
  <w:style w:type="character" w:customStyle="1" w:styleId="400">
    <w:name w:val="正文段 Char"/>
    <w:link w:val="401"/>
    <w:qFormat/>
    <w:uiPriority w:val="0"/>
    <w:rPr>
      <w:sz w:val="24"/>
    </w:rPr>
  </w:style>
  <w:style w:type="paragraph" w:customStyle="1" w:styleId="401">
    <w:name w:val="正文段"/>
    <w:basedOn w:val="1"/>
    <w:link w:val="400"/>
    <w:qFormat/>
    <w:uiPriority w:val="0"/>
    <w:pPr>
      <w:snapToGrid w:val="0"/>
      <w:spacing w:after="156" w:afterLines="50"/>
      <w:ind w:firstLine="200" w:firstLineChars="200"/>
    </w:pPr>
    <w:rPr>
      <w:kern w:val="0"/>
      <w:sz w:val="24"/>
      <w:szCs w:val="20"/>
    </w:rPr>
  </w:style>
  <w:style w:type="character" w:customStyle="1" w:styleId="402">
    <w:name w:val="Char Char13"/>
    <w:qFormat/>
    <w:uiPriority w:val="6"/>
    <w:rPr>
      <w:rFonts w:ascii="宋体" w:hAnsi="宋体"/>
      <w:kern w:val="1"/>
      <w:sz w:val="21"/>
      <w:szCs w:val="24"/>
    </w:rPr>
  </w:style>
  <w:style w:type="character" w:customStyle="1" w:styleId="403">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4">
    <w:name w:val="冯广丽 Char"/>
    <w:link w:val="405"/>
    <w:qFormat/>
    <w:uiPriority w:val="0"/>
    <w:rPr>
      <w:rFonts w:ascii="宋体" w:hAnsi="宋体"/>
      <w:kern w:val="2"/>
      <w:sz w:val="24"/>
      <w:szCs w:val="22"/>
    </w:rPr>
  </w:style>
  <w:style w:type="paragraph" w:customStyle="1" w:styleId="405">
    <w:name w:val="冯广丽"/>
    <w:basedOn w:val="1"/>
    <w:link w:val="404"/>
    <w:qFormat/>
    <w:uiPriority w:val="0"/>
    <w:pPr>
      <w:adjustRightInd/>
      <w:spacing w:line="360" w:lineRule="auto"/>
      <w:ind w:firstLine="480" w:firstLineChars="200"/>
    </w:pPr>
    <w:rPr>
      <w:rFonts w:ascii="宋体" w:hAnsi="宋体"/>
      <w:sz w:val="24"/>
      <w:szCs w:val="22"/>
    </w:rPr>
  </w:style>
  <w:style w:type="character" w:customStyle="1" w:styleId="406">
    <w:name w:val="批注文字 字符"/>
    <w:qFormat/>
    <w:uiPriority w:val="0"/>
    <w:rPr>
      <w:rFonts w:ascii="Arial" w:hAnsi="Arial" w:eastAsia="黑体" w:cs="Arial"/>
      <w:snapToGrid w:val="0"/>
      <w:kern w:val="0"/>
      <w:szCs w:val="21"/>
    </w:rPr>
  </w:style>
  <w:style w:type="character" w:customStyle="1" w:styleId="407">
    <w:name w:val="Char Char161"/>
    <w:qFormat/>
    <w:uiPriority w:val="0"/>
    <w:rPr>
      <w:rFonts w:eastAsia="宋体"/>
      <w:b/>
      <w:kern w:val="2"/>
      <w:sz w:val="32"/>
      <w:lang w:val="en-US" w:eastAsia="zh-CN"/>
    </w:rPr>
  </w:style>
  <w:style w:type="character" w:customStyle="1" w:styleId="408">
    <w:name w:val="javascript"/>
    <w:qFormat/>
    <w:uiPriority w:val="0"/>
  </w:style>
  <w:style w:type="character" w:customStyle="1" w:styleId="409">
    <w:name w:val="图名 Char"/>
    <w:qFormat/>
    <w:uiPriority w:val="0"/>
    <w:rPr>
      <w:rFonts w:ascii="Arial" w:hAnsi="Arial" w:eastAsia="黑体"/>
      <w:kern w:val="2"/>
      <w:sz w:val="24"/>
      <w:szCs w:val="24"/>
      <w:lang w:val="en-US" w:eastAsia="zh-CN" w:bidi="ar-SA"/>
    </w:rPr>
  </w:style>
  <w:style w:type="character" w:customStyle="1" w:styleId="410">
    <w:name w:val="Used by Word for text of Help footnotes Char Char"/>
    <w:qFormat/>
    <w:uiPriority w:val="0"/>
    <w:rPr>
      <w:rFonts w:ascii="Times New Roman" w:hAnsi="Times New Roman" w:eastAsia="宋体" w:cs="Times New Roman"/>
      <w:sz w:val="20"/>
      <w:szCs w:val="20"/>
    </w:rPr>
  </w:style>
  <w:style w:type="character" w:customStyle="1" w:styleId="411">
    <w:name w:val="编号，小四 Char"/>
    <w:link w:val="412"/>
    <w:qFormat/>
    <w:uiPriority w:val="0"/>
    <w:rPr>
      <w:rFonts w:ascii="Arial" w:hAnsi="Arial"/>
      <w:sz w:val="24"/>
    </w:rPr>
  </w:style>
  <w:style w:type="paragraph" w:customStyle="1" w:styleId="412">
    <w:name w:val="编号，小四"/>
    <w:basedOn w:val="1"/>
    <w:link w:val="411"/>
    <w:qFormat/>
    <w:uiPriority w:val="0"/>
    <w:pPr>
      <w:tabs>
        <w:tab w:val="left" w:pos="432"/>
      </w:tabs>
      <w:adjustRightInd/>
      <w:spacing w:line="360" w:lineRule="auto"/>
      <w:ind w:left="432" w:hanging="432"/>
    </w:pPr>
    <w:rPr>
      <w:rFonts w:ascii="Arial" w:hAnsi="Arial"/>
      <w:kern w:val="0"/>
      <w:sz w:val="24"/>
      <w:szCs w:val="20"/>
    </w:rPr>
  </w:style>
  <w:style w:type="character" w:customStyle="1" w:styleId="413">
    <w:name w:val="Font Style82"/>
    <w:qFormat/>
    <w:uiPriority w:val="99"/>
    <w:rPr>
      <w:rFonts w:ascii="宋体" w:eastAsia="宋体" w:cs="宋体"/>
      <w:color w:val="000000"/>
      <w:sz w:val="14"/>
      <w:szCs w:val="14"/>
    </w:rPr>
  </w:style>
  <w:style w:type="character" w:customStyle="1" w:styleId="414">
    <w:name w:val="标题 2 Char Char"/>
    <w:qFormat/>
    <w:uiPriority w:val="0"/>
    <w:rPr>
      <w:rFonts w:ascii="楷体_GB2312" w:hAnsi="Arial" w:eastAsia="楷体_GB2312"/>
      <w:b/>
      <w:bCs/>
      <w:kern w:val="2"/>
      <w:sz w:val="24"/>
      <w:szCs w:val="32"/>
      <w:lang w:val="en-US" w:eastAsia="zh-CN" w:bidi="ar-SA"/>
    </w:rPr>
  </w:style>
  <w:style w:type="character" w:customStyle="1" w:styleId="415">
    <w:name w:val="未用 Char"/>
    <w:qFormat/>
    <w:uiPriority w:val="0"/>
    <w:rPr>
      <w:rFonts w:ascii="Arial" w:hAnsi="Arial" w:eastAsia="黑体"/>
      <w:kern w:val="2"/>
      <w:sz w:val="21"/>
      <w:szCs w:val="21"/>
      <w:lang w:val="en-US" w:eastAsia="zh-CN" w:bidi="ar-SA"/>
    </w:rPr>
  </w:style>
  <w:style w:type="character" w:customStyle="1" w:styleId="416">
    <w:name w:val="myp1111"/>
    <w:qFormat/>
    <w:uiPriority w:val="0"/>
    <w:rPr>
      <w:rFonts w:hint="default" w:ascii="ˎ̥" w:hAnsi="ˎ̥"/>
      <w:color w:val="000000"/>
      <w:sz w:val="20"/>
      <w:szCs w:val="20"/>
      <w:u w:val="none"/>
    </w:rPr>
  </w:style>
  <w:style w:type="character" w:customStyle="1" w:styleId="417">
    <w:name w:val="样式 标题 4h4H4Fab-4T5Ref Heading 1rh1Heading sqlsect 1.2.3.... Char"/>
    <w:link w:val="309"/>
    <w:qFormat/>
    <w:uiPriority w:val="0"/>
    <w:rPr>
      <w:rFonts w:ascii="微软雅黑" w:hAnsi="微软雅黑" w:eastAsia="微软雅黑"/>
      <w:b/>
      <w:bCs/>
      <w:kern w:val="2"/>
      <w:sz w:val="24"/>
      <w:szCs w:val="28"/>
    </w:rPr>
  </w:style>
  <w:style w:type="character" w:customStyle="1" w:styleId="418">
    <w:name w:val="h Char Char"/>
    <w:qFormat/>
    <w:uiPriority w:val="0"/>
    <w:rPr>
      <w:rFonts w:eastAsia="宋体"/>
      <w:kern w:val="2"/>
      <w:sz w:val="18"/>
      <w:lang w:val="en-US" w:eastAsia="zh-CN" w:bidi="ar-SA"/>
    </w:rPr>
  </w:style>
  <w:style w:type="character" w:customStyle="1" w:styleId="419">
    <w:name w:val="仿宋正文 Char"/>
    <w:link w:val="420"/>
    <w:qFormat/>
    <w:uiPriority w:val="0"/>
    <w:rPr>
      <w:rFonts w:ascii="仿宋_GB2312" w:eastAsia="仿宋_GB2312"/>
      <w:kern w:val="2"/>
      <w:sz w:val="24"/>
      <w:lang w:val="en-US" w:eastAsia="zh-CN" w:bidi="ar-SA"/>
    </w:rPr>
  </w:style>
  <w:style w:type="paragraph" w:customStyle="1" w:styleId="420">
    <w:name w:val="仿宋正文"/>
    <w:basedOn w:val="1"/>
    <w:link w:val="419"/>
    <w:qFormat/>
    <w:uiPriority w:val="0"/>
    <w:pPr>
      <w:adjustRightInd/>
      <w:spacing w:line="360" w:lineRule="auto"/>
      <w:ind w:firstLine="480" w:firstLineChars="200"/>
    </w:pPr>
    <w:rPr>
      <w:rFonts w:ascii="仿宋_GB2312" w:eastAsia="仿宋_GB2312"/>
      <w:sz w:val="24"/>
      <w:szCs w:val="20"/>
    </w:rPr>
  </w:style>
  <w:style w:type="character" w:customStyle="1" w:styleId="421">
    <w:name w:val="正文首行缩进 Char Char Char Char Char Char"/>
    <w:qFormat/>
    <w:uiPriority w:val="0"/>
    <w:rPr>
      <w:rFonts w:ascii="宋体" w:eastAsia="宋体"/>
      <w:kern w:val="2"/>
      <w:sz w:val="24"/>
      <w:lang w:val="zh-CN" w:bidi="ar-SA"/>
    </w:rPr>
  </w:style>
  <w:style w:type="character" w:customStyle="1" w:styleId="422">
    <w:name w:val="样式 宋体"/>
    <w:qFormat/>
    <w:uiPriority w:val="0"/>
    <w:rPr>
      <w:rFonts w:ascii="宋体" w:hAnsi="宋体"/>
      <w:sz w:val="24"/>
    </w:rPr>
  </w:style>
  <w:style w:type="character" w:customStyle="1" w:styleId="423">
    <w:name w:val="tw4winJump"/>
    <w:qFormat/>
    <w:uiPriority w:val="0"/>
    <w:rPr>
      <w:rFonts w:ascii="Courier New" w:hAnsi="Courier New" w:cs="Courier New"/>
      <w:color w:val="008080"/>
      <w:lang w:val="en-US" w:eastAsia="zh-CN"/>
    </w:rPr>
  </w:style>
  <w:style w:type="character" w:customStyle="1" w:styleId="424">
    <w:name w:val="标题 1 字符"/>
    <w:qFormat/>
    <w:uiPriority w:val="9"/>
    <w:rPr>
      <w:rFonts w:ascii="Arial" w:hAnsi="Arial" w:eastAsia="黑体" w:cs="Arial"/>
      <w:b/>
      <w:bCs/>
      <w:snapToGrid w:val="0"/>
      <w:kern w:val="44"/>
      <w:sz w:val="44"/>
      <w:szCs w:val="44"/>
    </w:rPr>
  </w:style>
  <w:style w:type="character" w:customStyle="1" w:styleId="425">
    <w:name w:val="style36"/>
    <w:basedOn w:val="72"/>
    <w:qFormat/>
    <w:uiPriority w:val="0"/>
    <w:rPr>
      <w:rFonts w:ascii="Arial" w:hAnsi="Arial" w:eastAsia="黑体" w:cs="Arial"/>
      <w:snapToGrid w:val="0"/>
      <w:kern w:val="0"/>
      <w:szCs w:val="21"/>
    </w:rPr>
  </w:style>
  <w:style w:type="character" w:customStyle="1" w:styleId="426">
    <w:name w:val="pt9"/>
    <w:qFormat/>
    <w:uiPriority w:val="0"/>
    <w:rPr>
      <w:rFonts w:ascii="仿宋_GB2312" w:eastAsia="微软雅黑"/>
      <w:b/>
      <w:kern w:val="2"/>
      <w:sz w:val="32"/>
      <w:szCs w:val="32"/>
      <w:lang w:val="en-US" w:eastAsia="zh-CN" w:bidi="ar-SA"/>
    </w:rPr>
  </w:style>
  <w:style w:type="character" w:customStyle="1" w:styleId="427">
    <w:name w:val="DO_NOT_TRANSLATE"/>
    <w:qFormat/>
    <w:uiPriority w:val="0"/>
    <w:rPr>
      <w:rFonts w:ascii="Courier New" w:hAnsi="Courier New" w:cs="Courier New"/>
      <w:color w:val="800000"/>
      <w:lang w:val="en-US" w:eastAsia="zh-CN"/>
    </w:rPr>
  </w:style>
  <w:style w:type="character" w:customStyle="1" w:styleId="428">
    <w:name w:val="标书1 Char1"/>
    <w:qFormat/>
    <w:uiPriority w:val="0"/>
    <w:rPr>
      <w:rFonts w:eastAsia="宋体"/>
      <w:b/>
      <w:bCs/>
      <w:kern w:val="44"/>
      <w:sz w:val="44"/>
      <w:szCs w:val="44"/>
      <w:lang w:val="en-US" w:eastAsia="zh-CN" w:bidi="ar-SA"/>
    </w:rPr>
  </w:style>
  <w:style w:type="character" w:customStyle="1" w:styleId="429">
    <w:name w:val="页脚 字符"/>
    <w:qFormat/>
    <w:uiPriority w:val="99"/>
    <w:rPr>
      <w:kern w:val="2"/>
      <w:sz w:val="18"/>
      <w:szCs w:val="18"/>
    </w:rPr>
  </w:style>
  <w:style w:type="character" w:customStyle="1" w:styleId="430">
    <w:name w:val="正文2 Char"/>
    <w:qFormat/>
    <w:uiPriority w:val="0"/>
    <w:rPr>
      <w:rFonts w:eastAsia="宋体"/>
      <w:kern w:val="2"/>
      <w:sz w:val="24"/>
      <w:lang w:val="en-US" w:eastAsia="zh-CN" w:bidi="ar-SA"/>
    </w:rPr>
  </w:style>
  <w:style w:type="character" w:customStyle="1" w:styleId="431">
    <w:name w:val="Char Char21"/>
    <w:qFormat/>
    <w:uiPriority w:val="6"/>
    <w:rPr>
      <w:rFonts w:ascii="宋体" w:hAnsi="宋体"/>
      <w:kern w:val="1"/>
      <w:sz w:val="24"/>
      <w:szCs w:val="21"/>
      <w:lang w:val="zh-CN"/>
    </w:rPr>
  </w:style>
  <w:style w:type="character" w:customStyle="1" w:styleId="432">
    <w:name w:val="样式 正文缩进 + 首行缩进:  2 字符 Char Char"/>
    <w:link w:val="433"/>
    <w:qFormat/>
    <w:uiPriority w:val="0"/>
    <w:rPr>
      <w:rFonts w:cs="宋体"/>
      <w:kern w:val="2"/>
      <w:sz w:val="24"/>
    </w:rPr>
  </w:style>
  <w:style w:type="paragraph" w:customStyle="1" w:styleId="433">
    <w:name w:val="样式 正文缩进 + 首行缩进:  2 字符"/>
    <w:basedOn w:val="4"/>
    <w:link w:val="432"/>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4">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5">
    <w:name w:val="gray6"/>
    <w:basedOn w:val="72"/>
    <w:qFormat/>
    <w:uiPriority w:val="0"/>
    <w:rPr>
      <w:rFonts w:ascii="Arial" w:hAnsi="Arial" w:eastAsia="黑体" w:cs="Arial"/>
      <w:snapToGrid w:val="0"/>
      <w:kern w:val="0"/>
      <w:szCs w:val="21"/>
    </w:rPr>
  </w:style>
  <w:style w:type="character" w:customStyle="1" w:styleId="436">
    <w:name w:val="hui"/>
    <w:basedOn w:val="72"/>
    <w:qFormat/>
    <w:uiPriority w:val="0"/>
    <w:rPr>
      <w:rFonts w:ascii="Arial" w:hAnsi="Arial" w:eastAsia="黑体" w:cs="Arial"/>
      <w:snapToGrid w:val="0"/>
      <w:kern w:val="0"/>
      <w:szCs w:val="21"/>
    </w:rPr>
  </w:style>
  <w:style w:type="character" w:customStyle="1" w:styleId="437">
    <w:name w:val="哈哈正文 Char Char"/>
    <w:qFormat/>
    <w:uiPriority w:val="0"/>
    <w:rPr>
      <w:rFonts w:ascii="宋体" w:hAnsi="宋体" w:eastAsia="宋体" w:cs="宋体"/>
      <w:kern w:val="2"/>
      <w:sz w:val="24"/>
      <w:lang w:val="en-US" w:eastAsia="zh-CN" w:bidi="ar-SA"/>
    </w:rPr>
  </w:style>
  <w:style w:type="paragraph" w:customStyle="1" w:styleId="438">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0">
    <w:name w:val="正文文本 221"/>
    <w:basedOn w:val="1"/>
    <w:qFormat/>
    <w:uiPriority w:val="0"/>
    <w:pPr>
      <w:overflowPunct w:val="0"/>
      <w:autoSpaceDE w:val="0"/>
      <w:autoSpaceDN w:val="0"/>
      <w:ind w:left="720" w:hanging="720"/>
      <w:textAlignment w:val="baseline"/>
    </w:pPr>
    <w:rPr>
      <w:kern w:val="0"/>
      <w:sz w:val="24"/>
      <w:szCs w:val="20"/>
      <w:lang w:val="en-GB"/>
    </w:rPr>
  </w:style>
  <w:style w:type="paragraph" w:customStyle="1" w:styleId="441">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2">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3">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4">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5">
    <w:name w:val="标题4_自定义"/>
    <w:basedOn w:val="6"/>
    <w:qFormat/>
    <w:uiPriority w:val="0"/>
    <w:pPr>
      <w:adjustRightInd/>
      <w:spacing w:before="0" w:after="0" w:line="360" w:lineRule="auto"/>
    </w:pPr>
    <w:rPr>
      <w:rFonts w:ascii="Verdana" w:eastAsia="Verdana"/>
      <w:sz w:val="21"/>
      <w:lang w:val="en-US"/>
    </w:rPr>
  </w:style>
  <w:style w:type="paragraph" w:customStyle="1" w:styleId="446">
    <w:name w:val="正文 内标 序号标"/>
    <w:basedOn w:val="447"/>
    <w:qFormat/>
    <w:uiPriority w:val="0"/>
    <w:pPr>
      <w:tabs>
        <w:tab w:val="left" w:pos="0"/>
      </w:tabs>
      <w:adjustRightInd/>
      <w:spacing w:before="0"/>
      <w:ind w:firstLine="482"/>
    </w:pPr>
    <w:rPr>
      <w:rFonts w:ascii="微软雅黑" w:hAnsi="微软雅黑"/>
      <w:sz w:val="24"/>
      <w:szCs w:val="24"/>
    </w:rPr>
  </w:style>
  <w:style w:type="paragraph" w:customStyle="1" w:styleId="447">
    <w:name w:val="My正文"/>
    <w:basedOn w:val="1"/>
    <w:qFormat/>
    <w:uiPriority w:val="0"/>
    <w:pPr>
      <w:spacing w:before="120" w:line="360" w:lineRule="auto"/>
      <w:ind w:firstLine="567"/>
    </w:pPr>
    <w:rPr>
      <w:rFonts w:ascii="Arial" w:hAnsi="Arial"/>
      <w:sz w:val="20"/>
      <w:szCs w:val="20"/>
    </w:rPr>
  </w:style>
  <w:style w:type="paragraph" w:customStyle="1" w:styleId="44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9">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0">
    <w:name w:val="reader-word-layer"/>
    <w:basedOn w:val="1"/>
    <w:qFormat/>
    <w:uiPriority w:val="0"/>
    <w:pPr>
      <w:adjustRightInd/>
      <w:spacing w:before="100" w:beforeAutospacing="1" w:after="100" w:afterAutospacing="1"/>
    </w:pPr>
    <w:rPr>
      <w:rFonts w:ascii="宋体" w:hAnsi="宋体" w:cs="宋体"/>
      <w:kern w:val="0"/>
      <w:sz w:val="24"/>
    </w:rPr>
  </w:style>
  <w:style w:type="paragraph" w:customStyle="1" w:styleId="451">
    <w:name w:val="修订2"/>
    <w:qFormat/>
    <w:uiPriority w:val="0"/>
    <w:rPr>
      <w:rFonts w:ascii="Times New Roman" w:hAnsi="Times New Roman" w:eastAsia="宋体" w:cs="Times New Roman"/>
      <w:kern w:val="2"/>
      <w:sz w:val="21"/>
      <w:lang w:val="en-US" w:eastAsia="zh-CN" w:bidi="ar-SA"/>
    </w:rPr>
  </w:style>
  <w:style w:type="paragraph" w:customStyle="1" w:styleId="45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3">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pPr>
    <w:rPr>
      <w:rFonts w:ascii="仿宋" w:hAnsi="仿宋" w:eastAsia="仿宋" w:cs="宋体"/>
      <w:kern w:val="0"/>
      <w:sz w:val="20"/>
      <w:szCs w:val="20"/>
    </w:rPr>
  </w:style>
  <w:style w:type="paragraph" w:customStyle="1" w:styleId="454">
    <w:name w:val="文章标题"/>
    <w:next w:val="455"/>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5">
    <w:name w:val="封面公司名"/>
    <w:qFormat/>
    <w:uiPriority w:val="0"/>
    <w:pPr>
      <w:jc w:val="center"/>
    </w:pPr>
    <w:rPr>
      <w:rFonts w:ascii="Arial" w:hAnsi="Arial" w:eastAsia="楷体_GB2312" w:cs="宋体"/>
      <w:bCs/>
      <w:kern w:val="2"/>
      <w:sz w:val="28"/>
      <w:lang w:val="en-US" w:eastAsia="zh-CN" w:bidi="ar-SA"/>
    </w:rPr>
  </w:style>
  <w:style w:type="paragraph" w:customStyle="1" w:styleId="456">
    <w:name w:val="Char1 Char Char Char5"/>
    <w:basedOn w:val="1"/>
    <w:qFormat/>
    <w:uiPriority w:val="0"/>
    <w:pPr>
      <w:adjustRightInd/>
      <w:ind w:firstLine="200" w:firstLineChars="200"/>
    </w:pPr>
    <w:rPr>
      <w:rFonts w:ascii="Tahoma" w:hAnsi="Tahoma"/>
      <w:sz w:val="24"/>
      <w:szCs w:val="20"/>
    </w:rPr>
  </w:style>
  <w:style w:type="paragraph" w:customStyle="1" w:styleId="457">
    <w:name w:val="style82 f9a f9a f9a"/>
    <w:basedOn w:val="1"/>
    <w:qFormat/>
    <w:uiPriority w:val="0"/>
    <w:pPr>
      <w:spacing w:before="100" w:beforeAutospacing="1" w:after="100" w:afterAutospacing="1" w:line="276" w:lineRule="auto"/>
    </w:pPr>
    <w:rPr>
      <w:rFonts w:ascii="宋体" w:hAnsi="宋体"/>
      <w:kern w:val="0"/>
      <w:sz w:val="24"/>
      <w:szCs w:val="20"/>
    </w:rPr>
  </w:style>
  <w:style w:type="paragraph" w:customStyle="1" w:styleId="458">
    <w:name w:val="正文 编号"/>
    <w:basedOn w:val="1"/>
    <w:qFormat/>
    <w:uiPriority w:val="0"/>
    <w:pPr>
      <w:tabs>
        <w:tab w:val="left" w:pos="840"/>
      </w:tabs>
      <w:spacing w:after="120" w:line="440" w:lineRule="exact"/>
      <w:ind w:left="840" w:hanging="420"/>
    </w:pPr>
    <w:rPr>
      <w:rFonts w:ascii="仿宋_GB2312" w:hAnsi="仿宋_GB2312" w:eastAsia="仿宋_GB2312"/>
      <w:sz w:val="24"/>
      <w:szCs w:val="20"/>
    </w:rPr>
  </w:style>
  <w:style w:type="paragraph" w:customStyle="1" w:styleId="459">
    <w:name w:val="Char Char Char Char Char Char Char Char"/>
    <w:basedOn w:val="1"/>
    <w:qFormat/>
    <w:uiPriority w:val="0"/>
    <w:pPr>
      <w:tabs>
        <w:tab w:val="left" w:pos="360"/>
      </w:tabs>
    </w:pPr>
    <w:rPr>
      <w:sz w:val="24"/>
      <w:szCs w:val="20"/>
    </w:rPr>
  </w:style>
  <w:style w:type="paragraph" w:customStyle="1" w:styleId="460">
    <w:name w:val="Char Char11 Char Char Char"/>
    <w:basedOn w:val="1"/>
    <w:qFormat/>
    <w:uiPriority w:val="0"/>
    <w:pPr>
      <w:spacing w:line="360" w:lineRule="auto"/>
    </w:pPr>
    <w:rPr>
      <w:szCs w:val="20"/>
    </w:rPr>
  </w:style>
  <w:style w:type="paragraph" w:customStyle="1" w:styleId="461">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3">
    <w:name w:val="样式3"/>
    <w:basedOn w:val="464"/>
    <w:qFormat/>
    <w:uiPriority w:val="0"/>
    <w:pPr>
      <w:tabs>
        <w:tab w:val="left" w:pos="2790"/>
        <w:tab w:val="left" w:pos="4230"/>
      </w:tabs>
      <w:spacing w:before="312" w:beforeLines="100"/>
      <w:jc w:val="left"/>
    </w:pPr>
  </w:style>
  <w:style w:type="paragraph" w:customStyle="1" w:styleId="46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5">
    <w:name w:val="Char Char1 Char Char1 Char Char1"/>
    <w:basedOn w:val="1"/>
    <w:qFormat/>
    <w:uiPriority w:val="0"/>
    <w:pPr>
      <w:tabs>
        <w:tab w:val="left" w:pos="840"/>
      </w:tabs>
      <w:ind w:left="840" w:hanging="420"/>
    </w:pPr>
    <w:rPr>
      <w:rFonts w:ascii="Tahoma" w:hAnsi="Tahoma"/>
      <w:sz w:val="24"/>
    </w:rPr>
  </w:style>
  <w:style w:type="paragraph" w:customStyle="1" w:styleId="466">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7">
    <w:name w:val="标书标题2"/>
    <w:basedOn w:val="3"/>
    <w:qFormat/>
    <w:uiPriority w:val="0"/>
    <w:pPr>
      <w:keepLines w:val="0"/>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9">
    <w:name w:val="正文21"/>
    <w:basedOn w:val="1"/>
    <w:qFormat/>
    <w:uiPriority w:val="0"/>
    <w:pPr>
      <w:adjustRightInd/>
      <w:spacing w:before="156" w:line="360" w:lineRule="auto"/>
      <w:ind w:firstLine="510" w:firstLineChars="200"/>
    </w:pPr>
    <w:rPr>
      <w:sz w:val="24"/>
      <w:szCs w:val="20"/>
    </w:rPr>
  </w:style>
  <w:style w:type="paragraph" w:customStyle="1" w:styleId="470">
    <w:name w:val="Test2"/>
    <w:basedOn w:val="3"/>
    <w:qFormat/>
    <w:uiPriority w:val="0"/>
    <w:pPr>
      <w:adjustRightInd w:val="0"/>
      <w:snapToGrid w:val="0"/>
      <w:spacing w:before="360" w:after="360" w:line="240" w:lineRule="atLeast"/>
    </w:pPr>
    <w:rPr>
      <w:rFonts w:ascii="宋体" w:hAnsi="Arial" w:eastAsia="宋体"/>
      <w:snapToGrid w:val="0"/>
      <w:kern w:val="0"/>
      <w:sz w:val="28"/>
      <w:lang w:val="en-US"/>
    </w:rPr>
  </w:style>
  <w:style w:type="paragraph" w:customStyle="1" w:styleId="471">
    <w:name w:val="xl34"/>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pPr>
    <w:rPr>
      <w:kern w:val="0"/>
      <w:sz w:val="20"/>
      <w:szCs w:val="20"/>
    </w:rPr>
  </w:style>
  <w:style w:type="paragraph" w:customStyle="1" w:styleId="472">
    <w:name w:val="Char1"/>
    <w:basedOn w:val="1"/>
    <w:qFormat/>
    <w:uiPriority w:val="0"/>
    <w:rPr>
      <w:rFonts w:ascii="仿宋_GB2312" w:eastAsia="仿宋_GB2312"/>
      <w:b/>
      <w:sz w:val="32"/>
      <w:szCs w:val="32"/>
    </w:rPr>
  </w:style>
  <w:style w:type="paragraph" w:customStyle="1" w:styleId="473">
    <w:name w:val="xl81"/>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pPr>
    <w:rPr>
      <w:rFonts w:ascii="仿宋" w:hAnsi="仿宋" w:eastAsia="仿宋" w:cs="宋体"/>
      <w:kern w:val="0"/>
      <w:sz w:val="20"/>
      <w:szCs w:val="20"/>
    </w:rPr>
  </w:style>
  <w:style w:type="paragraph" w:customStyle="1" w:styleId="47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5">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6">
    <w:name w:val="xl68"/>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7">
    <w:name w:val="6级标题"/>
    <w:basedOn w:val="478"/>
    <w:qFormat/>
    <w:uiPriority w:val="0"/>
    <w:pPr>
      <w:keepNext/>
      <w:tabs>
        <w:tab w:val="left" w:pos="360"/>
      </w:tabs>
      <w:spacing w:before="0" w:after="0"/>
      <w:outlineLvl w:val="5"/>
    </w:pPr>
  </w:style>
  <w:style w:type="paragraph" w:customStyle="1" w:styleId="478">
    <w:name w:val="5级标题"/>
    <w:basedOn w:val="479"/>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9">
    <w:name w:val="4级标题"/>
    <w:basedOn w:val="262"/>
    <w:qFormat/>
    <w:uiPriority w:val="0"/>
    <w:pPr>
      <w:keepLines/>
      <w:adjustRightInd/>
      <w:ind w:firstLine="0" w:firstLineChars="0"/>
      <w:outlineLvl w:val="3"/>
    </w:pPr>
    <w:rPr>
      <w:rFonts w:ascii="黑体" w:hAnsi="黑体" w:eastAsia="黑体" w:cs="Times New Roman"/>
      <w:kern w:val="0"/>
      <w:sz w:val="28"/>
      <w:lang w:eastAsia="en-US" w:bidi="en-US"/>
    </w:rPr>
  </w:style>
  <w:style w:type="paragraph" w:customStyle="1" w:styleId="480">
    <w:name w:val="样式 正文文本缩进 + 段前: 2 字符"/>
    <w:basedOn w:val="1"/>
    <w:qFormat/>
    <w:uiPriority w:val="0"/>
    <w:pPr>
      <w:adjustRightInd/>
      <w:ind w:left="420" w:leftChars="200"/>
    </w:pPr>
    <w:rPr>
      <w:sz w:val="28"/>
      <w:szCs w:val="20"/>
      <w:lang w:eastAsia="zh-TW"/>
    </w:rPr>
  </w:style>
  <w:style w:type="paragraph" w:customStyle="1" w:styleId="481">
    <w:name w:val="Char2 Char Char"/>
    <w:basedOn w:val="1"/>
    <w:qFormat/>
    <w:uiPriority w:val="0"/>
    <w:pPr>
      <w:adjustRightInd/>
    </w:pPr>
    <w:rPr>
      <w:rFonts w:ascii="Tahoma" w:hAnsi="Tahoma"/>
      <w:sz w:val="24"/>
      <w:szCs w:val="20"/>
    </w:rPr>
  </w:style>
  <w:style w:type="paragraph" w:customStyle="1" w:styleId="482">
    <w:name w:val="_Style 11"/>
    <w:basedOn w:val="1"/>
    <w:qFormat/>
    <w:uiPriority w:val="34"/>
    <w:pPr>
      <w:adjustRightInd/>
      <w:ind w:firstLine="420" w:firstLineChars="200"/>
    </w:pPr>
    <w:rPr>
      <w:rFonts w:eastAsia="仿宋_GB2312"/>
      <w:sz w:val="28"/>
    </w:rPr>
  </w:style>
  <w:style w:type="paragraph" w:customStyle="1" w:styleId="483">
    <w:name w:val="xl89"/>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0"/>
      <w:szCs w:val="20"/>
    </w:rPr>
  </w:style>
  <w:style w:type="paragraph" w:customStyle="1" w:styleId="484">
    <w:name w:val="Char Char Char"/>
    <w:basedOn w:val="1"/>
    <w:qFormat/>
    <w:uiPriority w:val="0"/>
    <w:rPr>
      <w:rFonts w:ascii="Tahoma" w:hAnsi="Tahoma"/>
      <w:sz w:val="24"/>
      <w:szCs w:val="20"/>
    </w:rPr>
  </w:style>
  <w:style w:type="paragraph" w:customStyle="1" w:styleId="485">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6">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7">
    <w:name w:val="无间隔2"/>
    <w:basedOn w:val="1"/>
    <w:link w:val="934"/>
    <w:qFormat/>
    <w:uiPriority w:val="99"/>
    <w:rPr>
      <w:szCs w:val="22"/>
    </w:rPr>
  </w:style>
  <w:style w:type="paragraph" w:customStyle="1" w:styleId="48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9">
    <w:name w:val="Char Char Char Char Char Char Char Char Char Char Char Char1 Char1"/>
    <w:basedOn w:val="1"/>
    <w:qFormat/>
    <w:uiPriority w:val="6"/>
    <w:rPr>
      <w:rFonts w:ascii="Tahoma" w:hAnsi="Tahoma" w:cs="仿宋_GB2312"/>
      <w:sz w:val="24"/>
      <w:szCs w:val="20"/>
    </w:rPr>
  </w:style>
  <w:style w:type="paragraph" w:customStyle="1" w:styleId="490">
    <w:name w:val="xl65"/>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1">
    <w:name w:val="Char Char1 Char1"/>
    <w:basedOn w:val="1"/>
    <w:qFormat/>
    <w:uiPriority w:val="6"/>
    <w:pPr>
      <w:snapToGrid w:val="0"/>
      <w:spacing w:before="120" w:after="160" w:line="360" w:lineRule="auto"/>
      <w:ind w:right="-360"/>
    </w:pPr>
    <w:rPr>
      <w:rFonts w:ascii="Arial" w:hAnsi="Arial"/>
      <w:kern w:val="0"/>
      <w:sz w:val="24"/>
      <w:lang w:eastAsia="en-US"/>
    </w:rPr>
  </w:style>
  <w:style w:type="paragraph" w:customStyle="1" w:styleId="492">
    <w:name w:val="目录1"/>
    <w:basedOn w:val="1"/>
    <w:qFormat/>
    <w:uiPriority w:val="0"/>
    <w:pPr>
      <w:tabs>
        <w:tab w:val="left" w:leader="dot" w:pos="8503"/>
      </w:tabs>
      <w:autoSpaceDE w:val="0"/>
      <w:autoSpaceDN w:val="0"/>
      <w:spacing w:after="136" w:line="289" w:lineRule="atLeast"/>
      <w:ind w:firstLine="200" w:firstLineChars="200"/>
    </w:pPr>
    <w:rPr>
      <w:rFonts w:ascii="Arial" w:hAnsi="Arial"/>
      <w:color w:val="000000"/>
      <w:kern w:val="0"/>
      <w:sz w:val="28"/>
      <w:szCs w:val="28"/>
    </w:rPr>
  </w:style>
  <w:style w:type="paragraph" w:customStyle="1" w:styleId="493">
    <w:name w:val="MM Topic 2"/>
    <w:basedOn w:val="3"/>
    <w:qFormat/>
    <w:uiPriority w:val="0"/>
    <w:pPr>
      <w:tabs>
        <w:tab w:val="left" w:pos="1260"/>
      </w:tabs>
      <w:ind w:left="1260" w:hanging="420"/>
    </w:pPr>
    <w:rPr>
      <w:rFonts w:ascii="Arial" w:hAnsi="Arial" w:eastAsia="黑体"/>
      <w:lang w:val="en-US"/>
    </w:rPr>
  </w:style>
  <w:style w:type="paragraph" w:customStyle="1" w:styleId="494">
    <w:name w:val="五级无标题条"/>
    <w:basedOn w:val="1"/>
    <w:qFormat/>
    <w:uiPriority w:val="0"/>
    <w:pPr>
      <w:adjustRightInd/>
    </w:pPr>
  </w:style>
  <w:style w:type="paragraph" w:customStyle="1" w:styleId="495">
    <w:name w:val="Char5"/>
    <w:basedOn w:val="1"/>
    <w:qFormat/>
    <w:uiPriority w:val="0"/>
    <w:rPr>
      <w:rFonts w:ascii="仿宋_GB2312" w:eastAsia="仿宋_GB2312"/>
      <w:b/>
      <w:sz w:val="32"/>
      <w:szCs w:val="32"/>
    </w:rPr>
  </w:style>
  <w:style w:type="paragraph" w:customStyle="1" w:styleId="496">
    <w:name w:val="TOC 标题1"/>
    <w:basedOn w:val="2"/>
    <w:next w:val="1"/>
    <w:qFormat/>
    <w:uiPriority w:val="0"/>
    <w:pPr>
      <w:adjustRightInd/>
      <w:spacing w:before="480" w:line="276" w:lineRule="auto"/>
      <w:ind w:left="0" w:firstLine="0"/>
      <w:outlineLvl w:val="9"/>
    </w:pPr>
    <w:rPr>
      <w:rFonts w:ascii="Cambria" w:hAnsi="Cambria"/>
      <w:color w:val="365F91"/>
      <w:kern w:val="0"/>
      <w:sz w:val="28"/>
      <w:szCs w:val="28"/>
    </w:rPr>
  </w:style>
  <w:style w:type="paragraph" w:customStyle="1" w:styleId="497">
    <w:name w:val="彩色列表 - 强调文字颜色 12"/>
    <w:basedOn w:val="1"/>
    <w:qFormat/>
    <w:uiPriority w:val="0"/>
    <w:pPr>
      <w:adjustRightInd/>
      <w:ind w:firstLine="420" w:firstLineChars="200"/>
    </w:pPr>
    <w:rPr>
      <w:rFonts w:ascii="Calibri" w:hAnsi="Calibri"/>
      <w:szCs w:val="22"/>
    </w:rPr>
  </w:style>
  <w:style w:type="paragraph" w:customStyle="1" w:styleId="498">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9">
    <w:name w:val="Char2"/>
    <w:basedOn w:val="1"/>
    <w:qFormat/>
    <w:uiPriority w:val="0"/>
    <w:rPr>
      <w:rFonts w:ascii="仿宋_GB2312" w:eastAsia="仿宋_GB2312"/>
      <w:b/>
      <w:sz w:val="32"/>
      <w:szCs w:val="32"/>
    </w:rPr>
  </w:style>
  <w:style w:type="paragraph" w:customStyle="1" w:styleId="500">
    <w:name w:val="数字标题3"/>
    <w:basedOn w:val="5"/>
    <w:next w:val="1"/>
    <w:qFormat/>
    <w:uiPriority w:val="0"/>
    <w:pPr>
      <w:spacing w:line="240" w:lineRule="auto"/>
    </w:pPr>
    <w:rPr>
      <w:sz w:val="28"/>
      <w:szCs w:val="28"/>
    </w:rPr>
  </w:style>
  <w:style w:type="paragraph" w:customStyle="1" w:styleId="501">
    <w:name w:val="FA正文"/>
    <w:basedOn w:val="1"/>
    <w:qFormat/>
    <w:uiPriority w:val="0"/>
    <w:pPr>
      <w:spacing w:line="360" w:lineRule="auto"/>
      <w:ind w:firstLine="480" w:firstLineChars="200"/>
    </w:pPr>
    <w:rPr>
      <w:rFonts w:hAnsi="宋体"/>
      <w:sz w:val="24"/>
      <w:szCs w:val="20"/>
    </w:rPr>
  </w:style>
  <w:style w:type="paragraph" w:customStyle="1" w:styleId="502">
    <w:name w:val="MM Topic 5"/>
    <w:basedOn w:val="7"/>
    <w:qFormat/>
    <w:uiPriority w:val="0"/>
    <w:pPr>
      <w:tabs>
        <w:tab w:val="left" w:pos="2520"/>
      </w:tabs>
      <w:adjustRightInd/>
      <w:ind w:left="2520" w:hanging="420"/>
    </w:pPr>
  </w:style>
  <w:style w:type="paragraph" w:customStyle="1" w:styleId="503">
    <w:name w:val="Char Char Char Char Char Char Char Char Char Char1"/>
    <w:basedOn w:val="1"/>
    <w:qFormat/>
    <w:uiPriority w:val="0"/>
    <w:rPr>
      <w:rFonts w:ascii="仿宋_GB2312" w:eastAsia="仿宋_GB2312"/>
      <w:b/>
      <w:sz w:val="32"/>
      <w:szCs w:val="32"/>
    </w:rPr>
  </w:style>
  <w:style w:type="paragraph" w:customStyle="1" w:styleId="504">
    <w:name w:val="xl38"/>
    <w:basedOn w:val="1"/>
    <w:qFormat/>
    <w:uiPriority w:val="0"/>
    <w:pPr>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5">
    <w:name w:val="修订1"/>
    <w:qFormat/>
    <w:uiPriority w:val="3"/>
    <w:rPr>
      <w:rFonts w:ascii="Times New Roman" w:hAnsi="Times New Roman" w:eastAsia="宋体" w:cs="Times New Roman"/>
      <w:color w:val="000000"/>
      <w:kern w:val="1"/>
      <w:sz w:val="21"/>
      <w:lang w:val="en-US" w:eastAsia="zh-CN" w:bidi="ar-SA"/>
    </w:rPr>
  </w:style>
  <w:style w:type="paragraph" w:customStyle="1" w:styleId="506">
    <w:name w:val="Char2 Char Char Char"/>
    <w:basedOn w:val="1"/>
    <w:qFormat/>
    <w:uiPriority w:val="0"/>
    <w:rPr>
      <w:rFonts w:ascii="仿宋_GB2312" w:eastAsia="仿宋_GB2312"/>
      <w:b/>
      <w:sz w:val="32"/>
      <w:szCs w:val="32"/>
    </w:rPr>
  </w:style>
  <w:style w:type="paragraph" w:customStyle="1" w:styleId="507">
    <w:name w:val="Char2 Char Char Char1"/>
    <w:basedOn w:val="1"/>
    <w:qFormat/>
    <w:uiPriority w:val="6"/>
    <w:rPr>
      <w:rFonts w:ascii="仿宋_GB2312" w:eastAsia="仿宋_GB2312"/>
      <w:b/>
      <w:sz w:val="32"/>
      <w:szCs w:val="32"/>
    </w:rPr>
  </w:style>
  <w:style w:type="paragraph" w:customStyle="1" w:styleId="508">
    <w:name w:val="默认段落样式"/>
    <w:basedOn w:val="136"/>
    <w:qFormat/>
    <w:uiPriority w:val="0"/>
    <w:pPr>
      <w:spacing w:before="0"/>
      <w:ind w:firstLine="480"/>
      <w:outlineLvl w:val="2"/>
    </w:pPr>
    <w:rPr>
      <w:rFonts w:ascii="仿宋_GB2312" w:hAnsi="宋体" w:eastAsia="仿宋_GB2312"/>
      <w:color w:val="000000"/>
      <w:szCs w:val="24"/>
    </w:rPr>
  </w:style>
  <w:style w:type="paragraph" w:customStyle="1" w:styleId="509">
    <w:name w:val="图中文字"/>
    <w:basedOn w:val="1"/>
    <w:qFormat/>
    <w:uiPriority w:val="0"/>
    <w:pPr>
      <w:snapToGrid w:val="0"/>
      <w:spacing w:line="0" w:lineRule="atLeast"/>
      <w:ind w:firstLine="200" w:firstLineChars="200"/>
      <w:jc w:val="center"/>
    </w:pPr>
    <w:rPr>
      <w:sz w:val="24"/>
      <w:szCs w:val="20"/>
    </w:rPr>
  </w:style>
  <w:style w:type="paragraph" w:customStyle="1" w:styleId="510">
    <w:name w:val="xl35"/>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1">
    <w:name w:val="MM Topic 3"/>
    <w:basedOn w:val="5"/>
    <w:qFormat/>
    <w:uiPriority w:val="0"/>
    <w:pPr>
      <w:tabs>
        <w:tab w:val="left" w:pos="1680"/>
      </w:tabs>
      <w:adjustRightInd/>
      <w:ind w:left="1680" w:hanging="420"/>
    </w:pPr>
  </w:style>
  <w:style w:type="paragraph" w:customStyle="1" w:styleId="512">
    <w:name w:val="标准小四"/>
    <w:basedOn w:val="1"/>
    <w:qFormat/>
    <w:uiPriority w:val="0"/>
    <w:pPr>
      <w:spacing w:line="360" w:lineRule="auto"/>
      <w:ind w:firstLine="480" w:firstLineChars="200"/>
    </w:pPr>
    <w:rPr>
      <w:rFonts w:ascii="Arial" w:hAnsi="Arial"/>
      <w:sz w:val="24"/>
      <w:szCs w:val="21"/>
    </w:rPr>
  </w:style>
  <w:style w:type="paragraph" w:customStyle="1" w:styleId="513">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4">
    <w:name w:val="表格（小）"/>
    <w:basedOn w:val="1"/>
    <w:qFormat/>
    <w:uiPriority w:val="0"/>
    <w:pPr>
      <w:adjustRightInd/>
      <w:snapToGrid w:val="0"/>
      <w:spacing w:line="300" w:lineRule="auto"/>
    </w:pPr>
    <w:rPr>
      <w:rFonts w:eastAsia="仿宋"/>
      <w:szCs w:val="21"/>
    </w:rPr>
  </w:style>
  <w:style w:type="paragraph" w:customStyle="1" w:styleId="515">
    <w:name w:val="Char Char Char Char Char Char1 Char"/>
    <w:basedOn w:val="1"/>
    <w:qFormat/>
    <w:uiPriority w:val="0"/>
    <w:pPr>
      <w:spacing w:after="160" w:line="240" w:lineRule="exact"/>
    </w:pPr>
    <w:rPr>
      <w:rFonts w:ascii="Verdana" w:hAnsi="Verdana"/>
      <w:kern w:val="0"/>
      <w:szCs w:val="20"/>
      <w:lang w:eastAsia="en-US"/>
    </w:rPr>
  </w:style>
  <w:style w:type="paragraph" w:customStyle="1" w:styleId="516">
    <w:name w:val="Char2 Char Char1"/>
    <w:basedOn w:val="1"/>
    <w:qFormat/>
    <w:uiPriority w:val="6"/>
    <w:pPr>
      <w:adjustRightInd/>
    </w:pPr>
    <w:rPr>
      <w:rFonts w:ascii="Tahoma" w:hAnsi="Tahoma"/>
      <w:sz w:val="24"/>
      <w:szCs w:val="20"/>
    </w:rPr>
  </w:style>
  <w:style w:type="paragraph" w:customStyle="1" w:styleId="517">
    <w:name w:val="列出段落5"/>
    <w:basedOn w:val="1"/>
    <w:qFormat/>
    <w:uiPriority w:val="0"/>
    <w:pPr>
      <w:spacing w:line="360" w:lineRule="auto"/>
      <w:ind w:firstLine="200" w:firstLineChars="200"/>
    </w:pPr>
    <w:rPr>
      <w:rFonts w:eastAsia="楷体_GB2312" w:cs="Lucida Sans"/>
      <w:sz w:val="24"/>
    </w:rPr>
  </w:style>
  <w:style w:type="paragraph" w:customStyle="1" w:styleId="518">
    <w:name w:val="font7"/>
    <w:basedOn w:val="1"/>
    <w:qFormat/>
    <w:uiPriority w:val="0"/>
    <w:pPr>
      <w:adjustRightInd/>
      <w:spacing w:before="100" w:beforeAutospacing="1" w:after="100" w:afterAutospacing="1" w:line="360" w:lineRule="auto"/>
      <w:ind w:firstLine="200" w:firstLineChars="200"/>
    </w:pPr>
    <w:rPr>
      <w:kern w:val="0"/>
      <w:sz w:val="20"/>
      <w:szCs w:val="20"/>
    </w:rPr>
  </w:style>
  <w:style w:type="paragraph" w:customStyle="1" w:styleId="519">
    <w:name w:val="表格文字"/>
    <w:basedOn w:val="1"/>
    <w:next w:val="4"/>
    <w:qFormat/>
    <w:uiPriority w:val="0"/>
    <w:pPr>
      <w:adjustRightInd/>
      <w:ind w:firstLine="200" w:firstLineChars="200"/>
    </w:pPr>
    <w:rPr>
      <w:rFonts w:ascii="Arial" w:hAnsi="Arial"/>
      <w:spacing w:val="-5"/>
      <w:kern w:val="0"/>
      <w:sz w:val="24"/>
      <w:szCs w:val="20"/>
    </w:rPr>
  </w:style>
  <w:style w:type="paragraph" w:customStyle="1" w:styleId="520">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1">
    <w:name w:val="TOC 标题111"/>
    <w:basedOn w:val="2"/>
    <w:next w:val="1"/>
    <w:unhideWhenUsed/>
    <w:qFormat/>
    <w:uiPriority w:val="0"/>
    <w:pPr>
      <w:adjustRightInd/>
      <w:spacing w:before="480" w:line="276" w:lineRule="auto"/>
      <w:ind w:left="0" w:firstLine="0"/>
      <w:outlineLvl w:val="9"/>
    </w:pPr>
    <w:rPr>
      <w:rFonts w:ascii="Cambria" w:hAnsi="Cambria"/>
      <w:color w:val="365F91"/>
      <w:kern w:val="0"/>
      <w:sz w:val="28"/>
      <w:szCs w:val="28"/>
    </w:rPr>
  </w:style>
  <w:style w:type="paragraph" w:customStyle="1" w:styleId="522">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pPr>
    <w:rPr>
      <w:rFonts w:ascii="仿宋" w:hAnsi="仿宋" w:eastAsia="仿宋" w:cs="宋体"/>
      <w:kern w:val="0"/>
      <w:sz w:val="20"/>
      <w:szCs w:val="20"/>
    </w:rPr>
  </w:style>
  <w:style w:type="paragraph" w:customStyle="1" w:styleId="523">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4">
    <w:name w:val="Char3 Char Char"/>
    <w:basedOn w:val="1"/>
    <w:qFormat/>
    <w:uiPriority w:val="0"/>
    <w:pPr>
      <w:adjustRightInd/>
      <w:spacing w:after="160" w:line="240" w:lineRule="exact"/>
    </w:pPr>
    <w:rPr>
      <w:rFonts w:ascii="Arial" w:hAnsi="Arial" w:eastAsia="Times New Roman" w:cs="Verdana"/>
      <w:b/>
      <w:kern w:val="0"/>
      <w:sz w:val="24"/>
      <w:szCs w:val="20"/>
      <w:lang w:eastAsia="en-US"/>
    </w:rPr>
  </w:style>
  <w:style w:type="paragraph" w:customStyle="1" w:styleId="525">
    <w:name w:val="_Style 3"/>
    <w:basedOn w:val="1"/>
    <w:qFormat/>
    <w:uiPriority w:val="0"/>
    <w:pPr>
      <w:adjustRightInd/>
      <w:ind w:firstLine="420" w:firstLineChars="200"/>
    </w:pPr>
    <w:rPr>
      <w:rFonts w:eastAsia="仿宋_GB2312"/>
      <w:sz w:val="28"/>
    </w:rPr>
  </w:style>
  <w:style w:type="paragraph" w:customStyle="1" w:styleId="526">
    <w:name w:val="xl39"/>
    <w:basedOn w:val="1"/>
    <w:qFormat/>
    <w:uiPriority w:val="0"/>
    <w:pPr>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7">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8">
    <w:name w:val="左对齐表格文字"/>
    <w:basedOn w:val="1"/>
    <w:qFormat/>
    <w:uiPriority w:val="0"/>
    <w:pPr>
      <w:adjustRightInd/>
      <w:ind w:firstLine="200" w:firstLineChars="200"/>
      <w:jc w:val="right"/>
    </w:pPr>
  </w:style>
  <w:style w:type="paragraph" w:customStyle="1" w:styleId="529">
    <w:name w:val="Char Char11 Char Char Char Char Char Char Char Char Char"/>
    <w:basedOn w:val="1"/>
    <w:qFormat/>
    <w:uiPriority w:val="0"/>
    <w:pPr>
      <w:spacing w:line="360" w:lineRule="auto"/>
    </w:pPr>
    <w:rPr>
      <w:szCs w:val="20"/>
    </w:rPr>
  </w:style>
  <w:style w:type="paragraph" w:customStyle="1" w:styleId="530">
    <w:name w:val="正文1.25"/>
    <w:basedOn w:val="1"/>
    <w:qFormat/>
    <w:uiPriority w:val="0"/>
    <w:pPr>
      <w:adjustRightInd/>
      <w:spacing w:line="300" w:lineRule="auto"/>
      <w:ind w:firstLine="480" w:firstLineChars="200"/>
    </w:pPr>
    <w:rPr>
      <w:sz w:val="24"/>
      <w:szCs w:val="20"/>
    </w:rPr>
  </w:style>
  <w:style w:type="paragraph" w:customStyle="1" w:styleId="531">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3">
    <w:name w:val="xl76"/>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0"/>
      <w:szCs w:val="20"/>
    </w:rPr>
  </w:style>
  <w:style w:type="paragraph" w:customStyle="1" w:styleId="534">
    <w:name w:val="Char Char1 Char Char Char1"/>
    <w:basedOn w:val="1"/>
    <w:qFormat/>
    <w:uiPriority w:val="6"/>
    <w:rPr>
      <w:rFonts w:ascii="仿宋_GB2312" w:eastAsia="仿宋_GB2312"/>
      <w:b/>
      <w:sz w:val="32"/>
      <w:szCs w:val="20"/>
    </w:rPr>
  </w:style>
  <w:style w:type="paragraph" w:customStyle="1" w:styleId="535">
    <w:name w:val="列出段落2"/>
    <w:basedOn w:val="1"/>
    <w:qFormat/>
    <w:uiPriority w:val="0"/>
    <w:pPr>
      <w:adjustRightInd/>
      <w:ind w:firstLine="420" w:firstLineChars="200"/>
    </w:pPr>
    <w:rPr>
      <w:rFonts w:ascii="宋体" w:hAnsi="宋体"/>
      <w:sz w:val="24"/>
    </w:rPr>
  </w:style>
  <w:style w:type="paragraph" w:customStyle="1" w:styleId="536">
    <w:name w:val="默认段落字体 Para Char Char Char Char Char Char Char"/>
    <w:basedOn w:val="1"/>
    <w:qFormat/>
    <w:uiPriority w:val="0"/>
    <w:rPr>
      <w:rFonts w:eastAsia="仿宋_GB2312"/>
      <w:sz w:val="28"/>
      <w:szCs w:val="20"/>
    </w:rPr>
  </w:style>
  <w:style w:type="paragraph" w:customStyle="1" w:styleId="537">
    <w:name w:val="xl74"/>
    <w:basedOn w:val="1"/>
    <w:qFormat/>
    <w:uiPriority w:val="0"/>
    <w:pPr>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8">
    <w:name w:val="样式 标题 4PIM 4H4h4bulletblbbH41H42H43H44H45H46H47H48...1"/>
    <w:basedOn w:val="6"/>
    <w:qFormat/>
    <w:uiPriority w:val="0"/>
    <w:rPr>
      <w:rFonts w:cs="宋体"/>
      <w:sz w:val="24"/>
      <w:szCs w:val="20"/>
    </w:rPr>
  </w:style>
  <w:style w:type="paragraph" w:customStyle="1" w:styleId="539">
    <w:name w:val="彩色列表 - 强调文字颜色 11"/>
    <w:basedOn w:val="1"/>
    <w:qFormat/>
    <w:uiPriority w:val="0"/>
    <w:pPr>
      <w:adjustRightInd/>
      <w:ind w:firstLine="420" w:firstLineChars="200"/>
    </w:pPr>
    <w:rPr>
      <w:rFonts w:ascii="Calibri" w:hAnsi="Calibri"/>
      <w:szCs w:val="22"/>
    </w:rPr>
  </w:style>
  <w:style w:type="paragraph" w:customStyle="1" w:styleId="54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1">
    <w:name w:val="xl94"/>
    <w:basedOn w:val="1"/>
    <w:qFormat/>
    <w:uiPriority w:val="0"/>
    <w:pPr>
      <w:adjustRightInd/>
      <w:spacing w:before="100" w:beforeAutospacing="1" w:after="100" w:afterAutospacing="1"/>
      <w:jc w:val="center"/>
    </w:pPr>
    <w:rPr>
      <w:rFonts w:ascii="仿宋" w:hAnsi="仿宋" w:eastAsia="仿宋" w:cs="宋体"/>
      <w:kern w:val="0"/>
      <w:sz w:val="20"/>
      <w:szCs w:val="20"/>
    </w:rPr>
  </w:style>
  <w:style w:type="paragraph" w:customStyle="1" w:styleId="542">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3">
    <w:name w:val="Char Char Char1 Char1"/>
    <w:basedOn w:val="1"/>
    <w:qFormat/>
    <w:uiPriority w:val="6"/>
    <w:rPr>
      <w:szCs w:val="20"/>
    </w:rPr>
  </w:style>
  <w:style w:type="paragraph" w:customStyle="1" w:styleId="544">
    <w:name w:val="xl27"/>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textAlignment w:val="top"/>
    </w:pPr>
    <w:rPr>
      <w:rFonts w:ascii="宋体" w:hAnsi="宋体"/>
      <w:kern w:val="0"/>
      <w:sz w:val="20"/>
      <w:szCs w:val="20"/>
    </w:rPr>
  </w:style>
  <w:style w:type="paragraph" w:customStyle="1" w:styleId="545">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6">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7">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8">
    <w:name w:val="xl36"/>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9">
    <w:name w:val="CM14"/>
    <w:basedOn w:val="83"/>
    <w:next w:val="83"/>
    <w:qFormat/>
    <w:uiPriority w:val="0"/>
    <w:pPr>
      <w:spacing w:after="68"/>
    </w:pPr>
    <w:rPr>
      <w:rFonts w:ascii="FHLHE E+ Futura Bk" w:eastAsia="FHLHE E+ Futura Bk" w:cs="Times New Roman"/>
      <w:color w:val="auto"/>
    </w:rPr>
  </w:style>
  <w:style w:type="paragraph" w:customStyle="1" w:styleId="550">
    <w:name w:val="xl82"/>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1">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2">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3">
    <w:name w:val="正文文字 2"/>
    <w:basedOn w:val="83"/>
    <w:next w:val="83"/>
    <w:qFormat/>
    <w:uiPriority w:val="0"/>
    <w:rPr>
      <w:rFonts w:ascii="宋体" w:eastAsia="宋体" w:cs="Times New Roman"/>
      <w:color w:val="auto"/>
    </w:rPr>
  </w:style>
  <w:style w:type="paragraph" w:customStyle="1" w:styleId="554">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5">
    <w:name w:val="Char Char1 Char"/>
    <w:basedOn w:val="1"/>
    <w:qFormat/>
    <w:uiPriority w:val="0"/>
    <w:rPr>
      <w:rFonts w:ascii="仿宋_GB2312" w:eastAsia="仿宋_GB2312"/>
      <w:b/>
      <w:sz w:val="32"/>
      <w:szCs w:val="32"/>
    </w:rPr>
  </w:style>
  <w:style w:type="paragraph" w:customStyle="1" w:styleId="556">
    <w:name w:val="xl77"/>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0"/>
      <w:szCs w:val="20"/>
    </w:rPr>
  </w:style>
  <w:style w:type="paragraph" w:customStyle="1" w:styleId="557">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8">
    <w:name w:val="Char Char111"/>
    <w:basedOn w:val="1"/>
    <w:qFormat/>
    <w:uiPriority w:val="0"/>
    <w:pPr>
      <w:spacing w:line="360" w:lineRule="auto"/>
    </w:pPr>
    <w:rPr>
      <w:szCs w:val="20"/>
    </w:rPr>
  </w:style>
  <w:style w:type="paragraph" w:customStyle="1" w:styleId="559">
    <w:name w:val="Char"/>
    <w:basedOn w:val="1"/>
    <w:qFormat/>
    <w:uiPriority w:val="0"/>
    <w:rPr>
      <w:rFonts w:ascii="仿宋_GB2312" w:eastAsia="仿宋_GB2312"/>
      <w:b/>
      <w:sz w:val="32"/>
      <w:szCs w:val="32"/>
    </w:rPr>
  </w:style>
  <w:style w:type="paragraph" w:customStyle="1" w:styleId="560">
    <w:name w:val="RFI Heading 2nd Level"/>
    <w:basedOn w:val="1"/>
    <w:qFormat/>
    <w:uiPriority w:val="0"/>
    <w:pPr>
      <w:tabs>
        <w:tab w:val="left" w:pos="1260"/>
      </w:tabs>
      <w:adjustRightInd/>
      <w:ind w:firstLine="200" w:firstLineChars="200"/>
    </w:pPr>
    <w:rPr>
      <w:rFonts w:ascii="Arial (W1)" w:hAnsi="Arial (W1)"/>
      <w:b/>
      <w:bCs/>
      <w:color w:val="0000FF"/>
      <w:kern w:val="0"/>
      <w:sz w:val="28"/>
      <w:lang w:val="en-GB" w:eastAsia="en-US"/>
    </w:rPr>
  </w:style>
  <w:style w:type="paragraph" w:customStyle="1" w:styleId="5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2">
    <w:name w:val="Char Char Char1 Char"/>
    <w:basedOn w:val="1"/>
    <w:qFormat/>
    <w:uiPriority w:val="0"/>
    <w:rPr>
      <w:szCs w:val="20"/>
    </w:rPr>
  </w:style>
  <w:style w:type="paragraph" w:customStyle="1" w:styleId="563">
    <w:name w:val="正文标准"/>
    <w:basedOn w:val="1"/>
    <w:qFormat/>
    <w:uiPriority w:val="0"/>
    <w:pPr>
      <w:adjustRightInd/>
      <w:spacing w:line="360" w:lineRule="auto"/>
      <w:ind w:firstLine="200" w:firstLineChars="200"/>
    </w:pPr>
    <w:rPr>
      <w:rFonts w:ascii="宋体" w:hAnsi="Calibri"/>
      <w:sz w:val="24"/>
    </w:rPr>
  </w:style>
  <w:style w:type="paragraph" w:customStyle="1" w:styleId="564">
    <w:name w:val="正文格式"/>
    <w:basedOn w:val="1"/>
    <w:qFormat/>
    <w:uiPriority w:val="0"/>
    <w:pPr>
      <w:autoSpaceDE w:val="0"/>
      <w:autoSpaceDN w:val="0"/>
      <w:snapToGrid w:val="0"/>
      <w:spacing w:line="360" w:lineRule="atLeast"/>
      <w:ind w:firstLine="200" w:firstLineChars="200"/>
      <w:textAlignment w:val="baseline"/>
    </w:pPr>
    <w:rPr>
      <w:kern w:val="0"/>
      <w:sz w:val="24"/>
      <w:szCs w:val="20"/>
    </w:rPr>
  </w:style>
  <w:style w:type="paragraph" w:customStyle="1" w:styleId="565">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6">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8">
    <w:name w:val="font12"/>
    <w:basedOn w:val="1"/>
    <w:qFormat/>
    <w:uiPriority w:val="0"/>
    <w:pPr>
      <w:adjustRightInd/>
      <w:spacing w:before="100" w:beforeAutospacing="1" w:after="100" w:afterAutospacing="1"/>
    </w:pPr>
    <w:rPr>
      <w:rFonts w:ascii="宋体" w:hAnsi="宋体" w:cs="宋体"/>
      <w:kern w:val="0"/>
      <w:sz w:val="18"/>
      <w:szCs w:val="18"/>
    </w:rPr>
  </w:style>
  <w:style w:type="paragraph" w:customStyle="1" w:styleId="569">
    <w:name w:val="Char Char1 Char2"/>
    <w:basedOn w:val="1"/>
    <w:qFormat/>
    <w:uiPriority w:val="0"/>
    <w:pPr>
      <w:snapToGrid w:val="0"/>
      <w:spacing w:before="120" w:after="160" w:line="360" w:lineRule="auto"/>
      <w:ind w:right="-360"/>
    </w:pPr>
    <w:rPr>
      <w:rFonts w:ascii="Arial" w:hAnsi="Arial"/>
      <w:kern w:val="0"/>
      <w:sz w:val="24"/>
      <w:lang w:eastAsia="en-US"/>
    </w:rPr>
  </w:style>
  <w:style w:type="paragraph" w:customStyle="1" w:styleId="570">
    <w:name w:val="Char Char Char11"/>
    <w:basedOn w:val="1"/>
    <w:qFormat/>
    <w:uiPriority w:val="0"/>
    <w:pPr>
      <w:spacing w:after="160" w:line="240" w:lineRule="exact"/>
    </w:pPr>
    <w:rPr>
      <w:rFonts w:ascii="Verdana" w:hAnsi="Verdana"/>
      <w:kern w:val="0"/>
      <w:sz w:val="20"/>
      <w:szCs w:val="20"/>
      <w:lang w:eastAsia="en-US"/>
    </w:rPr>
  </w:style>
  <w:style w:type="paragraph" w:customStyle="1" w:styleId="571">
    <w:name w:val="xl42"/>
    <w:basedOn w:val="1"/>
    <w:qFormat/>
    <w:uiPriority w:val="0"/>
    <w:pPr>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3">
    <w:name w:val="xl43"/>
    <w:basedOn w:val="1"/>
    <w:qFormat/>
    <w:uiPriority w:val="0"/>
    <w:pPr>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solutionfonts1"/>
    <w:basedOn w:val="1"/>
    <w:qFormat/>
    <w:uiPriority w:val="0"/>
    <w:pPr>
      <w:adjustRightInd/>
      <w:spacing w:before="100" w:beforeAutospacing="1" w:after="100" w:afterAutospacing="1"/>
      <w:ind w:firstLine="200" w:firstLineChars="200"/>
    </w:pPr>
    <w:rPr>
      <w:rFonts w:ascii="宋体" w:hAnsi="宋体" w:cs="宋体"/>
      <w:kern w:val="0"/>
      <w:sz w:val="24"/>
    </w:rPr>
  </w:style>
  <w:style w:type="paragraph" w:customStyle="1" w:styleId="575">
    <w:name w:val="标准有序列表（L1）"/>
    <w:basedOn w:val="4"/>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6">
    <w:name w:val="Char Char Char Char Char Char Char Char Char Char"/>
    <w:basedOn w:val="1"/>
    <w:qFormat/>
    <w:uiPriority w:val="0"/>
    <w:rPr>
      <w:rFonts w:ascii="仿宋_GB2312" w:eastAsia="仿宋_GB2312"/>
      <w:b/>
      <w:sz w:val="32"/>
      <w:szCs w:val="32"/>
    </w:rPr>
  </w:style>
  <w:style w:type="paragraph" w:customStyle="1" w:styleId="577">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8">
    <w:name w:val="_正文段落"/>
    <w:basedOn w:val="1"/>
    <w:qFormat/>
    <w:uiPriority w:val="0"/>
    <w:pPr>
      <w:adjustRightInd/>
      <w:ind w:firstLine="560"/>
    </w:pPr>
    <w:rPr>
      <w:rFonts w:ascii="仿宋_GB2312" w:hAnsi="仿宋" w:eastAsia="仿宋_GB2312"/>
      <w:kern w:val="0"/>
      <w:sz w:val="28"/>
      <w:szCs w:val="28"/>
    </w:rPr>
  </w:style>
  <w:style w:type="paragraph" w:customStyle="1" w:styleId="579">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1">
    <w:name w:val="正文（首行缩进）"/>
    <w:basedOn w:val="25"/>
    <w:qFormat/>
    <w:uiPriority w:val="0"/>
    <w:pPr>
      <w:tabs>
        <w:tab w:val="left" w:pos="840"/>
      </w:tabs>
      <w:overflowPunct w:val="0"/>
      <w:autoSpaceDE w:val="0"/>
      <w:autoSpaceDN w:val="0"/>
      <w:spacing w:before="156" w:beforeLines="50" w:after="120" w:line="400" w:lineRule="exact"/>
      <w:ind w:left="200" w:leftChars="200" w:firstLine="200"/>
      <w:textAlignment w:val="baseline"/>
    </w:pPr>
    <w:rPr>
      <w:rFonts w:ascii="Times New Roman" w:hAnsi="Times New Roman"/>
      <w:spacing w:val="10"/>
      <w:kern w:val="0"/>
      <w:szCs w:val="20"/>
    </w:rPr>
  </w:style>
  <w:style w:type="paragraph" w:customStyle="1" w:styleId="58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3">
    <w:name w:val="font9"/>
    <w:basedOn w:val="1"/>
    <w:qFormat/>
    <w:uiPriority w:val="0"/>
    <w:pPr>
      <w:adjustRightInd/>
      <w:spacing w:before="100" w:beforeAutospacing="1" w:after="100" w:afterAutospacing="1"/>
    </w:pPr>
    <w:rPr>
      <w:rFonts w:hint="eastAsia" w:ascii="宋体" w:hAnsi="宋体"/>
      <w:kern w:val="0"/>
      <w:sz w:val="20"/>
      <w:szCs w:val="20"/>
    </w:rPr>
  </w:style>
  <w:style w:type="paragraph" w:customStyle="1" w:styleId="584">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5">
    <w:name w:val="Char Char Char1 Char2"/>
    <w:basedOn w:val="1"/>
    <w:qFormat/>
    <w:uiPriority w:val="0"/>
    <w:rPr>
      <w:szCs w:val="20"/>
    </w:rPr>
  </w:style>
  <w:style w:type="paragraph" w:customStyle="1" w:styleId="586">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7">
    <w:name w:val="默认段落字体 Para Char"/>
    <w:basedOn w:val="1"/>
    <w:qFormat/>
    <w:uiPriority w:val="0"/>
    <w:rPr>
      <w:rFonts w:ascii="Tahoma" w:hAnsi="Tahoma"/>
      <w:sz w:val="24"/>
      <w:szCs w:val="20"/>
    </w:rPr>
  </w:style>
  <w:style w:type="paragraph" w:customStyle="1" w:styleId="588">
    <w:name w:val="标题五"/>
    <w:basedOn w:val="1"/>
    <w:qFormat/>
    <w:uiPriority w:val="0"/>
    <w:pPr>
      <w:adjustRightInd/>
      <w:spacing w:before="156" w:beforeLines="50" w:line="360" w:lineRule="auto"/>
    </w:pPr>
    <w:rPr>
      <w:b/>
      <w:sz w:val="24"/>
    </w:rPr>
  </w:style>
  <w:style w:type="paragraph" w:customStyle="1" w:styleId="589">
    <w:name w:val="Char Char1101"/>
    <w:basedOn w:val="1"/>
    <w:qFormat/>
    <w:uiPriority w:val="0"/>
    <w:pPr>
      <w:spacing w:line="360" w:lineRule="auto"/>
    </w:pPr>
    <w:rPr>
      <w:rFonts w:ascii="Tahoma" w:hAnsi="Tahoma"/>
      <w:sz w:val="24"/>
      <w:szCs w:val="20"/>
    </w:rPr>
  </w:style>
  <w:style w:type="paragraph" w:customStyle="1" w:styleId="590">
    <w:name w:val="Char Char Char Char Char Char Char Char1"/>
    <w:basedOn w:val="1"/>
    <w:qFormat/>
    <w:uiPriority w:val="0"/>
    <w:pPr>
      <w:tabs>
        <w:tab w:val="left" w:pos="360"/>
      </w:tabs>
    </w:pPr>
    <w:rPr>
      <w:sz w:val="24"/>
      <w:szCs w:val="20"/>
    </w:rPr>
  </w:style>
  <w:style w:type="paragraph" w:customStyle="1" w:styleId="591">
    <w:name w:val="Char Char Char 字元 字元"/>
    <w:basedOn w:val="1"/>
    <w:qFormat/>
    <w:uiPriority w:val="0"/>
    <w:pPr>
      <w:adjustRightInd/>
      <w:spacing w:line="360" w:lineRule="auto"/>
      <w:ind w:firstLine="200" w:firstLineChars="200"/>
    </w:pPr>
    <w:rPr>
      <w:szCs w:val="20"/>
    </w:rPr>
  </w:style>
  <w:style w:type="paragraph" w:customStyle="1" w:styleId="592">
    <w:name w:val="xl70"/>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3">
    <w:name w:val="Char Char Char Char Char Char Char"/>
    <w:basedOn w:val="1"/>
    <w:qFormat/>
    <w:uiPriority w:val="0"/>
    <w:rPr>
      <w:rFonts w:ascii="仿宋_GB2312" w:eastAsia="仿宋_GB2312"/>
      <w:b/>
      <w:sz w:val="32"/>
      <w:szCs w:val="32"/>
    </w:rPr>
  </w:style>
  <w:style w:type="paragraph" w:customStyle="1" w:styleId="59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5">
    <w:name w:val="a2"/>
    <w:basedOn w:val="1"/>
    <w:qFormat/>
    <w:uiPriority w:val="0"/>
    <w:pPr>
      <w:adjustRightInd/>
      <w:spacing w:before="100" w:beforeAutospacing="1" w:after="100" w:afterAutospacing="1"/>
    </w:pPr>
    <w:rPr>
      <w:rFonts w:ascii="宋体" w:hAnsi="宋体" w:cs="宋体"/>
      <w:kern w:val="0"/>
      <w:sz w:val="24"/>
    </w:rPr>
  </w:style>
  <w:style w:type="paragraph" w:customStyle="1" w:styleId="596">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7">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8">
    <w:name w:val="批注框文本 Char Char"/>
    <w:basedOn w:val="1"/>
    <w:qFormat/>
    <w:uiPriority w:val="0"/>
    <w:pPr>
      <w:adjustRightInd/>
    </w:pPr>
    <w:rPr>
      <w:sz w:val="18"/>
      <w:szCs w:val="20"/>
    </w:rPr>
  </w:style>
  <w:style w:type="paragraph" w:customStyle="1" w:styleId="59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0">
    <w:name w:val="xl32"/>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pPr>
    <w:rPr>
      <w:rFonts w:ascii="宋体" w:hAnsi="宋体"/>
      <w:kern w:val="0"/>
      <w:sz w:val="20"/>
      <w:szCs w:val="20"/>
    </w:rPr>
  </w:style>
  <w:style w:type="paragraph" w:customStyle="1" w:styleId="60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2">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3">
    <w:name w:val="索引 11"/>
    <w:basedOn w:val="1"/>
    <w:next w:val="1"/>
    <w:qFormat/>
    <w:uiPriority w:val="99"/>
    <w:pPr>
      <w:adjustRightInd/>
      <w:spacing w:line="360" w:lineRule="auto"/>
    </w:pPr>
    <w:rPr>
      <w:rFonts w:ascii="仿宋_GB2312" w:eastAsia="仿宋_GB2312"/>
      <w:sz w:val="24"/>
      <w:szCs w:val="20"/>
    </w:rPr>
  </w:style>
  <w:style w:type="paragraph" w:customStyle="1" w:styleId="604">
    <w:name w:val="xl67"/>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6">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7">
    <w:name w:val="文档正文"/>
    <w:basedOn w:val="1"/>
    <w:qFormat/>
    <w:uiPriority w:val="0"/>
    <w:pPr>
      <w:spacing w:line="480" w:lineRule="atLeast"/>
      <w:ind w:firstLine="567"/>
      <w:textAlignment w:val="baseline"/>
    </w:pPr>
    <w:rPr>
      <w:kern w:val="0"/>
      <w:sz w:val="24"/>
      <w:szCs w:val="20"/>
    </w:rPr>
  </w:style>
  <w:style w:type="paragraph" w:customStyle="1" w:styleId="608">
    <w:name w:val="正文文字表格居中"/>
    <w:basedOn w:val="1"/>
    <w:next w:val="57"/>
    <w:qFormat/>
    <w:uiPriority w:val="0"/>
    <w:pPr>
      <w:snapToGrid w:val="0"/>
      <w:spacing w:line="360" w:lineRule="auto"/>
    </w:pPr>
    <w:rPr>
      <w:rFonts w:ascii="宋体"/>
      <w:b/>
      <w:sz w:val="24"/>
      <w:szCs w:val="20"/>
    </w:rPr>
  </w:style>
  <w:style w:type="paragraph" w:customStyle="1" w:styleId="609">
    <w:name w:val="规划正文"/>
    <w:basedOn w:val="1"/>
    <w:qFormat/>
    <w:uiPriority w:val="0"/>
    <w:pPr>
      <w:adjustRightInd/>
      <w:spacing w:before="312" w:beforeLines="100" w:line="360" w:lineRule="auto"/>
    </w:pPr>
    <w:rPr>
      <w:rFonts w:ascii="Arial" w:hAnsi="Arial" w:eastAsia="仿宋_GB2312"/>
      <w:bCs/>
      <w:sz w:val="28"/>
    </w:rPr>
  </w:style>
  <w:style w:type="paragraph" w:customStyle="1" w:styleId="610">
    <w:name w:val="小节"/>
    <w:basedOn w:val="5"/>
    <w:qFormat/>
    <w:uiPriority w:val="0"/>
    <w:pPr>
      <w:adjustRightInd/>
      <w:spacing w:before="200" w:after="200" w:line="560" w:lineRule="exact"/>
    </w:pPr>
    <w:rPr>
      <w:rFonts w:ascii="宋体" w:hAnsi="宋体"/>
      <w:bCs w:val="0"/>
      <w:color w:val="000000"/>
      <w:spacing w:val="10"/>
      <w:kern w:val="24"/>
      <w:sz w:val="28"/>
    </w:rPr>
  </w:style>
  <w:style w:type="paragraph" w:customStyle="1" w:styleId="611">
    <w:name w:val="Plain Text1"/>
    <w:basedOn w:val="1"/>
    <w:qFormat/>
    <w:uiPriority w:val="7"/>
    <w:pPr>
      <w:adjustRightInd/>
    </w:pPr>
    <w:rPr>
      <w:rFonts w:ascii="宋体" w:hAnsi="Courier New"/>
    </w:rPr>
  </w:style>
  <w:style w:type="paragraph" w:customStyle="1" w:styleId="612">
    <w:name w:val="Char3"/>
    <w:basedOn w:val="1"/>
    <w:qFormat/>
    <w:uiPriority w:val="0"/>
    <w:pPr>
      <w:adjustRightInd/>
    </w:pPr>
    <w:rPr>
      <w:rFonts w:ascii="仿宋_GB2312" w:eastAsia="仿宋_GB2312"/>
      <w:b/>
      <w:sz w:val="32"/>
      <w:szCs w:val="32"/>
    </w:rPr>
  </w:style>
  <w:style w:type="paragraph" w:customStyle="1" w:styleId="613">
    <w:name w:val="xl28"/>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pPr>
    <w:rPr>
      <w:kern w:val="0"/>
      <w:sz w:val="20"/>
      <w:szCs w:val="20"/>
    </w:rPr>
  </w:style>
  <w:style w:type="paragraph" w:customStyle="1" w:styleId="614">
    <w:name w:val="ÕýÎÄÊ×ÐÐËõ½ø"/>
    <w:basedOn w:val="1"/>
    <w:qFormat/>
    <w:uiPriority w:val="0"/>
    <w:pPr>
      <w:overflowPunct w:val="0"/>
      <w:autoSpaceDE w:val="0"/>
      <w:autoSpaceDN w:val="0"/>
      <w:spacing w:line="360" w:lineRule="auto"/>
      <w:ind w:left="1134"/>
      <w:textAlignment w:val="baseline"/>
    </w:pPr>
    <w:rPr>
      <w:rFonts w:eastAsia="Times New Roman"/>
      <w:kern w:val="0"/>
      <w:szCs w:val="20"/>
    </w:rPr>
  </w:style>
  <w:style w:type="paragraph" w:customStyle="1" w:styleId="615">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6">
    <w:name w:val="List Paragraph1"/>
    <w:basedOn w:val="1"/>
    <w:qFormat/>
    <w:uiPriority w:val="0"/>
    <w:pPr>
      <w:spacing w:line="360" w:lineRule="auto"/>
      <w:ind w:firstLine="200" w:firstLineChars="200"/>
    </w:pPr>
    <w:rPr>
      <w:rFonts w:eastAsia="楷体_GB2312" w:cs="Lucida Sans"/>
      <w:sz w:val="24"/>
    </w:rPr>
  </w:style>
  <w:style w:type="paragraph" w:customStyle="1" w:styleId="617">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8">
    <w:name w:val="xl29"/>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pPr>
    <w:rPr>
      <w:rFonts w:ascii="宋体" w:hAnsi="宋体"/>
      <w:kern w:val="0"/>
      <w:sz w:val="20"/>
      <w:szCs w:val="20"/>
    </w:rPr>
  </w:style>
  <w:style w:type="paragraph" w:customStyle="1" w:styleId="619">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0">
    <w:name w:val="Char3 Char Char Char"/>
    <w:basedOn w:val="1"/>
    <w:qFormat/>
    <w:uiPriority w:val="0"/>
    <w:pPr>
      <w:adjustRightInd/>
      <w:spacing w:after="160" w:line="240" w:lineRule="exact"/>
    </w:pPr>
    <w:rPr>
      <w:szCs w:val="20"/>
    </w:rPr>
  </w:style>
  <w:style w:type="paragraph" w:customStyle="1" w:styleId="621">
    <w:name w:val="表格标题2"/>
    <w:basedOn w:val="622"/>
    <w:qFormat/>
    <w:uiPriority w:val="0"/>
    <w:rPr>
      <w:b/>
    </w:rPr>
  </w:style>
  <w:style w:type="paragraph" w:customStyle="1" w:styleId="622">
    <w:name w:val="表格内文"/>
    <w:basedOn w:val="1"/>
    <w:qFormat/>
    <w:uiPriority w:val="0"/>
    <w:pPr>
      <w:adjustRightInd/>
      <w:spacing w:line="360" w:lineRule="auto"/>
    </w:pPr>
    <w:rPr>
      <w:rFonts w:ascii="宋体" w:hAnsi="宋体" w:cs="宋体"/>
      <w:color w:val="000000"/>
      <w:szCs w:val="20"/>
    </w:rPr>
  </w:style>
  <w:style w:type="paragraph" w:customStyle="1" w:styleId="623">
    <w:name w:val="Char Char Char Char Char Char Char Char Char Char2"/>
    <w:basedOn w:val="1"/>
    <w:qFormat/>
    <w:uiPriority w:val="0"/>
    <w:rPr>
      <w:rFonts w:ascii="仿宋_GB2312" w:eastAsia="仿宋_GB2312"/>
      <w:b/>
      <w:sz w:val="32"/>
      <w:szCs w:val="32"/>
    </w:rPr>
  </w:style>
  <w:style w:type="paragraph" w:customStyle="1" w:styleId="624">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5">
    <w:name w:val="Char3 Char Char1"/>
    <w:basedOn w:val="1"/>
    <w:qFormat/>
    <w:uiPriority w:val="6"/>
    <w:pPr>
      <w:adjustRightInd/>
      <w:spacing w:after="160" w:line="240" w:lineRule="exact"/>
    </w:pPr>
    <w:rPr>
      <w:rFonts w:ascii="Arial" w:hAnsi="Arial" w:eastAsia="Times New Roman" w:cs="Verdana"/>
      <w:b/>
      <w:kern w:val="0"/>
      <w:sz w:val="24"/>
      <w:szCs w:val="20"/>
      <w:lang w:eastAsia="en-US"/>
    </w:rPr>
  </w:style>
  <w:style w:type="paragraph" w:customStyle="1" w:styleId="626">
    <w:name w:val="Char Char11 Char Char Char Char Char Char Char Char Char11"/>
    <w:basedOn w:val="1"/>
    <w:qFormat/>
    <w:uiPriority w:val="0"/>
    <w:pPr>
      <w:spacing w:line="360" w:lineRule="auto"/>
    </w:pPr>
    <w:rPr>
      <w:szCs w:val="20"/>
    </w:rPr>
  </w:style>
  <w:style w:type="paragraph" w:customStyle="1" w:styleId="627">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8">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9">
    <w:name w:val="MM Topic 1"/>
    <w:basedOn w:val="2"/>
    <w:qFormat/>
    <w:uiPriority w:val="0"/>
    <w:pPr>
      <w:tabs>
        <w:tab w:val="left" w:pos="840"/>
      </w:tabs>
      <w:adjustRightInd/>
      <w:ind w:left="840" w:hanging="420"/>
    </w:pPr>
  </w:style>
  <w:style w:type="paragraph" w:customStyle="1" w:styleId="630">
    <w:name w:val="样式 标题 2标题2H2Heading 2 HiddenHeading 2 CCBSheading 22nd lev..."/>
    <w:basedOn w:val="3"/>
    <w:qFormat/>
    <w:uiPriority w:val="0"/>
    <w:pPr>
      <w:spacing w:before="260" w:after="260" w:line="416" w:lineRule="auto"/>
      <w:ind w:left="0" w:firstLine="0"/>
    </w:pPr>
    <w:rPr>
      <w:rFonts w:ascii="Arial" w:hAnsi="Arial" w:eastAsia="黑体"/>
      <w:sz w:val="30"/>
      <w:szCs w:val="21"/>
    </w:rPr>
  </w:style>
  <w:style w:type="paragraph" w:customStyle="1" w:styleId="631">
    <w:name w:val="文本正文 Char"/>
    <w:basedOn w:val="1"/>
    <w:qFormat/>
    <w:uiPriority w:val="0"/>
    <w:pPr>
      <w:spacing w:line="360" w:lineRule="auto"/>
      <w:ind w:firstLine="200" w:firstLineChars="200"/>
    </w:pPr>
    <w:rPr>
      <w:kern w:val="0"/>
      <w:sz w:val="24"/>
      <w:szCs w:val="20"/>
    </w:rPr>
  </w:style>
  <w:style w:type="paragraph" w:customStyle="1" w:styleId="632">
    <w:name w:val="表格"/>
    <w:basedOn w:val="1"/>
    <w:qFormat/>
    <w:uiPriority w:val="0"/>
    <w:pPr>
      <w:snapToGrid w:val="0"/>
      <w:ind w:firstLine="42" w:firstLineChars="21"/>
    </w:pPr>
    <w:rPr>
      <w:rFonts w:ascii="宋体" w:hAnsi="宋体"/>
      <w:kern w:val="0"/>
      <w:sz w:val="20"/>
      <w:szCs w:val="20"/>
    </w:rPr>
  </w:style>
  <w:style w:type="paragraph" w:customStyle="1" w:styleId="633">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4">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5">
    <w:name w:val="xl91"/>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color w:val="000000"/>
      <w:kern w:val="0"/>
      <w:sz w:val="20"/>
      <w:szCs w:val="20"/>
    </w:rPr>
  </w:style>
  <w:style w:type="paragraph" w:customStyle="1" w:styleId="636">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7">
    <w:name w:val="EB_表格"/>
    <w:basedOn w:val="1"/>
    <w:qFormat/>
    <w:uiPriority w:val="0"/>
    <w:pPr>
      <w:adjustRightInd/>
      <w:spacing w:line="300" w:lineRule="auto"/>
      <w:jc w:val="center"/>
    </w:pPr>
  </w:style>
  <w:style w:type="paragraph" w:customStyle="1" w:styleId="638">
    <w:name w:val="_Style 6"/>
    <w:basedOn w:val="1"/>
    <w:qFormat/>
    <w:uiPriority w:val="34"/>
    <w:pPr>
      <w:adjustRightInd/>
      <w:ind w:firstLine="420" w:firstLineChars="200"/>
    </w:pPr>
    <w:rPr>
      <w:rFonts w:eastAsia="仿宋_GB2312"/>
      <w:sz w:val="28"/>
    </w:rPr>
  </w:style>
  <w:style w:type="paragraph" w:customStyle="1" w:styleId="639">
    <w:name w:val="zTableCellBody"/>
    <w:basedOn w:val="1"/>
    <w:qFormat/>
    <w:uiPriority w:val="0"/>
    <w:pPr>
      <w:keepNext/>
      <w:keepLines/>
      <w:adjustRightInd/>
      <w:spacing w:line="320" w:lineRule="exact"/>
      <w:ind w:firstLine="200" w:firstLineChars="200"/>
    </w:pPr>
    <w:rPr>
      <w:rFonts w:ascii="Arial" w:hAnsi="Arial"/>
      <w:kern w:val="0"/>
      <w:sz w:val="24"/>
      <w:lang w:eastAsia="en-US"/>
    </w:rPr>
  </w:style>
  <w:style w:type="paragraph" w:customStyle="1" w:styleId="640">
    <w:name w:val="button"/>
    <w:basedOn w:val="1"/>
    <w:qFormat/>
    <w:uiPriority w:val="0"/>
    <w:pPr>
      <w:spacing w:before="100" w:beforeAutospacing="1" w:after="100" w:afterAutospacing="1"/>
    </w:pPr>
    <w:rPr>
      <w:rFonts w:ascii="Arial Unicode MS" w:hAnsi="Arial Unicode MS"/>
      <w:color w:val="000000"/>
      <w:kern w:val="0"/>
      <w:sz w:val="24"/>
    </w:rPr>
  </w:style>
  <w:style w:type="paragraph" w:customStyle="1" w:styleId="641">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2">
    <w:name w:val="正文文本 22"/>
    <w:basedOn w:val="1"/>
    <w:qFormat/>
    <w:uiPriority w:val="0"/>
    <w:pPr>
      <w:overflowPunct w:val="0"/>
      <w:autoSpaceDE w:val="0"/>
      <w:autoSpaceDN w:val="0"/>
      <w:ind w:left="720" w:hanging="720"/>
      <w:textAlignment w:val="baseline"/>
    </w:pPr>
    <w:rPr>
      <w:kern w:val="0"/>
      <w:sz w:val="24"/>
      <w:szCs w:val="20"/>
      <w:lang w:val="en-GB"/>
    </w:rPr>
  </w:style>
  <w:style w:type="paragraph" w:customStyle="1" w:styleId="643">
    <w:name w:val="正文表标题"/>
    <w:next w:val="644"/>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5">
    <w:name w:val="Char Char Char Char Char Char"/>
    <w:basedOn w:val="1"/>
    <w:qFormat/>
    <w:uiPriority w:val="0"/>
    <w:pPr>
      <w:spacing w:before="156" w:beforeLines="50" w:after="156" w:afterLines="50" w:line="240" w:lineRule="exact"/>
    </w:pPr>
    <w:rPr>
      <w:rFonts w:ascii="Verdana" w:hAnsi="Verdana"/>
      <w:kern w:val="0"/>
      <w:sz w:val="20"/>
      <w:szCs w:val="20"/>
      <w:lang w:eastAsia="en-US"/>
    </w:rPr>
  </w:style>
  <w:style w:type="paragraph" w:customStyle="1" w:styleId="646">
    <w:name w:val="trademark"/>
    <w:qFormat/>
    <w:uiPriority w:val="0"/>
    <w:pPr>
      <w:spacing w:after="60"/>
    </w:pPr>
    <w:rPr>
      <w:rFonts w:ascii="Futura Bk" w:hAnsi="Futura Bk" w:eastAsia="宋体" w:cs="Times New Roman"/>
      <w:sz w:val="15"/>
      <w:lang w:val="en-US" w:eastAsia="en-US" w:bidi="ar-SA"/>
    </w:rPr>
  </w:style>
  <w:style w:type="paragraph" w:customStyle="1" w:styleId="647">
    <w:name w:val="Bullet with text 4"/>
    <w:basedOn w:val="1"/>
    <w:qFormat/>
    <w:uiPriority w:val="0"/>
    <w:pPr>
      <w:tabs>
        <w:tab w:val="left" w:pos="1440"/>
      </w:tabs>
      <w:adjustRightInd/>
      <w:ind w:left="1440" w:hanging="360" w:firstLineChars="200"/>
    </w:pPr>
    <w:rPr>
      <w:rFonts w:ascii="Arial" w:hAnsi="Arial"/>
      <w:kern w:val="0"/>
      <w:sz w:val="20"/>
      <w:szCs w:val="20"/>
      <w:lang w:val="en-GB" w:eastAsia="en-US"/>
    </w:rPr>
  </w:style>
  <w:style w:type="paragraph" w:customStyle="1" w:styleId="648">
    <w:name w:val="Char Char1 Char Char Char Char Char Char1"/>
    <w:basedOn w:val="1"/>
    <w:qFormat/>
    <w:uiPriority w:val="0"/>
    <w:rPr>
      <w:rFonts w:ascii="仿宋_GB2312" w:eastAsia="仿宋_GB2312"/>
      <w:b/>
      <w:sz w:val="32"/>
      <w:szCs w:val="20"/>
    </w:rPr>
  </w:style>
  <w:style w:type="paragraph" w:customStyle="1" w:styleId="649">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0">
    <w:name w:val="Char1 Char Char Char1"/>
    <w:basedOn w:val="1"/>
    <w:qFormat/>
    <w:uiPriority w:val="0"/>
    <w:pPr>
      <w:adjustRightInd/>
      <w:ind w:firstLine="200" w:firstLineChars="200"/>
    </w:pPr>
    <w:rPr>
      <w:rFonts w:ascii="Tahoma" w:hAnsi="Tahoma"/>
      <w:sz w:val="24"/>
      <w:szCs w:val="20"/>
    </w:rPr>
  </w:style>
  <w:style w:type="paragraph" w:customStyle="1" w:styleId="651">
    <w:name w:val="a1"/>
    <w:basedOn w:val="1"/>
    <w:qFormat/>
    <w:uiPriority w:val="0"/>
    <w:pPr>
      <w:spacing w:line="300" w:lineRule="atLeast"/>
    </w:pPr>
    <w:rPr>
      <w:rFonts w:ascii="宋体" w:hAnsi="宋体"/>
      <w:kern w:val="0"/>
      <w:sz w:val="18"/>
      <w:szCs w:val="20"/>
    </w:rPr>
  </w:style>
  <w:style w:type="paragraph" w:customStyle="1" w:styleId="652">
    <w:name w:val="样式7"/>
    <w:basedOn w:val="653"/>
    <w:next w:val="1"/>
    <w:qFormat/>
    <w:uiPriority w:val="0"/>
    <w:pPr>
      <w:spacing w:after="156" w:afterLines="50"/>
      <w:jc w:val="left"/>
      <w:outlineLvl w:val="3"/>
    </w:pPr>
    <w:rPr>
      <w:sz w:val="24"/>
      <w:szCs w:val="24"/>
    </w:rPr>
  </w:style>
  <w:style w:type="paragraph" w:customStyle="1" w:styleId="65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5">
    <w:name w:val="main"/>
    <w:basedOn w:val="1"/>
    <w:qFormat/>
    <w:uiPriority w:val="0"/>
    <w:pPr>
      <w:adjustRightInd/>
      <w:spacing w:before="100" w:beforeAutospacing="1" w:after="100" w:afterAutospacing="1" w:line="320" w:lineRule="atLeast"/>
      <w:ind w:firstLine="200" w:firstLineChars="200"/>
    </w:pPr>
    <w:rPr>
      <w:rFonts w:ascii="微软雅黑" w:hAnsi="微软雅黑" w:eastAsia="Arial Unicode MS" w:cs="Arial Unicode MS"/>
      <w:kern w:val="0"/>
      <w:sz w:val="23"/>
      <w:szCs w:val="23"/>
    </w:rPr>
  </w:style>
  <w:style w:type="paragraph" w:customStyle="1" w:styleId="656">
    <w:name w:val="样式 样式2 + 左侧:  1 字符 右侧:  1 字符"/>
    <w:basedOn w:val="46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7">
    <w:name w:val="Char2 Char Char2"/>
    <w:basedOn w:val="1"/>
    <w:qFormat/>
    <w:uiPriority w:val="0"/>
    <w:pPr>
      <w:adjustRightInd/>
    </w:pPr>
    <w:rPr>
      <w:rFonts w:ascii="Tahoma" w:hAnsi="Tahoma"/>
      <w:sz w:val="24"/>
      <w:szCs w:val="20"/>
    </w:rPr>
  </w:style>
  <w:style w:type="paragraph" w:customStyle="1" w:styleId="658">
    <w:name w:val="Char1 Char Char Char"/>
    <w:basedOn w:val="1"/>
    <w:qFormat/>
    <w:uiPriority w:val="0"/>
    <w:pPr>
      <w:snapToGrid w:val="0"/>
      <w:spacing w:before="120" w:after="160" w:line="360" w:lineRule="auto"/>
      <w:ind w:right="-360"/>
    </w:pPr>
    <w:rPr>
      <w:rFonts w:ascii="Arial" w:hAnsi="Arial"/>
      <w:kern w:val="0"/>
      <w:sz w:val="24"/>
      <w:lang w:eastAsia="en-US"/>
    </w:rPr>
  </w:style>
  <w:style w:type="paragraph" w:customStyle="1" w:styleId="659">
    <w:name w:val="三级条标题"/>
    <w:basedOn w:val="660"/>
    <w:next w:val="644"/>
    <w:qFormat/>
    <w:uiPriority w:val="0"/>
    <w:pPr>
      <w:tabs>
        <w:tab w:val="left" w:pos="1260"/>
        <w:tab w:val="left" w:pos="1680"/>
        <w:tab w:val="left" w:pos="2100"/>
        <w:tab w:val="left" w:pos="2520"/>
      </w:tabs>
      <w:ind w:left="2520"/>
      <w:outlineLvl w:val="4"/>
    </w:pPr>
  </w:style>
  <w:style w:type="paragraph" w:customStyle="1" w:styleId="660">
    <w:name w:val="二级条标题"/>
    <w:basedOn w:val="661"/>
    <w:next w:val="644"/>
    <w:qFormat/>
    <w:uiPriority w:val="0"/>
    <w:pPr>
      <w:tabs>
        <w:tab w:val="left" w:pos="1260"/>
        <w:tab w:val="left" w:pos="1680"/>
        <w:tab w:val="left" w:pos="2100"/>
      </w:tabs>
      <w:ind w:left="0"/>
      <w:outlineLvl w:val="3"/>
    </w:pPr>
  </w:style>
  <w:style w:type="paragraph" w:customStyle="1" w:styleId="661">
    <w:name w:val="一级条标题"/>
    <w:basedOn w:val="662"/>
    <w:next w:val="644"/>
    <w:qFormat/>
    <w:uiPriority w:val="0"/>
    <w:pPr>
      <w:tabs>
        <w:tab w:val="left" w:pos="1260"/>
        <w:tab w:val="left" w:pos="1680"/>
      </w:tabs>
      <w:spacing w:before="0" w:beforeLines="0" w:after="0" w:afterLines="0"/>
      <w:ind w:left="1680"/>
      <w:outlineLvl w:val="2"/>
    </w:pPr>
  </w:style>
  <w:style w:type="paragraph" w:customStyle="1" w:styleId="662">
    <w:name w:val="章标题"/>
    <w:next w:val="644"/>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3">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4">
    <w:name w:val="tabletext"/>
    <w:basedOn w:val="1"/>
    <w:qFormat/>
    <w:uiPriority w:val="0"/>
    <w:pPr>
      <w:spacing w:before="100" w:beforeAutospacing="1" w:after="100" w:afterAutospacing="1"/>
    </w:pPr>
    <w:rPr>
      <w:rFonts w:ascii="宋体" w:hAnsi="宋体" w:cs="宋体"/>
      <w:kern w:val="0"/>
      <w:sz w:val="24"/>
    </w:rPr>
  </w:style>
  <w:style w:type="paragraph" w:customStyle="1" w:styleId="665">
    <w:name w:val="样式 标题 1Level 1 HeadPIM 1Section Headh1l11Heading 0Datash..."/>
    <w:basedOn w:val="2"/>
    <w:qFormat/>
    <w:uiPriority w:val="0"/>
    <w:pPr>
      <w:overflowPunct w:val="0"/>
      <w:autoSpaceDE w:val="0"/>
      <w:autoSpaceDN w:val="0"/>
      <w:spacing w:after="100" w:line="360" w:lineRule="auto"/>
      <w:ind w:left="0" w:firstLine="0"/>
      <w:textAlignment w:val="baseline"/>
    </w:pPr>
    <w:rPr>
      <w:rFonts w:ascii="宋体"/>
      <w:kern w:val="2"/>
      <w:szCs w:val="20"/>
    </w:rPr>
  </w:style>
  <w:style w:type="paragraph" w:customStyle="1" w:styleId="666">
    <w:name w:val="xl26"/>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pPr>
    <w:rPr>
      <w:rFonts w:ascii="宋体" w:hAnsi="宋体"/>
      <w:kern w:val="0"/>
      <w:sz w:val="20"/>
      <w:szCs w:val="20"/>
    </w:rPr>
  </w:style>
  <w:style w:type="paragraph" w:customStyle="1" w:styleId="667">
    <w:name w:val="样式 标题 1章节第一层h1H"/>
    <w:basedOn w:val="2"/>
    <w:qFormat/>
    <w:uiPriority w:val="0"/>
    <w:pPr>
      <w:autoSpaceDE w:val="0"/>
      <w:autoSpaceDN w:val="0"/>
      <w:spacing w:line="240" w:lineRule="auto"/>
      <w:ind w:left="0" w:firstLine="0"/>
      <w:outlineLvl w:val="9"/>
    </w:pPr>
    <w:rPr>
      <w:kern w:val="0"/>
      <w:sz w:val="52"/>
      <w:szCs w:val="52"/>
      <w:lang w:val="zh-CN"/>
    </w:rPr>
  </w:style>
  <w:style w:type="paragraph" w:customStyle="1" w:styleId="668">
    <w:name w:val="xl30"/>
    <w:basedOn w:val="1"/>
    <w:qFormat/>
    <w:uiPriority w:val="0"/>
    <w:pPr>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9">
    <w:name w:val="正文 项目2"/>
    <w:basedOn w:val="670"/>
    <w:qFormat/>
    <w:uiPriority w:val="0"/>
    <w:pPr>
      <w:tabs>
        <w:tab w:val="left" w:pos="840"/>
      </w:tabs>
      <w:spacing w:after="0"/>
      <w:ind w:left="900"/>
    </w:pPr>
  </w:style>
  <w:style w:type="paragraph" w:customStyle="1" w:styleId="670">
    <w:name w:val="正文 项目"/>
    <w:basedOn w:val="1"/>
    <w:qFormat/>
    <w:uiPriority w:val="0"/>
    <w:pPr>
      <w:tabs>
        <w:tab w:val="left" w:pos="840"/>
      </w:tabs>
      <w:spacing w:after="120" w:line="440" w:lineRule="exact"/>
      <w:ind w:left="840" w:hanging="420"/>
    </w:pPr>
    <w:rPr>
      <w:rFonts w:ascii="仿宋_GB2312" w:hAnsi="仿宋_GB2312" w:eastAsia="仿宋_GB2312"/>
      <w:sz w:val="24"/>
      <w:szCs w:val="20"/>
    </w:rPr>
  </w:style>
  <w:style w:type="paragraph" w:customStyle="1" w:styleId="671">
    <w:name w:val="Body Text 2*"/>
    <w:basedOn w:val="1"/>
    <w:qFormat/>
    <w:uiPriority w:val="6"/>
    <w:pPr>
      <w:adjustRightInd/>
      <w:ind w:left="720" w:hanging="720"/>
    </w:pPr>
    <w:rPr>
      <w:color w:val="000000"/>
      <w:kern w:val="0"/>
      <w:sz w:val="24"/>
      <w:szCs w:val="20"/>
      <w:lang w:val="en-GB"/>
    </w:rPr>
  </w:style>
  <w:style w:type="paragraph" w:customStyle="1" w:styleId="672">
    <w:name w:val="表1"/>
    <w:basedOn w:val="1"/>
    <w:qFormat/>
    <w:uiPriority w:val="0"/>
    <w:pPr>
      <w:tabs>
        <w:tab w:val="left" w:pos="703"/>
      </w:tabs>
      <w:adjustRightInd/>
      <w:spacing w:line="360" w:lineRule="auto"/>
      <w:ind w:left="703"/>
      <w:jc w:val="center"/>
    </w:pPr>
  </w:style>
  <w:style w:type="paragraph" w:customStyle="1" w:styleId="673">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4">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5">
    <w:name w:val="2级标题"/>
    <w:basedOn w:val="676"/>
    <w:qFormat/>
    <w:uiPriority w:val="0"/>
    <w:pPr>
      <w:jc w:val="left"/>
      <w:outlineLvl w:val="1"/>
    </w:pPr>
    <w:rPr>
      <w:rFonts w:ascii="Times New Roman" w:hAnsi="Times New Roman" w:eastAsia="仿宋"/>
      <w:sz w:val="30"/>
    </w:rPr>
  </w:style>
  <w:style w:type="paragraph" w:customStyle="1" w:styleId="676">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7">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textAlignment w:val="top"/>
    </w:pPr>
    <w:rPr>
      <w:rFonts w:ascii="宋体" w:hAnsi="宋体"/>
      <w:kern w:val="0"/>
      <w:sz w:val="20"/>
      <w:szCs w:val="20"/>
    </w:rPr>
  </w:style>
  <w:style w:type="paragraph" w:customStyle="1" w:styleId="681">
    <w:name w:val="bullet"/>
    <w:basedOn w:val="1"/>
    <w:qFormat/>
    <w:uiPriority w:val="0"/>
    <w:pPr>
      <w:tabs>
        <w:tab w:val="left" w:pos="840"/>
      </w:tabs>
      <w:adjustRightInd/>
      <w:ind w:left="840" w:hanging="420"/>
    </w:pPr>
  </w:style>
  <w:style w:type="paragraph" w:customStyle="1" w:styleId="682">
    <w:name w:val="f9a style88 f9a"/>
    <w:basedOn w:val="1"/>
    <w:qFormat/>
    <w:uiPriority w:val="0"/>
    <w:pPr>
      <w:spacing w:before="100" w:beforeAutospacing="1" w:after="100" w:afterAutospacing="1" w:line="276" w:lineRule="auto"/>
    </w:pPr>
    <w:rPr>
      <w:rFonts w:ascii="宋体" w:hAnsi="宋体"/>
      <w:kern w:val="0"/>
      <w:sz w:val="24"/>
      <w:szCs w:val="20"/>
    </w:rPr>
  </w:style>
  <w:style w:type="paragraph" w:customStyle="1" w:styleId="683">
    <w:name w:val="普通正文"/>
    <w:basedOn w:val="1"/>
    <w:qFormat/>
    <w:uiPriority w:val="0"/>
    <w:pPr>
      <w:tabs>
        <w:tab w:val="left" w:pos="2280"/>
      </w:tabs>
      <w:spacing w:before="120" w:after="120" w:line="360" w:lineRule="auto"/>
      <w:ind w:firstLine="480" w:firstLineChars="200"/>
      <w:textAlignment w:val="baseline"/>
    </w:pPr>
    <w:rPr>
      <w:rFonts w:ascii="Arial" w:hAnsi="Arial"/>
      <w:kern w:val="0"/>
      <w:sz w:val="24"/>
    </w:rPr>
  </w:style>
  <w:style w:type="paragraph" w:customStyle="1" w:styleId="68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qFormat/>
    <w:uiPriority w:val="0"/>
    <w:pPr>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qFormat/>
    <w:uiPriority w:val="0"/>
    <w:pPr>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qFormat/>
    <w:uiPriority w:val="0"/>
    <w:pPr>
      <w:adjustRightInd/>
      <w:spacing w:before="100" w:beforeAutospacing="1" w:after="100" w:afterAutospacing="1"/>
    </w:pPr>
    <w:rPr>
      <w:rFonts w:ascii="微软雅黑" w:hAnsi="微软雅黑" w:eastAsia="微软雅黑" w:cs="宋体"/>
      <w:kern w:val="0"/>
      <w:sz w:val="20"/>
      <w:szCs w:val="20"/>
    </w:rPr>
  </w:style>
  <w:style w:type="paragraph" w:customStyle="1" w:styleId="689">
    <w:name w:val="MM Topic 4"/>
    <w:basedOn w:val="6"/>
    <w:qFormat/>
    <w:uiPriority w:val="0"/>
    <w:pPr>
      <w:tabs>
        <w:tab w:val="left" w:pos="2100"/>
      </w:tabs>
      <w:adjustRightInd/>
      <w:ind w:left="2100" w:hanging="420"/>
    </w:pPr>
    <w:rPr>
      <w:lang w:val="en-US"/>
    </w:rPr>
  </w:style>
  <w:style w:type="paragraph" w:customStyle="1" w:styleId="69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1">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qFormat/>
    <w:uiPriority w:val="6"/>
    <w:pPr>
      <w:spacing w:line="360" w:lineRule="auto"/>
    </w:pPr>
    <w:rPr>
      <w:szCs w:val="20"/>
    </w:rPr>
  </w:style>
  <w:style w:type="paragraph" w:customStyle="1" w:styleId="69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3"/>
    <w:qFormat/>
    <w:uiPriority w:val="0"/>
    <w:pPr>
      <w:autoSpaceDE/>
      <w:autoSpaceDN/>
      <w:adjustRightInd/>
      <w:spacing w:line="240" w:lineRule="auto"/>
      <w:ind w:firstLine="200" w:firstLineChars="200"/>
    </w:pPr>
    <w:rPr>
      <w:rFonts w:ascii="Futura Hv" w:hAnsi="Futura Hv"/>
      <w:kern w:val="0"/>
      <w:sz w:val="18"/>
      <w:szCs w:val="20"/>
      <w:lang w:val="en-US" w:eastAsia="en-US"/>
    </w:rPr>
  </w:style>
  <w:style w:type="paragraph" w:customStyle="1" w:styleId="69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qFormat/>
    <w:uiPriority w:val="0"/>
    <w:pPr>
      <w:adjustRightInd/>
      <w:spacing w:line="460" w:lineRule="exact"/>
      <w:ind w:firstLine="505"/>
    </w:pPr>
    <w:rPr>
      <w:rFonts w:ascii="宋体"/>
      <w:kern w:val="24"/>
      <w:sz w:val="24"/>
      <w:szCs w:val="20"/>
    </w:rPr>
  </w:style>
  <w:style w:type="paragraph" w:customStyle="1" w:styleId="699">
    <w:name w:val="xl31"/>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pPr>
    <w:rPr>
      <w:kern w:val="0"/>
      <w:sz w:val="20"/>
      <w:szCs w:val="20"/>
    </w:rPr>
  </w:style>
  <w:style w:type="paragraph" w:customStyle="1" w:styleId="700">
    <w:name w:val="xl40"/>
    <w:basedOn w:val="1"/>
    <w:qFormat/>
    <w:uiPriority w:val="0"/>
    <w:pPr>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qFormat/>
    <w:uiPriority w:val="0"/>
    <w:pPr>
      <w:adjustRightInd/>
      <w:spacing w:before="100" w:beforeAutospacing="1" w:after="100" w:afterAutospacing="1"/>
      <w:ind w:firstLine="200" w:firstLineChars="200"/>
    </w:pPr>
    <w:rPr>
      <w:rFonts w:ascii="宋体" w:hAnsi="宋体" w:cs="宋体"/>
      <w:color w:val="557AAF"/>
      <w:kern w:val="0"/>
      <w:sz w:val="18"/>
      <w:szCs w:val="18"/>
    </w:rPr>
  </w:style>
  <w:style w:type="paragraph" w:customStyle="1" w:styleId="702">
    <w:name w:val="单元格居中"/>
    <w:basedOn w:val="1"/>
    <w:qFormat/>
    <w:uiPriority w:val="0"/>
    <w:pPr>
      <w:adjustRightInd/>
      <w:spacing w:line="360" w:lineRule="auto"/>
      <w:jc w:val="center"/>
    </w:pPr>
    <w:rPr>
      <w:sz w:val="24"/>
    </w:rPr>
  </w:style>
  <w:style w:type="paragraph" w:customStyle="1" w:styleId="70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qFormat/>
    <w:uiPriority w:val="6"/>
    <w:rPr>
      <w:rFonts w:ascii="仿宋_GB2312" w:eastAsia="仿宋_GB2312"/>
      <w:b/>
      <w:sz w:val="32"/>
      <w:szCs w:val="32"/>
    </w:rPr>
  </w:style>
  <w:style w:type="paragraph" w:customStyle="1" w:styleId="705">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qFormat/>
    <w:uiPriority w:val="0"/>
    <w:pPr>
      <w:adjustRightInd/>
      <w:spacing w:after="160" w:line="240" w:lineRule="exact"/>
    </w:pPr>
    <w:rPr>
      <w:szCs w:val="20"/>
    </w:rPr>
  </w:style>
  <w:style w:type="paragraph" w:customStyle="1" w:styleId="708">
    <w:name w:val="Char Char1121"/>
    <w:basedOn w:val="1"/>
    <w:qFormat/>
    <w:uiPriority w:val="0"/>
    <w:pPr>
      <w:spacing w:line="360" w:lineRule="auto"/>
    </w:pPr>
    <w:rPr>
      <w:szCs w:val="20"/>
    </w:rPr>
  </w:style>
  <w:style w:type="paragraph" w:customStyle="1" w:styleId="709">
    <w:name w:val="小项目标题"/>
    <w:basedOn w:val="1"/>
    <w:qFormat/>
    <w:uiPriority w:val="0"/>
    <w:pPr>
      <w:adjustRightInd/>
      <w:spacing w:before="100" w:beforeAutospacing="1" w:after="100" w:afterAutospacing="1" w:line="360" w:lineRule="auto"/>
      <w:ind w:left="480" w:leftChars="200" w:firstLine="200" w:firstLineChars="200"/>
    </w:pPr>
    <w:rPr>
      <w:sz w:val="24"/>
    </w:rPr>
  </w:style>
  <w:style w:type="paragraph" w:customStyle="1" w:styleId="71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qFormat/>
    <w:uiPriority w:val="0"/>
    <w:rPr>
      <w:rFonts w:ascii="Times New Roman" w:hAnsi="Times New Roman" w:eastAsia="宋体" w:cs="Times New Roman"/>
      <w:lang w:val="en-US" w:eastAsia="en-US" w:bidi="ar-SA"/>
    </w:rPr>
  </w:style>
  <w:style w:type="paragraph" w:customStyle="1" w:styleId="712">
    <w:name w:val="带编号样式"/>
    <w:basedOn w:val="631"/>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qFormat/>
    <w:uiPriority w:val="0"/>
    <w:pPr>
      <w:adjustRightInd/>
      <w:spacing w:before="100" w:beforeAutospacing="1" w:after="100" w:afterAutospacing="1"/>
    </w:pPr>
    <w:rPr>
      <w:rFonts w:ascii="宋体" w:hAnsi="宋体" w:cs="宋体"/>
      <w:kern w:val="0"/>
      <w:sz w:val="24"/>
    </w:rPr>
  </w:style>
  <w:style w:type="paragraph" w:customStyle="1" w:styleId="714">
    <w:name w:val="方形箭头"/>
    <w:basedOn w:val="1"/>
    <w:qFormat/>
    <w:uiPriority w:val="0"/>
    <w:pPr>
      <w:tabs>
        <w:tab w:val="left" w:pos="840"/>
      </w:tabs>
      <w:adjustRightInd/>
      <w:spacing w:before="93" w:line="60" w:lineRule="atLeast"/>
      <w:ind w:left="420" w:right="200" w:hanging="420"/>
    </w:pPr>
    <w:rPr>
      <w:rFonts w:ascii="Calibri" w:hAnsi="Calibri" w:cs="Calibri"/>
      <w:color w:val="000000"/>
      <w:kern w:val="0"/>
      <w:sz w:val="16"/>
      <w:szCs w:val="22"/>
    </w:rPr>
  </w:style>
  <w:style w:type="paragraph" w:customStyle="1" w:styleId="715">
    <w:name w:val="封面"/>
    <w:basedOn w:val="1"/>
    <w:qFormat/>
    <w:uiPriority w:val="0"/>
    <w:pPr>
      <w:spacing w:line="360" w:lineRule="atLeast"/>
      <w:jc w:val="right"/>
      <w:textAlignment w:val="baseline"/>
    </w:pPr>
    <w:rPr>
      <w:rFonts w:ascii="Symbol" w:hAnsi="Symbol"/>
      <w:kern w:val="0"/>
      <w:szCs w:val="20"/>
    </w:rPr>
  </w:style>
  <w:style w:type="paragraph" w:customStyle="1" w:styleId="71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qFormat/>
    <w:uiPriority w:val="0"/>
    <w:pPr>
      <w:adjustRightInd/>
      <w:spacing w:before="100" w:beforeAutospacing="1" w:after="100" w:afterAutospacing="1" w:line="360" w:lineRule="auto"/>
      <w:ind w:firstLine="200" w:firstLineChars="200"/>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qFormat/>
    <w:uiPriority w:val="0"/>
    <w:pPr>
      <w:suppressAutoHyphens/>
      <w:adjustRightInd/>
      <w:ind w:firstLine="420"/>
    </w:pPr>
    <w:rPr>
      <w:kern w:val="1"/>
      <w:szCs w:val="20"/>
    </w:rPr>
  </w:style>
  <w:style w:type="paragraph" w:customStyle="1" w:styleId="720">
    <w:name w:val="xl41"/>
    <w:basedOn w:val="1"/>
    <w:qFormat/>
    <w:uiPriority w:val="0"/>
    <w:pPr>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qFormat/>
    <w:uiPriority w:val="0"/>
    <w:pPr>
      <w:adjustRightInd/>
      <w:spacing w:line="400" w:lineRule="exact"/>
      <w:ind w:firstLine="200" w:firstLineChars="200"/>
    </w:pPr>
    <w:rPr>
      <w:rFonts w:ascii="Arial" w:hAnsi="Arial"/>
    </w:rPr>
  </w:style>
  <w:style w:type="paragraph" w:customStyle="1" w:styleId="723">
    <w:name w:val="font10"/>
    <w:basedOn w:val="1"/>
    <w:qFormat/>
    <w:uiPriority w:val="0"/>
    <w:pPr>
      <w:adjustRightInd/>
      <w:spacing w:before="100" w:beforeAutospacing="1" w:after="100" w:afterAutospacing="1"/>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7"/>
    <w:qFormat/>
    <w:uiPriority w:val="0"/>
    <w:pPr>
      <w:spacing w:after="120" w:line="480" w:lineRule="auto"/>
      <w:ind w:left="420" w:leftChars="200"/>
    </w:pPr>
    <w:rPr>
      <w:sz w:val="24"/>
      <w:szCs w:val="20"/>
    </w:rPr>
  </w:style>
  <w:style w:type="paragraph" w:customStyle="1" w:styleId="726">
    <w:name w:val="tableheading"/>
    <w:basedOn w:val="1"/>
    <w:qFormat/>
    <w:uiPriority w:val="0"/>
    <w:pPr>
      <w:adjustRightInd/>
      <w:spacing w:before="100" w:beforeAutospacing="1" w:after="100" w:afterAutospacing="1"/>
    </w:pPr>
    <w:rPr>
      <w:rFonts w:ascii="宋体" w:hAnsi="宋体" w:cs="宋体"/>
      <w:kern w:val="0"/>
      <w:sz w:val="24"/>
    </w:rPr>
  </w:style>
  <w:style w:type="paragraph" w:customStyle="1" w:styleId="727">
    <w:name w:val="样式1"/>
    <w:basedOn w:val="1"/>
    <w:qFormat/>
    <w:uiPriority w:val="0"/>
    <w:pPr>
      <w:tabs>
        <w:tab w:val="left" w:pos="1212"/>
        <w:tab w:val="left" w:pos="3888"/>
      </w:tabs>
      <w:snapToGrid w:val="0"/>
      <w:spacing w:line="336" w:lineRule="auto"/>
      <w:ind w:firstLine="432"/>
    </w:pPr>
    <w:rPr>
      <w:rFonts w:ascii="宋体" w:hAnsi="宋体"/>
      <w:kern w:val="0"/>
      <w:sz w:val="24"/>
      <w:szCs w:val="20"/>
    </w:rPr>
  </w:style>
  <w:style w:type="paragraph" w:customStyle="1" w:styleId="728">
    <w:name w:val="样式 标题 3H3 + 两端对齐"/>
    <w:basedOn w:val="5"/>
    <w:qFormat/>
    <w:uiPriority w:val="0"/>
    <w:pPr>
      <w:keepLines w:val="0"/>
      <w:spacing w:before="0" w:after="0" w:line="240" w:lineRule="auto"/>
    </w:pPr>
    <w:rPr>
      <w:rFonts w:cs="宋体"/>
      <w:sz w:val="21"/>
      <w:szCs w:val="20"/>
    </w:rPr>
  </w:style>
  <w:style w:type="paragraph" w:customStyle="1" w:styleId="72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0">
    <w:name w:val="小标题"/>
    <w:basedOn w:val="1"/>
    <w:qFormat/>
    <w:uiPriority w:val="0"/>
    <w:pPr>
      <w:spacing w:before="120" w:line="360" w:lineRule="atLeast"/>
      <w:ind w:left="1134"/>
      <w:textAlignment w:val="baseline"/>
    </w:pPr>
    <w:rPr>
      <w:rFonts w:eastAsia="黑体"/>
      <w:kern w:val="0"/>
      <w:szCs w:val="20"/>
    </w:rPr>
  </w:style>
  <w:style w:type="paragraph" w:customStyle="1" w:styleId="73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qFormat/>
    <w:uiPriority w:val="0"/>
    <w:rPr>
      <w:rFonts w:ascii="仿宋_GB2312" w:eastAsia="仿宋_GB2312"/>
      <w:b/>
      <w:sz w:val="32"/>
      <w:szCs w:val="20"/>
    </w:rPr>
  </w:style>
  <w:style w:type="paragraph" w:customStyle="1" w:styleId="735">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6"/>
    <w:qFormat/>
    <w:uiPriority w:val="0"/>
    <w:pPr>
      <w:keepNext/>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qFormat/>
    <w:uiPriority w:val="0"/>
    <w:rPr>
      <w:rFonts w:ascii="仿宋_GB2312" w:eastAsia="仿宋_GB2312"/>
      <w:b/>
      <w:sz w:val="32"/>
      <w:szCs w:val="32"/>
    </w:rPr>
  </w:style>
  <w:style w:type="paragraph" w:customStyle="1" w:styleId="739">
    <w:name w:val="Char3 Char Char Char1"/>
    <w:basedOn w:val="1"/>
    <w:qFormat/>
    <w:uiPriority w:val="6"/>
    <w:pPr>
      <w:adjustRightInd/>
      <w:spacing w:after="160" w:line="240" w:lineRule="exact"/>
    </w:pPr>
    <w:rPr>
      <w:szCs w:val="20"/>
    </w:rPr>
  </w:style>
  <w:style w:type="paragraph" w:customStyle="1" w:styleId="740">
    <w:name w:val="Char1 Char Char Char21"/>
    <w:basedOn w:val="1"/>
    <w:qFormat/>
    <w:uiPriority w:val="0"/>
    <w:rPr>
      <w:rFonts w:ascii="Tahoma" w:hAnsi="Tahoma"/>
      <w:sz w:val="24"/>
      <w:szCs w:val="20"/>
    </w:rPr>
  </w:style>
  <w:style w:type="paragraph" w:customStyle="1" w:styleId="74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qFormat/>
    <w:uiPriority w:val="0"/>
    <w:pPr>
      <w:spacing w:line="360" w:lineRule="auto"/>
      <w:ind w:firstLine="200" w:firstLineChars="200"/>
    </w:pPr>
    <w:rPr>
      <w:sz w:val="24"/>
    </w:rPr>
  </w:style>
  <w:style w:type="paragraph" w:customStyle="1" w:styleId="74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qFormat/>
    <w:uiPriority w:val="0"/>
    <w:pPr>
      <w:adjustRightInd/>
      <w:spacing w:before="100" w:beforeAutospacing="1" w:after="100" w:afterAutospacing="1"/>
    </w:pPr>
    <w:rPr>
      <w:rFonts w:ascii="宋体" w:hAnsi="宋体" w:cs="宋体"/>
      <w:kern w:val="0"/>
      <w:sz w:val="24"/>
    </w:rPr>
  </w:style>
  <w:style w:type="paragraph" w:customStyle="1" w:styleId="74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qFormat/>
    <w:uiPriority w:val="0"/>
    <w:pPr>
      <w:overflowPunct w:val="0"/>
      <w:autoSpaceDE w:val="0"/>
      <w:autoSpaceDN w:val="0"/>
      <w:spacing w:line="360" w:lineRule="auto"/>
      <w:ind w:firstLine="480" w:firstLineChars="200"/>
      <w:textAlignment w:val="baseline"/>
    </w:pPr>
    <w:rPr>
      <w:rFonts w:ascii="宋体" w:hAnsi="宋体" w:eastAsia="微软雅黑"/>
      <w:kern w:val="0"/>
      <w:sz w:val="24"/>
      <w:szCs w:val="20"/>
    </w:rPr>
  </w:style>
  <w:style w:type="paragraph" w:customStyle="1" w:styleId="74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qFormat/>
    <w:uiPriority w:val="0"/>
    <w:pPr>
      <w:adjustRightInd/>
      <w:ind w:firstLine="200" w:firstLineChars="200"/>
    </w:pPr>
    <w:rPr>
      <w:rFonts w:ascii="Tahoma" w:hAnsi="Tahoma"/>
      <w:sz w:val="24"/>
      <w:szCs w:val="20"/>
    </w:rPr>
  </w:style>
  <w:style w:type="paragraph" w:customStyle="1" w:styleId="749">
    <w:name w:val="_标题2"/>
    <w:basedOn w:val="716"/>
    <w:next w:val="716"/>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qFormat/>
    <w:uiPriority w:val="0"/>
    <w:pPr>
      <w:adjustRightInd/>
      <w:spacing w:line="360" w:lineRule="auto"/>
      <w:ind w:firstLine="200" w:firstLineChars="200"/>
    </w:pPr>
    <w:rPr>
      <w:rFonts w:ascii="微软雅黑" w:hAnsi="Calibri" w:eastAsia="微软雅黑"/>
      <w:kern w:val="0"/>
      <w:sz w:val="24"/>
      <w:szCs w:val="20"/>
    </w:rPr>
  </w:style>
  <w:style w:type="paragraph" w:customStyle="1" w:styleId="754">
    <w:name w:val="四号　首行缩进"/>
    <w:basedOn w:val="1"/>
    <w:qFormat/>
    <w:uiPriority w:val="0"/>
    <w:pPr>
      <w:adjustRightInd/>
      <w:spacing w:line="360" w:lineRule="auto"/>
    </w:pPr>
    <w:rPr>
      <w:rFonts w:ascii="宋体" w:hAnsi="宋体"/>
      <w:szCs w:val="20"/>
    </w:rPr>
  </w:style>
  <w:style w:type="paragraph" w:customStyle="1" w:styleId="75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qFormat/>
    <w:uiPriority w:val="0"/>
    <w:pPr>
      <w:adjustRightInd/>
    </w:pPr>
    <w:rPr>
      <w:rFonts w:ascii="Tahoma" w:hAnsi="Tahoma"/>
      <w:sz w:val="24"/>
    </w:rPr>
  </w:style>
  <w:style w:type="paragraph" w:customStyle="1" w:styleId="757">
    <w:name w:val="Char Char Char Char11"/>
    <w:basedOn w:val="1"/>
    <w:qFormat/>
    <w:uiPriority w:val="0"/>
    <w:rPr>
      <w:rFonts w:ascii="Tahoma" w:hAnsi="Tahoma"/>
      <w:sz w:val="24"/>
      <w:szCs w:val="20"/>
    </w:rPr>
  </w:style>
  <w:style w:type="paragraph" w:customStyle="1" w:styleId="75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qFormat/>
    <w:uiPriority w:val="0"/>
    <w:rPr>
      <w:rFonts w:ascii="Tahoma" w:hAnsi="Tahoma"/>
      <w:sz w:val="24"/>
      <w:szCs w:val="20"/>
    </w:rPr>
  </w:style>
  <w:style w:type="paragraph" w:customStyle="1" w:styleId="760">
    <w:name w:val="标1"/>
    <w:basedOn w:val="1"/>
    <w:qFormat/>
    <w:uiPriority w:val="0"/>
    <w:pPr>
      <w:tabs>
        <w:tab w:val="left" w:pos="1020"/>
      </w:tabs>
      <w:snapToGrid w:val="0"/>
      <w:spacing w:before="312" w:beforeLines="100" w:line="360" w:lineRule="auto"/>
      <w:ind w:left="1020" w:hanging="420" w:firstLineChars="200"/>
      <w:outlineLvl w:val="0"/>
    </w:pPr>
    <w:rPr>
      <w:rFonts w:ascii="Arial Narrow" w:hAnsi="Arial Narrow" w:eastAsia="仿宋_GB2312"/>
      <w:b/>
      <w:spacing w:val="20"/>
      <w:kern w:val="0"/>
      <w:sz w:val="24"/>
    </w:rPr>
  </w:style>
  <w:style w:type="paragraph" w:customStyle="1" w:styleId="761">
    <w:name w:val="Char19"/>
    <w:basedOn w:val="1"/>
    <w:qFormat/>
    <w:uiPriority w:val="0"/>
    <w:pPr>
      <w:adjustRightInd/>
    </w:pPr>
    <w:rPr>
      <w:szCs w:val="20"/>
    </w:rPr>
  </w:style>
  <w:style w:type="paragraph" w:customStyle="1" w:styleId="76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qFormat/>
    <w:uiPriority w:val="34"/>
    <w:pPr>
      <w:adjustRightInd/>
      <w:ind w:firstLine="420" w:firstLineChars="200"/>
    </w:pPr>
    <w:rPr>
      <w:rFonts w:eastAsia="仿宋_GB2312"/>
      <w:sz w:val="28"/>
    </w:rPr>
  </w:style>
  <w:style w:type="paragraph" w:customStyle="1" w:styleId="765">
    <w:name w:val="正文文字缩进"/>
    <w:basedOn w:val="1"/>
    <w:qFormat/>
    <w:uiPriority w:val="0"/>
    <w:pPr>
      <w:tabs>
        <w:tab w:val="left" w:pos="180"/>
      </w:tabs>
      <w:adjustRightInd/>
      <w:spacing w:line="240" w:lineRule="exact"/>
      <w:ind w:left="187" w:hanging="187" w:firstLineChars="200"/>
    </w:pPr>
    <w:rPr>
      <w:rFonts w:ascii="Futura Bk" w:hAnsi="Futura Bk" w:cs="Futura Bk"/>
      <w:kern w:val="0"/>
      <w:sz w:val="18"/>
      <w:szCs w:val="18"/>
    </w:rPr>
  </w:style>
  <w:style w:type="paragraph" w:customStyle="1" w:styleId="76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qFormat/>
    <w:uiPriority w:val="0"/>
    <w:pPr>
      <w:spacing w:after="160" w:line="240" w:lineRule="exact"/>
    </w:pPr>
    <w:rPr>
      <w:rFonts w:ascii="Verdana" w:hAnsi="Verdana" w:eastAsia="仿宋_GB2312"/>
      <w:kern w:val="0"/>
      <w:sz w:val="24"/>
      <w:szCs w:val="20"/>
      <w:lang w:eastAsia="en-US"/>
    </w:rPr>
  </w:style>
  <w:style w:type="paragraph" w:customStyle="1" w:styleId="771">
    <w:name w:val="修订3"/>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3">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qFormat/>
    <w:uiPriority w:val="0"/>
    <w:rPr>
      <w:rFonts w:ascii="宋体" w:hAnsi="Times New Roman" w:eastAsia="宋体" w:cs="Times New Roman"/>
      <w:kern w:val="2"/>
      <w:lang w:val="en-US" w:eastAsia="zh-CN" w:bidi="ar-SA"/>
    </w:rPr>
  </w:style>
  <w:style w:type="paragraph" w:customStyle="1" w:styleId="775">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qFormat/>
    <w:uiPriority w:val="0"/>
    <w:pPr>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qFormat/>
    <w:uiPriority w:val="0"/>
    <w:pPr>
      <w:spacing w:after="160" w:line="240" w:lineRule="exact"/>
    </w:pPr>
    <w:rPr>
      <w:rFonts w:ascii="Verdana" w:hAnsi="Verdana"/>
      <w:kern w:val="0"/>
      <w:szCs w:val="20"/>
      <w:lang w:eastAsia="en-US"/>
    </w:rPr>
  </w:style>
  <w:style w:type="paragraph" w:customStyle="1" w:styleId="778">
    <w:name w:val="Char Char Char Char Char Char Char Char2"/>
    <w:basedOn w:val="1"/>
    <w:qFormat/>
    <w:uiPriority w:val="0"/>
    <w:pPr>
      <w:tabs>
        <w:tab w:val="left" w:pos="360"/>
      </w:tabs>
    </w:pPr>
    <w:rPr>
      <w:sz w:val="24"/>
      <w:szCs w:val="20"/>
    </w:rPr>
  </w:style>
  <w:style w:type="paragraph" w:customStyle="1" w:styleId="77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qFormat/>
    <w:uiPriority w:val="0"/>
    <w:pPr>
      <w:overflowPunct w:val="0"/>
      <w:autoSpaceDE w:val="0"/>
      <w:autoSpaceDN w:val="0"/>
      <w:ind w:left="720" w:hanging="720"/>
      <w:textAlignment w:val="baseline"/>
    </w:pPr>
    <w:rPr>
      <w:kern w:val="0"/>
      <w:sz w:val="24"/>
      <w:szCs w:val="20"/>
      <w:lang w:val="en-GB"/>
    </w:rPr>
  </w:style>
  <w:style w:type="paragraph" w:customStyle="1" w:styleId="781">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adjustRightInd/>
      <w:spacing w:before="100" w:beforeAutospacing="1" w:after="100" w:afterAutospacing="1" w:line="360" w:lineRule="auto"/>
      <w:ind w:firstLine="480" w:firstLineChars="200"/>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4"/>
    <w:qFormat/>
    <w:uiPriority w:val="0"/>
    <w:pPr>
      <w:adjustRightInd/>
      <w:snapToGrid/>
      <w:spacing w:before="100" w:beforeAutospacing="1" w:after="100" w:afterLines="50" w:afterAutospacing="1" w:line="360" w:lineRule="auto"/>
      <w:ind w:firstLine="480" w:firstLineChars="200"/>
    </w:pPr>
    <w:rPr>
      <w:rFonts w:ascii="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spacing w:after="160" w:line="240" w:lineRule="exac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2"/>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4"/>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9"/>
    <w:next w:val="644"/>
    <w:qFormat/>
    <w:uiPriority w:val="0"/>
    <w:pPr>
      <w:tabs>
        <w:tab w:val="left" w:pos="2940"/>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adjustRightInd/>
      <w:spacing w:before="100" w:beforeAutospacing="1" w:after="100" w:afterAutospacing="1" w:line="360" w:lineRule="auto"/>
      <w:ind w:firstLine="480" w:firstLineChars="200"/>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8"/>
    <w:qFormat/>
    <w:uiPriority w:val="0"/>
  </w:style>
  <w:style w:type="paragraph" w:customStyle="1" w:styleId="806">
    <w:name w:val="font6"/>
    <w:basedOn w:val="1"/>
    <w:qFormat/>
    <w:uiPriority w:val="0"/>
    <w:pPr>
      <w:adjustRightInd/>
      <w:spacing w:before="100" w:beforeAutospacing="1" w:after="100" w:afterAutospacing="1" w:line="360" w:lineRule="auto"/>
      <w:ind w:firstLine="200" w:firstLineChars="200"/>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tabs>
        <w:tab w:val="left" w:pos="840"/>
      </w:tabs>
      <w:ind w:left="840" w:hanging="420"/>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spacing w:before="156" w:beforeLines="50" w:after="156" w:afterLines="50" w:line="240" w:lineRule="exac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pPr>
    <w:rPr>
      <w:rFonts w:ascii="Tahoma" w:hAnsi="Tahoma"/>
      <w:sz w:val="24"/>
    </w:rPr>
  </w:style>
  <w:style w:type="paragraph" w:customStyle="1" w:styleId="823">
    <w:name w:val="Char Char Char Char2"/>
    <w:basedOn w:val="1"/>
    <w:qFormat/>
    <w:uiPriority w:val="0"/>
    <w:pPr>
      <w:spacing w:after="160" w:line="240" w:lineRule="exac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adjustRightInd/>
      <w:spacing w:after="160" w:line="240" w:lineRule="exac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adjustRightInd/>
      <w:spacing w:after="160" w:line="240" w:lineRule="exact"/>
    </w:pPr>
    <w:rPr>
      <w:rFonts w:ascii="Arial" w:hAnsi="Arial" w:eastAsia="Times New Roman" w:cs="Verdana"/>
      <w:b/>
      <w:kern w:val="0"/>
      <w:sz w:val="24"/>
      <w:szCs w:val="20"/>
      <w:lang w:eastAsia="en-US"/>
    </w:rPr>
  </w:style>
  <w:style w:type="paragraph" w:customStyle="1" w:styleId="83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adjustRightInd/>
      <w:spacing w:line="180" w:lineRule="exact"/>
      <w:ind w:firstLine="200" w:firstLineChars="200"/>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3"/>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2"/>
    <w:next w:val="1"/>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0"/>
      <w:szCs w:val="20"/>
    </w:rPr>
  </w:style>
  <w:style w:type="paragraph" w:customStyle="1" w:styleId="845">
    <w:name w:val="模板普通正文"/>
    <w:basedOn w:val="25"/>
    <w:qFormat/>
    <w:uiPriority w:val="0"/>
    <w:pPr>
      <w:adjustRightInd/>
      <w:spacing w:before="156" w:beforeLines="50" w:after="10" w:line="360" w:lineRule="auto"/>
      <w:ind w:firstLine="175" w:firstLineChars="175"/>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adjustRightInd/>
      <w:spacing w:before="100" w:beforeAutospacing="1" w:after="100" w:afterAutospacing="1"/>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adjustRightInd/>
      <w:spacing w:before="100" w:beforeAutospacing="1" w:after="100" w:afterAutospacing="1"/>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adjustRightInd/>
      <w:spacing w:line="180" w:lineRule="exact"/>
      <w:ind w:firstLine="200" w:firstLineChars="200"/>
    </w:pPr>
    <w:rPr>
      <w:rFonts w:ascii="Futura Bk" w:hAnsi="Futura Bk" w:cs="Futura Bk"/>
      <w:kern w:val="0"/>
      <w:sz w:val="13"/>
      <w:szCs w:val="13"/>
    </w:rPr>
  </w:style>
  <w:style w:type="paragraph" w:customStyle="1" w:styleId="852">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pPr>
    <w:rPr>
      <w:rFonts w:ascii="仿宋" w:hAnsi="仿宋" w:eastAsia="仿宋" w:cs="宋体"/>
      <w:kern w:val="0"/>
      <w:sz w:val="20"/>
      <w:szCs w:val="20"/>
    </w:rPr>
  </w:style>
  <w:style w:type="paragraph" w:customStyle="1" w:styleId="853">
    <w:name w:val="Char Char Char Char Char Char1 Char2"/>
    <w:basedOn w:val="1"/>
    <w:qFormat/>
    <w:uiPriority w:val="0"/>
    <w:pPr>
      <w:spacing w:after="160" w:line="240" w:lineRule="exac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0"/>
      <w:szCs w:val="20"/>
    </w:rPr>
  </w:style>
  <w:style w:type="paragraph" w:customStyle="1" w:styleId="857">
    <w:name w:val="Body Copy"/>
    <w:basedOn w:val="1"/>
    <w:qFormat/>
    <w:uiPriority w:val="0"/>
    <w:pPr>
      <w:tabs>
        <w:tab w:val="left" w:pos="1584"/>
        <w:tab w:val="left" w:pos="1613"/>
        <w:tab w:val="left" w:pos="1728"/>
        <w:tab w:val="left" w:pos="1872"/>
        <w:tab w:val="left" w:pos="2016"/>
      </w:tabs>
      <w:adjustRightInd/>
      <w:spacing w:after="180" w:line="240" w:lineRule="exact"/>
      <w:ind w:left="1440" w:right="115" w:firstLine="200" w:firstLineChars="200"/>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5"/>
    <w:qFormat/>
    <w:uiPriority w:val="0"/>
    <w:pPr>
      <w:snapToGrid w:val="0"/>
      <w:ind w:left="0" w:firstLine="0"/>
    </w:pPr>
    <w:rPr>
      <w:rFonts w:eastAsia="黑体" w:cs="宋体"/>
      <w:sz w:val="28"/>
      <w:szCs w:val="20"/>
    </w:rPr>
  </w:style>
  <w:style w:type="paragraph" w:customStyle="1" w:styleId="860">
    <w:name w:val="Char Char Char Char Char Char1"/>
    <w:basedOn w:val="1"/>
    <w:qFormat/>
    <w:uiPriority w:val="6"/>
    <w:pPr>
      <w:spacing w:beforeLines="50" w:afterLines="50" w:line="240" w:lineRule="exact"/>
    </w:pPr>
    <w:rPr>
      <w:rFonts w:ascii="Verdana" w:hAnsi="Verdana"/>
      <w:kern w:val="0"/>
      <w:sz w:val="20"/>
      <w:szCs w:val="20"/>
      <w:lang w:eastAsia="en-US"/>
    </w:rPr>
  </w:style>
  <w:style w:type="paragraph" w:customStyle="1" w:styleId="861">
    <w:name w:val="xl90"/>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spacing w:after="160" w:line="240" w:lineRule="exac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adjustRightInd/>
      <w:spacing w:before="100" w:beforeAutospacing="1" w:after="100" w:afterAutospacing="1"/>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snapToGrid w:val="0"/>
      <w:spacing w:before="120" w:after="160" w:line="360" w:lineRule="auto"/>
      <w:ind w:right="-360"/>
    </w:pPr>
    <w:rPr>
      <w:rFonts w:ascii="Arial" w:hAnsi="Arial"/>
      <w:kern w:val="0"/>
      <w:sz w:val="24"/>
      <w:lang w:eastAsia="en-US"/>
    </w:rPr>
  </w:style>
  <w:style w:type="paragraph" w:customStyle="1" w:styleId="878">
    <w:name w:val="_Style 94"/>
    <w:basedOn w:val="1"/>
    <w:next w:val="262"/>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adjustRightInd/>
      <w:spacing w:line="360" w:lineRule="auto"/>
      <w:ind w:firstLine="200" w:firstLineChars="200"/>
    </w:pPr>
    <w:rPr>
      <w:rFonts w:ascii="仿宋" w:hAnsi="Calibri" w:eastAsia="仿宋"/>
      <w:kern w:val="0"/>
      <w:sz w:val="24"/>
    </w:rPr>
  </w:style>
  <w:style w:type="paragraph" w:customStyle="1" w:styleId="882">
    <w:name w:val="3级标题"/>
    <w:basedOn w:val="675"/>
    <w:qFormat/>
    <w:uiPriority w:val="0"/>
    <w:pPr>
      <w:outlineLvl w:val="2"/>
    </w:pPr>
  </w:style>
  <w:style w:type="paragraph" w:customStyle="1" w:styleId="883">
    <w:name w:val="xl78"/>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2"/>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adjustRightInd/>
      <w:spacing w:before="100" w:beforeAutospacing="1" w:after="100" w:afterAutospacing="1"/>
    </w:pPr>
    <w:rPr>
      <w:rFonts w:ascii="宋体" w:hAnsi="宋体" w:cs="宋体"/>
      <w:kern w:val="0"/>
      <w:sz w:val="24"/>
    </w:rPr>
  </w:style>
  <w:style w:type="paragraph" w:customStyle="1" w:styleId="892">
    <w:name w:val="标书标题3"/>
    <w:basedOn w:val="5"/>
    <w:qFormat/>
    <w:uiPriority w:val="0"/>
    <w:pPr>
      <w:keepLines w:val="0"/>
      <w:snapToGrid w:val="0"/>
      <w:spacing w:before="120" w:after="60" w:line="300" w:lineRule="auto"/>
    </w:pPr>
    <w:rPr>
      <w:rFonts w:ascii="Arial Narrow" w:hAnsi="Arial Narrow" w:eastAsia="仿宋_GB2312"/>
      <w:b w:val="0"/>
      <w:bCs w:val="0"/>
      <w:color w:val="000000"/>
      <w:kern w:val="0"/>
      <w:sz w:val="28"/>
    </w:rPr>
  </w:style>
  <w:style w:type="paragraph" w:customStyle="1" w:styleId="893">
    <w:name w:val="TOC 标题11"/>
    <w:basedOn w:val="2"/>
    <w:next w:val="1"/>
    <w:unhideWhenUsed/>
    <w:qFormat/>
    <w:uiPriority w:val="4"/>
    <w:pPr>
      <w:adjustRightInd/>
      <w:spacing w:before="480" w:line="276" w:lineRule="auto"/>
      <w:ind w:left="0" w:firstLine="0"/>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2"/>
    <w:qFormat/>
    <w:uiPriority w:val="0"/>
    <w:rPr>
      <w:b w:val="0"/>
      <w:sz w:val="20"/>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adjustRightInd/>
      <w:spacing w:before="120" w:after="120" w:line="240" w:lineRule="exact"/>
      <w:ind w:firstLine="200" w:firstLineChars="200"/>
    </w:pPr>
    <w:rPr>
      <w:rFonts w:ascii="Arial" w:hAnsi="Arial"/>
      <w:kern w:val="0"/>
      <w:sz w:val="20"/>
      <w:szCs w:val="20"/>
      <w:lang w:eastAsia="en-US"/>
    </w:rPr>
  </w:style>
  <w:style w:type="paragraph" w:customStyle="1" w:styleId="902">
    <w:name w:val="RFI Heading 3rd Level"/>
    <w:basedOn w:val="1"/>
    <w:qFormat/>
    <w:uiPriority w:val="0"/>
    <w:pPr>
      <w:tabs>
        <w:tab w:val="left" w:pos="840"/>
      </w:tabs>
      <w:adjustRightInd/>
      <w:ind w:firstLine="200" w:firstLineChars="200"/>
    </w:pPr>
    <w:rPr>
      <w:rFonts w:ascii="Arial (W1)" w:hAnsi="Arial (W1)"/>
      <w:color w:val="000000"/>
      <w:kern w:val="0"/>
      <w:sz w:val="24"/>
      <w:lang w:val="en-GB" w:eastAsia="en-US"/>
    </w:rPr>
  </w:style>
  <w:style w:type="paragraph" w:customStyle="1" w:styleId="903">
    <w:name w:val="标准正文格式"/>
    <w:basedOn w:val="1"/>
    <w:qFormat/>
    <w:uiPriority w:val="0"/>
    <w:pPr>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tabs>
        <w:tab w:val="left" w:pos="288"/>
      </w:tabs>
      <w:adjustRightInd/>
      <w:ind w:left="288" w:hanging="360" w:firstLineChars="200"/>
    </w:pPr>
    <w:rPr>
      <w:rFonts w:ascii="Arial" w:hAnsi="Arial"/>
      <w:kern w:val="0"/>
      <w:sz w:val="20"/>
      <w:szCs w:val="20"/>
    </w:rPr>
  </w:style>
  <w:style w:type="paragraph" w:customStyle="1" w:styleId="905">
    <w:name w:val="0"/>
    <w:basedOn w:val="1"/>
    <w:qFormat/>
    <w:uiPriority w:val="0"/>
    <w:rPr>
      <w:kern w:val="0"/>
      <w:sz w:val="24"/>
      <w:szCs w:val="20"/>
    </w:rPr>
  </w:style>
  <w:style w:type="paragraph" w:customStyle="1" w:styleId="906">
    <w:name w:val="Char Char113"/>
    <w:basedOn w:val="1"/>
    <w:qFormat/>
    <w:uiPriority w:val="0"/>
    <w:pPr>
      <w:spacing w:after="160" w:line="240" w:lineRule="exac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adjustRightInd/>
      <w:spacing w:after="160" w:line="240" w:lineRule="exact"/>
      <w:ind w:firstLine="200" w:firstLineChars="200"/>
    </w:pPr>
    <w:rPr>
      <w:rFonts w:ascii="Verdana" w:hAnsi="Verdana"/>
      <w:kern w:val="0"/>
      <w:sz w:val="20"/>
      <w:szCs w:val="20"/>
      <w:lang w:eastAsia="en-US"/>
    </w:rPr>
  </w:style>
  <w:style w:type="paragraph" w:customStyle="1" w:styleId="914">
    <w:name w:val="Char Char112"/>
    <w:basedOn w:val="1"/>
    <w:qFormat/>
    <w:uiPriority w:val="6"/>
    <w:pPr>
      <w:spacing w:after="160" w:line="240" w:lineRule="exact"/>
    </w:pPr>
    <w:rPr>
      <w:rFonts w:eastAsia="仿宋_GB2312"/>
      <w:sz w:val="28"/>
    </w:rPr>
  </w:style>
  <w:style w:type="paragraph" w:customStyle="1" w:styleId="915">
    <w:name w:val="正文 图"/>
    <w:basedOn w:val="447"/>
    <w:qFormat/>
    <w:uiPriority w:val="0"/>
    <w:pPr>
      <w:adjustRightInd/>
      <w:spacing w:before="0"/>
      <w:ind w:firstLine="0"/>
      <w:jc w:val="center"/>
    </w:pPr>
    <w:rPr>
      <w:rFonts w:ascii="微软雅黑" w:hAnsi="微软雅黑"/>
    </w:rPr>
  </w:style>
  <w:style w:type="paragraph" w:customStyle="1" w:styleId="916">
    <w:name w:val="xl92"/>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color w:val="000000"/>
      <w:kern w:val="0"/>
      <w:sz w:val="20"/>
      <w:szCs w:val="20"/>
    </w:rPr>
  </w:style>
  <w:style w:type="paragraph" w:customStyle="1" w:styleId="917">
    <w:name w:val="±íÑùÊ½"/>
    <w:basedOn w:val="1"/>
    <w:qFormat/>
    <w:uiPriority w:val="0"/>
    <w:pPr>
      <w:tabs>
        <w:tab w:val="left" w:pos="840"/>
      </w:tabs>
      <w:overflowPunct w:val="0"/>
      <w:autoSpaceDE w:val="0"/>
      <w:autoSpaceDN w:val="0"/>
      <w:textAlignment w:val="baseline"/>
    </w:pPr>
    <w:rPr>
      <w:rFonts w:ascii="Arial Narrow" w:hAnsi="Arial Narrow"/>
      <w:kern w:val="0"/>
      <w:sz w:val="18"/>
      <w:szCs w:val="20"/>
    </w:rPr>
  </w:style>
  <w:style w:type="paragraph" w:customStyle="1" w:styleId="918">
    <w:name w:val="Thf"/>
    <w:basedOn w:val="566"/>
    <w:qFormat/>
    <w:uiPriority w:val="0"/>
    <w:pPr>
      <w:ind w:left="0"/>
    </w:pPr>
  </w:style>
  <w:style w:type="paragraph" w:customStyle="1" w:styleId="919">
    <w:name w:val="xl79"/>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8"/>
    <w:qFormat/>
    <w:uiPriority w:val="0"/>
    <w:rPr>
      <w:kern w:val="2"/>
      <w:sz w:val="21"/>
      <w:szCs w:val="24"/>
      <w:lang w:val="zh-CN"/>
    </w:rPr>
  </w:style>
  <w:style w:type="character" w:customStyle="1" w:styleId="934">
    <w:name w:val="无间隔 Char"/>
    <w:link w:val="487"/>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2"/>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adjustRightInd/>
      <w:spacing w:before="100" w:beforeAutospacing="1" w:after="100" w:afterAutospacing="1"/>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pPr>
    <w:rPr>
      <w:kern w:val="0"/>
      <w:sz w:val="24"/>
      <w:szCs w:val="20"/>
    </w:rPr>
  </w:style>
  <w:style w:type="paragraph" w:customStyle="1" w:styleId="957">
    <w:name w:val="p1"/>
    <w:basedOn w:val="1"/>
    <w:qFormat/>
    <w:uiPriority w:val="0"/>
    <w:pPr>
      <w:adjustRightInd/>
    </w:pPr>
    <w:rPr>
      <w:rFonts w:ascii=".PingFang SC" w:eastAsia=".PingFang SC"/>
      <w:color w:val="454545"/>
      <w:kern w:val="0"/>
      <w:sz w:val="18"/>
      <w:szCs w:val="18"/>
    </w:rPr>
  </w:style>
  <w:style w:type="paragraph" w:customStyle="1" w:styleId="958">
    <w:name w:val="Table Paragraph"/>
    <w:basedOn w:val="1"/>
    <w:qFormat/>
    <w:uiPriority w:val="0"/>
    <w:pPr>
      <w:adjustRightInd/>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楷体_GB2312" w:hAnsi="楷体_GB2312"/>
      <w:kern w:val="0"/>
      <w:sz w:val="20"/>
      <w:szCs w:val="20"/>
    </w:rPr>
  </w:style>
  <w:style w:type="paragraph" w:customStyle="1" w:styleId="960">
    <w:name w:val="xl22"/>
    <w:basedOn w:val="1"/>
    <w:qFormat/>
    <w:uiPriority w:val="0"/>
    <w:pPr>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adjustRightInd/>
      <w:spacing w:before="100" w:beforeAutospacing="1" w:after="100" w:afterAutospacing="1"/>
    </w:pPr>
    <w:rPr>
      <w:rFonts w:ascii="宋体" w:hAnsi="宋体" w:cs="宋体"/>
      <w:kern w:val="0"/>
      <w:sz w:val="24"/>
    </w:rPr>
  </w:style>
  <w:style w:type="character" w:customStyle="1" w:styleId="962">
    <w:name w:val="ksfind_class_select1"/>
    <w:basedOn w:val="72"/>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正文7"/>
    <w:basedOn w:val="1"/>
    <w:qFormat/>
    <w:uiPriority w:val="0"/>
    <w:pPr>
      <w:spacing w:line="318" w:lineRule="atLeast"/>
      <w:ind w:left="369" w:firstLine="369"/>
      <w:textAlignment w:val="baseline"/>
    </w:pPr>
    <w:rPr>
      <w:rFonts w:ascii="宋体"/>
      <w:szCs w:val="20"/>
    </w:rPr>
  </w:style>
  <w:style w:type="character" w:customStyle="1" w:styleId="967">
    <w:name w:val="NormalCharacter"/>
    <w:link w:val="968"/>
    <w:qFormat/>
    <w:uiPriority w:val="0"/>
    <w:rPr>
      <w:rFonts w:ascii="Calibri"/>
      <w:szCs w:val="22"/>
    </w:rPr>
  </w:style>
  <w:style w:type="paragraph" w:customStyle="1" w:styleId="968">
    <w:name w:val="UserStyle_127"/>
    <w:basedOn w:val="1"/>
    <w:link w:val="967"/>
    <w:qFormat/>
    <w:uiPriority w:val="0"/>
    <w:pPr>
      <w:spacing w:after="160" w:line="240" w:lineRule="exact"/>
    </w:pPr>
    <w:rPr>
      <w:rFonts w:ascii="Calibri"/>
      <w:szCs w:val="22"/>
    </w:rPr>
  </w:style>
  <w:style w:type="paragraph" w:customStyle="1" w:styleId="969">
    <w:name w:val="￥正文"/>
    <w:basedOn w:val="1"/>
    <w:qFormat/>
    <w:uiPriority w:val="0"/>
    <w:pPr>
      <w:spacing w:line="360" w:lineRule="auto"/>
      <w:ind w:firstLine="200" w:firstLineChars="200"/>
    </w:pPr>
    <w:rPr>
      <w:rFonts w:ascii="宋体" w:hAnsi="宋体" w:eastAsia="仿宋" w:cs="Arial"/>
      <w:sz w:val="32"/>
      <w:szCs w:val="22"/>
    </w:rPr>
  </w:style>
  <w:style w:type="paragraph" w:customStyle="1" w:styleId="970">
    <w:name w:val="Basistekst Batenburg"/>
    <w:basedOn w:val="971"/>
    <w:qFormat/>
    <w:uiPriority w:val="0"/>
  </w:style>
  <w:style w:type="paragraph" w:customStyle="1" w:styleId="971">
    <w:name w:val="Zsysbasis Batenburg"/>
    <w:next w:val="970"/>
    <w:qFormat/>
    <w:uiPriority w:val="0"/>
    <w:pPr>
      <w:spacing w:line="300" w:lineRule="atLeast"/>
    </w:pPr>
    <w:rPr>
      <w:rFonts w:ascii="Calibri" w:hAnsi="Calibri" w:eastAsia="宋体" w:cs="Times New Roman"/>
      <w:sz w:val="22"/>
      <w:szCs w:val="18"/>
      <w:lang w:val="en-US" w:eastAsia="zh-CN" w:bidi="ar-SA"/>
    </w:rPr>
  </w:style>
  <w:style w:type="paragraph" w:customStyle="1" w:styleId="972">
    <w:name w:val="BodyText1I2"/>
    <w:basedOn w:val="1"/>
    <w:qFormat/>
    <w:uiPriority w:val="0"/>
    <w:pPr>
      <w:adjustRightInd/>
      <w:spacing w:line="360" w:lineRule="auto"/>
      <w:ind w:firstLine="420"/>
    </w:pPr>
    <w:rPr>
      <w:rFonts w:ascii="宋体" w:hAnsi="宋体" w:cs="宋体"/>
      <w:szCs w:val="21"/>
    </w:rPr>
  </w:style>
  <w:style w:type="paragraph" w:customStyle="1" w:styleId="973">
    <w:name w:val="msonospacing"/>
    <w:basedOn w:val="1"/>
    <w:qFormat/>
    <w:uiPriority w:val="0"/>
    <w:rPr>
      <w:szCs w:val="22"/>
    </w:rPr>
  </w:style>
  <w:style w:type="paragraph" w:customStyle="1" w:styleId="974">
    <w:name w:val="_Style 10"/>
    <w:basedOn w:val="1"/>
    <w:qFormat/>
    <w:uiPriority w:val="0"/>
    <w:rPr>
      <w:rFonts w:ascii="仿宋_GB2312" w:eastAsia="仿宋_GB2312"/>
      <w:b/>
      <w:sz w:val="32"/>
      <w:szCs w:val="32"/>
    </w:rPr>
  </w:style>
  <w:style w:type="character" w:customStyle="1" w:styleId="975">
    <w:name w:val="font121"/>
    <w:basedOn w:val="72"/>
    <w:qFormat/>
    <w:uiPriority w:val="0"/>
    <w:rPr>
      <w:rFonts w:hint="eastAsia" w:ascii="宋体" w:hAnsi="宋体" w:eastAsia="宋体" w:cs="宋体"/>
      <w:color w:val="000000"/>
      <w:sz w:val="21"/>
      <w:szCs w:val="21"/>
      <w:u w:val="none"/>
    </w:rPr>
  </w:style>
  <w:style w:type="character" w:customStyle="1" w:styleId="976">
    <w:name w:val="font131"/>
    <w:basedOn w:val="72"/>
    <w:qFormat/>
    <w:uiPriority w:val="0"/>
    <w:rPr>
      <w:rFonts w:hint="eastAsia" w:ascii="宋体" w:hAnsi="宋体" w:eastAsia="宋体" w:cs="宋体"/>
      <w:color w:val="000000"/>
      <w:sz w:val="20"/>
      <w:szCs w:val="20"/>
      <w:u w:val="single"/>
    </w:rPr>
  </w:style>
  <w:style w:type="character" w:customStyle="1" w:styleId="977">
    <w:name w:val="font141"/>
    <w:basedOn w:val="72"/>
    <w:qFormat/>
    <w:uiPriority w:val="0"/>
    <w:rPr>
      <w:rFonts w:hint="eastAsia" w:ascii="宋体" w:hAnsi="宋体" w:eastAsia="宋体" w:cs="宋体"/>
      <w:i/>
      <w:iCs/>
      <w:color w:val="000000"/>
      <w:sz w:val="20"/>
      <w:szCs w:val="20"/>
      <w:u w:val="none"/>
    </w:rPr>
  </w:style>
  <w:style w:type="character" w:customStyle="1" w:styleId="978">
    <w:name w:val="font151"/>
    <w:basedOn w:val="72"/>
    <w:qFormat/>
    <w:uiPriority w:val="0"/>
    <w:rPr>
      <w:rFonts w:hint="eastAsia" w:ascii="宋体" w:hAnsi="宋体" w:eastAsia="宋体" w:cs="宋体"/>
      <w:color w:val="000000"/>
      <w:sz w:val="20"/>
      <w:szCs w:val="20"/>
      <w:u w:val="none"/>
      <w:vertAlign w:val="superscript"/>
    </w:rPr>
  </w:style>
  <w:style w:type="character" w:customStyle="1" w:styleId="979">
    <w:name w:val="font161"/>
    <w:basedOn w:val="72"/>
    <w:qFormat/>
    <w:uiPriority w:val="0"/>
    <w:rPr>
      <w:rFonts w:hint="eastAsia" w:ascii="宋体" w:hAnsi="宋体" w:eastAsia="宋体" w:cs="宋体"/>
      <w:color w:val="000000"/>
      <w:sz w:val="18"/>
      <w:szCs w:val="18"/>
      <w:u w:val="none"/>
    </w:rPr>
  </w:style>
  <w:style w:type="character" w:customStyle="1" w:styleId="980">
    <w:name w:val="font112"/>
    <w:basedOn w:val="72"/>
    <w:qFormat/>
    <w:uiPriority w:val="0"/>
    <w:rPr>
      <w:rFonts w:hint="eastAsia" w:ascii="宋体" w:hAnsi="宋体" w:eastAsia="宋体" w:cs="宋体"/>
      <w:color w:val="000000"/>
      <w:sz w:val="21"/>
      <w:szCs w:val="21"/>
      <w:u w:val="none"/>
    </w:rPr>
  </w:style>
  <w:style w:type="paragraph" w:customStyle="1" w:styleId="981">
    <w:name w:val="List2"/>
    <w:basedOn w:val="1"/>
    <w:qFormat/>
    <w:uiPriority w:val="0"/>
    <w:pPr>
      <w:ind w:left="100" w:leftChars="200" w:hanging="200" w:hangingChars="200"/>
      <w:contextualSpacing/>
      <w:textAlignment w:val="baseline"/>
    </w:pPr>
    <w:rPr>
      <w:szCs w:val="20"/>
    </w:rPr>
  </w:style>
  <w:style w:type="paragraph" w:customStyle="1" w:styleId="982">
    <w:name w:val="招标文件－标准正文"/>
    <w:basedOn w:val="33"/>
    <w:qFormat/>
    <w:uiPriority w:val="0"/>
    <w:pPr>
      <w:adjustRightInd/>
      <w:spacing w:line="360" w:lineRule="auto"/>
    </w:pPr>
    <w:rPr>
      <w:rFonts w:ascii="Times New Roman" w:hAnsi="Times New Roman" w:cs="宋体"/>
      <w:color w:val="000000"/>
      <w:sz w:val="24"/>
    </w:rPr>
  </w:style>
  <w:style w:type="paragraph" w:styleId="983">
    <w:name w:val="List Paragraph"/>
    <w:basedOn w:val="1"/>
    <w:unhideWhenUsed/>
    <w:qFormat/>
    <w:uiPriority w:val="99"/>
    <w:pPr>
      <w:ind w:firstLine="420" w:firstLineChars="200"/>
    </w:pPr>
  </w:style>
  <w:style w:type="paragraph" w:customStyle="1" w:styleId="984">
    <w:name w:val="Other|1"/>
    <w:basedOn w:val="1"/>
    <w:qFormat/>
    <w:uiPriority w:val="0"/>
    <w:pPr>
      <w:adjustRightInd/>
    </w:pPr>
    <w:rPr>
      <w:rFonts w:ascii="宋体" w:hAnsi="宋体" w:cs="宋体"/>
      <w:kern w:val="0"/>
      <w:sz w:val="24"/>
      <w:lang w:val="zh-TW" w:eastAsia="zh-TW" w:bidi="zh-TW"/>
    </w:rPr>
  </w:style>
  <w:style w:type="paragraph" w:customStyle="1" w:styleId="985">
    <w:name w:val="Body text|1"/>
    <w:basedOn w:val="1"/>
    <w:qFormat/>
    <w:uiPriority w:val="0"/>
    <w:pPr>
      <w:spacing w:line="401" w:lineRule="auto"/>
      <w:ind w:firstLine="400"/>
    </w:pPr>
    <w:rPr>
      <w:rFonts w:ascii="宋体" w:hAnsi="宋体" w:cs="宋体"/>
      <w:sz w:val="30"/>
      <w:szCs w:val="30"/>
      <w:lang w:val="zh-TW" w:eastAsia="zh-TW" w:bidi="zh-TW"/>
    </w:rPr>
  </w:style>
  <w:style w:type="paragraph" w:customStyle="1" w:styleId="986">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87">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8">
    <w:name w:val="标书表格"/>
    <w:basedOn w:val="1"/>
    <w:qFormat/>
    <w:uiPriority w:val="0"/>
    <w:pPr>
      <w:snapToGrid w:val="0"/>
      <w:spacing w:before="20" w:after="20" w:line="280" w:lineRule="atLeast"/>
      <w:jc w:val="center"/>
    </w:pPr>
    <w:rPr>
      <w:rFonts w:ascii="Arial" w:hAnsi="Arial"/>
      <w:color w:val="000000"/>
      <w:kern w:val="0"/>
      <w:szCs w:val="21"/>
    </w:rPr>
  </w:style>
  <w:style w:type="paragraph" w:customStyle="1" w:styleId="989">
    <w:name w:val="Char Char Char1 Char Char Char Char1"/>
    <w:basedOn w:val="1"/>
    <w:qFormat/>
    <w:uiPriority w:val="0"/>
    <w:pPr>
      <w:numPr>
        <w:ilvl w:val="0"/>
        <w:numId w:val="2"/>
      </w:numPr>
    </w:pPr>
  </w:style>
  <w:style w:type="paragraph" w:customStyle="1" w:styleId="990">
    <w:name w:val="保留正文"/>
    <w:basedOn w:val="1"/>
    <w:qFormat/>
    <w:uiPriority w:val="0"/>
    <w:pPr>
      <w:keepNext/>
      <w:overflowPunct w:val="0"/>
      <w:autoSpaceDE w:val="0"/>
      <w:autoSpaceDN w:val="0"/>
      <w:spacing w:after="160" w:line="480" w:lineRule="auto"/>
      <w:textAlignment w:val="baseline"/>
    </w:pPr>
    <w:rPr>
      <w:rFonts w:ascii="@宋体" w:hAnsi="Symbol"/>
      <w:kern w:val="0"/>
      <w:szCs w:val="20"/>
    </w:rPr>
  </w:style>
  <w:style w:type="paragraph" w:customStyle="1" w:styleId="99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microsoft.com/office/2011/relationships/people" Target="people.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10.wmf"/><Relationship Id="rId43" Type="http://schemas.openxmlformats.org/officeDocument/2006/relationships/oleObject" Target="embeddings/oleObject10.bin"/><Relationship Id="rId42" Type="http://schemas.openxmlformats.org/officeDocument/2006/relationships/image" Target="media/image9.wmf"/><Relationship Id="rId41" Type="http://schemas.openxmlformats.org/officeDocument/2006/relationships/oleObject" Target="embeddings/oleObject9.bin"/><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8.bin"/><Relationship Id="rId38" Type="http://schemas.openxmlformats.org/officeDocument/2006/relationships/image" Target="media/image7.wmf"/><Relationship Id="rId37" Type="http://schemas.openxmlformats.org/officeDocument/2006/relationships/oleObject" Target="embeddings/oleObject7.bin"/><Relationship Id="rId36" Type="http://schemas.openxmlformats.org/officeDocument/2006/relationships/image" Target="media/image6.wmf"/><Relationship Id="rId35" Type="http://schemas.openxmlformats.org/officeDocument/2006/relationships/oleObject" Target="embeddings/oleObject6.bin"/><Relationship Id="rId34" Type="http://schemas.openxmlformats.org/officeDocument/2006/relationships/image" Target="media/image5.wmf"/><Relationship Id="rId33" Type="http://schemas.openxmlformats.org/officeDocument/2006/relationships/oleObject" Target="embeddings/oleObject5.bin"/><Relationship Id="rId32" Type="http://schemas.openxmlformats.org/officeDocument/2006/relationships/image" Target="media/image4.wmf"/><Relationship Id="rId31" Type="http://schemas.openxmlformats.org/officeDocument/2006/relationships/oleObject" Target="embeddings/oleObject4.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image" Target="media/image2.wmf"/><Relationship Id="rId27" Type="http://schemas.openxmlformats.org/officeDocument/2006/relationships/oleObject" Target="embeddings/oleObject2.bin"/><Relationship Id="rId26" Type="http://schemas.openxmlformats.org/officeDocument/2006/relationships/image" Target="media/image1.wmf"/><Relationship Id="rId25" Type="http://schemas.openxmlformats.org/officeDocument/2006/relationships/oleObject" Target="embeddings/oleObject1.bin"/><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269</Pages>
  <Words>4109</Words>
  <Characters>4892</Characters>
  <Lines>8517</Lines>
  <Paragraphs>11192</Paragraphs>
  <TotalTime>3</TotalTime>
  <ScaleCrop>false</ScaleCrop>
  <LinksUpToDate>false</LinksUpToDate>
  <CharactersWithSpaces>5211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2021-07-31T16:22:00Z</dcterms:created>
  <dc:creator>玥</dc:creator>
  <cp:lastModifiedBy>安静不安分</cp:lastModifiedBy>
  <cp:lastPrinted>2023-11-14T09:31:00Z</cp:lastPrinted>
  <dcterms:modified xsi:type="dcterms:W3CDTF">2025-11-21T09:59:12Z</dcterms:modified>
  <dc:title>杭州市市民卡扩大发卡工程</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53A27AEED12A40A588BA22D35FE2B6EC_13</vt:lpwstr>
  </property>
  <property fmtid="{D5CDD505-2E9C-101B-9397-08002B2CF9AE}" pid="5" name="KSOTemplateDocerSaveRecord">
    <vt:lpwstr>eyJoZGlkIjoiMjVhMWExOTlkZjk5MTBjY2JlN2Y0ZjRiODA5YmY3YTYiLCJ1c2VySWQiOiIxMzUxNDM3NDcwIn0=</vt:lpwstr>
  </property>
</Properties>
</file>