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ADEEB4">
      <w:pPr>
        <w:spacing w:line="360" w:lineRule="auto"/>
        <w:jc w:val="center"/>
        <w:rPr>
          <w:rFonts w:ascii="仿宋" w:hAnsi="仿宋" w:eastAsia="仿宋" w:cs="仿宋_GB2312"/>
          <w:b/>
          <w:color w:val="auto"/>
          <w:sz w:val="24"/>
          <w:highlight w:val="none"/>
        </w:rPr>
      </w:pPr>
    </w:p>
    <w:p w14:paraId="6EECB781">
      <w:pPr>
        <w:adjustRightInd/>
        <w:spacing w:line="360" w:lineRule="auto"/>
        <w:jc w:val="center"/>
        <w:rPr>
          <w:rFonts w:ascii="宋体" w:hAnsi="宋体" w:cs="宋体"/>
          <w:b/>
          <w:color w:val="auto"/>
          <w:sz w:val="44"/>
          <w:szCs w:val="44"/>
          <w:highlight w:val="none"/>
        </w:rPr>
      </w:pPr>
    </w:p>
    <w:p w14:paraId="4B834782">
      <w:pPr>
        <w:pStyle w:val="64"/>
        <w:spacing w:line="360" w:lineRule="auto"/>
        <w:ind w:left="0" w:leftChars="0" w:firstLine="0" w:firstLineChars="0"/>
        <w:jc w:val="center"/>
        <w:rPr>
          <w:rFonts w:hint="eastAsia" w:cs="宋体"/>
          <w:b/>
          <w:bCs/>
          <w:color w:val="auto"/>
          <w:sz w:val="52"/>
          <w:szCs w:val="52"/>
          <w:highlight w:val="none"/>
          <w:lang w:eastAsia="zh-CN"/>
        </w:rPr>
      </w:pPr>
      <w:r>
        <w:rPr>
          <w:rFonts w:hint="eastAsia" w:cs="宋体"/>
          <w:b/>
          <w:bCs/>
          <w:color w:val="auto"/>
          <w:sz w:val="52"/>
          <w:szCs w:val="52"/>
          <w:highlight w:val="none"/>
          <w:lang w:eastAsia="zh-CN"/>
        </w:rPr>
        <w:t>义乌市2026-2027年度</w:t>
      </w:r>
    </w:p>
    <w:p w14:paraId="728227DC">
      <w:pPr>
        <w:pStyle w:val="64"/>
        <w:spacing w:line="360" w:lineRule="auto"/>
        <w:ind w:left="0" w:leftChars="0" w:firstLine="0" w:firstLineChars="0"/>
        <w:jc w:val="center"/>
        <w:rPr>
          <w:color w:val="auto"/>
          <w:highlight w:val="none"/>
        </w:rPr>
      </w:pPr>
      <w:r>
        <w:rPr>
          <w:rFonts w:hint="eastAsia" w:cs="宋体"/>
          <w:b/>
          <w:bCs/>
          <w:color w:val="auto"/>
          <w:sz w:val="52"/>
          <w:szCs w:val="52"/>
          <w:highlight w:val="none"/>
          <w:lang w:eastAsia="zh-CN"/>
        </w:rPr>
        <w:t>专项债券发行准备法律专业服务封闭式框架协议采购项目</w:t>
      </w:r>
    </w:p>
    <w:p w14:paraId="0B94E787">
      <w:pPr>
        <w:jc w:val="center"/>
        <w:rPr>
          <w:rFonts w:ascii="宋体" w:hAnsi="宋体" w:cs="宋体"/>
          <w:b/>
          <w:bCs/>
          <w:color w:val="auto"/>
          <w:sz w:val="36"/>
          <w:szCs w:val="36"/>
          <w:highlight w:val="none"/>
        </w:rPr>
      </w:pPr>
    </w:p>
    <w:p w14:paraId="388BD7F0">
      <w:pPr>
        <w:pStyle w:val="9"/>
        <w:rPr>
          <w:color w:val="auto"/>
          <w:highlight w:val="none"/>
        </w:rPr>
      </w:pPr>
    </w:p>
    <w:p w14:paraId="373EF3E2">
      <w:pPr>
        <w:jc w:val="center"/>
        <w:rPr>
          <w:rFonts w:ascii="宋体" w:hAnsi="宋体" w:cs="宋体"/>
          <w:b/>
          <w:color w:val="auto"/>
          <w:sz w:val="84"/>
          <w:szCs w:val="84"/>
          <w:highlight w:val="none"/>
        </w:rPr>
      </w:pPr>
      <w:bookmarkStart w:id="0" w:name="_Toc28551"/>
      <w:r>
        <w:rPr>
          <w:rFonts w:hint="eastAsia" w:ascii="宋体" w:hAnsi="宋体" w:cs="宋体"/>
          <w:b/>
          <w:color w:val="auto"/>
          <w:sz w:val="72"/>
          <w:szCs w:val="72"/>
          <w:highlight w:val="none"/>
        </w:rPr>
        <w:t>征集文件</w:t>
      </w:r>
      <w:bookmarkEnd w:id="0"/>
    </w:p>
    <w:p w14:paraId="36699B78">
      <w:pPr>
        <w:widowControl/>
        <w:jc w:val="center"/>
        <w:rPr>
          <w:rFonts w:ascii="宋体" w:hAnsi="宋体" w:cs="宋体"/>
          <w:b/>
          <w:color w:val="auto"/>
          <w:sz w:val="44"/>
          <w:szCs w:val="44"/>
          <w:highlight w:val="none"/>
        </w:rPr>
      </w:pPr>
    </w:p>
    <w:p w14:paraId="4E17A675">
      <w:pPr>
        <w:widowControl/>
        <w:jc w:val="center"/>
        <w:rPr>
          <w:rFonts w:ascii="宋体" w:hAnsi="宋体" w:cs="宋体"/>
          <w:b/>
          <w:color w:val="auto"/>
          <w:sz w:val="44"/>
          <w:szCs w:val="44"/>
          <w:highlight w:val="none"/>
        </w:rPr>
      </w:pPr>
      <w:r>
        <w:rPr>
          <w:rFonts w:hint="eastAsia" w:ascii="宋体" w:hAnsi="宋体" w:cs="宋体"/>
          <w:b/>
          <w:color w:val="auto"/>
          <w:sz w:val="44"/>
          <w:szCs w:val="44"/>
          <w:highlight w:val="none"/>
        </w:rPr>
        <w:t>（政采云电子标）</w:t>
      </w:r>
    </w:p>
    <w:p w14:paraId="235F1081">
      <w:pPr>
        <w:pStyle w:val="64"/>
        <w:ind w:firstLine="883"/>
        <w:rPr>
          <w:rFonts w:cs="宋体"/>
          <w:b/>
          <w:color w:val="auto"/>
          <w:sz w:val="44"/>
          <w:szCs w:val="44"/>
          <w:highlight w:val="none"/>
        </w:rPr>
      </w:pPr>
    </w:p>
    <w:p w14:paraId="7B4D78F8">
      <w:pPr>
        <w:rPr>
          <w:rFonts w:ascii="宋体" w:hAnsi="宋体" w:cs="宋体"/>
          <w:color w:val="auto"/>
          <w:highlight w:val="none"/>
        </w:rPr>
      </w:pPr>
    </w:p>
    <w:p w14:paraId="01E2E0DE">
      <w:pPr>
        <w:spacing w:line="440" w:lineRule="exact"/>
        <w:ind w:firstLine="220" w:firstLineChars="61"/>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 xml:space="preserve"> </w:t>
      </w:r>
    </w:p>
    <w:p w14:paraId="2E5C9497">
      <w:pPr>
        <w:pStyle w:val="64"/>
        <w:ind w:left="0" w:leftChars="0" w:firstLine="371" w:firstLineChars="177"/>
        <w:rPr>
          <w:rFonts w:cs="宋体"/>
          <w:color w:val="auto"/>
          <w:highlight w:val="none"/>
        </w:rPr>
      </w:pPr>
    </w:p>
    <w:p w14:paraId="2AF40CE8">
      <w:pPr>
        <w:pStyle w:val="964"/>
        <w:spacing w:line="440" w:lineRule="exact"/>
        <w:rPr>
          <w:rFonts w:cs="宋体"/>
          <w:b/>
          <w:bCs/>
          <w:color w:val="auto"/>
          <w:sz w:val="36"/>
          <w:szCs w:val="36"/>
          <w:highlight w:val="none"/>
        </w:rPr>
      </w:pPr>
    </w:p>
    <w:p w14:paraId="39968252">
      <w:pPr>
        <w:pStyle w:val="964"/>
        <w:spacing w:line="440" w:lineRule="exact"/>
        <w:ind w:firstLine="640" w:firstLineChars="177"/>
        <w:rPr>
          <w:rFonts w:cs="宋体"/>
          <w:b/>
          <w:bCs/>
          <w:color w:val="auto"/>
          <w:sz w:val="36"/>
          <w:szCs w:val="36"/>
          <w:highlight w:val="none"/>
        </w:rPr>
      </w:pPr>
    </w:p>
    <w:p w14:paraId="3F522A65">
      <w:pPr>
        <w:pStyle w:val="964"/>
        <w:spacing w:line="360" w:lineRule="auto"/>
        <w:ind w:firstLine="1906" w:firstLineChars="633"/>
        <w:rPr>
          <w:rFonts w:hint="default"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rPr>
        <w:t>项目编号：</w:t>
      </w:r>
      <w:r>
        <w:rPr>
          <w:rFonts w:hint="default" w:ascii="宋体" w:hAnsi="宋体" w:eastAsia="宋体" w:cs="宋体"/>
          <w:b/>
          <w:bCs/>
          <w:color w:val="auto"/>
          <w:sz w:val="30"/>
          <w:szCs w:val="30"/>
          <w:highlight w:val="none"/>
          <w:lang w:val="en-US" w:eastAsia="zh-CN"/>
        </w:rPr>
        <w:t>YWCZZW2026002</w:t>
      </w:r>
    </w:p>
    <w:p w14:paraId="699DD2ED">
      <w:pPr>
        <w:pStyle w:val="964"/>
        <w:spacing w:line="360" w:lineRule="auto"/>
        <w:ind w:firstLine="1906" w:firstLineChars="633"/>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征 集 人：</w:t>
      </w:r>
      <w:r>
        <w:rPr>
          <w:rFonts w:hint="eastAsia" w:ascii="宋体" w:hAnsi="宋体" w:eastAsia="宋体" w:cs="宋体"/>
          <w:b/>
          <w:bCs/>
          <w:color w:val="auto"/>
          <w:sz w:val="30"/>
          <w:szCs w:val="30"/>
          <w:highlight w:val="none"/>
          <w:lang w:val="en-US" w:eastAsia="zh-CN"/>
        </w:rPr>
        <w:t>义乌市财政局</w:t>
      </w:r>
    </w:p>
    <w:p w14:paraId="078CECD1">
      <w:pPr>
        <w:pStyle w:val="964"/>
        <w:spacing w:line="360" w:lineRule="auto"/>
        <w:ind w:firstLine="1906" w:firstLineChars="633"/>
        <w:rPr>
          <w:rFonts w:cs="宋体"/>
          <w:b/>
          <w:bCs/>
          <w:color w:val="auto"/>
          <w:sz w:val="30"/>
          <w:szCs w:val="30"/>
          <w:highlight w:val="none"/>
        </w:rPr>
      </w:pPr>
      <w:r>
        <w:rPr>
          <w:rFonts w:hint="eastAsia" w:cs="宋体"/>
          <w:b/>
          <w:bCs/>
          <w:color w:val="auto"/>
          <w:sz w:val="30"/>
          <w:szCs w:val="30"/>
          <w:highlight w:val="none"/>
        </w:rPr>
        <w:t>日    期：</w:t>
      </w:r>
      <w:r>
        <w:rPr>
          <w:rFonts w:hint="eastAsia" w:cs="宋体"/>
          <w:b/>
          <w:bCs/>
          <w:color w:val="auto"/>
          <w:sz w:val="30"/>
          <w:szCs w:val="30"/>
          <w:highlight w:val="none"/>
          <w:lang w:val="en-US" w:eastAsia="zh-CN"/>
        </w:rPr>
        <w:t>2026</w:t>
      </w:r>
      <w:r>
        <w:rPr>
          <w:rFonts w:hint="eastAsia" w:cs="宋体"/>
          <w:b/>
          <w:bCs/>
          <w:color w:val="auto"/>
          <w:sz w:val="30"/>
          <w:szCs w:val="30"/>
          <w:highlight w:val="none"/>
        </w:rPr>
        <w:t>年</w:t>
      </w:r>
      <w:r>
        <w:rPr>
          <w:rFonts w:hint="eastAsia" w:cs="宋体"/>
          <w:b/>
          <w:bCs/>
          <w:color w:val="auto"/>
          <w:sz w:val="30"/>
          <w:szCs w:val="30"/>
          <w:highlight w:val="none"/>
          <w:lang w:val="en-US" w:eastAsia="zh-CN"/>
        </w:rPr>
        <w:t>02</w:t>
      </w:r>
      <w:r>
        <w:rPr>
          <w:rFonts w:hint="eastAsia" w:cs="宋体"/>
          <w:b/>
          <w:bCs/>
          <w:color w:val="auto"/>
          <w:sz w:val="30"/>
          <w:szCs w:val="30"/>
          <w:highlight w:val="none"/>
        </w:rPr>
        <w:t>月</w:t>
      </w:r>
      <w:r>
        <w:rPr>
          <w:rFonts w:hint="eastAsia" w:cs="宋体"/>
          <w:b/>
          <w:bCs/>
          <w:color w:val="auto"/>
          <w:sz w:val="30"/>
          <w:szCs w:val="30"/>
          <w:highlight w:val="none"/>
          <w:lang w:val="en-US" w:eastAsia="zh-CN"/>
        </w:rPr>
        <w:t>13日</w:t>
      </w:r>
      <w:r>
        <w:rPr>
          <w:rFonts w:hint="eastAsia" w:cs="宋体"/>
          <w:b/>
          <w:bCs/>
          <w:color w:val="auto"/>
          <w:sz w:val="30"/>
          <w:szCs w:val="30"/>
          <w:highlight w:val="none"/>
          <w:lang w:val="en-US"/>
        </w:rPr>
        <w:t xml:space="preserve"> </w:t>
      </w:r>
    </w:p>
    <w:p w14:paraId="6CEF6AF1">
      <w:pPr>
        <w:spacing w:line="360" w:lineRule="auto"/>
        <w:ind w:firstLine="424" w:firstLineChars="177"/>
        <w:jc w:val="center"/>
        <w:rPr>
          <w:rFonts w:ascii="宋体" w:hAnsi="宋体" w:cs="宋体"/>
          <w:color w:val="auto"/>
          <w:sz w:val="24"/>
          <w:highlight w:val="none"/>
        </w:rPr>
        <w:sectPr>
          <w:headerReference r:id="rId4" w:type="first"/>
          <w:footerReference r:id="rId7" w:type="first"/>
          <w:headerReference r:id="rId3" w:type="default"/>
          <w:footerReference r:id="rId5" w:type="default"/>
          <w:footerReference r:id="rId6" w:type="even"/>
          <w:pgSz w:w="11905" w:h="16838"/>
          <w:pgMar w:top="872" w:right="1417" w:bottom="1266" w:left="1417" w:header="539" w:footer="482" w:gutter="0"/>
          <w:pgNumType w:fmt="decimal"/>
          <w:cols w:space="0" w:num="1"/>
          <w:titlePg/>
          <w:docGrid w:linePitch="312" w:charSpace="0"/>
        </w:sectPr>
      </w:pPr>
    </w:p>
    <w:p w14:paraId="02FE3521">
      <w:pPr>
        <w:spacing w:line="360" w:lineRule="auto"/>
        <w:jc w:val="center"/>
        <w:rPr>
          <w:rFonts w:ascii="仿宋" w:hAnsi="仿宋" w:eastAsia="仿宋" w:cs="仿宋_GB2312"/>
          <w:color w:val="auto"/>
          <w:sz w:val="24"/>
          <w:highlight w:val="none"/>
        </w:rPr>
      </w:pPr>
    </w:p>
    <w:p w14:paraId="53715D78">
      <w:pPr>
        <w:rPr>
          <w:rFonts w:ascii="仿宋" w:hAnsi="仿宋" w:eastAsia="仿宋"/>
          <w:color w:val="auto"/>
          <w:highlight w:val="none"/>
        </w:rPr>
      </w:pPr>
      <w:bookmarkStart w:id="1" w:name="_Hlt91233176"/>
      <w:bookmarkEnd w:id="1"/>
      <w:bookmarkStart w:id="2" w:name="_Toc91899869"/>
    </w:p>
    <w:p w14:paraId="520A9958">
      <w:pPr>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目  录</w:t>
      </w:r>
    </w:p>
    <w:p w14:paraId="0DD7DF6C">
      <w:pPr>
        <w:spacing w:line="360" w:lineRule="auto"/>
        <w:ind w:firstLine="549" w:firstLineChars="229"/>
        <w:rPr>
          <w:rFonts w:ascii="宋体" w:hAnsi="宋体" w:cs="宋体"/>
          <w:color w:val="auto"/>
          <w:sz w:val="24"/>
          <w:highlight w:val="none"/>
        </w:rPr>
      </w:pPr>
    </w:p>
    <w:p w14:paraId="114E7F10">
      <w:pPr>
        <w:pStyle w:val="64"/>
        <w:ind w:firstLine="420"/>
        <w:rPr>
          <w:color w:val="auto"/>
          <w:highlight w:val="none"/>
        </w:rPr>
      </w:pPr>
    </w:p>
    <w:p w14:paraId="605C8C7C">
      <w:pPr>
        <w:spacing w:line="480" w:lineRule="auto"/>
        <w:ind w:firstLine="641" w:firstLineChars="229"/>
        <w:rPr>
          <w:rFonts w:ascii="宋体" w:hAnsi="宋体" w:cs="宋体"/>
          <w:color w:val="auto"/>
          <w:sz w:val="28"/>
          <w:szCs w:val="28"/>
          <w:highlight w:val="none"/>
        </w:rPr>
      </w:pPr>
    </w:p>
    <w:p w14:paraId="75F2BBF1">
      <w:pPr>
        <w:pStyle w:val="45"/>
        <w:tabs>
          <w:tab w:val="right" w:leader="dot" w:pos="9071"/>
        </w:tabs>
        <w:spacing w:line="600" w:lineRule="auto"/>
        <w:rPr>
          <w:sz w:val="28"/>
          <w:szCs w:val="28"/>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TOC \o "1-1" \h \u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fldChar w:fldCharType="begin"/>
      </w:r>
      <w:r>
        <w:rPr>
          <w:rFonts w:hint="eastAsia" w:ascii="宋体" w:hAnsi="宋体" w:cs="宋体"/>
          <w:sz w:val="28"/>
          <w:szCs w:val="28"/>
          <w:highlight w:val="none"/>
        </w:rPr>
        <w:instrText xml:space="preserve"> HYPERLINK \l _Toc1944703097 </w:instrText>
      </w:r>
      <w:r>
        <w:rPr>
          <w:rFonts w:hint="eastAsia" w:ascii="宋体" w:hAnsi="宋体" w:cs="宋体"/>
          <w:sz w:val="28"/>
          <w:szCs w:val="28"/>
          <w:highlight w:val="none"/>
        </w:rPr>
        <w:fldChar w:fldCharType="separate"/>
      </w:r>
      <w:r>
        <w:rPr>
          <w:rFonts w:hint="eastAsia" w:ascii="黑体" w:hAnsi="黑体" w:eastAsia="黑体" w:cs="黑体"/>
          <w:sz w:val="28"/>
          <w:szCs w:val="28"/>
          <w:highlight w:val="none"/>
        </w:rPr>
        <w:t>第一章 征集公告</w:t>
      </w:r>
      <w:r>
        <w:rPr>
          <w:sz w:val="28"/>
          <w:szCs w:val="28"/>
        </w:rPr>
        <w:tab/>
      </w:r>
      <w:r>
        <w:rPr>
          <w:sz w:val="28"/>
          <w:szCs w:val="28"/>
        </w:rPr>
        <w:fldChar w:fldCharType="begin"/>
      </w:r>
      <w:r>
        <w:rPr>
          <w:sz w:val="28"/>
          <w:szCs w:val="28"/>
        </w:rPr>
        <w:instrText xml:space="preserve"> PAGEREF _Toc1944703097 \h </w:instrText>
      </w:r>
      <w:r>
        <w:rPr>
          <w:sz w:val="28"/>
          <w:szCs w:val="28"/>
        </w:rPr>
        <w:fldChar w:fldCharType="separate"/>
      </w:r>
      <w:r>
        <w:rPr>
          <w:sz w:val="28"/>
          <w:szCs w:val="28"/>
        </w:rPr>
        <w:t>2</w:t>
      </w:r>
      <w:r>
        <w:rPr>
          <w:sz w:val="28"/>
          <w:szCs w:val="28"/>
        </w:rPr>
        <w:fldChar w:fldCharType="end"/>
      </w:r>
      <w:r>
        <w:rPr>
          <w:rFonts w:hint="eastAsia" w:ascii="宋体" w:hAnsi="宋体" w:cs="宋体"/>
          <w:color w:val="auto"/>
          <w:sz w:val="28"/>
          <w:szCs w:val="28"/>
          <w:highlight w:val="none"/>
        </w:rPr>
        <w:fldChar w:fldCharType="end"/>
      </w:r>
    </w:p>
    <w:p w14:paraId="7CF259FF">
      <w:pPr>
        <w:pStyle w:val="45"/>
        <w:tabs>
          <w:tab w:val="right" w:leader="dot" w:pos="9071"/>
        </w:tabs>
        <w:spacing w:line="600" w:lineRule="auto"/>
        <w:rPr>
          <w:sz w:val="28"/>
          <w:szCs w:val="28"/>
        </w:rPr>
      </w:pPr>
      <w:r>
        <w:rPr>
          <w:rFonts w:hint="eastAsia" w:ascii="宋体" w:hAnsi="宋体" w:cs="宋体"/>
          <w:color w:val="auto"/>
          <w:sz w:val="28"/>
          <w:szCs w:val="28"/>
          <w:highlight w:val="none"/>
        </w:rPr>
        <w:fldChar w:fldCharType="begin"/>
      </w:r>
      <w:r>
        <w:rPr>
          <w:rFonts w:hint="eastAsia" w:ascii="宋体" w:hAnsi="宋体" w:cs="宋体"/>
          <w:sz w:val="28"/>
          <w:szCs w:val="28"/>
          <w:highlight w:val="none"/>
        </w:rPr>
        <w:instrText xml:space="preserve"> HYPERLINK \l _Toc1990566781 </w:instrText>
      </w:r>
      <w:r>
        <w:rPr>
          <w:rFonts w:hint="eastAsia" w:ascii="宋体" w:hAnsi="宋体" w:cs="宋体"/>
          <w:sz w:val="28"/>
          <w:szCs w:val="28"/>
          <w:highlight w:val="none"/>
        </w:rPr>
        <w:fldChar w:fldCharType="separate"/>
      </w:r>
      <w:r>
        <w:rPr>
          <w:rFonts w:hint="eastAsia" w:ascii="黑体" w:hAnsi="黑体" w:eastAsia="黑体" w:cs="黑体"/>
          <w:sz w:val="28"/>
          <w:szCs w:val="28"/>
          <w:highlight w:val="none"/>
        </w:rPr>
        <w:t>第二章 采购需求</w:t>
      </w:r>
      <w:r>
        <w:rPr>
          <w:sz w:val="28"/>
          <w:szCs w:val="28"/>
        </w:rPr>
        <w:tab/>
      </w:r>
      <w:r>
        <w:rPr>
          <w:sz w:val="28"/>
          <w:szCs w:val="28"/>
        </w:rPr>
        <w:fldChar w:fldCharType="begin"/>
      </w:r>
      <w:r>
        <w:rPr>
          <w:sz w:val="28"/>
          <w:szCs w:val="28"/>
        </w:rPr>
        <w:instrText xml:space="preserve"> PAGEREF _Toc1990566781 \h </w:instrText>
      </w:r>
      <w:r>
        <w:rPr>
          <w:sz w:val="28"/>
          <w:szCs w:val="28"/>
        </w:rPr>
        <w:fldChar w:fldCharType="separate"/>
      </w:r>
      <w:r>
        <w:rPr>
          <w:sz w:val="28"/>
          <w:szCs w:val="28"/>
        </w:rPr>
        <w:t>6</w:t>
      </w:r>
      <w:r>
        <w:rPr>
          <w:sz w:val="28"/>
          <w:szCs w:val="28"/>
        </w:rPr>
        <w:fldChar w:fldCharType="end"/>
      </w:r>
      <w:r>
        <w:rPr>
          <w:rFonts w:hint="eastAsia" w:ascii="宋体" w:hAnsi="宋体" w:cs="宋体"/>
          <w:color w:val="auto"/>
          <w:sz w:val="28"/>
          <w:szCs w:val="28"/>
          <w:highlight w:val="none"/>
        </w:rPr>
        <w:fldChar w:fldCharType="end"/>
      </w:r>
    </w:p>
    <w:p w14:paraId="6E1704CC">
      <w:pPr>
        <w:pStyle w:val="45"/>
        <w:tabs>
          <w:tab w:val="right" w:leader="dot" w:pos="9071"/>
        </w:tabs>
        <w:spacing w:line="600" w:lineRule="auto"/>
        <w:rPr>
          <w:sz w:val="28"/>
          <w:szCs w:val="28"/>
        </w:rPr>
      </w:pPr>
      <w:r>
        <w:rPr>
          <w:rFonts w:hint="eastAsia" w:ascii="宋体" w:hAnsi="宋体" w:cs="宋体"/>
          <w:color w:val="auto"/>
          <w:sz w:val="28"/>
          <w:szCs w:val="28"/>
          <w:highlight w:val="none"/>
        </w:rPr>
        <w:fldChar w:fldCharType="begin"/>
      </w:r>
      <w:r>
        <w:rPr>
          <w:rFonts w:hint="eastAsia" w:ascii="宋体" w:hAnsi="宋体" w:cs="宋体"/>
          <w:sz w:val="28"/>
          <w:szCs w:val="28"/>
          <w:highlight w:val="none"/>
        </w:rPr>
        <w:instrText xml:space="preserve"> HYPERLINK \l _Toc1605655674 </w:instrText>
      </w:r>
      <w:r>
        <w:rPr>
          <w:rFonts w:hint="eastAsia" w:ascii="宋体" w:hAnsi="宋体" w:cs="宋体"/>
          <w:sz w:val="28"/>
          <w:szCs w:val="28"/>
          <w:highlight w:val="none"/>
        </w:rPr>
        <w:fldChar w:fldCharType="separate"/>
      </w:r>
      <w:r>
        <w:rPr>
          <w:rFonts w:hint="eastAsia" w:ascii="黑体" w:hAnsi="黑体" w:eastAsia="黑体" w:cs="黑体"/>
          <w:sz w:val="28"/>
          <w:szCs w:val="28"/>
          <w:highlight w:val="none"/>
        </w:rPr>
        <w:t>第三章 供应商须知</w:t>
      </w:r>
      <w:r>
        <w:rPr>
          <w:sz w:val="28"/>
          <w:szCs w:val="28"/>
        </w:rPr>
        <w:tab/>
      </w:r>
      <w:r>
        <w:rPr>
          <w:sz w:val="28"/>
          <w:szCs w:val="28"/>
        </w:rPr>
        <w:fldChar w:fldCharType="begin"/>
      </w:r>
      <w:r>
        <w:rPr>
          <w:sz w:val="28"/>
          <w:szCs w:val="28"/>
        </w:rPr>
        <w:instrText xml:space="preserve"> PAGEREF _Toc1605655674 \h </w:instrText>
      </w:r>
      <w:r>
        <w:rPr>
          <w:sz w:val="28"/>
          <w:szCs w:val="28"/>
        </w:rPr>
        <w:fldChar w:fldCharType="separate"/>
      </w:r>
      <w:r>
        <w:rPr>
          <w:sz w:val="28"/>
          <w:szCs w:val="28"/>
        </w:rPr>
        <w:t>10</w:t>
      </w:r>
      <w:r>
        <w:rPr>
          <w:sz w:val="28"/>
          <w:szCs w:val="28"/>
        </w:rPr>
        <w:fldChar w:fldCharType="end"/>
      </w:r>
      <w:r>
        <w:rPr>
          <w:rFonts w:hint="eastAsia" w:ascii="宋体" w:hAnsi="宋体" w:cs="宋体"/>
          <w:color w:val="auto"/>
          <w:sz w:val="28"/>
          <w:szCs w:val="28"/>
          <w:highlight w:val="none"/>
        </w:rPr>
        <w:fldChar w:fldCharType="end"/>
      </w:r>
    </w:p>
    <w:p w14:paraId="71397BAB">
      <w:pPr>
        <w:pStyle w:val="45"/>
        <w:tabs>
          <w:tab w:val="right" w:leader="dot" w:pos="9071"/>
        </w:tabs>
        <w:spacing w:line="600" w:lineRule="auto"/>
        <w:rPr>
          <w:sz w:val="28"/>
          <w:szCs w:val="28"/>
        </w:rPr>
      </w:pPr>
      <w:r>
        <w:rPr>
          <w:rFonts w:hint="eastAsia" w:ascii="宋体" w:hAnsi="宋体" w:cs="宋体"/>
          <w:color w:val="auto"/>
          <w:sz w:val="28"/>
          <w:szCs w:val="28"/>
          <w:highlight w:val="none"/>
        </w:rPr>
        <w:fldChar w:fldCharType="begin"/>
      </w:r>
      <w:r>
        <w:rPr>
          <w:rFonts w:hint="eastAsia" w:ascii="宋体" w:hAnsi="宋体" w:cs="宋体"/>
          <w:sz w:val="28"/>
          <w:szCs w:val="28"/>
          <w:highlight w:val="none"/>
        </w:rPr>
        <w:instrText xml:space="preserve"> HYPERLINK \l _Toc1843394441 </w:instrText>
      </w:r>
      <w:r>
        <w:rPr>
          <w:rFonts w:hint="eastAsia" w:ascii="宋体" w:hAnsi="宋体" w:cs="宋体"/>
          <w:sz w:val="28"/>
          <w:szCs w:val="28"/>
          <w:highlight w:val="none"/>
        </w:rPr>
        <w:fldChar w:fldCharType="separate"/>
      </w:r>
      <w:r>
        <w:rPr>
          <w:rFonts w:hint="eastAsia" w:ascii="仿宋" w:hAnsi="仿宋" w:eastAsia="仿宋" w:cs="仿宋_GB2312"/>
          <w:sz w:val="28"/>
          <w:szCs w:val="28"/>
          <w:highlight w:val="none"/>
        </w:rPr>
        <w:t>前附表</w:t>
      </w:r>
      <w:r>
        <w:rPr>
          <w:sz w:val="28"/>
          <w:szCs w:val="28"/>
        </w:rPr>
        <w:tab/>
      </w:r>
      <w:r>
        <w:rPr>
          <w:sz w:val="28"/>
          <w:szCs w:val="28"/>
        </w:rPr>
        <w:fldChar w:fldCharType="begin"/>
      </w:r>
      <w:r>
        <w:rPr>
          <w:sz w:val="28"/>
          <w:szCs w:val="28"/>
        </w:rPr>
        <w:instrText xml:space="preserve"> PAGEREF _Toc1843394441 \h </w:instrText>
      </w:r>
      <w:r>
        <w:rPr>
          <w:sz w:val="28"/>
          <w:szCs w:val="28"/>
        </w:rPr>
        <w:fldChar w:fldCharType="separate"/>
      </w:r>
      <w:r>
        <w:rPr>
          <w:sz w:val="28"/>
          <w:szCs w:val="28"/>
        </w:rPr>
        <w:t>10</w:t>
      </w:r>
      <w:r>
        <w:rPr>
          <w:sz w:val="28"/>
          <w:szCs w:val="28"/>
        </w:rPr>
        <w:fldChar w:fldCharType="end"/>
      </w:r>
      <w:r>
        <w:rPr>
          <w:rFonts w:hint="eastAsia" w:ascii="宋体" w:hAnsi="宋体" w:cs="宋体"/>
          <w:color w:val="auto"/>
          <w:sz w:val="28"/>
          <w:szCs w:val="28"/>
          <w:highlight w:val="none"/>
        </w:rPr>
        <w:fldChar w:fldCharType="end"/>
      </w:r>
    </w:p>
    <w:p w14:paraId="79864617">
      <w:pPr>
        <w:pStyle w:val="45"/>
        <w:tabs>
          <w:tab w:val="right" w:leader="dot" w:pos="9071"/>
        </w:tabs>
        <w:spacing w:line="600" w:lineRule="auto"/>
        <w:rPr>
          <w:sz w:val="28"/>
          <w:szCs w:val="28"/>
        </w:rPr>
      </w:pPr>
      <w:r>
        <w:rPr>
          <w:rFonts w:hint="eastAsia" w:ascii="宋体" w:hAnsi="宋体" w:cs="宋体"/>
          <w:color w:val="auto"/>
          <w:sz w:val="28"/>
          <w:szCs w:val="28"/>
          <w:highlight w:val="none"/>
        </w:rPr>
        <w:fldChar w:fldCharType="begin"/>
      </w:r>
      <w:r>
        <w:rPr>
          <w:rFonts w:hint="eastAsia" w:ascii="宋体" w:hAnsi="宋体" w:cs="宋体"/>
          <w:sz w:val="28"/>
          <w:szCs w:val="28"/>
          <w:highlight w:val="none"/>
        </w:rPr>
        <w:instrText xml:space="preserve"> HYPERLINK \l _Toc70773101 </w:instrText>
      </w:r>
      <w:r>
        <w:rPr>
          <w:rFonts w:hint="eastAsia" w:ascii="宋体" w:hAnsi="宋体" w:cs="宋体"/>
          <w:sz w:val="28"/>
          <w:szCs w:val="28"/>
          <w:highlight w:val="none"/>
        </w:rPr>
        <w:fldChar w:fldCharType="separate"/>
      </w:r>
      <w:r>
        <w:rPr>
          <w:rFonts w:hint="eastAsia" w:ascii="黑体" w:hAnsi="黑体" w:eastAsia="黑体" w:cs="黑体"/>
          <w:sz w:val="28"/>
          <w:szCs w:val="28"/>
          <w:highlight w:val="none"/>
        </w:rPr>
        <w:t>第四章 评审办法</w:t>
      </w:r>
      <w:r>
        <w:rPr>
          <w:sz w:val="28"/>
          <w:szCs w:val="28"/>
        </w:rPr>
        <w:tab/>
      </w:r>
      <w:r>
        <w:rPr>
          <w:sz w:val="28"/>
          <w:szCs w:val="28"/>
        </w:rPr>
        <w:fldChar w:fldCharType="begin"/>
      </w:r>
      <w:r>
        <w:rPr>
          <w:sz w:val="28"/>
          <w:szCs w:val="28"/>
        </w:rPr>
        <w:instrText xml:space="preserve"> PAGEREF _Toc70773101 \h </w:instrText>
      </w:r>
      <w:r>
        <w:rPr>
          <w:sz w:val="28"/>
          <w:szCs w:val="28"/>
        </w:rPr>
        <w:fldChar w:fldCharType="separate"/>
      </w:r>
      <w:r>
        <w:rPr>
          <w:sz w:val="28"/>
          <w:szCs w:val="28"/>
        </w:rPr>
        <w:t>14</w:t>
      </w:r>
      <w:r>
        <w:rPr>
          <w:sz w:val="28"/>
          <w:szCs w:val="28"/>
        </w:rPr>
        <w:fldChar w:fldCharType="end"/>
      </w:r>
      <w:r>
        <w:rPr>
          <w:rFonts w:hint="eastAsia" w:ascii="宋体" w:hAnsi="宋体" w:cs="宋体"/>
          <w:color w:val="auto"/>
          <w:sz w:val="28"/>
          <w:szCs w:val="28"/>
          <w:highlight w:val="none"/>
        </w:rPr>
        <w:fldChar w:fldCharType="end"/>
      </w:r>
    </w:p>
    <w:p w14:paraId="07A13922">
      <w:pPr>
        <w:pStyle w:val="45"/>
        <w:tabs>
          <w:tab w:val="right" w:leader="dot" w:pos="9071"/>
        </w:tabs>
        <w:spacing w:line="600" w:lineRule="auto"/>
        <w:rPr>
          <w:sz w:val="28"/>
          <w:szCs w:val="28"/>
        </w:rPr>
      </w:pPr>
      <w:r>
        <w:rPr>
          <w:rFonts w:hint="eastAsia" w:ascii="宋体" w:hAnsi="宋体" w:cs="宋体"/>
          <w:color w:val="auto"/>
          <w:sz w:val="28"/>
          <w:szCs w:val="28"/>
          <w:highlight w:val="none"/>
        </w:rPr>
        <w:fldChar w:fldCharType="begin"/>
      </w:r>
      <w:r>
        <w:rPr>
          <w:rFonts w:hint="eastAsia" w:ascii="宋体" w:hAnsi="宋体" w:cs="宋体"/>
          <w:sz w:val="28"/>
          <w:szCs w:val="28"/>
          <w:highlight w:val="none"/>
        </w:rPr>
        <w:instrText xml:space="preserve"> HYPERLINK \l _Toc1647777864 </w:instrText>
      </w:r>
      <w:r>
        <w:rPr>
          <w:rFonts w:hint="eastAsia" w:ascii="宋体" w:hAnsi="宋体" w:cs="宋体"/>
          <w:sz w:val="28"/>
          <w:szCs w:val="28"/>
          <w:highlight w:val="none"/>
        </w:rPr>
        <w:fldChar w:fldCharType="separate"/>
      </w:r>
      <w:r>
        <w:rPr>
          <w:rFonts w:hint="eastAsia" w:ascii="黑体" w:hAnsi="黑体" w:eastAsia="黑体" w:cs="黑体"/>
          <w:sz w:val="28"/>
          <w:szCs w:val="28"/>
          <w:highlight w:val="none"/>
        </w:rPr>
        <w:t xml:space="preserve">第五章 </w:t>
      </w:r>
      <w:r>
        <w:rPr>
          <w:b/>
          <w:bCs/>
          <w:sz w:val="28"/>
          <w:szCs w:val="28"/>
        </w:rPr>
        <w:t>框架协议及采购合同格式</w:t>
      </w:r>
      <w:r>
        <w:rPr>
          <w:sz w:val="28"/>
          <w:szCs w:val="28"/>
        </w:rPr>
        <w:tab/>
      </w:r>
      <w:r>
        <w:rPr>
          <w:sz w:val="28"/>
          <w:szCs w:val="28"/>
        </w:rPr>
        <w:fldChar w:fldCharType="begin"/>
      </w:r>
      <w:r>
        <w:rPr>
          <w:sz w:val="28"/>
          <w:szCs w:val="28"/>
        </w:rPr>
        <w:instrText xml:space="preserve"> PAGEREF _Toc1647777864 \h </w:instrText>
      </w:r>
      <w:r>
        <w:rPr>
          <w:sz w:val="28"/>
          <w:szCs w:val="28"/>
        </w:rPr>
        <w:fldChar w:fldCharType="separate"/>
      </w:r>
      <w:r>
        <w:rPr>
          <w:sz w:val="28"/>
          <w:szCs w:val="28"/>
        </w:rPr>
        <w:t>25</w:t>
      </w:r>
      <w:r>
        <w:rPr>
          <w:sz w:val="28"/>
          <w:szCs w:val="28"/>
        </w:rPr>
        <w:fldChar w:fldCharType="end"/>
      </w:r>
      <w:r>
        <w:rPr>
          <w:rFonts w:hint="eastAsia" w:ascii="宋体" w:hAnsi="宋体" w:cs="宋体"/>
          <w:color w:val="auto"/>
          <w:sz w:val="28"/>
          <w:szCs w:val="28"/>
          <w:highlight w:val="none"/>
        </w:rPr>
        <w:fldChar w:fldCharType="end"/>
      </w:r>
    </w:p>
    <w:p w14:paraId="4B691460">
      <w:pPr>
        <w:pStyle w:val="45"/>
        <w:tabs>
          <w:tab w:val="right" w:leader="dot" w:pos="9071"/>
        </w:tabs>
        <w:spacing w:line="600" w:lineRule="auto"/>
        <w:rPr>
          <w:sz w:val="28"/>
          <w:szCs w:val="28"/>
        </w:rPr>
      </w:pPr>
      <w:r>
        <w:rPr>
          <w:rFonts w:hint="eastAsia" w:ascii="宋体" w:hAnsi="宋体" w:cs="宋体"/>
          <w:color w:val="auto"/>
          <w:sz w:val="28"/>
          <w:szCs w:val="28"/>
          <w:highlight w:val="none"/>
        </w:rPr>
        <w:fldChar w:fldCharType="begin"/>
      </w:r>
      <w:r>
        <w:rPr>
          <w:rFonts w:hint="eastAsia" w:ascii="宋体" w:hAnsi="宋体" w:cs="宋体"/>
          <w:sz w:val="28"/>
          <w:szCs w:val="28"/>
          <w:highlight w:val="none"/>
        </w:rPr>
        <w:instrText xml:space="preserve"> HYPERLINK \l _Toc379335746 </w:instrText>
      </w:r>
      <w:r>
        <w:rPr>
          <w:rFonts w:hint="eastAsia" w:ascii="宋体" w:hAnsi="宋体" w:cs="宋体"/>
          <w:sz w:val="28"/>
          <w:szCs w:val="28"/>
          <w:highlight w:val="none"/>
        </w:rPr>
        <w:fldChar w:fldCharType="separate"/>
      </w:r>
      <w:r>
        <w:rPr>
          <w:rFonts w:hint="eastAsia" w:ascii="黑体" w:hAnsi="黑体" w:eastAsia="黑体" w:cs="黑体"/>
          <w:sz w:val="28"/>
          <w:szCs w:val="28"/>
          <w:highlight w:val="none"/>
        </w:rPr>
        <w:t xml:space="preserve">第六章 </w:t>
      </w:r>
      <w:r>
        <w:rPr>
          <w:b/>
          <w:bCs w:val="0"/>
          <w:sz w:val="28"/>
          <w:szCs w:val="28"/>
        </w:rPr>
        <w:t>投标（响应）文件</w:t>
      </w:r>
      <w:r>
        <w:rPr>
          <w:rFonts w:hint="eastAsia"/>
          <w:b/>
          <w:bCs w:val="0"/>
          <w:sz w:val="28"/>
          <w:szCs w:val="28"/>
          <w:lang w:val="en-US" w:eastAsia="zh-CN"/>
        </w:rPr>
        <w:t>部分格式</w:t>
      </w:r>
      <w:r>
        <w:rPr>
          <w:sz w:val="28"/>
          <w:szCs w:val="28"/>
        </w:rPr>
        <w:tab/>
      </w:r>
      <w:r>
        <w:rPr>
          <w:sz w:val="28"/>
          <w:szCs w:val="28"/>
        </w:rPr>
        <w:fldChar w:fldCharType="begin"/>
      </w:r>
      <w:r>
        <w:rPr>
          <w:sz w:val="28"/>
          <w:szCs w:val="28"/>
        </w:rPr>
        <w:instrText xml:space="preserve"> PAGEREF _Toc379335746 \h </w:instrText>
      </w:r>
      <w:r>
        <w:rPr>
          <w:sz w:val="28"/>
          <w:szCs w:val="28"/>
        </w:rPr>
        <w:fldChar w:fldCharType="separate"/>
      </w:r>
      <w:r>
        <w:rPr>
          <w:sz w:val="28"/>
          <w:szCs w:val="28"/>
        </w:rPr>
        <w:t>34</w:t>
      </w:r>
      <w:r>
        <w:rPr>
          <w:sz w:val="28"/>
          <w:szCs w:val="28"/>
        </w:rPr>
        <w:fldChar w:fldCharType="end"/>
      </w:r>
      <w:r>
        <w:rPr>
          <w:rFonts w:hint="eastAsia" w:ascii="宋体" w:hAnsi="宋体" w:cs="宋体"/>
          <w:color w:val="auto"/>
          <w:sz w:val="28"/>
          <w:szCs w:val="28"/>
          <w:highlight w:val="none"/>
        </w:rPr>
        <w:fldChar w:fldCharType="end"/>
      </w:r>
    </w:p>
    <w:p w14:paraId="10122A1B">
      <w:pPr>
        <w:spacing w:line="600" w:lineRule="auto"/>
        <w:ind w:firstLine="641" w:firstLineChars="229"/>
        <w:rPr>
          <w:rFonts w:ascii="仿宋" w:hAnsi="仿宋" w:eastAsia="仿宋" w:cs="仿宋_GB2312"/>
          <w:color w:val="auto"/>
          <w:sz w:val="24"/>
          <w:highlight w:val="none"/>
        </w:rPr>
      </w:pPr>
      <w:r>
        <w:rPr>
          <w:rFonts w:hint="eastAsia" w:ascii="宋体" w:hAnsi="宋体" w:cs="宋体"/>
          <w:color w:val="auto"/>
          <w:sz w:val="28"/>
          <w:szCs w:val="28"/>
          <w:highlight w:val="none"/>
        </w:rPr>
        <w:fldChar w:fldCharType="end"/>
      </w:r>
    </w:p>
    <w:p w14:paraId="0D9A6C36">
      <w:pPr>
        <w:spacing w:line="360" w:lineRule="auto"/>
        <w:ind w:firstLine="549" w:firstLineChars="229"/>
        <w:rPr>
          <w:rFonts w:ascii="仿宋" w:hAnsi="仿宋" w:eastAsia="仿宋" w:cs="仿宋_GB2312"/>
          <w:color w:val="auto"/>
          <w:sz w:val="24"/>
          <w:highlight w:val="none"/>
        </w:rPr>
      </w:pPr>
    </w:p>
    <w:p w14:paraId="1F84E402">
      <w:pPr>
        <w:spacing w:line="360" w:lineRule="auto"/>
        <w:ind w:firstLine="549" w:firstLineChars="229"/>
        <w:rPr>
          <w:rFonts w:ascii="仿宋" w:hAnsi="仿宋" w:eastAsia="仿宋" w:cs="仿宋_GB2312"/>
          <w:color w:val="auto"/>
          <w:sz w:val="24"/>
          <w:highlight w:val="none"/>
        </w:rPr>
      </w:pPr>
    </w:p>
    <w:p w14:paraId="70624755">
      <w:pPr>
        <w:spacing w:line="360" w:lineRule="auto"/>
        <w:ind w:firstLine="549" w:firstLineChars="229"/>
        <w:rPr>
          <w:rFonts w:ascii="仿宋" w:hAnsi="仿宋" w:eastAsia="仿宋" w:cs="仿宋_GB2312"/>
          <w:color w:val="auto"/>
          <w:sz w:val="24"/>
          <w:highlight w:val="none"/>
        </w:rPr>
      </w:pPr>
    </w:p>
    <w:p w14:paraId="4B1B4315">
      <w:pPr>
        <w:spacing w:line="360" w:lineRule="auto"/>
        <w:ind w:firstLine="549" w:firstLineChars="229"/>
        <w:rPr>
          <w:rFonts w:ascii="仿宋" w:hAnsi="仿宋" w:eastAsia="仿宋" w:cs="仿宋_GB2312"/>
          <w:color w:val="auto"/>
          <w:sz w:val="24"/>
          <w:highlight w:val="none"/>
        </w:rPr>
      </w:pPr>
    </w:p>
    <w:p w14:paraId="6701625C">
      <w:pPr>
        <w:spacing w:line="360" w:lineRule="auto"/>
        <w:ind w:firstLine="549" w:firstLineChars="229"/>
        <w:rPr>
          <w:rFonts w:ascii="仿宋" w:hAnsi="仿宋" w:eastAsia="仿宋" w:cs="仿宋_GB2312"/>
          <w:color w:val="auto"/>
          <w:sz w:val="24"/>
          <w:highlight w:val="none"/>
        </w:rPr>
      </w:pPr>
    </w:p>
    <w:p w14:paraId="6B6E518E">
      <w:pPr>
        <w:spacing w:line="360" w:lineRule="auto"/>
        <w:rPr>
          <w:rFonts w:ascii="仿宋" w:hAnsi="仿宋" w:eastAsia="仿宋" w:cs="仿宋_GB2312"/>
          <w:color w:val="auto"/>
          <w:sz w:val="24"/>
          <w:highlight w:val="none"/>
        </w:rPr>
      </w:pPr>
    </w:p>
    <w:bookmarkEnd w:id="2"/>
    <w:p w14:paraId="5E541CFF">
      <w:pPr>
        <w:spacing w:line="360" w:lineRule="auto"/>
        <w:rPr>
          <w:rFonts w:ascii="仿宋" w:hAnsi="仿宋" w:eastAsia="仿宋" w:cs="仿宋_GB2312"/>
          <w:color w:val="auto"/>
          <w:sz w:val="24"/>
          <w:highlight w:val="none"/>
        </w:rPr>
      </w:pPr>
    </w:p>
    <w:p w14:paraId="592D358A">
      <w:pPr>
        <w:adjustRightInd/>
        <w:spacing w:line="360" w:lineRule="auto"/>
        <w:jc w:val="center"/>
        <w:rPr>
          <w:rFonts w:ascii="仿宋" w:hAnsi="仿宋" w:eastAsia="仿宋" w:cs="仿宋_GB2312"/>
          <w:b/>
          <w:color w:val="auto"/>
          <w:sz w:val="36"/>
          <w:szCs w:val="20"/>
          <w:highlight w:val="none"/>
        </w:rPr>
        <w:sectPr>
          <w:footerReference r:id="rId9" w:type="first"/>
          <w:footerReference r:id="rId8" w:type="default"/>
          <w:pgSz w:w="11905" w:h="16838"/>
          <w:pgMar w:top="872" w:right="1417" w:bottom="1266" w:left="1417" w:header="539" w:footer="482" w:gutter="0"/>
          <w:pgNumType w:fmt="decimal" w:start="1"/>
          <w:cols w:space="0" w:num="1"/>
          <w:docGrid w:linePitch="312" w:charSpace="0"/>
        </w:sectPr>
      </w:pPr>
      <w:bookmarkStart w:id="3" w:name="_Hlt74649545"/>
      <w:bookmarkEnd w:id="3"/>
      <w:bookmarkStart w:id="4" w:name="_Hlt74728647"/>
      <w:bookmarkEnd w:id="4"/>
      <w:bookmarkStart w:id="5" w:name="_Hlt74707423"/>
      <w:bookmarkEnd w:id="5"/>
      <w:bookmarkStart w:id="6" w:name="_Hlt74729822"/>
      <w:bookmarkEnd w:id="6"/>
      <w:bookmarkStart w:id="7" w:name="_Toc20296"/>
      <w:bookmarkStart w:id="8" w:name="_Toc31815"/>
      <w:bookmarkStart w:id="9" w:name="_Toc22995"/>
      <w:bookmarkStart w:id="10" w:name="_Toc18065"/>
      <w:bookmarkStart w:id="11" w:name="第二部分"/>
      <w:bookmarkStart w:id="12" w:name="_Toc91899870"/>
      <w:bookmarkStart w:id="13" w:name="_Toc91899871"/>
    </w:p>
    <w:p w14:paraId="4DC69624">
      <w:pPr>
        <w:adjustRightInd/>
        <w:spacing w:line="360" w:lineRule="auto"/>
        <w:jc w:val="center"/>
        <w:outlineLvl w:val="0"/>
        <w:rPr>
          <w:rFonts w:ascii="黑体" w:hAnsi="黑体" w:eastAsia="黑体" w:cs="黑体"/>
          <w:b/>
          <w:color w:val="auto"/>
          <w:sz w:val="32"/>
          <w:szCs w:val="32"/>
          <w:highlight w:val="none"/>
        </w:rPr>
      </w:pPr>
      <w:bookmarkStart w:id="14" w:name="_Toc1944703097"/>
      <w:bookmarkStart w:id="15" w:name="_Toc13459"/>
      <w:bookmarkStart w:id="16" w:name="_Toc9820"/>
      <w:bookmarkStart w:id="17" w:name="_Toc5744"/>
      <w:bookmarkStart w:id="18" w:name="_Toc21938"/>
      <w:bookmarkStart w:id="19" w:name="_Toc3856"/>
      <w:bookmarkStart w:id="20" w:name="_Toc3900"/>
      <w:bookmarkStart w:id="21" w:name="_Toc23199"/>
      <w:r>
        <w:rPr>
          <w:rFonts w:hint="eastAsia" w:ascii="黑体" w:hAnsi="黑体" w:eastAsia="黑体" w:cs="黑体"/>
          <w:b/>
          <w:color w:val="auto"/>
          <w:sz w:val="32"/>
          <w:szCs w:val="32"/>
          <w:highlight w:val="none"/>
        </w:rPr>
        <w:t>第一章 征集公告</w:t>
      </w:r>
      <w:bookmarkEnd w:id="7"/>
      <w:bookmarkEnd w:id="8"/>
      <w:bookmarkEnd w:id="9"/>
      <w:bookmarkEnd w:id="10"/>
      <w:bookmarkEnd w:id="14"/>
      <w:bookmarkEnd w:id="15"/>
      <w:bookmarkEnd w:id="16"/>
      <w:bookmarkEnd w:id="17"/>
      <w:bookmarkEnd w:id="18"/>
      <w:bookmarkEnd w:id="19"/>
      <w:bookmarkEnd w:id="20"/>
      <w:bookmarkEnd w:id="21"/>
    </w:p>
    <w:p w14:paraId="594996CB">
      <w:pPr>
        <w:pBdr>
          <w:top w:val="single" w:color="auto" w:sz="4" w:space="1"/>
          <w:left w:val="single" w:color="auto" w:sz="4" w:space="4"/>
          <w:bottom w:val="single" w:color="auto" w:sz="4" w:space="1"/>
          <w:right w:val="single" w:color="auto" w:sz="4" w:space="4"/>
        </w:pBdr>
        <w:spacing w:line="400" w:lineRule="exact"/>
        <w:jc w:val="center"/>
        <w:rPr>
          <w:rFonts w:ascii="宋体" w:hAnsi="宋体" w:cs="宋体"/>
          <w:b/>
          <w:bCs/>
          <w:color w:val="auto"/>
          <w:sz w:val="24"/>
          <w:highlight w:val="none"/>
        </w:rPr>
      </w:pPr>
      <w:r>
        <w:rPr>
          <w:rFonts w:hint="eastAsia" w:ascii="宋体" w:hAnsi="宋体" w:cs="宋体"/>
          <w:b/>
          <w:bCs/>
          <w:color w:val="auto"/>
          <w:sz w:val="24"/>
          <w:highlight w:val="none"/>
        </w:rPr>
        <w:t>项 目 概 况</w:t>
      </w:r>
    </w:p>
    <w:p w14:paraId="2F6DC3A2">
      <w:pPr>
        <w:pBdr>
          <w:top w:val="single" w:color="auto" w:sz="4" w:space="1"/>
          <w:left w:val="single" w:color="auto" w:sz="4" w:space="4"/>
          <w:bottom w:val="single" w:color="auto" w:sz="4" w:space="1"/>
          <w:right w:val="single" w:color="auto" w:sz="4" w:space="4"/>
        </w:pBdr>
        <w:spacing w:line="40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根据政府采购框架协议采购方式管理暂行办法，</w:t>
      </w:r>
      <w:r>
        <w:rPr>
          <w:rFonts w:hint="eastAsia" w:ascii="宋体" w:hAnsi="宋体" w:cs="宋体"/>
          <w:color w:val="auto"/>
          <w:sz w:val="24"/>
          <w:highlight w:val="none"/>
          <w:lang w:eastAsia="zh-CN"/>
        </w:rPr>
        <w:t>义乌市2026-2027年度</w:t>
      </w:r>
      <w:r>
        <w:rPr>
          <w:rFonts w:hint="eastAsia" w:ascii="宋体" w:hAnsi="宋体" w:cs="宋体"/>
          <w:color w:val="auto"/>
          <w:sz w:val="24"/>
          <w:highlight w:val="none"/>
        </w:rPr>
        <w:t>专项债券发行准备法律专业服务封闭式框架协议采购项目的潜在供应商应在政采云平台（</w:t>
      </w:r>
      <w:r>
        <w:rPr>
          <w:color w:val="auto"/>
          <w:highlight w:val="none"/>
        </w:rPr>
        <w:fldChar w:fldCharType="begin"/>
      </w:r>
      <w:r>
        <w:rPr>
          <w:color w:val="auto"/>
          <w:highlight w:val="none"/>
        </w:rPr>
        <w:instrText xml:space="preserve"> HYPERLINK "https://www.zcygov.cn/）获取（下载）征集文件，并于2022年10月20日9点30分00秒" </w:instrText>
      </w:r>
      <w:r>
        <w:rPr>
          <w:color w:val="auto"/>
          <w:highlight w:val="none"/>
        </w:rPr>
        <w:fldChar w:fldCharType="separate"/>
      </w:r>
      <w:r>
        <w:rPr>
          <w:rStyle w:val="79"/>
          <w:rFonts w:hint="eastAsia" w:ascii="宋体" w:hAnsi="宋体" w:eastAsia="宋体" w:cs="宋体"/>
          <w:snapToGrid/>
          <w:color w:val="auto"/>
          <w:kern w:val="2"/>
          <w:sz w:val="24"/>
          <w:szCs w:val="24"/>
          <w:highlight w:val="none"/>
        </w:rPr>
        <w:t>https://www.zcygov.cn/）获取（下载）征集文件，并于202</w:t>
      </w:r>
      <w:r>
        <w:rPr>
          <w:rStyle w:val="79"/>
          <w:rFonts w:hint="eastAsia" w:ascii="宋体" w:hAnsi="宋体" w:cs="宋体"/>
          <w:snapToGrid/>
          <w:color w:val="auto"/>
          <w:kern w:val="2"/>
          <w:sz w:val="24"/>
          <w:szCs w:val="24"/>
          <w:highlight w:val="none"/>
          <w:lang w:val="en-US" w:eastAsia="zh-CN"/>
        </w:rPr>
        <w:t>6</w:t>
      </w:r>
      <w:r>
        <w:rPr>
          <w:rStyle w:val="79"/>
          <w:rFonts w:hint="eastAsia" w:ascii="宋体" w:hAnsi="宋体" w:eastAsia="宋体" w:cs="宋体"/>
          <w:snapToGrid/>
          <w:color w:val="auto"/>
          <w:kern w:val="2"/>
          <w:sz w:val="24"/>
          <w:szCs w:val="24"/>
          <w:highlight w:val="none"/>
        </w:rPr>
        <w:t>年</w:t>
      </w:r>
      <w:r>
        <w:rPr>
          <w:rStyle w:val="79"/>
          <w:rFonts w:hint="eastAsia" w:ascii="宋体" w:hAnsi="宋体" w:cs="宋体"/>
          <w:snapToGrid/>
          <w:color w:val="auto"/>
          <w:kern w:val="2"/>
          <w:sz w:val="24"/>
          <w:szCs w:val="24"/>
          <w:highlight w:val="none"/>
          <w:lang w:val="en-US" w:eastAsia="zh-CN"/>
        </w:rPr>
        <w:t>03</w:t>
      </w:r>
      <w:r>
        <w:rPr>
          <w:rStyle w:val="79"/>
          <w:rFonts w:hint="eastAsia" w:ascii="宋体" w:hAnsi="宋体" w:eastAsia="宋体" w:cs="宋体"/>
          <w:snapToGrid/>
          <w:color w:val="auto"/>
          <w:kern w:val="2"/>
          <w:sz w:val="24"/>
          <w:szCs w:val="24"/>
          <w:highlight w:val="none"/>
        </w:rPr>
        <w:t>月</w:t>
      </w:r>
      <w:r>
        <w:rPr>
          <w:rStyle w:val="79"/>
          <w:rFonts w:hint="eastAsia" w:ascii="宋体" w:hAnsi="宋体" w:cs="宋体"/>
          <w:snapToGrid/>
          <w:color w:val="auto"/>
          <w:kern w:val="2"/>
          <w:sz w:val="24"/>
          <w:szCs w:val="24"/>
          <w:highlight w:val="none"/>
          <w:lang w:val="en-US" w:eastAsia="zh-CN"/>
        </w:rPr>
        <w:t>17</w:t>
      </w:r>
      <w:r>
        <w:rPr>
          <w:rStyle w:val="79"/>
          <w:rFonts w:hint="eastAsia" w:ascii="宋体" w:hAnsi="宋体" w:eastAsia="宋体" w:cs="宋体"/>
          <w:snapToGrid/>
          <w:color w:val="auto"/>
          <w:kern w:val="2"/>
          <w:sz w:val="24"/>
          <w:szCs w:val="24"/>
          <w:highlight w:val="none"/>
        </w:rPr>
        <w:t>日</w:t>
      </w:r>
      <w:r>
        <w:rPr>
          <w:rStyle w:val="79"/>
          <w:rFonts w:hint="eastAsia" w:ascii="宋体" w:hAnsi="宋体" w:cs="宋体"/>
          <w:snapToGrid/>
          <w:color w:val="auto"/>
          <w:kern w:val="2"/>
          <w:sz w:val="24"/>
          <w:szCs w:val="24"/>
          <w:highlight w:val="none"/>
          <w:lang w:val="en-US" w:eastAsia="zh-CN"/>
        </w:rPr>
        <w:t>10</w:t>
      </w:r>
      <w:r>
        <w:rPr>
          <w:rStyle w:val="79"/>
          <w:rFonts w:hint="eastAsia" w:ascii="宋体" w:hAnsi="宋体" w:eastAsia="宋体" w:cs="宋体"/>
          <w:snapToGrid/>
          <w:color w:val="auto"/>
          <w:kern w:val="2"/>
          <w:sz w:val="24"/>
          <w:szCs w:val="24"/>
          <w:highlight w:val="none"/>
        </w:rPr>
        <w:t>时</w:t>
      </w:r>
      <w:r>
        <w:rPr>
          <w:rStyle w:val="79"/>
          <w:rFonts w:hint="eastAsia" w:ascii="宋体" w:hAnsi="宋体" w:cs="宋体"/>
          <w:snapToGrid/>
          <w:color w:val="auto"/>
          <w:kern w:val="2"/>
          <w:sz w:val="24"/>
          <w:szCs w:val="24"/>
          <w:highlight w:val="none"/>
          <w:lang w:val="en-US" w:eastAsia="zh-CN"/>
        </w:rPr>
        <w:t>3</w:t>
      </w:r>
      <w:r>
        <w:rPr>
          <w:rStyle w:val="79"/>
          <w:rFonts w:hint="eastAsia" w:ascii="宋体" w:hAnsi="宋体" w:eastAsia="宋体" w:cs="宋体"/>
          <w:snapToGrid/>
          <w:color w:val="auto"/>
          <w:kern w:val="2"/>
          <w:sz w:val="24"/>
          <w:szCs w:val="24"/>
          <w:highlight w:val="none"/>
        </w:rPr>
        <w:t>0分</w:t>
      </w:r>
      <w:r>
        <w:rPr>
          <w:rStyle w:val="79"/>
          <w:rFonts w:hint="eastAsia" w:ascii="宋体" w:hAnsi="宋体" w:eastAsia="宋体" w:cs="宋体"/>
          <w:bCs/>
          <w:snapToGrid/>
          <w:color w:val="auto"/>
          <w:kern w:val="2"/>
          <w:sz w:val="24"/>
          <w:szCs w:val="24"/>
          <w:highlight w:val="none"/>
        </w:rPr>
        <w:t>00秒</w:t>
      </w:r>
      <w:r>
        <w:rPr>
          <w:rStyle w:val="79"/>
          <w:rFonts w:hint="eastAsia" w:ascii="宋体" w:hAnsi="宋体" w:eastAsia="宋体" w:cs="宋体"/>
          <w:bCs/>
          <w:snapToGrid/>
          <w:color w:val="auto"/>
          <w:kern w:val="2"/>
          <w:sz w:val="24"/>
          <w:szCs w:val="24"/>
          <w:highlight w:val="none"/>
        </w:rPr>
        <w:fldChar w:fldCharType="end"/>
      </w:r>
      <w:r>
        <w:rPr>
          <w:rFonts w:hint="eastAsia" w:ascii="宋体" w:hAnsi="宋体" w:cs="宋体"/>
          <w:bCs/>
          <w:color w:val="auto"/>
          <w:sz w:val="24"/>
          <w:highlight w:val="none"/>
        </w:rPr>
        <w:t>（北京时间）前</w:t>
      </w:r>
      <w:r>
        <w:rPr>
          <w:rFonts w:hint="eastAsia" w:ascii="宋体" w:hAnsi="宋体" w:cs="宋体"/>
          <w:color w:val="auto"/>
          <w:sz w:val="24"/>
          <w:highlight w:val="none"/>
        </w:rPr>
        <w:t>递交（上传）响应文件。</w:t>
      </w:r>
    </w:p>
    <w:p w14:paraId="260883F9">
      <w:pPr>
        <w:spacing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一、项目基本情况</w:t>
      </w:r>
    </w:p>
    <w:p w14:paraId="06CD1EB3">
      <w:pPr>
        <w:spacing w:line="400" w:lineRule="exact"/>
        <w:ind w:firstLine="480" w:firstLineChars="200"/>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rPr>
        <w:t>（一）项目编号：</w:t>
      </w:r>
      <w:r>
        <w:rPr>
          <w:rFonts w:hint="default" w:ascii="宋体" w:hAnsi="宋体" w:eastAsia="宋体" w:cs="宋体"/>
          <w:bCs/>
          <w:color w:val="auto"/>
          <w:sz w:val="24"/>
          <w:highlight w:val="none"/>
          <w:lang w:val="en-US" w:eastAsia="zh-CN"/>
        </w:rPr>
        <w:t>YWCZZW2026002</w:t>
      </w:r>
    </w:p>
    <w:p w14:paraId="71E4AD1A">
      <w:pPr>
        <w:spacing w:line="400" w:lineRule="exact"/>
        <w:ind w:firstLine="480" w:firstLineChars="200"/>
        <w:rPr>
          <w:rFonts w:ascii="宋体" w:hAnsi="宋体" w:cs="宋体"/>
          <w:bCs/>
          <w:color w:val="auto"/>
          <w:sz w:val="24"/>
          <w:highlight w:val="none"/>
        </w:rPr>
      </w:pPr>
      <w:r>
        <w:rPr>
          <w:rFonts w:hint="eastAsia" w:ascii="宋体" w:hAnsi="宋体" w:eastAsia="宋体" w:cs="宋体"/>
          <w:bCs/>
          <w:color w:val="auto"/>
          <w:sz w:val="24"/>
          <w:highlight w:val="none"/>
        </w:rPr>
        <w:t>（二）项目名称：</w:t>
      </w:r>
      <w:r>
        <w:rPr>
          <w:rFonts w:hint="eastAsia" w:ascii="宋体" w:hAnsi="宋体" w:cs="宋体"/>
          <w:bCs/>
          <w:color w:val="auto"/>
          <w:sz w:val="24"/>
          <w:highlight w:val="none"/>
          <w:lang w:eastAsia="zh-CN"/>
        </w:rPr>
        <w:t>义乌市2026-2027年度专项债券发行准备法律专业服务封闭式框架协议采购项目</w:t>
      </w:r>
    </w:p>
    <w:p w14:paraId="143A2B8B">
      <w:pPr>
        <w:pStyle w:val="132"/>
        <w:spacing w:before="0" w:line="400" w:lineRule="exact"/>
        <w:ind w:firstLine="480"/>
        <w:rPr>
          <w:rFonts w:ascii="宋体" w:hAnsi="宋体" w:cs="宋体"/>
          <w:bCs/>
          <w:color w:val="auto"/>
          <w:szCs w:val="24"/>
          <w:highlight w:val="none"/>
        </w:rPr>
      </w:pPr>
      <w:r>
        <w:rPr>
          <w:rFonts w:hint="eastAsia" w:ascii="宋体" w:hAnsi="宋体" w:cs="宋体"/>
          <w:bCs/>
          <w:color w:val="auto"/>
          <w:szCs w:val="24"/>
          <w:highlight w:val="none"/>
        </w:rPr>
        <w:t>（三）预算金额（元）：0（无固定预算，以实际服务项目为准）</w:t>
      </w:r>
    </w:p>
    <w:p w14:paraId="07D370A0">
      <w:pPr>
        <w:pStyle w:val="132"/>
        <w:spacing w:before="0" w:line="400" w:lineRule="exact"/>
        <w:ind w:firstLine="480"/>
        <w:rPr>
          <w:rFonts w:hint="eastAsia" w:ascii="宋体" w:hAnsi="宋体" w:cs="宋体"/>
          <w:bCs/>
          <w:color w:val="auto"/>
          <w:szCs w:val="24"/>
          <w:highlight w:val="none"/>
        </w:rPr>
      </w:pPr>
      <w:r>
        <w:rPr>
          <w:rFonts w:hint="eastAsia" w:ascii="宋体" w:hAnsi="宋体" w:cs="宋体"/>
          <w:bCs/>
          <w:color w:val="auto"/>
          <w:szCs w:val="24"/>
          <w:highlight w:val="none"/>
        </w:rPr>
        <w:t>（四）最高限价（元）：</w:t>
      </w:r>
    </w:p>
    <w:p w14:paraId="71DA28BE">
      <w:pPr>
        <w:pStyle w:val="132"/>
        <w:spacing w:before="0" w:line="400" w:lineRule="exact"/>
        <w:ind w:firstLine="480"/>
        <w:rPr>
          <w:rFonts w:hint="eastAsia" w:ascii="宋体" w:hAnsi="宋体" w:cs="宋体"/>
          <w:bCs/>
          <w:color w:val="auto"/>
          <w:sz w:val="24"/>
          <w:highlight w:val="none"/>
        </w:rPr>
      </w:pPr>
      <w:r>
        <w:rPr>
          <w:rFonts w:hint="eastAsia" w:ascii="宋体" w:hAnsi="宋体" w:cs="宋体"/>
          <w:bCs/>
          <w:color w:val="auto"/>
          <w:sz w:val="24"/>
          <w:highlight w:val="none"/>
          <w:lang w:eastAsia="zh-CN"/>
        </w:rPr>
        <w:t>①</w:t>
      </w:r>
      <w:r>
        <w:rPr>
          <w:rFonts w:hint="eastAsia" w:ascii="宋体" w:hAnsi="宋体" w:cs="宋体"/>
          <w:bCs/>
          <w:color w:val="auto"/>
          <w:sz w:val="24"/>
          <w:highlight w:val="none"/>
        </w:rPr>
        <w:t>出具加盖第三方中介机构公章的</w:t>
      </w:r>
      <w:r>
        <w:rPr>
          <w:rFonts w:ascii="宋体" w:hAnsi="宋体" w:cs="宋体"/>
          <w:bCs/>
          <w:color w:val="auto"/>
          <w:szCs w:val="24"/>
          <w:highlight w:val="none"/>
        </w:rPr>
        <w:t>法律意见</w:t>
      </w:r>
      <w:r>
        <w:rPr>
          <w:rFonts w:hint="eastAsia" w:ascii="宋体" w:hAnsi="宋体" w:cs="宋体"/>
          <w:bCs/>
          <w:color w:val="auto"/>
          <w:szCs w:val="24"/>
          <w:highlight w:val="none"/>
          <w:lang w:eastAsia="zh-CN"/>
        </w:rPr>
        <w:t>书</w:t>
      </w:r>
      <w:r>
        <w:rPr>
          <w:rFonts w:hint="eastAsia" w:ascii="宋体" w:hAnsi="宋体" w:cs="宋体"/>
          <w:bCs/>
          <w:color w:val="auto"/>
          <w:sz w:val="24"/>
          <w:highlight w:val="none"/>
        </w:rPr>
        <w:t>（正式稿）并首次成功发行专项债的项目最高单价限价</w:t>
      </w:r>
      <w:r>
        <w:rPr>
          <w:rFonts w:hint="eastAsia" w:ascii="宋体" w:hAnsi="宋体" w:cs="宋体"/>
          <w:bCs/>
          <w:color w:val="auto"/>
          <w:sz w:val="24"/>
          <w:highlight w:val="none"/>
          <w:lang w:val="en-US" w:eastAsia="zh-CN"/>
        </w:rPr>
        <w:t>1</w:t>
      </w:r>
      <w:r>
        <w:rPr>
          <w:rFonts w:hint="eastAsia" w:ascii="宋体" w:hAnsi="宋体" w:cs="宋体"/>
          <w:bCs/>
          <w:color w:val="auto"/>
          <w:sz w:val="24"/>
          <w:highlight w:val="none"/>
        </w:rPr>
        <w:t>万元/个；</w:t>
      </w:r>
    </w:p>
    <w:p w14:paraId="3BD58A6A">
      <w:pPr>
        <w:pStyle w:val="132"/>
        <w:spacing w:before="0" w:line="400" w:lineRule="exact"/>
        <w:ind w:firstLine="480"/>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eastAsia="zh-CN"/>
        </w:rPr>
        <w:t>②</w:t>
      </w:r>
      <w:r>
        <w:rPr>
          <w:rFonts w:hint="eastAsia" w:ascii="宋体" w:hAnsi="宋体" w:cs="宋体"/>
          <w:color w:val="auto"/>
          <w:kern w:val="0"/>
          <w:sz w:val="24"/>
          <w:highlight w:val="none"/>
        </w:rPr>
        <w:t>出具加盖第三方中介机构公章的</w:t>
      </w:r>
      <w:r>
        <w:rPr>
          <w:rFonts w:ascii="宋体" w:hAnsi="宋体" w:cs="宋体"/>
          <w:bCs/>
          <w:color w:val="auto"/>
          <w:szCs w:val="24"/>
          <w:highlight w:val="none"/>
        </w:rPr>
        <w:t>法律意见</w:t>
      </w:r>
      <w:r>
        <w:rPr>
          <w:rFonts w:hint="eastAsia" w:ascii="宋体" w:hAnsi="宋体" w:cs="宋体"/>
          <w:bCs/>
          <w:color w:val="auto"/>
          <w:szCs w:val="24"/>
          <w:highlight w:val="none"/>
          <w:lang w:eastAsia="zh-CN"/>
        </w:rPr>
        <w:t>书</w:t>
      </w:r>
      <w:r>
        <w:rPr>
          <w:rFonts w:hint="eastAsia" w:ascii="宋体" w:hAnsi="宋体" w:cs="宋体"/>
          <w:color w:val="auto"/>
          <w:kern w:val="0"/>
          <w:sz w:val="24"/>
          <w:highlight w:val="none"/>
        </w:rPr>
        <w:t>（正式稿）并成功继续发行专项债的项目</w:t>
      </w:r>
      <w:r>
        <w:rPr>
          <w:rFonts w:hint="eastAsia" w:ascii="宋体" w:hAnsi="宋体" w:cs="宋体"/>
          <w:color w:val="auto"/>
          <w:kern w:val="0"/>
          <w:sz w:val="24"/>
          <w:highlight w:val="none"/>
          <w:lang w:eastAsia="zh-CN"/>
        </w:rPr>
        <w:t>，按成功新发项目中标价的</w:t>
      </w:r>
      <w:r>
        <w:rPr>
          <w:rFonts w:hint="eastAsia" w:ascii="宋体" w:hAnsi="宋体" w:cs="宋体"/>
          <w:color w:val="auto"/>
          <w:kern w:val="0"/>
          <w:sz w:val="24"/>
          <w:highlight w:val="none"/>
          <w:lang w:val="en-US" w:eastAsia="zh-CN"/>
        </w:rPr>
        <w:t>50%计算收费；</w:t>
      </w:r>
    </w:p>
    <w:p w14:paraId="3F38B481">
      <w:pPr>
        <w:pStyle w:val="132"/>
        <w:spacing w:before="0" w:line="400" w:lineRule="exact"/>
        <w:ind w:firstLine="480"/>
        <w:rPr>
          <w:rFonts w:hint="eastAsia" w:ascii="宋体" w:hAnsi="宋体" w:cs="宋体"/>
          <w:color w:val="auto"/>
          <w:kern w:val="0"/>
          <w:sz w:val="24"/>
          <w:highlight w:val="none"/>
          <w:lang w:eastAsia="zh-CN"/>
        </w:rPr>
      </w:pPr>
      <w:r>
        <w:rPr>
          <w:rFonts w:hint="eastAsia" w:ascii="宋体" w:hAnsi="宋体" w:cs="宋体"/>
          <w:color w:val="auto"/>
          <w:sz w:val="24"/>
          <w:highlight w:val="none"/>
          <w:lang w:eastAsia="zh-CN"/>
        </w:rPr>
        <w:t>③</w:t>
      </w:r>
      <w:r>
        <w:rPr>
          <w:rFonts w:hint="eastAsia" w:ascii="宋体" w:hAnsi="宋体" w:cs="宋体"/>
          <w:color w:val="auto"/>
          <w:sz w:val="24"/>
          <w:highlight w:val="none"/>
        </w:rPr>
        <w:t>出具加盖第三方中介机构公章的</w:t>
      </w:r>
      <w:r>
        <w:rPr>
          <w:rFonts w:ascii="宋体" w:hAnsi="宋体" w:cs="宋体"/>
          <w:bCs/>
          <w:color w:val="auto"/>
          <w:szCs w:val="24"/>
          <w:highlight w:val="none"/>
        </w:rPr>
        <w:t>法律意见</w:t>
      </w:r>
      <w:r>
        <w:rPr>
          <w:rFonts w:hint="eastAsia" w:ascii="宋体" w:hAnsi="宋体" w:cs="宋体"/>
          <w:bCs/>
          <w:color w:val="auto"/>
          <w:szCs w:val="24"/>
          <w:highlight w:val="none"/>
          <w:lang w:eastAsia="zh-CN"/>
        </w:rPr>
        <w:t>书</w:t>
      </w:r>
      <w:r>
        <w:rPr>
          <w:rFonts w:hint="eastAsia" w:ascii="宋体" w:hAnsi="宋体" w:cs="宋体"/>
          <w:color w:val="auto"/>
          <w:sz w:val="24"/>
          <w:highlight w:val="none"/>
        </w:rPr>
        <w:t>（正式稿）</w:t>
      </w:r>
      <w:r>
        <w:rPr>
          <w:rFonts w:hint="eastAsia" w:ascii="宋体" w:hAnsi="宋体" w:cs="宋体"/>
          <w:color w:val="auto"/>
          <w:sz w:val="24"/>
          <w:highlight w:val="none"/>
          <w:lang w:eastAsia="zh-CN"/>
        </w:rPr>
        <w:t>但未成功</w:t>
      </w:r>
      <w:r>
        <w:rPr>
          <w:rFonts w:hint="eastAsia" w:ascii="宋体" w:hAnsi="宋体" w:cs="宋体"/>
          <w:color w:val="auto"/>
          <w:sz w:val="24"/>
          <w:highlight w:val="none"/>
        </w:rPr>
        <w:t>发行专项债的</w:t>
      </w:r>
      <w:r>
        <w:rPr>
          <w:rFonts w:hint="eastAsia" w:ascii="宋体" w:hAnsi="宋体" w:cs="宋体"/>
          <w:color w:val="auto"/>
          <w:sz w:val="24"/>
          <w:highlight w:val="none"/>
          <w:lang w:eastAsia="zh-CN"/>
        </w:rPr>
        <w:t>新发</w:t>
      </w:r>
      <w:r>
        <w:rPr>
          <w:rFonts w:hint="eastAsia" w:ascii="宋体" w:hAnsi="宋体" w:cs="宋体"/>
          <w:color w:val="auto"/>
          <w:sz w:val="24"/>
          <w:highlight w:val="none"/>
        </w:rPr>
        <w:t>项目</w:t>
      </w:r>
      <w:r>
        <w:rPr>
          <w:rFonts w:hint="eastAsia" w:ascii="宋体" w:hAnsi="宋体" w:cs="宋体"/>
          <w:color w:val="auto"/>
          <w:sz w:val="24"/>
          <w:highlight w:val="none"/>
          <w:lang w:eastAsia="zh-CN"/>
        </w:rPr>
        <w:t>，</w:t>
      </w:r>
      <w:r>
        <w:rPr>
          <w:rFonts w:hint="eastAsia" w:ascii="宋体" w:hAnsi="宋体" w:cs="宋体"/>
          <w:color w:val="auto"/>
          <w:kern w:val="0"/>
          <w:sz w:val="24"/>
          <w:highlight w:val="none"/>
          <w:lang w:eastAsia="zh-CN"/>
        </w:rPr>
        <w:t>按成功新发项目中标价的</w:t>
      </w:r>
      <w:r>
        <w:rPr>
          <w:rFonts w:hint="eastAsia" w:ascii="宋体" w:hAnsi="宋体" w:cs="宋体"/>
          <w:color w:val="auto"/>
          <w:kern w:val="0"/>
          <w:sz w:val="24"/>
          <w:highlight w:val="none"/>
          <w:lang w:val="en-US" w:eastAsia="zh-CN"/>
        </w:rPr>
        <w:t>50%计算收费，</w:t>
      </w:r>
      <w:r>
        <w:rPr>
          <w:rFonts w:ascii="宋体" w:hAnsi="宋体" w:cs="宋体"/>
          <w:color w:val="auto"/>
          <w:kern w:val="0"/>
          <w:sz w:val="24"/>
          <w:highlight w:val="none"/>
        </w:rPr>
        <w:t>若后续项目发行成功，同一服务商</w:t>
      </w:r>
      <w:r>
        <w:rPr>
          <w:rFonts w:hint="eastAsia" w:ascii="宋体" w:hAnsi="宋体" w:cs="宋体"/>
          <w:color w:val="auto"/>
          <w:kern w:val="0"/>
          <w:sz w:val="24"/>
          <w:highlight w:val="none"/>
        </w:rPr>
        <w:t>收取</w:t>
      </w:r>
      <w:r>
        <w:rPr>
          <w:rFonts w:ascii="宋体" w:hAnsi="宋体" w:cs="宋体"/>
          <w:color w:val="auto"/>
          <w:kern w:val="0"/>
          <w:sz w:val="24"/>
          <w:highlight w:val="none"/>
        </w:rPr>
        <w:t>中标价</w:t>
      </w:r>
      <w:r>
        <w:rPr>
          <w:rFonts w:hint="eastAsia" w:ascii="宋体" w:hAnsi="宋体" w:cs="宋体"/>
          <w:color w:val="auto"/>
          <w:kern w:val="0"/>
          <w:sz w:val="24"/>
          <w:highlight w:val="none"/>
        </w:rPr>
        <w:t>扣除前期收费后的剩余费用</w:t>
      </w:r>
      <w:r>
        <w:rPr>
          <w:rFonts w:hint="eastAsia" w:ascii="宋体" w:hAnsi="宋体" w:cs="宋体"/>
          <w:color w:val="auto"/>
          <w:kern w:val="0"/>
          <w:sz w:val="24"/>
          <w:highlight w:val="none"/>
          <w:lang w:eastAsia="zh-CN"/>
        </w:rPr>
        <w:t>；</w:t>
      </w:r>
    </w:p>
    <w:p w14:paraId="0A4B6B2D">
      <w:pPr>
        <w:pStyle w:val="132"/>
        <w:spacing w:before="0" w:line="400" w:lineRule="exact"/>
        <w:ind w:firstLine="480"/>
        <w:rPr>
          <w:rFonts w:hint="eastAsia" w:ascii="宋体" w:hAnsi="宋体" w:cs="宋体"/>
          <w:color w:val="auto"/>
          <w:kern w:val="0"/>
          <w:sz w:val="24"/>
          <w:highlight w:val="none"/>
          <w:lang w:eastAsia="zh-CN"/>
        </w:rPr>
      </w:pPr>
      <w:r>
        <w:rPr>
          <w:rFonts w:hint="eastAsia" w:ascii="宋体" w:hAnsi="宋体" w:cs="宋体"/>
          <w:color w:val="auto"/>
          <w:sz w:val="24"/>
          <w:highlight w:val="none"/>
          <w:lang w:eastAsia="zh-CN"/>
        </w:rPr>
        <w:t>④</w:t>
      </w:r>
      <w:r>
        <w:rPr>
          <w:rFonts w:hint="eastAsia" w:ascii="宋体" w:hAnsi="宋体" w:cs="宋体"/>
          <w:color w:val="auto"/>
          <w:sz w:val="24"/>
          <w:highlight w:val="none"/>
        </w:rPr>
        <w:t>出具加盖第三方中介机构公章的</w:t>
      </w:r>
      <w:r>
        <w:rPr>
          <w:rFonts w:ascii="宋体" w:hAnsi="宋体" w:cs="宋体"/>
          <w:bCs/>
          <w:color w:val="auto"/>
          <w:szCs w:val="24"/>
          <w:highlight w:val="none"/>
        </w:rPr>
        <w:t>法律意见</w:t>
      </w:r>
      <w:r>
        <w:rPr>
          <w:rFonts w:hint="eastAsia" w:ascii="宋体" w:hAnsi="宋体" w:cs="宋体"/>
          <w:bCs/>
          <w:color w:val="auto"/>
          <w:szCs w:val="24"/>
          <w:highlight w:val="none"/>
          <w:lang w:eastAsia="zh-CN"/>
        </w:rPr>
        <w:t>书</w:t>
      </w:r>
      <w:r>
        <w:rPr>
          <w:rFonts w:hint="eastAsia" w:ascii="宋体" w:hAnsi="宋体" w:cs="宋体"/>
          <w:color w:val="auto"/>
          <w:sz w:val="24"/>
          <w:highlight w:val="none"/>
        </w:rPr>
        <w:t>（正式稿）</w:t>
      </w:r>
      <w:r>
        <w:rPr>
          <w:rFonts w:hint="eastAsia" w:ascii="宋体" w:hAnsi="宋体" w:cs="宋体"/>
          <w:color w:val="auto"/>
          <w:sz w:val="24"/>
          <w:highlight w:val="none"/>
          <w:lang w:eastAsia="zh-CN"/>
        </w:rPr>
        <w:t>但未成功</w:t>
      </w:r>
      <w:r>
        <w:rPr>
          <w:rFonts w:hint="eastAsia" w:ascii="宋体" w:hAnsi="宋体" w:cs="宋体"/>
          <w:color w:val="auto"/>
          <w:sz w:val="24"/>
          <w:highlight w:val="none"/>
        </w:rPr>
        <w:t>发行专项债的</w:t>
      </w:r>
      <w:r>
        <w:rPr>
          <w:rFonts w:hint="eastAsia" w:ascii="宋体" w:hAnsi="宋体" w:cs="宋体"/>
          <w:color w:val="auto"/>
          <w:sz w:val="24"/>
          <w:highlight w:val="none"/>
          <w:lang w:eastAsia="zh-CN"/>
        </w:rPr>
        <w:t>续发</w:t>
      </w:r>
      <w:r>
        <w:rPr>
          <w:rFonts w:hint="eastAsia" w:ascii="宋体" w:hAnsi="宋体" w:cs="宋体"/>
          <w:color w:val="auto"/>
          <w:sz w:val="24"/>
          <w:highlight w:val="none"/>
        </w:rPr>
        <w:t>项目</w:t>
      </w:r>
      <w:r>
        <w:rPr>
          <w:rFonts w:hint="eastAsia" w:ascii="宋体" w:hAnsi="宋体" w:cs="宋体"/>
          <w:color w:val="auto"/>
          <w:sz w:val="24"/>
          <w:highlight w:val="none"/>
          <w:lang w:eastAsia="zh-CN"/>
        </w:rPr>
        <w:t>，</w:t>
      </w:r>
      <w:r>
        <w:rPr>
          <w:rFonts w:hint="eastAsia" w:ascii="宋体" w:hAnsi="宋体" w:cs="宋体"/>
          <w:color w:val="auto"/>
          <w:kern w:val="0"/>
          <w:sz w:val="24"/>
          <w:highlight w:val="none"/>
          <w:lang w:eastAsia="zh-CN"/>
        </w:rPr>
        <w:t>按成功新发项目中标价的</w:t>
      </w:r>
      <w:r>
        <w:rPr>
          <w:rFonts w:hint="eastAsia" w:ascii="宋体" w:hAnsi="宋体" w:cs="宋体"/>
          <w:color w:val="auto"/>
          <w:kern w:val="0"/>
          <w:sz w:val="24"/>
          <w:highlight w:val="none"/>
          <w:lang w:val="en-US" w:eastAsia="zh-CN"/>
        </w:rPr>
        <w:t>25%计算收费，</w:t>
      </w:r>
      <w:r>
        <w:rPr>
          <w:rFonts w:ascii="宋体" w:hAnsi="宋体" w:cs="宋体"/>
          <w:color w:val="auto"/>
          <w:kern w:val="0"/>
          <w:sz w:val="24"/>
          <w:highlight w:val="none"/>
        </w:rPr>
        <w:t>若后续项目发行成功，同一服务商</w:t>
      </w:r>
      <w:r>
        <w:rPr>
          <w:rFonts w:hint="eastAsia" w:ascii="宋体" w:hAnsi="宋体" w:cs="宋体"/>
          <w:color w:val="auto"/>
          <w:kern w:val="0"/>
          <w:sz w:val="24"/>
          <w:highlight w:val="none"/>
        </w:rPr>
        <w:t>收取</w:t>
      </w:r>
      <w:r>
        <w:rPr>
          <w:rFonts w:hint="eastAsia" w:ascii="宋体" w:hAnsi="宋体" w:cs="宋体"/>
          <w:color w:val="auto"/>
          <w:kern w:val="0"/>
          <w:sz w:val="24"/>
          <w:highlight w:val="none"/>
          <w:lang w:eastAsia="zh-CN"/>
        </w:rPr>
        <w:t>成功续发</w:t>
      </w:r>
      <w:r>
        <w:rPr>
          <w:rFonts w:ascii="宋体" w:hAnsi="宋体" w:cs="宋体"/>
          <w:color w:val="auto"/>
          <w:kern w:val="0"/>
          <w:sz w:val="24"/>
          <w:highlight w:val="none"/>
        </w:rPr>
        <w:t>中标价</w:t>
      </w:r>
      <w:r>
        <w:rPr>
          <w:rFonts w:hint="eastAsia" w:ascii="宋体" w:hAnsi="宋体" w:cs="宋体"/>
          <w:color w:val="auto"/>
          <w:kern w:val="0"/>
          <w:sz w:val="24"/>
          <w:highlight w:val="none"/>
        </w:rPr>
        <w:t>扣除前期收费后的剩余费用</w:t>
      </w:r>
      <w:r>
        <w:rPr>
          <w:rFonts w:hint="eastAsia" w:ascii="宋体" w:hAnsi="宋体" w:cs="宋体"/>
          <w:color w:val="auto"/>
          <w:kern w:val="0"/>
          <w:sz w:val="24"/>
          <w:highlight w:val="none"/>
          <w:lang w:eastAsia="zh-CN"/>
        </w:rPr>
        <w:t>；</w:t>
      </w:r>
    </w:p>
    <w:p w14:paraId="571EE92C">
      <w:pPr>
        <w:pStyle w:val="132"/>
        <w:spacing w:before="0" w:line="400" w:lineRule="exact"/>
        <w:ind w:firstLine="480"/>
        <w:rPr>
          <w:rFonts w:hint="eastAsia" w:ascii="宋体" w:hAnsi="宋体" w:cs="宋体"/>
          <w:bCs/>
          <w:color w:val="auto"/>
          <w:szCs w:val="24"/>
          <w:highlight w:val="none"/>
        </w:rPr>
      </w:pPr>
      <w:r>
        <w:rPr>
          <w:rFonts w:hint="eastAsia" w:ascii="宋体" w:hAnsi="宋体" w:cs="宋体"/>
          <w:color w:val="auto"/>
          <w:sz w:val="24"/>
          <w:highlight w:val="none"/>
          <w:lang w:eastAsia="zh-CN"/>
        </w:rPr>
        <w:t>⑤</w:t>
      </w:r>
      <w:r>
        <w:rPr>
          <w:rFonts w:hint="eastAsia" w:ascii="宋体" w:hAnsi="宋体" w:cs="宋体"/>
          <w:color w:val="auto"/>
          <w:sz w:val="24"/>
          <w:highlight w:val="none"/>
        </w:rPr>
        <w:t>出具加盖第三方中介机构公章的</w:t>
      </w:r>
      <w:r>
        <w:rPr>
          <w:rFonts w:ascii="宋体" w:hAnsi="宋体" w:cs="宋体"/>
          <w:bCs/>
          <w:color w:val="auto"/>
          <w:szCs w:val="24"/>
          <w:highlight w:val="none"/>
        </w:rPr>
        <w:t>法律意见</w:t>
      </w:r>
      <w:r>
        <w:rPr>
          <w:rFonts w:hint="eastAsia" w:ascii="宋体" w:hAnsi="宋体" w:cs="宋体"/>
          <w:bCs/>
          <w:color w:val="auto"/>
          <w:szCs w:val="24"/>
          <w:highlight w:val="none"/>
          <w:lang w:eastAsia="zh-CN"/>
        </w:rPr>
        <w:t>书</w:t>
      </w:r>
      <w:r>
        <w:rPr>
          <w:rFonts w:hint="eastAsia" w:ascii="宋体" w:hAnsi="宋体" w:cs="宋体"/>
          <w:color w:val="auto"/>
          <w:sz w:val="24"/>
          <w:highlight w:val="none"/>
        </w:rPr>
        <w:t>（正式稿）</w:t>
      </w:r>
      <w:r>
        <w:rPr>
          <w:rFonts w:hint="eastAsia" w:ascii="宋体" w:hAnsi="宋体" w:cs="宋体"/>
          <w:color w:val="auto"/>
          <w:sz w:val="24"/>
          <w:highlight w:val="none"/>
          <w:lang w:eastAsia="zh-CN"/>
        </w:rPr>
        <w:t>仅用于储备申报</w:t>
      </w:r>
      <w:r>
        <w:rPr>
          <w:rFonts w:hint="eastAsia" w:ascii="宋体" w:hAnsi="宋体" w:cs="宋体"/>
          <w:color w:val="auto"/>
          <w:sz w:val="24"/>
          <w:highlight w:val="none"/>
        </w:rPr>
        <w:t>的</w:t>
      </w:r>
      <w:r>
        <w:rPr>
          <w:rFonts w:hint="eastAsia" w:ascii="宋体" w:hAnsi="宋体" w:cs="宋体"/>
          <w:color w:val="auto"/>
          <w:sz w:val="24"/>
          <w:highlight w:val="none"/>
          <w:lang w:eastAsia="zh-CN"/>
        </w:rPr>
        <w:t>新发</w:t>
      </w:r>
      <w:r>
        <w:rPr>
          <w:rFonts w:hint="eastAsia" w:ascii="宋体" w:hAnsi="宋体" w:cs="宋体"/>
          <w:color w:val="auto"/>
          <w:sz w:val="24"/>
          <w:highlight w:val="none"/>
        </w:rPr>
        <w:t>项目</w:t>
      </w:r>
      <w:r>
        <w:rPr>
          <w:rFonts w:hint="eastAsia" w:ascii="宋体" w:hAnsi="宋体" w:cs="宋体"/>
          <w:color w:val="auto"/>
          <w:sz w:val="24"/>
          <w:highlight w:val="none"/>
          <w:lang w:eastAsia="zh-CN"/>
        </w:rPr>
        <w:t>的，</w:t>
      </w:r>
      <w:r>
        <w:rPr>
          <w:rFonts w:hint="eastAsia" w:ascii="宋体" w:hAnsi="宋体" w:cs="宋体"/>
          <w:color w:val="auto"/>
          <w:kern w:val="0"/>
          <w:sz w:val="24"/>
          <w:highlight w:val="none"/>
          <w:lang w:eastAsia="zh-CN"/>
        </w:rPr>
        <w:t>按成功新发项目中标价的</w:t>
      </w:r>
      <w:r>
        <w:rPr>
          <w:rFonts w:hint="eastAsia" w:ascii="宋体" w:hAnsi="宋体" w:cs="宋体"/>
          <w:color w:val="auto"/>
          <w:kern w:val="0"/>
          <w:sz w:val="24"/>
          <w:highlight w:val="none"/>
          <w:lang w:val="en-US" w:eastAsia="zh-CN"/>
        </w:rPr>
        <w:t>25%计算收费</w:t>
      </w:r>
      <w:r>
        <w:rPr>
          <w:rFonts w:hint="eastAsia" w:ascii="宋体" w:hAnsi="宋体" w:eastAsia="宋体" w:cs="宋体"/>
          <w:color w:val="auto"/>
          <w:kern w:val="0"/>
          <w:sz w:val="24"/>
          <w:highlight w:val="none"/>
          <w:lang w:val="en-US" w:eastAsia="zh-CN"/>
        </w:rPr>
        <w:t>，</w:t>
      </w:r>
      <w:r>
        <w:rPr>
          <w:rFonts w:ascii="宋体" w:hAnsi="宋体" w:cs="宋体"/>
          <w:color w:val="auto"/>
          <w:kern w:val="0"/>
          <w:sz w:val="24"/>
          <w:highlight w:val="none"/>
        </w:rPr>
        <w:t>若后续项目发行成功，同一服务商</w:t>
      </w:r>
      <w:r>
        <w:rPr>
          <w:rFonts w:hint="eastAsia" w:ascii="宋体" w:hAnsi="宋体" w:cs="宋体"/>
          <w:color w:val="auto"/>
          <w:kern w:val="0"/>
          <w:sz w:val="24"/>
          <w:highlight w:val="none"/>
        </w:rPr>
        <w:t>收取</w:t>
      </w:r>
      <w:r>
        <w:rPr>
          <w:rFonts w:ascii="宋体" w:hAnsi="宋体" w:cs="宋体"/>
          <w:color w:val="auto"/>
          <w:kern w:val="0"/>
          <w:sz w:val="24"/>
          <w:highlight w:val="none"/>
        </w:rPr>
        <w:t>中标价</w:t>
      </w:r>
      <w:r>
        <w:rPr>
          <w:rFonts w:hint="eastAsia" w:ascii="宋体" w:hAnsi="宋体" w:cs="宋体"/>
          <w:color w:val="auto"/>
          <w:kern w:val="0"/>
          <w:sz w:val="24"/>
          <w:highlight w:val="none"/>
        </w:rPr>
        <w:t>扣除前期收费后的剩余费用</w:t>
      </w:r>
      <w:r>
        <w:rPr>
          <w:rFonts w:ascii="宋体" w:hAnsi="宋体" w:cs="宋体"/>
          <w:color w:val="auto"/>
          <w:kern w:val="0"/>
          <w:sz w:val="24"/>
          <w:highlight w:val="none"/>
        </w:rPr>
        <w:t>。</w:t>
      </w:r>
    </w:p>
    <w:p w14:paraId="3E7956B5">
      <w:pPr>
        <w:pStyle w:val="19"/>
        <w:spacing w:line="400" w:lineRule="exact"/>
        <w:ind w:firstLine="480" w:firstLineChars="200"/>
        <w:rPr>
          <w:rFonts w:hAnsi="宋体" w:cs="宋体"/>
          <w:bCs/>
          <w:snapToGrid/>
          <w:color w:val="auto"/>
          <w:kern w:val="2"/>
          <w:sz w:val="24"/>
          <w:szCs w:val="24"/>
          <w:highlight w:val="none"/>
        </w:rPr>
      </w:pPr>
      <w:r>
        <w:rPr>
          <w:rFonts w:hint="eastAsia" w:hAnsi="宋体" w:cs="宋体"/>
          <w:bCs/>
          <w:color w:val="auto"/>
          <w:sz w:val="24"/>
          <w:szCs w:val="24"/>
          <w:highlight w:val="none"/>
        </w:rPr>
        <w:t>（五）采购需求：为做好</w:t>
      </w:r>
      <w:r>
        <w:rPr>
          <w:rFonts w:hint="eastAsia" w:hAnsi="宋体" w:cs="宋体"/>
          <w:bCs/>
          <w:color w:val="auto"/>
          <w:sz w:val="24"/>
          <w:szCs w:val="24"/>
          <w:highlight w:val="none"/>
          <w:lang w:eastAsia="zh-CN"/>
        </w:rPr>
        <w:t>义乌市2026-2027年度</w:t>
      </w:r>
      <w:r>
        <w:rPr>
          <w:rFonts w:hint="eastAsia" w:hAnsi="宋体" w:cs="宋体"/>
          <w:bCs/>
          <w:color w:val="auto"/>
          <w:sz w:val="24"/>
          <w:szCs w:val="24"/>
          <w:highlight w:val="none"/>
        </w:rPr>
        <w:t>地方政府专项债券的发行准备工作，拟通过框架协议方式选聘律师事务所，为</w:t>
      </w:r>
      <w:r>
        <w:rPr>
          <w:rFonts w:hint="eastAsia" w:hAnsi="宋体" w:cs="宋体"/>
          <w:bCs/>
          <w:color w:val="auto"/>
          <w:sz w:val="24"/>
          <w:szCs w:val="24"/>
          <w:highlight w:val="none"/>
          <w:lang w:eastAsia="zh-CN"/>
        </w:rPr>
        <w:t>2026-2027年度</w:t>
      </w:r>
      <w:r>
        <w:rPr>
          <w:rFonts w:hint="eastAsia" w:hAnsi="宋体" w:cs="宋体"/>
          <w:bCs/>
          <w:color w:val="auto"/>
          <w:sz w:val="24"/>
          <w:szCs w:val="24"/>
          <w:highlight w:val="none"/>
        </w:rPr>
        <w:t>专项债券发行准备工作提供法律专业服务，包括出具《法律意见书》等发行专项债券涉及的专业报告，并协助采购方和其他债券发行参与方完成专项债券项目的预审、申报、信息披露和全过程其他相关专业服务。</w:t>
      </w:r>
      <w:r>
        <w:rPr>
          <w:rFonts w:hint="eastAsia" w:hAnsi="宋体" w:cs="宋体"/>
          <w:bCs/>
          <w:snapToGrid/>
          <w:color w:val="auto"/>
          <w:kern w:val="2"/>
          <w:sz w:val="24"/>
          <w:szCs w:val="24"/>
          <w:highlight w:val="none"/>
        </w:rPr>
        <w:t>具体详见“第三部分采购需求”。</w:t>
      </w:r>
    </w:p>
    <w:p w14:paraId="189B0154">
      <w:pPr>
        <w:pStyle w:val="132"/>
        <w:spacing w:before="0" w:line="400" w:lineRule="exact"/>
        <w:ind w:firstLine="480"/>
        <w:rPr>
          <w:rFonts w:hint="eastAsia" w:ascii="宋体" w:hAnsi="宋体" w:cs="宋体"/>
          <w:bCs/>
          <w:color w:val="auto"/>
          <w:szCs w:val="24"/>
          <w:highlight w:val="none"/>
        </w:rPr>
      </w:pPr>
      <w:r>
        <w:rPr>
          <w:rFonts w:hint="eastAsia" w:ascii="宋体" w:hAnsi="宋体" w:cs="宋体"/>
          <w:bCs/>
          <w:color w:val="auto"/>
          <w:szCs w:val="24"/>
          <w:highlight w:val="none"/>
        </w:rPr>
        <w:t>（六）框架协议期限：</w:t>
      </w:r>
      <w:r>
        <w:rPr>
          <w:rFonts w:hint="eastAsia" w:ascii="宋体" w:hAnsi="宋体" w:cs="宋体"/>
          <w:bCs/>
          <w:color w:val="auto"/>
          <w:szCs w:val="24"/>
          <w:highlight w:val="none"/>
          <w:lang w:eastAsia="zh-CN"/>
        </w:rPr>
        <w:t>两年</w:t>
      </w:r>
      <w:r>
        <w:rPr>
          <w:rFonts w:hint="eastAsia" w:ascii="宋体" w:hAnsi="宋体" w:cs="宋体"/>
          <w:bCs/>
          <w:color w:val="auto"/>
          <w:szCs w:val="24"/>
          <w:highlight w:val="none"/>
        </w:rPr>
        <w:t>（</w:t>
      </w:r>
      <w:r>
        <w:rPr>
          <w:rFonts w:hint="eastAsia" w:ascii="宋体" w:hAnsi="宋体" w:cs="宋体"/>
          <w:color w:val="auto"/>
          <w:highlight w:val="none"/>
          <w:lang w:eastAsia="zh-CN"/>
        </w:rPr>
        <w:t>2026-2027年度</w:t>
      </w:r>
      <w:r>
        <w:rPr>
          <w:rFonts w:hint="eastAsia" w:ascii="宋体" w:hAnsi="宋体" w:cs="宋体"/>
          <w:bCs/>
          <w:color w:val="auto"/>
          <w:szCs w:val="24"/>
          <w:highlight w:val="none"/>
        </w:rPr>
        <w:t>），具体以合同时间为准。</w:t>
      </w:r>
    </w:p>
    <w:p w14:paraId="4FB2D5E7">
      <w:pPr>
        <w:pStyle w:val="132"/>
        <w:spacing w:before="0" w:line="400" w:lineRule="exact"/>
        <w:ind w:firstLine="480"/>
        <w:rPr>
          <w:rFonts w:ascii="宋体" w:hAnsi="宋体" w:cs="宋体"/>
          <w:bCs/>
          <w:color w:val="auto"/>
          <w:szCs w:val="24"/>
          <w:highlight w:val="none"/>
        </w:rPr>
      </w:pPr>
      <w:r>
        <w:rPr>
          <w:rFonts w:hint="eastAsia" w:ascii="宋体" w:hAnsi="宋体" w:cs="宋体"/>
          <w:bCs/>
          <w:color w:val="auto"/>
          <w:szCs w:val="24"/>
          <w:highlight w:val="none"/>
        </w:rPr>
        <w:t>（七）框架协议的征集人：</w:t>
      </w:r>
      <w:r>
        <w:rPr>
          <w:rFonts w:hint="eastAsia" w:ascii="宋体" w:hAnsi="宋体" w:cs="宋体"/>
          <w:bCs/>
          <w:color w:val="auto"/>
          <w:szCs w:val="24"/>
          <w:highlight w:val="none"/>
          <w:lang w:eastAsia="zh-CN"/>
        </w:rPr>
        <w:t>义乌市财政局</w:t>
      </w:r>
      <w:r>
        <w:rPr>
          <w:rFonts w:hint="eastAsia" w:ascii="宋体" w:hAnsi="宋体" w:cs="宋体"/>
          <w:bCs/>
          <w:color w:val="auto"/>
          <w:szCs w:val="24"/>
          <w:highlight w:val="none"/>
        </w:rPr>
        <w:t>。</w:t>
      </w:r>
    </w:p>
    <w:p w14:paraId="32C8D209">
      <w:pPr>
        <w:pStyle w:val="132"/>
        <w:spacing w:before="0" w:line="400" w:lineRule="exact"/>
        <w:ind w:firstLine="480"/>
        <w:rPr>
          <w:rFonts w:ascii="宋体" w:hAnsi="宋体" w:cs="宋体"/>
          <w:bCs/>
          <w:color w:val="auto"/>
          <w:szCs w:val="24"/>
          <w:highlight w:val="none"/>
        </w:rPr>
      </w:pPr>
      <w:r>
        <w:rPr>
          <w:rFonts w:hint="eastAsia" w:ascii="宋体" w:hAnsi="宋体" w:cs="宋体"/>
          <w:bCs/>
          <w:color w:val="auto"/>
          <w:szCs w:val="24"/>
          <w:highlight w:val="none"/>
        </w:rPr>
        <w:t>（八）本项目接受联合体形式参加。</w:t>
      </w:r>
    </w:p>
    <w:p w14:paraId="06C04C49">
      <w:pPr>
        <w:spacing w:line="4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二、申请人（供应商）的资格要求：</w:t>
      </w:r>
    </w:p>
    <w:p w14:paraId="35C7D5EA">
      <w:pPr>
        <w:adjustRightInd/>
        <w:spacing w:line="400" w:lineRule="exact"/>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1.满足《中华人民共和国政府采购法》第二十二条规定；未被“信用中国”（www.creditchina.gov.cn)、中国政府采购网（www.ccgp.gov.cn）列入失信被执行人、</w:t>
      </w:r>
      <w:r>
        <w:rPr>
          <w:rFonts w:hint="eastAsia" w:ascii="宋体" w:hAnsi="宋体" w:cs="宋体"/>
          <w:snapToGrid w:val="0"/>
          <w:color w:val="auto"/>
          <w:kern w:val="28"/>
          <w:sz w:val="24"/>
          <w:highlight w:val="none"/>
          <w:lang w:eastAsia="zh-CN"/>
        </w:rPr>
        <w:t>重大税收违法失信主体</w:t>
      </w:r>
      <w:r>
        <w:rPr>
          <w:rFonts w:hint="eastAsia" w:ascii="宋体" w:hAnsi="宋体" w:cs="宋体"/>
          <w:snapToGrid w:val="0"/>
          <w:color w:val="auto"/>
          <w:kern w:val="28"/>
          <w:sz w:val="24"/>
          <w:highlight w:val="none"/>
        </w:rPr>
        <w:t>、政府采购严重违法失信行为记录名单；</w:t>
      </w:r>
    </w:p>
    <w:p w14:paraId="50B14718">
      <w:pPr>
        <w:adjustRightInd/>
        <w:spacing w:line="400" w:lineRule="exact"/>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2.落实政府采购政策需满足的资格要求：无。</w:t>
      </w:r>
    </w:p>
    <w:p w14:paraId="7DFDFC69">
      <w:pPr>
        <w:adjustRightInd/>
        <w:spacing w:line="400" w:lineRule="exact"/>
        <w:ind w:firstLine="480" w:firstLineChars="200"/>
        <w:rPr>
          <w:rFonts w:hint="eastAsia" w:ascii="宋体" w:hAnsi="宋体" w:cs="宋体"/>
          <w:color w:val="auto"/>
          <w:sz w:val="24"/>
          <w:highlight w:val="none"/>
          <w:shd w:val="clear" w:color="auto" w:fill="FFFFFF"/>
        </w:rPr>
      </w:pPr>
      <w:r>
        <w:rPr>
          <w:rFonts w:hint="eastAsia" w:ascii="宋体" w:hAnsi="宋体" w:cs="宋体"/>
          <w:color w:val="auto"/>
          <w:sz w:val="24"/>
          <w:highlight w:val="none"/>
        </w:rPr>
        <w:t>3.本项目的特定资格要求</w:t>
      </w:r>
      <w:r>
        <w:rPr>
          <w:rFonts w:hint="eastAsia" w:ascii="宋体" w:hAnsi="宋体" w:cs="宋体"/>
          <w:color w:val="auto"/>
          <w:sz w:val="24"/>
          <w:highlight w:val="none"/>
          <w:shd w:val="clear" w:color="auto" w:fill="FFFFFF"/>
        </w:rPr>
        <w:t>：</w:t>
      </w:r>
      <w:bookmarkStart w:id="22" w:name="_Hlk126429694"/>
      <w:r>
        <w:rPr>
          <w:rFonts w:hint="eastAsia" w:ascii="宋体" w:hAnsi="宋体" w:cs="宋体"/>
          <w:color w:val="auto"/>
          <w:sz w:val="24"/>
          <w:highlight w:val="none"/>
          <w:shd w:val="clear" w:color="auto" w:fill="FFFFFF"/>
        </w:rPr>
        <w:t>具有</w:t>
      </w:r>
      <w:r>
        <w:rPr>
          <w:rFonts w:hint="eastAsia" w:ascii="宋体" w:hAnsi="宋体" w:cs="宋体"/>
          <w:color w:val="auto"/>
          <w:sz w:val="24"/>
          <w:highlight w:val="none"/>
          <w:shd w:val="clear" w:color="auto" w:fill="FFFFFF"/>
          <w:lang w:eastAsia="zh-CN"/>
        </w:rPr>
        <w:t>有效的</w:t>
      </w:r>
      <w:r>
        <w:rPr>
          <w:rFonts w:hint="eastAsia" w:ascii="宋体" w:hAnsi="宋体" w:cs="宋体"/>
          <w:color w:val="auto"/>
          <w:sz w:val="24"/>
          <w:highlight w:val="none"/>
          <w:shd w:val="clear" w:color="auto" w:fill="FFFFFF"/>
        </w:rPr>
        <w:t>省级或省级以上司法部门颁发的律师事务所执业许可证。</w:t>
      </w:r>
    </w:p>
    <w:p w14:paraId="162A5595">
      <w:pPr>
        <w:adjustRightInd/>
        <w:spacing w:line="400" w:lineRule="exact"/>
        <w:ind w:firstLine="480" w:firstLineChars="200"/>
        <w:rPr>
          <w:rFonts w:hint="default" w:eastAsia="宋体"/>
          <w:lang w:val="en-US" w:eastAsia="zh-CN"/>
        </w:rPr>
      </w:pPr>
      <w:r>
        <w:rPr>
          <w:rFonts w:hint="eastAsia" w:ascii="宋体" w:hAnsi="宋体" w:eastAsia="宋体" w:cs="宋体"/>
          <w:color w:val="auto"/>
          <w:sz w:val="24"/>
          <w:highlight w:val="none"/>
          <w:lang w:val="en-US" w:eastAsia="zh-CN"/>
        </w:rPr>
        <w:t>4.</w:t>
      </w:r>
      <w:r>
        <w:rPr>
          <w:rFonts w:hint="eastAsia" w:ascii="宋体" w:hAnsi="宋体" w:cs="宋体"/>
          <w:color w:val="auto"/>
          <w:sz w:val="24"/>
          <w:highlight w:val="none"/>
        </w:rPr>
        <w:t>供应商自202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年1月1日以来为专项债券</w:t>
      </w:r>
      <w:r>
        <w:rPr>
          <w:rFonts w:hint="eastAsia" w:ascii="宋体" w:hAnsi="宋体" w:cs="宋体"/>
          <w:color w:val="auto"/>
          <w:sz w:val="24"/>
          <w:highlight w:val="none"/>
          <w:lang w:eastAsia="zh-CN"/>
        </w:rPr>
        <w:t>成功</w:t>
      </w:r>
      <w:r>
        <w:rPr>
          <w:rFonts w:hint="eastAsia" w:ascii="宋体" w:hAnsi="宋体" w:cs="宋体"/>
          <w:color w:val="auto"/>
          <w:sz w:val="24"/>
          <w:highlight w:val="none"/>
        </w:rPr>
        <w:t>发行出具</w:t>
      </w:r>
      <w:r>
        <w:rPr>
          <w:rFonts w:hint="eastAsia" w:ascii="宋体" w:hAnsi="宋体" w:cs="宋体"/>
          <w:color w:val="auto"/>
          <w:sz w:val="24"/>
          <w:highlight w:val="none"/>
          <w:lang w:eastAsia="zh-CN"/>
        </w:rPr>
        <w:t>法评</w:t>
      </w:r>
      <w:r>
        <w:rPr>
          <w:rFonts w:hint="eastAsia" w:ascii="宋体" w:hAnsi="宋体" w:cs="宋体"/>
          <w:color w:val="auto"/>
          <w:sz w:val="24"/>
          <w:highlight w:val="none"/>
        </w:rPr>
        <w:t>报告</w:t>
      </w:r>
      <w:r>
        <w:rPr>
          <w:rFonts w:hint="eastAsia" w:ascii="宋体" w:hAnsi="宋体" w:cs="宋体"/>
          <w:color w:val="auto"/>
          <w:sz w:val="24"/>
          <w:highlight w:val="none"/>
          <w:lang w:val="en-US" w:eastAsia="zh-CN"/>
        </w:rPr>
        <w:t>1个及以上。</w:t>
      </w:r>
      <w:r>
        <w:rPr>
          <w:rFonts w:hint="eastAsia" w:ascii="宋体" w:hAnsi="宋体" w:cs="宋体"/>
          <w:color w:val="auto"/>
          <w:sz w:val="24"/>
          <w:highlight w:val="none"/>
        </w:rPr>
        <w:t>（</w:t>
      </w:r>
      <w:r>
        <w:rPr>
          <w:rFonts w:ascii="宋体" w:hAnsi="宋体"/>
          <w:color w:val="auto"/>
          <w:sz w:val="24"/>
          <w:highlight w:val="none"/>
        </w:rPr>
        <w:t>以中国债券信息网</w:t>
      </w:r>
      <w:r>
        <w:rPr>
          <w:rFonts w:hint="eastAsia" w:ascii="宋体" w:hAnsi="宋体"/>
          <w:color w:val="auto"/>
          <w:sz w:val="24"/>
          <w:highlight w:val="none"/>
          <w:lang w:val="en-US" w:eastAsia="zh-CN"/>
        </w:rPr>
        <w:t>或中国地方政府债券信息公开平台</w:t>
      </w:r>
      <w:r>
        <w:rPr>
          <w:rFonts w:ascii="宋体" w:hAnsi="宋体"/>
          <w:color w:val="auto"/>
          <w:sz w:val="24"/>
          <w:highlight w:val="none"/>
        </w:rPr>
        <w:t>公开披露的</w:t>
      </w:r>
      <w:r>
        <w:rPr>
          <w:rFonts w:hint="eastAsia" w:ascii="宋体" w:hAnsi="宋体"/>
          <w:color w:val="auto"/>
          <w:sz w:val="24"/>
          <w:highlight w:val="none"/>
          <w:lang w:eastAsia="zh-CN"/>
        </w:rPr>
        <w:t>报告</w:t>
      </w:r>
      <w:r>
        <w:rPr>
          <w:rFonts w:ascii="宋体" w:hAnsi="宋体"/>
          <w:color w:val="auto"/>
          <w:sz w:val="24"/>
          <w:highlight w:val="none"/>
        </w:rPr>
        <w:t>为准</w:t>
      </w:r>
      <w:r>
        <w:rPr>
          <w:rFonts w:hint="eastAsia" w:ascii="宋体" w:hAnsi="宋体" w:cs="宋体"/>
          <w:color w:val="auto"/>
          <w:sz w:val="24"/>
          <w:highlight w:val="none"/>
        </w:rPr>
        <w:t>，供应商须提供项目明细清单&lt;含发行地区、项目名称、发债金额等要素&gt;、</w:t>
      </w:r>
      <w:r>
        <w:rPr>
          <w:rFonts w:hint="eastAsia" w:ascii="宋体" w:hAnsi="宋体" w:cs="宋体"/>
          <w:color w:val="auto"/>
          <w:sz w:val="24"/>
          <w:highlight w:val="none"/>
          <w:lang w:val="en-US" w:eastAsia="zh-CN"/>
        </w:rPr>
        <w:t>相关网站</w:t>
      </w:r>
      <w:r>
        <w:rPr>
          <w:rFonts w:hint="eastAsia" w:ascii="宋体" w:hAnsi="宋体" w:cs="宋体"/>
          <w:color w:val="auto"/>
          <w:sz w:val="24"/>
          <w:highlight w:val="none"/>
        </w:rPr>
        <w:t>披露截图</w:t>
      </w:r>
      <w:r>
        <w:rPr>
          <w:rFonts w:hint="eastAsia" w:ascii="宋体" w:hAnsi="宋体" w:cs="宋体"/>
          <w:color w:val="auto"/>
          <w:sz w:val="24"/>
          <w:highlight w:val="none"/>
          <w:lang w:eastAsia="zh-CN"/>
        </w:rPr>
        <w:t>及发评报告正式稿</w:t>
      </w:r>
      <w:r>
        <w:rPr>
          <w:rFonts w:ascii="宋体" w:hAnsi="宋体"/>
          <w:color w:val="auto"/>
          <w:sz w:val="24"/>
          <w:highlight w:val="none"/>
        </w:rPr>
        <w:t>，并加盖</w:t>
      </w:r>
      <w:r>
        <w:rPr>
          <w:rFonts w:hint="eastAsia" w:ascii="宋体" w:hAnsi="宋体"/>
          <w:color w:val="auto"/>
          <w:sz w:val="24"/>
          <w:highlight w:val="none"/>
          <w:lang w:eastAsia="zh-CN"/>
        </w:rPr>
        <w:t>供应商</w:t>
      </w:r>
      <w:r>
        <w:rPr>
          <w:rFonts w:ascii="宋体" w:hAnsi="宋体"/>
          <w:color w:val="auto"/>
          <w:sz w:val="24"/>
          <w:highlight w:val="none"/>
        </w:rPr>
        <w:t>公章</w:t>
      </w:r>
      <w:r>
        <w:rPr>
          <w:rFonts w:hint="eastAsia" w:ascii="宋体" w:hAnsi="宋体"/>
          <w:color w:val="auto"/>
          <w:sz w:val="24"/>
          <w:highlight w:val="none"/>
          <w:lang w:val="en-US" w:eastAsia="zh-CN"/>
        </w:rPr>
        <w:t>&lt;以分支机构或其他合作单位名义出具不视为供应商成功发行出具的报告&gt;</w:t>
      </w:r>
      <w:r>
        <w:rPr>
          <w:rFonts w:ascii="宋体" w:hAnsi="宋体"/>
          <w:color w:val="auto"/>
          <w:sz w:val="24"/>
          <w:highlight w:val="none"/>
        </w:rPr>
        <w:t>）</w:t>
      </w:r>
    </w:p>
    <w:bookmarkEnd w:id="22"/>
    <w:p w14:paraId="6055C3FB">
      <w:pPr>
        <w:adjustRightInd/>
        <w:spacing w:line="400" w:lineRule="exact"/>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w:t>
      </w:r>
      <w:r>
        <w:rPr>
          <w:rFonts w:hint="default" w:ascii="宋体" w:hAnsi="宋体" w:eastAsia="宋体" w:cs="宋体"/>
          <w:color w:val="auto"/>
          <w:sz w:val="24"/>
          <w:highlight w:val="none"/>
          <w:lang w:val="en-US" w:eastAsia="zh-CN"/>
        </w:rPr>
        <w:t>.供应商自202</w:t>
      </w:r>
      <w:r>
        <w:rPr>
          <w:rFonts w:hint="eastAsia" w:ascii="宋体" w:hAnsi="宋体" w:eastAsia="宋体" w:cs="宋体"/>
          <w:color w:val="auto"/>
          <w:sz w:val="24"/>
          <w:highlight w:val="none"/>
          <w:lang w:val="en-US" w:eastAsia="zh-CN"/>
        </w:rPr>
        <w:t>3</w:t>
      </w:r>
      <w:r>
        <w:rPr>
          <w:rFonts w:hint="default" w:ascii="宋体" w:hAnsi="宋体" w:eastAsia="宋体" w:cs="宋体"/>
          <w:color w:val="auto"/>
          <w:sz w:val="24"/>
          <w:highlight w:val="none"/>
          <w:lang w:val="en-US" w:eastAsia="zh-CN"/>
        </w:rPr>
        <w:t>年1月1日起到中标公告期结束前无行贿犯罪记录。</w:t>
      </w:r>
    </w:p>
    <w:p w14:paraId="495D1BFE">
      <w:pPr>
        <w:adjustRightInd/>
        <w:spacing w:line="400" w:lineRule="exact"/>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6</w:t>
      </w:r>
      <w:r>
        <w:rPr>
          <w:rFonts w:hint="default" w:ascii="宋体" w:hAnsi="宋体" w:eastAsia="宋体" w:cs="宋体"/>
          <w:color w:val="auto"/>
          <w:sz w:val="24"/>
          <w:highlight w:val="none"/>
          <w:lang w:val="en-US" w:eastAsia="zh-CN"/>
        </w:rPr>
        <w:t>.根据《浙江省公共信用信息管理条例》第二十六条的规定，未列入严重失信名单的（查询结果以开标当日网站页面显示为准）。</w:t>
      </w:r>
    </w:p>
    <w:p w14:paraId="3CED8BE3">
      <w:pPr>
        <w:widowControl/>
        <w:adjustRightInd/>
        <w:spacing w:line="400" w:lineRule="exact"/>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三、获取征集文件</w:t>
      </w:r>
    </w:p>
    <w:p w14:paraId="7F325BED">
      <w:pPr>
        <w:spacing w:line="4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（一）时间：/至</w:t>
      </w:r>
      <w:r>
        <w:rPr>
          <w:rStyle w:val="79"/>
          <w:rFonts w:hint="eastAsia" w:ascii="宋体" w:hAnsi="宋体" w:eastAsia="宋体" w:cs="宋体"/>
          <w:snapToGrid/>
          <w:color w:val="auto"/>
          <w:kern w:val="2"/>
          <w:sz w:val="24"/>
          <w:szCs w:val="24"/>
          <w:highlight w:val="none"/>
          <w:u w:val="single"/>
        </w:rPr>
        <w:t>202</w:t>
      </w:r>
      <w:r>
        <w:rPr>
          <w:rStyle w:val="79"/>
          <w:rFonts w:hint="eastAsia" w:ascii="宋体" w:hAnsi="宋体" w:cs="宋体"/>
          <w:snapToGrid/>
          <w:color w:val="auto"/>
          <w:kern w:val="2"/>
          <w:sz w:val="24"/>
          <w:szCs w:val="24"/>
          <w:highlight w:val="none"/>
          <w:u w:val="single"/>
          <w:lang w:val="en-US" w:eastAsia="zh-CN"/>
        </w:rPr>
        <w:t>6</w:t>
      </w:r>
      <w:r>
        <w:rPr>
          <w:rStyle w:val="79"/>
          <w:rFonts w:hint="eastAsia" w:ascii="宋体" w:hAnsi="宋体" w:eastAsia="宋体" w:cs="宋体"/>
          <w:snapToGrid/>
          <w:color w:val="auto"/>
          <w:kern w:val="2"/>
          <w:sz w:val="24"/>
          <w:szCs w:val="24"/>
          <w:highlight w:val="none"/>
          <w:u w:val="single"/>
        </w:rPr>
        <w:t>年</w:t>
      </w:r>
      <w:r>
        <w:rPr>
          <w:rStyle w:val="79"/>
          <w:rFonts w:hint="eastAsia" w:ascii="宋体" w:hAnsi="宋体" w:cs="宋体"/>
          <w:snapToGrid/>
          <w:color w:val="auto"/>
          <w:kern w:val="2"/>
          <w:sz w:val="24"/>
          <w:szCs w:val="24"/>
          <w:highlight w:val="none"/>
          <w:u w:val="single"/>
          <w:lang w:val="en-US" w:eastAsia="zh-CN"/>
        </w:rPr>
        <w:t>03</w:t>
      </w:r>
      <w:r>
        <w:rPr>
          <w:rStyle w:val="79"/>
          <w:rFonts w:hint="eastAsia" w:ascii="宋体" w:hAnsi="宋体" w:eastAsia="宋体" w:cs="宋体"/>
          <w:snapToGrid/>
          <w:color w:val="auto"/>
          <w:kern w:val="2"/>
          <w:sz w:val="24"/>
          <w:szCs w:val="24"/>
          <w:highlight w:val="none"/>
          <w:u w:val="single"/>
        </w:rPr>
        <w:t>月</w:t>
      </w:r>
      <w:r>
        <w:rPr>
          <w:rStyle w:val="79"/>
          <w:rFonts w:hint="eastAsia" w:ascii="宋体" w:hAnsi="宋体" w:cs="宋体"/>
          <w:snapToGrid/>
          <w:color w:val="auto"/>
          <w:kern w:val="2"/>
          <w:sz w:val="24"/>
          <w:szCs w:val="24"/>
          <w:highlight w:val="none"/>
          <w:u w:val="single"/>
          <w:lang w:val="en-US" w:eastAsia="zh-CN"/>
        </w:rPr>
        <w:t>17</w:t>
      </w:r>
      <w:r>
        <w:rPr>
          <w:rStyle w:val="79"/>
          <w:rFonts w:hint="eastAsia" w:ascii="宋体" w:hAnsi="宋体" w:eastAsia="宋体" w:cs="宋体"/>
          <w:snapToGrid/>
          <w:color w:val="auto"/>
          <w:kern w:val="2"/>
          <w:sz w:val="24"/>
          <w:szCs w:val="24"/>
          <w:highlight w:val="none"/>
          <w:u w:val="single"/>
        </w:rPr>
        <w:t>日</w:t>
      </w:r>
      <w:r>
        <w:rPr>
          <w:rFonts w:hint="eastAsia" w:ascii="宋体" w:hAnsi="宋体" w:cs="宋体"/>
          <w:bCs/>
          <w:color w:val="auto"/>
          <w:sz w:val="24"/>
          <w:highlight w:val="none"/>
          <w:u w:val="single"/>
        </w:rPr>
        <w:t>响应截止时间</w:t>
      </w:r>
      <w:r>
        <w:rPr>
          <w:rFonts w:hint="eastAsia" w:ascii="宋体" w:hAnsi="宋体" w:cs="宋体"/>
          <w:bCs/>
          <w:color w:val="auto"/>
          <w:sz w:val="24"/>
          <w:highlight w:val="none"/>
        </w:rPr>
        <w:t>，每天上午00:00至12:00，下午12:00至23:59（北京时间，线上获取法定节假日均可，线下获取文件法定节假日除外）</w:t>
      </w:r>
    </w:p>
    <w:p w14:paraId="2A0BFD7F">
      <w:pPr>
        <w:spacing w:line="4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（二）地点（网址）：政采云平台（https://www.zcygov.cn/）</w:t>
      </w:r>
    </w:p>
    <w:p w14:paraId="5F1D59B3">
      <w:pPr>
        <w:spacing w:line="4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（三）方式：供应商登录政采云平台https://www.zcygov.cn/在线申请获取征集文件（进入“项目采购”应用，在获取征集文件菜单中选择项目，申请获取征集文件）。</w:t>
      </w:r>
    </w:p>
    <w:p w14:paraId="7BE4972E">
      <w:pPr>
        <w:spacing w:line="4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四、提交响应文件截止时间、开启时间和地点</w:t>
      </w:r>
    </w:p>
    <w:p w14:paraId="22AA3E21">
      <w:pPr>
        <w:spacing w:line="4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（一）提交响应文件截止时间：</w:t>
      </w:r>
      <w:r>
        <w:rPr>
          <w:rStyle w:val="79"/>
          <w:rFonts w:hint="eastAsia" w:ascii="宋体" w:hAnsi="宋体" w:eastAsia="宋体" w:cs="宋体"/>
          <w:snapToGrid/>
          <w:color w:val="auto"/>
          <w:kern w:val="2"/>
          <w:sz w:val="24"/>
          <w:szCs w:val="24"/>
          <w:highlight w:val="none"/>
          <w:u w:val="single"/>
        </w:rPr>
        <w:t>202</w:t>
      </w:r>
      <w:r>
        <w:rPr>
          <w:rStyle w:val="79"/>
          <w:rFonts w:hint="eastAsia" w:ascii="宋体" w:hAnsi="宋体" w:cs="宋体"/>
          <w:snapToGrid/>
          <w:color w:val="auto"/>
          <w:kern w:val="2"/>
          <w:sz w:val="24"/>
          <w:szCs w:val="24"/>
          <w:highlight w:val="none"/>
          <w:u w:val="single"/>
          <w:lang w:val="en-US" w:eastAsia="zh-CN"/>
        </w:rPr>
        <w:t>6</w:t>
      </w:r>
      <w:r>
        <w:rPr>
          <w:rStyle w:val="79"/>
          <w:rFonts w:hint="eastAsia" w:ascii="宋体" w:hAnsi="宋体" w:eastAsia="宋体" w:cs="宋体"/>
          <w:snapToGrid/>
          <w:color w:val="auto"/>
          <w:kern w:val="2"/>
          <w:sz w:val="24"/>
          <w:szCs w:val="24"/>
          <w:highlight w:val="none"/>
          <w:u w:val="single"/>
        </w:rPr>
        <w:t>年</w:t>
      </w:r>
      <w:r>
        <w:rPr>
          <w:rStyle w:val="79"/>
          <w:rFonts w:hint="eastAsia" w:ascii="宋体" w:hAnsi="宋体" w:cs="宋体"/>
          <w:snapToGrid/>
          <w:color w:val="auto"/>
          <w:kern w:val="2"/>
          <w:sz w:val="24"/>
          <w:szCs w:val="24"/>
          <w:highlight w:val="none"/>
          <w:u w:val="single"/>
          <w:lang w:val="en-US" w:eastAsia="zh-CN"/>
        </w:rPr>
        <w:t>03</w:t>
      </w:r>
      <w:r>
        <w:rPr>
          <w:rStyle w:val="79"/>
          <w:rFonts w:hint="eastAsia" w:ascii="宋体" w:hAnsi="宋体" w:eastAsia="宋体" w:cs="宋体"/>
          <w:snapToGrid/>
          <w:color w:val="auto"/>
          <w:kern w:val="2"/>
          <w:sz w:val="24"/>
          <w:szCs w:val="24"/>
          <w:highlight w:val="none"/>
          <w:u w:val="single"/>
        </w:rPr>
        <w:t>月</w:t>
      </w:r>
      <w:r>
        <w:rPr>
          <w:rStyle w:val="79"/>
          <w:rFonts w:hint="eastAsia" w:ascii="宋体" w:hAnsi="宋体" w:cs="宋体"/>
          <w:snapToGrid/>
          <w:color w:val="auto"/>
          <w:kern w:val="2"/>
          <w:sz w:val="24"/>
          <w:szCs w:val="24"/>
          <w:highlight w:val="none"/>
          <w:u w:val="single"/>
          <w:lang w:val="en-US" w:eastAsia="zh-CN"/>
        </w:rPr>
        <w:t>17</w:t>
      </w:r>
      <w:r>
        <w:rPr>
          <w:rStyle w:val="79"/>
          <w:rFonts w:hint="eastAsia" w:ascii="宋体" w:hAnsi="宋体" w:cs="宋体"/>
          <w:snapToGrid/>
          <w:color w:val="auto"/>
          <w:kern w:val="2"/>
          <w:sz w:val="24"/>
          <w:szCs w:val="24"/>
          <w:highlight w:val="none"/>
          <w:u w:val="single"/>
        </w:rPr>
        <w:t xml:space="preserve"> </w:t>
      </w:r>
      <w:r>
        <w:rPr>
          <w:rStyle w:val="79"/>
          <w:rFonts w:hint="eastAsia" w:ascii="宋体" w:hAnsi="宋体" w:eastAsia="宋体" w:cs="宋体"/>
          <w:snapToGrid/>
          <w:color w:val="auto"/>
          <w:kern w:val="2"/>
          <w:sz w:val="24"/>
          <w:szCs w:val="24"/>
          <w:highlight w:val="none"/>
          <w:u w:val="single"/>
        </w:rPr>
        <w:t>日</w:t>
      </w:r>
      <w:r>
        <w:rPr>
          <w:rStyle w:val="79"/>
          <w:rFonts w:hint="eastAsia" w:ascii="宋体" w:hAnsi="宋体" w:cs="宋体"/>
          <w:snapToGrid/>
          <w:color w:val="auto"/>
          <w:kern w:val="2"/>
          <w:sz w:val="24"/>
          <w:szCs w:val="24"/>
          <w:highlight w:val="none"/>
          <w:u w:val="single"/>
          <w:lang w:val="en-US" w:eastAsia="zh-CN"/>
        </w:rPr>
        <w:t>10</w:t>
      </w:r>
      <w:r>
        <w:rPr>
          <w:rFonts w:hint="eastAsia" w:ascii="宋体" w:hAnsi="宋体" w:cs="宋体"/>
          <w:bCs/>
          <w:color w:val="auto"/>
          <w:sz w:val="24"/>
          <w:highlight w:val="none"/>
          <w:u w:val="single"/>
        </w:rPr>
        <w:t>时</w:t>
      </w:r>
      <w:r>
        <w:rPr>
          <w:rFonts w:hint="eastAsia" w:ascii="宋体" w:hAnsi="宋体" w:cs="宋体"/>
          <w:bCs/>
          <w:color w:val="auto"/>
          <w:sz w:val="24"/>
          <w:highlight w:val="none"/>
          <w:u w:val="single"/>
          <w:lang w:val="en-US" w:eastAsia="zh-CN"/>
        </w:rPr>
        <w:t>30</w:t>
      </w:r>
      <w:r>
        <w:rPr>
          <w:rFonts w:hint="eastAsia" w:ascii="宋体" w:hAnsi="宋体" w:cs="宋体"/>
          <w:bCs/>
          <w:color w:val="auto"/>
          <w:sz w:val="24"/>
          <w:highlight w:val="none"/>
          <w:u w:val="single"/>
        </w:rPr>
        <w:t>分00秒</w:t>
      </w:r>
      <w:r>
        <w:rPr>
          <w:rFonts w:hint="eastAsia" w:ascii="宋体" w:hAnsi="宋体" w:cs="宋体"/>
          <w:bCs/>
          <w:color w:val="auto"/>
          <w:sz w:val="24"/>
          <w:highlight w:val="none"/>
        </w:rPr>
        <w:t>（北京时间）</w:t>
      </w:r>
    </w:p>
    <w:p w14:paraId="095E3495">
      <w:pPr>
        <w:spacing w:line="4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（二）递交响应文件地点（网址）：政采云平台（https://www.zcygov.cn/）</w:t>
      </w:r>
    </w:p>
    <w:p w14:paraId="2D170916">
      <w:pPr>
        <w:spacing w:line="400" w:lineRule="exact"/>
        <w:ind w:firstLine="480" w:firstLineChars="200"/>
        <w:rPr>
          <w:rFonts w:ascii="宋体" w:hAnsi="宋体" w:cs="宋体"/>
          <w:bCs/>
          <w:color w:val="auto"/>
          <w:sz w:val="24"/>
          <w:highlight w:val="none"/>
          <w:u w:val="single"/>
        </w:rPr>
      </w:pPr>
      <w:r>
        <w:rPr>
          <w:rFonts w:hint="eastAsia" w:ascii="宋体" w:hAnsi="宋体" w:cs="宋体"/>
          <w:bCs/>
          <w:color w:val="auto"/>
          <w:sz w:val="24"/>
          <w:highlight w:val="none"/>
        </w:rPr>
        <w:t>（三）开启响应文件时间：</w:t>
      </w:r>
      <w:r>
        <w:rPr>
          <w:rStyle w:val="79"/>
          <w:rFonts w:hint="eastAsia" w:ascii="宋体" w:hAnsi="宋体" w:eastAsia="宋体" w:cs="宋体"/>
          <w:snapToGrid/>
          <w:color w:val="auto"/>
          <w:kern w:val="2"/>
          <w:sz w:val="24"/>
          <w:szCs w:val="24"/>
          <w:highlight w:val="none"/>
          <w:u w:val="single"/>
        </w:rPr>
        <w:t>202</w:t>
      </w:r>
      <w:r>
        <w:rPr>
          <w:rStyle w:val="79"/>
          <w:rFonts w:hint="eastAsia" w:ascii="宋体" w:hAnsi="宋体" w:cs="宋体"/>
          <w:snapToGrid/>
          <w:color w:val="auto"/>
          <w:kern w:val="2"/>
          <w:sz w:val="24"/>
          <w:szCs w:val="24"/>
          <w:highlight w:val="none"/>
          <w:u w:val="single"/>
          <w:lang w:val="en-US" w:eastAsia="zh-CN"/>
        </w:rPr>
        <w:t>6</w:t>
      </w:r>
      <w:r>
        <w:rPr>
          <w:rStyle w:val="79"/>
          <w:rFonts w:hint="eastAsia" w:ascii="宋体" w:hAnsi="宋体" w:eastAsia="宋体" w:cs="宋体"/>
          <w:snapToGrid/>
          <w:color w:val="auto"/>
          <w:kern w:val="2"/>
          <w:sz w:val="24"/>
          <w:szCs w:val="24"/>
          <w:highlight w:val="none"/>
          <w:u w:val="single"/>
        </w:rPr>
        <w:t>年</w:t>
      </w:r>
      <w:r>
        <w:rPr>
          <w:rStyle w:val="79"/>
          <w:rFonts w:hint="eastAsia" w:ascii="宋体" w:hAnsi="宋体" w:cs="宋体"/>
          <w:snapToGrid/>
          <w:color w:val="auto"/>
          <w:kern w:val="2"/>
          <w:sz w:val="24"/>
          <w:szCs w:val="24"/>
          <w:highlight w:val="none"/>
          <w:u w:val="single"/>
          <w:lang w:val="en-US" w:eastAsia="zh-CN"/>
        </w:rPr>
        <w:t>03</w:t>
      </w:r>
      <w:r>
        <w:rPr>
          <w:rStyle w:val="79"/>
          <w:rFonts w:hint="eastAsia" w:ascii="宋体" w:hAnsi="宋体" w:eastAsia="宋体" w:cs="宋体"/>
          <w:snapToGrid/>
          <w:color w:val="auto"/>
          <w:kern w:val="2"/>
          <w:sz w:val="24"/>
          <w:szCs w:val="24"/>
          <w:highlight w:val="none"/>
          <w:u w:val="single"/>
        </w:rPr>
        <w:t>月</w:t>
      </w:r>
      <w:r>
        <w:rPr>
          <w:rStyle w:val="79"/>
          <w:rFonts w:hint="eastAsia" w:ascii="宋体" w:hAnsi="宋体" w:cs="宋体"/>
          <w:snapToGrid/>
          <w:color w:val="auto"/>
          <w:kern w:val="2"/>
          <w:sz w:val="24"/>
          <w:szCs w:val="24"/>
          <w:highlight w:val="none"/>
          <w:u w:val="single"/>
          <w:lang w:val="en-US" w:eastAsia="zh-CN"/>
        </w:rPr>
        <w:t>17</w:t>
      </w:r>
      <w:r>
        <w:rPr>
          <w:rStyle w:val="79"/>
          <w:rFonts w:hint="eastAsia" w:ascii="宋体" w:hAnsi="宋体" w:cs="宋体"/>
          <w:snapToGrid/>
          <w:color w:val="auto"/>
          <w:kern w:val="2"/>
          <w:sz w:val="24"/>
          <w:szCs w:val="24"/>
          <w:highlight w:val="none"/>
          <w:u w:val="single"/>
        </w:rPr>
        <w:t xml:space="preserve"> </w:t>
      </w:r>
      <w:r>
        <w:rPr>
          <w:rStyle w:val="79"/>
          <w:rFonts w:hint="eastAsia" w:ascii="宋体" w:hAnsi="宋体" w:eastAsia="宋体" w:cs="宋体"/>
          <w:snapToGrid/>
          <w:color w:val="auto"/>
          <w:kern w:val="2"/>
          <w:sz w:val="24"/>
          <w:szCs w:val="24"/>
          <w:highlight w:val="none"/>
          <w:u w:val="single"/>
        </w:rPr>
        <w:t>日</w:t>
      </w:r>
      <w:r>
        <w:rPr>
          <w:rStyle w:val="79"/>
          <w:rFonts w:hint="eastAsia" w:ascii="宋体" w:hAnsi="宋体" w:cs="宋体"/>
          <w:snapToGrid/>
          <w:color w:val="auto"/>
          <w:kern w:val="2"/>
          <w:sz w:val="24"/>
          <w:szCs w:val="24"/>
          <w:highlight w:val="none"/>
          <w:u w:val="single"/>
          <w:lang w:val="en-US" w:eastAsia="zh-CN"/>
        </w:rPr>
        <w:t>10</w:t>
      </w:r>
      <w:r>
        <w:rPr>
          <w:rFonts w:hint="eastAsia" w:ascii="宋体" w:hAnsi="宋体" w:cs="宋体"/>
          <w:bCs/>
          <w:color w:val="auto"/>
          <w:sz w:val="24"/>
          <w:highlight w:val="none"/>
          <w:u w:val="single"/>
        </w:rPr>
        <w:t>时</w:t>
      </w:r>
      <w:r>
        <w:rPr>
          <w:rFonts w:hint="eastAsia" w:ascii="宋体" w:hAnsi="宋体" w:cs="宋体"/>
          <w:bCs/>
          <w:color w:val="auto"/>
          <w:sz w:val="24"/>
          <w:highlight w:val="none"/>
          <w:u w:val="single"/>
          <w:lang w:val="en-US" w:eastAsia="zh-CN"/>
        </w:rPr>
        <w:t>30</w:t>
      </w:r>
      <w:r>
        <w:rPr>
          <w:rFonts w:hint="eastAsia" w:ascii="宋体" w:hAnsi="宋体" w:cs="宋体"/>
          <w:bCs/>
          <w:color w:val="auto"/>
          <w:sz w:val="24"/>
          <w:highlight w:val="none"/>
          <w:u w:val="single"/>
        </w:rPr>
        <w:t>分00秒</w:t>
      </w:r>
    </w:p>
    <w:p w14:paraId="58233BAB">
      <w:pPr>
        <w:spacing w:line="400" w:lineRule="exact"/>
        <w:ind w:firstLine="480" w:firstLineChars="200"/>
        <w:rPr>
          <w:rFonts w:hint="eastAsia" w:ascii="宋体" w:hAnsi="宋体" w:cs="宋体"/>
          <w:b/>
          <w:color w:val="auto"/>
          <w:sz w:val="24"/>
          <w:highlight w:val="none"/>
        </w:rPr>
      </w:pPr>
      <w:r>
        <w:rPr>
          <w:rFonts w:hint="eastAsia" w:ascii="宋体" w:hAnsi="宋体" w:cs="宋体"/>
          <w:bCs/>
          <w:color w:val="auto"/>
          <w:sz w:val="24"/>
          <w:highlight w:val="none"/>
        </w:rPr>
        <w:t>（四）开启响应文件地点（网址）：政采云平台（https://www.zcygov.cn/）</w:t>
      </w:r>
    </w:p>
    <w:p w14:paraId="0048AFE4">
      <w:pPr>
        <w:spacing w:line="400" w:lineRule="exact"/>
        <w:ind w:firstLine="482" w:firstLineChars="200"/>
        <w:rPr>
          <w:rFonts w:hint="eastAsia" w:ascii="宋体" w:hAnsi="宋体" w:eastAsia="宋体" w:cs="宋体"/>
          <w:bCs/>
          <w:color w:val="auto"/>
          <w:sz w:val="24"/>
          <w:highlight w:val="none"/>
        </w:rPr>
      </w:pPr>
      <w:bookmarkStart w:id="23" w:name="_Toc10279"/>
      <w:r>
        <w:rPr>
          <w:rFonts w:hint="eastAsia" w:ascii="宋体" w:hAnsi="宋体" w:eastAsia="宋体" w:cs="宋体"/>
          <w:b/>
          <w:color w:val="auto"/>
          <w:sz w:val="24"/>
          <w:highlight w:val="none"/>
          <w:lang w:eastAsia="zh-CN"/>
        </w:rPr>
        <w:t>五</w:t>
      </w:r>
      <w:r>
        <w:rPr>
          <w:rFonts w:hint="eastAsia" w:ascii="宋体" w:hAnsi="宋体" w:eastAsia="宋体" w:cs="宋体"/>
          <w:b/>
          <w:color w:val="auto"/>
          <w:sz w:val="24"/>
          <w:highlight w:val="none"/>
        </w:rPr>
        <w:t>、公告期限</w:t>
      </w:r>
      <w:bookmarkEnd w:id="23"/>
    </w:p>
    <w:p w14:paraId="2AD66558">
      <w:pPr>
        <w:spacing w:line="4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自本公告发布之日起5个工作日</w:t>
      </w:r>
    </w:p>
    <w:p w14:paraId="0F035C5A">
      <w:pPr>
        <w:spacing w:line="4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lang w:eastAsia="zh-CN"/>
        </w:rPr>
        <w:t>六</w:t>
      </w:r>
      <w:r>
        <w:rPr>
          <w:rFonts w:hint="eastAsia" w:ascii="宋体" w:hAnsi="宋体" w:cs="宋体"/>
          <w:b/>
          <w:color w:val="auto"/>
          <w:sz w:val="24"/>
          <w:highlight w:val="none"/>
        </w:rPr>
        <w:t>、其他补充事宜</w:t>
      </w:r>
    </w:p>
    <w:p w14:paraId="7A43D0DE">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w:t>
      </w:r>
      <w:r>
        <w:rPr>
          <w:rFonts w:hint="eastAsia" w:ascii="新宋体" w:hAnsi="新宋体" w:eastAsia="新宋体" w:cs="新宋体"/>
          <w:color w:val="auto"/>
          <w:sz w:val="24"/>
          <w:highlight w:val="none"/>
        </w:rPr>
        <w:t>“政采云”</w:t>
      </w:r>
      <w:r>
        <w:rPr>
          <w:rFonts w:hint="eastAsia" w:ascii="新宋体" w:hAnsi="新宋体" w:eastAsia="新宋体" w:cs="新宋体"/>
          <w:color w:val="auto"/>
          <w:sz w:val="24"/>
          <w:highlight w:val="none"/>
          <w:lang w:eastAsia="zh-CN"/>
        </w:rPr>
        <w:t>－</w:t>
      </w:r>
      <w:r>
        <w:rPr>
          <w:rFonts w:hint="eastAsia" w:ascii="新宋体" w:hAnsi="新宋体" w:eastAsia="新宋体" w:cs="新宋体"/>
          <w:color w:val="auto"/>
          <w:sz w:val="24"/>
          <w:highlight w:val="none"/>
        </w:rPr>
        <w:t>项目采购</w:t>
      </w:r>
      <w:r>
        <w:rPr>
          <w:rFonts w:hint="eastAsia" w:ascii="新宋体" w:hAnsi="新宋体" w:eastAsia="新宋体" w:cs="新宋体"/>
          <w:color w:val="auto"/>
          <w:sz w:val="24"/>
          <w:highlight w:val="none"/>
          <w:lang w:eastAsia="zh-CN"/>
        </w:rPr>
        <w:t>－</w:t>
      </w:r>
      <w:r>
        <w:rPr>
          <w:rFonts w:hint="eastAsia" w:ascii="新宋体" w:hAnsi="新宋体" w:eastAsia="新宋体" w:cs="新宋体"/>
          <w:color w:val="auto"/>
          <w:sz w:val="24"/>
          <w:highlight w:val="none"/>
        </w:rPr>
        <w:t>询问质疑投诉</w:t>
      </w:r>
      <w:r>
        <w:rPr>
          <w:rFonts w:hint="eastAsia" w:ascii="新宋体" w:hAnsi="新宋体" w:eastAsia="新宋体" w:cs="新宋体"/>
          <w:color w:val="auto"/>
          <w:sz w:val="24"/>
          <w:highlight w:val="none"/>
          <w:lang w:eastAsia="zh-CN"/>
        </w:rPr>
        <w:t>－投诉</w:t>
      </w:r>
      <w:r>
        <w:rPr>
          <w:rFonts w:hint="eastAsia" w:ascii="新宋体" w:hAnsi="新宋体" w:eastAsia="新宋体" w:cs="新宋体"/>
          <w:color w:val="auto"/>
          <w:sz w:val="24"/>
          <w:highlight w:val="none"/>
        </w:rPr>
        <w:t>列表</w:t>
      </w:r>
      <w:r>
        <w:rPr>
          <w:rFonts w:hint="eastAsia" w:ascii="宋体" w:hAnsi="宋体" w:cs="宋体"/>
          <w:color w:val="auto"/>
          <w:sz w:val="24"/>
          <w:highlight w:val="none"/>
        </w:rPr>
        <w:t>。</w:t>
      </w:r>
    </w:p>
    <w:p w14:paraId="2E2E6F7A">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供应商认为征集文件使自己的权益受到损害的，可以自获取征集文件之日或者采购公告期限届满之日（公告期限届满后获取征集文件的，以公告期限届满之日为准）起7个工作日内，对征集文件需求的以书面形式向征集人提出质疑，对其他内容的以书面形式向征集人提出质疑。质疑供应商对征集人的答复不满意或者征集人未在规定的时间内作出答复的，可以在答复期满后十五个工作日内向同级政府采购监督管理部门投诉。质疑函范本、投诉书范本请到浙江政府采购网下载专区下载。</w:t>
      </w:r>
    </w:p>
    <w:p w14:paraId="53758479">
      <w:pPr>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其他事项：（1）需要落实的政府采购政策：包括节约资源、保护环境、支持创新等。（2）电子采购的说明：①本项目以数据电文形式，依托“政府采购云平台（www.zcygov.cn）”进行采购活动，不接受纸质响应文件；②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征集文件的获取：使用账号登录或者使用CA登录政采云平台；进入“项目采购”应用，在获取征集文件菜单中选择项目，获取征集文件；④响应文件的制作：在“政采云电子交易客户端”中完成“填写基本信息”、“导入响应文件”、“响应文件关联”、“响应文件检查”、“电子签名”、“生成电子响应文件”等操作；⑤征集人将依托政采云平台完成本项目的电子交易活动，平台不接受未按上述方式获取征集文件的供应商进行响应活动；⑥对未按上述方式获取征集文件的供应商对该文件提出的质疑，征集人将不予处理；⑦不提供征集文件纸质版；⑧响应文件的传输递交：供应商在响应截止时间前将加密的响应文件上传至政府采购云平台；⑨响应文件的解密：供应商按照平台提示和征集文件的规定在半小时内完成在线解密。⑩具体操作指南：详见政采云平台“服务中心-帮助文档-项目采购-操作流程-电子招投标-政府采购项目电子交易管理操作指南-供应商”。</w:t>
      </w:r>
    </w:p>
    <w:p w14:paraId="75875943">
      <w:pPr>
        <w:spacing w:line="4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lang w:eastAsia="zh-CN"/>
        </w:rPr>
        <w:t>七</w:t>
      </w:r>
      <w:r>
        <w:rPr>
          <w:rFonts w:hint="eastAsia" w:ascii="宋体" w:hAnsi="宋体" w:cs="宋体"/>
          <w:b/>
          <w:color w:val="auto"/>
          <w:sz w:val="24"/>
          <w:highlight w:val="none"/>
        </w:rPr>
        <w:t>、对本次采购提出询问、质疑、投诉，请按以下方式联系</w:t>
      </w:r>
    </w:p>
    <w:p w14:paraId="1D7F00E0">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1.征集人信息</w:t>
      </w:r>
    </w:p>
    <w:p w14:paraId="13EC72FB">
      <w:pPr>
        <w:spacing w:line="400" w:lineRule="exact"/>
        <w:ind w:firstLine="480" w:firstLineChars="200"/>
        <w:rPr>
          <w:rFonts w:hint="eastAsia" w:ascii="宋体" w:hAnsi="宋体" w:eastAsia="宋体" w:cs="宋体"/>
          <w:color w:val="auto"/>
          <w:sz w:val="24"/>
          <w:highlight w:val="none"/>
          <w:lang w:val="zh-TW" w:eastAsia="zh-CN"/>
        </w:rPr>
      </w:pPr>
      <w:r>
        <w:rPr>
          <w:rFonts w:hint="eastAsia" w:ascii="宋体" w:hAnsi="宋体" w:cs="宋体"/>
          <w:color w:val="auto"/>
          <w:sz w:val="24"/>
          <w:highlight w:val="none"/>
          <w:lang w:val="zh-TW" w:eastAsia="zh-TW"/>
        </w:rPr>
        <w:t>名    称：</w:t>
      </w:r>
      <w:r>
        <w:rPr>
          <w:rFonts w:hint="eastAsia" w:ascii="宋体" w:hAnsi="宋体" w:cs="宋体"/>
          <w:color w:val="auto"/>
          <w:sz w:val="24"/>
          <w:highlight w:val="none"/>
          <w:lang w:val="zh-TW" w:eastAsia="zh-CN"/>
        </w:rPr>
        <w:t>义乌市财政局</w:t>
      </w:r>
    </w:p>
    <w:p w14:paraId="6D6288E4">
      <w:pPr>
        <w:spacing w:line="400" w:lineRule="exact"/>
        <w:ind w:firstLine="480" w:firstLineChars="200"/>
        <w:rPr>
          <w:rFonts w:hint="eastAsia" w:ascii="宋体" w:hAnsi="宋体" w:eastAsia="PMingLiU" w:cs="宋体"/>
          <w:color w:val="auto"/>
          <w:sz w:val="24"/>
          <w:highlight w:val="none"/>
          <w:lang w:val="zh-TW" w:eastAsia="zh-TW"/>
        </w:rPr>
      </w:pPr>
      <w:r>
        <w:rPr>
          <w:rFonts w:hint="eastAsia" w:ascii="宋体" w:hAnsi="宋体" w:cs="宋体"/>
          <w:color w:val="auto"/>
          <w:sz w:val="24"/>
          <w:highlight w:val="none"/>
          <w:lang w:val="zh-TW" w:eastAsia="zh-TW"/>
        </w:rPr>
        <w:t>地    址：</w:t>
      </w:r>
      <w:r>
        <w:rPr>
          <w:rFonts w:hint="eastAsia" w:ascii="宋体" w:hAnsi="宋体" w:cs="宋体"/>
          <w:color w:val="auto"/>
          <w:sz w:val="24"/>
          <w:highlight w:val="none"/>
          <w:lang w:val="zh-TW" w:eastAsia="zh-CN"/>
        </w:rPr>
        <w:t>义乌市丹溪北路</w:t>
      </w:r>
      <w:r>
        <w:rPr>
          <w:rFonts w:hint="eastAsia" w:ascii="宋体" w:hAnsi="宋体" w:cs="宋体"/>
          <w:color w:val="auto"/>
          <w:sz w:val="24"/>
          <w:highlight w:val="none"/>
          <w:lang w:val="en-US" w:eastAsia="zh-CN"/>
        </w:rPr>
        <w:t>699号</w:t>
      </w:r>
      <w:r>
        <w:rPr>
          <w:rFonts w:ascii="宋体" w:hAnsi="宋体" w:eastAsia="PMingLiU" w:cs="宋体"/>
          <w:color w:val="auto"/>
          <w:sz w:val="24"/>
          <w:highlight w:val="none"/>
          <w:lang w:val="zh-TW" w:eastAsia="zh-TW"/>
        </w:rPr>
        <w:t xml:space="preserve"> </w:t>
      </w:r>
    </w:p>
    <w:p w14:paraId="74850E9D">
      <w:pPr>
        <w:spacing w:line="400" w:lineRule="exact"/>
        <w:ind w:firstLine="480" w:firstLineChars="200"/>
        <w:rPr>
          <w:rFonts w:ascii="宋体" w:hAnsi="宋体" w:cs="宋体"/>
          <w:color w:val="auto"/>
          <w:sz w:val="24"/>
          <w:highlight w:val="none"/>
          <w:lang w:val="zh-TW"/>
        </w:rPr>
      </w:pPr>
      <w:r>
        <w:rPr>
          <w:rFonts w:hint="eastAsia" w:ascii="宋体" w:hAnsi="宋体" w:cs="宋体"/>
          <w:color w:val="auto"/>
          <w:sz w:val="24"/>
          <w:highlight w:val="none"/>
          <w:lang w:val="zh-TW" w:eastAsia="zh-TW"/>
        </w:rPr>
        <w:t>项目联系人（询问）：</w:t>
      </w:r>
      <w:r>
        <w:rPr>
          <w:rFonts w:hint="eastAsia" w:ascii="宋体" w:hAnsi="宋体" w:cs="宋体"/>
          <w:color w:val="auto"/>
          <w:sz w:val="24"/>
          <w:highlight w:val="none"/>
          <w:lang w:val="zh-TW" w:eastAsia="zh-CN"/>
        </w:rPr>
        <w:t>潘楚迪</w:t>
      </w:r>
    </w:p>
    <w:p w14:paraId="19DAA0D3">
      <w:pPr>
        <w:spacing w:line="400" w:lineRule="exact"/>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zh-TW" w:eastAsia="zh-TW"/>
        </w:rPr>
        <w:t>项目联系方式（询问）：</w:t>
      </w:r>
      <w:r>
        <w:rPr>
          <w:rFonts w:hint="eastAsia" w:ascii="宋体" w:hAnsi="宋体" w:cs="宋体"/>
          <w:color w:val="auto"/>
          <w:sz w:val="24"/>
          <w:highlight w:val="none"/>
          <w:lang w:val="en-US" w:eastAsia="zh-CN"/>
        </w:rPr>
        <w:t>0579-</w:t>
      </w:r>
      <w:r>
        <w:rPr>
          <w:rFonts w:hint="eastAsia" w:ascii="宋体" w:hAnsi="宋体" w:cs="宋体"/>
          <w:color w:val="auto"/>
          <w:sz w:val="24"/>
          <w:highlight w:val="none"/>
          <w:lang w:val="zh-TW" w:eastAsia="zh-TW"/>
        </w:rPr>
        <w:t>8</w:t>
      </w:r>
      <w:r>
        <w:rPr>
          <w:rFonts w:hint="eastAsia" w:ascii="宋体" w:hAnsi="宋体" w:cs="宋体"/>
          <w:color w:val="auto"/>
          <w:sz w:val="24"/>
          <w:highlight w:val="none"/>
          <w:lang w:val="en-US" w:eastAsia="zh-CN"/>
        </w:rPr>
        <w:t>5116171</w:t>
      </w:r>
    </w:p>
    <w:p w14:paraId="1AB4FE5C">
      <w:pPr>
        <w:spacing w:line="400" w:lineRule="exact"/>
        <w:ind w:firstLine="480" w:firstLineChars="200"/>
        <w:rPr>
          <w:rFonts w:ascii="宋体" w:hAnsi="宋体" w:cs="宋体"/>
          <w:color w:val="auto"/>
          <w:sz w:val="24"/>
          <w:highlight w:val="none"/>
          <w:lang w:val="zh-TW"/>
        </w:rPr>
      </w:pPr>
      <w:r>
        <w:rPr>
          <w:rFonts w:hint="eastAsia" w:ascii="宋体" w:hAnsi="宋体" w:cs="宋体"/>
          <w:color w:val="auto"/>
          <w:sz w:val="24"/>
          <w:highlight w:val="none"/>
          <w:lang w:val="zh-TW" w:eastAsia="zh-TW"/>
        </w:rPr>
        <w:t>质疑联系人：</w:t>
      </w:r>
      <w:r>
        <w:rPr>
          <w:rFonts w:hint="eastAsia" w:ascii="宋体" w:hAnsi="宋体" w:cs="宋体"/>
          <w:color w:val="auto"/>
          <w:sz w:val="24"/>
          <w:highlight w:val="none"/>
          <w:lang w:val="zh-TW" w:eastAsia="zh-CN"/>
        </w:rPr>
        <w:t>陈堂堂</w:t>
      </w:r>
      <w:r>
        <w:rPr>
          <w:rFonts w:hint="eastAsia" w:ascii="宋体" w:hAnsi="宋体" w:cs="宋体"/>
          <w:color w:val="auto"/>
          <w:sz w:val="24"/>
          <w:highlight w:val="none"/>
        </w:rPr>
        <w:t xml:space="preserve"> </w:t>
      </w:r>
    </w:p>
    <w:p w14:paraId="30C25E30">
      <w:pPr>
        <w:spacing w:line="400" w:lineRule="exact"/>
        <w:ind w:firstLine="480" w:firstLineChars="200"/>
        <w:rPr>
          <w:rFonts w:ascii="宋体" w:hAnsi="宋体" w:cs="宋体"/>
          <w:color w:val="auto"/>
          <w:sz w:val="24"/>
          <w:highlight w:val="none"/>
          <w:lang w:val="zh-TW"/>
        </w:rPr>
      </w:pPr>
      <w:r>
        <w:rPr>
          <w:rFonts w:hint="eastAsia" w:ascii="宋体" w:hAnsi="宋体" w:cs="宋体"/>
          <w:color w:val="auto"/>
          <w:sz w:val="24"/>
          <w:highlight w:val="none"/>
          <w:lang w:val="zh-TW" w:eastAsia="zh-TW"/>
        </w:rPr>
        <w:t>质疑联系方式：</w:t>
      </w:r>
      <w:r>
        <w:rPr>
          <w:rFonts w:hint="eastAsia" w:ascii="宋体" w:hAnsi="宋体" w:cs="宋体"/>
          <w:color w:val="auto"/>
          <w:sz w:val="24"/>
          <w:highlight w:val="none"/>
          <w:lang w:val="en-US" w:eastAsia="zh-CN"/>
        </w:rPr>
        <w:t>0579-</w:t>
      </w:r>
      <w:r>
        <w:rPr>
          <w:rFonts w:hint="eastAsia" w:ascii="宋体" w:hAnsi="宋体" w:cs="宋体"/>
          <w:color w:val="auto"/>
          <w:sz w:val="24"/>
          <w:highlight w:val="none"/>
          <w:lang w:val="zh-TW" w:eastAsia="zh-TW"/>
        </w:rPr>
        <w:t>8</w:t>
      </w:r>
      <w:r>
        <w:rPr>
          <w:rFonts w:hint="eastAsia" w:ascii="宋体" w:hAnsi="宋体" w:cs="宋体"/>
          <w:color w:val="auto"/>
          <w:sz w:val="24"/>
          <w:highlight w:val="none"/>
          <w:lang w:val="en-US" w:eastAsia="zh-CN"/>
        </w:rPr>
        <w:t>5116050</w:t>
      </w:r>
    </w:p>
    <w:p w14:paraId="4B41A0B1">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2.同级政府采购监督管理部门</w:t>
      </w:r>
    </w:p>
    <w:p w14:paraId="2E1CEADC">
      <w:pPr>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名    称：</w:t>
      </w:r>
      <w:r>
        <w:rPr>
          <w:rFonts w:hint="eastAsia" w:ascii="宋体" w:hAnsi="宋体" w:cs="宋体"/>
          <w:color w:val="auto"/>
          <w:sz w:val="24"/>
          <w:highlight w:val="none"/>
          <w:lang w:eastAsia="zh-CN"/>
        </w:rPr>
        <w:t>义乌市财政局</w:t>
      </w:r>
      <w:r>
        <w:rPr>
          <w:rFonts w:hint="eastAsia" w:ascii="宋体" w:hAnsi="宋体" w:cs="宋体"/>
          <w:color w:val="auto"/>
          <w:sz w:val="24"/>
          <w:highlight w:val="none"/>
        </w:rPr>
        <w:t>政府采购监管</w:t>
      </w:r>
      <w:r>
        <w:rPr>
          <w:rFonts w:hint="eastAsia" w:ascii="宋体" w:hAnsi="宋体" w:cs="宋体"/>
          <w:color w:val="auto"/>
          <w:sz w:val="24"/>
          <w:highlight w:val="none"/>
          <w:lang w:eastAsia="zh-CN"/>
        </w:rPr>
        <w:t>科</w:t>
      </w:r>
      <w:r>
        <w:rPr>
          <w:rFonts w:hint="eastAsia" w:ascii="宋体" w:hAnsi="宋体" w:cs="宋体"/>
          <w:color w:val="auto"/>
          <w:sz w:val="24"/>
          <w:highlight w:val="none"/>
        </w:rPr>
        <w:t xml:space="preserve">             </w:t>
      </w:r>
    </w:p>
    <w:p w14:paraId="12D4B588">
      <w:pPr>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地    址：</w:t>
      </w:r>
      <w:r>
        <w:rPr>
          <w:rFonts w:hint="eastAsia" w:ascii="新宋体" w:hAnsi="新宋体" w:eastAsia="新宋体" w:cs="新宋体"/>
          <w:color w:val="auto"/>
          <w:sz w:val="24"/>
          <w:highlight w:val="none"/>
        </w:rPr>
        <w:t>义乌市望道路300号</w:t>
      </w:r>
      <w:r>
        <w:rPr>
          <w:rFonts w:hint="eastAsia" w:ascii="新宋体" w:hAnsi="新宋体" w:eastAsia="新宋体" w:cs="新宋体"/>
          <w:color w:val="auto"/>
          <w:sz w:val="24"/>
          <w:highlight w:val="none"/>
          <w:lang w:val="en-US" w:eastAsia="zh-CN"/>
        </w:rPr>
        <w:t>4</w:t>
      </w:r>
      <w:r>
        <w:rPr>
          <w:rFonts w:hint="eastAsia" w:ascii="新宋体" w:hAnsi="新宋体" w:eastAsia="新宋体" w:cs="新宋体"/>
          <w:color w:val="auto"/>
          <w:sz w:val="24"/>
          <w:highlight w:val="none"/>
        </w:rPr>
        <w:t>楼</w:t>
      </w:r>
      <w:r>
        <w:rPr>
          <w:rFonts w:hint="eastAsia" w:ascii="宋体" w:hAnsi="宋体" w:cs="宋体"/>
          <w:color w:val="auto"/>
          <w:sz w:val="24"/>
          <w:highlight w:val="none"/>
        </w:rPr>
        <w:t xml:space="preserve">            </w:t>
      </w:r>
    </w:p>
    <w:p w14:paraId="0C3ACA08">
      <w:pPr>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联 系 人：</w:t>
      </w:r>
      <w:r>
        <w:rPr>
          <w:rFonts w:hint="eastAsia" w:ascii="宋体" w:hAnsi="宋体" w:cs="宋体"/>
          <w:color w:val="auto"/>
          <w:sz w:val="24"/>
          <w:highlight w:val="none"/>
          <w:lang w:eastAsia="zh-CN"/>
        </w:rPr>
        <w:t>王女士</w:t>
      </w:r>
      <w:r>
        <w:rPr>
          <w:rFonts w:hint="eastAsia" w:ascii="宋体" w:hAnsi="宋体" w:cs="宋体"/>
          <w:color w:val="auto"/>
          <w:sz w:val="24"/>
          <w:highlight w:val="none"/>
        </w:rPr>
        <w:t xml:space="preserve">             </w:t>
      </w:r>
    </w:p>
    <w:p w14:paraId="48E38809">
      <w:pPr>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监督投诉电话：</w:t>
      </w:r>
      <w:r>
        <w:rPr>
          <w:rFonts w:hint="eastAsia" w:ascii="新宋体" w:hAnsi="新宋体" w:eastAsia="新宋体" w:cs="新宋体"/>
          <w:color w:val="auto"/>
          <w:sz w:val="24"/>
          <w:highlight w:val="none"/>
        </w:rPr>
        <w:t>0579-899150</w:t>
      </w:r>
      <w:r>
        <w:rPr>
          <w:rFonts w:hint="eastAsia" w:ascii="新宋体" w:hAnsi="新宋体" w:eastAsia="新宋体" w:cs="新宋体"/>
          <w:color w:val="auto"/>
          <w:sz w:val="24"/>
          <w:highlight w:val="none"/>
          <w:lang w:val="en-US" w:eastAsia="zh-CN"/>
        </w:rPr>
        <w:t>66</w:t>
      </w:r>
      <w:r>
        <w:rPr>
          <w:rFonts w:hint="eastAsia" w:ascii="宋体" w:hAnsi="宋体" w:cs="宋体"/>
          <w:color w:val="auto"/>
          <w:sz w:val="24"/>
          <w:highlight w:val="none"/>
        </w:rPr>
        <w:t xml:space="preserve">     </w:t>
      </w:r>
    </w:p>
    <w:p w14:paraId="15EB6565">
      <w:pPr>
        <w:spacing w:line="360" w:lineRule="auto"/>
        <w:jc w:val="center"/>
        <w:outlineLvl w:val="0"/>
        <w:rPr>
          <w:rFonts w:ascii="宋体" w:hAnsi="宋体" w:cs="宋体"/>
          <w:color w:val="auto"/>
          <w:sz w:val="24"/>
          <w:highlight w:val="none"/>
        </w:rPr>
      </w:pPr>
      <w:r>
        <w:rPr>
          <w:rFonts w:ascii="仿宋" w:hAnsi="仿宋" w:eastAsia="仿宋" w:cs="仿宋_GB2312"/>
          <w:b/>
          <w:color w:val="auto"/>
          <w:sz w:val="36"/>
          <w:szCs w:val="20"/>
          <w:highlight w:val="none"/>
        </w:rPr>
        <w:br w:type="page"/>
      </w:r>
      <w:bookmarkStart w:id="24" w:name="_Toc23290"/>
      <w:bookmarkStart w:id="25" w:name="_Toc17637"/>
      <w:bookmarkStart w:id="26" w:name="_Toc1990566781"/>
      <w:bookmarkStart w:id="27" w:name="_Hlk98851318"/>
      <w:bookmarkStart w:id="28" w:name="_Toc31502"/>
      <w:bookmarkStart w:id="29" w:name="_Toc21980"/>
      <w:bookmarkStart w:id="30" w:name="_Toc135"/>
      <w:bookmarkStart w:id="31" w:name="_Toc22219"/>
      <w:bookmarkStart w:id="32" w:name="_Toc15143"/>
      <w:bookmarkStart w:id="33" w:name="_Toc25207"/>
      <w:bookmarkStart w:id="34" w:name="_Toc19343"/>
      <w:bookmarkStart w:id="35" w:name="_Toc32068"/>
      <w:bookmarkStart w:id="36" w:name="_Toc9549"/>
      <w:bookmarkStart w:id="37" w:name="_Toc26106"/>
      <w:bookmarkStart w:id="38" w:name="_Toc24127"/>
      <w:bookmarkStart w:id="39" w:name="_Toc17756"/>
      <w:bookmarkStart w:id="40" w:name="_Toc24002"/>
      <w:bookmarkStart w:id="41" w:name="_Toc14306"/>
      <w:bookmarkStart w:id="42" w:name="_Toc25593"/>
      <w:bookmarkStart w:id="43" w:name="_Toc15458"/>
      <w:bookmarkStart w:id="44" w:name="_Toc12023"/>
      <w:bookmarkStart w:id="45" w:name="_Toc27972"/>
      <w:r>
        <w:rPr>
          <w:rFonts w:hint="eastAsia" w:ascii="黑体" w:hAnsi="黑体" w:eastAsia="黑体" w:cs="黑体"/>
          <w:b/>
          <w:color w:val="auto"/>
          <w:sz w:val="32"/>
          <w:szCs w:val="32"/>
          <w:highlight w:val="none"/>
        </w:rPr>
        <w:t>第二章 采购需求</w:t>
      </w:r>
      <w:bookmarkEnd w:id="24"/>
      <w:bookmarkEnd w:id="25"/>
      <w:bookmarkEnd w:id="26"/>
      <w:bookmarkEnd w:id="27"/>
      <w:bookmarkEnd w:id="28"/>
      <w:bookmarkEnd w:id="29"/>
      <w:bookmarkEnd w:id="30"/>
      <w:bookmarkEnd w:id="31"/>
      <w:bookmarkEnd w:id="32"/>
      <w:bookmarkEnd w:id="33"/>
      <w:bookmarkEnd w:id="34"/>
      <w:bookmarkEnd w:id="35"/>
      <w:bookmarkEnd w:id="36"/>
      <w:bookmarkStart w:id="46" w:name="_Toc93482125"/>
    </w:p>
    <w:p w14:paraId="6930A66C">
      <w:pPr>
        <w:spacing w:line="400" w:lineRule="exact"/>
        <w:ind w:firstLine="482"/>
        <w:jc w:val="both"/>
        <w:rPr>
          <w:rFonts w:hint="eastAsia" w:ascii="宋体" w:hAnsi="宋体" w:cs="宋体"/>
          <w:color w:val="auto"/>
          <w:sz w:val="24"/>
          <w:highlight w:val="none"/>
        </w:rPr>
      </w:pPr>
      <w:bookmarkStart w:id="47" w:name="_Hlk126429246"/>
      <w:r>
        <w:rPr>
          <w:rFonts w:hint="eastAsia" w:ascii="宋体" w:hAnsi="宋体" w:cs="宋体"/>
          <w:color w:val="auto"/>
          <w:sz w:val="24"/>
          <w:highlight w:val="none"/>
        </w:rPr>
        <w:t>为做好</w:t>
      </w:r>
      <w:r>
        <w:rPr>
          <w:rFonts w:hint="eastAsia" w:ascii="宋体" w:hAnsi="宋体" w:cs="宋体"/>
          <w:color w:val="auto"/>
          <w:sz w:val="24"/>
          <w:highlight w:val="none"/>
          <w:lang w:eastAsia="zh-CN"/>
        </w:rPr>
        <w:t>义乌市2026-2027年度</w:t>
      </w:r>
      <w:r>
        <w:rPr>
          <w:rFonts w:hint="eastAsia" w:ascii="宋体" w:hAnsi="宋体" w:cs="宋体"/>
          <w:color w:val="auto"/>
          <w:sz w:val="24"/>
          <w:highlight w:val="none"/>
        </w:rPr>
        <w:t>地方政府专项债券的发行准备工作，拟通过框架协议方式选聘律师事务所，为</w:t>
      </w:r>
      <w:r>
        <w:rPr>
          <w:rFonts w:hint="eastAsia" w:ascii="宋体" w:hAnsi="宋体" w:cs="宋体"/>
          <w:color w:val="auto"/>
          <w:sz w:val="24"/>
          <w:highlight w:val="none"/>
          <w:lang w:eastAsia="zh-CN"/>
        </w:rPr>
        <w:t>2026-2027年度</w:t>
      </w:r>
      <w:r>
        <w:rPr>
          <w:rFonts w:hint="eastAsia" w:ascii="宋体" w:hAnsi="宋体" w:cs="宋体"/>
          <w:color w:val="auto"/>
          <w:sz w:val="24"/>
          <w:highlight w:val="none"/>
        </w:rPr>
        <w:t>专项债券发行准备工作提供法律专业服务，包括出具《法律意见书》等发行专项债券涉及的专业报告，并协助采购方和其他债券发行参与方完成专项债券项目的预审、申报、信息披露和全过程其他相关专业服务。具体情况见下表：</w:t>
      </w:r>
    </w:p>
    <w:tbl>
      <w:tblPr>
        <w:tblStyle w:val="65"/>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45"/>
        <w:gridCol w:w="5482"/>
      </w:tblGrid>
      <w:tr w14:paraId="2CA6C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812" w:type="dxa"/>
            <w:tcBorders>
              <w:top w:val="single" w:color="auto" w:sz="4" w:space="0"/>
              <w:left w:val="single" w:color="auto" w:sz="4" w:space="0"/>
              <w:bottom w:val="single" w:color="auto" w:sz="4" w:space="0"/>
              <w:right w:val="single" w:color="auto" w:sz="4" w:space="0"/>
              <w:tl2br w:val="nil"/>
              <w:tr2bl w:val="nil"/>
            </w:tcBorders>
            <w:vAlign w:val="center"/>
          </w:tcPr>
          <w:p w14:paraId="0C2383FD">
            <w:pPr>
              <w:widowControl/>
              <w:snapToGrid w:val="0"/>
              <w:jc w:val="center"/>
              <w:rPr>
                <w:rFonts w:hint="eastAsia" w:cs="黑体" w:asciiTheme="minorEastAsia" w:hAnsiTheme="minorEastAsia" w:eastAsiaTheme="minorEastAsia"/>
                <w:color w:val="auto"/>
                <w:sz w:val="24"/>
                <w:highlight w:val="none"/>
              </w:rPr>
            </w:pPr>
            <w:r>
              <w:rPr>
                <w:rFonts w:hint="eastAsia" w:cs="黑体" w:asciiTheme="minorEastAsia" w:hAnsiTheme="minorEastAsia" w:eastAsiaTheme="minorEastAsia"/>
                <w:color w:val="auto"/>
                <w:sz w:val="24"/>
                <w:highlight w:val="none"/>
              </w:rPr>
              <w:t>序号</w:t>
            </w:r>
          </w:p>
        </w:tc>
        <w:tc>
          <w:tcPr>
            <w:tcW w:w="2745" w:type="dxa"/>
            <w:tcBorders>
              <w:top w:val="single" w:color="auto" w:sz="4" w:space="0"/>
              <w:left w:val="single" w:color="auto" w:sz="4" w:space="0"/>
              <w:bottom w:val="single" w:color="auto" w:sz="4" w:space="0"/>
              <w:right w:val="single" w:color="auto" w:sz="4" w:space="0"/>
              <w:tl2br w:val="nil"/>
              <w:tr2bl w:val="nil"/>
            </w:tcBorders>
            <w:vAlign w:val="center"/>
          </w:tcPr>
          <w:p w14:paraId="44D53F5A">
            <w:pPr>
              <w:widowControl/>
              <w:snapToGrid w:val="0"/>
              <w:jc w:val="center"/>
              <w:rPr>
                <w:rFonts w:hint="eastAsia" w:cs="黑体" w:asciiTheme="minorEastAsia" w:hAnsiTheme="minorEastAsia" w:eastAsiaTheme="minorEastAsia"/>
                <w:color w:val="auto"/>
                <w:sz w:val="24"/>
                <w:highlight w:val="none"/>
              </w:rPr>
            </w:pPr>
            <w:r>
              <w:rPr>
                <w:rFonts w:hint="eastAsia" w:cs="黑体" w:asciiTheme="minorEastAsia" w:hAnsiTheme="minorEastAsia" w:eastAsiaTheme="minorEastAsia"/>
                <w:color w:val="auto"/>
                <w:sz w:val="24"/>
                <w:highlight w:val="none"/>
              </w:rPr>
              <w:t>采购内容及数量</w:t>
            </w:r>
          </w:p>
        </w:tc>
        <w:tc>
          <w:tcPr>
            <w:tcW w:w="5482" w:type="dxa"/>
            <w:tcBorders>
              <w:top w:val="single" w:color="auto" w:sz="4" w:space="0"/>
              <w:left w:val="single" w:color="auto" w:sz="4" w:space="0"/>
              <w:bottom w:val="single" w:color="auto" w:sz="4" w:space="0"/>
              <w:right w:val="single" w:color="auto" w:sz="4" w:space="0"/>
              <w:tl2br w:val="nil"/>
              <w:tr2bl w:val="nil"/>
            </w:tcBorders>
            <w:vAlign w:val="center"/>
          </w:tcPr>
          <w:p w14:paraId="51CAB680">
            <w:pPr>
              <w:tabs>
                <w:tab w:val="left" w:pos="1260"/>
              </w:tabs>
              <w:snapToGrid w:val="0"/>
              <w:jc w:val="center"/>
              <w:rPr>
                <w:rFonts w:hint="eastAsia" w:cs="黑体" w:asciiTheme="minorEastAsia" w:hAnsiTheme="minorEastAsia" w:eastAsiaTheme="minorEastAsia"/>
                <w:color w:val="auto"/>
                <w:sz w:val="24"/>
                <w:highlight w:val="none"/>
              </w:rPr>
            </w:pPr>
            <w:r>
              <w:rPr>
                <w:rFonts w:hint="eastAsia" w:cs="黑体" w:asciiTheme="minorEastAsia" w:hAnsiTheme="minorEastAsia" w:eastAsiaTheme="minorEastAsia"/>
                <w:color w:val="auto"/>
                <w:sz w:val="24"/>
                <w:highlight w:val="none"/>
              </w:rPr>
              <w:t>服务要求</w:t>
            </w:r>
          </w:p>
        </w:tc>
      </w:tr>
      <w:tr w14:paraId="57FDA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812" w:type="dxa"/>
            <w:tcBorders>
              <w:top w:val="single" w:color="auto" w:sz="4" w:space="0"/>
              <w:left w:val="single" w:color="auto" w:sz="4" w:space="0"/>
              <w:bottom w:val="single" w:color="auto" w:sz="4" w:space="0"/>
              <w:right w:val="single" w:color="auto" w:sz="4" w:space="0"/>
              <w:tl2br w:val="nil"/>
              <w:tr2bl w:val="nil"/>
            </w:tcBorders>
            <w:vAlign w:val="center"/>
          </w:tcPr>
          <w:p w14:paraId="6016AD21">
            <w:pPr>
              <w:adjustRightInd/>
              <w:snapToGrid w:val="0"/>
              <w:spacing w:line="400" w:lineRule="exact"/>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2745" w:type="dxa"/>
            <w:tcBorders>
              <w:top w:val="single" w:color="auto" w:sz="4" w:space="0"/>
              <w:left w:val="single" w:color="auto" w:sz="4" w:space="0"/>
              <w:bottom w:val="single" w:color="auto" w:sz="4" w:space="0"/>
              <w:right w:val="single" w:color="auto" w:sz="4" w:space="0"/>
              <w:tl2br w:val="nil"/>
              <w:tr2bl w:val="nil"/>
            </w:tcBorders>
            <w:vAlign w:val="center"/>
          </w:tcPr>
          <w:p w14:paraId="3E809B39">
            <w:pPr>
              <w:adjustRightInd/>
              <w:snapToGrid w:val="0"/>
              <w:spacing w:line="400" w:lineRule="exact"/>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入围</w:t>
            </w:r>
            <w:r>
              <w:rPr>
                <w:rFonts w:hint="eastAsia" w:asciiTheme="minorEastAsia" w:hAnsiTheme="minorEastAsia" w:eastAsiaTheme="minorEastAsia"/>
                <w:color w:val="auto"/>
                <w:sz w:val="24"/>
                <w:highlight w:val="none"/>
              </w:rPr>
              <w:t>律师</w:t>
            </w:r>
            <w:r>
              <w:rPr>
                <w:rFonts w:asciiTheme="minorEastAsia" w:hAnsiTheme="minorEastAsia" w:eastAsiaTheme="minorEastAsia"/>
                <w:color w:val="auto"/>
                <w:sz w:val="24"/>
                <w:highlight w:val="none"/>
              </w:rPr>
              <w:t>事务所</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家</w:t>
            </w:r>
          </w:p>
        </w:tc>
        <w:tc>
          <w:tcPr>
            <w:tcW w:w="5482" w:type="dxa"/>
            <w:tcBorders>
              <w:top w:val="single" w:color="auto" w:sz="4" w:space="0"/>
              <w:left w:val="single" w:color="auto" w:sz="4" w:space="0"/>
              <w:bottom w:val="single" w:color="auto" w:sz="4" w:space="0"/>
              <w:right w:val="single" w:color="auto" w:sz="4" w:space="0"/>
              <w:tl2br w:val="nil"/>
              <w:tr2bl w:val="nil"/>
            </w:tcBorders>
            <w:vAlign w:val="center"/>
          </w:tcPr>
          <w:p w14:paraId="27C4C6F4">
            <w:pPr>
              <w:tabs>
                <w:tab w:val="left" w:pos="1260"/>
              </w:tabs>
              <w:adjustRightInd/>
              <w:snapToGrid w:val="0"/>
              <w:spacing w:line="400" w:lineRule="exact"/>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lang w:eastAsia="zh-CN"/>
              </w:rPr>
              <w:t>义乌市2026-2027年度</w:t>
            </w:r>
            <w:r>
              <w:rPr>
                <w:rFonts w:asciiTheme="minorEastAsia" w:hAnsiTheme="minorEastAsia" w:eastAsiaTheme="minorEastAsia"/>
                <w:color w:val="auto"/>
                <w:sz w:val="24"/>
                <w:highlight w:val="none"/>
              </w:rPr>
              <w:t>专项债券</w:t>
            </w:r>
            <w:r>
              <w:rPr>
                <w:rFonts w:hint="eastAsia" w:asciiTheme="minorEastAsia" w:hAnsiTheme="minorEastAsia" w:eastAsiaTheme="minorEastAsia"/>
                <w:color w:val="auto"/>
                <w:sz w:val="24"/>
                <w:highlight w:val="none"/>
              </w:rPr>
              <w:t>项目</w:t>
            </w:r>
            <w:r>
              <w:rPr>
                <w:rFonts w:asciiTheme="minorEastAsia" w:hAnsiTheme="minorEastAsia" w:eastAsiaTheme="minorEastAsia"/>
                <w:color w:val="auto"/>
                <w:sz w:val="24"/>
                <w:highlight w:val="none"/>
              </w:rPr>
              <w:t>，出具法律意见书</w:t>
            </w:r>
            <w:r>
              <w:rPr>
                <w:rFonts w:hint="eastAsia" w:asciiTheme="minorEastAsia" w:hAnsiTheme="minorEastAsia" w:eastAsiaTheme="minorEastAsia"/>
                <w:color w:val="auto"/>
                <w:sz w:val="24"/>
                <w:highlight w:val="none"/>
              </w:rPr>
              <w:t>，并提供其他相关专业服务</w:t>
            </w:r>
            <w:r>
              <w:rPr>
                <w:rFonts w:asciiTheme="minorEastAsia" w:hAnsiTheme="minorEastAsia" w:eastAsiaTheme="minorEastAsia"/>
                <w:color w:val="auto"/>
                <w:sz w:val="24"/>
                <w:highlight w:val="none"/>
              </w:rPr>
              <w:t>。</w:t>
            </w:r>
          </w:p>
        </w:tc>
      </w:tr>
    </w:tbl>
    <w:p w14:paraId="46CA4FEB">
      <w:pPr>
        <w:keepNext w:val="0"/>
        <w:keepLines w:val="0"/>
        <w:pageBreakBefore w:val="0"/>
        <w:widowControl w:val="0"/>
        <w:kinsoku/>
        <w:wordWrap/>
        <w:overflowPunct/>
        <w:topLinePunct w:val="0"/>
        <w:autoSpaceDE/>
        <w:autoSpaceDN/>
        <w:bidi w:val="0"/>
        <w:adjustRightInd w:val="0"/>
        <w:snapToGrid/>
        <w:spacing w:line="500" w:lineRule="exact"/>
        <w:ind w:firstLine="482"/>
        <w:textAlignment w:val="auto"/>
        <w:rPr>
          <w:rFonts w:ascii="宋体" w:hAnsi="宋体" w:cs="宋体"/>
          <w:b/>
          <w:bCs/>
          <w:color w:val="auto"/>
          <w:sz w:val="28"/>
          <w:szCs w:val="28"/>
          <w:highlight w:val="none"/>
        </w:rPr>
      </w:pPr>
      <w:r>
        <w:rPr>
          <w:rFonts w:hint="eastAsia" w:ascii="宋体" w:hAnsi="宋体" w:cs="宋体"/>
          <w:b/>
          <w:bCs/>
          <w:color w:val="auto"/>
          <w:sz w:val="28"/>
          <w:szCs w:val="28"/>
          <w:highlight w:val="none"/>
        </w:rPr>
        <w:t>一、确定成交供应商流程</w:t>
      </w:r>
    </w:p>
    <w:p w14:paraId="76906F91">
      <w:pPr>
        <w:spacing w:line="400" w:lineRule="exact"/>
        <w:ind w:firstLine="482"/>
        <w:rPr>
          <w:rFonts w:ascii="宋体" w:hAnsi="宋体" w:cs="宋体"/>
          <w:color w:val="auto"/>
          <w:sz w:val="24"/>
          <w:highlight w:val="none"/>
        </w:rPr>
      </w:pPr>
      <w:r>
        <w:rPr>
          <w:rFonts w:hint="eastAsia" w:ascii="宋体" w:hAnsi="宋体" w:cs="宋体"/>
          <w:color w:val="auto"/>
          <w:sz w:val="24"/>
          <w:highlight w:val="none"/>
        </w:rPr>
        <w:t>确定</w:t>
      </w:r>
      <w:r>
        <w:rPr>
          <w:rFonts w:hint="eastAsia" w:ascii="宋体" w:hAnsi="宋体" w:cs="宋体"/>
          <w:color w:val="auto"/>
          <w:sz w:val="24"/>
          <w:highlight w:val="none"/>
          <w:lang w:eastAsia="zh-CN"/>
        </w:rPr>
        <w:t>义乌市2026-2027年度专项债券发行准备法律专业服务封闭式框架协议采购项目</w:t>
      </w:r>
      <w:r>
        <w:rPr>
          <w:rFonts w:hint="eastAsia" w:ascii="宋体" w:hAnsi="宋体" w:cs="宋体"/>
          <w:color w:val="auto"/>
          <w:sz w:val="24"/>
          <w:highlight w:val="none"/>
        </w:rPr>
        <w:t>征集第一阶段入围供应商的方式为</w:t>
      </w:r>
      <w:r>
        <w:rPr>
          <w:rFonts w:hint="eastAsia" w:ascii="宋体" w:hAnsi="宋体" w:cs="宋体"/>
          <w:color w:val="auto"/>
          <w:sz w:val="24"/>
          <w:highlight w:val="none"/>
          <w:lang w:eastAsia="zh-CN"/>
        </w:rPr>
        <w:t>价格</w:t>
      </w:r>
      <w:r>
        <w:rPr>
          <w:rFonts w:hint="eastAsia" w:ascii="宋体" w:hAnsi="宋体" w:cs="宋体"/>
          <w:color w:val="auto"/>
          <w:sz w:val="24"/>
          <w:highlight w:val="none"/>
        </w:rPr>
        <w:t>优先法，入围供应商数量为本次投标（响应）供应商数量的 80 %（但</w:t>
      </w:r>
      <w:r>
        <w:rPr>
          <w:rFonts w:hint="eastAsia" w:ascii="宋体" w:hAnsi="宋体" w:cs="宋体"/>
          <w:color w:val="auto"/>
          <w:kern w:val="0"/>
          <w:sz w:val="24"/>
          <w:highlight w:val="none"/>
        </w:rPr>
        <w:t>入围上限最多为</w:t>
      </w:r>
      <w:r>
        <w:rPr>
          <w:rFonts w:ascii="宋体" w:hAnsi="宋体" w:cs="宋体"/>
          <w:color w:val="auto"/>
          <w:kern w:val="0"/>
          <w:sz w:val="24"/>
          <w:highlight w:val="none"/>
        </w:rPr>
        <w:t>2</w:t>
      </w:r>
      <w:r>
        <w:rPr>
          <w:rFonts w:hint="eastAsia" w:ascii="宋体" w:hAnsi="宋体" w:cs="宋体"/>
          <w:color w:val="auto"/>
          <w:kern w:val="0"/>
          <w:sz w:val="24"/>
          <w:highlight w:val="none"/>
        </w:rPr>
        <w:t>家供应商</w:t>
      </w:r>
      <w:r>
        <w:rPr>
          <w:rFonts w:hint="eastAsia" w:ascii="宋体" w:hAnsi="宋体" w:cs="宋体"/>
          <w:color w:val="auto"/>
          <w:sz w:val="24"/>
          <w:highlight w:val="none"/>
        </w:rPr>
        <w:t>）</w:t>
      </w:r>
      <w:r>
        <w:rPr>
          <w:rFonts w:hint="eastAsia" w:ascii="宋体" w:hAnsi="宋体" w:cs="宋体"/>
          <w:bCs/>
          <w:color w:val="auto"/>
          <w:sz w:val="24"/>
          <w:highlight w:val="none"/>
        </w:rPr>
        <w:t>。</w:t>
      </w:r>
    </w:p>
    <w:p w14:paraId="1E53DA5F">
      <w:pPr>
        <w:spacing w:line="400" w:lineRule="exact"/>
        <w:ind w:firstLine="482"/>
        <w:rPr>
          <w:rFonts w:hint="eastAsia" w:ascii="宋体" w:hAnsi="宋体" w:cs="宋体"/>
          <w:color w:val="auto"/>
          <w:sz w:val="24"/>
          <w:highlight w:val="none"/>
        </w:rPr>
      </w:pPr>
      <w:r>
        <w:rPr>
          <w:rFonts w:hint="eastAsia" w:ascii="宋体" w:hAnsi="宋体" w:cs="宋体"/>
          <w:color w:val="auto"/>
          <w:sz w:val="24"/>
          <w:highlight w:val="none"/>
        </w:rPr>
        <w:t>确定第二阶段成交供应商的方式为直接选定。</w:t>
      </w:r>
    </w:p>
    <w:p w14:paraId="0BF40625">
      <w:pPr>
        <w:spacing w:line="400" w:lineRule="exact"/>
        <w:ind w:firstLine="482"/>
        <w:rPr>
          <w:rFonts w:hint="eastAsia" w:ascii="宋体" w:hAnsi="宋体" w:cs="宋体"/>
          <w:color w:val="auto"/>
          <w:sz w:val="24"/>
          <w:highlight w:val="none"/>
        </w:rPr>
      </w:pPr>
      <w:r>
        <w:rPr>
          <w:rFonts w:hint="eastAsia" w:ascii="宋体" w:hAnsi="宋体" w:cs="宋体"/>
          <w:color w:val="auto"/>
          <w:sz w:val="24"/>
          <w:highlight w:val="none"/>
        </w:rPr>
        <w:t>直接选定</w:t>
      </w:r>
      <w:r>
        <w:rPr>
          <w:rFonts w:hint="eastAsia" w:ascii="宋体" w:hAnsi="宋体" w:cs="宋体"/>
          <w:color w:val="auto"/>
          <w:sz w:val="24"/>
          <w:highlight w:val="none"/>
          <w:lang w:eastAsia="zh-CN"/>
        </w:rPr>
        <w:t>：</w:t>
      </w:r>
      <w:r>
        <w:rPr>
          <w:rFonts w:hint="eastAsia" w:ascii="宋体" w:hAnsi="宋体" w:cs="宋体"/>
          <w:color w:val="auto"/>
          <w:sz w:val="24"/>
          <w:highlight w:val="none"/>
        </w:rPr>
        <w:t>由</w:t>
      </w:r>
      <w:r>
        <w:rPr>
          <w:rFonts w:hint="eastAsia" w:ascii="宋体" w:hAnsi="宋体" w:cs="宋体"/>
          <w:color w:val="auto"/>
          <w:sz w:val="24"/>
          <w:highlight w:val="none"/>
          <w:lang w:eastAsia="zh-CN"/>
        </w:rPr>
        <w:t>义</w:t>
      </w:r>
      <w:r>
        <w:rPr>
          <w:rFonts w:hint="eastAsia" w:ascii="宋体" w:hAnsi="宋体" w:cs="宋体"/>
          <w:color w:val="auto"/>
          <w:kern w:val="0"/>
          <w:sz w:val="24"/>
          <w:highlight w:val="none"/>
          <w:lang w:eastAsia="zh-CN"/>
        </w:rPr>
        <w:t>乌市财政局</w:t>
      </w:r>
      <w:r>
        <w:rPr>
          <w:rFonts w:hint="eastAsia" w:ascii="宋体" w:hAnsi="宋体" w:cs="宋体"/>
          <w:color w:val="auto"/>
          <w:sz w:val="24"/>
          <w:highlight w:val="none"/>
        </w:rPr>
        <w:t>依据入围供应商的服务价格、服务承诺、服务便利性以及用户评价等因素，从第一阶段入围供应商中直接选定。第一阶段入围供应商的协议价格是</w:t>
      </w:r>
      <w:r>
        <w:rPr>
          <w:rFonts w:hint="eastAsia" w:ascii="宋体" w:hAnsi="宋体" w:cs="宋体"/>
          <w:color w:val="auto"/>
          <w:sz w:val="24"/>
          <w:highlight w:val="none"/>
          <w:lang w:eastAsia="zh-CN"/>
        </w:rPr>
        <w:t>义乌市财政局</w:t>
      </w:r>
      <w:r>
        <w:rPr>
          <w:rFonts w:hint="eastAsia" w:ascii="宋体" w:hAnsi="宋体" w:cs="宋体"/>
          <w:color w:val="auto"/>
          <w:sz w:val="24"/>
          <w:highlight w:val="none"/>
        </w:rPr>
        <w:t>确定第二阶段成交供应商的最高限价。</w:t>
      </w:r>
    </w:p>
    <w:p w14:paraId="067A68A0">
      <w:pPr>
        <w:spacing w:line="400" w:lineRule="exact"/>
        <w:ind w:firstLine="482"/>
        <w:rPr>
          <w:rFonts w:ascii="宋体" w:hAnsi="宋体" w:cs="宋体"/>
          <w:color w:val="auto"/>
          <w:sz w:val="24"/>
          <w:highlight w:val="none"/>
        </w:rPr>
      </w:pPr>
      <w:r>
        <w:rPr>
          <w:rFonts w:hint="eastAsia" w:ascii="宋体" w:hAnsi="宋体" w:cs="宋体"/>
          <w:color w:val="auto"/>
          <w:sz w:val="24"/>
          <w:highlight w:val="none"/>
        </w:rPr>
        <w:t>征集人不保证入围供应商协议期内的最低供应数量或金额。</w:t>
      </w:r>
    </w:p>
    <w:p w14:paraId="3137832A">
      <w:pPr>
        <w:pStyle w:val="64"/>
        <w:keepNext w:val="0"/>
        <w:keepLines w:val="0"/>
        <w:pageBreakBefore w:val="0"/>
        <w:widowControl w:val="0"/>
        <w:kinsoku/>
        <w:wordWrap/>
        <w:overflowPunct/>
        <w:topLinePunct w:val="0"/>
        <w:autoSpaceDE/>
        <w:autoSpaceDN/>
        <w:bidi w:val="0"/>
        <w:adjustRightInd/>
        <w:snapToGrid/>
        <w:spacing w:after="0" w:line="500" w:lineRule="exact"/>
        <w:ind w:left="0" w:leftChars="0" w:firstLine="482"/>
        <w:textAlignment w:val="auto"/>
        <w:rPr>
          <w:rFonts w:cs="宋体"/>
          <w:b/>
          <w:bCs/>
          <w:color w:val="auto"/>
          <w:sz w:val="28"/>
          <w:szCs w:val="28"/>
          <w:highlight w:val="none"/>
        </w:rPr>
      </w:pPr>
      <w:r>
        <w:rPr>
          <w:rFonts w:hint="eastAsia"/>
          <w:color w:val="000000"/>
          <w:sz w:val="28"/>
          <w:szCs w:val="28"/>
          <w:highlight w:val="none"/>
        </w:rPr>
        <w:t>★</w:t>
      </w:r>
      <w:r>
        <w:rPr>
          <w:rFonts w:hint="eastAsia" w:cs="宋体"/>
          <w:b/>
          <w:bCs/>
          <w:color w:val="auto"/>
          <w:sz w:val="28"/>
          <w:szCs w:val="28"/>
          <w:highlight w:val="none"/>
        </w:rPr>
        <w:t>二、服务内容及要求</w:t>
      </w:r>
    </w:p>
    <w:p w14:paraId="625F7101">
      <w:pPr>
        <w:spacing w:line="400" w:lineRule="exact"/>
        <w:ind w:firstLine="482"/>
        <w:rPr>
          <w:rFonts w:ascii="宋体" w:hAnsi="宋体" w:cs="宋体"/>
          <w:color w:val="auto"/>
          <w:sz w:val="24"/>
          <w:highlight w:val="none"/>
        </w:rPr>
      </w:pPr>
      <w:r>
        <w:rPr>
          <w:rFonts w:hint="eastAsia" w:ascii="宋体" w:hAnsi="宋体" w:cs="宋体"/>
          <w:color w:val="auto"/>
          <w:sz w:val="24"/>
          <w:highlight w:val="none"/>
        </w:rPr>
        <w:t>（一）服务内容：</w:t>
      </w:r>
    </w:p>
    <w:p w14:paraId="4B3E6E8B">
      <w:pPr>
        <w:spacing w:line="400" w:lineRule="exact"/>
        <w:ind w:firstLine="482"/>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在债券需求申报阶段，律师事务所需审查专项债券项目有关主体适格、基本信息、资金来源、资金投向、收费内容、收费政策依据等所涉法律事项的合法合规情况。</w:t>
      </w:r>
    </w:p>
    <w:p w14:paraId="78EC8ED5">
      <w:pPr>
        <w:spacing w:line="400" w:lineRule="exact"/>
        <w:ind w:firstLine="482"/>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在债券发行准备阶段，律师事务所需协助</w:t>
      </w:r>
      <w:r>
        <w:rPr>
          <w:rFonts w:hint="eastAsia" w:ascii="宋体" w:hAnsi="宋体" w:cs="宋体"/>
          <w:color w:val="auto"/>
          <w:sz w:val="24"/>
          <w:highlight w:val="none"/>
          <w:lang w:eastAsia="zh-CN"/>
        </w:rPr>
        <w:t>征集人</w:t>
      </w:r>
      <w:r>
        <w:rPr>
          <w:rFonts w:hint="eastAsia" w:ascii="宋体" w:hAnsi="宋体" w:cs="宋体"/>
          <w:color w:val="auto"/>
          <w:sz w:val="24"/>
          <w:highlight w:val="none"/>
        </w:rPr>
        <w:t>进行专项债券发行申请，对申请政府专项债券的项目提供独立、专业的法律服务，并在财政部门要求的时间内</w:t>
      </w:r>
      <w:r>
        <w:rPr>
          <w:rFonts w:hint="eastAsia" w:ascii="宋体" w:hAnsi="宋体" w:cs="宋体"/>
          <w:color w:val="auto"/>
          <w:sz w:val="24"/>
          <w:highlight w:val="none"/>
          <w:lang w:eastAsia="zh-CN"/>
        </w:rPr>
        <w:t>（必要时</w:t>
      </w:r>
      <w:r>
        <w:rPr>
          <w:rFonts w:hint="eastAsia" w:ascii="宋体" w:hAnsi="宋体" w:cs="宋体"/>
          <w:color w:val="auto"/>
          <w:sz w:val="24"/>
          <w:highlight w:val="none"/>
          <w:lang w:val="en-US" w:eastAsia="zh-CN"/>
        </w:rPr>
        <w:t>8小时内</w:t>
      </w:r>
      <w:r>
        <w:rPr>
          <w:rFonts w:hint="eastAsia" w:ascii="宋体" w:hAnsi="宋体" w:cs="宋体"/>
          <w:color w:val="auto"/>
          <w:sz w:val="24"/>
          <w:highlight w:val="none"/>
          <w:lang w:eastAsia="zh-CN"/>
        </w:rPr>
        <w:t>）</w:t>
      </w:r>
      <w:r>
        <w:rPr>
          <w:rFonts w:hint="eastAsia" w:ascii="宋体" w:hAnsi="宋体" w:cs="宋体"/>
          <w:color w:val="auto"/>
          <w:sz w:val="24"/>
          <w:highlight w:val="none"/>
        </w:rPr>
        <w:t>具加盖公章的《法律意见书》正式稿。</w:t>
      </w:r>
    </w:p>
    <w:p w14:paraId="05245A57">
      <w:pPr>
        <w:spacing w:line="400" w:lineRule="exact"/>
        <w:ind w:firstLine="482"/>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w:t>
      </w:r>
      <w:r>
        <w:rPr>
          <w:rFonts w:hint="eastAsia" w:ascii="宋体" w:hAnsi="宋体" w:cs="宋体"/>
          <w:color w:val="auto"/>
          <w:sz w:val="24"/>
          <w:highlight w:val="none"/>
        </w:rPr>
        <w:t>律师事务所需与财政部门招选的会计师事务所密切合作、相互配合，协助对方及时出具债券发行所需文本材料。</w:t>
      </w:r>
    </w:p>
    <w:p w14:paraId="0C094094">
      <w:pPr>
        <w:spacing w:line="400" w:lineRule="exact"/>
        <w:ind w:firstLine="482"/>
        <w:rPr>
          <w:rFonts w:hint="eastAsia" w:ascii="宋体" w:hAnsi="宋体" w:cs="宋体"/>
          <w:color w:val="auto"/>
          <w:sz w:val="24"/>
          <w:highlight w:val="none"/>
        </w:rPr>
      </w:pPr>
      <w:r>
        <w:rPr>
          <w:rFonts w:hint="eastAsia" w:ascii="宋体" w:hAnsi="宋体" w:cs="宋体"/>
          <w:color w:val="auto"/>
          <w:sz w:val="24"/>
          <w:highlight w:val="none"/>
          <w:lang w:val="en-US" w:eastAsia="zh-CN"/>
        </w:rPr>
        <w:t>（4）6小时内到达</w:t>
      </w:r>
      <w:r>
        <w:rPr>
          <w:rFonts w:hint="eastAsia" w:ascii="宋体" w:hAnsi="宋体" w:cs="宋体"/>
          <w:color w:val="auto"/>
          <w:sz w:val="24"/>
          <w:highlight w:val="none"/>
        </w:rPr>
        <w:t>现场参与财政部门组织的专项债券项目联审工作。</w:t>
      </w:r>
    </w:p>
    <w:p w14:paraId="10CB504D">
      <w:pPr>
        <w:spacing w:line="400" w:lineRule="exact"/>
        <w:ind w:firstLine="482"/>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w:t>
      </w:r>
      <w:r>
        <w:rPr>
          <w:rFonts w:hint="eastAsia" w:ascii="宋体" w:hAnsi="宋体" w:cs="宋体"/>
          <w:color w:val="auto"/>
          <w:sz w:val="24"/>
          <w:highlight w:val="none"/>
        </w:rPr>
        <w:t>财政部门要求的其他专项债券发行前期准备工作。</w:t>
      </w:r>
    </w:p>
    <w:p w14:paraId="55E6C207">
      <w:pPr>
        <w:spacing w:line="400" w:lineRule="exact"/>
        <w:ind w:firstLine="482"/>
        <w:rPr>
          <w:rFonts w:hint="eastAsia" w:ascii="宋体" w:hAnsi="宋体" w:eastAsia="宋体" w:cs="宋体"/>
          <w:b/>
          <w:bCs/>
          <w:color w:val="auto"/>
          <w:kern w:val="2"/>
          <w:sz w:val="24"/>
          <w:szCs w:val="24"/>
          <w:highlight w:val="none"/>
          <w:lang w:val="en-US" w:eastAsia="zh-CN" w:bidi="ar-SA"/>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拟派本项目技术团队</w:t>
      </w:r>
      <w:r>
        <w:rPr>
          <w:rFonts w:hint="eastAsia" w:ascii="宋体" w:hAnsi="宋体" w:cs="宋体"/>
          <w:color w:val="auto"/>
          <w:sz w:val="24"/>
          <w:highlight w:val="none"/>
          <w:lang w:eastAsia="zh-CN"/>
        </w:rPr>
        <w:t>中，</w:t>
      </w:r>
      <w:r>
        <w:rPr>
          <w:rFonts w:ascii="宋体" w:hAnsi="宋体"/>
          <w:color w:val="auto"/>
          <w:sz w:val="24"/>
          <w:highlight w:val="none"/>
        </w:rPr>
        <w:t>具有</w:t>
      </w:r>
      <w:r>
        <w:rPr>
          <w:rFonts w:hint="eastAsia" w:ascii="宋体" w:hAnsi="宋体"/>
          <w:color w:val="auto"/>
          <w:sz w:val="24"/>
          <w:highlight w:val="none"/>
        </w:rPr>
        <w:t>三级律师</w:t>
      </w:r>
      <w:r>
        <w:rPr>
          <w:rFonts w:hint="eastAsia" w:ascii="宋体" w:hAnsi="宋体"/>
          <w:color w:val="auto"/>
          <w:sz w:val="24"/>
          <w:highlight w:val="none"/>
          <w:lang w:eastAsia="zh-CN"/>
        </w:rPr>
        <w:t>及</w:t>
      </w:r>
      <w:r>
        <w:rPr>
          <w:rFonts w:hint="eastAsia" w:ascii="宋体" w:hAnsi="宋体"/>
          <w:color w:val="auto"/>
          <w:sz w:val="24"/>
          <w:highlight w:val="none"/>
        </w:rPr>
        <w:t>以上法律中</w:t>
      </w:r>
      <w:r>
        <w:rPr>
          <w:rFonts w:ascii="宋体" w:hAnsi="宋体"/>
          <w:color w:val="auto"/>
          <w:sz w:val="24"/>
          <w:highlight w:val="none"/>
        </w:rPr>
        <w:t>高级职称的</w:t>
      </w:r>
      <w:r>
        <w:rPr>
          <w:rFonts w:hint="eastAsia" w:ascii="宋体" w:hAnsi="宋体" w:cs="宋体"/>
          <w:color w:val="auto"/>
          <w:sz w:val="24"/>
          <w:highlight w:val="none"/>
        </w:rPr>
        <w:t>人数</w:t>
      </w:r>
      <w:r>
        <w:rPr>
          <w:rFonts w:hint="eastAsia" w:ascii="宋体" w:hAnsi="宋体" w:cs="宋体"/>
          <w:color w:val="auto"/>
          <w:sz w:val="24"/>
          <w:highlight w:val="none"/>
          <w:lang w:eastAsia="zh-CN"/>
        </w:rPr>
        <w:t>应在</w:t>
      </w:r>
      <w:r>
        <w:rPr>
          <w:rFonts w:hint="eastAsia" w:ascii="宋体" w:hAnsi="宋体" w:cs="宋体"/>
          <w:color w:val="auto"/>
          <w:sz w:val="24"/>
          <w:highlight w:val="none"/>
          <w:lang w:val="en-US" w:eastAsia="zh-CN"/>
        </w:rPr>
        <w:t>2人或2人以上。</w:t>
      </w:r>
      <w:r>
        <w:rPr>
          <w:rFonts w:hint="eastAsia" w:ascii="宋体" w:hAnsi="宋体" w:eastAsia="宋体" w:cs="宋体"/>
          <w:b/>
          <w:bCs/>
          <w:color w:val="auto"/>
          <w:sz w:val="24"/>
          <w:szCs w:val="24"/>
          <w:highlight w:val="none"/>
          <w:lang w:eastAsia="zh-CN"/>
        </w:rPr>
        <w:t>（备注：以上所有人员</w:t>
      </w:r>
      <w:r>
        <w:rPr>
          <w:rFonts w:hint="eastAsia" w:ascii="宋体" w:hAnsi="宋体" w:eastAsia="宋体" w:cs="宋体"/>
          <w:b/>
          <w:bCs/>
          <w:color w:val="auto"/>
          <w:kern w:val="2"/>
          <w:sz w:val="24"/>
          <w:szCs w:val="24"/>
          <w:highlight w:val="none"/>
          <w:lang w:val="en-US" w:eastAsia="zh-CN" w:bidi="ar-SA"/>
        </w:rPr>
        <w:t>在投标（响应）文件中需提供在投标单位缴纳的自2025年9月1日以来任意一个月的社保缴费清单，如投标单位新成立不足一个月的，按实际缴纳情况提供人员在该单位的社保缴费清单，社保缴费清单需加盖缴费当地社保机构公章或业务章，如有证书的还需提供相关证书扫描件并加盖公章）</w:t>
      </w:r>
    </w:p>
    <w:p w14:paraId="5BE785FF">
      <w:pPr>
        <w:spacing w:line="400" w:lineRule="exact"/>
        <w:ind w:firstLine="482"/>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eastAsia="zh-CN"/>
        </w:rPr>
        <w:t>供应商承诺服务期间廉洁执业，遵守工作纪律和职业道德规范，无违法违纪违规行为。</w:t>
      </w:r>
    </w:p>
    <w:p w14:paraId="532EA3C1">
      <w:pPr>
        <w:spacing w:line="400" w:lineRule="exact"/>
        <w:ind w:firstLine="482"/>
        <w:rPr>
          <w:rFonts w:hint="eastAsia" w:ascii="宋体" w:hAnsi="宋体" w:eastAsia="宋体" w:cs="宋体"/>
          <w:color w:val="auto"/>
          <w:sz w:val="24"/>
          <w:highlight w:val="yellow"/>
          <w:lang w:eastAsia="zh-CN"/>
        </w:rPr>
      </w:pPr>
      <w:r>
        <w:rPr>
          <w:rFonts w:hint="eastAsia" w:ascii="宋体" w:hAnsi="宋体" w:eastAsia="宋体" w:cs="宋体"/>
          <w:color w:val="auto"/>
          <w:sz w:val="24"/>
          <w:highlight w:val="none"/>
          <w:lang w:val="en-US" w:eastAsia="zh-CN"/>
        </w:rPr>
        <w:t>（8）供应商承诺委派的工作人员应履行保密义务，对执业过程中所获得的相关信息予以保密，不得私自对外泄露，且与其他中介机构密切配合，共同推进债券发行工作，不得推诿、敷衍、拖延</w:t>
      </w:r>
      <w:r>
        <w:rPr>
          <w:rFonts w:hint="eastAsia" w:ascii="宋体" w:hAnsi="宋体" w:eastAsia="宋体" w:cs="宋体"/>
          <w:color w:val="auto"/>
          <w:sz w:val="24"/>
          <w:highlight w:val="none"/>
          <w:lang w:eastAsia="zh-CN"/>
        </w:rPr>
        <w:t>。</w:t>
      </w:r>
    </w:p>
    <w:p w14:paraId="25DA7CF1">
      <w:pPr>
        <w:spacing w:line="400" w:lineRule="exact"/>
        <w:ind w:firstLine="482"/>
        <w:rPr>
          <w:rFonts w:ascii="宋体" w:hAnsi="宋体" w:cs="宋体"/>
          <w:color w:val="auto"/>
          <w:sz w:val="24"/>
          <w:highlight w:val="none"/>
        </w:rPr>
      </w:pPr>
      <w:r>
        <w:rPr>
          <w:rFonts w:hint="eastAsia" w:ascii="宋体" w:hAnsi="宋体" w:cs="宋体"/>
          <w:color w:val="auto"/>
          <w:sz w:val="24"/>
          <w:highlight w:val="none"/>
        </w:rPr>
        <w:t>（二）服务期限：</w:t>
      </w:r>
    </w:p>
    <w:p w14:paraId="304C4B7A">
      <w:pPr>
        <w:spacing w:line="400" w:lineRule="exact"/>
        <w:ind w:firstLine="482"/>
        <w:rPr>
          <w:rFonts w:hint="eastAsia" w:ascii="宋体" w:hAnsi="宋体" w:eastAsia="宋体" w:cs="宋体"/>
          <w:snapToGrid/>
          <w:color w:val="auto"/>
          <w:kern w:val="2"/>
          <w:sz w:val="24"/>
          <w:szCs w:val="24"/>
          <w:highlight w:val="yellow"/>
          <w:lang w:val="en-US" w:eastAsia="zh-CN" w:bidi="ar-SA"/>
        </w:rPr>
      </w:pPr>
      <w:r>
        <w:rPr>
          <w:rFonts w:hint="eastAsia" w:ascii="宋体" w:hAnsi="宋体" w:cs="宋体"/>
          <w:color w:val="auto"/>
          <w:sz w:val="24"/>
          <w:highlight w:val="none"/>
          <w:lang w:eastAsia="zh-CN"/>
        </w:rPr>
        <w:t>两</w:t>
      </w:r>
      <w:r>
        <w:rPr>
          <w:rFonts w:hint="eastAsia" w:ascii="宋体" w:hAnsi="宋体" w:cs="宋体"/>
          <w:color w:val="auto"/>
          <w:sz w:val="24"/>
          <w:highlight w:val="none"/>
        </w:rPr>
        <w:t>年（</w:t>
      </w:r>
      <w:r>
        <w:rPr>
          <w:rFonts w:hint="eastAsia" w:ascii="宋体" w:hAnsi="宋体" w:cs="宋体"/>
          <w:color w:val="auto"/>
          <w:sz w:val="24"/>
          <w:highlight w:val="none"/>
          <w:lang w:eastAsia="zh-CN"/>
        </w:rPr>
        <w:t>2026-2027年度</w:t>
      </w:r>
      <w:r>
        <w:rPr>
          <w:rFonts w:hint="eastAsia" w:ascii="宋体" w:hAnsi="宋体" w:cs="宋体"/>
          <w:color w:val="auto"/>
          <w:sz w:val="24"/>
          <w:highlight w:val="none"/>
        </w:rPr>
        <w:t>），具体以合同</w:t>
      </w:r>
      <w:r>
        <w:rPr>
          <w:rFonts w:hint="eastAsia" w:ascii="宋体" w:hAnsi="宋体" w:cs="宋体"/>
          <w:color w:val="auto"/>
          <w:sz w:val="24"/>
          <w:highlight w:val="none"/>
          <w:lang w:eastAsia="zh-CN"/>
        </w:rPr>
        <w:t>签订</w:t>
      </w:r>
      <w:r>
        <w:rPr>
          <w:rFonts w:hint="eastAsia" w:ascii="宋体" w:hAnsi="宋体" w:cs="宋体"/>
          <w:color w:val="auto"/>
          <w:sz w:val="24"/>
          <w:highlight w:val="none"/>
        </w:rPr>
        <w:t>时间为准。</w:t>
      </w:r>
      <w:r>
        <w:rPr>
          <w:rFonts w:hint="eastAsia" w:ascii="宋体" w:hAnsi="宋体" w:eastAsia="宋体" w:cs="宋体"/>
          <w:snapToGrid/>
          <w:color w:val="auto"/>
          <w:kern w:val="2"/>
          <w:sz w:val="24"/>
          <w:szCs w:val="24"/>
          <w:highlight w:val="none"/>
          <w:lang w:val="en-US" w:eastAsia="zh-CN" w:bidi="ar-SA"/>
        </w:rPr>
        <w:t>若供应商出现服务质量不高、影响债券发行情形的，经采购人评估，无法继续合作的，取消其入围资格。</w:t>
      </w:r>
    </w:p>
    <w:p w14:paraId="4D0D4162">
      <w:pPr>
        <w:spacing w:line="400" w:lineRule="exact"/>
        <w:ind w:firstLine="482"/>
        <w:rPr>
          <w:rFonts w:ascii="宋体" w:hAnsi="宋体" w:cs="宋体"/>
          <w:color w:val="auto"/>
          <w:sz w:val="24"/>
          <w:highlight w:val="none"/>
        </w:rPr>
      </w:pPr>
      <w:r>
        <w:rPr>
          <w:rFonts w:hint="eastAsia" w:ascii="宋体" w:hAnsi="宋体" w:cs="宋体"/>
          <w:color w:val="auto"/>
          <w:sz w:val="24"/>
          <w:highlight w:val="none"/>
        </w:rPr>
        <w:t>（三）服务要求：</w:t>
      </w:r>
    </w:p>
    <w:p w14:paraId="4C082D22">
      <w:pPr>
        <w:spacing w:line="400" w:lineRule="exact"/>
        <w:ind w:firstLine="480" w:firstLineChars="200"/>
        <w:rPr>
          <w:rFonts w:ascii="宋体" w:hAnsi="宋体" w:cs="宋体"/>
          <w:color w:val="auto"/>
          <w:sz w:val="24"/>
          <w:highlight w:val="yellow"/>
        </w:rPr>
      </w:pPr>
      <w:r>
        <w:rPr>
          <w:rFonts w:hint="eastAsia" w:ascii="宋体" w:hAnsi="宋体" w:cs="宋体"/>
          <w:color w:val="auto"/>
          <w:sz w:val="24"/>
          <w:highlight w:val="none"/>
        </w:rPr>
        <w:t>专项债券发行必须符合相关法律、行政法规和规范性文件的要求。</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在中标后应在人员安排上及时给予保障，负责人与项目组主要成员必须是本单位人员，且投标文件中已确定的人员名单，在服务期内原则上不得更换，如有调整需征得</w:t>
      </w:r>
      <w:r>
        <w:rPr>
          <w:rFonts w:hint="eastAsia" w:ascii="宋体" w:hAnsi="宋体" w:cs="宋体"/>
          <w:color w:val="auto"/>
          <w:sz w:val="24"/>
          <w:highlight w:val="none"/>
          <w:lang w:eastAsia="zh-CN"/>
        </w:rPr>
        <w:t>征集人</w:t>
      </w:r>
      <w:r>
        <w:rPr>
          <w:rFonts w:hint="eastAsia" w:ascii="宋体" w:hAnsi="宋体" w:cs="宋体"/>
          <w:color w:val="auto"/>
          <w:sz w:val="24"/>
          <w:highlight w:val="none"/>
        </w:rPr>
        <w:t>的同意。在接到</w:t>
      </w:r>
      <w:r>
        <w:rPr>
          <w:rFonts w:hint="eastAsia" w:ascii="宋体" w:hAnsi="宋体" w:cs="宋体"/>
          <w:color w:val="auto"/>
          <w:sz w:val="24"/>
          <w:highlight w:val="none"/>
          <w:lang w:eastAsia="zh-CN"/>
        </w:rPr>
        <w:t>征集人</w:t>
      </w:r>
      <w:r>
        <w:rPr>
          <w:rFonts w:hint="eastAsia" w:ascii="宋体" w:hAnsi="宋体" w:cs="宋体"/>
          <w:color w:val="auto"/>
          <w:sz w:val="24"/>
          <w:highlight w:val="none"/>
        </w:rPr>
        <w:t>委托任务后应及时开展工作并出具各种专业报告。专业报告包括纸质和电子版两种形式，数量根据</w:t>
      </w:r>
      <w:r>
        <w:rPr>
          <w:rFonts w:hint="eastAsia" w:ascii="宋体" w:hAnsi="宋体" w:cs="宋体"/>
          <w:color w:val="auto"/>
          <w:sz w:val="24"/>
          <w:highlight w:val="none"/>
          <w:lang w:eastAsia="zh-CN"/>
        </w:rPr>
        <w:t>征集人</w:t>
      </w:r>
      <w:r>
        <w:rPr>
          <w:rFonts w:hint="eastAsia" w:ascii="宋体" w:hAnsi="宋体" w:cs="宋体"/>
          <w:color w:val="auto"/>
          <w:sz w:val="24"/>
          <w:highlight w:val="none"/>
        </w:rPr>
        <w:t>在发债过程中的实际需要而定。</w:t>
      </w:r>
    </w:p>
    <w:p w14:paraId="05FC535F">
      <w:pPr>
        <w:pStyle w:val="64"/>
        <w:keepNext w:val="0"/>
        <w:keepLines w:val="0"/>
        <w:pageBreakBefore w:val="0"/>
        <w:widowControl w:val="0"/>
        <w:kinsoku/>
        <w:wordWrap/>
        <w:overflowPunct/>
        <w:topLinePunct w:val="0"/>
        <w:autoSpaceDE/>
        <w:autoSpaceDN/>
        <w:bidi w:val="0"/>
        <w:adjustRightInd/>
        <w:snapToGrid/>
        <w:spacing w:after="0" w:line="500" w:lineRule="exact"/>
        <w:ind w:left="0" w:leftChars="0" w:firstLine="562"/>
        <w:textAlignment w:val="auto"/>
        <w:rPr>
          <w:rFonts w:hint="eastAsia" w:ascii="宋体" w:hAnsi="宋体" w:eastAsia="宋体" w:cs="宋体"/>
          <w:b/>
          <w:bCs/>
          <w:color w:val="auto"/>
          <w:sz w:val="28"/>
          <w:szCs w:val="21"/>
          <w:highlight w:val="none"/>
        </w:rPr>
      </w:pPr>
      <w:r>
        <w:rPr>
          <w:rFonts w:hint="eastAsia" w:ascii="宋体" w:hAnsi="宋体" w:eastAsia="宋体" w:cs="宋体"/>
          <w:b/>
          <w:bCs/>
          <w:color w:val="auto"/>
          <w:sz w:val="28"/>
          <w:szCs w:val="21"/>
          <w:highlight w:val="none"/>
        </w:rPr>
        <w:t>三、商务要求</w:t>
      </w:r>
      <w:bookmarkEnd w:id="46"/>
    </w:p>
    <w:p w14:paraId="01CC0188">
      <w:pPr>
        <w:spacing w:line="400" w:lineRule="exact"/>
        <w:ind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rPr>
        <w:t>（一）合同签订：</w:t>
      </w:r>
    </w:p>
    <w:p w14:paraId="391AFFC0">
      <w:pPr>
        <w:spacing w:line="4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本次采购由</w:t>
      </w:r>
      <w:r>
        <w:rPr>
          <w:rFonts w:hint="eastAsia" w:ascii="宋体" w:hAnsi="宋体" w:cs="宋体"/>
          <w:color w:val="auto"/>
          <w:kern w:val="0"/>
          <w:sz w:val="24"/>
          <w:highlight w:val="none"/>
          <w:lang w:eastAsia="zh-CN"/>
        </w:rPr>
        <w:t>义乌市财政局</w:t>
      </w:r>
      <w:r>
        <w:rPr>
          <w:rFonts w:hint="eastAsia" w:ascii="宋体" w:hAnsi="宋体" w:cs="宋体"/>
          <w:color w:val="auto"/>
          <w:kern w:val="0"/>
          <w:sz w:val="24"/>
          <w:highlight w:val="none"/>
        </w:rPr>
        <w:t>与中标供应商签订框架协议。</w:t>
      </w:r>
      <w:r>
        <w:rPr>
          <w:rFonts w:hint="eastAsia" w:ascii="宋体" w:hAnsi="宋体" w:cs="宋体"/>
          <w:color w:val="auto"/>
          <w:kern w:val="0"/>
          <w:sz w:val="24"/>
          <w:highlight w:val="none"/>
          <w:lang w:eastAsia="zh-CN"/>
        </w:rPr>
        <w:t>义乌市财政局</w:t>
      </w:r>
      <w:r>
        <w:rPr>
          <w:rFonts w:hint="eastAsia" w:ascii="宋体" w:hAnsi="宋体" w:cs="宋体"/>
          <w:color w:val="auto"/>
          <w:kern w:val="0"/>
          <w:sz w:val="24"/>
          <w:highlight w:val="none"/>
        </w:rPr>
        <w:t>根据中标结果，直接选定供应商签订服务合同，且服务价格不得高于本框架入围价格。</w:t>
      </w:r>
    </w:p>
    <w:p w14:paraId="2295CA58">
      <w:pPr>
        <w:spacing w:line="400" w:lineRule="exact"/>
        <w:ind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rPr>
        <w:t>（二）售后服务要求：</w:t>
      </w:r>
    </w:p>
    <w:p w14:paraId="0CFE7B3E">
      <w:pPr>
        <w:spacing w:line="3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（1）供应商在入围后应在人员安排上给予及时保障，负责人与项目组主要成员必须是本单位人员，且响应文件中已确定的人员名单，在服务期内原则上不得更换，如有调整需征得征集人的同意。</w:t>
      </w:r>
    </w:p>
    <w:p w14:paraId="5D0C4D58">
      <w:pPr>
        <w:spacing w:line="3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（2）在接到</w:t>
      </w:r>
      <w:r>
        <w:rPr>
          <w:rFonts w:hint="eastAsia" w:ascii="宋体" w:hAnsi="宋体" w:cs="宋体"/>
          <w:color w:val="auto"/>
          <w:kern w:val="0"/>
          <w:sz w:val="24"/>
          <w:highlight w:val="none"/>
          <w:lang w:eastAsia="zh-CN"/>
        </w:rPr>
        <w:t>义乌市财政局</w:t>
      </w:r>
      <w:r>
        <w:rPr>
          <w:rFonts w:hint="eastAsia" w:ascii="宋体" w:hAnsi="宋体" w:cs="宋体"/>
          <w:color w:val="auto"/>
          <w:kern w:val="0"/>
          <w:sz w:val="24"/>
          <w:highlight w:val="none"/>
        </w:rPr>
        <w:t>委托任务后应及时开展工作并出具各种专业报告。专业报告包括纸质和电子版两种形式，数量根据</w:t>
      </w:r>
      <w:r>
        <w:rPr>
          <w:rFonts w:hint="eastAsia" w:ascii="宋体" w:hAnsi="宋体" w:cs="宋体"/>
          <w:color w:val="auto"/>
          <w:kern w:val="0"/>
          <w:sz w:val="24"/>
          <w:highlight w:val="none"/>
          <w:lang w:eastAsia="zh-CN"/>
        </w:rPr>
        <w:t>义乌市财政局</w:t>
      </w:r>
      <w:r>
        <w:rPr>
          <w:rFonts w:hint="eastAsia" w:ascii="宋体" w:hAnsi="宋体" w:cs="宋体"/>
          <w:color w:val="auto"/>
          <w:kern w:val="0"/>
          <w:sz w:val="24"/>
          <w:highlight w:val="none"/>
        </w:rPr>
        <w:t>在发债过程中的实际需要量而定。</w:t>
      </w:r>
    </w:p>
    <w:p w14:paraId="7724EDFA">
      <w:pPr>
        <w:pStyle w:val="64"/>
        <w:keepNext w:val="0"/>
        <w:keepLines w:val="0"/>
        <w:pageBreakBefore w:val="0"/>
        <w:widowControl w:val="0"/>
        <w:kinsoku/>
        <w:wordWrap/>
        <w:overflowPunct/>
        <w:topLinePunct w:val="0"/>
        <w:autoSpaceDE/>
        <w:autoSpaceDN/>
        <w:bidi w:val="0"/>
        <w:adjustRightInd/>
        <w:snapToGrid/>
        <w:spacing w:after="0" w:line="500" w:lineRule="exact"/>
        <w:ind w:left="0" w:leftChars="0" w:firstLine="562"/>
        <w:textAlignment w:val="auto"/>
        <w:rPr>
          <w:rFonts w:cs="宋体"/>
          <w:b/>
          <w:bCs/>
          <w:color w:val="auto"/>
          <w:sz w:val="28"/>
          <w:szCs w:val="21"/>
          <w:highlight w:val="none"/>
        </w:rPr>
      </w:pPr>
      <w:r>
        <w:rPr>
          <w:rFonts w:hint="eastAsia"/>
          <w:color w:val="000000"/>
          <w:sz w:val="24"/>
          <w:szCs w:val="24"/>
        </w:rPr>
        <w:t>★</w:t>
      </w:r>
      <w:r>
        <w:rPr>
          <w:rFonts w:hint="eastAsia" w:cs="宋体"/>
          <w:b/>
          <w:bCs/>
          <w:color w:val="auto"/>
          <w:sz w:val="28"/>
          <w:szCs w:val="21"/>
          <w:highlight w:val="none"/>
        </w:rPr>
        <w:t>四、报价要求</w:t>
      </w:r>
    </w:p>
    <w:bookmarkEnd w:id="47"/>
    <w:p w14:paraId="59CF461A">
      <w:pPr>
        <w:spacing w:line="4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（一）最高限价。</w:t>
      </w:r>
    </w:p>
    <w:p w14:paraId="190FB751">
      <w:pPr>
        <w:spacing w:line="4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本项目</w:t>
      </w:r>
      <w:r>
        <w:rPr>
          <w:rFonts w:hint="eastAsia" w:ascii="宋体" w:hAnsi="宋体" w:cs="宋体"/>
          <w:color w:val="auto"/>
          <w:kern w:val="0"/>
          <w:sz w:val="24"/>
          <w:highlight w:val="none"/>
          <w:lang w:eastAsia="zh-CN"/>
        </w:rPr>
        <w:t>征集人</w:t>
      </w:r>
      <w:r>
        <w:rPr>
          <w:rFonts w:hint="eastAsia" w:ascii="宋体" w:hAnsi="宋体" w:cs="宋体"/>
          <w:color w:val="auto"/>
          <w:kern w:val="0"/>
          <w:sz w:val="24"/>
          <w:highlight w:val="none"/>
        </w:rPr>
        <w:t>根据出具加盖第三方中介机构公章的法律意见书</w:t>
      </w:r>
      <w:r>
        <w:rPr>
          <w:rFonts w:hint="eastAsia" w:ascii="宋体" w:hAnsi="宋体" w:cs="宋体"/>
          <w:color w:val="auto"/>
          <w:kern w:val="0"/>
          <w:sz w:val="24"/>
          <w:highlight w:val="none"/>
          <w:lang w:eastAsia="zh-CN"/>
        </w:rPr>
        <w:t>（正式稿）</w:t>
      </w:r>
      <w:r>
        <w:rPr>
          <w:rFonts w:hint="eastAsia" w:ascii="宋体" w:hAnsi="宋体" w:cs="宋体"/>
          <w:color w:val="auto"/>
          <w:kern w:val="0"/>
          <w:sz w:val="24"/>
          <w:highlight w:val="none"/>
        </w:rPr>
        <w:t>的项目，设定专业服务费报价的最高单价限价（见下表）。投标人应在最高单价限价范围内进行报价，报价内容为xx元/个。报价超过最高限价视为无效。</w:t>
      </w:r>
    </w:p>
    <w:tbl>
      <w:tblPr>
        <w:tblStyle w:val="65"/>
        <w:tblW w:w="8918" w:type="dxa"/>
        <w:jc w:val="center"/>
        <w:tblLayout w:type="fixed"/>
        <w:tblCellMar>
          <w:top w:w="0" w:type="dxa"/>
          <w:left w:w="0" w:type="dxa"/>
          <w:bottom w:w="0" w:type="dxa"/>
          <w:right w:w="0" w:type="dxa"/>
        </w:tblCellMar>
      </w:tblPr>
      <w:tblGrid>
        <w:gridCol w:w="912"/>
        <w:gridCol w:w="6341"/>
        <w:gridCol w:w="1665"/>
      </w:tblGrid>
      <w:tr w14:paraId="464EBF00">
        <w:tblPrEx>
          <w:tblCellMar>
            <w:top w:w="0" w:type="dxa"/>
            <w:left w:w="0" w:type="dxa"/>
            <w:bottom w:w="0" w:type="dxa"/>
            <w:right w:w="0" w:type="dxa"/>
          </w:tblCellMar>
        </w:tblPrEx>
        <w:trPr>
          <w:trHeight w:val="344" w:hRule="atLeast"/>
          <w:jc w:val="center"/>
        </w:trPr>
        <w:tc>
          <w:tcPr>
            <w:tcW w:w="912" w:type="dxa"/>
            <w:tcBorders>
              <w:top w:val="single" w:color="000000" w:sz="4" w:space="0"/>
              <w:left w:val="single" w:color="000000" w:sz="4" w:space="0"/>
              <w:bottom w:val="single" w:color="000000" w:sz="4" w:space="0"/>
              <w:right w:val="single" w:color="000000" w:sz="4" w:space="0"/>
              <w:tl2br w:val="nil"/>
              <w:tr2bl w:val="nil"/>
            </w:tcBorders>
            <w:tcMar>
              <w:top w:w="12" w:type="dxa"/>
              <w:left w:w="12" w:type="dxa"/>
              <w:right w:w="12" w:type="dxa"/>
            </w:tcMar>
            <w:vAlign w:val="center"/>
          </w:tcPr>
          <w:p w14:paraId="482576B3">
            <w:pPr>
              <w:widowControl/>
              <w:snapToGrid w:val="0"/>
              <w:jc w:val="center"/>
              <w:rPr>
                <w:rFonts w:ascii="宋体" w:hAnsi="宋体" w:cs="宋体"/>
                <w:color w:val="auto"/>
                <w:sz w:val="24"/>
                <w:highlight w:val="none"/>
              </w:rPr>
            </w:pPr>
            <w:r>
              <w:rPr>
                <w:rFonts w:hint="eastAsia" w:ascii="宋体" w:hAnsi="宋体" w:cs="宋体"/>
                <w:color w:val="auto"/>
                <w:sz w:val="24"/>
                <w:highlight w:val="none"/>
              </w:rPr>
              <w:t>序号</w:t>
            </w:r>
          </w:p>
        </w:tc>
        <w:tc>
          <w:tcPr>
            <w:tcW w:w="6341" w:type="dxa"/>
            <w:tcBorders>
              <w:top w:val="single" w:color="000000" w:sz="4" w:space="0"/>
              <w:left w:val="single" w:color="000000" w:sz="4" w:space="0"/>
              <w:bottom w:val="single" w:color="000000" w:sz="4" w:space="0"/>
              <w:right w:val="single" w:color="000000" w:sz="4" w:space="0"/>
              <w:tl2br w:val="nil"/>
              <w:tr2bl w:val="nil"/>
            </w:tcBorders>
            <w:tcMar>
              <w:top w:w="12" w:type="dxa"/>
              <w:left w:w="12" w:type="dxa"/>
              <w:right w:w="12" w:type="dxa"/>
            </w:tcMar>
            <w:vAlign w:val="center"/>
          </w:tcPr>
          <w:p w14:paraId="5CF0A55E">
            <w:pPr>
              <w:widowControl/>
              <w:snapToGrid w:val="0"/>
              <w:jc w:val="center"/>
              <w:rPr>
                <w:rFonts w:ascii="宋体" w:hAnsi="宋体" w:cs="宋体"/>
                <w:color w:val="auto"/>
                <w:sz w:val="24"/>
                <w:highlight w:val="none"/>
              </w:rPr>
            </w:pPr>
            <w:r>
              <w:rPr>
                <w:rFonts w:hint="eastAsia" w:ascii="宋体" w:hAnsi="宋体" w:cs="宋体"/>
                <w:color w:val="auto"/>
                <w:sz w:val="24"/>
                <w:highlight w:val="none"/>
              </w:rPr>
              <w:t>项目类型</w:t>
            </w:r>
          </w:p>
        </w:tc>
        <w:tc>
          <w:tcPr>
            <w:tcW w:w="1665" w:type="dxa"/>
            <w:tcBorders>
              <w:top w:val="single" w:color="000000" w:sz="4" w:space="0"/>
              <w:left w:val="single" w:color="000000" w:sz="4" w:space="0"/>
              <w:bottom w:val="single" w:color="000000" w:sz="4" w:space="0"/>
              <w:right w:val="single" w:color="000000" w:sz="4" w:space="0"/>
              <w:tl2br w:val="nil"/>
              <w:tr2bl w:val="nil"/>
            </w:tcBorders>
            <w:tcMar>
              <w:top w:w="12" w:type="dxa"/>
              <w:left w:w="12" w:type="dxa"/>
              <w:right w:w="12" w:type="dxa"/>
            </w:tcMar>
            <w:vAlign w:val="center"/>
          </w:tcPr>
          <w:p w14:paraId="60714782">
            <w:pPr>
              <w:widowControl/>
              <w:snapToGrid w:val="0"/>
              <w:jc w:val="center"/>
              <w:rPr>
                <w:rFonts w:ascii="宋体" w:hAnsi="宋体" w:cs="宋体"/>
                <w:color w:val="auto"/>
                <w:sz w:val="24"/>
                <w:highlight w:val="none"/>
              </w:rPr>
            </w:pPr>
            <w:r>
              <w:rPr>
                <w:rFonts w:hint="eastAsia" w:ascii="宋体" w:hAnsi="宋体" w:cs="宋体"/>
                <w:color w:val="auto"/>
                <w:sz w:val="24"/>
                <w:highlight w:val="none"/>
              </w:rPr>
              <w:t>最高单价限价</w:t>
            </w:r>
          </w:p>
        </w:tc>
      </w:tr>
      <w:tr w14:paraId="1CED0FEA">
        <w:tblPrEx>
          <w:tblCellMar>
            <w:top w:w="0" w:type="dxa"/>
            <w:left w:w="0" w:type="dxa"/>
            <w:bottom w:w="0" w:type="dxa"/>
            <w:right w:w="0" w:type="dxa"/>
          </w:tblCellMar>
        </w:tblPrEx>
        <w:trPr>
          <w:trHeight w:val="956" w:hRule="exact"/>
          <w:jc w:val="center"/>
        </w:trPr>
        <w:tc>
          <w:tcPr>
            <w:tcW w:w="912" w:type="dxa"/>
            <w:tcBorders>
              <w:top w:val="single" w:color="000000" w:sz="4" w:space="0"/>
              <w:left w:val="single" w:color="000000" w:sz="4" w:space="0"/>
              <w:bottom w:val="single" w:color="000000" w:sz="4" w:space="0"/>
              <w:right w:val="single" w:color="000000" w:sz="4" w:space="0"/>
              <w:tl2br w:val="nil"/>
              <w:tr2bl w:val="nil"/>
            </w:tcBorders>
            <w:tcMar>
              <w:top w:w="12" w:type="dxa"/>
              <w:left w:w="12" w:type="dxa"/>
              <w:right w:w="12" w:type="dxa"/>
            </w:tcMar>
            <w:vAlign w:val="center"/>
          </w:tcPr>
          <w:p w14:paraId="5D92258E">
            <w:pPr>
              <w:adjustRightInd/>
              <w:snapToGrid w:val="0"/>
              <w:spacing w:line="4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6341" w:type="dxa"/>
            <w:tcBorders>
              <w:top w:val="single" w:color="000000" w:sz="4" w:space="0"/>
              <w:left w:val="single" w:color="000000" w:sz="4" w:space="0"/>
              <w:bottom w:val="single" w:color="000000" w:sz="4" w:space="0"/>
              <w:right w:val="single" w:color="000000" w:sz="4" w:space="0"/>
              <w:tl2br w:val="nil"/>
              <w:tr2bl w:val="nil"/>
            </w:tcBorders>
            <w:tcMar>
              <w:top w:w="12" w:type="dxa"/>
              <w:left w:w="12" w:type="dxa"/>
              <w:right w:w="12" w:type="dxa"/>
            </w:tcMar>
            <w:vAlign w:val="center"/>
          </w:tcPr>
          <w:p w14:paraId="2F6C0DE4">
            <w:pPr>
              <w:widowControl/>
              <w:snapToGrid w:val="0"/>
              <w:rPr>
                <w:rFonts w:ascii="宋体" w:hAnsi="宋体" w:cs="宋体"/>
                <w:color w:val="auto"/>
                <w:sz w:val="24"/>
                <w:highlight w:val="none"/>
              </w:rPr>
            </w:pPr>
            <w:r>
              <w:rPr>
                <w:rFonts w:ascii="宋体" w:hAnsi="宋体" w:cs="宋体"/>
                <w:color w:val="auto"/>
                <w:sz w:val="24"/>
                <w:highlight w:val="none"/>
              </w:rPr>
              <w:t>出具加盖第三方中介机构公章的法律意见书</w:t>
            </w:r>
            <w:r>
              <w:rPr>
                <w:rFonts w:hint="eastAsia" w:ascii="宋体" w:hAnsi="宋体" w:cs="宋体"/>
                <w:color w:val="auto"/>
                <w:sz w:val="24"/>
                <w:highlight w:val="none"/>
                <w:lang w:eastAsia="zh-CN"/>
              </w:rPr>
              <w:t>（正式稿）</w:t>
            </w:r>
            <w:r>
              <w:rPr>
                <w:rFonts w:ascii="宋体" w:hAnsi="宋体" w:cs="宋体"/>
                <w:color w:val="auto"/>
                <w:sz w:val="24"/>
                <w:highlight w:val="none"/>
              </w:rPr>
              <w:t>并</w:t>
            </w:r>
            <w:r>
              <w:rPr>
                <w:rFonts w:hint="eastAsia" w:ascii="宋体" w:hAnsi="宋体" w:cs="宋体"/>
                <w:color w:val="auto"/>
                <w:sz w:val="24"/>
                <w:highlight w:val="none"/>
              </w:rPr>
              <w:t>首次</w:t>
            </w:r>
            <w:r>
              <w:rPr>
                <w:rFonts w:ascii="宋体" w:hAnsi="宋体" w:cs="宋体"/>
                <w:color w:val="auto"/>
                <w:sz w:val="24"/>
                <w:highlight w:val="none"/>
              </w:rPr>
              <w:t>成功发行</w:t>
            </w:r>
            <w:r>
              <w:rPr>
                <w:rFonts w:hint="eastAsia" w:ascii="宋体" w:hAnsi="宋体" w:cs="宋体"/>
                <w:color w:val="auto"/>
                <w:sz w:val="24"/>
                <w:highlight w:val="none"/>
              </w:rPr>
              <w:t>专项债的项目</w:t>
            </w:r>
          </w:p>
        </w:tc>
        <w:tc>
          <w:tcPr>
            <w:tcW w:w="1665" w:type="dxa"/>
            <w:tcBorders>
              <w:top w:val="single" w:color="000000" w:sz="4" w:space="0"/>
              <w:left w:val="single" w:color="000000" w:sz="4" w:space="0"/>
              <w:bottom w:val="single" w:color="000000" w:sz="4" w:space="0"/>
              <w:right w:val="single" w:color="000000" w:sz="4" w:space="0"/>
              <w:tl2br w:val="nil"/>
              <w:tr2bl w:val="nil"/>
            </w:tcBorders>
            <w:tcMar>
              <w:top w:w="12" w:type="dxa"/>
              <w:left w:w="12" w:type="dxa"/>
              <w:right w:w="12" w:type="dxa"/>
            </w:tcMar>
            <w:vAlign w:val="center"/>
          </w:tcPr>
          <w:p w14:paraId="6DF73BE0">
            <w:pPr>
              <w:widowControl/>
              <w:snapToGrid w:val="0"/>
              <w:jc w:val="center"/>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万元/个</w:t>
            </w:r>
          </w:p>
        </w:tc>
      </w:tr>
    </w:tbl>
    <w:p w14:paraId="132DFE08">
      <w:pPr>
        <w:spacing w:line="4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（二）其他要求。</w:t>
      </w:r>
    </w:p>
    <w:p w14:paraId="2A05656B">
      <w:pPr>
        <w:spacing w:line="400" w:lineRule="exact"/>
        <w:ind w:firstLine="480" w:firstLineChars="200"/>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1.对已</w:t>
      </w:r>
      <w:r>
        <w:rPr>
          <w:rFonts w:hint="eastAsia" w:ascii="宋体" w:hAnsi="宋体" w:cs="宋体"/>
          <w:color w:val="auto"/>
          <w:kern w:val="0"/>
          <w:sz w:val="24"/>
          <w:highlight w:val="none"/>
        </w:rPr>
        <w:t>出具加盖第三方中介机构公章的</w:t>
      </w:r>
      <w:r>
        <w:rPr>
          <w:rFonts w:ascii="宋体" w:hAnsi="宋体" w:cs="宋体"/>
          <w:color w:val="auto"/>
          <w:sz w:val="24"/>
          <w:highlight w:val="none"/>
        </w:rPr>
        <w:t>法律意见书</w:t>
      </w:r>
      <w:r>
        <w:rPr>
          <w:rFonts w:hint="eastAsia" w:ascii="宋体" w:hAnsi="宋体" w:cs="宋体"/>
          <w:color w:val="auto"/>
          <w:kern w:val="0"/>
          <w:sz w:val="24"/>
          <w:highlight w:val="none"/>
        </w:rPr>
        <w:t>（正式稿）并成功继续发行专项债的项目</w:t>
      </w:r>
      <w:r>
        <w:rPr>
          <w:rFonts w:hint="eastAsia" w:ascii="宋体" w:hAnsi="宋体" w:cs="宋体"/>
          <w:color w:val="auto"/>
          <w:kern w:val="0"/>
          <w:sz w:val="24"/>
          <w:highlight w:val="none"/>
          <w:lang w:eastAsia="zh-CN"/>
        </w:rPr>
        <w:t>，按成功新发项目中标价的</w:t>
      </w:r>
      <w:r>
        <w:rPr>
          <w:rFonts w:hint="eastAsia" w:ascii="宋体" w:hAnsi="宋体" w:cs="宋体"/>
          <w:color w:val="auto"/>
          <w:kern w:val="0"/>
          <w:sz w:val="24"/>
          <w:highlight w:val="none"/>
          <w:lang w:val="en-US" w:eastAsia="zh-CN"/>
        </w:rPr>
        <w:t>50%计算收费。</w:t>
      </w:r>
    </w:p>
    <w:p w14:paraId="00D81A0B">
      <w:pPr>
        <w:spacing w:line="400" w:lineRule="exact"/>
        <w:ind w:firstLine="480" w:firstLineChars="200"/>
        <w:rPr>
          <w:rFonts w:ascii="宋体" w:hAnsi="宋体" w:cs="宋体"/>
          <w:color w:val="auto"/>
          <w:kern w:val="0"/>
          <w:sz w:val="24"/>
          <w:highlight w:val="none"/>
        </w:rPr>
      </w:pPr>
      <w:r>
        <w:rPr>
          <w:rFonts w:hint="eastAsia" w:ascii="宋体" w:hAnsi="宋体" w:eastAsia="宋体" w:cs="宋体"/>
          <w:color w:val="auto"/>
          <w:kern w:val="0"/>
          <w:sz w:val="24"/>
          <w:highlight w:val="none"/>
          <w:lang w:val="en-US" w:eastAsia="zh-CN"/>
        </w:rPr>
        <w:t>2.</w:t>
      </w:r>
      <w:r>
        <w:rPr>
          <w:rFonts w:hint="eastAsia" w:cs="宋体"/>
          <w:color w:val="auto"/>
          <w:kern w:val="0"/>
          <w:sz w:val="24"/>
          <w:highlight w:val="none"/>
          <w:lang w:val="en-US" w:eastAsia="zh-CN"/>
        </w:rPr>
        <w:t>对已</w:t>
      </w:r>
      <w:r>
        <w:rPr>
          <w:rFonts w:hint="eastAsia" w:ascii="宋体" w:hAnsi="宋体" w:cs="宋体"/>
          <w:color w:val="auto"/>
          <w:sz w:val="24"/>
          <w:highlight w:val="none"/>
        </w:rPr>
        <w:t>出具加盖第三方中介机构公章的</w:t>
      </w:r>
      <w:r>
        <w:rPr>
          <w:rFonts w:ascii="宋体" w:hAnsi="宋体" w:cs="宋体"/>
          <w:color w:val="auto"/>
          <w:sz w:val="24"/>
          <w:highlight w:val="none"/>
        </w:rPr>
        <w:t>法律意见书</w:t>
      </w:r>
      <w:r>
        <w:rPr>
          <w:rFonts w:hint="eastAsia" w:ascii="宋体" w:hAnsi="宋体" w:cs="宋体"/>
          <w:color w:val="auto"/>
          <w:sz w:val="24"/>
          <w:highlight w:val="none"/>
        </w:rPr>
        <w:t>（正式稿）</w:t>
      </w:r>
      <w:r>
        <w:rPr>
          <w:rFonts w:hint="eastAsia" w:ascii="宋体" w:hAnsi="宋体" w:cs="宋体"/>
          <w:color w:val="auto"/>
          <w:sz w:val="24"/>
          <w:highlight w:val="none"/>
          <w:lang w:eastAsia="zh-CN"/>
        </w:rPr>
        <w:t>但未成功</w:t>
      </w:r>
      <w:r>
        <w:rPr>
          <w:rFonts w:hint="eastAsia" w:ascii="宋体" w:hAnsi="宋体" w:cs="宋体"/>
          <w:color w:val="auto"/>
          <w:sz w:val="24"/>
          <w:highlight w:val="none"/>
        </w:rPr>
        <w:t>发行专项债的</w:t>
      </w:r>
      <w:r>
        <w:rPr>
          <w:rFonts w:hint="eastAsia" w:ascii="宋体" w:hAnsi="宋体" w:cs="宋体"/>
          <w:color w:val="auto"/>
          <w:sz w:val="24"/>
          <w:highlight w:val="none"/>
          <w:lang w:eastAsia="zh-CN"/>
        </w:rPr>
        <w:t>新发</w:t>
      </w:r>
      <w:r>
        <w:rPr>
          <w:rFonts w:hint="eastAsia" w:ascii="宋体" w:hAnsi="宋体" w:cs="宋体"/>
          <w:color w:val="auto"/>
          <w:sz w:val="24"/>
          <w:highlight w:val="none"/>
        </w:rPr>
        <w:t>项目</w:t>
      </w:r>
      <w:r>
        <w:rPr>
          <w:rFonts w:hint="eastAsia" w:ascii="宋体" w:hAnsi="宋体" w:cs="宋体"/>
          <w:color w:val="auto"/>
          <w:sz w:val="24"/>
          <w:highlight w:val="none"/>
          <w:lang w:eastAsia="zh-CN"/>
        </w:rPr>
        <w:t>，</w:t>
      </w:r>
      <w:r>
        <w:rPr>
          <w:rFonts w:hint="eastAsia" w:ascii="宋体" w:hAnsi="宋体" w:cs="宋体"/>
          <w:color w:val="auto"/>
          <w:kern w:val="0"/>
          <w:sz w:val="24"/>
          <w:highlight w:val="none"/>
          <w:lang w:eastAsia="zh-CN"/>
        </w:rPr>
        <w:t>按成功新发项目中标价的</w:t>
      </w:r>
      <w:r>
        <w:rPr>
          <w:rFonts w:hint="eastAsia" w:ascii="宋体" w:hAnsi="宋体" w:cs="宋体"/>
          <w:color w:val="auto"/>
          <w:kern w:val="0"/>
          <w:sz w:val="24"/>
          <w:highlight w:val="none"/>
          <w:lang w:val="en-US" w:eastAsia="zh-CN"/>
        </w:rPr>
        <w:t>50%计算收费。</w:t>
      </w:r>
      <w:r>
        <w:rPr>
          <w:rFonts w:ascii="宋体" w:hAnsi="宋体" w:cs="宋体"/>
          <w:color w:val="auto"/>
          <w:kern w:val="0"/>
          <w:sz w:val="24"/>
          <w:highlight w:val="none"/>
        </w:rPr>
        <w:t>若后续项目发行成功，同一服务商</w:t>
      </w:r>
      <w:r>
        <w:rPr>
          <w:rFonts w:hint="eastAsia" w:ascii="宋体" w:hAnsi="宋体" w:cs="宋体"/>
          <w:color w:val="auto"/>
          <w:kern w:val="0"/>
          <w:sz w:val="24"/>
          <w:highlight w:val="none"/>
        </w:rPr>
        <w:t>收取</w:t>
      </w:r>
      <w:r>
        <w:rPr>
          <w:rFonts w:ascii="宋体" w:hAnsi="宋体" w:cs="宋体"/>
          <w:color w:val="auto"/>
          <w:kern w:val="0"/>
          <w:sz w:val="24"/>
          <w:highlight w:val="none"/>
        </w:rPr>
        <w:t>中标价</w:t>
      </w:r>
      <w:r>
        <w:rPr>
          <w:rFonts w:hint="eastAsia" w:ascii="宋体" w:hAnsi="宋体" w:cs="宋体"/>
          <w:color w:val="auto"/>
          <w:kern w:val="0"/>
          <w:sz w:val="24"/>
          <w:highlight w:val="none"/>
        </w:rPr>
        <w:t>扣除前期收费后的剩余费用</w:t>
      </w:r>
      <w:r>
        <w:rPr>
          <w:rFonts w:ascii="宋体" w:hAnsi="宋体" w:cs="宋体"/>
          <w:color w:val="auto"/>
          <w:kern w:val="0"/>
          <w:sz w:val="24"/>
          <w:highlight w:val="none"/>
        </w:rPr>
        <w:t>。</w:t>
      </w:r>
    </w:p>
    <w:p w14:paraId="4A63D887">
      <w:pPr>
        <w:spacing w:line="4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3.对已</w:t>
      </w:r>
      <w:r>
        <w:rPr>
          <w:rFonts w:hint="eastAsia" w:ascii="宋体" w:hAnsi="宋体" w:cs="宋体"/>
          <w:color w:val="auto"/>
          <w:sz w:val="24"/>
          <w:highlight w:val="none"/>
        </w:rPr>
        <w:t>出具加盖第三方中介机构公章的</w:t>
      </w:r>
      <w:r>
        <w:rPr>
          <w:rFonts w:ascii="宋体" w:hAnsi="宋体" w:cs="宋体"/>
          <w:color w:val="auto"/>
          <w:sz w:val="24"/>
          <w:highlight w:val="none"/>
        </w:rPr>
        <w:t>法律意见书</w:t>
      </w:r>
      <w:r>
        <w:rPr>
          <w:rFonts w:hint="eastAsia" w:ascii="宋体" w:hAnsi="宋体" w:cs="宋体"/>
          <w:color w:val="auto"/>
          <w:sz w:val="24"/>
          <w:highlight w:val="none"/>
        </w:rPr>
        <w:t>（正式稿）</w:t>
      </w:r>
      <w:r>
        <w:rPr>
          <w:rFonts w:hint="eastAsia" w:ascii="宋体" w:hAnsi="宋体" w:cs="宋体"/>
          <w:color w:val="auto"/>
          <w:sz w:val="24"/>
          <w:highlight w:val="none"/>
          <w:lang w:eastAsia="zh-CN"/>
        </w:rPr>
        <w:t>但未成功</w:t>
      </w:r>
      <w:r>
        <w:rPr>
          <w:rFonts w:hint="eastAsia" w:ascii="宋体" w:hAnsi="宋体" w:cs="宋体"/>
          <w:color w:val="auto"/>
          <w:sz w:val="24"/>
          <w:highlight w:val="none"/>
        </w:rPr>
        <w:t>发行专项债的</w:t>
      </w:r>
      <w:r>
        <w:rPr>
          <w:rFonts w:hint="eastAsia" w:ascii="宋体" w:hAnsi="宋体" w:cs="宋体"/>
          <w:color w:val="auto"/>
          <w:sz w:val="24"/>
          <w:highlight w:val="none"/>
          <w:lang w:eastAsia="zh-CN"/>
        </w:rPr>
        <w:t>续发</w:t>
      </w:r>
      <w:r>
        <w:rPr>
          <w:rFonts w:hint="eastAsia" w:ascii="宋体" w:hAnsi="宋体" w:cs="宋体"/>
          <w:color w:val="auto"/>
          <w:sz w:val="24"/>
          <w:highlight w:val="none"/>
        </w:rPr>
        <w:t>项目</w:t>
      </w:r>
      <w:r>
        <w:rPr>
          <w:rFonts w:hint="eastAsia" w:ascii="宋体" w:hAnsi="宋体" w:cs="宋体"/>
          <w:color w:val="auto"/>
          <w:sz w:val="24"/>
          <w:highlight w:val="none"/>
          <w:lang w:eastAsia="zh-CN"/>
        </w:rPr>
        <w:t>，</w:t>
      </w:r>
      <w:r>
        <w:rPr>
          <w:rFonts w:hint="eastAsia" w:ascii="宋体" w:hAnsi="宋体" w:cs="宋体"/>
          <w:color w:val="auto"/>
          <w:kern w:val="0"/>
          <w:sz w:val="24"/>
          <w:highlight w:val="none"/>
          <w:lang w:eastAsia="zh-CN"/>
        </w:rPr>
        <w:t>按成功新发项目中标价的</w:t>
      </w:r>
      <w:r>
        <w:rPr>
          <w:rFonts w:hint="eastAsia" w:ascii="宋体" w:hAnsi="宋体" w:cs="宋体"/>
          <w:color w:val="auto"/>
          <w:kern w:val="0"/>
          <w:sz w:val="24"/>
          <w:highlight w:val="none"/>
          <w:lang w:val="en-US" w:eastAsia="zh-CN"/>
        </w:rPr>
        <w:t>25%计算收费。</w:t>
      </w:r>
      <w:r>
        <w:rPr>
          <w:rFonts w:ascii="宋体" w:hAnsi="宋体" w:cs="宋体"/>
          <w:color w:val="auto"/>
          <w:kern w:val="0"/>
          <w:sz w:val="24"/>
          <w:highlight w:val="none"/>
        </w:rPr>
        <w:t>若后续项目发行成功，同一服务商</w:t>
      </w:r>
      <w:r>
        <w:rPr>
          <w:rFonts w:hint="eastAsia" w:ascii="宋体" w:hAnsi="宋体" w:cs="宋体"/>
          <w:color w:val="auto"/>
          <w:kern w:val="0"/>
          <w:sz w:val="24"/>
          <w:highlight w:val="none"/>
        </w:rPr>
        <w:t>收取</w:t>
      </w:r>
      <w:r>
        <w:rPr>
          <w:rFonts w:hint="eastAsia" w:ascii="宋体" w:hAnsi="宋体" w:cs="宋体"/>
          <w:color w:val="auto"/>
          <w:kern w:val="0"/>
          <w:sz w:val="24"/>
          <w:highlight w:val="none"/>
          <w:lang w:eastAsia="zh-CN"/>
        </w:rPr>
        <w:t>成功续发</w:t>
      </w:r>
      <w:r>
        <w:rPr>
          <w:rFonts w:ascii="宋体" w:hAnsi="宋体" w:cs="宋体"/>
          <w:color w:val="auto"/>
          <w:kern w:val="0"/>
          <w:sz w:val="24"/>
          <w:highlight w:val="none"/>
        </w:rPr>
        <w:t>中标价</w:t>
      </w:r>
      <w:r>
        <w:rPr>
          <w:rFonts w:hint="eastAsia" w:ascii="宋体" w:hAnsi="宋体" w:cs="宋体"/>
          <w:color w:val="auto"/>
          <w:kern w:val="0"/>
          <w:sz w:val="24"/>
          <w:highlight w:val="none"/>
        </w:rPr>
        <w:t>扣除前期收费后的剩余费用</w:t>
      </w:r>
      <w:r>
        <w:rPr>
          <w:rFonts w:ascii="宋体" w:hAnsi="宋体" w:cs="宋体"/>
          <w:color w:val="auto"/>
          <w:kern w:val="0"/>
          <w:sz w:val="24"/>
          <w:highlight w:val="none"/>
        </w:rPr>
        <w:t>。</w:t>
      </w:r>
    </w:p>
    <w:p w14:paraId="6E2CA71C">
      <w:pPr>
        <w:spacing w:line="400" w:lineRule="exact"/>
        <w:ind w:firstLine="480" w:firstLineChars="200"/>
        <w:rPr>
          <w:rFonts w:hint="eastAsia" w:eastAsia="宋体"/>
          <w:lang w:val="en-US" w:eastAsia="zh-CN"/>
        </w:rPr>
      </w:pPr>
      <w:r>
        <w:rPr>
          <w:rFonts w:hint="eastAsia" w:ascii="宋体" w:hAnsi="宋体" w:eastAsia="宋体" w:cs="宋体"/>
          <w:color w:val="auto"/>
          <w:kern w:val="0"/>
          <w:sz w:val="24"/>
          <w:highlight w:val="none"/>
          <w:lang w:val="en-US" w:eastAsia="zh-CN"/>
        </w:rPr>
        <w:t>4.对</w:t>
      </w:r>
      <w:r>
        <w:rPr>
          <w:rFonts w:hint="eastAsia" w:ascii="宋体" w:hAnsi="宋体" w:cs="宋体"/>
          <w:color w:val="auto"/>
          <w:sz w:val="24"/>
          <w:highlight w:val="none"/>
        </w:rPr>
        <w:t>出具加盖第三方中介机构公章的</w:t>
      </w:r>
      <w:r>
        <w:rPr>
          <w:rFonts w:ascii="宋体" w:hAnsi="宋体" w:cs="宋体"/>
          <w:color w:val="auto"/>
          <w:sz w:val="24"/>
          <w:highlight w:val="none"/>
        </w:rPr>
        <w:t>法律意见书</w:t>
      </w:r>
      <w:r>
        <w:rPr>
          <w:rFonts w:hint="eastAsia" w:ascii="宋体" w:hAnsi="宋体" w:cs="宋体"/>
          <w:color w:val="auto"/>
          <w:sz w:val="24"/>
          <w:highlight w:val="none"/>
        </w:rPr>
        <w:t>（正式稿）</w:t>
      </w:r>
      <w:r>
        <w:rPr>
          <w:rFonts w:hint="eastAsia" w:ascii="宋体" w:hAnsi="宋体" w:cs="宋体"/>
          <w:color w:val="auto"/>
          <w:sz w:val="24"/>
          <w:highlight w:val="none"/>
          <w:lang w:eastAsia="zh-CN"/>
        </w:rPr>
        <w:t>仅用于储备申报</w:t>
      </w:r>
      <w:r>
        <w:rPr>
          <w:rFonts w:hint="eastAsia" w:ascii="宋体" w:hAnsi="宋体" w:cs="宋体"/>
          <w:color w:val="auto"/>
          <w:sz w:val="24"/>
          <w:highlight w:val="none"/>
        </w:rPr>
        <w:t>的</w:t>
      </w:r>
      <w:r>
        <w:rPr>
          <w:rFonts w:hint="eastAsia" w:ascii="宋体" w:hAnsi="宋体" w:cs="宋体"/>
          <w:color w:val="auto"/>
          <w:sz w:val="24"/>
          <w:highlight w:val="none"/>
          <w:lang w:eastAsia="zh-CN"/>
        </w:rPr>
        <w:t>新发</w:t>
      </w:r>
      <w:r>
        <w:rPr>
          <w:rFonts w:hint="eastAsia" w:ascii="宋体" w:hAnsi="宋体" w:cs="宋体"/>
          <w:color w:val="auto"/>
          <w:sz w:val="24"/>
          <w:highlight w:val="none"/>
        </w:rPr>
        <w:t>项目</w:t>
      </w:r>
      <w:r>
        <w:rPr>
          <w:rFonts w:hint="eastAsia" w:ascii="宋体" w:hAnsi="宋体" w:eastAsia="宋体" w:cs="宋体"/>
          <w:color w:val="auto"/>
          <w:kern w:val="0"/>
          <w:sz w:val="24"/>
          <w:highlight w:val="none"/>
          <w:lang w:val="en-US" w:eastAsia="zh-CN"/>
        </w:rPr>
        <w:t>，</w:t>
      </w:r>
      <w:r>
        <w:rPr>
          <w:rFonts w:hint="eastAsia" w:ascii="宋体" w:hAnsi="宋体" w:cs="宋体"/>
          <w:color w:val="auto"/>
          <w:kern w:val="0"/>
          <w:sz w:val="24"/>
          <w:highlight w:val="none"/>
          <w:lang w:eastAsia="zh-CN"/>
        </w:rPr>
        <w:t>按成功新发项目中标价的</w:t>
      </w:r>
      <w:r>
        <w:rPr>
          <w:rFonts w:hint="eastAsia" w:ascii="宋体" w:hAnsi="宋体" w:cs="宋体"/>
          <w:color w:val="auto"/>
          <w:kern w:val="0"/>
          <w:sz w:val="24"/>
          <w:highlight w:val="none"/>
          <w:lang w:val="en-US" w:eastAsia="zh-CN"/>
        </w:rPr>
        <w:t>25%计算收费</w:t>
      </w:r>
      <w:r>
        <w:rPr>
          <w:rFonts w:hint="eastAsia" w:ascii="宋体" w:hAnsi="宋体" w:eastAsia="宋体" w:cs="宋体"/>
          <w:color w:val="auto"/>
          <w:kern w:val="0"/>
          <w:sz w:val="24"/>
          <w:highlight w:val="none"/>
          <w:lang w:val="en-US" w:eastAsia="zh-CN"/>
        </w:rPr>
        <w:t>，</w:t>
      </w:r>
      <w:r>
        <w:rPr>
          <w:rFonts w:ascii="宋体" w:hAnsi="宋体" w:cs="宋体"/>
          <w:color w:val="auto"/>
          <w:kern w:val="0"/>
          <w:sz w:val="24"/>
          <w:highlight w:val="none"/>
        </w:rPr>
        <w:t>若后续项目发行成功，同一服务商</w:t>
      </w:r>
      <w:r>
        <w:rPr>
          <w:rFonts w:hint="eastAsia" w:ascii="宋体" w:hAnsi="宋体" w:cs="宋体"/>
          <w:color w:val="auto"/>
          <w:kern w:val="0"/>
          <w:sz w:val="24"/>
          <w:highlight w:val="none"/>
        </w:rPr>
        <w:t>收取</w:t>
      </w:r>
      <w:r>
        <w:rPr>
          <w:rFonts w:ascii="宋体" w:hAnsi="宋体" w:cs="宋体"/>
          <w:color w:val="auto"/>
          <w:kern w:val="0"/>
          <w:sz w:val="24"/>
          <w:highlight w:val="none"/>
        </w:rPr>
        <w:t>中标价</w:t>
      </w:r>
      <w:r>
        <w:rPr>
          <w:rFonts w:hint="eastAsia" w:ascii="宋体" w:hAnsi="宋体" w:cs="宋体"/>
          <w:color w:val="auto"/>
          <w:kern w:val="0"/>
          <w:sz w:val="24"/>
          <w:highlight w:val="none"/>
        </w:rPr>
        <w:t>扣除前期收费后的剩余费用</w:t>
      </w:r>
      <w:r>
        <w:rPr>
          <w:rFonts w:ascii="宋体" w:hAnsi="宋体" w:cs="宋体"/>
          <w:color w:val="auto"/>
          <w:kern w:val="0"/>
          <w:sz w:val="24"/>
          <w:highlight w:val="none"/>
        </w:rPr>
        <w:t>。</w:t>
      </w:r>
    </w:p>
    <w:p w14:paraId="49E36B49">
      <w:pPr>
        <w:spacing w:line="4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.同一服务商不得重复收费，对该发行批次该项目的收费不得高于中标价。</w:t>
      </w:r>
    </w:p>
    <w:p w14:paraId="02090AD9">
      <w:pPr>
        <w:keepNext w:val="0"/>
        <w:keepLines w:val="0"/>
        <w:pageBreakBefore w:val="0"/>
        <w:widowControl w:val="0"/>
        <w:kinsoku/>
        <w:wordWrap/>
        <w:overflowPunct/>
        <w:topLinePunct w:val="0"/>
        <w:autoSpaceDE/>
        <w:autoSpaceDN/>
        <w:bidi w:val="0"/>
        <w:adjustRightInd w:val="0"/>
        <w:snapToGrid/>
        <w:spacing w:before="156" w:beforeLines="50" w:after="156" w:afterLines="50" w:line="400" w:lineRule="exact"/>
        <w:ind w:firstLine="562" w:firstLineChars="200"/>
        <w:textAlignment w:val="auto"/>
        <w:rPr>
          <w:rFonts w:hint="eastAsia" w:ascii="宋体" w:hAnsi="宋体" w:eastAsia="宋体" w:cs="宋体"/>
          <w:b/>
          <w:bCs/>
          <w:color w:val="auto"/>
          <w:kern w:val="2"/>
          <w:sz w:val="28"/>
          <w:szCs w:val="21"/>
          <w:highlight w:val="none"/>
          <w:lang w:val="en-US" w:eastAsia="zh-CN" w:bidi="ar-SA"/>
        </w:rPr>
      </w:pPr>
      <w:r>
        <w:rPr>
          <w:rFonts w:hint="eastAsia" w:ascii="宋体" w:hAnsi="宋体" w:eastAsia="宋体" w:cs="宋体"/>
          <w:b/>
          <w:bCs/>
          <w:color w:val="auto"/>
          <w:kern w:val="2"/>
          <w:sz w:val="28"/>
          <w:szCs w:val="21"/>
          <w:highlight w:val="none"/>
          <w:lang w:val="en-US" w:eastAsia="zh-CN" w:bidi="ar-SA"/>
        </w:rPr>
        <w:t>五、入围供应商的日常管理</w:t>
      </w:r>
    </w:p>
    <w:p w14:paraId="72FBEAC9">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bottom"/>
        <w:rPr>
          <w:color w:val="000000"/>
          <w:sz w:val="24"/>
          <w:szCs w:val="24"/>
        </w:rPr>
      </w:pPr>
      <w:r>
        <w:rPr>
          <w:color w:val="000000"/>
          <w:sz w:val="24"/>
          <w:szCs w:val="24"/>
        </w:rPr>
        <w:t>（一）征集人将建立用户反馈和评价机制，接受采购人对入围供应商履行框架协议和采购合同情况的反馈与评价，作为采购人第二阶段直接选定成交供应商的参考。采购人应根据《政府采购框架协议采购方式管理暂行办法》（财政部110号令）相关规定及时在政采云系统中作出反馈和评价。</w:t>
      </w:r>
    </w:p>
    <w:p w14:paraId="3671AC44">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bottom"/>
        <w:rPr>
          <w:b/>
          <w:color w:val="000000"/>
          <w:sz w:val="24"/>
          <w:szCs w:val="24"/>
        </w:rPr>
      </w:pPr>
      <w:bookmarkStart w:id="48" w:name="OLE_LINK4"/>
      <w:r>
        <w:rPr>
          <w:color w:val="000000"/>
          <w:sz w:val="24"/>
          <w:szCs w:val="24"/>
        </w:rPr>
        <w:t>（二）入围供应商的清退规则</w:t>
      </w:r>
    </w:p>
    <w:p w14:paraId="08B3F330">
      <w:pPr>
        <w:keepNext w:val="0"/>
        <w:keepLines w:val="0"/>
        <w:pageBreakBefore w:val="0"/>
        <w:widowControl w:val="0"/>
        <w:kinsoku/>
        <w:wordWrap/>
        <w:overflowPunct/>
        <w:topLinePunct w:val="0"/>
        <w:bidi w:val="0"/>
        <w:adjustRightInd w:val="0"/>
        <w:snapToGrid/>
        <w:spacing w:line="400" w:lineRule="exact"/>
        <w:ind w:firstLine="480" w:firstLineChars="200"/>
        <w:rPr>
          <w:color w:val="000000"/>
          <w:sz w:val="24"/>
          <w:szCs w:val="24"/>
        </w:rPr>
      </w:pPr>
      <w:r>
        <w:rPr>
          <w:color w:val="000000"/>
          <w:sz w:val="24"/>
          <w:szCs w:val="24"/>
        </w:rPr>
        <w:t>入围供应商存在《政府采购框架协议采购方式管理暂行办法》第十九条规定情形的，尚未签订框架协议的，取消其入围资格；已经签订框架协议的，解除与其签订的框架协议。</w:t>
      </w:r>
    </w:p>
    <w:p w14:paraId="4EE80E1B">
      <w:pPr>
        <w:keepNext w:val="0"/>
        <w:keepLines w:val="0"/>
        <w:pageBreakBefore w:val="0"/>
        <w:widowControl w:val="0"/>
        <w:kinsoku/>
        <w:wordWrap/>
        <w:overflowPunct/>
        <w:topLinePunct w:val="0"/>
        <w:bidi w:val="0"/>
        <w:adjustRightInd w:val="0"/>
        <w:snapToGrid/>
        <w:spacing w:line="400" w:lineRule="exact"/>
        <w:ind w:firstLine="480" w:firstLineChars="200"/>
        <w:rPr>
          <w:color w:val="000000"/>
          <w:sz w:val="24"/>
          <w:szCs w:val="24"/>
        </w:rPr>
      </w:pPr>
      <w:r>
        <w:rPr>
          <w:color w:val="000000"/>
          <w:sz w:val="24"/>
          <w:szCs w:val="24"/>
        </w:rPr>
        <w:t>在协议有效期内，入围供应商有违约情形或被有效投诉的，第一次予以警告，第二次解除与其签订的框架协议。</w:t>
      </w:r>
    </w:p>
    <w:p w14:paraId="592A2B78">
      <w:pPr>
        <w:keepNext w:val="0"/>
        <w:keepLines w:val="0"/>
        <w:pageBreakBefore w:val="0"/>
        <w:widowControl w:val="0"/>
        <w:kinsoku/>
        <w:wordWrap/>
        <w:overflowPunct/>
        <w:topLinePunct w:val="0"/>
        <w:bidi w:val="0"/>
        <w:adjustRightInd w:val="0"/>
        <w:snapToGrid/>
        <w:spacing w:line="400" w:lineRule="exact"/>
        <w:ind w:firstLine="480" w:firstLineChars="200"/>
        <w:rPr>
          <w:color w:val="000000"/>
          <w:sz w:val="24"/>
          <w:szCs w:val="24"/>
        </w:rPr>
      </w:pPr>
      <w:r>
        <w:rPr>
          <w:color w:val="000000"/>
          <w:sz w:val="24"/>
          <w:szCs w:val="24"/>
        </w:rPr>
        <w:t>被取消入围资格或者被解除框架协议的供应商不得参加同一封闭式框架协议补充征集，或者重新申请加入同一开放式框架协议。入围供应商无正当理由，不得主动放弃入围资格或者退出框架协议。</w:t>
      </w:r>
    </w:p>
    <w:p w14:paraId="5ABB4D7C">
      <w:pPr>
        <w:keepNext w:val="0"/>
        <w:keepLines w:val="0"/>
        <w:pageBreakBefore w:val="0"/>
        <w:widowControl w:val="0"/>
        <w:tabs>
          <w:tab w:val="left" w:pos="5568"/>
        </w:tabs>
        <w:kinsoku/>
        <w:wordWrap/>
        <w:overflowPunct/>
        <w:topLinePunct w:val="0"/>
        <w:bidi w:val="0"/>
        <w:adjustRightInd w:val="0"/>
        <w:snapToGrid/>
        <w:spacing w:line="400" w:lineRule="exact"/>
        <w:ind w:firstLine="480" w:firstLineChars="200"/>
        <w:rPr>
          <w:color w:val="000000"/>
          <w:sz w:val="24"/>
          <w:szCs w:val="24"/>
        </w:rPr>
      </w:pPr>
      <w:r>
        <w:rPr>
          <w:color w:val="000000"/>
          <w:sz w:val="24"/>
          <w:szCs w:val="24"/>
        </w:rPr>
        <w:t>（三）入围供应商的补充规则</w:t>
      </w:r>
      <w:r>
        <w:rPr>
          <w:color w:val="000000"/>
          <w:sz w:val="24"/>
          <w:szCs w:val="24"/>
        </w:rPr>
        <w:tab/>
      </w:r>
    </w:p>
    <w:p w14:paraId="4BA00F47">
      <w:pPr>
        <w:keepNext w:val="0"/>
        <w:keepLines w:val="0"/>
        <w:pageBreakBefore w:val="0"/>
        <w:widowControl w:val="0"/>
        <w:kinsoku/>
        <w:wordWrap/>
        <w:overflowPunct/>
        <w:topLinePunct w:val="0"/>
        <w:bidi w:val="0"/>
        <w:adjustRightInd w:val="0"/>
        <w:snapToGrid/>
        <w:spacing w:line="400" w:lineRule="exact"/>
        <w:ind w:firstLine="480" w:firstLineChars="200"/>
        <w:rPr>
          <w:color w:val="000000"/>
          <w:sz w:val="24"/>
          <w:szCs w:val="24"/>
        </w:rPr>
      </w:pPr>
      <w:r>
        <w:rPr>
          <w:color w:val="000000"/>
          <w:sz w:val="24"/>
          <w:szCs w:val="24"/>
        </w:rPr>
        <w:t>如出现剩余入围供应商不足入围供应商总数70%且影响框架协议执行的情形时，征集人报财政部门同意后，将进行补充征集供应商。补充征集的条件、程序、评审方法和淘汰比例与初次征集相同。补充征集遵守原框架协议的有效期。补充征集期间，原框架协议继续履行。</w:t>
      </w:r>
    </w:p>
    <w:bookmarkEnd w:id="48"/>
    <w:p w14:paraId="2C6F8B7E">
      <w:pPr>
        <w:keepNext w:val="0"/>
        <w:keepLines w:val="0"/>
        <w:pageBreakBefore w:val="0"/>
        <w:widowControl w:val="0"/>
        <w:kinsoku/>
        <w:wordWrap/>
        <w:overflowPunct/>
        <w:topLinePunct w:val="0"/>
        <w:bidi w:val="0"/>
        <w:adjustRightInd w:val="0"/>
        <w:snapToGrid/>
        <w:spacing w:line="400" w:lineRule="exact"/>
        <w:ind w:firstLine="480" w:firstLineChars="200"/>
        <w:rPr>
          <w:color w:val="000000"/>
          <w:sz w:val="24"/>
          <w:szCs w:val="24"/>
        </w:rPr>
      </w:pPr>
      <w:r>
        <w:rPr>
          <w:color w:val="000000"/>
          <w:sz w:val="24"/>
          <w:szCs w:val="24"/>
        </w:rPr>
        <w:t>（四）入围供应商的联系方式</w:t>
      </w:r>
    </w:p>
    <w:p w14:paraId="04DB2EC0">
      <w:pPr>
        <w:keepNext w:val="0"/>
        <w:keepLines w:val="0"/>
        <w:pageBreakBefore w:val="0"/>
        <w:widowControl w:val="0"/>
        <w:kinsoku/>
        <w:wordWrap/>
        <w:overflowPunct/>
        <w:topLinePunct w:val="0"/>
        <w:bidi w:val="0"/>
        <w:adjustRightInd w:val="0"/>
        <w:snapToGrid/>
        <w:spacing w:line="400" w:lineRule="exact"/>
        <w:ind w:firstLine="480" w:firstLineChars="200"/>
        <w:rPr>
          <w:color w:val="000000"/>
          <w:sz w:val="24"/>
          <w:szCs w:val="24"/>
          <w:highlight w:val="none"/>
        </w:rPr>
      </w:pPr>
      <w:r>
        <w:rPr>
          <w:color w:val="000000"/>
          <w:sz w:val="24"/>
          <w:szCs w:val="24"/>
          <w:highlight w:val="none"/>
        </w:rPr>
        <w:t>征集人将与入围供应商建立日常联络机制。入围供应商应在</w:t>
      </w:r>
      <w:r>
        <w:rPr>
          <w:rFonts w:hint="eastAsia"/>
          <w:strike w:val="0"/>
          <w:dstrike w:val="0"/>
          <w:color w:val="000000"/>
          <w:sz w:val="24"/>
          <w:szCs w:val="24"/>
          <w:highlight w:val="none"/>
          <w:lang w:val="en-US" w:eastAsia="zh-CN"/>
        </w:rPr>
        <w:t>系统上填报</w:t>
      </w:r>
      <w:r>
        <w:rPr>
          <w:color w:val="000000"/>
          <w:sz w:val="24"/>
          <w:szCs w:val="24"/>
          <w:highlight w:val="none"/>
        </w:rPr>
        <w:t>项目总协调人</w:t>
      </w:r>
      <w:r>
        <w:rPr>
          <w:rFonts w:hint="eastAsia"/>
          <w:color w:val="000000"/>
          <w:sz w:val="24"/>
          <w:szCs w:val="24"/>
          <w:highlight w:val="none"/>
          <w:lang w:val="en-US" w:eastAsia="zh-CN"/>
        </w:rPr>
        <w:t>联系方式等相关信息。</w:t>
      </w:r>
      <w:r>
        <w:rPr>
          <w:color w:val="000000"/>
          <w:sz w:val="24"/>
          <w:szCs w:val="24"/>
          <w:highlight w:val="none"/>
        </w:rPr>
        <w:t>在框架协议期内，相关人员一般不得变动，确需变更的，须经征集人同意，并及时作出调整。</w:t>
      </w:r>
    </w:p>
    <w:p w14:paraId="36E73CB6">
      <w:pPr>
        <w:keepNext w:val="0"/>
        <w:keepLines w:val="0"/>
        <w:pageBreakBefore w:val="0"/>
        <w:widowControl w:val="0"/>
        <w:kinsoku/>
        <w:wordWrap/>
        <w:overflowPunct/>
        <w:topLinePunct w:val="0"/>
        <w:autoSpaceDE/>
        <w:autoSpaceDN/>
        <w:bidi w:val="0"/>
        <w:adjustRightInd w:val="0"/>
        <w:snapToGrid/>
        <w:spacing w:before="156" w:beforeLines="50" w:after="156" w:afterLines="50" w:line="400" w:lineRule="exact"/>
        <w:ind w:firstLine="562" w:firstLineChars="200"/>
        <w:textAlignment w:val="auto"/>
        <w:rPr>
          <w:rFonts w:hint="eastAsia" w:ascii="宋体" w:hAnsi="宋体" w:eastAsia="宋体" w:cs="宋体"/>
          <w:b/>
          <w:bCs/>
          <w:color w:val="auto"/>
          <w:kern w:val="2"/>
          <w:sz w:val="28"/>
          <w:szCs w:val="21"/>
          <w:highlight w:val="none"/>
          <w:lang w:val="en-US" w:eastAsia="zh-CN" w:bidi="ar-SA"/>
        </w:rPr>
      </w:pPr>
      <w:r>
        <w:rPr>
          <w:rFonts w:hint="eastAsia" w:ascii="宋体" w:hAnsi="宋体" w:eastAsia="宋体" w:cs="宋体"/>
          <w:b/>
          <w:bCs/>
          <w:color w:val="auto"/>
          <w:kern w:val="2"/>
          <w:sz w:val="28"/>
          <w:szCs w:val="21"/>
          <w:highlight w:val="none"/>
          <w:lang w:val="en-US" w:eastAsia="zh-CN" w:bidi="ar-SA"/>
        </w:rPr>
        <w:t>六、结算方式：</w:t>
      </w:r>
    </w:p>
    <w:p w14:paraId="4746A55F">
      <w:pPr>
        <w:spacing w:line="400" w:lineRule="exact"/>
        <w:ind w:firstLine="480" w:firstLineChars="200"/>
        <w:rPr>
          <w:rFonts w:ascii="宋体" w:hAnsi="宋体" w:cs="宋体"/>
          <w:color w:val="auto"/>
          <w:kern w:val="0"/>
          <w:sz w:val="24"/>
          <w:highlight w:val="none"/>
        </w:rPr>
      </w:pPr>
      <w:bookmarkStart w:id="49" w:name="_Toc17545"/>
      <w:bookmarkStart w:id="50" w:name="_Toc11863"/>
      <w:r>
        <w:rPr>
          <w:rFonts w:hint="eastAsia" w:ascii="宋体" w:hAnsi="宋体" w:cs="宋体"/>
          <w:color w:val="auto"/>
          <w:kern w:val="0"/>
          <w:sz w:val="24"/>
          <w:highlight w:val="none"/>
        </w:rPr>
        <w:t>1.专业服务费</w:t>
      </w:r>
      <w:r>
        <w:rPr>
          <w:rFonts w:hint="eastAsia" w:ascii="宋体" w:hAnsi="宋体" w:cs="宋体"/>
          <w:color w:val="auto"/>
          <w:kern w:val="0"/>
          <w:sz w:val="24"/>
          <w:highlight w:val="none"/>
          <w:lang w:val="en-US" w:eastAsia="zh-CN"/>
        </w:rPr>
        <w:t>半年</w:t>
      </w:r>
      <w:r>
        <w:rPr>
          <w:rFonts w:hint="eastAsia" w:ascii="宋体" w:hAnsi="宋体" w:cs="宋体"/>
          <w:color w:val="auto"/>
          <w:kern w:val="0"/>
          <w:sz w:val="24"/>
          <w:highlight w:val="none"/>
        </w:rPr>
        <w:t>结算一次，于每年度</w:t>
      </w:r>
      <w:r>
        <w:rPr>
          <w:rFonts w:hint="eastAsia" w:ascii="宋体" w:hAnsi="宋体" w:cs="宋体"/>
          <w:color w:val="auto"/>
          <w:kern w:val="0"/>
          <w:sz w:val="24"/>
          <w:highlight w:val="none"/>
          <w:lang w:val="en-US" w:eastAsia="zh-CN"/>
        </w:rPr>
        <w:t>6月15日和</w:t>
      </w:r>
      <w:r>
        <w:rPr>
          <w:rFonts w:hint="eastAsia" w:ascii="宋体" w:hAnsi="宋体" w:cs="宋体"/>
          <w:color w:val="auto"/>
          <w:kern w:val="0"/>
          <w:sz w:val="24"/>
          <w:highlight w:val="none"/>
        </w:rPr>
        <w:t>12月15日前结算</w:t>
      </w:r>
      <w:r>
        <w:rPr>
          <w:rFonts w:hint="eastAsia" w:ascii="宋体" w:hAnsi="宋体" w:cs="宋体"/>
          <w:color w:val="auto"/>
          <w:kern w:val="0"/>
          <w:sz w:val="24"/>
          <w:highlight w:val="none"/>
          <w:lang w:val="en-US" w:eastAsia="zh-CN"/>
        </w:rPr>
        <w:t>当前半年度</w:t>
      </w:r>
      <w:r>
        <w:rPr>
          <w:rFonts w:hint="eastAsia" w:ascii="宋体" w:hAnsi="宋体" w:cs="宋体"/>
          <w:color w:val="auto"/>
          <w:kern w:val="0"/>
          <w:sz w:val="24"/>
          <w:highlight w:val="none"/>
        </w:rPr>
        <w:t>的应付专业服务费，结算金额经双方确认后20个工作日内完成支出。</w:t>
      </w:r>
    </w:p>
    <w:p w14:paraId="304D1CDC">
      <w:pPr>
        <w:spacing w:line="4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2.专业服务费由各批次政府专项债券所涉及的财政部门分别进行结算和支付，具体以合同约定为准。</w:t>
      </w:r>
    </w:p>
    <w:p w14:paraId="3A599327">
      <w:pPr>
        <w:spacing w:line="4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3.由于入围供应商原因致使本次政府专项债券发行失败的，征集人有权拒付（或追回已付的）专业服务费；给征集人造成损失的，应予以赔偿。</w:t>
      </w:r>
    </w:p>
    <w:p w14:paraId="00090042">
      <w:pPr>
        <w:spacing w:line="4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4.入围供应商办理专业服务费结算时，需出具正式税务发票。</w:t>
      </w:r>
    </w:p>
    <w:p w14:paraId="0CBC801E">
      <w:pPr>
        <w:rPr>
          <w:rFonts w:ascii="黑体" w:hAnsi="黑体" w:eastAsia="黑体" w:cs="黑体"/>
          <w:b/>
          <w:color w:val="auto"/>
          <w:sz w:val="32"/>
          <w:szCs w:val="32"/>
          <w:highlight w:val="none"/>
        </w:rPr>
      </w:pPr>
      <w:r>
        <w:rPr>
          <w:rFonts w:hint="eastAsia" w:ascii="黑体" w:hAnsi="黑体" w:eastAsia="黑体" w:cs="黑体"/>
          <w:b/>
          <w:color w:val="auto"/>
          <w:sz w:val="32"/>
          <w:szCs w:val="32"/>
          <w:highlight w:val="none"/>
        </w:rPr>
        <w:br w:type="page"/>
      </w:r>
    </w:p>
    <w:p w14:paraId="35189DE6">
      <w:pPr>
        <w:spacing w:line="400" w:lineRule="exact"/>
        <w:ind w:firstLine="643" w:firstLineChars="200"/>
        <w:jc w:val="center"/>
        <w:outlineLvl w:val="0"/>
        <w:rPr>
          <w:rFonts w:ascii="仿宋" w:hAnsi="仿宋" w:eastAsia="仿宋" w:cs="仿宋_GB2312"/>
          <w:b/>
          <w:color w:val="auto"/>
          <w:sz w:val="36"/>
          <w:szCs w:val="20"/>
          <w:highlight w:val="none"/>
        </w:rPr>
      </w:pPr>
      <w:bookmarkStart w:id="51" w:name="_Toc1605655674"/>
      <w:r>
        <w:rPr>
          <w:rFonts w:hint="eastAsia" w:ascii="黑体" w:hAnsi="黑体" w:eastAsia="黑体" w:cs="黑体"/>
          <w:b/>
          <w:color w:val="auto"/>
          <w:sz w:val="32"/>
          <w:szCs w:val="32"/>
          <w:highlight w:val="none"/>
        </w:rPr>
        <w:t>第</w:t>
      </w:r>
      <w:bookmarkEnd w:id="11"/>
      <w:r>
        <w:rPr>
          <w:rFonts w:hint="eastAsia" w:ascii="黑体" w:hAnsi="黑体" w:eastAsia="黑体" w:cs="黑体"/>
          <w:b/>
          <w:color w:val="auto"/>
          <w:sz w:val="32"/>
          <w:szCs w:val="32"/>
          <w:highlight w:val="none"/>
        </w:rPr>
        <w:t>三章 供应商须知</w:t>
      </w:r>
      <w:bookmarkEnd w:id="12"/>
      <w:bookmarkEnd w:id="37"/>
      <w:bookmarkEnd w:id="38"/>
      <w:bookmarkEnd w:id="39"/>
      <w:bookmarkEnd w:id="40"/>
      <w:bookmarkEnd w:id="41"/>
      <w:bookmarkEnd w:id="42"/>
      <w:bookmarkEnd w:id="43"/>
      <w:bookmarkEnd w:id="44"/>
      <w:bookmarkEnd w:id="45"/>
      <w:bookmarkEnd w:id="49"/>
      <w:bookmarkEnd w:id="50"/>
      <w:bookmarkEnd w:id="51"/>
    </w:p>
    <w:p w14:paraId="303E7EB0">
      <w:pPr>
        <w:bidi w:val="0"/>
        <w:jc w:val="center"/>
        <w:rPr>
          <w:rFonts w:hint="eastAsia" w:ascii="Times New Roman" w:hAnsi="Times New Roman" w:eastAsia="宋体" w:cs="Times New Roman"/>
          <w:sz w:val="32"/>
          <w:szCs w:val="32"/>
        </w:rPr>
      </w:pPr>
      <w:bookmarkStart w:id="52" w:name="_Toc1843394441"/>
      <w:bookmarkStart w:id="53" w:name="_Toc27664"/>
      <w:bookmarkStart w:id="54" w:name="_Toc12637"/>
      <w:r>
        <w:rPr>
          <w:rFonts w:hint="eastAsia" w:ascii="Times New Roman" w:hAnsi="Times New Roman" w:eastAsia="宋体" w:cs="Times New Roman"/>
          <w:sz w:val="32"/>
          <w:szCs w:val="32"/>
        </w:rPr>
        <w:t>前附表</w:t>
      </w:r>
      <w:bookmarkEnd w:id="52"/>
      <w:bookmarkEnd w:id="53"/>
      <w:bookmarkEnd w:id="54"/>
    </w:p>
    <w:tbl>
      <w:tblPr>
        <w:tblStyle w:val="65"/>
        <w:tblW w:w="895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28" w:type="dxa"/>
          <w:bottom w:w="0" w:type="dxa"/>
          <w:right w:w="28" w:type="dxa"/>
        </w:tblCellMar>
      </w:tblPr>
      <w:tblGrid>
        <w:gridCol w:w="629"/>
        <w:gridCol w:w="1899"/>
        <w:gridCol w:w="6422"/>
      </w:tblGrid>
      <w:tr w14:paraId="63B695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629" w:type="dxa"/>
            <w:tcBorders>
              <w:top w:val="single" w:color="auto" w:sz="4" w:space="0"/>
              <w:left w:val="single" w:color="auto" w:sz="4" w:space="0"/>
              <w:bottom w:val="single" w:color="auto" w:sz="4" w:space="0"/>
              <w:right w:val="single" w:color="auto" w:sz="4" w:space="0"/>
            </w:tcBorders>
            <w:vAlign w:val="center"/>
          </w:tcPr>
          <w:p w14:paraId="7FAFA34B">
            <w:pPr>
              <w:snapToGrid w:val="0"/>
              <w:spacing w:line="360" w:lineRule="exact"/>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899" w:type="dxa"/>
            <w:tcBorders>
              <w:top w:val="single" w:color="000000" w:sz="8" w:space="0"/>
              <w:left w:val="single" w:color="auto" w:sz="4" w:space="0"/>
              <w:bottom w:val="single" w:color="000000" w:sz="8" w:space="0"/>
              <w:right w:val="single" w:color="000000" w:sz="8" w:space="0"/>
            </w:tcBorders>
            <w:vAlign w:val="center"/>
          </w:tcPr>
          <w:p w14:paraId="1F930950">
            <w:pPr>
              <w:snapToGrid w:val="0"/>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内容事项</w:t>
            </w:r>
          </w:p>
        </w:tc>
        <w:tc>
          <w:tcPr>
            <w:tcW w:w="6422" w:type="dxa"/>
            <w:tcBorders>
              <w:top w:val="single" w:color="000000" w:sz="8" w:space="0"/>
              <w:left w:val="single" w:color="000000" w:sz="2" w:space="0"/>
              <w:bottom w:val="single" w:color="000000" w:sz="8" w:space="0"/>
              <w:right w:val="single" w:color="000000" w:sz="8" w:space="0"/>
            </w:tcBorders>
            <w:vAlign w:val="center"/>
          </w:tcPr>
          <w:p w14:paraId="464CDAE2">
            <w:pPr>
              <w:snapToGrid w:val="0"/>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本项目的特别规定</w:t>
            </w:r>
          </w:p>
        </w:tc>
      </w:tr>
      <w:tr w14:paraId="05B209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629" w:type="dxa"/>
            <w:tcBorders>
              <w:top w:val="single" w:color="auto" w:sz="4" w:space="0"/>
              <w:left w:val="single" w:color="auto" w:sz="4" w:space="0"/>
              <w:bottom w:val="single" w:color="auto" w:sz="4" w:space="0"/>
              <w:right w:val="single" w:color="auto" w:sz="4" w:space="0"/>
            </w:tcBorders>
            <w:vAlign w:val="center"/>
          </w:tcPr>
          <w:p w14:paraId="71714093">
            <w:pPr>
              <w:snapToGrid w:val="0"/>
              <w:spacing w:line="360" w:lineRule="exact"/>
              <w:jc w:val="center"/>
              <w:rPr>
                <w:rFonts w:ascii="宋体" w:hAnsi="宋体" w:cs="宋体"/>
                <w:b/>
                <w:bCs/>
                <w:color w:val="auto"/>
                <w:sz w:val="24"/>
                <w:highlight w:val="none"/>
              </w:rPr>
            </w:pPr>
            <w:r>
              <w:rPr>
                <w:rFonts w:hint="eastAsia" w:ascii="宋体" w:hAnsi="宋体" w:cs="宋体"/>
                <w:b/>
                <w:bCs/>
                <w:color w:val="auto"/>
                <w:sz w:val="24"/>
                <w:highlight w:val="none"/>
              </w:rPr>
              <w:t>1</w:t>
            </w:r>
          </w:p>
        </w:tc>
        <w:tc>
          <w:tcPr>
            <w:tcW w:w="1899" w:type="dxa"/>
            <w:tcBorders>
              <w:top w:val="single" w:color="000000" w:sz="8" w:space="0"/>
              <w:left w:val="single" w:color="auto" w:sz="4" w:space="0"/>
              <w:bottom w:val="single" w:color="000000" w:sz="8" w:space="0"/>
              <w:right w:val="single" w:color="000000" w:sz="8" w:space="0"/>
            </w:tcBorders>
            <w:vAlign w:val="center"/>
          </w:tcPr>
          <w:p w14:paraId="01B92D9B">
            <w:pPr>
              <w:keepNext w:val="0"/>
              <w:keepLines w:val="0"/>
              <w:pageBreakBefore w:val="0"/>
              <w:kinsoku/>
              <w:wordWrap/>
              <w:overflowPunct/>
              <w:topLinePunct w:val="0"/>
              <w:autoSpaceDE w:val="0"/>
              <w:autoSpaceDN/>
              <w:bidi w:val="0"/>
              <w:snapToGrid/>
              <w:spacing w:line="400" w:lineRule="exact"/>
              <w:jc w:val="center"/>
              <w:textAlignment w:val="auto"/>
              <w:rPr>
                <w:rFonts w:ascii="宋体" w:hAnsi="宋体" w:cs="宋体"/>
                <w:b w:val="0"/>
                <w:bCs w:val="0"/>
                <w:color w:val="auto"/>
                <w:sz w:val="24"/>
                <w:highlight w:val="none"/>
              </w:rPr>
            </w:pPr>
            <w:r>
              <w:rPr>
                <w:rFonts w:hint="eastAsia" w:ascii="宋体" w:hAnsi="宋体" w:cs="宋体"/>
                <w:b w:val="0"/>
                <w:bCs w:val="0"/>
                <w:color w:val="auto"/>
                <w:sz w:val="24"/>
                <w:highlight w:val="none"/>
                <w:lang w:bidi="ar"/>
              </w:rPr>
              <w:t>采购方式</w:t>
            </w:r>
          </w:p>
        </w:tc>
        <w:tc>
          <w:tcPr>
            <w:tcW w:w="6422" w:type="dxa"/>
            <w:tcBorders>
              <w:top w:val="single" w:color="000000" w:sz="8" w:space="0"/>
              <w:left w:val="single" w:color="000000" w:sz="2" w:space="0"/>
              <w:bottom w:val="single" w:color="000000" w:sz="8" w:space="0"/>
              <w:right w:val="single" w:color="000000" w:sz="8" w:space="0"/>
            </w:tcBorders>
            <w:vAlign w:val="center"/>
          </w:tcPr>
          <w:p w14:paraId="3710D362">
            <w:pPr>
              <w:keepNext w:val="0"/>
              <w:keepLines w:val="0"/>
              <w:pageBreakBefore w:val="0"/>
              <w:kinsoku/>
              <w:wordWrap/>
              <w:overflowPunct/>
              <w:topLinePunct w:val="0"/>
              <w:autoSpaceDE w:val="0"/>
              <w:autoSpaceDN/>
              <w:bidi w:val="0"/>
              <w:snapToGrid/>
              <w:spacing w:line="400" w:lineRule="exact"/>
              <w:textAlignment w:val="auto"/>
              <w:rPr>
                <w:rFonts w:ascii="宋体" w:hAnsi="宋体" w:cs="宋体"/>
                <w:color w:val="auto"/>
                <w:sz w:val="24"/>
                <w:highlight w:val="none"/>
              </w:rPr>
            </w:pPr>
            <w:r>
              <w:rPr>
                <w:rFonts w:hint="eastAsia" w:ascii="宋体" w:hAnsi="宋体" w:cs="宋体"/>
                <w:color w:val="auto"/>
                <w:sz w:val="24"/>
                <w:highlight w:val="none"/>
                <w:lang w:bidi="ar"/>
              </w:rPr>
              <w:sym w:font="Wingdings 2" w:char="0052"/>
            </w:r>
            <w:r>
              <w:rPr>
                <w:rFonts w:hint="eastAsia" w:ascii="宋体" w:hAnsi="宋体" w:cs="宋体"/>
                <w:color w:val="auto"/>
                <w:sz w:val="24"/>
                <w:highlight w:val="none"/>
                <w:lang w:bidi="ar"/>
              </w:rPr>
              <w:t>封闭式框架协议采购</w:t>
            </w:r>
          </w:p>
          <w:p w14:paraId="1149CE74">
            <w:pPr>
              <w:keepNext w:val="0"/>
              <w:keepLines w:val="0"/>
              <w:pageBreakBefore w:val="0"/>
              <w:kinsoku/>
              <w:wordWrap/>
              <w:overflowPunct/>
              <w:topLinePunct w:val="0"/>
              <w:autoSpaceDE w:val="0"/>
              <w:autoSpaceDN/>
              <w:bidi w:val="0"/>
              <w:snapToGrid/>
              <w:spacing w:line="400" w:lineRule="exact"/>
              <w:textAlignment w:val="auto"/>
              <w:rPr>
                <w:rFonts w:ascii="宋体" w:hAnsi="宋体" w:cs="宋体"/>
                <w:b/>
                <w:color w:val="auto"/>
                <w:sz w:val="24"/>
                <w:highlight w:val="none"/>
              </w:rPr>
            </w:pPr>
            <w:r>
              <w:rPr>
                <w:rFonts w:hint="eastAsia" w:ascii="宋体" w:hAnsi="宋体" w:cs="宋体"/>
                <w:color w:val="auto"/>
                <w:sz w:val="24"/>
                <w:highlight w:val="none"/>
                <w:lang w:bidi="ar"/>
              </w:rPr>
              <w:t>☐开放式框架协议采购</w:t>
            </w:r>
          </w:p>
        </w:tc>
      </w:tr>
      <w:tr w14:paraId="17B229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629" w:type="dxa"/>
            <w:tcBorders>
              <w:top w:val="single" w:color="auto" w:sz="4" w:space="0"/>
              <w:left w:val="single" w:color="auto" w:sz="4" w:space="0"/>
              <w:bottom w:val="single" w:color="auto" w:sz="4" w:space="0"/>
              <w:right w:val="single" w:color="auto" w:sz="4" w:space="0"/>
            </w:tcBorders>
            <w:vAlign w:val="center"/>
          </w:tcPr>
          <w:p w14:paraId="22BB5C4A">
            <w:pPr>
              <w:snapToGrid w:val="0"/>
              <w:spacing w:line="360" w:lineRule="exact"/>
              <w:jc w:val="center"/>
              <w:rPr>
                <w:rFonts w:ascii="宋体" w:hAnsi="宋体" w:cs="宋体"/>
                <w:b/>
                <w:bCs/>
                <w:color w:val="auto"/>
                <w:sz w:val="24"/>
                <w:highlight w:val="none"/>
              </w:rPr>
            </w:pPr>
            <w:r>
              <w:rPr>
                <w:rFonts w:hint="eastAsia" w:ascii="宋体" w:hAnsi="宋体" w:cs="宋体"/>
                <w:b/>
                <w:bCs/>
                <w:color w:val="auto"/>
                <w:sz w:val="24"/>
                <w:highlight w:val="none"/>
              </w:rPr>
              <w:t>2</w:t>
            </w:r>
          </w:p>
        </w:tc>
        <w:tc>
          <w:tcPr>
            <w:tcW w:w="1899" w:type="dxa"/>
            <w:tcBorders>
              <w:top w:val="single" w:color="000000" w:sz="8" w:space="0"/>
              <w:left w:val="single" w:color="auto" w:sz="4" w:space="0"/>
              <w:bottom w:val="single" w:color="000000" w:sz="8" w:space="0"/>
              <w:right w:val="single" w:color="000000" w:sz="8" w:space="0"/>
            </w:tcBorders>
            <w:vAlign w:val="center"/>
          </w:tcPr>
          <w:p w14:paraId="5F6A430B">
            <w:pPr>
              <w:keepNext w:val="0"/>
              <w:keepLines w:val="0"/>
              <w:pageBreakBefore w:val="0"/>
              <w:kinsoku/>
              <w:wordWrap/>
              <w:overflowPunct/>
              <w:topLinePunct w:val="0"/>
              <w:autoSpaceDE w:val="0"/>
              <w:autoSpaceDN/>
              <w:bidi w:val="0"/>
              <w:snapToGrid/>
              <w:spacing w:line="400" w:lineRule="exact"/>
              <w:jc w:val="center"/>
              <w:textAlignment w:val="auto"/>
              <w:rPr>
                <w:rFonts w:ascii="宋体" w:hAnsi="宋体" w:cs="宋体"/>
                <w:b w:val="0"/>
                <w:bCs w:val="0"/>
                <w:color w:val="auto"/>
                <w:sz w:val="24"/>
                <w:highlight w:val="none"/>
              </w:rPr>
            </w:pPr>
            <w:r>
              <w:rPr>
                <w:rFonts w:hint="eastAsia" w:ascii="宋体" w:hAnsi="宋体" w:cs="宋体"/>
                <w:b w:val="0"/>
                <w:bCs w:val="0"/>
                <w:color w:val="auto"/>
                <w:sz w:val="24"/>
                <w:highlight w:val="none"/>
                <w:lang w:bidi="ar"/>
              </w:rPr>
              <w:t>确定第一阶段入围供应商的评审方法</w:t>
            </w:r>
          </w:p>
        </w:tc>
        <w:tc>
          <w:tcPr>
            <w:tcW w:w="6422" w:type="dxa"/>
            <w:tcBorders>
              <w:top w:val="single" w:color="000000" w:sz="8" w:space="0"/>
              <w:left w:val="single" w:color="000000" w:sz="2" w:space="0"/>
              <w:bottom w:val="single" w:color="000000" w:sz="8" w:space="0"/>
              <w:right w:val="single" w:color="000000" w:sz="8" w:space="0"/>
            </w:tcBorders>
            <w:vAlign w:val="center"/>
          </w:tcPr>
          <w:p w14:paraId="34207A3F">
            <w:pPr>
              <w:keepNext w:val="0"/>
              <w:keepLines w:val="0"/>
              <w:pageBreakBefore w:val="0"/>
              <w:kinsoku/>
              <w:wordWrap/>
              <w:overflowPunct/>
              <w:topLinePunct w:val="0"/>
              <w:autoSpaceDE w:val="0"/>
              <w:autoSpaceDN/>
              <w:bidi w:val="0"/>
              <w:snapToGrid/>
              <w:spacing w:line="400" w:lineRule="exact"/>
              <w:textAlignment w:val="auto"/>
              <w:rPr>
                <w:rFonts w:ascii="宋体" w:hAnsi="宋体" w:cs="宋体"/>
                <w:b/>
                <w:color w:val="auto"/>
                <w:sz w:val="24"/>
                <w:highlight w:val="none"/>
              </w:rPr>
            </w:pPr>
            <w:r>
              <w:rPr>
                <w:rFonts w:hint="eastAsia" w:ascii="宋体" w:hAnsi="宋体" w:cs="宋体"/>
                <w:color w:val="auto"/>
                <w:sz w:val="24"/>
                <w:highlight w:val="none"/>
                <w:lang w:bidi="ar"/>
              </w:rPr>
              <w:t xml:space="preserve"> </w:t>
            </w:r>
            <w:r>
              <w:rPr>
                <w:rFonts w:hint="eastAsia" w:ascii="宋体" w:hAnsi="宋体" w:cs="宋体"/>
                <w:color w:val="auto"/>
                <w:sz w:val="24"/>
                <w:highlight w:val="none"/>
                <w:lang w:bidi="ar"/>
              </w:rPr>
              <w:sym w:font="Wingdings 2" w:char="0052"/>
            </w:r>
            <w:r>
              <w:rPr>
                <w:rFonts w:hint="eastAsia" w:ascii="宋体" w:hAnsi="宋体" w:cs="宋体"/>
                <w:color w:val="auto"/>
                <w:sz w:val="24"/>
                <w:highlight w:val="none"/>
                <w:lang w:bidi="ar"/>
              </w:rPr>
              <w:t xml:space="preserve">价格优先法   </w:t>
            </w:r>
            <w:r>
              <w:rPr>
                <w:rFonts w:hint="eastAsia" w:ascii="宋体" w:hAnsi="宋体" w:cs="宋体"/>
                <w:color w:val="auto"/>
                <w:sz w:val="24"/>
                <w:highlight w:val="none"/>
                <w:lang w:bidi="ar"/>
              </w:rPr>
              <w:sym w:font="Wingdings 2" w:char="00A3"/>
            </w:r>
            <w:r>
              <w:rPr>
                <w:rFonts w:hint="eastAsia" w:ascii="宋体" w:hAnsi="宋体" w:cs="宋体"/>
                <w:color w:val="auto"/>
                <w:sz w:val="24"/>
                <w:highlight w:val="none"/>
                <w:lang w:bidi="ar"/>
              </w:rPr>
              <w:t>质量优先法</w:t>
            </w:r>
          </w:p>
        </w:tc>
      </w:tr>
      <w:tr w14:paraId="0C6A2D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629" w:type="dxa"/>
            <w:tcBorders>
              <w:top w:val="single" w:color="auto" w:sz="4" w:space="0"/>
              <w:left w:val="single" w:color="auto" w:sz="4" w:space="0"/>
              <w:bottom w:val="single" w:color="auto" w:sz="4" w:space="0"/>
              <w:right w:val="single" w:color="auto" w:sz="4" w:space="0"/>
            </w:tcBorders>
            <w:vAlign w:val="center"/>
          </w:tcPr>
          <w:p w14:paraId="637CC0DA">
            <w:pPr>
              <w:snapToGrid w:val="0"/>
              <w:spacing w:line="360" w:lineRule="exact"/>
              <w:jc w:val="center"/>
              <w:rPr>
                <w:rFonts w:ascii="宋体" w:hAnsi="宋体" w:cs="宋体"/>
                <w:b/>
                <w:bCs/>
                <w:color w:val="auto"/>
                <w:sz w:val="24"/>
                <w:highlight w:val="none"/>
              </w:rPr>
            </w:pPr>
            <w:r>
              <w:rPr>
                <w:rFonts w:hint="eastAsia" w:ascii="宋体" w:hAnsi="宋体" w:cs="宋体"/>
                <w:b/>
                <w:bCs/>
                <w:color w:val="auto"/>
                <w:sz w:val="24"/>
                <w:highlight w:val="none"/>
              </w:rPr>
              <w:t>3</w:t>
            </w:r>
          </w:p>
        </w:tc>
        <w:tc>
          <w:tcPr>
            <w:tcW w:w="1899" w:type="dxa"/>
            <w:tcBorders>
              <w:top w:val="single" w:color="000000" w:sz="8" w:space="0"/>
              <w:left w:val="single" w:color="auto" w:sz="4" w:space="0"/>
              <w:bottom w:val="single" w:color="000000" w:sz="8" w:space="0"/>
              <w:right w:val="single" w:color="000000" w:sz="8" w:space="0"/>
            </w:tcBorders>
            <w:vAlign w:val="center"/>
          </w:tcPr>
          <w:p w14:paraId="26C7E147">
            <w:pPr>
              <w:keepNext w:val="0"/>
              <w:keepLines w:val="0"/>
              <w:pageBreakBefore w:val="0"/>
              <w:kinsoku/>
              <w:wordWrap/>
              <w:overflowPunct/>
              <w:topLinePunct w:val="0"/>
              <w:autoSpaceDE w:val="0"/>
              <w:autoSpaceDN/>
              <w:bidi w:val="0"/>
              <w:snapToGrid/>
              <w:spacing w:line="400" w:lineRule="exact"/>
              <w:jc w:val="center"/>
              <w:textAlignment w:val="auto"/>
              <w:rPr>
                <w:rFonts w:ascii="宋体" w:hAnsi="宋体" w:cs="宋体"/>
                <w:b w:val="0"/>
                <w:bCs w:val="0"/>
                <w:color w:val="auto"/>
                <w:sz w:val="24"/>
                <w:highlight w:val="none"/>
              </w:rPr>
            </w:pPr>
            <w:r>
              <w:rPr>
                <w:rFonts w:hint="eastAsia" w:ascii="宋体" w:hAnsi="宋体" w:cs="宋体"/>
                <w:b w:val="0"/>
                <w:bCs w:val="0"/>
                <w:color w:val="auto"/>
                <w:sz w:val="24"/>
                <w:highlight w:val="none"/>
                <w:lang w:bidi="ar"/>
              </w:rPr>
              <w:t>确定第二阶段成交供应商的方式</w:t>
            </w:r>
          </w:p>
        </w:tc>
        <w:tc>
          <w:tcPr>
            <w:tcW w:w="6422" w:type="dxa"/>
            <w:tcBorders>
              <w:top w:val="single" w:color="000000" w:sz="8" w:space="0"/>
              <w:left w:val="single" w:color="000000" w:sz="2" w:space="0"/>
              <w:bottom w:val="single" w:color="000000" w:sz="8" w:space="0"/>
              <w:right w:val="single" w:color="000000" w:sz="8" w:space="0"/>
            </w:tcBorders>
            <w:vAlign w:val="center"/>
          </w:tcPr>
          <w:p w14:paraId="5FF642D6">
            <w:pPr>
              <w:keepNext w:val="0"/>
              <w:keepLines w:val="0"/>
              <w:pageBreakBefore w:val="0"/>
              <w:kinsoku/>
              <w:wordWrap/>
              <w:overflowPunct/>
              <w:topLinePunct w:val="0"/>
              <w:autoSpaceDE w:val="0"/>
              <w:autoSpaceDN/>
              <w:bidi w:val="0"/>
              <w:snapToGrid/>
              <w:spacing w:line="400" w:lineRule="exact"/>
              <w:textAlignment w:val="auto"/>
              <w:rPr>
                <w:rFonts w:hint="eastAsia" w:ascii="宋体" w:hAnsi="宋体" w:cs="宋体"/>
                <w:color w:val="auto"/>
                <w:sz w:val="24"/>
                <w:highlight w:val="none"/>
                <w:lang w:bidi="ar"/>
              </w:rPr>
            </w:pPr>
            <w:r>
              <w:rPr>
                <w:rFonts w:hint="eastAsia" w:ascii="宋体" w:hAnsi="宋体" w:cs="宋体"/>
                <w:color w:val="auto"/>
                <w:sz w:val="24"/>
                <w:highlight w:val="none"/>
                <w:lang w:bidi="ar"/>
              </w:rPr>
              <w:sym w:font="Wingdings 2" w:char="0052"/>
            </w:r>
            <w:r>
              <w:rPr>
                <w:rFonts w:hint="eastAsia" w:ascii="宋体" w:hAnsi="宋体" w:cs="宋体"/>
                <w:color w:val="auto"/>
                <w:sz w:val="24"/>
                <w:highlight w:val="none"/>
                <w:lang w:bidi="ar"/>
              </w:rPr>
              <w:t xml:space="preserve">直接选定  </w:t>
            </w:r>
            <w:r>
              <w:rPr>
                <w:rFonts w:hint="eastAsia" w:ascii="宋体" w:hAnsi="宋体" w:cs="宋体"/>
                <w:color w:val="auto"/>
                <w:sz w:val="24"/>
                <w:highlight w:val="none"/>
                <w:lang w:bidi="ar"/>
              </w:rPr>
              <w:sym w:font="Wingdings 2" w:char="00A3"/>
            </w:r>
            <w:r>
              <w:rPr>
                <w:rFonts w:hint="eastAsia" w:ascii="宋体" w:hAnsi="宋体" w:cs="宋体"/>
                <w:color w:val="auto"/>
                <w:sz w:val="24"/>
                <w:highlight w:val="none"/>
                <w:lang w:bidi="ar"/>
              </w:rPr>
              <w:t>二次竞价  ☐顺序轮候</w:t>
            </w:r>
          </w:p>
          <w:p w14:paraId="026217FD">
            <w:pPr>
              <w:pStyle w:val="64"/>
              <w:keepNext w:val="0"/>
              <w:keepLines w:val="0"/>
              <w:pageBreakBefore w:val="0"/>
              <w:kinsoku/>
              <w:wordWrap/>
              <w:overflowPunct/>
              <w:topLinePunct w:val="0"/>
              <w:autoSpaceDN/>
              <w:bidi w:val="0"/>
              <w:snapToGrid/>
              <w:spacing w:line="400" w:lineRule="exact"/>
              <w:ind w:left="0" w:leftChars="0" w:firstLine="0" w:firstLineChars="0"/>
              <w:textAlignment w:val="auto"/>
            </w:pPr>
            <w:r>
              <w:rPr>
                <w:color w:val="000000"/>
                <w:sz w:val="24"/>
                <w:szCs w:val="24"/>
              </w:rPr>
              <w:t>直接选定：由采购单位依据入围产品价格、质量以及服务便利性、用户评价等因素，从第一阶段入围供应商中直接选定。</w:t>
            </w:r>
          </w:p>
        </w:tc>
      </w:tr>
      <w:tr w14:paraId="3919B3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629" w:type="dxa"/>
            <w:tcBorders>
              <w:top w:val="single" w:color="auto" w:sz="4" w:space="0"/>
              <w:left w:val="single" w:color="auto" w:sz="4" w:space="0"/>
              <w:bottom w:val="single" w:color="auto" w:sz="4" w:space="0"/>
              <w:right w:val="single" w:color="auto" w:sz="4" w:space="0"/>
            </w:tcBorders>
            <w:vAlign w:val="center"/>
          </w:tcPr>
          <w:p w14:paraId="26B71773">
            <w:pPr>
              <w:snapToGrid w:val="0"/>
              <w:spacing w:line="360" w:lineRule="exact"/>
              <w:jc w:val="center"/>
              <w:rPr>
                <w:rFonts w:ascii="宋体" w:hAnsi="宋体" w:cs="宋体"/>
                <w:b/>
                <w:bCs/>
                <w:color w:val="auto"/>
                <w:sz w:val="24"/>
                <w:highlight w:val="none"/>
              </w:rPr>
            </w:pPr>
            <w:r>
              <w:rPr>
                <w:rFonts w:hint="eastAsia" w:ascii="宋体" w:hAnsi="宋体" w:cs="宋体"/>
                <w:b/>
                <w:bCs/>
                <w:color w:val="auto"/>
                <w:sz w:val="24"/>
                <w:highlight w:val="none"/>
              </w:rPr>
              <w:t>4</w:t>
            </w:r>
          </w:p>
        </w:tc>
        <w:tc>
          <w:tcPr>
            <w:tcW w:w="1899" w:type="dxa"/>
            <w:tcBorders>
              <w:top w:val="single" w:color="000000" w:sz="8" w:space="0"/>
              <w:left w:val="single" w:color="auto" w:sz="4" w:space="0"/>
              <w:bottom w:val="single" w:color="000000" w:sz="8" w:space="0"/>
              <w:right w:val="single" w:color="000000" w:sz="8" w:space="0"/>
            </w:tcBorders>
            <w:vAlign w:val="center"/>
          </w:tcPr>
          <w:p w14:paraId="23F2F018">
            <w:pPr>
              <w:keepNext w:val="0"/>
              <w:keepLines w:val="0"/>
              <w:pageBreakBefore w:val="0"/>
              <w:kinsoku/>
              <w:wordWrap/>
              <w:overflowPunct/>
              <w:topLinePunct w:val="0"/>
              <w:autoSpaceDE w:val="0"/>
              <w:autoSpaceDN/>
              <w:bidi w:val="0"/>
              <w:snapToGrid/>
              <w:spacing w:line="400" w:lineRule="exact"/>
              <w:jc w:val="left"/>
              <w:textAlignment w:val="auto"/>
              <w:rPr>
                <w:rFonts w:asciiTheme="majorEastAsia" w:hAnsiTheme="majorEastAsia" w:eastAsiaTheme="majorEastAsia" w:cstheme="majorEastAsia"/>
                <w:b w:val="0"/>
                <w:bCs w:val="0"/>
                <w:color w:val="auto"/>
                <w:sz w:val="24"/>
                <w:highlight w:val="none"/>
                <w:lang w:bidi="ar"/>
              </w:rPr>
            </w:pPr>
            <w:r>
              <w:rPr>
                <w:b w:val="0"/>
                <w:bCs w:val="0"/>
                <w:color w:val="000000"/>
                <w:sz w:val="24"/>
                <w:szCs w:val="24"/>
              </w:rPr>
              <w:t>本</w:t>
            </w:r>
            <w:r>
              <w:rPr>
                <w:rFonts w:hint="eastAsia" w:ascii="宋体" w:hAnsi="宋体" w:eastAsia="宋体" w:cs="宋体"/>
                <w:b w:val="0"/>
                <w:bCs w:val="0"/>
                <w:color w:val="auto"/>
                <w:sz w:val="24"/>
                <w:highlight w:val="none"/>
                <w:lang w:bidi="ar"/>
              </w:rPr>
              <w:t>项目采购标的及对应所属行业</w:t>
            </w:r>
          </w:p>
        </w:tc>
        <w:tc>
          <w:tcPr>
            <w:tcW w:w="6422" w:type="dxa"/>
            <w:tcBorders>
              <w:top w:val="single" w:color="000000" w:sz="8" w:space="0"/>
              <w:left w:val="single" w:color="000000" w:sz="2" w:space="0"/>
              <w:bottom w:val="single" w:color="000000" w:sz="8" w:space="0"/>
              <w:right w:val="single" w:color="000000" w:sz="8" w:space="0"/>
            </w:tcBorders>
            <w:vAlign w:val="center"/>
          </w:tcPr>
          <w:p w14:paraId="60795DCA">
            <w:pPr>
              <w:keepNext w:val="0"/>
              <w:keepLines w:val="0"/>
              <w:pageBreakBefore w:val="0"/>
              <w:kinsoku/>
              <w:wordWrap/>
              <w:overflowPunct/>
              <w:topLinePunct w:val="0"/>
              <w:autoSpaceDE w:val="0"/>
              <w:autoSpaceDN/>
              <w:bidi w:val="0"/>
              <w:snapToGrid/>
              <w:spacing w:line="400" w:lineRule="exact"/>
              <w:jc w:val="left"/>
              <w:textAlignment w:val="auto"/>
              <w:rPr>
                <w:color w:val="000000"/>
                <w:sz w:val="24"/>
                <w:szCs w:val="24"/>
              </w:rPr>
            </w:pPr>
            <w:r>
              <w:rPr>
                <w:color w:val="000000"/>
                <w:sz w:val="24"/>
                <w:szCs w:val="24"/>
              </w:rPr>
              <w:t>采购标的：</w:t>
            </w:r>
            <w:r>
              <w:rPr>
                <w:rFonts w:hint="eastAsia"/>
                <w:color w:val="000000"/>
                <w:sz w:val="24"/>
                <w:szCs w:val="24"/>
                <w:lang w:eastAsia="zh-CN"/>
              </w:rPr>
              <w:t>法律专业</w:t>
            </w:r>
            <w:r>
              <w:rPr>
                <w:color w:val="000000"/>
                <w:sz w:val="24"/>
                <w:szCs w:val="24"/>
              </w:rPr>
              <w:t>服务，所属行业：租赁和商务服务业。</w:t>
            </w:r>
          </w:p>
          <w:p w14:paraId="4AB7597E">
            <w:pPr>
              <w:pStyle w:val="20"/>
              <w:keepNext w:val="0"/>
              <w:keepLines w:val="0"/>
              <w:pageBreakBefore w:val="0"/>
              <w:kinsoku/>
              <w:wordWrap/>
              <w:overflowPunct/>
              <w:topLinePunct w:val="0"/>
              <w:autoSpaceDN/>
              <w:bidi w:val="0"/>
              <w:snapToGrid/>
              <w:spacing w:line="400" w:lineRule="exact"/>
              <w:ind w:left="0" w:leftChars="0" w:firstLine="0" w:firstLineChars="0"/>
              <w:textAlignment w:val="auto"/>
              <w:rPr>
                <w:rFonts w:asciiTheme="majorEastAsia" w:hAnsiTheme="majorEastAsia" w:eastAsiaTheme="majorEastAsia" w:cstheme="majorEastAsia"/>
                <w:color w:val="auto"/>
                <w:sz w:val="24"/>
                <w:highlight w:val="none"/>
                <w:lang w:bidi="ar"/>
              </w:rPr>
            </w:pPr>
            <w:r>
              <w:rPr>
                <w:rFonts w:ascii="Times New Roman" w:hAnsi="Times New Roman" w:eastAsia="宋体" w:cs="Times New Roman"/>
                <w:kern w:val="2"/>
                <w:sz w:val="24"/>
                <w:szCs w:val="24"/>
                <w:highlight w:val="none"/>
                <w:lang w:val="en-US" w:eastAsia="zh-CN" w:bidi="ar-SA"/>
              </w:rPr>
              <w:t>本项目所属行业：租赁和商务服务业</w:t>
            </w:r>
            <w:r>
              <w:rPr>
                <w:rFonts w:hint="eastAsia" w:ascii="Times New Roman" w:hAnsi="Times New Roman" w:eastAsia="宋体" w:cs="Times New Roman"/>
                <w:kern w:val="2"/>
                <w:sz w:val="24"/>
                <w:szCs w:val="24"/>
                <w:highlight w:val="none"/>
                <w:lang w:val="en-US" w:eastAsia="zh-CN" w:bidi="ar-SA"/>
              </w:rPr>
              <w:t>。（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ascii="Times New Roman" w:hAnsi="Times New Roman" w:eastAsia="宋体" w:cs="Times New Roman"/>
                <w:kern w:val="2"/>
                <w:sz w:val="24"/>
                <w:szCs w:val="24"/>
                <w:highlight w:val="none"/>
                <w:lang w:val="en-US" w:eastAsia="zh-CN" w:bidi="ar-SA"/>
              </w:rPr>
              <w:t>｛投标人应根据《工业和信息化部、国家统计局、国家发展和改革委员会、财政部关于印发中小企业划型标准规定的通知》（工信部联企业〔2011〕300号）规定的划型标准，填报企业规模类型。投标人也可在国务院客户端或工业和信息化部网站上，使用中小企业规模类型自测小程序识别企业规模类型。｝</w:t>
            </w:r>
          </w:p>
        </w:tc>
      </w:tr>
      <w:tr w14:paraId="0706C1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52" w:hRule="atLeast"/>
        </w:trPr>
        <w:tc>
          <w:tcPr>
            <w:tcW w:w="629" w:type="dxa"/>
            <w:tcBorders>
              <w:top w:val="single" w:color="auto" w:sz="4" w:space="0"/>
              <w:left w:val="single" w:color="auto" w:sz="4" w:space="0"/>
              <w:bottom w:val="single" w:color="auto" w:sz="4" w:space="0"/>
              <w:right w:val="single" w:color="auto" w:sz="4" w:space="0"/>
            </w:tcBorders>
            <w:vAlign w:val="center"/>
          </w:tcPr>
          <w:p w14:paraId="3FEDD578">
            <w:pPr>
              <w:autoSpaceDE w:val="0"/>
              <w:jc w:val="center"/>
              <w:rPr>
                <w:rFonts w:ascii="宋体" w:hAnsi="宋体" w:cs="宋体"/>
                <w:b w:val="0"/>
                <w:bCs w:val="0"/>
                <w:color w:val="auto"/>
                <w:sz w:val="24"/>
                <w:highlight w:val="none"/>
              </w:rPr>
            </w:pPr>
            <w:r>
              <w:rPr>
                <w:rFonts w:hint="eastAsia" w:asciiTheme="minorEastAsia" w:hAnsiTheme="minorEastAsia" w:eastAsiaTheme="minorEastAsia" w:cstheme="minorEastAsia"/>
                <w:b/>
                <w:bCs/>
                <w:color w:val="000000"/>
                <w:sz w:val="24"/>
                <w:szCs w:val="24"/>
              </w:rPr>
              <w:t>5</w:t>
            </w:r>
          </w:p>
        </w:tc>
        <w:tc>
          <w:tcPr>
            <w:tcW w:w="1899" w:type="dxa"/>
            <w:tcBorders>
              <w:top w:val="single" w:color="000000" w:sz="8" w:space="0"/>
              <w:left w:val="single" w:color="auto" w:sz="4" w:space="0"/>
              <w:bottom w:val="single" w:color="000000" w:sz="8" w:space="0"/>
              <w:right w:val="single" w:color="000000" w:sz="8" w:space="0"/>
            </w:tcBorders>
            <w:vAlign w:val="center"/>
          </w:tcPr>
          <w:p w14:paraId="313973F1">
            <w:pPr>
              <w:keepNext w:val="0"/>
              <w:keepLines w:val="0"/>
              <w:pageBreakBefore w:val="0"/>
              <w:kinsoku/>
              <w:wordWrap/>
              <w:overflowPunct/>
              <w:topLinePunct w:val="0"/>
              <w:autoSpaceDE w:val="0"/>
              <w:autoSpaceDN/>
              <w:bidi w:val="0"/>
              <w:snapToGrid/>
              <w:spacing w:line="400" w:lineRule="exact"/>
              <w:jc w:val="center"/>
              <w:textAlignment w:val="auto"/>
              <w:rPr>
                <w:rFonts w:ascii="宋体" w:hAnsi="宋体" w:cs="宋体"/>
                <w:b w:val="0"/>
                <w:bCs w:val="0"/>
                <w:color w:val="auto"/>
                <w:sz w:val="24"/>
                <w:highlight w:val="none"/>
              </w:rPr>
            </w:pPr>
            <w:r>
              <w:rPr>
                <w:rFonts w:hint="eastAsia" w:ascii="新宋体" w:hAnsi="新宋体" w:eastAsia="新宋体" w:cs="Courier New"/>
                <w:b w:val="0"/>
                <w:bCs w:val="0"/>
                <w:color w:val="auto"/>
                <w:sz w:val="24"/>
                <w:highlight w:val="none"/>
                <w:lang w:val="en-US" w:eastAsia="zh-CN"/>
              </w:rPr>
              <w:t>扶持中小企业</w:t>
            </w:r>
          </w:p>
        </w:tc>
        <w:tc>
          <w:tcPr>
            <w:tcW w:w="6422" w:type="dxa"/>
            <w:tcBorders>
              <w:top w:val="single" w:color="000000" w:sz="8" w:space="0"/>
              <w:left w:val="single" w:color="000000" w:sz="2" w:space="0"/>
              <w:bottom w:val="single" w:color="000000" w:sz="8" w:space="0"/>
              <w:right w:val="single" w:color="000000" w:sz="8" w:space="0"/>
            </w:tcBorders>
            <w:vAlign w:val="center"/>
          </w:tcPr>
          <w:p w14:paraId="216FF0E2">
            <w:pPr>
              <w:keepNext w:val="0"/>
              <w:keepLines w:val="0"/>
              <w:pageBreakBefore w:val="0"/>
              <w:kinsoku/>
              <w:wordWrap/>
              <w:overflowPunct/>
              <w:topLinePunct w:val="0"/>
              <w:autoSpaceDN/>
              <w:bidi w:val="0"/>
              <w:snapToGrid/>
              <w:spacing w:line="400" w:lineRule="exact"/>
              <w:textAlignment w:val="auto"/>
              <w:rPr>
                <w:rFonts w:hint="eastAsia" w:ascii="新宋体" w:hAnsi="新宋体" w:eastAsia="新宋体" w:cs="新宋体"/>
                <w:color w:val="auto"/>
                <w:sz w:val="24"/>
                <w:highlight w:val="none"/>
                <w:lang w:eastAsia="zh-CN"/>
              </w:rPr>
            </w:pPr>
            <w:r>
              <w:rPr>
                <w:rFonts w:hint="eastAsia" w:ascii="新宋体" w:hAnsi="新宋体" w:eastAsia="新宋体" w:cs="新宋体"/>
                <w:color w:val="auto"/>
                <w:sz w:val="24"/>
                <w:highlight w:val="none"/>
              </w:rPr>
              <w:sym w:font="Wingdings" w:char="00A8"/>
            </w:r>
            <w:r>
              <w:rPr>
                <w:rFonts w:hint="eastAsia" w:ascii="新宋体" w:hAnsi="新宋体" w:eastAsia="新宋体" w:cs="新宋体"/>
                <w:color w:val="auto"/>
                <w:sz w:val="24"/>
                <w:highlight w:val="none"/>
              </w:rPr>
              <w:t>本项目为专门面向中小企业采购的项目或者标项，不再执行价格评审优惠的扶持政策</w:t>
            </w:r>
            <w:r>
              <w:rPr>
                <w:rFonts w:hint="eastAsia" w:ascii="新宋体" w:hAnsi="新宋体" w:eastAsia="新宋体" w:cs="新宋体"/>
                <w:color w:val="auto"/>
                <w:sz w:val="24"/>
                <w:highlight w:val="none"/>
                <w:lang w:eastAsia="zh-CN"/>
              </w:rPr>
              <w:t>。</w:t>
            </w:r>
          </w:p>
          <w:p w14:paraId="08AFA05C">
            <w:pPr>
              <w:keepNext w:val="0"/>
              <w:keepLines w:val="0"/>
              <w:pageBreakBefore w:val="0"/>
              <w:kinsoku/>
              <w:wordWrap/>
              <w:overflowPunct/>
              <w:topLinePunct w:val="0"/>
              <w:autoSpaceDN/>
              <w:bidi w:val="0"/>
              <w:snapToGrid/>
              <w:spacing w:line="400" w:lineRule="exact"/>
              <w:textAlignment w:val="auto"/>
              <w:rPr>
                <w:rFonts w:ascii="宋体" w:hAnsi="宋体" w:cs="宋体"/>
                <w:color w:val="auto"/>
                <w:sz w:val="24"/>
                <w:highlight w:val="none"/>
              </w:rPr>
            </w:pPr>
            <w:r>
              <w:rPr>
                <w:rFonts w:hint="eastAsia" w:ascii="新宋体" w:hAnsi="新宋体" w:eastAsia="新宋体" w:cs="新宋体"/>
                <w:color w:val="auto"/>
                <w:sz w:val="24"/>
                <w:highlight w:val="none"/>
              </w:rPr>
              <w:sym w:font="Wingdings" w:char="00FE"/>
            </w:r>
            <w:r>
              <w:rPr>
                <w:rFonts w:hint="eastAsia" w:ascii="新宋体" w:hAnsi="新宋体" w:eastAsia="新宋体" w:cs="新宋体"/>
                <w:color w:val="auto"/>
                <w:sz w:val="24"/>
                <w:highlight w:val="none"/>
              </w:rPr>
              <w:t>本项目为非专门面向中小企业采购的</w:t>
            </w:r>
            <w:r>
              <w:rPr>
                <w:rFonts w:hint="eastAsia" w:ascii="新宋体" w:hAnsi="新宋体" w:eastAsia="新宋体" w:cs="新宋体"/>
                <w:color w:val="auto"/>
                <w:sz w:val="24"/>
                <w:highlight w:val="none"/>
                <w:lang w:eastAsia="zh-CN"/>
              </w:rPr>
              <w:t>项目或者标项</w:t>
            </w:r>
            <w:r>
              <w:rPr>
                <w:rFonts w:hint="eastAsia" w:ascii="新宋体" w:hAnsi="新宋体" w:eastAsia="新宋体" w:cs="新宋体"/>
                <w:color w:val="auto"/>
                <w:sz w:val="24"/>
                <w:highlight w:val="none"/>
              </w:rPr>
              <w:t>，执行价格评审优惠</w:t>
            </w:r>
            <w:r>
              <w:rPr>
                <w:rFonts w:hint="eastAsia" w:ascii="新宋体" w:hAnsi="新宋体" w:eastAsia="新宋体" w:cs="新宋体"/>
                <w:color w:val="auto"/>
                <w:sz w:val="24"/>
                <w:highlight w:val="none"/>
                <w:lang w:eastAsia="zh-CN"/>
              </w:rPr>
              <w:t>。</w:t>
            </w:r>
          </w:p>
        </w:tc>
      </w:tr>
      <w:tr w14:paraId="507F83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158" w:hRule="atLeast"/>
        </w:trPr>
        <w:tc>
          <w:tcPr>
            <w:tcW w:w="629" w:type="dxa"/>
            <w:tcBorders>
              <w:top w:val="single" w:color="auto" w:sz="4" w:space="0"/>
              <w:left w:val="single" w:color="auto" w:sz="4" w:space="0"/>
              <w:bottom w:val="single" w:color="auto" w:sz="4" w:space="0"/>
              <w:right w:val="single" w:color="auto" w:sz="4" w:space="0"/>
            </w:tcBorders>
            <w:vAlign w:val="center"/>
          </w:tcPr>
          <w:p w14:paraId="29DCBABA">
            <w:pPr>
              <w:autoSpaceDE w:val="0"/>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000000"/>
                <w:sz w:val="24"/>
                <w:szCs w:val="24"/>
              </w:rPr>
              <w:t>6</w:t>
            </w:r>
          </w:p>
        </w:tc>
        <w:tc>
          <w:tcPr>
            <w:tcW w:w="1899" w:type="dxa"/>
            <w:tcBorders>
              <w:top w:val="single" w:color="000000" w:sz="8" w:space="0"/>
              <w:left w:val="single" w:color="auto" w:sz="4" w:space="0"/>
              <w:bottom w:val="single" w:color="auto" w:sz="4" w:space="0"/>
              <w:right w:val="single" w:color="000000" w:sz="8" w:space="0"/>
            </w:tcBorders>
            <w:vAlign w:val="center"/>
          </w:tcPr>
          <w:p w14:paraId="530BA0BC">
            <w:pPr>
              <w:keepNext w:val="0"/>
              <w:keepLines w:val="0"/>
              <w:pageBreakBefore w:val="0"/>
              <w:kinsoku/>
              <w:wordWrap/>
              <w:overflowPunct/>
              <w:topLinePunct w:val="0"/>
              <w:autoSpaceDE w:val="0"/>
              <w:autoSpaceDN/>
              <w:bidi w:val="0"/>
              <w:snapToGrid/>
              <w:spacing w:line="400" w:lineRule="exact"/>
              <w:jc w:val="left"/>
              <w:textAlignment w:val="auto"/>
              <w:rPr>
                <w:rFonts w:ascii="宋体" w:hAnsi="宋体" w:cs="宋体"/>
                <w:b/>
                <w:color w:val="auto"/>
                <w:sz w:val="24"/>
                <w:highlight w:val="none"/>
              </w:rPr>
            </w:pPr>
            <w:r>
              <w:rPr>
                <w:rFonts w:hint="eastAsia"/>
                <w:color w:val="000000"/>
                <w:sz w:val="24"/>
                <w:szCs w:val="24"/>
              </w:rPr>
              <w:t>是否允许采购进口产品</w:t>
            </w:r>
          </w:p>
        </w:tc>
        <w:tc>
          <w:tcPr>
            <w:tcW w:w="6422" w:type="dxa"/>
            <w:tcBorders>
              <w:top w:val="single" w:color="000000" w:sz="8" w:space="0"/>
              <w:left w:val="single" w:color="000000" w:sz="2" w:space="0"/>
              <w:bottom w:val="single" w:color="000000" w:sz="8" w:space="0"/>
              <w:right w:val="single" w:color="000000" w:sz="8" w:space="0"/>
            </w:tcBorders>
            <w:vAlign w:val="center"/>
          </w:tcPr>
          <w:p w14:paraId="1F155845">
            <w:pPr>
              <w:keepNext w:val="0"/>
              <w:keepLines w:val="0"/>
              <w:pageBreakBefore w:val="0"/>
              <w:kinsoku/>
              <w:wordWrap/>
              <w:overflowPunct/>
              <w:topLinePunct w:val="0"/>
              <w:autoSpaceDE w:val="0"/>
              <w:autoSpaceDN/>
              <w:bidi w:val="0"/>
              <w:snapToGrid/>
              <w:spacing w:line="400" w:lineRule="exact"/>
              <w:jc w:val="left"/>
              <w:textAlignment w:val="auto"/>
              <w:rPr>
                <w:rFonts w:ascii="宋体" w:hAnsi="宋体" w:cs="宋体"/>
                <w:color w:val="auto"/>
                <w:sz w:val="24"/>
                <w:highlight w:val="none"/>
              </w:rPr>
            </w:pPr>
            <w:r>
              <w:rPr>
                <w:rFonts w:hint="eastAsia"/>
                <w:color w:val="000000"/>
                <w:sz w:val="24"/>
                <w:szCs w:val="24"/>
              </w:rPr>
              <w:t>不允许进口产品。</w:t>
            </w:r>
          </w:p>
        </w:tc>
      </w:tr>
      <w:tr w14:paraId="3B7DAF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rPr>
        <w:tc>
          <w:tcPr>
            <w:tcW w:w="629" w:type="dxa"/>
            <w:tcBorders>
              <w:top w:val="single" w:color="auto" w:sz="4" w:space="0"/>
              <w:left w:val="single" w:color="auto" w:sz="4" w:space="0"/>
              <w:bottom w:val="single" w:color="auto" w:sz="4" w:space="0"/>
              <w:right w:val="single" w:color="auto" w:sz="4" w:space="0"/>
            </w:tcBorders>
            <w:vAlign w:val="center"/>
          </w:tcPr>
          <w:p w14:paraId="47D6BEC6">
            <w:pPr>
              <w:autoSpaceDE w:val="0"/>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000000"/>
                <w:sz w:val="24"/>
                <w:szCs w:val="24"/>
              </w:rPr>
              <w:t>7</w:t>
            </w:r>
          </w:p>
        </w:tc>
        <w:tc>
          <w:tcPr>
            <w:tcW w:w="1899" w:type="dxa"/>
            <w:tcBorders>
              <w:top w:val="single" w:color="auto" w:sz="4" w:space="0"/>
              <w:left w:val="single" w:color="auto" w:sz="4" w:space="0"/>
              <w:bottom w:val="single" w:color="auto" w:sz="4" w:space="0"/>
              <w:right w:val="single" w:color="auto" w:sz="4" w:space="0"/>
            </w:tcBorders>
            <w:vAlign w:val="center"/>
          </w:tcPr>
          <w:p w14:paraId="3EB9E45A">
            <w:pPr>
              <w:keepNext w:val="0"/>
              <w:keepLines w:val="0"/>
              <w:pageBreakBefore w:val="0"/>
              <w:kinsoku/>
              <w:wordWrap/>
              <w:overflowPunct/>
              <w:topLinePunct w:val="0"/>
              <w:autoSpaceDE w:val="0"/>
              <w:autoSpaceDN/>
              <w:bidi w:val="0"/>
              <w:snapToGrid/>
              <w:spacing w:line="400" w:lineRule="exact"/>
              <w:jc w:val="left"/>
              <w:textAlignment w:val="auto"/>
              <w:rPr>
                <w:rFonts w:ascii="宋体" w:hAnsi="宋体" w:cs="宋体"/>
                <w:b/>
                <w:color w:val="auto"/>
                <w:sz w:val="24"/>
                <w:highlight w:val="none"/>
              </w:rPr>
            </w:pPr>
            <w:r>
              <w:rPr>
                <w:rFonts w:hint="eastAsia"/>
                <w:color w:val="000000"/>
                <w:sz w:val="24"/>
                <w:szCs w:val="24"/>
              </w:rPr>
              <w:t>是否允许转包与分包</w:t>
            </w:r>
          </w:p>
        </w:tc>
        <w:tc>
          <w:tcPr>
            <w:tcW w:w="6422" w:type="dxa"/>
            <w:tcBorders>
              <w:top w:val="single" w:color="000000" w:sz="8" w:space="0"/>
              <w:left w:val="single" w:color="auto" w:sz="4" w:space="0"/>
              <w:bottom w:val="single" w:color="auto" w:sz="4" w:space="0"/>
              <w:right w:val="single" w:color="000000" w:sz="8" w:space="0"/>
            </w:tcBorders>
            <w:vAlign w:val="center"/>
          </w:tcPr>
          <w:p w14:paraId="7BEE0C9B">
            <w:pPr>
              <w:keepNext w:val="0"/>
              <w:keepLines w:val="0"/>
              <w:pageBreakBefore w:val="0"/>
              <w:kinsoku/>
              <w:wordWrap/>
              <w:overflowPunct/>
              <w:topLinePunct w:val="0"/>
              <w:autoSpaceDN/>
              <w:bidi w:val="0"/>
              <w:snapToGrid/>
              <w:spacing w:line="400" w:lineRule="exact"/>
              <w:jc w:val="left"/>
              <w:textAlignment w:val="auto"/>
              <w:rPr>
                <w:color w:val="000000"/>
                <w:sz w:val="24"/>
                <w:szCs w:val="24"/>
              </w:rPr>
            </w:pPr>
            <w:r>
              <w:rPr>
                <w:rFonts w:hint="eastAsia"/>
                <w:color w:val="000000"/>
                <w:sz w:val="24"/>
                <w:szCs w:val="24"/>
              </w:rPr>
              <w:t>转包：否</w:t>
            </w:r>
          </w:p>
          <w:p w14:paraId="1CF04429">
            <w:pPr>
              <w:keepNext w:val="0"/>
              <w:keepLines w:val="0"/>
              <w:pageBreakBefore w:val="0"/>
              <w:kinsoku/>
              <w:wordWrap/>
              <w:overflowPunct/>
              <w:topLinePunct w:val="0"/>
              <w:autoSpaceDE w:val="0"/>
              <w:autoSpaceDN/>
              <w:bidi w:val="0"/>
              <w:snapToGrid/>
              <w:spacing w:line="400" w:lineRule="exact"/>
              <w:jc w:val="left"/>
              <w:textAlignment w:val="auto"/>
              <w:rPr>
                <w:rFonts w:ascii="宋体" w:hAnsi="宋体" w:cs="宋体"/>
                <w:snapToGrid w:val="0"/>
                <w:color w:val="auto"/>
                <w:kern w:val="0"/>
                <w:sz w:val="24"/>
                <w:highlight w:val="none"/>
              </w:rPr>
            </w:pPr>
            <w:r>
              <w:rPr>
                <w:rFonts w:hint="eastAsia"/>
                <w:color w:val="000000"/>
                <w:sz w:val="24"/>
                <w:szCs w:val="24"/>
              </w:rPr>
              <w:t>分包：</w:t>
            </w:r>
            <w:r>
              <w:rPr>
                <w:rFonts w:hint="eastAsia"/>
                <w:color w:val="000000"/>
                <w:sz w:val="24"/>
                <w:szCs w:val="24"/>
                <w:lang w:eastAsia="zh-CN"/>
              </w:rPr>
              <w:t>否</w:t>
            </w:r>
            <w:r>
              <w:rPr>
                <w:rFonts w:hint="eastAsia"/>
                <w:color w:val="000000"/>
                <w:sz w:val="24"/>
                <w:szCs w:val="24"/>
              </w:rPr>
              <w:t>。</w:t>
            </w:r>
          </w:p>
        </w:tc>
      </w:tr>
      <w:tr w14:paraId="17D0CD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52" w:hRule="atLeast"/>
        </w:trPr>
        <w:tc>
          <w:tcPr>
            <w:tcW w:w="629" w:type="dxa"/>
            <w:tcBorders>
              <w:top w:val="single" w:color="auto" w:sz="4" w:space="0"/>
              <w:left w:val="single" w:color="auto" w:sz="4" w:space="0"/>
              <w:bottom w:val="single" w:color="auto" w:sz="4" w:space="0"/>
              <w:right w:val="single" w:color="auto" w:sz="4" w:space="0"/>
            </w:tcBorders>
            <w:vAlign w:val="center"/>
          </w:tcPr>
          <w:p w14:paraId="50113B63">
            <w:pPr>
              <w:autoSpaceDE w:val="0"/>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000000"/>
                <w:sz w:val="24"/>
                <w:szCs w:val="24"/>
              </w:rPr>
              <w:t>8</w:t>
            </w:r>
          </w:p>
        </w:tc>
        <w:tc>
          <w:tcPr>
            <w:tcW w:w="1899" w:type="dxa"/>
            <w:tcBorders>
              <w:top w:val="single" w:color="auto" w:sz="4" w:space="0"/>
              <w:left w:val="single" w:color="auto" w:sz="4" w:space="0"/>
              <w:bottom w:val="single" w:color="000000" w:sz="8" w:space="0"/>
              <w:right w:val="single" w:color="000000" w:sz="8" w:space="0"/>
            </w:tcBorders>
            <w:vAlign w:val="center"/>
          </w:tcPr>
          <w:p w14:paraId="05227B3D">
            <w:pPr>
              <w:keepNext w:val="0"/>
              <w:keepLines w:val="0"/>
              <w:pageBreakBefore w:val="0"/>
              <w:kinsoku/>
              <w:wordWrap/>
              <w:overflowPunct/>
              <w:topLinePunct w:val="0"/>
              <w:autoSpaceDE w:val="0"/>
              <w:autoSpaceDN/>
              <w:bidi w:val="0"/>
              <w:snapToGrid/>
              <w:spacing w:line="400" w:lineRule="exact"/>
              <w:jc w:val="left"/>
              <w:textAlignment w:val="auto"/>
              <w:rPr>
                <w:rFonts w:ascii="宋体" w:hAnsi="宋体" w:cs="宋体"/>
                <w:b/>
                <w:color w:val="auto"/>
                <w:sz w:val="24"/>
                <w:highlight w:val="none"/>
              </w:rPr>
            </w:pPr>
            <w:r>
              <w:rPr>
                <w:rFonts w:hint="eastAsia"/>
                <w:color w:val="000000"/>
                <w:sz w:val="24"/>
                <w:szCs w:val="24"/>
              </w:rPr>
              <w:t>是否接受联合体响应</w:t>
            </w:r>
          </w:p>
        </w:tc>
        <w:tc>
          <w:tcPr>
            <w:tcW w:w="6422" w:type="dxa"/>
            <w:tcBorders>
              <w:top w:val="single" w:color="auto" w:sz="4" w:space="0"/>
              <w:left w:val="single" w:color="000000" w:sz="2" w:space="0"/>
              <w:bottom w:val="single" w:color="000000" w:sz="8" w:space="0"/>
              <w:right w:val="single" w:color="000000" w:sz="8" w:space="0"/>
            </w:tcBorders>
            <w:vAlign w:val="center"/>
          </w:tcPr>
          <w:p w14:paraId="01087B6F">
            <w:pPr>
              <w:keepNext w:val="0"/>
              <w:keepLines w:val="0"/>
              <w:pageBreakBefore w:val="0"/>
              <w:kinsoku/>
              <w:wordWrap/>
              <w:overflowPunct/>
              <w:topLinePunct w:val="0"/>
              <w:autoSpaceDE w:val="0"/>
              <w:autoSpaceDN/>
              <w:bidi w:val="0"/>
              <w:snapToGrid/>
              <w:spacing w:line="400" w:lineRule="exact"/>
              <w:jc w:val="left"/>
              <w:textAlignment w:val="auto"/>
              <w:rPr>
                <w:rFonts w:ascii="宋体" w:hAnsi="宋体" w:cs="宋体"/>
                <w:color w:val="auto"/>
                <w:sz w:val="24"/>
                <w:highlight w:val="none"/>
              </w:rPr>
            </w:pPr>
            <w:r>
              <w:rPr>
                <w:rFonts w:hint="eastAsia"/>
                <w:color w:val="000000"/>
                <w:sz w:val="24"/>
                <w:szCs w:val="24"/>
              </w:rPr>
              <w:t>接受联合体响应。</w:t>
            </w:r>
          </w:p>
        </w:tc>
      </w:tr>
      <w:tr w14:paraId="033D87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7" w:hRule="atLeast"/>
        </w:trPr>
        <w:tc>
          <w:tcPr>
            <w:tcW w:w="629" w:type="dxa"/>
            <w:tcBorders>
              <w:top w:val="single" w:color="auto" w:sz="4" w:space="0"/>
              <w:left w:val="single" w:color="auto" w:sz="4" w:space="0"/>
              <w:bottom w:val="single" w:color="auto" w:sz="4" w:space="0"/>
              <w:right w:val="single" w:color="auto" w:sz="4" w:space="0"/>
            </w:tcBorders>
            <w:vAlign w:val="center"/>
          </w:tcPr>
          <w:p w14:paraId="7052CEDD">
            <w:pPr>
              <w:autoSpaceDE w:val="0"/>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000000"/>
                <w:sz w:val="24"/>
                <w:szCs w:val="24"/>
              </w:rPr>
              <w:t>9</w:t>
            </w:r>
          </w:p>
        </w:tc>
        <w:tc>
          <w:tcPr>
            <w:tcW w:w="1899" w:type="dxa"/>
            <w:tcBorders>
              <w:top w:val="single" w:color="000000" w:sz="8" w:space="0"/>
              <w:left w:val="single" w:color="auto" w:sz="4" w:space="0"/>
              <w:bottom w:val="single" w:color="000000" w:sz="8" w:space="0"/>
              <w:right w:val="single" w:color="000000" w:sz="8" w:space="0"/>
            </w:tcBorders>
            <w:vAlign w:val="center"/>
          </w:tcPr>
          <w:p w14:paraId="75E0636A">
            <w:pPr>
              <w:keepNext w:val="0"/>
              <w:keepLines w:val="0"/>
              <w:pageBreakBefore w:val="0"/>
              <w:kinsoku/>
              <w:wordWrap/>
              <w:overflowPunct/>
              <w:topLinePunct w:val="0"/>
              <w:autoSpaceDE w:val="0"/>
              <w:autoSpaceDN/>
              <w:bidi w:val="0"/>
              <w:snapToGrid/>
              <w:spacing w:line="400" w:lineRule="exact"/>
              <w:jc w:val="left"/>
              <w:textAlignment w:val="auto"/>
              <w:rPr>
                <w:rFonts w:ascii="宋体" w:hAnsi="宋体" w:cs="宋体"/>
                <w:b/>
                <w:color w:val="auto"/>
                <w:sz w:val="24"/>
                <w:highlight w:val="none"/>
              </w:rPr>
            </w:pPr>
            <w:r>
              <w:rPr>
                <w:color w:val="000000"/>
                <w:sz w:val="24"/>
                <w:szCs w:val="24"/>
              </w:rPr>
              <w:t>投标（响应）文件有效期</w:t>
            </w:r>
          </w:p>
        </w:tc>
        <w:tc>
          <w:tcPr>
            <w:tcW w:w="6422" w:type="dxa"/>
            <w:tcBorders>
              <w:top w:val="single" w:color="000000" w:sz="8" w:space="0"/>
              <w:left w:val="single" w:color="000000" w:sz="2" w:space="0"/>
              <w:bottom w:val="single" w:color="000000" w:sz="8" w:space="0"/>
              <w:right w:val="single" w:color="000000" w:sz="8" w:space="0"/>
            </w:tcBorders>
            <w:vAlign w:val="center"/>
          </w:tcPr>
          <w:p w14:paraId="28C1453D">
            <w:pPr>
              <w:keepNext w:val="0"/>
              <w:keepLines w:val="0"/>
              <w:pageBreakBefore w:val="0"/>
              <w:kinsoku/>
              <w:wordWrap/>
              <w:overflowPunct/>
              <w:topLinePunct w:val="0"/>
              <w:autoSpaceDE w:val="0"/>
              <w:autoSpaceDN/>
              <w:bidi w:val="0"/>
              <w:snapToGrid/>
              <w:spacing w:line="400" w:lineRule="exact"/>
              <w:jc w:val="left"/>
              <w:textAlignment w:val="auto"/>
              <w:rPr>
                <w:rFonts w:ascii="宋体" w:hAnsi="宋体" w:cs="宋体"/>
                <w:color w:val="auto"/>
                <w:sz w:val="24"/>
                <w:highlight w:val="none"/>
              </w:rPr>
            </w:pPr>
            <w:r>
              <w:rPr>
                <w:color w:val="000000"/>
                <w:sz w:val="24"/>
                <w:szCs w:val="24"/>
              </w:rPr>
              <w:t>投标（响应）文件提交截止时间后90天</w:t>
            </w:r>
          </w:p>
        </w:tc>
      </w:tr>
      <w:tr w14:paraId="74A8C1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7" w:hRule="atLeast"/>
        </w:trPr>
        <w:tc>
          <w:tcPr>
            <w:tcW w:w="629" w:type="dxa"/>
            <w:tcBorders>
              <w:top w:val="single" w:color="auto" w:sz="4" w:space="0"/>
              <w:left w:val="single" w:color="auto" w:sz="4" w:space="0"/>
              <w:bottom w:val="single" w:color="auto" w:sz="4" w:space="0"/>
              <w:right w:val="single" w:color="auto" w:sz="4" w:space="0"/>
            </w:tcBorders>
            <w:vAlign w:val="center"/>
          </w:tcPr>
          <w:p w14:paraId="5E4FE646">
            <w:pPr>
              <w:autoSpaceDE w:val="0"/>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000000"/>
                <w:sz w:val="24"/>
                <w:szCs w:val="24"/>
              </w:rPr>
              <w:t>10</w:t>
            </w:r>
          </w:p>
        </w:tc>
        <w:tc>
          <w:tcPr>
            <w:tcW w:w="1899" w:type="dxa"/>
            <w:tcBorders>
              <w:top w:val="single" w:color="000000" w:sz="8" w:space="0"/>
              <w:left w:val="single" w:color="auto" w:sz="4" w:space="0"/>
              <w:bottom w:val="single" w:color="000000" w:sz="8" w:space="0"/>
              <w:right w:val="single" w:color="000000" w:sz="8" w:space="0"/>
            </w:tcBorders>
            <w:vAlign w:val="center"/>
          </w:tcPr>
          <w:p w14:paraId="4CDD82F1">
            <w:pPr>
              <w:keepNext w:val="0"/>
              <w:keepLines w:val="0"/>
              <w:pageBreakBefore w:val="0"/>
              <w:kinsoku/>
              <w:wordWrap/>
              <w:overflowPunct/>
              <w:topLinePunct w:val="0"/>
              <w:autoSpaceDE w:val="0"/>
              <w:autoSpaceDN/>
              <w:bidi w:val="0"/>
              <w:snapToGrid/>
              <w:spacing w:line="400" w:lineRule="exact"/>
              <w:jc w:val="left"/>
              <w:textAlignment w:val="auto"/>
              <w:rPr>
                <w:rFonts w:ascii="宋体" w:hAnsi="宋体" w:cs="宋体"/>
                <w:b/>
                <w:color w:val="auto"/>
                <w:sz w:val="24"/>
                <w:highlight w:val="none"/>
              </w:rPr>
            </w:pPr>
            <w:r>
              <w:rPr>
                <w:color w:val="000000"/>
                <w:sz w:val="24"/>
                <w:szCs w:val="24"/>
              </w:rPr>
              <w:t>投标（响应）文件提交方式</w:t>
            </w:r>
          </w:p>
        </w:tc>
        <w:tc>
          <w:tcPr>
            <w:tcW w:w="6422" w:type="dxa"/>
            <w:tcBorders>
              <w:top w:val="single" w:color="000000" w:sz="8" w:space="0"/>
              <w:left w:val="single" w:color="000000" w:sz="2" w:space="0"/>
              <w:bottom w:val="single" w:color="000000" w:sz="8" w:space="0"/>
              <w:right w:val="single" w:color="000000" w:sz="8" w:space="0"/>
            </w:tcBorders>
            <w:vAlign w:val="center"/>
          </w:tcPr>
          <w:p w14:paraId="62FA6AB3">
            <w:pPr>
              <w:keepNext w:val="0"/>
              <w:keepLines w:val="0"/>
              <w:pageBreakBefore w:val="0"/>
              <w:kinsoku/>
              <w:wordWrap/>
              <w:overflowPunct/>
              <w:topLinePunct w:val="0"/>
              <w:autoSpaceDE w:val="0"/>
              <w:autoSpaceDN/>
              <w:bidi w:val="0"/>
              <w:snapToGrid/>
              <w:spacing w:line="400" w:lineRule="exact"/>
              <w:jc w:val="left"/>
              <w:textAlignment w:val="auto"/>
              <w:rPr>
                <w:rFonts w:ascii="宋体" w:hAnsi="宋体" w:cs="宋体"/>
                <w:color w:val="auto"/>
                <w:kern w:val="0"/>
                <w:sz w:val="24"/>
                <w:highlight w:val="none"/>
              </w:rPr>
            </w:pPr>
            <w:r>
              <w:rPr>
                <w:color w:val="000000"/>
                <w:sz w:val="24"/>
                <w:szCs w:val="24"/>
              </w:rPr>
              <w:t>本项目通过政采云平台进行电子投标（响应），供应商须通过浙江政府采购网（zfcg.czt.zj.gov.cn）发布的政采云电子交易客户端（浙江政府采购网首页“下载专区”下载）制作并上传加密电子投标（响应）文件，征集人不接受以纸质或其他形式提交的投标（响应）文件。</w:t>
            </w:r>
          </w:p>
        </w:tc>
      </w:tr>
      <w:tr w14:paraId="42DF29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7" w:hRule="atLeast"/>
        </w:trPr>
        <w:tc>
          <w:tcPr>
            <w:tcW w:w="629" w:type="dxa"/>
            <w:tcBorders>
              <w:top w:val="single" w:color="auto" w:sz="4" w:space="0"/>
              <w:left w:val="single" w:color="auto" w:sz="4" w:space="0"/>
              <w:bottom w:val="single" w:color="auto" w:sz="4" w:space="0"/>
              <w:right w:val="single" w:color="auto" w:sz="4" w:space="0"/>
            </w:tcBorders>
            <w:vAlign w:val="center"/>
          </w:tcPr>
          <w:p w14:paraId="6D117A77">
            <w:pPr>
              <w:autoSpaceDE w:val="0"/>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000000"/>
                <w:sz w:val="24"/>
                <w:szCs w:val="24"/>
              </w:rPr>
              <w:t>11</w:t>
            </w:r>
          </w:p>
        </w:tc>
        <w:tc>
          <w:tcPr>
            <w:tcW w:w="1899" w:type="dxa"/>
            <w:tcBorders>
              <w:top w:val="single" w:color="000000" w:sz="8" w:space="0"/>
              <w:left w:val="single" w:color="auto" w:sz="4" w:space="0"/>
              <w:right w:val="single" w:color="000000" w:sz="8" w:space="0"/>
            </w:tcBorders>
            <w:vAlign w:val="center"/>
          </w:tcPr>
          <w:p w14:paraId="4A68E07F">
            <w:pPr>
              <w:keepNext w:val="0"/>
              <w:keepLines w:val="0"/>
              <w:pageBreakBefore w:val="0"/>
              <w:kinsoku/>
              <w:wordWrap/>
              <w:overflowPunct/>
              <w:topLinePunct w:val="0"/>
              <w:autoSpaceDE w:val="0"/>
              <w:autoSpaceDN/>
              <w:bidi w:val="0"/>
              <w:snapToGrid/>
              <w:spacing w:line="400" w:lineRule="exact"/>
              <w:jc w:val="left"/>
              <w:textAlignment w:val="auto"/>
              <w:rPr>
                <w:rFonts w:ascii="宋体" w:hAnsi="宋体" w:cs="宋体"/>
                <w:b/>
                <w:color w:val="auto"/>
                <w:sz w:val="24"/>
                <w:highlight w:val="none"/>
              </w:rPr>
            </w:pPr>
            <w:r>
              <w:rPr>
                <w:rFonts w:hint="eastAsia"/>
                <w:color w:val="auto"/>
                <w:sz w:val="24"/>
                <w:szCs w:val="24"/>
                <w:lang w:eastAsia="zh-CN"/>
              </w:rPr>
              <w:t>采购人</w:t>
            </w:r>
            <w:r>
              <w:rPr>
                <w:rFonts w:hint="eastAsia"/>
                <w:color w:val="auto"/>
                <w:sz w:val="24"/>
                <w:szCs w:val="24"/>
                <w:lang w:val="en-US" w:eastAsia="zh-CN"/>
              </w:rPr>
              <w:t>(</w:t>
            </w:r>
            <w:r>
              <w:rPr>
                <w:color w:val="auto"/>
                <w:sz w:val="24"/>
                <w:szCs w:val="24"/>
              </w:rPr>
              <w:t>服务对象</w:t>
            </w:r>
            <w:r>
              <w:rPr>
                <w:rFonts w:hint="eastAsia"/>
                <w:color w:val="auto"/>
                <w:sz w:val="24"/>
                <w:szCs w:val="24"/>
                <w:lang w:eastAsia="zh-CN"/>
              </w:rPr>
              <w:t>）</w:t>
            </w:r>
            <w:r>
              <w:rPr>
                <w:color w:val="auto"/>
                <w:sz w:val="24"/>
                <w:szCs w:val="24"/>
              </w:rPr>
              <w:t>及</w:t>
            </w:r>
            <w:r>
              <w:rPr>
                <w:color w:val="000000"/>
                <w:sz w:val="24"/>
                <w:szCs w:val="24"/>
              </w:rPr>
              <w:t>地点</w:t>
            </w:r>
          </w:p>
        </w:tc>
        <w:tc>
          <w:tcPr>
            <w:tcW w:w="6422" w:type="dxa"/>
            <w:tcBorders>
              <w:top w:val="single" w:color="000000" w:sz="8" w:space="0"/>
              <w:left w:val="single" w:color="000000" w:sz="2" w:space="0"/>
              <w:right w:val="single" w:color="000000" w:sz="8" w:space="0"/>
            </w:tcBorders>
            <w:vAlign w:val="center"/>
          </w:tcPr>
          <w:p w14:paraId="52F97B19">
            <w:pPr>
              <w:keepNext w:val="0"/>
              <w:keepLines w:val="0"/>
              <w:pageBreakBefore w:val="0"/>
              <w:kinsoku/>
              <w:wordWrap/>
              <w:overflowPunct/>
              <w:topLinePunct w:val="0"/>
              <w:autoSpaceDE w:val="0"/>
              <w:autoSpaceDN/>
              <w:bidi w:val="0"/>
              <w:snapToGrid/>
              <w:spacing w:line="400" w:lineRule="exact"/>
              <w:jc w:val="left"/>
              <w:textAlignment w:val="auto"/>
              <w:rPr>
                <w:rFonts w:ascii="宋体" w:hAnsi="宋体" w:cs="宋体"/>
                <w:color w:val="auto"/>
                <w:kern w:val="0"/>
                <w:sz w:val="24"/>
                <w:highlight w:val="none"/>
              </w:rPr>
            </w:pPr>
            <w:r>
              <w:rPr>
                <w:color w:val="000000"/>
                <w:sz w:val="24"/>
                <w:szCs w:val="24"/>
              </w:rPr>
              <w:t>义乌市</w:t>
            </w:r>
            <w:r>
              <w:rPr>
                <w:rFonts w:hint="eastAsia"/>
                <w:color w:val="000000"/>
                <w:sz w:val="24"/>
                <w:szCs w:val="24"/>
                <w:lang w:eastAsia="zh-CN"/>
              </w:rPr>
              <w:t>财政局</w:t>
            </w:r>
          </w:p>
        </w:tc>
      </w:tr>
      <w:tr w14:paraId="71E496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21B2854E">
            <w:pPr>
              <w:autoSpaceDE w:val="0"/>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000000"/>
                <w:sz w:val="24"/>
                <w:szCs w:val="24"/>
              </w:rPr>
              <w:t>12</w:t>
            </w:r>
          </w:p>
        </w:tc>
        <w:tc>
          <w:tcPr>
            <w:tcW w:w="1899" w:type="dxa"/>
            <w:tcBorders>
              <w:top w:val="single" w:color="000000" w:sz="8" w:space="0"/>
              <w:left w:val="single" w:color="000000" w:sz="2" w:space="0"/>
              <w:bottom w:val="single" w:color="000000" w:sz="8" w:space="0"/>
              <w:right w:val="single" w:color="000000" w:sz="8" w:space="0"/>
            </w:tcBorders>
            <w:vAlign w:val="center"/>
          </w:tcPr>
          <w:p w14:paraId="63FFBDF1">
            <w:pPr>
              <w:keepNext w:val="0"/>
              <w:keepLines w:val="0"/>
              <w:pageBreakBefore w:val="0"/>
              <w:kinsoku/>
              <w:wordWrap/>
              <w:overflowPunct/>
              <w:topLinePunct w:val="0"/>
              <w:autoSpaceDE w:val="0"/>
              <w:autoSpaceDN/>
              <w:bidi w:val="0"/>
              <w:snapToGrid/>
              <w:spacing w:line="400" w:lineRule="exact"/>
              <w:jc w:val="left"/>
              <w:textAlignment w:val="auto"/>
              <w:rPr>
                <w:rFonts w:ascii="宋体" w:hAnsi="宋体" w:cs="宋体"/>
                <w:bCs/>
                <w:color w:val="auto"/>
                <w:sz w:val="24"/>
                <w:highlight w:val="none"/>
              </w:rPr>
            </w:pPr>
            <w:r>
              <w:rPr>
                <w:color w:val="000000"/>
                <w:sz w:val="24"/>
                <w:szCs w:val="24"/>
              </w:rPr>
              <w:t>投标（响应）保证金、履约保证金</w:t>
            </w:r>
          </w:p>
        </w:tc>
        <w:tc>
          <w:tcPr>
            <w:tcW w:w="6422" w:type="dxa"/>
            <w:tcBorders>
              <w:top w:val="single" w:color="000000" w:sz="8" w:space="0"/>
              <w:left w:val="single" w:color="000000" w:sz="2" w:space="0"/>
              <w:bottom w:val="single" w:color="000000" w:sz="8" w:space="0"/>
              <w:right w:val="single" w:color="000000" w:sz="8" w:space="0"/>
            </w:tcBorders>
            <w:vAlign w:val="center"/>
          </w:tcPr>
          <w:p w14:paraId="159347E0">
            <w:pPr>
              <w:keepNext w:val="0"/>
              <w:keepLines w:val="0"/>
              <w:pageBreakBefore w:val="0"/>
              <w:kinsoku/>
              <w:wordWrap/>
              <w:overflowPunct/>
              <w:topLinePunct w:val="0"/>
              <w:autoSpaceDE w:val="0"/>
              <w:autoSpaceDN/>
              <w:bidi w:val="0"/>
              <w:snapToGrid/>
              <w:spacing w:line="400" w:lineRule="exact"/>
              <w:jc w:val="left"/>
              <w:textAlignment w:val="auto"/>
              <w:rPr>
                <w:rFonts w:ascii="宋体" w:hAnsi="宋体" w:cs="宋体"/>
                <w:color w:val="auto"/>
                <w:kern w:val="0"/>
                <w:sz w:val="24"/>
                <w:highlight w:val="none"/>
              </w:rPr>
            </w:pPr>
            <w:r>
              <w:rPr>
                <w:color w:val="000000"/>
                <w:sz w:val="24"/>
                <w:szCs w:val="24"/>
              </w:rPr>
              <w:t>不收取</w:t>
            </w:r>
          </w:p>
        </w:tc>
      </w:tr>
      <w:tr w14:paraId="10097E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2FCCCEA6">
            <w:pPr>
              <w:autoSpaceDE w:val="0"/>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000000"/>
                <w:sz w:val="24"/>
                <w:szCs w:val="24"/>
              </w:rPr>
              <w:t>13</w:t>
            </w:r>
          </w:p>
        </w:tc>
        <w:tc>
          <w:tcPr>
            <w:tcW w:w="1899" w:type="dxa"/>
            <w:tcBorders>
              <w:top w:val="single" w:color="000000" w:sz="8" w:space="0"/>
              <w:left w:val="single" w:color="000000" w:sz="2" w:space="0"/>
              <w:bottom w:val="single" w:color="000000" w:sz="8" w:space="0"/>
              <w:right w:val="single" w:color="000000" w:sz="8" w:space="0"/>
            </w:tcBorders>
            <w:vAlign w:val="center"/>
          </w:tcPr>
          <w:p w14:paraId="37FAFE28">
            <w:pPr>
              <w:keepNext w:val="0"/>
              <w:keepLines w:val="0"/>
              <w:pageBreakBefore w:val="0"/>
              <w:kinsoku/>
              <w:wordWrap/>
              <w:overflowPunct/>
              <w:topLinePunct w:val="0"/>
              <w:autoSpaceDE w:val="0"/>
              <w:autoSpaceDN/>
              <w:bidi w:val="0"/>
              <w:snapToGrid/>
              <w:spacing w:line="400" w:lineRule="exact"/>
              <w:jc w:val="left"/>
              <w:textAlignment w:val="auto"/>
              <w:rPr>
                <w:rFonts w:ascii="宋体" w:hAnsi="宋体" w:cs="宋体"/>
                <w:b/>
                <w:color w:val="auto"/>
                <w:sz w:val="24"/>
                <w:highlight w:val="none"/>
              </w:rPr>
            </w:pPr>
            <w:r>
              <w:rPr>
                <w:color w:val="000000"/>
                <w:sz w:val="24"/>
                <w:szCs w:val="24"/>
              </w:rPr>
              <w:t>本项目代理费用</w:t>
            </w:r>
          </w:p>
        </w:tc>
        <w:tc>
          <w:tcPr>
            <w:tcW w:w="6422" w:type="dxa"/>
            <w:tcBorders>
              <w:top w:val="single" w:color="000000" w:sz="8" w:space="0"/>
              <w:left w:val="single" w:color="000000" w:sz="2" w:space="0"/>
              <w:bottom w:val="single" w:color="000000" w:sz="8" w:space="0"/>
              <w:right w:val="single" w:color="000000" w:sz="8" w:space="0"/>
            </w:tcBorders>
            <w:vAlign w:val="center"/>
          </w:tcPr>
          <w:p w14:paraId="6517EB5E">
            <w:pPr>
              <w:keepNext w:val="0"/>
              <w:keepLines w:val="0"/>
              <w:pageBreakBefore w:val="0"/>
              <w:kinsoku/>
              <w:wordWrap/>
              <w:overflowPunct/>
              <w:topLinePunct w:val="0"/>
              <w:autoSpaceDE w:val="0"/>
              <w:autoSpaceDN/>
              <w:bidi w:val="0"/>
              <w:snapToGrid/>
              <w:spacing w:line="400" w:lineRule="exact"/>
              <w:jc w:val="left"/>
              <w:textAlignment w:val="auto"/>
              <w:rPr>
                <w:rFonts w:ascii="宋体" w:hAnsi="宋体" w:cs="宋体"/>
                <w:color w:val="auto"/>
                <w:sz w:val="24"/>
                <w:highlight w:val="none"/>
              </w:rPr>
            </w:pPr>
            <w:r>
              <w:rPr>
                <w:color w:val="000000"/>
                <w:sz w:val="24"/>
                <w:szCs w:val="24"/>
              </w:rPr>
              <w:t>不收取</w:t>
            </w:r>
          </w:p>
        </w:tc>
      </w:tr>
      <w:tr w14:paraId="7E407D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12"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4446BA77">
            <w:pPr>
              <w:autoSpaceDE w:val="0"/>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000000"/>
                <w:sz w:val="24"/>
                <w:szCs w:val="24"/>
              </w:rPr>
              <w:t>14</w:t>
            </w:r>
          </w:p>
        </w:tc>
        <w:tc>
          <w:tcPr>
            <w:tcW w:w="1899" w:type="dxa"/>
            <w:tcBorders>
              <w:top w:val="single" w:color="000000" w:sz="8" w:space="0"/>
              <w:left w:val="single" w:color="000000" w:sz="2" w:space="0"/>
              <w:bottom w:val="single" w:color="000000" w:sz="8" w:space="0"/>
              <w:right w:val="single" w:color="000000" w:sz="8" w:space="0"/>
            </w:tcBorders>
            <w:vAlign w:val="center"/>
          </w:tcPr>
          <w:p w14:paraId="4148EE53">
            <w:pPr>
              <w:keepNext w:val="0"/>
              <w:keepLines w:val="0"/>
              <w:pageBreakBefore w:val="0"/>
              <w:kinsoku/>
              <w:wordWrap/>
              <w:overflowPunct/>
              <w:topLinePunct w:val="0"/>
              <w:autoSpaceDE w:val="0"/>
              <w:autoSpaceDN/>
              <w:bidi w:val="0"/>
              <w:snapToGrid/>
              <w:spacing w:line="400" w:lineRule="exact"/>
              <w:jc w:val="left"/>
              <w:textAlignment w:val="auto"/>
              <w:rPr>
                <w:rFonts w:ascii="宋体" w:hAnsi="宋体" w:cs="宋体"/>
                <w:b/>
                <w:color w:val="auto"/>
                <w:sz w:val="24"/>
                <w:highlight w:val="none"/>
              </w:rPr>
            </w:pPr>
            <w:r>
              <w:rPr>
                <w:color w:val="000000"/>
                <w:sz w:val="24"/>
                <w:szCs w:val="24"/>
              </w:rPr>
              <w:t>征集文件符号表述</w:t>
            </w:r>
          </w:p>
        </w:tc>
        <w:tc>
          <w:tcPr>
            <w:tcW w:w="6422" w:type="dxa"/>
            <w:tcBorders>
              <w:top w:val="single" w:color="000000" w:sz="8" w:space="0"/>
              <w:left w:val="single" w:color="000000" w:sz="2" w:space="0"/>
              <w:bottom w:val="single" w:color="000000" w:sz="8" w:space="0"/>
              <w:right w:val="single" w:color="000000" w:sz="8" w:space="0"/>
            </w:tcBorders>
            <w:vAlign w:val="center"/>
          </w:tcPr>
          <w:p w14:paraId="3DE78DDA">
            <w:pPr>
              <w:keepNext w:val="0"/>
              <w:keepLines w:val="0"/>
              <w:pageBreakBefore w:val="0"/>
              <w:kinsoku/>
              <w:wordWrap/>
              <w:overflowPunct/>
              <w:topLinePunct w:val="0"/>
              <w:autoSpaceDE w:val="0"/>
              <w:autoSpaceDN/>
              <w:bidi w:val="0"/>
              <w:snapToGrid/>
              <w:spacing w:line="400" w:lineRule="exact"/>
              <w:jc w:val="left"/>
              <w:textAlignment w:val="auto"/>
              <w:rPr>
                <w:rFonts w:ascii="宋体" w:hAnsi="宋体" w:cs="宋体"/>
                <w:color w:val="auto"/>
                <w:sz w:val="24"/>
                <w:highlight w:val="none"/>
              </w:rPr>
            </w:pPr>
            <w:r>
              <w:rPr>
                <w:color w:val="000000"/>
                <w:sz w:val="24"/>
                <w:szCs w:val="24"/>
              </w:rPr>
              <w:t>“</w:t>
            </w:r>
            <w:r>
              <w:rPr>
                <w:sz w:val="24"/>
                <w:szCs w:val="24"/>
              </w:rPr>
              <w:t>★</w:t>
            </w:r>
            <w:r>
              <w:rPr>
                <w:color w:val="000000"/>
                <w:sz w:val="24"/>
                <w:szCs w:val="24"/>
              </w:rPr>
              <w:t>” 系指实质性要求条款，“√” 系指适用本项目的要求，“☐” 系指不适用本项目的要求。</w:t>
            </w:r>
          </w:p>
        </w:tc>
      </w:tr>
      <w:tr w14:paraId="6F8477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2612AB63">
            <w:pPr>
              <w:autoSpaceDE w:val="0"/>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000000"/>
                <w:sz w:val="24"/>
                <w:szCs w:val="24"/>
              </w:rPr>
              <w:t>15</w:t>
            </w:r>
          </w:p>
        </w:tc>
        <w:tc>
          <w:tcPr>
            <w:tcW w:w="1899" w:type="dxa"/>
            <w:tcBorders>
              <w:top w:val="single" w:color="000000" w:sz="8" w:space="0"/>
              <w:left w:val="single" w:color="000000" w:sz="2" w:space="0"/>
              <w:bottom w:val="single" w:color="000000" w:sz="8" w:space="0"/>
              <w:right w:val="single" w:color="000000" w:sz="8" w:space="0"/>
            </w:tcBorders>
            <w:vAlign w:val="center"/>
          </w:tcPr>
          <w:p w14:paraId="7CC4B3DD">
            <w:pPr>
              <w:keepNext w:val="0"/>
              <w:keepLines w:val="0"/>
              <w:pageBreakBefore w:val="0"/>
              <w:kinsoku/>
              <w:wordWrap/>
              <w:overflowPunct/>
              <w:topLinePunct w:val="0"/>
              <w:autoSpaceDN/>
              <w:bidi w:val="0"/>
              <w:snapToGrid/>
              <w:spacing w:line="400" w:lineRule="exact"/>
              <w:jc w:val="center"/>
              <w:textAlignment w:val="auto"/>
              <w:rPr>
                <w:rFonts w:ascii="宋体" w:hAnsi="宋体" w:cs="宋体"/>
                <w:b/>
                <w:bCs/>
                <w:color w:val="auto"/>
                <w:sz w:val="24"/>
                <w:highlight w:val="none"/>
              </w:rPr>
            </w:pPr>
            <w:r>
              <w:rPr>
                <w:rFonts w:hint="eastAsia"/>
                <w:color w:val="000000"/>
                <w:sz w:val="24"/>
                <w:szCs w:val="24"/>
              </w:rPr>
              <w:t>投标</w:t>
            </w:r>
            <w:r>
              <w:rPr>
                <w:rFonts w:hint="eastAsia"/>
                <w:color w:val="000000"/>
                <w:sz w:val="24"/>
                <w:szCs w:val="24"/>
                <w:lang w:eastAsia="zh-CN"/>
              </w:rPr>
              <w:t>（</w:t>
            </w:r>
            <w:r>
              <w:rPr>
                <w:rFonts w:hint="eastAsia"/>
                <w:color w:val="000000"/>
                <w:sz w:val="24"/>
                <w:szCs w:val="24"/>
                <w:lang w:val="en-US" w:eastAsia="zh-CN"/>
              </w:rPr>
              <w:t>响应</w:t>
            </w:r>
            <w:r>
              <w:rPr>
                <w:rFonts w:hint="eastAsia"/>
                <w:color w:val="000000"/>
                <w:sz w:val="24"/>
                <w:szCs w:val="24"/>
                <w:lang w:eastAsia="zh-CN"/>
              </w:rPr>
              <w:t>）</w:t>
            </w:r>
            <w:r>
              <w:rPr>
                <w:rFonts w:hint="eastAsia"/>
                <w:color w:val="000000"/>
                <w:sz w:val="24"/>
                <w:szCs w:val="24"/>
              </w:rPr>
              <w:t>文件组成</w:t>
            </w:r>
          </w:p>
        </w:tc>
        <w:tc>
          <w:tcPr>
            <w:tcW w:w="6422" w:type="dxa"/>
            <w:tcBorders>
              <w:top w:val="single" w:color="000000" w:sz="8" w:space="0"/>
              <w:left w:val="single" w:color="000000" w:sz="2" w:space="0"/>
              <w:bottom w:val="single" w:color="000000" w:sz="8" w:space="0"/>
              <w:right w:val="single" w:color="000000" w:sz="8" w:space="0"/>
            </w:tcBorders>
            <w:vAlign w:val="center"/>
          </w:tcPr>
          <w:p w14:paraId="2282CCBF">
            <w:pPr>
              <w:keepNext w:val="0"/>
              <w:keepLines w:val="0"/>
              <w:pageBreakBefore w:val="0"/>
              <w:kinsoku/>
              <w:wordWrap/>
              <w:overflowPunct/>
              <w:topLinePunct w:val="0"/>
              <w:autoSpaceDE w:val="0"/>
              <w:autoSpaceDN/>
              <w:bidi w:val="0"/>
              <w:snapToGrid/>
              <w:spacing w:line="400" w:lineRule="exact"/>
              <w:jc w:val="left"/>
              <w:textAlignment w:val="auto"/>
              <w:rPr>
                <w:rFonts w:hint="eastAsia"/>
                <w:color w:val="000000"/>
                <w:sz w:val="24"/>
                <w:szCs w:val="24"/>
              </w:rPr>
            </w:pPr>
            <w:r>
              <w:rPr>
                <w:color w:val="000000"/>
                <w:sz w:val="24"/>
                <w:szCs w:val="24"/>
              </w:rPr>
              <w:t>1</w:t>
            </w:r>
            <w:r>
              <w:rPr>
                <w:rFonts w:hint="eastAsia"/>
                <w:color w:val="000000"/>
                <w:sz w:val="24"/>
                <w:szCs w:val="24"/>
              </w:rPr>
              <w:t>.</w:t>
            </w:r>
            <w:r>
              <w:rPr>
                <w:color w:val="000000"/>
                <w:sz w:val="24"/>
                <w:szCs w:val="24"/>
              </w:rPr>
              <w:t>投标</w:t>
            </w:r>
            <w:r>
              <w:rPr>
                <w:rFonts w:hint="eastAsia"/>
                <w:color w:val="000000"/>
                <w:sz w:val="24"/>
                <w:szCs w:val="24"/>
              </w:rPr>
              <w:t>（响应）</w:t>
            </w:r>
            <w:r>
              <w:rPr>
                <w:color w:val="000000"/>
                <w:sz w:val="24"/>
                <w:szCs w:val="24"/>
              </w:rPr>
              <w:t>文件由</w:t>
            </w:r>
            <w:r>
              <w:rPr>
                <w:rFonts w:hint="eastAsia"/>
                <w:color w:val="000000"/>
                <w:sz w:val="24"/>
                <w:szCs w:val="24"/>
              </w:rPr>
              <w:t>资格响应文件、商务技术响应文件</w:t>
            </w:r>
            <w:r>
              <w:rPr>
                <w:color w:val="000000"/>
                <w:sz w:val="24"/>
                <w:szCs w:val="24"/>
              </w:rPr>
              <w:t>和</w:t>
            </w:r>
            <w:r>
              <w:rPr>
                <w:rFonts w:hint="eastAsia"/>
                <w:color w:val="000000"/>
                <w:sz w:val="24"/>
                <w:szCs w:val="24"/>
              </w:rPr>
              <w:t>报价响应文件</w:t>
            </w:r>
            <w:r>
              <w:rPr>
                <w:color w:val="000000"/>
                <w:sz w:val="24"/>
                <w:szCs w:val="24"/>
              </w:rPr>
              <w:t>组成，以下的“格式”，指的是第</w:t>
            </w:r>
            <w:r>
              <w:rPr>
                <w:rFonts w:hint="eastAsia"/>
                <w:color w:val="000000"/>
                <w:sz w:val="24"/>
                <w:szCs w:val="24"/>
              </w:rPr>
              <w:t>七</w:t>
            </w:r>
            <w:r>
              <w:rPr>
                <w:color w:val="000000"/>
                <w:sz w:val="24"/>
                <w:szCs w:val="24"/>
              </w:rPr>
              <w:t>章投标</w:t>
            </w:r>
            <w:r>
              <w:rPr>
                <w:rFonts w:hint="eastAsia"/>
                <w:color w:val="000000"/>
                <w:sz w:val="24"/>
                <w:szCs w:val="24"/>
              </w:rPr>
              <w:t>（响应）</w:t>
            </w:r>
            <w:r>
              <w:rPr>
                <w:color w:val="000000"/>
                <w:sz w:val="24"/>
                <w:szCs w:val="24"/>
              </w:rPr>
              <w:t>文件格式中的表格</w:t>
            </w:r>
            <w:r>
              <w:rPr>
                <w:rFonts w:hint="eastAsia"/>
                <w:color w:val="000000"/>
                <w:sz w:val="24"/>
                <w:szCs w:val="24"/>
              </w:rPr>
              <w:t>。</w:t>
            </w:r>
          </w:p>
          <w:p w14:paraId="3AF79174">
            <w:pPr>
              <w:keepNext w:val="0"/>
              <w:keepLines w:val="0"/>
              <w:pageBreakBefore w:val="0"/>
              <w:kinsoku/>
              <w:wordWrap/>
              <w:overflowPunct/>
              <w:topLinePunct w:val="0"/>
              <w:autoSpaceDE w:val="0"/>
              <w:autoSpaceDN/>
              <w:bidi w:val="0"/>
              <w:snapToGrid/>
              <w:spacing w:line="400" w:lineRule="exact"/>
              <w:jc w:val="left"/>
              <w:textAlignment w:val="auto"/>
              <w:rPr>
                <w:color w:val="000000"/>
                <w:sz w:val="24"/>
                <w:szCs w:val="24"/>
              </w:rPr>
            </w:pPr>
            <w:r>
              <w:rPr>
                <w:rFonts w:hint="eastAsia"/>
                <w:color w:val="000000"/>
                <w:sz w:val="24"/>
                <w:szCs w:val="24"/>
              </w:rPr>
              <w:t>2.资格响应文件：</w:t>
            </w:r>
            <w:r>
              <w:rPr>
                <w:color w:val="000000"/>
                <w:sz w:val="24"/>
                <w:szCs w:val="24"/>
              </w:rPr>
              <w:t>包含以下内容</w:t>
            </w:r>
          </w:p>
          <w:p w14:paraId="695EEEBA">
            <w:pPr>
              <w:keepNext w:val="0"/>
              <w:keepLines w:val="0"/>
              <w:pageBreakBefore w:val="0"/>
              <w:kinsoku/>
              <w:wordWrap/>
              <w:overflowPunct/>
              <w:topLinePunct w:val="0"/>
              <w:autoSpaceDE w:val="0"/>
              <w:autoSpaceDN/>
              <w:bidi w:val="0"/>
              <w:snapToGrid/>
              <w:spacing w:line="400" w:lineRule="exact"/>
              <w:jc w:val="left"/>
              <w:textAlignment w:val="auto"/>
              <w:rPr>
                <w:rFonts w:hint="eastAsia"/>
                <w:color w:val="000000"/>
                <w:sz w:val="24"/>
                <w:szCs w:val="24"/>
              </w:rPr>
            </w:pPr>
            <w:r>
              <w:rPr>
                <w:rFonts w:hint="eastAsia"/>
                <w:color w:val="000000"/>
                <w:sz w:val="24"/>
                <w:szCs w:val="24"/>
              </w:rPr>
              <w:t>　　★①</w:t>
            </w:r>
            <w:r>
              <w:rPr>
                <w:color w:val="000000"/>
                <w:sz w:val="24"/>
                <w:szCs w:val="24"/>
              </w:rPr>
              <w:t>义乌市政府采购项目</w:t>
            </w:r>
            <w:r>
              <w:rPr>
                <w:rFonts w:hint="eastAsia"/>
                <w:color w:val="000000"/>
                <w:sz w:val="24"/>
                <w:szCs w:val="24"/>
              </w:rPr>
              <w:t>投标（</w:t>
            </w:r>
            <w:r>
              <w:rPr>
                <w:color w:val="000000"/>
                <w:sz w:val="24"/>
                <w:szCs w:val="24"/>
              </w:rPr>
              <w:t>响应</w:t>
            </w:r>
            <w:r>
              <w:rPr>
                <w:rFonts w:hint="eastAsia"/>
                <w:color w:val="000000"/>
                <w:sz w:val="24"/>
                <w:szCs w:val="24"/>
              </w:rPr>
              <w:t>）</w:t>
            </w:r>
            <w:r>
              <w:rPr>
                <w:color w:val="000000"/>
                <w:sz w:val="24"/>
                <w:szCs w:val="24"/>
              </w:rPr>
              <w:t>承诺书</w:t>
            </w:r>
            <w:r>
              <w:rPr>
                <w:rFonts w:hint="eastAsia"/>
                <w:color w:val="000000"/>
                <w:sz w:val="24"/>
                <w:szCs w:val="24"/>
              </w:rPr>
              <w:t>（见格式）</w:t>
            </w:r>
          </w:p>
          <w:p w14:paraId="574EE2AE">
            <w:pPr>
              <w:keepNext w:val="0"/>
              <w:keepLines w:val="0"/>
              <w:pageBreakBefore w:val="0"/>
              <w:kinsoku/>
              <w:wordWrap/>
              <w:overflowPunct/>
              <w:topLinePunct w:val="0"/>
              <w:autoSpaceDN/>
              <w:bidi w:val="0"/>
              <w:adjustRightInd/>
              <w:snapToGrid/>
              <w:spacing w:line="400" w:lineRule="exact"/>
              <w:ind w:firstLine="480" w:firstLineChars="200"/>
              <w:textAlignment w:val="auto"/>
              <w:rPr>
                <w:rFonts w:hint="eastAsia" w:ascii="宋体" w:hAnsi="宋体" w:cs="宋体"/>
                <w:color w:val="auto"/>
                <w:sz w:val="24"/>
                <w:highlight w:val="none"/>
                <w:shd w:val="clear" w:color="auto" w:fill="FFFFFF"/>
              </w:rPr>
            </w:pPr>
            <w:r>
              <w:rPr>
                <w:rFonts w:hint="eastAsia"/>
                <w:color w:val="000000"/>
                <w:sz w:val="24"/>
                <w:szCs w:val="24"/>
              </w:rPr>
              <w:t>★</w:t>
            </w:r>
            <w:r>
              <w:rPr>
                <w:rFonts w:hint="eastAsia"/>
                <w:color w:val="000000"/>
                <w:sz w:val="24"/>
                <w:szCs w:val="24"/>
                <w:lang w:eastAsia="zh-CN"/>
              </w:rPr>
              <w:t>②</w:t>
            </w:r>
            <w:r>
              <w:rPr>
                <w:rFonts w:hint="eastAsia" w:ascii="宋体" w:hAnsi="宋体" w:cs="宋体"/>
                <w:color w:val="auto"/>
                <w:sz w:val="24"/>
                <w:highlight w:val="none"/>
                <w:shd w:val="clear" w:color="auto" w:fill="FFFFFF"/>
              </w:rPr>
              <w:t>具有有效的省级或省级以上</w:t>
            </w:r>
            <w:r>
              <w:rPr>
                <w:rFonts w:hint="eastAsia" w:ascii="宋体" w:hAnsi="宋体" w:cs="宋体"/>
                <w:color w:val="auto"/>
                <w:sz w:val="24"/>
                <w:highlight w:val="none"/>
                <w:shd w:val="clear" w:color="auto" w:fill="FFFFFF"/>
                <w:lang w:eastAsia="zh-CN"/>
              </w:rPr>
              <w:t>司法</w:t>
            </w:r>
            <w:r>
              <w:rPr>
                <w:rFonts w:hint="eastAsia" w:ascii="宋体" w:hAnsi="宋体" w:cs="宋体"/>
                <w:color w:val="auto"/>
                <w:sz w:val="24"/>
                <w:highlight w:val="none"/>
                <w:shd w:val="clear" w:color="auto" w:fill="FFFFFF"/>
              </w:rPr>
              <w:t>部门颁发的</w:t>
            </w:r>
            <w:r>
              <w:rPr>
                <w:rFonts w:hint="eastAsia" w:ascii="宋体" w:hAnsi="宋体" w:cs="宋体"/>
                <w:color w:val="auto"/>
                <w:sz w:val="24"/>
                <w:highlight w:val="none"/>
                <w:shd w:val="clear" w:color="auto" w:fill="FFFFFF"/>
                <w:lang w:eastAsia="zh-CN"/>
              </w:rPr>
              <w:t>律</w:t>
            </w:r>
            <w:r>
              <w:rPr>
                <w:rFonts w:hint="eastAsia" w:ascii="宋体" w:hAnsi="宋体" w:cs="宋体"/>
                <w:color w:val="auto"/>
                <w:sz w:val="24"/>
                <w:highlight w:val="none"/>
                <w:shd w:val="clear" w:color="auto" w:fill="FFFFFF"/>
              </w:rPr>
              <w:t>师事务所执业</w:t>
            </w:r>
            <w:r>
              <w:rPr>
                <w:rFonts w:hint="eastAsia" w:ascii="宋体" w:hAnsi="宋体" w:cs="宋体"/>
                <w:color w:val="auto"/>
                <w:sz w:val="24"/>
                <w:highlight w:val="none"/>
                <w:shd w:val="clear" w:color="auto" w:fill="FFFFFF"/>
                <w:lang w:eastAsia="zh-CN"/>
              </w:rPr>
              <w:t>许可证</w:t>
            </w:r>
            <w:r>
              <w:rPr>
                <w:rFonts w:hint="eastAsia" w:ascii="宋体" w:hAnsi="宋体" w:cs="宋体"/>
                <w:color w:val="auto"/>
                <w:sz w:val="24"/>
                <w:highlight w:val="none"/>
                <w:shd w:val="clear" w:color="auto" w:fill="FFFFFF"/>
              </w:rPr>
              <w:t>。</w:t>
            </w:r>
          </w:p>
          <w:p w14:paraId="53F45D89">
            <w:pPr>
              <w:pStyle w:val="64"/>
              <w:keepNext w:val="0"/>
              <w:keepLines w:val="0"/>
              <w:pageBreakBefore w:val="0"/>
              <w:kinsoku/>
              <w:wordWrap/>
              <w:overflowPunct/>
              <w:topLinePunct w:val="0"/>
              <w:autoSpaceDN/>
              <w:bidi w:val="0"/>
              <w:snapToGrid/>
              <w:spacing w:line="400" w:lineRule="exact"/>
              <w:ind w:left="0" w:leftChars="0" w:firstLine="480" w:firstLineChars="200"/>
              <w:textAlignment w:val="auto"/>
              <w:rPr>
                <w:rFonts w:ascii="宋体" w:hAnsi="宋体"/>
                <w:color w:val="auto"/>
                <w:sz w:val="24"/>
                <w:highlight w:val="none"/>
              </w:rPr>
            </w:pPr>
            <w:r>
              <w:rPr>
                <w:rFonts w:hint="eastAsia"/>
                <w:color w:val="000000"/>
                <w:sz w:val="24"/>
                <w:szCs w:val="24"/>
              </w:rPr>
              <w:t>★</w:t>
            </w:r>
            <w:r>
              <w:rPr>
                <w:rFonts w:hint="eastAsia"/>
                <w:color w:val="000000"/>
                <w:sz w:val="24"/>
                <w:szCs w:val="24"/>
                <w:lang w:eastAsia="zh-CN"/>
              </w:rPr>
              <w:t>③</w:t>
            </w:r>
            <w:r>
              <w:rPr>
                <w:rFonts w:hint="eastAsia" w:ascii="宋体" w:hAnsi="宋体" w:cs="宋体"/>
                <w:color w:val="auto"/>
                <w:sz w:val="24"/>
                <w:highlight w:val="none"/>
              </w:rPr>
              <w:t>供应商自202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年1月1日以来为专项债券</w:t>
            </w:r>
            <w:r>
              <w:rPr>
                <w:rFonts w:hint="eastAsia" w:ascii="宋体" w:hAnsi="宋体" w:cs="宋体"/>
                <w:color w:val="auto"/>
                <w:sz w:val="24"/>
                <w:highlight w:val="none"/>
                <w:lang w:eastAsia="zh-CN"/>
              </w:rPr>
              <w:t>成功</w:t>
            </w:r>
            <w:r>
              <w:rPr>
                <w:rFonts w:hint="eastAsia" w:ascii="宋体" w:hAnsi="宋体" w:cs="宋体"/>
                <w:color w:val="auto"/>
                <w:sz w:val="24"/>
                <w:highlight w:val="none"/>
              </w:rPr>
              <w:t>发行出具</w:t>
            </w:r>
            <w:r>
              <w:rPr>
                <w:rFonts w:hint="eastAsia" w:ascii="宋体" w:hAnsi="宋体" w:cs="宋体"/>
                <w:color w:val="auto"/>
                <w:sz w:val="24"/>
                <w:highlight w:val="none"/>
                <w:lang w:eastAsia="zh-CN"/>
              </w:rPr>
              <w:t>法</w:t>
            </w:r>
            <w:r>
              <w:rPr>
                <w:rFonts w:hint="eastAsia" w:ascii="宋体" w:hAnsi="宋体" w:cs="宋体"/>
                <w:color w:val="auto"/>
                <w:sz w:val="24"/>
                <w:highlight w:val="none"/>
              </w:rPr>
              <w:t>评报告</w:t>
            </w:r>
            <w:r>
              <w:rPr>
                <w:rFonts w:hint="eastAsia" w:ascii="宋体" w:hAnsi="宋体" w:cs="宋体"/>
                <w:color w:val="auto"/>
                <w:sz w:val="24"/>
                <w:highlight w:val="none"/>
                <w:lang w:val="en-US" w:eastAsia="zh-CN"/>
              </w:rPr>
              <w:t>1个及以上。</w:t>
            </w:r>
            <w:r>
              <w:rPr>
                <w:rFonts w:hint="eastAsia" w:ascii="宋体" w:hAnsi="宋体" w:cs="宋体"/>
                <w:color w:val="auto"/>
                <w:sz w:val="24"/>
                <w:highlight w:val="none"/>
              </w:rPr>
              <w:t>（</w:t>
            </w:r>
            <w:r>
              <w:rPr>
                <w:rFonts w:ascii="宋体" w:hAnsi="宋体"/>
                <w:color w:val="auto"/>
                <w:sz w:val="24"/>
                <w:highlight w:val="none"/>
              </w:rPr>
              <w:t>以中国债券信息网</w:t>
            </w:r>
            <w:r>
              <w:rPr>
                <w:rFonts w:hint="eastAsia" w:ascii="宋体" w:hAnsi="宋体"/>
                <w:color w:val="auto"/>
                <w:sz w:val="24"/>
                <w:highlight w:val="none"/>
                <w:lang w:val="en-US" w:eastAsia="zh-CN"/>
              </w:rPr>
              <w:t>或中国地方政府债券信息公开平台</w:t>
            </w:r>
            <w:r>
              <w:rPr>
                <w:rFonts w:ascii="宋体" w:hAnsi="宋体"/>
                <w:color w:val="auto"/>
                <w:sz w:val="24"/>
                <w:highlight w:val="none"/>
              </w:rPr>
              <w:t>公开披露的</w:t>
            </w:r>
            <w:r>
              <w:rPr>
                <w:rFonts w:hint="eastAsia" w:ascii="宋体" w:hAnsi="宋体"/>
                <w:color w:val="auto"/>
                <w:sz w:val="24"/>
                <w:highlight w:val="none"/>
                <w:lang w:eastAsia="zh-CN"/>
              </w:rPr>
              <w:t>报告</w:t>
            </w:r>
            <w:r>
              <w:rPr>
                <w:rFonts w:ascii="宋体" w:hAnsi="宋体"/>
                <w:color w:val="auto"/>
                <w:sz w:val="24"/>
                <w:highlight w:val="none"/>
              </w:rPr>
              <w:t>为准</w:t>
            </w:r>
            <w:r>
              <w:rPr>
                <w:rFonts w:hint="eastAsia" w:ascii="宋体" w:hAnsi="宋体" w:cs="宋体"/>
                <w:color w:val="auto"/>
                <w:sz w:val="24"/>
                <w:highlight w:val="none"/>
              </w:rPr>
              <w:t>，供应商须提供项目明细清单&lt;含发行地区、项目名称、发债金额等要素&gt;、</w:t>
            </w:r>
            <w:r>
              <w:rPr>
                <w:rFonts w:hint="eastAsia" w:ascii="宋体" w:hAnsi="宋体" w:cs="宋体"/>
                <w:color w:val="auto"/>
                <w:sz w:val="24"/>
                <w:highlight w:val="none"/>
                <w:lang w:val="en-US" w:eastAsia="zh-CN"/>
              </w:rPr>
              <w:t>相关网站</w:t>
            </w:r>
            <w:r>
              <w:rPr>
                <w:rFonts w:hint="eastAsia" w:ascii="宋体" w:hAnsi="宋体" w:cs="宋体"/>
                <w:color w:val="auto"/>
                <w:sz w:val="24"/>
                <w:highlight w:val="none"/>
              </w:rPr>
              <w:t>披露截图</w:t>
            </w:r>
            <w:r>
              <w:rPr>
                <w:rFonts w:hint="eastAsia" w:ascii="宋体" w:hAnsi="宋体" w:cs="宋体"/>
                <w:color w:val="auto"/>
                <w:sz w:val="24"/>
                <w:highlight w:val="none"/>
                <w:lang w:eastAsia="zh-CN"/>
              </w:rPr>
              <w:t>及法评报告正式稿</w:t>
            </w:r>
            <w:r>
              <w:rPr>
                <w:rFonts w:ascii="宋体" w:hAnsi="宋体"/>
                <w:color w:val="auto"/>
                <w:sz w:val="24"/>
                <w:highlight w:val="none"/>
              </w:rPr>
              <w:t>，并加盖</w:t>
            </w:r>
            <w:r>
              <w:rPr>
                <w:rFonts w:hint="eastAsia" w:ascii="宋体" w:hAnsi="宋体"/>
                <w:color w:val="auto"/>
                <w:sz w:val="24"/>
                <w:highlight w:val="none"/>
                <w:lang w:eastAsia="zh-CN"/>
              </w:rPr>
              <w:t>供应商</w:t>
            </w:r>
            <w:r>
              <w:rPr>
                <w:rFonts w:ascii="宋体" w:hAnsi="宋体"/>
                <w:color w:val="auto"/>
                <w:sz w:val="24"/>
                <w:highlight w:val="none"/>
              </w:rPr>
              <w:t>公章</w:t>
            </w:r>
            <w:r>
              <w:rPr>
                <w:rFonts w:hint="eastAsia" w:ascii="宋体" w:hAnsi="宋体"/>
                <w:color w:val="auto"/>
                <w:sz w:val="24"/>
                <w:highlight w:val="none"/>
                <w:lang w:val="en-US" w:eastAsia="zh-CN"/>
              </w:rPr>
              <w:t>&lt;以分支机构或其他合作单位名义出具不视为供应商成功发行出具的报告&gt;</w:t>
            </w:r>
            <w:r>
              <w:rPr>
                <w:rFonts w:ascii="宋体" w:hAnsi="宋体"/>
                <w:color w:val="auto"/>
                <w:sz w:val="24"/>
                <w:highlight w:val="none"/>
              </w:rPr>
              <w:t>）</w:t>
            </w:r>
          </w:p>
          <w:p w14:paraId="221A8A5E">
            <w:pPr>
              <w:pStyle w:val="64"/>
              <w:keepNext w:val="0"/>
              <w:keepLines w:val="0"/>
              <w:pageBreakBefore w:val="0"/>
              <w:widowControl w:val="0"/>
              <w:kinsoku/>
              <w:wordWrap/>
              <w:overflowPunct/>
              <w:topLinePunct w:val="0"/>
              <w:autoSpaceDE/>
              <w:autoSpaceDN/>
              <w:bidi w:val="0"/>
              <w:adjustRightInd/>
              <w:snapToGrid/>
              <w:spacing w:line="360" w:lineRule="exact"/>
              <w:ind w:left="0" w:leftChars="0" w:firstLine="720" w:firstLineChars="300"/>
              <w:textAlignment w:val="auto"/>
              <w:rPr>
                <w:rFonts w:hint="eastAsia"/>
              </w:rPr>
            </w:pPr>
            <w:r>
              <w:rPr>
                <w:rFonts w:hint="eastAsia" w:ascii="宋体" w:hAnsi="宋体" w:eastAsia="宋体" w:cs="宋体"/>
                <w:color w:val="auto"/>
                <w:sz w:val="24"/>
                <w:highlight w:val="none"/>
                <w:lang w:eastAsia="zh-CN"/>
              </w:rPr>
              <w:t>④联合体协议</w:t>
            </w:r>
            <w:r>
              <w:rPr>
                <w:rFonts w:hint="eastAsia" w:ascii="宋体" w:hAnsi="宋体" w:eastAsia="宋体" w:cs="宋体"/>
                <w:color w:val="auto"/>
                <w:sz w:val="24"/>
                <w:highlight w:val="none"/>
                <w:lang w:val="zh-CN" w:eastAsia="zh-CN"/>
              </w:rPr>
              <w:t>（</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如供应商是联合体，则应提供</w:t>
            </w:r>
            <w:r>
              <w:rPr>
                <w:rFonts w:hint="eastAsia" w:ascii="宋体" w:hAnsi="宋体" w:eastAsia="宋体" w:cs="宋体"/>
                <w:color w:val="auto"/>
                <w:sz w:val="24"/>
                <w:highlight w:val="none"/>
                <w:lang w:eastAsia="zh-CN"/>
              </w:rPr>
              <w:t>本项</w:t>
            </w:r>
            <w:r>
              <w:rPr>
                <w:rFonts w:hint="eastAsia" w:ascii="宋体" w:hAnsi="宋体" w:eastAsia="宋体" w:cs="宋体"/>
                <w:color w:val="auto"/>
                <w:sz w:val="24"/>
                <w:highlight w:val="none"/>
                <w:lang w:val="en-US" w:eastAsia="zh-CN"/>
              </w:rPr>
              <w:t>材料。如联合体协议不符合</w:t>
            </w:r>
            <w:r>
              <w:rPr>
                <w:rFonts w:hint="eastAsia" w:cs="宋体"/>
                <w:color w:val="auto"/>
                <w:sz w:val="24"/>
                <w:highlight w:val="none"/>
                <w:lang w:val="en-US" w:eastAsia="zh-CN"/>
              </w:rPr>
              <w:t>征集</w:t>
            </w:r>
            <w:r>
              <w:rPr>
                <w:rFonts w:hint="eastAsia" w:ascii="宋体" w:hAnsi="宋体" w:eastAsia="宋体" w:cs="宋体"/>
                <w:color w:val="auto"/>
                <w:sz w:val="24"/>
                <w:highlight w:val="none"/>
                <w:lang w:val="en-US" w:eastAsia="zh-CN"/>
              </w:rPr>
              <w:t>文件规定的联合体协议要求的，则投标无效。联合体协议见格式</w:t>
            </w:r>
            <w:r>
              <w:rPr>
                <w:rFonts w:hint="eastAsia" w:ascii="宋体" w:hAnsi="宋体" w:eastAsia="宋体" w:cs="宋体"/>
                <w:color w:val="auto"/>
                <w:sz w:val="24"/>
                <w:highlight w:val="none"/>
                <w:lang w:val="zh-CN" w:eastAsia="zh-CN"/>
              </w:rPr>
              <w:t>）</w:t>
            </w:r>
          </w:p>
          <w:p w14:paraId="3A956C14">
            <w:pPr>
              <w:keepNext w:val="0"/>
              <w:keepLines w:val="0"/>
              <w:pageBreakBefore w:val="0"/>
              <w:kinsoku/>
              <w:wordWrap/>
              <w:overflowPunct/>
              <w:topLinePunct w:val="0"/>
              <w:autoSpaceDE w:val="0"/>
              <w:autoSpaceDN/>
              <w:bidi w:val="0"/>
              <w:snapToGrid/>
              <w:spacing w:line="400" w:lineRule="exact"/>
              <w:jc w:val="left"/>
              <w:textAlignment w:val="auto"/>
              <w:rPr>
                <w:color w:val="000000"/>
                <w:sz w:val="24"/>
                <w:szCs w:val="24"/>
              </w:rPr>
            </w:pPr>
            <w:r>
              <w:rPr>
                <w:rFonts w:hint="eastAsia"/>
                <w:color w:val="000000"/>
                <w:sz w:val="24"/>
                <w:szCs w:val="24"/>
              </w:rPr>
              <w:t>3</w:t>
            </w:r>
            <w:r>
              <w:rPr>
                <w:rFonts w:hint="eastAsia"/>
                <w:color w:val="000000"/>
                <w:sz w:val="24"/>
                <w:szCs w:val="24"/>
                <w:highlight w:val="none"/>
              </w:rPr>
              <w:t>.商务技术响应文件</w:t>
            </w:r>
            <w:r>
              <w:rPr>
                <w:rFonts w:hint="eastAsia"/>
                <w:color w:val="000000"/>
                <w:sz w:val="24"/>
                <w:szCs w:val="24"/>
              </w:rPr>
              <w:t>：</w:t>
            </w:r>
            <w:r>
              <w:rPr>
                <w:color w:val="000000"/>
                <w:sz w:val="24"/>
                <w:szCs w:val="24"/>
              </w:rPr>
              <w:t>包含以下内容</w:t>
            </w:r>
          </w:p>
          <w:p w14:paraId="53B5CC8B">
            <w:pPr>
              <w:keepNext w:val="0"/>
              <w:keepLines w:val="0"/>
              <w:pageBreakBefore w:val="0"/>
              <w:widowControl/>
              <w:suppressLineNumbers w:val="0"/>
              <w:kinsoku/>
              <w:wordWrap/>
              <w:overflowPunct/>
              <w:topLinePunct w:val="0"/>
              <w:autoSpaceDN/>
              <w:bidi w:val="0"/>
              <w:snapToGrid/>
              <w:spacing w:line="400" w:lineRule="exact"/>
              <w:ind w:firstLine="480" w:firstLineChars="200"/>
              <w:jc w:val="left"/>
              <w:textAlignment w:val="auto"/>
              <w:rPr>
                <w:rFonts w:hint="eastAsia" w:ascii="宋体" w:hAnsi="宋体" w:eastAsia="宋体" w:cs="宋体"/>
                <w:color w:val="auto"/>
                <w:sz w:val="24"/>
                <w:highlight w:val="none"/>
                <w:shd w:val="clear" w:color="auto" w:fill="FFFFFF"/>
                <w:lang w:val="en-US" w:eastAsia="zh-CN"/>
              </w:rPr>
            </w:pPr>
            <w:r>
              <w:rPr>
                <w:rFonts w:hint="eastAsia"/>
                <w:color w:val="000000"/>
                <w:sz w:val="24"/>
                <w:szCs w:val="24"/>
              </w:rPr>
              <w:t>★</w:t>
            </w:r>
            <w:r>
              <w:rPr>
                <w:rFonts w:hint="eastAsia" w:ascii="宋体" w:hAnsi="宋体" w:eastAsia="宋体" w:cs="宋体"/>
                <w:color w:val="auto"/>
                <w:sz w:val="24"/>
                <w:highlight w:val="none"/>
                <w:shd w:val="clear" w:color="auto" w:fill="FFFFFF"/>
                <w:lang w:val="en-US" w:eastAsia="zh-CN"/>
              </w:rPr>
              <w:t>①拟派项目组成员（需提供该人员在投标单位缴纳的自2025年9月1日以来任意一个月的社保缴费清单，如投标单位新成立不足一个月的，按实际缴纳情况提供持证人员在该单位的社保缴费清单，社保缴费清单需加盖缴费当地社保机构公章或业务章</w:t>
            </w:r>
            <w:r>
              <w:rPr>
                <w:rFonts w:hint="eastAsia" w:ascii="宋体" w:hAnsi="宋体" w:cs="宋体"/>
                <w:color w:val="auto"/>
                <w:sz w:val="24"/>
                <w:highlight w:val="none"/>
                <w:shd w:val="clear" w:color="auto" w:fill="FFFFFF"/>
                <w:lang w:val="en-US" w:eastAsia="zh-CN"/>
              </w:rPr>
              <w:t>，</w:t>
            </w:r>
            <w:r>
              <w:rPr>
                <w:rFonts w:hint="eastAsia" w:ascii="宋体" w:hAnsi="宋体" w:eastAsia="宋体" w:cs="宋体"/>
                <w:color w:val="auto"/>
                <w:sz w:val="24"/>
                <w:highlight w:val="none"/>
                <w:shd w:val="clear" w:color="auto" w:fill="FFFFFF"/>
                <w:lang w:val="en-US" w:eastAsia="zh-CN"/>
              </w:rPr>
              <w:t>如有证书的还需提供相关证书扫描件并加盖公章）。</w:t>
            </w:r>
          </w:p>
          <w:p w14:paraId="390818E7">
            <w:pPr>
              <w:pStyle w:val="20"/>
              <w:keepNext w:val="0"/>
              <w:keepLines w:val="0"/>
              <w:pageBreakBefore w:val="0"/>
              <w:kinsoku/>
              <w:wordWrap/>
              <w:overflowPunct/>
              <w:topLinePunct w:val="0"/>
              <w:autoSpaceDN/>
              <w:bidi w:val="0"/>
              <w:snapToGrid/>
              <w:spacing w:line="400" w:lineRule="exact"/>
              <w:textAlignment w:val="auto"/>
              <w:rPr>
                <w:rFonts w:hint="eastAsia"/>
                <w:lang w:val="en-US" w:eastAsia="zh-CN"/>
              </w:rPr>
            </w:pPr>
            <w:r>
              <w:rPr>
                <w:rFonts w:hint="eastAsia"/>
                <w:color w:val="000000"/>
                <w:sz w:val="24"/>
                <w:szCs w:val="24"/>
              </w:rPr>
              <w:t>★</w:t>
            </w:r>
            <w:r>
              <w:rPr>
                <w:rFonts w:hint="eastAsia" w:ascii="宋体" w:hAnsi="宋体" w:eastAsia="宋体" w:cs="宋体"/>
                <w:color w:val="auto"/>
                <w:sz w:val="24"/>
                <w:highlight w:val="none"/>
                <w:shd w:val="clear" w:color="auto" w:fill="FFFFFF"/>
                <w:lang w:val="en-US" w:eastAsia="zh-CN"/>
              </w:rPr>
              <w:t>②服务承诺书（</w:t>
            </w:r>
            <w:r>
              <w:rPr>
                <w:rFonts w:hint="eastAsia" w:cs="宋体"/>
                <w:color w:val="auto"/>
                <w:sz w:val="24"/>
                <w:highlight w:val="none"/>
                <w:shd w:val="clear" w:color="auto" w:fill="FFFFFF"/>
                <w:lang w:val="en-US" w:eastAsia="zh-CN"/>
              </w:rPr>
              <w:t>见格式</w:t>
            </w:r>
            <w:r>
              <w:rPr>
                <w:rFonts w:hint="eastAsia" w:ascii="宋体" w:hAnsi="宋体" w:eastAsia="宋体" w:cs="宋体"/>
                <w:color w:val="auto"/>
                <w:sz w:val="24"/>
                <w:highlight w:val="none"/>
                <w:shd w:val="clear" w:color="auto" w:fill="FFFFFF"/>
                <w:lang w:val="en-US" w:eastAsia="zh-CN"/>
              </w:rPr>
              <w:t>）</w:t>
            </w:r>
          </w:p>
          <w:p w14:paraId="365F1E3D">
            <w:pPr>
              <w:keepNext w:val="0"/>
              <w:keepLines w:val="0"/>
              <w:pageBreakBefore w:val="0"/>
              <w:numPr>
                <w:ilvl w:val="0"/>
                <w:numId w:val="1"/>
              </w:numPr>
              <w:kinsoku/>
              <w:wordWrap/>
              <w:overflowPunct/>
              <w:topLinePunct w:val="0"/>
              <w:autoSpaceDE w:val="0"/>
              <w:autoSpaceDN/>
              <w:bidi w:val="0"/>
              <w:snapToGrid/>
              <w:spacing w:line="400" w:lineRule="exact"/>
              <w:jc w:val="left"/>
              <w:textAlignment w:val="auto"/>
              <w:rPr>
                <w:rFonts w:hint="eastAsia"/>
                <w:color w:val="000000"/>
                <w:sz w:val="24"/>
                <w:szCs w:val="24"/>
                <w:highlight w:val="none"/>
              </w:rPr>
            </w:pPr>
            <w:r>
              <w:rPr>
                <w:rFonts w:hint="eastAsia"/>
                <w:color w:val="000000"/>
                <w:sz w:val="24"/>
                <w:szCs w:val="24"/>
                <w:highlight w:val="none"/>
              </w:rPr>
              <w:t>报价响应文件：包含下列内容</w:t>
            </w:r>
          </w:p>
          <w:p w14:paraId="14DEAD52">
            <w:pPr>
              <w:pStyle w:val="605"/>
              <w:keepNext w:val="0"/>
              <w:keepLines w:val="0"/>
              <w:pageBreakBefore w:val="0"/>
              <w:numPr>
                <w:ilvl w:val="0"/>
                <w:numId w:val="0"/>
              </w:numPr>
              <w:kinsoku/>
              <w:wordWrap/>
              <w:overflowPunct/>
              <w:topLinePunct w:val="0"/>
              <w:autoSpaceDN/>
              <w:bidi w:val="0"/>
              <w:snapToGrid/>
              <w:spacing w:line="400" w:lineRule="exact"/>
              <w:textAlignment w:val="auto"/>
              <w:rPr>
                <w:rFonts w:hint="default" w:eastAsia="宋体"/>
                <w:lang w:val="en-US" w:eastAsia="zh-CN"/>
              </w:rPr>
            </w:pPr>
            <w:r>
              <w:rPr>
                <w:rFonts w:hint="eastAsia"/>
                <w:lang w:val="en-US" w:eastAsia="zh-CN"/>
              </w:rPr>
              <w:t xml:space="preserve">    </w:t>
            </w:r>
            <w:r>
              <w:rPr>
                <w:rFonts w:hint="eastAsia"/>
                <w:color w:val="000000"/>
                <w:sz w:val="24"/>
                <w:szCs w:val="24"/>
              </w:rPr>
              <w:t>★</w:t>
            </w:r>
            <w:r>
              <w:rPr>
                <w:rFonts w:hint="eastAsia"/>
                <w:color w:val="000000"/>
                <w:sz w:val="24"/>
                <w:szCs w:val="24"/>
                <w:lang w:eastAsia="zh-CN"/>
              </w:rPr>
              <w:t>①</w:t>
            </w:r>
            <w:r>
              <w:rPr>
                <w:rFonts w:hint="eastAsia"/>
                <w:lang w:val="en-US" w:eastAsia="zh-CN"/>
              </w:rPr>
              <w:t>开标一览表</w:t>
            </w:r>
          </w:p>
          <w:p w14:paraId="34662BF4">
            <w:pPr>
              <w:pStyle w:val="58"/>
              <w:keepNext w:val="0"/>
              <w:keepLines w:val="0"/>
              <w:pageBreakBefore w:val="0"/>
              <w:kinsoku/>
              <w:wordWrap/>
              <w:overflowPunct/>
              <w:topLinePunct w:val="0"/>
              <w:autoSpaceDN/>
              <w:bidi w:val="0"/>
              <w:snapToGrid/>
              <w:spacing w:after="0" w:line="400" w:lineRule="exact"/>
              <w:ind w:firstLine="720" w:firstLineChars="300"/>
              <w:textAlignment w:val="auto"/>
              <w:rPr>
                <w:rFonts w:hint="eastAsia" w:ascii="宋体" w:hAnsi="宋体" w:eastAsia="宋体" w:cs="宋体"/>
                <w:color w:val="auto"/>
                <w:kern w:val="2"/>
                <w:sz w:val="24"/>
                <w:szCs w:val="24"/>
                <w:highlight w:val="none"/>
                <w:shd w:val="clear" w:color="auto" w:fill="FFFFFF"/>
                <w:lang w:val="en-US" w:eastAsia="zh-CN" w:bidi="ar-SA"/>
              </w:rPr>
            </w:pPr>
            <w:r>
              <w:rPr>
                <w:rFonts w:hint="eastAsia"/>
                <w:color w:val="000000"/>
                <w:sz w:val="24"/>
                <w:szCs w:val="24"/>
                <w:lang w:eastAsia="zh-CN"/>
              </w:rPr>
              <w:t>②</w:t>
            </w:r>
            <w:r>
              <w:rPr>
                <w:rFonts w:hint="eastAsia" w:ascii="宋体" w:hAnsi="宋体" w:eastAsia="宋体" w:cs="宋体"/>
                <w:color w:val="auto"/>
                <w:kern w:val="2"/>
                <w:sz w:val="24"/>
                <w:szCs w:val="24"/>
                <w:highlight w:val="none"/>
                <w:shd w:val="clear" w:color="auto" w:fill="FFFFFF"/>
                <w:lang w:val="en-US" w:eastAsia="zh-CN" w:bidi="ar-SA"/>
              </w:rPr>
              <w:t>中小企业声明函（见格式）（符合中小微企业有关政策的投标人需提供本项材料。投标人应根据《工业和信息化部、国家统计局、国家发展和改革委员会、财政部关于印发中小企业划型标准规定的通知》（工信部联企业〔2011〕300号）规定的划分标准,填报企业规模类型。投标人也可在国务院客户端或工业和信息化部网站上，使用中小企业规模类型自测小程序识别企业规模类型。）</w:t>
            </w:r>
          </w:p>
          <w:p w14:paraId="4BB77E56">
            <w:pPr>
              <w:pStyle w:val="58"/>
              <w:keepNext w:val="0"/>
              <w:keepLines w:val="0"/>
              <w:pageBreakBefore w:val="0"/>
              <w:kinsoku/>
              <w:wordWrap/>
              <w:overflowPunct/>
              <w:topLinePunct w:val="0"/>
              <w:autoSpaceDN/>
              <w:bidi w:val="0"/>
              <w:snapToGrid/>
              <w:spacing w:after="0" w:line="400" w:lineRule="exact"/>
              <w:ind w:firstLine="480" w:firstLineChars="200"/>
              <w:textAlignment w:val="auto"/>
              <w:rPr>
                <w:rFonts w:hint="eastAsia" w:ascii="新宋体" w:hAnsi="新宋体" w:eastAsia="新宋体" w:cs="新宋体"/>
                <w:b/>
                <w:bCs/>
                <w:kern w:val="2"/>
                <w:sz w:val="24"/>
                <w:szCs w:val="24"/>
                <w:lang w:val="en-US" w:eastAsia="zh-CN" w:bidi="ar-SA"/>
              </w:rPr>
            </w:pPr>
            <w:r>
              <w:rPr>
                <w:rFonts w:hint="eastAsia" w:ascii="宋体" w:hAnsi="宋体" w:eastAsia="宋体" w:cs="宋体"/>
                <w:color w:val="auto"/>
                <w:kern w:val="2"/>
                <w:sz w:val="24"/>
                <w:szCs w:val="24"/>
                <w:highlight w:val="none"/>
                <w:shd w:val="clear" w:color="auto" w:fill="FFFFFF"/>
                <w:lang w:val="en-US" w:eastAsia="zh-CN" w:bidi="ar-SA"/>
              </w:rPr>
              <w:t>或者③残疾人福利性单位声明函（见格式）（</w:t>
            </w:r>
            <w:r>
              <w:rPr>
                <w:rFonts w:hint="eastAsia" w:ascii="新宋体" w:hAnsi="新宋体" w:eastAsia="新宋体" w:cs="新宋体"/>
                <w:b/>
                <w:bCs/>
                <w:kern w:val="2"/>
                <w:sz w:val="24"/>
                <w:szCs w:val="24"/>
                <w:lang w:val="en-US" w:eastAsia="zh-CN" w:bidi="ar-SA"/>
              </w:rPr>
              <w:t>符合残疾人福利性单位有关政策的投标人应提供本项材料）</w:t>
            </w:r>
          </w:p>
          <w:p w14:paraId="342B6A36">
            <w:pPr>
              <w:keepNext w:val="0"/>
              <w:keepLines w:val="0"/>
              <w:pageBreakBefore w:val="0"/>
              <w:kinsoku/>
              <w:wordWrap/>
              <w:overflowPunct/>
              <w:topLinePunct w:val="0"/>
              <w:autoSpaceDN/>
              <w:bidi w:val="0"/>
              <w:snapToGrid/>
              <w:spacing w:line="400" w:lineRule="exact"/>
              <w:textAlignment w:val="auto"/>
              <w:rPr>
                <w:color w:val="auto"/>
                <w:highlight w:val="none"/>
              </w:rPr>
            </w:pPr>
            <w:r>
              <w:rPr>
                <w:rFonts w:hint="eastAsia" w:ascii="宋体" w:hAnsi="宋体" w:eastAsia="宋体" w:cs="宋体"/>
                <w:color w:val="auto"/>
                <w:kern w:val="2"/>
                <w:sz w:val="24"/>
                <w:szCs w:val="24"/>
                <w:highlight w:val="none"/>
                <w:shd w:val="clear" w:color="auto" w:fill="FFFFFF"/>
                <w:lang w:val="en-US" w:eastAsia="zh-CN" w:bidi="ar-SA"/>
              </w:rPr>
              <w:t>或者④省级及以上监狱管理局、戒毒管理局（含新疆生产建设兵团）出具的属于监狱企业的文件扫描件并加盖电子签章</w:t>
            </w:r>
            <w:r>
              <w:rPr>
                <w:rFonts w:hint="eastAsia" w:ascii="新宋体" w:hAnsi="新宋体" w:eastAsia="新宋体" w:cs="新宋体"/>
                <w:b/>
                <w:bCs/>
                <w:kern w:val="2"/>
                <w:sz w:val="24"/>
                <w:szCs w:val="24"/>
                <w:lang w:val="en-US" w:eastAsia="zh-CN" w:bidi="ar-SA"/>
              </w:rPr>
              <w:t>（符合监狱企业有关政策的投标人应提供本项材料）</w:t>
            </w:r>
          </w:p>
        </w:tc>
      </w:tr>
      <w:tr w14:paraId="11CA6C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467911C6">
            <w:pPr>
              <w:keepNext w:val="0"/>
              <w:keepLines w:val="0"/>
              <w:pageBreakBefore w:val="0"/>
              <w:widowControl w:val="0"/>
              <w:kinsoku/>
              <w:wordWrap/>
              <w:overflowPunct/>
              <w:topLinePunct w:val="0"/>
              <w:autoSpaceDE w:val="0"/>
              <w:autoSpaceDN/>
              <w:bidi w:val="0"/>
              <w:adjustRightInd w:val="0"/>
              <w:snapToGrid/>
              <w:spacing w:line="400" w:lineRule="exact"/>
              <w:jc w:val="center"/>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000000"/>
                <w:sz w:val="24"/>
                <w:szCs w:val="24"/>
                <w:highlight w:val="none"/>
                <w:lang w:val="en-US" w:eastAsia="zh-CN"/>
              </w:rPr>
              <w:t>16</w:t>
            </w:r>
          </w:p>
        </w:tc>
        <w:tc>
          <w:tcPr>
            <w:tcW w:w="1899" w:type="dxa"/>
            <w:tcBorders>
              <w:top w:val="single" w:color="000000" w:sz="8" w:space="0"/>
              <w:left w:val="single" w:color="000000" w:sz="2" w:space="0"/>
              <w:bottom w:val="single" w:color="000000" w:sz="8" w:space="0"/>
              <w:right w:val="single" w:color="000000" w:sz="8" w:space="0"/>
            </w:tcBorders>
            <w:vAlign w:val="center"/>
          </w:tcPr>
          <w:p w14:paraId="5D6AD4FE">
            <w:pPr>
              <w:keepNext w:val="0"/>
              <w:keepLines w:val="0"/>
              <w:pageBreakBefore w:val="0"/>
              <w:widowControl w:val="0"/>
              <w:kinsoku/>
              <w:wordWrap/>
              <w:overflowPunct/>
              <w:topLinePunct w:val="0"/>
              <w:autoSpaceDE w:val="0"/>
              <w:autoSpaceDN/>
              <w:bidi w:val="0"/>
              <w:adjustRightInd w:val="0"/>
              <w:snapToGrid/>
              <w:spacing w:line="400" w:lineRule="exact"/>
              <w:jc w:val="left"/>
              <w:textAlignment w:val="auto"/>
              <w:rPr>
                <w:rFonts w:ascii="宋体" w:hAnsi="宋体" w:cs="宋体"/>
                <w:b/>
                <w:bCs/>
                <w:color w:val="auto"/>
                <w:sz w:val="24"/>
                <w:highlight w:val="none"/>
                <w:lang w:bidi="ar"/>
              </w:rPr>
            </w:pPr>
            <w:r>
              <w:rPr>
                <w:rFonts w:hint="eastAsia"/>
                <w:color w:val="000000"/>
                <w:sz w:val="24"/>
                <w:szCs w:val="24"/>
                <w:highlight w:val="none"/>
                <w:lang w:eastAsia="zh-CN"/>
              </w:rPr>
              <w:t>协议签订</w:t>
            </w:r>
          </w:p>
        </w:tc>
        <w:tc>
          <w:tcPr>
            <w:tcW w:w="6422" w:type="dxa"/>
            <w:tcBorders>
              <w:top w:val="single" w:color="000000" w:sz="8" w:space="0"/>
              <w:left w:val="single" w:color="000000" w:sz="2" w:space="0"/>
              <w:bottom w:val="single" w:color="000000" w:sz="8" w:space="0"/>
              <w:right w:val="single" w:color="000000" w:sz="8" w:space="0"/>
            </w:tcBorders>
            <w:vAlign w:val="center"/>
          </w:tcPr>
          <w:p w14:paraId="7E0526D1">
            <w:pPr>
              <w:keepNext w:val="0"/>
              <w:keepLines w:val="0"/>
              <w:pageBreakBefore w:val="0"/>
              <w:widowControl w:val="0"/>
              <w:kinsoku/>
              <w:wordWrap/>
              <w:overflowPunct/>
              <w:topLinePunct w:val="0"/>
              <w:autoSpaceDE w:val="0"/>
              <w:autoSpaceDN/>
              <w:bidi w:val="0"/>
              <w:adjustRightInd w:val="0"/>
              <w:snapToGrid/>
              <w:spacing w:line="400" w:lineRule="exact"/>
              <w:jc w:val="left"/>
              <w:textAlignment w:val="auto"/>
              <w:rPr>
                <w:rFonts w:hint="eastAsia" w:ascii="新宋体" w:hAnsi="新宋体" w:eastAsia="新宋体" w:cs="新宋体"/>
                <w:sz w:val="24"/>
              </w:rPr>
            </w:pPr>
            <w:r>
              <w:rPr>
                <w:rFonts w:hint="eastAsia" w:ascii="新宋体" w:hAnsi="新宋体" w:eastAsia="新宋体" w:cs="新宋体"/>
                <w:sz w:val="24"/>
              </w:rPr>
              <w:t>1</w:t>
            </w:r>
            <w:r>
              <w:rPr>
                <w:rFonts w:hint="eastAsia" w:ascii="新宋体" w:hAnsi="新宋体" w:eastAsia="新宋体" w:cs="新宋体"/>
                <w:sz w:val="24"/>
                <w:lang w:val="en-US" w:eastAsia="zh-CN"/>
              </w:rPr>
              <w:t>.</w:t>
            </w:r>
            <w:r>
              <w:rPr>
                <w:rFonts w:hint="eastAsia" w:ascii="新宋体" w:hAnsi="新宋体" w:eastAsia="新宋体" w:cs="新宋体"/>
                <w:sz w:val="24"/>
              </w:rPr>
              <w:t>入围供应商应按规定的时间、地点与征集人签订框架协议，否则按开标后撤回投标（响应）文件处理。</w:t>
            </w:r>
          </w:p>
          <w:p w14:paraId="79F68A28">
            <w:pPr>
              <w:keepNext w:val="0"/>
              <w:keepLines w:val="0"/>
              <w:pageBreakBefore w:val="0"/>
              <w:widowControl w:val="0"/>
              <w:kinsoku/>
              <w:wordWrap/>
              <w:overflowPunct/>
              <w:topLinePunct w:val="0"/>
              <w:autoSpaceDE w:val="0"/>
              <w:autoSpaceDN/>
              <w:bidi w:val="0"/>
              <w:adjustRightInd w:val="0"/>
              <w:snapToGrid/>
              <w:spacing w:line="400" w:lineRule="exact"/>
              <w:jc w:val="left"/>
              <w:textAlignment w:val="auto"/>
              <w:rPr>
                <w:rFonts w:hint="eastAsia" w:ascii="新宋体" w:hAnsi="新宋体" w:eastAsia="新宋体" w:cs="新宋体"/>
                <w:sz w:val="24"/>
              </w:rPr>
            </w:pPr>
            <w:r>
              <w:rPr>
                <w:rFonts w:hint="eastAsia" w:ascii="新宋体" w:hAnsi="新宋体" w:eastAsia="新宋体" w:cs="新宋体"/>
                <w:sz w:val="24"/>
              </w:rPr>
              <w:t>2</w:t>
            </w:r>
            <w:r>
              <w:rPr>
                <w:rFonts w:hint="eastAsia" w:ascii="新宋体" w:hAnsi="新宋体" w:eastAsia="新宋体" w:cs="新宋体"/>
                <w:sz w:val="24"/>
                <w:lang w:val="en-US" w:eastAsia="zh-CN"/>
              </w:rPr>
              <w:t>.</w:t>
            </w:r>
            <w:r>
              <w:rPr>
                <w:rFonts w:hint="eastAsia" w:ascii="新宋体" w:hAnsi="新宋体" w:eastAsia="新宋体" w:cs="新宋体"/>
                <w:sz w:val="24"/>
              </w:rPr>
              <w:t>征集文件、入围供应商的投标（响应）文件及评审过程中有关澄清文件均应作为框架协议的附件。</w:t>
            </w:r>
          </w:p>
          <w:p w14:paraId="0AAA8F0B">
            <w:pPr>
              <w:pStyle w:val="20"/>
              <w:keepNext w:val="0"/>
              <w:keepLines w:val="0"/>
              <w:pageBreakBefore w:val="0"/>
              <w:widowControl w:val="0"/>
              <w:kinsoku/>
              <w:wordWrap/>
              <w:overflowPunct/>
              <w:topLinePunct w:val="0"/>
              <w:autoSpaceDN/>
              <w:bidi w:val="0"/>
              <w:adjustRightInd w:val="0"/>
              <w:snapToGrid/>
              <w:spacing w:line="400" w:lineRule="exact"/>
              <w:ind w:left="0" w:leftChars="0" w:firstLine="0" w:firstLineChars="0"/>
              <w:textAlignment w:val="auto"/>
            </w:pPr>
            <w:r>
              <w:rPr>
                <w:rFonts w:hint="eastAsia" w:ascii="新宋体" w:hAnsi="新宋体" w:eastAsia="新宋体" w:cs="新宋体"/>
                <w:b/>
                <w:bCs/>
                <w:sz w:val="24"/>
                <w:lang w:val="en-US" w:eastAsia="zh-CN"/>
              </w:rPr>
              <w:t>3.入围供应商在收到入围通知书之日后及时将服务承诺书等内容上传到响应信息模块。</w:t>
            </w:r>
          </w:p>
        </w:tc>
      </w:tr>
      <w:tr w14:paraId="5D804F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6AC1BC8F">
            <w:pPr>
              <w:keepNext w:val="0"/>
              <w:keepLines w:val="0"/>
              <w:pageBreakBefore w:val="0"/>
              <w:widowControl w:val="0"/>
              <w:kinsoku/>
              <w:wordWrap/>
              <w:overflowPunct/>
              <w:topLinePunct w:val="0"/>
              <w:autoSpaceDE w:val="0"/>
              <w:autoSpaceDN/>
              <w:bidi w:val="0"/>
              <w:adjustRightInd w:val="0"/>
              <w:snapToGrid/>
              <w:spacing w:line="400" w:lineRule="exact"/>
              <w:jc w:val="center"/>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000000"/>
                <w:sz w:val="24"/>
                <w:szCs w:val="24"/>
              </w:rPr>
              <w:t>17</w:t>
            </w:r>
          </w:p>
        </w:tc>
        <w:tc>
          <w:tcPr>
            <w:tcW w:w="1899" w:type="dxa"/>
            <w:tcBorders>
              <w:top w:val="single" w:color="000000" w:sz="8" w:space="0"/>
              <w:left w:val="single" w:color="000000" w:sz="2" w:space="0"/>
              <w:bottom w:val="single" w:color="000000" w:sz="8" w:space="0"/>
              <w:right w:val="single" w:color="000000" w:sz="8" w:space="0"/>
            </w:tcBorders>
            <w:vAlign w:val="center"/>
          </w:tcPr>
          <w:p w14:paraId="070F0D3E">
            <w:pPr>
              <w:keepNext w:val="0"/>
              <w:keepLines w:val="0"/>
              <w:pageBreakBefore w:val="0"/>
              <w:widowControl w:val="0"/>
              <w:kinsoku/>
              <w:wordWrap/>
              <w:overflowPunct/>
              <w:topLinePunct w:val="0"/>
              <w:autoSpaceDE w:val="0"/>
              <w:autoSpaceDN/>
              <w:bidi w:val="0"/>
              <w:adjustRightInd w:val="0"/>
              <w:snapToGrid/>
              <w:spacing w:line="400" w:lineRule="exact"/>
              <w:jc w:val="left"/>
              <w:textAlignment w:val="auto"/>
              <w:rPr>
                <w:rFonts w:ascii="宋体" w:hAnsi="宋体" w:cs="宋体"/>
                <w:b/>
                <w:bCs/>
                <w:color w:val="auto"/>
                <w:sz w:val="24"/>
                <w:highlight w:val="none"/>
                <w:lang w:bidi="ar"/>
              </w:rPr>
            </w:pPr>
            <w:r>
              <w:rPr>
                <w:rFonts w:hint="eastAsia" w:ascii="新宋体" w:hAnsi="新宋体" w:eastAsia="新宋体" w:cs="新宋体"/>
                <w:sz w:val="24"/>
              </w:rPr>
              <w:t>信用融资</w:t>
            </w:r>
          </w:p>
        </w:tc>
        <w:tc>
          <w:tcPr>
            <w:tcW w:w="6422" w:type="dxa"/>
            <w:tcBorders>
              <w:top w:val="single" w:color="000000" w:sz="8" w:space="0"/>
              <w:left w:val="single" w:color="000000" w:sz="2" w:space="0"/>
              <w:bottom w:val="single" w:color="000000" w:sz="8" w:space="0"/>
              <w:right w:val="single" w:color="000000" w:sz="8" w:space="0"/>
            </w:tcBorders>
            <w:vAlign w:val="center"/>
          </w:tcPr>
          <w:p w14:paraId="359D36FB">
            <w:pPr>
              <w:keepNext w:val="0"/>
              <w:keepLines w:val="0"/>
              <w:pageBreakBefore w:val="0"/>
              <w:widowControl w:val="0"/>
              <w:kinsoku/>
              <w:wordWrap/>
              <w:overflowPunct/>
              <w:topLinePunct w:val="0"/>
              <w:autoSpaceDE w:val="0"/>
              <w:autoSpaceDN/>
              <w:bidi w:val="0"/>
              <w:adjustRightInd w:val="0"/>
              <w:snapToGrid/>
              <w:spacing w:line="400" w:lineRule="exact"/>
              <w:jc w:val="left"/>
              <w:textAlignment w:val="auto"/>
              <w:rPr>
                <w:rFonts w:ascii="宋体" w:hAnsi="宋体" w:cs="宋体"/>
                <w:color w:val="auto"/>
                <w:sz w:val="24"/>
                <w:highlight w:val="none"/>
                <w:lang w:bidi="ar"/>
              </w:rPr>
            </w:pPr>
            <w:r>
              <w:rPr>
                <w:rFonts w:hint="eastAsia" w:ascii="新宋体" w:hAnsi="新宋体" w:eastAsia="新宋体" w:cs="新宋体"/>
                <w:sz w:val="24"/>
              </w:rPr>
              <w:t>为支持和促进中小企业发展，进一步发挥政府采购政策功能，根据《浙江省财政厅关于进一步发挥政府采购政策功能全力推动经济稳进提质的通知》（浙财采监〔2022〕3号），供应商若有融资意向，登录“政采云”的“金融支撑”栏目进行查询，查看各相关银行服务方案。</w:t>
            </w:r>
          </w:p>
        </w:tc>
      </w:tr>
      <w:tr w14:paraId="156BDA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2F2FC84F">
            <w:pPr>
              <w:keepNext w:val="0"/>
              <w:keepLines w:val="0"/>
              <w:pageBreakBefore w:val="0"/>
              <w:widowControl w:val="0"/>
              <w:kinsoku/>
              <w:wordWrap/>
              <w:overflowPunct/>
              <w:topLinePunct w:val="0"/>
              <w:autoSpaceDE w:val="0"/>
              <w:autoSpaceDN/>
              <w:bidi w:val="0"/>
              <w:adjustRightInd w:val="0"/>
              <w:snapToGrid/>
              <w:spacing w:line="400" w:lineRule="exact"/>
              <w:jc w:val="center"/>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000000"/>
                <w:sz w:val="24"/>
                <w:szCs w:val="24"/>
              </w:rPr>
              <w:t>18</w:t>
            </w:r>
          </w:p>
        </w:tc>
        <w:tc>
          <w:tcPr>
            <w:tcW w:w="1899" w:type="dxa"/>
            <w:tcBorders>
              <w:top w:val="single" w:color="000000" w:sz="8" w:space="0"/>
              <w:left w:val="single" w:color="000000" w:sz="2" w:space="0"/>
              <w:bottom w:val="single" w:color="000000" w:sz="8" w:space="0"/>
              <w:right w:val="single" w:color="000000" w:sz="8" w:space="0"/>
            </w:tcBorders>
            <w:vAlign w:val="center"/>
          </w:tcPr>
          <w:p w14:paraId="78685B0F">
            <w:pPr>
              <w:keepNext w:val="0"/>
              <w:keepLines w:val="0"/>
              <w:pageBreakBefore w:val="0"/>
              <w:widowControl w:val="0"/>
              <w:kinsoku/>
              <w:wordWrap/>
              <w:overflowPunct/>
              <w:topLinePunct w:val="0"/>
              <w:autoSpaceDE w:val="0"/>
              <w:autoSpaceDN/>
              <w:bidi w:val="0"/>
              <w:adjustRightInd w:val="0"/>
              <w:snapToGrid/>
              <w:spacing w:line="400" w:lineRule="exact"/>
              <w:jc w:val="left"/>
              <w:textAlignment w:val="auto"/>
              <w:rPr>
                <w:rFonts w:ascii="宋体" w:hAnsi="宋体" w:cs="宋体"/>
                <w:b/>
                <w:color w:val="auto"/>
                <w:sz w:val="24"/>
                <w:highlight w:val="none"/>
              </w:rPr>
            </w:pPr>
            <w:r>
              <w:rPr>
                <w:color w:val="000000"/>
                <w:sz w:val="24"/>
                <w:szCs w:val="24"/>
              </w:rPr>
              <w:t>质疑联系方式</w:t>
            </w:r>
          </w:p>
        </w:tc>
        <w:tc>
          <w:tcPr>
            <w:tcW w:w="6422" w:type="dxa"/>
            <w:tcBorders>
              <w:top w:val="single" w:color="000000" w:sz="8" w:space="0"/>
              <w:left w:val="single" w:color="000000" w:sz="2" w:space="0"/>
              <w:bottom w:val="single" w:color="000000" w:sz="8" w:space="0"/>
              <w:right w:val="single" w:color="000000" w:sz="8" w:space="0"/>
            </w:tcBorders>
            <w:vAlign w:val="center"/>
          </w:tcPr>
          <w:p w14:paraId="7DE972AD">
            <w:pPr>
              <w:keepNext w:val="0"/>
              <w:keepLines w:val="0"/>
              <w:pageBreakBefore w:val="0"/>
              <w:widowControl w:val="0"/>
              <w:kinsoku/>
              <w:wordWrap/>
              <w:overflowPunct/>
              <w:topLinePunct w:val="0"/>
              <w:autoSpaceDE w:val="0"/>
              <w:autoSpaceDN/>
              <w:bidi w:val="0"/>
              <w:adjustRightInd w:val="0"/>
              <w:snapToGrid/>
              <w:spacing w:line="400" w:lineRule="exact"/>
              <w:jc w:val="left"/>
              <w:textAlignment w:val="auto"/>
              <w:rPr>
                <w:color w:val="000000"/>
                <w:sz w:val="24"/>
                <w:szCs w:val="24"/>
              </w:rPr>
            </w:pPr>
            <w:r>
              <w:rPr>
                <w:color w:val="000000"/>
                <w:sz w:val="24"/>
                <w:szCs w:val="24"/>
              </w:rPr>
              <w:t>质疑联系人：</w:t>
            </w:r>
            <w:r>
              <w:rPr>
                <w:rFonts w:hint="eastAsia" w:ascii="宋体" w:hAnsi="宋体" w:cs="宋体"/>
                <w:color w:val="auto"/>
                <w:sz w:val="24"/>
                <w:highlight w:val="none"/>
                <w:lang w:val="zh-TW" w:eastAsia="zh-CN"/>
              </w:rPr>
              <w:t>陈堂堂</w:t>
            </w:r>
            <w:r>
              <w:rPr>
                <w:color w:val="000000"/>
                <w:sz w:val="24"/>
                <w:szCs w:val="24"/>
              </w:rPr>
              <w:t> </w:t>
            </w:r>
          </w:p>
          <w:p w14:paraId="125F7692">
            <w:pPr>
              <w:keepNext w:val="0"/>
              <w:keepLines w:val="0"/>
              <w:pageBreakBefore w:val="0"/>
              <w:widowControl w:val="0"/>
              <w:kinsoku/>
              <w:wordWrap/>
              <w:overflowPunct/>
              <w:topLinePunct w:val="0"/>
              <w:autoSpaceDE w:val="0"/>
              <w:autoSpaceDN/>
              <w:bidi w:val="0"/>
              <w:adjustRightInd w:val="0"/>
              <w:snapToGrid/>
              <w:spacing w:line="400" w:lineRule="exact"/>
              <w:jc w:val="left"/>
              <w:textAlignment w:val="auto"/>
              <w:rPr>
                <w:color w:val="000000"/>
                <w:sz w:val="24"/>
                <w:szCs w:val="24"/>
              </w:rPr>
            </w:pPr>
            <w:r>
              <w:rPr>
                <w:color w:val="000000"/>
                <w:sz w:val="24"/>
                <w:szCs w:val="24"/>
              </w:rPr>
              <w:t>质疑联系方式：</w:t>
            </w:r>
            <w:r>
              <w:rPr>
                <w:rFonts w:hint="eastAsia" w:ascii="宋体" w:hAnsi="宋体" w:cs="宋体"/>
                <w:color w:val="auto"/>
                <w:sz w:val="24"/>
                <w:highlight w:val="none"/>
                <w:lang w:val="en-US" w:eastAsia="zh-CN"/>
              </w:rPr>
              <w:t>0579-</w:t>
            </w:r>
            <w:r>
              <w:rPr>
                <w:rFonts w:hint="eastAsia" w:ascii="宋体" w:hAnsi="宋体" w:cs="宋体"/>
                <w:color w:val="auto"/>
                <w:sz w:val="24"/>
                <w:highlight w:val="none"/>
                <w:lang w:val="zh-TW" w:eastAsia="zh-TW"/>
              </w:rPr>
              <w:t>8</w:t>
            </w:r>
            <w:r>
              <w:rPr>
                <w:rFonts w:hint="eastAsia" w:ascii="宋体" w:hAnsi="宋体" w:cs="宋体"/>
                <w:color w:val="auto"/>
                <w:sz w:val="24"/>
                <w:highlight w:val="none"/>
                <w:lang w:val="en-US" w:eastAsia="zh-CN"/>
              </w:rPr>
              <w:t>5116050</w:t>
            </w:r>
            <w:r>
              <w:rPr>
                <w:color w:val="000000"/>
                <w:sz w:val="24"/>
                <w:szCs w:val="24"/>
              </w:rPr>
              <w:t>　</w:t>
            </w:r>
          </w:p>
          <w:p w14:paraId="4763AAED">
            <w:pPr>
              <w:keepNext w:val="0"/>
              <w:keepLines w:val="0"/>
              <w:pageBreakBefore w:val="0"/>
              <w:widowControl w:val="0"/>
              <w:kinsoku/>
              <w:wordWrap/>
              <w:overflowPunct/>
              <w:topLinePunct w:val="0"/>
              <w:autoSpaceDE w:val="0"/>
              <w:autoSpaceDN/>
              <w:bidi w:val="0"/>
              <w:adjustRightInd w:val="0"/>
              <w:snapToGrid/>
              <w:spacing w:line="400" w:lineRule="exact"/>
              <w:jc w:val="left"/>
              <w:textAlignment w:val="auto"/>
              <w:rPr>
                <w:rFonts w:hAnsi="宋体" w:cs="宋体"/>
                <w:color w:val="auto"/>
                <w:sz w:val="24"/>
                <w:szCs w:val="24"/>
                <w:highlight w:val="none"/>
              </w:rPr>
            </w:pPr>
            <w:r>
              <w:rPr>
                <w:color w:val="000000"/>
                <w:sz w:val="24"/>
                <w:szCs w:val="24"/>
              </w:rPr>
              <w:t>质疑联系地址：</w:t>
            </w:r>
            <w:r>
              <w:rPr>
                <w:rFonts w:hint="eastAsia" w:ascii="宋体" w:hAnsi="宋体" w:cs="宋体"/>
                <w:color w:val="auto"/>
                <w:sz w:val="24"/>
                <w:highlight w:val="none"/>
                <w:lang w:val="zh-TW" w:eastAsia="zh-CN"/>
              </w:rPr>
              <w:t>义乌市丹溪北路</w:t>
            </w:r>
            <w:r>
              <w:rPr>
                <w:rFonts w:hint="eastAsia" w:ascii="宋体" w:hAnsi="宋体" w:cs="宋体"/>
                <w:color w:val="auto"/>
                <w:sz w:val="24"/>
                <w:highlight w:val="none"/>
                <w:lang w:val="en-US" w:eastAsia="zh-CN"/>
              </w:rPr>
              <w:t>699号</w:t>
            </w:r>
          </w:p>
        </w:tc>
      </w:tr>
      <w:tr w14:paraId="6736C8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81"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08198F04">
            <w:pPr>
              <w:keepNext w:val="0"/>
              <w:keepLines w:val="0"/>
              <w:pageBreakBefore w:val="0"/>
              <w:widowControl w:val="0"/>
              <w:kinsoku/>
              <w:wordWrap/>
              <w:overflowPunct/>
              <w:topLinePunct w:val="0"/>
              <w:autoSpaceDE w:val="0"/>
              <w:autoSpaceDN/>
              <w:bidi w:val="0"/>
              <w:adjustRightInd w:val="0"/>
              <w:snapToGrid/>
              <w:spacing w:line="400" w:lineRule="exact"/>
              <w:jc w:val="center"/>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000000"/>
                <w:sz w:val="24"/>
                <w:szCs w:val="24"/>
              </w:rPr>
              <w:t>1</w:t>
            </w:r>
            <w:r>
              <w:rPr>
                <w:rFonts w:hint="eastAsia" w:asciiTheme="minorEastAsia" w:hAnsiTheme="minorEastAsia" w:eastAsiaTheme="minorEastAsia" w:cstheme="minorEastAsia"/>
                <w:b/>
                <w:bCs/>
                <w:color w:val="000000"/>
                <w:sz w:val="24"/>
                <w:szCs w:val="24"/>
                <w:lang w:val="en-US"/>
              </w:rPr>
              <w:t>9</w:t>
            </w:r>
          </w:p>
        </w:tc>
        <w:tc>
          <w:tcPr>
            <w:tcW w:w="1899" w:type="dxa"/>
            <w:tcBorders>
              <w:top w:val="single" w:color="000000" w:sz="8" w:space="0"/>
              <w:left w:val="single" w:color="000000" w:sz="2" w:space="0"/>
              <w:bottom w:val="single" w:color="000000" w:sz="8" w:space="0"/>
              <w:right w:val="single" w:color="000000" w:sz="8" w:space="0"/>
            </w:tcBorders>
            <w:vAlign w:val="center"/>
          </w:tcPr>
          <w:p w14:paraId="21975274">
            <w:pPr>
              <w:keepNext w:val="0"/>
              <w:keepLines w:val="0"/>
              <w:pageBreakBefore w:val="0"/>
              <w:widowControl w:val="0"/>
              <w:kinsoku/>
              <w:wordWrap/>
              <w:overflowPunct/>
              <w:topLinePunct w:val="0"/>
              <w:autoSpaceDE w:val="0"/>
              <w:autoSpaceDN/>
              <w:bidi w:val="0"/>
              <w:adjustRightInd w:val="0"/>
              <w:snapToGrid/>
              <w:spacing w:line="400" w:lineRule="exact"/>
              <w:jc w:val="left"/>
              <w:textAlignment w:val="auto"/>
              <w:rPr>
                <w:rFonts w:ascii="宋体" w:hAnsi="宋体" w:cs="宋体"/>
                <w:b/>
                <w:color w:val="auto"/>
                <w:sz w:val="24"/>
                <w:highlight w:val="none"/>
              </w:rPr>
            </w:pPr>
            <w:r>
              <w:rPr>
                <w:color w:val="000000"/>
                <w:sz w:val="24"/>
                <w:szCs w:val="24"/>
              </w:rPr>
              <w:t>同级政府采购监督管理部门</w:t>
            </w:r>
          </w:p>
        </w:tc>
        <w:tc>
          <w:tcPr>
            <w:tcW w:w="6422" w:type="dxa"/>
            <w:tcBorders>
              <w:top w:val="single" w:color="000000" w:sz="8" w:space="0"/>
              <w:left w:val="single" w:color="000000" w:sz="2" w:space="0"/>
              <w:bottom w:val="single" w:color="000000" w:sz="8" w:space="0"/>
              <w:right w:val="single" w:color="000000" w:sz="8" w:space="0"/>
            </w:tcBorders>
            <w:vAlign w:val="center"/>
          </w:tcPr>
          <w:p w14:paraId="73CBD6D8">
            <w:pPr>
              <w:keepNext w:val="0"/>
              <w:keepLines w:val="0"/>
              <w:pageBreakBefore w:val="0"/>
              <w:widowControl w:val="0"/>
              <w:kinsoku/>
              <w:wordWrap/>
              <w:overflowPunct/>
              <w:topLinePunct w:val="0"/>
              <w:autoSpaceDE w:val="0"/>
              <w:autoSpaceDN/>
              <w:bidi w:val="0"/>
              <w:adjustRightInd w:val="0"/>
              <w:snapToGrid/>
              <w:spacing w:line="400" w:lineRule="exact"/>
              <w:jc w:val="left"/>
              <w:textAlignment w:val="auto"/>
              <w:rPr>
                <w:color w:val="000000"/>
                <w:sz w:val="24"/>
                <w:szCs w:val="24"/>
              </w:rPr>
            </w:pPr>
            <w:r>
              <w:rPr>
                <w:color w:val="000000"/>
                <w:sz w:val="24"/>
                <w:szCs w:val="24"/>
              </w:rPr>
              <w:t>名 称：义乌市财政局</w:t>
            </w:r>
          </w:p>
          <w:p w14:paraId="7AB6B03D">
            <w:pPr>
              <w:keepNext w:val="0"/>
              <w:keepLines w:val="0"/>
              <w:pageBreakBefore w:val="0"/>
              <w:widowControl w:val="0"/>
              <w:kinsoku/>
              <w:wordWrap/>
              <w:overflowPunct/>
              <w:topLinePunct w:val="0"/>
              <w:autoSpaceDE w:val="0"/>
              <w:autoSpaceDN/>
              <w:bidi w:val="0"/>
              <w:adjustRightInd w:val="0"/>
              <w:snapToGrid/>
              <w:spacing w:line="400" w:lineRule="exact"/>
              <w:jc w:val="left"/>
              <w:textAlignment w:val="auto"/>
              <w:rPr>
                <w:color w:val="000000"/>
                <w:sz w:val="24"/>
                <w:szCs w:val="24"/>
              </w:rPr>
            </w:pPr>
            <w:r>
              <w:rPr>
                <w:color w:val="000000"/>
                <w:sz w:val="24"/>
                <w:szCs w:val="24"/>
              </w:rPr>
              <w:t>联系人：</w:t>
            </w:r>
            <w:r>
              <w:rPr>
                <w:rFonts w:hint="eastAsia"/>
                <w:color w:val="000000"/>
                <w:sz w:val="24"/>
                <w:szCs w:val="24"/>
                <w:lang w:eastAsia="zh-CN"/>
              </w:rPr>
              <w:t>王</w:t>
            </w:r>
            <w:r>
              <w:rPr>
                <w:color w:val="000000"/>
                <w:sz w:val="24"/>
                <w:szCs w:val="24"/>
              </w:rPr>
              <w:t>女士</w:t>
            </w:r>
          </w:p>
          <w:p w14:paraId="7BC1077E">
            <w:pPr>
              <w:keepNext w:val="0"/>
              <w:keepLines w:val="0"/>
              <w:pageBreakBefore w:val="0"/>
              <w:widowControl w:val="0"/>
              <w:kinsoku/>
              <w:wordWrap/>
              <w:overflowPunct/>
              <w:topLinePunct w:val="0"/>
              <w:autoSpaceDE w:val="0"/>
              <w:autoSpaceDN/>
              <w:bidi w:val="0"/>
              <w:adjustRightInd w:val="0"/>
              <w:snapToGrid/>
              <w:spacing w:line="400" w:lineRule="exact"/>
              <w:jc w:val="left"/>
              <w:textAlignment w:val="auto"/>
              <w:rPr>
                <w:rFonts w:hAnsi="宋体" w:cs="宋体"/>
                <w:color w:val="auto"/>
                <w:sz w:val="24"/>
                <w:szCs w:val="24"/>
                <w:highlight w:val="none"/>
              </w:rPr>
            </w:pPr>
            <w:r>
              <w:rPr>
                <w:color w:val="000000"/>
                <w:sz w:val="24"/>
                <w:szCs w:val="24"/>
              </w:rPr>
              <w:t>监督投诉电话：</w:t>
            </w:r>
            <w:r>
              <w:rPr>
                <w:rFonts w:hint="eastAsia" w:ascii="宋体" w:hAnsi="宋体" w:eastAsia="宋体" w:cs="宋体"/>
                <w:color w:val="auto"/>
                <w:sz w:val="24"/>
                <w:highlight w:val="none"/>
                <w:lang w:val="zh-TW" w:eastAsia="zh-CN"/>
              </w:rPr>
              <w:t>0579-899150</w:t>
            </w:r>
            <w:r>
              <w:rPr>
                <w:rFonts w:hint="eastAsia" w:ascii="宋体" w:hAnsi="宋体" w:eastAsia="宋体" w:cs="宋体"/>
                <w:color w:val="auto"/>
                <w:sz w:val="24"/>
                <w:highlight w:val="none"/>
                <w:lang w:val="en-US" w:eastAsia="zh-CN"/>
              </w:rPr>
              <w:t>66</w:t>
            </w:r>
          </w:p>
        </w:tc>
      </w:tr>
      <w:bookmarkEnd w:id="13"/>
    </w:tbl>
    <w:p w14:paraId="0713667C">
      <w:pPr>
        <w:keepNext w:val="0"/>
        <w:keepLines w:val="0"/>
        <w:pageBreakBefore w:val="0"/>
        <w:widowControl w:val="0"/>
        <w:kinsoku/>
        <w:wordWrap/>
        <w:overflowPunct/>
        <w:topLinePunct w:val="0"/>
        <w:autoSpaceDN/>
        <w:bidi w:val="0"/>
        <w:adjustRightInd w:val="0"/>
        <w:snapToGrid/>
        <w:spacing w:line="400" w:lineRule="exact"/>
        <w:textAlignment w:val="auto"/>
        <w:rPr>
          <w:rFonts w:ascii="仿宋" w:hAnsi="仿宋" w:eastAsia="仿宋" w:cs="仿宋_GB2312"/>
          <w:b/>
          <w:color w:val="auto"/>
          <w:sz w:val="32"/>
          <w:szCs w:val="20"/>
          <w:highlight w:val="none"/>
        </w:rPr>
      </w:pPr>
      <w:bookmarkStart w:id="55" w:name="_Toc164416483"/>
      <w:bookmarkStart w:id="56" w:name="第三部分"/>
      <w:r>
        <w:rPr>
          <w:rFonts w:hint="eastAsia" w:ascii="仿宋" w:hAnsi="仿宋" w:eastAsia="仿宋" w:cs="仿宋_GB2312"/>
          <w:b/>
          <w:color w:val="auto"/>
          <w:sz w:val="32"/>
          <w:szCs w:val="20"/>
          <w:highlight w:val="none"/>
        </w:rPr>
        <w:br w:type="page"/>
      </w:r>
    </w:p>
    <w:bookmarkEnd w:id="55"/>
    <w:bookmarkEnd w:id="56"/>
    <w:p w14:paraId="1366F0FD">
      <w:pPr>
        <w:bidi w:val="0"/>
        <w:jc w:val="center"/>
        <w:rPr>
          <w:rFonts w:hint="eastAsia" w:ascii="国标黑体" w:hAnsi="国标黑体" w:eastAsia="国标黑体" w:cs="国标黑体"/>
          <w:b/>
          <w:bCs/>
          <w:sz w:val="32"/>
          <w:szCs w:val="32"/>
        </w:rPr>
      </w:pPr>
      <w:bookmarkStart w:id="57" w:name="_Toc184308091"/>
      <w:bookmarkEnd w:id="57"/>
      <w:bookmarkStart w:id="58" w:name="_Toc184313281"/>
      <w:bookmarkEnd w:id="58"/>
      <w:bookmarkStart w:id="59" w:name="_Toc184313265"/>
      <w:bookmarkEnd w:id="59"/>
      <w:bookmarkStart w:id="60" w:name="_Toc184313283"/>
      <w:bookmarkEnd w:id="60"/>
      <w:bookmarkStart w:id="61" w:name="_Toc184313295"/>
      <w:bookmarkEnd w:id="61"/>
      <w:bookmarkStart w:id="62" w:name="_Toc184314436"/>
      <w:bookmarkEnd w:id="62"/>
      <w:bookmarkStart w:id="63" w:name="_Toc184310284"/>
      <w:bookmarkEnd w:id="63"/>
      <w:bookmarkStart w:id="64" w:name="_Toc184314410"/>
      <w:bookmarkEnd w:id="64"/>
      <w:bookmarkStart w:id="65" w:name="_Toc184313291"/>
      <w:bookmarkEnd w:id="65"/>
      <w:bookmarkStart w:id="66" w:name="_Toc184313250"/>
      <w:bookmarkEnd w:id="66"/>
      <w:bookmarkStart w:id="67" w:name="_Toc184310344"/>
      <w:bookmarkEnd w:id="67"/>
      <w:bookmarkStart w:id="68" w:name="_Toc184314465"/>
      <w:bookmarkEnd w:id="68"/>
      <w:bookmarkStart w:id="69" w:name="_Toc184310296"/>
      <w:bookmarkEnd w:id="69"/>
      <w:bookmarkStart w:id="70" w:name="_Toc184312132"/>
      <w:bookmarkEnd w:id="70"/>
      <w:bookmarkStart w:id="71" w:name="_Toc184314418"/>
      <w:bookmarkEnd w:id="71"/>
      <w:bookmarkStart w:id="72" w:name="_Toc184313270"/>
      <w:bookmarkEnd w:id="72"/>
      <w:bookmarkStart w:id="73" w:name="_Toc184314429"/>
      <w:bookmarkEnd w:id="73"/>
      <w:bookmarkStart w:id="74" w:name="_Toc184313309"/>
      <w:bookmarkEnd w:id="74"/>
      <w:bookmarkStart w:id="75" w:name="_Toc184310276"/>
      <w:bookmarkEnd w:id="75"/>
      <w:bookmarkStart w:id="76" w:name="_Toc184310303"/>
      <w:bookmarkEnd w:id="76"/>
      <w:bookmarkStart w:id="77" w:name="_Toc184312130"/>
      <w:bookmarkEnd w:id="77"/>
      <w:bookmarkStart w:id="78" w:name="_Toc184314433"/>
      <w:bookmarkEnd w:id="78"/>
      <w:bookmarkStart w:id="79" w:name="_Toc184310291"/>
      <w:bookmarkEnd w:id="79"/>
      <w:bookmarkStart w:id="80" w:name="_Toc184312110"/>
      <w:bookmarkEnd w:id="80"/>
      <w:bookmarkStart w:id="81" w:name="_Toc184310331"/>
      <w:bookmarkEnd w:id="81"/>
      <w:bookmarkStart w:id="82" w:name="_Toc184312112"/>
      <w:bookmarkEnd w:id="82"/>
      <w:bookmarkStart w:id="83" w:name="_Toc184308084"/>
      <w:bookmarkEnd w:id="83"/>
      <w:bookmarkStart w:id="84" w:name="_Toc184308046"/>
      <w:bookmarkEnd w:id="84"/>
      <w:bookmarkStart w:id="85" w:name="_Toc184314445"/>
      <w:bookmarkEnd w:id="85"/>
      <w:bookmarkStart w:id="86" w:name="_Toc184314475"/>
      <w:bookmarkEnd w:id="86"/>
      <w:bookmarkStart w:id="87" w:name="_Toc184310342"/>
      <w:bookmarkEnd w:id="87"/>
      <w:bookmarkStart w:id="88" w:name="_Toc184310278"/>
      <w:bookmarkEnd w:id="88"/>
      <w:bookmarkStart w:id="89" w:name="_Toc184313297"/>
      <w:bookmarkEnd w:id="89"/>
      <w:bookmarkStart w:id="90" w:name="_Toc184312073"/>
      <w:bookmarkEnd w:id="90"/>
      <w:bookmarkStart w:id="91" w:name="_Toc184313271"/>
      <w:bookmarkEnd w:id="91"/>
      <w:bookmarkStart w:id="92" w:name="_Toc184312091"/>
      <w:bookmarkEnd w:id="92"/>
      <w:bookmarkStart w:id="93" w:name="_Toc184314448"/>
      <w:bookmarkEnd w:id="93"/>
      <w:bookmarkStart w:id="94" w:name="_Toc184313293"/>
      <w:bookmarkEnd w:id="94"/>
      <w:bookmarkStart w:id="95" w:name="_Toc184308042"/>
      <w:bookmarkEnd w:id="95"/>
      <w:bookmarkStart w:id="96" w:name="_Toc184312131"/>
      <w:bookmarkEnd w:id="96"/>
      <w:bookmarkStart w:id="97" w:name="_Toc184314469"/>
      <w:bookmarkEnd w:id="97"/>
      <w:bookmarkStart w:id="98" w:name="_Toc184313284"/>
      <w:bookmarkEnd w:id="98"/>
      <w:bookmarkStart w:id="99" w:name="_Toc184313255"/>
      <w:bookmarkEnd w:id="99"/>
      <w:bookmarkStart w:id="100" w:name="_Toc184308045"/>
      <w:bookmarkEnd w:id="100"/>
      <w:bookmarkStart w:id="101" w:name="_Toc184313257"/>
      <w:bookmarkEnd w:id="101"/>
      <w:bookmarkStart w:id="102" w:name="_Toc184310294"/>
      <w:bookmarkEnd w:id="102"/>
      <w:bookmarkStart w:id="103" w:name="_Toc184310329"/>
      <w:bookmarkEnd w:id="103"/>
      <w:bookmarkStart w:id="104" w:name="_Toc184308048"/>
      <w:bookmarkEnd w:id="104"/>
      <w:bookmarkStart w:id="105" w:name="_Toc184313249"/>
      <w:bookmarkEnd w:id="105"/>
      <w:bookmarkStart w:id="106" w:name="_Toc184314462"/>
      <w:bookmarkEnd w:id="106"/>
      <w:bookmarkStart w:id="107" w:name="_Toc184313308"/>
      <w:bookmarkEnd w:id="107"/>
      <w:bookmarkStart w:id="108" w:name="_Toc184312138"/>
      <w:bookmarkEnd w:id="108"/>
      <w:bookmarkStart w:id="109" w:name="_Toc184310300"/>
      <w:bookmarkEnd w:id="109"/>
      <w:bookmarkStart w:id="110" w:name="_Toc184313264"/>
      <w:bookmarkEnd w:id="110"/>
      <w:bookmarkStart w:id="111" w:name="_Toc184314447"/>
      <w:bookmarkEnd w:id="111"/>
      <w:bookmarkStart w:id="112" w:name="_Toc184310319"/>
      <w:bookmarkEnd w:id="112"/>
      <w:bookmarkStart w:id="113" w:name="_Toc184308040"/>
      <w:bookmarkEnd w:id="113"/>
      <w:bookmarkStart w:id="114" w:name="_Toc184313262"/>
      <w:bookmarkEnd w:id="114"/>
      <w:bookmarkStart w:id="115" w:name="_Toc184308098"/>
      <w:bookmarkEnd w:id="115"/>
      <w:bookmarkStart w:id="116" w:name="_Toc184310306"/>
      <w:bookmarkEnd w:id="116"/>
      <w:bookmarkStart w:id="117" w:name="_Toc184308088"/>
      <w:bookmarkEnd w:id="117"/>
      <w:bookmarkStart w:id="118" w:name="_Toc184314471"/>
      <w:bookmarkEnd w:id="118"/>
      <w:bookmarkStart w:id="119" w:name="_Toc184314470"/>
      <w:bookmarkEnd w:id="119"/>
      <w:bookmarkStart w:id="120" w:name="_Toc184310297"/>
      <w:bookmarkEnd w:id="120"/>
      <w:bookmarkStart w:id="121" w:name="_Toc184312129"/>
      <w:bookmarkEnd w:id="121"/>
      <w:bookmarkStart w:id="122" w:name="_Toc184308062"/>
      <w:bookmarkEnd w:id="122"/>
      <w:bookmarkStart w:id="123" w:name="_Toc184310290"/>
      <w:bookmarkEnd w:id="123"/>
      <w:bookmarkStart w:id="124" w:name="_Toc184313244"/>
      <w:bookmarkEnd w:id="124"/>
      <w:bookmarkStart w:id="125" w:name="_Toc184312069"/>
      <w:bookmarkEnd w:id="125"/>
      <w:bookmarkStart w:id="126" w:name="_Toc184310289"/>
      <w:bookmarkEnd w:id="126"/>
      <w:bookmarkStart w:id="127" w:name="_Toc184312114"/>
      <w:bookmarkEnd w:id="127"/>
      <w:bookmarkStart w:id="128" w:name="_Toc184313272"/>
      <w:bookmarkEnd w:id="128"/>
      <w:bookmarkStart w:id="129" w:name="_Toc184312092"/>
      <w:bookmarkEnd w:id="129"/>
      <w:bookmarkStart w:id="130" w:name="_Toc184314437"/>
      <w:bookmarkEnd w:id="130"/>
      <w:bookmarkStart w:id="131" w:name="_Toc184313277"/>
      <w:bookmarkEnd w:id="131"/>
      <w:bookmarkStart w:id="132" w:name="_Toc184308037"/>
      <w:bookmarkEnd w:id="132"/>
      <w:bookmarkStart w:id="133" w:name="_Toc184308059"/>
      <w:bookmarkEnd w:id="133"/>
      <w:bookmarkStart w:id="134" w:name="_Toc184312107"/>
      <w:bookmarkEnd w:id="134"/>
      <w:bookmarkStart w:id="135" w:name="_Toc184313243"/>
      <w:bookmarkEnd w:id="135"/>
      <w:bookmarkStart w:id="136" w:name="_Toc184308036"/>
      <w:bookmarkEnd w:id="136"/>
      <w:bookmarkStart w:id="137" w:name="_Toc184313288"/>
      <w:bookmarkEnd w:id="137"/>
      <w:bookmarkStart w:id="138" w:name="_Toc184310320"/>
      <w:bookmarkEnd w:id="138"/>
      <w:bookmarkStart w:id="139" w:name="_Toc184310309"/>
      <w:bookmarkEnd w:id="139"/>
      <w:bookmarkStart w:id="140" w:name="_Toc184313273"/>
      <w:bookmarkEnd w:id="140"/>
      <w:bookmarkStart w:id="141" w:name="_Toc184308058"/>
      <w:bookmarkEnd w:id="141"/>
      <w:bookmarkStart w:id="142" w:name="_Toc184313285"/>
      <w:bookmarkEnd w:id="142"/>
      <w:bookmarkStart w:id="143" w:name="_Toc184313296"/>
      <w:bookmarkEnd w:id="143"/>
      <w:bookmarkStart w:id="144" w:name="_Toc184308070"/>
      <w:bookmarkEnd w:id="144"/>
      <w:bookmarkStart w:id="145" w:name="_Toc184310308"/>
      <w:bookmarkEnd w:id="145"/>
      <w:bookmarkStart w:id="146" w:name="_Toc184312093"/>
      <w:bookmarkEnd w:id="146"/>
      <w:bookmarkStart w:id="147" w:name="_Toc184312133"/>
      <w:bookmarkEnd w:id="147"/>
      <w:bookmarkStart w:id="148" w:name="_Toc184312116"/>
      <w:bookmarkEnd w:id="148"/>
      <w:bookmarkStart w:id="149" w:name="_Toc184314458"/>
      <w:bookmarkEnd w:id="149"/>
      <w:bookmarkStart w:id="150" w:name="_Toc184308089"/>
      <w:bookmarkEnd w:id="150"/>
      <w:bookmarkStart w:id="151" w:name="_Toc184314467"/>
      <w:bookmarkEnd w:id="151"/>
      <w:bookmarkStart w:id="152" w:name="_Toc184312126"/>
      <w:bookmarkEnd w:id="152"/>
      <w:bookmarkStart w:id="153" w:name="_Toc184314472"/>
      <w:bookmarkEnd w:id="153"/>
      <w:bookmarkStart w:id="154" w:name="_Toc184313286"/>
      <w:bookmarkEnd w:id="154"/>
      <w:bookmarkStart w:id="155" w:name="_Toc184313298"/>
      <w:bookmarkEnd w:id="155"/>
      <w:bookmarkStart w:id="156" w:name="_Toc184310327"/>
      <w:bookmarkEnd w:id="156"/>
      <w:bookmarkStart w:id="157" w:name="_Toc184308097"/>
      <w:bookmarkEnd w:id="157"/>
      <w:bookmarkStart w:id="158" w:name="_Toc184314422"/>
      <w:bookmarkEnd w:id="158"/>
      <w:bookmarkStart w:id="159" w:name="_Toc184314446"/>
      <w:bookmarkEnd w:id="159"/>
      <w:bookmarkStart w:id="160" w:name="_Toc184314441"/>
      <w:bookmarkEnd w:id="160"/>
      <w:bookmarkStart w:id="161" w:name="_Toc184308103"/>
      <w:bookmarkEnd w:id="161"/>
      <w:bookmarkStart w:id="162" w:name="_Toc184314442"/>
      <w:bookmarkEnd w:id="162"/>
      <w:bookmarkStart w:id="163" w:name="_Toc184312072"/>
      <w:bookmarkEnd w:id="163"/>
      <w:bookmarkStart w:id="164" w:name="_Toc184314454"/>
      <w:bookmarkEnd w:id="164"/>
      <w:bookmarkStart w:id="165" w:name="_Toc184313245"/>
      <w:bookmarkEnd w:id="165"/>
      <w:bookmarkStart w:id="166" w:name="_Toc184312088"/>
      <w:bookmarkEnd w:id="166"/>
      <w:bookmarkStart w:id="167" w:name="_Toc184312100"/>
      <w:bookmarkEnd w:id="167"/>
      <w:bookmarkStart w:id="168" w:name="_Toc184310305"/>
      <w:bookmarkEnd w:id="168"/>
      <w:bookmarkStart w:id="169" w:name="_Toc184308082"/>
      <w:bookmarkEnd w:id="169"/>
      <w:bookmarkStart w:id="170" w:name="_Toc184313240"/>
      <w:bookmarkEnd w:id="170"/>
      <w:bookmarkStart w:id="171" w:name="_Toc184313306"/>
      <w:bookmarkEnd w:id="171"/>
      <w:bookmarkStart w:id="172" w:name="_Toc184313238"/>
      <w:bookmarkEnd w:id="172"/>
      <w:bookmarkStart w:id="173" w:name="_Toc184310330"/>
      <w:bookmarkEnd w:id="173"/>
      <w:bookmarkStart w:id="174" w:name="_Toc184310283"/>
      <w:bookmarkEnd w:id="174"/>
      <w:bookmarkStart w:id="175" w:name="_Toc184313263"/>
      <w:bookmarkEnd w:id="175"/>
      <w:bookmarkStart w:id="176" w:name="_Toc184312136"/>
      <w:bookmarkEnd w:id="176"/>
      <w:bookmarkStart w:id="177" w:name="_Toc184310337"/>
      <w:bookmarkEnd w:id="177"/>
      <w:bookmarkStart w:id="178" w:name="_Toc184314476"/>
      <w:bookmarkEnd w:id="178"/>
      <w:bookmarkStart w:id="179" w:name="_Toc184314415"/>
      <w:bookmarkEnd w:id="179"/>
      <w:bookmarkStart w:id="180" w:name="_Toc184308085"/>
      <w:bookmarkEnd w:id="180"/>
      <w:bookmarkStart w:id="181" w:name="_Toc184312124"/>
      <w:bookmarkEnd w:id="181"/>
      <w:bookmarkStart w:id="182" w:name="_Toc184314450"/>
      <w:bookmarkEnd w:id="182"/>
      <w:bookmarkStart w:id="183" w:name="_Toc184313305"/>
      <w:bookmarkEnd w:id="183"/>
      <w:bookmarkStart w:id="184" w:name="_Toc184314453"/>
      <w:bookmarkEnd w:id="184"/>
      <w:bookmarkStart w:id="185" w:name="_Toc184308060"/>
      <w:bookmarkEnd w:id="185"/>
      <w:bookmarkStart w:id="186" w:name="_Toc184308038"/>
      <w:bookmarkEnd w:id="186"/>
      <w:bookmarkStart w:id="187" w:name="_Toc184314461"/>
      <w:bookmarkEnd w:id="187"/>
      <w:bookmarkStart w:id="188" w:name="_Toc184308049"/>
      <w:bookmarkEnd w:id="188"/>
      <w:bookmarkStart w:id="189" w:name="_Toc184310340"/>
      <w:bookmarkEnd w:id="189"/>
      <w:bookmarkStart w:id="190" w:name="_Toc184310335"/>
      <w:bookmarkEnd w:id="190"/>
      <w:bookmarkStart w:id="191" w:name="_Toc184314474"/>
      <w:bookmarkEnd w:id="191"/>
      <w:bookmarkStart w:id="192" w:name="_Toc184312086"/>
      <w:bookmarkEnd w:id="192"/>
      <w:bookmarkStart w:id="193" w:name="_Toc184314425"/>
      <w:bookmarkEnd w:id="193"/>
      <w:bookmarkStart w:id="194" w:name="_Toc184310279"/>
      <w:bookmarkEnd w:id="194"/>
      <w:bookmarkStart w:id="195" w:name="_Toc184310302"/>
      <w:bookmarkEnd w:id="195"/>
      <w:bookmarkStart w:id="196" w:name="_Toc184314420"/>
      <w:bookmarkEnd w:id="196"/>
      <w:bookmarkStart w:id="197" w:name="_Toc184308057"/>
      <w:bookmarkEnd w:id="197"/>
      <w:bookmarkStart w:id="198" w:name="_Toc184312105"/>
      <w:bookmarkEnd w:id="198"/>
      <w:bookmarkStart w:id="199" w:name="_Toc184310338"/>
      <w:bookmarkEnd w:id="199"/>
      <w:bookmarkStart w:id="200" w:name="_Toc184308080"/>
      <w:bookmarkEnd w:id="200"/>
      <w:bookmarkStart w:id="201" w:name="_Toc184314435"/>
      <w:bookmarkEnd w:id="201"/>
      <w:bookmarkStart w:id="202" w:name="_Toc184313252"/>
      <w:bookmarkEnd w:id="202"/>
      <w:bookmarkStart w:id="203" w:name="_Toc184314480"/>
      <w:bookmarkEnd w:id="203"/>
      <w:bookmarkStart w:id="204" w:name="_Toc184314428"/>
      <w:bookmarkEnd w:id="204"/>
      <w:bookmarkStart w:id="205" w:name="_Toc184312085"/>
      <w:bookmarkEnd w:id="205"/>
      <w:bookmarkStart w:id="206" w:name="_Toc184313282"/>
      <w:bookmarkEnd w:id="206"/>
      <w:bookmarkStart w:id="207" w:name="_Toc184313253"/>
      <w:bookmarkEnd w:id="207"/>
      <w:bookmarkStart w:id="208" w:name="_Toc184312090"/>
      <w:bookmarkEnd w:id="208"/>
      <w:bookmarkStart w:id="209" w:name="_Toc184308100"/>
      <w:bookmarkEnd w:id="209"/>
      <w:bookmarkStart w:id="210" w:name="_Toc184308065"/>
      <w:bookmarkEnd w:id="210"/>
      <w:bookmarkStart w:id="211" w:name="_Toc184312075"/>
      <w:bookmarkEnd w:id="211"/>
      <w:bookmarkStart w:id="212" w:name="_Toc184312102"/>
      <w:bookmarkEnd w:id="212"/>
      <w:bookmarkStart w:id="213" w:name="_Toc184308072"/>
      <w:bookmarkEnd w:id="213"/>
      <w:bookmarkStart w:id="214" w:name="_Toc184314456"/>
      <w:bookmarkEnd w:id="214"/>
      <w:bookmarkStart w:id="215" w:name="_Toc184310339"/>
      <w:bookmarkEnd w:id="215"/>
      <w:bookmarkStart w:id="216" w:name="_Toc184313289"/>
      <w:bookmarkEnd w:id="216"/>
      <w:bookmarkStart w:id="217" w:name="_Toc184308044"/>
      <w:bookmarkEnd w:id="217"/>
      <w:bookmarkStart w:id="218" w:name="_Toc184312122"/>
      <w:bookmarkEnd w:id="218"/>
      <w:bookmarkStart w:id="219" w:name="_Toc184313248"/>
      <w:bookmarkEnd w:id="219"/>
      <w:bookmarkStart w:id="220" w:name="_Toc184312098"/>
      <w:bookmarkEnd w:id="220"/>
      <w:bookmarkStart w:id="221" w:name="_Toc184312082"/>
      <w:bookmarkEnd w:id="221"/>
      <w:bookmarkStart w:id="222" w:name="_Toc184313290"/>
      <w:bookmarkEnd w:id="222"/>
      <w:bookmarkStart w:id="223" w:name="_Toc184313275"/>
      <w:bookmarkEnd w:id="223"/>
      <w:bookmarkStart w:id="224" w:name="_Toc184308063"/>
      <w:bookmarkEnd w:id="224"/>
      <w:bookmarkStart w:id="225" w:name="_Toc184314459"/>
      <w:bookmarkEnd w:id="225"/>
      <w:bookmarkStart w:id="226" w:name="_Toc184314460"/>
      <w:bookmarkEnd w:id="226"/>
      <w:bookmarkStart w:id="227" w:name="_Toc184313260"/>
      <w:bookmarkEnd w:id="227"/>
      <w:bookmarkStart w:id="228" w:name="_Toc184314443"/>
      <w:bookmarkEnd w:id="228"/>
      <w:bookmarkStart w:id="229" w:name="_Toc184310325"/>
      <w:bookmarkEnd w:id="229"/>
      <w:bookmarkStart w:id="230" w:name="_Toc184313274"/>
      <w:bookmarkEnd w:id="230"/>
      <w:bookmarkStart w:id="231" w:name="_Toc184314473"/>
      <w:bookmarkEnd w:id="231"/>
      <w:bookmarkStart w:id="232" w:name="_Toc184312079"/>
      <w:bookmarkEnd w:id="232"/>
      <w:bookmarkStart w:id="233" w:name="_Toc184314423"/>
      <w:bookmarkEnd w:id="233"/>
      <w:bookmarkStart w:id="234" w:name="_Toc184308093"/>
      <w:bookmarkEnd w:id="234"/>
      <w:bookmarkStart w:id="235" w:name="_Toc184312094"/>
      <w:bookmarkEnd w:id="235"/>
      <w:bookmarkStart w:id="236" w:name="_Toc184313261"/>
      <w:bookmarkEnd w:id="236"/>
      <w:bookmarkStart w:id="237" w:name="_Toc184312077"/>
      <w:bookmarkEnd w:id="237"/>
      <w:bookmarkStart w:id="238" w:name="_Toc184314479"/>
      <w:bookmarkEnd w:id="238"/>
      <w:bookmarkStart w:id="239" w:name="_Toc184313239"/>
      <w:bookmarkEnd w:id="239"/>
      <w:bookmarkStart w:id="240" w:name="_Toc184310292"/>
      <w:bookmarkEnd w:id="240"/>
      <w:bookmarkStart w:id="241" w:name="_Toc184310274"/>
      <w:bookmarkEnd w:id="241"/>
      <w:bookmarkStart w:id="242" w:name="_Toc184308077"/>
      <w:bookmarkEnd w:id="242"/>
      <w:bookmarkStart w:id="243" w:name="_Toc184310333"/>
      <w:bookmarkEnd w:id="243"/>
      <w:bookmarkStart w:id="244" w:name="_Toc184310310"/>
      <w:bookmarkEnd w:id="244"/>
      <w:bookmarkStart w:id="245" w:name="_Toc184308076"/>
      <w:bookmarkEnd w:id="245"/>
      <w:bookmarkStart w:id="246" w:name="_Toc184313267"/>
      <w:bookmarkEnd w:id="246"/>
      <w:bookmarkStart w:id="247" w:name="_Toc184310288"/>
      <w:bookmarkEnd w:id="247"/>
      <w:bookmarkStart w:id="248" w:name="_Toc184313247"/>
      <w:bookmarkEnd w:id="248"/>
      <w:bookmarkStart w:id="249" w:name="_Toc184312097"/>
      <w:bookmarkEnd w:id="249"/>
      <w:bookmarkStart w:id="250" w:name="_Toc184308054"/>
      <w:bookmarkEnd w:id="250"/>
      <w:bookmarkStart w:id="251" w:name="_Toc184308053"/>
      <w:bookmarkEnd w:id="251"/>
      <w:bookmarkStart w:id="252" w:name="_Toc184313280"/>
      <w:bookmarkEnd w:id="252"/>
      <w:bookmarkStart w:id="253" w:name="_Toc184308090"/>
      <w:bookmarkEnd w:id="253"/>
      <w:bookmarkStart w:id="254" w:name="_Toc184313294"/>
      <w:bookmarkEnd w:id="254"/>
      <w:bookmarkStart w:id="255" w:name="_Toc184313269"/>
      <w:bookmarkEnd w:id="255"/>
      <w:bookmarkStart w:id="256" w:name="_Toc184310299"/>
      <w:bookmarkEnd w:id="256"/>
      <w:bookmarkStart w:id="257" w:name="_Toc184310282"/>
      <w:bookmarkEnd w:id="257"/>
      <w:bookmarkStart w:id="258" w:name="_Toc184313251"/>
      <w:bookmarkEnd w:id="258"/>
      <w:bookmarkStart w:id="259" w:name="_Toc184308056"/>
      <w:bookmarkEnd w:id="259"/>
      <w:bookmarkStart w:id="260" w:name="_Toc184310295"/>
      <w:bookmarkEnd w:id="260"/>
      <w:bookmarkStart w:id="261" w:name="_Toc184308086"/>
      <w:bookmarkEnd w:id="261"/>
      <w:bookmarkStart w:id="262" w:name="_Toc184308039"/>
      <w:bookmarkEnd w:id="262"/>
      <w:bookmarkStart w:id="263" w:name="_Toc184310301"/>
      <w:bookmarkEnd w:id="263"/>
      <w:bookmarkStart w:id="264" w:name="_Toc184314455"/>
      <w:bookmarkEnd w:id="264"/>
      <w:bookmarkStart w:id="265" w:name="_Toc184310273"/>
      <w:bookmarkEnd w:id="265"/>
      <w:bookmarkStart w:id="266" w:name="_Toc184310304"/>
      <w:bookmarkEnd w:id="266"/>
      <w:bookmarkStart w:id="267" w:name="_Toc184314482"/>
      <w:bookmarkEnd w:id="267"/>
      <w:bookmarkStart w:id="268" w:name="_Toc184313310"/>
      <w:bookmarkEnd w:id="268"/>
      <w:bookmarkStart w:id="269" w:name="_Toc184314412"/>
      <w:bookmarkEnd w:id="269"/>
      <w:bookmarkStart w:id="270" w:name="_Toc184310313"/>
      <w:bookmarkEnd w:id="270"/>
      <w:bookmarkStart w:id="271" w:name="_Toc184308061"/>
      <w:bookmarkEnd w:id="271"/>
      <w:bookmarkStart w:id="272" w:name="_Toc184312071"/>
      <w:bookmarkEnd w:id="272"/>
      <w:bookmarkStart w:id="273" w:name="_Toc184308094"/>
      <w:bookmarkEnd w:id="273"/>
      <w:bookmarkStart w:id="274" w:name="_Toc184314466"/>
      <w:bookmarkEnd w:id="274"/>
      <w:bookmarkStart w:id="275" w:name="_Toc184310312"/>
      <w:bookmarkEnd w:id="275"/>
      <w:bookmarkStart w:id="276" w:name="_Toc184310323"/>
      <w:bookmarkEnd w:id="276"/>
      <w:bookmarkStart w:id="277" w:name="_Toc184314413"/>
      <w:bookmarkEnd w:id="277"/>
      <w:bookmarkStart w:id="278" w:name="_Toc184308106"/>
      <w:bookmarkEnd w:id="278"/>
      <w:bookmarkStart w:id="279" w:name="_Toc184308075"/>
      <w:bookmarkEnd w:id="279"/>
      <w:bookmarkStart w:id="280" w:name="_Toc184312109"/>
      <w:bookmarkEnd w:id="280"/>
      <w:bookmarkStart w:id="281" w:name="_Toc184310281"/>
      <w:bookmarkEnd w:id="281"/>
      <w:bookmarkStart w:id="282" w:name="_Toc184314478"/>
      <w:bookmarkEnd w:id="282"/>
      <w:bookmarkStart w:id="283" w:name="_Toc184313304"/>
      <w:bookmarkEnd w:id="283"/>
      <w:bookmarkStart w:id="284" w:name="_Toc184310341"/>
      <w:bookmarkEnd w:id="284"/>
      <w:bookmarkStart w:id="285" w:name="_Toc184314463"/>
      <w:bookmarkEnd w:id="285"/>
      <w:bookmarkStart w:id="286" w:name="_Toc184310293"/>
      <w:bookmarkEnd w:id="286"/>
      <w:bookmarkStart w:id="287" w:name="_Toc184313301"/>
      <w:bookmarkEnd w:id="287"/>
      <w:bookmarkStart w:id="288" w:name="_Toc184310315"/>
      <w:bookmarkEnd w:id="288"/>
      <w:bookmarkStart w:id="289" w:name="_Toc184314444"/>
      <w:bookmarkEnd w:id="289"/>
      <w:bookmarkStart w:id="290" w:name="_Toc184314430"/>
      <w:bookmarkEnd w:id="290"/>
      <w:bookmarkStart w:id="291" w:name="_Toc184310298"/>
      <w:bookmarkEnd w:id="291"/>
      <w:bookmarkStart w:id="292" w:name="_Toc184308064"/>
      <w:bookmarkEnd w:id="292"/>
      <w:bookmarkStart w:id="293" w:name="_Toc184314477"/>
      <w:bookmarkEnd w:id="293"/>
      <w:bookmarkStart w:id="294" w:name="_Toc184310332"/>
      <w:bookmarkEnd w:id="294"/>
      <w:bookmarkStart w:id="295" w:name="_Toc184308074"/>
      <w:bookmarkEnd w:id="295"/>
      <w:bookmarkStart w:id="296" w:name="_Toc184312118"/>
      <w:bookmarkEnd w:id="296"/>
      <w:bookmarkStart w:id="297" w:name="_Toc184310336"/>
      <w:bookmarkEnd w:id="297"/>
      <w:bookmarkStart w:id="298" w:name="_Toc184308108"/>
      <w:bookmarkEnd w:id="298"/>
      <w:bookmarkStart w:id="299" w:name="_Toc184312096"/>
      <w:bookmarkEnd w:id="299"/>
      <w:bookmarkStart w:id="300" w:name="_Toc184312111"/>
      <w:bookmarkEnd w:id="300"/>
      <w:bookmarkStart w:id="301" w:name="_Toc184313254"/>
      <w:bookmarkEnd w:id="301"/>
      <w:bookmarkStart w:id="302" w:name="_Toc184310311"/>
      <w:bookmarkEnd w:id="302"/>
      <w:bookmarkStart w:id="303" w:name="_Toc184308102"/>
      <w:bookmarkEnd w:id="303"/>
      <w:bookmarkStart w:id="304" w:name="_Toc184314416"/>
      <w:bookmarkEnd w:id="304"/>
      <w:bookmarkStart w:id="305" w:name="_Toc184314414"/>
      <w:bookmarkEnd w:id="305"/>
      <w:bookmarkStart w:id="306" w:name="_Toc184312068"/>
      <w:bookmarkEnd w:id="306"/>
      <w:bookmarkStart w:id="307" w:name="_Toc184308099"/>
      <w:bookmarkEnd w:id="307"/>
      <w:bookmarkStart w:id="308" w:name="_Toc184310275"/>
      <w:bookmarkEnd w:id="308"/>
      <w:bookmarkStart w:id="309" w:name="_Toc184314421"/>
      <w:bookmarkEnd w:id="309"/>
      <w:bookmarkStart w:id="310" w:name="_Toc184313287"/>
      <w:bookmarkEnd w:id="310"/>
      <w:bookmarkStart w:id="311" w:name="_Toc184314431"/>
      <w:bookmarkEnd w:id="311"/>
      <w:bookmarkStart w:id="312" w:name="_Toc184313303"/>
      <w:bookmarkEnd w:id="312"/>
      <w:bookmarkStart w:id="313" w:name="_Toc184312113"/>
      <w:bookmarkEnd w:id="313"/>
      <w:bookmarkStart w:id="314" w:name="_Toc184312128"/>
      <w:bookmarkEnd w:id="314"/>
      <w:bookmarkStart w:id="315" w:name="_Toc184310272"/>
      <w:bookmarkEnd w:id="315"/>
      <w:bookmarkStart w:id="316" w:name="_Toc184310318"/>
      <w:bookmarkEnd w:id="316"/>
      <w:bookmarkStart w:id="317" w:name="_Toc184314419"/>
      <w:bookmarkEnd w:id="317"/>
      <w:bookmarkStart w:id="318" w:name="_Toc184312135"/>
      <w:bookmarkEnd w:id="318"/>
      <w:bookmarkStart w:id="319" w:name="_Toc184308047"/>
      <w:bookmarkEnd w:id="319"/>
      <w:bookmarkStart w:id="320" w:name="_Toc184312089"/>
      <w:bookmarkEnd w:id="320"/>
      <w:bookmarkStart w:id="321" w:name="_Toc184312117"/>
      <w:bookmarkEnd w:id="321"/>
      <w:bookmarkStart w:id="322" w:name="_Toc184313259"/>
      <w:bookmarkEnd w:id="322"/>
      <w:bookmarkStart w:id="323" w:name="_Toc184308052"/>
      <w:bookmarkEnd w:id="323"/>
      <w:bookmarkStart w:id="324" w:name="_Toc184310280"/>
      <w:bookmarkEnd w:id="324"/>
      <w:bookmarkStart w:id="325" w:name="_Toc184314432"/>
      <w:bookmarkEnd w:id="325"/>
      <w:bookmarkStart w:id="326" w:name="_Toc184312119"/>
      <w:bookmarkEnd w:id="326"/>
      <w:bookmarkStart w:id="327" w:name="_Toc184310287"/>
      <w:bookmarkEnd w:id="327"/>
      <w:bookmarkStart w:id="328" w:name="_Toc184314439"/>
      <w:bookmarkEnd w:id="328"/>
      <w:bookmarkStart w:id="329" w:name="_Toc184314411"/>
      <w:bookmarkEnd w:id="329"/>
      <w:bookmarkStart w:id="330" w:name="_Toc184314449"/>
      <w:bookmarkEnd w:id="330"/>
      <w:bookmarkStart w:id="331" w:name="_Toc184308092"/>
      <w:bookmarkEnd w:id="331"/>
      <w:bookmarkStart w:id="332" w:name="_Toc184312127"/>
      <w:bookmarkEnd w:id="332"/>
      <w:bookmarkStart w:id="333" w:name="_Toc184313241"/>
      <w:bookmarkEnd w:id="333"/>
      <w:bookmarkStart w:id="334" w:name="_Toc184312120"/>
      <w:bookmarkEnd w:id="334"/>
      <w:bookmarkStart w:id="335" w:name="_Toc184308073"/>
      <w:bookmarkEnd w:id="335"/>
      <w:bookmarkStart w:id="336" w:name="_Toc184308068"/>
      <w:bookmarkEnd w:id="336"/>
      <w:bookmarkStart w:id="337" w:name="_Toc184310314"/>
      <w:bookmarkEnd w:id="337"/>
      <w:bookmarkStart w:id="338" w:name="_Toc184313276"/>
      <w:bookmarkEnd w:id="338"/>
      <w:bookmarkStart w:id="339" w:name="_Toc184310334"/>
      <w:bookmarkEnd w:id="339"/>
      <w:bookmarkStart w:id="340" w:name="_Toc184313292"/>
      <w:bookmarkEnd w:id="340"/>
      <w:bookmarkStart w:id="341" w:name="_Toc184308079"/>
      <w:bookmarkEnd w:id="341"/>
      <w:bookmarkStart w:id="342" w:name="_Toc184312078"/>
      <w:bookmarkEnd w:id="342"/>
      <w:bookmarkStart w:id="343" w:name="_Toc184313279"/>
      <w:bookmarkEnd w:id="343"/>
      <w:bookmarkStart w:id="344" w:name="_Toc184313256"/>
      <w:bookmarkEnd w:id="344"/>
      <w:bookmarkStart w:id="345" w:name="_Toc184310324"/>
      <w:bookmarkEnd w:id="345"/>
      <w:bookmarkStart w:id="346" w:name="_Toc184314427"/>
      <w:bookmarkEnd w:id="346"/>
      <w:bookmarkStart w:id="347" w:name="_Toc184314438"/>
      <w:bookmarkEnd w:id="347"/>
      <w:bookmarkStart w:id="348" w:name="_Toc184314481"/>
      <w:bookmarkEnd w:id="348"/>
      <w:bookmarkStart w:id="349" w:name="_Toc184312099"/>
      <w:bookmarkEnd w:id="349"/>
      <w:bookmarkStart w:id="350" w:name="_Toc184313266"/>
      <w:bookmarkEnd w:id="350"/>
      <w:bookmarkStart w:id="351" w:name="_Toc184308104"/>
      <w:bookmarkEnd w:id="351"/>
      <w:bookmarkStart w:id="352" w:name="_Toc184308107"/>
      <w:bookmarkEnd w:id="352"/>
      <w:bookmarkStart w:id="353" w:name="_Toc184312067"/>
      <w:bookmarkEnd w:id="353"/>
      <w:bookmarkStart w:id="354" w:name="_Toc184314452"/>
      <w:bookmarkEnd w:id="354"/>
      <w:bookmarkStart w:id="355" w:name="_Toc184308101"/>
      <w:bookmarkEnd w:id="355"/>
      <w:bookmarkStart w:id="356" w:name="_Toc184312087"/>
      <w:bookmarkEnd w:id="356"/>
      <w:bookmarkStart w:id="357" w:name="_Toc184310317"/>
      <w:bookmarkEnd w:id="357"/>
      <w:bookmarkStart w:id="358" w:name="_Toc184314417"/>
      <w:bookmarkEnd w:id="358"/>
      <w:bookmarkStart w:id="359" w:name="_Toc184313299"/>
      <w:bookmarkEnd w:id="359"/>
      <w:bookmarkStart w:id="360" w:name="_Toc184312139"/>
      <w:bookmarkEnd w:id="360"/>
      <w:bookmarkStart w:id="361" w:name="_Toc184313307"/>
      <w:bookmarkEnd w:id="361"/>
      <w:bookmarkStart w:id="362" w:name="_Toc184312137"/>
      <w:bookmarkEnd w:id="362"/>
      <w:bookmarkStart w:id="363" w:name="_Toc184314440"/>
      <w:bookmarkEnd w:id="363"/>
      <w:bookmarkStart w:id="364" w:name="_Toc184310322"/>
      <w:bookmarkEnd w:id="364"/>
      <w:bookmarkStart w:id="365" w:name="_Toc184308096"/>
      <w:bookmarkEnd w:id="365"/>
      <w:bookmarkStart w:id="366" w:name="_Toc184312084"/>
      <w:bookmarkEnd w:id="366"/>
      <w:bookmarkStart w:id="367" w:name="_Toc184312106"/>
      <w:bookmarkEnd w:id="367"/>
      <w:bookmarkStart w:id="368" w:name="_Toc184312103"/>
      <w:bookmarkEnd w:id="368"/>
      <w:bookmarkStart w:id="369" w:name="_Toc184314464"/>
      <w:bookmarkEnd w:id="369"/>
      <w:bookmarkStart w:id="370" w:name="_Toc184314434"/>
      <w:bookmarkEnd w:id="370"/>
      <w:bookmarkStart w:id="371" w:name="_Toc184308050"/>
      <w:bookmarkEnd w:id="371"/>
      <w:bookmarkStart w:id="372" w:name="_Toc184312076"/>
      <w:bookmarkEnd w:id="372"/>
      <w:bookmarkStart w:id="373" w:name="_Toc184312125"/>
      <w:bookmarkEnd w:id="373"/>
      <w:bookmarkStart w:id="374" w:name="_Toc184310316"/>
      <w:bookmarkEnd w:id="374"/>
      <w:bookmarkStart w:id="375" w:name="_Toc184313242"/>
      <w:bookmarkEnd w:id="375"/>
      <w:bookmarkStart w:id="376" w:name="_Toc184312101"/>
      <w:bookmarkEnd w:id="376"/>
      <w:bookmarkStart w:id="377" w:name="_Toc184312070"/>
      <w:bookmarkEnd w:id="377"/>
      <w:bookmarkStart w:id="378" w:name="_Toc184314457"/>
      <w:bookmarkEnd w:id="378"/>
      <w:bookmarkStart w:id="379" w:name="_Toc184308095"/>
      <w:bookmarkEnd w:id="379"/>
      <w:bookmarkStart w:id="380" w:name="_Toc184312083"/>
      <w:bookmarkEnd w:id="380"/>
      <w:bookmarkStart w:id="381" w:name="_Toc184310326"/>
      <w:bookmarkEnd w:id="381"/>
      <w:bookmarkStart w:id="382" w:name="_Toc184308078"/>
      <w:bookmarkEnd w:id="382"/>
      <w:bookmarkStart w:id="383" w:name="_Toc184310286"/>
      <w:bookmarkEnd w:id="383"/>
      <w:bookmarkStart w:id="384" w:name="_Toc184312080"/>
      <w:bookmarkEnd w:id="384"/>
      <w:bookmarkStart w:id="385" w:name="_Toc184308069"/>
      <w:bookmarkEnd w:id="385"/>
      <w:bookmarkStart w:id="386" w:name="_Toc184314451"/>
      <w:bookmarkEnd w:id="386"/>
      <w:bookmarkStart w:id="387" w:name="_Toc184312123"/>
      <w:bookmarkEnd w:id="387"/>
      <w:bookmarkStart w:id="388" w:name="_Toc184312121"/>
      <w:bookmarkEnd w:id="388"/>
      <w:bookmarkStart w:id="389" w:name="_Toc184308083"/>
      <w:bookmarkEnd w:id="389"/>
      <w:bookmarkStart w:id="390" w:name="_Toc184314424"/>
      <w:bookmarkEnd w:id="390"/>
      <w:bookmarkStart w:id="391" w:name="_Toc184313278"/>
      <w:bookmarkEnd w:id="391"/>
      <w:bookmarkStart w:id="392" w:name="_Toc184313302"/>
      <w:bookmarkEnd w:id="392"/>
      <w:bookmarkStart w:id="393" w:name="_Toc184308043"/>
      <w:bookmarkEnd w:id="393"/>
      <w:bookmarkStart w:id="394" w:name="_Toc184308081"/>
      <w:bookmarkEnd w:id="394"/>
      <w:bookmarkStart w:id="395" w:name="_Toc184310321"/>
      <w:bookmarkEnd w:id="395"/>
      <w:bookmarkStart w:id="396" w:name="_Toc184312115"/>
      <w:bookmarkEnd w:id="396"/>
      <w:bookmarkStart w:id="397" w:name="_Toc184308087"/>
      <w:bookmarkEnd w:id="397"/>
      <w:bookmarkStart w:id="398" w:name="_Toc184310343"/>
      <w:bookmarkEnd w:id="398"/>
      <w:bookmarkStart w:id="399" w:name="_Toc184312104"/>
      <w:bookmarkEnd w:id="399"/>
      <w:bookmarkStart w:id="400" w:name="_Toc184310285"/>
      <w:bookmarkEnd w:id="400"/>
      <w:bookmarkStart w:id="401" w:name="_Toc184312074"/>
      <w:bookmarkEnd w:id="401"/>
      <w:bookmarkStart w:id="402" w:name="_Toc184308055"/>
      <w:bookmarkEnd w:id="402"/>
      <w:bookmarkStart w:id="403" w:name="_Toc184308071"/>
      <w:bookmarkEnd w:id="403"/>
      <w:bookmarkStart w:id="404" w:name="_Toc184312108"/>
      <w:bookmarkEnd w:id="404"/>
      <w:bookmarkStart w:id="405" w:name="_Toc184314426"/>
      <w:bookmarkEnd w:id="405"/>
      <w:bookmarkStart w:id="406" w:name="_Toc184308051"/>
      <w:bookmarkEnd w:id="406"/>
      <w:bookmarkStart w:id="407" w:name="_Toc184310307"/>
      <w:bookmarkEnd w:id="407"/>
      <w:bookmarkStart w:id="408" w:name="_Toc184313268"/>
      <w:bookmarkEnd w:id="408"/>
      <w:bookmarkStart w:id="409" w:name="_Toc184312081"/>
      <w:bookmarkEnd w:id="409"/>
      <w:bookmarkStart w:id="410" w:name="_Toc184310277"/>
      <w:bookmarkEnd w:id="410"/>
      <w:bookmarkStart w:id="411" w:name="_Toc184308067"/>
      <w:bookmarkEnd w:id="411"/>
      <w:bookmarkStart w:id="412" w:name="_Toc184313246"/>
      <w:bookmarkEnd w:id="412"/>
      <w:bookmarkStart w:id="413" w:name="_Toc184314468"/>
      <w:bookmarkEnd w:id="413"/>
      <w:bookmarkStart w:id="414" w:name="_Toc184310328"/>
      <w:bookmarkEnd w:id="414"/>
      <w:bookmarkStart w:id="415" w:name="_Toc184313300"/>
      <w:bookmarkEnd w:id="415"/>
      <w:bookmarkStart w:id="416" w:name="_Toc184312134"/>
      <w:bookmarkEnd w:id="416"/>
      <w:bookmarkStart w:id="417" w:name="_Toc184313258"/>
      <w:bookmarkEnd w:id="417"/>
      <w:bookmarkStart w:id="418" w:name="_Toc184308105"/>
      <w:bookmarkEnd w:id="418"/>
      <w:bookmarkStart w:id="419" w:name="_Toc184308041"/>
      <w:bookmarkEnd w:id="419"/>
      <w:bookmarkStart w:id="420" w:name="_Toc184308066"/>
      <w:bookmarkEnd w:id="420"/>
      <w:bookmarkStart w:id="421" w:name="_Toc184312095"/>
      <w:bookmarkEnd w:id="421"/>
      <w:bookmarkStart w:id="422" w:name="_Toc32134"/>
      <w:bookmarkStart w:id="423" w:name="_Toc28844"/>
      <w:bookmarkStart w:id="424" w:name="_Toc324"/>
      <w:bookmarkStart w:id="425" w:name="_Toc5081"/>
      <w:bookmarkStart w:id="426" w:name="_Toc26722"/>
      <w:bookmarkStart w:id="427" w:name="_Toc13398"/>
      <w:bookmarkStart w:id="428" w:name="_Toc24799"/>
      <w:bookmarkStart w:id="429" w:name="_Toc6657"/>
      <w:bookmarkStart w:id="430" w:name="_Toc4351"/>
      <w:bookmarkStart w:id="431" w:name="_Toc22598"/>
      <w:bookmarkStart w:id="432" w:name="_Toc10932"/>
      <w:bookmarkStart w:id="433" w:name="_Toc70773101"/>
      <w:bookmarkStart w:id="434" w:name="第四部分"/>
      <w:r>
        <w:rPr>
          <w:rFonts w:hint="eastAsia" w:ascii="国标黑体" w:hAnsi="国标黑体" w:eastAsia="国标黑体" w:cs="国标黑体"/>
          <w:b/>
          <w:bCs/>
          <w:sz w:val="32"/>
          <w:szCs w:val="32"/>
        </w:rPr>
        <w:t>总则</w:t>
      </w:r>
    </w:p>
    <w:p w14:paraId="477C5938">
      <w:pPr>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textAlignment w:val="auto"/>
        <w:rPr>
          <w:rFonts w:ascii="宋体" w:hAnsi="宋体" w:cs="宋体"/>
          <w:b/>
          <w:color w:val="auto"/>
          <w:sz w:val="24"/>
          <w:highlight w:val="none"/>
        </w:rPr>
      </w:pPr>
      <w:r>
        <w:rPr>
          <w:rFonts w:hint="eastAsia" w:ascii="宋体" w:hAnsi="宋体" w:cs="宋体"/>
          <w:b/>
          <w:color w:val="auto"/>
          <w:sz w:val="24"/>
          <w:highlight w:val="none"/>
          <w:lang w:eastAsia="zh-CN"/>
        </w:rPr>
        <w:t>一、</w:t>
      </w:r>
      <w:r>
        <w:rPr>
          <w:rFonts w:hint="eastAsia" w:ascii="宋体" w:hAnsi="宋体" w:cs="宋体"/>
          <w:b/>
          <w:color w:val="auto"/>
          <w:sz w:val="24"/>
          <w:highlight w:val="none"/>
        </w:rPr>
        <w:t>适用范围</w:t>
      </w:r>
    </w:p>
    <w:p w14:paraId="70090AB7">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1.适用范围</w:t>
      </w:r>
    </w:p>
    <w:p w14:paraId="4992797C">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1.1本征集文件仅适用于征集公告中所述的项目。</w:t>
      </w:r>
    </w:p>
    <w:p w14:paraId="6E0E9533">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2.定义</w:t>
      </w:r>
    </w:p>
    <w:p w14:paraId="1DFD5471">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 “</w:t>
      </w:r>
      <w:r>
        <w:rPr>
          <w:rFonts w:hint="eastAsia" w:ascii="宋体" w:hAnsi="宋体" w:eastAsia="宋体" w:cs="宋体"/>
          <w:color w:val="auto"/>
          <w:kern w:val="0"/>
          <w:sz w:val="24"/>
          <w:highlight w:val="none"/>
          <w:lang w:eastAsia="zh-CN"/>
        </w:rPr>
        <w:t>征集人</w:t>
      </w:r>
      <w:r>
        <w:rPr>
          <w:rFonts w:hint="eastAsia" w:ascii="宋体" w:hAnsi="宋体" w:eastAsia="宋体" w:cs="宋体"/>
          <w:color w:val="auto"/>
          <w:kern w:val="0"/>
          <w:sz w:val="24"/>
          <w:highlight w:val="none"/>
        </w:rPr>
        <w:t>”系指依法进行政府采购的义乌市</w:t>
      </w:r>
      <w:r>
        <w:rPr>
          <w:rFonts w:hint="eastAsia" w:ascii="宋体" w:hAnsi="宋体" w:eastAsia="宋体" w:cs="宋体"/>
          <w:color w:val="auto"/>
          <w:kern w:val="0"/>
          <w:sz w:val="24"/>
          <w:highlight w:val="none"/>
          <w:lang w:eastAsia="zh-CN"/>
        </w:rPr>
        <w:t>财政局</w:t>
      </w:r>
      <w:r>
        <w:rPr>
          <w:rFonts w:hint="eastAsia" w:ascii="宋体" w:hAnsi="宋体" w:eastAsia="宋体" w:cs="宋体"/>
          <w:color w:val="auto"/>
          <w:kern w:val="0"/>
          <w:sz w:val="24"/>
          <w:highlight w:val="none"/>
        </w:rPr>
        <w:t>。</w:t>
      </w:r>
    </w:p>
    <w:p w14:paraId="2DE00668">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en-US" w:eastAsia="zh-CN"/>
        </w:rPr>
        <w:t>投标（响应）人</w:t>
      </w:r>
      <w:r>
        <w:rPr>
          <w:rFonts w:hint="eastAsia" w:ascii="宋体" w:hAnsi="宋体" w:eastAsia="宋体" w:cs="宋体"/>
          <w:color w:val="auto"/>
          <w:kern w:val="0"/>
          <w:sz w:val="24"/>
          <w:highlight w:val="none"/>
        </w:rPr>
        <w:t>”系指参加本次征集活动</w:t>
      </w:r>
      <w:r>
        <w:rPr>
          <w:rFonts w:hint="eastAsia" w:ascii="宋体" w:hAnsi="宋体" w:eastAsia="宋体" w:cs="宋体"/>
          <w:color w:val="auto"/>
          <w:kern w:val="0"/>
          <w:sz w:val="24"/>
          <w:highlight w:val="none"/>
          <w:lang w:val="en-US" w:eastAsia="zh-CN"/>
        </w:rPr>
        <w:t>的</w:t>
      </w:r>
      <w:r>
        <w:rPr>
          <w:rFonts w:hint="eastAsia" w:ascii="宋体" w:hAnsi="宋体" w:eastAsia="宋体" w:cs="宋体"/>
          <w:color w:val="auto"/>
          <w:kern w:val="0"/>
          <w:sz w:val="24"/>
          <w:highlight w:val="none"/>
        </w:rPr>
        <w:t>供应商。</w:t>
      </w:r>
    </w:p>
    <w:p w14:paraId="3A0100E7">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 xml:space="preserve"> “供应商代理人”系指参加本次投标（响应）活动的供应商授权代表。</w:t>
      </w:r>
    </w:p>
    <w:p w14:paraId="525E11C6">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3.合格的供应商：</w:t>
      </w:r>
    </w:p>
    <w:p w14:paraId="29BEE777">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3.1满足征集公告中供应商资格要求的规定。</w:t>
      </w:r>
    </w:p>
    <w:p w14:paraId="5B8C3C8E">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3.2满足征集文件中符合性要求的规定。</w:t>
      </w:r>
    </w:p>
    <w:p w14:paraId="3E1529E2">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3.3满足征集文件中实质性要求的规定。</w:t>
      </w:r>
    </w:p>
    <w:p w14:paraId="1A307B78">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3.4 供应商应遵守中国的有关法律、法规和规章。</w:t>
      </w:r>
    </w:p>
    <w:p w14:paraId="608250DD">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3.5 供应商存在下列关联关系情形之一的，不得参加本项目征集入围：</w:t>
      </w:r>
    </w:p>
    <w:p w14:paraId="36E3D6F3">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（1）单位负责人为同一人或者存在直接控股、管理关系的不同供应商，不得参加同一合同项下（同一标项）的政府采购活动；</w:t>
      </w:r>
    </w:p>
    <w:p w14:paraId="15554A7E">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hint="default" w:ascii="宋体" w:hAnsi="宋体" w:eastAsia="宋体" w:cs="宋体"/>
          <w:color w:val="auto"/>
          <w:kern w:val="0"/>
          <w:sz w:val="24"/>
          <w:highlight w:val="none"/>
          <w:lang w:val="en-US"/>
        </w:rPr>
        <w:t>2</w:t>
      </w:r>
      <w:r>
        <w:rPr>
          <w:rFonts w:hint="eastAsia" w:ascii="宋体" w:hAnsi="宋体" w:eastAsia="宋体" w:cs="宋体"/>
          <w:color w:val="auto"/>
          <w:kern w:val="0"/>
          <w:sz w:val="24"/>
          <w:highlight w:val="none"/>
        </w:rPr>
        <w:t>）为项目提供整体设计、规范编制或者项目管理、监理、检测等服务的供应商，不得再参加该项目的其他采购（具体实施）活动。</w:t>
      </w:r>
    </w:p>
    <w:p w14:paraId="65FC96C5">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3.6一个供应商只能提交一个投标（响应）文件。</w:t>
      </w:r>
    </w:p>
    <w:p w14:paraId="676822DA">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3.7 供应商代理人只能接受一个供应商委托参加投标（响应）。</w:t>
      </w:r>
    </w:p>
    <w:p w14:paraId="3C52D95A">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4.投标（响应）费用</w:t>
      </w:r>
    </w:p>
    <w:p w14:paraId="50110AFC">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4.1 无论投标（响应）结果如何，供应商自行承担所有与参加投标（响应）有关的全部费用。</w:t>
      </w:r>
    </w:p>
    <w:p w14:paraId="5BAF7E10">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 本次采购活动征集人不收取标书工本费与代理服务费。</w:t>
      </w:r>
    </w:p>
    <w:p w14:paraId="5EDC9982">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5.信息公告媒体</w:t>
      </w:r>
    </w:p>
    <w:p w14:paraId="40F2208C">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5.1 浙江政府采购网(zfcg.czt.zj.gov.cn)为政府采购监督管理部门指定的政府采购信息发布媒体。本次政府采购活动有关信息均在该网站上予以公布，公布信息视同送达所有潜在供应商。</w:t>
      </w:r>
    </w:p>
    <w:p w14:paraId="1565D8FC">
      <w:pPr>
        <w:keepNext w:val="0"/>
        <w:keepLines w:val="0"/>
        <w:pageBreakBefore w:val="0"/>
        <w:widowControl w:val="0"/>
        <w:kinsoku/>
        <w:wordWrap/>
        <w:overflowPunct/>
        <w:topLinePunct w:val="0"/>
        <w:autoSpaceDE/>
        <w:autoSpaceDN/>
        <w:bidi w:val="0"/>
        <w:adjustRightInd w:val="0"/>
        <w:spacing w:line="360" w:lineRule="exact"/>
        <w:ind w:firstLine="482" w:firstLineChars="200"/>
        <w:textAlignment w:val="auto"/>
        <w:rPr>
          <w:rFonts w:hint="eastAsia" w:ascii="宋体" w:hAnsi="宋体" w:eastAsia="宋体" w:cs="宋体"/>
          <w:b/>
          <w:bCs/>
          <w:color w:val="auto"/>
          <w:kern w:val="0"/>
          <w:sz w:val="24"/>
          <w:highlight w:val="none"/>
        </w:rPr>
      </w:pPr>
      <w:bookmarkStart w:id="435" w:name="_Toc23544"/>
      <w:r>
        <w:rPr>
          <w:rFonts w:hint="eastAsia" w:ascii="宋体" w:hAnsi="宋体" w:eastAsia="宋体" w:cs="宋体"/>
          <w:b/>
          <w:bCs/>
          <w:color w:val="auto"/>
          <w:kern w:val="0"/>
          <w:sz w:val="24"/>
          <w:highlight w:val="none"/>
        </w:rPr>
        <w:t>二、 征集文件</w:t>
      </w:r>
      <w:bookmarkEnd w:id="435"/>
    </w:p>
    <w:p w14:paraId="16F6CB62">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6.征集文件</w:t>
      </w:r>
    </w:p>
    <w:p w14:paraId="7194EA4E">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6.1征集文件由征集文件目录所列内容组成。</w:t>
      </w:r>
    </w:p>
    <w:p w14:paraId="2371951F">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6.2供应商应详细阅读征集文件的全部内容。按征集文件的要求和规定编制投标（响应）文件，并确保所提供的资料的真实性，否则其风险由供应商自行承担。</w:t>
      </w:r>
    </w:p>
    <w:p w14:paraId="44A722B3">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6.3供应商若对征集文件有疑问的，可以向征集人提出。供应商认为征集文件使自己的权益受到损害的，可以自获取征集文件之日或者征集文件公告期限届满之日（公告期限届满后获取征集文件文件的，以公告期限届满之日为准）起7个工作日内，以书面形式向征集人提出质疑。</w:t>
      </w:r>
    </w:p>
    <w:p w14:paraId="312CC4CC">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6.4征集人在投标（响应）截止时间前，可对征集文件做必要的澄清或修改，征集人的书面澄清（更正）文件会在浙江省政府网上发布公告，同时“政采云”会向所有已按</w:t>
      </w:r>
      <w:r>
        <w:rPr>
          <w:rFonts w:hint="eastAsia" w:ascii="宋体" w:hAnsi="宋体" w:eastAsia="宋体" w:cs="宋体"/>
          <w:color w:val="auto"/>
          <w:kern w:val="0"/>
          <w:sz w:val="24"/>
          <w:highlight w:val="none"/>
          <w:lang w:val="en-US" w:eastAsia="zh-CN"/>
        </w:rPr>
        <w:t>征集</w:t>
      </w:r>
      <w:r>
        <w:rPr>
          <w:rFonts w:hint="eastAsia" w:ascii="宋体" w:hAnsi="宋体" w:eastAsia="宋体" w:cs="宋体"/>
          <w:color w:val="auto"/>
          <w:kern w:val="0"/>
          <w:sz w:val="24"/>
          <w:highlight w:val="none"/>
        </w:rPr>
        <w:t>文件规定方式获取</w:t>
      </w:r>
      <w:r>
        <w:rPr>
          <w:rFonts w:hint="eastAsia" w:ascii="宋体" w:hAnsi="宋体" w:eastAsia="宋体" w:cs="宋体"/>
          <w:color w:val="auto"/>
          <w:kern w:val="0"/>
          <w:sz w:val="24"/>
          <w:highlight w:val="none"/>
          <w:lang w:val="en-US" w:eastAsia="zh-CN"/>
        </w:rPr>
        <w:t>征集</w:t>
      </w:r>
      <w:r>
        <w:rPr>
          <w:rFonts w:hint="eastAsia" w:ascii="宋体" w:hAnsi="宋体" w:eastAsia="宋体" w:cs="宋体"/>
          <w:color w:val="auto"/>
          <w:kern w:val="0"/>
          <w:sz w:val="24"/>
          <w:highlight w:val="none"/>
        </w:rPr>
        <w:t>文件的潜在供应商发送更正提醒信息，潜在供应商请及时到浙江省政府采购网上下载澄清（更正）文件。该澄清或者修改的内容为征集文件的组成部分。</w:t>
      </w:r>
    </w:p>
    <w:p w14:paraId="46CED75C">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6.5因6.4条款做出实质性澄清或修改影响供应商编制投标（响应）文件的，至投标（响应）截止时间不足15日的，应顺延推迟投标（响应）截止时间和开标时间，并在指定的政府采购信息发布媒体上发布补充公告。</w:t>
      </w:r>
    </w:p>
    <w:p w14:paraId="1355CD36">
      <w:pPr>
        <w:pStyle w:val="35"/>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新宋体" w:hAnsi="新宋体" w:eastAsia="新宋体" w:cs="新宋体"/>
          <w:color w:val="auto"/>
          <w:sz w:val="24"/>
          <w:highlight w:val="none"/>
          <w:lang w:val="en-US" w:eastAsia="zh-CN"/>
        </w:rPr>
      </w:pPr>
      <w:r>
        <w:rPr>
          <w:rFonts w:hint="eastAsia" w:ascii="新宋体" w:hAnsi="新宋体" w:eastAsia="新宋体" w:cs="新宋体"/>
          <w:color w:val="auto"/>
          <w:sz w:val="24"/>
          <w:highlight w:val="none"/>
          <w:lang w:val="en-US" w:eastAsia="zh-CN"/>
        </w:rPr>
        <w:t>6.6联合体采购相关规定（</w:t>
      </w:r>
      <w:r>
        <w:rPr>
          <w:rFonts w:hint="eastAsia" w:ascii="新宋体" w:hAnsi="新宋体" w:eastAsia="新宋体" w:cs="新宋体"/>
          <w:color w:val="auto"/>
          <w:sz w:val="24"/>
          <w:highlight w:val="none"/>
          <w:u w:val="single"/>
          <w:lang w:val="en-US" w:eastAsia="zh-CN"/>
        </w:rPr>
        <w:t>本项目是否接受联合体投标，见第一章的规定</w:t>
      </w:r>
      <w:r>
        <w:rPr>
          <w:rFonts w:hint="eastAsia" w:ascii="新宋体" w:hAnsi="新宋体" w:eastAsia="新宋体" w:cs="新宋体"/>
          <w:color w:val="auto"/>
          <w:sz w:val="24"/>
          <w:highlight w:val="none"/>
          <w:lang w:val="en-US" w:eastAsia="zh-CN"/>
        </w:rPr>
        <w:t>）：</w:t>
      </w:r>
    </w:p>
    <w:p w14:paraId="27374FCA">
      <w:pPr>
        <w:pStyle w:val="35"/>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新宋体" w:hAnsi="新宋体" w:eastAsia="新宋体" w:cs="新宋体"/>
          <w:color w:val="auto"/>
          <w:sz w:val="24"/>
          <w:highlight w:val="none"/>
          <w:lang w:val="en-US" w:eastAsia="zh-CN"/>
        </w:rPr>
      </w:pPr>
      <w:r>
        <w:rPr>
          <w:rFonts w:hint="eastAsia" w:ascii="新宋体" w:hAnsi="新宋体" w:eastAsia="新宋体" w:cs="新宋体"/>
          <w:color w:val="auto"/>
          <w:sz w:val="24"/>
          <w:highlight w:val="none"/>
          <w:lang w:val="en-US" w:eastAsia="zh-CN"/>
        </w:rPr>
        <w:t>6.6.1</w:t>
      </w:r>
      <w:r>
        <w:rPr>
          <w:rFonts w:hint="eastAsia" w:ascii="新宋体" w:hAnsi="新宋体" w:eastAsia="新宋体" w:cs="新宋体"/>
          <w:color w:val="auto"/>
          <w:sz w:val="24"/>
          <w:highlight w:val="none"/>
        </w:rPr>
        <w:t>联合体各方均应符合本项目规定的资格要求</w:t>
      </w:r>
      <w:r>
        <w:rPr>
          <w:rFonts w:hint="eastAsia" w:ascii="新宋体" w:hAnsi="新宋体" w:eastAsia="新宋体" w:cs="新宋体"/>
          <w:color w:val="auto"/>
          <w:sz w:val="24"/>
          <w:highlight w:val="none"/>
          <w:lang w:eastAsia="zh-CN"/>
        </w:rPr>
        <w:t>；</w:t>
      </w:r>
    </w:p>
    <w:p w14:paraId="3678097D">
      <w:pPr>
        <w:pStyle w:val="35"/>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6.</w:t>
      </w:r>
      <w:r>
        <w:rPr>
          <w:rFonts w:hint="eastAsia" w:ascii="新宋体" w:hAnsi="新宋体" w:eastAsia="新宋体" w:cs="新宋体"/>
          <w:color w:val="auto"/>
          <w:sz w:val="24"/>
          <w:highlight w:val="none"/>
          <w:lang w:val="en-US" w:eastAsia="zh-CN"/>
        </w:rPr>
        <w:t>6</w:t>
      </w:r>
      <w:r>
        <w:rPr>
          <w:rFonts w:hint="eastAsia" w:ascii="新宋体" w:hAnsi="新宋体" w:eastAsia="新宋体" w:cs="新宋体"/>
          <w:color w:val="auto"/>
          <w:sz w:val="24"/>
          <w:highlight w:val="none"/>
        </w:rPr>
        <w:t>.2</w:t>
      </w:r>
      <w:r>
        <w:rPr>
          <w:rFonts w:hint="eastAsia" w:ascii="新宋体" w:hAnsi="新宋体" w:eastAsia="新宋体" w:cs="Courier New"/>
          <w:color w:val="auto"/>
          <w:sz w:val="24"/>
          <w:highlight w:val="none"/>
        </w:rPr>
        <w:t>联合体中有同类资质</w:t>
      </w:r>
      <w:r>
        <w:rPr>
          <w:rFonts w:hint="eastAsia" w:ascii="新宋体" w:hAnsi="新宋体" w:eastAsia="新宋体"/>
          <w:color w:val="auto"/>
          <w:sz w:val="24"/>
          <w:highlight w:val="none"/>
        </w:rPr>
        <w:t>的投标人按照联合体分工承担相同工作的，应当按照资质等级较低的投标人确定资质等级</w:t>
      </w:r>
      <w:r>
        <w:rPr>
          <w:rFonts w:hint="eastAsia" w:ascii="新宋体" w:hAnsi="新宋体" w:eastAsia="新宋体" w:cs="新宋体"/>
          <w:color w:val="auto"/>
          <w:sz w:val="24"/>
          <w:highlight w:val="none"/>
        </w:rPr>
        <w:t>；</w:t>
      </w:r>
    </w:p>
    <w:p w14:paraId="5CF907B2">
      <w:pPr>
        <w:pStyle w:val="35"/>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6.</w:t>
      </w:r>
      <w:r>
        <w:rPr>
          <w:rFonts w:hint="eastAsia" w:ascii="新宋体" w:hAnsi="新宋体" w:eastAsia="新宋体" w:cs="新宋体"/>
          <w:color w:val="auto"/>
          <w:sz w:val="24"/>
          <w:highlight w:val="none"/>
          <w:lang w:val="en-US" w:eastAsia="zh-CN"/>
        </w:rPr>
        <w:t>6</w:t>
      </w:r>
      <w:r>
        <w:rPr>
          <w:rFonts w:hint="eastAsia" w:ascii="新宋体" w:hAnsi="新宋体" w:eastAsia="新宋体" w:cs="新宋体"/>
          <w:color w:val="auto"/>
          <w:sz w:val="24"/>
          <w:highlight w:val="none"/>
        </w:rPr>
        <w:t>.3以联合体形式参加政府采购活动的，联合体各方不得再单独参加或者与其他投标人另外组成联合体参加同一合同项下的政府采购活动；</w:t>
      </w:r>
    </w:p>
    <w:p w14:paraId="58DA0F32">
      <w:pPr>
        <w:pStyle w:val="35"/>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新宋体" w:hAnsi="新宋体" w:eastAsia="新宋体" w:cs="新宋体"/>
          <w:color w:val="auto"/>
          <w:sz w:val="24"/>
          <w:highlight w:val="none"/>
          <w:lang w:val="en-US" w:eastAsia="zh-CN"/>
        </w:rPr>
      </w:pPr>
      <w:r>
        <w:rPr>
          <w:rFonts w:hint="eastAsia" w:ascii="新宋体" w:hAnsi="新宋体" w:eastAsia="新宋体" w:cs="新宋体"/>
          <w:color w:val="auto"/>
          <w:sz w:val="24"/>
          <w:highlight w:val="none"/>
        </w:rPr>
        <w:t>6.</w:t>
      </w:r>
      <w:r>
        <w:rPr>
          <w:rFonts w:hint="eastAsia" w:ascii="新宋体" w:hAnsi="新宋体" w:eastAsia="新宋体" w:cs="新宋体"/>
          <w:color w:val="auto"/>
          <w:sz w:val="24"/>
          <w:highlight w:val="none"/>
          <w:lang w:val="en-US" w:eastAsia="zh-CN"/>
        </w:rPr>
        <w:t>6</w:t>
      </w:r>
      <w:r>
        <w:rPr>
          <w:rFonts w:hint="eastAsia" w:ascii="新宋体" w:hAnsi="新宋体" w:eastAsia="新宋体" w:cs="新宋体"/>
          <w:color w:val="auto"/>
          <w:sz w:val="24"/>
          <w:highlight w:val="none"/>
        </w:rPr>
        <w:t>.4联合体各方应当指定牵头人，授权其代表联合体各方负责投标和合同实施阶段的主办、协调工作，同时应当提交</w:t>
      </w:r>
      <w:r>
        <w:rPr>
          <w:rFonts w:hint="eastAsia" w:ascii="新宋体" w:hAnsi="新宋体" w:eastAsia="新宋体" w:cs="新宋体"/>
          <w:b/>
          <w:bCs/>
          <w:color w:val="auto"/>
          <w:sz w:val="24"/>
          <w:highlight w:val="none"/>
          <w:u w:val="single"/>
        </w:rPr>
        <w:t>联合体协议</w:t>
      </w:r>
      <w:r>
        <w:rPr>
          <w:rFonts w:hint="eastAsia" w:ascii="新宋体" w:hAnsi="新宋体" w:eastAsia="新宋体" w:cs="新宋体"/>
          <w:color w:val="auto"/>
          <w:sz w:val="24"/>
          <w:highlight w:val="none"/>
        </w:rPr>
        <w:t>，载明联合体各方承担的工作和义务。联合体协议中应当注明由联合体各方共同与采购人签订合同，并就采购合同约定的事项对采购人承担连带责任。联合体协议中仅约定由牵头人或联合体各方中某一方与采购人签订合同的，或联合体协议中仅约定由牵头人或联合体各方中某一方就采购合同约定的事项对采购人承担责任的，视为未提供联合体协议</w:t>
      </w:r>
      <w:r>
        <w:rPr>
          <w:rFonts w:hint="eastAsia" w:ascii="新宋体" w:hAnsi="新宋体" w:eastAsia="新宋体" w:cs="新宋体"/>
          <w:color w:val="auto"/>
          <w:sz w:val="24"/>
          <w:highlight w:val="none"/>
          <w:lang w:eastAsia="zh-CN"/>
        </w:rPr>
        <w:t>；</w:t>
      </w:r>
    </w:p>
    <w:p w14:paraId="3BEE3843">
      <w:pPr>
        <w:pStyle w:val="35"/>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新宋体" w:hAnsi="新宋体" w:eastAsia="新宋体" w:cs="新宋体"/>
          <w:color w:val="auto"/>
          <w:sz w:val="24"/>
          <w:highlight w:val="none"/>
          <w:lang w:val="en-US" w:eastAsia="zh-CN"/>
        </w:rPr>
      </w:pPr>
      <w:r>
        <w:rPr>
          <w:rFonts w:hint="eastAsia" w:ascii="新宋体" w:hAnsi="新宋体" w:eastAsia="新宋体" w:cs="新宋体"/>
          <w:color w:val="auto"/>
          <w:sz w:val="24"/>
          <w:highlight w:val="none"/>
          <w:lang w:val="en-US" w:eastAsia="zh-CN"/>
        </w:rPr>
        <w:t>6.6.5如采购项目对供应商有业绩要求。联合体各方分别提供与联合体协议中约定的分工内容相应的业绩材料，业绩数量以提供材料较少的一方为准；</w:t>
      </w:r>
    </w:p>
    <w:p w14:paraId="5B49C8E2">
      <w:pPr>
        <w:pStyle w:val="35"/>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新宋体" w:hAnsi="新宋体" w:eastAsia="新宋体" w:cs="新宋体"/>
          <w:color w:val="auto"/>
          <w:sz w:val="24"/>
          <w:highlight w:val="none"/>
          <w:lang w:val="en-US" w:eastAsia="zh-CN"/>
        </w:rPr>
      </w:pPr>
      <w:r>
        <w:rPr>
          <w:rFonts w:hint="eastAsia" w:ascii="新宋体" w:hAnsi="新宋体" w:eastAsia="新宋体" w:cs="新宋体"/>
          <w:color w:val="auto"/>
          <w:sz w:val="24"/>
          <w:highlight w:val="none"/>
          <w:lang w:val="en-US" w:eastAsia="zh-CN"/>
        </w:rPr>
        <w:t>6.6.6联合体各方均为中小企业的，该联合体视同中小企业；</w:t>
      </w:r>
    </w:p>
    <w:p w14:paraId="7D3B5BD3">
      <w:pPr>
        <w:pStyle w:val="35"/>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新宋体" w:hAnsi="新宋体" w:eastAsia="新宋体" w:cs="新宋体"/>
          <w:color w:val="auto"/>
          <w:sz w:val="24"/>
          <w:highlight w:val="none"/>
          <w:lang w:val="en-US" w:eastAsia="zh-CN"/>
        </w:rPr>
      </w:pPr>
      <w:r>
        <w:rPr>
          <w:rFonts w:hint="eastAsia" w:ascii="新宋体" w:hAnsi="新宋体" w:eastAsia="新宋体" w:cs="新宋体"/>
          <w:color w:val="auto"/>
          <w:sz w:val="24"/>
          <w:highlight w:val="none"/>
          <w:lang w:val="en-US" w:eastAsia="zh-CN"/>
        </w:rPr>
        <w:t>6.6.7以联合体形式参加政府采购活动的，其投诉应当由组成联合体的所有供应商共同提出；</w:t>
      </w:r>
    </w:p>
    <w:p w14:paraId="6E7B9748">
      <w:pPr>
        <w:pStyle w:val="35"/>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rPr>
      </w:pPr>
      <w:r>
        <w:rPr>
          <w:rFonts w:hint="eastAsia" w:ascii="新宋体" w:hAnsi="新宋体" w:eastAsia="新宋体" w:cs="新宋体"/>
          <w:color w:val="auto"/>
          <w:sz w:val="24"/>
          <w:highlight w:val="none"/>
          <w:lang w:val="en-US" w:eastAsia="zh-CN"/>
        </w:rPr>
        <w:t>6.6.8采购人或采购代理机构对联合体中任何一方的书面文件都对联合体各方具有约束力。</w:t>
      </w:r>
    </w:p>
    <w:p w14:paraId="5999C182">
      <w:pPr>
        <w:keepNext w:val="0"/>
        <w:keepLines w:val="0"/>
        <w:pageBreakBefore w:val="0"/>
        <w:widowControl w:val="0"/>
        <w:kinsoku/>
        <w:wordWrap/>
        <w:overflowPunct/>
        <w:topLinePunct w:val="0"/>
        <w:autoSpaceDE/>
        <w:autoSpaceDN/>
        <w:bidi w:val="0"/>
        <w:adjustRightInd w:val="0"/>
        <w:spacing w:line="360" w:lineRule="exact"/>
        <w:ind w:firstLine="482" w:firstLineChars="200"/>
        <w:textAlignment w:val="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三、 投标（响应）文件</w:t>
      </w:r>
    </w:p>
    <w:p w14:paraId="16F5858A">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7.投标（响应）文件语言和计量单位</w:t>
      </w:r>
    </w:p>
    <w:p w14:paraId="539F027A">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7.1投标（响应）文件应用中文书写。投标（响应）文件中所附或所引用的原件不是中文时，应附中文译本。</w:t>
      </w:r>
    </w:p>
    <w:p w14:paraId="1A90B6B0">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7.2投标（响应）文件中所使用的计量单位，除投标（响应）文件中有特殊要求外，应采用国家法定计量单位。</w:t>
      </w:r>
    </w:p>
    <w:p w14:paraId="2CBFEB9E">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8.投标（响应）文件的制作 </w:t>
      </w:r>
    </w:p>
    <w:p w14:paraId="392A9758">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8.1投标（响应）文件按征集文件要求编制、签署、盖章。</w:t>
      </w:r>
    </w:p>
    <w:p w14:paraId="3D1484DA">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8.2投标（响应）文件必须清晰、可辨，由于扫描、缩页等原因导致无法评审的，后果由供应商自负。</w:t>
      </w:r>
    </w:p>
    <w:p w14:paraId="26029A42">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8.3投标（响应）文件附件由供应商视情自行编制。</w:t>
      </w:r>
    </w:p>
    <w:p w14:paraId="282AA4BE">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8.4 制作投标（响应）文件的系统配置要求：64位的windows7及以上操作系统。</w:t>
      </w:r>
    </w:p>
    <w:p w14:paraId="6125AC45">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8.5潜在供应商应提前完成供应商注册，成为浙江省政府采购网(zfcg.czt.zj.gov.cn)正式供应商，并完成CA数字证书办理（CA驱动和申领流程：浙江政府采购网 &gt; 下载专区 &gt; 电子投标（响应）客户端 &gt; CA驱动和申领流程）。因未注册入库、未办理CA数字证书等原因造成无法投标（响应）或投标（响应）失败等后果由供应商自行承担。</w:t>
      </w:r>
    </w:p>
    <w:p w14:paraId="5D476FC2">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8.6供应商通过政采云电子交易客户端（下载位置：浙江政府采购网 &gt; 下载专区 &gt; 电子投标（响应）客户端 &gt; 政采云电子交易客户端）制作电子加密投标（响应）文件（后缀jmbs），按“供应商-电子交易操作手册.pdf”及本征集文件规定的格式和顺序编制并进行关联定位、加密并在投标（响应）截止时间前上传。</w:t>
      </w:r>
    </w:p>
    <w:p w14:paraId="55A92081">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8.7供应商应充分考虑网络环境、投标（响应）设备等可能存在的风险因素，建议在确认投标（响应）文件定稿后及时上传投标（响应）文件，因供应商自身原因造成投标（响应）文件上传失败或未在投标（响应）截止时间前上传成功，相关后果由供应商自行承担。</w:t>
      </w:r>
    </w:p>
    <w:p w14:paraId="255DF1C1">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8.8供应商在使用电子交易平台进行投标（响应）的过程中遇到涉及平台使用的任何问题，可致电政采云平台技术支持热线咨询，联系方式：95763（服务时间：工作日8：00-20：00）。</w:t>
      </w:r>
    </w:p>
    <w:p w14:paraId="67DE4F93">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9.报价</w:t>
      </w:r>
    </w:p>
    <w:p w14:paraId="4F9DA4CB">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9.1供应商应按照征集文件中提供的格式完整、正确填写开标一览表。</w:t>
      </w:r>
    </w:p>
    <w:p w14:paraId="077A32FD">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9.2政采云平台系统填写的开标一览表数据与投标（响应）文件填写的开标一览表数据不一致时，以投标（响应）文件中开标一览表的数据为准。</w:t>
      </w:r>
    </w:p>
    <w:p w14:paraId="03BBD037">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10.投标（响应）文件的有效期、签署及规定。</w:t>
      </w:r>
    </w:p>
    <w:p w14:paraId="47CA48A0">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10.1在投标（响应）有效期内，投标（响应）文件应保持有效。</w:t>
      </w:r>
    </w:p>
    <w:p w14:paraId="172AEA34">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10.2在特殊情况下，征集人可与供应商协商延长投标（响应）文件的有效期。</w:t>
      </w:r>
    </w:p>
    <w:p w14:paraId="24CD9E30">
      <w:pPr>
        <w:keepNext w:val="0"/>
        <w:keepLines w:val="0"/>
        <w:pageBreakBefore w:val="0"/>
        <w:widowControl w:val="0"/>
        <w:kinsoku/>
        <w:wordWrap/>
        <w:overflowPunct/>
        <w:topLinePunct w:val="0"/>
        <w:autoSpaceDE/>
        <w:autoSpaceDN/>
        <w:bidi w:val="0"/>
        <w:adjustRightInd w:val="0"/>
        <w:spacing w:line="360" w:lineRule="exact"/>
        <w:ind w:firstLine="482" w:firstLineChars="200"/>
        <w:textAlignment w:val="auto"/>
        <w:rPr>
          <w:rFonts w:hint="eastAsia" w:ascii="宋体" w:hAnsi="宋体" w:eastAsia="宋体" w:cs="宋体"/>
          <w:b/>
          <w:bCs/>
          <w:color w:val="auto"/>
          <w:kern w:val="0"/>
          <w:sz w:val="24"/>
          <w:highlight w:val="none"/>
        </w:rPr>
      </w:pPr>
      <w:bookmarkStart w:id="436" w:name="_Toc12762"/>
      <w:r>
        <w:rPr>
          <w:rFonts w:hint="eastAsia" w:ascii="宋体" w:hAnsi="宋体" w:eastAsia="宋体" w:cs="宋体"/>
          <w:b/>
          <w:bCs/>
          <w:color w:val="auto"/>
          <w:kern w:val="0"/>
          <w:sz w:val="24"/>
          <w:highlight w:val="none"/>
        </w:rPr>
        <w:t>四、 投标（响应）文件的递交</w:t>
      </w:r>
      <w:bookmarkEnd w:id="436"/>
    </w:p>
    <w:p w14:paraId="4E43D928">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11.提交投标（响应）文件截止时间</w:t>
      </w:r>
    </w:p>
    <w:p w14:paraId="62EE70E9">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11.1投标（响应）文件须按照征集文件规定的时间上传。提交投标（响应）文件截止时间后，提交投标（响应）文件通道将关闭，供应商未完成投标（响应）文件上传的，投标（响应）将被拒绝。</w:t>
      </w:r>
    </w:p>
    <w:p w14:paraId="6378D3D0">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12.投标（响应）文件的补充、修改和撤回</w:t>
      </w:r>
    </w:p>
    <w:p w14:paraId="4B7502C8">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12.1在提交投标（响应）文件截止时间前，供应商可撤回其提交的投标（响应）文件。</w:t>
      </w:r>
    </w:p>
    <w:p w14:paraId="0A4AE76D">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12.2在提交投标（响应）文件截止时间前需要对投标（响应）文件进行补充、修改的，供应商应当使用投标（响应）文件制作工具重新制作并上传。</w:t>
      </w:r>
    </w:p>
    <w:p w14:paraId="3D0C7D11">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12.3在提交投标（响应）文件截止时间之后，供应商不得对投标（响应）文件作任何修改。</w:t>
      </w:r>
    </w:p>
    <w:p w14:paraId="15E4AFE9">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12.4在提交投标（响应）文件截止时间之后，投标（响应）有效期届满之前，供应商不得撤回投标（响应）文件。</w:t>
      </w:r>
    </w:p>
    <w:p w14:paraId="5EF7D18C">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12.5备份投标（响应）文件</w:t>
      </w:r>
    </w:p>
    <w:p w14:paraId="267B4E67">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供应商可在投标（响应）截止时间前将在 “政采云”上最后生成的具备电子签章的备份投标（响应）文件以电子邮件方式传送至义乌市政府采购中心邮箱（ywszfcgzx@163.com），传送的备份投标（响应）文件（文件名采用“采购编号+投标人名称+系统自动生成的后缀名”）需打包压缩并加密，加密密码由投标人自行保管。为了防止泄密，建议供应商在设置加密密码时采用大小写字母加数字的组合方式。投标供应商仅递交备份投标（响应）文件的，投标（响应）无效。</w:t>
      </w:r>
    </w:p>
    <w:p w14:paraId="76A6B8DA">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政采云”上投标（响应）文件在规定时间内出现解密失败的，投标人可按照自身意愿确认同意提供加密密码，启用备份文件，并由招标方把备份文件上传至“政采云”。如投标人未按照规定时间及要求提供有效备份标书，同时“政采云”上投标（响应）文件解密失败的，将导致投标无效。</w:t>
      </w:r>
    </w:p>
    <w:p w14:paraId="1E119044">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如果投标人发送两份以上备份投标（响应）文件的，以最后收到的一份为准，通过“政采云”上传递交的“加密投标（响应）文件”已按时解密的，“备份投标（响应）文件”自动失效。</w:t>
      </w:r>
    </w:p>
    <w:p w14:paraId="42BA2375">
      <w:pPr>
        <w:keepNext w:val="0"/>
        <w:keepLines w:val="0"/>
        <w:pageBreakBefore w:val="0"/>
        <w:widowControl w:val="0"/>
        <w:kinsoku/>
        <w:wordWrap/>
        <w:overflowPunct/>
        <w:topLinePunct w:val="0"/>
        <w:autoSpaceDE/>
        <w:autoSpaceDN/>
        <w:bidi w:val="0"/>
        <w:adjustRightInd w:val="0"/>
        <w:spacing w:line="360" w:lineRule="exact"/>
        <w:ind w:firstLine="482" w:firstLineChars="200"/>
        <w:textAlignment w:val="auto"/>
        <w:rPr>
          <w:rFonts w:hint="eastAsia" w:ascii="宋体" w:hAnsi="宋体" w:eastAsia="宋体" w:cs="宋体"/>
          <w:b/>
          <w:bCs/>
          <w:color w:val="auto"/>
          <w:kern w:val="0"/>
          <w:sz w:val="24"/>
          <w:highlight w:val="none"/>
        </w:rPr>
      </w:pPr>
      <w:bookmarkStart w:id="437" w:name="_Toc23712"/>
      <w:r>
        <w:rPr>
          <w:rFonts w:hint="eastAsia" w:ascii="宋体" w:hAnsi="宋体" w:eastAsia="宋体" w:cs="宋体"/>
          <w:b/>
          <w:bCs/>
          <w:color w:val="auto"/>
          <w:kern w:val="0"/>
          <w:sz w:val="24"/>
          <w:highlight w:val="none"/>
        </w:rPr>
        <w:t>五、 开标及评审</w:t>
      </w:r>
      <w:bookmarkEnd w:id="437"/>
    </w:p>
    <w:p w14:paraId="09A7D949">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13.开标评审过程中出现以下情形，导致电子交易平台无法正常运行，且无法保证电子交易的公平、公正和安全时，征集人可暂停电子交易活动：</w:t>
      </w:r>
    </w:p>
    <w:p w14:paraId="06711F46">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13.1电子交易平台发生故障而无法登录访问的； </w:t>
      </w:r>
    </w:p>
    <w:p w14:paraId="0A9FCB6A">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13.2电子交易平台应用或数据库出现错误，不能进行正常操作的；</w:t>
      </w:r>
    </w:p>
    <w:p w14:paraId="489DA44C">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13.3电子交易平台发现严重安全漏洞，有潜在泄密危险的；</w:t>
      </w:r>
    </w:p>
    <w:p w14:paraId="4EFD9B04">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13.4病毒发作导致不能进行正常操作的； </w:t>
      </w:r>
    </w:p>
    <w:p w14:paraId="726692F3">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13.5其他无法保证电子交易的公平、公正和安全的情况。</w:t>
      </w:r>
    </w:p>
    <w:p w14:paraId="4AF4E101">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出现前款规定情形，不影响采购公平、公正性的，征集人可以待上述情形消除后继续组织电子交易活动；影响或可能影响采购公平、公正性的，应当重新组织采购。 </w:t>
      </w:r>
    </w:p>
    <w:p w14:paraId="43D97F0C">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14.电子开标</w:t>
      </w:r>
    </w:p>
    <w:p w14:paraId="6864AB94">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14.1征集人在政采云平台主持电子开标。</w:t>
      </w:r>
    </w:p>
    <w:p w14:paraId="04768671">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14.2供应商不足2家，不进入投标（响应）文件解密程序。</w:t>
      </w:r>
    </w:p>
    <w:p w14:paraId="59BF4C22">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14.3供应商须登录政采云平台在投标（响应）截止时间后1小时内用制作加密投标（响应）文件的数字认证证书（同一个CA证书）完成投标（响应）文件解密工作。解密结束时间后，系统自动关闭解密通道，未解密的投标（响应）文件将不予受理。为避免投标（响应）工具驱动安装、系统兼容性和网络环境等问题，建议供应商用制作投标（响应）文件的电脑进行解密。</w:t>
      </w:r>
    </w:p>
    <w:p w14:paraId="51C3F75E">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15.对投标（响应）文件的初审</w:t>
      </w:r>
    </w:p>
    <w:p w14:paraId="65DD444E">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15.1初审内容为投标（响应）文件是否符合征集文件的要求、内容是否完整、有无计算错误，文件签署、盖章有无遗漏，各项要素是否齐全。</w:t>
      </w:r>
    </w:p>
    <w:p w14:paraId="5DE3F479">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15.2对价格错误，评审小组按下述原则修正：</w:t>
      </w:r>
    </w:p>
    <w:p w14:paraId="46B8F10F">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（1）客户端填写的报价与以pdf格式上传文件中的报价不一致的，应以pdf格式上传文件中的报价为准。</w:t>
      </w:r>
    </w:p>
    <w:p w14:paraId="55F02E33">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（2）投标</w:t>
      </w:r>
      <w:r>
        <w:rPr>
          <w:rFonts w:hint="eastAsia" w:ascii="宋体" w:hAnsi="宋体" w:cs="宋体"/>
          <w:color w:val="auto"/>
          <w:kern w:val="0"/>
          <w:sz w:val="24"/>
          <w:highlight w:val="none"/>
          <w:lang w:eastAsia="zh-CN"/>
        </w:rPr>
        <w:t>（响应）</w:t>
      </w:r>
      <w:r>
        <w:rPr>
          <w:rFonts w:hint="eastAsia" w:ascii="宋体" w:hAnsi="宋体" w:eastAsia="宋体" w:cs="宋体"/>
          <w:color w:val="auto"/>
          <w:kern w:val="0"/>
          <w:sz w:val="24"/>
          <w:highlight w:val="none"/>
        </w:rPr>
        <w:t>文件中开标一览表内容与投标文件中相应内容不一致的，以开标一览表为准；</w:t>
      </w:r>
    </w:p>
    <w:p w14:paraId="2207215C">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（3）投标</w:t>
      </w:r>
      <w:r>
        <w:rPr>
          <w:rFonts w:hint="eastAsia" w:ascii="宋体" w:hAnsi="宋体" w:cs="宋体"/>
          <w:color w:val="auto"/>
          <w:kern w:val="0"/>
          <w:sz w:val="24"/>
          <w:highlight w:val="none"/>
          <w:lang w:eastAsia="zh-CN"/>
        </w:rPr>
        <w:t>（响应</w:t>
      </w:r>
      <w:bookmarkStart w:id="473" w:name="_GoBack"/>
      <w:bookmarkEnd w:id="473"/>
      <w:r>
        <w:rPr>
          <w:rFonts w:hint="eastAsia" w:ascii="宋体" w:hAnsi="宋体" w:cs="宋体"/>
          <w:color w:val="auto"/>
          <w:kern w:val="0"/>
          <w:sz w:val="24"/>
          <w:highlight w:val="none"/>
          <w:lang w:eastAsia="zh-CN"/>
        </w:rPr>
        <w:t>）</w:t>
      </w:r>
      <w:r>
        <w:rPr>
          <w:rFonts w:hint="eastAsia" w:ascii="宋体" w:hAnsi="宋体" w:eastAsia="宋体" w:cs="宋体"/>
          <w:color w:val="auto"/>
          <w:kern w:val="0"/>
          <w:sz w:val="24"/>
          <w:highlight w:val="none"/>
        </w:rPr>
        <w:t>文件的大写金额和小写金额不一致的，以大写金额为准。</w:t>
      </w:r>
    </w:p>
    <w:p w14:paraId="20E05714">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（4）单价金额小数点或者百分比有明显错位的，以开标一览表的总价为准，并修改单价；</w:t>
      </w:r>
    </w:p>
    <w:p w14:paraId="2E8ACC17">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（5）总价金额与按单价汇总金额不一致的，以单价金额计算结果为准。</w:t>
      </w:r>
    </w:p>
    <w:p w14:paraId="7FC3B470">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同时出现两种以上不一致的，按照前款规定的顺序修正。修正后的报价通过“政采云”经供应商确认后产生约束力，供应商不确认的，其投标无效。</w:t>
      </w:r>
    </w:p>
    <w:p w14:paraId="2E9119A8">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15.3评审小组对投标（响应）文件的判定，只依据投标（响应）内容本身，不依靠开标后的任何外来证明。</w:t>
      </w:r>
    </w:p>
    <w:p w14:paraId="547CABCD">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16.投标（响应）文件的澄清</w:t>
      </w:r>
    </w:p>
    <w:p w14:paraId="28054EC1">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16.1评审小组有权就投标（响应）文件中含混之处向供应商提出询问或澄清要求，供应商应当按照评审小组通知的时间、地点进行答疑和澄清。</w:t>
      </w:r>
    </w:p>
    <w:p w14:paraId="7037B37B">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16.2必要时评审小组将在政采云平台启动澄清程序，供应商应在规定时间内就要求澄清的问题作出答复并签章，相关答复的内容作为投标（响应）文件的一部分。</w:t>
      </w:r>
    </w:p>
    <w:p w14:paraId="3A539EB0">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16.3供应商对投标（响应）文件的澄清不得改变投标（响应）价格及实质内容。</w:t>
      </w:r>
    </w:p>
    <w:p w14:paraId="06BE1423">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16.4供应商未在规定时间内作出澄清，相关后果由供应商自行承担。</w:t>
      </w:r>
    </w:p>
    <w:p w14:paraId="331131B6">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16.5供应商的授权代表在开评审全过程中应当保持通讯畅通，及时关注政采云平台项目开评审进程，查阅相关信息，及时作出投标（响应）。</w:t>
      </w:r>
    </w:p>
    <w:p w14:paraId="506810F3">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17.比较及评价</w:t>
      </w:r>
    </w:p>
    <w:p w14:paraId="463C54D4">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17.1征集人根据征集项目特点组建评审小组，对符合资格要求的投标（响应）文件进行评估和比较。评审小组由采购人代表和评审专家组成，成员人数应当为5人以上单数，其中评审专家不得少于成员总数的三分之二。</w:t>
      </w:r>
    </w:p>
    <w:p w14:paraId="236BF6DD">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17.2评审标准及评审方法详见征集文件第</w:t>
      </w:r>
      <w:r>
        <w:rPr>
          <w:rFonts w:hint="eastAsia" w:ascii="宋体" w:hAnsi="宋体" w:eastAsia="宋体" w:cs="宋体"/>
          <w:color w:val="auto"/>
          <w:kern w:val="0"/>
          <w:sz w:val="24"/>
          <w:highlight w:val="none"/>
          <w:lang w:eastAsia="zh-CN"/>
        </w:rPr>
        <w:t>四章</w:t>
      </w:r>
      <w:r>
        <w:rPr>
          <w:rFonts w:hint="eastAsia" w:ascii="宋体" w:hAnsi="宋体" w:eastAsia="宋体" w:cs="宋体"/>
          <w:color w:val="auto"/>
          <w:kern w:val="0"/>
          <w:sz w:val="24"/>
          <w:highlight w:val="none"/>
        </w:rPr>
        <w:t>。</w:t>
      </w:r>
    </w:p>
    <w:p w14:paraId="5A089050">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18.评审过程保密</w:t>
      </w:r>
    </w:p>
    <w:p w14:paraId="736AB15D">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18.1开标之后，直到评审结束，凡是属于审查、澄清、评价和比较投标（响应）的有关资料以及授标意向等，均不得向供应商或其他无关的人员透露。</w:t>
      </w:r>
    </w:p>
    <w:p w14:paraId="12CDD4A5">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18.2 在评审期间，供应商企图影响采购人的任何活动，将导致投标（响应）被拒绝，并承担相应法律责任。</w:t>
      </w:r>
    </w:p>
    <w:p w14:paraId="34C899F9">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19.确定入围供应商</w:t>
      </w:r>
    </w:p>
    <w:p w14:paraId="0A31195C">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19.1入围供应商的选定规则和数量详见征集文件第</w:t>
      </w:r>
      <w:r>
        <w:rPr>
          <w:rFonts w:hint="eastAsia" w:ascii="宋体" w:hAnsi="宋体" w:cs="宋体"/>
          <w:color w:val="auto"/>
          <w:kern w:val="0"/>
          <w:sz w:val="24"/>
          <w:highlight w:val="none"/>
          <w:lang w:eastAsia="zh-CN"/>
        </w:rPr>
        <w:t>四章</w:t>
      </w:r>
      <w:r>
        <w:rPr>
          <w:rFonts w:hint="eastAsia" w:ascii="宋体" w:hAnsi="宋体" w:eastAsia="宋体" w:cs="宋体"/>
          <w:color w:val="auto"/>
          <w:kern w:val="0"/>
          <w:sz w:val="24"/>
          <w:highlight w:val="none"/>
        </w:rPr>
        <w:t>。</w:t>
      </w:r>
    </w:p>
    <w:p w14:paraId="1347BEF2">
      <w:pPr>
        <w:keepNext w:val="0"/>
        <w:keepLines w:val="0"/>
        <w:pageBreakBefore w:val="0"/>
        <w:widowControl w:val="0"/>
        <w:kinsoku/>
        <w:wordWrap/>
        <w:overflowPunct/>
        <w:topLinePunct w:val="0"/>
        <w:autoSpaceDE/>
        <w:autoSpaceDN/>
        <w:bidi w:val="0"/>
        <w:adjustRightInd w:val="0"/>
        <w:spacing w:line="360" w:lineRule="exact"/>
        <w:ind w:firstLine="482" w:firstLineChars="200"/>
        <w:textAlignment w:val="auto"/>
        <w:rPr>
          <w:rFonts w:hint="eastAsia" w:ascii="宋体" w:hAnsi="宋体" w:eastAsia="宋体" w:cs="宋体"/>
          <w:b/>
          <w:bCs/>
          <w:color w:val="auto"/>
          <w:kern w:val="0"/>
          <w:sz w:val="24"/>
          <w:highlight w:val="none"/>
        </w:rPr>
      </w:pPr>
      <w:bookmarkStart w:id="438" w:name="_Toc28542"/>
      <w:r>
        <w:rPr>
          <w:rFonts w:hint="eastAsia" w:ascii="宋体" w:hAnsi="宋体" w:eastAsia="宋体" w:cs="宋体"/>
          <w:b/>
          <w:bCs/>
          <w:color w:val="auto"/>
          <w:kern w:val="0"/>
          <w:sz w:val="24"/>
          <w:highlight w:val="none"/>
        </w:rPr>
        <w:t>六、 结果通知和协议签订</w:t>
      </w:r>
      <w:bookmarkEnd w:id="438"/>
    </w:p>
    <w:p w14:paraId="0472BA02">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20.评审结果公告和入围通知</w:t>
      </w:r>
    </w:p>
    <w:p w14:paraId="2116C227">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20.1。在评审结束后，评审结果在政府采购监督管理部门指定媒体上公示，公告期限为1个工作日，同时征集人向入围供应商发出电子入围通知书，入围供应商应及时下载入围通知书。</w:t>
      </w:r>
    </w:p>
    <w:p w14:paraId="3593C349">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20.2入围通知书是框架协议的组成部分。</w:t>
      </w:r>
    </w:p>
    <w:p w14:paraId="50CBB8F4">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21.签订框架协议</w:t>
      </w:r>
    </w:p>
    <w:p w14:paraId="48B463FA">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21.1入围供应商应按规定的时间、地点与征集人签订框架协议，否则按开标后撤回投标（响应）文件处理。</w:t>
      </w:r>
    </w:p>
    <w:p w14:paraId="2829B9B0">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21.2征集文件、入围供应商的投标（响应）文件及评审过程中有关澄清文件均应作为框架协议的附件。</w:t>
      </w:r>
    </w:p>
    <w:p w14:paraId="5202958F">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21.3</w:t>
      </w:r>
      <w:r>
        <w:rPr>
          <w:rFonts w:hint="eastAsia" w:ascii="宋体" w:hAnsi="宋体" w:eastAsia="宋体" w:cs="宋体"/>
          <w:b/>
          <w:bCs/>
          <w:color w:val="auto"/>
          <w:kern w:val="0"/>
          <w:sz w:val="24"/>
          <w:highlight w:val="none"/>
          <w:lang w:val="en-US" w:eastAsia="zh-CN"/>
        </w:rPr>
        <w:t>入围供应商在收到入围通知书之日后及时将服务承诺书、开标一览表等上传到响应信息模块。</w:t>
      </w:r>
    </w:p>
    <w:p w14:paraId="1B52B6C5">
      <w:pPr>
        <w:keepNext w:val="0"/>
        <w:keepLines w:val="0"/>
        <w:pageBreakBefore w:val="0"/>
        <w:widowControl w:val="0"/>
        <w:kinsoku/>
        <w:wordWrap/>
        <w:overflowPunct/>
        <w:topLinePunct w:val="0"/>
        <w:autoSpaceDE/>
        <w:autoSpaceDN/>
        <w:bidi w:val="0"/>
        <w:adjustRightInd w:val="0"/>
        <w:spacing w:line="360" w:lineRule="exact"/>
        <w:ind w:firstLine="482" w:firstLineChars="200"/>
        <w:textAlignment w:val="auto"/>
        <w:rPr>
          <w:rFonts w:hint="eastAsia" w:ascii="宋体" w:hAnsi="宋体" w:eastAsia="宋体" w:cs="宋体"/>
          <w:b/>
          <w:bCs/>
          <w:color w:val="auto"/>
          <w:kern w:val="0"/>
          <w:sz w:val="24"/>
          <w:highlight w:val="none"/>
        </w:rPr>
      </w:pPr>
      <w:bookmarkStart w:id="439" w:name="_Toc29705"/>
      <w:r>
        <w:rPr>
          <w:rFonts w:hint="eastAsia" w:ascii="宋体" w:hAnsi="宋体" w:eastAsia="宋体" w:cs="宋体"/>
          <w:b/>
          <w:bCs/>
          <w:color w:val="auto"/>
          <w:kern w:val="0"/>
          <w:sz w:val="24"/>
          <w:highlight w:val="none"/>
        </w:rPr>
        <w:t>七、 风险监督</w:t>
      </w:r>
      <w:bookmarkEnd w:id="439"/>
    </w:p>
    <w:p w14:paraId="45EB554F">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22.廉洁自律规定</w:t>
      </w:r>
    </w:p>
    <w:p w14:paraId="7A5368BC">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22.1 征集人工作人员不得与供应商恶意串通。</w:t>
      </w:r>
    </w:p>
    <w:p w14:paraId="5B6ECBCE">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22.2 征集人工作人员不得接受供应商组织的宴请、旅游、娱乐，不得收受礼品、现金、有价证券等，不得向供应商报销应当由个人承担的费用。</w:t>
      </w:r>
    </w:p>
    <w:p w14:paraId="6F4632CB">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23.人员回避</w:t>
      </w:r>
    </w:p>
    <w:p w14:paraId="564C871D">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供应商认为征集人工作人员及其相关人员有法律法规所列与其他供应商有利害关系的，可以向征集人书面提出回避申请，并说明理由。</w:t>
      </w:r>
    </w:p>
    <w:p w14:paraId="3FBD0FF6">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24.质疑的提出与接收</w:t>
      </w:r>
    </w:p>
    <w:p w14:paraId="13A58069">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24.1 供应商认为征集文件使自己的权益受到损害的，可以自获取采购文件之日或者采购文件公告期限届满之日（公告期限届满后获取采购文件的，以公告期限届满之日为准）起7个工作日内，以书面形式向征集人提出质疑。供应商认为征集过程和中标结果使自己的权益受到损害的，可以在入围结果公告期限届满之日起七个工作日内，以书面形式向征集人提出质疑。针对同一采购程序环节的质疑应一次性提出</w:t>
      </w:r>
      <w:r>
        <w:rPr>
          <w:rFonts w:hint="eastAsia" w:ascii="宋体" w:hAnsi="宋体" w:eastAsia="宋体" w:cs="宋体"/>
          <w:color w:val="auto"/>
          <w:kern w:val="0"/>
          <w:sz w:val="24"/>
          <w:highlight w:val="none"/>
          <w:lang w:eastAsia="zh-CN"/>
        </w:rPr>
        <w:t>。</w:t>
      </w:r>
    </w:p>
    <w:p w14:paraId="56154884">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24.2 质疑供应商应按照财政部制定的《政府采购质疑函范本》格式（可从www.ccgp.gov.cn网站下载）和《政府采购质疑和投诉办法》的要求提出</w:t>
      </w:r>
      <w:r>
        <w:rPr>
          <w:rFonts w:hint="default" w:ascii="宋体" w:hAnsi="宋体" w:eastAsia="宋体" w:cs="宋体"/>
          <w:color w:val="auto"/>
          <w:kern w:val="0"/>
          <w:sz w:val="24"/>
          <w:highlight w:val="none"/>
          <w:lang w:val="en-US" w:eastAsia="zh-CN"/>
        </w:rPr>
        <w:t>质疑</w:t>
      </w:r>
      <w:r>
        <w:rPr>
          <w:rFonts w:hint="eastAsia" w:ascii="宋体" w:hAnsi="宋体" w:eastAsia="宋体" w:cs="宋体"/>
          <w:color w:val="auto"/>
          <w:kern w:val="0"/>
          <w:sz w:val="24"/>
          <w:highlight w:val="none"/>
          <w:lang w:val="en-US" w:eastAsia="zh-CN"/>
        </w:rPr>
        <w:t>，</w:t>
      </w:r>
      <w:r>
        <w:rPr>
          <w:rFonts w:hint="default" w:ascii="宋体" w:hAnsi="宋体" w:eastAsia="宋体" w:cs="宋体"/>
          <w:color w:val="auto"/>
          <w:kern w:val="0"/>
          <w:sz w:val="24"/>
          <w:highlight w:val="none"/>
          <w:lang w:val="en-US" w:eastAsia="zh-CN"/>
        </w:rPr>
        <w:t>质疑函应当包括下列内容：</w:t>
      </w:r>
    </w:p>
    <w:p w14:paraId="6996DD29">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default" w:ascii="宋体" w:hAnsi="宋体" w:eastAsia="宋体" w:cs="宋体"/>
          <w:color w:val="auto"/>
          <w:kern w:val="0"/>
          <w:sz w:val="24"/>
          <w:highlight w:val="none"/>
          <w:lang w:val="en-US" w:eastAsia="zh-CN"/>
        </w:rPr>
      </w:pPr>
      <w:r>
        <w:rPr>
          <w:rFonts w:hint="default" w:ascii="宋体" w:hAnsi="宋体" w:eastAsia="宋体" w:cs="宋体"/>
          <w:color w:val="auto"/>
          <w:kern w:val="0"/>
          <w:sz w:val="24"/>
          <w:highlight w:val="none"/>
          <w:lang w:val="en-US" w:eastAsia="zh-CN"/>
        </w:rPr>
        <w:t>（1）供应商的名称（或姓名）、地址、邮编、联系人及联系电话；</w:t>
      </w:r>
    </w:p>
    <w:p w14:paraId="2191CAB1">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default" w:ascii="宋体" w:hAnsi="宋体" w:eastAsia="宋体" w:cs="宋体"/>
          <w:color w:val="auto"/>
          <w:kern w:val="0"/>
          <w:sz w:val="24"/>
          <w:highlight w:val="none"/>
          <w:lang w:val="en-US" w:eastAsia="zh-CN"/>
        </w:rPr>
      </w:pPr>
      <w:r>
        <w:rPr>
          <w:rFonts w:hint="default" w:ascii="宋体" w:hAnsi="宋体" w:eastAsia="宋体" w:cs="宋体"/>
          <w:color w:val="auto"/>
          <w:kern w:val="0"/>
          <w:sz w:val="24"/>
          <w:highlight w:val="none"/>
          <w:lang w:val="en-US" w:eastAsia="zh-CN"/>
        </w:rPr>
        <w:t>（2）质疑项目的名称、编号；</w:t>
      </w:r>
    </w:p>
    <w:p w14:paraId="721BC787">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default" w:ascii="宋体" w:hAnsi="宋体" w:eastAsia="宋体" w:cs="宋体"/>
          <w:color w:val="auto"/>
          <w:kern w:val="0"/>
          <w:sz w:val="24"/>
          <w:highlight w:val="none"/>
          <w:lang w:val="en-US" w:eastAsia="zh-CN"/>
        </w:rPr>
      </w:pPr>
      <w:r>
        <w:rPr>
          <w:rFonts w:hint="default" w:ascii="宋体" w:hAnsi="宋体" w:eastAsia="宋体" w:cs="宋体"/>
          <w:color w:val="auto"/>
          <w:kern w:val="0"/>
          <w:sz w:val="24"/>
          <w:highlight w:val="none"/>
          <w:lang w:val="en-US" w:eastAsia="zh-CN"/>
        </w:rPr>
        <w:t>（3）具体、明确的质疑事项和与质疑事项相关的请求；</w:t>
      </w:r>
    </w:p>
    <w:p w14:paraId="1F4F3B74">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default" w:ascii="宋体" w:hAnsi="宋体" w:eastAsia="宋体" w:cs="宋体"/>
          <w:color w:val="auto"/>
          <w:kern w:val="0"/>
          <w:sz w:val="24"/>
          <w:highlight w:val="none"/>
          <w:lang w:val="en-US" w:eastAsia="zh-CN"/>
        </w:rPr>
      </w:pPr>
      <w:r>
        <w:rPr>
          <w:rFonts w:hint="default" w:ascii="宋体" w:hAnsi="宋体" w:eastAsia="宋体" w:cs="宋体"/>
          <w:color w:val="auto"/>
          <w:kern w:val="0"/>
          <w:sz w:val="24"/>
          <w:highlight w:val="none"/>
          <w:lang w:val="en-US" w:eastAsia="zh-CN"/>
        </w:rPr>
        <w:t>（4）事实依据及相关证据材料；</w:t>
      </w:r>
    </w:p>
    <w:p w14:paraId="76AFF356">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default" w:ascii="宋体" w:hAnsi="宋体" w:eastAsia="宋体" w:cs="宋体"/>
          <w:color w:val="auto"/>
          <w:kern w:val="0"/>
          <w:sz w:val="24"/>
          <w:highlight w:val="none"/>
          <w:lang w:val="en-US" w:eastAsia="zh-CN"/>
        </w:rPr>
      </w:pPr>
      <w:r>
        <w:rPr>
          <w:rFonts w:hint="default" w:ascii="宋体" w:hAnsi="宋体" w:eastAsia="宋体" w:cs="宋体"/>
          <w:color w:val="auto"/>
          <w:kern w:val="0"/>
          <w:sz w:val="24"/>
          <w:highlight w:val="none"/>
          <w:lang w:val="en-US" w:eastAsia="zh-CN"/>
        </w:rPr>
        <w:t>（5）必要的法律依据；</w:t>
      </w:r>
    </w:p>
    <w:p w14:paraId="03DFA111">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default" w:ascii="宋体" w:hAnsi="宋体" w:eastAsia="宋体" w:cs="宋体"/>
          <w:color w:val="auto"/>
          <w:kern w:val="0"/>
          <w:sz w:val="24"/>
          <w:highlight w:val="none"/>
          <w:lang w:val="en-US" w:eastAsia="zh-CN"/>
        </w:rPr>
      </w:pPr>
      <w:r>
        <w:rPr>
          <w:rFonts w:hint="default" w:ascii="宋体" w:hAnsi="宋体" w:eastAsia="宋体" w:cs="宋体"/>
          <w:color w:val="auto"/>
          <w:kern w:val="0"/>
          <w:sz w:val="24"/>
          <w:highlight w:val="none"/>
          <w:lang w:val="en-US" w:eastAsia="zh-CN"/>
        </w:rPr>
        <w:t>（6）提出质疑的日期。</w:t>
      </w:r>
    </w:p>
    <w:p w14:paraId="1A852D54">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default" w:ascii="宋体" w:hAnsi="宋体" w:eastAsia="宋体" w:cs="宋体"/>
          <w:color w:val="auto"/>
          <w:kern w:val="0"/>
          <w:sz w:val="24"/>
          <w:highlight w:val="none"/>
          <w:lang w:val="en-US" w:eastAsia="zh-CN"/>
        </w:rPr>
      </w:pPr>
      <w:r>
        <w:rPr>
          <w:rFonts w:hint="default" w:ascii="宋体" w:hAnsi="宋体" w:eastAsia="宋体" w:cs="宋体"/>
          <w:color w:val="auto"/>
          <w:kern w:val="0"/>
          <w:sz w:val="24"/>
          <w:highlight w:val="none"/>
          <w:lang w:val="en-US" w:eastAsia="zh-CN"/>
        </w:rPr>
        <w:t>供应商为自然人的，应当由本人签字；供应商为法人或者其他组织的，应当由法定代表人、主要负责人，或者其授权代表签字或者盖章，并加盖公章。质疑应明确阐述招标过程或中标结果中使自己合法权益受到损害的实质性内容，提供相关事实、依据和证据及其来源或线索，便于有关单位调查、答复和处理，质疑函不符合《政府采购质疑和投诉办法》相关规定的，应在规定期限内补齐的，招标方自收到补齐材料之日起受理；逾期未补齐的，按自动撤回质疑处理。</w:t>
      </w:r>
    </w:p>
    <w:p w14:paraId="29AA1B1E">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24.3</w:t>
      </w:r>
      <w:r>
        <w:rPr>
          <w:rFonts w:hint="default" w:ascii="宋体" w:hAnsi="宋体" w:eastAsia="宋体" w:cs="宋体"/>
          <w:color w:val="auto"/>
          <w:kern w:val="0"/>
          <w:sz w:val="24"/>
          <w:highlight w:val="none"/>
          <w:lang w:val="en-US" w:eastAsia="zh-CN"/>
        </w:rPr>
        <w:t>质疑投诉存在以下情形之一的，将不予受理：</w:t>
      </w:r>
    </w:p>
    <w:p w14:paraId="331999A9">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default" w:ascii="宋体" w:hAnsi="宋体" w:eastAsia="宋体" w:cs="宋体"/>
          <w:color w:val="auto"/>
          <w:kern w:val="0"/>
          <w:sz w:val="24"/>
          <w:highlight w:val="none"/>
          <w:lang w:val="en-US" w:eastAsia="zh-CN"/>
        </w:rPr>
      </w:pPr>
      <w:r>
        <w:rPr>
          <w:rFonts w:hint="default" w:ascii="宋体" w:hAnsi="宋体" w:eastAsia="宋体" w:cs="宋体"/>
          <w:color w:val="auto"/>
          <w:kern w:val="0"/>
          <w:sz w:val="24"/>
          <w:highlight w:val="none"/>
          <w:lang w:val="en-US" w:eastAsia="zh-CN"/>
        </w:rPr>
        <w:t>（1）质疑投诉人不是参加本项目的供应商；</w:t>
      </w:r>
    </w:p>
    <w:p w14:paraId="1FB48A00">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default" w:ascii="宋体" w:hAnsi="宋体" w:eastAsia="宋体" w:cs="宋体"/>
          <w:color w:val="auto"/>
          <w:kern w:val="0"/>
          <w:sz w:val="24"/>
          <w:highlight w:val="none"/>
          <w:lang w:val="en-US" w:eastAsia="zh-CN"/>
        </w:rPr>
      </w:pPr>
      <w:r>
        <w:rPr>
          <w:rFonts w:hint="default" w:ascii="宋体" w:hAnsi="宋体" w:eastAsia="宋体" w:cs="宋体"/>
          <w:color w:val="auto"/>
          <w:kern w:val="0"/>
          <w:sz w:val="24"/>
          <w:highlight w:val="none"/>
          <w:lang w:val="en-US" w:eastAsia="zh-CN"/>
        </w:rPr>
        <w:t>（2）供应商自身权益未受到损害的；</w:t>
      </w:r>
    </w:p>
    <w:p w14:paraId="551B9881">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default" w:ascii="宋体" w:hAnsi="宋体" w:eastAsia="宋体" w:cs="宋体"/>
          <w:color w:val="auto"/>
          <w:kern w:val="0"/>
          <w:sz w:val="24"/>
          <w:highlight w:val="none"/>
          <w:lang w:val="en-US" w:eastAsia="zh-CN"/>
        </w:rPr>
      </w:pPr>
      <w:r>
        <w:rPr>
          <w:rFonts w:hint="default" w:ascii="宋体" w:hAnsi="宋体" w:eastAsia="宋体" w:cs="宋体"/>
          <w:color w:val="auto"/>
          <w:kern w:val="0"/>
          <w:sz w:val="24"/>
          <w:highlight w:val="none"/>
          <w:lang w:val="en-US" w:eastAsia="zh-CN"/>
        </w:rPr>
        <w:t>（3）已超过法定质疑投诉提出期限的事项；</w:t>
      </w:r>
    </w:p>
    <w:p w14:paraId="116591FC">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default" w:ascii="宋体" w:hAnsi="宋体" w:eastAsia="宋体" w:cs="宋体"/>
          <w:color w:val="auto"/>
          <w:kern w:val="0"/>
          <w:sz w:val="24"/>
          <w:highlight w:val="none"/>
          <w:lang w:val="en-US" w:eastAsia="zh-CN"/>
        </w:rPr>
      </w:pPr>
      <w:r>
        <w:rPr>
          <w:rFonts w:hint="default" w:ascii="宋体" w:hAnsi="宋体" w:eastAsia="宋体" w:cs="宋体"/>
          <w:color w:val="auto"/>
          <w:kern w:val="0"/>
          <w:sz w:val="24"/>
          <w:highlight w:val="none"/>
          <w:lang w:val="en-US" w:eastAsia="zh-CN"/>
        </w:rPr>
        <w:t>（4）质疑未提供书面质疑或未按要求签署或盖章的；</w:t>
      </w:r>
    </w:p>
    <w:p w14:paraId="6DC49CA8">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default" w:ascii="宋体" w:hAnsi="宋体" w:eastAsia="宋体" w:cs="宋体"/>
          <w:color w:val="auto"/>
          <w:kern w:val="0"/>
          <w:sz w:val="24"/>
          <w:highlight w:val="none"/>
          <w:lang w:val="en-US" w:eastAsia="zh-CN"/>
        </w:rPr>
      </w:pPr>
      <w:r>
        <w:rPr>
          <w:rFonts w:hint="default" w:ascii="宋体" w:hAnsi="宋体" w:eastAsia="宋体" w:cs="宋体"/>
          <w:color w:val="auto"/>
          <w:kern w:val="0"/>
          <w:sz w:val="24"/>
          <w:highlight w:val="none"/>
          <w:lang w:val="en-US" w:eastAsia="zh-CN"/>
        </w:rPr>
        <w:t>（5）质疑已经处理并答复后，质疑人就同一事项再次提起质疑且未提供新的有效证据的；</w:t>
      </w:r>
    </w:p>
    <w:p w14:paraId="03667907">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default" w:ascii="宋体" w:hAnsi="宋体" w:eastAsia="宋体" w:cs="宋体"/>
          <w:color w:val="auto"/>
          <w:kern w:val="0"/>
          <w:sz w:val="24"/>
          <w:highlight w:val="none"/>
          <w:lang w:val="en-US" w:eastAsia="zh-CN"/>
        </w:rPr>
      </w:pPr>
      <w:r>
        <w:rPr>
          <w:rFonts w:hint="default" w:ascii="宋体" w:hAnsi="宋体" w:eastAsia="宋体" w:cs="宋体"/>
          <w:color w:val="auto"/>
          <w:kern w:val="0"/>
          <w:sz w:val="24"/>
          <w:highlight w:val="none"/>
          <w:lang w:val="en-US" w:eastAsia="zh-CN"/>
        </w:rPr>
        <w:t>（6）质疑投诉的事项已经进入行政复议或者行政诉讼程序的；投诉事项应先提出质疑而没有提出质疑的；</w:t>
      </w:r>
    </w:p>
    <w:p w14:paraId="573C6EFD">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default" w:ascii="宋体" w:hAnsi="宋体" w:eastAsia="宋体" w:cs="宋体"/>
          <w:color w:val="auto"/>
          <w:kern w:val="0"/>
          <w:sz w:val="24"/>
          <w:highlight w:val="none"/>
          <w:lang w:val="en-US" w:eastAsia="zh-CN"/>
        </w:rPr>
      </w:pPr>
      <w:r>
        <w:rPr>
          <w:rFonts w:hint="default" w:ascii="宋体" w:hAnsi="宋体" w:eastAsia="宋体" w:cs="宋体"/>
          <w:color w:val="auto"/>
          <w:kern w:val="0"/>
          <w:sz w:val="24"/>
          <w:highlight w:val="none"/>
          <w:lang w:val="en-US" w:eastAsia="zh-CN"/>
        </w:rPr>
        <w:t>（7）不符合《政府采购质疑和投诉办法》（财政部令第94号）等有关规定的投诉。</w:t>
      </w:r>
    </w:p>
    <w:p w14:paraId="05DB6DA2">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24.4  质疑函接收联系人、联系电话和通讯地址见供应商须知资料表。</w:t>
      </w:r>
    </w:p>
    <w:p w14:paraId="1BE7C649">
      <w:pPr>
        <w:keepNext w:val="0"/>
        <w:keepLines w:val="0"/>
        <w:pageBreakBefore w:val="0"/>
        <w:widowControl w:val="0"/>
        <w:kinsoku/>
        <w:wordWrap/>
        <w:overflowPunct/>
        <w:topLinePunct w:val="0"/>
        <w:autoSpaceDE/>
        <w:autoSpaceDN/>
        <w:bidi w:val="0"/>
        <w:adjustRightInd w:val="0"/>
        <w:spacing w:line="360" w:lineRule="exact"/>
        <w:ind w:firstLine="482" w:firstLineChars="200"/>
        <w:textAlignment w:val="auto"/>
        <w:rPr>
          <w:rFonts w:hint="eastAsia" w:ascii="宋体" w:hAnsi="宋体" w:eastAsia="宋体" w:cs="宋体"/>
          <w:b/>
          <w:bCs/>
          <w:color w:val="auto"/>
          <w:kern w:val="0"/>
          <w:sz w:val="24"/>
          <w:highlight w:val="none"/>
        </w:rPr>
      </w:pPr>
      <w:bookmarkStart w:id="440" w:name="_Toc2788"/>
      <w:r>
        <w:rPr>
          <w:rFonts w:hint="eastAsia" w:ascii="宋体" w:hAnsi="宋体" w:eastAsia="宋体" w:cs="宋体"/>
          <w:b/>
          <w:bCs/>
          <w:color w:val="auto"/>
          <w:kern w:val="0"/>
          <w:sz w:val="24"/>
          <w:highlight w:val="none"/>
        </w:rPr>
        <w:t>八、 验收</w:t>
      </w:r>
      <w:bookmarkEnd w:id="440"/>
    </w:p>
    <w:p w14:paraId="3FCCB946">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25.根据中华人民共和国现行技术标准，按采购文件以及合同规定的验收评定标准等规范，由采购人根</w:t>
      </w:r>
      <w:r>
        <w:rPr>
          <w:rFonts w:hint="eastAsia" w:ascii="宋体" w:hAnsi="宋体" w:eastAsia="宋体" w:cs="宋体"/>
          <w:color w:val="auto"/>
          <w:kern w:val="0"/>
          <w:sz w:val="24"/>
          <w:highlight w:val="none"/>
          <w:lang w:val="zh-CN"/>
        </w:rPr>
        <w:t>据《义乌市人民政府办公室关于印发规范政府采购管理若干意见的通知》（义政办发〔2017〕102号）、《政府采购合同履约和验收管理办法（暂行）》（义招管办【2008】32号）文件要求组织验收。</w:t>
      </w:r>
    </w:p>
    <w:p w14:paraId="76DFE8FB">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26.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挂钩。履约验收的各项资料应当存档备查。</w:t>
      </w:r>
    </w:p>
    <w:p w14:paraId="7F57728C">
      <w:pPr>
        <w:keepNext w:val="0"/>
        <w:keepLines w:val="0"/>
        <w:pageBreakBefore w:val="0"/>
        <w:widowControl w:val="0"/>
        <w:kinsoku/>
        <w:wordWrap/>
        <w:overflowPunct/>
        <w:topLinePunct w:val="0"/>
        <w:autoSpaceDE/>
        <w:autoSpaceDN/>
        <w:bidi w:val="0"/>
        <w:adjustRightInd w:val="0"/>
        <w:spacing w:line="3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27.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168EDC4E">
      <w:pPr>
        <w:spacing w:line="360" w:lineRule="auto"/>
        <w:jc w:val="center"/>
        <w:outlineLvl w:val="0"/>
        <w:rPr>
          <w:rFonts w:hint="eastAsia" w:ascii="黑体" w:hAnsi="黑体" w:eastAsia="黑体" w:cs="黑体"/>
          <w:b/>
          <w:color w:val="auto"/>
          <w:sz w:val="32"/>
          <w:szCs w:val="32"/>
          <w:highlight w:val="none"/>
        </w:rPr>
      </w:pPr>
    </w:p>
    <w:p w14:paraId="01C40BCC">
      <w:pPr>
        <w:spacing w:line="360" w:lineRule="auto"/>
        <w:jc w:val="center"/>
        <w:outlineLvl w:val="0"/>
        <w:rPr>
          <w:rFonts w:hint="eastAsia" w:ascii="黑体" w:hAnsi="黑体" w:eastAsia="黑体" w:cs="黑体"/>
          <w:b/>
          <w:color w:val="auto"/>
          <w:sz w:val="32"/>
          <w:szCs w:val="32"/>
          <w:highlight w:val="none"/>
        </w:rPr>
      </w:pPr>
    </w:p>
    <w:p w14:paraId="11E01278">
      <w:pPr>
        <w:pStyle w:val="2"/>
        <w:rPr>
          <w:rFonts w:hint="eastAsia" w:ascii="黑体" w:hAnsi="黑体" w:eastAsia="黑体" w:cs="黑体"/>
          <w:b/>
          <w:color w:val="auto"/>
          <w:sz w:val="32"/>
          <w:szCs w:val="32"/>
          <w:highlight w:val="none"/>
        </w:rPr>
      </w:pPr>
    </w:p>
    <w:p w14:paraId="6D8C3347">
      <w:pPr>
        <w:pStyle w:val="2"/>
        <w:rPr>
          <w:rFonts w:hint="eastAsia" w:ascii="黑体" w:hAnsi="黑体" w:eastAsia="黑体" w:cs="黑体"/>
          <w:b/>
          <w:color w:val="auto"/>
          <w:sz w:val="32"/>
          <w:szCs w:val="32"/>
          <w:highlight w:val="none"/>
        </w:rPr>
      </w:pPr>
    </w:p>
    <w:p w14:paraId="6F311070">
      <w:pPr>
        <w:pStyle w:val="2"/>
        <w:rPr>
          <w:rFonts w:hint="eastAsia" w:ascii="黑体" w:hAnsi="黑体" w:eastAsia="黑体" w:cs="黑体"/>
          <w:b/>
          <w:color w:val="auto"/>
          <w:sz w:val="32"/>
          <w:szCs w:val="32"/>
          <w:highlight w:val="none"/>
        </w:rPr>
      </w:pPr>
    </w:p>
    <w:p w14:paraId="423B0721">
      <w:pPr>
        <w:pStyle w:val="2"/>
        <w:rPr>
          <w:rFonts w:hint="eastAsia" w:ascii="黑体" w:hAnsi="黑体" w:eastAsia="黑体" w:cs="黑体"/>
          <w:b/>
          <w:color w:val="auto"/>
          <w:sz w:val="32"/>
          <w:szCs w:val="32"/>
          <w:highlight w:val="none"/>
        </w:rPr>
      </w:pPr>
    </w:p>
    <w:p w14:paraId="709C2882">
      <w:pPr>
        <w:pStyle w:val="20"/>
        <w:rPr>
          <w:rFonts w:hint="eastAsia" w:ascii="黑体" w:hAnsi="黑体" w:eastAsia="黑体" w:cs="黑体"/>
          <w:b/>
          <w:color w:val="auto"/>
          <w:sz w:val="32"/>
          <w:szCs w:val="32"/>
          <w:highlight w:val="none"/>
        </w:rPr>
      </w:pPr>
    </w:p>
    <w:p w14:paraId="5BF744F6">
      <w:pPr>
        <w:rPr>
          <w:rFonts w:hint="eastAsia"/>
        </w:rPr>
      </w:pPr>
    </w:p>
    <w:p w14:paraId="538A6BE0">
      <w:pPr>
        <w:spacing w:line="360" w:lineRule="auto"/>
        <w:jc w:val="center"/>
        <w:outlineLvl w:val="0"/>
        <w:rPr>
          <w:rFonts w:ascii="宋体" w:hAnsi="宋体" w:cs="宋体"/>
          <w:b/>
          <w:color w:val="auto"/>
          <w:sz w:val="24"/>
          <w:highlight w:val="none"/>
          <w:lang w:bidi="ar"/>
        </w:rPr>
      </w:pPr>
      <w:r>
        <w:rPr>
          <w:rFonts w:hint="eastAsia" w:ascii="黑体" w:hAnsi="黑体" w:eastAsia="黑体" w:cs="黑体"/>
          <w:b/>
          <w:color w:val="auto"/>
          <w:sz w:val="32"/>
          <w:szCs w:val="32"/>
          <w:highlight w:val="none"/>
        </w:rPr>
        <w:t>第四章 评审办法</w:t>
      </w:r>
      <w:bookmarkEnd w:id="422"/>
      <w:bookmarkEnd w:id="423"/>
      <w:bookmarkEnd w:id="424"/>
      <w:bookmarkEnd w:id="425"/>
      <w:bookmarkEnd w:id="426"/>
      <w:bookmarkEnd w:id="427"/>
      <w:bookmarkEnd w:id="428"/>
      <w:bookmarkEnd w:id="429"/>
      <w:bookmarkEnd w:id="430"/>
      <w:bookmarkEnd w:id="431"/>
      <w:bookmarkEnd w:id="432"/>
      <w:bookmarkEnd w:id="433"/>
    </w:p>
    <w:bookmarkEnd w:id="434"/>
    <w:p w14:paraId="25B960EE">
      <w:pPr>
        <w:pStyle w:val="992"/>
        <w:keepNext w:val="0"/>
        <w:pageBreakBefore w:val="0"/>
        <w:widowControl w:val="0"/>
        <w:numPr>
          <w:ilvl w:val="0"/>
          <w:numId w:val="2"/>
        </w:numPr>
        <w:kinsoku/>
        <w:overflowPunct/>
        <w:topLinePunct w:val="0"/>
        <w:bidi w:val="0"/>
        <w:adjustRightInd w:val="0"/>
        <w:spacing w:line="400" w:lineRule="exact"/>
        <w:ind w:left="613" w:leftChars="0" w:hanging="193" w:firstLineChars="0"/>
        <w:textAlignment w:val="auto"/>
        <w:outlineLvl w:val="1"/>
        <w:rPr>
          <w:rFonts w:hint="eastAsia" w:ascii="宋体" w:hAnsi="宋体" w:eastAsia="宋体" w:cs="宋体"/>
          <w:b/>
          <w:bCs/>
          <w:color w:val="auto"/>
          <w:kern w:val="0"/>
          <w:sz w:val="24"/>
          <w:szCs w:val="24"/>
          <w:highlight w:val="none"/>
          <w:lang w:val="en-US" w:eastAsia="zh-CN" w:bidi="ar-SA"/>
        </w:rPr>
      </w:pPr>
      <w:bookmarkStart w:id="441" w:name="_Toc13371"/>
      <w:bookmarkStart w:id="442" w:name="_Toc28629"/>
      <w:bookmarkStart w:id="443" w:name="_Toc22290"/>
      <w:bookmarkStart w:id="444" w:name="_Toc12903"/>
      <w:bookmarkStart w:id="445" w:name="_Toc27563"/>
      <w:bookmarkStart w:id="446" w:name="第五部分"/>
      <w:bookmarkStart w:id="447" w:name="_Toc86217003"/>
      <w:r>
        <w:rPr>
          <w:rFonts w:hint="eastAsia" w:ascii="宋体" w:hAnsi="宋体" w:eastAsia="宋体" w:cs="宋体"/>
          <w:b/>
          <w:bCs/>
          <w:color w:val="auto"/>
          <w:kern w:val="0"/>
          <w:sz w:val="24"/>
          <w:szCs w:val="24"/>
          <w:highlight w:val="none"/>
          <w:lang w:val="en-US" w:eastAsia="zh-CN" w:bidi="ar-SA"/>
        </w:rPr>
        <w:t>电子开评标及评审程序</w:t>
      </w:r>
      <w:bookmarkEnd w:id="441"/>
    </w:p>
    <w:p w14:paraId="33638A79">
      <w:pPr>
        <w:pStyle w:val="992"/>
        <w:keepNext w:val="0"/>
        <w:pageBreakBefore w:val="0"/>
        <w:widowControl w:val="0"/>
        <w:kinsoku/>
        <w:overflowPunct/>
        <w:topLinePunct w:val="0"/>
        <w:bidi w:val="0"/>
        <w:adjustRightInd w:val="0"/>
        <w:spacing w:line="400" w:lineRule="exact"/>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本项目采用线上开标，供应商无需到开标现场，但应准时参加线上开标。开标时间后征集人开启解密。征集人开启解密后的1小时内，供应商应当登录“政采云”，自行对电子投标文件完成解密（请各供应商务必在规定时间内完成电子投标（响应）文件的解密工作，在电子开评标期间，供应商（授权代表）需确保在各自所在的区域具备上网的技术条件并保持网络及联系方式畅通）。</w:t>
      </w:r>
    </w:p>
    <w:p w14:paraId="3754C904">
      <w:pPr>
        <w:pStyle w:val="992"/>
        <w:keepNext w:val="0"/>
        <w:pageBreakBefore w:val="0"/>
        <w:widowControl w:val="0"/>
        <w:kinsoku/>
        <w:overflowPunct/>
        <w:topLinePunct w:val="0"/>
        <w:bidi w:val="0"/>
        <w:adjustRightInd w:val="0"/>
        <w:spacing w:line="400" w:lineRule="exact"/>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2.征集人对供应商的资格响应文件进行评审。征集人应对投标人“信用中国”网站（www.creditchina.gov.cn）、中国政府采购网（www.ccgp.gov.cn）信用记录情况进行查询。</w:t>
      </w:r>
    </w:p>
    <w:p w14:paraId="71D5E667">
      <w:pPr>
        <w:pStyle w:val="992"/>
        <w:keepNext w:val="0"/>
        <w:pageBreakBefore w:val="0"/>
        <w:widowControl w:val="0"/>
        <w:kinsoku/>
        <w:overflowPunct/>
        <w:topLinePunct w:val="0"/>
        <w:bidi w:val="0"/>
        <w:adjustRightInd w:val="0"/>
        <w:spacing w:line="400" w:lineRule="exact"/>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3.评审小组对通过资格审查的供应商商务技术响应文件进行评审。</w:t>
      </w:r>
    </w:p>
    <w:p w14:paraId="70A64EC4">
      <w:pPr>
        <w:pStyle w:val="35"/>
        <w:keepNext w:val="0"/>
        <w:pageBreakBefore w:val="0"/>
        <w:widowControl w:val="0"/>
        <w:kinsoku/>
        <w:overflowPunct/>
        <w:topLinePunct w:val="0"/>
        <w:bidi w:val="0"/>
        <w:adjustRightInd w:val="0"/>
        <w:spacing w:line="400" w:lineRule="exact"/>
        <w:ind w:firstLine="480" w:firstLineChars="200"/>
        <w:textAlignment w:val="auto"/>
        <w:rPr>
          <w:rFonts w:hint="eastAsia" w:ascii="新宋体" w:hAnsi="新宋体" w:eastAsia="新宋体"/>
          <w:color w:val="auto"/>
          <w:sz w:val="24"/>
        </w:rPr>
      </w:pPr>
      <w:r>
        <w:rPr>
          <w:rFonts w:hint="eastAsia" w:ascii="宋体" w:hAnsi="宋体" w:eastAsia="宋体" w:cs="宋体"/>
          <w:color w:val="auto"/>
          <w:kern w:val="0"/>
          <w:sz w:val="24"/>
          <w:szCs w:val="24"/>
          <w:highlight w:val="none"/>
          <w:lang w:val="en-US" w:eastAsia="zh-CN" w:bidi="ar-SA"/>
        </w:rPr>
        <w:t>4.评审小组对通过符合性审查的供应商报价响应文件进行评审</w:t>
      </w:r>
      <w:r>
        <w:rPr>
          <w:rFonts w:hint="eastAsia" w:ascii="新宋体" w:hAnsi="新宋体" w:eastAsia="新宋体"/>
          <w:color w:val="auto"/>
          <w:sz w:val="24"/>
        </w:rPr>
        <w:t>，</w:t>
      </w:r>
      <w:r>
        <w:rPr>
          <w:rFonts w:hint="eastAsia" w:hAnsi="宋体"/>
          <w:color w:val="auto"/>
          <w:sz w:val="24"/>
          <w:szCs w:val="24"/>
        </w:rPr>
        <w:t>评标小组</w:t>
      </w:r>
      <w:r>
        <w:rPr>
          <w:rFonts w:hint="eastAsia" w:ascii="新宋体" w:hAnsi="新宋体" w:eastAsia="新宋体"/>
          <w:color w:val="auto"/>
          <w:sz w:val="24"/>
        </w:rPr>
        <w:t>对上述投标人的报价文件进行评审；</w:t>
      </w:r>
      <w:r>
        <w:rPr>
          <w:rFonts w:hint="eastAsia" w:ascii="新宋体" w:hAnsi="新宋体" w:eastAsia="新宋体"/>
          <w:color w:val="auto"/>
          <w:sz w:val="24"/>
          <w:lang w:val="en-US" w:eastAsia="zh-CN"/>
        </w:rPr>
        <w:t>采购评审中出现下列情形之一的，</w:t>
      </w:r>
      <w:r>
        <w:rPr>
          <w:rFonts w:hint="eastAsia" w:hAnsi="宋体"/>
          <w:color w:val="auto"/>
          <w:sz w:val="24"/>
          <w:szCs w:val="24"/>
        </w:rPr>
        <w:t>评标小组</w:t>
      </w:r>
      <w:r>
        <w:rPr>
          <w:rFonts w:hint="eastAsia" w:ascii="新宋体" w:hAnsi="新宋体" w:eastAsia="新宋体"/>
          <w:color w:val="auto"/>
          <w:sz w:val="24"/>
          <w:lang w:val="en-US" w:eastAsia="zh-CN"/>
        </w:rPr>
        <w:t>应当启动异常低价投标（响应）审查程序：</w:t>
      </w:r>
    </w:p>
    <w:p w14:paraId="25110926">
      <w:pPr>
        <w:pStyle w:val="35"/>
        <w:keepNext w:val="0"/>
        <w:pageBreakBefore w:val="0"/>
        <w:widowControl w:val="0"/>
        <w:kinsoku/>
        <w:overflowPunct/>
        <w:topLinePunct w:val="0"/>
        <w:bidi w:val="0"/>
        <w:adjustRightInd w:val="0"/>
        <w:spacing w:line="400" w:lineRule="exact"/>
        <w:ind w:firstLine="480" w:firstLineChars="200"/>
        <w:textAlignment w:val="auto"/>
        <w:rPr>
          <w:rFonts w:hint="eastAsia" w:ascii="新宋体" w:hAnsi="新宋体" w:eastAsia="新宋体"/>
          <w:color w:val="auto"/>
          <w:sz w:val="24"/>
        </w:rPr>
      </w:pPr>
      <w:r>
        <w:rPr>
          <w:rFonts w:hint="eastAsia" w:ascii="新宋体" w:hAnsi="新宋体" w:eastAsia="新宋体"/>
          <w:color w:val="auto"/>
          <w:sz w:val="24"/>
          <w:lang w:val="en-US" w:eastAsia="zh-CN"/>
        </w:rPr>
        <w:t>1.投标（响应）报价低于全部通过符合性审查供应商投标（响应）报价平均值50%的，即投标（响应）报价&lt;全部通过符合性审查供应商投标（响应）报价平均值×50%；</w:t>
      </w:r>
    </w:p>
    <w:p w14:paraId="73068575">
      <w:pPr>
        <w:pStyle w:val="35"/>
        <w:keepNext w:val="0"/>
        <w:pageBreakBefore w:val="0"/>
        <w:widowControl w:val="0"/>
        <w:kinsoku/>
        <w:overflowPunct/>
        <w:topLinePunct w:val="0"/>
        <w:bidi w:val="0"/>
        <w:adjustRightInd w:val="0"/>
        <w:spacing w:line="400" w:lineRule="exact"/>
        <w:ind w:firstLine="480" w:firstLineChars="200"/>
        <w:textAlignment w:val="auto"/>
        <w:rPr>
          <w:rFonts w:hint="eastAsia" w:ascii="新宋体" w:hAnsi="新宋体" w:eastAsia="新宋体"/>
          <w:color w:val="auto"/>
          <w:sz w:val="24"/>
        </w:rPr>
      </w:pPr>
      <w:r>
        <w:rPr>
          <w:rFonts w:hint="eastAsia" w:ascii="新宋体" w:hAnsi="新宋体" w:eastAsia="新宋体"/>
          <w:color w:val="auto"/>
          <w:sz w:val="24"/>
          <w:lang w:val="en-US" w:eastAsia="zh-CN"/>
        </w:rPr>
        <w:t>2.投标（响应）报价低于通过符合性审查的次低报价供应商投标（响应）报价50%的，即投标（响应）报价&lt;通过符合性审查的次低报价供应商投标（响应）报价×50%；</w:t>
      </w:r>
    </w:p>
    <w:p w14:paraId="699808D9">
      <w:pPr>
        <w:pStyle w:val="35"/>
        <w:keepNext w:val="0"/>
        <w:pageBreakBefore w:val="0"/>
        <w:widowControl w:val="0"/>
        <w:kinsoku/>
        <w:overflowPunct/>
        <w:topLinePunct w:val="0"/>
        <w:bidi w:val="0"/>
        <w:adjustRightInd w:val="0"/>
        <w:spacing w:line="400" w:lineRule="exact"/>
        <w:ind w:firstLine="480" w:firstLineChars="200"/>
        <w:textAlignment w:val="auto"/>
        <w:rPr>
          <w:rFonts w:hint="eastAsia" w:ascii="新宋体" w:hAnsi="新宋体" w:eastAsia="新宋体"/>
          <w:color w:val="auto"/>
          <w:sz w:val="24"/>
        </w:rPr>
      </w:pPr>
      <w:r>
        <w:rPr>
          <w:rFonts w:hint="eastAsia" w:ascii="新宋体" w:hAnsi="新宋体" w:eastAsia="新宋体"/>
          <w:color w:val="auto"/>
          <w:sz w:val="24"/>
          <w:lang w:val="en-US" w:eastAsia="zh-CN"/>
        </w:rPr>
        <w:t>3.投标（响应）报价低于采购项目最高限价45%的，即投标（响应）报价&lt;采购项目最高限价×45%；</w:t>
      </w:r>
    </w:p>
    <w:p w14:paraId="454F0C12">
      <w:pPr>
        <w:pStyle w:val="35"/>
        <w:keepNext w:val="0"/>
        <w:pageBreakBefore w:val="0"/>
        <w:widowControl w:val="0"/>
        <w:kinsoku/>
        <w:overflowPunct/>
        <w:topLinePunct w:val="0"/>
        <w:bidi w:val="0"/>
        <w:adjustRightInd w:val="0"/>
        <w:spacing w:line="400" w:lineRule="exact"/>
        <w:ind w:firstLine="480" w:firstLineChars="200"/>
        <w:textAlignment w:val="auto"/>
        <w:rPr>
          <w:rFonts w:hint="eastAsia" w:ascii="新宋体" w:hAnsi="新宋体" w:eastAsia="新宋体"/>
          <w:color w:val="auto"/>
          <w:sz w:val="24"/>
        </w:rPr>
      </w:pPr>
      <w:r>
        <w:rPr>
          <w:rFonts w:hint="eastAsia" w:ascii="新宋体" w:hAnsi="新宋体" w:eastAsia="新宋体"/>
          <w:color w:val="auto"/>
          <w:sz w:val="24"/>
          <w:lang w:val="en-US" w:eastAsia="zh-CN"/>
        </w:rPr>
        <w:t>4.</w:t>
      </w:r>
      <w:r>
        <w:rPr>
          <w:rFonts w:hint="eastAsia" w:hAnsi="宋体"/>
          <w:color w:val="auto"/>
          <w:sz w:val="24"/>
          <w:szCs w:val="24"/>
        </w:rPr>
        <w:t>评标小组</w:t>
      </w:r>
      <w:r>
        <w:rPr>
          <w:rFonts w:hint="eastAsia" w:ascii="新宋体" w:hAnsi="新宋体" w:eastAsia="新宋体"/>
          <w:color w:val="auto"/>
          <w:sz w:val="24"/>
          <w:lang w:val="en-US" w:eastAsia="zh-CN"/>
        </w:rPr>
        <w:t>基于专业判断，认为供应商报价过低，有可能影响产品质量或者不能诚信履约的其他情形。</w:t>
      </w:r>
    </w:p>
    <w:p w14:paraId="3053F3F2">
      <w:pPr>
        <w:pStyle w:val="35"/>
        <w:keepNext w:val="0"/>
        <w:pageBreakBefore w:val="0"/>
        <w:widowControl w:val="0"/>
        <w:kinsoku/>
        <w:overflowPunct/>
        <w:topLinePunct w:val="0"/>
        <w:bidi w:val="0"/>
        <w:adjustRightInd w:val="0"/>
        <w:spacing w:line="400" w:lineRule="exact"/>
        <w:ind w:firstLine="480" w:firstLineChars="200"/>
        <w:textAlignment w:val="auto"/>
        <w:rPr>
          <w:rFonts w:hint="eastAsia" w:ascii="新宋体" w:hAnsi="新宋体" w:eastAsia="新宋体"/>
          <w:color w:val="auto"/>
          <w:sz w:val="24"/>
        </w:rPr>
      </w:pPr>
      <w:r>
        <w:rPr>
          <w:rFonts w:hint="eastAsia" w:ascii="新宋体" w:hAnsi="新宋体" w:eastAsia="新宋体"/>
          <w:color w:val="auto"/>
          <w:sz w:val="24"/>
          <w:lang w:val="en-US" w:eastAsia="zh-CN"/>
        </w:rPr>
        <w:t>相关法律法规对供应商报价有规定的，从其规定。</w:t>
      </w:r>
    </w:p>
    <w:p w14:paraId="1684A82F">
      <w:pPr>
        <w:pStyle w:val="35"/>
        <w:keepNext w:val="0"/>
        <w:pageBreakBefore w:val="0"/>
        <w:widowControl w:val="0"/>
        <w:kinsoku/>
        <w:overflowPunct/>
        <w:topLinePunct w:val="0"/>
        <w:bidi w:val="0"/>
        <w:adjustRightInd w:val="0"/>
        <w:spacing w:line="400" w:lineRule="exact"/>
        <w:ind w:firstLine="480" w:firstLineChars="200"/>
        <w:textAlignment w:val="auto"/>
        <w:rPr>
          <w:rFonts w:hint="eastAsia" w:ascii="新宋体" w:hAnsi="新宋体" w:eastAsia="新宋体"/>
          <w:color w:val="auto"/>
          <w:sz w:val="24"/>
        </w:rPr>
      </w:pPr>
      <w:r>
        <w:rPr>
          <w:rFonts w:hint="eastAsia" w:hAnsi="宋体"/>
          <w:color w:val="auto"/>
          <w:sz w:val="24"/>
          <w:szCs w:val="24"/>
          <w:lang w:val="en-US" w:eastAsia="zh-CN"/>
        </w:rPr>
        <w:t>5.</w:t>
      </w:r>
      <w:r>
        <w:rPr>
          <w:rFonts w:hint="eastAsia" w:hAnsi="宋体"/>
          <w:color w:val="auto"/>
          <w:sz w:val="24"/>
          <w:szCs w:val="24"/>
        </w:rPr>
        <w:t>评标小组</w:t>
      </w:r>
      <w:r>
        <w:rPr>
          <w:rFonts w:hint="eastAsia" w:ascii="新宋体" w:hAnsi="新宋体" w:eastAsia="新宋体"/>
          <w:color w:val="auto"/>
          <w:sz w:val="24"/>
          <w:lang w:val="en-US" w:eastAsia="zh-CN"/>
        </w:rPr>
        <w:t>启动异常低价投标（响应）审查后，属于前述第1项至第4项情形的，应当要求相关供应商</w:t>
      </w:r>
      <w:r>
        <w:rPr>
          <w:rFonts w:hint="eastAsia" w:ascii="新宋体" w:hAnsi="新宋体" w:eastAsia="新宋体"/>
          <w:color w:val="auto"/>
          <w:sz w:val="24"/>
        </w:rPr>
        <w:t>通过“政采云”</w:t>
      </w:r>
      <w:r>
        <w:rPr>
          <w:rFonts w:hint="eastAsia" w:ascii="新宋体" w:hAnsi="新宋体" w:eastAsia="新宋体"/>
          <w:color w:val="auto"/>
          <w:sz w:val="24"/>
          <w:lang w:val="en-US" w:eastAsia="zh-CN"/>
        </w:rPr>
        <w:t>在规定的时间内（一般</w:t>
      </w:r>
      <w:r>
        <w:rPr>
          <w:rFonts w:hint="eastAsia" w:ascii="新宋体" w:hAnsi="新宋体" w:eastAsia="新宋体"/>
          <w:b w:val="0"/>
          <w:bCs w:val="0"/>
          <w:color w:val="auto"/>
          <w:sz w:val="24"/>
          <w:lang w:val="en-US" w:eastAsia="zh-CN"/>
        </w:rPr>
        <w:t>不少于30分钟</w:t>
      </w:r>
      <w:r>
        <w:rPr>
          <w:rFonts w:hint="eastAsia" w:ascii="新宋体" w:hAnsi="新宋体" w:eastAsia="新宋体"/>
          <w:color w:val="auto"/>
          <w:sz w:val="24"/>
          <w:lang w:val="en-US" w:eastAsia="zh-CN"/>
        </w:rPr>
        <w:t>）对投标（响应）价格作出解释，提供项目具体成本测算等与报价合理性相关的书面说明及必要的证明材料并</w:t>
      </w:r>
      <w:r>
        <w:rPr>
          <w:rFonts w:hint="eastAsia" w:ascii="新宋体" w:hAnsi="新宋体" w:eastAsia="新宋体"/>
          <w:color w:val="auto"/>
          <w:sz w:val="24"/>
        </w:rPr>
        <w:t>加盖投标人CA签章</w:t>
      </w:r>
      <w:r>
        <w:rPr>
          <w:rFonts w:hint="eastAsia" w:ascii="新宋体" w:hAnsi="新宋体" w:eastAsia="新宋体"/>
          <w:color w:val="auto"/>
          <w:sz w:val="24"/>
          <w:lang w:val="en-US" w:eastAsia="zh-CN"/>
        </w:rPr>
        <w:t>，包括但不限于原材料成本、人工成本、制造费用等，其中，属于第3项情形，供应商已随投标（响应）文件一并提交相关说明及必要的证明材料的，在评审时可不再重复提交。</w:t>
      </w:r>
    </w:p>
    <w:p w14:paraId="5B15FD70">
      <w:pPr>
        <w:pStyle w:val="35"/>
        <w:keepNext w:val="0"/>
        <w:pageBreakBefore w:val="0"/>
        <w:widowControl w:val="0"/>
        <w:kinsoku/>
        <w:overflowPunct/>
        <w:topLinePunct w:val="0"/>
        <w:bidi w:val="0"/>
        <w:adjustRightInd w:val="0"/>
        <w:spacing w:line="400" w:lineRule="exact"/>
        <w:ind w:firstLine="480" w:firstLineChars="200"/>
        <w:textAlignment w:val="auto"/>
        <w:rPr>
          <w:rFonts w:hint="eastAsia" w:ascii="新宋体" w:hAnsi="新宋体" w:eastAsia="新宋体"/>
          <w:color w:val="auto"/>
          <w:sz w:val="24"/>
        </w:rPr>
      </w:pPr>
      <w:r>
        <w:rPr>
          <w:rFonts w:hint="eastAsia" w:hAnsi="宋体"/>
          <w:color w:val="auto"/>
          <w:sz w:val="24"/>
          <w:szCs w:val="24"/>
        </w:rPr>
        <w:t>评标小组</w:t>
      </w:r>
      <w:r>
        <w:rPr>
          <w:rFonts w:hint="eastAsia" w:ascii="新宋体" w:hAnsi="新宋体" w:eastAsia="新宋体"/>
          <w:color w:val="auto"/>
          <w:sz w:val="24"/>
          <w:lang w:val="en-US" w:eastAsia="zh-CN"/>
        </w:rPr>
        <w:t>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w:t>
      </w:r>
      <w:r>
        <w:rPr>
          <w:rFonts w:hint="eastAsia" w:hAnsi="宋体"/>
          <w:color w:val="auto"/>
          <w:sz w:val="24"/>
          <w:szCs w:val="24"/>
        </w:rPr>
        <w:t>评标小组</w:t>
      </w:r>
      <w:r>
        <w:rPr>
          <w:rFonts w:hint="eastAsia" w:ascii="新宋体" w:hAnsi="新宋体" w:eastAsia="新宋体"/>
          <w:color w:val="auto"/>
          <w:sz w:val="24"/>
          <w:lang w:val="en-US" w:eastAsia="zh-CN"/>
        </w:rPr>
        <w:t>应当将其作为无效投标（响应）处理。</w:t>
      </w:r>
    </w:p>
    <w:p w14:paraId="4E23C4E4">
      <w:pPr>
        <w:pStyle w:val="35"/>
        <w:keepNext w:val="0"/>
        <w:pageBreakBefore w:val="0"/>
        <w:widowControl w:val="0"/>
        <w:kinsoku/>
        <w:overflowPunct/>
        <w:topLinePunct w:val="0"/>
        <w:bidi w:val="0"/>
        <w:adjustRightInd w:val="0"/>
        <w:spacing w:line="400" w:lineRule="exact"/>
        <w:ind w:firstLine="480" w:firstLineChars="200"/>
        <w:textAlignment w:val="auto"/>
        <w:rPr>
          <w:rFonts w:ascii="新宋体" w:hAnsi="新宋体" w:eastAsia="新宋体"/>
          <w:color w:val="auto"/>
          <w:sz w:val="24"/>
        </w:rPr>
      </w:pPr>
      <w:r>
        <w:rPr>
          <w:rFonts w:hint="eastAsia" w:hAnsi="宋体"/>
          <w:color w:val="auto"/>
          <w:sz w:val="24"/>
          <w:szCs w:val="24"/>
        </w:rPr>
        <w:t>评标小组</w:t>
      </w:r>
      <w:r>
        <w:rPr>
          <w:rFonts w:hint="eastAsia" w:ascii="宋体" w:hAnsi="宋体" w:eastAsia="宋体" w:cs="宋体"/>
          <w:i w:val="0"/>
          <w:iCs w:val="0"/>
          <w:caps w:val="0"/>
          <w:color w:val="auto"/>
          <w:spacing w:val="0"/>
          <w:sz w:val="24"/>
          <w:szCs w:val="24"/>
          <w:shd w:val="clear" w:color="auto" w:fill="FFFFFF"/>
        </w:rPr>
        <w:t>借助互联网等渠道查询相关信息的，应当严格遵守评审工作纪律，不得实施影响评审公正的行为。</w:t>
      </w:r>
    </w:p>
    <w:p w14:paraId="6B2E9331">
      <w:pPr>
        <w:keepNext w:val="0"/>
        <w:pageBreakBefore w:val="0"/>
        <w:widowControl w:val="0"/>
        <w:kinsoku/>
        <w:overflowPunct/>
        <w:topLinePunct w:val="0"/>
        <w:bidi w:val="0"/>
        <w:adjustRightInd w:val="0"/>
        <w:spacing w:line="400" w:lineRule="exact"/>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6.在系统上公布评审结果。</w:t>
      </w:r>
    </w:p>
    <w:p w14:paraId="4341E1DB">
      <w:pPr>
        <w:pStyle w:val="992"/>
        <w:keepNext w:val="0"/>
        <w:pageBreakBefore w:val="0"/>
        <w:widowControl w:val="0"/>
        <w:numPr>
          <w:ilvl w:val="0"/>
          <w:numId w:val="2"/>
        </w:numPr>
        <w:kinsoku/>
        <w:overflowPunct/>
        <w:topLinePunct w:val="0"/>
        <w:bidi w:val="0"/>
        <w:adjustRightInd w:val="0"/>
        <w:spacing w:line="400" w:lineRule="exact"/>
        <w:ind w:left="403" w:leftChars="0" w:hanging="193" w:firstLineChars="0"/>
        <w:textAlignment w:val="auto"/>
        <w:outlineLvl w:val="1"/>
        <w:rPr>
          <w:rFonts w:hint="eastAsia" w:ascii="宋体" w:hAnsi="宋体" w:eastAsia="宋体" w:cs="宋体"/>
          <w:b/>
          <w:bCs/>
          <w:color w:val="auto"/>
          <w:kern w:val="0"/>
          <w:sz w:val="24"/>
          <w:szCs w:val="24"/>
          <w:highlight w:val="none"/>
          <w:lang w:val="en-US" w:eastAsia="zh-CN" w:bidi="ar-SA"/>
        </w:rPr>
      </w:pPr>
      <w:bookmarkStart w:id="448" w:name="_Toc32347"/>
      <w:r>
        <w:rPr>
          <w:rFonts w:hint="eastAsia" w:ascii="宋体" w:hAnsi="宋体" w:eastAsia="宋体" w:cs="宋体"/>
          <w:b/>
          <w:bCs/>
          <w:color w:val="auto"/>
          <w:kern w:val="0"/>
          <w:sz w:val="24"/>
          <w:szCs w:val="24"/>
          <w:highlight w:val="none"/>
          <w:lang w:val="en-US" w:eastAsia="zh-CN" w:bidi="ar-SA"/>
        </w:rPr>
        <w:t>评审原则</w:t>
      </w:r>
      <w:bookmarkEnd w:id="448"/>
    </w:p>
    <w:p w14:paraId="15C70A51">
      <w:pPr>
        <w:pStyle w:val="992"/>
        <w:keepNext w:val="0"/>
        <w:pageBreakBefore w:val="0"/>
        <w:widowControl w:val="0"/>
        <w:kinsoku/>
        <w:overflowPunct/>
        <w:topLinePunct w:val="0"/>
        <w:bidi w:val="0"/>
        <w:adjustRightInd w:val="0"/>
        <w:spacing w:line="400" w:lineRule="exact"/>
        <w:ind w:left="48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1.公平、公正地对待所有合格的供应商。</w:t>
      </w:r>
    </w:p>
    <w:p w14:paraId="01960146">
      <w:pPr>
        <w:pStyle w:val="992"/>
        <w:keepNext w:val="0"/>
        <w:pageBreakBefore w:val="0"/>
        <w:widowControl w:val="0"/>
        <w:kinsoku/>
        <w:overflowPunct/>
        <w:topLinePunct w:val="0"/>
        <w:bidi w:val="0"/>
        <w:adjustRightInd w:val="0"/>
        <w:spacing w:line="400" w:lineRule="exact"/>
        <w:ind w:left="48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2.遵守《中华人民共和国政府采购法》等有关法律法规的规定。</w:t>
      </w:r>
    </w:p>
    <w:p w14:paraId="17E17C62">
      <w:pPr>
        <w:pStyle w:val="992"/>
        <w:keepNext w:val="0"/>
        <w:pageBreakBefore w:val="0"/>
        <w:widowControl w:val="0"/>
        <w:kinsoku/>
        <w:overflowPunct/>
        <w:topLinePunct w:val="0"/>
        <w:bidi w:val="0"/>
        <w:adjustRightInd w:val="0"/>
        <w:spacing w:line="400" w:lineRule="exact"/>
        <w:ind w:left="48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3.评审必须以征集文件中各项规定条件为准。</w:t>
      </w:r>
    </w:p>
    <w:p w14:paraId="5AC2B415">
      <w:pPr>
        <w:pStyle w:val="992"/>
        <w:keepNext w:val="0"/>
        <w:pageBreakBefore w:val="0"/>
        <w:widowControl w:val="0"/>
        <w:numPr>
          <w:ilvl w:val="0"/>
          <w:numId w:val="2"/>
        </w:numPr>
        <w:kinsoku/>
        <w:overflowPunct/>
        <w:topLinePunct w:val="0"/>
        <w:bidi w:val="0"/>
        <w:adjustRightInd w:val="0"/>
        <w:spacing w:line="400" w:lineRule="exact"/>
        <w:ind w:left="403" w:leftChars="0" w:hanging="193" w:firstLineChars="0"/>
        <w:textAlignment w:val="auto"/>
        <w:outlineLvl w:val="1"/>
        <w:rPr>
          <w:rFonts w:hint="eastAsia" w:ascii="宋体" w:hAnsi="宋体" w:eastAsia="宋体" w:cs="宋体"/>
          <w:b/>
          <w:bCs/>
          <w:color w:val="auto"/>
          <w:kern w:val="0"/>
          <w:sz w:val="24"/>
          <w:szCs w:val="24"/>
          <w:highlight w:val="none"/>
          <w:lang w:val="en-US" w:eastAsia="zh-CN" w:bidi="ar-SA"/>
        </w:rPr>
      </w:pPr>
      <w:bookmarkStart w:id="449" w:name="_Toc5314"/>
      <w:r>
        <w:rPr>
          <w:rFonts w:hint="eastAsia" w:ascii="宋体" w:hAnsi="宋体" w:eastAsia="宋体" w:cs="宋体"/>
          <w:b/>
          <w:bCs/>
          <w:color w:val="auto"/>
          <w:kern w:val="0"/>
          <w:sz w:val="24"/>
          <w:szCs w:val="24"/>
          <w:highlight w:val="none"/>
          <w:lang w:val="en-US" w:eastAsia="zh-CN" w:bidi="ar-SA"/>
        </w:rPr>
        <w:t>投标（响应）文件无效情形</w:t>
      </w:r>
      <w:bookmarkEnd w:id="449"/>
    </w:p>
    <w:p w14:paraId="1998E619">
      <w:pPr>
        <w:pStyle w:val="992"/>
        <w:keepNext w:val="0"/>
        <w:pageBreakBefore w:val="0"/>
        <w:widowControl w:val="0"/>
        <w:kinsoku/>
        <w:overflowPunct/>
        <w:topLinePunct w:val="0"/>
        <w:bidi w:val="0"/>
        <w:adjustRightInd w:val="0"/>
        <w:spacing w:line="400" w:lineRule="exact"/>
        <w:ind w:left="48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1.有下列情形之一的，征集人将不予受理投标（响应）文件：</w:t>
      </w:r>
    </w:p>
    <w:p w14:paraId="732A52FE">
      <w:pPr>
        <w:pStyle w:val="992"/>
        <w:keepNext w:val="0"/>
        <w:pageBreakBefore w:val="0"/>
        <w:widowControl w:val="0"/>
        <w:kinsoku/>
        <w:overflowPunct/>
        <w:topLinePunct w:val="0"/>
        <w:bidi w:val="0"/>
        <w:adjustRightInd w:val="0"/>
        <w:spacing w:line="400" w:lineRule="exact"/>
        <w:ind w:left="48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1.1逾期上传电子投标（响应）文件至“政采云”的；</w:t>
      </w:r>
    </w:p>
    <w:p w14:paraId="11A55589">
      <w:pPr>
        <w:pStyle w:val="992"/>
        <w:keepNext w:val="0"/>
        <w:pageBreakBefore w:val="0"/>
        <w:widowControl w:val="0"/>
        <w:kinsoku/>
        <w:overflowPunct/>
        <w:topLinePunct w:val="0"/>
        <w:bidi w:val="0"/>
        <w:adjustRightInd w:val="0"/>
        <w:spacing w:line="400" w:lineRule="exact"/>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1.2电子投标（响应）文件在规定时间内解密未成功的，且未提供备份投标（响应）文件或提供的备份投标（响应）文件无法上传打开的；</w:t>
      </w:r>
    </w:p>
    <w:p w14:paraId="71AA1C77">
      <w:pPr>
        <w:pStyle w:val="992"/>
        <w:keepNext w:val="0"/>
        <w:pageBreakBefore w:val="0"/>
        <w:widowControl w:val="0"/>
        <w:kinsoku/>
        <w:overflowPunct/>
        <w:topLinePunct w:val="0"/>
        <w:bidi w:val="0"/>
        <w:adjustRightInd w:val="0"/>
        <w:spacing w:line="400" w:lineRule="exact"/>
        <w:ind w:left="48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1.3仅提供备份投标（响应）文件的；</w:t>
      </w:r>
    </w:p>
    <w:p w14:paraId="18AD33E1">
      <w:pPr>
        <w:pStyle w:val="992"/>
        <w:keepNext w:val="0"/>
        <w:pageBreakBefore w:val="0"/>
        <w:widowControl w:val="0"/>
        <w:kinsoku/>
        <w:overflowPunct/>
        <w:topLinePunct w:val="0"/>
        <w:bidi w:val="0"/>
        <w:adjustRightInd w:val="0"/>
        <w:spacing w:line="400" w:lineRule="exact"/>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2.投标（响应）文件在资格性评审或技术响应性评审出现下列情形之一的，经审核后按无效投标（响应）文件处理：</w:t>
      </w:r>
    </w:p>
    <w:p w14:paraId="73E007CB">
      <w:pPr>
        <w:keepNext w:val="0"/>
        <w:pageBreakBefore w:val="0"/>
        <w:widowControl w:val="0"/>
        <w:kinsoku/>
        <w:overflowPunct/>
        <w:topLinePunct w:val="0"/>
        <w:bidi w:val="0"/>
        <w:adjustRightInd w:val="0"/>
        <w:spacing w:line="400" w:lineRule="exact"/>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2.1.资格响应文件或商务技术响应文件中包含报价的。</w:t>
      </w:r>
    </w:p>
    <w:p w14:paraId="04C91253">
      <w:pPr>
        <w:keepNext w:val="0"/>
        <w:pageBreakBefore w:val="0"/>
        <w:widowControl w:val="0"/>
        <w:kinsoku/>
        <w:overflowPunct/>
        <w:topLinePunct w:val="0"/>
        <w:bidi w:val="0"/>
        <w:adjustRightInd w:val="0"/>
        <w:spacing w:line="400" w:lineRule="exact"/>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2.2征集文件关于投标（响应）文件要求中打“★”的内容，投标人的投标（响应）文件内容未提供完整的，或关键字迹模糊、无法辨认的，或未按其规定的格式及要求填写、签字、盖章，或提供的投标（响应）文件内容不符合招标文件的中有关打★号的条款的规定；</w:t>
      </w:r>
    </w:p>
    <w:p w14:paraId="1C3B7689">
      <w:pPr>
        <w:keepNext w:val="0"/>
        <w:pageBreakBefore w:val="0"/>
        <w:widowControl w:val="0"/>
        <w:kinsoku/>
        <w:overflowPunct/>
        <w:topLinePunct w:val="0"/>
        <w:bidi w:val="0"/>
        <w:adjustRightInd w:val="0"/>
        <w:spacing w:line="400" w:lineRule="exact"/>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2.3投标（响应）人不具备招标文件中规定的资格要求的，或（投标（响应）人未提供有效的资格文件的，视为投标（响应）人不具备招标文件中规定的资格要求）；</w:t>
      </w:r>
    </w:p>
    <w:p w14:paraId="5C90F1CB">
      <w:pPr>
        <w:keepNext w:val="0"/>
        <w:pageBreakBefore w:val="0"/>
        <w:widowControl w:val="0"/>
        <w:kinsoku/>
        <w:overflowPunct/>
        <w:topLinePunct w:val="0"/>
        <w:bidi w:val="0"/>
        <w:adjustRightInd w:val="0"/>
        <w:spacing w:line="400" w:lineRule="exact"/>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2.4投标（响应）文件中承诺的投标（响应）有效期少于招标文件中载明的投标（响应）有效期的；</w:t>
      </w:r>
    </w:p>
    <w:p w14:paraId="012FC1A3">
      <w:pPr>
        <w:keepNext w:val="0"/>
        <w:pageBreakBefore w:val="0"/>
        <w:widowControl w:val="0"/>
        <w:kinsoku/>
        <w:overflowPunct/>
        <w:topLinePunct w:val="0"/>
        <w:bidi w:val="0"/>
        <w:adjustRightInd w:val="0"/>
        <w:spacing w:line="400" w:lineRule="exact"/>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2.5投标（响应）人所投产品的数量不符合招标文件规定的；</w:t>
      </w:r>
    </w:p>
    <w:p w14:paraId="2EC06A41">
      <w:pPr>
        <w:keepNext w:val="0"/>
        <w:pageBreakBefore w:val="0"/>
        <w:widowControl w:val="0"/>
        <w:kinsoku/>
        <w:overflowPunct/>
        <w:topLinePunct w:val="0"/>
        <w:bidi w:val="0"/>
        <w:adjustRightInd w:val="0"/>
        <w:spacing w:line="400" w:lineRule="exact"/>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2.6投标（响应）人借用或冒用他人名义或证件、涂改文件、伪造或编造投标（响应）文件的；</w:t>
      </w:r>
    </w:p>
    <w:p w14:paraId="1DBA6E32">
      <w:pPr>
        <w:keepNext w:val="0"/>
        <w:pageBreakBefore w:val="0"/>
        <w:widowControl w:val="0"/>
        <w:kinsoku/>
        <w:overflowPunct/>
        <w:topLinePunct w:val="0"/>
        <w:bidi w:val="0"/>
        <w:adjustRightInd w:val="0"/>
        <w:spacing w:line="400" w:lineRule="exact"/>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2.7投标（响应）中不同投标（响应）单位的投标（响应）文件出现雷同或相似（包括部分雷同或相似），对所有雷同或相似投标（响应）人按废标处理，征集人将保留进一步追究责任的权利； </w:t>
      </w:r>
    </w:p>
    <w:p w14:paraId="179DD1F4">
      <w:pPr>
        <w:keepNext w:val="0"/>
        <w:pageBreakBefore w:val="0"/>
        <w:widowControl w:val="0"/>
        <w:kinsoku/>
        <w:overflowPunct/>
        <w:topLinePunct w:val="0"/>
        <w:bidi w:val="0"/>
        <w:adjustRightInd w:val="0"/>
        <w:spacing w:line="400" w:lineRule="exact"/>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2.8其它对本征集文件中打★号的条款未完全响应的；</w:t>
      </w:r>
    </w:p>
    <w:p w14:paraId="02CD0755">
      <w:pPr>
        <w:keepNext w:val="0"/>
        <w:pageBreakBefore w:val="0"/>
        <w:widowControl w:val="0"/>
        <w:kinsoku/>
        <w:overflowPunct/>
        <w:topLinePunct w:val="0"/>
        <w:bidi w:val="0"/>
        <w:adjustRightInd w:val="0"/>
        <w:spacing w:line="400" w:lineRule="exact"/>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2.9经评审小组认定，投标（响应）文件附有采购人不能接受的条件；</w:t>
      </w:r>
    </w:p>
    <w:p w14:paraId="75AA18F2">
      <w:pPr>
        <w:keepNext w:val="0"/>
        <w:pageBreakBefore w:val="0"/>
        <w:widowControl w:val="0"/>
        <w:kinsoku/>
        <w:overflowPunct/>
        <w:topLinePunct w:val="0"/>
        <w:bidi w:val="0"/>
        <w:adjustRightInd w:val="0"/>
        <w:spacing w:line="400" w:lineRule="exact"/>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2.10评审小组要求投标（响应）人澄清或说明的，如果投标（响应）人拒绝按照招标文件规定进行澄清或说明的。</w:t>
      </w:r>
    </w:p>
    <w:p w14:paraId="111BF3D1">
      <w:pPr>
        <w:pStyle w:val="992"/>
        <w:keepNext w:val="0"/>
        <w:pageBreakBefore w:val="0"/>
        <w:widowControl w:val="0"/>
        <w:kinsoku/>
        <w:overflowPunct/>
        <w:topLinePunct w:val="0"/>
        <w:bidi w:val="0"/>
        <w:adjustRightInd w:val="0"/>
        <w:spacing w:line="400" w:lineRule="exact"/>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3.报价响应文件评审出现下列情形之一的，经审核后按无效投标（响应）文件处理：</w:t>
      </w:r>
    </w:p>
    <w:p w14:paraId="07DBF5A8">
      <w:pPr>
        <w:keepNext w:val="0"/>
        <w:pageBreakBefore w:val="0"/>
        <w:widowControl w:val="0"/>
        <w:kinsoku/>
        <w:overflowPunct/>
        <w:topLinePunct w:val="0"/>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3.1.征集文件关于投标（响应）文件组成内容报价响应文件要求中打“★”的内容，投标（响应）人的投标（响应）文件内容未提供完整的，或关键字迹模糊、无法辨认的，或未按其规定的格式及要求填写、签字、盖章，或提供的投标（响应）文件内容不符合征集文件的中有关打★号的条款的规定；</w:t>
      </w:r>
    </w:p>
    <w:p w14:paraId="080EAE44">
      <w:pPr>
        <w:keepNext w:val="0"/>
        <w:pageBreakBefore w:val="0"/>
        <w:widowControl w:val="0"/>
        <w:kinsoku/>
        <w:overflowPunct/>
        <w:topLinePunct w:val="0"/>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3.2投标（响应）报价高于最高限制单价的；</w:t>
      </w:r>
    </w:p>
    <w:p w14:paraId="1ADA3CB5">
      <w:pPr>
        <w:keepNext w:val="0"/>
        <w:pageBreakBefore w:val="0"/>
        <w:widowControl w:val="0"/>
        <w:kinsoku/>
        <w:overflowPunct/>
        <w:topLinePunct w:val="0"/>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3.3投标（响应）人的所投产品的数量不符合招标文件规定的； </w:t>
      </w:r>
    </w:p>
    <w:p w14:paraId="06E5BAB3">
      <w:pPr>
        <w:keepNext w:val="0"/>
        <w:pageBreakBefore w:val="0"/>
        <w:widowControl w:val="0"/>
        <w:kinsoku/>
        <w:overflowPunct/>
        <w:topLinePunct w:val="0"/>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3.4投标（响应）人的投标（响应）报价未明确的，或者对同一采购项目提供两个或两个以上报价且未声明哪一个有效的，或者对同一采购项目提供两个或两个以上成本价且未声明哪一个有效；</w:t>
      </w:r>
    </w:p>
    <w:p w14:paraId="341D6A50">
      <w:pPr>
        <w:keepNext w:val="0"/>
        <w:pageBreakBefore w:val="0"/>
        <w:widowControl w:val="0"/>
        <w:kinsoku/>
        <w:overflowPunct/>
        <w:topLinePunct w:val="0"/>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3.5评审小组认为投标（响应）人的报价明显低于其他通过符合性审查投标（响应）人的报价，有可能影响产品服务或者不能诚信履约的，要求其通过“政采云”在规定的时间内提供CA签章的材料，投标（响应）人不能证明其报价合理性的；</w:t>
      </w:r>
    </w:p>
    <w:p w14:paraId="59779447">
      <w:pPr>
        <w:keepNext w:val="0"/>
        <w:pageBreakBefore w:val="0"/>
        <w:widowControl w:val="0"/>
        <w:kinsoku/>
        <w:overflowPunct/>
        <w:topLinePunct w:val="0"/>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3.6当投标（响应）人由于报价计算错误，投标（响应）人拒绝接受按招标文件的规定进行修正处理；</w:t>
      </w:r>
    </w:p>
    <w:p w14:paraId="356AF72C">
      <w:pPr>
        <w:keepNext w:val="0"/>
        <w:pageBreakBefore w:val="0"/>
        <w:widowControl w:val="0"/>
        <w:tabs>
          <w:tab w:val="left" w:pos="1898"/>
        </w:tabs>
        <w:kinsoku/>
        <w:overflowPunct/>
        <w:topLinePunct w:val="0"/>
        <w:autoSpaceDE w:val="0"/>
        <w:autoSpaceDN w:val="0"/>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3.7经评审小组审议认为投标（响应）文件附有采购人不能接受的条件的；</w:t>
      </w:r>
    </w:p>
    <w:p w14:paraId="4A8458A7">
      <w:pPr>
        <w:pStyle w:val="992"/>
        <w:keepNext w:val="0"/>
        <w:pageBreakBefore w:val="0"/>
        <w:widowControl w:val="0"/>
        <w:kinsoku/>
        <w:overflowPunct/>
        <w:topLinePunct w:val="0"/>
        <w:bidi w:val="0"/>
        <w:adjustRightInd w:val="0"/>
        <w:spacing w:line="400" w:lineRule="exact"/>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4.在资格审查及评审过程中，符合中华人民共和国财政部令第87号《政府采购货物和服务招标投标管理办法》第三十七条情形之一的，视为投标人串通投标，其投标无效，并移送采购监管部门：</w:t>
      </w:r>
    </w:p>
    <w:p w14:paraId="6B517EA5">
      <w:pPr>
        <w:pStyle w:val="992"/>
        <w:keepNext w:val="0"/>
        <w:pageBreakBefore w:val="0"/>
        <w:widowControl w:val="0"/>
        <w:kinsoku/>
        <w:overflowPunct/>
        <w:topLinePunct w:val="0"/>
        <w:bidi w:val="0"/>
        <w:adjustRightInd w:val="0"/>
        <w:spacing w:line="400" w:lineRule="exact"/>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4.1不同投标人的投标文件由同一单位或者个人编制；</w:t>
      </w:r>
    </w:p>
    <w:p w14:paraId="541B65C9">
      <w:pPr>
        <w:keepNext w:val="0"/>
        <w:pageBreakBefore w:val="0"/>
        <w:widowControl w:val="0"/>
        <w:kinsoku/>
        <w:overflowPunct/>
        <w:topLinePunct w:val="0"/>
        <w:bidi w:val="0"/>
        <w:adjustRightInd w:val="0"/>
        <w:snapToGrid w:val="0"/>
        <w:spacing w:line="400" w:lineRule="exact"/>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4.2不同投标人委托同一单位或者个人办理投标事宜；</w:t>
      </w:r>
    </w:p>
    <w:p w14:paraId="42B2EF31">
      <w:pPr>
        <w:keepNext w:val="0"/>
        <w:pageBreakBefore w:val="0"/>
        <w:widowControl w:val="0"/>
        <w:kinsoku/>
        <w:overflowPunct/>
        <w:topLinePunct w:val="0"/>
        <w:bidi w:val="0"/>
        <w:adjustRightInd w:val="0"/>
        <w:snapToGrid w:val="0"/>
        <w:spacing w:line="400" w:lineRule="exact"/>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4.3不同投标人的投标文件载明的项目管理成员或者联系人员为同一人；</w:t>
      </w:r>
    </w:p>
    <w:p w14:paraId="507A4EE2">
      <w:pPr>
        <w:keepNext w:val="0"/>
        <w:pageBreakBefore w:val="0"/>
        <w:widowControl w:val="0"/>
        <w:kinsoku/>
        <w:overflowPunct/>
        <w:topLinePunct w:val="0"/>
        <w:bidi w:val="0"/>
        <w:adjustRightInd w:val="0"/>
        <w:snapToGrid w:val="0"/>
        <w:spacing w:line="400" w:lineRule="exact"/>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4.4不同投标人的投标文件异常一致或者投标报价呈规律性差异；</w:t>
      </w:r>
    </w:p>
    <w:p w14:paraId="6B22C8B5">
      <w:pPr>
        <w:keepNext w:val="0"/>
        <w:pageBreakBefore w:val="0"/>
        <w:widowControl w:val="0"/>
        <w:kinsoku/>
        <w:overflowPunct/>
        <w:topLinePunct w:val="0"/>
        <w:bidi w:val="0"/>
        <w:adjustRightInd w:val="0"/>
        <w:snapToGrid w:val="0"/>
        <w:spacing w:line="400" w:lineRule="exact"/>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4.5不同投标人的投标文件相互混装；</w:t>
      </w:r>
    </w:p>
    <w:p w14:paraId="1EF512B5">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新宋体" w:hAnsi="新宋体" w:eastAsia="新宋体"/>
          <w:color w:val="auto"/>
          <w:sz w:val="24"/>
        </w:rPr>
      </w:pPr>
      <w:r>
        <w:rPr>
          <w:rFonts w:hint="eastAsia" w:ascii="新宋体" w:hAnsi="新宋体" w:eastAsia="新宋体"/>
          <w:b/>
          <w:bCs/>
          <w:color w:val="auto"/>
          <w:sz w:val="24"/>
        </w:rPr>
        <w:t>5.参与同一个标项的供应商存在下列情形之一且无法合理解释的，其投标（响应）文件无效：</w:t>
      </w:r>
    </w:p>
    <w:p w14:paraId="0A7BEC0E">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hint="eastAsia" w:ascii="新宋体" w:hAnsi="新宋体" w:eastAsia="新宋体"/>
          <w:color w:val="auto"/>
          <w:sz w:val="24"/>
        </w:rPr>
      </w:pPr>
      <w:r>
        <w:rPr>
          <w:rFonts w:hint="eastAsia" w:ascii="新宋体" w:hAnsi="新宋体" w:eastAsia="新宋体"/>
          <w:color w:val="auto"/>
          <w:sz w:val="24"/>
        </w:rPr>
        <w:t>5.1不同供应商的电子投标（响应）文件上传计算机的网卡MAC地址或硬盘序列号等硬件信息相同的；</w:t>
      </w:r>
    </w:p>
    <w:p w14:paraId="32EA041C">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hint="eastAsia" w:ascii="新宋体" w:hAnsi="新宋体" w:eastAsia="新宋体"/>
          <w:color w:val="auto"/>
          <w:sz w:val="24"/>
        </w:rPr>
      </w:pPr>
      <w:r>
        <w:rPr>
          <w:rFonts w:hint="eastAsia" w:ascii="新宋体" w:hAnsi="新宋体" w:eastAsia="新宋体"/>
          <w:color w:val="auto"/>
          <w:sz w:val="24"/>
        </w:rPr>
        <w:t>5.2上传的电子投标（响应）文件若出现使用本项目其他投标（响应）供应商的数字证书加密的，或者加盖本项目其他投标（响应）供应商的电子印章的；</w:t>
      </w:r>
    </w:p>
    <w:p w14:paraId="0DDE51B4">
      <w:pPr>
        <w:keepNext w:val="0"/>
        <w:keepLines w:val="0"/>
        <w:pageBreakBefore w:val="0"/>
        <w:widowControl w:val="0"/>
        <w:kinsoku/>
        <w:wordWrap/>
        <w:overflowPunct/>
        <w:topLinePunct w:val="0"/>
        <w:autoSpaceDE/>
        <w:autoSpaceDN/>
        <w:bidi w:val="0"/>
        <w:adjustRightInd w:val="0"/>
        <w:spacing w:line="400" w:lineRule="exact"/>
        <w:ind w:firstLine="480" w:firstLineChars="200"/>
        <w:textAlignment w:val="auto"/>
        <w:rPr>
          <w:rFonts w:hint="eastAsia" w:ascii="新宋体" w:hAnsi="新宋体" w:eastAsia="新宋体"/>
          <w:color w:val="auto"/>
          <w:sz w:val="24"/>
        </w:rPr>
      </w:pPr>
      <w:r>
        <w:rPr>
          <w:rFonts w:hint="eastAsia" w:ascii="新宋体" w:hAnsi="新宋体" w:eastAsia="新宋体"/>
          <w:color w:val="auto"/>
          <w:sz w:val="24"/>
        </w:rPr>
        <w:t>5.3不同供应商的投标（响应）文件的内容存在3处（含）以上错误一致的；</w:t>
      </w:r>
    </w:p>
    <w:p w14:paraId="3027CF57">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新宋体" w:hAnsi="新宋体" w:eastAsia="新宋体"/>
          <w:color w:val="auto"/>
          <w:sz w:val="24"/>
        </w:rPr>
        <w:t>5.4不同供应商联系人为同一人或不同联系人的联系电话一致的。</w:t>
      </w:r>
    </w:p>
    <w:p w14:paraId="093B25E0">
      <w:pPr>
        <w:pStyle w:val="992"/>
        <w:keepNext w:val="0"/>
        <w:pageBreakBefore w:val="0"/>
        <w:widowControl w:val="0"/>
        <w:kinsoku/>
        <w:overflowPunct/>
        <w:topLinePunct w:val="0"/>
        <w:bidi w:val="0"/>
        <w:adjustRightInd w:val="0"/>
        <w:spacing w:line="400" w:lineRule="exact"/>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6.法律、法规、规章及省级以上规范性文件规定的其他无效情形。</w:t>
      </w:r>
    </w:p>
    <w:p w14:paraId="158391C9">
      <w:pPr>
        <w:pStyle w:val="992"/>
        <w:keepNext w:val="0"/>
        <w:pageBreakBefore w:val="0"/>
        <w:widowControl w:val="0"/>
        <w:kinsoku/>
        <w:overflowPunct/>
        <w:topLinePunct w:val="0"/>
        <w:bidi w:val="0"/>
        <w:adjustRightInd w:val="0"/>
        <w:spacing w:line="400" w:lineRule="exact"/>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w:t>
      </w:r>
      <w:r>
        <w:rPr>
          <w:rFonts w:hint="default" w:ascii="宋体" w:hAnsi="宋体" w:eastAsia="宋体" w:cs="宋体"/>
          <w:color w:val="auto"/>
          <w:kern w:val="0"/>
          <w:sz w:val="24"/>
          <w:szCs w:val="24"/>
          <w:highlight w:val="none"/>
          <w:lang w:val="en-US" w:eastAsia="zh-CN" w:bidi="ar-SA"/>
        </w:rPr>
        <w:t>评标过程中，非上述所罗列的情况，不得以无效标处理。</w:t>
      </w:r>
    </w:p>
    <w:p w14:paraId="5C332DF1">
      <w:pPr>
        <w:pStyle w:val="992"/>
        <w:keepNext w:val="0"/>
        <w:pageBreakBefore w:val="0"/>
        <w:widowControl w:val="0"/>
        <w:numPr>
          <w:ilvl w:val="0"/>
          <w:numId w:val="2"/>
        </w:numPr>
        <w:kinsoku/>
        <w:overflowPunct/>
        <w:topLinePunct w:val="0"/>
        <w:bidi w:val="0"/>
        <w:adjustRightInd w:val="0"/>
        <w:spacing w:line="400" w:lineRule="exact"/>
        <w:ind w:left="613" w:leftChars="0" w:hanging="193" w:firstLineChars="0"/>
        <w:textAlignment w:val="auto"/>
        <w:outlineLvl w:val="1"/>
        <w:rPr>
          <w:rFonts w:hint="eastAsia" w:ascii="宋体" w:hAnsi="宋体" w:eastAsia="宋体" w:cs="宋体"/>
          <w:b/>
          <w:bCs/>
          <w:color w:val="auto"/>
          <w:kern w:val="0"/>
          <w:sz w:val="24"/>
          <w:szCs w:val="24"/>
          <w:highlight w:val="none"/>
          <w:lang w:val="en-US" w:eastAsia="zh-CN" w:bidi="ar-SA"/>
        </w:rPr>
      </w:pPr>
      <w:bookmarkStart w:id="450" w:name="_Toc5546"/>
      <w:r>
        <w:rPr>
          <w:rFonts w:hint="eastAsia" w:ascii="宋体" w:hAnsi="宋体" w:eastAsia="宋体" w:cs="宋体"/>
          <w:b/>
          <w:bCs/>
          <w:color w:val="auto"/>
          <w:kern w:val="0"/>
          <w:sz w:val="24"/>
          <w:szCs w:val="24"/>
          <w:highlight w:val="none"/>
          <w:lang w:val="en-US" w:eastAsia="zh-CN" w:bidi="ar-SA"/>
        </w:rPr>
        <w:t>废标</w:t>
      </w:r>
      <w:bookmarkEnd w:id="450"/>
    </w:p>
    <w:p w14:paraId="17F64112">
      <w:pPr>
        <w:pStyle w:val="992"/>
        <w:keepNext w:val="0"/>
        <w:pageBreakBefore w:val="0"/>
        <w:widowControl w:val="0"/>
        <w:kinsoku/>
        <w:overflowPunct/>
        <w:topLinePunct w:val="0"/>
        <w:bidi w:val="0"/>
        <w:adjustRightInd w:val="0"/>
        <w:spacing w:line="400" w:lineRule="exact"/>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凡出现以下情况之一的，作废标处理：</w:t>
      </w:r>
    </w:p>
    <w:p w14:paraId="5971D68F">
      <w:pPr>
        <w:pStyle w:val="992"/>
        <w:keepNext w:val="0"/>
        <w:pageBreakBefore w:val="0"/>
        <w:widowControl w:val="0"/>
        <w:numPr>
          <w:ilvl w:val="0"/>
          <w:numId w:val="3"/>
        </w:numPr>
        <w:kinsoku/>
        <w:overflowPunct/>
        <w:topLinePunct w:val="0"/>
        <w:bidi w:val="0"/>
        <w:adjustRightInd w:val="0"/>
        <w:spacing w:line="400" w:lineRule="exact"/>
        <w:ind w:left="1050" w:leftChars="0" w:firstLineChars="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符合资格条件、实质性要求的供应商不足两家的；</w:t>
      </w:r>
    </w:p>
    <w:p w14:paraId="0118FB52">
      <w:pPr>
        <w:pStyle w:val="992"/>
        <w:keepNext w:val="0"/>
        <w:pageBreakBefore w:val="0"/>
        <w:widowControl w:val="0"/>
        <w:numPr>
          <w:ilvl w:val="0"/>
          <w:numId w:val="3"/>
        </w:numPr>
        <w:kinsoku/>
        <w:overflowPunct/>
        <w:topLinePunct w:val="0"/>
        <w:bidi w:val="0"/>
        <w:adjustRightInd w:val="0"/>
        <w:spacing w:line="400" w:lineRule="exact"/>
        <w:ind w:left="1050" w:leftChars="0" w:firstLineChars="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出现影响采购公正的违法、违规行为的；</w:t>
      </w:r>
    </w:p>
    <w:p w14:paraId="69EE14C6">
      <w:pPr>
        <w:pStyle w:val="992"/>
        <w:keepNext w:val="0"/>
        <w:pageBreakBefore w:val="0"/>
        <w:widowControl w:val="0"/>
        <w:numPr>
          <w:ilvl w:val="0"/>
          <w:numId w:val="3"/>
        </w:numPr>
        <w:kinsoku/>
        <w:overflowPunct/>
        <w:topLinePunct w:val="0"/>
        <w:bidi w:val="0"/>
        <w:adjustRightInd w:val="0"/>
        <w:spacing w:line="400" w:lineRule="exact"/>
        <w:ind w:left="1050" w:leftChars="0" w:firstLineChars="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因重大变故，采购任务取消的；</w:t>
      </w:r>
    </w:p>
    <w:p w14:paraId="31059424">
      <w:pPr>
        <w:pStyle w:val="992"/>
        <w:keepNext w:val="0"/>
        <w:pageBreakBefore w:val="0"/>
        <w:widowControl w:val="0"/>
        <w:numPr>
          <w:ilvl w:val="0"/>
          <w:numId w:val="3"/>
        </w:numPr>
        <w:kinsoku/>
        <w:overflowPunct/>
        <w:topLinePunct w:val="0"/>
        <w:bidi w:val="0"/>
        <w:adjustRightInd w:val="0"/>
        <w:spacing w:line="400" w:lineRule="exact"/>
        <w:ind w:left="1050" w:leftChars="0" w:firstLineChars="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评审小组认定征集文件存在歧义、重大缺陷导致评审工作无法进行的；</w:t>
      </w:r>
    </w:p>
    <w:p w14:paraId="40C6AFED">
      <w:pPr>
        <w:pStyle w:val="992"/>
        <w:keepNext w:val="0"/>
        <w:keepLines/>
        <w:pageBreakBefore w:val="0"/>
        <w:widowControl w:val="0"/>
        <w:numPr>
          <w:ilvl w:val="0"/>
          <w:numId w:val="3"/>
        </w:numPr>
        <w:kinsoku/>
        <w:wordWrap w:val="0"/>
        <w:overflowPunct/>
        <w:topLinePunct w:val="0"/>
        <w:bidi w:val="0"/>
        <w:adjustRightInd w:val="0"/>
        <w:spacing w:line="400" w:lineRule="exact"/>
        <w:ind w:left="1050" w:leftChars="0" w:firstLineChars="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法律、法规规定的其他情形。</w:t>
      </w:r>
    </w:p>
    <w:p w14:paraId="1761D7C9">
      <w:pPr>
        <w:pStyle w:val="992"/>
        <w:keepNext w:val="0"/>
        <w:pageBreakBefore w:val="0"/>
        <w:widowControl w:val="0"/>
        <w:numPr>
          <w:ilvl w:val="0"/>
          <w:numId w:val="2"/>
        </w:numPr>
        <w:kinsoku/>
        <w:overflowPunct/>
        <w:topLinePunct w:val="0"/>
        <w:bidi w:val="0"/>
        <w:adjustRightInd w:val="0"/>
        <w:spacing w:line="400" w:lineRule="exact"/>
        <w:ind w:left="613" w:leftChars="0" w:hanging="193" w:firstLineChars="0"/>
        <w:textAlignment w:val="auto"/>
        <w:outlineLvl w:val="1"/>
        <w:rPr>
          <w:rFonts w:hint="eastAsia" w:ascii="宋体" w:hAnsi="宋体" w:eastAsia="宋体" w:cs="宋体"/>
          <w:b/>
          <w:bCs/>
          <w:color w:val="auto"/>
          <w:kern w:val="0"/>
          <w:sz w:val="24"/>
          <w:szCs w:val="24"/>
          <w:highlight w:val="none"/>
          <w:lang w:val="en-US" w:eastAsia="zh-CN" w:bidi="ar-SA"/>
        </w:rPr>
      </w:pPr>
      <w:bookmarkStart w:id="451" w:name="_Toc8009"/>
      <w:r>
        <w:rPr>
          <w:rFonts w:hint="eastAsia" w:ascii="宋体" w:hAnsi="宋体" w:eastAsia="宋体" w:cs="宋体"/>
          <w:b/>
          <w:bCs/>
          <w:color w:val="auto"/>
          <w:kern w:val="0"/>
          <w:sz w:val="24"/>
          <w:szCs w:val="24"/>
          <w:highlight w:val="none"/>
          <w:lang w:val="en-US" w:eastAsia="zh-CN" w:bidi="ar-SA"/>
        </w:rPr>
        <w:t>第一阶段入围选定规则和数量</w:t>
      </w:r>
      <w:bookmarkEnd w:id="451"/>
    </w:p>
    <w:p w14:paraId="7EDA80CA">
      <w:pPr>
        <w:pStyle w:val="992"/>
        <w:keepNext w:val="0"/>
        <w:pageBreakBefore w:val="0"/>
        <w:widowControl w:val="0"/>
        <w:kinsoku/>
        <w:overflowPunct/>
        <w:topLinePunct w:val="0"/>
        <w:bidi w:val="0"/>
        <w:adjustRightInd w:val="0"/>
        <w:spacing w:line="400" w:lineRule="exact"/>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本项目确定第一阶段入围供应商评审方法为价格优先法，按报价从低到高进行排序</w:t>
      </w:r>
      <w:r>
        <w:rPr>
          <w:rFonts w:hint="eastAsia" w:ascii="宋体" w:hAnsi="宋体" w:cs="宋体"/>
          <w:color w:val="auto"/>
          <w:kern w:val="0"/>
          <w:sz w:val="24"/>
          <w:szCs w:val="24"/>
          <w:highlight w:val="none"/>
          <w:lang w:val="en-US" w:eastAsia="zh-CN" w:bidi="ar-SA"/>
        </w:rPr>
        <w:t>；</w:t>
      </w:r>
      <w:r>
        <w:rPr>
          <w:rFonts w:hint="eastAsia" w:ascii="宋体" w:hAnsi="宋体" w:eastAsia="宋体" w:cs="宋体"/>
          <w:color w:val="auto"/>
          <w:kern w:val="0"/>
          <w:sz w:val="24"/>
          <w:highlight w:val="none"/>
          <w:lang w:val="en-US" w:eastAsia="zh-CN"/>
        </w:rPr>
        <w:t>报价相同的，按照资格响应文件中提供的2025年1月1日以后成功发行项目法评报告数量从高到低排序；报价和符合要求报告数量均相同的，按照投标（响应）时间先后排序</w:t>
      </w:r>
      <w:r>
        <w:rPr>
          <w:rFonts w:hint="eastAsia" w:ascii="宋体" w:hAnsi="宋体" w:eastAsia="宋体" w:cs="宋体"/>
          <w:color w:val="auto"/>
          <w:kern w:val="0"/>
          <w:sz w:val="24"/>
          <w:szCs w:val="24"/>
          <w:highlight w:val="none"/>
          <w:lang w:val="en-US" w:eastAsia="zh-CN" w:bidi="ar-SA"/>
        </w:rPr>
        <w:t>。</w:t>
      </w:r>
    </w:p>
    <w:p w14:paraId="575B4621">
      <w:pPr>
        <w:pStyle w:val="992"/>
        <w:keepNext w:val="0"/>
        <w:pageBreakBefore w:val="0"/>
        <w:widowControl w:val="0"/>
        <w:kinsoku/>
        <w:overflowPunct/>
        <w:topLinePunct w:val="0"/>
        <w:bidi w:val="0"/>
        <w:adjustRightInd w:val="0"/>
        <w:spacing w:line="400" w:lineRule="exact"/>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评审小组采用末位淘汰法确定入围供应商，淘汰比例为有效供应商的20%（采用进一法，如计算出来数字为</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.3，向上取整为</w:t>
      </w:r>
      <w:r>
        <w:rPr>
          <w:rFonts w:hint="eastAsia" w:ascii="宋体" w:hAnsi="宋体" w:cs="宋体"/>
          <w:color w:val="auto"/>
          <w:kern w:val="0"/>
          <w:sz w:val="24"/>
          <w:szCs w:val="24"/>
          <w:highlight w:val="none"/>
          <w:lang w:val="en-US" w:eastAsia="zh-CN" w:bidi="ar-SA"/>
        </w:rPr>
        <w:t>3</w:t>
      </w:r>
      <w:r>
        <w:rPr>
          <w:rFonts w:hint="eastAsia" w:ascii="宋体" w:hAnsi="宋体" w:eastAsia="宋体" w:cs="宋体"/>
          <w:color w:val="auto"/>
          <w:kern w:val="0"/>
          <w:sz w:val="24"/>
          <w:szCs w:val="24"/>
          <w:highlight w:val="none"/>
          <w:lang w:val="en-US" w:eastAsia="zh-CN" w:bidi="ar-SA"/>
        </w:rPr>
        <w:t>），且至少淘汰一家供应商</w:t>
      </w:r>
      <w:r>
        <w:rPr>
          <w:rFonts w:hint="eastAsia" w:ascii="宋体" w:hAnsi="宋体" w:cs="宋体"/>
          <w:color w:val="auto"/>
          <w:kern w:val="0"/>
          <w:sz w:val="24"/>
          <w:szCs w:val="24"/>
          <w:highlight w:val="none"/>
          <w:lang w:val="en-US" w:eastAsia="zh-CN" w:bidi="ar-SA"/>
        </w:rPr>
        <w:t>，但入围供应商数量上限为2家</w:t>
      </w:r>
      <w:r>
        <w:rPr>
          <w:rFonts w:hint="eastAsia" w:ascii="宋体" w:hAnsi="宋体" w:eastAsia="宋体" w:cs="宋体"/>
          <w:color w:val="auto"/>
          <w:kern w:val="0"/>
          <w:sz w:val="24"/>
          <w:szCs w:val="24"/>
          <w:highlight w:val="none"/>
          <w:lang w:val="en-US" w:eastAsia="zh-CN" w:bidi="ar-SA"/>
        </w:rPr>
        <w:t>。</w:t>
      </w:r>
    </w:p>
    <w:p w14:paraId="2364F237">
      <w:pPr>
        <w:adjustRightInd/>
        <w:spacing w:line="400" w:lineRule="exact"/>
        <w:ind w:firstLine="723" w:firstLineChars="200"/>
        <w:rPr>
          <w:rFonts w:ascii="仿宋" w:hAnsi="仿宋" w:eastAsia="仿宋" w:cs="仿宋_GB2312"/>
          <w:b/>
          <w:color w:val="auto"/>
          <w:sz w:val="36"/>
          <w:szCs w:val="36"/>
          <w:highlight w:val="none"/>
        </w:rPr>
      </w:pPr>
      <w:r>
        <w:rPr>
          <w:rFonts w:hint="eastAsia" w:ascii="仿宋" w:hAnsi="仿宋" w:eastAsia="仿宋" w:cs="仿宋_GB2312"/>
          <w:b/>
          <w:color w:val="auto"/>
          <w:sz w:val="36"/>
          <w:szCs w:val="36"/>
          <w:highlight w:val="none"/>
        </w:rPr>
        <w:br w:type="page"/>
      </w:r>
    </w:p>
    <w:p w14:paraId="52D391C1">
      <w:pPr>
        <w:pStyle w:val="5"/>
        <w:widowControl/>
        <w:spacing w:before="0" w:after="0" w:line="400" w:lineRule="atLeast"/>
        <w:jc w:val="center"/>
        <w:rPr>
          <w:rFonts w:ascii="黑体" w:hAnsi="黑体" w:eastAsia="黑体" w:cs="黑体"/>
          <w:b/>
          <w:color w:val="auto"/>
          <w:sz w:val="32"/>
          <w:szCs w:val="32"/>
          <w:highlight w:val="none"/>
        </w:rPr>
      </w:pPr>
      <w:bookmarkStart w:id="452" w:name="_Toc6922"/>
      <w:bookmarkStart w:id="453" w:name="_Toc9072"/>
      <w:bookmarkStart w:id="454" w:name="_Toc27784"/>
      <w:bookmarkStart w:id="455" w:name="_Toc8078"/>
      <w:bookmarkStart w:id="456" w:name="_Toc12505"/>
      <w:bookmarkStart w:id="457" w:name="_Toc5846"/>
      <w:bookmarkStart w:id="458" w:name="_Toc30488"/>
      <w:bookmarkStart w:id="459" w:name="_Toc1647777864"/>
      <w:r>
        <w:rPr>
          <w:rFonts w:hint="eastAsia" w:ascii="黑体" w:hAnsi="黑体" w:eastAsia="黑体" w:cs="黑体"/>
          <w:b/>
          <w:color w:val="auto"/>
          <w:sz w:val="32"/>
          <w:szCs w:val="32"/>
          <w:highlight w:val="none"/>
        </w:rPr>
        <w:t xml:space="preserve">第五章 </w:t>
      </w:r>
      <w:bookmarkEnd w:id="442"/>
      <w:bookmarkEnd w:id="443"/>
      <w:bookmarkEnd w:id="444"/>
      <w:bookmarkEnd w:id="445"/>
      <w:bookmarkEnd w:id="452"/>
      <w:bookmarkEnd w:id="453"/>
      <w:bookmarkEnd w:id="454"/>
      <w:bookmarkEnd w:id="455"/>
      <w:bookmarkEnd w:id="456"/>
      <w:bookmarkEnd w:id="457"/>
      <w:bookmarkEnd w:id="458"/>
      <w:r>
        <w:rPr>
          <w:sz w:val="32"/>
        </w:rPr>
        <w:t>框架协议及采购合同格式</w:t>
      </w:r>
      <w:bookmarkEnd w:id="459"/>
    </w:p>
    <w:p w14:paraId="33213C60">
      <w:pPr>
        <w:pStyle w:val="35"/>
        <w:spacing w:line="400" w:lineRule="exact"/>
        <w:jc w:val="center"/>
        <w:rPr>
          <w:rStyle w:val="987"/>
          <w:rFonts w:ascii="仿宋" w:hAnsi="仿宋" w:eastAsia="仿宋"/>
          <w:color w:val="auto"/>
          <w:sz w:val="30"/>
          <w:szCs w:val="30"/>
          <w:highlight w:val="none"/>
        </w:rPr>
      </w:pPr>
      <w:bookmarkStart w:id="460" w:name="_Toc3441"/>
      <w:bookmarkStart w:id="461" w:name="_Toc27544"/>
      <w:bookmarkStart w:id="462" w:name="_Toc17376"/>
      <w:bookmarkStart w:id="463" w:name="_Toc25425"/>
      <w:bookmarkStart w:id="464" w:name="_Toc23526"/>
      <w:r>
        <w:rPr>
          <w:rStyle w:val="987"/>
          <w:rFonts w:hint="eastAsia" w:ascii="仿宋" w:hAnsi="仿宋" w:eastAsia="仿宋"/>
          <w:color w:val="auto"/>
          <w:highlight w:val="none"/>
        </w:rPr>
        <w:t>（可根据中标实际情况调整）</w:t>
      </w:r>
    </w:p>
    <w:p w14:paraId="4309674C">
      <w:pPr>
        <w:numPr>
          <w:ilvl w:val="0"/>
          <w:numId w:val="4"/>
        </w:numPr>
        <w:spacing w:line="440" w:lineRule="exact"/>
        <w:jc w:val="left"/>
      </w:pPr>
      <w:r>
        <w:rPr>
          <w:sz w:val="24"/>
          <w:szCs w:val="24"/>
        </w:rPr>
        <w:t>第一阶段框架协议格式</w:t>
      </w:r>
    </w:p>
    <w:p w14:paraId="2EA2F70F">
      <w:pPr>
        <w:numPr>
          <w:ilvl w:val="0"/>
          <w:numId w:val="0"/>
        </w:numPr>
        <w:spacing w:line="440" w:lineRule="exact"/>
        <w:jc w:val="center"/>
      </w:pPr>
      <w:r>
        <w:rPr>
          <w:rStyle w:val="987"/>
          <w:rFonts w:hint="eastAsia" w:asciiTheme="minorEastAsia" w:hAnsiTheme="minorEastAsia" w:eastAsiaTheme="minorEastAsia" w:cstheme="minorBidi"/>
          <w:color w:val="auto"/>
          <w:kern w:val="0"/>
          <w:sz w:val="24"/>
          <w:szCs w:val="24"/>
          <w:highlight w:val="none"/>
          <w:lang w:eastAsia="zh-CN"/>
        </w:rPr>
        <w:t>义乌市2026-2027年度专项债券发行准备法律专业服务框架协议</w:t>
      </w:r>
    </w:p>
    <w:p w14:paraId="358A61AE">
      <w:pPr>
        <w:pStyle w:val="878"/>
        <w:spacing w:line="360" w:lineRule="exact"/>
        <w:rPr>
          <w:rStyle w:val="987"/>
          <w:rFonts w:hint="eastAsia" w:asciiTheme="minorEastAsia" w:hAnsiTheme="minorEastAsia" w:eastAsiaTheme="minorEastAsia"/>
          <w:color w:val="auto"/>
          <w:sz w:val="24"/>
          <w:szCs w:val="24"/>
          <w:highlight w:val="none"/>
          <w:lang w:eastAsia="zh-CN"/>
        </w:rPr>
      </w:pPr>
      <w:r>
        <w:rPr>
          <w:rStyle w:val="987"/>
          <w:rFonts w:hint="eastAsia" w:asciiTheme="minorEastAsia" w:hAnsiTheme="minorEastAsia" w:eastAsiaTheme="minorEastAsia"/>
          <w:bCs/>
          <w:color w:val="auto"/>
          <w:sz w:val="24"/>
          <w:szCs w:val="24"/>
          <w:highlight w:val="none"/>
        </w:rPr>
        <w:t>甲方</w:t>
      </w:r>
      <w:r>
        <w:rPr>
          <w:rStyle w:val="987"/>
          <w:rFonts w:hint="eastAsia" w:asciiTheme="minorEastAsia" w:hAnsiTheme="minorEastAsia" w:eastAsiaTheme="minorEastAsia"/>
          <w:color w:val="auto"/>
          <w:sz w:val="24"/>
          <w:szCs w:val="24"/>
          <w:highlight w:val="none"/>
        </w:rPr>
        <w:t>（征集人）：</w:t>
      </w:r>
      <w:r>
        <w:rPr>
          <w:rStyle w:val="987"/>
          <w:rFonts w:hint="eastAsia" w:asciiTheme="minorEastAsia" w:hAnsiTheme="minorEastAsia" w:eastAsiaTheme="minorEastAsia"/>
          <w:color w:val="auto"/>
          <w:sz w:val="24"/>
          <w:szCs w:val="24"/>
          <w:highlight w:val="none"/>
          <w:lang w:eastAsia="zh-CN"/>
        </w:rPr>
        <w:t>义乌市财政局</w:t>
      </w:r>
    </w:p>
    <w:p w14:paraId="4EF683A3">
      <w:pPr>
        <w:pStyle w:val="878"/>
        <w:spacing w:line="360" w:lineRule="exact"/>
        <w:rPr>
          <w:rStyle w:val="987"/>
          <w:rFonts w:asciiTheme="minorEastAsia" w:hAnsiTheme="minorEastAsia" w:eastAsiaTheme="minorEastAsia"/>
          <w:color w:val="auto"/>
          <w:sz w:val="24"/>
          <w:szCs w:val="24"/>
          <w:highlight w:val="none"/>
        </w:rPr>
      </w:pPr>
      <w:r>
        <w:rPr>
          <w:rStyle w:val="987"/>
          <w:rFonts w:hint="eastAsia" w:asciiTheme="minorEastAsia" w:hAnsiTheme="minorEastAsia" w:eastAsiaTheme="minorEastAsia"/>
          <w:bCs/>
          <w:color w:val="auto"/>
          <w:sz w:val="24"/>
          <w:szCs w:val="24"/>
          <w:highlight w:val="none"/>
        </w:rPr>
        <w:t>乙方</w:t>
      </w:r>
      <w:r>
        <w:rPr>
          <w:rStyle w:val="987"/>
          <w:rFonts w:hint="eastAsia" w:asciiTheme="minorEastAsia" w:hAnsiTheme="minorEastAsia" w:eastAsiaTheme="minorEastAsia"/>
          <w:color w:val="auto"/>
          <w:sz w:val="24"/>
          <w:szCs w:val="24"/>
          <w:highlight w:val="none"/>
        </w:rPr>
        <w:t>（供应商）：</w:t>
      </w:r>
    </w:p>
    <w:p w14:paraId="5ECC56BA">
      <w:pPr>
        <w:spacing w:line="400" w:lineRule="exact"/>
        <w:ind w:firstLine="480" w:firstLineChars="200"/>
        <w:rPr>
          <w:rStyle w:val="987"/>
          <w:rFonts w:asciiTheme="minorEastAsia" w:hAnsiTheme="minorEastAsia" w:eastAsiaTheme="minorEastAsia" w:cstheme="minorBidi"/>
          <w:color w:val="auto"/>
          <w:kern w:val="0"/>
          <w:sz w:val="24"/>
          <w:szCs w:val="24"/>
          <w:highlight w:val="none"/>
        </w:rPr>
      </w:pPr>
      <w:r>
        <w:rPr>
          <w:rStyle w:val="987"/>
          <w:rFonts w:hint="eastAsia" w:asciiTheme="minorEastAsia" w:hAnsiTheme="minorEastAsia" w:eastAsiaTheme="minorEastAsia" w:cstheme="minorBidi"/>
          <w:color w:val="auto"/>
          <w:kern w:val="0"/>
          <w:sz w:val="24"/>
          <w:szCs w:val="24"/>
          <w:highlight w:val="none"/>
        </w:rPr>
        <w:t>甲、乙双方根据</w:t>
      </w:r>
      <w:r>
        <w:rPr>
          <w:rStyle w:val="987"/>
          <w:rFonts w:hint="eastAsia" w:asciiTheme="minorEastAsia" w:hAnsiTheme="minorEastAsia" w:eastAsiaTheme="minorEastAsia" w:cstheme="minorBidi"/>
          <w:color w:val="auto"/>
          <w:kern w:val="0"/>
          <w:sz w:val="24"/>
          <w:szCs w:val="24"/>
          <w:highlight w:val="none"/>
          <w:lang w:eastAsia="zh-CN"/>
        </w:rPr>
        <w:t>义乌市2026-2027年度专项债券发行准备法律专业服务封闭式框架协议采购项目</w:t>
      </w:r>
      <w:r>
        <w:rPr>
          <w:rStyle w:val="987"/>
          <w:rFonts w:hint="eastAsia" w:asciiTheme="minorEastAsia" w:hAnsiTheme="minorEastAsia" w:eastAsiaTheme="minorEastAsia" w:cstheme="minorBidi"/>
          <w:color w:val="auto"/>
          <w:kern w:val="0"/>
          <w:sz w:val="24"/>
          <w:szCs w:val="24"/>
          <w:highlight w:val="none"/>
        </w:rPr>
        <w:t>（项目编号：</w:t>
      </w:r>
      <w:r>
        <w:rPr>
          <w:rFonts w:hint="default" w:ascii="宋体" w:hAnsi="宋体" w:eastAsia="宋体" w:cs="宋体"/>
          <w:bCs/>
          <w:color w:val="auto"/>
          <w:sz w:val="24"/>
          <w:highlight w:val="none"/>
          <w:lang w:val="en-US" w:eastAsia="zh-CN"/>
        </w:rPr>
        <w:t>YWCZZW2026002</w:t>
      </w:r>
      <w:r>
        <w:rPr>
          <w:rStyle w:val="987"/>
          <w:rFonts w:hint="eastAsia" w:asciiTheme="minorEastAsia" w:hAnsiTheme="minorEastAsia" w:eastAsiaTheme="minorEastAsia" w:cstheme="minorBidi"/>
          <w:color w:val="auto"/>
          <w:kern w:val="0"/>
          <w:sz w:val="24"/>
          <w:szCs w:val="24"/>
          <w:highlight w:val="none"/>
        </w:rPr>
        <w:t>）公开征集的结果，签署本协议。</w:t>
      </w:r>
    </w:p>
    <w:p w14:paraId="12E38A13">
      <w:pPr>
        <w:pStyle w:val="35"/>
        <w:spacing w:line="360" w:lineRule="exact"/>
        <w:ind w:firstLine="480" w:firstLineChars="200"/>
        <w:rPr>
          <w:rStyle w:val="987"/>
          <w:rFonts w:asciiTheme="minorEastAsia" w:hAnsiTheme="minorEastAsia" w:eastAsiaTheme="minorEastAsia"/>
          <w:b/>
          <w:bCs/>
          <w:color w:val="auto"/>
          <w:sz w:val="24"/>
          <w:szCs w:val="24"/>
          <w:highlight w:val="none"/>
        </w:rPr>
      </w:pPr>
      <w:r>
        <w:rPr>
          <w:rStyle w:val="987"/>
          <w:rFonts w:hint="eastAsia" w:asciiTheme="minorEastAsia" w:hAnsiTheme="minorEastAsia" w:eastAsiaTheme="minorEastAsia"/>
          <w:bCs/>
          <w:color w:val="auto"/>
          <w:kern w:val="0"/>
          <w:sz w:val="24"/>
          <w:szCs w:val="24"/>
          <w:highlight w:val="none"/>
        </w:rPr>
        <w:t>一、服务清单</w:t>
      </w:r>
      <w:r>
        <w:rPr>
          <w:rStyle w:val="987"/>
          <w:rFonts w:hint="eastAsia" w:asciiTheme="minorEastAsia" w:hAnsiTheme="minorEastAsia" w:eastAsiaTheme="minorEastAsia"/>
          <w:bCs/>
          <w:color w:val="auto"/>
          <w:sz w:val="24"/>
          <w:szCs w:val="24"/>
          <w:highlight w:val="none"/>
        </w:rPr>
        <w:t>及协议单价：</w:t>
      </w:r>
    </w:p>
    <w:tbl>
      <w:tblPr>
        <w:tblStyle w:val="65"/>
        <w:tblW w:w="8696" w:type="dxa"/>
        <w:jc w:val="center"/>
        <w:tblLayout w:type="fixed"/>
        <w:tblCellMar>
          <w:top w:w="0" w:type="dxa"/>
          <w:left w:w="0" w:type="dxa"/>
          <w:bottom w:w="0" w:type="dxa"/>
          <w:right w:w="0" w:type="dxa"/>
        </w:tblCellMar>
      </w:tblPr>
      <w:tblGrid>
        <w:gridCol w:w="890"/>
        <w:gridCol w:w="6182"/>
        <w:gridCol w:w="1624"/>
      </w:tblGrid>
      <w:tr w14:paraId="5F5D4852">
        <w:tblPrEx>
          <w:tblCellMar>
            <w:top w:w="0" w:type="dxa"/>
            <w:left w:w="0" w:type="dxa"/>
            <w:bottom w:w="0" w:type="dxa"/>
            <w:right w:w="0" w:type="dxa"/>
          </w:tblCellMar>
        </w:tblPrEx>
        <w:trPr>
          <w:trHeight w:val="260" w:hRule="atLeast"/>
          <w:jc w:val="center"/>
        </w:trPr>
        <w:tc>
          <w:tcPr>
            <w:tcW w:w="890" w:type="dxa"/>
            <w:tcBorders>
              <w:top w:val="single" w:color="000000" w:sz="4" w:space="0"/>
              <w:left w:val="single" w:color="000000" w:sz="4" w:space="0"/>
              <w:bottom w:val="single" w:color="000000" w:sz="4" w:space="0"/>
              <w:right w:val="single" w:color="000000" w:sz="4" w:space="0"/>
              <w:tl2br w:val="nil"/>
              <w:tr2bl w:val="nil"/>
            </w:tcBorders>
            <w:tcMar>
              <w:top w:w="12" w:type="dxa"/>
              <w:left w:w="12" w:type="dxa"/>
              <w:right w:w="12" w:type="dxa"/>
            </w:tcMar>
            <w:vAlign w:val="center"/>
          </w:tcPr>
          <w:p w14:paraId="0101DA29">
            <w:pPr>
              <w:widowControl/>
              <w:snapToGrid w:val="0"/>
              <w:spacing w:line="360" w:lineRule="exact"/>
              <w:jc w:val="center"/>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序号</w:t>
            </w:r>
          </w:p>
        </w:tc>
        <w:tc>
          <w:tcPr>
            <w:tcW w:w="6182" w:type="dxa"/>
            <w:tcBorders>
              <w:top w:val="single" w:color="000000" w:sz="4" w:space="0"/>
              <w:left w:val="single" w:color="000000" w:sz="4" w:space="0"/>
              <w:bottom w:val="single" w:color="000000" w:sz="4" w:space="0"/>
              <w:right w:val="single" w:color="000000" w:sz="4" w:space="0"/>
              <w:tl2br w:val="nil"/>
              <w:tr2bl w:val="nil"/>
            </w:tcBorders>
            <w:tcMar>
              <w:top w:w="12" w:type="dxa"/>
              <w:left w:w="12" w:type="dxa"/>
              <w:right w:w="12" w:type="dxa"/>
            </w:tcMar>
            <w:vAlign w:val="center"/>
          </w:tcPr>
          <w:p w14:paraId="20E2EBB7">
            <w:pPr>
              <w:widowControl/>
              <w:snapToGrid w:val="0"/>
              <w:spacing w:line="360" w:lineRule="exact"/>
              <w:jc w:val="center"/>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项目类型</w:t>
            </w:r>
          </w:p>
        </w:tc>
        <w:tc>
          <w:tcPr>
            <w:tcW w:w="1624" w:type="dxa"/>
            <w:tcBorders>
              <w:top w:val="single" w:color="000000" w:sz="4" w:space="0"/>
              <w:left w:val="single" w:color="000000" w:sz="4" w:space="0"/>
              <w:bottom w:val="single" w:color="000000" w:sz="4" w:space="0"/>
              <w:right w:val="single" w:color="000000" w:sz="4" w:space="0"/>
              <w:tl2br w:val="nil"/>
              <w:tr2bl w:val="nil"/>
            </w:tcBorders>
            <w:tcMar>
              <w:top w:w="12" w:type="dxa"/>
              <w:left w:w="12" w:type="dxa"/>
              <w:right w:w="12" w:type="dxa"/>
            </w:tcMar>
            <w:vAlign w:val="center"/>
          </w:tcPr>
          <w:p w14:paraId="6D9466F4">
            <w:pPr>
              <w:widowControl/>
              <w:snapToGrid w:val="0"/>
              <w:spacing w:line="360" w:lineRule="exact"/>
              <w:jc w:val="center"/>
              <w:rPr>
                <w:rFonts w:cs="宋体" w:asciiTheme="minorEastAsia" w:hAnsiTheme="minorEastAsia" w:eastAsiaTheme="minorEastAsia"/>
                <w:b/>
                <w:bCs/>
                <w:color w:val="auto"/>
                <w:sz w:val="24"/>
                <w:highlight w:val="none"/>
              </w:rPr>
            </w:pPr>
            <w:r>
              <w:rPr>
                <w:rStyle w:val="987"/>
                <w:rFonts w:hint="eastAsia" w:asciiTheme="minorEastAsia" w:hAnsiTheme="minorEastAsia" w:eastAsiaTheme="minorEastAsia"/>
                <w:b/>
                <w:bCs/>
                <w:color w:val="auto"/>
                <w:sz w:val="24"/>
                <w:highlight w:val="none"/>
              </w:rPr>
              <w:t>协议单价</w:t>
            </w:r>
          </w:p>
        </w:tc>
      </w:tr>
      <w:tr w14:paraId="07F67DBA">
        <w:tblPrEx>
          <w:tblCellMar>
            <w:top w:w="0" w:type="dxa"/>
            <w:left w:w="0" w:type="dxa"/>
            <w:bottom w:w="0" w:type="dxa"/>
            <w:right w:w="0" w:type="dxa"/>
          </w:tblCellMar>
        </w:tblPrEx>
        <w:trPr>
          <w:trHeight w:val="765" w:hRule="exact"/>
          <w:jc w:val="center"/>
        </w:trPr>
        <w:tc>
          <w:tcPr>
            <w:tcW w:w="890" w:type="dxa"/>
            <w:tcBorders>
              <w:top w:val="single" w:color="000000" w:sz="4" w:space="0"/>
              <w:left w:val="single" w:color="000000" w:sz="4" w:space="0"/>
              <w:bottom w:val="single" w:color="000000" w:sz="4" w:space="0"/>
              <w:right w:val="single" w:color="000000" w:sz="4" w:space="0"/>
              <w:tl2br w:val="nil"/>
              <w:tr2bl w:val="nil"/>
            </w:tcBorders>
            <w:tcMar>
              <w:top w:w="12" w:type="dxa"/>
              <w:left w:w="12" w:type="dxa"/>
              <w:right w:w="12" w:type="dxa"/>
            </w:tcMar>
            <w:vAlign w:val="center"/>
          </w:tcPr>
          <w:p w14:paraId="5A61B575">
            <w:pPr>
              <w:adjustRightInd/>
              <w:snapToGrid w:val="0"/>
              <w:spacing w:line="36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w:t>
            </w:r>
          </w:p>
        </w:tc>
        <w:tc>
          <w:tcPr>
            <w:tcW w:w="6182" w:type="dxa"/>
            <w:tcBorders>
              <w:top w:val="single" w:color="000000" w:sz="4" w:space="0"/>
              <w:left w:val="single" w:color="000000" w:sz="4" w:space="0"/>
              <w:bottom w:val="single" w:color="000000" w:sz="4" w:space="0"/>
              <w:right w:val="single" w:color="000000" w:sz="4" w:space="0"/>
              <w:tl2br w:val="nil"/>
              <w:tr2bl w:val="nil"/>
            </w:tcBorders>
            <w:tcMar>
              <w:top w:w="12" w:type="dxa"/>
              <w:left w:w="12" w:type="dxa"/>
              <w:right w:w="12" w:type="dxa"/>
            </w:tcMar>
            <w:vAlign w:val="center"/>
          </w:tcPr>
          <w:p w14:paraId="61C10097">
            <w:pPr>
              <w:adjustRightInd/>
              <w:snapToGrid w:val="0"/>
              <w:spacing w:line="360" w:lineRule="exact"/>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sz w:val="24"/>
                <w:highlight w:val="none"/>
              </w:rPr>
              <w:t>出具加盖第三方中介机构公章的法律意见书</w:t>
            </w:r>
            <w:r>
              <w:rPr>
                <w:rFonts w:hint="eastAsia" w:cs="宋体" w:asciiTheme="minorEastAsia" w:hAnsiTheme="minorEastAsia" w:eastAsiaTheme="minorEastAsia"/>
                <w:color w:val="auto"/>
                <w:sz w:val="24"/>
                <w:highlight w:val="none"/>
                <w:lang w:eastAsia="zh-CN"/>
              </w:rPr>
              <w:t>（正式稿）</w:t>
            </w:r>
            <w:r>
              <w:rPr>
                <w:rFonts w:cs="宋体" w:asciiTheme="minorEastAsia" w:hAnsiTheme="minorEastAsia" w:eastAsiaTheme="minorEastAsia"/>
                <w:color w:val="auto"/>
                <w:sz w:val="24"/>
                <w:highlight w:val="none"/>
              </w:rPr>
              <w:t>并</w:t>
            </w:r>
            <w:r>
              <w:rPr>
                <w:rFonts w:hint="eastAsia" w:cs="宋体" w:asciiTheme="minorEastAsia" w:hAnsiTheme="minorEastAsia" w:eastAsiaTheme="minorEastAsia"/>
                <w:color w:val="auto"/>
                <w:sz w:val="24"/>
                <w:highlight w:val="none"/>
              </w:rPr>
              <w:t>首次</w:t>
            </w:r>
            <w:r>
              <w:rPr>
                <w:rFonts w:cs="宋体" w:asciiTheme="minorEastAsia" w:hAnsiTheme="minorEastAsia" w:eastAsiaTheme="minorEastAsia"/>
                <w:color w:val="auto"/>
                <w:sz w:val="24"/>
                <w:highlight w:val="none"/>
              </w:rPr>
              <w:t>成功发行</w:t>
            </w:r>
            <w:r>
              <w:rPr>
                <w:rFonts w:hint="eastAsia" w:cs="宋体" w:asciiTheme="minorEastAsia" w:hAnsiTheme="minorEastAsia" w:eastAsiaTheme="minorEastAsia"/>
                <w:color w:val="auto"/>
                <w:sz w:val="24"/>
                <w:highlight w:val="none"/>
              </w:rPr>
              <w:t>专项债的项目</w:t>
            </w:r>
          </w:p>
        </w:tc>
        <w:tc>
          <w:tcPr>
            <w:tcW w:w="1624" w:type="dxa"/>
            <w:tcBorders>
              <w:top w:val="single" w:color="000000" w:sz="4" w:space="0"/>
              <w:left w:val="single" w:color="000000" w:sz="4" w:space="0"/>
              <w:bottom w:val="single" w:color="000000" w:sz="4" w:space="0"/>
              <w:right w:val="single" w:color="000000" w:sz="4" w:space="0"/>
              <w:tl2br w:val="nil"/>
              <w:tr2bl w:val="nil"/>
            </w:tcBorders>
            <w:tcMar>
              <w:top w:w="12" w:type="dxa"/>
              <w:left w:w="12" w:type="dxa"/>
              <w:right w:w="12" w:type="dxa"/>
            </w:tcMar>
            <w:vAlign w:val="center"/>
          </w:tcPr>
          <w:p w14:paraId="1FB5EDAB">
            <w:pPr>
              <w:adjustRightInd/>
              <w:snapToGrid w:val="0"/>
              <w:spacing w:line="360" w:lineRule="exact"/>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u w:val="none"/>
              </w:rPr>
              <w:t>万</w:t>
            </w:r>
            <w:r>
              <w:rPr>
                <w:rFonts w:cs="宋体" w:asciiTheme="minorEastAsia" w:hAnsiTheme="minorEastAsia" w:eastAsiaTheme="minorEastAsia"/>
                <w:color w:val="auto"/>
                <w:sz w:val="24"/>
                <w:highlight w:val="none"/>
              </w:rPr>
              <w:t>元/个</w:t>
            </w:r>
          </w:p>
        </w:tc>
      </w:tr>
    </w:tbl>
    <w:p w14:paraId="7271527B">
      <w:pPr>
        <w:spacing w:line="400" w:lineRule="exact"/>
        <w:ind w:firstLine="480" w:firstLineChars="200"/>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1.对已</w:t>
      </w:r>
      <w:r>
        <w:rPr>
          <w:rFonts w:hint="eastAsia" w:ascii="宋体" w:hAnsi="宋体" w:cs="宋体"/>
          <w:color w:val="auto"/>
          <w:kern w:val="0"/>
          <w:sz w:val="24"/>
          <w:highlight w:val="none"/>
        </w:rPr>
        <w:t>出具加盖第三方中介机构公章的</w:t>
      </w:r>
      <w:r>
        <w:rPr>
          <w:rFonts w:ascii="宋体" w:hAnsi="宋体" w:cs="宋体"/>
          <w:color w:val="auto"/>
          <w:sz w:val="24"/>
          <w:highlight w:val="none"/>
        </w:rPr>
        <w:t>法律意见书</w:t>
      </w:r>
      <w:r>
        <w:rPr>
          <w:rFonts w:hint="eastAsia" w:ascii="宋体" w:hAnsi="宋体" w:cs="宋体"/>
          <w:color w:val="auto"/>
          <w:kern w:val="0"/>
          <w:sz w:val="24"/>
          <w:highlight w:val="none"/>
        </w:rPr>
        <w:t>（正式稿）并成功继续发行专项债的项目</w:t>
      </w:r>
      <w:r>
        <w:rPr>
          <w:rFonts w:hint="eastAsia" w:ascii="宋体" w:hAnsi="宋体" w:cs="宋体"/>
          <w:color w:val="auto"/>
          <w:kern w:val="0"/>
          <w:sz w:val="24"/>
          <w:highlight w:val="none"/>
          <w:lang w:eastAsia="zh-CN"/>
        </w:rPr>
        <w:t>，按成功新发项目中标价的</w:t>
      </w:r>
      <w:r>
        <w:rPr>
          <w:rFonts w:hint="eastAsia" w:ascii="宋体" w:hAnsi="宋体" w:cs="宋体"/>
          <w:color w:val="auto"/>
          <w:kern w:val="0"/>
          <w:sz w:val="24"/>
          <w:highlight w:val="none"/>
          <w:lang w:val="en-US" w:eastAsia="zh-CN"/>
        </w:rPr>
        <w:t>50%计算收费。</w:t>
      </w:r>
    </w:p>
    <w:p w14:paraId="37D803B5">
      <w:pPr>
        <w:spacing w:line="400" w:lineRule="exact"/>
        <w:ind w:firstLine="480" w:firstLineChars="200"/>
        <w:rPr>
          <w:rFonts w:ascii="宋体" w:hAnsi="宋体" w:cs="宋体"/>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2.</w:t>
      </w:r>
      <w:r>
        <w:rPr>
          <w:rFonts w:hint="eastAsia" w:cs="宋体"/>
          <w:color w:val="auto"/>
          <w:kern w:val="0"/>
          <w:sz w:val="24"/>
          <w:highlight w:val="none"/>
          <w:lang w:val="en-US" w:eastAsia="zh-CN"/>
        </w:rPr>
        <w:t>对已</w:t>
      </w:r>
      <w:r>
        <w:rPr>
          <w:rFonts w:hint="eastAsia" w:ascii="宋体" w:hAnsi="宋体" w:cs="宋体"/>
          <w:color w:val="auto"/>
          <w:sz w:val="24"/>
          <w:highlight w:val="none"/>
        </w:rPr>
        <w:t>出具加盖第三方中介机构公章的</w:t>
      </w:r>
      <w:r>
        <w:rPr>
          <w:rFonts w:ascii="宋体" w:hAnsi="宋体" w:cs="宋体"/>
          <w:color w:val="auto"/>
          <w:sz w:val="24"/>
          <w:highlight w:val="none"/>
        </w:rPr>
        <w:t>法律意见书</w:t>
      </w:r>
      <w:r>
        <w:rPr>
          <w:rFonts w:hint="eastAsia" w:ascii="宋体" w:hAnsi="宋体" w:cs="宋体"/>
          <w:color w:val="auto"/>
          <w:sz w:val="24"/>
          <w:highlight w:val="none"/>
        </w:rPr>
        <w:t>（正式稿）</w:t>
      </w:r>
      <w:r>
        <w:rPr>
          <w:rFonts w:hint="eastAsia" w:ascii="宋体" w:hAnsi="宋体" w:cs="宋体"/>
          <w:color w:val="auto"/>
          <w:sz w:val="24"/>
          <w:highlight w:val="none"/>
          <w:lang w:eastAsia="zh-CN"/>
        </w:rPr>
        <w:t>但未成功</w:t>
      </w:r>
      <w:r>
        <w:rPr>
          <w:rFonts w:hint="eastAsia" w:ascii="宋体" w:hAnsi="宋体" w:cs="宋体"/>
          <w:color w:val="auto"/>
          <w:sz w:val="24"/>
          <w:highlight w:val="none"/>
        </w:rPr>
        <w:t>发行专项债的</w:t>
      </w:r>
      <w:r>
        <w:rPr>
          <w:rFonts w:hint="eastAsia" w:ascii="宋体" w:hAnsi="宋体" w:cs="宋体"/>
          <w:color w:val="auto"/>
          <w:sz w:val="24"/>
          <w:highlight w:val="none"/>
          <w:lang w:eastAsia="zh-CN"/>
        </w:rPr>
        <w:t>新发</w:t>
      </w:r>
      <w:r>
        <w:rPr>
          <w:rFonts w:hint="eastAsia" w:ascii="宋体" w:hAnsi="宋体" w:cs="宋体"/>
          <w:color w:val="auto"/>
          <w:sz w:val="24"/>
          <w:highlight w:val="none"/>
        </w:rPr>
        <w:t>项目</w:t>
      </w:r>
      <w:r>
        <w:rPr>
          <w:rFonts w:hint="eastAsia" w:ascii="宋体" w:hAnsi="宋体" w:cs="宋体"/>
          <w:color w:val="auto"/>
          <w:sz w:val="24"/>
          <w:highlight w:val="none"/>
          <w:lang w:eastAsia="zh-CN"/>
        </w:rPr>
        <w:t>，</w:t>
      </w:r>
      <w:r>
        <w:rPr>
          <w:rFonts w:hint="eastAsia" w:ascii="宋体" w:hAnsi="宋体" w:cs="宋体"/>
          <w:color w:val="auto"/>
          <w:kern w:val="0"/>
          <w:sz w:val="24"/>
          <w:highlight w:val="none"/>
          <w:lang w:eastAsia="zh-CN"/>
        </w:rPr>
        <w:t>按成功新发项目中标价的</w:t>
      </w:r>
      <w:r>
        <w:rPr>
          <w:rFonts w:hint="eastAsia" w:ascii="宋体" w:hAnsi="宋体" w:cs="宋体"/>
          <w:color w:val="auto"/>
          <w:kern w:val="0"/>
          <w:sz w:val="24"/>
          <w:highlight w:val="none"/>
          <w:lang w:val="en-US" w:eastAsia="zh-CN"/>
        </w:rPr>
        <w:t>50%计算收费。</w:t>
      </w:r>
      <w:r>
        <w:rPr>
          <w:rFonts w:ascii="宋体" w:hAnsi="宋体" w:cs="宋体"/>
          <w:color w:val="auto"/>
          <w:kern w:val="0"/>
          <w:sz w:val="24"/>
          <w:highlight w:val="none"/>
        </w:rPr>
        <w:t>若后续项目发行成功，同一服务商</w:t>
      </w:r>
      <w:r>
        <w:rPr>
          <w:rFonts w:hint="eastAsia" w:ascii="宋体" w:hAnsi="宋体" w:cs="宋体"/>
          <w:color w:val="auto"/>
          <w:kern w:val="0"/>
          <w:sz w:val="24"/>
          <w:highlight w:val="none"/>
        </w:rPr>
        <w:t>收取</w:t>
      </w:r>
      <w:r>
        <w:rPr>
          <w:rFonts w:ascii="宋体" w:hAnsi="宋体" w:cs="宋体"/>
          <w:color w:val="auto"/>
          <w:kern w:val="0"/>
          <w:sz w:val="24"/>
          <w:highlight w:val="none"/>
        </w:rPr>
        <w:t>中标价</w:t>
      </w:r>
      <w:r>
        <w:rPr>
          <w:rFonts w:hint="eastAsia" w:ascii="宋体" w:hAnsi="宋体" w:cs="宋体"/>
          <w:color w:val="auto"/>
          <w:kern w:val="0"/>
          <w:sz w:val="24"/>
          <w:highlight w:val="none"/>
        </w:rPr>
        <w:t>扣除前期收费后的剩余费用</w:t>
      </w:r>
      <w:r>
        <w:rPr>
          <w:rFonts w:ascii="宋体" w:hAnsi="宋体" w:cs="宋体"/>
          <w:color w:val="auto"/>
          <w:kern w:val="0"/>
          <w:sz w:val="24"/>
          <w:highlight w:val="none"/>
        </w:rPr>
        <w:t>。</w:t>
      </w:r>
    </w:p>
    <w:p w14:paraId="199F0C93">
      <w:pPr>
        <w:spacing w:line="4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3.对已</w:t>
      </w:r>
      <w:r>
        <w:rPr>
          <w:rFonts w:hint="eastAsia" w:ascii="宋体" w:hAnsi="宋体" w:cs="宋体"/>
          <w:color w:val="auto"/>
          <w:sz w:val="24"/>
          <w:highlight w:val="none"/>
        </w:rPr>
        <w:t>出具加盖第三方中介机构公章的</w:t>
      </w:r>
      <w:r>
        <w:rPr>
          <w:rFonts w:ascii="宋体" w:hAnsi="宋体" w:cs="宋体"/>
          <w:color w:val="auto"/>
          <w:sz w:val="24"/>
          <w:highlight w:val="none"/>
        </w:rPr>
        <w:t>法律意见书</w:t>
      </w:r>
      <w:r>
        <w:rPr>
          <w:rFonts w:hint="eastAsia" w:ascii="宋体" w:hAnsi="宋体" w:cs="宋体"/>
          <w:color w:val="auto"/>
          <w:sz w:val="24"/>
          <w:highlight w:val="none"/>
        </w:rPr>
        <w:t>（正式稿）</w:t>
      </w:r>
      <w:r>
        <w:rPr>
          <w:rFonts w:hint="eastAsia" w:ascii="宋体" w:hAnsi="宋体" w:cs="宋体"/>
          <w:color w:val="auto"/>
          <w:sz w:val="24"/>
          <w:highlight w:val="none"/>
          <w:lang w:eastAsia="zh-CN"/>
        </w:rPr>
        <w:t>但未成功</w:t>
      </w:r>
      <w:r>
        <w:rPr>
          <w:rFonts w:hint="eastAsia" w:ascii="宋体" w:hAnsi="宋体" w:cs="宋体"/>
          <w:color w:val="auto"/>
          <w:sz w:val="24"/>
          <w:highlight w:val="none"/>
        </w:rPr>
        <w:t>发行专项债的</w:t>
      </w:r>
      <w:r>
        <w:rPr>
          <w:rFonts w:hint="eastAsia" w:ascii="宋体" w:hAnsi="宋体" w:cs="宋体"/>
          <w:color w:val="auto"/>
          <w:sz w:val="24"/>
          <w:highlight w:val="none"/>
          <w:lang w:eastAsia="zh-CN"/>
        </w:rPr>
        <w:t>续发</w:t>
      </w:r>
      <w:r>
        <w:rPr>
          <w:rFonts w:hint="eastAsia" w:ascii="宋体" w:hAnsi="宋体" w:cs="宋体"/>
          <w:color w:val="auto"/>
          <w:sz w:val="24"/>
          <w:highlight w:val="none"/>
        </w:rPr>
        <w:t>项目</w:t>
      </w:r>
      <w:r>
        <w:rPr>
          <w:rFonts w:hint="eastAsia" w:ascii="宋体" w:hAnsi="宋体" w:cs="宋体"/>
          <w:color w:val="auto"/>
          <w:sz w:val="24"/>
          <w:highlight w:val="none"/>
          <w:lang w:eastAsia="zh-CN"/>
        </w:rPr>
        <w:t>，</w:t>
      </w:r>
      <w:r>
        <w:rPr>
          <w:rFonts w:hint="eastAsia" w:ascii="宋体" w:hAnsi="宋体" w:cs="宋体"/>
          <w:color w:val="auto"/>
          <w:kern w:val="0"/>
          <w:sz w:val="24"/>
          <w:highlight w:val="none"/>
          <w:lang w:eastAsia="zh-CN"/>
        </w:rPr>
        <w:t>按成功新发项目中标价的</w:t>
      </w:r>
      <w:r>
        <w:rPr>
          <w:rFonts w:hint="eastAsia" w:ascii="宋体" w:hAnsi="宋体" w:cs="宋体"/>
          <w:color w:val="auto"/>
          <w:kern w:val="0"/>
          <w:sz w:val="24"/>
          <w:highlight w:val="none"/>
          <w:lang w:val="en-US" w:eastAsia="zh-CN"/>
        </w:rPr>
        <w:t>25%计算收费。</w:t>
      </w:r>
      <w:r>
        <w:rPr>
          <w:rFonts w:ascii="宋体" w:hAnsi="宋体" w:cs="宋体"/>
          <w:color w:val="auto"/>
          <w:kern w:val="0"/>
          <w:sz w:val="24"/>
          <w:highlight w:val="none"/>
        </w:rPr>
        <w:t>若后续项目发行成功，同一服务商</w:t>
      </w:r>
      <w:r>
        <w:rPr>
          <w:rFonts w:hint="eastAsia" w:ascii="宋体" w:hAnsi="宋体" w:cs="宋体"/>
          <w:color w:val="auto"/>
          <w:kern w:val="0"/>
          <w:sz w:val="24"/>
          <w:highlight w:val="none"/>
        </w:rPr>
        <w:t>收取</w:t>
      </w:r>
      <w:r>
        <w:rPr>
          <w:rFonts w:hint="eastAsia" w:ascii="宋体" w:hAnsi="宋体" w:cs="宋体"/>
          <w:color w:val="auto"/>
          <w:kern w:val="0"/>
          <w:sz w:val="24"/>
          <w:highlight w:val="none"/>
          <w:lang w:eastAsia="zh-CN"/>
        </w:rPr>
        <w:t>成功续发</w:t>
      </w:r>
      <w:r>
        <w:rPr>
          <w:rFonts w:ascii="宋体" w:hAnsi="宋体" w:cs="宋体"/>
          <w:color w:val="auto"/>
          <w:kern w:val="0"/>
          <w:sz w:val="24"/>
          <w:highlight w:val="none"/>
        </w:rPr>
        <w:t>中标价</w:t>
      </w:r>
      <w:r>
        <w:rPr>
          <w:rFonts w:hint="eastAsia" w:ascii="宋体" w:hAnsi="宋体" w:cs="宋体"/>
          <w:color w:val="auto"/>
          <w:kern w:val="0"/>
          <w:sz w:val="24"/>
          <w:highlight w:val="none"/>
        </w:rPr>
        <w:t>扣除前期收费后的剩余费用</w:t>
      </w:r>
      <w:r>
        <w:rPr>
          <w:rFonts w:ascii="宋体" w:hAnsi="宋体" w:cs="宋体"/>
          <w:color w:val="auto"/>
          <w:kern w:val="0"/>
          <w:sz w:val="24"/>
          <w:highlight w:val="none"/>
        </w:rPr>
        <w:t>。</w:t>
      </w:r>
    </w:p>
    <w:p w14:paraId="1AAABD96">
      <w:pPr>
        <w:spacing w:line="400" w:lineRule="exact"/>
        <w:ind w:firstLine="480" w:firstLineChars="200"/>
        <w:rPr>
          <w:rFonts w:hint="eastAsia"/>
          <w:lang w:val="en-US" w:eastAsia="zh-CN"/>
        </w:rPr>
      </w:pPr>
      <w:r>
        <w:rPr>
          <w:rFonts w:hint="eastAsia" w:ascii="宋体" w:hAnsi="宋体" w:eastAsia="宋体" w:cs="宋体"/>
          <w:color w:val="auto"/>
          <w:kern w:val="0"/>
          <w:sz w:val="24"/>
          <w:highlight w:val="none"/>
          <w:lang w:val="en-US" w:eastAsia="zh-CN"/>
        </w:rPr>
        <w:t>4.对</w:t>
      </w:r>
      <w:r>
        <w:rPr>
          <w:rFonts w:hint="eastAsia" w:ascii="宋体" w:hAnsi="宋体" w:cs="宋体"/>
          <w:color w:val="auto"/>
          <w:sz w:val="24"/>
          <w:highlight w:val="none"/>
        </w:rPr>
        <w:t>出具加盖第三方中介机构公章的</w:t>
      </w:r>
      <w:r>
        <w:rPr>
          <w:rFonts w:ascii="宋体" w:hAnsi="宋体" w:cs="宋体"/>
          <w:color w:val="auto"/>
          <w:sz w:val="24"/>
          <w:highlight w:val="none"/>
        </w:rPr>
        <w:t>法律意见书</w:t>
      </w:r>
      <w:r>
        <w:rPr>
          <w:rFonts w:hint="eastAsia" w:ascii="宋体" w:hAnsi="宋体" w:cs="宋体"/>
          <w:color w:val="auto"/>
          <w:sz w:val="24"/>
          <w:highlight w:val="none"/>
        </w:rPr>
        <w:t>（正式稿）</w:t>
      </w:r>
      <w:r>
        <w:rPr>
          <w:rFonts w:hint="eastAsia" w:ascii="宋体" w:hAnsi="宋体" w:cs="宋体"/>
          <w:color w:val="auto"/>
          <w:sz w:val="24"/>
          <w:highlight w:val="none"/>
          <w:lang w:eastAsia="zh-CN"/>
        </w:rPr>
        <w:t>仅用于储备申报</w:t>
      </w:r>
      <w:r>
        <w:rPr>
          <w:rFonts w:hint="eastAsia" w:ascii="宋体" w:hAnsi="宋体" w:cs="宋体"/>
          <w:color w:val="auto"/>
          <w:sz w:val="24"/>
          <w:highlight w:val="none"/>
        </w:rPr>
        <w:t>的</w:t>
      </w:r>
      <w:r>
        <w:rPr>
          <w:rFonts w:hint="eastAsia" w:ascii="宋体" w:hAnsi="宋体" w:cs="宋体"/>
          <w:color w:val="auto"/>
          <w:sz w:val="24"/>
          <w:highlight w:val="none"/>
          <w:lang w:eastAsia="zh-CN"/>
        </w:rPr>
        <w:t>新发</w:t>
      </w:r>
      <w:r>
        <w:rPr>
          <w:rFonts w:hint="eastAsia" w:ascii="宋体" w:hAnsi="宋体" w:cs="宋体"/>
          <w:color w:val="auto"/>
          <w:sz w:val="24"/>
          <w:highlight w:val="none"/>
        </w:rPr>
        <w:t>项目</w:t>
      </w:r>
      <w:r>
        <w:rPr>
          <w:rFonts w:hint="eastAsia" w:ascii="宋体" w:hAnsi="宋体" w:eastAsia="宋体" w:cs="宋体"/>
          <w:color w:val="auto"/>
          <w:kern w:val="0"/>
          <w:sz w:val="24"/>
          <w:highlight w:val="none"/>
          <w:lang w:val="en-US" w:eastAsia="zh-CN"/>
        </w:rPr>
        <w:t>，</w:t>
      </w:r>
      <w:r>
        <w:rPr>
          <w:rFonts w:hint="eastAsia" w:ascii="宋体" w:hAnsi="宋体" w:cs="宋体"/>
          <w:color w:val="auto"/>
          <w:kern w:val="0"/>
          <w:sz w:val="24"/>
          <w:highlight w:val="none"/>
          <w:lang w:eastAsia="zh-CN"/>
        </w:rPr>
        <w:t>按成功新发项目中标价的</w:t>
      </w:r>
      <w:r>
        <w:rPr>
          <w:rFonts w:hint="eastAsia" w:ascii="宋体" w:hAnsi="宋体" w:cs="宋体"/>
          <w:color w:val="auto"/>
          <w:kern w:val="0"/>
          <w:sz w:val="24"/>
          <w:highlight w:val="none"/>
          <w:lang w:val="en-US" w:eastAsia="zh-CN"/>
        </w:rPr>
        <w:t>25%计算收费</w:t>
      </w:r>
      <w:r>
        <w:rPr>
          <w:rFonts w:hint="eastAsia" w:ascii="宋体" w:hAnsi="宋体" w:eastAsia="宋体" w:cs="宋体"/>
          <w:color w:val="auto"/>
          <w:kern w:val="0"/>
          <w:sz w:val="24"/>
          <w:highlight w:val="none"/>
          <w:lang w:val="en-US" w:eastAsia="zh-CN"/>
        </w:rPr>
        <w:t>，</w:t>
      </w:r>
      <w:r>
        <w:rPr>
          <w:rFonts w:ascii="宋体" w:hAnsi="宋体" w:cs="宋体"/>
          <w:color w:val="auto"/>
          <w:kern w:val="0"/>
          <w:sz w:val="24"/>
          <w:highlight w:val="none"/>
        </w:rPr>
        <w:t>若后续项目发行成功，同一服务商</w:t>
      </w:r>
      <w:r>
        <w:rPr>
          <w:rFonts w:hint="eastAsia" w:ascii="宋体" w:hAnsi="宋体" w:cs="宋体"/>
          <w:color w:val="auto"/>
          <w:kern w:val="0"/>
          <w:sz w:val="24"/>
          <w:highlight w:val="none"/>
        </w:rPr>
        <w:t>收取</w:t>
      </w:r>
      <w:r>
        <w:rPr>
          <w:rFonts w:ascii="宋体" w:hAnsi="宋体" w:cs="宋体"/>
          <w:color w:val="auto"/>
          <w:kern w:val="0"/>
          <w:sz w:val="24"/>
          <w:highlight w:val="none"/>
        </w:rPr>
        <w:t>中标价</w:t>
      </w:r>
      <w:r>
        <w:rPr>
          <w:rFonts w:hint="eastAsia" w:ascii="宋体" w:hAnsi="宋体" w:cs="宋体"/>
          <w:color w:val="auto"/>
          <w:kern w:val="0"/>
          <w:sz w:val="24"/>
          <w:highlight w:val="none"/>
        </w:rPr>
        <w:t>扣除前期收费后的剩余费用</w:t>
      </w:r>
      <w:r>
        <w:rPr>
          <w:rFonts w:ascii="宋体" w:hAnsi="宋体" w:cs="宋体"/>
          <w:color w:val="auto"/>
          <w:kern w:val="0"/>
          <w:sz w:val="24"/>
          <w:highlight w:val="none"/>
        </w:rPr>
        <w:t>。</w:t>
      </w:r>
    </w:p>
    <w:p w14:paraId="078DB050">
      <w:pPr>
        <w:pStyle w:val="878"/>
        <w:spacing w:line="400" w:lineRule="exact"/>
        <w:ind w:firstLine="482" w:firstLineChars="200"/>
        <w:rPr>
          <w:rStyle w:val="987"/>
          <w:rFonts w:ascii="宋体" w:hAnsi="宋体" w:eastAsia="宋体"/>
          <w:color w:val="auto"/>
          <w:sz w:val="24"/>
          <w:szCs w:val="24"/>
          <w:highlight w:val="none"/>
        </w:rPr>
      </w:pPr>
      <w:r>
        <w:rPr>
          <w:rStyle w:val="987"/>
          <w:rFonts w:hint="eastAsia" w:cs="宋体" w:asciiTheme="minorEastAsia" w:hAnsiTheme="minorEastAsia" w:eastAsiaTheme="minorEastAsia"/>
          <w:b/>
          <w:bCs/>
          <w:color w:val="auto"/>
          <w:sz w:val="24"/>
          <w:szCs w:val="24"/>
          <w:highlight w:val="none"/>
          <w:lang w:val="en-US" w:eastAsia="zh-CN"/>
        </w:rPr>
        <w:t>5.</w:t>
      </w:r>
      <w:r>
        <w:rPr>
          <w:rStyle w:val="987"/>
          <w:rFonts w:hint="eastAsia" w:ascii="宋体" w:hAnsi="宋体" w:eastAsia="宋体"/>
          <w:color w:val="auto"/>
          <w:sz w:val="24"/>
          <w:szCs w:val="24"/>
          <w:highlight w:val="none"/>
        </w:rPr>
        <w:t>以上入围单价包含所需的一切费用。</w:t>
      </w:r>
    </w:p>
    <w:p w14:paraId="287AFEAB">
      <w:pPr>
        <w:pStyle w:val="986"/>
        <w:spacing w:line="400" w:lineRule="exact"/>
        <w:ind w:firstLine="480"/>
        <w:rPr>
          <w:rFonts w:hint="eastAsia" w:ascii="宋体" w:hAnsi="宋体" w:cs="宋体"/>
          <w:color w:val="auto"/>
          <w:kern w:val="0"/>
          <w:sz w:val="24"/>
          <w:highlight w:val="none"/>
        </w:rPr>
      </w:pP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.本次采购由</w:t>
      </w:r>
      <w:r>
        <w:rPr>
          <w:rFonts w:hint="eastAsia" w:ascii="宋体" w:hAnsi="宋体"/>
          <w:color w:val="auto"/>
          <w:sz w:val="24"/>
          <w:szCs w:val="24"/>
          <w:highlight w:val="none"/>
          <w:lang w:eastAsia="zh-CN"/>
        </w:rPr>
        <w:t>义乌市财政局</w:t>
      </w:r>
      <w:r>
        <w:rPr>
          <w:rFonts w:hint="eastAsia" w:ascii="宋体" w:hAnsi="宋体"/>
          <w:color w:val="auto"/>
          <w:sz w:val="24"/>
          <w:szCs w:val="24"/>
          <w:highlight w:val="none"/>
        </w:rPr>
        <w:t>统一进行框架协议采购，</w:t>
      </w:r>
      <w:r>
        <w:rPr>
          <w:rFonts w:hint="eastAsia" w:asciiTheme="minorEastAsia" w:hAnsiTheme="minorEastAsia" w:eastAsiaTheme="minorEastAsia"/>
          <w:color w:val="auto"/>
          <w:sz w:val="24"/>
          <w:szCs w:val="24"/>
          <w:highlight w:val="none"/>
          <w:lang w:val="en-US" w:eastAsia="zh-CN"/>
        </w:rPr>
        <w:t>通过</w:t>
      </w:r>
      <w:r>
        <w:rPr>
          <w:rFonts w:hint="eastAsia" w:ascii="宋体" w:hAnsi="宋体" w:cs="宋体"/>
          <w:color w:val="auto"/>
          <w:kern w:val="0"/>
          <w:sz w:val="24"/>
          <w:highlight w:val="none"/>
        </w:rPr>
        <w:t>直接选定</w:t>
      </w:r>
      <w:r>
        <w:rPr>
          <w:rFonts w:hint="eastAsia" w:ascii="宋体" w:hAnsi="宋体" w:cs="宋体"/>
          <w:color w:val="auto"/>
          <w:kern w:val="0"/>
          <w:sz w:val="24"/>
          <w:highlight w:val="none"/>
          <w:lang w:val="en-US" w:eastAsia="zh-CN"/>
        </w:rPr>
        <w:t>方式确定</w:t>
      </w:r>
      <w:r>
        <w:rPr>
          <w:rFonts w:hint="eastAsia" w:ascii="宋体" w:hAnsi="宋体" w:cs="宋体"/>
          <w:color w:val="auto"/>
          <w:kern w:val="0"/>
          <w:sz w:val="24"/>
          <w:highlight w:val="none"/>
        </w:rPr>
        <w:t>1家或以上供应商签订服务合同，且服务价格</w:t>
      </w:r>
      <w:r>
        <w:rPr>
          <w:rFonts w:hint="eastAsia" w:ascii="宋体" w:hAnsi="宋体" w:cs="宋体"/>
          <w:color w:val="auto"/>
          <w:kern w:val="0"/>
          <w:sz w:val="24"/>
          <w:highlight w:val="none"/>
          <w:lang w:eastAsia="zh-CN"/>
        </w:rPr>
        <w:t>即为</w:t>
      </w:r>
      <w:r>
        <w:rPr>
          <w:rFonts w:hint="eastAsia" w:ascii="宋体" w:hAnsi="宋体" w:cs="宋体"/>
          <w:color w:val="auto"/>
          <w:kern w:val="0"/>
          <w:sz w:val="24"/>
          <w:highlight w:val="none"/>
        </w:rPr>
        <w:t>本框架入围价格。</w:t>
      </w:r>
    </w:p>
    <w:p w14:paraId="3D385DE0">
      <w:pPr>
        <w:spacing w:line="400" w:lineRule="exact"/>
        <w:ind w:firstLine="480" w:firstLineChars="200"/>
        <w:rPr>
          <w:rFonts w:ascii="宋体" w:hAnsi="宋体" w:cs="宋体"/>
          <w:color w:val="auto"/>
          <w:sz w:val="24"/>
          <w:highlight w:val="none"/>
        </w:rPr>
      </w:pPr>
      <w:r>
        <w:rPr>
          <w:rStyle w:val="987"/>
          <w:rFonts w:hint="eastAsia" w:cs="宋体" w:asciiTheme="minorEastAsia" w:hAnsiTheme="minorEastAsia" w:eastAsiaTheme="minorEastAsia"/>
          <w:bCs/>
          <w:color w:val="auto"/>
          <w:kern w:val="0"/>
          <w:sz w:val="24"/>
          <w:szCs w:val="24"/>
          <w:highlight w:val="none"/>
          <w:lang w:val="en-US" w:eastAsia="zh-CN"/>
        </w:rPr>
        <w:t>7.</w:t>
      </w:r>
      <w:r>
        <w:rPr>
          <w:rFonts w:hint="eastAsia" w:ascii="宋体" w:hAnsi="宋体" w:cs="宋体"/>
          <w:color w:val="auto"/>
          <w:sz w:val="24"/>
          <w:highlight w:val="none"/>
        </w:rPr>
        <w:t>本项目确定第二阶段成交供应商的方式采用：</w:t>
      </w:r>
    </w:p>
    <w:p w14:paraId="723798DD">
      <w:pPr>
        <w:spacing w:line="400" w:lineRule="exact"/>
        <w:ind w:firstLine="482" w:firstLineChars="200"/>
        <w:rPr>
          <w:rFonts w:hint="eastAsia" w:ascii="宋体" w:hAnsi="宋体" w:cs="宋体"/>
          <w:color w:val="auto"/>
          <w:kern w:val="0"/>
          <w:sz w:val="24"/>
          <w:highlight w:val="none"/>
        </w:rPr>
      </w:pPr>
      <w:r>
        <w:rPr>
          <w:rFonts w:hint="eastAsia" w:ascii="宋体" w:hAnsi="宋体" w:cs="宋体"/>
          <w:b/>
          <w:bCs/>
          <w:color w:val="auto"/>
          <w:sz w:val="24"/>
          <w:highlight w:val="none"/>
        </w:rPr>
        <w:sym w:font="Wingdings 2" w:char="0052"/>
      </w:r>
      <w:r>
        <w:rPr>
          <w:rFonts w:hint="eastAsia" w:ascii="宋体" w:hAnsi="宋体" w:cs="宋体"/>
          <w:b/>
          <w:bCs/>
          <w:color w:val="auto"/>
          <w:sz w:val="24"/>
          <w:highlight w:val="none"/>
        </w:rPr>
        <w:t>直接选定方式。由征集人或者服务对象依据入围产品价格、质量以及服务便利性、用户评价等因素，从入围供应商中直接选定。</w:t>
      </w:r>
    </w:p>
    <w:p w14:paraId="33F03675">
      <w:pPr>
        <w:pStyle w:val="35"/>
        <w:spacing w:line="360" w:lineRule="exact"/>
        <w:ind w:firstLine="480" w:firstLineChars="200"/>
        <w:rPr>
          <w:rStyle w:val="987"/>
          <w:rFonts w:cs="宋体" w:asciiTheme="minorEastAsia" w:hAnsiTheme="minorEastAsia" w:eastAsiaTheme="minorEastAsia"/>
          <w:b/>
          <w:bCs/>
          <w:color w:val="auto"/>
          <w:kern w:val="0"/>
          <w:sz w:val="24"/>
          <w:szCs w:val="24"/>
          <w:highlight w:val="none"/>
        </w:rPr>
      </w:pPr>
      <w:r>
        <w:rPr>
          <w:rStyle w:val="987"/>
          <w:rFonts w:hint="eastAsia" w:cs="宋体" w:asciiTheme="minorEastAsia" w:hAnsiTheme="minorEastAsia" w:eastAsiaTheme="minorEastAsia"/>
          <w:bCs/>
          <w:color w:val="auto"/>
          <w:kern w:val="0"/>
          <w:sz w:val="24"/>
          <w:szCs w:val="24"/>
          <w:highlight w:val="none"/>
        </w:rPr>
        <w:t>二、服务内容及要求</w:t>
      </w:r>
      <w:r>
        <w:rPr>
          <w:rStyle w:val="987"/>
          <w:rFonts w:hint="eastAsia" w:cs="宋体" w:asciiTheme="minorEastAsia" w:hAnsiTheme="minorEastAsia" w:eastAsiaTheme="minorEastAsia"/>
          <w:b/>
          <w:bCs/>
          <w:color w:val="auto"/>
          <w:kern w:val="0"/>
          <w:sz w:val="24"/>
          <w:szCs w:val="24"/>
          <w:highlight w:val="none"/>
        </w:rPr>
        <w:t>：</w:t>
      </w:r>
    </w:p>
    <w:p w14:paraId="4F32CED1">
      <w:pPr>
        <w:spacing w:line="360" w:lineRule="exact"/>
        <w:ind w:firstLine="482"/>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（一）服务内容</w:t>
      </w:r>
    </w:p>
    <w:p w14:paraId="6A47E3A2">
      <w:pPr>
        <w:spacing w:line="400" w:lineRule="exact"/>
        <w:ind w:firstLine="482"/>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在债券需求申报阶段，律师事务所需审查专项债券项目有关主体适格、基本信息、资金来源、资金投向、收费内容、收费政策依据等所涉法律事项的合法合规情况。</w:t>
      </w:r>
    </w:p>
    <w:p w14:paraId="13E090B3">
      <w:pPr>
        <w:spacing w:line="400" w:lineRule="exact"/>
        <w:ind w:firstLine="482"/>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在债券发行准备阶段，律师事务所需协助</w:t>
      </w:r>
      <w:r>
        <w:rPr>
          <w:rFonts w:hint="eastAsia" w:ascii="宋体" w:hAnsi="宋体" w:cs="宋体"/>
          <w:color w:val="auto"/>
          <w:sz w:val="24"/>
          <w:highlight w:val="none"/>
          <w:lang w:eastAsia="zh-CN"/>
        </w:rPr>
        <w:t>征集人</w:t>
      </w:r>
      <w:r>
        <w:rPr>
          <w:rFonts w:hint="eastAsia" w:ascii="宋体" w:hAnsi="宋体" w:cs="宋体"/>
          <w:color w:val="auto"/>
          <w:sz w:val="24"/>
          <w:highlight w:val="none"/>
        </w:rPr>
        <w:t>进行专项债券发行申请，对申请政府专项债券的项目提供独立、专业的法律服务，并在财政部门要求的时间内</w:t>
      </w:r>
      <w:r>
        <w:rPr>
          <w:rFonts w:hint="eastAsia" w:ascii="宋体" w:hAnsi="宋体" w:cs="宋体"/>
          <w:color w:val="auto"/>
          <w:sz w:val="24"/>
          <w:highlight w:val="none"/>
          <w:lang w:eastAsia="zh-CN"/>
        </w:rPr>
        <w:t>（必要时</w:t>
      </w:r>
      <w:r>
        <w:rPr>
          <w:rFonts w:hint="eastAsia" w:ascii="宋体" w:hAnsi="宋体" w:cs="宋体"/>
          <w:color w:val="auto"/>
          <w:sz w:val="24"/>
          <w:highlight w:val="none"/>
          <w:lang w:val="en-US" w:eastAsia="zh-CN"/>
        </w:rPr>
        <w:t>8小时内</w:t>
      </w:r>
      <w:r>
        <w:rPr>
          <w:rFonts w:hint="eastAsia" w:ascii="宋体" w:hAnsi="宋体" w:cs="宋体"/>
          <w:color w:val="auto"/>
          <w:sz w:val="24"/>
          <w:highlight w:val="none"/>
          <w:lang w:eastAsia="zh-CN"/>
        </w:rPr>
        <w:t>）</w:t>
      </w:r>
      <w:r>
        <w:rPr>
          <w:rFonts w:hint="eastAsia" w:ascii="宋体" w:hAnsi="宋体" w:cs="宋体"/>
          <w:color w:val="auto"/>
          <w:sz w:val="24"/>
          <w:highlight w:val="none"/>
        </w:rPr>
        <w:t>具加盖公章的《法律意见书》正式稿。</w:t>
      </w:r>
    </w:p>
    <w:p w14:paraId="1B234479">
      <w:pPr>
        <w:spacing w:line="400" w:lineRule="exact"/>
        <w:ind w:firstLine="482"/>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w:t>
      </w:r>
      <w:r>
        <w:rPr>
          <w:rFonts w:hint="eastAsia" w:ascii="宋体" w:hAnsi="宋体" w:cs="宋体"/>
          <w:color w:val="auto"/>
          <w:sz w:val="24"/>
          <w:highlight w:val="none"/>
        </w:rPr>
        <w:t>律师事务所需与财政部门招选的会计师事务所密切合作、相互配合，协助对方及时出具债券发行所需文本材料。</w:t>
      </w:r>
    </w:p>
    <w:p w14:paraId="20885012">
      <w:pPr>
        <w:spacing w:line="400" w:lineRule="exact"/>
        <w:ind w:firstLine="482"/>
        <w:rPr>
          <w:rFonts w:hint="eastAsia" w:ascii="宋体" w:hAnsi="宋体" w:cs="宋体"/>
          <w:color w:val="auto"/>
          <w:sz w:val="24"/>
          <w:highlight w:val="none"/>
        </w:rPr>
      </w:pPr>
      <w:r>
        <w:rPr>
          <w:rFonts w:hint="eastAsia" w:ascii="宋体" w:hAnsi="宋体" w:cs="宋体"/>
          <w:color w:val="auto"/>
          <w:sz w:val="24"/>
          <w:highlight w:val="none"/>
          <w:lang w:val="en-US" w:eastAsia="zh-CN"/>
        </w:rPr>
        <w:t>（4）6小时内到达</w:t>
      </w:r>
      <w:r>
        <w:rPr>
          <w:rFonts w:hint="eastAsia" w:ascii="宋体" w:hAnsi="宋体" w:cs="宋体"/>
          <w:color w:val="auto"/>
          <w:sz w:val="24"/>
          <w:highlight w:val="none"/>
        </w:rPr>
        <w:t>现场参与财政部门组织的专项债券项目联审工作。</w:t>
      </w:r>
    </w:p>
    <w:p w14:paraId="272668E4">
      <w:pPr>
        <w:spacing w:line="400" w:lineRule="exact"/>
        <w:ind w:firstLine="482"/>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w:t>
      </w:r>
      <w:r>
        <w:rPr>
          <w:rFonts w:hint="eastAsia" w:ascii="宋体" w:hAnsi="宋体" w:cs="宋体"/>
          <w:color w:val="auto"/>
          <w:sz w:val="24"/>
          <w:highlight w:val="none"/>
        </w:rPr>
        <w:t>财政部门要求的其他专项债券发行前期准备工作。</w:t>
      </w:r>
    </w:p>
    <w:p w14:paraId="222A502C">
      <w:pPr>
        <w:spacing w:line="400" w:lineRule="exact"/>
        <w:ind w:firstLine="482"/>
        <w:rPr>
          <w:rFonts w:hint="eastAsia" w:ascii="宋体" w:hAnsi="宋体" w:eastAsia="宋体" w:cs="宋体"/>
          <w:b/>
          <w:bCs/>
          <w:color w:val="auto"/>
          <w:kern w:val="2"/>
          <w:sz w:val="24"/>
          <w:szCs w:val="24"/>
          <w:highlight w:val="none"/>
          <w:lang w:val="en-US" w:eastAsia="zh-CN" w:bidi="ar-SA"/>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拟派本项目技术团队</w:t>
      </w:r>
      <w:r>
        <w:rPr>
          <w:rFonts w:hint="eastAsia" w:ascii="宋体" w:hAnsi="宋体" w:cs="宋体"/>
          <w:color w:val="auto"/>
          <w:sz w:val="24"/>
          <w:highlight w:val="none"/>
          <w:lang w:eastAsia="zh-CN"/>
        </w:rPr>
        <w:t>中，</w:t>
      </w:r>
      <w:r>
        <w:rPr>
          <w:rFonts w:ascii="宋体" w:hAnsi="宋体"/>
          <w:color w:val="auto"/>
          <w:sz w:val="24"/>
          <w:highlight w:val="none"/>
        </w:rPr>
        <w:t>具有</w:t>
      </w:r>
      <w:r>
        <w:rPr>
          <w:rFonts w:hint="eastAsia" w:ascii="宋体" w:hAnsi="宋体"/>
          <w:color w:val="auto"/>
          <w:sz w:val="24"/>
          <w:highlight w:val="none"/>
        </w:rPr>
        <w:t>三级律师</w:t>
      </w:r>
      <w:r>
        <w:rPr>
          <w:rFonts w:hint="eastAsia" w:ascii="宋体" w:hAnsi="宋体"/>
          <w:color w:val="auto"/>
          <w:sz w:val="24"/>
          <w:highlight w:val="none"/>
          <w:lang w:eastAsia="zh-CN"/>
        </w:rPr>
        <w:t>及</w:t>
      </w:r>
      <w:r>
        <w:rPr>
          <w:rFonts w:hint="eastAsia" w:ascii="宋体" w:hAnsi="宋体"/>
          <w:color w:val="auto"/>
          <w:sz w:val="24"/>
          <w:highlight w:val="none"/>
        </w:rPr>
        <w:t>以上法律中</w:t>
      </w:r>
      <w:r>
        <w:rPr>
          <w:rFonts w:ascii="宋体" w:hAnsi="宋体"/>
          <w:color w:val="auto"/>
          <w:sz w:val="24"/>
          <w:highlight w:val="none"/>
        </w:rPr>
        <w:t>高级职称的</w:t>
      </w:r>
      <w:r>
        <w:rPr>
          <w:rFonts w:hint="eastAsia" w:ascii="宋体" w:hAnsi="宋体" w:cs="宋体"/>
          <w:color w:val="auto"/>
          <w:sz w:val="24"/>
          <w:highlight w:val="none"/>
        </w:rPr>
        <w:t>人数</w:t>
      </w:r>
      <w:r>
        <w:rPr>
          <w:rFonts w:hint="eastAsia" w:ascii="宋体" w:hAnsi="宋体" w:cs="宋体"/>
          <w:color w:val="auto"/>
          <w:sz w:val="24"/>
          <w:highlight w:val="none"/>
          <w:lang w:eastAsia="zh-CN"/>
        </w:rPr>
        <w:t>应在</w:t>
      </w:r>
      <w:r>
        <w:rPr>
          <w:rFonts w:hint="eastAsia" w:ascii="宋体" w:hAnsi="宋体" w:cs="宋体"/>
          <w:color w:val="auto"/>
          <w:sz w:val="24"/>
          <w:highlight w:val="none"/>
          <w:lang w:val="en-US" w:eastAsia="zh-CN"/>
        </w:rPr>
        <w:t>2人或2人以上。</w:t>
      </w:r>
      <w:r>
        <w:rPr>
          <w:rFonts w:hint="eastAsia" w:ascii="宋体" w:hAnsi="宋体" w:eastAsia="宋体" w:cs="宋体"/>
          <w:b/>
          <w:bCs/>
          <w:color w:val="auto"/>
          <w:sz w:val="24"/>
          <w:szCs w:val="24"/>
          <w:highlight w:val="none"/>
          <w:lang w:eastAsia="zh-CN"/>
        </w:rPr>
        <w:t>（备注：以上所有人员</w:t>
      </w:r>
      <w:r>
        <w:rPr>
          <w:rFonts w:hint="eastAsia" w:ascii="宋体" w:hAnsi="宋体" w:eastAsia="宋体" w:cs="宋体"/>
          <w:b/>
          <w:bCs/>
          <w:color w:val="auto"/>
          <w:kern w:val="2"/>
          <w:sz w:val="24"/>
          <w:szCs w:val="24"/>
          <w:highlight w:val="none"/>
          <w:lang w:val="en-US" w:eastAsia="zh-CN" w:bidi="ar-SA"/>
        </w:rPr>
        <w:t>在投标（响应）文件中需提供在投标单位缴纳的自2025年9月1日以来任意一个月的社保缴费清单，如投标单位新成立不足一个月的，按实际缴纳情况提供人员在该单位的社保缴费清单，社保缴费清单需加盖缴费当地社保机构公章或业务章，如有证书的还需提供相关证书扫描件并加盖公章）</w:t>
      </w:r>
    </w:p>
    <w:p w14:paraId="0C597346">
      <w:pPr>
        <w:spacing w:line="400" w:lineRule="exact"/>
        <w:ind w:firstLine="482"/>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eastAsia="zh-CN"/>
        </w:rPr>
        <w:t>供应商承诺服务期间廉洁执业，遵守工作纪律和职业道德规范，无违法违纪违规行为。</w:t>
      </w:r>
    </w:p>
    <w:p w14:paraId="4DFD6137">
      <w:pPr>
        <w:spacing w:line="360" w:lineRule="exact"/>
        <w:ind w:firstLine="482"/>
        <w:rPr>
          <w:rFonts w:hint="eastAsia" w:ascii="宋体" w:hAnsi="宋体" w:eastAsia="宋体" w:cs="宋体"/>
          <w:color w:val="auto"/>
          <w:sz w:val="24"/>
          <w:highlight w:val="yellow"/>
          <w:lang w:eastAsia="zh-CN"/>
        </w:rPr>
      </w:pPr>
      <w:r>
        <w:rPr>
          <w:rFonts w:hint="eastAsia" w:ascii="宋体" w:hAnsi="宋体" w:eastAsia="宋体" w:cs="宋体"/>
          <w:color w:val="auto"/>
          <w:sz w:val="24"/>
          <w:highlight w:val="none"/>
          <w:lang w:val="en-US" w:eastAsia="zh-CN"/>
        </w:rPr>
        <w:t>（8）供应商承诺委派的工作人员应履行保密义务，对执业过程中所获得的相关信息予以保密，不得私自对外泄露，且与其他中介机构密切配合，共同推进债券发行工作，不得推诿、敷衍、拖延</w:t>
      </w:r>
      <w:r>
        <w:rPr>
          <w:rFonts w:hint="eastAsia" w:ascii="宋体" w:hAnsi="宋体" w:eastAsia="宋体" w:cs="宋体"/>
          <w:color w:val="auto"/>
          <w:sz w:val="24"/>
          <w:highlight w:val="none"/>
          <w:lang w:eastAsia="zh-CN"/>
        </w:rPr>
        <w:t>。</w:t>
      </w:r>
    </w:p>
    <w:p w14:paraId="23B89451">
      <w:pPr>
        <w:spacing w:line="360" w:lineRule="exact"/>
        <w:ind w:firstLine="482"/>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（二）服务要求</w:t>
      </w:r>
    </w:p>
    <w:p w14:paraId="14077588">
      <w:pPr>
        <w:spacing w:line="360" w:lineRule="exact"/>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专项债券发行必须符合相关法律、行政法规和规范性文件的要求。投标人在中标后应在人员安排上及时给予保障，负责人与项目组主要成员必须是本单位人员，且投标文件中已确定的人员名单，在服务期内原则上不得更换，如有调整需征得</w:t>
      </w:r>
      <w:r>
        <w:rPr>
          <w:rFonts w:hint="eastAsia" w:cs="宋体" w:asciiTheme="minorEastAsia" w:hAnsiTheme="minorEastAsia" w:eastAsiaTheme="minorEastAsia"/>
          <w:color w:val="auto"/>
          <w:sz w:val="24"/>
          <w:highlight w:val="none"/>
          <w:lang w:eastAsia="zh-CN"/>
        </w:rPr>
        <w:t>征集人</w:t>
      </w:r>
      <w:r>
        <w:rPr>
          <w:rFonts w:hint="eastAsia" w:cs="宋体" w:asciiTheme="minorEastAsia" w:hAnsiTheme="minorEastAsia" w:eastAsiaTheme="minorEastAsia"/>
          <w:color w:val="auto"/>
          <w:sz w:val="24"/>
          <w:highlight w:val="none"/>
        </w:rPr>
        <w:t>的同意。在接到</w:t>
      </w:r>
      <w:r>
        <w:rPr>
          <w:rFonts w:hint="eastAsia" w:cs="宋体" w:asciiTheme="minorEastAsia" w:hAnsiTheme="minorEastAsia" w:eastAsiaTheme="minorEastAsia"/>
          <w:color w:val="auto"/>
          <w:sz w:val="24"/>
          <w:highlight w:val="none"/>
          <w:lang w:eastAsia="zh-CN"/>
        </w:rPr>
        <w:t>征集人</w:t>
      </w:r>
      <w:r>
        <w:rPr>
          <w:rFonts w:hint="eastAsia" w:cs="宋体" w:asciiTheme="minorEastAsia" w:hAnsiTheme="minorEastAsia" w:eastAsiaTheme="minorEastAsia"/>
          <w:color w:val="auto"/>
          <w:sz w:val="24"/>
          <w:highlight w:val="none"/>
        </w:rPr>
        <w:t>委托任务后应及时开展工作并出具各种专业报告。专业报告包括纸质和电子版两种形式，数量根据</w:t>
      </w:r>
      <w:r>
        <w:rPr>
          <w:rFonts w:hint="eastAsia" w:cs="宋体" w:asciiTheme="minorEastAsia" w:hAnsiTheme="minorEastAsia" w:eastAsiaTheme="minorEastAsia"/>
          <w:color w:val="auto"/>
          <w:sz w:val="24"/>
          <w:highlight w:val="none"/>
          <w:lang w:eastAsia="zh-CN"/>
        </w:rPr>
        <w:t>征集人</w:t>
      </w:r>
      <w:r>
        <w:rPr>
          <w:rFonts w:hint="eastAsia" w:cs="宋体" w:asciiTheme="minorEastAsia" w:hAnsiTheme="minorEastAsia" w:eastAsiaTheme="minorEastAsia"/>
          <w:color w:val="auto"/>
          <w:sz w:val="24"/>
          <w:highlight w:val="none"/>
        </w:rPr>
        <w:t>在发债过程中的实际需要而定。</w:t>
      </w:r>
    </w:p>
    <w:p w14:paraId="6430F073">
      <w:pPr>
        <w:pStyle w:val="35"/>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firstLine="480" w:firstLineChars="200"/>
        <w:jc w:val="left"/>
        <w:textAlignment w:val="auto"/>
        <w:rPr>
          <w:rFonts w:hint="eastAsia"/>
        </w:rPr>
      </w:pPr>
      <w:r>
        <w:rPr>
          <w:rStyle w:val="987"/>
          <w:rFonts w:hint="eastAsia" w:cs="宋体" w:asciiTheme="minorEastAsia" w:hAnsiTheme="minorEastAsia" w:eastAsiaTheme="minorEastAsia"/>
          <w:bCs/>
          <w:color w:val="auto"/>
          <w:kern w:val="0"/>
          <w:sz w:val="24"/>
          <w:szCs w:val="24"/>
          <w:highlight w:val="none"/>
        </w:rPr>
        <w:t>三、</w:t>
      </w:r>
      <w:r>
        <w:rPr>
          <w:rStyle w:val="987"/>
          <w:rFonts w:hint="eastAsia" w:ascii="宋体" w:hAnsi="宋体" w:cs="宋体"/>
          <w:bCs/>
          <w:color w:val="auto"/>
          <w:kern w:val="0"/>
          <w:sz w:val="24"/>
          <w:szCs w:val="24"/>
          <w:highlight w:val="none"/>
        </w:rPr>
        <w:t>服务期限：</w:t>
      </w:r>
      <w:r>
        <w:rPr>
          <w:rStyle w:val="987"/>
          <w:rFonts w:hint="eastAsia" w:hAnsi="宋体" w:cs="宋体"/>
          <w:bCs/>
          <w:color w:val="auto"/>
          <w:kern w:val="0"/>
          <w:sz w:val="24"/>
          <w:szCs w:val="24"/>
          <w:highlight w:val="none"/>
          <w:lang w:eastAsia="zh-CN"/>
        </w:rPr>
        <w:t>两</w:t>
      </w:r>
      <w:r>
        <w:rPr>
          <w:rFonts w:hint="eastAsia" w:hAnsi="宋体" w:cs="宋体"/>
          <w:color w:val="auto"/>
          <w:sz w:val="24"/>
          <w:highlight w:val="none"/>
        </w:rPr>
        <w:t>年（</w:t>
      </w:r>
      <w:r>
        <w:rPr>
          <w:rFonts w:hint="eastAsia" w:hAnsi="宋体" w:cs="宋体"/>
          <w:color w:val="auto"/>
          <w:sz w:val="24"/>
          <w:highlight w:val="none"/>
          <w:lang w:eastAsia="zh-CN"/>
        </w:rPr>
        <w:t>2026-2027年度</w:t>
      </w:r>
      <w:r>
        <w:rPr>
          <w:rFonts w:hint="eastAsia" w:hAnsi="宋体" w:cs="宋体"/>
          <w:color w:val="auto"/>
          <w:sz w:val="24"/>
          <w:highlight w:val="none"/>
        </w:rPr>
        <w:t>），</w:t>
      </w:r>
      <w:r>
        <w:rPr>
          <w:rFonts w:hint="eastAsia" w:ascii="宋体" w:hAnsi="宋体" w:cs="宋体"/>
          <w:color w:val="auto"/>
          <w:sz w:val="24"/>
          <w:highlight w:val="none"/>
          <w:lang w:eastAsia="zh-CN"/>
        </w:rPr>
        <w:t>自</w:t>
      </w:r>
      <w:r>
        <w:rPr>
          <w:rFonts w:hint="eastAsia" w:ascii="宋体" w:hAnsi="宋体" w:cs="宋体"/>
          <w:color w:val="auto"/>
          <w:sz w:val="24"/>
          <w:highlight w:val="none"/>
          <w:lang w:val="en-US" w:eastAsia="zh-CN"/>
        </w:rPr>
        <w:t xml:space="preserve">  年  月  日至  年  月  日止</w:t>
      </w:r>
      <w:r>
        <w:rPr>
          <w:rFonts w:hint="eastAsia" w:hAnsi="宋体" w:cs="宋体"/>
          <w:color w:val="auto"/>
          <w:sz w:val="24"/>
          <w:highlight w:val="none"/>
        </w:rPr>
        <w:t>。</w:t>
      </w:r>
      <w:r>
        <w:rPr>
          <w:rFonts w:hint="eastAsia" w:ascii="宋体" w:hAnsi="宋体" w:eastAsia="宋体" w:cs="宋体"/>
          <w:snapToGrid/>
          <w:color w:val="auto"/>
          <w:kern w:val="2"/>
          <w:sz w:val="24"/>
          <w:szCs w:val="24"/>
          <w:highlight w:val="none"/>
          <w:lang w:val="en-US" w:eastAsia="zh-CN" w:bidi="ar-SA"/>
        </w:rPr>
        <w:t>若甲方出现服务质量不高、影响债券发行情形的，经乙方评估，无法继续合作的，</w:t>
      </w:r>
      <w:r>
        <w:rPr>
          <w:rFonts w:hint="eastAsia" w:hAnsi="宋体" w:cs="宋体"/>
          <w:snapToGrid/>
          <w:color w:val="auto"/>
          <w:kern w:val="2"/>
          <w:sz w:val="24"/>
          <w:szCs w:val="24"/>
          <w:highlight w:val="none"/>
          <w:lang w:val="en-US" w:eastAsia="zh-CN" w:bidi="ar-SA"/>
        </w:rPr>
        <w:t>取消其入围资格</w:t>
      </w:r>
      <w:r>
        <w:rPr>
          <w:rFonts w:hint="eastAsia" w:ascii="宋体" w:hAnsi="宋体" w:eastAsia="宋体" w:cs="宋体"/>
          <w:snapToGrid/>
          <w:color w:val="auto"/>
          <w:kern w:val="2"/>
          <w:sz w:val="24"/>
          <w:szCs w:val="24"/>
          <w:highlight w:val="none"/>
          <w:lang w:val="en-US" w:eastAsia="zh-CN" w:bidi="ar-SA"/>
        </w:rPr>
        <w:t>。</w:t>
      </w:r>
    </w:p>
    <w:p w14:paraId="0C97A5ED">
      <w:pPr>
        <w:pStyle w:val="35"/>
        <w:spacing w:line="360" w:lineRule="exact"/>
        <w:ind w:firstLine="480" w:firstLineChars="200"/>
        <w:rPr>
          <w:rStyle w:val="987"/>
          <w:rFonts w:cs="宋体" w:asciiTheme="minorEastAsia" w:hAnsiTheme="minorEastAsia" w:eastAsiaTheme="minorEastAsia"/>
          <w:bCs/>
          <w:color w:val="auto"/>
          <w:kern w:val="0"/>
          <w:sz w:val="24"/>
          <w:szCs w:val="24"/>
          <w:highlight w:val="none"/>
        </w:rPr>
      </w:pPr>
      <w:r>
        <w:rPr>
          <w:rStyle w:val="987"/>
          <w:rFonts w:hint="eastAsia" w:cs="宋体" w:asciiTheme="minorEastAsia" w:hAnsiTheme="minorEastAsia" w:eastAsiaTheme="minorEastAsia"/>
          <w:bCs/>
          <w:color w:val="auto"/>
          <w:kern w:val="0"/>
          <w:sz w:val="24"/>
          <w:szCs w:val="24"/>
          <w:highlight w:val="none"/>
        </w:rPr>
        <w:t>四、甲方责任与义务</w:t>
      </w:r>
    </w:p>
    <w:p w14:paraId="4BF1DAA1">
      <w:pPr>
        <w:snapToGrid w:val="0"/>
        <w:spacing w:line="3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甲方的责任是提出项目服务的任务、工期要求等相关事项，协调工作过程中出现的有关问题。甲方的义务是对乙方的工作过程与结果进行监督，并对乙方的服务质量进行检查复核。</w:t>
      </w:r>
    </w:p>
    <w:p w14:paraId="651B4524">
      <w:pPr>
        <w:snapToGrid w:val="0"/>
        <w:spacing w:line="3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五、乙方责任与义务</w:t>
      </w:r>
    </w:p>
    <w:p w14:paraId="05D6F758">
      <w:pPr>
        <w:snapToGrid w:val="0"/>
        <w:spacing w:line="3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1.乙方及其委派的工作人员应勤勉尽责，严格遵守执业规范和职业道德，按规定和约定履行义务，并就其自身的工作成果承担相应的责任。</w:t>
      </w:r>
    </w:p>
    <w:p w14:paraId="0F034ABD">
      <w:pPr>
        <w:snapToGrid w:val="0"/>
        <w:spacing w:line="3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2.在政府专项债券发行过程中，乙方不得损害发行人的利益，也不得以欺诈、操纵市场等行为获取不正当利益。</w:t>
      </w:r>
    </w:p>
    <w:p w14:paraId="1418D4ED">
      <w:pPr>
        <w:snapToGrid w:val="0"/>
        <w:spacing w:line="3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3.乙方出具的各种专业报告必须符合政府专项债券发行要求和相关法律法规，以及浙江省财政厅的申报要求；</w:t>
      </w:r>
    </w:p>
    <w:p w14:paraId="095CE60F">
      <w:pPr>
        <w:snapToGrid w:val="0"/>
        <w:spacing w:line="3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4.乙方及其委派的工作人员应履行保密义务，对执业过程中所获得的相关信息予以保密，不得私自对外泄露；</w:t>
      </w:r>
    </w:p>
    <w:p w14:paraId="5ED30792">
      <w:pPr>
        <w:snapToGrid w:val="0"/>
        <w:spacing w:line="3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5.乙方应与其他中介机构密切配合，共同推进债券发行工作，不得推诿、敷衍、拖延；</w:t>
      </w:r>
    </w:p>
    <w:p w14:paraId="5831A9B7">
      <w:pPr>
        <w:snapToGrid w:val="0"/>
        <w:spacing w:line="3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6、服务响应：</w:t>
      </w:r>
    </w:p>
    <w:p w14:paraId="4A754512">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（1）乙方在入围后应在人员安排上给予及时保障，负责人与项目组主要成员必须是本单位人员，且响应文件中已确定的人员名单，在服务期内原则上不得更换，如有调整需征得甲方的同意。</w:t>
      </w:r>
    </w:p>
    <w:p w14:paraId="4B0C2DD1">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（2）在接到甲方委托任务后应及时开展工作并出具各种专业报告。专业报告包括纸质和电子版两种形式，数量根据甲方在发债过程中的实际需要量而定。</w:t>
      </w:r>
    </w:p>
    <w:p w14:paraId="71BD172B">
      <w:pPr>
        <w:keepNext w:val="0"/>
        <w:keepLines w:val="0"/>
        <w:pageBreakBefore w:val="0"/>
        <w:widowControl w:val="0"/>
        <w:kinsoku/>
        <w:wordWrap/>
        <w:overflowPunct/>
        <w:topLinePunct w:val="0"/>
        <w:autoSpaceDE/>
        <w:autoSpaceDN/>
        <w:bidi w:val="0"/>
        <w:snapToGrid w:val="0"/>
        <w:spacing w:line="400" w:lineRule="exact"/>
        <w:ind w:firstLine="480" w:firstLineChars="200"/>
        <w:textAlignment w:val="auto"/>
        <w:rPr>
          <w:rFonts w:cs="宋体" w:asciiTheme="minorEastAsia" w:hAnsiTheme="minorEastAsia" w:eastAsiaTheme="minorEastAsia"/>
          <w:color w:val="auto"/>
          <w:sz w:val="24"/>
          <w:highlight w:val="none"/>
        </w:rPr>
      </w:pPr>
      <w:r>
        <w:rPr>
          <w:rStyle w:val="987"/>
          <w:rFonts w:hint="eastAsia" w:cs="宋体" w:asciiTheme="minorEastAsia" w:hAnsiTheme="minorEastAsia" w:eastAsiaTheme="minorEastAsia"/>
          <w:bCs/>
          <w:color w:val="auto"/>
          <w:kern w:val="0"/>
          <w:sz w:val="24"/>
          <w:highlight w:val="none"/>
        </w:rPr>
        <w:t>六、</w:t>
      </w:r>
      <w:r>
        <w:rPr>
          <w:rFonts w:hint="eastAsia" w:cs="宋体" w:asciiTheme="minorEastAsia" w:hAnsiTheme="minorEastAsia" w:eastAsiaTheme="minorEastAsia"/>
          <w:color w:val="auto"/>
          <w:sz w:val="24"/>
          <w:highlight w:val="none"/>
        </w:rPr>
        <w:t>付款方式</w:t>
      </w:r>
    </w:p>
    <w:p w14:paraId="4C682F28">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1.专业服务费</w:t>
      </w:r>
      <w:r>
        <w:rPr>
          <w:rFonts w:hint="eastAsia" w:cs="宋体" w:asciiTheme="minorEastAsia" w:hAnsiTheme="minorEastAsia" w:eastAsiaTheme="minorEastAsia"/>
          <w:color w:val="auto"/>
          <w:kern w:val="0"/>
          <w:sz w:val="24"/>
          <w:highlight w:val="none"/>
          <w:lang w:val="en-US" w:eastAsia="zh-CN"/>
        </w:rPr>
        <w:t>半年</w:t>
      </w:r>
      <w:r>
        <w:rPr>
          <w:rFonts w:hint="eastAsia" w:cs="宋体" w:asciiTheme="minorEastAsia" w:hAnsiTheme="minorEastAsia" w:eastAsiaTheme="minorEastAsia"/>
          <w:color w:val="auto"/>
          <w:kern w:val="0"/>
          <w:sz w:val="24"/>
          <w:highlight w:val="none"/>
        </w:rPr>
        <w:t>结算一次，于每年度</w:t>
      </w:r>
      <w:r>
        <w:rPr>
          <w:rFonts w:hint="eastAsia" w:cs="宋体" w:asciiTheme="minorEastAsia" w:hAnsiTheme="minorEastAsia" w:eastAsiaTheme="minorEastAsia"/>
          <w:color w:val="auto"/>
          <w:kern w:val="0"/>
          <w:sz w:val="24"/>
          <w:highlight w:val="none"/>
          <w:lang w:val="en-US" w:eastAsia="zh-CN"/>
        </w:rPr>
        <w:t>6月15日和</w:t>
      </w:r>
      <w:r>
        <w:rPr>
          <w:rFonts w:hint="eastAsia" w:cs="宋体" w:asciiTheme="minorEastAsia" w:hAnsiTheme="minorEastAsia" w:eastAsiaTheme="minorEastAsia"/>
          <w:color w:val="auto"/>
          <w:kern w:val="0"/>
          <w:sz w:val="24"/>
          <w:highlight w:val="none"/>
        </w:rPr>
        <w:t>12月15日前结算</w:t>
      </w:r>
      <w:r>
        <w:rPr>
          <w:rFonts w:hint="eastAsia" w:cs="宋体" w:asciiTheme="minorEastAsia" w:hAnsiTheme="minorEastAsia" w:eastAsiaTheme="minorEastAsia"/>
          <w:color w:val="auto"/>
          <w:kern w:val="0"/>
          <w:sz w:val="24"/>
          <w:highlight w:val="none"/>
          <w:lang w:val="en-US" w:eastAsia="zh-CN"/>
        </w:rPr>
        <w:t>当前半</w:t>
      </w:r>
      <w:r>
        <w:rPr>
          <w:rFonts w:hint="eastAsia" w:cs="宋体" w:asciiTheme="minorEastAsia" w:hAnsiTheme="minorEastAsia" w:eastAsiaTheme="minorEastAsia"/>
          <w:color w:val="auto"/>
          <w:kern w:val="0"/>
          <w:sz w:val="24"/>
          <w:highlight w:val="none"/>
        </w:rPr>
        <w:t>年度的应付专业服务费，结算金额经双方确认后20个工作日内完成支出。</w:t>
      </w:r>
    </w:p>
    <w:p w14:paraId="663037AE">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2.专业服务费由各批次政府专项债券所涉及的财政部门分别进行结算和支付，具体以合同约定为准。</w:t>
      </w:r>
    </w:p>
    <w:p w14:paraId="052880A1">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3.由于入围供应商原因致使本次政府专项债券发行失败的，</w:t>
      </w:r>
      <w:r>
        <w:rPr>
          <w:rFonts w:hint="eastAsia" w:ascii="宋体" w:hAnsi="宋体" w:cs="宋体"/>
          <w:color w:val="auto"/>
          <w:kern w:val="0"/>
          <w:sz w:val="24"/>
          <w:highlight w:val="none"/>
          <w:lang w:val="en-US" w:eastAsia="zh-CN"/>
        </w:rPr>
        <w:t>甲方</w:t>
      </w:r>
      <w:r>
        <w:rPr>
          <w:rFonts w:hint="eastAsia" w:cs="宋体" w:asciiTheme="minorEastAsia" w:hAnsiTheme="minorEastAsia" w:eastAsiaTheme="minorEastAsia"/>
          <w:color w:val="auto"/>
          <w:kern w:val="0"/>
          <w:sz w:val="24"/>
          <w:highlight w:val="none"/>
        </w:rPr>
        <w:t>有权拒付（或追回已付的）专业服务费；给</w:t>
      </w:r>
      <w:r>
        <w:rPr>
          <w:rFonts w:hint="eastAsia" w:ascii="宋体" w:hAnsi="宋体" w:cs="宋体"/>
          <w:color w:val="auto"/>
          <w:kern w:val="0"/>
          <w:sz w:val="24"/>
          <w:highlight w:val="none"/>
          <w:lang w:val="en-US" w:eastAsia="zh-CN"/>
        </w:rPr>
        <w:t>甲方</w:t>
      </w:r>
      <w:r>
        <w:rPr>
          <w:rFonts w:hint="eastAsia" w:cs="宋体" w:asciiTheme="minorEastAsia" w:hAnsiTheme="minorEastAsia" w:eastAsiaTheme="minorEastAsia"/>
          <w:color w:val="auto"/>
          <w:kern w:val="0"/>
          <w:sz w:val="24"/>
          <w:highlight w:val="none"/>
        </w:rPr>
        <w:t>造成损失的，应予以赔偿。</w:t>
      </w:r>
    </w:p>
    <w:p w14:paraId="7E39EA94">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4.入围供应商办理专业服务费结算时，需出具正式税务发票。</w:t>
      </w:r>
    </w:p>
    <w:p w14:paraId="090DB6D8">
      <w:pPr>
        <w:pStyle w:val="64"/>
        <w:keepNext w:val="0"/>
        <w:keepLines w:val="0"/>
        <w:pageBreakBefore w:val="0"/>
        <w:widowControl w:val="0"/>
        <w:kinsoku/>
        <w:wordWrap/>
        <w:overflowPunct/>
        <w:topLinePunct w:val="0"/>
        <w:autoSpaceDE/>
        <w:autoSpaceDN/>
        <w:bidi w:val="0"/>
        <w:spacing w:after="0" w:line="400" w:lineRule="exact"/>
        <w:ind w:left="0" w:leftChars="0" w:firstLine="480"/>
        <w:textAlignment w:val="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七、双方都有责任保守所知晓的对方的商业秘密，不得向第三方泄露。任何一方违反此协议，给对方造成损失，须承担赔偿责任。</w:t>
      </w:r>
    </w:p>
    <w:p w14:paraId="559F1F81">
      <w:pPr>
        <w:keepNext w:val="0"/>
        <w:keepLines w:val="0"/>
        <w:pageBreakBefore w:val="0"/>
        <w:widowControl w:val="0"/>
        <w:kinsoku/>
        <w:wordWrap/>
        <w:overflowPunct/>
        <w:topLinePunct w:val="0"/>
        <w:autoSpaceDE/>
        <w:autoSpaceDN/>
        <w:bidi w:val="0"/>
        <w:snapToGrid w:val="0"/>
        <w:spacing w:line="400" w:lineRule="exact"/>
        <w:ind w:firstLine="480" w:firstLineChars="200"/>
        <w:textAlignment w:val="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八、本协议在执行中，因乙方违约、解体或违反本协议中的有关条款，甲方有权立即终止协议。</w:t>
      </w:r>
    </w:p>
    <w:p w14:paraId="10866500">
      <w:pPr>
        <w:keepNext w:val="0"/>
        <w:keepLines w:val="0"/>
        <w:pageBreakBefore w:val="0"/>
        <w:widowControl w:val="0"/>
        <w:kinsoku/>
        <w:wordWrap/>
        <w:overflowPunct/>
        <w:topLinePunct w:val="0"/>
        <w:autoSpaceDE/>
        <w:autoSpaceDN/>
        <w:bidi w:val="0"/>
        <w:snapToGrid w:val="0"/>
        <w:spacing w:line="400" w:lineRule="exact"/>
        <w:ind w:firstLine="480" w:firstLineChars="200"/>
        <w:textAlignment w:val="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在执业过程中发现以下情形之一的，甲方有权更换服务单位：</w:t>
      </w:r>
    </w:p>
    <w:p w14:paraId="1AA7456B">
      <w:pPr>
        <w:keepNext w:val="0"/>
        <w:keepLines w:val="0"/>
        <w:pageBreakBefore w:val="0"/>
        <w:widowControl w:val="0"/>
        <w:kinsoku/>
        <w:wordWrap/>
        <w:overflowPunct/>
        <w:topLinePunct w:val="0"/>
        <w:autoSpaceDE/>
        <w:autoSpaceDN/>
        <w:bidi w:val="0"/>
        <w:snapToGrid w:val="0"/>
        <w:spacing w:line="400" w:lineRule="exact"/>
        <w:ind w:firstLine="480" w:firstLineChars="200"/>
        <w:textAlignment w:val="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1.在投标中故意隐瞒与投标书不符的重大事实的；</w:t>
      </w:r>
    </w:p>
    <w:p w14:paraId="0DEF76A5">
      <w:pPr>
        <w:keepNext w:val="0"/>
        <w:keepLines w:val="0"/>
        <w:pageBreakBefore w:val="0"/>
        <w:widowControl w:val="0"/>
        <w:kinsoku/>
        <w:wordWrap/>
        <w:overflowPunct/>
        <w:topLinePunct w:val="0"/>
        <w:autoSpaceDE/>
        <w:autoSpaceDN/>
        <w:bidi w:val="0"/>
        <w:snapToGrid w:val="0"/>
        <w:spacing w:line="400" w:lineRule="exact"/>
        <w:ind w:firstLine="480" w:firstLineChars="200"/>
        <w:textAlignment w:val="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2.将中标业务转包或分包给其他律师事务所的；</w:t>
      </w:r>
    </w:p>
    <w:p w14:paraId="6D83EDF8">
      <w:pPr>
        <w:keepNext w:val="0"/>
        <w:keepLines w:val="0"/>
        <w:pageBreakBefore w:val="0"/>
        <w:widowControl w:val="0"/>
        <w:kinsoku/>
        <w:wordWrap/>
        <w:overflowPunct/>
        <w:topLinePunct w:val="0"/>
        <w:autoSpaceDE/>
        <w:autoSpaceDN/>
        <w:bidi w:val="0"/>
        <w:snapToGrid w:val="0"/>
        <w:spacing w:line="400" w:lineRule="exact"/>
        <w:ind w:firstLine="480" w:firstLineChars="200"/>
        <w:textAlignment w:val="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3.无法完成或拒不完成本项目约定服务内容的；</w:t>
      </w:r>
    </w:p>
    <w:p w14:paraId="6404C436">
      <w:pPr>
        <w:keepNext w:val="0"/>
        <w:keepLines w:val="0"/>
        <w:pageBreakBefore w:val="0"/>
        <w:widowControl w:val="0"/>
        <w:kinsoku/>
        <w:wordWrap/>
        <w:overflowPunct/>
        <w:topLinePunct w:val="0"/>
        <w:autoSpaceDE/>
        <w:autoSpaceDN/>
        <w:bidi w:val="0"/>
        <w:snapToGrid w:val="0"/>
        <w:spacing w:line="400" w:lineRule="exact"/>
        <w:ind w:firstLine="480" w:firstLineChars="200"/>
        <w:textAlignment w:val="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4.在服务期间因违法、违规行为被国家有关主管部门给予重大行政处罚的；</w:t>
      </w:r>
    </w:p>
    <w:p w14:paraId="52867FBB">
      <w:pPr>
        <w:keepNext w:val="0"/>
        <w:keepLines w:val="0"/>
        <w:pageBreakBefore w:val="0"/>
        <w:widowControl w:val="0"/>
        <w:kinsoku/>
        <w:wordWrap/>
        <w:overflowPunct/>
        <w:topLinePunct w:val="0"/>
        <w:autoSpaceDE/>
        <w:autoSpaceDN/>
        <w:bidi w:val="0"/>
        <w:snapToGrid w:val="0"/>
        <w:spacing w:line="400" w:lineRule="exact"/>
        <w:ind w:firstLine="480" w:firstLineChars="200"/>
        <w:textAlignment w:val="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5.严重违反有关规定，且拒不改正的；</w:t>
      </w:r>
    </w:p>
    <w:p w14:paraId="30B36EDA">
      <w:pPr>
        <w:keepNext w:val="0"/>
        <w:keepLines w:val="0"/>
        <w:pageBreakBefore w:val="0"/>
        <w:widowControl w:val="0"/>
        <w:kinsoku/>
        <w:wordWrap/>
        <w:overflowPunct/>
        <w:topLinePunct w:val="0"/>
        <w:autoSpaceDE/>
        <w:autoSpaceDN/>
        <w:bidi w:val="0"/>
        <w:snapToGrid w:val="0"/>
        <w:spacing w:line="400" w:lineRule="exact"/>
        <w:ind w:firstLine="480" w:firstLineChars="200"/>
        <w:textAlignment w:val="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6.其他严重违法、违规行为。</w:t>
      </w:r>
    </w:p>
    <w:p w14:paraId="28EA0E60">
      <w:pPr>
        <w:keepNext w:val="0"/>
        <w:keepLines w:val="0"/>
        <w:pageBreakBefore w:val="0"/>
        <w:widowControl w:val="0"/>
        <w:kinsoku/>
        <w:wordWrap/>
        <w:overflowPunct/>
        <w:topLinePunct w:val="0"/>
        <w:autoSpaceDE/>
        <w:autoSpaceDN/>
        <w:bidi w:val="0"/>
        <w:snapToGrid w:val="0"/>
        <w:spacing w:line="400" w:lineRule="exact"/>
        <w:ind w:firstLine="480" w:firstLineChars="200"/>
        <w:textAlignment w:val="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九、免责条件</w:t>
      </w:r>
    </w:p>
    <w:p w14:paraId="39502E3D">
      <w:pPr>
        <w:keepNext w:val="0"/>
        <w:keepLines w:val="0"/>
        <w:pageBreakBefore w:val="0"/>
        <w:widowControl w:val="0"/>
        <w:kinsoku/>
        <w:wordWrap/>
        <w:overflowPunct/>
        <w:topLinePunct w:val="0"/>
        <w:autoSpaceDE/>
        <w:autoSpaceDN/>
        <w:bidi w:val="0"/>
        <w:snapToGrid w:val="0"/>
        <w:spacing w:line="400" w:lineRule="exact"/>
        <w:ind w:firstLine="480" w:firstLineChars="200"/>
        <w:textAlignment w:val="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1.双方任何一方由于严重火灾、水灾、台风、地震、不可遇见事故及其它双方均认可的不可抗力因素所造成的损失和影响，双方互不承担责任。</w:t>
      </w:r>
    </w:p>
    <w:p w14:paraId="5E9C78F6">
      <w:pPr>
        <w:keepNext w:val="0"/>
        <w:keepLines w:val="0"/>
        <w:pageBreakBefore w:val="0"/>
        <w:widowControl w:val="0"/>
        <w:kinsoku/>
        <w:wordWrap/>
        <w:overflowPunct/>
        <w:topLinePunct w:val="0"/>
        <w:autoSpaceDE/>
        <w:autoSpaceDN/>
        <w:bidi w:val="0"/>
        <w:snapToGrid w:val="0"/>
        <w:spacing w:line="400" w:lineRule="exact"/>
        <w:ind w:firstLine="480" w:firstLineChars="200"/>
        <w:textAlignment w:val="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2.受不可抗力因素影响的一方应在不可抗力发生后3天内书面告知另一方，并在事故发生后7天内，向另一方出具有效的事实证明材料。</w:t>
      </w:r>
    </w:p>
    <w:p w14:paraId="1B601719">
      <w:pPr>
        <w:pStyle w:val="64"/>
        <w:keepNext w:val="0"/>
        <w:keepLines w:val="0"/>
        <w:pageBreakBefore w:val="0"/>
        <w:widowControl w:val="0"/>
        <w:kinsoku/>
        <w:wordWrap/>
        <w:overflowPunct/>
        <w:topLinePunct w:val="0"/>
        <w:autoSpaceDE/>
        <w:autoSpaceDN/>
        <w:bidi w:val="0"/>
        <w:spacing w:after="0" w:line="400" w:lineRule="exact"/>
        <w:ind w:left="0" w:leftChars="0" w:firstLine="0" w:firstLineChars="0"/>
        <w:textAlignment w:val="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    3.如遇上级部门政策调整，本合同自动终止。</w:t>
      </w:r>
    </w:p>
    <w:p w14:paraId="74AD5E5A">
      <w:pPr>
        <w:keepNext w:val="0"/>
        <w:keepLines w:val="0"/>
        <w:pageBreakBefore w:val="0"/>
        <w:widowControl w:val="0"/>
        <w:kinsoku/>
        <w:wordWrap/>
        <w:overflowPunct/>
        <w:topLinePunct w:val="0"/>
        <w:autoSpaceDE/>
        <w:autoSpaceDN/>
        <w:bidi w:val="0"/>
        <w:snapToGrid w:val="0"/>
        <w:spacing w:line="400" w:lineRule="exact"/>
        <w:ind w:firstLine="480" w:firstLineChars="200"/>
        <w:textAlignment w:val="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十、纠纷解决方式</w:t>
      </w:r>
    </w:p>
    <w:p w14:paraId="2DE46FA7">
      <w:pPr>
        <w:pStyle w:val="35"/>
        <w:keepNext w:val="0"/>
        <w:keepLines w:val="0"/>
        <w:pageBreakBefore w:val="0"/>
        <w:widowControl w:val="0"/>
        <w:kinsoku/>
        <w:wordWrap/>
        <w:overflowPunct/>
        <w:topLinePunct w:val="0"/>
        <w:autoSpaceDE/>
        <w:autoSpaceDN/>
        <w:bidi w:val="0"/>
        <w:snapToGrid w:val="0"/>
        <w:spacing w:line="400" w:lineRule="exact"/>
        <w:ind w:firstLine="480" w:firstLineChars="200"/>
        <w:jc w:val="left"/>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1.凡与本合同有关的任何纠纷，买、卖双方应通过友好协商，妥善解决。如通过协商仍不能解决时，应向甲方所在地的人民法院诉讼解决。</w:t>
      </w:r>
    </w:p>
    <w:p w14:paraId="5B9DFAF6">
      <w:pPr>
        <w:pStyle w:val="35"/>
        <w:keepNext w:val="0"/>
        <w:keepLines w:val="0"/>
        <w:pageBreakBefore w:val="0"/>
        <w:widowControl w:val="0"/>
        <w:kinsoku/>
        <w:wordWrap/>
        <w:overflowPunct/>
        <w:topLinePunct w:val="0"/>
        <w:autoSpaceDE/>
        <w:autoSpaceDN/>
        <w:bidi w:val="0"/>
        <w:snapToGrid w:val="0"/>
        <w:spacing w:line="400" w:lineRule="exact"/>
        <w:ind w:firstLine="480" w:firstLineChars="200"/>
        <w:jc w:val="left"/>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2.诉讼费及律师费除法院另有裁决外，由败诉方承担。</w:t>
      </w:r>
    </w:p>
    <w:p w14:paraId="74FB3573">
      <w:pPr>
        <w:pStyle w:val="35"/>
        <w:keepNext w:val="0"/>
        <w:keepLines w:val="0"/>
        <w:pageBreakBefore w:val="0"/>
        <w:widowControl w:val="0"/>
        <w:kinsoku/>
        <w:wordWrap/>
        <w:overflowPunct/>
        <w:topLinePunct w:val="0"/>
        <w:autoSpaceDE/>
        <w:autoSpaceDN/>
        <w:bidi w:val="0"/>
        <w:snapToGrid w:val="0"/>
        <w:spacing w:line="400" w:lineRule="exact"/>
        <w:ind w:firstLine="480" w:firstLineChars="200"/>
        <w:jc w:val="left"/>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3.在诉讼期间，除正在进行诉讼的部分外，本合同其他部分应继续执行。</w:t>
      </w:r>
    </w:p>
    <w:p w14:paraId="4FAA698E">
      <w:pPr>
        <w:keepNext w:val="0"/>
        <w:keepLines w:val="0"/>
        <w:pageBreakBefore w:val="0"/>
        <w:widowControl w:val="0"/>
        <w:kinsoku/>
        <w:wordWrap/>
        <w:overflowPunct/>
        <w:topLinePunct w:val="0"/>
        <w:autoSpaceDE/>
        <w:autoSpaceDN/>
        <w:bidi w:val="0"/>
        <w:snapToGrid w:val="0"/>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十一、合同生效及其它</w:t>
      </w:r>
    </w:p>
    <w:p w14:paraId="035F18F0">
      <w:pPr>
        <w:pStyle w:val="986"/>
        <w:keepNext w:val="0"/>
        <w:keepLines w:val="0"/>
        <w:pageBreakBefore w:val="0"/>
        <w:widowControl w:val="0"/>
        <w:kinsoku/>
        <w:wordWrap/>
        <w:overflowPunct/>
        <w:topLinePunct w:val="0"/>
        <w:autoSpaceDE/>
        <w:autoSpaceDN/>
        <w:bidi w:val="0"/>
        <w:spacing w:line="400" w:lineRule="exact"/>
        <w:ind w:firstLine="480"/>
        <w:textAlignment w:val="auto"/>
        <w:rPr>
          <w:rFonts w:ascii="宋体" w:hAnsi="宋体" w:cs="宋体"/>
          <w:color w:val="auto"/>
          <w:sz w:val="24"/>
          <w:szCs w:val="24"/>
          <w:highlight w:val="none"/>
        </w:rPr>
      </w:pPr>
      <w:r>
        <w:rPr>
          <w:rFonts w:hint="eastAsia" w:ascii="宋体" w:hAnsi="宋体" w:cs="宋体"/>
          <w:color w:val="auto"/>
          <w:sz w:val="24"/>
          <w:szCs w:val="24"/>
          <w:highlight w:val="none"/>
        </w:rPr>
        <w:t>1.协议经甲、乙双方签名并加盖单位公章后生效。</w:t>
      </w:r>
    </w:p>
    <w:p w14:paraId="28502C51">
      <w:pPr>
        <w:pStyle w:val="986"/>
        <w:keepNext w:val="0"/>
        <w:keepLines w:val="0"/>
        <w:pageBreakBefore w:val="0"/>
        <w:widowControl w:val="0"/>
        <w:kinsoku/>
        <w:wordWrap/>
        <w:overflowPunct/>
        <w:topLinePunct w:val="0"/>
        <w:autoSpaceDE/>
        <w:autoSpaceDN/>
        <w:bidi w:val="0"/>
        <w:spacing w:line="400" w:lineRule="exact"/>
        <w:ind w:firstLine="480"/>
        <w:textAlignment w:val="auto"/>
        <w:rPr>
          <w:rFonts w:ascii="宋体" w:hAnsi="宋体" w:cs="宋体"/>
          <w:color w:val="auto"/>
          <w:sz w:val="24"/>
          <w:szCs w:val="24"/>
          <w:highlight w:val="none"/>
        </w:rPr>
      </w:pPr>
      <w:r>
        <w:rPr>
          <w:rFonts w:hint="eastAsia" w:ascii="宋体" w:hAnsi="宋体" w:cs="宋体"/>
          <w:color w:val="auto"/>
          <w:sz w:val="24"/>
          <w:szCs w:val="24"/>
          <w:highlight w:val="none"/>
        </w:rPr>
        <w:t>2.协议执行中涉及采购资金和采购内容修改或补充的，须经财政部门审批，并签书面补充协议，经报政府采购监督管理部门备案后，方可作为主协议不可分割的一部分。</w:t>
      </w:r>
    </w:p>
    <w:p w14:paraId="50B3B38C">
      <w:pPr>
        <w:pStyle w:val="986"/>
        <w:keepNext w:val="0"/>
        <w:keepLines w:val="0"/>
        <w:pageBreakBefore w:val="0"/>
        <w:widowControl w:val="0"/>
        <w:kinsoku/>
        <w:wordWrap/>
        <w:overflowPunct/>
        <w:topLinePunct w:val="0"/>
        <w:autoSpaceDE/>
        <w:autoSpaceDN/>
        <w:bidi w:val="0"/>
        <w:spacing w:line="400" w:lineRule="exact"/>
        <w:ind w:firstLine="480"/>
        <w:textAlignment w:val="auto"/>
        <w:rPr>
          <w:rFonts w:ascii="宋体" w:hAnsi="宋体" w:cs="宋体"/>
          <w:color w:val="auto"/>
          <w:sz w:val="24"/>
          <w:szCs w:val="24"/>
          <w:highlight w:val="none"/>
        </w:rPr>
      </w:pPr>
      <w:r>
        <w:rPr>
          <w:rFonts w:hint="eastAsia" w:ascii="宋体" w:hAnsi="宋体" w:cs="宋体"/>
          <w:color w:val="auto"/>
          <w:sz w:val="24"/>
          <w:szCs w:val="24"/>
          <w:highlight w:val="none"/>
        </w:rPr>
        <w:t>3.征集文件、乙方的响应文件与本协议具有同等法律效力。</w:t>
      </w:r>
    </w:p>
    <w:p w14:paraId="55026392">
      <w:pPr>
        <w:pStyle w:val="986"/>
        <w:keepNext w:val="0"/>
        <w:keepLines w:val="0"/>
        <w:pageBreakBefore w:val="0"/>
        <w:widowControl w:val="0"/>
        <w:kinsoku/>
        <w:wordWrap/>
        <w:overflowPunct/>
        <w:topLinePunct w:val="0"/>
        <w:autoSpaceDE/>
        <w:autoSpaceDN/>
        <w:bidi w:val="0"/>
        <w:spacing w:line="400" w:lineRule="exact"/>
        <w:ind w:firstLine="480"/>
        <w:textAlignment w:val="auto"/>
        <w:rPr>
          <w:rFonts w:ascii="宋体" w:hAnsi="宋体" w:cs="宋体"/>
          <w:color w:val="auto"/>
          <w:sz w:val="24"/>
          <w:szCs w:val="24"/>
          <w:highlight w:val="none"/>
        </w:rPr>
      </w:pPr>
      <w:r>
        <w:rPr>
          <w:rFonts w:hint="eastAsia" w:ascii="宋体" w:hAnsi="宋体" w:cs="宋体"/>
          <w:color w:val="auto"/>
          <w:sz w:val="24"/>
          <w:szCs w:val="24"/>
          <w:highlight w:val="none"/>
        </w:rPr>
        <w:t>4.本协议未尽事宜，遵照《</w:t>
      </w:r>
      <w:r>
        <w:rPr>
          <w:rFonts w:hAnsi="宋体" w:cs="宋体"/>
          <w:color w:val="auto"/>
          <w:sz w:val="24"/>
          <w:szCs w:val="24"/>
          <w:highlight w:val="none"/>
        </w:rPr>
        <w:t>中华人民共和国民法典</w:t>
      </w:r>
      <w:r>
        <w:rPr>
          <w:rFonts w:hint="eastAsia" w:ascii="宋体" w:hAnsi="宋体" w:cs="宋体"/>
          <w:color w:val="auto"/>
          <w:sz w:val="24"/>
          <w:szCs w:val="24"/>
          <w:highlight w:val="none"/>
        </w:rPr>
        <w:t>》有关条文执行。</w:t>
      </w:r>
    </w:p>
    <w:p w14:paraId="7F31F28E">
      <w:pPr>
        <w:pStyle w:val="986"/>
        <w:keepNext w:val="0"/>
        <w:keepLines w:val="0"/>
        <w:pageBreakBefore w:val="0"/>
        <w:widowControl w:val="0"/>
        <w:kinsoku/>
        <w:wordWrap/>
        <w:overflowPunct/>
        <w:topLinePunct w:val="0"/>
        <w:autoSpaceDE/>
        <w:autoSpaceDN/>
        <w:bidi w:val="0"/>
        <w:spacing w:line="400" w:lineRule="exact"/>
        <w:ind w:firstLine="480"/>
        <w:textAlignment w:val="auto"/>
        <w:rPr>
          <w:rStyle w:val="987"/>
          <w:rFonts w:ascii="宋体" w:hAnsi="宋体"/>
          <w:bCs/>
          <w:color w:val="auto"/>
          <w:kern w:val="0"/>
          <w:sz w:val="24"/>
          <w:szCs w:val="24"/>
          <w:highlight w:val="none"/>
        </w:rPr>
      </w:pPr>
      <w:r>
        <w:rPr>
          <w:rFonts w:hint="eastAsia" w:ascii="宋体" w:hAnsi="宋体" w:cs="宋体"/>
          <w:color w:val="auto"/>
          <w:sz w:val="24"/>
          <w:szCs w:val="24"/>
          <w:highlight w:val="none"/>
        </w:rPr>
        <w:t>5.本协议一式五份，具有同等法律效力，甲、乙双方各执二份，备案一份。</w:t>
      </w:r>
    </w:p>
    <w:p w14:paraId="684AF6D3">
      <w:pPr>
        <w:pStyle w:val="35"/>
        <w:spacing w:line="400" w:lineRule="exact"/>
        <w:ind w:firstLine="480" w:firstLineChars="200"/>
        <w:rPr>
          <w:rStyle w:val="987"/>
          <w:rFonts w:ascii="宋体" w:hAnsi="宋体"/>
          <w:bCs/>
          <w:color w:val="auto"/>
          <w:kern w:val="0"/>
          <w:sz w:val="24"/>
          <w:szCs w:val="24"/>
          <w:highlight w:val="none"/>
        </w:rPr>
      </w:pPr>
    </w:p>
    <w:tbl>
      <w:tblPr>
        <w:tblStyle w:val="65"/>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5"/>
        <w:gridCol w:w="4714"/>
      </w:tblGrid>
      <w:tr w14:paraId="1C003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3" w:hRule="atLeast"/>
          <w:jc w:val="center"/>
        </w:trPr>
        <w:tc>
          <w:tcPr>
            <w:tcW w:w="4705" w:type="dxa"/>
            <w:tcBorders>
              <w:top w:val="single" w:color="auto" w:sz="4" w:space="0"/>
              <w:left w:val="single" w:color="auto" w:sz="4" w:space="0"/>
              <w:right w:val="single" w:color="auto" w:sz="4" w:space="0"/>
            </w:tcBorders>
          </w:tcPr>
          <w:p w14:paraId="575FD3D2">
            <w:pPr>
              <w:spacing w:line="360" w:lineRule="auto"/>
              <w:ind w:right="-105" w:rightChars="-50"/>
              <w:jc w:val="center"/>
              <w:rPr>
                <w:rFonts w:ascii="宋体" w:hAnsi="宋体" w:cs="宋体"/>
                <w:b/>
                <w:bCs/>
                <w:color w:val="auto"/>
                <w:sz w:val="24"/>
                <w:highlight w:val="none"/>
              </w:rPr>
            </w:pPr>
            <w:r>
              <w:rPr>
                <w:rFonts w:hint="eastAsia" w:ascii="宋体" w:hAnsi="宋体" w:cs="宋体"/>
                <w:b/>
                <w:bCs/>
                <w:color w:val="auto"/>
                <w:sz w:val="24"/>
                <w:highlight w:val="none"/>
              </w:rPr>
              <w:t>甲（采购）方</w:t>
            </w:r>
          </w:p>
          <w:p w14:paraId="47F747C6">
            <w:pPr>
              <w:spacing w:line="360" w:lineRule="auto"/>
              <w:ind w:left="-171" w:right="-105" w:rightChars="-50" w:firstLine="163" w:firstLineChars="68"/>
              <w:rPr>
                <w:rFonts w:ascii="宋体" w:hAnsi="宋体" w:cs="宋体"/>
                <w:color w:val="auto"/>
                <w:sz w:val="24"/>
                <w:highlight w:val="none"/>
              </w:rPr>
            </w:pPr>
            <w:r>
              <w:rPr>
                <w:rFonts w:hint="eastAsia" w:ascii="宋体" w:hAnsi="宋体" w:cs="宋体"/>
                <w:color w:val="auto"/>
                <w:sz w:val="24"/>
                <w:highlight w:val="none"/>
              </w:rPr>
              <w:t xml:space="preserve">单位名称（盖章）： </w:t>
            </w:r>
          </w:p>
          <w:p w14:paraId="73B27C26">
            <w:pPr>
              <w:spacing w:line="360" w:lineRule="auto"/>
              <w:ind w:left="-171" w:right="-105" w:rightChars="-50" w:firstLine="163" w:firstLineChars="68"/>
              <w:rPr>
                <w:rFonts w:ascii="宋体" w:hAnsi="宋体" w:cs="宋体"/>
                <w:color w:val="auto"/>
                <w:sz w:val="24"/>
                <w:highlight w:val="none"/>
              </w:rPr>
            </w:pPr>
            <w:r>
              <w:rPr>
                <w:rFonts w:hint="eastAsia" w:ascii="宋体" w:hAnsi="宋体" w:cs="宋体"/>
                <w:color w:val="auto"/>
                <w:sz w:val="24"/>
                <w:highlight w:val="none"/>
              </w:rPr>
              <w:t xml:space="preserve">单位地址： </w:t>
            </w:r>
          </w:p>
          <w:p w14:paraId="4F56D167">
            <w:pPr>
              <w:spacing w:line="360" w:lineRule="auto"/>
              <w:ind w:left="-170" w:right="-105" w:rightChars="-50" w:firstLine="163" w:firstLineChars="68"/>
              <w:rPr>
                <w:rFonts w:ascii="宋体" w:hAnsi="宋体" w:cs="宋体"/>
                <w:color w:val="auto"/>
                <w:sz w:val="24"/>
                <w:highlight w:val="none"/>
              </w:rPr>
            </w:pPr>
            <w:r>
              <w:rPr>
                <w:rFonts w:hint="eastAsia" w:ascii="宋体" w:hAnsi="宋体" w:cs="宋体"/>
                <w:color w:val="auto"/>
                <w:sz w:val="24"/>
                <w:highlight w:val="none"/>
              </w:rPr>
              <w:t>法定（委托）代表人</w:t>
            </w:r>
          </w:p>
          <w:p w14:paraId="07433102">
            <w:pPr>
              <w:spacing w:line="360" w:lineRule="auto"/>
              <w:ind w:left="-170" w:right="-105" w:rightChars="-50" w:firstLine="163" w:firstLineChars="68"/>
              <w:rPr>
                <w:rFonts w:ascii="宋体" w:hAnsi="宋体" w:cs="宋体"/>
                <w:color w:val="auto"/>
                <w:sz w:val="24"/>
                <w:highlight w:val="none"/>
              </w:rPr>
            </w:pPr>
            <w:r>
              <w:rPr>
                <w:rFonts w:hint="eastAsia" w:ascii="宋体" w:hAnsi="宋体" w:cs="宋体"/>
                <w:color w:val="auto"/>
                <w:sz w:val="24"/>
                <w:highlight w:val="none"/>
              </w:rPr>
              <w:t>（签字或盖章）：</w:t>
            </w:r>
          </w:p>
          <w:p w14:paraId="206457EE">
            <w:pPr>
              <w:spacing w:line="360" w:lineRule="auto"/>
              <w:ind w:left="-170" w:right="-105" w:rightChars="-50" w:firstLine="163" w:firstLineChars="68"/>
              <w:rPr>
                <w:rFonts w:ascii="宋体" w:hAnsi="宋体" w:cs="宋体"/>
                <w:color w:val="auto"/>
                <w:sz w:val="24"/>
                <w:highlight w:val="none"/>
              </w:rPr>
            </w:pPr>
            <w:r>
              <w:rPr>
                <w:rFonts w:hint="eastAsia" w:ascii="宋体" w:hAnsi="宋体" w:cs="宋体"/>
                <w:color w:val="auto"/>
                <w:sz w:val="24"/>
                <w:highlight w:val="none"/>
              </w:rPr>
              <w:t>电 话：</w:t>
            </w:r>
          </w:p>
          <w:p w14:paraId="6881D500">
            <w:pPr>
              <w:spacing w:line="360" w:lineRule="auto"/>
              <w:ind w:left="-170" w:right="-105" w:rightChars="-50" w:firstLine="163" w:firstLineChars="68"/>
              <w:rPr>
                <w:rFonts w:ascii="宋体" w:hAnsi="宋体" w:cs="宋体"/>
                <w:color w:val="auto"/>
                <w:sz w:val="24"/>
                <w:highlight w:val="none"/>
              </w:rPr>
            </w:pPr>
            <w:r>
              <w:rPr>
                <w:rFonts w:hint="eastAsia" w:ascii="宋体" w:hAnsi="宋体" w:cs="宋体"/>
                <w:color w:val="auto"/>
                <w:sz w:val="24"/>
                <w:highlight w:val="none"/>
              </w:rPr>
              <w:t>开户银行：</w:t>
            </w:r>
          </w:p>
          <w:p w14:paraId="18F805B2">
            <w:pPr>
              <w:spacing w:line="360" w:lineRule="auto"/>
              <w:ind w:left="-170" w:right="-105" w:rightChars="-50" w:firstLine="163" w:firstLineChars="68"/>
              <w:rPr>
                <w:rFonts w:ascii="宋体" w:hAnsi="宋体" w:cs="宋体"/>
                <w:color w:val="auto"/>
                <w:sz w:val="24"/>
                <w:highlight w:val="none"/>
              </w:rPr>
            </w:pPr>
            <w:r>
              <w:rPr>
                <w:rFonts w:hint="eastAsia" w:ascii="宋体" w:hAnsi="宋体" w:cs="宋体"/>
                <w:color w:val="auto"/>
                <w:sz w:val="24"/>
                <w:highlight w:val="none"/>
              </w:rPr>
              <w:t xml:space="preserve">账 号：   </w:t>
            </w:r>
          </w:p>
        </w:tc>
        <w:tc>
          <w:tcPr>
            <w:tcW w:w="4714" w:type="dxa"/>
            <w:tcBorders>
              <w:top w:val="single" w:color="auto" w:sz="4" w:space="0"/>
              <w:left w:val="single" w:color="auto" w:sz="4" w:space="0"/>
              <w:right w:val="single" w:color="auto" w:sz="4" w:space="0"/>
            </w:tcBorders>
          </w:tcPr>
          <w:p w14:paraId="5E12EEF8">
            <w:pPr>
              <w:spacing w:line="360" w:lineRule="auto"/>
              <w:ind w:right="-105" w:rightChars="-50"/>
              <w:jc w:val="center"/>
              <w:rPr>
                <w:rFonts w:ascii="宋体" w:hAnsi="宋体" w:cs="宋体"/>
                <w:b/>
                <w:bCs/>
                <w:color w:val="auto"/>
                <w:sz w:val="24"/>
                <w:highlight w:val="none"/>
              </w:rPr>
            </w:pPr>
            <w:r>
              <w:rPr>
                <w:rFonts w:hint="eastAsia" w:ascii="宋体" w:hAnsi="宋体" w:cs="宋体"/>
                <w:b/>
                <w:bCs/>
                <w:color w:val="auto"/>
                <w:sz w:val="24"/>
                <w:highlight w:val="none"/>
              </w:rPr>
              <w:t>乙（服务）方</w:t>
            </w:r>
          </w:p>
          <w:p w14:paraId="0186C9DC">
            <w:pPr>
              <w:spacing w:line="360" w:lineRule="auto"/>
              <w:ind w:left="-170" w:right="-105" w:rightChars="-50" w:firstLine="163" w:firstLineChars="68"/>
              <w:rPr>
                <w:rFonts w:ascii="宋体" w:hAnsi="宋体" w:cs="宋体"/>
                <w:color w:val="auto"/>
                <w:sz w:val="24"/>
                <w:highlight w:val="none"/>
              </w:rPr>
            </w:pPr>
            <w:r>
              <w:rPr>
                <w:rFonts w:hint="eastAsia" w:ascii="宋体" w:hAnsi="宋体" w:cs="宋体"/>
                <w:color w:val="auto"/>
                <w:sz w:val="24"/>
                <w:highlight w:val="none"/>
              </w:rPr>
              <w:t xml:space="preserve">单位名称（盖章）： </w:t>
            </w:r>
          </w:p>
          <w:p w14:paraId="26D3B8D7">
            <w:pPr>
              <w:spacing w:line="360" w:lineRule="auto"/>
              <w:ind w:left="-170" w:right="-105" w:rightChars="-50" w:firstLine="163" w:firstLineChars="68"/>
              <w:rPr>
                <w:rFonts w:ascii="宋体" w:hAnsi="宋体" w:cs="宋体"/>
                <w:color w:val="auto"/>
                <w:sz w:val="24"/>
                <w:highlight w:val="none"/>
              </w:rPr>
            </w:pPr>
            <w:r>
              <w:rPr>
                <w:rFonts w:hint="eastAsia" w:ascii="宋体" w:hAnsi="宋体" w:cs="宋体"/>
                <w:color w:val="auto"/>
                <w:sz w:val="24"/>
                <w:highlight w:val="none"/>
              </w:rPr>
              <w:t xml:space="preserve">单位地址： </w:t>
            </w:r>
          </w:p>
          <w:p w14:paraId="0CBFEA7D">
            <w:pPr>
              <w:spacing w:line="360" w:lineRule="auto"/>
              <w:ind w:left="-170" w:right="-105" w:rightChars="-50" w:firstLine="163" w:firstLineChars="68"/>
              <w:rPr>
                <w:rFonts w:ascii="宋体" w:hAnsi="宋体" w:cs="宋体"/>
                <w:color w:val="auto"/>
                <w:sz w:val="24"/>
                <w:highlight w:val="none"/>
              </w:rPr>
            </w:pPr>
            <w:r>
              <w:rPr>
                <w:rFonts w:hint="eastAsia" w:ascii="宋体" w:hAnsi="宋体" w:cs="宋体"/>
                <w:color w:val="auto"/>
                <w:sz w:val="24"/>
                <w:highlight w:val="none"/>
              </w:rPr>
              <w:t xml:space="preserve">法定（委托）代表人 </w:t>
            </w:r>
          </w:p>
          <w:p w14:paraId="094DC656">
            <w:pPr>
              <w:spacing w:line="360" w:lineRule="auto"/>
              <w:ind w:left="-170" w:right="-105" w:rightChars="-50" w:firstLine="163" w:firstLineChars="68"/>
              <w:rPr>
                <w:rFonts w:ascii="宋体" w:hAnsi="宋体" w:cs="宋体"/>
                <w:color w:val="auto"/>
                <w:sz w:val="24"/>
                <w:highlight w:val="none"/>
              </w:rPr>
            </w:pPr>
            <w:r>
              <w:rPr>
                <w:rFonts w:hint="eastAsia" w:ascii="宋体" w:hAnsi="宋体" w:cs="宋体"/>
                <w:color w:val="auto"/>
                <w:sz w:val="24"/>
                <w:highlight w:val="none"/>
              </w:rPr>
              <w:t>（签字或盖章）：</w:t>
            </w:r>
          </w:p>
          <w:p w14:paraId="5562A3B8">
            <w:pPr>
              <w:spacing w:line="360" w:lineRule="auto"/>
              <w:ind w:left="-170" w:right="-105" w:rightChars="-50" w:firstLine="163" w:firstLineChars="68"/>
              <w:rPr>
                <w:rFonts w:ascii="宋体" w:hAnsi="宋体" w:cs="宋体"/>
                <w:color w:val="auto"/>
                <w:sz w:val="24"/>
                <w:highlight w:val="none"/>
              </w:rPr>
            </w:pPr>
            <w:r>
              <w:rPr>
                <w:rFonts w:hint="eastAsia" w:ascii="宋体" w:hAnsi="宋体" w:cs="宋体"/>
                <w:color w:val="auto"/>
                <w:sz w:val="24"/>
                <w:highlight w:val="none"/>
              </w:rPr>
              <w:t>电 话：</w:t>
            </w:r>
          </w:p>
          <w:p w14:paraId="42247667">
            <w:pPr>
              <w:spacing w:line="360" w:lineRule="auto"/>
              <w:ind w:left="-170" w:right="-105" w:rightChars="-50" w:firstLine="163" w:firstLineChars="68"/>
              <w:rPr>
                <w:rFonts w:ascii="宋体" w:hAnsi="宋体" w:cs="宋体"/>
                <w:color w:val="auto"/>
                <w:sz w:val="24"/>
                <w:highlight w:val="none"/>
              </w:rPr>
            </w:pPr>
            <w:r>
              <w:rPr>
                <w:rFonts w:hint="eastAsia" w:ascii="宋体" w:hAnsi="宋体" w:cs="宋体"/>
                <w:color w:val="auto"/>
                <w:sz w:val="24"/>
                <w:highlight w:val="none"/>
              </w:rPr>
              <w:t xml:space="preserve">开户银行： </w:t>
            </w:r>
          </w:p>
          <w:p w14:paraId="135CC14F">
            <w:pPr>
              <w:spacing w:line="360" w:lineRule="auto"/>
              <w:ind w:left="-170" w:right="-105" w:rightChars="-50" w:firstLine="163" w:firstLineChars="68"/>
              <w:rPr>
                <w:rFonts w:ascii="宋体" w:hAnsi="宋体" w:cs="宋体"/>
                <w:color w:val="auto"/>
                <w:sz w:val="24"/>
                <w:highlight w:val="none"/>
              </w:rPr>
            </w:pPr>
            <w:r>
              <w:rPr>
                <w:rFonts w:hint="eastAsia" w:ascii="宋体" w:hAnsi="宋体" w:cs="宋体"/>
                <w:color w:val="auto"/>
                <w:sz w:val="24"/>
                <w:highlight w:val="none"/>
              </w:rPr>
              <w:t xml:space="preserve">账 号：  </w:t>
            </w:r>
          </w:p>
        </w:tc>
      </w:tr>
    </w:tbl>
    <w:p w14:paraId="233AA6FB">
      <w:pPr>
        <w:spacing w:line="360" w:lineRule="auto"/>
        <w:rPr>
          <w:rFonts w:ascii="仿宋" w:hAnsi="仿宋" w:eastAsia="仿宋"/>
          <w:b/>
          <w:bCs/>
          <w:color w:val="auto"/>
          <w:sz w:val="28"/>
          <w:szCs w:val="28"/>
          <w:highlight w:val="none"/>
        </w:rPr>
      </w:pPr>
      <w:r>
        <w:rPr>
          <w:rFonts w:hint="eastAsia" w:ascii="宋体" w:hAnsi="宋体" w:cs="Arial"/>
          <w:bCs/>
          <w:color w:val="auto"/>
          <w:sz w:val="24"/>
          <w:highlight w:val="none"/>
        </w:rPr>
        <w:t xml:space="preserve">                                          合同签订时间：   年   月  日  </w:t>
      </w:r>
    </w:p>
    <w:p w14:paraId="6733CE50">
      <w:pPr>
        <w:autoSpaceDE w:val="0"/>
        <w:autoSpaceDN w:val="0"/>
        <w:snapToGrid w:val="0"/>
        <w:spacing w:before="31" w:beforeLines="10" w:line="400" w:lineRule="atLeast"/>
        <w:jc w:val="left"/>
        <w:textAlignment w:val="bottom"/>
        <w:rPr>
          <w:rFonts w:ascii="宋体" w:hAnsi="宋体"/>
          <w:b/>
          <w:bCs/>
          <w:color w:val="auto"/>
          <w:kern w:val="0"/>
          <w:sz w:val="28"/>
          <w:szCs w:val="28"/>
          <w:highlight w:val="none"/>
        </w:rPr>
      </w:pPr>
      <w:r>
        <w:rPr>
          <w:rFonts w:hint="eastAsia" w:ascii="仿宋" w:hAnsi="仿宋" w:eastAsia="仿宋"/>
          <w:b/>
          <w:bCs/>
          <w:color w:val="auto"/>
          <w:kern w:val="0"/>
          <w:sz w:val="30"/>
          <w:szCs w:val="30"/>
          <w:highlight w:val="none"/>
        </w:rPr>
        <w:t xml:space="preserve"> </w:t>
      </w:r>
      <w:r>
        <w:rPr>
          <w:rFonts w:hint="eastAsia" w:ascii="宋体" w:hAnsi="宋体"/>
          <w:b/>
          <w:bCs/>
          <w:color w:val="auto"/>
          <w:kern w:val="0"/>
          <w:sz w:val="28"/>
          <w:szCs w:val="28"/>
          <w:highlight w:val="none"/>
        </w:rPr>
        <w:t xml:space="preserve"> </w:t>
      </w:r>
    </w:p>
    <w:p w14:paraId="0E973F77">
      <w:pPr>
        <w:autoSpaceDE w:val="0"/>
        <w:autoSpaceDN w:val="0"/>
        <w:snapToGrid w:val="0"/>
        <w:spacing w:before="31" w:beforeLines="10" w:line="400" w:lineRule="atLeast"/>
        <w:jc w:val="left"/>
        <w:textAlignment w:val="bottom"/>
        <w:rPr>
          <w:rFonts w:ascii="黑体" w:hAnsi="黑体" w:eastAsia="黑体" w:cs="黑体"/>
          <w:b/>
          <w:color w:val="auto"/>
          <w:sz w:val="36"/>
          <w:szCs w:val="36"/>
          <w:highlight w:val="none"/>
        </w:rPr>
      </w:pPr>
      <w:r>
        <w:rPr>
          <w:rFonts w:hint="eastAsia" w:ascii="仿宋" w:hAnsi="仿宋" w:eastAsia="仿宋"/>
          <w:b/>
          <w:bCs/>
          <w:color w:val="auto"/>
          <w:kern w:val="0"/>
          <w:sz w:val="30"/>
          <w:szCs w:val="30"/>
          <w:highlight w:val="none"/>
        </w:rPr>
        <w:t xml:space="preserve"> </w:t>
      </w:r>
      <w:r>
        <w:rPr>
          <w:rFonts w:hint="eastAsia" w:ascii="宋体" w:hAnsi="宋体"/>
          <w:b/>
          <w:bCs/>
          <w:color w:val="auto"/>
          <w:kern w:val="0"/>
          <w:sz w:val="28"/>
          <w:szCs w:val="28"/>
          <w:highlight w:val="none"/>
        </w:rPr>
        <w:t xml:space="preserve"> </w:t>
      </w:r>
      <w:bookmarkStart w:id="465" w:name="_Toc23859"/>
    </w:p>
    <w:bookmarkEnd w:id="465"/>
    <w:p w14:paraId="3A25F616">
      <w:pPr>
        <w:rPr>
          <w:rFonts w:hint="eastAsia" w:ascii="黑体" w:hAnsi="黑体" w:eastAsia="黑体" w:cs="黑体"/>
          <w:b/>
          <w:color w:val="auto"/>
          <w:sz w:val="36"/>
          <w:szCs w:val="36"/>
          <w:highlight w:val="none"/>
        </w:rPr>
      </w:pPr>
      <w:r>
        <w:rPr>
          <w:rFonts w:hint="eastAsia" w:ascii="黑体" w:hAnsi="黑体" w:eastAsia="黑体" w:cs="黑体"/>
          <w:b/>
          <w:color w:val="auto"/>
          <w:sz w:val="36"/>
          <w:szCs w:val="36"/>
          <w:highlight w:val="none"/>
        </w:rPr>
        <w:br w:type="page"/>
      </w:r>
    </w:p>
    <w:p w14:paraId="60172AA8">
      <w:pPr>
        <w:spacing w:line="360" w:lineRule="auto"/>
        <w:rPr>
          <w:rFonts w:hint="eastAsia" w:ascii="黑体" w:hAnsi="黑体" w:eastAsia="黑体" w:cs="黑体"/>
          <w:b/>
          <w:color w:val="auto"/>
          <w:sz w:val="36"/>
          <w:szCs w:val="36"/>
          <w:highlight w:val="none"/>
          <w:lang w:eastAsia="zh-CN"/>
        </w:rPr>
      </w:pPr>
      <w:r>
        <w:rPr>
          <w:sz w:val="24"/>
          <w:szCs w:val="24"/>
        </w:rPr>
        <w:t>二、第二阶段合同格式</w:t>
      </w:r>
    </w:p>
    <w:p w14:paraId="746E7A85">
      <w:pPr>
        <w:spacing w:line="360" w:lineRule="auto"/>
        <w:jc w:val="center"/>
        <w:rPr>
          <w:rFonts w:hint="eastAsia" w:ascii="黑体" w:hAnsi="黑体" w:eastAsia="黑体" w:cs="黑体"/>
          <w:b/>
          <w:color w:val="auto"/>
          <w:sz w:val="52"/>
          <w:szCs w:val="52"/>
          <w:highlight w:val="none"/>
          <w:lang w:eastAsia="zh-CN"/>
        </w:rPr>
      </w:pPr>
      <w:r>
        <w:rPr>
          <w:rFonts w:hint="eastAsia" w:ascii="黑体" w:hAnsi="黑体" w:eastAsia="黑体" w:cs="黑体"/>
          <w:b/>
          <w:color w:val="auto"/>
          <w:sz w:val="52"/>
          <w:szCs w:val="52"/>
          <w:highlight w:val="none"/>
          <w:lang w:eastAsia="zh-CN"/>
        </w:rPr>
        <w:t>义乌市2026-2027年度</w:t>
      </w:r>
    </w:p>
    <w:p w14:paraId="3A7BE0FD">
      <w:pPr>
        <w:spacing w:line="360" w:lineRule="auto"/>
        <w:jc w:val="center"/>
        <w:rPr>
          <w:rFonts w:hint="eastAsia" w:ascii="黑体" w:hAnsi="黑体" w:eastAsia="黑体" w:cs="黑体"/>
          <w:b/>
          <w:color w:val="auto"/>
          <w:sz w:val="52"/>
          <w:szCs w:val="52"/>
          <w:highlight w:val="none"/>
          <w:lang w:eastAsia="zh-CN"/>
        </w:rPr>
      </w:pPr>
      <w:r>
        <w:rPr>
          <w:rFonts w:hint="eastAsia" w:ascii="黑体" w:hAnsi="黑体" w:eastAsia="黑体" w:cs="黑体"/>
          <w:b/>
          <w:color w:val="auto"/>
          <w:sz w:val="52"/>
          <w:szCs w:val="52"/>
          <w:highlight w:val="none"/>
          <w:lang w:eastAsia="zh-CN"/>
        </w:rPr>
        <w:t>专项债券发行准备法律专业服务</w:t>
      </w:r>
    </w:p>
    <w:p w14:paraId="5BC1EA6F">
      <w:pPr>
        <w:spacing w:line="360" w:lineRule="auto"/>
        <w:jc w:val="center"/>
        <w:rPr>
          <w:rFonts w:ascii="黑体" w:hAnsi="黑体" w:eastAsia="黑体" w:cs="黑体"/>
          <w:b/>
          <w:color w:val="auto"/>
          <w:sz w:val="52"/>
          <w:szCs w:val="52"/>
          <w:highlight w:val="none"/>
        </w:rPr>
      </w:pPr>
      <w:r>
        <w:rPr>
          <w:rFonts w:hint="eastAsia" w:ascii="黑体" w:hAnsi="黑体" w:eastAsia="黑体" w:cs="黑体"/>
          <w:b/>
          <w:color w:val="auto"/>
          <w:sz w:val="52"/>
          <w:szCs w:val="52"/>
          <w:highlight w:val="none"/>
          <w:lang w:eastAsia="zh-CN"/>
        </w:rPr>
        <w:t>封闭式框架协议采购项目</w:t>
      </w:r>
    </w:p>
    <w:p w14:paraId="3B718825">
      <w:pPr>
        <w:spacing w:line="360" w:lineRule="auto"/>
        <w:jc w:val="center"/>
        <w:rPr>
          <w:rFonts w:ascii="黑体" w:hAnsi="黑体" w:eastAsia="黑体" w:cs="黑体"/>
          <w:b/>
          <w:color w:val="auto"/>
          <w:sz w:val="48"/>
          <w:szCs w:val="48"/>
          <w:highlight w:val="none"/>
        </w:rPr>
      </w:pPr>
    </w:p>
    <w:p w14:paraId="26234E8C">
      <w:pPr>
        <w:spacing w:line="360" w:lineRule="auto"/>
        <w:jc w:val="center"/>
        <w:rPr>
          <w:rFonts w:ascii="黑体" w:hAnsi="黑体" w:eastAsia="黑体" w:cs="黑体"/>
          <w:b/>
          <w:color w:val="auto"/>
          <w:sz w:val="48"/>
          <w:szCs w:val="48"/>
          <w:highlight w:val="none"/>
        </w:rPr>
      </w:pPr>
    </w:p>
    <w:p w14:paraId="34E36F71">
      <w:pPr>
        <w:spacing w:line="360" w:lineRule="auto"/>
        <w:jc w:val="center"/>
        <w:rPr>
          <w:rFonts w:ascii="黑体" w:hAnsi="黑体" w:eastAsia="黑体" w:cs="黑体"/>
          <w:b/>
          <w:color w:val="auto"/>
          <w:sz w:val="52"/>
          <w:szCs w:val="52"/>
          <w:highlight w:val="none"/>
        </w:rPr>
      </w:pPr>
      <w:bookmarkStart w:id="466" w:name="_Toc4760"/>
      <w:r>
        <w:rPr>
          <w:rFonts w:hint="eastAsia" w:ascii="黑体" w:hAnsi="黑体" w:eastAsia="黑体" w:cs="黑体"/>
          <w:b/>
          <w:color w:val="auto"/>
          <w:sz w:val="52"/>
          <w:szCs w:val="52"/>
          <w:highlight w:val="none"/>
        </w:rPr>
        <w:t>服 务 合 同</w:t>
      </w:r>
      <w:bookmarkEnd w:id="466"/>
    </w:p>
    <w:p w14:paraId="389814F5">
      <w:pPr>
        <w:pStyle w:val="35"/>
        <w:snapToGrid w:val="0"/>
        <w:spacing w:line="360" w:lineRule="auto"/>
        <w:ind w:firstLine="1890" w:firstLineChars="900"/>
        <w:rPr>
          <w:rFonts w:hAnsi="宋体"/>
          <w:color w:val="auto"/>
          <w:kern w:val="0"/>
          <w:highlight w:val="none"/>
        </w:rPr>
      </w:pPr>
    </w:p>
    <w:p w14:paraId="265AE946">
      <w:pPr>
        <w:pStyle w:val="35"/>
        <w:snapToGrid w:val="0"/>
        <w:spacing w:line="360" w:lineRule="auto"/>
        <w:ind w:firstLine="1890" w:firstLineChars="900"/>
        <w:rPr>
          <w:rFonts w:hAnsi="宋体"/>
          <w:color w:val="auto"/>
          <w:kern w:val="0"/>
          <w:highlight w:val="none"/>
        </w:rPr>
      </w:pPr>
    </w:p>
    <w:p w14:paraId="11FC369C">
      <w:pPr>
        <w:pStyle w:val="35"/>
        <w:snapToGrid w:val="0"/>
        <w:spacing w:line="360" w:lineRule="auto"/>
        <w:ind w:firstLine="1890" w:firstLineChars="900"/>
        <w:rPr>
          <w:color w:val="auto"/>
          <w:kern w:val="0"/>
          <w:highlight w:val="none"/>
          <w:u w:val="single"/>
        </w:rPr>
      </w:pPr>
      <w:r>
        <w:rPr>
          <w:rFonts w:hint="eastAsia" w:hAnsi="宋体"/>
          <w:color w:val="auto"/>
          <w:kern w:val="0"/>
          <w:highlight w:val="none"/>
        </w:rPr>
        <w:t xml:space="preserve"> </w:t>
      </w:r>
    </w:p>
    <w:p w14:paraId="1BE5C035">
      <w:pPr>
        <w:autoSpaceDE w:val="0"/>
        <w:autoSpaceDN w:val="0"/>
        <w:snapToGrid w:val="0"/>
        <w:spacing w:before="312" w:beforeLines="100"/>
        <w:textAlignment w:val="bottom"/>
        <w:rPr>
          <w:rFonts w:ascii="仿宋_GB2312" w:hAnsi="Arial" w:eastAsia="仿宋_GB2312"/>
          <w:color w:val="auto"/>
          <w:kern w:val="0"/>
          <w:sz w:val="28"/>
          <w:szCs w:val="28"/>
          <w:highlight w:val="none"/>
        </w:rPr>
      </w:pPr>
      <w:r>
        <w:rPr>
          <w:rFonts w:hint="eastAsia" w:ascii="仿宋_GB2312" w:hAnsi="Arial" w:eastAsia="仿宋_GB2312"/>
          <w:color w:val="auto"/>
          <w:kern w:val="0"/>
          <w:sz w:val="28"/>
          <w:szCs w:val="28"/>
          <w:highlight w:val="none"/>
        </w:rPr>
        <w:tab/>
      </w:r>
      <w:r>
        <w:rPr>
          <w:rFonts w:hint="eastAsia" w:ascii="仿宋_GB2312" w:hAnsi="Arial" w:eastAsia="仿宋_GB2312"/>
          <w:color w:val="auto"/>
          <w:kern w:val="0"/>
          <w:sz w:val="28"/>
          <w:szCs w:val="28"/>
          <w:highlight w:val="none"/>
        </w:rPr>
        <w:tab/>
      </w:r>
    </w:p>
    <w:p w14:paraId="6549DFCB">
      <w:pPr>
        <w:autoSpaceDE w:val="0"/>
        <w:autoSpaceDN w:val="0"/>
        <w:snapToGrid w:val="0"/>
        <w:spacing w:before="312" w:beforeLines="100"/>
        <w:textAlignment w:val="bottom"/>
        <w:rPr>
          <w:rFonts w:ascii="仿宋_GB2312" w:hAnsi="Arial" w:eastAsia="仿宋_GB2312"/>
          <w:color w:val="auto"/>
          <w:kern w:val="0"/>
          <w:sz w:val="28"/>
          <w:szCs w:val="28"/>
          <w:highlight w:val="none"/>
        </w:rPr>
      </w:pPr>
    </w:p>
    <w:p w14:paraId="74E86C46">
      <w:pPr>
        <w:autoSpaceDE w:val="0"/>
        <w:autoSpaceDN w:val="0"/>
        <w:snapToGrid w:val="0"/>
        <w:spacing w:before="312" w:beforeLines="100"/>
        <w:textAlignment w:val="bottom"/>
        <w:rPr>
          <w:rFonts w:ascii="仿宋_GB2312" w:hAnsi="Arial" w:eastAsia="仿宋_GB2312"/>
          <w:color w:val="auto"/>
          <w:kern w:val="0"/>
          <w:sz w:val="28"/>
          <w:szCs w:val="28"/>
          <w:highlight w:val="none"/>
        </w:rPr>
      </w:pPr>
    </w:p>
    <w:p w14:paraId="3CD0DA6F">
      <w:pPr>
        <w:autoSpaceDE w:val="0"/>
        <w:autoSpaceDN w:val="0"/>
        <w:snapToGrid w:val="0"/>
        <w:spacing w:before="312" w:beforeLines="100"/>
        <w:ind w:firstLine="1120" w:firstLineChars="400"/>
        <w:textAlignment w:val="bottom"/>
        <w:rPr>
          <w:rFonts w:asciiTheme="minorEastAsia" w:hAnsiTheme="minorEastAsia" w:eastAsiaTheme="minorEastAsia"/>
          <w:color w:val="auto"/>
          <w:kern w:val="0"/>
          <w:sz w:val="28"/>
          <w:szCs w:val="28"/>
          <w:highlight w:val="none"/>
        </w:rPr>
      </w:pPr>
      <w:r>
        <w:rPr>
          <w:rFonts w:hint="eastAsia" w:asciiTheme="minorEastAsia" w:hAnsiTheme="minorEastAsia" w:eastAsiaTheme="minorEastAsia"/>
          <w:color w:val="auto"/>
          <w:kern w:val="0"/>
          <w:sz w:val="28"/>
          <w:szCs w:val="28"/>
          <w:highlight w:val="none"/>
        </w:rPr>
        <w:t xml:space="preserve">甲方（采购方）： </w:t>
      </w:r>
    </w:p>
    <w:p w14:paraId="34EAF5F2">
      <w:pPr>
        <w:autoSpaceDE w:val="0"/>
        <w:autoSpaceDN w:val="0"/>
        <w:snapToGrid w:val="0"/>
        <w:spacing w:before="312" w:beforeLines="100"/>
        <w:ind w:firstLine="1120" w:firstLineChars="400"/>
        <w:textAlignment w:val="bottom"/>
        <w:rPr>
          <w:rFonts w:asciiTheme="minorEastAsia" w:hAnsiTheme="minorEastAsia" w:eastAsiaTheme="minorEastAsia"/>
          <w:color w:val="auto"/>
          <w:kern w:val="0"/>
          <w:sz w:val="28"/>
          <w:szCs w:val="28"/>
          <w:highlight w:val="none"/>
        </w:rPr>
      </w:pPr>
      <w:r>
        <w:rPr>
          <w:rFonts w:hint="eastAsia" w:asciiTheme="minorEastAsia" w:hAnsiTheme="minorEastAsia" w:eastAsiaTheme="minorEastAsia"/>
          <w:color w:val="auto"/>
          <w:kern w:val="0"/>
          <w:sz w:val="28"/>
          <w:szCs w:val="28"/>
          <w:highlight w:val="none"/>
        </w:rPr>
        <w:t>乙方（</w:t>
      </w:r>
      <w:r>
        <w:rPr>
          <w:rFonts w:hint="eastAsia" w:cs="微软雅黑" w:asciiTheme="minorEastAsia" w:hAnsiTheme="minorEastAsia" w:eastAsiaTheme="minorEastAsia"/>
          <w:color w:val="auto"/>
          <w:kern w:val="0"/>
          <w:sz w:val="28"/>
          <w:szCs w:val="28"/>
          <w:highlight w:val="none"/>
        </w:rPr>
        <w:t>服务</w:t>
      </w:r>
      <w:r>
        <w:rPr>
          <w:rFonts w:hint="eastAsia" w:asciiTheme="minorEastAsia" w:hAnsiTheme="minorEastAsia" w:eastAsiaTheme="minorEastAsia"/>
          <w:color w:val="auto"/>
          <w:kern w:val="0"/>
          <w:sz w:val="28"/>
          <w:szCs w:val="28"/>
          <w:highlight w:val="none"/>
        </w:rPr>
        <w:t xml:space="preserve">方）： </w:t>
      </w:r>
    </w:p>
    <w:p w14:paraId="5FFA48A3">
      <w:pPr>
        <w:autoSpaceDE w:val="0"/>
        <w:autoSpaceDN w:val="0"/>
        <w:snapToGrid w:val="0"/>
        <w:spacing w:before="312" w:beforeLines="100"/>
        <w:ind w:firstLine="1120" w:firstLineChars="400"/>
        <w:textAlignment w:val="bottom"/>
        <w:rPr>
          <w:rFonts w:asciiTheme="minorEastAsia" w:hAnsiTheme="minorEastAsia" w:eastAsiaTheme="minorEastAsia"/>
          <w:color w:val="auto"/>
          <w:kern w:val="0"/>
          <w:sz w:val="28"/>
          <w:szCs w:val="28"/>
          <w:highlight w:val="none"/>
        </w:rPr>
      </w:pPr>
      <w:r>
        <w:rPr>
          <w:rFonts w:hint="eastAsia" w:asciiTheme="minorEastAsia" w:hAnsiTheme="minorEastAsia" w:eastAsiaTheme="minorEastAsia"/>
          <w:color w:val="auto"/>
          <w:kern w:val="0"/>
          <w:sz w:val="28"/>
          <w:szCs w:val="28"/>
          <w:highlight w:val="none"/>
        </w:rPr>
        <w:t>签署地点：</w:t>
      </w:r>
    </w:p>
    <w:p w14:paraId="36FAD6B5">
      <w:pPr>
        <w:autoSpaceDE w:val="0"/>
        <w:autoSpaceDN w:val="0"/>
        <w:snapToGrid w:val="0"/>
        <w:spacing w:before="312" w:beforeLines="100"/>
        <w:ind w:right="206" w:rightChars="98"/>
        <w:textAlignment w:val="bottom"/>
        <w:rPr>
          <w:rFonts w:asciiTheme="minorEastAsia" w:hAnsiTheme="minorEastAsia" w:eastAsiaTheme="minorEastAsia"/>
          <w:color w:val="auto"/>
          <w:kern w:val="0"/>
          <w:sz w:val="28"/>
          <w:szCs w:val="28"/>
          <w:highlight w:val="none"/>
        </w:rPr>
      </w:pPr>
      <w:r>
        <w:rPr>
          <w:rFonts w:hint="eastAsia" w:asciiTheme="minorEastAsia" w:hAnsiTheme="minorEastAsia" w:eastAsiaTheme="minorEastAsia"/>
          <w:color w:val="auto"/>
          <w:kern w:val="0"/>
          <w:sz w:val="28"/>
          <w:szCs w:val="28"/>
          <w:highlight w:val="none"/>
        </w:rPr>
        <w:tab/>
      </w:r>
      <w:r>
        <w:rPr>
          <w:rFonts w:hint="eastAsia" w:asciiTheme="minorEastAsia" w:hAnsiTheme="minorEastAsia" w:eastAsiaTheme="minorEastAsia"/>
          <w:color w:val="auto"/>
          <w:kern w:val="0"/>
          <w:sz w:val="28"/>
          <w:szCs w:val="28"/>
          <w:highlight w:val="none"/>
        </w:rPr>
        <w:tab/>
      </w:r>
      <w:r>
        <w:rPr>
          <w:rFonts w:hint="eastAsia" w:asciiTheme="minorEastAsia" w:hAnsiTheme="minorEastAsia" w:eastAsiaTheme="minorEastAsia"/>
          <w:color w:val="auto"/>
          <w:kern w:val="0"/>
          <w:sz w:val="28"/>
          <w:szCs w:val="28"/>
          <w:highlight w:val="none"/>
        </w:rPr>
        <w:t xml:space="preserve">  签署日期：</w:t>
      </w:r>
    </w:p>
    <w:p w14:paraId="3DC15554">
      <w:pPr>
        <w:pStyle w:val="35"/>
        <w:snapToGrid w:val="0"/>
        <w:jc w:val="left"/>
        <w:rPr>
          <w:rFonts w:ascii="楷体_GB2312" w:eastAsia="楷体_GB2312"/>
          <w:color w:val="auto"/>
          <w:kern w:val="0"/>
          <w:sz w:val="32"/>
          <w:szCs w:val="32"/>
          <w:highlight w:val="none"/>
        </w:rPr>
      </w:pPr>
    </w:p>
    <w:p w14:paraId="3CAFC113">
      <w:pPr>
        <w:widowControl/>
        <w:spacing w:beforeAutospacing="1" w:afterAutospacing="1"/>
        <w:jc w:val="left"/>
        <w:rPr>
          <w:rFonts w:ascii="宋体" w:hAnsi="宋体"/>
          <w:color w:val="auto"/>
          <w:kern w:val="0"/>
          <w:sz w:val="24"/>
          <w:highlight w:val="none"/>
        </w:rPr>
        <w:sectPr>
          <w:footerReference r:id="rId10" w:type="default"/>
          <w:pgSz w:w="11906" w:h="16838"/>
          <w:pgMar w:top="1440" w:right="1576" w:bottom="1440" w:left="1576" w:header="720" w:footer="720" w:gutter="0"/>
          <w:pgNumType w:fmt="decimal"/>
          <w:cols w:space="720" w:num="1"/>
          <w:docGrid w:type="lines" w:linePitch="312" w:charSpace="0"/>
        </w:sectPr>
      </w:pPr>
    </w:p>
    <w:p w14:paraId="7A7D003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根据</w:t>
      </w:r>
      <w:r>
        <w:rPr>
          <w:rFonts w:hint="eastAsia" w:ascii="宋体" w:hAnsi="宋体" w:cs="宋体"/>
          <w:color w:val="auto"/>
          <w:sz w:val="24"/>
          <w:highlight w:val="none"/>
          <w:lang w:eastAsia="zh-CN"/>
        </w:rPr>
        <w:t>义乌市财政局</w:t>
      </w:r>
      <w:r>
        <w:rPr>
          <w:rFonts w:hint="eastAsia" w:ascii="宋体" w:hAnsi="宋体" w:cs="宋体"/>
          <w:color w:val="auto"/>
          <w:sz w:val="24"/>
          <w:highlight w:val="none"/>
        </w:rPr>
        <w:t>与于_____年_____月_____日签订的</w:t>
      </w:r>
      <w:r>
        <w:rPr>
          <w:rFonts w:hint="eastAsia" w:ascii="宋体" w:hAnsi="宋体" w:cs="宋体"/>
          <w:color w:val="auto"/>
          <w:sz w:val="24"/>
          <w:highlight w:val="none"/>
          <w:lang w:eastAsia="zh-CN"/>
        </w:rPr>
        <w:t>义乌市2026-2027年度专项债券发行准备法律专业服务封闭式框架协议采购项目</w:t>
      </w:r>
      <w:r>
        <w:rPr>
          <w:rFonts w:hint="eastAsia" w:ascii="宋体" w:hAnsi="宋体" w:cs="宋体"/>
          <w:color w:val="auto"/>
          <w:sz w:val="24"/>
          <w:highlight w:val="none"/>
        </w:rPr>
        <w:t>（项目编号：</w:t>
      </w:r>
      <w:r>
        <w:rPr>
          <w:rFonts w:hint="default" w:ascii="宋体" w:hAnsi="宋体" w:eastAsia="宋体" w:cs="宋体"/>
          <w:bCs/>
          <w:color w:val="auto"/>
          <w:sz w:val="24"/>
          <w:highlight w:val="none"/>
          <w:lang w:val="en-US" w:eastAsia="zh-CN"/>
        </w:rPr>
        <w:t>YWCZZW2026002</w:t>
      </w:r>
      <w:r>
        <w:rPr>
          <w:rFonts w:hint="eastAsia" w:ascii="宋体" w:hAnsi="宋体" w:cs="宋体"/>
          <w:color w:val="auto"/>
          <w:sz w:val="24"/>
          <w:highlight w:val="none"/>
        </w:rPr>
        <w:t>）要求，并依照《中华人民共和国民法典》等有关法律、行政法规的规定，在平等、公平、诚实和信用的原则下，经乙方</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与甲方</w:t>
      </w:r>
      <w:r>
        <w:rPr>
          <w:rFonts w:hint="eastAsia" w:ascii="宋体" w:hAnsi="宋体" w:cs="宋体"/>
          <w:color w:val="auto"/>
          <w:sz w:val="24"/>
          <w:highlight w:val="none"/>
          <w:u w:val="none"/>
          <w:lang w:val="en-US" w:eastAsia="zh-CN"/>
        </w:rPr>
        <w:t>义乌市</w:t>
      </w:r>
      <w:r>
        <w:rPr>
          <w:rFonts w:hint="eastAsia" w:ascii="宋体" w:hAnsi="宋体" w:cs="宋体"/>
          <w:color w:val="auto"/>
          <w:sz w:val="24"/>
          <w:highlight w:val="none"/>
        </w:rPr>
        <w:t>财政</w:t>
      </w:r>
      <w:r>
        <w:rPr>
          <w:rFonts w:hint="eastAsia" w:ascii="宋体" w:hAnsi="宋体" w:cs="宋体"/>
          <w:color w:val="auto"/>
          <w:sz w:val="24"/>
          <w:highlight w:val="none"/>
          <w:lang w:eastAsia="zh-CN"/>
        </w:rPr>
        <w:t>局</w:t>
      </w:r>
      <w:r>
        <w:rPr>
          <w:rFonts w:hint="eastAsia" w:ascii="宋体" w:hAnsi="宋体" w:cs="宋体"/>
          <w:color w:val="auto"/>
          <w:sz w:val="24"/>
          <w:highlight w:val="none"/>
        </w:rPr>
        <w:t>协商一致，签订以下条款并遵照执行。</w:t>
      </w:r>
    </w:p>
    <w:p w14:paraId="5B1BFC97">
      <w:pPr>
        <w:snapToGrid w:val="0"/>
        <w:spacing w:line="360" w:lineRule="exact"/>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一、</w:t>
      </w:r>
      <w:r>
        <w:rPr>
          <w:rStyle w:val="987"/>
          <w:rFonts w:hint="eastAsia" w:ascii="宋体" w:hAnsi="宋体"/>
          <w:b/>
          <w:color w:val="auto"/>
          <w:kern w:val="0"/>
          <w:sz w:val="24"/>
          <w:highlight w:val="none"/>
        </w:rPr>
        <w:t>服务</w:t>
      </w:r>
      <w:r>
        <w:rPr>
          <w:rStyle w:val="987"/>
          <w:rFonts w:hint="eastAsia" w:hAnsi="宋体"/>
          <w:b/>
          <w:color w:val="auto"/>
          <w:kern w:val="0"/>
          <w:sz w:val="24"/>
          <w:highlight w:val="none"/>
        </w:rPr>
        <w:t>清单</w:t>
      </w:r>
      <w:r>
        <w:rPr>
          <w:rStyle w:val="987"/>
          <w:rFonts w:hint="eastAsia" w:ascii="宋体" w:hAnsi="宋体"/>
          <w:b/>
          <w:color w:val="auto"/>
          <w:sz w:val="24"/>
          <w:highlight w:val="none"/>
        </w:rPr>
        <w:t>及</w:t>
      </w:r>
      <w:r>
        <w:rPr>
          <w:rStyle w:val="987"/>
          <w:rFonts w:hint="eastAsia" w:hAnsi="宋体"/>
          <w:b/>
          <w:color w:val="auto"/>
          <w:sz w:val="24"/>
          <w:highlight w:val="none"/>
        </w:rPr>
        <w:t>单价</w:t>
      </w:r>
    </w:p>
    <w:tbl>
      <w:tblPr>
        <w:tblStyle w:val="65"/>
        <w:tblW w:w="8637" w:type="dxa"/>
        <w:jc w:val="center"/>
        <w:tblLayout w:type="fixed"/>
        <w:tblCellMar>
          <w:top w:w="0" w:type="dxa"/>
          <w:left w:w="0" w:type="dxa"/>
          <w:bottom w:w="0" w:type="dxa"/>
          <w:right w:w="0" w:type="dxa"/>
        </w:tblCellMar>
      </w:tblPr>
      <w:tblGrid>
        <w:gridCol w:w="884"/>
        <w:gridCol w:w="6140"/>
        <w:gridCol w:w="1613"/>
      </w:tblGrid>
      <w:tr w14:paraId="368F1D9B">
        <w:tblPrEx>
          <w:tblCellMar>
            <w:top w:w="0" w:type="dxa"/>
            <w:left w:w="0" w:type="dxa"/>
            <w:bottom w:w="0" w:type="dxa"/>
            <w:right w:w="0" w:type="dxa"/>
          </w:tblCellMar>
        </w:tblPrEx>
        <w:trPr>
          <w:trHeight w:val="375" w:hRule="atLeast"/>
          <w:jc w:val="center"/>
        </w:trPr>
        <w:tc>
          <w:tcPr>
            <w:tcW w:w="884" w:type="dxa"/>
            <w:tcBorders>
              <w:top w:val="single" w:color="000000" w:sz="4" w:space="0"/>
              <w:left w:val="single" w:color="000000" w:sz="4" w:space="0"/>
              <w:bottom w:val="single" w:color="000000" w:sz="4" w:space="0"/>
              <w:right w:val="single" w:color="000000" w:sz="4" w:space="0"/>
              <w:tl2br w:val="nil"/>
              <w:tr2bl w:val="nil"/>
            </w:tcBorders>
            <w:tcMar>
              <w:top w:w="12" w:type="dxa"/>
              <w:left w:w="12" w:type="dxa"/>
              <w:right w:w="12" w:type="dxa"/>
            </w:tcMar>
            <w:vAlign w:val="center"/>
          </w:tcPr>
          <w:p w14:paraId="556AB200">
            <w:pPr>
              <w:widowControl/>
              <w:snapToGrid w:val="0"/>
              <w:spacing w:line="360" w:lineRule="exact"/>
              <w:jc w:val="center"/>
              <w:rPr>
                <w:rFonts w:ascii="宋体" w:hAnsi="宋体" w:cs="宋体"/>
                <w:color w:val="auto"/>
                <w:sz w:val="24"/>
                <w:highlight w:val="none"/>
              </w:rPr>
            </w:pPr>
            <w:r>
              <w:rPr>
                <w:rFonts w:hint="eastAsia" w:ascii="宋体" w:hAnsi="宋体" w:cs="宋体"/>
                <w:color w:val="auto"/>
                <w:sz w:val="24"/>
                <w:highlight w:val="none"/>
              </w:rPr>
              <w:t>序号</w:t>
            </w:r>
          </w:p>
        </w:tc>
        <w:tc>
          <w:tcPr>
            <w:tcW w:w="6140" w:type="dxa"/>
            <w:tcBorders>
              <w:top w:val="single" w:color="000000" w:sz="4" w:space="0"/>
              <w:left w:val="single" w:color="000000" w:sz="4" w:space="0"/>
              <w:bottom w:val="single" w:color="000000" w:sz="4" w:space="0"/>
              <w:right w:val="single" w:color="000000" w:sz="4" w:space="0"/>
              <w:tl2br w:val="nil"/>
              <w:tr2bl w:val="nil"/>
            </w:tcBorders>
            <w:tcMar>
              <w:top w:w="12" w:type="dxa"/>
              <w:left w:w="12" w:type="dxa"/>
              <w:right w:w="12" w:type="dxa"/>
            </w:tcMar>
            <w:vAlign w:val="center"/>
          </w:tcPr>
          <w:p w14:paraId="03938196">
            <w:pPr>
              <w:widowControl/>
              <w:snapToGrid w:val="0"/>
              <w:spacing w:line="360" w:lineRule="exact"/>
              <w:jc w:val="center"/>
              <w:rPr>
                <w:rFonts w:ascii="宋体" w:hAnsi="宋体" w:cs="宋体"/>
                <w:color w:val="auto"/>
                <w:sz w:val="24"/>
                <w:highlight w:val="none"/>
              </w:rPr>
            </w:pPr>
            <w:r>
              <w:rPr>
                <w:rFonts w:hint="eastAsia" w:ascii="宋体" w:hAnsi="宋体" w:cs="宋体"/>
                <w:color w:val="auto"/>
                <w:sz w:val="24"/>
                <w:highlight w:val="none"/>
              </w:rPr>
              <w:t>项目类型</w:t>
            </w:r>
          </w:p>
        </w:tc>
        <w:tc>
          <w:tcPr>
            <w:tcW w:w="1613" w:type="dxa"/>
            <w:tcBorders>
              <w:top w:val="single" w:color="000000" w:sz="4" w:space="0"/>
              <w:left w:val="single" w:color="000000" w:sz="4" w:space="0"/>
              <w:bottom w:val="single" w:color="000000" w:sz="4" w:space="0"/>
              <w:right w:val="single" w:color="000000" w:sz="4" w:space="0"/>
              <w:tl2br w:val="nil"/>
              <w:tr2bl w:val="nil"/>
            </w:tcBorders>
            <w:tcMar>
              <w:top w:w="12" w:type="dxa"/>
              <w:left w:w="12" w:type="dxa"/>
              <w:right w:w="12" w:type="dxa"/>
            </w:tcMar>
            <w:vAlign w:val="center"/>
          </w:tcPr>
          <w:p w14:paraId="57EBC4D9">
            <w:pPr>
              <w:widowControl/>
              <w:snapToGrid w:val="0"/>
              <w:spacing w:line="360" w:lineRule="exact"/>
              <w:jc w:val="center"/>
              <w:rPr>
                <w:rFonts w:ascii="宋体" w:hAnsi="宋体" w:cs="宋体"/>
                <w:color w:val="auto"/>
                <w:sz w:val="24"/>
                <w:highlight w:val="none"/>
              </w:rPr>
            </w:pPr>
            <w:r>
              <w:rPr>
                <w:rStyle w:val="987"/>
                <w:rFonts w:hint="eastAsia" w:ascii="宋体" w:hAnsi="宋体"/>
                <w:bCs/>
                <w:color w:val="auto"/>
                <w:sz w:val="24"/>
                <w:highlight w:val="none"/>
              </w:rPr>
              <w:t>协议</w:t>
            </w:r>
            <w:r>
              <w:rPr>
                <w:rStyle w:val="987"/>
                <w:rFonts w:hint="eastAsia" w:hAnsi="宋体"/>
                <w:bCs/>
                <w:color w:val="auto"/>
                <w:sz w:val="24"/>
                <w:highlight w:val="none"/>
              </w:rPr>
              <w:t>单价</w:t>
            </w:r>
          </w:p>
        </w:tc>
      </w:tr>
      <w:tr w14:paraId="222003E9">
        <w:tblPrEx>
          <w:tblCellMar>
            <w:top w:w="0" w:type="dxa"/>
            <w:left w:w="0" w:type="dxa"/>
            <w:bottom w:w="0" w:type="dxa"/>
            <w:right w:w="0" w:type="dxa"/>
          </w:tblCellMar>
        </w:tblPrEx>
        <w:trPr>
          <w:trHeight w:val="1103" w:hRule="exact"/>
          <w:jc w:val="center"/>
        </w:trPr>
        <w:tc>
          <w:tcPr>
            <w:tcW w:w="884" w:type="dxa"/>
            <w:tcBorders>
              <w:top w:val="single" w:color="000000" w:sz="4" w:space="0"/>
              <w:left w:val="single" w:color="000000" w:sz="4" w:space="0"/>
              <w:bottom w:val="single" w:color="000000" w:sz="4" w:space="0"/>
              <w:right w:val="single" w:color="000000" w:sz="4" w:space="0"/>
              <w:tl2br w:val="nil"/>
              <w:tr2bl w:val="nil"/>
            </w:tcBorders>
            <w:tcMar>
              <w:top w:w="12" w:type="dxa"/>
              <w:left w:w="12" w:type="dxa"/>
              <w:right w:w="12" w:type="dxa"/>
            </w:tcMar>
            <w:vAlign w:val="center"/>
          </w:tcPr>
          <w:p w14:paraId="5644BC90">
            <w:pPr>
              <w:adjustRightInd/>
              <w:snapToGrid w:val="0"/>
              <w:spacing w:line="360" w:lineRule="exact"/>
              <w:jc w:val="center"/>
              <w:rPr>
                <w:rFonts w:ascii="宋体" w:hAnsi="宋体" w:cs="宋体"/>
                <w:color w:val="auto"/>
                <w:sz w:val="24"/>
                <w:highlight w:val="none"/>
              </w:rPr>
            </w:pPr>
            <w:r>
              <w:rPr>
                <w:rFonts w:hint="eastAsia" w:ascii="宋体" w:hAnsi="宋体" w:cs="宋体"/>
                <w:color w:val="auto"/>
                <w:sz w:val="24"/>
                <w:highlight w:val="none"/>
              </w:rPr>
              <w:t>一</w:t>
            </w:r>
          </w:p>
        </w:tc>
        <w:tc>
          <w:tcPr>
            <w:tcW w:w="6140" w:type="dxa"/>
            <w:tcBorders>
              <w:top w:val="single" w:color="000000" w:sz="4" w:space="0"/>
              <w:left w:val="single" w:color="000000" w:sz="4" w:space="0"/>
              <w:bottom w:val="single" w:color="000000" w:sz="4" w:space="0"/>
              <w:right w:val="single" w:color="000000" w:sz="4" w:space="0"/>
              <w:tl2br w:val="nil"/>
              <w:tr2bl w:val="nil"/>
            </w:tcBorders>
            <w:tcMar>
              <w:top w:w="12" w:type="dxa"/>
              <w:left w:w="12" w:type="dxa"/>
              <w:right w:w="12" w:type="dxa"/>
            </w:tcMar>
            <w:vAlign w:val="center"/>
          </w:tcPr>
          <w:p w14:paraId="561502CE">
            <w:pPr>
              <w:adjustRightInd/>
              <w:snapToGrid w:val="0"/>
              <w:spacing w:line="360" w:lineRule="exact"/>
              <w:rPr>
                <w:rFonts w:ascii="宋体" w:hAnsi="宋体" w:cs="宋体"/>
                <w:color w:val="auto"/>
                <w:sz w:val="24"/>
                <w:highlight w:val="none"/>
              </w:rPr>
            </w:pPr>
            <w:r>
              <w:rPr>
                <w:rFonts w:cs="宋体" w:asciiTheme="minorEastAsia" w:hAnsiTheme="minorEastAsia" w:eastAsiaTheme="minorEastAsia"/>
                <w:color w:val="auto"/>
                <w:sz w:val="24"/>
                <w:highlight w:val="none"/>
              </w:rPr>
              <w:t>出具加盖第三方中介机构公章的法律意见书</w:t>
            </w:r>
            <w:r>
              <w:rPr>
                <w:rFonts w:hint="eastAsia" w:cs="宋体" w:asciiTheme="minorEastAsia" w:hAnsiTheme="minorEastAsia" w:eastAsiaTheme="minorEastAsia"/>
                <w:color w:val="auto"/>
                <w:sz w:val="24"/>
                <w:highlight w:val="none"/>
                <w:lang w:eastAsia="zh-CN"/>
              </w:rPr>
              <w:t>（正式稿）</w:t>
            </w:r>
            <w:r>
              <w:rPr>
                <w:rFonts w:cs="宋体" w:asciiTheme="minorEastAsia" w:hAnsiTheme="minorEastAsia" w:eastAsiaTheme="minorEastAsia"/>
                <w:color w:val="auto"/>
                <w:sz w:val="24"/>
                <w:highlight w:val="none"/>
              </w:rPr>
              <w:t>并</w:t>
            </w:r>
            <w:r>
              <w:rPr>
                <w:rFonts w:hint="eastAsia" w:cs="宋体" w:asciiTheme="minorEastAsia" w:hAnsiTheme="minorEastAsia" w:eastAsiaTheme="minorEastAsia"/>
                <w:color w:val="auto"/>
                <w:sz w:val="24"/>
                <w:highlight w:val="none"/>
              </w:rPr>
              <w:t>首次</w:t>
            </w:r>
            <w:r>
              <w:rPr>
                <w:rFonts w:cs="宋体" w:asciiTheme="minorEastAsia" w:hAnsiTheme="minorEastAsia" w:eastAsiaTheme="minorEastAsia"/>
                <w:color w:val="auto"/>
                <w:sz w:val="24"/>
                <w:highlight w:val="none"/>
              </w:rPr>
              <w:t>成功发行</w:t>
            </w:r>
            <w:r>
              <w:rPr>
                <w:rFonts w:hint="eastAsia" w:cs="宋体" w:asciiTheme="minorEastAsia" w:hAnsiTheme="minorEastAsia" w:eastAsiaTheme="minorEastAsia"/>
                <w:color w:val="auto"/>
                <w:sz w:val="24"/>
                <w:highlight w:val="none"/>
              </w:rPr>
              <w:t>专项债的项目</w:t>
            </w:r>
          </w:p>
        </w:tc>
        <w:tc>
          <w:tcPr>
            <w:tcW w:w="1613" w:type="dxa"/>
            <w:tcBorders>
              <w:top w:val="single" w:color="000000" w:sz="4" w:space="0"/>
              <w:left w:val="single" w:color="000000" w:sz="4" w:space="0"/>
              <w:bottom w:val="single" w:color="000000" w:sz="4" w:space="0"/>
              <w:right w:val="single" w:color="000000" w:sz="4" w:space="0"/>
              <w:tl2br w:val="nil"/>
              <w:tr2bl w:val="nil"/>
            </w:tcBorders>
            <w:tcMar>
              <w:top w:w="12" w:type="dxa"/>
              <w:left w:w="12" w:type="dxa"/>
              <w:right w:w="12" w:type="dxa"/>
            </w:tcMar>
            <w:vAlign w:val="center"/>
          </w:tcPr>
          <w:p w14:paraId="10A5FF24">
            <w:pPr>
              <w:adjustRightInd/>
              <w:snapToGrid w:val="0"/>
              <w:spacing w:line="360" w:lineRule="exact"/>
              <w:jc w:val="center"/>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万元/个</w:t>
            </w:r>
          </w:p>
        </w:tc>
      </w:tr>
    </w:tbl>
    <w:p w14:paraId="3E47BD32">
      <w:pPr>
        <w:spacing w:line="400" w:lineRule="exact"/>
        <w:ind w:firstLine="480" w:firstLineChars="200"/>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1.对已</w:t>
      </w:r>
      <w:r>
        <w:rPr>
          <w:rFonts w:hint="eastAsia" w:ascii="宋体" w:hAnsi="宋体" w:cs="宋体"/>
          <w:color w:val="auto"/>
          <w:kern w:val="0"/>
          <w:sz w:val="24"/>
          <w:highlight w:val="none"/>
        </w:rPr>
        <w:t>出具加盖第三方中介机构公章的</w:t>
      </w:r>
      <w:r>
        <w:rPr>
          <w:rFonts w:ascii="宋体" w:hAnsi="宋体" w:cs="宋体"/>
          <w:color w:val="auto"/>
          <w:sz w:val="24"/>
          <w:highlight w:val="none"/>
        </w:rPr>
        <w:t>法律意见书</w:t>
      </w:r>
      <w:r>
        <w:rPr>
          <w:rFonts w:hint="eastAsia" w:ascii="宋体" w:hAnsi="宋体" w:cs="宋体"/>
          <w:color w:val="auto"/>
          <w:kern w:val="0"/>
          <w:sz w:val="24"/>
          <w:highlight w:val="none"/>
        </w:rPr>
        <w:t>（正式稿）并成功继续发行专项债的项目</w:t>
      </w:r>
      <w:r>
        <w:rPr>
          <w:rFonts w:hint="eastAsia" w:ascii="宋体" w:hAnsi="宋体" w:cs="宋体"/>
          <w:color w:val="auto"/>
          <w:kern w:val="0"/>
          <w:sz w:val="24"/>
          <w:highlight w:val="none"/>
          <w:lang w:eastAsia="zh-CN"/>
        </w:rPr>
        <w:t>，按成功新发项目中标价的</w:t>
      </w:r>
      <w:r>
        <w:rPr>
          <w:rFonts w:hint="eastAsia" w:ascii="宋体" w:hAnsi="宋体" w:cs="宋体"/>
          <w:color w:val="auto"/>
          <w:kern w:val="0"/>
          <w:sz w:val="24"/>
          <w:highlight w:val="none"/>
          <w:lang w:val="en-US" w:eastAsia="zh-CN"/>
        </w:rPr>
        <w:t>50%计算收费。</w:t>
      </w:r>
    </w:p>
    <w:p w14:paraId="4E1FED13">
      <w:pPr>
        <w:spacing w:line="400" w:lineRule="exact"/>
        <w:ind w:firstLine="480" w:firstLineChars="200"/>
        <w:rPr>
          <w:rFonts w:ascii="宋体" w:hAnsi="宋体" w:cs="宋体"/>
          <w:color w:val="auto"/>
          <w:kern w:val="0"/>
          <w:sz w:val="24"/>
          <w:highlight w:val="none"/>
        </w:rPr>
      </w:pPr>
      <w:r>
        <w:rPr>
          <w:rFonts w:hint="eastAsia" w:cs="宋体"/>
          <w:color w:val="auto"/>
          <w:kern w:val="0"/>
          <w:sz w:val="24"/>
          <w:highlight w:val="none"/>
          <w:lang w:val="en-US" w:eastAsia="zh-CN"/>
        </w:rPr>
        <w:t>2.对已</w:t>
      </w:r>
      <w:r>
        <w:rPr>
          <w:rFonts w:hint="eastAsia" w:ascii="宋体" w:hAnsi="宋体" w:cs="宋体"/>
          <w:color w:val="auto"/>
          <w:sz w:val="24"/>
          <w:highlight w:val="none"/>
        </w:rPr>
        <w:t>出具加盖第三方中介机构公章的</w:t>
      </w:r>
      <w:r>
        <w:rPr>
          <w:rFonts w:ascii="宋体" w:hAnsi="宋体" w:cs="宋体"/>
          <w:color w:val="auto"/>
          <w:sz w:val="24"/>
          <w:highlight w:val="none"/>
        </w:rPr>
        <w:t>法律意见书</w:t>
      </w:r>
      <w:r>
        <w:rPr>
          <w:rFonts w:hint="eastAsia" w:ascii="宋体" w:hAnsi="宋体" w:cs="宋体"/>
          <w:color w:val="auto"/>
          <w:sz w:val="24"/>
          <w:highlight w:val="none"/>
        </w:rPr>
        <w:t>（正式稿）</w:t>
      </w:r>
      <w:r>
        <w:rPr>
          <w:rFonts w:hint="eastAsia" w:ascii="宋体" w:hAnsi="宋体" w:cs="宋体"/>
          <w:color w:val="auto"/>
          <w:sz w:val="24"/>
          <w:highlight w:val="none"/>
          <w:lang w:eastAsia="zh-CN"/>
        </w:rPr>
        <w:t>但未成功</w:t>
      </w:r>
      <w:r>
        <w:rPr>
          <w:rFonts w:hint="eastAsia" w:ascii="宋体" w:hAnsi="宋体" w:cs="宋体"/>
          <w:color w:val="auto"/>
          <w:sz w:val="24"/>
          <w:highlight w:val="none"/>
        </w:rPr>
        <w:t>发行专项债的</w:t>
      </w:r>
      <w:r>
        <w:rPr>
          <w:rFonts w:hint="eastAsia" w:ascii="宋体" w:hAnsi="宋体" w:cs="宋体"/>
          <w:color w:val="auto"/>
          <w:sz w:val="24"/>
          <w:highlight w:val="none"/>
          <w:lang w:eastAsia="zh-CN"/>
        </w:rPr>
        <w:t>新发</w:t>
      </w:r>
      <w:r>
        <w:rPr>
          <w:rFonts w:hint="eastAsia" w:ascii="宋体" w:hAnsi="宋体" w:cs="宋体"/>
          <w:color w:val="auto"/>
          <w:sz w:val="24"/>
          <w:highlight w:val="none"/>
        </w:rPr>
        <w:t>项目</w:t>
      </w:r>
      <w:r>
        <w:rPr>
          <w:rFonts w:hint="eastAsia" w:ascii="宋体" w:hAnsi="宋体" w:cs="宋体"/>
          <w:color w:val="auto"/>
          <w:sz w:val="24"/>
          <w:highlight w:val="none"/>
          <w:lang w:eastAsia="zh-CN"/>
        </w:rPr>
        <w:t>，</w:t>
      </w:r>
      <w:r>
        <w:rPr>
          <w:rFonts w:hint="eastAsia" w:ascii="宋体" w:hAnsi="宋体" w:cs="宋体"/>
          <w:color w:val="auto"/>
          <w:kern w:val="0"/>
          <w:sz w:val="24"/>
          <w:highlight w:val="none"/>
          <w:lang w:eastAsia="zh-CN"/>
        </w:rPr>
        <w:t>按成功新发项目中标价的</w:t>
      </w:r>
      <w:r>
        <w:rPr>
          <w:rFonts w:hint="eastAsia" w:ascii="宋体" w:hAnsi="宋体" w:cs="宋体"/>
          <w:color w:val="auto"/>
          <w:kern w:val="0"/>
          <w:sz w:val="24"/>
          <w:highlight w:val="none"/>
          <w:lang w:val="en-US" w:eastAsia="zh-CN"/>
        </w:rPr>
        <w:t>50%计算收费。</w:t>
      </w:r>
      <w:r>
        <w:rPr>
          <w:rFonts w:ascii="宋体" w:hAnsi="宋体" w:cs="宋体"/>
          <w:color w:val="auto"/>
          <w:kern w:val="0"/>
          <w:sz w:val="24"/>
          <w:highlight w:val="none"/>
        </w:rPr>
        <w:t>若后续项目发行成功，同一服务商</w:t>
      </w:r>
      <w:r>
        <w:rPr>
          <w:rFonts w:hint="eastAsia" w:ascii="宋体" w:hAnsi="宋体" w:cs="宋体"/>
          <w:color w:val="auto"/>
          <w:kern w:val="0"/>
          <w:sz w:val="24"/>
          <w:highlight w:val="none"/>
        </w:rPr>
        <w:t>收取</w:t>
      </w:r>
      <w:r>
        <w:rPr>
          <w:rFonts w:ascii="宋体" w:hAnsi="宋体" w:cs="宋体"/>
          <w:color w:val="auto"/>
          <w:kern w:val="0"/>
          <w:sz w:val="24"/>
          <w:highlight w:val="none"/>
        </w:rPr>
        <w:t>中标价</w:t>
      </w:r>
      <w:r>
        <w:rPr>
          <w:rFonts w:hint="eastAsia" w:ascii="宋体" w:hAnsi="宋体" w:cs="宋体"/>
          <w:color w:val="auto"/>
          <w:kern w:val="0"/>
          <w:sz w:val="24"/>
          <w:highlight w:val="none"/>
        </w:rPr>
        <w:t>扣除前期收费后的剩余费用</w:t>
      </w:r>
      <w:r>
        <w:rPr>
          <w:rFonts w:ascii="宋体" w:hAnsi="宋体" w:cs="宋体"/>
          <w:color w:val="auto"/>
          <w:kern w:val="0"/>
          <w:sz w:val="24"/>
          <w:highlight w:val="none"/>
        </w:rPr>
        <w:t>。</w:t>
      </w:r>
    </w:p>
    <w:p w14:paraId="1DA1EE24">
      <w:pPr>
        <w:spacing w:line="4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3.对已</w:t>
      </w:r>
      <w:r>
        <w:rPr>
          <w:rFonts w:hint="eastAsia" w:ascii="宋体" w:hAnsi="宋体" w:cs="宋体"/>
          <w:color w:val="auto"/>
          <w:sz w:val="24"/>
          <w:highlight w:val="none"/>
        </w:rPr>
        <w:t>出具加盖第三方中介机构公章的</w:t>
      </w:r>
      <w:r>
        <w:rPr>
          <w:rFonts w:ascii="宋体" w:hAnsi="宋体" w:cs="宋体"/>
          <w:color w:val="auto"/>
          <w:sz w:val="24"/>
          <w:highlight w:val="none"/>
        </w:rPr>
        <w:t>法律意见书</w:t>
      </w:r>
      <w:r>
        <w:rPr>
          <w:rFonts w:hint="eastAsia" w:ascii="宋体" w:hAnsi="宋体" w:cs="宋体"/>
          <w:color w:val="auto"/>
          <w:sz w:val="24"/>
          <w:highlight w:val="none"/>
        </w:rPr>
        <w:t>（正式稿）</w:t>
      </w:r>
      <w:r>
        <w:rPr>
          <w:rFonts w:hint="eastAsia" w:ascii="宋体" w:hAnsi="宋体" w:cs="宋体"/>
          <w:color w:val="auto"/>
          <w:sz w:val="24"/>
          <w:highlight w:val="none"/>
          <w:lang w:eastAsia="zh-CN"/>
        </w:rPr>
        <w:t>但未成功</w:t>
      </w:r>
      <w:r>
        <w:rPr>
          <w:rFonts w:hint="eastAsia" w:ascii="宋体" w:hAnsi="宋体" w:cs="宋体"/>
          <w:color w:val="auto"/>
          <w:sz w:val="24"/>
          <w:highlight w:val="none"/>
        </w:rPr>
        <w:t>发行专项债的</w:t>
      </w:r>
      <w:r>
        <w:rPr>
          <w:rFonts w:hint="eastAsia" w:ascii="宋体" w:hAnsi="宋体" w:cs="宋体"/>
          <w:color w:val="auto"/>
          <w:sz w:val="24"/>
          <w:highlight w:val="none"/>
          <w:lang w:eastAsia="zh-CN"/>
        </w:rPr>
        <w:t>续发</w:t>
      </w:r>
      <w:r>
        <w:rPr>
          <w:rFonts w:hint="eastAsia" w:ascii="宋体" w:hAnsi="宋体" w:cs="宋体"/>
          <w:color w:val="auto"/>
          <w:sz w:val="24"/>
          <w:highlight w:val="none"/>
        </w:rPr>
        <w:t>项目</w:t>
      </w:r>
      <w:r>
        <w:rPr>
          <w:rFonts w:hint="eastAsia" w:ascii="宋体" w:hAnsi="宋体" w:cs="宋体"/>
          <w:color w:val="auto"/>
          <w:sz w:val="24"/>
          <w:highlight w:val="none"/>
          <w:lang w:eastAsia="zh-CN"/>
        </w:rPr>
        <w:t>，</w:t>
      </w:r>
      <w:r>
        <w:rPr>
          <w:rFonts w:hint="eastAsia" w:ascii="宋体" w:hAnsi="宋体" w:cs="宋体"/>
          <w:color w:val="auto"/>
          <w:kern w:val="0"/>
          <w:sz w:val="24"/>
          <w:highlight w:val="none"/>
          <w:lang w:eastAsia="zh-CN"/>
        </w:rPr>
        <w:t>按成功新发项目中标价的</w:t>
      </w:r>
      <w:r>
        <w:rPr>
          <w:rFonts w:hint="eastAsia" w:ascii="宋体" w:hAnsi="宋体" w:cs="宋体"/>
          <w:color w:val="auto"/>
          <w:kern w:val="0"/>
          <w:sz w:val="24"/>
          <w:highlight w:val="none"/>
          <w:lang w:val="en-US" w:eastAsia="zh-CN"/>
        </w:rPr>
        <w:t>25%计算收费。</w:t>
      </w:r>
      <w:r>
        <w:rPr>
          <w:rFonts w:ascii="宋体" w:hAnsi="宋体" w:cs="宋体"/>
          <w:color w:val="auto"/>
          <w:kern w:val="0"/>
          <w:sz w:val="24"/>
          <w:highlight w:val="none"/>
        </w:rPr>
        <w:t>若后续项目发行成功，同一服务商</w:t>
      </w:r>
      <w:r>
        <w:rPr>
          <w:rFonts w:hint="eastAsia" w:ascii="宋体" w:hAnsi="宋体" w:cs="宋体"/>
          <w:color w:val="auto"/>
          <w:kern w:val="0"/>
          <w:sz w:val="24"/>
          <w:highlight w:val="none"/>
        </w:rPr>
        <w:t>收取</w:t>
      </w:r>
      <w:r>
        <w:rPr>
          <w:rFonts w:hint="eastAsia" w:ascii="宋体" w:hAnsi="宋体" w:cs="宋体"/>
          <w:color w:val="auto"/>
          <w:kern w:val="0"/>
          <w:sz w:val="24"/>
          <w:highlight w:val="none"/>
          <w:lang w:eastAsia="zh-CN"/>
        </w:rPr>
        <w:t>成功续发</w:t>
      </w:r>
      <w:r>
        <w:rPr>
          <w:rFonts w:ascii="宋体" w:hAnsi="宋体" w:cs="宋体"/>
          <w:color w:val="auto"/>
          <w:kern w:val="0"/>
          <w:sz w:val="24"/>
          <w:highlight w:val="none"/>
        </w:rPr>
        <w:t>中标价</w:t>
      </w:r>
      <w:r>
        <w:rPr>
          <w:rFonts w:hint="eastAsia" w:ascii="宋体" w:hAnsi="宋体" w:cs="宋体"/>
          <w:color w:val="auto"/>
          <w:kern w:val="0"/>
          <w:sz w:val="24"/>
          <w:highlight w:val="none"/>
        </w:rPr>
        <w:t>扣除前期收费后的剩余费用</w:t>
      </w:r>
      <w:r>
        <w:rPr>
          <w:rFonts w:ascii="宋体" w:hAnsi="宋体" w:cs="宋体"/>
          <w:color w:val="auto"/>
          <w:kern w:val="0"/>
          <w:sz w:val="24"/>
          <w:highlight w:val="none"/>
        </w:rPr>
        <w:t>。</w:t>
      </w:r>
    </w:p>
    <w:p w14:paraId="1347AC1B">
      <w:pPr>
        <w:spacing w:line="400" w:lineRule="exact"/>
        <w:ind w:firstLine="480" w:firstLineChars="200"/>
        <w:rPr>
          <w:rFonts w:ascii="宋体" w:hAnsi="宋体" w:cs="宋体"/>
          <w:color w:val="auto"/>
          <w:kern w:val="0"/>
          <w:sz w:val="24"/>
          <w:highlight w:val="yellow"/>
        </w:rPr>
      </w:pPr>
      <w:r>
        <w:rPr>
          <w:rFonts w:hint="eastAsia" w:ascii="宋体" w:hAnsi="宋体" w:eastAsia="宋体" w:cs="宋体"/>
          <w:color w:val="auto"/>
          <w:kern w:val="0"/>
          <w:sz w:val="24"/>
          <w:highlight w:val="none"/>
          <w:lang w:val="en-US" w:eastAsia="zh-CN"/>
        </w:rPr>
        <w:t>4.对</w:t>
      </w:r>
      <w:r>
        <w:rPr>
          <w:rFonts w:hint="eastAsia" w:ascii="宋体" w:hAnsi="宋体" w:cs="宋体"/>
          <w:color w:val="auto"/>
          <w:sz w:val="24"/>
          <w:highlight w:val="none"/>
        </w:rPr>
        <w:t>出具加盖第三方中介机构公章的</w:t>
      </w:r>
      <w:r>
        <w:rPr>
          <w:rFonts w:ascii="宋体" w:hAnsi="宋体" w:cs="宋体"/>
          <w:color w:val="auto"/>
          <w:sz w:val="24"/>
          <w:highlight w:val="none"/>
        </w:rPr>
        <w:t>法律意见书</w:t>
      </w:r>
      <w:r>
        <w:rPr>
          <w:rFonts w:hint="eastAsia" w:ascii="宋体" w:hAnsi="宋体" w:cs="宋体"/>
          <w:color w:val="auto"/>
          <w:sz w:val="24"/>
          <w:highlight w:val="none"/>
        </w:rPr>
        <w:t>（正式稿）</w:t>
      </w:r>
      <w:r>
        <w:rPr>
          <w:rFonts w:hint="eastAsia" w:ascii="宋体" w:hAnsi="宋体" w:cs="宋体"/>
          <w:color w:val="auto"/>
          <w:sz w:val="24"/>
          <w:highlight w:val="none"/>
          <w:lang w:eastAsia="zh-CN"/>
        </w:rPr>
        <w:t>仅用于储备申报</w:t>
      </w:r>
      <w:r>
        <w:rPr>
          <w:rFonts w:hint="eastAsia" w:ascii="宋体" w:hAnsi="宋体" w:cs="宋体"/>
          <w:color w:val="auto"/>
          <w:sz w:val="24"/>
          <w:highlight w:val="none"/>
        </w:rPr>
        <w:t>的</w:t>
      </w:r>
      <w:r>
        <w:rPr>
          <w:rFonts w:hint="eastAsia" w:ascii="宋体" w:hAnsi="宋体" w:cs="宋体"/>
          <w:color w:val="auto"/>
          <w:sz w:val="24"/>
          <w:highlight w:val="none"/>
          <w:lang w:eastAsia="zh-CN"/>
        </w:rPr>
        <w:t>新发</w:t>
      </w:r>
      <w:r>
        <w:rPr>
          <w:rFonts w:hint="eastAsia" w:ascii="宋体" w:hAnsi="宋体" w:cs="宋体"/>
          <w:color w:val="auto"/>
          <w:sz w:val="24"/>
          <w:highlight w:val="none"/>
        </w:rPr>
        <w:t>项目</w:t>
      </w:r>
      <w:r>
        <w:rPr>
          <w:rFonts w:hint="eastAsia" w:ascii="宋体" w:hAnsi="宋体" w:eastAsia="宋体" w:cs="宋体"/>
          <w:color w:val="auto"/>
          <w:kern w:val="0"/>
          <w:sz w:val="24"/>
          <w:highlight w:val="none"/>
          <w:lang w:val="en-US" w:eastAsia="zh-CN"/>
        </w:rPr>
        <w:t>，</w:t>
      </w:r>
      <w:r>
        <w:rPr>
          <w:rFonts w:hint="eastAsia" w:ascii="宋体" w:hAnsi="宋体" w:cs="宋体"/>
          <w:color w:val="auto"/>
          <w:kern w:val="0"/>
          <w:sz w:val="24"/>
          <w:highlight w:val="none"/>
          <w:lang w:eastAsia="zh-CN"/>
        </w:rPr>
        <w:t>按成功新发项目中标价的</w:t>
      </w:r>
      <w:r>
        <w:rPr>
          <w:rFonts w:hint="eastAsia" w:ascii="宋体" w:hAnsi="宋体" w:cs="宋体"/>
          <w:color w:val="auto"/>
          <w:kern w:val="0"/>
          <w:sz w:val="24"/>
          <w:highlight w:val="none"/>
          <w:lang w:val="en-US" w:eastAsia="zh-CN"/>
        </w:rPr>
        <w:t>25%计算收费</w:t>
      </w:r>
      <w:r>
        <w:rPr>
          <w:rFonts w:hint="eastAsia" w:ascii="宋体" w:hAnsi="宋体" w:eastAsia="宋体" w:cs="宋体"/>
          <w:color w:val="auto"/>
          <w:kern w:val="0"/>
          <w:sz w:val="24"/>
          <w:highlight w:val="none"/>
          <w:lang w:val="en-US" w:eastAsia="zh-CN"/>
        </w:rPr>
        <w:t>，</w:t>
      </w:r>
      <w:r>
        <w:rPr>
          <w:rFonts w:ascii="宋体" w:hAnsi="宋体" w:cs="宋体"/>
          <w:color w:val="auto"/>
          <w:kern w:val="0"/>
          <w:sz w:val="24"/>
          <w:highlight w:val="none"/>
        </w:rPr>
        <w:t>若后续项目发行成功，同一服务商</w:t>
      </w:r>
      <w:r>
        <w:rPr>
          <w:rFonts w:hint="eastAsia" w:ascii="宋体" w:hAnsi="宋体" w:cs="宋体"/>
          <w:color w:val="auto"/>
          <w:kern w:val="0"/>
          <w:sz w:val="24"/>
          <w:highlight w:val="none"/>
        </w:rPr>
        <w:t>收取</w:t>
      </w:r>
      <w:r>
        <w:rPr>
          <w:rFonts w:ascii="宋体" w:hAnsi="宋体" w:cs="宋体"/>
          <w:color w:val="auto"/>
          <w:kern w:val="0"/>
          <w:sz w:val="24"/>
          <w:highlight w:val="none"/>
        </w:rPr>
        <w:t>中标价</w:t>
      </w:r>
      <w:r>
        <w:rPr>
          <w:rFonts w:hint="eastAsia" w:ascii="宋体" w:hAnsi="宋体" w:cs="宋体"/>
          <w:color w:val="auto"/>
          <w:kern w:val="0"/>
          <w:sz w:val="24"/>
          <w:highlight w:val="none"/>
        </w:rPr>
        <w:t>扣除前期收费后的剩余费用</w:t>
      </w:r>
      <w:r>
        <w:rPr>
          <w:rFonts w:ascii="宋体" w:hAnsi="宋体" w:cs="宋体"/>
          <w:color w:val="auto"/>
          <w:kern w:val="0"/>
          <w:sz w:val="24"/>
          <w:highlight w:val="none"/>
        </w:rPr>
        <w:t>。</w:t>
      </w:r>
    </w:p>
    <w:p w14:paraId="39B04B3F">
      <w:pPr>
        <w:pStyle w:val="878"/>
        <w:spacing w:line="400" w:lineRule="exact"/>
        <w:ind w:firstLine="480" w:firstLineChars="200"/>
        <w:rPr>
          <w:rStyle w:val="987"/>
          <w:rFonts w:ascii="宋体" w:hAnsi="宋体" w:eastAsia="宋体"/>
          <w:color w:val="auto"/>
          <w:sz w:val="24"/>
          <w:szCs w:val="24"/>
          <w:highlight w:val="none"/>
        </w:rPr>
      </w:pPr>
      <w:r>
        <w:rPr>
          <w:rStyle w:val="987"/>
          <w:rFonts w:hint="eastAsia" w:ascii="宋体" w:hAnsi="宋体"/>
          <w:color w:val="auto"/>
          <w:sz w:val="24"/>
          <w:szCs w:val="24"/>
          <w:highlight w:val="none"/>
          <w:lang w:val="en-US" w:eastAsia="zh-CN"/>
        </w:rPr>
        <w:t>5</w:t>
      </w:r>
      <w:r>
        <w:rPr>
          <w:rStyle w:val="987"/>
          <w:rFonts w:hint="eastAsia" w:ascii="宋体" w:hAnsi="宋体"/>
          <w:color w:val="auto"/>
          <w:sz w:val="24"/>
          <w:szCs w:val="24"/>
          <w:highlight w:val="none"/>
        </w:rPr>
        <w:t>.</w:t>
      </w:r>
      <w:r>
        <w:rPr>
          <w:rStyle w:val="987"/>
          <w:rFonts w:hint="eastAsia" w:ascii="宋体" w:hAnsi="宋体" w:eastAsia="宋体"/>
          <w:color w:val="auto"/>
          <w:sz w:val="24"/>
          <w:szCs w:val="24"/>
          <w:highlight w:val="none"/>
        </w:rPr>
        <w:t>以上入围单价包含所需的一切费用。</w:t>
      </w:r>
    </w:p>
    <w:p w14:paraId="1EBD9E91">
      <w:pPr>
        <w:spacing w:line="4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.服务数量：服务期内，具体服务量在实际需要量为准。甲方不保证最低供应数量或金额。</w:t>
      </w:r>
    </w:p>
    <w:p w14:paraId="2877ABCC">
      <w:pPr>
        <w:pStyle w:val="35"/>
        <w:spacing w:line="360" w:lineRule="exact"/>
        <w:ind w:firstLine="482" w:firstLineChars="200"/>
        <w:rPr>
          <w:rStyle w:val="987"/>
          <w:rFonts w:cs="宋体" w:asciiTheme="minorEastAsia" w:hAnsiTheme="minorEastAsia" w:eastAsiaTheme="minorEastAsia"/>
          <w:b/>
          <w:bCs w:val="0"/>
          <w:color w:val="auto"/>
          <w:kern w:val="0"/>
          <w:sz w:val="24"/>
          <w:szCs w:val="24"/>
          <w:highlight w:val="none"/>
        </w:rPr>
      </w:pPr>
      <w:r>
        <w:rPr>
          <w:rStyle w:val="987"/>
          <w:rFonts w:hint="eastAsia" w:cs="宋体" w:asciiTheme="minorEastAsia" w:hAnsiTheme="minorEastAsia" w:eastAsiaTheme="minorEastAsia"/>
          <w:b/>
          <w:bCs w:val="0"/>
          <w:color w:val="auto"/>
          <w:kern w:val="0"/>
          <w:sz w:val="24"/>
          <w:szCs w:val="24"/>
          <w:highlight w:val="none"/>
        </w:rPr>
        <w:t>二、服务内容及要求：</w:t>
      </w:r>
    </w:p>
    <w:p w14:paraId="4DDB3D94">
      <w:pPr>
        <w:spacing w:line="360" w:lineRule="exact"/>
        <w:ind w:firstLine="482"/>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（一）服务内容</w:t>
      </w:r>
    </w:p>
    <w:p w14:paraId="74E93811">
      <w:pPr>
        <w:spacing w:line="400" w:lineRule="exact"/>
        <w:ind w:firstLine="482"/>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在债券需求申报阶段，律师事务所需审查专项债券项目有关主体适格、基本信息、资金来源、资金投向、收费内容、收费政策依据等所涉法律事项的合法合规情况。</w:t>
      </w:r>
    </w:p>
    <w:p w14:paraId="2AE43A6F">
      <w:pPr>
        <w:spacing w:line="400" w:lineRule="exact"/>
        <w:ind w:firstLine="482"/>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在债券发行准备阶段，律师事务所需协助</w:t>
      </w:r>
      <w:r>
        <w:rPr>
          <w:rFonts w:hint="eastAsia" w:ascii="宋体" w:hAnsi="宋体" w:cs="宋体"/>
          <w:color w:val="auto"/>
          <w:sz w:val="24"/>
          <w:highlight w:val="none"/>
          <w:lang w:eastAsia="zh-CN"/>
        </w:rPr>
        <w:t>征集人</w:t>
      </w:r>
      <w:r>
        <w:rPr>
          <w:rFonts w:hint="eastAsia" w:ascii="宋体" w:hAnsi="宋体" w:cs="宋体"/>
          <w:color w:val="auto"/>
          <w:sz w:val="24"/>
          <w:highlight w:val="none"/>
        </w:rPr>
        <w:t>进行专项债券发行申请，对申请政府专项债券的项目提供独立、专业的法律服务，并在财政部门要求的时间内</w:t>
      </w:r>
      <w:r>
        <w:rPr>
          <w:rFonts w:hint="eastAsia" w:ascii="宋体" w:hAnsi="宋体" w:cs="宋体"/>
          <w:color w:val="auto"/>
          <w:sz w:val="24"/>
          <w:highlight w:val="none"/>
          <w:lang w:eastAsia="zh-CN"/>
        </w:rPr>
        <w:t>（必要时</w:t>
      </w:r>
      <w:r>
        <w:rPr>
          <w:rFonts w:hint="eastAsia" w:ascii="宋体" w:hAnsi="宋体" w:cs="宋体"/>
          <w:color w:val="auto"/>
          <w:sz w:val="24"/>
          <w:highlight w:val="none"/>
          <w:lang w:val="en-US" w:eastAsia="zh-CN"/>
        </w:rPr>
        <w:t>8小时内</w:t>
      </w:r>
      <w:r>
        <w:rPr>
          <w:rFonts w:hint="eastAsia" w:ascii="宋体" w:hAnsi="宋体" w:cs="宋体"/>
          <w:color w:val="auto"/>
          <w:sz w:val="24"/>
          <w:highlight w:val="none"/>
          <w:lang w:eastAsia="zh-CN"/>
        </w:rPr>
        <w:t>）</w:t>
      </w:r>
      <w:r>
        <w:rPr>
          <w:rFonts w:hint="eastAsia" w:ascii="宋体" w:hAnsi="宋体" w:cs="宋体"/>
          <w:color w:val="auto"/>
          <w:sz w:val="24"/>
          <w:highlight w:val="none"/>
        </w:rPr>
        <w:t>具加盖公章的《法律意见书》正式稿。</w:t>
      </w:r>
    </w:p>
    <w:p w14:paraId="5CFAFBF8">
      <w:pPr>
        <w:spacing w:line="400" w:lineRule="exact"/>
        <w:ind w:firstLine="482"/>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w:t>
      </w:r>
      <w:r>
        <w:rPr>
          <w:rFonts w:hint="eastAsia" w:ascii="宋体" w:hAnsi="宋体" w:cs="宋体"/>
          <w:color w:val="auto"/>
          <w:sz w:val="24"/>
          <w:highlight w:val="none"/>
        </w:rPr>
        <w:t>律师事务所需与财政部门招选的会计师事务所密切合作、相互配合，协助对方及时出具债券发行所需文本材料。</w:t>
      </w:r>
    </w:p>
    <w:p w14:paraId="122D8272">
      <w:pPr>
        <w:spacing w:line="400" w:lineRule="exact"/>
        <w:ind w:firstLine="482"/>
        <w:rPr>
          <w:rFonts w:hint="eastAsia" w:ascii="宋体" w:hAnsi="宋体" w:cs="宋体"/>
          <w:color w:val="auto"/>
          <w:sz w:val="24"/>
          <w:highlight w:val="none"/>
        </w:rPr>
      </w:pPr>
      <w:r>
        <w:rPr>
          <w:rFonts w:hint="eastAsia" w:ascii="宋体" w:hAnsi="宋体" w:cs="宋体"/>
          <w:color w:val="auto"/>
          <w:sz w:val="24"/>
          <w:highlight w:val="none"/>
          <w:lang w:val="en-US" w:eastAsia="zh-CN"/>
        </w:rPr>
        <w:t>（4）6小时内到达</w:t>
      </w:r>
      <w:r>
        <w:rPr>
          <w:rFonts w:hint="eastAsia" w:ascii="宋体" w:hAnsi="宋体" w:cs="宋体"/>
          <w:color w:val="auto"/>
          <w:sz w:val="24"/>
          <w:highlight w:val="none"/>
        </w:rPr>
        <w:t>现场参与财政部门组织的专项债券项目联审工作。</w:t>
      </w:r>
    </w:p>
    <w:p w14:paraId="21B199AA">
      <w:pPr>
        <w:spacing w:line="400" w:lineRule="exact"/>
        <w:ind w:firstLine="482"/>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w:t>
      </w:r>
      <w:r>
        <w:rPr>
          <w:rFonts w:hint="eastAsia" w:ascii="宋体" w:hAnsi="宋体" w:cs="宋体"/>
          <w:color w:val="auto"/>
          <w:sz w:val="24"/>
          <w:highlight w:val="none"/>
        </w:rPr>
        <w:t>财政部门要求的其他专项债券发行前期准备工作。</w:t>
      </w:r>
    </w:p>
    <w:p w14:paraId="68F3E2CA">
      <w:pPr>
        <w:spacing w:line="400" w:lineRule="exact"/>
        <w:ind w:firstLine="482"/>
        <w:rPr>
          <w:rFonts w:hint="eastAsia" w:ascii="宋体" w:hAnsi="宋体" w:eastAsia="宋体" w:cs="宋体"/>
          <w:b/>
          <w:bCs/>
          <w:color w:val="auto"/>
          <w:kern w:val="2"/>
          <w:sz w:val="24"/>
          <w:szCs w:val="24"/>
          <w:highlight w:val="none"/>
          <w:lang w:val="en-US" w:eastAsia="zh-CN" w:bidi="ar-SA"/>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拟派本项目技术团队</w:t>
      </w:r>
      <w:r>
        <w:rPr>
          <w:rFonts w:hint="eastAsia" w:ascii="宋体" w:hAnsi="宋体" w:cs="宋体"/>
          <w:color w:val="auto"/>
          <w:sz w:val="24"/>
          <w:highlight w:val="none"/>
          <w:lang w:eastAsia="zh-CN"/>
        </w:rPr>
        <w:t>中，</w:t>
      </w:r>
      <w:r>
        <w:rPr>
          <w:rFonts w:ascii="宋体" w:hAnsi="宋体"/>
          <w:color w:val="auto"/>
          <w:sz w:val="24"/>
          <w:highlight w:val="none"/>
        </w:rPr>
        <w:t>具有</w:t>
      </w:r>
      <w:r>
        <w:rPr>
          <w:rFonts w:hint="eastAsia" w:ascii="宋体" w:hAnsi="宋体"/>
          <w:color w:val="auto"/>
          <w:sz w:val="24"/>
          <w:highlight w:val="none"/>
        </w:rPr>
        <w:t>三级律师</w:t>
      </w:r>
      <w:r>
        <w:rPr>
          <w:rFonts w:hint="eastAsia" w:ascii="宋体" w:hAnsi="宋体"/>
          <w:color w:val="auto"/>
          <w:sz w:val="24"/>
          <w:highlight w:val="none"/>
          <w:lang w:eastAsia="zh-CN"/>
        </w:rPr>
        <w:t>及</w:t>
      </w:r>
      <w:r>
        <w:rPr>
          <w:rFonts w:hint="eastAsia" w:ascii="宋体" w:hAnsi="宋体"/>
          <w:color w:val="auto"/>
          <w:sz w:val="24"/>
          <w:highlight w:val="none"/>
        </w:rPr>
        <w:t>以上法律中</w:t>
      </w:r>
      <w:r>
        <w:rPr>
          <w:rFonts w:ascii="宋体" w:hAnsi="宋体"/>
          <w:color w:val="auto"/>
          <w:sz w:val="24"/>
          <w:highlight w:val="none"/>
        </w:rPr>
        <w:t>高级职称的</w:t>
      </w:r>
      <w:r>
        <w:rPr>
          <w:rFonts w:hint="eastAsia" w:ascii="宋体" w:hAnsi="宋体" w:cs="宋体"/>
          <w:color w:val="auto"/>
          <w:sz w:val="24"/>
          <w:highlight w:val="none"/>
        </w:rPr>
        <w:t>人数</w:t>
      </w:r>
      <w:r>
        <w:rPr>
          <w:rFonts w:hint="eastAsia" w:ascii="宋体" w:hAnsi="宋体" w:cs="宋体"/>
          <w:color w:val="auto"/>
          <w:sz w:val="24"/>
          <w:highlight w:val="none"/>
          <w:lang w:eastAsia="zh-CN"/>
        </w:rPr>
        <w:t>应在</w:t>
      </w:r>
      <w:r>
        <w:rPr>
          <w:rFonts w:hint="eastAsia" w:ascii="宋体" w:hAnsi="宋体" w:cs="宋体"/>
          <w:color w:val="auto"/>
          <w:sz w:val="24"/>
          <w:highlight w:val="none"/>
          <w:lang w:val="en-US" w:eastAsia="zh-CN"/>
        </w:rPr>
        <w:t>2人或2人以上。</w:t>
      </w:r>
      <w:r>
        <w:rPr>
          <w:rFonts w:hint="eastAsia" w:ascii="宋体" w:hAnsi="宋体" w:eastAsia="宋体" w:cs="宋体"/>
          <w:b/>
          <w:bCs/>
          <w:color w:val="auto"/>
          <w:sz w:val="24"/>
          <w:szCs w:val="24"/>
          <w:highlight w:val="none"/>
          <w:lang w:eastAsia="zh-CN"/>
        </w:rPr>
        <w:t>（备注：以上所有人员</w:t>
      </w:r>
      <w:r>
        <w:rPr>
          <w:rFonts w:hint="eastAsia" w:ascii="宋体" w:hAnsi="宋体" w:eastAsia="宋体" w:cs="宋体"/>
          <w:b/>
          <w:bCs/>
          <w:color w:val="auto"/>
          <w:kern w:val="2"/>
          <w:sz w:val="24"/>
          <w:szCs w:val="24"/>
          <w:highlight w:val="none"/>
          <w:lang w:val="en-US" w:eastAsia="zh-CN" w:bidi="ar-SA"/>
        </w:rPr>
        <w:t>在投标（响应）文件中需提供在投标单位缴纳的自2025年9月1日以来任意一个月的社保缴费清单，如投标单位新成立不足一个月的，按实际缴纳情况提供人员在该单位的社保缴费清单，社保缴费清单需加盖缴费当地社保机构公章或业务章，如有证书的还需提供相关证书扫描件并加盖公章）</w:t>
      </w:r>
    </w:p>
    <w:p w14:paraId="2CA180B7">
      <w:pPr>
        <w:spacing w:line="400" w:lineRule="exact"/>
        <w:ind w:firstLine="482"/>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eastAsia="zh-CN"/>
        </w:rPr>
        <w:t>供应商承诺服务期间廉洁执业，遵守工作纪律和职业道德规范，无违法违纪违规行为。</w:t>
      </w:r>
    </w:p>
    <w:p w14:paraId="14AB5C68">
      <w:pPr>
        <w:spacing w:line="360" w:lineRule="exact"/>
        <w:ind w:firstLine="482"/>
        <w:rPr>
          <w:rFonts w:hint="eastAsia" w:ascii="宋体" w:hAnsi="宋体" w:eastAsia="宋体" w:cs="宋体"/>
          <w:color w:val="auto"/>
          <w:sz w:val="24"/>
          <w:highlight w:val="yellow"/>
          <w:lang w:eastAsia="zh-CN"/>
        </w:rPr>
      </w:pPr>
      <w:r>
        <w:rPr>
          <w:rFonts w:hint="eastAsia" w:ascii="宋体" w:hAnsi="宋体" w:eastAsia="宋体" w:cs="宋体"/>
          <w:color w:val="auto"/>
          <w:sz w:val="24"/>
          <w:highlight w:val="none"/>
          <w:lang w:val="en-US" w:eastAsia="zh-CN"/>
        </w:rPr>
        <w:t>（8）供应商承诺委派的工作人员应履行保密义务，对执业过程中所获得的相关信息予以保密，不得私自对外泄露，且与其他中介机构密切配合，共同推进债券发行工作，不得推诿、敷衍、拖延</w:t>
      </w:r>
      <w:r>
        <w:rPr>
          <w:rFonts w:hint="eastAsia" w:ascii="宋体" w:hAnsi="宋体" w:eastAsia="宋体" w:cs="宋体"/>
          <w:color w:val="auto"/>
          <w:sz w:val="24"/>
          <w:highlight w:val="none"/>
          <w:lang w:eastAsia="zh-CN"/>
        </w:rPr>
        <w:t>。</w:t>
      </w:r>
    </w:p>
    <w:p w14:paraId="17E78F83">
      <w:pPr>
        <w:spacing w:line="360" w:lineRule="exact"/>
        <w:ind w:firstLine="482"/>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（二）服务要求</w:t>
      </w:r>
    </w:p>
    <w:p w14:paraId="71B83354">
      <w:pPr>
        <w:spacing w:line="360" w:lineRule="exact"/>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专项债券发行必须符合相关法律、行政法规和规范性文件的要求。</w:t>
      </w:r>
      <w:r>
        <w:rPr>
          <w:rFonts w:hint="eastAsia" w:cs="宋体" w:asciiTheme="minorEastAsia" w:hAnsiTheme="minorEastAsia" w:eastAsiaTheme="minorEastAsia"/>
          <w:color w:val="auto"/>
          <w:sz w:val="24"/>
          <w:highlight w:val="none"/>
          <w:lang w:eastAsia="zh-CN"/>
        </w:rPr>
        <w:t>供应商</w:t>
      </w:r>
      <w:r>
        <w:rPr>
          <w:rFonts w:hint="eastAsia" w:cs="宋体" w:asciiTheme="minorEastAsia" w:hAnsiTheme="minorEastAsia" w:eastAsiaTheme="minorEastAsia"/>
          <w:color w:val="auto"/>
          <w:sz w:val="24"/>
          <w:highlight w:val="none"/>
        </w:rPr>
        <w:t>在中标后应在人员安排上及时给予保障，负责人与项目组主要成员必须是本单位人员，且投标文件中已确定的人员名单，在服务期内原则上不得更换，如有调整需征得</w:t>
      </w:r>
      <w:r>
        <w:rPr>
          <w:rFonts w:hint="eastAsia" w:cs="宋体" w:asciiTheme="minorEastAsia" w:hAnsiTheme="minorEastAsia" w:eastAsiaTheme="minorEastAsia"/>
          <w:color w:val="auto"/>
          <w:sz w:val="24"/>
          <w:highlight w:val="none"/>
          <w:lang w:eastAsia="zh-CN"/>
        </w:rPr>
        <w:t>征集人</w:t>
      </w:r>
      <w:r>
        <w:rPr>
          <w:rFonts w:hint="eastAsia" w:cs="宋体" w:asciiTheme="minorEastAsia" w:hAnsiTheme="minorEastAsia" w:eastAsiaTheme="minorEastAsia"/>
          <w:color w:val="auto"/>
          <w:sz w:val="24"/>
          <w:highlight w:val="none"/>
        </w:rPr>
        <w:t>的同意。在接到</w:t>
      </w:r>
      <w:r>
        <w:rPr>
          <w:rFonts w:hint="eastAsia" w:cs="宋体" w:asciiTheme="minorEastAsia" w:hAnsiTheme="minorEastAsia" w:eastAsiaTheme="minorEastAsia"/>
          <w:color w:val="auto"/>
          <w:sz w:val="24"/>
          <w:highlight w:val="none"/>
          <w:lang w:eastAsia="zh-CN"/>
        </w:rPr>
        <w:t>征集人</w:t>
      </w:r>
      <w:r>
        <w:rPr>
          <w:rFonts w:hint="eastAsia" w:cs="宋体" w:asciiTheme="minorEastAsia" w:hAnsiTheme="minorEastAsia" w:eastAsiaTheme="minorEastAsia"/>
          <w:color w:val="auto"/>
          <w:sz w:val="24"/>
          <w:highlight w:val="none"/>
        </w:rPr>
        <w:t>委托任务后应及时开展工作并出具各种专业报告。专业报告包括纸质和电子版两种形式，数量根据</w:t>
      </w:r>
      <w:r>
        <w:rPr>
          <w:rFonts w:hint="eastAsia" w:cs="宋体" w:asciiTheme="minorEastAsia" w:hAnsiTheme="minorEastAsia" w:eastAsiaTheme="minorEastAsia"/>
          <w:color w:val="auto"/>
          <w:sz w:val="24"/>
          <w:highlight w:val="none"/>
          <w:lang w:eastAsia="zh-CN"/>
        </w:rPr>
        <w:t>征集人</w:t>
      </w:r>
      <w:r>
        <w:rPr>
          <w:rFonts w:hint="eastAsia" w:cs="宋体" w:asciiTheme="minorEastAsia" w:hAnsiTheme="minorEastAsia" w:eastAsiaTheme="minorEastAsia"/>
          <w:color w:val="auto"/>
          <w:sz w:val="24"/>
          <w:highlight w:val="none"/>
        </w:rPr>
        <w:t>在发债过程中的实际需要而定。</w:t>
      </w:r>
    </w:p>
    <w:p w14:paraId="637C7FCB">
      <w:pPr>
        <w:pStyle w:val="35"/>
        <w:snapToGrid w:val="0"/>
        <w:spacing w:line="360" w:lineRule="exact"/>
        <w:ind w:firstLine="482" w:firstLineChars="200"/>
        <w:jc w:val="left"/>
        <w:rPr>
          <w:rFonts w:hAnsi="宋体" w:cs="宋体"/>
          <w:color w:val="auto"/>
          <w:sz w:val="24"/>
          <w:highlight w:val="none"/>
        </w:rPr>
      </w:pPr>
      <w:r>
        <w:rPr>
          <w:rStyle w:val="987"/>
          <w:rFonts w:hint="eastAsia" w:cs="宋体" w:asciiTheme="minorEastAsia" w:hAnsiTheme="minorEastAsia" w:eastAsiaTheme="minorEastAsia"/>
          <w:b/>
          <w:bCs w:val="0"/>
          <w:color w:val="auto"/>
          <w:kern w:val="0"/>
          <w:sz w:val="24"/>
          <w:szCs w:val="24"/>
          <w:highlight w:val="none"/>
        </w:rPr>
        <w:t>三、服务期限</w:t>
      </w:r>
      <w:r>
        <w:rPr>
          <w:rStyle w:val="987"/>
          <w:rFonts w:hint="eastAsia" w:cs="宋体" w:asciiTheme="minorEastAsia" w:hAnsiTheme="minorEastAsia" w:eastAsiaTheme="minorEastAsia"/>
          <w:bCs/>
          <w:color w:val="auto"/>
          <w:kern w:val="0"/>
          <w:sz w:val="24"/>
          <w:szCs w:val="24"/>
          <w:highlight w:val="none"/>
        </w:rPr>
        <w:t>：</w:t>
      </w:r>
      <w:r>
        <w:rPr>
          <w:rStyle w:val="987"/>
          <w:rFonts w:hint="eastAsia" w:cs="宋体" w:asciiTheme="minorEastAsia" w:hAnsiTheme="minorEastAsia" w:eastAsiaTheme="minorEastAsia"/>
          <w:bCs/>
          <w:color w:val="auto"/>
          <w:kern w:val="0"/>
          <w:sz w:val="24"/>
          <w:szCs w:val="24"/>
          <w:highlight w:val="none"/>
          <w:lang w:eastAsia="zh-CN"/>
        </w:rPr>
        <w:t>两</w:t>
      </w:r>
      <w:r>
        <w:rPr>
          <w:rFonts w:hint="eastAsia" w:cs="宋体" w:asciiTheme="minorEastAsia" w:hAnsiTheme="minorEastAsia" w:eastAsiaTheme="minorEastAsia"/>
          <w:color w:val="auto"/>
          <w:sz w:val="24"/>
          <w:highlight w:val="none"/>
        </w:rPr>
        <w:t>年（</w:t>
      </w:r>
      <w:r>
        <w:rPr>
          <w:rFonts w:hint="eastAsia" w:cs="宋体" w:asciiTheme="minorEastAsia" w:hAnsiTheme="minorEastAsia" w:eastAsiaTheme="minorEastAsia"/>
          <w:color w:val="auto"/>
          <w:sz w:val="24"/>
          <w:highlight w:val="none"/>
          <w:lang w:eastAsia="zh-CN"/>
        </w:rPr>
        <w:t>2026-2027年度</w:t>
      </w:r>
      <w:r>
        <w:rPr>
          <w:rFonts w:hint="eastAsia" w:cs="宋体" w:asciiTheme="minorEastAsia" w:hAnsiTheme="minorEastAsia" w:eastAsiaTheme="minorEastAsia"/>
          <w:color w:val="auto"/>
          <w:sz w:val="24"/>
          <w:highlight w:val="none"/>
        </w:rPr>
        <w:t>），</w:t>
      </w:r>
      <w:r>
        <w:rPr>
          <w:rFonts w:hint="eastAsia" w:ascii="宋体" w:hAnsi="宋体" w:cs="宋体"/>
          <w:color w:val="auto"/>
          <w:sz w:val="24"/>
          <w:highlight w:val="none"/>
          <w:lang w:eastAsia="zh-CN"/>
        </w:rPr>
        <w:t>自</w:t>
      </w:r>
      <w:r>
        <w:rPr>
          <w:rFonts w:hint="eastAsia" w:ascii="宋体" w:hAnsi="宋体" w:cs="宋体"/>
          <w:color w:val="auto"/>
          <w:sz w:val="24"/>
          <w:highlight w:val="none"/>
          <w:lang w:val="en-US" w:eastAsia="zh-CN"/>
        </w:rPr>
        <w:t xml:space="preserve">  年  月  日至  年  月  日止</w:t>
      </w:r>
      <w:r>
        <w:rPr>
          <w:rFonts w:hint="eastAsia" w:cs="宋体" w:asciiTheme="minorEastAsia" w:hAnsiTheme="minorEastAsia" w:eastAsiaTheme="minorEastAsia"/>
          <w:color w:val="auto"/>
          <w:sz w:val="24"/>
          <w:highlight w:val="none"/>
        </w:rPr>
        <w:t>。</w:t>
      </w:r>
      <w:r>
        <w:rPr>
          <w:rFonts w:hint="eastAsia" w:ascii="宋体" w:hAnsi="宋体" w:eastAsia="宋体" w:cs="宋体"/>
          <w:snapToGrid/>
          <w:color w:val="auto"/>
          <w:kern w:val="2"/>
          <w:sz w:val="24"/>
          <w:szCs w:val="24"/>
          <w:highlight w:val="none"/>
          <w:lang w:val="en-US" w:eastAsia="zh-CN" w:bidi="ar-SA"/>
        </w:rPr>
        <w:t>若甲方出现服务质量不高、影响债券发行情形的，经乙方评估，无法继续合作的，</w:t>
      </w:r>
      <w:r>
        <w:rPr>
          <w:rFonts w:hint="eastAsia" w:ascii="宋体" w:hAnsi="宋体" w:cs="宋体"/>
          <w:snapToGrid/>
          <w:color w:val="auto"/>
          <w:kern w:val="2"/>
          <w:sz w:val="24"/>
          <w:szCs w:val="24"/>
          <w:highlight w:val="none"/>
          <w:lang w:val="en-US" w:eastAsia="zh-CN" w:bidi="ar-SA"/>
        </w:rPr>
        <w:t>解除签订协议</w:t>
      </w:r>
      <w:r>
        <w:rPr>
          <w:rFonts w:hint="eastAsia" w:ascii="宋体" w:hAnsi="宋体" w:eastAsia="宋体" w:cs="宋体"/>
          <w:snapToGrid/>
          <w:color w:val="auto"/>
          <w:kern w:val="2"/>
          <w:sz w:val="24"/>
          <w:szCs w:val="24"/>
          <w:highlight w:val="none"/>
          <w:lang w:val="en-US" w:eastAsia="zh-CN" w:bidi="ar-SA"/>
        </w:rPr>
        <w:t>。</w:t>
      </w:r>
    </w:p>
    <w:p w14:paraId="304DA166">
      <w:pPr>
        <w:pStyle w:val="562"/>
        <w:spacing w:line="360" w:lineRule="exact"/>
        <w:ind w:firstLine="482"/>
        <w:rPr>
          <w:rFonts w:ascii="宋体" w:hAnsi="宋体" w:cs="宋体"/>
          <w:b/>
          <w:color w:val="auto"/>
          <w:kern w:val="2"/>
          <w:szCs w:val="24"/>
          <w:highlight w:val="none"/>
        </w:rPr>
      </w:pPr>
      <w:r>
        <w:rPr>
          <w:rFonts w:hint="eastAsia" w:ascii="宋体" w:hAnsi="宋体" w:cs="宋体"/>
          <w:b/>
          <w:bCs/>
          <w:color w:val="auto"/>
          <w:highlight w:val="none"/>
        </w:rPr>
        <w:t>四、</w:t>
      </w:r>
      <w:r>
        <w:rPr>
          <w:rFonts w:hint="eastAsia" w:ascii="宋体" w:hAnsi="宋体" w:cs="宋体"/>
          <w:b/>
          <w:color w:val="auto"/>
          <w:kern w:val="2"/>
          <w:szCs w:val="24"/>
          <w:highlight w:val="none"/>
        </w:rPr>
        <w:t>甲方责任与义务</w:t>
      </w:r>
    </w:p>
    <w:p w14:paraId="028C5C5F">
      <w:pPr>
        <w:snapToGrid w:val="0"/>
        <w:spacing w:line="3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甲方的责任是提出项目服务的任务、工期要求等相关事项，协调工作过程中出现的有关问题。甲方的义务是对乙方的工作过程与结果进行监督，并对乙方的服务质量进行检查复核。</w:t>
      </w:r>
    </w:p>
    <w:p w14:paraId="03E8D05E">
      <w:pPr>
        <w:pStyle w:val="562"/>
        <w:spacing w:line="360" w:lineRule="exact"/>
        <w:ind w:firstLine="482"/>
        <w:rPr>
          <w:rFonts w:ascii="宋体" w:hAnsi="宋体" w:cs="宋体"/>
          <w:b/>
          <w:color w:val="auto"/>
          <w:kern w:val="2"/>
          <w:szCs w:val="24"/>
          <w:highlight w:val="none"/>
        </w:rPr>
      </w:pPr>
      <w:r>
        <w:rPr>
          <w:rFonts w:hint="eastAsia" w:ascii="宋体" w:hAnsi="宋体" w:cs="宋体"/>
          <w:b/>
          <w:color w:val="auto"/>
          <w:kern w:val="2"/>
          <w:szCs w:val="24"/>
          <w:highlight w:val="none"/>
        </w:rPr>
        <w:t>五、乙方责任与义务</w:t>
      </w:r>
    </w:p>
    <w:p w14:paraId="2554E5C2">
      <w:pPr>
        <w:snapToGrid w:val="0"/>
        <w:spacing w:line="3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1.乙方及其委派的工作人员应勤勉尽责，严格遵守执业规范和职业道德，按规定和约定履行义务，并就其自身的工作成果承担相应的责任。</w:t>
      </w:r>
    </w:p>
    <w:p w14:paraId="54AF9B58">
      <w:pPr>
        <w:snapToGrid w:val="0"/>
        <w:spacing w:line="3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2.在政府专项债券发行过程中，乙方不得损害发行人的利益，也不得以欺诈、操纵市场等行为获取不正当利益。</w:t>
      </w:r>
    </w:p>
    <w:p w14:paraId="0A0C2541">
      <w:pPr>
        <w:snapToGrid w:val="0"/>
        <w:spacing w:line="3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3.乙方出具的各种专业报告必须符合政府专项债券发行要求和相关法律法规，以及浙江省财政厅的申报要求；</w:t>
      </w:r>
    </w:p>
    <w:p w14:paraId="29569FE2">
      <w:pPr>
        <w:snapToGrid w:val="0"/>
        <w:spacing w:line="3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4.乙方及其委派的工作人员应履行保密义务，对执业过程中所获得的相关信息予以保密，不得私自对外泄露；</w:t>
      </w:r>
    </w:p>
    <w:p w14:paraId="04E6A84D">
      <w:pPr>
        <w:snapToGrid w:val="0"/>
        <w:spacing w:line="3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5.乙方应与其他中介机构密切配合，共同推进债券发行工作，不得推诿、敷衍、拖延；</w:t>
      </w:r>
    </w:p>
    <w:p w14:paraId="76B40E6B">
      <w:pPr>
        <w:snapToGrid w:val="0"/>
        <w:spacing w:line="3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6、服务响应：</w:t>
      </w:r>
    </w:p>
    <w:p w14:paraId="69AAF288">
      <w:pPr>
        <w:keepNext w:val="0"/>
        <w:keepLines w:val="0"/>
        <w:pageBreakBefore w:val="0"/>
        <w:widowControl w:val="0"/>
        <w:kinsoku/>
        <w:wordWrap/>
        <w:overflowPunct/>
        <w:topLinePunct w:val="0"/>
        <w:bidi w:val="0"/>
        <w:spacing w:line="400" w:lineRule="exact"/>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（1）乙方在入围后应在人员安排上给予及时保障，负责人与项目组主要成员必须是本单位人员，且响应文件中已确定的人员名单，在服务期内原则上不得更换，如有调整需征得甲方的同意。</w:t>
      </w:r>
    </w:p>
    <w:p w14:paraId="6E6C626B">
      <w:pPr>
        <w:keepNext w:val="0"/>
        <w:keepLines w:val="0"/>
        <w:pageBreakBefore w:val="0"/>
        <w:widowControl w:val="0"/>
        <w:kinsoku/>
        <w:wordWrap/>
        <w:overflowPunct/>
        <w:topLinePunct w:val="0"/>
        <w:bidi w:val="0"/>
        <w:spacing w:line="400" w:lineRule="exact"/>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（2）在接到甲方委托任务后应及时开展工作并出具各种专业报告。专业报告包括纸质和电子版两种形式，数量根据甲方在发债过程中的实际需要量而定。</w:t>
      </w:r>
    </w:p>
    <w:p w14:paraId="38A0950E">
      <w:pPr>
        <w:keepNext w:val="0"/>
        <w:keepLines w:val="0"/>
        <w:pageBreakBefore w:val="0"/>
        <w:widowControl w:val="0"/>
        <w:kinsoku/>
        <w:wordWrap/>
        <w:overflowPunct/>
        <w:topLinePunct w:val="0"/>
        <w:autoSpaceDE w:val="0"/>
        <w:autoSpaceDN w:val="0"/>
        <w:bidi w:val="0"/>
        <w:spacing w:line="400" w:lineRule="exact"/>
        <w:ind w:firstLine="482" w:firstLineChars="200"/>
        <w:textAlignment w:val="auto"/>
        <w:rPr>
          <w:rFonts w:ascii="宋体" w:hAnsi="宋体"/>
          <w:b/>
          <w:color w:val="auto"/>
          <w:sz w:val="24"/>
          <w:highlight w:val="none"/>
        </w:rPr>
      </w:pPr>
      <w:r>
        <w:rPr>
          <w:rFonts w:hint="eastAsia" w:ascii="宋体" w:hAnsi="宋体"/>
          <w:b/>
          <w:color w:val="auto"/>
          <w:sz w:val="24"/>
          <w:highlight w:val="none"/>
        </w:rPr>
        <w:t>六、结算方式</w:t>
      </w:r>
    </w:p>
    <w:p w14:paraId="782DB57D">
      <w:pPr>
        <w:keepNext w:val="0"/>
        <w:keepLines w:val="0"/>
        <w:pageBreakBefore w:val="0"/>
        <w:widowControl w:val="0"/>
        <w:kinsoku/>
        <w:wordWrap/>
        <w:overflowPunct/>
        <w:topLinePunct w:val="0"/>
        <w:bidi w:val="0"/>
        <w:spacing w:line="400" w:lineRule="exact"/>
        <w:ind w:firstLine="480" w:firstLineChars="200"/>
        <w:textAlignment w:val="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1.专业服务费</w:t>
      </w:r>
      <w:r>
        <w:rPr>
          <w:rFonts w:hint="eastAsia" w:cs="宋体" w:asciiTheme="minorEastAsia" w:hAnsiTheme="minorEastAsia" w:eastAsiaTheme="minorEastAsia"/>
          <w:color w:val="auto"/>
          <w:kern w:val="0"/>
          <w:sz w:val="24"/>
          <w:highlight w:val="none"/>
          <w:lang w:val="en-US" w:eastAsia="zh-CN"/>
        </w:rPr>
        <w:t>半年</w:t>
      </w:r>
      <w:r>
        <w:rPr>
          <w:rFonts w:hint="eastAsia" w:cs="宋体" w:asciiTheme="minorEastAsia" w:hAnsiTheme="minorEastAsia" w:eastAsiaTheme="minorEastAsia"/>
          <w:color w:val="auto"/>
          <w:kern w:val="0"/>
          <w:sz w:val="24"/>
          <w:highlight w:val="none"/>
        </w:rPr>
        <w:t>结算一次，于每年度</w:t>
      </w:r>
      <w:r>
        <w:rPr>
          <w:rFonts w:hint="eastAsia" w:cs="宋体" w:asciiTheme="minorEastAsia" w:hAnsiTheme="minorEastAsia" w:eastAsiaTheme="minorEastAsia"/>
          <w:color w:val="auto"/>
          <w:kern w:val="0"/>
          <w:sz w:val="24"/>
          <w:highlight w:val="none"/>
          <w:lang w:val="en-US" w:eastAsia="zh-CN"/>
        </w:rPr>
        <w:t>6月15日和</w:t>
      </w:r>
      <w:r>
        <w:rPr>
          <w:rFonts w:hint="eastAsia" w:cs="宋体" w:asciiTheme="minorEastAsia" w:hAnsiTheme="minorEastAsia" w:eastAsiaTheme="minorEastAsia"/>
          <w:color w:val="auto"/>
          <w:kern w:val="0"/>
          <w:sz w:val="24"/>
          <w:highlight w:val="none"/>
        </w:rPr>
        <w:t>12月15日前结算</w:t>
      </w:r>
      <w:r>
        <w:rPr>
          <w:rFonts w:hint="eastAsia" w:cs="宋体" w:asciiTheme="minorEastAsia" w:hAnsiTheme="minorEastAsia" w:eastAsiaTheme="minorEastAsia"/>
          <w:color w:val="auto"/>
          <w:kern w:val="0"/>
          <w:sz w:val="24"/>
          <w:highlight w:val="none"/>
          <w:lang w:val="en-US" w:eastAsia="zh-CN"/>
        </w:rPr>
        <w:t>当前半年度</w:t>
      </w:r>
      <w:r>
        <w:rPr>
          <w:rFonts w:hint="eastAsia" w:cs="宋体" w:asciiTheme="minorEastAsia" w:hAnsiTheme="minorEastAsia" w:eastAsiaTheme="minorEastAsia"/>
          <w:color w:val="auto"/>
          <w:kern w:val="0"/>
          <w:sz w:val="24"/>
          <w:highlight w:val="none"/>
        </w:rPr>
        <w:t>的应付专业服务费，结算金额经双方确认后20个工作日内完成支出。</w:t>
      </w:r>
    </w:p>
    <w:p w14:paraId="168B4B13">
      <w:pPr>
        <w:keepNext w:val="0"/>
        <w:keepLines w:val="0"/>
        <w:pageBreakBefore w:val="0"/>
        <w:widowControl w:val="0"/>
        <w:kinsoku/>
        <w:wordWrap/>
        <w:overflowPunct/>
        <w:topLinePunct w:val="0"/>
        <w:bidi w:val="0"/>
        <w:spacing w:line="400" w:lineRule="exact"/>
        <w:ind w:firstLine="480" w:firstLineChars="200"/>
        <w:textAlignment w:val="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2.专业服务费由各批次政府专项债券所涉及的财政部门分别进行结算和支付，具体以合同约定为准。</w:t>
      </w:r>
    </w:p>
    <w:p w14:paraId="373057F4">
      <w:pPr>
        <w:keepNext w:val="0"/>
        <w:keepLines w:val="0"/>
        <w:pageBreakBefore w:val="0"/>
        <w:widowControl w:val="0"/>
        <w:kinsoku/>
        <w:wordWrap/>
        <w:overflowPunct/>
        <w:topLinePunct w:val="0"/>
        <w:bidi w:val="0"/>
        <w:spacing w:line="400" w:lineRule="exact"/>
        <w:ind w:firstLine="480" w:firstLineChars="200"/>
        <w:textAlignment w:val="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3.由于</w:t>
      </w:r>
      <w:r>
        <w:rPr>
          <w:rFonts w:hint="eastAsia" w:cs="宋体" w:asciiTheme="minorEastAsia" w:hAnsiTheme="minorEastAsia" w:eastAsiaTheme="minorEastAsia"/>
          <w:color w:val="auto"/>
          <w:kern w:val="0"/>
          <w:sz w:val="24"/>
          <w:highlight w:val="none"/>
          <w:lang w:val="en-US" w:eastAsia="zh-CN"/>
        </w:rPr>
        <w:t>乙方</w:t>
      </w:r>
      <w:r>
        <w:rPr>
          <w:rFonts w:hint="eastAsia" w:cs="宋体" w:asciiTheme="minorEastAsia" w:hAnsiTheme="minorEastAsia" w:eastAsiaTheme="minorEastAsia"/>
          <w:color w:val="auto"/>
          <w:kern w:val="0"/>
          <w:sz w:val="24"/>
          <w:highlight w:val="none"/>
        </w:rPr>
        <w:t>原因致使本次政府专项债券发行失败的，</w:t>
      </w:r>
      <w:r>
        <w:rPr>
          <w:rFonts w:hint="eastAsia" w:cs="宋体" w:asciiTheme="minorEastAsia" w:hAnsiTheme="minorEastAsia" w:eastAsiaTheme="minorEastAsia"/>
          <w:color w:val="auto"/>
          <w:kern w:val="0"/>
          <w:sz w:val="24"/>
          <w:highlight w:val="none"/>
          <w:lang w:val="en-US" w:eastAsia="zh-CN"/>
        </w:rPr>
        <w:t>甲方</w:t>
      </w:r>
      <w:r>
        <w:rPr>
          <w:rFonts w:hint="eastAsia" w:cs="宋体" w:asciiTheme="minorEastAsia" w:hAnsiTheme="minorEastAsia" w:eastAsiaTheme="minorEastAsia"/>
          <w:color w:val="auto"/>
          <w:kern w:val="0"/>
          <w:sz w:val="24"/>
          <w:highlight w:val="none"/>
        </w:rPr>
        <w:t>有权拒付（或追回已付的）专业服务费；给</w:t>
      </w:r>
      <w:r>
        <w:rPr>
          <w:rFonts w:hint="eastAsia" w:cs="宋体" w:asciiTheme="minorEastAsia" w:hAnsiTheme="minorEastAsia" w:eastAsiaTheme="minorEastAsia"/>
          <w:color w:val="auto"/>
          <w:kern w:val="0"/>
          <w:sz w:val="24"/>
          <w:highlight w:val="none"/>
          <w:lang w:val="en-US" w:eastAsia="zh-CN"/>
        </w:rPr>
        <w:t>甲方</w:t>
      </w:r>
      <w:r>
        <w:rPr>
          <w:rFonts w:hint="eastAsia" w:cs="宋体" w:asciiTheme="minorEastAsia" w:hAnsiTheme="minorEastAsia" w:eastAsiaTheme="minorEastAsia"/>
          <w:color w:val="auto"/>
          <w:kern w:val="0"/>
          <w:sz w:val="24"/>
          <w:highlight w:val="none"/>
        </w:rPr>
        <w:t>造成损失的，应予以赔偿。</w:t>
      </w:r>
    </w:p>
    <w:p w14:paraId="0CEE86D6">
      <w:pPr>
        <w:keepNext w:val="0"/>
        <w:keepLines w:val="0"/>
        <w:pageBreakBefore w:val="0"/>
        <w:widowControl w:val="0"/>
        <w:kinsoku/>
        <w:wordWrap/>
        <w:overflowPunct/>
        <w:topLinePunct w:val="0"/>
        <w:bidi w:val="0"/>
        <w:spacing w:line="400" w:lineRule="exact"/>
        <w:ind w:firstLine="480" w:firstLineChars="200"/>
        <w:textAlignment w:val="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4.</w:t>
      </w:r>
      <w:r>
        <w:rPr>
          <w:rFonts w:hint="eastAsia" w:cs="宋体" w:asciiTheme="minorEastAsia" w:hAnsiTheme="minorEastAsia" w:eastAsiaTheme="minorEastAsia"/>
          <w:color w:val="auto"/>
          <w:kern w:val="0"/>
          <w:sz w:val="24"/>
          <w:highlight w:val="none"/>
          <w:lang w:val="en-US" w:eastAsia="zh-CN"/>
        </w:rPr>
        <w:t>乙方</w:t>
      </w:r>
      <w:r>
        <w:rPr>
          <w:rFonts w:hint="eastAsia" w:cs="宋体" w:asciiTheme="minorEastAsia" w:hAnsiTheme="minorEastAsia" w:eastAsiaTheme="minorEastAsia"/>
          <w:color w:val="auto"/>
          <w:kern w:val="0"/>
          <w:sz w:val="24"/>
          <w:highlight w:val="none"/>
        </w:rPr>
        <w:t>办理专业服务费结算时，需出具正式税务发票。</w:t>
      </w:r>
    </w:p>
    <w:p w14:paraId="0830EC5A">
      <w:pPr>
        <w:pStyle w:val="64"/>
        <w:keepNext w:val="0"/>
        <w:keepLines w:val="0"/>
        <w:pageBreakBefore w:val="0"/>
        <w:widowControl w:val="0"/>
        <w:kinsoku/>
        <w:wordWrap/>
        <w:overflowPunct/>
        <w:topLinePunct w:val="0"/>
        <w:bidi w:val="0"/>
        <w:spacing w:after="0" w:line="400" w:lineRule="exact"/>
        <w:ind w:left="0" w:leftChars="0" w:firstLine="482"/>
        <w:textAlignment w:val="auto"/>
        <w:rPr>
          <w:rFonts w:cs="宋体"/>
          <w:color w:val="auto"/>
          <w:sz w:val="24"/>
          <w:highlight w:val="none"/>
        </w:rPr>
      </w:pPr>
      <w:r>
        <w:rPr>
          <w:rFonts w:hint="eastAsia" w:cs="宋体"/>
          <w:b/>
          <w:bCs/>
          <w:color w:val="auto"/>
          <w:sz w:val="24"/>
          <w:highlight w:val="none"/>
        </w:rPr>
        <w:t>七、</w:t>
      </w:r>
      <w:r>
        <w:rPr>
          <w:rFonts w:hint="eastAsia" w:cs="宋体"/>
          <w:color w:val="auto"/>
          <w:sz w:val="24"/>
          <w:highlight w:val="none"/>
        </w:rPr>
        <w:t>双方都有责任保守所知晓的对方的商业秘密，不得向第三方泄露。任何一方违反此协议，给对方造成损失，须承担赔偿责任。</w:t>
      </w:r>
    </w:p>
    <w:p w14:paraId="4E93231B">
      <w:pPr>
        <w:keepNext w:val="0"/>
        <w:keepLines w:val="0"/>
        <w:pageBreakBefore w:val="0"/>
        <w:widowControl w:val="0"/>
        <w:kinsoku/>
        <w:wordWrap/>
        <w:overflowPunct/>
        <w:topLinePunct w:val="0"/>
        <w:bidi w:val="0"/>
        <w:snapToGrid w:val="0"/>
        <w:spacing w:line="400" w:lineRule="exact"/>
        <w:ind w:firstLine="482" w:firstLineChars="200"/>
        <w:textAlignment w:val="auto"/>
        <w:rPr>
          <w:rFonts w:ascii="宋体" w:hAnsi="宋体" w:cs="宋体"/>
          <w:color w:val="auto"/>
          <w:sz w:val="24"/>
          <w:highlight w:val="none"/>
        </w:rPr>
      </w:pPr>
      <w:r>
        <w:rPr>
          <w:rFonts w:hint="eastAsia" w:ascii="宋体" w:hAnsi="宋体" w:cs="宋体"/>
          <w:b/>
          <w:bCs/>
          <w:color w:val="auto"/>
          <w:sz w:val="24"/>
          <w:highlight w:val="none"/>
        </w:rPr>
        <w:t>八、</w:t>
      </w:r>
      <w:r>
        <w:rPr>
          <w:rFonts w:hint="eastAsia" w:ascii="宋体" w:hAnsi="宋体" w:cs="宋体"/>
          <w:color w:val="auto"/>
          <w:sz w:val="24"/>
          <w:highlight w:val="none"/>
        </w:rPr>
        <w:t>本协议在执行中，因乙方违约、解体或违反本协议中的有关条款，甲方有权立即终止协议。</w:t>
      </w:r>
    </w:p>
    <w:p w14:paraId="7EF9CA72">
      <w:pPr>
        <w:snapToGrid w:val="0"/>
        <w:spacing w:line="3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在执业过程中发现以下情形之一的，甲方有权更换服务单位：</w:t>
      </w:r>
    </w:p>
    <w:p w14:paraId="194D185E">
      <w:pPr>
        <w:snapToGrid w:val="0"/>
        <w:spacing w:line="3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1.在投标中故意隐瞒与投标书不符的重大事实的；</w:t>
      </w:r>
    </w:p>
    <w:p w14:paraId="2BC7D65C">
      <w:pPr>
        <w:snapToGrid w:val="0"/>
        <w:spacing w:line="3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2.将中标业务转包或分包给其他律师事务所的；</w:t>
      </w:r>
    </w:p>
    <w:p w14:paraId="05EFCFAB">
      <w:pPr>
        <w:snapToGrid w:val="0"/>
        <w:spacing w:line="3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3.无法完成或拒不完成本项目约定服务内容的；</w:t>
      </w:r>
    </w:p>
    <w:p w14:paraId="0C3403FD">
      <w:pPr>
        <w:snapToGrid w:val="0"/>
        <w:spacing w:line="3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4.在服务期间因违法、违规行为被国家有关主管部门给予重大行政处罚的；</w:t>
      </w:r>
    </w:p>
    <w:p w14:paraId="1F2A67DC">
      <w:pPr>
        <w:snapToGrid w:val="0"/>
        <w:spacing w:line="3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5.严重违反有关规定，且拒不改正的；</w:t>
      </w:r>
    </w:p>
    <w:p w14:paraId="31DAF55D">
      <w:pPr>
        <w:snapToGrid w:val="0"/>
        <w:spacing w:line="3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6.其他严重违法、违规行为。</w:t>
      </w:r>
    </w:p>
    <w:p w14:paraId="619FD46A">
      <w:pPr>
        <w:snapToGrid w:val="0"/>
        <w:spacing w:line="36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九、免责条件</w:t>
      </w:r>
    </w:p>
    <w:p w14:paraId="68A20127">
      <w:pPr>
        <w:snapToGrid w:val="0"/>
        <w:spacing w:line="3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1.双方任何一方由于严重火灾、水灾、台风、地震、不可遇见事故及其它双方均认可的不可抗力因素所造成的损失和影响，双方互不承担责任。</w:t>
      </w:r>
    </w:p>
    <w:p w14:paraId="7EAE9749">
      <w:pPr>
        <w:snapToGrid w:val="0"/>
        <w:spacing w:line="3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2.受不可抗力因素影响的一方应在不可抗力发生后3天内书面告知另一方，并在事故发生后7天内，向另一方出具有效的事实证明材料。</w:t>
      </w:r>
    </w:p>
    <w:p w14:paraId="3A26D272">
      <w:pPr>
        <w:pStyle w:val="64"/>
        <w:spacing w:after="0" w:line="360" w:lineRule="exact"/>
        <w:ind w:left="0" w:leftChars="0" w:firstLine="0" w:firstLineChars="0"/>
        <w:rPr>
          <w:rFonts w:cs="宋体"/>
          <w:color w:val="auto"/>
          <w:sz w:val="24"/>
          <w:highlight w:val="none"/>
        </w:rPr>
      </w:pPr>
      <w:r>
        <w:rPr>
          <w:rFonts w:hint="eastAsia" w:cs="宋体"/>
          <w:color w:val="auto"/>
          <w:sz w:val="24"/>
          <w:highlight w:val="none"/>
        </w:rPr>
        <w:t xml:space="preserve">    3.如遇上级部门政策调整，本合同自动终止。</w:t>
      </w:r>
    </w:p>
    <w:p w14:paraId="15411E20">
      <w:pPr>
        <w:pStyle w:val="35"/>
        <w:snapToGrid w:val="0"/>
        <w:spacing w:line="360" w:lineRule="exact"/>
        <w:ind w:firstLine="482" w:firstLineChars="200"/>
        <w:jc w:val="left"/>
        <w:rPr>
          <w:rFonts w:hAnsi="宋体" w:cs="宋体"/>
          <w:b/>
          <w:bCs/>
          <w:color w:val="auto"/>
          <w:sz w:val="24"/>
          <w:szCs w:val="24"/>
          <w:highlight w:val="none"/>
        </w:rPr>
      </w:pPr>
      <w:r>
        <w:rPr>
          <w:rFonts w:hAnsi="宋体" w:cs="宋体"/>
          <w:b/>
          <w:bCs/>
          <w:color w:val="auto"/>
          <w:sz w:val="24"/>
          <w:szCs w:val="24"/>
          <w:highlight w:val="none"/>
        </w:rPr>
        <w:t>十、</w:t>
      </w:r>
      <w:r>
        <w:rPr>
          <w:rFonts w:hint="eastAsia" w:hAnsi="宋体" w:cs="宋体"/>
          <w:b/>
          <w:bCs/>
          <w:color w:val="auto"/>
          <w:sz w:val="24"/>
          <w:szCs w:val="24"/>
          <w:highlight w:val="none"/>
        </w:rPr>
        <w:t>合同纠纷</w:t>
      </w:r>
    </w:p>
    <w:p w14:paraId="12473244">
      <w:pPr>
        <w:pStyle w:val="35"/>
        <w:snapToGrid w:val="0"/>
        <w:spacing w:line="360" w:lineRule="exact"/>
        <w:ind w:firstLine="480" w:firstLineChars="200"/>
        <w:jc w:val="left"/>
        <w:rPr>
          <w:rFonts w:hAnsi="宋体" w:cs="宋体"/>
          <w:color w:val="auto"/>
          <w:sz w:val="24"/>
          <w:szCs w:val="24"/>
          <w:highlight w:val="none"/>
        </w:rPr>
      </w:pPr>
      <w:r>
        <w:rPr>
          <w:rFonts w:hint="eastAsia" w:hAnsi="宋体" w:cs="宋体"/>
          <w:color w:val="auto"/>
          <w:sz w:val="24"/>
          <w:szCs w:val="24"/>
          <w:highlight w:val="none"/>
        </w:rPr>
        <w:t>1.凡与本合同有关的任何纠纷，买、卖双方应通过友好协商，妥善解决。如通过协商仍不能解决时，应向甲方所在地的人民法院诉讼解决。</w:t>
      </w:r>
    </w:p>
    <w:p w14:paraId="40852428">
      <w:pPr>
        <w:pStyle w:val="35"/>
        <w:snapToGrid w:val="0"/>
        <w:spacing w:line="360" w:lineRule="exact"/>
        <w:ind w:firstLine="480" w:firstLineChars="200"/>
        <w:jc w:val="left"/>
        <w:rPr>
          <w:rFonts w:hAnsi="宋体" w:cs="宋体"/>
          <w:color w:val="auto"/>
          <w:sz w:val="24"/>
          <w:szCs w:val="24"/>
          <w:highlight w:val="none"/>
        </w:rPr>
      </w:pPr>
      <w:r>
        <w:rPr>
          <w:rFonts w:hint="eastAsia" w:hAnsi="宋体" w:cs="宋体"/>
          <w:color w:val="auto"/>
          <w:sz w:val="24"/>
          <w:szCs w:val="24"/>
          <w:highlight w:val="none"/>
        </w:rPr>
        <w:t>2.诉讼费及律师费除法院另有裁决外，由败诉方承担。</w:t>
      </w:r>
    </w:p>
    <w:p w14:paraId="133B53C4">
      <w:pPr>
        <w:pStyle w:val="35"/>
        <w:snapToGrid w:val="0"/>
        <w:spacing w:line="360" w:lineRule="exact"/>
        <w:ind w:firstLine="480" w:firstLineChars="200"/>
        <w:jc w:val="left"/>
        <w:rPr>
          <w:rFonts w:hAnsi="宋体" w:cs="宋体"/>
          <w:color w:val="auto"/>
          <w:sz w:val="24"/>
          <w:szCs w:val="24"/>
          <w:highlight w:val="none"/>
        </w:rPr>
      </w:pPr>
      <w:r>
        <w:rPr>
          <w:rFonts w:hint="eastAsia" w:hAnsi="宋体" w:cs="宋体"/>
          <w:color w:val="auto"/>
          <w:sz w:val="24"/>
          <w:szCs w:val="24"/>
          <w:highlight w:val="none"/>
        </w:rPr>
        <w:t>3.在诉讼期间，除正在进行诉讼的部分外，本合同其他部分应继续执行。</w:t>
      </w:r>
    </w:p>
    <w:p w14:paraId="795365AC">
      <w:pPr>
        <w:pStyle w:val="35"/>
        <w:snapToGrid w:val="0"/>
        <w:spacing w:line="360" w:lineRule="exact"/>
        <w:ind w:firstLine="482" w:firstLineChars="200"/>
        <w:jc w:val="left"/>
        <w:rPr>
          <w:rFonts w:hAnsi="宋体" w:cs="宋体"/>
          <w:b/>
          <w:color w:val="auto"/>
          <w:sz w:val="24"/>
          <w:szCs w:val="24"/>
          <w:highlight w:val="none"/>
        </w:rPr>
      </w:pPr>
      <w:r>
        <w:rPr>
          <w:rFonts w:hint="eastAsia" w:hAnsi="宋体" w:cs="宋体"/>
          <w:b/>
          <w:color w:val="auto"/>
          <w:sz w:val="24"/>
          <w:szCs w:val="24"/>
          <w:highlight w:val="none"/>
        </w:rPr>
        <w:t>十一</w:t>
      </w:r>
      <w:r>
        <w:rPr>
          <w:rFonts w:hAnsi="宋体" w:cs="宋体"/>
          <w:b/>
          <w:color w:val="auto"/>
          <w:sz w:val="24"/>
          <w:szCs w:val="24"/>
          <w:highlight w:val="none"/>
        </w:rPr>
        <w:t>、合同生效及其它</w:t>
      </w:r>
    </w:p>
    <w:p w14:paraId="5A90F9A0">
      <w:pPr>
        <w:pStyle w:val="35"/>
        <w:snapToGrid w:val="0"/>
        <w:spacing w:line="360" w:lineRule="exact"/>
        <w:ind w:firstLine="480" w:firstLineChars="200"/>
        <w:jc w:val="left"/>
        <w:rPr>
          <w:rFonts w:hAnsi="宋体" w:cs="宋体"/>
          <w:color w:val="auto"/>
          <w:sz w:val="24"/>
          <w:szCs w:val="24"/>
          <w:highlight w:val="none"/>
        </w:rPr>
      </w:pPr>
      <w:r>
        <w:rPr>
          <w:rFonts w:hAnsi="宋体" w:cs="宋体"/>
          <w:color w:val="auto"/>
          <w:sz w:val="24"/>
          <w:szCs w:val="24"/>
          <w:highlight w:val="none"/>
        </w:rPr>
        <w:t>1.合同经双方法定代表人或授权代表签字并加盖单位公章后生效。</w:t>
      </w:r>
    </w:p>
    <w:p w14:paraId="7A91B4BF">
      <w:pPr>
        <w:pStyle w:val="35"/>
        <w:snapToGrid w:val="0"/>
        <w:spacing w:line="360" w:lineRule="exact"/>
        <w:ind w:firstLine="480" w:firstLineChars="200"/>
        <w:jc w:val="left"/>
        <w:rPr>
          <w:rFonts w:hAnsi="宋体" w:cs="宋体"/>
          <w:color w:val="auto"/>
          <w:sz w:val="24"/>
          <w:szCs w:val="24"/>
          <w:highlight w:val="none"/>
        </w:rPr>
      </w:pPr>
      <w:r>
        <w:rPr>
          <w:rFonts w:hAnsi="宋体" w:cs="宋体"/>
          <w:color w:val="auto"/>
          <w:sz w:val="24"/>
          <w:szCs w:val="24"/>
          <w:highlight w:val="none"/>
        </w:rPr>
        <w:t>2.</w:t>
      </w:r>
      <w:r>
        <w:rPr>
          <w:rFonts w:hint="eastAsia" w:hAnsi="宋体" w:cs="宋体"/>
          <w:color w:val="auto"/>
          <w:sz w:val="24"/>
          <w:szCs w:val="24"/>
          <w:highlight w:val="none"/>
        </w:rPr>
        <w:t>合同修改：甲乙双方的任何一方对合同内容提出修改，均应以书面形式通知对方，达成由双方签署的合同修改书，并经双方确认后生效。其中涉及采购采购内容修改或补充的，须经</w:t>
      </w:r>
      <w:r>
        <w:rPr>
          <w:rFonts w:hint="eastAsia" w:hAnsi="宋体" w:cs="宋体"/>
          <w:color w:val="auto"/>
          <w:sz w:val="24"/>
          <w:szCs w:val="24"/>
          <w:highlight w:val="none"/>
          <w:lang w:eastAsia="zh-CN"/>
        </w:rPr>
        <w:t>义乌市财政局</w:t>
      </w:r>
      <w:r>
        <w:rPr>
          <w:rFonts w:hint="eastAsia" w:hAnsi="宋体" w:cs="宋体"/>
          <w:color w:val="auto"/>
          <w:sz w:val="24"/>
          <w:szCs w:val="24"/>
          <w:highlight w:val="none"/>
        </w:rPr>
        <w:t>审批，并与</w:t>
      </w:r>
      <w:r>
        <w:rPr>
          <w:rFonts w:hint="eastAsia" w:hAnsi="宋体" w:cs="宋体"/>
          <w:color w:val="auto"/>
          <w:sz w:val="24"/>
          <w:szCs w:val="24"/>
          <w:highlight w:val="none"/>
          <w:lang w:eastAsia="zh-CN"/>
        </w:rPr>
        <w:t>义乌市财政局</w:t>
      </w:r>
      <w:r>
        <w:rPr>
          <w:rFonts w:hint="eastAsia" w:hAnsi="宋体" w:cs="宋体"/>
          <w:color w:val="auto"/>
          <w:sz w:val="24"/>
          <w:szCs w:val="24"/>
          <w:highlight w:val="none"/>
        </w:rPr>
        <w:t>签订书面补充协议后，方可作为主合同不可分割的一部分。</w:t>
      </w:r>
    </w:p>
    <w:p w14:paraId="5B4283ED">
      <w:pPr>
        <w:pStyle w:val="35"/>
        <w:snapToGrid w:val="0"/>
        <w:spacing w:line="360" w:lineRule="exact"/>
        <w:ind w:firstLine="480" w:firstLineChars="200"/>
        <w:jc w:val="left"/>
        <w:rPr>
          <w:rFonts w:hAnsi="宋体" w:cs="宋体"/>
          <w:color w:val="auto"/>
          <w:sz w:val="24"/>
          <w:szCs w:val="24"/>
          <w:highlight w:val="none"/>
        </w:rPr>
      </w:pPr>
      <w:r>
        <w:rPr>
          <w:rFonts w:hAnsi="宋体" w:cs="宋体"/>
          <w:color w:val="auto"/>
          <w:sz w:val="24"/>
          <w:szCs w:val="24"/>
          <w:highlight w:val="none"/>
        </w:rPr>
        <w:t>3.本项目的</w:t>
      </w:r>
      <w:r>
        <w:rPr>
          <w:rFonts w:hint="eastAsia" w:hAnsi="宋体" w:cs="宋体"/>
          <w:color w:val="auto"/>
          <w:sz w:val="24"/>
          <w:szCs w:val="24"/>
          <w:highlight w:val="none"/>
        </w:rPr>
        <w:t>征集</w:t>
      </w:r>
      <w:r>
        <w:rPr>
          <w:rFonts w:hAnsi="宋体" w:cs="宋体"/>
          <w:color w:val="auto"/>
          <w:sz w:val="24"/>
          <w:szCs w:val="24"/>
          <w:highlight w:val="none"/>
        </w:rPr>
        <w:t>文件与乙方的</w:t>
      </w:r>
      <w:r>
        <w:rPr>
          <w:rFonts w:hint="eastAsia" w:hAnsi="宋体" w:cs="宋体"/>
          <w:color w:val="auto"/>
          <w:sz w:val="24"/>
          <w:szCs w:val="24"/>
          <w:highlight w:val="none"/>
        </w:rPr>
        <w:t>响应</w:t>
      </w:r>
      <w:r>
        <w:rPr>
          <w:rFonts w:hAnsi="宋体" w:cs="宋体"/>
          <w:color w:val="auto"/>
          <w:sz w:val="24"/>
          <w:szCs w:val="24"/>
          <w:highlight w:val="none"/>
        </w:rPr>
        <w:t>文件均为本主合同不可分割的组成部分。</w:t>
      </w:r>
    </w:p>
    <w:p w14:paraId="363D8786">
      <w:pPr>
        <w:pStyle w:val="35"/>
        <w:snapToGrid w:val="0"/>
        <w:spacing w:line="360" w:lineRule="exact"/>
        <w:ind w:firstLine="480" w:firstLineChars="200"/>
        <w:jc w:val="left"/>
        <w:rPr>
          <w:rFonts w:hAnsi="宋体" w:cs="宋体"/>
          <w:color w:val="auto"/>
          <w:sz w:val="24"/>
          <w:szCs w:val="24"/>
          <w:highlight w:val="none"/>
        </w:rPr>
      </w:pPr>
      <w:r>
        <w:rPr>
          <w:rFonts w:hAnsi="宋体" w:cs="宋体"/>
          <w:color w:val="auto"/>
          <w:sz w:val="24"/>
          <w:szCs w:val="24"/>
          <w:highlight w:val="none"/>
        </w:rPr>
        <w:t>4.本合同未尽事宜，遵照《中华人民共和国民法典》有关条文执行。</w:t>
      </w:r>
    </w:p>
    <w:p w14:paraId="675EB4AB">
      <w:pPr>
        <w:pStyle w:val="35"/>
        <w:snapToGrid w:val="0"/>
        <w:spacing w:line="360" w:lineRule="exact"/>
        <w:ind w:firstLine="480" w:firstLineChars="200"/>
        <w:jc w:val="left"/>
        <w:rPr>
          <w:rFonts w:hAnsi="宋体" w:cs="宋体"/>
          <w:color w:val="auto"/>
          <w:sz w:val="24"/>
          <w:szCs w:val="24"/>
          <w:highlight w:val="none"/>
        </w:rPr>
      </w:pPr>
      <w:r>
        <w:rPr>
          <w:rFonts w:hAnsi="宋体" w:cs="宋体"/>
          <w:color w:val="auto"/>
          <w:sz w:val="24"/>
          <w:szCs w:val="24"/>
          <w:highlight w:val="none"/>
        </w:rPr>
        <w:t>5.本合同正本一式</w:t>
      </w:r>
      <w:r>
        <w:rPr>
          <w:rFonts w:hint="eastAsia" w:hAnsi="宋体" w:cs="宋体"/>
          <w:color w:val="auto"/>
          <w:sz w:val="24"/>
          <w:szCs w:val="24"/>
          <w:highlight w:val="none"/>
        </w:rPr>
        <w:t>肆</w:t>
      </w:r>
      <w:r>
        <w:rPr>
          <w:rFonts w:hAnsi="宋体" w:cs="宋体"/>
          <w:color w:val="auto"/>
          <w:sz w:val="24"/>
          <w:szCs w:val="24"/>
          <w:highlight w:val="none"/>
        </w:rPr>
        <w:t>份，具有同等法律效力，甲、乙双方各执二份。</w:t>
      </w:r>
    </w:p>
    <w:p w14:paraId="2B2AF568">
      <w:pPr>
        <w:pStyle w:val="35"/>
        <w:snapToGrid w:val="0"/>
        <w:spacing w:line="360" w:lineRule="exact"/>
        <w:ind w:firstLine="480" w:firstLineChars="200"/>
        <w:jc w:val="left"/>
        <w:rPr>
          <w:rFonts w:hAnsi="宋体" w:cs="宋体"/>
          <w:color w:val="auto"/>
          <w:sz w:val="24"/>
          <w:szCs w:val="24"/>
          <w:highlight w:val="none"/>
        </w:rPr>
      </w:pPr>
      <w:r>
        <w:rPr>
          <w:rFonts w:hint="eastAsia" w:hAnsi="宋体" w:cs="宋体"/>
          <w:color w:val="auto"/>
          <w:sz w:val="24"/>
          <w:szCs w:val="24"/>
          <w:highlight w:val="none"/>
        </w:rPr>
        <w:t>6.其他约定</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w:t>
      </w:r>
    </w:p>
    <w:tbl>
      <w:tblPr>
        <w:tblStyle w:val="65"/>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5"/>
        <w:gridCol w:w="4714"/>
      </w:tblGrid>
      <w:tr w14:paraId="4A5EB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3" w:hRule="atLeast"/>
          <w:jc w:val="center"/>
        </w:trPr>
        <w:tc>
          <w:tcPr>
            <w:tcW w:w="4705" w:type="dxa"/>
            <w:tcBorders>
              <w:top w:val="single" w:color="auto" w:sz="4" w:space="0"/>
              <w:left w:val="single" w:color="auto" w:sz="4" w:space="0"/>
              <w:right w:val="single" w:color="auto" w:sz="4" w:space="0"/>
            </w:tcBorders>
          </w:tcPr>
          <w:p w14:paraId="79BEAA43">
            <w:pPr>
              <w:spacing w:line="360" w:lineRule="auto"/>
              <w:ind w:right="-105" w:rightChars="-50"/>
              <w:jc w:val="center"/>
              <w:rPr>
                <w:rFonts w:ascii="宋体" w:hAnsi="宋体" w:cs="宋体"/>
                <w:b/>
                <w:bCs/>
                <w:color w:val="auto"/>
                <w:sz w:val="24"/>
                <w:highlight w:val="none"/>
              </w:rPr>
            </w:pPr>
            <w:r>
              <w:rPr>
                <w:rFonts w:hint="eastAsia" w:ascii="宋体" w:hAnsi="宋体" w:cs="宋体"/>
                <w:b/>
                <w:bCs/>
                <w:color w:val="auto"/>
                <w:sz w:val="24"/>
                <w:highlight w:val="none"/>
              </w:rPr>
              <w:t>甲（采购）方</w:t>
            </w:r>
          </w:p>
          <w:p w14:paraId="50E4E287">
            <w:pPr>
              <w:spacing w:line="360" w:lineRule="auto"/>
              <w:ind w:left="-171" w:right="-105" w:rightChars="-50" w:firstLine="163" w:firstLineChars="68"/>
              <w:rPr>
                <w:rFonts w:ascii="宋体" w:hAnsi="宋体" w:cs="宋体"/>
                <w:color w:val="auto"/>
                <w:sz w:val="24"/>
                <w:highlight w:val="none"/>
              </w:rPr>
            </w:pPr>
            <w:r>
              <w:rPr>
                <w:rFonts w:hint="eastAsia" w:ascii="宋体" w:hAnsi="宋体" w:cs="宋体"/>
                <w:color w:val="auto"/>
                <w:sz w:val="24"/>
                <w:highlight w:val="none"/>
              </w:rPr>
              <w:t xml:space="preserve">单位名称（盖章）： </w:t>
            </w:r>
          </w:p>
          <w:p w14:paraId="1572C277">
            <w:pPr>
              <w:spacing w:line="360" w:lineRule="auto"/>
              <w:ind w:left="-171" w:right="-105" w:rightChars="-50" w:firstLine="163" w:firstLineChars="68"/>
              <w:rPr>
                <w:rFonts w:ascii="宋体" w:hAnsi="宋体" w:cs="宋体"/>
                <w:color w:val="auto"/>
                <w:sz w:val="24"/>
                <w:highlight w:val="none"/>
              </w:rPr>
            </w:pPr>
            <w:r>
              <w:rPr>
                <w:rFonts w:hint="eastAsia" w:ascii="宋体" w:hAnsi="宋体" w:cs="宋体"/>
                <w:color w:val="auto"/>
                <w:sz w:val="24"/>
                <w:highlight w:val="none"/>
              </w:rPr>
              <w:t xml:space="preserve">单位地址： </w:t>
            </w:r>
          </w:p>
          <w:p w14:paraId="63C589AD">
            <w:pPr>
              <w:spacing w:line="360" w:lineRule="auto"/>
              <w:ind w:left="-170" w:right="-105" w:rightChars="-50" w:firstLine="163" w:firstLineChars="68"/>
              <w:rPr>
                <w:rFonts w:ascii="宋体" w:hAnsi="宋体" w:cs="宋体"/>
                <w:color w:val="auto"/>
                <w:sz w:val="24"/>
                <w:highlight w:val="none"/>
              </w:rPr>
            </w:pPr>
            <w:r>
              <w:rPr>
                <w:rFonts w:hint="eastAsia" w:ascii="宋体" w:hAnsi="宋体" w:cs="宋体"/>
                <w:color w:val="auto"/>
                <w:sz w:val="24"/>
                <w:highlight w:val="none"/>
              </w:rPr>
              <w:t>法定（委托）代表人</w:t>
            </w:r>
          </w:p>
          <w:p w14:paraId="6E51CC31">
            <w:pPr>
              <w:spacing w:line="360" w:lineRule="auto"/>
              <w:ind w:left="-170" w:right="-105" w:rightChars="-50" w:firstLine="163" w:firstLineChars="68"/>
              <w:rPr>
                <w:rFonts w:ascii="宋体" w:hAnsi="宋体" w:cs="宋体"/>
                <w:color w:val="auto"/>
                <w:sz w:val="24"/>
                <w:highlight w:val="none"/>
              </w:rPr>
            </w:pPr>
            <w:r>
              <w:rPr>
                <w:rFonts w:hint="eastAsia" w:ascii="宋体" w:hAnsi="宋体" w:cs="宋体"/>
                <w:color w:val="auto"/>
                <w:sz w:val="24"/>
                <w:highlight w:val="none"/>
              </w:rPr>
              <w:t>（签字或盖章）：</w:t>
            </w:r>
          </w:p>
          <w:p w14:paraId="0EA409D1">
            <w:pPr>
              <w:spacing w:line="360" w:lineRule="auto"/>
              <w:ind w:left="-170" w:right="-105" w:rightChars="-50" w:firstLine="163" w:firstLineChars="68"/>
              <w:rPr>
                <w:rFonts w:ascii="宋体" w:hAnsi="宋体" w:cs="宋体"/>
                <w:color w:val="auto"/>
                <w:sz w:val="24"/>
                <w:highlight w:val="none"/>
              </w:rPr>
            </w:pPr>
            <w:r>
              <w:rPr>
                <w:rFonts w:hint="eastAsia" w:ascii="宋体" w:hAnsi="宋体" w:cs="宋体"/>
                <w:color w:val="auto"/>
                <w:sz w:val="24"/>
                <w:highlight w:val="none"/>
              </w:rPr>
              <w:t>电 话：</w:t>
            </w:r>
          </w:p>
          <w:p w14:paraId="6F6F1F41">
            <w:pPr>
              <w:spacing w:line="360" w:lineRule="auto"/>
              <w:ind w:left="-170" w:right="-105" w:rightChars="-50" w:firstLine="163" w:firstLineChars="68"/>
              <w:rPr>
                <w:rFonts w:ascii="宋体" w:hAnsi="宋体" w:cs="宋体"/>
                <w:color w:val="auto"/>
                <w:sz w:val="24"/>
                <w:highlight w:val="none"/>
              </w:rPr>
            </w:pPr>
            <w:r>
              <w:rPr>
                <w:rFonts w:hint="eastAsia" w:ascii="宋体" w:hAnsi="宋体" w:cs="宋体"/>
                <w:color w:val="auto"/>
                <w:sz w:val="24"/>
                <w:highlight w:val="none"/>
              </w:rPr>
              <w:t>开户银行：</w:t>
            </w:r>
          </w:p>
          <w:p w14:paraId="3A836EAE">
            <w:pPr>
              <w:spacing w:line="360" w:lineRule="auto"/>
              <w:ind w:left="-170" w:right="-105" w:rightChars="-50" w:firstLine="163" w:firstLineChars="68"/>
              <w:rPr>
                <w:rFonts w:ascii="宋体" w:hAnsi="宋体" w:cs="宋体"/>
                <w:color w:val="auto"/>
                <w:sz w:val="24"/>
                <w:highlight w:val="none"/>
              </w:rPr>
            </w:pPr>
            <w:r>
              <w:rPr>
                <w:rFonts w:hint="eastAsia" w:ascii="宋体" w:hAnsi="宋体" w:cs="宋体"/>
                <w:color w:val="auto"/>
                <w:sz w:val="24"/>
                <w:highlight w:val="none"/>
              </w:rPr>
              <w:t xml:space="preserve">账 号：   </w:t>
            </w:r>
          </w:p>
        </w:tc>
        <w:tc>
          <w:tcPr>
            <w:tcW w:w="4714" w:type="dxa"/>
            <w:tcBorders>
              <w:top w:val="single" w:color="auto" w:sz="4" w:space="0"/>
              <w:left w:val="single" w:color="auto" w:sz="4" w:space="0"/>
              <w:right w:val="single" w:color="auto" w:sz="4" w:space="0"/>
            </w:tcBorders>
          </w:tcPr>
          <w:p w14:paraId="23C4C1BC">
            <w:pPr>
              <w:spacing w:line="360" w:lineRule="auto"/>
              <w:ind w:right="-105" w:rightChars="-50"/>
              <w:jc w:val="center"/>
              <w:rPr>
                <w:rFonts w:ascii="宋体" w:hAnsi="宋体" w:cs="宋体"/>
                <w:b/>
                <w:bCs/>
                <w:color w:val="auto"/>
                <w:sz w:val="24"/>
                <w:highlight w:val="none"/>
              </w:rPr>
            </w:pPr>
            <w:r>
              <w:rPr>
                <w:rFonts w:hint="eastAsia" w:ascii="宋体" w:hAnsi="宋体" w:cs="宋体"/>
                <w:b/>
                <w:bCs/>
                <w:color w:val="auto"/>
                <w:sz w:val="24"/>
                <w:highlight w:val="none"/>
              </w:rPr>
              <w:t>乙（服务）方</w:t>
            </w:r>
          </w:p>
          <w:p w14:paraId="0D4011A8">
            <w:pPr>
              <w:spacing w:line="360" w:lineRule="auto"/>
              <w:ind w:left="-170" w:right="-105" w:rightChars="-50" w:firstLine="163" w:firstLineChars="68"/>
              <w:rPr>
                <w:rFonts w:ascii="宋体" w:hAnsi="宋体" w:cs="宋体"/>
                <w:color w:val="auto"/>
                <w:sz w:val="24"/>
                <w:highlight w:val="none"/>
              </w:rPr>
            </w:pPr>
            <w:r>
              <w:rPr>
                <w:rFonts w:hint="eastAsia" w:ascii="宋体" w:hAnsi="宋体" w:cs="宋体"/>
                <w:color w:val="auto"/>
                <w:sz w:val="24"/>
                <w:highlight w:val="none"/>
              </w:rPr>
              <w:t xml:space="preserve">单位名称（盖章）： </w:t>
            </w:r>
          </w:p>
          <w:p w14:paraId="2041B5D0">
            <w:pPr>
              <w:spacing w:line="360" w:lineRule="auto"/>
              <w:ind w:left="-170" w:right="-105" w:rightChars="-50" w:firstLine="163" w:firstLineChars="68"/>
              <w:rPr>
                <w:rFonts w:ascii="宋体" w:hAnsi="宋体" w:cs="宋体"/>
                <w:color w:val="auto"/>
                <w:sz w:val="24"/>
                <w:highlight w:val="none"/>
              </w:rPr>
            </w:pPr>
            <w:r>
              <w:rPr>
                <w:rFonts w:hint="eastAsia" w:ascii="宋体" w:hAnsi="宋体" w:cs="宋体"/>
                <w:color w:val="auto"/>
                <w:sz w:val="24"/>
                <w:highlight w:val="none"/>
              </w:rPr>
              <w:t xml:space="preserve">单位地址： </w:t>
            </w:r>
          </w:p>
          <w:p w14:paraId="26F1D89F">
            <w:pPr>
              <w:spacing w:line="360" w:lineRule="auto"/>
              <w:ind w:left="-170" w:right="-105" w:rightChars="-50" w:firstLine="163" w:firstLineChars="68"/>
              <w:rPr>
                <w:rFonts w:ascii="宋体" w:hAnsi="宋体" w:cs="宋体"/>
                <w:color w:val="auto"/>
                <w:sz w:val="24"/>
                <w:highlight w:val="none"/>
              </w:rPr>
            </w:pPr>
            <w:r>
              <w:rPr>
                <w:rFonts w:hint="eastAsia" w:ascii="宋体" w:hAnsi="宋体" w:cs="宋体"/>
                <w:color w:val="auto"/>
                <w:sz w:val="24"/>
                <w:highlight w:val="none"/>
              </w:rPr>
              <w:t xml:space="preserve">法定（委托）代表人 </w:t>
            </w:r>
          </w:p>
          <w:p w14:paraId="35AA0181">
            <w:pPr>
              <w:spacing w:line="360" w:lineRule="auto"/>
              <w:ind w:left="-170" w:right="-105" w:rightChars="-50" w:firstLine="163" w:firstLineChars="68"/>
              <w:rPr>
                <w:rFonts w:ascii="宋体" w:hAnsi="宋体" w:cs="宋体"/>
                <w:color w:val="auto"/>
                <w:sz w:val="24"/>
                <w:highlight w:val="none"/>
              </w:rPr>
            </w:pPr>
            <w:r>
              <w:rPr>
                <w:rFonts w:hint="eastAsia" w:ascii="宋体" w:hAnsi="宋体" w:cs="宋体"/>
                <w:color w:val="auto"/>
                <w:sz w:val="24"/>
                <w:highlight w:val="none"/>
              </w:rPr>
              <w:t>（签字或盖章）：</w:t>
            </w:r>
          </w:p>
          <w:p w14:paraId="0E556B31">
            <w:pPr>
              <w:spacing w:line="360" w:lineRule="auto"/>
              <w:ind w:left="-170" w:right="-105" w:rightChars="-50" w:firstLine="163" w:firstLineChars="68"/>
              <w:rPr>
                <w:rFonts w:ascii="宋体" w:hAnsi="宋体" w:cs="宋体"/>
                <w:color w:val="auto"/>
                <w:sz w:val="24"/>
                <w:highlight w:val="none"/>
              </w:rPr>
            </w:pPr>
            <w:r>
              <w:rPr>
                <w:rFonts w:hint="eastAsia" w:ascii="宋体" w:hAnsi="宋体" w:cs="宋体"/>
                <w:color w:val="auto"/>
                <w:sz w:val="24"/>
                <w:highlight w:val="none"/>
              </w:rPr>
              <w:t>电 话：</w:t>
            </w:r>
          </w:p>
          <w:p w14:paraId="4B8789DF">
            <w:pPr>
              <w:spacing w:line="360" w:lineRule="auto"/>
              <w:ind w:left="-170" w:right="-105" w:rightChars="-50" w:firstLine="163" w:firstLineChars="68"/>
              <w:rPr>
                <w:rFonts w:ascii="宋体" w:hAnsi="宋体" w:cs="宋体"/>
                <w:color w:val="auto"/>
                <w:sz w:val="24"/>
                <w:highlight w:val="none"/>
              </w:rPr>
            </w:pPr>
            <w:r>
              <w:rPr>
                <w:rFonts w:hint="eastAsia" w:ascii="宋体" w:hAnsi="宋体" w:cs="宋体"/>
                <w:color w:val="auto"/>
                <w:sz w:val="24"/>
                <w:highlight w:val="none"/>
              </w:rPr>
              <w:t xml:space="preserve">开户银行： </w:t>
            </w:r>
          </w:p>
          <w:p w14:paraId="1105A9A6">
            <w:pPr>
              <w:spacing w:line="360" w:lineRule="auto"/>
              <w:ind w:left="-170" w:right="-105" w:rightChars="-50" w:firstLine="163" w:firstLineChars="68"/>
              <w:rPr>
                <w:rFonts w:ascii="宋体" w:hAnsi="宋体" w:cs="宋体"/>
                <w:color w:val="auto"/>
                <w:sz w:val="24"/>
                <w:highlight w:val="none"/>
              </w:rPr>
            </w:pPr>
            <w:r>
              <w:rPr>
                <w:rFonts w:hint="eastAsia" w:ascii="宋体" w:hAnsi="宋体" w:cs="宋体"/>
                <w:color w:val="auto"/>
                <w:sz w:val="24"/>
                <w:highlight w:val="none"/>
              </w:rPr>
              <w:t xml:space="preserve">账 号：  </w:t>
            </w:r>
          </w:p>
        </w:tc>
      </w:tr>
    </w:tbl>
    <w:p w14:paraId="7AFF0B0E">
      <w:pPr>
        <w:spacing w:line="360" w:lineRule="auto"/>
        <w:rPr>
          <w:color w:val="auto"/>
          <w:highlight w:val="none"/>
        </w:rPr>
      </w:pPr>
      <w:r>
        <w:rPr>
          <w:rFonts w:hint="eastAsia" w:ascii="宋体" w:hAnsi="宋体" w:cs="Arial"/>
          <w:bCs/>
          <w:color w:val="auto"/>
          <w:sz w:val="24"/>
          <w:highlight w:val="none"/>
        </w:rPr>
        <w:t xml:space="preserve">                                          合同签订时间：   年   月  日  </w:t>
      </w:r>
      <w:r>
        <w:rPr>
          <w:rFonts w:ascii="仿宋_GB2312" w:eastAsia="仿宋_GB2312"/>
          <w:snapToGrid w:val="0"/>
          <w:color w:val="auto"/>
          <w:kern w:val="0"/>
          <w:sz w:val="30"/>
          <w:szCs w:val="30"/>
          <w:highlight w:val="none"/>
        </w:rPr>
        <w:br w:type="page"/>
      </w:r>
    </w:p>
    <w:p w14:paraId="4C7207BF">
      <w:pPr>
        <w:spacing w:line="360" w:lineRule="auto"/>
        <w:jc w:val="center"/>
        <w:outlineLvl w:val="0"/>
        <w:rPr>
          <w:rFonts w:ascii="黑体" w:hAnsi="黑体" w:eastAsia="黑体" w:cs="黑体"/>
          <w:b/>
          <w:color w:val="auto"/>
          <w:sz w:val="32"/>
          <w:szCs w:val="32"/>
          <w:highlight w:val="none"/>
        </w:rPr>
      </w:pPr>
      <w:bookmarkStart w:id="467" w:name="_Toc442"/>
      <w:bookmarkStart w:id="468" w:name="_Toc19013"/>
      <w:bookmarkStart w:id="469" w:name="_Toc29063"/>
      <w:bookmarkStart w:id="470" w:name="_Toc11410"/>
    </w:p>
    <w:bookmarkEnd w:id="446"/>
    <w:bookmarkEnd w:id="447"/>
    <w:bookmarkEnd w:id="460"/>
    <w:bookmarkEnd w:id="461"/>
    <w:bookmarkEnd w:id="462"/>
    <w:bookmarkEnd w:id="463"/>
    <w:bookmarkEnd w:id="464"/>
    <w:bookmarkEnd w:id="467"/>
    <w:bookmarkEnd w:id="468"/>
    <w:bookmarkEnd w:id="469"/>
    <w:bookmarkEnd w:id="470"/>
    <w:p w14:paraId="76AE99DD">
      <w:pPr>
        <w:pStyle w:val="5"/>
        <w:widowControl/>
        <w:numPr>
          <w:ilvl w:val="0"/>
          <w:numId w:val="5"/>
        </w:numPr>
        <w:spacing w:before="0" w:after="0" w:line="400" w:lineRule="atLeast"/>
        <w:jc w:val="center"/>
        <w:rPr>
          <w:rFonts w:hint="eastAsia" w:ascii="黑体" w:hAnsi="黑体" w:eastAsia="黑体" w:cs="黑体"/>
          <w:b/>
          <w:color w:val="auto"/>
          <w:sz w:val="32"/>
          <w:szCs w:val="32"/>
          <w:highlight w:val="none"/>
          <w:lang w:val="en-US" w:eastAsia="zh-CN"/>
        </w:rPr>
      </w:pPr>
      <w:bookmarkStart w:id="471" w:name="_Toc379335746"/>
      <w:r>
        <w:rPr>
          <w:rFonts w:hint="eastAsia" w:ascii="黑体" w:hAnsi="黑体" w:eastAsia="黑体" w:cs="黑体"/>
          <w:b/>
          <w:color w:val="auto"/>
          <w:sz w:val="32"/>
          <w:szCs w:val="32"/>
          <w:highlight w:val="none"/>
          <w:lang w:eastAsia="zh-CN"/>
        </w:rPr>
        <w:t>投标（响应）文件</w:t>
      </w:r>
      <w:r>
        <w:rPr>
          <w:rFonts w:hint="eastAsia" w:ascii="黑体" w:hAnsi="黑体" w:eastAsia="黑体" w:cs="黑体"/>
          <w:b/>
          <w:color w:val="auto"/>
          <w:sz w:val="32"/>
          <w:szCs w:val="32"/>
          <w:highlight w:val="none"/>
          <w:lang w:val="en-US" w:eastAsia="zh-CN"/>
        </w:rPr>
        <w:t>部分格式</w:t>
      </w:r>
      <w:bookmarkEnd w:id="471"/>
    </w:p>
    <w:p w14:paraId="18640E51">
      <w:pPr>
        <w:numPr>
          <w:ilvl w:val="0"/>
          <w:numId w:val="0"/>
        </w:numPr>
        <w:rPr>
          <w:rFonts w:hint="eastAsia"/>
          <w:lang w:eastAsia="zh-CN"/>
        </w:rPr>
      </w:pPr>
    </w:p>
    <w:p w14:paraId="087D7A41">
      <w:pPr>
        <w:keepNext w:val="0"/>
        <w:keepLines w:val="0"/>
        <w:pageBreakBefore w:val="0"/>
        <w:widowControl w:val="0"/>
        <w:numPr>
          <w:ilvl w:val="0"/>
          <w:numId w:val="6"/>
        </w:numPr>
        <w:kinsoku/>
        <w:wordWrap/>
        <w:overflowPunct/>
        <w:topLinePunct w:val="0"/>
        <w:autoSpaceDE/>
        <w:autoSpaceDN/>
        <w:bidi w:val="0"/>
        <w:adjustRightInd w:val="0"/>
        <w:snapToGrid/>
        <w:spacing w:line="500" w:lineRule="exact"/>
        <w:textAlignment w:val="auto"/>
        <w:rPr>
          <w:sz w:val="28"/>
          <w:szCs w:val="28"/>
        </w:rPr>
      </w:pPr>
      <w:r>
        <w:rPr>
          <w:sz w:val="28"/>
          <w:szCs w:val="28"/>
        </w:rPr>
        <w:t>义乌市政府采购项目</w:t>
      </w:r>
      <w:r>
        <w:rPr>
          <w:rFonts w:hint="eastAsia"/>
          <w:sz w:val="28"/>
          <w:szCs w:val="28"/>
        </w:rPr>
        <w:t>投标（</w:t>
      </w:r>
      <w:r>
        <w:rPr>
          <w:sz w:val="28"/>
          <w:szCs w:val="28"/>
        </w:rPr>
        <w:t>响应</w:t>
      </w:r>
      <w:r>
        <w:rPr>
          <w:rFonts w:hint="eastAsia"/>
          <w:sz w:val="28"/>
          <w:szCs w:val="28"/>
        </w:rPr>
        <w:t>）</w:t>
      </w:r>
      <w:r>
        <w:rPr>
          <w:sz w:val="28"/>
          <w:szCs w:val="28"/>
        </w:rPr>
        <w:t>承诺书</w:t>
      </w:r>
    </w:p>
    <w:p w14:paraId="4AE24A4C">
      <w:pPr>
        <w:pStyle w:val="2"/>
        <w:keepNext w:val="0"/>
        <w:keepLines w:val="0"/>
        <w:pageBreakBefore w:val="0"/>
        <w:widowControl w:val="0"/>
        <w:numPr>
          <w:ilvl w:val="0"/>
          <w:numId w:val="0"/>
        </w:numPr>
        <w:kinsoku/>
        <w:wordWrap/>
        <w:overflowPunct/>
        <w:topLinePunct w:val="0"/>
        <w:bidi w:val="0"/>
        <w:snapToGrid/>
        <w:spacing w:line="500" w:lineRule="exact"/>
        <w:textAlignment w:val="auto"/>
        <w:rPr>
          <w:rFonts w:hint="eastAsia" w:ascii="Times New Roman" w:hAnsi="Times New Roman" w:eastAsia="宋体" w:cs="Times New Roman"/>
          <w:kern w:val="2"/>
          <w:sz w:val="28"/>
          <w:szCs w:val="28"/>
          <w:lang w:val="en-US" w:eastAsia="zh-CN" w:bidi="ar-SA"/>
        </w:rPr>
      </w:pPr>
      <w:r>
        <w:rPr>
          <w:rFonts w:hint="eastAsia" w:ascii="Times New Roman" w:hAnsi="Times New Roman" w:eastAsia="宋体" w:cs="Times New Roman"/>
          <w:b w:val="0"/>
          <w:bCs w:val="0"/>
          <w:kern w:val="2"/>
          <w:sz w:val="28"/>
          <w:szCs w:val="28"/>
          <w:lang w:val="en-US" w:eastAsia="zh-CN" w:bidi="ar-SA"/>
        </w:rPr>
        <w:t>二、联合投标协议书（若需要）</w:t>
      </w:r>
    </w:p>
    <w:p w14:paraId="52593FA7">
      <w:pPr>
        <w:keepNext w:val="0"/>
        <w:keepLines w:val="0"/>
        <w:pageBreakBefore w:val="0"/>
        <w:widowControl w:val="0"/>
        <w:kinsoku/>
        <w:wordWrap/>
        <w:overflowPunct/>
        <w:topLinePunct w:val="0"/>
        <w:autoSpaceDE/>
        <w:autoSpaceDN/>
        <w:bidi w:val="0"/>
        <w:adjustRightInd w:val="0"/>
        <w:snapToGrid/>
        <w:spacing w:line="500" w:lineRule="exact"/>
        <w:textAlignment w:val="auto"/>
        <w:rPr>
          <w:rFonts w:hint="eastAsia" w:ascii="Times New Roman" w:hAnsi="Times New Roman" w:eastAsia="宋体" w:cs="Times New Roman"/>
          <w:kern w:val="2"/>
          <w:sz w:val="28"/>
          <w:szCs w:val="28"/>
          <w:lang w:val="zh-CN" w:eastAsia="zh-CN" w:bidi="ar-SA"/>
        </w:rPr>
      </w:pPr>
      <w:r>
        <w:rPr>
          <w:rFonts w:hint="eastAsia" w:ascii="Times New Roman" w:hAnsi="Times New Roman" w:eastAsia="宋体" w:cs="Times New Roman"/>
          <w:kern w:val="2"/>
          <w:sz w:val="28"/>
          <w:szCs w:val="28"/>
          <w:lang w:val="en-US" w:eastAsia="zh-CN" w:bidi="ar-SA"/>
        </w:rPr>
        <w:t>三</w:t>
      </w:r>
      <w:r>
        <w:rPr>
          <w:rFonts w:ascii="Times New Roman" w:hAnsi="Times New Roman" w:eastAsia="宋体" w:cs="Times New Roman"/>
          <w:kern w:val="2"/>
          <w:sz w:val="28"/>
          <w:szCs w:val="28"/>
          <w:lang w:val="en-US" w:eastAsia="zh-CN" w:bidi="ar-SA"/>
        </w:rPr>
        <w:t>、</w:t>
      </w:r>
      <w:r>
        <w:rPr>
          <w:rFonts w:hint="eastAsia" w:ascii="Times New Roman" w:hAnsi="Times New Roman" w:eastAsia="宋体" w:cs="Times New Roman"/>
          <w:kern w:val="2"/>
          <w:sz w:val="28"/>
          <w:szCs w:val="28"/>
          <w:lang w:val="zh-CN" w:eastAsia="zh-CN" w:bidi="ar-SA"/>
        </w:rPr>
        <w:t>拟派项目组成员</w:t>
      </w:r>
    </w:p>
    <w:p w14:paraId="360D41D9">
      <w:pPr>
        <w:pStyle w:val="20"/>
        <w:keepNext w:val="0"/>
        <w:keepLines w:val="0"/>
        <w:pageBreakBefore w:val="0"/>
        <w:widowControl w:val="0"/>
        <w:kinsoku/>
        <w:wordWrap/>
        <w:overflowPunct/>
        <w:topLinePunct w:val="0"/>
        <w:autoSpaceDE/>
        <w:autoSpaceDN/>
        <w:bidi w:val="0"/>
        <w:adjustRightInd w:val="0"/>
        <w:snapToGrid/>
        <w:spacing w:line="500" w:lineRule="exact"/>
        <w:ind w:left="0" w:leftChars="0" w:firstLine="0" w:firstLineChars="0"/>
        <w:textAlignment w:val="auto"/>
        <w:rPr>
          <w:rFonts w:hint="eastAsia" w:ascii="Times New Roman" w:hAnsi="Times New Roman" w:eastAsia="宋体" w:cs="Times New Roman"/>
          <w:kern w:val="2"/>
          <w:sz w:val="28"/>
          <w:szCs w:val="28"/>
          <w:lang w:val="zh-CN" w:eastAsia="zh-CN" w:bidi="ar-SA"/>
        </w:rPr>
      </w:pPr>
      <w:r>
        <w:rPr>
          <w:rFonts w:hint="eastAsia" w:ascii="Times New Roman" w:hAnsi="Times New Roman" w:eastAsia="宋体" w:cs="Times New Roman"/>
          <w:kern w:val="2"/>
          <w:sz w:val="28"/>
          <w:szCs w:val="28"/>
          <w:lang w:val="zh-CN" w:eastAsia="zh-CN" w:bidi="ar-SA"/>
        </w:rPr>
        <w:t>四、服务质量保证承诺书</w:t>
      </w:r>
    </w:p>
    <w:p w14:paraId="42F07056">
      <w:pPr>
        <w:keepNext w:val="0"/>
        <w:keepLines w:val="0"/>
        <w:pageBreakBefore w:val="0"/>
        <w:widowControl w:val="0"/>
        <w:kinsoku/>
        <w:wordWrap/>
        <w:overflowPunct/>
        <w:topLinePunct w:val="0"/>
        <w:autoSpaceDE/>
        <w:autoSpaceDN/>
        <w:bidi w:val="0"/>
        <w:adjustRightInd w:val="0"/>
        <w:snapToGrid/>
        <w:spacing w:line="500" w:lineRule="exact"/>
        <w:textAlignment w:val="auto"/>
        <w:rPr>
          <w:rFonts w:hint="eastAsia"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五</w:t>
      </w:r>
      <w:r>
        <w:rPr>
          <w:rFonts w:ascii="Times New Roman" w:hAnsi="Times New Roman" w:eastAsia="宋体" w:cs="Times New Roman"/>
          <w:kern w:val="2"/>
          <w:sz w:val="28"/>
          <w:szCs w:val="28"/>
          <w:lang w:val="en-US" w:eastAsia="zh-CN" w:bidi="ar-SA"/>
        </w:rPr>
        <w:t>、</w:t>
      </w:r>
      <w:r>
        <w:rPr>
          <w:rFonts w:hint="eastAsia" w:ascii="Times New Roman" w:hAnsi="Times New Roman" w:eastAsia="宋体" w:cs="Times New Roman"/>
          <w:kern w:val="2"/>
          <w:sz w:val="28"/>
          <w:szCs w:val="28"/>
          <w:lang w:val="en-US" w:eastAsia="zh-CN" w:bidi="ar-SA"/>
        </w:rPr>
        <w:t>开标一览表</w:t>
      </w:r>
    </w:p>
    <w:p w14:paraId="5682202C">
      <w:pPr>
        <w:keepNext w:val="0"/>
        <w:keepLines w:val="0"/>
        <w:pageBreakBefore w:val="0"/>
        <w:widowControl w:val="0"/>
        <w:kinsoku/>
        <w:wordWrap/>
        <w:overflowPunct/>
        <w:topLinePunct w:val="0"/>
        <w:autoSpaceDE/>
        <w:autoSpaceDN/>
        <w:bidi w:val="0"/>
        <w:adjustRightInd w:val="0"/>
        <w:snapToGrid/>
        <w:spacing w:line="500" w:lineRule="exact"/>
        <w:textAlignment w:val="auto"/>
        <w:rPr>
          <w:rFonts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六</w:t>
      </w:r>
      <w:r>
        <w:rPr>
          <w:rFonts w:ascii="Times New Roman" w:hAnsi="Times New Roman" w:eastAsia="宋体" w:cs="Times New Roman"/>
          <w:kern w:val="2"/>
          <w:sz w:val="28"/>
          <w:szCs w:val="28"/>
          <w:lang w:val="en-US" w:eastAsia="zh-CN" w:bidi="ar-SA"/>
        </w:rPr>
        <w:t>、中小企业声明函</w:t>
      </w:r>
    </w:p>
    <w:p w14:paraId="1540C74E">
      <w:pPr>
        <w:keepNext w:val="0"/>
        <w:keepLines w:val="0"/>
        <w:pageBreakBefore w:val="0"/>
        <w:widowControl w:val="0"/>
        <w:kinsoku/>
        <w:wordWrap/>
        <w:overflowPunct/>
        <w:topLinePunct w:val="0"/>
        <w:autoSpaceDE/>
        <w:autoSpaceDN/>
        <w:bidi w:val="0"/>
        <w:adjustRightInd w:val="0"/>
        <w:snapToGrid/>
        <w:spacing w:line="500" w:lineRule="exact"/>
        <w:textAlignment w:val="auto"/>
        <w:rPr>
          <w:rFonts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七</w:t>
      </w:r>
      <w:r>
        <w:rPr>
          <w:rFonts w:ascii="Times New Roman" w:hAnsi="Times New Roman" w:eastAsia="宋体" w:cs="Times New Roman"/>
          <w:kern w:val="2"/>
          <w:sz w:val="28"/>
          <w:szCs w:val="28"/>
          <w:lang w:val="en-US" w:eastAsia="zh-CN" w:bidi="ar-SA"/>
        </w:rPr>
        <w:t>、残疾人福利性单位声明函</w:t>
      </w:r>
    </w:p>
    <w:p w14:paraId="0AA876C2">
      <w:pPr>
        <w:spacing w:line="360" w:lineRule="auto"/>
        <w:jc w:val="center"/>
        <w:rPr>
          <w:rFonts w:ascii="宋体" w:hAnsi="宋体" w:cs="宋体"/>
          <w:b/>
          <w:color w:val="auto"/>
          <w:kern w:val="0"/>
          <w:sz w:val="36"/>
          <w:szCs w:val="36"/>
          <w:highlight w:val="none"/>
        </w:rPr>
      </w:pPr>
    </w:p>
    <w:p w14:paraId="5F2D8B57">
      <w:pPr>
        <w:pStyle w:val="20"/>
        <w:rPr>
          <w:rFonts w:ascii="宋体" w:hAnsi="宋体" w:cs="宋体"/>
          <w:b/>
          <w:color w:val="auto"/>
          <w:kern w:val="0"/>
          <w:sz w:val="36"/>
          <w:szCs w:val="36"/>
          <w:highlight w:val="none"/>
        </w:rPr>
      </w:pPr>
    </w:p>
    <w:p w14:paraId="71757073">
      <w:pPr>
        <w:rPr>
          <w:rFonts w:ascii="宋体" w:hAnsi="宋体" w:cs="宋体"/>
          <w:b/>
          <w:color w:val="auto"/>
          <w:kern w:val="0"/>
          <w:sz w:val="36"/>
          <w:szCs w:val="36"/>
          <w:highlight w:val="none"/>
        </w:rPr>
      </w:pPr>
    </w:p>
    <w:p w14:paraId="6010288F">
      <w:pPr>
        <w:pStyle w:val="20"/>
        <w:rPr>
          <w:rFonts w:ascii="宋体" w:hAnsi="宋体" w:cs="宋体"/>
          <w:b/>
          <w:color w:val="auto"/>
          <w:kern w:val="0"/>
          <w:sz w:val="36"/>
          <w:szCs w:val="36"/>
          <w:highlight w:val="none"/>
        </w:rPr>
      </w:pPr>
    </w:p>
    <w:p w14:paraId="387588E5">
      <w:pPr>
        <w:rPr>
          <w:rFonts w:ascii="宋体" w:hAnsi="宋体" w:cs="宋体"/>
          <w:b/>
          <w:color w:val="auto"/>
          <w:kern w:val="0"/>
          <w:sz w:val="36"/>
          <w:szCs w:val="36"/>
          <w:highlight w:val="none"/>
        </w:rPr>
      </w:pPr>
    </w:p>
    <w:p w14:paraId="4E7F0C5C">
      <w:pPr>
        <w:pStyle w:val="20"/>
        <w:rPr>
          <w:rFonts w:ascii="宋体" w:hAnsi="宋体" w:cs="宋体"/>
          <w:b/>
          <w:color w:val="auto"/>
          <w:kern w:val="0"/>
          <w:sz w:val="36"/>
          <w:szCs w:val="36"/>
          <w:highlight w:val="none"/>
        </w:rPr>
      </w:pPr>
    </w:p>
    <w:p w14:paraId="0140E866">
      <w:pPr>
        <w:rPr>
          <w:rFonts w:ascii="宋体" w:hAnsi="宋体" w:cs="宋体"/>
          <w:b/>
          <w:color w:val="auto"/>
          <w:kern w:val="0"/>
          <w:sz w:val="36"/>
          <w:szCs w:val="36"/>
          <w:highlight w:val="none"/>
        </w:rPr>
      </w:pPr>
    </w:p>
    <w:p w14:paraId="2017DFCF">
      <w:pPr>
        <w:pStyle w:val="20"/>
        <w:rPr>
          <w:rFonts w:ascii="宋体" w:hAnsi="宋体" w:cs="宋体"/>
          <w:b/>
          <w:color w:val="auto"/>
          <w:kern w:val="0"/>
          <w:sz w:val="36"/>
          <w:szCs w:val="36"/>
          <w:highlight w:val="none"/>
        </w:rPr>
      </w:pPr>
    </w:p>
    <w:p w14:paraId="637E1FEE">
      <w:pPr>
        <w:rPr>
          <w:rFonts w:ascii="宋体" w:hAnsi="宋体" w:cs="宋体"/>
          <w:b/>
          <w:color w:val="auto"/>
          <w:kern w:val="0"/>
          <w:sz w:val="36"/>
          <w:szCs w:val="36"/>
          <w:highlight w:val="none"/>
        </w:rPr>
      </w:pPr>
    </w:p>
    <w:p w14:paraId="36C3DB9A">
      <w:pPr>
        <w:pStyle w:val="20"/>
        <w:rPr>
          <w:rFonts w:ascii="宋体" w:hAnsi="宋体" w:cs="宋体"/>
          <w:b/>
          <w:color w:val="auto"/>
          <w:kern w:val="0"/>
          <w:sz w:val="36"/>
          <w:szCs w:val="36"/>
          <w:highlight w:val="none"/>
        </w:rPr>
      </w:pPr>
    </w:p>
    <w:p w14:paraId="6E32379B">
      <w:pPr>
        <w:rPr>
          <w:rFonts w:ascii="宋体" w:hAnsi="宋体" w:cs="宋体"/>
          <w:b/>
          <w:color w:val="auto"/>
          <w:kern w:val="0"/>
          <w:sz w:val="36"/>
          <w:szCs w:val="36"/>
          <w:highlight w:val="none"/>
        </w:rPr>
      </w:pPr>
    </w:p>
    <w:p w14:paraId="0DBDBDEB">
      <w:pPr>
        <w:pStyle w:val="20"/>
        <w:rPr>
          <w:rFonts w:ascii="宋体" w:hAnsi="宋体" w:cs="宋体"/>
          <w:b/>
          <w:color w:val="auto"/>
          <w:kern w:val="0"/>
          <w:sz w:val="36"/>
          <w:szCs w:val="36"/>
          <w:highlight w:val="none"/>
        </w:rPr>
      </w:pPr>
    </w:p>
    <w:p w14:paraId="75ADA5BE">
      <w:pPr>
        <w:rPr>
          <w:rFonts w:ascii="宋体" w:hAnsi="宋体" w:cs="宋体"/>
          <w:b/>
          <w:color w:val="auto"/>
          <w:kern w:val="0"/>
          <w:sz w:val="36"/>
          <w:szCs w:val="36"/>
          <w:highlight w:val="none"/>
        </w:rPr>
      </w:pPr>
    </w:p>
    <w:p w14:paraId="23E769B8">
      <w:pPr>
        <w:pStyle w:val="20"/>
        <w:rPr>
          <w:rFonts w:ascii="宋体" w:hAnsi="宋体" w:cs="宋体"/>
          <w:b/>
          <w:color w:val="auto"/>
          <w:kern w:val="0"/>
          <w:sz w:val="36"/>
          <w:szCs w:val="36"/>
          <w:highlight w:val="none"/>
        </w:rPr>
      </w:pPr>
    </w:p>
    <w:p w14:paraId="782EB083">
      <w:pPr>
        <w:rPr>
          <w:rFonts w:ascii="宋体" w:hAnsi="宋体" w:cs="宋体"/>
          <w:b/>
          <w:color w:val="auto"/>
          <w:kern w:val="0"/>
          <w:sz w:val="36"/>
          <w:szCs w:val="36"/>
          <w:highlight w:val="none"/>
        </w:rPr>
      </w:pPr>
    </w:p>
    <w:p w14:paraId="7496053E">
      <w:pPr>
        <w:pStyle w:val="20"/>
        <w:rPr>
          <w:rFonts w:ascii="宋体" w:hAnsi="宋体" w:cs="宋体"/>
          <w:b/>
          <w:color w:val="auto"/>
          <w:kern w:val="0"/>
          <w:sz w:val="36"/>
          <w:szCs w:val="36"/>
          <w:highlight w:val="none"/>
        </w:rPr>
      </w:pPr>
    </w:p>
    <w:p w14:paraId="64C5F196">
      <w:pPr>
        <w:rPr>
          <w:rFonts w:ascii="宋体" w:hAnsi="宋体" w:cs="宋体"/>
          <w:b/>
          <w:color w:val="auto"/>
          <w:kern w:val="0"/>
          <w:sz w:val="36"/>
          <w:szCs w:val="36"/>
          <w:highlight w:val="none"/>
        </w:rPr>
      </w:pPr>
    </w:p>
    <w:p w14:paraId="66D6E9FA">
      <w:pPr>
        <w:pStyle w:val="20"/>
        <w:rPr>
          <w:rFonts w:ascii="宋体" w:hAnsi="宋体" w:cs="宋体"/>
          <w:b/>
          <w:color w:val="auto"/>
          <w:kern w:val="0"/>
          <w:sz w:val="36"/>
          <w:szCs w:val="36"/>
          <w:highlight w:val="none"/>
        </w:rPr>
      </w:pPr>
    </w:p>
    <w:p w14:paraId="25E9B8A8">
      <w:pPr>
        <w:rPr>
          <w:rFonts w:ascii="宋体" w:hAnsi="宋体" w:cs="宋体"/>
          <w:b/>
          <w:color w:val="auto"/>
          <w:kern w:val="0"/>
          <w:sz w:val="36"/>
          <w:szCs w:val="36"/>
          <w:highlight w:val="none"/>
        </w:rPr>
      </w:pPr>
    </w:p>
    <w:p w14:paraId="7D5A0D0E">
      <w:pPr>
        <w:pStyle w:val="20"/>
        <w:rPr>
          <w:rFonts w:ascii="宋体" w:hAnsi="宋体" w:cs="宋体"/>
          <w:b/>
          <w:color w:val="auto"/>
          <w:kern w:val="0"/>
          <w:sz w:val="36"/>
          <w:szCs w:val="36"/>
          <w:highlight w:val="none"/>
        </w:rPr>
      </w:pPr>
    </w:p>
    <w:p w14:paraId="60F3FA70">
      <w:pPr>
        <w:rPr>
          <w:rFonts w:ascii="宋体" w:hAnsi="宋体" w:cs="宋体"/>
          <w:b/>
          <w:color w:val="auto"/>
          <w:kern w:val="0"/>
          <w:sz w:val="36"/>
          <w:szCs w:val="36"/>
          <w:highlight w:val="none"/>
        </w:rPr>
      </w:pPr>
    </w:p>
    <w:p w14:paraId="0DD07E74">
      <w:pPr>
        <w:pStyle w:val="20"/>
      </w:pPr>
    </w:p>
    <w:p w14:paraId="5FB0AE3B">
      <w:pPr>
        <w:pStyle w:val="64"/>
        <w:ind w:firstLine="420"/>
        <w:rPr>
          <w:color w:val="auto"/>
          <w:highlight w:val="none"/>
        </w:rPr>
      </w:pPr>
    </w:p>
    <w:p w14:paraId="0AADC4E4">
      <w:pPr>
        <w:jc w:val="both"/>
        <w:rPr>
          <w:rFonts w:hint="eastAsia" w:cs="宋体"/>
          <w:b/>
          <w:bCs/>
          <w:color w:val="auto"/>
          <w:sz w:val="52"/>
          <w:szCs w:val="52"/>
          <w:highlight w:val="none"/>
          <w:lang w:eastAsia="zh-CN"/>
        </w:rPr>
      </w:pPr>
      <w:r>
        <w:rPr>
          <w:sz w:val="28"/>
          <w:szCs w:val="28"/>
        </w:rPr>
        <w:t>封面</w:t>
      </w:r>
    </w:p>
    <w:p w14:paraId="281503F3">
      <w:pPr>
        <w:pStyle w:val="64"/>
        <w:spacing w:line="360" w:lineRule="auto"/>
        <w:ind w:left="0" w:leftChars="0" w:firstLine="0" w:firstLineChars="0"/>
        <w:jc w:val="center"/>
        <w:rPr>
          <w:rFonts w:hint="eastAsia" w:cs="宋体"/>
          <w:b/>
          <w:bCs/>
          <w:color w:val="auto"/>
          <w:sz w:val="52"/>
          <w:szCs w:val="52"/>
          <w:highlight w:val="none"/>
          <w:lang w:eastAsia="zh-CN"/>
        </w:rPr>
      </w:pPr>
      <w:r>
        <w:rPr>
          <w:rFonts w:hint="eastAsia" w:cs="宋体"/>
          <w:b/>
          <w:bCs/>
          <w:color w:val="auto"/>
          <w:sz w:val="52"/>
          <w:szCs w:val="52"/>
          <w:highlight w:val="none"/>
          <w:lang w:eastAsia="zh-CN"/>
        </w:rPr>
        <w:t>义乌市2026-2027年度</w:t>
      </w:r>
    </w:p>
    <w:p w14:paraId="109FA6F1">
      <w:pPr>
        <w:pStyle w:val="64"/>
        <w:spacing w:line="360" w:lineRule="auto"/>
        <w:ind w:left="0" w:leftChars="0" w:firstLine="0" w:firstLineChars="0"/>
        <w:jc w:val="center"/>
        <w:rPr>
          <w:rFonts w:hint="eastAsia" w:cs="宋体"/>
          <w:b/>
          <w:bCs/>
          <w:color w:val="auto"/>
          <w:sz w:val="52"/>
          <w:szCs w:val="52"/>
          <w:highlight w:val="none"/>
          <w:lang w:eastAsia="zh-CN"/>
        </w:rPr>
      </w:pPr>
      <w:r>
        <w:rPr>
          <w:rFonts w:hint="eastAsia" w:cs="宋体"/>
          <w:b/>
          <w:bCs/>
          <w:color w:val="auto"/>
          <w:sz w:val="52"/>
          <w:szCs w:val="52"/>
          <w:highlight w:val="none"/>
          <w:lang w:eastAsia="zh-CN"/>
        </w:rPr>
        <w:t>专项债券发行准备法律专业服务</w:t>
      </w:r>
    </w:p>
    <w:p w14:paraId="1964C4E8">
      <w:pPr>
        <w:pStyle w:val="64"/>
        <w:spacing w:line="360" w:lineRule="auto"/>
        <w:ind w:left="0" w:leftChars="0" w:firstLine="0" w:firstLineChars="0"/>
        <w:jc w:val="center"/>
        <w:rPr>
          <w:color w:val="auto"/>
          <w:highlight w:val="none"/>
        </w:rPr>
      </w:pPr>
      <w:r>
        <w:rPr>
          <w:rFonts w:hint="eastAsia" w:cs="宋体"/>
          <w:b/>
          <w:bCs/>
          <w:color w:val="auto"/>
          <w:sz w:val="52"/>
          <w:szCs w:val="52"/>
          <w:highlight w:val="none"/>
          <w:lang w:eastAsia="zh-CN"/>
        </w:rPr>
        <w:t>封闭式框架协议采购项目</w:t>
      </w:r>
    </w:p>
    <w:p w14:paraId="4C25B602">
      <w:pPr>
        <w:pStyle w:val="19"/>
        <w:rPr>
          <w:color w:val="auto"/>
          <w:highlight w:val="none"/>
        </w:rPr>
      </w:pPr>
    </w:p>
    <w:p w14:paraId="052550FC">
      <w:pPr>
        <w:pStyle w:val="19"/>
        <w:rPr>
          <w:color w:val="auto"/>
          <w:highlight w:val="none"/>
        </w:rPr>
      </w:pPr>
    </w:p>
    <w:p w14:paraId="656FE73B">
      <w:pPr>
        <w:shd w:val="clear" w:color="auto" w:fill="FFFFFF"/>
        <w:snapToGrid w:val="0"/>
        <w:spacing w:after="50"/>
        <w:jc w:val="center"/>
        <w:rPr>
          <w:rFonts w:ascii="宋体" w:hAnsi="宋体" w:cs="宋体"/>
          <w:b/>
          <w:color w:val="auto"/>
          <w:sz w:val="52"/>
          <w:szCs w:val="52"/>
          <w:highlight w:val="none"/>
          <w:shd w:val="clear" w:color="auto" w:fill="FFFFFF"/>
          <w:lang w:bidi="ar"/>
        </w:rPr>
      </w:pPr>
      <w:r>
        <w:rPr>
          <w:rFonts w:hint="eastAsia" w:ascii="宋体" w:hAnsi="宋体" w:cs="宋体"/>
          <w:b/>
          <w:color w:val="auto"/>
          <w:sz w:val="72"/>
          <w:szCs w:val="72"/>
          <w:highlight w:val="none"/>
          <w:shd w:val="clear" w:color="auto" w:fill="FFFFFF"/>
          <w:lang w:bidi="ar"/>
        </w:rPr>
        <w:t>响 应 文 件</w:t>
      </w:r>
    </w:p>
    <w:p w14:paraId="6A6E45E4">
      <w:pPr>
        <w:shd w:val="clear" w:color="auto" w:fill="FFFFFF"/>
        <w:snapToGrid w:val="0"/>
        <w:spacing w:after="50"/>
        <w:jc w:val="center"/>
        <w:rPr>
          <w:rFonts w:ascii="宋体" w:hAnsi="宋体"/>
          <w:b/>
          <w:color w:val="auto"/>
          <w:sz w:val="44"/>
          <w:szCs w:val="44"/>
          <w:highlight w:val="none"/>
        </w:rPr>
      </w:pPr>
    </w:p>
    <w:p w14:paraId="252BDC60">
      <w:pPr>
        <w:shd w:val="clear" w:color="auto" w:fill="FFFFFF"/>
        <w:snapToGrid w:val="0"/>
        <w:spacing w:after="50"/>
        <w:rPr>
          <w:rFonts w:ascii="宋体" w:hAnsi="宋体"/>
          <w:bCs/>
          <w:color w:val="auto"/>
          <w:sz w:val="24"/>
          <w:highlight w:val="none"/>
        </w:rPr>
      </w:pPr>
    </w:p>
    <w:p w14:paraId="29C577CC">
      <w:pPr>
        <w:shd w:val="clear" w:color="auto" w:fill="FFFFFF"/>
        <w:snapToGrid w:val="0"/>
        <w:spacing w:after="50"/>
        <w:jc w:val="center"/>
        <w:rPr>
          <w:rFonts w:ascii="宋体" w:hAnsi="宋体"/>
          <w:bCs/>
          <w:color w:val="auto"/>
          <w:sz w:val="24"/>
          <w:highlight w:val="none"/>
        </w:rPr>
      </w:pPr>
    </w:p>
    <w:p w14:paraId="55A1FCF2">
      <w:pPr>
        <w:pStyle w:val="64"/>
        <w:ind w:firstLine="480"/>
        <w:rPr>
          <w:bCs/>
          <w:color w:val="auto"/>
          <w:sz w:val="24"/>
          <w:highlight w:val="none"/>
        </w:rPr>
      </w:pPr>
    </w:p>
    <w:p w14:paraId="285AF2BA">
      <w:pPr>
        <w:rPr>
          <w:rFonts w:ascii="宋体" w:hAnsi="宋体"/>
          <w:bCs/>
          <w:color w:val="auto"/>
          <w:sz w:val="24"/>
          <w:highlight w:val="none"/>
        </w:rPr>
      </w:pPr>
    </w:p>
    <w:p w14:paraId="3056907E">
      <w:pPr>
        <w:pStyle w:val="64"/>
        <w:ind w:firstLine="480"/>
        <w:rPr>
          <w:bCs/>
          <w:color w:val="auto"/>
          <w:sz w:val="24"/>
          <w:highlight w:val="none"/>
        </w:rPr>
      </w:pPr>
    </w:p>
    <w:p w14:paraId="0BC70570">
      <w:pPr>
        <w:rPr>
          <w:color w:val="auto"/>
          <w:highlight w:val="none"/>
        </w:rPr>
      </w:pPr>
    </w:p>
    <w:p w14:paraId="2B9B197F">
      <w:pPr>
        <w:shd w:val="clear" w:color="auto" w:fill="FFFFFF"/>
        <w:snapToGrid w:val="0"/>
        <w:spacing w:after="50"/>
        <w:rPr>
          <w:rFonts w:ascii="宋体" w:hAnsi="宋体"/>
          <w:bCs/>
          <w:color w:val="auto"/>
          <w:sz w:val="24"/>
          <w:szCs w:val="20"/>
          <w:highlight w:val="none"/>
        </w:rPr>
      </w:pPr>
    </w:p>
    <w:p w14:paraId="7E91C7A9">
      <w:pPr>
        <w:shd w:val="clear" w:color="auto" w:fill="FFFFFF"/>
        <w:snapToGrid w:val="0"/>
        <w:spacing w:after="50"/>
        <w:ind w:firstLine="900" w:firstLineChars="300"/>
        <w:rPr>
          <w:rFonts w:hint="eastAsia" w:ascii="宋体" w:hAnsi="宋体"/>
          <w:bCs/>
          <w:color w:val="auto"/>
          <w:sz w:val="30"/>
          <w:szCs w:val="30"/>
          <w:highlight w:val="none"/>
          <w:u w:val="single"/>
          <w:lang w:val="en-US" w:eastAsia="zh-CN"/>
        </w:rPr>
      </w:pPr>
      <w:r>
        <w:rPr>
          <w:rFonts w:hint="eastAsia" w:ascii="宋体" w:hAnsi="宋体"/>
          <w:bCs/>
          <w:color w:val="auto"/>
          <w:sz w:val="30"/>
          <w:szCs w:val="30"/>
          <w:highlight w:val="none"/>
        </w:rPr>
        <w:t>项目编号：</w:t>
      </w:r>
      <w:r>
        <w:rPr>
          <w:rFonts w:hint="eastAsia" w:ascii="宋体" w:hAnsi="宋体"/>
          <w:bCs/>
          <w:color w:val="auto"/>
          <w:sz w:val="30"/>
          <w:szCs w:val="30"/>
          <w:highlight w:val="none"/>
          <w:u w:val="single"/>
          <w:lang w:val="en-US" w:eastAsia="zh-CN"/>
        </w:rPr>
        <w:t xml:space="preserve">                   </w:t>
      </w:r>
    </w:p>
    <w:p w14:paraId="3EBE93B1">
      <w:pPr>
        <w:shd w:val="clear" w:color="auto" w:fill="FFFFFF"/>
        <w:snapToGrid w:val="0"/>
        <w:spacing w:after="50"/>
        <w:ind w:firstLine="900" w:firstLineChars="300"/>
        <w:rPr>
          <w:rFonts w:hint="default" w:ascii="宋体" w:hAnsi="宋体" w:eastAsia="宋体"/>
          <w:bCs/>
          <w:color w:val="auto"/>
          <w:sz w:val="30"/>
          <w:szCs w:val="30"/>
          <w:highlight w:val="none"/>
          <w:u w:val="single"/>
          <w:lang w:val="en-US" w:eastAsia="zh-CN"/>
        </w:rPr>
      </w:pPr>
      <w:r>
        <w:rPr>
          <w:rFonts w:hint="eastAsia" w:ascii="宋体" w:hAnsi="宋体"/>
          <w:bCs/>
          <w:color w:val="auto"/>
          <w:sz w:val="30"/>
          <w:szCs w:val="30"/>
          <w:highlight w:val="none"/>
        </w:rPr>
        <w:t>供应商全称（公章）：</w:t>
      </w:r>
      <w:r>
        <w:rPr>
          <w:rFonts w:hint="eastAsia" w:ascii="宋体" w:hAnsi="宋体"/>
          <w:bCs/>
          <w:color w:val="auto"/>
          <w:sz w:val="30"/>
          <w:szCs w:val="30"/>
          <w:highlight w:val="none"/>
          <w:u w:val="single"/>
          <w:lang w:val="en-US" w:eastAsia="zh-CN"/>
        </w:rPr>
        <w:t xml:space="preserve">                   </w:t>
      </w:r>
    </w:p>
    <w:p w14:paraId="6FDAB18D">
      <w:pPr>
        <w:shd w:val="clear" w:color="auto" w:fill="FFFFFF"/>
        <w:snapToGrid w:val="0"/>
        <w:spacing w:after="50"/>
        <w:ind w:firstLine="900" w:firstLineChars="300"/>
        <w:rPr>
          <w:rFonts w:hint="default" w:ascii="宋体" w:hAnsi="宋体" w:eastAsia="宋体"/>
          <w:bCs/>
          <w:color w:val="auto"/>
          <w:sz w:val="30"/>
          <w:szCs w:val="30"/>
          <w:highlight w:val="none"/>
          <w:u w:val="single"/>
          <w:lang w:val="en-US" w:eastAsia="zh-CN"/>
        </w:rPr>
      </w:pPr>
      <w:r>
        <w:rPr>
          <w:rFonts w:hint="eastAsia" w:ascii="宋体" w:hAnsi="宋体"/>
          <w:bCs/>
          <w:color w:val="auto"/>
          <w:sz w:val="30"/>
          <w:szCs w:val="30"/>
          <w:highlight w:val="none"/>
        </w:rPr>
        <w:t>供应商地址：</w:t>
      </w:r>
      <w:r>
        <w:rPr>
          <w:rFonts w:hint="eastAsia" w:ascii="宋体" w:hAnsi="宋体"/>
          <w:bCs/>
          <w:color w:val="auto"/>
          <w:sz w:val="30"/>
          <w:szCs w:val="30"/>
          <w:highlight w:val="none"/>
          <w:u w:val="single"/>
          <w:lang w:val="en-US" w:eastAsia="zh-CN"/>
        </w:rPr>
        <w:t xml:space="preserve">                 </w:t>
      </w:r>
    </w:p>
    <w:p w14:paraId="361448A6">
      <w:pPr>
        <w:shd w:val="clear" w:color="auto" w:fill="FFFFFF"/>
        <w:snapToGrid w:val="0"/>
        <w:spacing w:after="50"/>
        <w:ind w:firstLine="900" w:firstLineChars="300"/>
        <w:rPr>
          <w:rFonts w:hint="default" w:ascii="宋体" w:hAnsi="宋体" w:eastAsia="宋体"/>
          <w:bCs/>
          <w:color w:val="auto"/>
          <w:sz w:val="30"/>
          <w:szCs w:val="30"/>
          <w:highlight w:val="none"/>
          <w:lang w:val="en-US" w:eastAsia="zh-CN"/>
        </w:rPr>
      </w:pPr>
      <w:r>
        <w:rPr>
          <w:rFonts w:hint="eastAsia" w:ascii="宋体" w:hAnsi="宋体"/>
          <w:bCs/>
          <w:color w:val="auto"/>
          <w:sz w:val="30"/>
          <w:szCs w:val="30"/>
          <w:highlight w:val="none"/>
        </w:rPr>
        <w:t>联系电话：</w:t>
      </w:r>
      <w:r>
        <w:rPr>
          <w:rFonts w:hint="eastAsia" w:ascii="宋体" w:hAnsi="宋体"/>
          <w:bCs/>
          <w:color w:val="auto"/>
          <w:sz w:val="30"/>
          <w:szCs w:val="30"/>
          <w:highlight w:val="none"/>
          <w:u w:val="single"/>
          <w:lang w:val="en-US" w:eastAsia="zh-CN"/>
        </w:rPr>
        <w:t xml:space="preserve">                   </w:t>
      </w:r>
      <w:r>
        <w:rPr>
          <w:rFonts w:hint="eastAsia" w:ascii="宋体" w:hAnsi="宋体"/>
          <w:bCs/>
          <w:color w:val="auto"/>
          <w:sz w:val="30"/>
          <w:szCs w:val="30"/>
          <w:highlight w:val="none"/>
          <w:lang w:val="en-US" w:eastAsia="zh-CN"/>
        </w:rPr>
        <w:t xml:space="preserve"> </w:t>
      </w:r>
    </w:p>
    <w:p w14:paraId="303C2C14">
      <w:pPr>
        <w:shd w:val="clear" w:color="auto" w:fill="FFFFFF"/>
        <w:snapToGrid w:val="0"/>
        <w:spacing w:after="50"/>
        <w:jc w:val="center"/>
        <w:rPr>
          <w:rFonts w:ascii="宋体" w:hAnsi="宋体"/>
          <w:color w:val="auto"/>
          <w:sz w:val="28"/>
          <w:szCs w:val="21"/>
          <w:highlight w:val="none"/>
        </w:rPr>
      </w:pPr>
    </w:p>
    <w:p w14:paraId="71C44D99">
      <w:pPr>
        <w:shd w:val="clear" w:color="auto" w:fill="FFFFFF"/>
        <w:snapToGrid w:val="0"/>
        <w:spacing w:after="50"/>
        <w:ind w:right="670" w:rightChars="319" w:firstLine="645"/>
        <w:jc w:val="center"/>
        <w:rPr>
          <w:rFonts w:ascii="宋体" w:hAnsi="宋体" w:cs="宋体"/>
          <w:b/>
          <w:color w:val="auto"/>
          <w:kern w:val="0"/>
          <w:sz w:val="36"/>
          <w:szCs w:val="36"/>
          <w:highlight w:val="none"/>
        </w:rPr>
      </w:pPr>
      <w:r>
        <w:rPr>
          <w:rFonts w:hint="eastAsia" w:ascii="宋体" w:hAnsi="宋体"/>
          <w:color w:val="auto"/>
          <w:sz w:val="28"/>
          <w:szCs w:val="28"/>
          <w:highlight w:val="none"/>
        </w:rPr>
        <w:t>年  月  日</w:t>
      </w:r>
    </w:p>
    <w:p w14:paraId="3581C2CE">
      <w:pPr>
        <w:spacing w:line="360" w:lineRule="auto"/>
        <w:jc w:val="center"/>
        <w:rPr>
          <w:rFonts w:hint="eastAsia" w:ascii="宋体" w:hAnsi="宋体" w:cs="宋体"/>
          <w:b/>
          <w:color w:val="auto"/>
          <w:kern w:val="0"/>
          <w:sz w:val="36"/>
          <w:szCs w:val="36"/>
          <w:highlight w:val="none"/>
        </w:rPr>
      </w:pPr>
    </w:p>
    <w:p w14:paraId="602ABCEC">
      <w:pPr>
        <w:spacing w:line="360" w:lineRule="auto"/>
        <w:jc w:val="center"/>
        <w:rPr>
          <w:rFonts w:hint="eastAsia" w:ascii="宋体" w:hAnsi="宋体" w:cs="宋体"/>
          <w:b/>
          <w:color w:val="auto"/>
          <w:kern w:val="0"/>
          <w:sz w:val="36"/>
          <w:szCs w:val="36"/>
          <w:highlight w:val="none"/>
        </w:rPr>
      </w:pPr>
    </w:p>
    <w:p w14:paraId="74746096">
      <w:pPr>
        <w:spacing w:line="360" w:lineRule="auto"/>
        <w:jc w:val="center"/>
        <w:rPr>
          <w:rFonts w:hint="eastAsia" w:ascii="宋体" w:hAnsi="宋体" w:cs="宋体"/>
          <w:b/>
          <w:color w:val="auto"/>
          <w:kern w:val="0"/>
          <w:sz w:val="36"/>
          <w:szCs w:val="36"/>
          <w:highlight w:val="none"/>
        </w:rPr>
      </w:pPr>
    </w:p>
    <w:p w14:paraId="45DA8985">
      <w:pPr>
        <w:pStyle w:val="6"/>
        <w:jc w:val="both"/>
        <w:rPr>
          <w:rFonts w:hint="eastAsia" w:ascii="Times New Roman" w:hAnsi="Times New Roman" w:eastAsia="宋体" w:cs="Times New Roman"/>
          <w:b/>
          <w:bCs/>
          <w:kern w:val="2"/>
          <w:sz w:val="32"/>
          <w:szCs w:val="32"/>
          <w:lang w:val="en-US" w:eastAsia="zh-CN" w:bidi="ar-SA"/>
        </w:rPr>
      </w:pPr>
      <w:bookmarkStart w:id="472" w:name="_Toc29509"/>
      <w:r>
        <w:rPr>
          <w:rFonts w:hint="eastAsia" w:ascii="Times New Roman" w:hAnsi="Times New Roman" w:eastAsia="宋体" w:cs="Times New Roman"/>
          <w:b/>
          <w:bCs/>
          <w:kern w:val="2"/>
          <w:sz w:val="32"/>
          <w:szCs w:val="32"/>
          <w:lang w:val="en-US" w:eastAsia="zh-CN" w:bidi="ar-SA"/>
        </w:rPr>
        <w:t>一、</w:t>
      </w:r>
    </w:p>
    <w:p w14:paraId="39AC0B65">
      <w:pPr>
        <w:pStyle w:val="6"/>
        <w:jc w:val="center"/>
        <w:rPr>
          <w:rFonts w:ascii="Times New Roman" w:hAnsi="Times New Roman"/>
          <w:b w:val="0"/>
        </w:rPr>
      </w:pPr>
      <w:r>
        <w:rPr>
          <w:rFonts w:ascii="Times New Roman" w:hAnsi="Times New Roman" w:eastAsia="宋体" w:cs="Times New Roman"/>
          <w:b/>
          <w:bCs/>
          <w:kern w:val="2"/>
          <w:sz w:val="32"/>
          <w:szCs w:val="32"/>
          <w:lang w:val="en-US" w:eastAsia="zh-CN" w:bidi="ar-SA"/>
        </w:rPr>
        <w:t>义乌市政府采购项目</w:t>
      </w:r>
      <w:r>
        <w:rPr>
          <w:rFonts w:hint="eastAsia" w:ascii="Times New Roman" w:hAnsi="Times New Roman" w:eastAsia="宋体" w:cs="Times New Roman"/>
          <w:b/>
          <w:bCs/>
          <w:kern w:val="2"/>
          <w:sz w:val="32"/>
          <w:szCs w:val="32"/>
          <w:lang w:val="en-US" w:eastAsia="zh-CN" w:bidi="ar-SA"/>
        </w:rPr>
        <w:t>投标（</w:t>
      </w:r>
      <w:r>
        <w:rPr>
          <w:rFonts w:ascii="Times New Roman" w:hAnsi="Times New Roman" w:eastAsia="宋体" w:cs="Times New Roman"/>
          <w:b/>
          <w:bCs/>
          <w:kern w:val="2"/>
          <w:sz w:val="32"/>
          <w:szCs w:val="32"/>
          <w:lang w:val="en-US" w:eastAsia="zh-CN" w:bidi="ar-SA"/>
        </w:rPr>
        <w:t>响应</w:t>
      </w:r>
      <w:r>
        <w:rPr>
          <w:rFonts w:hint="eastAsia" w:ascii="Times New Roman" w:hAnsi="Times New Roman" w:eastAsia="宋体" w:cs="Times New Roman"/>
          <w:b/>
          <w:bCs/>
          <w:kern w:val="2"/>
          <w:sz w:val="32"/>
          <w:szCs w:val="32"/>
          <w:lang w:val="en-US" w:eastAsia="zh-CN" w:bidi="ar-SA"/>
        </w:rPr>
        <w:t>）</w:t>
      </w:r>
      <w:r>
        <w:rPr>
          <w:rFonts w:ascii="Times New Roman" w:hAnsi="Times New Roman" w:eastAsia="宋体" w:cs="Times New Roman"/>
          <w:b/>
          <w:bCs/>
          <w:kern w:val="2"/>
          <w:sz w:val="32"/>
          <w:szCs w:val="32"/>
          <w:lang w:val="en-US" w:eastAsia="zh-CN" w:bidi="ar-SA"/>
        </w:rPr>
        <w:t>承诺书</w:t>
      </w:r>
      <w:bookmarkEnd w:id="472"/>
    </w:p>
    <w:p w14:paraId="1A0BF6FC">
      <w:pPr>
        <w:tabs>
          <w:tab w:val="left" w:pos="8820"/>
        </w:tabs>
        <w:spacing w:line="264" w:lineRule="auto"/>
        <w:rPr>
          <w:rFonts w:hint="eastAsia" w:eastAsia="宋体"/>
          <w:szCs w:val="21"/>
          <w:lang w:eastAsia="zh-CN"/>
        </w:rPr>
      </w:pPr>
      <w:r>
        <w:rPr>
          <w:szCs w:val="21"/>
        </w:rPr>
        <w:t>致：义乌市</w:t>
      </w:r>
      <w:r>
        <w:rPr>
          <w:rFonts w:hint="eastAsia"/>
          <w:szCs w:val="21"/>
          <w:lang w:eastAsia="zh-CN"/>
        </w:rPr>
        <w:t>财政局</w:t>
      </w:r>
    </w:p>
    <w:p w14:paraId="39AB98B3">
      <w:pPr>
        <w:spacing w:line="400" w:lineRule="exact"/>
        <w:ind w:firstLine="420" w:firstLineChars="200"/>
        <w:rPr>
          <w:rFonts w:hint="eastAsia"/>
          <w:szCs w:val="21"/>
        </w:rPr>
      </w:pPr>
      <w:r>
        <w:rPr>
          <w:szCs w:val="21"/>
        </w:rPr>
        <w:t>1、我方已认真阅读了</w:t>
      </w:r>
      <w:r>
        <w:rPr>
          <w:rFonts w:hint="eastAsia" w:eastAsia="宋体"/>
          <w:szCs w:val="21"/>
          <w:lang w:eastAsia="zh-CN"/>
        </w:rPr>
        <w:t>义乌市2026-2027年度专项债券发行准备法律专业服务封闭式框架协议采购项目</w:t>
      </w:r>
      <w:r>
        <w:rPr>
          <w:szCs w:val="21"/>
        </w:rPr>
        <w:t>（采购编号：</w:t>
      </w:r>
      <w:r>
        <w:rPr>
          <w:rFonts w:hint="default" w:eastAsia="宋体"/>
          <w:szCs w:val="21"/>
          <w:lang w:val="en-US" w:eastAsia="zh-CN"/>
        </w:rPr>
        <w:t>YWCZZW2026002</w:t>
      </w:r>
      <w:r>
        <w:rPr>
          <w:szCs w:val="21"/>
        </w:rPr>
        <w:t>）</w:t>
      </w:r>
      <w:r>
        <w:rPr>
          <w:rFonts w:hint="eastAsia"/>
          <w:szCs w:val="21"/>
        </w:rPr>
        <w:t>的征集</w:t>
      </w:r>
      <w:r>
        <w:rPr>
          <w:szCs w:val="21"/>
        </w:rPr>
        <w:t>文件、技术要求、图纸、补充（答疑）文件及相关资料，对其全部内容和要求有实质性了解，并对这些内容表示理解且无任何异议，接受其全部内容及要求，承诺我方的投标</w:t>
      </w:r>
      <w:r>
        <w:rPr>
          <w:rFonts w:hint="eastAsia"/>
          <w:szCs w:val="21"/>
        </w:rPr>
        <w:t>（响应）</w:t>
      </w:r>
      <w:r>
        <w:rPr>
          <w:szCs w:val="21"/>
        </w:rPr>
        <w:t>文件已经完全响应并符合其全部条件和要求，愿意参加</w:t>
      </w:r>
      <w:r>
        <w:rPr>
          <w:rFonts w:hint="eastAsia"/>
          <w:szCs w:val="21"/>
        </w:rPr>
        <w:t>投标（响应）</w:t>
      </w:r>
      <w:r>
        <w:rPr>
          <w:szCs w:val="21"/>
        </w:rPr>
        <w:t>并愿意</w:t>
      </w:r>
      <w:r>
        <w:rPr>
          <w:rFonts w:hint="eastAsia"/>
          <w:szCs w:val="21"/>
        </w:rPr>
        <w:t>中标入围。</w:t>
      </w:r>
    </w:p>
    <w:p w14:paraId="3946EF40">
      <w:pPr>
        <w:tabs>
          <w:tab w:val="left" w:pos="8820"/>
        </w:tabs>
        <w:spacing w:line="264" w:lineRule="auto"/>
        <w:ind w:firstLine="420" w:firstLineChars="200"/>
        <w:rPr>
          <w:szCs w:val="21"/>
        </w:rPr>
      </w:pPr>
      <w:r>
        <w:rPr>
          <w:szCs w:val="21"/>
        </w:rPr>
        <w:t>2、自愿接受义乌市财政局的管理，并严格遵守义乌市财政局制定的</w:t>
      </w:r>
      <w:r>
        <w:rPr>
          <w:rFonts w:hint="eastAsia"/>
          <w:szCs w:val="21"/>
        </w:rPr>
        <w:t>政府采购</w:t>
      </w:r>
      <w:r>
        <w:rPr>
          <w:szCs w:val="21"/>
        </w:rPr>
        <w:t>管理制度、规范和纪律。</w:t>
      </w:r>
    </w:p>
    <w:p w14:paraId="0467B588">
      <w:pPr>
        <w:tabs>
          <w:tab w:val="left" w:pos="8820"/>
        </w:tabs>
        <w:spacing w:line="264" w:lineRule="auto"/>
        <w:ind w:firstLine="420" w:firstLineChars="200"/>
        <w:rPr>
          <w:szCs w:val="21"/>
        </w:rPr>
      </w:pPr>
      <w:r>
        <w:rPr>
          <w:szCs w:val="21"/>
        </w:rPr>
        <w:t>3、我方承诺参与本次</w:t>
      </w:r>
      <w:r>
        <w:rPr>
          <w:rFonts w:hint="eastAsia"/>
          <w:szCs w:val="21"/>
        </w:rPr>
        <w:t>征集</w:t>
      </w:r>
      <w:r>
        <w:rPr>
          <w:szCs w:val="21"/>
        </w:rPr>
        <w:t>的资格符合《中华人民共和国政府采购法》的规定，并承诺近三年内，在经营活动中没有重大违法记录。我方承诺财务状况良好，并已依法按时缴纳税收和社会保障资金。我方承诺具备履行本项目合同所必需的设备和专业技术能力。如我方中标，我方承诺不转包和不违反招标规定分包该项目。</w:t>
      </w:r>
    </w:p>
    <w:p w14:paraId="3C0125D0">
      <w:pPr>
        <w:tabs>
          <w:tab w:val="left" w:pos="8820"/>
        </w:tabs>
        <w:spacing w:line="264" w:lineRule="auto"/>
        <w:ind w:firstLine="420" w:firstLineChars="200"/>
        <w:rPr>
          <w:szCs w:val="21"/>
        </w:rPr>
      </w:pPr>
      <w:r>
        <w:rPr>
          <w:szCs w:val="21"/>
        </w:rPr>
        <w:t>4、积极主动配合义乌市财政局的调查。及时、如实、全面地回答义乌市财政局提出的问题，并在调查笔录中签字确认。如拒绝签字确认的，则视为我方及有关工作人员认可调查笔录中的全部内容，并对最终的调查结果无任何异议，且自愿放弃一切救济途径。</w:t>
      </w:r>
    </w:p>
    <w:p w14:paraId="19BBD5B4">
      <w:pPr>
        <w:tabs>
          <w:tab w:val="left" w:pos="8820"/>
        </w:tabs>
        <w:spacing w:line="264" w:lineRule="auto"/>
        <w:ind w:firstLine="420" w:firstLineChars="200"/>
        <w:rPr>
          <w:szCs w:val="21"/>
        </w:rPr>
      </w:pPr>
      <w:r>
        <w:rPr>
          <w:szCs w:val="21"/>
        </w:rPr>
        <w:t>5、不转让、出借、涂改、伪造资质（资格）证书或者以其他方式允许其他单位（个人）以我方（本人）名义承接业务。</w:t>
      </w:r>
    </w:p>
    <w:p w14:paraId="6B580F08">
      <w:pPr>
        <w:tabs>
          <w:tab w:val="left" w:pos="8820"/>
        </w:tabs>
        <w:spacing w:line="264" w:lineRule="auto"/>
        <w:ind w:firstLine="420" w:firstLineChars="200"/>
        <w:rPr>
          <w:szCs w:val="21"/>
        </w:rPr>
      </w:pPr>
      <w:r>
        <w:rPr>
          <w:szCs w:val="21"/>
        </w:rPr>
        <w:t>6、不与采购人或者其他</w:t>
      </w:r>
      <w:r>
        <w:rPr>
          <w:rFonts w:hint="eastAsia"/>
          <w:szCs w:val="21"/>
        </w:rPr>
        <w:t>供应商</w:t>
      </w:r>
      <w:r>
        <w:rPr>
          <w:szCs w:val="21"/>
        </w:rPr>
        <w:t>相互串通投标，围标，不以行贿等不正当手段谋取中标。</w:t>
      </w:r>
    </w:p>
    <w:p w14:paraId="0FF3C5BA">
      <w:pPr>
        <w:tabs>
          <w:tab w:val="left" w:pos="8820"/>
        </w:tabs>
        <w:spacing w:line="264" w:lineRule="auto"/>
        <w:ind w:firstLine="420" w:firstLineChars="200"/>
        <w:rPr>
          <w:szCs w:val="21"/>
        </w:rPr>
      </w:pPr>
      <w:r>
        <w:rPr>
          <w:szCs w:val="21"/>
        </w:rPr>
        <w:t>7、在招标、投标、开标、评标、询标、中标、签订合同等招投标预备和进行的全过程中提供的资料均真实、有效，不弄虚作假。</w:t>
      </w:r>
    </w:p>
    <w:p w14:paraId="3CED5AE7">
      <w:pPr>
        <w:tabs>
          <w:tab w:val="left" w:pos="8820"/>
        </w:tabs>
        <w:spacing w:line="264" w:lineRule="auto"/>
        <w:ind w:firstLine="420" w:firstLineChars="200"/>
        <w:rPr>
          <w:szCs w:val="21"/>
        </w:rPr>
      </w:pPr>
      <w:r>
        <w:rPr>
          <w:szCs w:val="21"/>
        </w:rPr>
        <w:t>8、我方已详细审核全部</w:t>
      </w:r>
      <w:r>
        <w:rPr>
          <w:rFonts w:hint="eastAsia"/>
          <w:color w:val="000000"/>
          <w:szCs w:val="21"/>
        </w:rPr>
        <w:t>征集</w:t>
      </w:r>
      <w:r>
        <w:rPr>
          <w:szCs w:val="21"/>
        </w:rPr>
        <w:t>文件，包括更正文件(如果有的话)，及有关附件，我方同意放弃提出含糊不清或误解的权力。</w:t>
      </w:r>
    </w:p>
    <w:p w14:paraId="7D740B1D">
      <w:pPr>
        <w:tabs>
          <w:tab w:val="left" w:pos="8820"/>
        </w:tabs>
        <w:spacing w:line="264" w:lineRule="auto"/>
        <w:ind w:firstLine="420" w:firstLineChars="200"/>
        <w:rPr>
          <w:b/>
          <w:bCs/>
          <w:szCs w:val="21"/>
        </w:rPr>
      </w:pPr>
      <w:r>
        <w:rPr>
          <w:szCs w:val="21"/>
        </w:rPr>
        <w:t>9</w:t>
      </w:r>
      <w:r>
        <w:rPr>
          <w:rFonts w:hint="eastAsia"/>
          <w:szCs w:val="21"/>
        </w:rPr>
        <w:t>、</w:t>
      </w:r>
      <w:r>
        <w:rPr>
          <w:b/>
          <w:bCs/>
          <w:szCs w:val="21"/>
        </w:rPr>
        <w:t>投标</w:t>
      </w:r>
      <w:r>
        <w:rPr>
          <w:rFonts w:hint="eastAsia"/>
          <w:b/>
          <w:bCs/>
          <w:szCs w:val="21"/>
        </w:rPr>
        <w:t>（响应）</w:t>
      </w:r>
      <w:r>
        <w:rPr>
          <w:b/>
          <w:bCs/>
          <w:szCs w:val="21"/>
        </w:rPr>
        <w:t>文件中未明确的内容一律按招标文件规定执行。</w:t>
      </w:r>
    </w:p>
    <w:p w14:paraId="11CC6C13">
      <w:pPr>
        <w:tabs>
          <w:tab w:val="left" w:pos="8820"/>
        </w:tabs>
        <w:spacing w:line="264" w:lineRule="auto"/>
        <w:ind w:firstLine="420" w:firstLineChars="200"/>
        <w:rPr>
          <w:szCs w:val="21"/>
        </w:rPr>
      </w:pPr>
      <w:r>
        <w:rPr>
          <w:szCs w:val="21"/>
        </w:rPr>
        <w:t>10、我方同意</w:t>
      </w:r>
      <w:r>
        <w:rPr>
          <w:rFonts w:hint="eastAsia"/>
          <w:color w:val="000000"/>
          <w:szCs w:val="21"/>
        </w:rPr>
        <w:t>征集</w:t>
      </w:r>
      <w:r>
        <w:rPr>
          <w:szCs w:val="21"/>
        </w:rPr>
        <w:t>文件要求的投标有效期，如我方中标，我方将受此约束。</w:t>
      </w:r>
    </w:p>
    <w:p w14:paraId="5112681B">
      <w:pPr>
        <w:tabs>
          <w:tab w:val="left" w:pos="8820"/>
        </w:tabs>
        <w:spacing w:line="264" w:lineRule="auto"/>
        <w:ind w:firstLine="420" w:firstLineChars="200"/>
        <w:rPr>
          <w:szCs w:val="21"/>
        </w:rPr>
      </w:pPr>
      <w:r>
        <w:rPr>
          <w:szCs w:val="21"/>
        </w:rPr>
        <w:t>11、我方相信贵方的</w:t>
      </w:r>
      <w:r>
        <w:rPr>
          <w:rFonts w:hint="eastAsia"/>
          <w:szCs w:val="21"/>
        </w:rPr>
        <w:t>采购</w:t>
      </w:r>
      <w:r>
        <w:rPr>
          <w:szCs w:val="21"/>
        </w:rPr>
        <w:t>结果是公正、合法的，无论我方</w:t>
      </w:r>
      <w:r>
        <w:rPr>
          <w:rFonts w:hint="eastAsia"/>
          <w:szCs w:val="21"/>
        </w:rPr>
        <w:t>入围</w:t>
      </w:r>
      <w:r>
        <w:rPr>
          <w:szCs w:val="21"/>
        </w:rPr>
        <w:t>还是落标，我方将接受这一结果。</w:t>
      </w:r>
    </w:p>
    <w:p w14:paraId="58AEEEF0">
      <w:pPr>
        <w:tabs>
          <w:tab w:val="left" w:pos="8820"/>
        </w:tabs>
        <w:spacing w:line="264" w:lineRule="auto"/>
        <w:ind w:firstLine="420" w:firstLineChars="200"/>
        <w:rPr>
          <w:szCs w:val="21"/>
        </w:rPr>
      </w:pPr>
      <w:r>
        <w:rPr>
          <w:szCs w:val="21"/>
        </w:rPr>
        <w:t>12、一旦我方中标</w:t>
      </w:r>
      <w:r>
        <w:rPr>
          <w:rFonts w:hint="eastAsia"/>
          <w:szCs w:val="21"/>
        </w:rPr>
        <w:t>（入围）</w:t>
      </w:r>
      <w:r>
        <w:rPr>
          <w:szCs w:val="21"/>
        </w:rPr>
        <w:t>，我方将严格依照</w:t>
      </w:r>
      <w:r>
        <w:rPr>
          <w:rFonts w:hint="eastAsia"/>
          <w:szCs w:val="21"/>
        </w:rPr>
        <w:t>征集</w:t>
      </w:r>
      <w:r>
        <w:rPr>
          <w:szCs w:val="21"/>
        </w:rPr>
        <w:t>文件和</w:t>
      </w:r>
      <w:r>
        <w:rPr>
          <w:rFonts w:hint="eastAsia"/>
          <w:szCs w:val="21"/>
        </w:rPr>
        <w:t>投标（响应）</w:t>
      </w:r>
      <w:r>
        <w:rPr>
          <w:szCs w:val="21"/>
        </w:rPr>
        <w:t>文件的规定与</w:t>
      </w:r>
      <w:r>
        <w:rPr>
          <w:rFonts w:hint="eastAsia"/>
          <w:szCs w:val="21"/>
        </w:rPr>
        <w:t>征集人和</w:t>
      </w:r>
      <w:r>
        <w:rPr>
          <w:szCs w:val="21"/>
        </w:rPr>
        <w:t>采购人签订合同。</w:t>
      </w:r>
    </w:p>
    <w:p w14:paraId="480E06A9">
      <w:pPr>
        <w:tabs>
          <w:tab w:val="left" w:pos="8820"/>
        </w:tabs>
        <w:spacing w:line="264" w:lineRule="auto"/>
        <w:ind w:firstLine="420" w:firstLineChars="200"/>
        <w:rPr>
          <w:szCs w:val="21"/>
        </w:rPr>
      </w:pPr>
      <w:r>
        <w:rPr>
          <w:szCs w:val="21"/>
        </w:rPr>
        <w:t>13、不低于企业成本价投标，不恶意过高报价，不扰乱</w:t>
      </w:r>
      <w:r>
        <w:rPr>
          <w:rFonts w:hint="eastAsia"/>
          <w:szCs w:val="21"/>
        </w:rPr>
        <w:t>政府采购</w:t>
      </w:r>
      <w:r>
        <w:rPr>
          <w:szCs w:val="21"/>
        </w:rPr>
        <w:t>的正常秩序。</w:t>
      </w:r>
    </w:p>
    <w:p w14:paraId="765368D4">
      <w:pPr>
        <w:tabs>
          <w:tab w:val="left" w:pos="8820"/>
        </w:tabs>
        <w:spacing w:line="264" w:lineRule="auto"/>
        <w:ind w:firstLine="420" w:firstLineChars="200"/>
        <w:rPr>
          <w:szCs w:val="21"/>
        </w:rPr>
      </w:pPr>
      <w:r>
        <w:rPr>
          <w:szCs w:val="21"/>
        </w:rPr>
        <w:t>14、严格遵守开标纪律，不在开标现场吵闹、滋事，服从工作人员指挥。</w:t>
      </w:r>
    </w:p>
    <w:p w14:paraId="5C5ED371">
      <w:pPr>
        <w:tabs>
          <w:tab w:val="left" w:pos="8820"/>
        </w:tabs>
        <w:spacing w:line="264" w:lineRule="auto"/>
        <w:ind w:firstLine="420" w:firstLineChars="200"/>
        <w:rPr>
          <w:szCs w:val="21"/>
        </w:rPr>
      </w:pPr>
      <w:r>
        <w:rPr>
          <w:szCs w:val="21"/>
        </w:rPr>
        <w:t>15、按照法律法规和本项目</w:t>
      </w:r>
      <w:r>
        <w:rPr>
          <w:rFonts w:hint="eastAsia"/>
          <w:color w:val="000000"/>
          <w:szCs w:val="21"/>
        </w:rPr>
        <w:t>征集</w:t>
      </w:r>
      <w:r>
        <w:rPr>
          <w:szCs w:val="21"/>
        </w:rPr>
        <w:t>文件规定的程序和方式进行异议和投诉，不越级投诉，不无理投诉。如捏造事实、伪造材料或者以非法手段取得材料进行投诉，给他人造成损失的，依法承担赔偿责任。</w:t>
      </w:r>
    </w:p>
    <w:p w14:paraId="2DAFC601">
      <w:pPr>
        <w:tabs>
          <w:tab w:val="left" w:pos="8820"/>
        </w:tabs>
        <w:spacing w:line="264" w:lineRule="auto"/>
        <w:ind w:firstLine="422" w:firstLineChars="200"/>
        <w:rPr>
          <w:b/>
          <w:bCs/>
          <w:szCs w:val="21"/>
        </w:rPr>
      </w:pPr>
      <w:r>
        <w:rPr>
          <w:b/>
          <w:bCs/>
          <w:szCs w:val="21"/>
        </w:rPr>
        <w:t>16、指定我方人员(姓名: _____________ 身份证号码：___________联系电话：_____________)全权代表我方联系和协调处理投标过程中的有关事项。</w:t>
      </w:r>
    </w:p>
    <w:p w14:paraId="4E4064B2">
      <w:pPr>
        <w:tabs>
          <w:tab w:val="left" w:pos="8820"/>
        </w:tabs>
        <w:spacing w:line="264" w:lineRule="auto"/>
        <w:ind w:firstLine="420" w:firstLineChars="200"/>
        <w:rPr>
          <w:szCs w:val="21"/>
        </w:rPr>
      </w:pPr>
      <w:r>
        <w:rPr>
          <w:szCs w:val="21"/>
        </w:rPr>
        <w:t>上述承诺事项已认真逐项核对，均表达我方真实意见，愿承担任何责任。若有任何弄虚作假内容或未遵守上述约定的，经查实后，愿意放弃投标</w:t>
      </w:r>
      <w:r>
        <w:rPr>
          <w:rFonts w:hint="eastAsia"/>
          <w:szCs w:val="21"/>
        </w:rPr>
        <w:t>（响应）</w:t>
      </w:r>
      <w:r>
        <w:rPr>
          <w:szCs w:val="21"/>
        </w:rPr>
        <w:t>及</w:t>
      </w:r>
      <w:r>
        <w:rPr>
          <w:rFonts w:hint="eastAsia"/>
          <w:szCs w:val="21"/>
        </w:rPr>
        <w:t>入围</w:t>
      </w:r>
      <w:r>
        <w:rPr>
          <w:szCs w:val="21"/>
        </w:rPr>
        <w:t>资格，如由此给采购人造成损失的，我方愿意承担赔偿责任。如我方违反上述承诺事项，无条件接受义乌市财政局或相关监管部门作出的任何管理和处理决定，并自愿承担一切不利的后果。</w:t>
      </w:r>
    </w:p>
    <w:p w14:paraId="373DE2C1">
      <w:pPr>
        <w:tabs>
          <w:tab w:val="left" w:pos="8820"/>
        </w:tabs>
        <w:spacing w:line="264" w:lineRule="auto"/>
        <w:ind w:firstLine="420" w:firstLineChars="200"/>
        <w:rPr>
          <w:szCs w:val="21"/>
        </w:rPr>
      </w:pPr>
      <w:r>
        <w:rPr>
          <w:rFonts w:hint="eastAsia"/>
          <w:szCs w:val="21"/>
        </w:rPr>
        <w:t>供应商名称</w:t>
      </w:r>
      <w:r>
        <w:rPr>
          <w:szCs w:val="21"/>
        </w:rPr>
        <w:t>（电子签章）：                                  年  月  日</w:t>
      </w:r>
    </w:p>
    <w:p w14:paraId="1DA68C33">
      <w:pPr>
        <w:keepNext w:val="0"/>
        <w:keepLines w:val="0"/>
        <w:pageBreakBefore w:val="0"/>
        <w:widowControl w:val="0"/>
        <w:numPr>
          <w:ilvl w:val="0"/>
          <w:numId w:val="0"/>
        </w:numPr>
        <w:kinsoku/>
        <w:wordWrap/>
        <w:topLinePunct w:val="0"/>
        <w:autoSpaceDE/>
        <w:autoSpaceDN/>
        <w:bidi w:val="0"/>
        <w:adjustRightInd/>
        <w:spacing w:line="240" w:lineRule="atLeast"/>
        <w:jc w:val="both"/>
        <w:textAlignment w:val="auto"/>
        <w:rPr>
          <w:rFonts w:hint="eastAsia" w:asciiTheme="minorEastAsia" w:hAnsiTheme="minorEastAsia" w:eastAsiaTheme="minorEastAsia" w:cstheme="minorEastAsia"/>
          <w:b/>
          <w:spacing w:val="40"/>
          <w:sz w:val="36"/>
          <w:szCs w:val="36"/>
          <w:lang w:eastAsia="zh-CN"/>
        </w:rPr>
      </w:pPr>
      <w:r>
        <w:rPr>
          <w:rFonts w:hint="eastAsia" w:asciiTheme="minorEastAsia" w:hAnsiTheme="minorEastAsia" w:eastAsiaTheme="minorEastAsia" w:cstheme="minorEastAsia"/>
          <w:b/>
          <w:spacing w:val="40"/>
          <w:sz w:val="36"/>
          <w:szCs w:val="36"/>
          <w:lang w:eastAsia="zh-CN"/>
        </w:rPr>
        <w:t>二、</w:t>
      </w:r>
    </w:p>
    <w:p w14:paraId="109BA320">
      <w:pPr>
        <w:keepNext w:val="0"/>
        <w:keepLines w:val="0"/>
        <w:pageBreakBefore w:val="0"/>
        <w:widowControl w:val="0"/>
        <w:numPr>
          <w:ilvl w:val="0"/>
          <w:numId w:val="0"/>
        </w:numPr>
        <w:kinsoku/>
        <w:wordWrap/>
        <w:topLinePunct w:val="0"/>
        <w:autoSpaceDE/>
        <w:autoSpaceDN/>
        <w:bidi w:val="0"/>
        <w:adjustRightInd/>
        <w:spacing w:line="240" w:lineRule="atLeast"/>
        <w:jc w:val="center"/>
        <w:textAlignment w:val="auto"/>
        <w:rPr>
          <w:rFonts w:hint="eastAsia" w:asciiTheme="minorEastAsia" w:hAnsiTheme="minorEastAsia" w:eastAsiaTheme="minorEastAsia" w:cstheme="minorEastAsia"/>
          <w:b/>
          <w:spacing w:val="40"/>
          <w:sz w:val="36"/>
          <w:szCs w:val="36"/>
        </w:rPr>
      </w:pPr>
      <w:r>
        <w:rPr>
          <w:rFonts w:hint="eastAsia" w:asciiTheme="minorEastAsia" w:hAnsiTheme="minorEastAsia" w:eastAsiaTheme="minorEastAsia" w:cstheme="minorEastAsia"/>
          <w:b/>
          <w:spacing w:val="40"/>
          <w:sz w:val="36"/>
          <w:szCs w:val="36"/>
        </w:rPr>
        <w:t>联合投标协议书</w:t>
      </w:r>
    </w:p>
    <w:p w14:paraId="5B4FAD1E">
      <w:pPr>
        <w:pStyle w:val="60"/>
        <w:keepNext w:val="0"/>
        <w:keepLines w:val="0"/>
        <w:pageBreakBefore w:val="0"/>
        <w:widowControl w:val="0"/>
        <w:kinsoku/>
        <w:wordWrap/>
        <w:overflowPunct w:val="0"/>
        <w:topLinePunct w:val="0"/>
        <w:autoSpaceDE/>
        <w:autoSpaceDN/>
        <w:bidi w:val="0"/>
        <w:spacing w:line="240" w:lineRule="atLeast"/>
        <w:ind w:firstLine="449" w:firstLineChars="214"/>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
          <w:sz w:val="21"/>
          <w:szCs w:val="21"/>
        </w:rPr>
        <w:t>各方经协商，</w:t>
      </w:r>
      <w:r>
        <w:rPr>
          <w:rFonts w:hint="eastAsia" w:asciiTheme="minorEastAsia" w:hAnsiTheme="minorEastAsia" w:eastAsiaTheme="minorEastAsia" w:cstheme="minorEastAsia"/>
          <w:color w:val="auto"/>
          <w:sz w:val="21"/>
          <w:szCs w:val="21"/>
          <w:u w:val="single"/>
        </w:rPr>
        <w:t>（联合体所有成员名称）</w:t>
      </w:r>
      <w:r>
        <w:rPr>
          <w:rFonts w:hint="eastAsia" w:asciiTheme="minorEastAsia" w:hAnsiTheme="minorEastAsia" w:eastAsiaTheme="minorEastAsia" w:cstheme="minorEastAsia"/>
          <w:color w:val="auto"/>
          <w:sz w:val="21"/>
          <w:szCs w:val="21"/>
        </w:rPr>
        <w:t>自愿</w:t>
      </w:r>
      <w:r>
        <w:rPr>
          <w:rFonts w:hint="eastAsia" w:asciiTheme="minorEastAsia" w:hAnsiTheme="minorEastAsia" w:eastAsiaTheme="minorEastAsia" w:cstheme="minorEastAsia"/>
          <w:color w:val="auto"/>
          <w:sz w:val="21"/>
          <w:szCs w:val="21"/>
          <w:lang w:val="zh-CN"/>
        </w:rPr>
        <w:t>组成一个联合体</w:t>
      </w:r>
      <w:r>
        <w:rPr>
          <w:rFonts w:hint="eastAsia" w:asciiTheme="minorEastAsia" w:hAnsiTheme="minorEastAsia" w:eastAsiaTheme="minorEastAsia" w:cstheme="minorEastAsia"/>
          <w:kern w:val="2"/>
          <w:sz w:val="21"/>
          <w:szCs w:val="21"/>
        </w:rPr>
        <w:t>就响应</w:t>
      </w:r>
      <w:r>
        <w:rPr>
          <w:rFonts w:hint="eastAsia" w:asciiTheme="minorEastAsia" w:hAnsiTheme="minorEastAsia" w:eastAsiaTheme="minorEastAsia" w:cstheme="minorEastAsia"/>
          <w:color w:val="auto"/>
          <w:sz w:val="21"/>
          <w:szCs w:val="21"/>
          <w:lang w:val="zh-CN" w:eastAsia="zh-CN"/>
        </w:rPr>
        <w:t>义乌市2026-2027年度专项债券发行准备法律专业服务封闭式框架协议采购项目</w:t>
      </w:r>
      <w:r>
        <w:rPr>
          <w:rFonts w:hint="eastAsia" w:asciiTheme="minorEastAsia" w:hAnsiTheme="minorEastAsia" w:eastAsiaTheme="minorEastAsia" w:cstheme="minorEastAsia"/>
          <w:color w:val="auto"/>
          <w:sz w:val="21"/>
          <w:szCs w:val="21"/>
          <w:lang w:val="zh-CN"/>
        </w:rPr>
        <w:t>（采购编号：</w:t>
      </w:r>
      <w:r>
        <w:rPr>
          <w:rFonts w:hint="default" w:asciiTheme="minorEastAsia" w:hAnsiTheme="minorEastAsia" w:eastAsiaTheme="minorEastAsia" w:cstheme="minorEastAsia"/>
          <w:color w:val="auto"/>
          <w:sz w:val="21"/>
          <w:szCs w:val="21"/>
          <w:lang w:val="en-US" w:eastAsia="zh-CN"/>
        </w:rPr>
        <w:t>YWCZZW2026002</w:t>
      </w:r>
      <w:r>
        <w:rPr>
          <w:rFonts w:hint="eastAsia" w:asciiTheme="minorEastAsia" w:hAnsiTheme="minorEastAsia" w:eastAsiaTheme="minorEastAsia" w:cstheme="minorEastAsia"/>
          <w:color w:val="auto"/>
          <w:sz w:val="21"/>
          <w:szCs w:val="21"/>
          <w:lang w:val="zh-CN"/>
        </w:rPr>
        <w:t>）</w:t>
      </w:r>
      <w:r>
        <w:rPr>
          <w:rFonts w:hint="eastAsia" w:asciiTheme="minorEastAsia" w:hAnsiTheme="minorEastAsia" w:eastAsiaTheme="minorEastAsia" w:cstheme="minorEastAsia"/>
          <w:kern w:val="2"/>
          <w:sz w:val="21"/>
          <w:szCs w:val="21"/>
        </w:rPr>
        <w:t>的招标活动，联合进行投标之事宜，达成如下协议：</w:t>
      </w:r>
    </w:p>
    <w:p w14:paraId="1CD809E2">
      <w:pPr>
        <w:pStyle w:val="60"/>
        <w:keepNext w:val="0"/>
        <w:keepLines w:val="0"/>
        <w:pageBreakBefore w:val="0"/>
        <w:widowControl w:val="0"/>
        <w:kinsoku/>
        <w:wordWrap/>
        <w:overflowPunct w:val="0"/>
        <w:topLinePunct w:val="0"/>
        <w:autoSpaceDE/>
        <w:autoSpaceDN/>
        <w:bidi w:val="0"/>
        <w:spacing w:line="240" w:lineRule="atLeast"/>
        <w:ind w:firstLine="449" w:firstLineChars="214"/>
        <w:jc w:val="both"/>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一、各方一致决定，</w:t>
      </w:r>
      <w:r>
        <w:rPr>
          <w:rFonts w:hint="eastAsia" w:asciiTheme="minorEastAsia" w:hAnsiTheme="minorEastAsia" w:eastAsiaTheme="minorEastAsia" w:cstheme="minorEastAsia"/>
          <w:color w:val="auto"/>
          <w:kern w:val="2"/>
          <w:sz w:val="21"/>
          <w:szCs w:val="21"/>
        </w:rPr>
        <w:t>以一个投标人的身份参与投标</w:t>
      </w:r>
      <w:r>
        <w:rPr>
          <w:rFonts w:hint="eastAsia" w:asciiTheme="minorEastAsia" w:hAnsiTheme="minorEastAsia" w:eastAsiaTheme="minorEastAsia" w:cstheme="minorEastAsia"/>
          <w:kern w:val="2"/>
          <w:sz w:val="21"/>
          <w:szCs w:val="21"/>
        </w:rPr>
        <w:t>，并以</w:t>
      </w:r>
      <w:r>
        <w:rPr>
          <w:rFonts w:hint="eastAsia" w:asciiTheme="minorEastAsia" w:hAnsiTheme="minorEastAsia" w:eastAsiaTheme="minorEastAsia" w:cstheme="minorEastAsia"/>
          <w:kern w:val="2"/>
          <w:sz w:val="21"/>
          <w:szCs w:val="21"/>
          <w:u w:val="single"/>
        </w:rPr>
        <w:t xml:space="preserve">          </w:t>
      </w:r>
      <w:r>
        <w:rPr>
          <w:rFonts w:hint="eastAsia" w:asciiTheme="minorEastAsia" w:hAnsiTheme="minorEastAsia" w:eastAsiaTheme="minorEastAsia" w:cstheme="minorEastAsia"/>
          <w:kern w:val="2"/>
          <w:sz w:val="21"/>
          <w:szCs w:val="21"/>
        </w:rPr>
        <w:t>为主办人，代表所有联合体成员负责投标和合同实施阶段的主办、协调工作</w:t>
      </w:r>
      <w:r>
        <w:rPr>
          <w:rFonts w:hint="eastAsia" w:asciiTheme="minorEastAsia" w:hAnsiTheme="minorEastAsia" w:eastAsiaTheme="minorEastAsia" w:cstheme="minorEastAsia"/>
          <w:kern w:val="2"/>
          <w:sz w:val="21"/>
          <w:szCs w:val="21"/>
          <w:lang w:val="zh-CN"/>
        </w:rPr>
        <w:t>。</w:t>
      </w:r>
    </w:p>
    <w:p w14:paraId="3E7E8FDA">
      <w:pPr>
        <w:pStyle w:val="60"/>
        <w:keepNext w:val="0"/>
        <w:keepLines w:val="0"/>
        <w:pageBreakBefore w:val="0"/>
        <w:widowControl w:val="0"/>
        <w:kinsoku/>
        <w:wordWrap/>
        <w:overflowPunct w:val="0"/>
        <w:topLinePunct w:val="0"/>
        <w:autoSpaceDE/>
        <w:autoSpaceDN/>
        <w:bidi w:val="0"/>
        <w:spacing w:line="240" w:lineRule="atLeast"/>
        <w:ind w:firstLine="449" w:firstLineChars="214"/>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kern w:val="2"/>
          <w:sz w:val="21"/>
          <w:szCs w:val="21"/>
        </w:rPr>
        <w:t>二、在本次投标过程中，主办人根据招标文件规定及投标内</w:t>
      </w:r>
      <w:r>
        <w:rPr>
          <w:rFonts w:hint="eastAsia" w:asciiTheme="minorEastAsia" w:hAnsiTheme="minorEastAsia" w:eastAsiaTheme="minorEastAsia" w:cstheme="minorEastAsia"/>
          <w:color w:val="auto"/>
          <w:kern w:val="2"/>
          <w:sz w:val="21"/>
          <w:szCs w:val="21"/>
        </w:rPr>
        <w:t>容而对</w:t>
      </w:r>
      <w:r>
        <w:rPr>
          <w:rFonts w:hint="eastAsia" w:asciiTheme="minorEastAsia" w:hAnsiTheme="minorEastAsia" w:eastAsiaTheme="minorEastAsia" w:cstheme="minorEastAsia"/>
          <w:color w:val="auto"/>
          <w:sz w:val="21"/>
          <w:szCs w:val="21"/>
          <w:lang w:val="zh-CN"/>
        </w:rPr>
        <w:t>采购人、采购代理机构</w:t>
      </w:r>
      <w:r>
        <w:rPr>
          <w:rFonts w:hint="eastAsia" w:asciiTheme="minorEastAsia" w:hAnsiTheme="minorEastAsia" w:eastAsiaTheme="minorEastAsia" w:cstheme="minorEastAsia"/>
          <w:color w:val="auto"/>
          <w:kern w:val="2"/>
          <w:sz w:val="21"/>
          <w:szCs w:val="21"/>
        </w:rPr>
        <w:t>所作的任何合法承诺，包括书面澄清及响应等均对联合投标各方产生约束力。如果中标并签订合同，则联合投标各方将共同履行对招标方和采购人所负有的全部义务并就采购合同约定的事项对采购人承担连带责任。</w:t>
      </w:r>
    </w:p>
    <w:p w14:paraId="5711C846">
      <w:pPr>
        <w:pStyle w:val="60"/>
        <w:keepNext w:val="0"/>
        <w:keepLines w:val="0"/>
        <w:pageBreakBefore w:val="0"/>
        <w:widowControl w:val="0"/>
        <w:kinsoku/>
        <w:wordWrap/>
        <w:overflowPunct w:val="0"/>
        <w:topLinePunct w:val="0"/>
        <w:autoSpaceDE/>
        <w:autoSpaceDN/>
        <w:bidi w:val="0"/>
        <w:spacing w:line="240" w:lineRule="atLeast"/>
        <w:ind w:firstLine="449" w:firstLineChars="214"/>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2"/>
          <w:sz w:val="21"/>
          <w:szCs w:val="21"/>
        </w:rPr>
        <w:t>三、联合投标其余各方保证对主办人为响应本次招标而提供的产品和服务提供全部质量保证及售后服务支持。</w:t>
      </w:r>
    </w:p>
    <w:p w14:paraId="266EC26D">
      <w:pPr>
        <w:pStyle w:val="60"/>
        <w:keepNext w:val="0"/>
        <w:keepLines w:val="0"/>
        <w:pageBreakBefore w:val="0"/>
        <w:widowControl w:val="0"/>
        <w:kinsoku/>
        <w:wordWrap/>
        <w:overflowPunct w:val="0"/>
        <w:topLinePunct w:val="0"/>
        <w:autoSpaceDE/>
        <w:autoSpaceDN/>
        <w:bidi w:val="0"/>
        <w:spacing w:line="240" w:lineRule="atLeast"/>
        <w:ind w:firstLine="449" w:firstLineChars="214"/>
        <w:jc w:val="both"/>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四、本次联合投标中，</w:t>
      </w:r>
      <w:r>
        <w:rPr>
          <w:rFonts w:hint="eastAsia" w:asciiTheme="minorEastAsia" w:hAnsiTheme="minorEastAsia" w:eastAsiaTheme="minorEastAsia" w:cstheme="minorEastAsia"/>
          <w:color w:val="auto"/>
          <w:sz w:val="21"/>
          <w:szCs w:val="21"/>
          <w:lang w:val="zh-CN"/>
        </w:rPr>
        <w:t>分工如下：</w:t>
      </w:r>
    </w:p>
    <w:p w14:paraId="10042C13">
      <w:pPr>
        <w:keepNext w:val="0"/>
        <w:keepLines w:val="0"/>
        <w:pageBreakBefore w:val="0"/>
        <w:widowControl w:val="0"/>
        <w:kinsoku/>
        <w:wordWrap/>
        <w:topLinePunct w:val="0"/>
        <w:autoSpaceDE/>
        <w:autoSpaceDN/>
        <w:bidi w:val="0"/>
        <w:snapToGrid w:val="0"/>
        <w:spacing w:line="240" w:lineRule="atLeast"/>
        <w:ind w:firstLine="576"/>
        <w:textAlignment w:val="auto"/>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u w:val="single"/>
        </w:rPr>
        <w:t>（联合体成员1）</w:t>
      </w:r>
      <w:r>
        <w:rPr>
          <w:rFonts w:hint="eastAsia" w:asciiTheme="minorEastAsia" w:hAnsiTheme="minorEastAsia" w:eastAsiaTheme="minorEastAsia" w:cstheme="minorEastAsia"/>
          <w:color w:val="auto"/>
          <w:sz w:val="21"/>
          <w:szCs w:val="21"/>
          <w:lang w:val="zh-CN"/>
        </w:rPr>
        <w:t>承担的工作和义务为：；</w:t>
      </w:r>
    </w:p>
    <w:p w14:paraId="5A1B1C57">
      <w:pPr>
        <w:keepNext w:val="0"/>
        <w:keepLines w:val="0"/>
        <w:pageBreakBefore w:val="0"/>
        <w:widowControl w:val="0"/>
        <w:kinsoku/>
        <w:wordWrap/>
        <w:topLinePunct w:val="0"/>
        <w:autoSpaceDE/>
        <w:autoSpaceDN/>
        <w:bidi w:val="0"/>
        <w:snapToGrid w:val="0"/>
        <w:spacing w:line="240" w:lineRule="atLeast"/>
        <w:ind w:firstLine="576"/>
        <w:textAlignment w:val="auto"/>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u w:val="single"/>
        </w:rPr>
        <w:t>（联合体成员2）</w:t>
      </w:r>
      <w:r>
        <w:rPr>
          <w:rFonts w:hint="eastAsia" w:asciiTheme="minorEastAsia" w:hAnsiTheme="minorEastAsia" w:eastAsiaTheme="minorEastAsia" w:cstheme="minorEastAsia"/>
          <w:color w:val="auto"/>
          <w:sz w:val="21"/>
          <w:szCs w:val="21"/>
          <w:lang w:val="zh-CN"/>
        </w:rPr>
        <w:t>承担的工作和义务为：；</w:t>
      </w:r>
    </w:p>
    <w:p w14:paraId="2C6B42DD">
      <w:pPr>
        <w:pStyle w:val="60"/>
        <w:keepNext w:val="0"/>
        <w:keepLines w:val="0"/>
        <w:pageBreakBefore w:val="0"/>
        <w:widowControl w:val="0"/>
        <w:kinsoku/>
        <w:wordWrap/>
        <w:overflowPunct w:val="0"/>
        <w:topLinePunct w:val="0"/>
        <w:autoSpaceDE/>
        <w:autoSpaceDN/>
        <w:bidi w:val="0"/>
        <w:spacing w:line="240" w:lineRule="atLeast"/>
        <w:ind w:firstLine="449" w:firstLineChars="214"/>
        <w:jc w:val="both"/>
        <w:textAlignment w:val="auto"/>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w:t>
      </w:r>
    </w:p>
    <w:p w14:paraId="7D2B63EC">
      <w:pPr>
        <w:keepNext w:val="0"/>
        <w:keepLines w:val="0"/>
        <w:pageBreakBefore w:val="0"/>
        <w:widowControl w:val="0"/>
        <w:kinsoku/>
        <w:wordWrap/>
        <w:topLinePunct w:val="0"/>
        <w:autoSpaceDE/>
        <w:autoSpaceDN/>
        <w:bidi w:val="0"/>
        <w:snapToGrid w:val="0"/>
        <w:spacing w:line="240" w:lineRule="atLeast"/>
        <w:ind w:firstLine="576"/>
        <w:textAlignment w:val="auto"/>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四、联合体成员中小企业合同份额。</w:t>
      </w:r>
    </w:p>
    <w:p w14:paraId="4175E2EF">
      <w:pPr>
        <w:pStyle w:val="60"/>
        <w:keepNext w:val="0"/>
        <w:keepLines w:val="0"/>
        <w:pageBreakBefore w:val="0"/>
        <w:widowControl w:val="0"/>
        <w:kinsoku/>
        <w:wordWrap/>
        <w:overflowPunct w:val="0"/>
        <w:topLinePunct w:val="0"/>
        <w:autoSpaceDE/>
        <w:autoSpaceDN/>
        <w:bidi w:val="0"/>
        <w:spacing w:line="240" w:lineRule="atLeast"/>
        <w:ind w:firstLine="449" w:firstLineChars="214"/>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zh-CN"/>
        </w:rPr>
        <w:t>1、</w:t>
      </w:r>
      <w:r>
        <w:rPr>
          <w:rFonts w:hint="eastAsia" w:asciiTheme="minorEastAsia" w:hAnsiTheme="minorEastAsia" w:eastAsiaTheme="minorEastAsia" w:cstheme="minorEastAsia"/>
          <w:color w:val="auto"/>
          <w:sz w:val="21"/>
          <w:szCs w:val="21"/>
          <w:u w:val="single"/>
        </w:rPr>
        <w:t>（联合体成员X,……）</w:t>
      </w:r>
      <w:r>
        <w:rPr>
          <w:rFonts w:hint="eastAsia" w:asciiTheme="minorEastAsia" w:hAnsiTheme="minorEastAsia" w:eastAsiaTheme="minorEastAsia" w:cstheme="minorEastAsia"/>
          <w:color w:val="auto"/>
          <w:sz w:val="21"/>
          <w:szCs w:val="21"/>
        </w:rPr>
        <w:t>提供的全部货物由小微企业制造，其合同份额占到合同总金额%以上；</w:t>
      </w:r>
      <w:r>
        <w:rPr>
          <w:rFonts w:hint="eastAsia" w:asciiTheme="minorEastAsia" w:hAnsiTheme="minorEastAsia" w:eastAsiaTheme="minorEastAsia" w:cstheme="minorEastAsia"/>
          <w:color w:val="auto"/>
          <w:sz w:val="21"/>
          <w:szCs w:val="21"/>
          <w:lang w:val="zh-CN"/>
        </w:rPr>
        <w:t>……。</w:t>
      </w:r>
      <w:r>
        <w:rPr>
          <w:rFonts w:hint="eastAsia" w:asciiTheme="minorEastAsia" w:hAnsiTheme="minorEastAsia" w:eastAsiaTheme="minorEastAsia" w:cstheme="minorEastAsia"/>
          <w:b/>
          <w:color w:val="auto"/>
          <w:sz w:val="21"/>
          <w:szCs w:val="21"/>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Theme="minorEastAsia" w:hAnsiTheme="minorEastAsia" w:eastAsiaTheme="minorEastAsia" w:cstheme="minorEastAsia"/>
          <w:b/>
          <w:color w:val="auto"/>
          <w:sz w:val="21"/>
          <w:szCs w:val="21"/>
        </w:rPr>
        <w:t>拟享受以上价格扣除政策的，填写有关内容。</w:t>
      </w:r>
      <w:r>
        <w:rPr>
          <w:rFonts w:hint="eastAsia" w:asciiTheme="minorEastAsia" w:hAnsiTheme="minorEastAsia" w:eastAsiaTheme="minorEastAsia" w:cstheme="minorEastAsia"/>
          <w:b/>
          <w:color w:val="auto"/>
          <w:sz w:val="21"/>
          <w:szCs w:val="21"/>
          <w:lang w:val="zh-CN"/>
        </w:rPr>
        <w:t>）</w:t>
      </w:r>
    </w:p>
    <w:p w14:paraId="499AF2F5">
      <w:pPr>
        <w:pStyle w:val="60"/>
        <w:keepNext w:val="0"/>
        <w:keepLines w:val="0"/>
        <w:pageBreakBefore w:val="0"/>
        <w:widowControl w:val="0"/>
        <w:kinsoku/>
        <w:wordWrap/>
        <w:overflowPunct w:val="0"/>
        <w:topLinePunct w:val="0"/>
        <w:autoSpaceDE/>
        <w:autoSpaceDN/>
        <w:bidi w:val="0"/>
        <w:spacing w:line="240" w:lineRule="atLeast"/>
        <w:ind w:firstLine="449" w:firstLineChars="214"/>
        <w:jc w:val="both"/>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五、有关本次联合投标的其他事宜：</w:t>
      </w:r>
    </w:p>
    <w:p w14:paraId="49433D0F">
      <w:pPr>
        <w:pStyle w:val="60"/>
        <w:keepNext w:val="0"/>
        <w:keepLines w:val="0"/>
        <w:pageBreakBefore w:val="0"/>
        <w:widowControl w:val="0"/>
        <w:kinsoku/>
        <w:wordWrap/>
        <w:overflowPunct w:val="0"/>
        <w:topLinePunct w:val="0"/>
        <w:autoSpaceDE/>
        <w:autoSpaceDN/>
        <w:bidi w:val="0"/>
        <w:spacing w:line="240" w:lineRule="atLeast"/>
        <w:ind w:firstLine="449" w:firstLineChars="214"/>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1、联合体各方不再单独参加或者与其他供应商另外组成联合体参加同一合同项下的政府采购活动。</w:t>
      </w:r>
    </w:p>
    <w:p w14:paraId="1A485557">
      <w:pPr>
        <w:pStyle w:val="60"/>
        <w:keepNext w:val="0"/>
        <w:keepLines w:val="0"/>
        <w:pageBreakBefore w:val="0"/>
        <w:widowControl w:val="0"/>
        <w:kinsoku/>
        <w:wordWrap/>
        <w:overflowPunct w:val="0"/>
        <w:topLinePunct w:val="0"/>
        <w:autoSpaceDE/>
        <w:autoSpaceDN/>
        <w:bidi w:val="0"/>
        <w:spacing w:line="240" w:lineRule="atLeast"/>
        <w:ind w:firstLine="449" w:firstLineChars="214"/>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2、联合体中有同类资质的各方按照联合体分工承担相同工作的，按照资质等级较低的供应商确定资质等级。</w:t>
      </w:r>
    </w:p>
    <w:p w14:paraId="52842A1F">
      <w:pPr>
        <w:pStyle w:val="60"/>
        <w:keepNext w:val="0"/>
        <w:keepLines w:val="0"/>
        <w:pageBreakBefore w:val="0"/>
        <w:widowControl w:val="0"/>
        <w:kinsoku/>
        <w:wordWrap/>
        <w:overflowPunct w:val="0"/>
        <w:topLinePunct w:val="0"/>
        <w:autoSpaceDE/>
        <w:autoSpaceDN/>
        <w:bidi w:val="0"/>
        <w:spacing w:line="240" w:lineRule="atLeast"/>
        <w:ind w:firstLine="449" w:firstLineChars="214"/>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kern w:val="2"/>
          <w:sz w:val="21"/>
          <w:szCs w:val="21"/>
        </w:rPr>
        <w:t>3、本协议提交招标方后，联合投标各方不得以任何形式对上述</w:t>
      </w:r>
      <w:r>
        <w:rPr>
          <w:rFonts w:hint="eastAsia" w:asciiTheme="minorEastAsia" w:hAnsiTheme="minorEastAsia" w:eastAsiaTheme="minorEastAsia" w:cstheme="minorEastAsia"/>
          <w:kern w:val="2"/>
          <w:sz w:val="21"/>
          <w:szCs w:val="21"/>
        </w:rPr>
        <w:t>实质内容进行修改或撤销。</w:t>
      </w:r>
    </w:p>
    <w:p w14:paraId="6D764D03">
      <w:pPr>
        <w:pStyle w:val="60"/>
        <w:keepNext w:val="0"/>
        <w:keepLines w:val="0"/>
        <w:pageBreakBefore w:val="0"/>
        <w:widowControl w:val="0"/>
        <w:kinsoku/>
        <w:wordWrap/>
        <w:overflowPunct w:val="0"/>
        <w:topLinePunct w:val="0"/>
        <w:autoSpaceDE/>
        <w:autoSpaceDN/>
        <w:bidi w:val="0"/>
        <w:spacing w:line="240" w:lineRule="atLeast"/>
        <w:ind w:firstLine="449" w:firstLineChars="214"/>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
          <w:sz w:val="21"/>
          <w:szCs w:val="21"/>
        </w:rPr>
        <w:t>七、本协议签约各方各持一份，并作为投标文件的一部分。</w:t>
      </w:r>
    </w:p>
    <w:p w14:paraId="27776076">
      <w:pPr>
        <w:keepNext w:val="0"/>
        <w:keepLines w:val="0"/>
        <w:pageBreakBefore w:val="0"/>
        <w:widowControl w:val="0"/>
        <w:kinsoku/>
        <w:wordWrap/>
        <w:topLinePunct w:val="0"/>
        <w:autoSpaceDE/>
        <w:autoSpaceDN/>
        <w:bidi w:val="0"/>
        <w:snapToGrid w:val="0"/>
        <w:spacing w:line="240" w:lineRule="atLeast"/>
        <w:ind w:firstLine="4410" w:firstLineChars="2100"/>
        <w:textAlignment w:val="auto"/>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联合体成员名称(电子签名/公章)：</w:t>
      </w:r>
    </w:p>
    <w:p w14:paraId="48BFB87F">
      <w:pPr>
        <w:keepNext w:val="0"/>
        <w:keepLines w:val="0"/>
        <w:pageBreakBefore w:val="0"/>
        <w:widowControl w:val="0"/>
        <w:kinsoku/>
        <w:wordWrap/>
        <w:topLinePunct w:val="0"/>
        <w:autoSpaceDE/>
        <w:autoSpaceDN/>
        <w:bidi w:val="0"/>
        <w:snapToGrid w:val="0"/>
        <w:spacing w:line="240" w:lineRule="atLeast"/>
        <w:ind w:firstLine="4410" w:firstLineChars="2100"/>
        <w:textAlignment w:val="auto"/>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联合体成员名称(电子签名/公章)：</w:t>
      </w:r>
    </w:p>
    <w:p w14:paraId="333BF162">
      <w:pPr>
        <w:keepNext w:val="0"/>
        <w:keepLines w:val="0"/>
        <w:pageBreakBefore w:val="0"/>
        <w:widowControl w:val="0"/>
        <w:kinsoku/>
        <w:wordWrap/>
        <w:topLinePunct w:val="0"/>
        <w:autoSpaceDE/>
        <w:autoSpaceDN/>
        <w:bidi w:val="0"/>
        <w:snapToGrid w:val="0"/>
        <w:spacing w:line="240" w:lineRule="atLeast"/>
        <w:ind w:right="960"/>
        <w:jc w:val="center"/>
        <w:textAlignment w:val="auto"/>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 xml:space="preserve">                   ……</w:t>
      </w:r>
    </w:p>
    <w:p w14:paraId="1D53B312">
      <w:pPr>
        <w:keepNext w:val="0"/>
        <w:keepLines w:val="0"/>
        <w:pageBreakBefore w:val="0"/>
        <w:widowControl w:val="0"/>
        <w:kinsoku/>
        <w:wordWrap/>
        <w:topLinePunct w:val="0"/>
        <w:autoSpaceDE/>
        <w:autoSpaceDN/>
        <w:bidi w:val="0"/>
        <w:spacing w:line="240" w:lineRule="atLeast"/>
        <w:ind w:firstLine="4830" w:firstLineChars="23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zh-CN"/>
        </w:rPr>
        <w:t>日期：  年  月   日</w:t>
      </w:r>
    </w:p>
    <w:p w14:paraId="1E9151AE">
      <w:pPr>
        <w:rPr>
          <w:color w:val="auto"/>
          <w:highlight w:val="none"/>
        </w:rPr>
      </w:pPr>
    </w:p>
    <w:p w14:paraId="0F0432F9">
      <w:pPr>
        <w:numPr>
          <w:ilvl w:val="0"/>
          <w:numId w:val="0"/>
        </w:numPr>
        <w:ind w:leftChars="0"/>
        <w:jc w:val="both"/>
        <w:rPr>
          <w:rFonts w:hint="eastAsia"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三、</w:t>
      </w:r>
    </w:p>
    <w:p w14:paraId="40509D61">
      <w:pPr>
        <w:numPr>
          <w:ilvl w:val="0"/>
          <w:numId w:val="0"/>
        </w:numPr>
        <w:ind w:leftChars="0"/>
        <w:jc w:val="center"/>
        <w:rPr>
          <w:color w:val="auto"/>
          <w:highlight w:val="none"/>
          <w:lang w:val="zh-CN"/>
        </w:rPr>
      </w:pPr>
      <w:r>
        <w:rPr>
          <w:rFonts w:hint="eastAsia" w:ascii="宋体" w:hAnsi="宋体" w:cs="宋体"/>
          <w:b/>
          <w:color w:val="auto"/>
          <w:kern w:val="0"/>
          <w:sz w:val="32"/>
          <w:szCs w:val="32"/>
          <w:highlight w:val="none"/>
          <w:lang w:val="zh-CN"/>
        </w:rPr>
        <w:t>拟派项目组成员（格式）</w:t>
      </w:r>
    </w:p>
    <w:p w14:paraId="237BB4BF">
      <w:pPr>
        <w:spacing w:line="400" w:lineRule="exact"/>
        <w:rPr>
          <w:rFonts w:ascii="宋体"/>
          <w:color w:val="auto"/>
          <w:sz w:val="22"/>
          <w:highlight w:val="none"/>
        </w:rPr>
      </w:pPr>
      <w:r>
        <w:rPr>
          <w:rFonts w:hint="eastAsia" w:ascii="宋体"/>
          <w:color w:val="auto"/>
          <w:sz w:val="22"/>
          <w:highlight w:val="none"/>
        </w:rPr>
        <w:t>项目名称：                                             项目编号：</w:t>
      </w:r>
    </w:p>
    <w:p w14:paraId="15EB2EAA">
      <w:pPr>
        <w:pStyle w:val="64"/>
        <w:ind w:firstLine="2730" w:firstLineChars="1300"/>
        <w:rPr>
          <w:color w:val="auto"/>
          <w:highlight w:val="none"/>
        </w:rPr>
      </w:pPr>
      <w:r>
        <w:rPr>
          <w:rFonts w:hint="eastAsia"/>
          <w:color w:val="auto"/>
          <w:highlight w:val="none"/>
          <w:u w:val="none"/>
          <w:lang w:val="en-US" w:eastAsia="zh-CN"/>
        </w:rPr>
        <w:t>负责人</w:t>
      </w:r>
      <w:r>
        <w:rPr>
          <w:rFonts w:hint="eastAsia"/>
          <w:color w:val="auto"/>
          <w:highlight w:val="none"/>
        </w:rPr>
        <w:t xml:space="preserve">履历表 </w:t>
      </w:r>
    </w:p>
    <w:tbl>
      <w:tblPr>
        <w:tblStyle w:val="65"/>
        <w:tblW w:w="8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630"/>
        <w:gridCol w:w="630"/>
        <w:gridCol w:w="525"/>
        <w:gridCol w:w="420"/>
        <w:gridCol w:w="1260"/>
        <w:gridCol w:w="1470"/>
        <w:gridCol w:w="1785"/>
      </w:tblGrid>
      <w:tr w14:paraId="543ED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735" w:type="dxa"/>
            <w:tcBorders>
              <w:top w:val="single" w:color="auto" w:sz="4" w:space="0"/>
              <w:left w:val="single" w:color="auto" w:sz="4" w:space="0"/>
              <w:bottom w:val="single" w:color="auto" w:sz="4" w:space="0"/>
              <w:right w:val="single" w:color="auto" w:sz="4" w:space="0"/>
            </w:tcBorders>
          </w:tcPr>
          <w:p w14:paraId="3DD88636">
            <w:pPr>
              <w:spacing w:line="300" w:lineRule="auto"/>
              <w:rPr>
                <w:rFonts w:hAnsi="宋体" w:cs="宋体"/>
                <w:color w:val="auto"/>
                <w:szCs w:val="21"/>
                <w:highlight w:val="none"/>
              </w:rPr>
            </w:pPr>
            <w:r>
              <w:rPr>
                <w:rFonts w:hint="eastAsia" w:hAnsi="宋体" w:cs="宋体"/>
                <w:color w:val="auto"/>
                <w:szCs w:val="21"/>
                <w:highlight w:val="none"/>
              </w:rPr>
              <w:t>姓名</w:t>
            </w:r>
          </w:p>
        </w:tc>
        <w:tc>
          <w:tcPr>
            <w:tcW w:w="1155" w:type="dxa"/>
            <w:tcBorders>
              <w:top w:val="single" w:color="auto" w:sz="4" w:space="0"/>
              <w:left w:val="single" w:color="auto" w:sz="4" w:space="0"/>
              <w:bottom w:val="single" w:color="auto" w:sz="4" w:space="0"/>
              <w:right w:val="single" w:color="auto" w:sz="4" w:space="0"/>
            </w:tcBorders>
          </w:tcPr>
          <w:p w14:paraId="067E53F8">
            <w:pPr>
              <w:spacing w:line="300" w:lineRule="auto"/>
              <w:rPr>
                <w:rFonts w:hAnsi="宋体" w:cs="宋体"/>
                <w:color w:val="auto"/>
                <w:szCs w:val="21"/>
                <w:highlight w:val="none"/>
              </w:rPr>
            </w:pPr>
            <w:r>
              <w:rPr>
                <w:rFonts w:hint="eastAsia" w:hAnsi="宋体" w:cs="宋体"/>
                <w:color w:val="auto"/>
                <w:szCs w:val="21"/>
                <w:highlight w:val="none"/>
              </w:rPr>
              <w:t> </w:t>
            </w:r>
          </w:p>
        </w:tc>
        <w:tc>
          <w:tcPr>
            <w:tcW w:w="1260" w:type="dxa"/>
            <w:gridSpan w:val="2"/>
            <w:tcBorders>
              <w:top w:val="single" w:color="auto" w:sz="4" w:space="0"/>
              <w:left w:val="single" w:color="auto" w:sz="4" w:space="0"/>
              <w:bottom w:val="single" w:color="auto" w:sz="4" w:space="0"/>
              <w:right w:val="single" w:color="auto" w:sz="4" w:space="0"/>
            </w:tcBorders>
          </w:tcPr>
          <w:p w14:paraId="306F1DCF">
            <w:pPr>
              <w:spacing w:line="300" w:lineRule="auto"/>
              <w:rPr>
                <w:rFonts w:hAnsi="宋体" w:cs="宋体"/>
                <w:color w:val="auto"/>
                <w:szCs w:val="21"/>
                <w:highlight w:val="none"/>
              </w:rPr>
            </w:pPr>
            <w:r>
              <w:rPr>
                <w:rFonts w:hint="eastAsia" w:hAnsi="宋体" w:cs="宋体"/>
                <w:color w:val="auto"/>
                <w:szCs w:val="21"/>
                <w:highlight w:val="none"/>
              </w:rPr>
              <w:t>性别</w:t>
            </w:r>
          </w:p>
        </w:tc>
        <w:tc>
          <w:tcPr>
            <w:tcW w:w="945" w:type="dxa"/>
            <w:gridSpan w:val="2"/>
            <w:tcBorders>
              <w:top w:val="single" w:color="auto" w:sz="4" w:space="0"/>
              <w:left w:val="single" w:color="auto" w:sz="4" w:space="0"/>
              <w:bottom w:val="single" w:color="auto" w:sz="4" w:space="0"/>
              <w:right w:val="single" w:color="auto" w:sz="4" w:space="0"/>
            </w:tcBorders>
          </w:tcPr>
          <w:p w14:paraId="1A431E9B">
            <w:pPr>
              <w:spacing w:line="300" w:lineRule="auto"/>
              <w:rPr>
                <w:rFonts w:hAnsi="宋体" w:cs="宋体"/>
                <w:color w:val="auto"/>
                <w:szCs w:val="21"/>
                <w:highlight w:val="none"/>
              </w:rPr>
            </w:pPr>
            <w:r>
              <w:rPr>
                <w:rFonts w:hint="eastAsia" w:hAnsi="宋体" w:cs="宋体"/>
                <w:color w:val="auto"/>
                <w:szCs w:val="21"/>
                <w:highlight w:val="none"/>
              </w:rPr>
              <w:t> </w:t>
            </w:r>
          </w:p>
        </w:tc>
        <w:tc>
          <w:tcPr>
            <w:tcW w:w="1260" w:type="dxa"/>
            <w:tcBorders>
              <w:top w:val="single" w:color="auto" w:sz="4" w:space="0"/>
              <w:left w:val="single" w:color="auto" w:sz="4" w:space="0"/>
              <w:bottom w:val="single" w:color="auto" w:sz="4" w:space="0"/>
              <w:right w:val="single" w:color="auto" w:sz="4" w:space="0"/>
            </w:tcBorders>
          </w:tcPr>
          <w:p w14:paraId="3B3858C9">
            <w:pPr>
              <w:spacing w:line="300" w:lineRule="auto"/>
              <w:rPr>
                <w:rFonts w:hAnsi="宋体" w:cs="宋体"/>
                <w:color w:val="auto"/>
                <w:szCs w:val="21"/>
                <w:highlight w:val="none"/>
              </w:rPr>
            </w:pPr>
            <w:r>
              <w:rPr>
                <w:rFonts w:hint="eastAsia" w:hAnsi="宋体" w:cs="宋体"/>
                <w:color w:val="auto"/>
                <w:szCs w:val="21"/>
                <w:highlight w:val="none"/>
              </w:rPr>
              <w:t>出生年月</w:t>
            </w:r>
          </w:p>
        </w:tc>
        <w:tc>
          <w:tcPr>
            <w:tcW w:w="1470" w:type="dxa"/>
            <w:tcBorders>
              <w:top w:val="single" w:color="auto" w:sz="4" w:space="0"/>
              <w:left w:val="single" w:color="auto" w:sz="4" w:space="0"/>
              <w:bottom w:val="single" w:color="auto" w:sz="4" w:space="0"/>
              <w:right w:val="single" w:color="auto" w:sz="4" w:space="0"/>
            </w:tcBorders>
          </w:tcPr>
          <w:p w14:paraId="169E6FBD">
            <w:pPr>
              <w:spacing w:line="300" w:lineRule="auto"/>
              <w:rPr>
                <w:rFonts w:hAnsi="宋体" w:cs="宋体"/>
                <w:color w:val="auto"/>
                <w:szCs w:val="21"/>
                <w:highlight w:val="none"/>
              </w:rPr>
            </w:pPr>
            <w:r>
              <w:rPr>
                <w:rFonts w:hint="eastAsia" w:hAnsi="宋体" w:cs="宋体"/>
                <w:color w:val="auto"/>
                <w:szCs w:val="21"/>
                <w:highlight w:val="none"/>
              </w:rPr>
              <w:t> </w:t>
            </w:r>
          </w:p>
        </w:tc>
        <w:tc>
          <w:tcPr>
            <w:tcW w:w="1785" w:type="dxa"/>
            <w:vMerge w:val="restart"/>
            <w:tcBorders>
              <w:top w:val="single" w:color="auto" w:sz="4" w:space="0"/>
              <w:left w:val="single" w:color="auto" w:sz="4" w:space="0"/>
              <w:bottom w:val="single" w:color="auto" w:sz="4" w:space="0"/>
              <w:right w:val="single" w:color="auto" w:sz="4" w:space="0"/>
            </w:tcBorders>
          </w:tcPr>
          <w:p w14:paraId="439C26CD">
            <w:pPr>
              <w:spacing w:line="300" w:lineRule="auto"/>
              <w:rPr>
                <w:rFonts w:hAnsi="宋体" w:cs="宋体"/>
                <w:color w:val="auto"/>
                <w:szCs w:val="21"/>
                <w:highlight w:val="none"/>
              </w:rPr>
            </w:pPr>
            <w:r>
              <w:rPr>
                <w:rFonts w:hint="eastAsia" w:hAnsi="宋体" w:cs="宋体"/>
                <w:color w:val="auto"/>
                <w:szCs w:val="21"/>
                <w:highlight w:val="none"/>
              </w:rPr>
              <w:t> </w:t>
            </w:r>
          </w:p>
          <w:p w14:paraId="7C3BF534">
            <w:pPr>
              <w:spacing w:line="300" w:lineRule="auto"/>
              <w:rPr>
                <w:rFonts w:hAnsi="宋体" w:cs="宋体"/>
                <w:color w:val="auto"/>
                <w:szCs w:val="21"/>
                <w:highlight w:val="none"/>
              </w:rPr>
            </w:pPr>
            <w:r>
              <w:rPr>
                <w:rFonts w:hint="eastAsia" w:hAnsi="宋体" w:cs="宋体"/>
                <w:color w:val="auto"/>
                <w:szCs w:val="21"/>
                <w:highlight w:val="none"/>
              </w:rPr>
              <w:t> </w:t>
            </w:r>
          </w:p>
          <w:p w14:paraId="5263DCAA">
            <w:pPr>
              <w:spacing w:line="300" w:lineRule="auto"/>
              <w:rPr>
                <w:rFonts w:hAnsi="宋体" w:cs="宋体"/>
                <w:color w:val="auto"/>
                <w:szCs w:val="21"/>
                <w:highlight w:val="none"/>
              </w:rPr>
            </w:pPr>
            <w:r>
              <w:rPr>
                <w:rFonts w:hint="eastAsia" w:hAnsi="宋体" w:cs="宋体"/>
                <w:color w:val="auto"/>
                <w:szCs w:val="21"/>
                <w:highlight w:val="none"/>
              </w:rPr>
              <w:t> </w:t>
            </w:r>
          </w:p>
          <w:p w14:paraId="546BD406">
            <w:pPr>
              <w:spacing w:line="300" w:lineRule="auto"/>
              <w:rPr>
                <w:rFonts w:hAnsi="宋体" w:cs="宋体"/>
                <w:color w:val="auto"/>
                <w:szCs w:val="21"/>
                <w:highlight w:val="none"/>
              </w:rPr>
            </w:pPr>
            <w:r>
              <w:rPr>
                <w:rFonts w:hint="eastAsia" w:hAnsi="宋体" w:cs="宋体"/>
                <w:color w:val="auto"/>
                <w:szCs w:val="21"/>
                <w:highlight w:val="none"/>
              </w:rPr>
              <w:t>照</w:t>
            </w:r>
          </w:p>
          <w:p w14:paraId="07DA42F5">
            <w:pPr>
              <w:spacing w:line="300" w:lineRule="auto"/>
              <w:rPr>
                <w:rFonts w:hAnsi="宋体" w:cs="宋体"/>
                <w:color w:val="auto"/>
                <w:szCs w:val="21"/>
                <w:highlight w:val="none"/>
              </w:rPr>
            </w:pPr>
            <w:r>
              <w:rPr>
                <w:rFonts w:hint="eastAsia" w:hAnsi="宋体" w:cs="宋体"/>
                <w:color w:val="auto"/>
                <w:szCs w:val="21"/>
                <w:highlight w:val="none"/>
              </w:rPr>
              <w:t> </w:t>
            </w:r>
          </w:p>
          <w:p w14:paraId="3C5326FE">
            <w:pPr>
              <w:spacing w:line="300" w:lineRule="auto"/>
              <w:rPr>
                <w:rFonts w:hAnsi="宋体" w:cs="宋体"/>
                <w:color w:val="auto"/>
                <w:szCs w:val="21"/>
                <w:highlight w:val="none"/>
              </w:rPr>
            </w:pPr>
            <w:r>
              <w:rPr>
                <w:rFonts w:hint="eastAsia" w:hAnsi="宋体" w:cs="宋体"/>
                <w:color w:val="auto"/>
                <w:szCs w:val="21"/>
                <w:highlight w:val="none"/>
              </w:rPr>
              <w:t> </w:t>
            </w:r>
          </w:p>
          <w:p w14:paraId="32C36202">
            <w:pPr>
              <w:spacing w:line="300" w:lineRule="auto"/>
              <w:rPr>
                <w:rFonts w:hAnsi="宋体" w:cs="宋体"/>
                <w:color w:val="auto"/>
                <w:szCs w:val="21"/>
                <w:highlight w:val="none"/>
              </w:rPr>
            </w:pPr>
            <w:r>
              <w:rPr>
                <w:rFonts w:hint="eastAsia" w:hAnsi="宋体" w:cs="宋体"/>
                <w:color w:val="auto"/>
                <w:szCs w:val="21"/>
                <w:highlight w:val="none"/>
              </w:rPr>
              <w:t>片</w:t>
            </w:r>
          </w:p>
          <w:p w14:paraId="0DE5382B">
            <w:pPr>
              <w:spacing w:line="300" w:lineRule="auto"/>
              <w:rPr>
                <w:rFonts w:hAnsi="宋体" w:cs="宋体"/>
                <w:color w:val="auto"/>
                <w:szCs w:val="21"/>
                <w:highlight w:val="none"/>
              </w:rPr>
            </w:pPr>
            <w:r>
              <w:rPr>
                <w:rFonts w:hint="eastAsia" w:hAnsi="宋体" w:cs="宋体"/>
                <w:color w:val="auto"/>
                <w:szCs w:val="21"/>
                <w:highlight w:val="none"/>
              </w:rPr>
              <w:t> </w:t>
            </w:r>
          </w:p>
        </w:tc>
      </w:tr>
      <w:tr w14:paraId="20D30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735" w:type="dxa"/>
            <w:tcBorders>
              <w:top w:val="single" w:color="auto" w:sz="4" w:space="0"/>
              <w:left w:val="single" w:color="auto" w:sz="4" w:space="0"/>
              <w:bottom w:val="single" w:color="auto" w:sz="4" w:space="0"/>
              <w:right w:val="single" w:color="auto" w:sz="4" w:space="0"/>
            </w:tcBorders>
          </w:tcPr>
          <w:p w14:paraId="617791B4">
            <w:pPr>
              <w:spacing w:line="300" w:lineRule="auto"/>
              <w:rPr>
                <w:rFonts w:hAnsi="宋体" w:cs="宋体"/>
                <w:color w:val="auto"/>
                <w:szCs w:val="21"/>
                <w:highlight w:val="none"/>
              </w:rPr>
            </w:pPr>
            <w:r>
              <w:rPr>
                <w:rFonts w:hint="eastAsia" w:hAnsi="宋体" w:cs="宋体"/>
                <w:color w:val="auto"/>
                <w:szCs w:val="21"/>
                <w:highlight w:val="none"/>
              </w:rPr>
              <w:t>职务</w:t>
            </w:r>
          </w:p>
        </w:tc>
        <w:tc>
          <w:tcPr>
            <w:tcW w:w="1155" w:type="dxa"/>
            <w:tcBorders>
              <w:top w:val="single" w:color="auto" w:sz="4" w:space="0"/>
              <w:left w:val="single" w:color="auto" w:sz="4" w:space="0"/>
              <w:bottom w:val="single" w:color="auto" w:sz="4" w:space="0"/>
              <w:right w:val="single" w:color="auto" w:sz="4" w:space="0"/>
            </w:tcBorders>
          </w:tcPr>
          <w:p w14:paraId="0BE3C4B5">
            <w:pPr>
              <w:spacing w:line="300" w:lineRule="auto"/>
              <w:rPr>
                <w:rFonts w:hAnsi="宋体" w:cs="宋体"/>
                <w:color w:val="auto"/>
                <w:szCs w:val="21"/>
                <w:highlight w:val="none"/>
              </w:rPr>
            </w:pPr>
            <w:r>
              <w:rPr>
                <w:rFonts w:hint="eastAsia" w:hAnsi="宋体" w:cs="宋体"/>
                <w:color w:val="auto"/>
                <w:szCs w:val="21"/>
                <w:highlight w:val="none"/>
              </w:rPr>
              <w:t> </w:t>
            </w:r>
          </w:p>
        </w:tc>
        <w:tc>
          <w:tcPr>
            <w:tcW w:w="2205" w:type="dxa"/>
            <w:gridSpan w:val="4"/>
            <w:tcBorders>
              <w:top w:val="single" w:color="auto" w:sz="4" w:space="0"/>
              <w:left w:val="single" w:color="auto" w:sz="4" w:space="0"/>
              <w:bottom w:val="single" w:color="auto" w:sz="4" w:space="0"/>
              <w:right w:val="single" w:color="auto" w:sz="4" w:space="0"/>
            </w:tcBorders>
          </w:tcPr>
          <w:p w14:paraId="2634D3F3">
            <w:pPr>
              <w:spacing w:line="300" w:lineRule="auto"/>
              <w:rPr>
                <w:rFonts w:hAnsi="宋体" w:cs="宋体"/>
                <w:color w:val="auto"/>
                <w:szCs w:val="21"/>
                <w:highlight w:val="none"/>
              </w:rPr>
            </w:pPr>
            <w:r>
              <w:rPr>
                <w:rFonts w:hint="eastAsia" w:hAnsi="宋体" w:cs="宋体"/>
                <w:color w:val="auto"/>
                <w:szCs w:val="21"/>
                <w:highlight w:val="none"/>
              </w:rPr>
              <w:t>参加工作时间</w:t>
            </w:r>
          </w:p>
        </w:tc>
        <w:tc>
          <w:tcPr>
            <w:tcW w:w="2730" w:type="dxa"/>
            <w:gridSpan w:val="2"/>
            <w:tcBorders>
              <w:top w:val="single" w:color="auto" w:sz="4" w:space="0"/>
              <w:left w:val="single" w:color="auto" w:sz="4" w:space="0"/>
              <w:bottom w:val="single" w:color="auto" w:sz="4" w:space="0"/>
              <w:right w:val="single" w:color="auto" w:sz="4" w:space="0"/>
            </w:tcBorders>
          </w:tcPr>
          <w:p w14:paraId="354C12F3">
            <w:pPr>
              <w:spacing w:line="300" w:lineRule="auto"/>
              <w:rPr>
                <w:rFonts w:hAnsi="宋体" w:cs="宋体"/>
                <w:color w:val="auto"/>
                <w:szCs w:val="21"/>
                <w:highlight w:val="none"/>
              </w:rPr>
            </w:pPr>
            <w:r>
              <w:rPr>
                <w:rFonts w:hint="eastAsia" w:hAnsi="宋体" w:cs="宋体"/>
                <w:color w:val="auto"/>
                <w:szCs w:val="21"/>
                <w:highlight w:val="none"/>
              </w:rPr>
              <w:t> </w:t>
            </w:r>
          </w:p>
        </w:tc>
        <w:tc>
          <w:tcPr>
            <w:tcW w:w="1785" w:type="dxa"/>
            <w:vMerge w:val="continue"/>
            <w:tcBorders>
              <w:top w:val="single" w:color="auto" w:sz="4" w:space="0"/>
              <w:left w:val="single" w:color="auto" w:sz="4" w:space="0"/>
              <w:bottom w:val="single" w:color="auto" w:sz="4" w:space="0"/>
              <w:right w:val="single" w:color="auto" w:sz="4" w:space="0"/>
            </w:tcBorders>
            <w:vAlign w:val="center"/>
          </w:tcPr>
          <w:p w14:paraId="74078E83">
            <w:pPr>
              <w:spacing w:line="300" w:lineRule="auto"/>
              <w:rPr>
                <w:rFonts w:hAnsi="宋体" w:cs="宋体"/>
                <w:color w:val="auto"/>
                <w:szCs w:val="21"/>
                <w:highlight w:val="none"/>
              </w:rPr>
            </w:pPr>
          </w:p>
        </w:tc>
      </w:tr>
      <w:tr w14:paraId="4CAAC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735" w:type="dxa"/>
            <w:tcBorders>
              <w:top w:val="single" w:color="auto" w:sz="4" w:space="0"/>
              <w:left w:val="single" w:color="auto" w:sz="4" w:space="0"/>
              <w:bottom w:val="single" w:color="auto" w:sz="4" w:space="0"/>
              <w:right w:val="single" w:color="auto" w:sz="4" w:space="0"/>
            </w:tcBorders>
          </w:tcPr>
          <w:p w14:paraId="21453300">
            <w:pPr>
              <w:spacing w:line="300" w:lineRule="auto"/>
              <w:rPr>
                <w:rFonts w:hAnsi="宋体" w:cs="宋体"/>
                <w:color w:val="auto"/>
                <w:szCs w:val="21"/>
                <w:highlight w:val="none"/>
              </w:rPr>
            </w:pPr>
            <w:r>
              <w:rPr>
                <w:rFonts w:hint="eastAsia" w:hAnsi="宋体" w:cs="宋体"/>
                <w:color w:val="auto"/>
                <w:szCs w:val="21"/>
                <w:highlight w:val="none"/>
              </w:rPr>
              <w:t>学历</w:t>
            </w:r>
          </w:p>
        </w:tc>
        <w:tc>
          <w:tcPr>
            <w:tcW w:w="1155" w:type="dxa"/>
            <w:tcBorders>
              <w:top w:val="single" w:color="auto" w:sz="4" w:space="0"/>
              <w:left w:val="single" w:color="auto" w:sz="4" w:space="0"/>
              <w:bottom w:val="single" w:color="auto" w:sz="4" w:space="0"/>
              <w:right w:val="single" w:color="auto" w:sz="4" w:space="0"/>
            </w:tcBorders>
          </w:tcPr>
          <w:p w14:paraId="63389925">
            <w:pPr>
              <w:spacing w:line="300" w:lineRule="auto"/>
              <w:rPr>
                <w:rFonts w:hAnsi="宋体" w:cs="宋体"/>
                <w:color w:val="auto"/>
                <w:szCs w:val="21"/>
                <w:highlight w:val="none"/>
              </w:rPr>
            </w:pPr>
            <w:r>
              <w:rPr>
                <w:rFonts w:hint="eastAsia" w:hAnsi="宋体" w:cs="宋体"/>
                <w:color w:val="auto"/>
                <w:szCs w:val="21"/>
                <w:highlight w:val="none"/>
              </w:rPr>
              <w:t> </w:t>
            </w:r>
          </w:p>
        </w:tc>
        <w:tc>
          <w:tcPr>
            <w:tcW w:w="1260" w:type="dxa"/>
            <w:gridSpan w:val="2"/>
            <w:tcBorders>
              <w:top w:val="single" w:color="auto" w:sz="4" w:space="0"/>
              <w:left w:val="single" w:color="auto" w:sz="4" w:space="0"/>
              <w:bottom w:val="single" w:color="auto" w:sz="4" w:space="0"/>
              <w:right w:val="single" w:color="auto" w:sz="4" w:space="0"/>
            </w:tcBorders>
          </w:tcPr>
          <w:p w14:paraId="1B92948F">
            <w:pPr>
              <w:spacing w:line="300" w:lineRule="auto"/>
              <w:rPr>
                <w:rFonts w:hAnsi="宋体" w:cs="宋体"/>
                <w:color w:val="auto"/>
                <w:szCs w:val="21"/>
                <w:highlight w:val="none"/>
              </w:rPr>
            </w:pPr>
            <w:r>
              <w:rPr>
                <w:rFonts w:hint="eastAsia" w:hAnsi="宋体" w:cs="宋体"/>
                <w:color w:val="auto"/>
                <w:szCs w:val="21"/>
                <w:highlight w:val="none"/>
              </w:rPr>
              <w:t>毕业学校</w:t>
            </w:r>
          </w:p>
        </w:tc>
        <w:tc>
          <w:tcPr>
            <w:tcW w:w="945" w:type="dxa"/>
            <w:gridSpan w:val="2"/>
            <w:tcBorders>
              <w:top w:val="single" w:color="auto" w:sz="4" w:space="0"/>
              <w:left w:val="single" w:color="auto" w:sz="4" w:space="0"/>
              <w:bottom w:val="single" w:color="auto" w:sz="4" w:space="0"/>
              <w:right w:val="single" w:color="auto" w:sz="4" w:space="0"/>
            </w:tcBorders>
          </w:tcPr>
          <w:p w14:paraId="67EE0F50">
            <w:pPr>
              <w:spacing w:line="300" w:lineRule="auto"/>
              <w:rPr>
                <w:rFonts w:hAnsi="宋体" w:cs="宋体"/>
                <w:color w:val="auto"/>
                <w:szCs w:val="21"/>
                <w:highlight w:val="none"/>
              </w:rPr>
            </w:pPr>
            <w:r>
              <w:rPr>
                <w:rFonts w:hint="eastAsia" w:hAnsi="宋体" w:cs="宋体"/>
                <w:color w:val="auto"/>
                <w:szCs w:val="21"/>
                <w:highlight w:val="none"/>
              </w:rPr>
              <w:t> </w:t>
            </w:r>
          </w:p>
        </w:tc>
        <w:tc>
          <w:tcPr>
            <w:tcW w:w="1260" w:type="dxa"/>
            <w:tcBorders>
              <w:top w:val="single" w:color="auto" w:sz="4" w:space="0"/>
              <w:left w:val="single" w:color="auto" w:sz="4" w:space="0"/>
              <w:bottom w:val="single" w:color="auto" w:sz="4" w:space="0"/>
              <w:right w:val="single" w:color="auto" w:sz="4" w:space="0"/>
            </w:tcBorders>
          </w:tcPr>
          <w:p w14:paraId="09DC9590">
            <w:pPr>
              <w:spacing w:line="300" w:lineRule="auto"/>
              <w:rPr>
                <w:rFonts w:hAnsi="宋体" w:cs="宋体"/>
                <w:color w:val="auto"/>
                <w:szCs w:val="21"/>
                <w:highlight w:val="none"/>
              </w:rPr>
            </w:pPr>
            <w:r>
              <w:rPr>
                <w:rFonts w:hint="eastAsia" w:hAnsi="宋体" w:cs="宋体"/>
                <w:color w:val="auto"/>
                <w:szCs w:val="21"/>
                <w:highlight w:val="none"/>
              </w:rPr>
              <w:t>专业</w:t>
            </w:r>
          </w:p>
        </w:tc>
        <w:tc>
          <w:tcPr>
            <w:tcW w:w="1470" w:type="dxa"/>
            <w:tcBorders>
              <w:top w:val="single" w:color="auto" w:sz="4" w:space="0"/>
              <w:left w:val="single" w:color="auto" w:sz="4" w:space="0"/>
              <w:bottom w:val="single" w:color="auto" w:sz="4" w:space="0"/>
              <w:right w:val="single" w:color="auto" w:sz="4" w:space="0"/>
            </w:tcBorders>
          </w:tcPr>
          <w:p w14:paraId="76D289F0">
            <w:pPr>
              <w:spacing w:line="300" w:lineRule="auto"/>
              <w:rPr>
                <w:rFonts w:hAnsi="宋体" w:cs="宋体"/>
                <w:color w:val="auto"/>
                <w:szCs w:val="21"/>
                <w:highlight w:val="none"/>
              </w:rPr>
            </w:pPr>
            <w:r>
              <w:rPr>
                <w:rFonts w:hint="eastAsia" w:hAnsi="宋体" w:cs="宋体"/>
                <w:color w:val="auto"/>
                <w:szCs w:val="21"/>
                <w:highlight w:val="none"/>
              </w:rPr>
              <w:t> </w:t>
            </w:r>
          </w:p>
        </w:tc>
        <w:tc>
          <w:tcPr>
            <w:tcW w:w="1785" w:type="dxa"/>
            <w:vMerge w:val="continue"/>
            <w:tcBorders>
              <w:top w:val="single" w:color="auto" w:sz="4" w:space="0"/>
              <w:left w:val="single" w:color="auto" w:sz="4" w:space="0"/>
              <w:bottom w:val="single" w:color="auto" w:sz="4" w:space="0"/>
              <w:right w:val="single" w:color="auto" w:sz="4" w:space="0"/>
            </w:tcBorders>
            <w:vAlign w:val="center"/>
          </w:tcPr>
          <w:p w14:paraId="2C405D37">
            <w:pPr>
              <w:spacing w:line="300" w:lineRule="auto"/>
              <w:rPr>
                <w:rFonts w:hAnsi="宋体" w:cs="宋体"/>
                <w:color w:val="auto"/>
                <w:szCs w:val="21"/>
                <w:highlight w:val="none"/>
              </w:rPr>
            </w:pPr>
          </w:p>
        </w:tc>
      </w:tr>
      <w:tr w14:paraId="1614D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890" w:type="dxa"/>
            <w:gridSpan w:val="2"/>
            <w:tcBorders>
              <w:top w:val="single" w:color="auto" w:sz="4" w:space="0"/>
              <w:left w:val="single" w:color="auto" w:sz="4" w:space="0"/>
              <w:bottom w:val="single" w:color="auto" w:sz="4" w:space="0"/>
              <w:right w:val="single" w:color="auto" w:sz="4" w:space="0"/>
            </w:tcBorders>
          </w:tcPr>
          <w:p w14:paraId="67BF6FF8">
            <w:pPr>
              <w:spacing w:line="300" w:lineRule="auto"/>
              <w:rPr>
                <w:rFonts w:hAnsi="宋体" w:cs="宋体"/>
                <w:color w:val="auto"/>
                <w:szCs w:val="21"/>
                <w:highlight w:val="none"/>
              </w:rPr>
            </w:pPr>
            <w:r>
              <w:rPr>
                <w:rFonts w:hint="eastAsia" w:hAnsi="宋体" w:cs="宋体"/>
                <w:color w:val="auto"/>
                <w:szCs w:val="21"/>
                <w:highlight w:val="none"/>
              </w:rPr>
              <w:t>主要研究方向</w:t>
            </w:r>
          </w:p>
        </w:tc>
        <w:tc>
          <w:tcPr>
            <w:tcW w:w="4935" w:type="dxa"/>
            <w:gridSpan w:val="6"/>
            <w:tcBorders>
              <w:top w:val="single" w:color="auto" w:sz="4" w:space="0"/>
              <w:left w:val="single" w:color="auto" w:sz="4" w:space="0"/>
              <w:bottom w:val="single" w:color="auto" w:sz="4" w:space="0"/>
              <w:right w:val="single" w:color="auto" w:sz="4" w:space="0"/>
            </w:tcBorders>
          </w:tcPr>
          <w:p w14:paraId="602081C3">
            <w:pPr>
              <w:spacing w:line="300" w:lineRule="auto"/>
              <w:rPr>
                <w:rFonts w:hAnsi="宋体" w:cs="宋体"/>
                <w:color w:val="auto"/>
                <w:szCs w:val="21"/>
                <w:highlight w:val="none"/>
              </w:rPr>
            </w:pPr>
            <w:r>
              <w:rPr>
                <w:rFonts w:hint="eastAsia" w:hAnsi="宋体" w:cs="宋体"/>
                <w:color w:val="auto"/>
                <w:szCs w:val="21"/>
                <w:highlight w:val="none"/>
              </w:rPr>
              <w:t> </w:t>
            </w:r>
          </w:p>
        </w:tc>
        <w:tc>
          <w:tcPr>
            <w:tcW w:w="1785" w:type="dxa"/>
            <w:vMerge w:val="continue"/>
            <w:tcBorders>
              <w:top w:val="single" w:color="auto" w:sz="4" w:space="0"/>
              <w:left w:val="single" w:color="auto" w:sz="4" w:space="0"/>
              <w:bottom w:val="single" w:color="auto" w:sz="4" w:space="0"/>
              <w:right w:val="single" w:color="auto" w:sz="4" w:space="0"/>
            </w:tcBorders>
            <w:vAlign w:val="center"/>
          </w:tcPr>
          <w:p w14:paraId="1D03481C">
            <w:pPr>
              <w:spacing w:line="300" w:lineRule="auto"/>
              <w:rPr>
                <w:rFonts w:hAnsi="宋体" w:cs="宋体"/>
                <w:color w:val="auto"/>
                <w:szCs w:val="21"/>
                <w:highlight w:val="none"/>
              </w:rPr>
            </w:pPr>
          </w:p>
        </w:tc>
      </w:tr>
      <w:tr w14:paraId="35340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735" w:type="dxa"/>
            <w:tcBorders>
              <w:top w:val="single" w:color="auto" w:sz="4" w:space="0"/>
              <w:left w:val="single" w:color="auto" w:sz="4" w:space="0"/>
              <w:bottom w:val="single" w:color="auto" w:sz="4" w:space="0"/>
              <w:right w:val="single" w:color="auto" w:sz="4" w:space="0"/>
            </w:tcBorders>
          </w:tcPr>
          <w:p w14:paraId="653CCA71">
            <w:pPr>
              <w:spacing w:line="300" w:lineRule="auto"/>
              <w:rPr>
                <w:rFonts w:hAnsi="宋体" w:cs="宋体"/>
                <w:color w:val="auto"/>
                <w:szCs w:val="21"/>
                <w:highlight w:val="none"/>
              </w:rPr>
            </w:pPr>
            <w:r>
              <w:rPr>
                <w:rFonts w:hint="eastAsia" w:hAnsi="宋体" w:cs="宋体"/>
                <w:color w:val="auto"/>
                <w:szCs w:val="21"/>
                <w:highlight w:val="none"/>
              </w:rPr>
              <w:t>执业资格</w:t>
            </w:r>
          </w:p>
        </w:tc>
        <w:tc>
          <w:tcPr>
            <w:tcW w:w="1155" w:type="dxa"/>
            <w:tcBorders>
              <w:top w:val="single" w:color="auto" w:sz="4" w:space="0"/>
              <w:left w:val="single" w:color="auto" w:sz="4" w:space="0"/>
              <w:bottom w:val="single" w:color="auto" w:sz="4" w:space="0"/>
              <w:right w:val="single" w:color="auto" w:sz="4" w:space="0"/>
            </w:tcBorders>
          </w:tcPr>
          <w:p w14:paraId="25204E20">
            <w:pPr>
              <w:spacing w:line="300" w:lineRule="auto"/>
              <w:rPr>
                <w:rFonts w:hAnsi="宋体" w:cs="宋体"/>
                <w:color w:val="auto"/>
                <w:szCs w:val="21"/>
                <w:highlight w:val="none"/>
              </w:rPr>
            </w:pPr>
          </w:p>
        </w:tc>
        <w:tc>
          <w:tcPr>
            <w:tcW w:w="1785" w:type="dxa"/>
            <w:gridSpan w:val="3"/>
            <w:tcBorders>
              <w:top w:val="single" w:color="auto" w:sz="4" w:space="0"/>
              <w:left w:val="single" w:color="auto" w:sz="4" w:space="0"/>
              <w:bottom w:val="single" w:color="auto" w:sz="4" w:space="0"/>
              <w:right w:val="single" w:color="auto" w:sz="4" w:space="0"/>
            </w:tcBorders>
          </w:tcPr>
          <w:p w14:paraId="203BACF6">
            <w:pPr>
              <w:spacing w:line="300" w:lineRule="auto"/>
              <w:rPr>
                <w:rFonts w:hAnsi="宋体" w:cs="宋体"/>
                <w:color w:val="auto"/>
                <w:szCs w:val="21"/>
                <w:highlight w:val="none"/>
              </w:rPr>
            </w:pPr>
            <w:r>
              <w:rPr>
                <w:rFonts w:hint="eastAsia" w:hAnsi="宋体" w:cs="宋体"/>
                <w:color w:val="auto"/>
                <w:szCs w:val="21"/>
                <w:highlight w:val="none"/>
              </w:rPr>
              <w:t>获证时间及</w:t>
            </w:r>
          </w:p>
          <w:p w14:paraId="134FFDF8">
            <w:pPr>
              <w:spacing w:line="300" w:lineRule="auto"/>
              <w:rPr>
                <w:rFonts w:hAnsi="宋体" w:cs="宋体"/>
                <w:color w:val="auto"/>
                <w:szCs w:val="21"/>
                <w:highlight w:val="none"/>
              </w:rPr>
            </w:pPr>
            <w:r>
              <w:rPr>
                <w:rFonts w:hint="eastAsia" w:hAnsi="宋体" w:cs="宋体"/>
                <w:color w:val="auto"/>
                <w:szCs w:val="21"/>
                <w:highlight w:val="none"/>
              </w:rPr>
              <w:t>审批机关</w:t>
            </w:r>
          </w:p>
        </w:tc>
        <w:tc>
          <w:tcPr>
            <w:tcW w:w="3150" w:type="dxa"/>
            <w:gridSpan w:val="3"/>
            <w:tcBorders>
              <w:top w:val="single" w:color="auto" w:sz="4" w:space="0"/>
              <w:left w:val="single" w:color="auto" w:sz="4" w:space="0"/>
              <w:bottom w:val="single" w:color="auto" w:sz="4" w:space="0"/>
              <w:right w:val="single" w:color="auto" w:sz="4" w:space="0"/>
            </w:tcBorders>
          </w:tcPr>
          <w:p w14:paraId="7DA29893">
            <w:pPr>
              <w:spacing w:line="300" w:lineRule="auto"/>
              <w:rPr>
                <w:rFonts w:hAnsi="宋体" w:cs="宋体"/>
                <w:color w:val="auto"/>
                <w:szCs w:val="21"/>
                <w:highlight w:val="none"/>
              </w:rPr>
            </w:pPr>
          </w:p>
        </w:tc>
        <w:tc>
          <w:tcPr>
            <w:tcW w:w="1785" w:type="dxa"/>
            <w:vMerge w:val="continue"/>
            <w:tcBorders>
              <w:top w:val="single" w:color="auto" w:sz="4" w:space="0"/>
              <w:left w:val="single" w:color="auto" w:sz="4" w:space="0"/>
              <w:bottom w:val="single" w:color="auto" w:sz="4" w:space="0"/>
              <w:right w:val="single" w:color="auto" w:sz="4" w:space="0"/>
            </w:tcBorders>
            <w:vAlign w:val="center"/>
          </w:tcPr>
          <w:p w14:paraId="31F0D951">
            <w:pPr>
              <w:spacing w:line="300" w:lineRule="auto"/>
              <w:rPr>
                <w:rFonts w:hAnsi="宋体" w:cs="宋体"/>
                <w:color w:val="auto"/>
                <w:szCs w:val="21"/>
                <w:highlight w:val="none"/>
              </w:rPr>
            </w:pPr>
          </w:p>
        </w:tc>
      </w:tr>
      <w:tr w14:paraId="705AF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735" w:type="dxa"/>
            <w:tcBorders>
              <w:top w:val="single" w:color="auto" w:sz="4" w:space="0"/>
              <w:left w:val="single" w:color="auto" w:sz="4" w:space="0"/>
              <w:bottom w:val="single" w:color="auto" w:sz="4" w:space="0"/>
              <w:right w:val="single" w:color="auto" w:sz="4" w:space="0"/>
            </w:tcBorders>
          </w:tcPr>
          <w:p w14:paraId="200C0E6E">
            <w:pPr>
              <w:spacing w:line="300" w:lineRule="auto"/>
              <w:rPr>
                <w:rFonts w:hAnsi="宋体" w:cs="宋体"/>
                <w:color w:val="auto"/>
                <w:szCs w:val="21"/>
                <w:highlight w:val="none"/>
              </w:rPr>
            </w:pPr>
            <w:r>
              <w:rPr>
                <w:rFonts w:hint="eastAsia" w:hAnsi="宋体" w:cs="宋体"/>
                <w:color w:val="auto"/>
                <w:szCs w:val="21"/>
                <w:highlight w:val="none"/>
              </w:rPr>
              <w:t>职称</w:t>
            </w:r>
          </w:p>
        </w:tc>
        <w:tc>
          <w:tcPr>
            <w:tcW w:w="1155" w:type="dxa"/>
            <w:tcBorders>
              <w:top w:val="single" w:color="auto" w:sz="4" w:space="0"/>
              <w:left w:val="single" w:color="auto" w:sz="4" w:space="0"/>
              <w:bottom w:val="single" w:color="auto" w:sz="4" w:space="0"/>
              <w:right w:val="single" w:color="auto" w:sz="4" w:space="0"/>
            </w:tcBorders>
          </w:tcPr>
          <w:p w14:paraId="10076CC1">
            <w:pPr>
              <w:spacing w:line="300" w:lineRule="auto"/>
              <w:rPr>
                <w:rFonts w:hAnsi="宋体" w:cs="宋体"/>
                <w:color w:val="auto"/>
                <w:szCs w:val="21"/>
                <w:highlight w:val="none"/>
              </w:rPr>
            </w:pPr>
            <w:r>
              <w:rPr>
                <w:rFonts w:hint="eastAsia" w:hAnsi="宋体" w:cs="宋体"/>
                <w:color w:val="auto"/>
                <w:szCs w:val="21"/>
                <w:highlight w:val="none"/>
              </w:rPr>
              <w:t> </w:t>
            </w:r>
          </w:p>
        </w:tc>
        <w:tc>
          <w:tcPr>
            <w:tcW w:w="1785" w:type="dxa"/>
            <w:gridSpan w:val="3"/>
            <w:tcBorders>
              <w:top w:val="single" w:color="auto" w:sz="4" w:space="0"/>
              <w:left w:val="single" w:color="auto" w:sz="4" w:space="0"/>
              <w:bottom w:val="single" w:color="auto" w:sz="4" w:space="0"/>
              <w:right w:val="single" w:color="auto" w:sz="4" w:space="0"/>
            </w:tcBorders>
          </w:tcPr>
          <w:p w14:paraId="465FECE1">
            <w:pPr>
              <w:spacing w:line="300" w:lineRule="auto"/>
              <w:rPr>
                <w:rFonts w:hAnsi="宋体" w:cs="宋体"/>
                <w:color w:val="auto"/>
                <w:szCs w:val="21"/>
                <w:highlight w:val="none"/>
              </w:rPr>
            </w:pPr>
            <w:r>
              <w:rPr>
                <w:rFonts w:hint="eastAsia" w:hAnsi="宋体" w:cs="宋体"/>
                <w:color w:val="auto"/>
                <w:szCs w:val="21"/>
                <w:highlight w:val="none"/>
              </w:rPr>
              <w:t>获证时间及</w:t>
            </w:r>
          </w:p>
          <w:p w14:paraId="1EC9BE35">
            <w:pPr>
              <w:spacing w:line="300" w:lineRule="auto"/>
              <w:rPr>
                <w:rFonts w:hAnsi="宋体" w:cs="宋体"/>
                <w:color w:val="auto"/>
                <w:szCs w:val="21"/>
                <w:highlight w:val="none"/>
              </w:rPr>
            </w:pPr>
            <w:r>
              <w:rPr>
                <w:rFonts w:hint="eastAsia" w:hAnsi="宋体" w:cs="宋体"/>
                <w:color w:val="auto"/>
                <w:szCs w:val="21"/>
                <w:highlight w:val="none"/>
              </w:rPr>
              <w:t>审批机关</w:t>
            </w:r>
          </w:p>
        </w:tc>
        <w:tc>
          <w:tcPr>
            <w:tcW w:w="3150" w:type="dxa"/>
            <w:gridSpan w:val="3"/>
            <w:tcBorders>
              <w:top w:val="single" w:color="auto" w:sz="4" w:space="0"/>
              <w:left w:val="single" w:color="auto" w:sz="4" w:space="0"/>
              <w:bottom w:val="single" w:color="auto" w:sz="4" w:space="0"/>
              <w:right w:val="single" w:color="auto" w:sz="4" w:space="0"/>
            </w:tcBorders>
          </w:tcPr>
          <w:p w14:paraId="0C850C45">
            <w:pPr>
              <w:spacing w:line="300" w:lineRule="auto"/>
              <w:rPr>
                <w:rFonts w:hAnsi="宋体" w:cs="宋体"/>
                <w:color w:val="auto"/>
                <w:szCs w:val="21"/>
                <w:highlight w:val="none"/>
              </w:rPr>
            </w:pPr>
            <w:r>
              <w:rPr>
                <w:rFonts w:hint="eastAsia" w:hAnsi="宋体" w:cs="宋体"/>
                <w:color w:val="auto"/>
                <w:szCs w:val="21"/>
                <w:highlight w:val="none"/>
              </w:rPr>
              <w:t> </w:t>
            </w:r>
          </w:p>
        </w:tc>
        <w:tc>
          <w:tcPr>
            <w:tcW w:w="1785" w:type="dxa"/>
            <w:vMerge w:val="continue"/>
            <w:tcBorders>
              <w:top w:val="single" w:color="auto" w:sz="4" w:space="0"/>
              <w:left w:val="single" w:color="auto" w:sz="4" w:space="0"/>
              <w:bottom w:val="single" w:color="auto" w:sz="4" w:space="0"/>
              <w:right w:val="single" w:color="auto" w:sz="4" w:space="0"/>
            </w:tcBorders>
            <w:vAlign w:val="center"/>
          </w:tcPr>
          <w:p w14:paraId="52CF4BF1">
            <w:pPr>
              <w:spacing w:line="300" w:lineRule="auto"/>
              <w:rPr>
                <w:rFonts w:hAnsi="宋体" w:cs="宋体"/>
                <w:color w:val="auto"/>
                <w:szCs w:val="21"/>
                <w:highlight w:val="none"/>
              </w:rPr>
            </w:pPr>
          </w:p>
        </w:tc>
      </w:tr>
      <w:tr w14:paraId="71F2D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90" w:type="dxa"/>
            <w:gridSpan w:val="2"/>
            <w:tcBorders>
              <w:top w:val="single" w:color="auto" w:sz="4" w:space="0"/>
              <w:left w:val="single" w:color="auto" w:sz="4" w:space="0"/>
              <w:bottom w:val="single" w:color="auto" w:sz="4" w:space="0"/>
              <w:right w:val="single" w:color="auto" w:sz="4" w:space="0"/>
            </w:tcBorders>
          </w:tcPr>
          <w:p w14:paraId="2C0B45A7">
            <w:pPr>
              <w:spacing w:line="300" w:lineRule="auto"/>
              <w:rPr>
                <w:rFonts w:hAnsi="宋体" w:cs="宋体"/>
                <w:color w:val="auto"/>
                <w:szCs w:val="21"/>
                <w:highlight w:val="none"/>
              </w:rPr>
            </w:pPr>
            <w:r>
              <w:rPr>
                <w:rFonts w:hint="eastAsia" w:hAnsi="宋体" w:cs="宋体"/>
                <w:color w:val="auto"/>
                <w:szCs w:val="21"/>
                <w:highlight w:val="none"/>
              </w:rPr>
              <w:t>身份证号码</w:t>
            </w:r>
          </w:p>
        </w:tc>
        <w:tc>
          <w:tcPr>
            <w:tcW w:w="1785" w:type="dxa"/>
            <w:gridSpan w:val="3"/>
            <w:tcBorders>
              <w:top w:val="single" w:color="auto" w:sz="4" w:space="0"/>
              <w:left w:val="single" w:color="auto" w:sz="4" w:space="0"/>
              <w:bottom w:val="single" w:color="auto" w:sz="4" w:space="0"/>
              <w:right w:val="single" w:color="auto" w:sz="4" w:space="0"/>
            </w:tcBorders>
          </w:tcPr>
          <w:p w14:paraId="513B01F9">
            <w:pPr>
              <w:spacing w:line="300" w:lineRule="auto"/>
              <w:rPr>
                <w:rFonts w:hAnsi="宋体" w:cs="宋体"/>
                <w:color w:val="auto"/>
                <w:szCs w:val="21"/>
                <w:highlight w:val="none"/>
              </w:rPr>
            </w:pPr>
            <w:r>
              <w:rPr>
                <w:rFonts w:hint="eastAsia" w:hAnsi="宋体" w:cs="宋体"/>
                <w:color w:val="auto"/>
                <w:szCs w:val="21"/>
                <w:highlight w:val="none"/>
              </w:rPr>
              <w:t> </w:t>
            </w:r>
          </w:p>
        </w:tc>
        <w:tc>
          <w:tcPr>
            <w:tcW w:w="1680" w:type="dxa"/>
            <w:gridSpan w:val="2"/>
            <w:tcBorders>
              <w:top w:val="single" w:color="auto" w:sz="4" w:space="0"/>
              <w:left w:val="single" w:color="auto" w:sz="4" w:space="0"/>
              <w:bottom w:val="single" w:color="auto" w:sz="4" w:space="0"/>
              <w:right w:val="single" w:color="auto" w:sz="4" w:space="0"/>
            </w:tcBorders>
          </w:tcPr>
          <w:p w14:paraId="37FBDC2B">
            <w:pPr>
              <w:spacing w:line="300" w:lineRule="auto"/>
              <w:rPr>
                <w:rFonts w:hAnsi="宋体" w:cs="宋体"/>
                <w:color w:val="auto"/>
                <w:szCs w:val="21"/>
                <w:highlight w:val="none"/>
              </w:rPr>
            </w:pPr>
            <w:r>
              <w:rPr>
                <w:rFonts w:hint="eastAsia" w:hAnsi="宋体" w:cs="宋体"/>
                <w:color w:val="auto"/>
                <w:szCs w:val="21"/>
                <w:highlight w:val="none"/>
              </w:rPr>
              <w:t>联系电话</w:t>
            </w:r>
          </w:p>
        </w:tc>
        <w:tc>
          <w:tcPr>
            <w:tcW w:w="3255" w:type="dxa"/>
            <w:gridSpan w:val="2"/>
            <w:tcBorders>
              <w:top w:val="single" w:color="auto" w:sz="4" w:space="0"/>
              <w:left w:val="single" w:color="auto" w:sz="4" w:space="0"/>
              <w:bottom w:val="single" w:color="auto" w:sz="4" w:space="0"/>
              <w:right w:val="single" w:color="auto" w:sz="4" w:space="0"/>
            </w:tcBorders>
          </w:tcPr>
          <w:p w14:paraId="2AF72056">
            <w:pPr>
              <w:spacing w:line="300" w:lineRule="auto"/>
              <w:rPr>
                <w:rFonts w:hAnsi="宋体" w:cs="宋体"/>
                <w:color w:val="auto"/>
                <w:szCs w:val="21"/>
                <w:highlight w:val="none"/>
              </w:rPr>
            </w:pPr>
            <w:r>
              <w:rPr>
                <w:rFonts w:hint="eastAsia" w:hAnsi="宋体" w:cs="宋体"/>
                <w:color w:val="auto"/>
                <w:szCs w:val="21"/>
                <w:highlight w:val="none"/>
              </w:rPr>
              <w:t> </w:t>
            </w:r>
          </w:p>
        </w:tc>
      </w:tr>
      <w:tr w14:paraId="46CAF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735" w:type="dxa"/>
            <w:vMerge w:val="restart"/>
            <w:tcBorders>
              <w:top w:val="single" w:color="auto" w:sz="4" w:space="0"/>
              <w:left w:val="single" w:color="auto" w:sz="4" w:space="0"/>
              <w:bottom w:val="single" w:color="auto" w:sz="4" w:space="0"/>
              <w:right w:val="single" w:color="auto" w:sz="4" w:space="0"/>
            </w:tcBorders>
          </w:tcPr>
          <w:p w14:paraId="4988FE6C">
            <w:pPr>
              <w:spacing w:line="300" w:lineRule="auto"/>
              <w:rPr>
                <w:rFonts w:hAnsi="宋体" w:cs="宋体"/>
                <w:color w:val="auto"/>
                <w:szCs w:val="21"/>
                <w:highlight w:val="none"/>
              </w:rPr>
            </w:pPr>
            <w:r>
              <w:rPr>
                <w:rFonts w:hint="eastAsia" w:hAnsi="宋体" w:cs="宋体"/>
                <w:color w:val="auto"/>
                <w:szCs w:val="21"/>
                <w:highlight w:val="none"/>
              </w:rPr>
              <w:t> </w:t>
            </w:r>
          </w:p>
          <w:p w14:paraId="13711D6A">
            <w:pPr>
              <w:spacing w:line="300" w:lineRule="auto"/>
              <w:rPr>
                <w:rFonts w:hAnsi="宋体" w:cs="宋体"/>
                <w:color w:val="auto"/>
                <w:szCs w:val="21"/>
                <w:highlight w:val="none"/>
              </w:rPr>
            </w:pPr>
            <w:r>
              <w:rPr>
                <w:rFonts w:hint="eastAsia" w:hAnsi="宋体" w:cs="宋体"/>
                <w:color w:val="auto"/>
                <w:szCs w:val="21"/>
                <w:highlight w:val="none"/>
              </w:rPr>
              <w:t> </w:t>
            </w:r>
          </w:p>
          <w:p w14:paraId="0BBA0B16">
            <w:pPr>
              <w:spacing w:line="300" w:lineRule="auto"/>
              <w:rPr>
                <w:rFonts w:hAnsi="宋体" w:cs="宋体"/>
                <w:color w:val="auto"/>
                <w:szCs w:val="21"/>
                <w:highlight w:val="none"/>
              </w:rPr>
            </w:pPr>
            <w:r>
              <w:rPr>
                <w:rFonts w:hint="eastAsia" w:hAnsi="宋体" w:cs="宋体"/>
                <w:color w:val="auto"/>
                <w:szCs w:val="21"/>
                <w:highlight w:val="none"/>
              </w:rPr>
              <w:t> </w:t>
            </w:r>
          </w:p>
          <w:p w14:paraId="508E0797">
            <w:pPr>
              <w:spacing w:line="300" w:lineRule="auto"/>
              <w:rPr>
                <w:rFonts w:hAnsi="宋体" w:cs="宋体"/>
                <w:color w:val="auto"/>
                <w:szCs w:val="21"/>
                <w:highlight w:val="none"/>
              </w:rPr>
            </w:pPr>
            <w:r>
              <w:rPr>
                <w:rFonts w:hint="eastAsia" w:hAnsi="宋体" w:cs="宋体"/>
                <w:color w:val="auto"/>
                <w:szCs w:val="21"/>
                <w:highlight w:val="none"/>
              </w:rPr>
              <w:t> </w:t>
            </w:r>
          </w:p>
          <w:p w14:paraId="694CAA65">
            <w:pPr>
              <w:spacing w:line="300" w:lineRule="auto"/>
              <w:rPr>
                <w:rFonts w:hAnsi="宋体" w:cs="宋体"/>
                <w:color w:val="auto"/>
                <w:szCs w:val="21"/>
                <w:highlight w:val="none"/>
              </w:rPr>
            </w:pPr>
            <w:r>
              <w:rPr>
                <w:rFonts w:hint="eastAsia" w:hAnsi="宋体" w:cs="宋体"/>
                <w:color w:val="auto"/>
                <w:szCs w:val="21"/>
                <w:highlight w:val="none"/>
              </w:rPr>
              <w:t>从事执业工作经历</w:t>
            </w:r>
          </w:p>
        </w:tc>
        <w:tc>
          <w:tcPr>
            <w:tcW w:w="1785" w:type="dxa"/>
            <w:gridSpan w:val="2"/>
            <w:tcBorders>
              <w:top w:val="single" w:color="auto" w:sz="4" w:space="0"/>
              <w:left w:val="single" w:color="auto" w:sz="4" w:space="0"/>
              <w:bottom w:val="single" w:color="auto" w:sz="4" w:space="0"/>
              <w:right w:val="single" w:color="auto" w:sz="4" w:space="0"/>
            </w:tcBorders>
          </w:tcPr>
          <w:p w14:paraId="50DC0647">
            <w:pPr>
              <w:spacing w:line="300" w:lineRule="auto"/>
              <w:rPr>
                <w:rFonts w:hAnsi="宋体" w:cs="宋体"/>
                <w:color w:val="auto"/>
                <w:szCs w:val="21"/>
                <w:highlight w:val="none"/>
              </w:rPr>
            </w:pPr>
            <w:r>
              <w:rPr>
                <w:rFonts w:hint="eastAsia" w:hAnsi="宋体" w:cs="宋体"/>
                <w:color w:val="auto"/>
                <w:szCs w:val="21"/>
                <w:highlight w:val="none"/>
              </w:rPr>
              <w:t>时间</w:t>
            </w:r>
          </w:p>
        </w:tc>
        <w:tc>
          <w:tcPr>
            <w:tcW w:w="2835" w:type="dxa"/>
            <w:gridSpan w:val="4"/>
            <w:tcBorders>
              <w:top w:val="single" w:color="auto" w:sz="4" w:space="0"/>
              <w:left w:val="single" w:color="auto" w:sz="4" w:space="0"/>
              <w:bottom w:val="single" w:color="auto" w:sz="4" w:space="0"/>
              <w:right w:val="single" w:color="auto" w:sz="4" w:space="0"/>
            </w:tcBorders>
          </w:tcPr>
          <w:p w14:paraId="4863E7BE">
            <w:pPr>
              <w:spacing w:line="300" w:lineRule="auto"/>
              <w:rPr>
                <w:rFonts w:hAnsi="宋体" w:cs="宋体"/>
                <w:color w:val="auto"/>
                <w:szCs w:val="21"/>
                <w:highlight w:val="none"/>
              </w:rPr>
            </w:pPr>
            <w:r>
              <w:rPr>
                <w:rFonts w:hint="eastAsia" w:hAnsi="宋体" w:cs="宋体"/>
                <w:color w:val="auto"/>
                <w:szCs w:val="21"/>
                <w:highlight w:val="none"/>
              </w:rPr>
              <w:t>项目名称</w:t>
            </w:r>
          </w:p>
        </w:tc>
        <w:tc>
          <w:tcPr>
            <w:tcW w:w="3255" w:type="dxa"/>
            <w:gridSpan w:val="2"/>
            <w:tcBorders>
              <w:top w:val="single" w:color="auto" w:sz="4" w:space="0"/>
              <w:left w:val="single" w:color="auto" w:sz="4" w:space="0"/>
              <w:bottom w:val="single" w:color="auto" w:sz="4" w:space="0"/>
              <w:right w:val="single" w:color="auto" w:sz="4" w:space="0"/>
            </w:tcBorders>
          </w:tcPr>
          <w:p w14:paraId="6C41570B">
            <w:pPr>
              <w:spacing w:line="300" w:lineRule="auto"/>
              <w:rPr>
                <w:rFonts w:hAnsi="宋体" w:cs="宋体"/>
                <w:color w:val="auto"/>
                <w:szCs w:val="21"/>
                <w:highlight w:val="none"/>
              </w:rPr>
            </w:pPr>
            <w:r>
              <w:rPr>
                <w:rFonts w:hint="eastAsia" w:hAnsi="宋体" w:cs="宋体"/>
                <w:color w:val="auto"/>
                <w:szCs w:val="21"/>
                <w:highlight w:val="none"/>
              </w:rPr>
              <w:t>本人承担任务</w:t>
            </w:r>
          </w:p>
        </w:tc>
      </w:tr>
      <w:tr w14:paraId="30FF4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735" w:type="dxa"/>
            <w:vMerge w:val="continue"/>
            <w:tcBorders>
              <w:top w:val="single" w:color="auto" w:sz="4" w:space="0"/>
              <w:left w:val="single" w:color="auto" w:sz="4" w:space="0"/>
              <w:bottom w:val="single" w:color="auto" w:sz="4" w:space="0"/>
              <w:right w:val="single" w:color="auto" w:sz="4" w:space="0"/>
            </w:tcBorders>
            <w:vAlign w:val="center"/>
          </w:tcPr>
          <w:p w14:paraId="06FB0CB4">
            <w:pPr>
              <w:spacing w:line="300" w:lineRule="auto"/>
              <w:rPr>
                <w:rFonts w:hAnsi="宋体" w:cs="宋体"/>
                <w:color w:val="auto"/>
                <w:szCs w:val="21"/>
                <w:highlight w:val="none"/>
              </w:rPr>
            </w:pPr>
          </w:p>
        </w:tc>
        <w:tc>
          <w:tcPr>
            <w:tcW w:w="1785" w:type="dxa"/>
            <w:gridSpan w:val="2"/>
            <w:tcBorders>
              <w:top w:val="single" w:color="auto" w:sz="4" w:space="0"/>
              <w:left w:val="single" w:color="auto" w:sz="4" w:space="0"/>
              <w:bottom w:val="single" w:color="auto" w:sz="4" w:space="0"/>
              <w:right w:val="single" w:color="auto" w:sz="4" w:space="0"/>
            </w:tcBorders>
          </w:tcPr>
          <w:p w14:paraId="20256CC7">
            <w:pPr>
              <w:spacing w:line="300" w:lineRule="auto"/>
              <w:rPr>
                <w:rFonts w:hAnsi="宋体" w:cs="宋体"/>
                <w:color w:val="auto"/>
                <w:szCs w:val="21"/>
                <w:highlight w:val="none"/>
              </w:rPr>
            </w:pPr>
            <w:r>
              <w:rPr>
                <w:rFonts w:hint="eastAsia" w:hAnsi="宋体" w:cs="宋体"/>
                <w:color w:val="auto"/>
                <w:szCs w:val="21"/>
                <w:highlight w:val="none"/>
              </w:rPr>
              <w:t> </w:t>
            </w:r>
          </w:p>
        </w:tc>
        <w:tc>
          <w:tcPr>
            <w:tcW w:w="2835" w:type="dxa"/>
            <w:gridSpan w:val="4"/>
            <w:tcBorders>
              <w:top w:val="single" w:color="auto" w:sz="4" w:space="0"/>
              <w:left w:val="single" w:color="auto" w:sz="4" w:space="0"/>
              <w:bottom w:val="single" w:color="auto" w:sz="4" w:space="0"/>
              <w:right w:val="single" w:color="auto" w:sz="4" w:space="0"/>
            </w:tcBorders>
          </w:tcPr>
          <w:p w14:paraId="27EF0AC6">
            <w:pPr>
              <w:spacing w:line="300" w:lineRule="auto"/>
              <w:rPr>
                <w:rFonts w:hAnsi="宋体" w:cs="宋体"/>
                <w:color w:val="auto"/>
                <w:szCs w:val="21"/>
                <w:highlight w:val="none"/>
              </w:rPr>
            </w:pPr>
            <w:r>
              <w:rPr>
                <w:rFonts w:hint="eastAsia" w:hAnsi="宋体" w:cs="宋体"/>
                <w:color w:val="auto"/>
                <w:szCs w:val="21"/>
                <w:highlight w:val="none"/>
              </w:rPr>
              <w:t> </w:t>
            </w:r>
          </w:p>
        </w:tc>
        <w:tc>
          <w:tcPr>
            <w:tcW w:w="3255" w:type="dxa"/>
            <w:gridSpan w:val="2"/>
            <w:tcBorders>
              <w:top w:val="single" w:color="auto" w:sz="4" w:space="0"/>
              <w:left w:val="single" w:color="auto" w:sz="4" w:space="0"/>
              <w:bottom w:val="single" w:color="auto" w:sz="4" w:space="0"/>
              <w:right w:val="single" w:color="auto" w:sz="4" w:space="0"/>
            </w:tcBorders>
          </w:tcPr>
          <w:p w14:paraId="414AF3F0">
            <w:pPr>
              <w:spacing w:line="300" w:lineRule="auto"/>
              <w:rPr>
                <w:rFonts w:hAnsi="宋体" w:cs="宋体"/>
                <w:color w:val="auto"/>
                <w:szCs w:val="21"/>
                <w:highlight w:val="none"/>
              </w:rPr>
            </w:pPr>
            <w:r>
              <w:rPr>
                <w:rFonts w:hint="eastAsia" w:hAnsi="宋体" w:cs="宋体"/>
                <w:color w:val="auto"/>
                <w:szCs w:val="21"/>
                <w:highlight w:val="none"/>
              </w:rPr>
              <w:t> </w:t>
            </w:r>
          </w:p>
        </w:tc>
      </w:tr>
      <w:tr w14:paraId="6BEA2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735" w:type="dxa"/>
            <w:vMerge w:val="continue"/>
            <w:tcBorders>
              <w:top w:val="single" w:color="auto" w:sz="4" w:space="0"/>
              <w:left w:val="single" w:color="auto" w:sz="4" w:space="0"/>
              <w:bottom w:val="single" w:color="auto" w:sz="4" w:space="0"/>
              <w:right w:val="single" w:color="auto" w:sz="4" w:space="0"/>
            </w:tcBorders>
            <w:vAlign w:val="center"/>
          </w:tcPr>
          <w:p w14:paraId="5F24F938">
            <w:pPr>
              <w:spacing w:line="300" w:lineRule="auto"/>
              <w:rPr>
                <w:rFonts w:hAnsi="宋体" w:cs="宋体"/>
                <w:color w:val="auto"/>
                <w:szCs w:val="21"/>
                <w:highlight w:val="none"/>
              </w:rPr>
            </w:pPr>
          </w:p>
        </w:tc>
        <w:tc>
          <w:tcPr>
            <w:tcW w:w="1785" w:type="dxa"/>
            <w:gridSpan w:val="2"/>
            <w:tcBorders>
              <w:top w:val="single" w:color="auto" w:sz="4" w:space="0"/>
              <w:left w:val="single" w:color="auto" w:sz="4" w:space="0"/>
              <w:bottom w:val="single" w:color="auto" w:sz="4" w:space="0"/>
              <w:right w:val="single" w:color="auto" w:sz="4" w:space="0"/>
            </w:tcBorders>
          </w:tcPr>
          <w:p w14:paraId="52858F74">
            <w:pPr>
              <w:spacing w:line="300" w:lineRule="auto"/>
              <w:rPr>
                <w:rFonts w:hAnsi="宋体" w:cs="宋体"/>
                <w:color w:val="auto"/>
                <w:szCs w:val="21"/>
                <w:highlight w:val="none"/>
              </w:rPr>
            </w:pPr>
            <w:r>
              <w:rPr>
                <w:rFonts w:hint="eastAsia" w:hAnsi="宋体" w:cs="宋体"/>
                <w:color w:val="auto"/>
                <w:szCs w:val="21"/>
                <w:highlight w:val="none"/>
              </w:rPr>
              <w:t> </w:t>
            </w:r>
          </w:p>
        </w:tc>
        <w:tc>
          <w:tcPr>
            <w:tcW w:w="2835" w:type="dxa"/>
            <w:gridSpan w:val="4"/>
            <w:tcBorders>
              <w:top w:val="single" w:color="auto" w:sz="4" w:space="0"/>
              <w:left w:val="single" w:color="auto" w:sz="4" w:space="0"/>
              <w:bottom w:val="single" w:color="auto" w:sz="4" w:space="0"/>
              <w:right w:val="single" w:color="auto" w:sz="4" w:space="0"/>
            </w:tcBorders>
          </w:tcPr>
          <w:p w14:paraId="1E27FC6B">
            <w:pPr>
              <w:spacing w:line="300" w:lineRule="auto"/>
              <w:rPr>
                <w:rFonts w:hAnsi="宋体" w:cs="宋体"/>
                <w:color w:val="auto"/>
                <w:szCs w:val="21"/>
                <w:highlight w:val="none"/>
              </w:rPr>
            </w:pPr>
            <w:r>
              <w:rPr>
                <w:rFonts w:hint="eastAsia" w:hAnsi="宋体" w:cs="宋体"/>
                <w:color w:val="auto"/>
                <w:szCs w:val="21"/>
                <w:highlight w:val="none"/>
              </w:rPr>
              <w:t> </w:t>
            </w:r>
          </w:p>
        </w:tc>
        <w:tc>
          <w:tcPr>
            <w:tcW w:w="3255" w:type="dxa"/>
            <w:gridSpan w:val="2"/>
            <w:tcBorders>
              <w:top w:val="single" w:color="auto" w:sz="4" w:space="0"/>
              <w:left w:val="single" w:color="auto" w:sz="4" w:space="0"/>
              <w:bottom w:val="single" w:color="auto" w:sz="4" w:space="0"/>
              <w:right w:val="single" w:color="auto" w:sz="4" w:space="0"/>
            </w:tcBorders>
          </w:tcPr>
          <w:p w14:paraId="0B46AFB6">
            <w:pPr>
              <w:spacing w:line="300" w:lineRule="auto"/>
              <w:rPr>
                <w:rFonts w:hAnsi="宋体" w:cs="宋体"/>
                <w:color w:val="auto"/>
                <w:szCs w:val="21"/>
                <w:highlight w:val="none"/>
              </w:rPr>
            </w:pPr>
            <w:r>
              <w:rPr>
                <w:rFonts w:hint="eastAsia" w:hAnsi="宋体" w:cs="宋体"/>
                <w:color w:val="auto"/>
                <w:szCs w:val="21"/>
                <w:highlight w:val="none"/>
              </w:rPr>
              <w:t> </w:t>
            </w:r>
          </w:p>
        </w:tc>
      </w:tr>
      <w:tr w14:paraId="6D629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735" w:type="dxa"/>
            <w:vMerge w:val="continue"/>
            <w:tcBorders>
              <w:top w:val="single" w:color="auto" w:sz="4" w:space="0"/>
              <w:left w:val="single" w:color="auto" w:sz="4" w:space="0"/>
              <w:bottom w:val="single" w:color="auto" w:sz="4" w:space="0"/>
              <w:right w:val="single" w:color="auto" w:sz="4" w:space="0"/>
            </w:tcBorders>
            <w:vAlign w:val="center"/>
          </w:tcPr>
          <w:p w14:paraId="06848D6D">
            <w:pPr>
              <w:spacing w:line="300" w:lineRule="auto"/>
              <w:rPr>
                <w:rFonts w:hAnsi="宋体" w:cs="宋体"/>
                <w:color w:val="auto"/>
                <w:szCs w:val="21"/>
                <w:highlight w:val="none"/>
              </w:rPr>
            </w:pPr>
          </w:p>
        </w:tc>
        <w:tc>
          <w:tcPr>
            <w:tcW w:w="1785" w:type="dxa"/>
            <w:gridSpan w:val="2"/>
            <w:tcBorders>
              <w:top w:val="single" w:color="auto" w:sz="4" w:space="0"/>
              <w:left w:val="single" w:color="auto" w:sz="4" w:space="0"/>
              <w:bottom w:val="single" w:color="auto" w:sz="4" w:space="0"/>
              <w:right w:val="single" w:color="auto" w:sz="4" w:space="0"/>
            </w:tcBorders>
          </w:tcPr>
          <w:p w14:paraId="2D2524B7">
            <w:pPr>
              <w:spacing w:line="300" w:lineRule="auto"/>
              <w:rPr>
                <w:rFonts w:hAnsi="宋体" w:cs="宋体"/>
                <w:color w:val="auto"/>
                <w:szCs w:val="21"/>
                <w:highlight w:val="none"/>
              </w:rPr>
            </w:pPr>
            <w:r>
              <w:rPr>
                <w:rFonts w:hint="eastAsia" w:hAnsi="宋体" w:cs="宋体"/>
                <w:color w:val="auto"/>
                <w:szCs w:val="21"/>
                <w:highlight w:val="none"/>
              </w:rPr>
              <w:t> </w:t>
            </w:r>
          </w:p>
        </w:tc>
        <w:tc>
          <w:tcPr>
            <w:tcW w:w="2835" w:type="dxa"/>
            <w:gridSpan w:val="4"/>
            <w:tcBorders>
              <w:top w:val="single" w:color="auto" w:sz="4" w:space="0"/>
              <w:left w:val="single" w:color="auto" w:sz="4" w:space="0"/>
              <w:bottom w:val="single" w:color="auto" w:sz="4" w:space="0"/>
              <w:right w:val="single" w:color="auto" w:sz="4" w:space="0"/>
            </w:tcBorders>
          </w:tcPr>
          <w:p w14:paraId="4A81A375">
            <w:pPr>
              <w:spacing w:line="300" w:lineRule="auto"/>
              <w:rPr>
                <w:rFonts w:hAnsi="宋体" w:cs="宋体"/>
                <w:color w:val="auto"/>
                <w:szCs w:val="21"/>
                <w:highlight w:val="none"/>
              </w:rPr>
            </w:pPr>
            <w:r>
              <w:rPr>
                <w:rFonts w:hint="eastAsia" w:hAnsi="宋体" w:cs="宋体"/>
                <w:color w:val="auto"/>
                <w:szCs w:val="21"/>
                <w:highlight w:val="none"/>
              </w:rPr>
              <w:t> </w:t>
            </w:r>
          </w:p>
        </w:tc>
        <w:tc>
          <w:tcPr>
            <w:tcW w:w="3255" w:type="dxa"/>
            <w:gridSpan w:val="2"/>
            <w:tcBorders>
              <w:top w:val="single" w:color="auto" w:sz="4" w:space="0"/>
              <w:left w:val="single" w:color="auto" w:sz="4" w:space="0"/>
              <w:bottom w:val="single" w:color="auto" w:sz="4" w:space="0"/>
              <w:right w:val="single" w:color="auto" w:sz="4" w:space="0"/>
            </w:tcBorders>
          </w:tcPr>
          <w:p w14:paraId="14CDA382">
            <w:pPr>
              <w:spacing w:line="300" w:lineRule="auto"/>
              <w:rPr>
                <w:rFonts w:hAnsi="宋体" w:cs="宋体"/>
                <w:color w:val="auto"/>
                <w:szCs w:val="21"/>
                <w:highlight w:val="none"/>
              </w:rPr>
            </w:pPr>
            <w:r>
              <w:rPr>
                <w:rFonts w:hint="eastAsia" w:hAnsi="宋体" w:cs="宋体"/>
                <w:color w:val="auto"/>
                <w:szCs w:val="21"/>
                <w:highlight w:val="none"/>
              </w:rPr>
              <w:t> </w:t>
            </w:r>
          </w:p>
        </w:tc>
      </w:tr>
      <w:tr w14:paraId="022E4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735" w:type="dxa"/>
            <w:vMerge w:val="continue"/>
            <w:tcBorders>
              <w:top w:val="single" w:color="auto" w:sz="4" w:space="0"/>
              <w:left w:val="single" w:color="auto" w:sz="4" w:space="0"/>
              <w:bottom w:val="single" w:color="auto" w:sz="4" w:space="0"/>
              <w:right w:val="single" w:color="auto" w:sz="4" w:space="0"/>
            </w:tcBorders>
            <w:vAlign w:val="center"/>
          </w:tcPr>
          <w:p w14:paraId="56268A8B">
            <w:pPr>
              <w:spacing w:line="300" w:lineRule="auto"/>
              <w:rPr>
                <w:rFonts w:hAnsi="宋体" w:cs="宋体"/>
                <w:color w:val="auto"/>
                <w:szCs w:val="21"/>
                <w:highlight w:val="none"/>
              </w:rPr>
            </w:pPr>
          </w:p>
        </w:tc>
        <w:tc>
          <w:tcPr>
            <w:tcW w:w="1785" w:type="dxa"/>
            <w:gridSpan w:val="2"/>
            <w:tcBorders>
              <w:top w:val="single" w:color="auto" w:sz="4" w:space="0"/>
              <w:left w:val="single" w:color="auto" w:sz="4" w:space="0"/>
              <w:bottom w:val="single" w:color="auto" w:sz="4" w:space="0"/>
              <w:right w:val="single" w:color="auto" w:sz="4" w:space="0"/>
            </w:tcBorders>
          </w:tcPr>
          <w:p w14:paraId="086F75CF">
            <w:pPr>
              <w:spacing w:line="300" w:lineRule="auto"/>
              <w:rPr>
                <w:rFonts w:hAnsi="宋体" w:cs="宋体"/>
                <w:color w:val="auto"/>
                <w:szCs w:val="21"/>
                <w:highlight w:val="none"/>
              </w:rPr>
            </w:pPr>
            <w:r>
              <w:rPr>
                <w:rFonts w:hint="eastAsia" w:hAnsi="宋体" w:cs="宋体"/>
                <w:color w:val="auto"/>
                <w:szCs w:val="21"/>
                <w:highlight w:val="none"/>
              </w:rPr>
              <w:t> </w:t>
            </w:r>
          </w:p>
        </w:tc>
        <w:tc>
          <w:tcPr>
            <w:tcW w:w="2835" w:type="dxa"/>
            <w:gridSpan w:val="4"/>
            <w:tcBorders>
              <w:top w:val="single" w:color="auto" w:sz="4" w:space="0"/>
              <w:left w:val="single" w:color="auto" w:sz="4" w:space="0"/>
              <w:bottom w:val="single" w:color="auto" w:sz="4" w:space="0"/>
              <w:right w:val="single" w:color="auto" w:sz="4" w:space="0"/>
            </w:tcBorders>
          </w:tcPr>
          <w:p w14:paraId="771DBD96">
            <w:pPr>
              <w:spacing w:line="300" w:lineRule="auto"/>
              <w:rPr>
                <w:rFonts w:hAnsi="宋体" w:cs="宋体"/>
                <w:color w:val="auto"/>
                <w:szCs w:val="21"/>
                <w:highlight w:val="none"/>
              </w:rPr>
            </w:pPr>
            <w:r>
              <w:rPr>
                <w:rFonts w:hint="eastAsia" w:hAnsi="宋体" w:cs="宋体"/>
                <w:color w:val="auto"/>
                <w:szCs w:val="21"/>
                <w:highlight w:val="none"/>
              </w:rPr>
              <w:t> </w:t>
            </w:r>
          </w:p>
        </w:tc>
        <w:tc>
          <w:tcPr>
            <w:tcW w:w="3255" w:type="dxa"/>
            <w:gridSpan w:val="2"/>
            <w:tcBorders>
              <w:top w:val="single" w:color="auto" w:sz="4" w:space="0"/>
              <w:left w:val="single" w:color="auto" w:sz="4" w:space="0"/>
              <w:bottom w:val="single" w:color="auto" w:sz="4" w:space="0"/>
              <w:right w:val="single" w:color="auto" w:sz="4" w:space="0"/>
            </w:tcBorders>
          </w:tcPr>
          <w:p w14:paraId="4303A338">
            <w:pPr>
              <w:spacing w:line="300" w:lineRule="auto"/>
              <w:rPr>
                <w:rFonts w:hAnsi="宋体" w:cs="宋体"/>
                <w:color w:val="auto"/>
                <w:szCs w:val="21"/>
                <w:highlight w:val="none"/>
              </w:rPr>
            </w:pPr>
            <w:r>
              <w:rPr>
                <w:rFonts w:hint="eastAsia" w:hAnsi="宋体" w:cs="宋体"/>
                <w:color w:val="auto"/>
                <w:szCs w:val="21"/>
                <w:highlight w:val="none"/>
              </w:rPr>
              <w:t> </w:t>
            </w:r>
          </w:p>
        </w:tc>
      </w:tr>
      <w:tr w14:paraId="1741A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735" w:type="dxa"/>
            <w:vMerge w:val="continue"/>
            <w:tcBorders>
              <w:top w:val="single" w:color="auto" w:sz="4" w:space="0"/>
              <w:left w:val="single" w:color="auto" w:sz="4" w:space="0"/>
              <w:bottom w:val="single" w:color="auto" w:sz="4" w:space="0"/>
              <w:right w:val="single" w:color="auto" w:sz="4" w:space="0"/>
            </w:tcBorders>
            <w:vAlign w:val="center"/>
          </w:tcPr>
          <w:p w14:paraId="230437D7">
            <w:pPr>
              <w:spacing w:line="300" w:lineRule="auto"/>
              <w:rPr>
                <w:rFonts w:hAnsi="宋体" w:cs="宋体"/>
                <w:color w:val="auto"/>
                <w:szCs w:val="21"/>
                <w:highlight w:val="none"/>
              </w:rPr>
            </w:pPr>
          </w:p>
        </w:tc>
        <w:tc>
          <w:tcPr>
            <w:tcW w:w="1785" w:type="dxa"/>
            <w:gridSpan w:val="2"/>
            <w:tcBorders>
              <w:top w:val="single" w:color="auto" w:sz="4" w:space="0"/>
              <w:left w:val="single" w:color="auto" w:sz="4" w:space="0"/>
              <w:bottom w:val="single" w:color="auto" w:sz="4" w:space="0"/>
              <w:right w:val="single" w:color="auto" w:sz="4" w:space="0"/>
            </w:tcBorders>
          </w:tcPr>
          <w:p w14:paraId="116E985B">
            <w:pPr>
              <w:spacing w:line="300" w:lineRule="auto"/>
              <w:rPr>
                <w:rFonts w:hAnsi="宋体" w:cs="宋体"/>
                <w:color w:val="auto"/>
                <w:szCs w:val="21"/>
                <w:highlight w:val="none"/>
              </w:rPr>
            </w:pPr>
            <w:r>
              <w:rPr>
                <w:rFonts w:hint="eastAsia" w:hAnsi="宋体" w:cs="宋体"/>
                <w:color w:val="auto"/>
                <w:szCs w:val="21"/>
                <w:highlight w:val="none"/>
              </w:rPr>
              <w:t> </w:t>
            </w:r>
          </w:p>
        </w:tc>
        <w:tc>
          <w:tcPr>
            <w:tcW w:w="2835" w:type="dxa"/>
            <w:gridSpan w:val="4"/>
            <w:tcBorders>
              <w:top w:val="single" w:color="auto" w:sz="4" w:space="0"/>
              <w:left w:val="single" w:color="auto" w:sz="4" w:space="0"/>
              <w:bottom w:val="single" w:color="auto" w:sz="4" w:space="0"/>
              <w:right w:val="single" w:color="auto" w:sz="4" w:space="0"/>
            </w:tcBorders>
          </w:tcPr>
          <w:p w14:paraId="5A3241E0">
            <w:pPr>
              <w:spacing w:line="300" w:lineRule="auto"/>
              <w:rPr>
                <w:rFonts w:hAnsi="宋体" w:cs="宋体"/>
                <w:color w:val="auto"/>
                <w:szCs w:val="21"/>
                <w:highlight w:val="none"/>
              </w:rPr>
            </w:pPr>
            <w:r>
              <w:rPr>
                <w:rFonts w:hint="eastAsia" w:hAnsi="宋体" w:cs="宋体"/>
                <w:color w:val="auto"/>
                <w:szCs w:val="21"/>
                <w:highlight w:val="none"/>
              </w:rPr>
              <w:t> </w:t>
            </w:r>
          </w:p>
        </w:tc>
        <w:tc>
          <w:tcPr>
            <w:tcW w:w="3255" w:type="dxa"/>
            <w:gridSpan w:val="2"/>
            <w:tcBorders>
              <w:top w:val="single" w:color="auto" w:sz="4" w:space="0"/>
              <w:left w:val="single" w:color="auto" w:sz="4" w:space="0"/>
              <w:bottom w:val="single" w:color="auto" w:sz="4" w:space="0"/>
              <w:right w:val="single" w:color="auto" w:sz="4" w:space="0"/>
            </w:tcBorders>
          </w:tcPr>
          <w:p w14:paraId="44495652">
            <w:pPr>
              <w:spacing w:line="300" w:lineRule="auto"/>
              <w:rPr>
                <w:rFonts w:hAnsi="宋体" w:cs="宋体"/>
                <w:color w:val="auto"/>
                <w:szCs w:val="21"/>
                <w:highlight w:val="none"/>
              </w:rPr>
            </w:pPr>
            <w:r>
              <w:rPr>
                <w:rFonts w:hint="eastAsia" w:hAnsi="宋体" w:cs="宋体"/>
                <w:color w:val="auto"/>
                <w:szCs w:val="21"/>
                <w:highlight w:val="none"/>
              </w:rPr>
              <w:t> </w:t>
            </w:r>
          </w:p>
        </w:tc>
      </w:tr>
      <w:tr w14:paraId="0CA13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735" w:type="dxa"/>
            <w:vMerge w:val="continue"/>
            <w:tcBorders>
              <w:top w:val="single" w:color="auto" w:sz="4" w:space="0"/>
              <w:left w:val="single" w:color="auto" w:sz="4" w:space="0"/>
              <w:bottom w:val="single" w:color="auto" w:sz="4" w:space="0"/>
              <w:right w:val="single" w:color="auto" w:sz="4" w:space="0"/>
            </w:tcBorders>
            <w:vAlign w:val="center"/>
          </w:tcPr>
          <w:p w14:paraId="5EAB5E32">
            <w:pPr>
              <w:spacing w:line="300" w:lineRule="auto"/>
              <w:rPr>
                <w:rFonts w:hAnsi="宋体" w:cs="宋体"/>
                <w:color w:val="auto"/>
                <w:szCs w:val="21"/>
                <w:highlight w:val="none"/>
              </w:rPr>
            </w:pPr>
          </w:p>
        </w:tc>
        <w:tc>
          <w:tcPr>
            <w:tcW w:w="1785" w:type="dxa"/>
            <w:gridSpan w:val="2"/>
            <w:tcBorders>
              <w:top w:val="single" w:color="auto" w:sz="4" w:space="0"/>
              <w:left w:val="single" w:color="auto" w:sz="4" w:space="0"/>
              <w:bottom w:val="single" w:color="auto" w:sz="4" w:space="0"/>
              <w:right w:val="single" w:color="auto" w:sz="4" w:space="0"/>
            </w:tcBorders>
          </w:tcPr>
          <w:p w14:paraId="12CDBB0D">
            <w:pPr>
              <w:spacing w:line="300" w:lineRule="auto"/>
              <w:rPr>
                <w:rFonts w:hAnsi="宋体" w:cs="宋体"/>
                <w:color w:val="auto"/>
                <w:szCs w:val="21"/>
                <w:highlight w:val="none"/>
              </w:rPr>
            </w:pPr>
            <w:r>
              <w:rPr>
                <w:rFonts w:hint="eastAsia" w:hAnsi="宋体" w:cs="宋体"/>
                <w:color w:val="auto"/>
                <w:szCs w:val="21"/>
                <w:highlight w:val="none"/>
              </w:rPr>
              <w:t> </w:t>
            </w:r>
          </w:p>
        </w:tc>
        <w:tc>
          <w:tcPr>
            <w:tcW w:w="2835" w:type="dxa"/>
            <w:gridSpan w:val="4"/>
            <w:tcBorders>
              <w:top w:val="single" w:color="auto" w:sz="4" w:space="0"/>
              <w:left w:val="single" w:color="auto" w:sz="4" w:space="0"/>
              <w:bottom w:val="single" w:color="auto" w:sz="4" w:space="0"/>
              <w:right w:val="single" w:color="auto" w:sz="4" w:space="0"/>
            </w:tcBorders>
          </w:tcPr>
          <w:p w14:paraId="48517D56">
            <w:pPr>
              <w:spacing w:line="300" w:lineRule="auto"/>
              <w:rPr>
                <w:rFonts w:hAnsi="宋体" w:cs="宋体"/>
                <w:color w:val="auto"/>
                <w:szCs w:val="21"/>
                <w:highlight w:val="none"/>
              </w:rPr>
            </w:pPr>
            <w:r>
              <w:rPr>
                <w:rFonts w:hint="eastAsia" w:hAnsi="宋体" w:cs="宋体"/>
                <w:color w:val="auto"/>
                <w:szCs w:val="21"/>
                <w:highlight w:val="none"/>
              </w:rPr>
              <w:t> </w:t>
            </w:r>
          </w:p>
        </w:tc>
        <w:tc>
          <w:tcPr>
            <w:tcW w:w="3255" w:type="dxa"/>
            <w:gridSpan w:val="2"/>
            <w:tcBorders>
              <w:top w:val="single" w:color="auto" w:sz="4" w:space="0"/>
              <w:left w:val="single" w:color="auto" w:sz="4" w:space="0"/>
              <w:bottom w:val="single" w:color="auto" w:sz="4" w:space="0"/>
              <w:right w:val="single" w:color="auto" w:sz="4" w:space="0"/>
            </w:tcBorders>
          </w:tcPr>
          <w:p w14:paraId="3333CA94">
            <w:pPr>
              <w:spacing w:line="300" w:lineRule="auto"/>
              <w:rPr>
                <w:rFonts w:hAnsi="宋体" w:cs="宋体"/>
                <w:color w:val="auto"/>
                <w:szCs w:val="21"/>
                <w:highlight w:val="none"/>
              </w:rPr>
            </w:pPr>
            <w:r>
              <w:rPr>
                <w:rFonts w:hint="eastAsia" w:hAnsi="宋体" w:cs="宋体"/>
                <w:color w:val="auto"/>
                <w:szCs w:val="21"/>
                <w:highlight w:val="none"/>
              </w:rPr>
              <w:t> </w:t>
            </w:r>
          </w:p>
        </w:tc>
      </w:tr>
      <w:tr w14:paraId="1EB30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735" w:type="dxa"/>
            <w:vMerge w:val="continue"/>
            <w:tcBorders>
              <w:top w:val="single" w:color="auto" w:sz="4" w:space="0"/>
              <w:left w:val="single" w:color="auto" w:sz="4" w:space="0"/>
              <w:bottom w:val="single" w:color="auto" w:sz="4" w:space="0"/>
              <w:right w:val="single" w:color="auto" w:sz="4" w:space="0"/>
            </w:tcBorders>
            <w:vAlign w:val="center"/>
          </w:tcPr>
          <w:p w14:paraId="2448CD85">
            <w:pPr>
              <w:spacing w:line="300" w:lineRule="auto"/>
              <w:rPr>
                <w:rFonts w:hAnsi="宋体" w:cs="宋体"/>
                <w:color w:val="auto"/>
                <w:szCs w:val="21"/>
                <w:highlight w:val="none"/>
              </w:rPr>
            </w:pPr>
          </w:p>
        </w:tc>
        <w:tc>
          <w:tcPr>
            <w:tcW w:w="1785" w:type="dxa"/>
            <w:gridSpan w:val="2"/>
            <w:tcBorders>
              <w:top w:val="single" w:color="auto" w:sz="4" w:space="0"/>
              <w:left w:val="single" w:color="auto" w:sz="4" w:space="0"/>
              <w:bottom w:val="single" w:color="auto" w:sz="4" w:space="0"/>
              <w:right w:val="single" w:color="auto" w:sz="4" w:space="0"/>
            </w:tcBorders>
          </w:tcPr>
          <w:p w14:paraId="4B8D6F48">
            <w:pPr>
              <w:spacing w:line="300" w:lineRule="auto"/>
              <w:rPr>
                <w:rFonts w:hAnsi="宋体" w:cs="宋体"/>
                <w:color w:val="auto"/>
                <w:szCs w:val="21"/>
                <w:highlight w:val="none"/>
              </w:rPr>
            </w:pPr>
            <w:r>
              <w:rPr>
                <w:rFonts w:hint="eastAsia" w:hAnsi="宋体" w:cs="宋体"/>
                <w:color w:val="auto"/>
                <w:szCs w:val="21"/>
                <w:highlight w:val="none"/>
              </w:rPr>
              <w:t> </w:t>
            </w:r>
          </w:p>
        </w:tc>
        <w:tc>
          <w:tcPr>
            <w:tcW w:w="2835" w:type="dxa"/>
            <w:gridSpan w:val="4"/>
            <w:tcBorders>
              <w:top w:val="single" w:color="auto" w:sz="4" w:space="0"/>
              <w:left w:val="single" w:color="auto" w:sz="4" w:space="0"/>
              <w:bottom w:val="single" w:color="auto" w:sz="4" w:space="0"/>
              <w:right w:val="single" w:color="auto" w:sz="4" w:space="0"/>
            </w:tcBorders>
          </w:tcPr>
          <w:p w14:paraId="60A228B9">
            <w:pPr>
              <w:spacing w:line="300" w:lineRule="auto"/>
              <w:rPr>
                <w:rFonts w:hAnsi="宋体" w:cs="宋体"/>
                <w:color w:val="auto"/>
                <w:szCs w:val="21"/>
                <w:highlight w:val="none"/>
              </w:rPr>
            </w:pPr>
            <w:r>
              <w:rPr>
                <w:rFonts w:hint="eastAsia" w:hAnsi="宋体" w:cs="宋体"/>
                <w:color w:val="auto"/>
                <w:szCs w:val="21"/>
                <w:highlight w:val="none"/>
              </w:rPr>
              <w:t> </w:t>
            </w:r>
          </w:p>
        </w:tc>
        <w:tc>
          <w:tcPr>
            <w:tcW w:w="3255" w:type="dxa"/>
            <w:gridSpan w:val="2"/>
            <w:tcBorders>
              <w:top w:val="single" w:color="auto" w:sz="4" w:space="0"/>
              <w:left w:val="single" w:color="auto" w:sz="4" w:space="0"/>
              <w:bottom w:val="single" w:color="auto" w:sz="4" w:space="0"/>
              <w:right w:val="single" w:color="auto" w:sz="4" w:space="0"/>
            </w:tcBorders>
          </w:tcPr>
          <w:p w14:paraId="2C829DAF">
            <w:pPr>
              <w:spacing w:line="300" w:lineRule="auto"/>
              <w:rPr>
                <w:rFonts w:hAnsi="宋体" w:cs="宋体"/>
                <w:color w:val="auto"/>
                <w:szCs w:val="21"/>
                <w:highlight w:val="none"/>
              </w:rPr>
            </w:pPr>
            <w:r>
              <w:rPr>
                <w:rFonts w:hint="eastAsia" w:hAnsi="宋体" w:cs="宋体"/>
                <w:color w:val="auto"/>
                <w:szCs w:val="21"/>
                <w:highlight w:val="none"/>
              </w:rPr>
              <w:t> </w:t>
            </w:r>
          </w:p>
        </w:tc>
      </w:tr>
      <w:tr w14:paraId="6BA79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735" w:type="dxa"/>
            <w:vMerge w:val="continue"/>
            <w:tcBorders>
              <w:top w:val="single" w:color="auto" w:sz="4" w:space="0"/>
              <w:left w:val="single" w:color="auto" w:sz="4" w:space="0"/>
              <w:bottom w:val="single" w:color="auto" w:sz="4" w:space="0"/>
              <w:right w:val="single" w:color="auto" w:sz="4" w:space="0"/>
            </w:tcBorders>
            <w:vAlign w:val="center"/>
          </w:tcPr>
          <w:p w14:paraId="3C9E8173">
            <w:pPr>
              <w:spacing w:line="300" w:lineRule="auto"/>
              <w:rPr>
                <w:rFonts w:hAnsi="宋体" w:cs="宋体"/>
                <w:color w:val="auto"/>
                <w:szCs w:val="21"/>
                <w:highlight w:val="none"/>
              </w:rPr>
            </w:pPr>
          </w:p>
        </w:tc>
        <w:tc>
          <w:tcPr>
            <w:tcW w:w="1785" w:type="dxa"/>
            <w:gridSpan w:val="2"/>
            <w:tcBorders>
              <w:top w:val="single" w:color="auto" w:sz="4" w:space="0"/>
              <w:left w:val="single" w:color="auto" w:sz="4" w:space="0"/>
              <w:bottom w:val="single" w:color="auto" w:sz="4" w:space="0"/>
              <w:right w:val="single" w:color="auto" w:sz="4" w:space="0"/>
            </w:tcBorders>
          </w:tcPr>
          <w:p w14:paraId="75FDEBEA">
            <w:pPr>
              <w:spacing w:line="300" w:lineRule="auto"/>
              <w:rPr>
                <w:rFonts w:hAnsi="宋体" w:cs="宋体"/>
                <w:color w:val="auto"/>
                <w:szCs w:val="21"/>
                <w:highlight w:val="none"/>
              </w:rPr>
            </w:pPr>
            <w:r>
              <w:rPr>
                <w:rFonts w:hint="eastAsia" w:hAnsi="宋体" w:cs="宋体"/>
                <w:color w:val="auto"/>
                <w:szCs w:val="21"/>
                <w:highlight w:val="none"/>
              </w:rPr>
              <w:t> </w:t>
            </w:r>
          </w:p>
        </w:tc>
        <w:tc>
          <w:tcPr>
            <w:tcW w:w="2835" w:type="dxa"/>
            <w:gridSpan w:val="4"/>
            <w:tcBorders>
              <w:top w:val="single" w:color="auto" w:sz="4" w:space="0"/>
              <w:left w:val="single" w:color="auto" w:sz="4" w:space="0"/>
              <w:bottom w:val="single" w:color="auto" w:sz="4" w:space="0"/>
              <w:right w:val="single" w:color="auto" w:sz="4" w:space="0"/>
            </w:tcBorders>
          </w:tcPr>
          <w:p w14:paraId="0CB29A26">
            <w:pPr>
              <w:spacing w:line="300" w:lineRule="auto"/>
              <w:rPr>
                <w:rFonts w:hAnsi="宋体" w:cs="宋体"/>
                <w:color w:val="auto"/>
                <w:szCs w:val="21"/>
                <w:highlight w:val="none"/>
              </w:rPr>
            </w:pPr>
            <w:r>
              <w:rPr>
                <w:rFonts w:hint="eastAsia" w:hAnsi="宋体" w:cs="宋体"/>
                <w:color w:val="auto"/>
                <w:szCs w:val="21"/>
                <w:highlight w:val="none"/>
              </w:rPr>
              <w:t> </w:t>
            </w:r>
          </w:p>
        </w:tc>
        <w:tc>
          <w:tcPr>
            <w:tcW w:w="3255" w:type="dxa"/>
            <w:gridSpan w:val="2"/>
            <w:tcBorders>
              <w:top w:val="single" w:color="auto" w:sz="4" w:space="0"/>
              <w:left w:val="single" w:color="auto" w:sz="4" w:space="0"/>
              <w:bottom w:val="single" w:color="auto" w:sz="4" w:space="0"/>
              <w:right w:val="single" w:color="auto" w:sz="4" w:space="0"/>
            </w:tcBorders>
          </w:tcPr>
          <w:p w14:paraId="5C08F347">
            <w:pPr>
              <w:spacing w:line="300" w:lineRule="auto"/>
              <w:rPr>
                <w:rFonts w:hAnsi="宋体" w:cs="宋体"/>
                <w:color w:val="auto"/>
                <w:szCs w:val="21"/>
                <w:highlight w:val="none"/>
              </w:rPr>
            </w:pPr>
            <w:r>
              <w:rPr>
                <w:rFonts w:hint="eastAsia" w:hAnsi="宋体" w:cs="宋体"/>
                <w:color w:val="auto"/>
                <w:szCs w:val="21"/>
                <w:highlight w:val="none"/>
              </w:rPr>
              <w:t> </w:t>
            </w:r>
          </w:p>
        </w:tc>
      </w:tr>
      <w:tr w14:paraId="3283F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735" w:type="dxa"/>
            <w:vMerge w:val="continue"/>
            <w:tcBorders>
              <w:top w:val="single" w:color="auto" w:sz="4" w:space="0"/>
              <w:left w:val="single" w:color="auto" w:sz="4" w:space="0"/>
              <w:bottom w:val="single" w:color="auto" w:sz="4" w:space="0"/>
              <w:right w:val="single" w:color="auto" w:sz="4" w:space="0"/>
            </w:tcBorders>
            <w:vAlign w:val="center"/>
          </w:tcPr>
          <w:p w14:paraId="011DBC3C">
            <w:pPr>
              <w:spacing w:line="300" w:lineRule="auto"/>
              <w:rPr>
                <w:rFonts w:hAnsi="宋体" w:cs="宋体"/>
                <w:color w:val="auto"/>
                <w:szCs w:val="21"/>
                <w:highlight w:val="none"/>
              </w:rPr>
            </w:pPr>
          </w:p>
        </w:tc>
        <w:tc>
          <w:tcPr>
            <w:tcW w:w="1785" w:type="dxa"/>
            <w:gridSpan w:val="2"/>
            <w:tcBorders>
              <w:top w:val="single" w:color="auto" w:sz="4" w:space="0"/>
              <w:left w:val="single" w:color="auto" w:sz="4" w:space="0"/>
              <w:bottom w:val="single" w:color="auto" w:sz="4" w:space="0"/>
              <w:right w:val="single" w:color="auto" w:sz="4" w:space="0"/>
            </w:tcBorders>
          </w:tcPr>
          <w:p w14:paraId="4099AC63">
            <w:pPr>
              <w:spacing w:line="300" w:lineRule="auto"/>
              <w:rPr>
                <w:rFonts w:hAnsi="宋体" w:cs="宋体"/>
                <w:color w:val="auto"/>
                <w:szCs w:val="21"/>
                <w:highlight w:val="none"/>
              </w:rPr>
            </w:pPr>
            <w:r>
              <w:rPr>
                <w:rFonts w:hint="eastAsia" w:hAnsi="宋体" w:cs="宋体"/>
                <w:color w:val="auto"/>
                <w:szCs w:val="21"/>
                <w:highlight w:val="none"/>
              </w:rPr>
              <w:t> </w:t>
            </w:r>
          </w:p>
        </w:tc>
        <w:tc>
          <w:tcPr>
            <w:tcW w:w="2835" w:type="dxa"/>
            <w:gridSpan w:val="4"/>
            <w:tcBorders>
              <w:top w:val="single" w:color="auto" w:sz="4" w:space="0"/>
              <w:left w:val="single" w:color="auto" w:sz="4" w:space="0"/>
              <w:bottom w:val="single" w:color="auto" w:sz="4" w:space="0"/>
              <w:right w:val="single" w:color="auto" w:sz="4" w:space="0"/>
            </w:tcBorders>
          </w:tcPr>
          <w:p w14:paraId="0F467A6E">
            <w:pPr>
              <w:spacing w:line="300" w:lineRule="auto"/>
              <w:rPr>
                <w:rFonts w:hAnsi="宋体" w:cs="宋体"/>
                <w:color w:val="auto"/>
                <w:szCs w:val="21"/>
                <w:highlight w:val="none"/>
              </w:rPr>
            </w:pPr>
            <w:r>
              <w:rPr>
                <w:rFonts w:hint="eastAsia" w:hAnsi="宋体" w:cs="宋体"/>
                <w:color w:val="auto"/>
                <w:szCs w:val="21"/>
                <w:highlight w:val="none"/>
              </w:rPr>
              <w:t> </w:t>
            </w:r>
          </w:p>
        </w:tc>
        <w:tc>
          <w:tcPr>
            <w:tcW w:w="3255" w:type="dxa"/>
            <w:gridSpan w:val="2"/>
            <w:tcBorders>
              <w:top w:val="single" w:color="auto" w:sz="4" w:space="0"/>
              <w:left w:val="single" w:color="auto" w:sz="4" w:space="0"/>
              <w:bottom w:val="single" w:color="auto" w:sz="4" w:space="0"/>
              <w:right w:val="single" w:color="auto" w:sz="4" w:space="0"/>
            </w:tcBorders>
          </w:tcPr>
          <w:p w14:paraId="307DC5D2">
            <w:pPr>
              <w:spacing w:line="300" w:lineRule="auto"/>
              <w:rPr>
                <w:rFonts w:hAnsi="宋体" w:cs="宋体"/>
                <w:color w:val="auto"/>
                <w:szCs w:val="21"/>
                <w:highlight w:val="none"/>
              </w:rPr>
            </w:pPr>
            <w:r>
              <w:rPr>
                <w:rFonts w:hint="eastAsia" w:hAnsi="宋体" w:cs="宋体"/>
                <w:color w:val="auto"/>
                <w:szCs w:val="21"/>
                <w:highlight w:val="none"/>
              </w:rPr>
              <w:t> </w:t>
            </w:r>
          </w:p>
        </w:tc>
      </w:tr>
      <w:tr w14:paraId="51F4C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735" w:type="dxa"/>
            <w:vMerge w:val="continue"/>
            <w:tcBorders>
              <w:top w:val="single" w:color="auto" w:sz="4" w:space="0"/>
              <w:left w:val="single" w:color="auto" w:sz="4" w:space="0"/>
              <w:bottom w:val="single" w:color="auto" w:sz="4" w:space="0"/>
              <w:right w:val="single" w:color="auto" w:sz="4" w:space="0"/>
            </w:tcBorders>
            <w:vAlign w:val="center"/>
          </w:tcPr>
          <w:p w14:paraId="591AF1FE">
            <w:pPr>
              <w:spacing w:line="300" w:lineRule="auto"/>
              <w:rPr>
                <w:rFonts w:hAnsi="宋体" w:cs="宋体"/>
                <w:color w:val="auto"/>
                <w:szCs w:val="21"/>
                <w:highlight w:val="none"/>
              </w:rPr>
            </w:pPr>
          </w:p>
        </w:tc>
        <w:tc>
          <w:tcPr>
            <w:tcW w:w="1785" w:type="dxa"/>
            <w:gridSpan w:val="2"/>
            <w:tcBorders>
              <w:top w:val="single" w:color="auto" w:sz="4" w:space="0"/>
              <w:left w:val="single" w:color="auto" w:sz="4" w:space="0"/>
              <w:bottom w:val="single" w:color="auto" w:sz="4" w:space="0"/>
              <w:right w:val="single" w:color="auto" w:sz="4" w:space="0"/>
            </w:tcBorders>
          </w:tcPr>
          <w:p w14:paraId="33EC0603">
            <w:pPr>
              <w:spacing w:line="300" w:lineRule="auto"/>
              <w:rPr>
                <w:rFonts w:hAnsi="宋体" w:cs="宋体"/>
                <w:color w:val="auto"/>
                <w:szCs w:val="21"/>
                <w:highlight w:val="none"/>
              </w:rPr>
            </w:pPr>
            <w:r>
              <w:rPr>
                <w:rFonts w:hint="eastAsia" w:hAnsi="宋体" w:cs="宋体"/>
                <w:color w:val="auto"/>
                <w:szCs w:val="21"/>
                <w:highlight w:val="none"/>
              </w:rPr>
              <w:t> </w:t>
            </w:r>
          </w:p>
        </w:tc>
        <w:tc>
          <w:tcPr>
            <w:tcW w:w="2835" w:type="dxa"/>
            <w:gridSpan w:val="4"/>
            <w:tcBorders>
              <w:top w:val="single" w:color="auto" w:sz="4" w:space="0"/>
              <w:left w:val="single" w:color="auto" w:sz="4" w:space="0"/>
              <w:bottom w:val="single" w:color="auto" w:sz="4" w:space="0"/>
              <w:right w:val="single" w:color="auto" w:sz="4" w:space="0"/>
            </w:tcBorders>
          </w:tcPr>
          <w:p w14:paraId="067B71CD">
            <w:pPr>
              <w:spacing w:line="300" w:lineRule="auto"/>
              <w:rPr>
                <w:rFonts w:hAnsi="宋体" w:cs="宋体"/>
                <w:color w:val="auto"/>
                <w:szCs w:val="21"/>
                <w:highlight w:val="none"/>
              </w:rPr>
            </w:pPr>
            <w:r>
              <w:rPr>
                <w:rFonts w:hint="eastAsia" w:hAnsi="宋体" w:cs="宋体"/>
                <w:color w:val="auto"/>
                <w:szCs w:val="21"/>
                <w:highlight w:val="none"/>
              </w:rPr>
              <w:t> </w:t>
            </w:r>
          </w:p>
        </w:tc>
        <w:tc>
          <w:tcPr>
            <w:tcW w:w="3255" w:type="dxa"/>
            <w:gridSpan w:val="2"/>
            <w:tcBorders>
              <w:top w:val="single" w:color="auto" w:sz="4" w:space="0"/>
              <w:left w:val="single" w:color="auto" w:sz="4" w:space="0"/>
              <w:bottom w:val="single" w:color="auto" w:sz="4" w:space="0"/>
              <w:right w:val="single" w:color="auto" w:sz="4" w:space="0"/>
            </w:tcBorders>
          </w:tcPr>
          <w:p w14:paraId="099D2806">
            <w:pPr>
              <w:spacing w:line="300" w:lineRule="auto"/>
              <w:rPr>
                <w:rFonts w:hAnsi="宋体" w:cs="宋体"/>
                <w:color w:val="auto"/>
                <w:szCs w:val="21"/>
                <w:highlight w:val="none"/>
              </w:rPr>
            </w:pPr>
            <w:r>
              <w:rPr>
                <w:rFonts w:hint="eastAsia" w:hAnsi="宋体" w:cs="宋体"/>
                <w:color w:val="auto"/>
                <w:szCs w:val="21"/>
                <w:highlight w:val="none"/>
              </w:rPr>
              <w:t> </w:t>
            </w:r>
          </w:p>
        </w:tc>
      </w:tr>
      <w:tr w14:paraId="1CBEA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735" w:type="dxa"/>
            <w:vMerge w:val="continue"/>
            <w:tcBorders>
              <w:top w:val="single" w:color="auto" w:sz="4" w:space="0"/>
              <w:left w:val="single" w:color="auto" w:sz="4" w:space="0"/>
              <w:bottom w:val="single" w:color="000000" w:sz="4" w:space="0"/>
              <w:right w:val="single" w:color="auto" w:sz="4" w:space="0"/>
            </w:tcBorders>
            <w:vAlign w:val="center"/>
          </w:tcPr>
          <w:p w14:paraId="31AC742F">
            <w:pPr>
              <w:spacing w:line="300" w:lineRule="auto"/>
              <w:rPr>
                <w:rFonts w:hAnsi="宋体" w:cs="宋体"/>
                <w:color w:val="auto"/>
                <w:szCs w:val="21"/>
                <w:highlight w:val="none"/>
              </w:rPr>
            </w:pPr>
          </w:p>
        </w:tc>
        <w:tc>
          <w:tcPr>
            <w:tcW w:w="1785" w:type="dxa"/>
            <w:gridSpan w:val="2"/>
            <w:tcBorders>
              <w:top w:val="single" w:color="auto" w:sz="4" w:space="0"/>
              <w:left w:val="single" w:color="auto" w:sz="4" w:space="0"/>
              <w:bottom w:val="single" w:color="000000" w:sz="4" w:space="0"/>
              <w:right w:val="single" w:color="auto" w:sz="4" w:space="0"/>
            </w:tcBorders>
          </w:tcPr>
          <w:p w14:paraId="78A07FD1">
            <w:pPr>
              <w:spacing w:line="300" w:lineRule="auto"/>
              <w:rPr>
                <w:rFonts w:hAnsi="宋体" w:cs="宋体"/>
                <w:color w:val="auto"/>
                <w:szCs w:val="21"/>
                <w:highlight w:val="none"/>
              </w:rPr>
            </w:pPr>
            <w:r>
              <w:rPr>
                <w:rFonts w:hint="eastAsia" w:hAnsi="宋体" w:cs="宋体"/>
                <w:color w:val="auto"/>
                <w:szCs w:val="21"/>
                <w:highlight w:val="none"/>
              </w:rPr>
              <w:t> </w:t>
            </w:r>
          </w:p>
        </w:tc>
        <w:tc>
          <w:tcPr>
            <w:tcW w:w="2835" w:type="dxa"/>
            <w:gridSpan w:val="4"/>
            <w:tcBorders>
              <w:top w:val="single" w:color="auto" w:sz="4" w:space="0"/>
              <w:left w:val="single" w:color="auto" w:sz="4" w:space="0"/>
              <w:bottom w:val="single" w:color="000000" w:sz="4" w:space="0"/>
              <w:right w:val="single" w:color="auto" w:sz="4" w:space="0"/>
            </w:tcBorders>
          </w:tcPr>
          <w:p w14:paraId="267CF0CF">
            <w:pPr>
              <w:spacing w:line="300" w:lineRule="auto"/>
              <w:rPr>
                <w:rFonts w:hAnsi="宋体" w:cs="宋体"/>
                <w:color w:val="auto"/>
                <w:szCs w:val="21"/>
                <w:highlight w:val="none"/>
              </w:rPr>
            </w:pPr>
            <w:r>
              <w:rPr>
                <w:rFonts w:hint="eastAsia" w:hAnsi="宋体" w:cs="宋体"/>
                <w:color w:val="auto"/>
                <w:szCs w:val="21"/>
                <w:highlight w:val="none"/>
              </w:rPr>
              <w:t> </w:t>
            </w:r>
          </w:p>
        </w:tc>
        <w:tc>
          <w:tcPr>
            <w:tcW w:w="3255" w:type="dxa"/>
            <w:gridSpan w:val="2"/>
            <w:tcBorders>
              <w:top w:val="single" w:color="auto" w:sz="4" w:space="0"/>
              <w:left w:val="single" w:color="auto" w:sz="4" w:space="0"/>
              <w:bottom w:val="single" w:color="000000" w:sz="4" w:space="0"/>
              <w:right w:val="single" w:color="auto" w:sz="4" w:space="0"/>
            </w:tcBorders>
          </w:tcPr>
          <w:p w14:paraId="0724FBDD">
            <w:pPr>
              <w:spacing w:line="300" w:lineRule="auto"/>
              <w:rPr>
                <w:rFonts w:hAnsi="宋体" w:cs="宋体"/>
                <w:color w:val="auto"/>
                <w:szCs w:val="21"/>
                <w:highlight w:val="none"/>
              </w:rPr>
            </w:pPr>
            <w:r>
              <w:rPr>
                <w:rFonts w:hint="eastAsia" w:hAnsi="宋体" w:cs="宋体"/>
                <w:color w:val="auto"/>
                <w:szCs w:val="21"/>
                <w:highlight w:val="none"/>
              </w:rPr>
              <w:t> </w:t>
            </w:r>
          </w:p>
        </w:tc>
      </w:tr>
    </w:tbl>
    <w:p w14:paraId="0A123585">
      <w:pPr>
        <w:pStyle w:val="64"/>
        <w:ind w:firstLine="420"/>
        <w:rPr>
          <w:color w:val="auto"/>
          <w:highlight w:val="none"/>
        </w:rPr>
      </w:pPr>
    </w:p>
    <w:p w14:paraId="21569F71">
      <w:pPr>
        <w:rPr>
          <w:color w:val="auto"/>
          <w:highlight w:val="none"/>
        </w:rPr>
      </w:pPr>
    </w:p>
    <w:p w14:paraId="0D3FE10C">
      <w:pPr>
        <w:pStyle w:val="20"/>
        <w:rPr>
          <w:color w:val="auto"/>
          <w:highlight w:val="none"/>
        </w:rPr>
      </w:pPr>
    </w:p>
    <w:p w14:paraId="4630305F">
      <w:pPr>
        <w:rPr>
          <w:color w:val="auto"/>
          <w:highlight w:val="none"/>
        </w:rPr>
      </w:pPr>
    </w:p>
    <w:p w14:paraId="46D0DDEB">
      <w:pPr>
        <w:pStyle w:val="20"/>
        <w:rPr>
          <w:color w:val="auto"/>
          <w:highlight w:val="none"/>
        </w:rPr>
      </w:pPr>
    </w:p>
    <w:p w14:paraId="47785E72">
      <w:pPr>
        <w:rPr>
          <w:color w:val="auto"/>
          <w:highlight w:val="none"/>
        </w:rPr>
      </w:pPr>
    </w:p>
    <w:p w14:paraId="2C1BA28D">
      <w:pPr>
        <w:pStyle w:val="20"/>
      </w:pPr>
    </w:p>
    <w:p w14:paraId="1921D420"/>
    <w:p w14:paraId="79B37DD7">
      <w:pPr>
        <w:pStyle w:val="63"/>
        <w:bidi w:val="0"/>
        <w:ind w:left="0" w:leftChars="0" w:firstLine="0" w:firstLineChars="0"/>
        <w:jc w:val="center"/>
        <w:rPr>
          <w:rFonts w:hint="eastAsia"/>
          <w:lang w:val="en-US" w:eastAsia="zh-CN"/>
        </w:rPr>
      </w:pPr>
      <w:r>
        <w:rPr>
          <w:rFonts w:hint="eastAsia"/>
        </w:rPr>
        <w:t>项目成员组成</w:t>
      </w:r>
      <w:r>
        <w:rPr>
          <w:rFonts w:hint="eastAsia"/>
          <w:lang w:val="en-US" w:eastAsia="zh-CN"/>
        </w:rPr>
        <w:t>情况</w:t>
      </w:r>
    </w:p>
    <w:tbl>
      <w:tblPr>
        <w:tblStyle w:val="65"/>
        <w:tblW w:w="9490"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70"/>
        <w:gridCol w:w="1057"/>
        <w:gridCol w:w="648"/>
        <w:gridCol w:w="648"/>
        <w:gridCol w:w="1368"/>
        <w:gridCol w:w="1065"/>
        <w:gridCol w:w="1126"/>
        <w:gridCol w:w="2508"/>
      </w:tblGrid>
      <w:tr w14:paraId="7D4FDC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5" w:hRule="atLeast"/>
        </w:trPr>
        <w:tc>
          <w:tcPr>
            <w:tcW w:w="1070" w:type="dxa"/>
            <w:vAlign w:val="center"/>
          </w:tcPr>
          <w:p w14:paraId="3851757C">
            <w:pPr>
              <w:jc w:val="center"/>
              <w:rPr>
                <w:rFonts w:ascii="宋体"/>
                <w:bCs/>
                <w:color w:val="auto"/>
                <w:sz w:val="20"/>
                <w:highlight w:val="none"/>
              </w:rPr>
            </w:pPr>
            <w:r>
              <w:rPr>
                <w:rFonts w:hint="eastAsia" w:ascii="宋体"/>
                <w:bCs/>
                <w:color w:val="auto"/>
                <w:sz w:val="20"/>
                <w:highlight w:val="none"/>
              </w:rPr>
              <w:t>姓名</w:t>
            </w:r>
          </w:p>
        </w:tc>
        <w:tc>
          <w:tcPr>
            <w:tcW w:w="1057" w:type="dxa"/>
            <w:vAlign w:val="center"/>
          </w:tcPr>
          <w:p w14:paraId="1AB4D169">
            <w:pPr>
              <w:jc w:val="center"/>
              <w:rPr>
                <w:rFonts w:ascii="宋体"/>
                <w:bCs/>
                <w:color w:val="auto"/>
                <w:sz w:val="20"/>
                <w:highlight w:val="none"/>
              </w:rPr>
            </w:pPr>
            <w:r>
              <w:rPr>
                <w:rFonts w:hint="eastAsia" w:ascii="宋体"/>
                <w:bCs/>
                <w:color w:val="auto"/>
                <w:sz w:val="20"/>
                <w:highlight w:val="none"/>
              </w:rPr>
              <w:t>本项目担任工作</w:t>
            </w:r>
          </w:p>
        </w:tc>
        <w:tc>
          <w:tcPr>
            <w:tcW w:w="648" w:type="dxa"/>
            <w:vAlign w:val="center"/>
          </w:tcPr>
          <w:p w14:paraId="477C41FB">
            <w:pPr>
              <w:jc w:val="center"/>
              <w:rPr>
                <w:rFonts w:ascii="宋体"/>
                <w:bCs/>
                <w:color w:val="auto"/>
                <w:sz w:val="20"/>
                <w:highlight w:val="none"/>
              </w:rPr>
            </w:pPr>
            <w:r>
              <w:rPr>
                <w:rFonts w:hint="eastAsia" w:ascii="宋体"/>
                <w:bCs/>
                <w:color w:val="auto"/>
                <w:sz w:val="20"/>
                <w:highlight w:val="none"/>
              </w:rPr>
              <w:t>年龄</w:t>
            </w:r>
          </w:p>
        </w:tc>
        <w:tc>
          <w:tcPr>
            <w:tcW w:w="648" w:type="dxa"/>
            <w:vAlign w:val="center"/>
          </w:tcPr>
          <w:p w14:paraId="55E79F79">
            <w:pPr>
              <w:jc w:val="center"/>
              <w:rPr>
                <w:rFonts w:ascii="宋体"/>
                <w:bCs/>
                <w:color w:val="auto"/>
                <w:sz w:val="20"/>
                <w:highlight w:val="none"/>
              </w:rPr>
            </w:pPr>
            <w:r>
              <w:rPr>
                <w:rFonts w:hint="eastAsia" w:ascii="宋体"/>
                <w:bCs/>
                <w:color w:val="auto"/>
                <w:sz w:val="20"/>
                <w:highlight w:val="none"/>
              </w:rPr>
              <w:t>性别</w:t>
            </w:r>
          </w:p>
        </w:tc>
        <w:tc>
          <w:tcPr>
            <w:tcW w:w="1368" w:type="dxa"/>
            <w:vAlign w:val="center"/>
          </w:tcPr>
          <w:p w14:paraId="6821BAC4">
            <w:pPr>
              <w:jc w:val="center"/>
              <w:rPr>
                <w:rFonts w:ascii="宋体"/>
                <w:bCs/>
                <w:color w:val="auto"/>
                <w:sz w:val="20"/>
                <w:highlight w:val="none"/>
              </w:rPr>
            </w:pPr>
            <w:r>
              <w:rPr>
                <w:rFonts w:hint="eastAsia" w:ascii="宋体"/>
                <w:bCs/>
                <w:color w:val="auto"/>
                <w:sz w:val="20"/>
                <w:highlight w:val="none"/>
              </w:rPr>
              <w:t>职称或资格</w:t>
            </w:r>
          </w:p>
        </w:tc>
        <w:tc>
          <w:tcPr>
            <w:tcW w:w="1065" w:type="dxa"/>
            <w:vAlign w:val="center"/>
          </w:tcPr>
          <w:p w14:paraId="16C7AE22">
            <w:pPr>
              <w:jc w:val="center"/>
              <w:rPr>
                <w:rFonts w:ascii="宋体"/>
                <w:bCs/>
                <w:color w:val="auto"/>
                <w:sz w:val="20"/>
                <w:highlight w:val="none"/>
              </w:rPr>
            </w:pPr>
            <w:r>
              <w:rPr>
                <w:rFonts w:hint="eastAsia" w:ascii="宋体"/>
                <w:bCs/>
                <w:color w:val="auto"/>
                <w:sz w:val="20"/>
                <w:highlight w:val="none"/>
              </w:rPr>
              <w:t xml:space="preserve">执业资格类别 </w:t>
            </w:r>
          </w:p>
        </w:tc>
        <w:tc>
          <w:tcPr>
            <w:tcW w:w="1126" w:type="dxa"/>
            <w:vAlign w:val="center"/>
          </w:tcPr>
          <w:p w14:paraId="39BE7893">
            <w:pPr>
              <w:jc w:val="center"/>
              <w:rPr>
                <w:rFonts w:ascii="宋体"/>
                <w:bCs/>
                <w:color w:val="auto"/>
                <w:sz w:val="20"/>
                <w:highlight w:val="none"/>
              </w:rPr>
            </w:pPr>
            <w:r>
              <w:rPr>
                <w:rFonts w:hint="eastAsia" w:hAnsi="宋体" w:cs="宋体"/>
                <w:color w:val="auto"/>
                <w:szCs w:val="21"/>
                <w:highlight w:val="none"/>
              </w:rPr>
              <w:t>执业注册证书号</w:t>
            </w:r>
          </w:p>
        </w:tc>
        <w:tc>
          <w:tcPr>
            <w:tcW w:w="2508" w:type="dxa"/>
            <w:vAlign w:val="center"/>
          </w:tcPr>
          <w:p w14:paraId="41AA647C">
            <w:pPr>
              <w:jc w:val="center"/>
              <w:rPr>
                <w:rFonts w:ascii="宋体"/>
                <w:bCs/>
                <w:color w:val="auto"/>
                <w:sz w:val="20"/>
                <w:highlight w:val="none"/>
              </w:rPr>
            </w:pPr>
            <w:r>
              <w:rPr>
                <w:rFonts w:hint="eastAsia" w:hAnsi="宋体" w:cs="宋体"/>
                <w:color w:val="auto"/>
                <w:szCs w:val="21"/>
                <w:highlight w:val="none"/>
              </w:rPr>
              <w:t>从事执业工作时间及参与典型业务情况</w:t>
            </w:r>
          </w:p>
        </w:tc>
      </w:tr>
      <w:tr w14:paraId="36356F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1" w:hRule="atLeast"/>
        </w:trPr>
        <w:tc>
          <w:tcPr>
            <w:tcW w:w="1070" w:type="dxa"/>
            <w:vAlign w:val="center"/>
          </w:tcPr>
          <w:p w14:paraId="04BE5766">
            <w:pPr>
              <w:spacing w:line="360" w:lineRule="auto"/>
              <w:rPr>
                <w:rFonts w:ascii="宋体"/>
                <w:color w:val="auto"/>
                <w:sz w:val="20"/>
                <w:highlight w:val="none"/>
              </w:rPr>
            </w:pPr>
          </w:p>
        </w:tc>
        <w:tc>
          <w:tcPr>
            <w:tcW w:w="1057" w:type="dxa"/>
            <w:vAlign w:val="center"/>
          </w:tcPr>
          <w:p w14:paraId="741A3211">
            <w:pPr>
              <w:pStyle w:val="508"/>
              <w:widowControl w:val="0"/>
              <w:pBdr>
                <w:left w:val="none" w:color="auto" w:sz="0" w:space="0"/>
                <w:bottom w:val="none" w:color="auto" w:sz="0" w:space="0"/>
                <w:right w:val="none" w:color="auto" w:sz="0" w:space="0"/>
              </w:pBdr>
              <w:spacing w:before="0" w:beforeAutospacing="0" w:after="0" w:afterAutospacing="0"/>
              <w:ind w:firstLine="400"/>
              <w:rPr>
                <w:color w:val="auto"/>
                <w:highlight w:val="none"/>
              </w:rPr>
            </w:pPr>
          </w:p>
        </w:tc>
        <w:tc>
          <w:tcPr>
            <w:tcW w:w="648" w:type="dxa"/>
            <w:vAlign w:val="center"/>
          </w:tcPr>
          <w:p w14:paraId="3010A86D">
            <w:pPr>
              <w:spacing w:line="360" w:lineRule="auto"/>
              <w:rPr>
                <w:rFonts w:ascii="宋体"/>
                <w:color w:val="auto"/>
                <w:sz w:val="20"/>
                <w:highlight w:val="none"/>
              </w:rPr>
            </w:pPr>
          </w:p>
        </w:tc>
        <w:tc>
          <w:tcPr>
            <w:tcW w:w="648" w:type="dxa"/>
            <w:vAlign w:val="center"/>
          </w:tcPr>
          <w:p w14:paraId="189A453F">
            <w:pPr>
              <w:spacing w:line="360" w:lineRule="auto"/>
              <w:rPr>
                <w:rFonts w:ascii="宋体"/>
                <w:color w:val="auto"/>
                <w:sz w:val="20"/>
                <w:highlight w:val="none"/>
              </w:rPr>
            </w:pPr>
          </w:p>
        </w:tc>
        <w:tc>
          <w:tcPr>
            <w:tcW w:w="1368" w:type="dxa"/>
            <w:vAlign w:val="center"/>
          </w:tcPr>
          <w:p w14:paraId="1F0C5AAA">
            <w:pPr>
              <w:spacing w:line="360" w:lineRule="auto"/>
              <w:rPr>
                <w:rFonts w:ascii="宋体"/>
                <w:color w:val="auto"/>
                <w:sz w:val="20"/>
                <w:highlight w:val="none"/>
              </w:rPr>
            </w:pPr>
          </w:p>
        </w:tc>
        <w:tc>
          <w:tcPr>
            <w:tcW w:w="1065" w:type="dxa"/>
            <w:vAlign w:val="center"/>
          </w:tcPr>
          <w:p w14:paraId="2A1447F1">
            <w:pPr>
              <w:spacing w:line="360" w:lineRule="auto"/>
              <w:rPr>
                <w:rFonts w:ascii="宋体"/>
                <w:color w:val="auto"/>
                <w:sz w:val="20"/>
                <w:highlight w:val="none"/>
              </w:rPr>
            </w:pPr>
          </w:p>
        </w:tc>
        <w:tc>
          <w:tcPr>
            <w:tcW w:w="1126" w:type="dxa"/>
            <w:vAlign w:val="center"/>
          </w:tcPr>
          <w:p w14:paraId="1ED4EB2E">
            <w:pPr>
              <w:spacing w:line="360" w:lineRule="auto"/>
              <w:rPr>
                <w:rFonts w:ascii="宋体"/>
                <w:color w:val="auto"/>
                <w:sz w:val="20"/>
                <w:highlight w:val="none"/>
              </w:rPr>
            </w:pPr>
          </w:p>
        </w:tc>
        <w:tc>
          <w:tcPr>
            <w:tcW w:w="2508" w:type="dxa"/>
            <w:vAlign w:val="center"/>
          </w:tcPr>
          <w:p w14:paraId="699DCDC6">
            <w:pPr>
              <w:spacing w:line="360" w:lineRule="auto"/>
              <w:rPr>
                <w:rFonts w:ascii="宋体"/>
                <w:color w:val="auto"/>
                <w:sz w:val="20"/>
                <w:highlight w:val="none"/>
              </w:rPr>
            </w:pPr>
          </w:p>
        </w:tc>
      </w:tr>
      <w:tr w14:paraId="28A4D3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1" w:hRule="atLeast"/>
        </w:trPr>
        <w:tc>
          <w:tcPr>
            <w:tcW w:w="1070" w:type="dxa"/>
            <w:vAlign w:val="center"/>
          </w:tcPr>
          <w:p w14:paraId="43CCD210">
            <w:pPr>
              <w:spacing w:line="360" w:lineRule="auto"/>
              <w:rPr>
                <w:rFonts w:ascii="宋体"/>
                <w:color w:val="auto"/>
                <w:sz w:val="20"/>
                <w:highlight w:val="none"/>
              </w:rPr>
            </w:pPr>
          </w:p>
        </w:tc>
        <w:tc>
          <w:tcPr>
            <w:tcW w:w="1057" w:type="dxa"/>
            <w:vAlign w:val="center"/>
          </w:tcPr>
          <w:p w14:paraId="7EAB317C">
            <w:pPr>
              <w:spacing w:line="360" w:lineRule="auto"/>
              <w:rPr>
                <w:rFonts w:ascii="宋体"/>
                <w:color w:val="auto"/>
                <w:sz w:val="20"/>
                <w:highlight w:val="none"/>
              </w:rPr>
            </w:pPr>
          </w:p>
        </w:tc>
        <w:tc>
          <w:tcPr>
            <w:tcW w:w="648" w:type="dxa"/>
            <w:vAlign w:val="center"/>
          </w:tcPr>
          <w:p w14:paraId="168BD7BB">
            <w:pPr>
              <w:spacing w:line="360" w:lineRule="auto"/>
              <w:rPr>
                <w:rFonts w:ascii="宋体"/>
                <w:color w:val="auto"/>
                <w:sz w:val="20"/>
                <w:highlight w:val="none"/>
              </w:rPr>
            </w:pPr>
          </w:p>
        </w:tc>
        <w:tc>
          <w:tcPr>
            <w:tcW w:w="648" w:type="dxa"/>
            <w:vAlign w:val="center"/>
          </w:tcPr>
          <w:p w14:paraId="0FAFFE9B">
            <w:pPr>
              <w:spacing w:line="360" w:lineRule="auto"/>
              <w:rPr>
                <w:rFonts w:ascii="宋体"/>
                <w:color w:val="auto"/>
                <w:sz w:val="20"/>
                <w:highlight w:val="none"/>
              </w:rPr>
            </w:pPr>
          </w:p>
        </w:tc>
        <w:tc>
          <w:tcPr>
            <w:tcW w:w="1368" w:type="dxa"/>
            <w:vAlign w:val="center"/>
          </w:tcPr>
          <w:p w14:paraId="7BF97538">
            <w:pPr>
              <w:spacing w:line="360" w:lineRule="auto"/>
              <w:rPr>
                <w:rFonts w:ascii="宋体"/>
                <w:color w:val="auto"/>
                <w:sz w:val="20"/>
                <w:highlight w:val="none"/>
              </w:rPr>
            </w:pPr>
          </w:p>
        </w:tc>
        <w:tc>
          <w:tcPr>
            <w:tcW w:w="1065" w:type="dxa"/>
            <w:vAlign w:val="center"/>
          </w:tcPr>
          <w:p w14:paraId="5E868411">
            <w:pPr>
              <w:spacing w:line="360" w:lineRule="auto"/>
              <w:rPr>
                <w:rFonts w:ascii="宋体"/>
                <w:color w:val="auto"/>
                <w:sz w:val="20"/>
                <w:highlight w:val="none"/>
              </w:rPr>
            </w:pPr>
          </w:p>
        </w:tc>
        <w:tc>
          <w:tcPr>
            <w:tcW w:w="1126" w:type="dxa"/>
            <w:vAlign w:val="center"/>
          </w:tcPr>
          <w:p w14:paraId="6FA06924">
            <w:pPr>
              <w:spacing w:line="360" w:lineRule="auto"/>
              <w:rPr>
                <w:rFonts w:ascii="宋体"/>
                <w:color w:val="auto"/>
                <w:sz w:val="20"/>
                <w:highlight w:val="none"/>
              </w:rPr>
            </w:pPr>
          </w:p>
        </w:tc>
        <w:tc>
          <w:tcPr>
            <w:tcW w:w="2508" w:type="dxa"/>
            <w:vAlign w:val="center"/>
          </w:tcPr>
          <w:p w14:paraId="529EC763">
            <w:pPr>
              <w:pStyle w:val="38"/>
              <w:spacing w:line="360" w:lineRule="auto"/>
              <w:ind w:left="5250"/>
              <w:rPr>
                <w:color w:val="auto"/>
                <w:sz w:val="20"/>
                <w:highlight w:val="none"/>
              </w:rPr>
            </w:pPr>
          </w:p>
        </w:tc>
      </w:tr>
      <w:tr w14:paraId="40DFAF4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1" w:hRule="atLeast"/>
        </w:trPr>
        <w:tc>
          <w:tcPr>
            <w:tcW w:w="1070" w:type="dxa"/>
            <w:vAlign w:val="center"/>
          </w:tcPr>
          <w:p w14:paraId="362358A2">
            <w:pPr>
              <w:spacing w:line="360" w:lineRule="auto"/>
              <w:rPr>
                <w:rFonts w:ascii="宋体"/>
                <w:color w:val="auto"/>
                <w:sz w:val="20"/>
                <w:highlight w:val="none"/>
              </w:rPr>
            </w:pPr>
          </w:p>
        </w:tc>
        <w:tc>
          <w:tcPr>
            <w:tcW w:w="1057" w:type="dxa"/>
            <w:vAlign w:val="center"/>
          </w:tcPr>
          <w:p w14:paraId="06D2AF58">
            <w:pPr>
              <w:spacing w:line="360" w:lineRule="auto"/>
              <w:rPr>
                <w:rFonts w:ascii="宋体"/>
                <w:color w:val="auto"/>
                <w:sz w:val="20"/>
                <w:highlight w:val="none"/>
              </w:rPr>
            </w:pPr>
          </w:p>
        </w:tc>
        <w:tc>
          <w:tcPr>
            <w:tcW w:w="648" w:type="dxa"/>
            <w:vAlign w:val="center"/>
          </w:tcPr>
          <w:p w14:paraId="1F6FD326">
            <w:pPr>
              <w:spacing w:line="360" w:lineRule="auto"/>
              <w:rPr>
                <w:rFonts w:ascii="宋体"/>
                <w:color w:val="auto"/>
                <w:sz w:val="20"/>
                <w:highlight w:val="none"/>
              </w:rPr>
            </w:pPr>
          </w:p>
        </w:tc>
        <w:tc>
          <w:tcPr>
            <w:tcW w:w="648" w:type="dxa"/>
            <w:vAlign w:val="center"/>
          </w:tcPr>
          <w:p w14:paraId="3FFA1B3F">
            <w:pPr>
              <w:spacing w:line="360" w:lineRule="auto"/>
              <w:rPr>
                <w:rFonts w:ascii="宋体"/>
                <w:color w:val="auto"/>
                <w:sz w:val="20"/>
                <w:highlight w:val="none"/>
              </w:rPr>
            </w:pPr>
          </w:p>
        </w:tc>
        <w:tc>
          <w:tcPr>
            <w:tcW w:w="1368" w:type="dxa"/>
            <w:vAlign w:val="center"/>
          </w:tcPr>
          <w:p w14:paraId="7081EDB9">
            <w:pPr>
              <w:spacing w:line="360" w:lineRule="auto"/>
              <w:rPr>
                <w:rFonts w:ascii="宋体"/>
                <w:color w:val="auto"/>
                <w:sz w:val="20"/>
                <w:highlight w:val="none"/>
              </w:rPr>
            </w:pPr>
          </w:p>
        </w:tc>
        <w:tc>
          <w:tcPr>
            <w:tcW w:w="1065" w:type="dxa"/>
            <w:vAlign w:val="center"/>
          </w:tcPr>
          <w:p w14:paraId="059D2078">
            <w:pPr>
              <w:spacing w:line="360" w:lineRule="auto"/>
              <w:rPr>
                <w:rFonts w:ascii="宋体"/>
                <w:color w:val="auto"/>
                <w:sz w:val="20"/>
                <w:highlight w:val="none"/>
              </w:rPr>
            </w:pPr>
          </w:p>
        </w:tc>
        <w:tc>
          <w:tcPr>
            <w:tcW w:w="1126" w:type="dxa"/>
            <w:vAlign w:val="center"/>
          </w:tcPr>
          <w:p w14:paraId="7C4E841E">
            <w:pPr>
              <w:spacing w:line="360" w:lineRule="auto"/>
              <w:rPr>
                <w:rFonts w:ascii="宋体"/>
                <w:color w:val="auto"/>
                <w:sz w:val="20"/>
                <w:highlight w:val="none"/>
              </w:rPr>
            </w:pPr>
          </w:p>
        </w:tc>
        <w:tc>
          <w:tcPr>
            <w:tcW w:w="2508" w:type="dxa"/>
            <w:vAlign w:val="center"/>
          </w:tcPr>
          <w:p w14:paraId="58B95115">
            <w:pPr>
              <w:spacing w:line="360" w:lineRule="auto"/>
              <w:rPr>
                <w:rFonts w:ascii="宋体"/>
                <w:color w:val="auto"/>
                <w:sz w:val="20"/>
                <w:highlight w:val="none"/>
              </w:rPr>
            </w:pPr>
          </w:p>
        </w:tc>
      </w:tr>
      <w:tr w14:paraId="5C0DB8E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1" w:hRule="atLeast"/>
        </w:trPr>
        <w:tc>
          <w:tcPr>
            <w:tcW w:w="1070" w:type="dxa"/>
            <w:vAlign w:val="center"/>
          </w:tcPr>
          <w:p w14:paraId="6EB16F78">
            <w:pPr>
              <w:spacing w:line="360" w:lineRule="auto"/>
              <w:rPr>
                <w:rFonts w:ascii="宋体"/>
                <w:color w:val="auto"/>
                <w:sz w:val="20"/>
                <w:highlight w:val="none"/>
              </w:rPr>
            </w:pPr>
          </w:p>
        </w:tc>
        <w:tc>
          <w:tcPr>
            <w:tcW w:w="1057" w:type="dxa"/>
            <w:vAlign w:val="center"/>
          </w:tcPr>
          <w:p w14:paraId="729A5FB3">
            <w:pPr>
              <w:spacing w:line="360" w:lineRule="auto"/>
              <w:rPr>
                <w:rFonts w:ascii="宋体"/>
                <w:color w:val="auto"/>
                <w:sz w:val="20"/>
                <w:highlight w:val="none"/>
              </w:rPr>
            </w:pPr>
          </w:p>
        </w:tc>
        <w:tc>
          <w:tcPr>
            <w:tcW w:w="648" w:type="dxa"/>
            <w:vAlign w:val="center"/>
          </w:tcPr>
          <w:p w14:paraId="4C830076">
            <w:pPr>
              <w:spacing w:line="360" w:lineRule="auto"/>
              <w:rPr>
                <w:rFonts w:ascii="宋体"/>
                <w:color w:val="auto"/>
                <w:sz w:val="20"/>
                <w:highlight w:val="none"/>
              </w:rPr>
            </w:pPr>
          </w:p>
        </w:tc>
        <w:tc>
          <w:tcPr>
            <w:tcW w:w="648" w:type="dxa"/>
            <w:vAlign w:val="center"/>
          </w:tcPr>
          <w:p w14:paraId="78CE80F2">
            <w:pPr>
              <w:spacing w:line="360" w:lineRule="auto"/>
              <w:rPr>
                <w:rFonts w:ascii="宋体"/>
                <w:color w:val="auto"/>
                <w:sz w:val="20"/>
                <w:highlight w:val="none"/>
              </w:rPr>
            </w:pPr>
          </w:p>
        </w:tc>
        <w:tc>
          <w:tcPr>
            <w:tcW w:w="1368" w:type="dxa"/>
            <w:vAlign w:val="center"/>
          </w:tcPr>
          <w:p w14:paraId="2197F38B">
            <w:pPr>
              <w:spacing w:line="360" w:lineRule="auto"/>
              <w:rPr>
                <w:rFonts w:ascii="宋体"/>
                <w:color w:val="auto"/>
                <w:sz w:val="20"/>
                <w:highlight w:val="none"/>
              </w:rPr>
            </w:pPr>
          </w:p>
        </w:tc>
        <w:tc>
          <w:tcPr>
            <w:tcW w:w="1065" w:type="dxa"/>
            <w:vAlign w:val="center"/>
          </w:tcPr>
          <w:p w14:paraId="1B5FD5A2">
            <w:pPr>
              <w:spacing w:line="360" w:lineRule="auto"/>
              <w:rPr>
                <w:rFonts w:ascii="宋体"/>
                <w:color w:val="auto"/>
                <w:sz w:val="20"/>
                <w:highlight w:val="none"/>
              </w:rPr>
            </w:pPr>
          </w:p>
        </w:tc>
        <w:tc>
          <w:tcPr>
            <w:tcW w:w="1126" w:type="dxa"/>
            <w:vAlign w:val="center"/>
          </w:tcPr>
          <w:p w14:paraId="210BD5C1">
            <w:pPr>
              <w:spacing w:line="360" w:lineRule="auto"/>
              <w:rPr>
                <w:rFonts w:ascii="宋体"/>
                <w:color w:val="auto"/>
                <w:sz w:val="20"/>
                <w:highlight w:val="none"/>
              </w:rPr>
            </w:pPr>
          </w:p>
        </w:tc>
        <w:tc>
          <w:tcPr>
            <w:tcW w:w="2508" w:type="dxa"/>
            <w:vAlign w:val="center"/>
          </w:tcPr>
          <w:p w14:paraId="579078E4">
            <w:pPr>
              <w:spacing w:line="360" w:lineRule="auto"/>
              <w:rPr>
                <w:rFonts w:ascii="宋体"/>
                <w:color w:val="auto"/>
                <w:sz w:val="20"/>
                <w:highlight w:val="none"/>
              </w:rPr>
            </w:pPr>
          </w:p>
        </w:tc>
      </w:tr>
      <w:tr w14:paraId="68111D6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1" w:hRule="atLeast"/>
        </w:trPr>
        <w:tc>
          <w:tcPr>
            <w:tcW w:w="1070" w:type="dxa"/>
            <w:vAlign w:val="center"/>
          </w:tcPr>
          <w:p w14:paraId="30F1E4F8">
            <w:pPr>
              <w:spacing w:line="360" w:lineRule="auto"/>
              <w:rPr>
                <w:rFonts w:ascii="宋体"/>
                <w:color w:val="auto"/>
                <w:sz w:val="20"/>
                <w:highlight w:val="none"/>
              </w:rPr>
            </w:pPr>
          </w:p>
        </w:tc>
        <w:tc>
          <w:tcPr>
            <w:tcW w:w="1057" w:type="dxa"/>
            <w:vAlign w:val="center"/>
          </w:tcPr>
          <w:p w14:paraId="58C210DD">
            <w:pPr>
              <w:spacing w:line="360" w:lineRule="auto"/>
              <w:rPr>
                <w:rFonts w:ascii="宋体"/>
                <w:color w:val="auto"/>
                <w:sz w:val="20"/>
                <w:highlight w:val="none"/>
              </w:rPr>
            </w:pPr>
          </w:p>
        </w:tc>
        <w:tc>
          <w:tcPr>
            <w:tcW w:w="648" w:type="dxa"/>
            <w:vAlign w:val="center"/>
          </w:tcPr>
          <w:p w14:paraId="67600FF2">
            <w:pPr>
              <w:spacing w:line="360" w:lineRule="auto"/>
              <w:rPr>
                <w:rFonts w:ascii="宋体"/>
                <w:color w:val="auto"/>
                <w:sz w:val="20"/>
                <w:highlight w:val="none"/>
              </w:rPr>
            </w:pPr>
          </w:p>
        </w:tc>
        <w:tc>
          <w:tcPr>
            <w:tcW w:w="648" w:type="dxa"/>
            <w:vAlign w:val="center"/>
          </w:tcPr>
          <w:p w14:paraId="1EE6E9E8">
            <w:pPr>
              <w:spacing w:line="360" w:lineRule="auto"/>
              <w:rPr>
                <w:rFonts w:ascii="宋体"/>
                <w:color w:val="auto"/>
                <w:sz w:val="20"/>
                <w:highlight w:val="none"/>
              </w:rPr>
            </w:pPr>
          </w:p>
        </w:tc>
        <w:tc>
          <w:tcPr>
            <w:tcW w:w="1368" w:type="dxa"/>
            <w:vAlign w:val="center"/>
          </w:tcPr>
          <w:p w14:paraId="7725AC3B">
            <w:pPr>
              <w:spacing w:line="360" w:lineRule="auto"/>
              <w:rPr>
                <w:rFonts w:ascii="宋体"/>
                <w:color w:val="auto"/>
                <w:sz w:val="20"/>
                <w:highlight w:val="none"/>
              </w:rPr>
            </w:pPr>
          </w:p>
        </w:tc>
        <w:tc>
          <w:tcPr>
            <w:tcW w:w="1065" w:type="dxa"/>
            <w:vAlign w:val="center"/>
          </w:tcPr>
          <w:p w14:paraId="13F5E209">
            <w:pPr>
              <w:spacing w:line="360" w:lineRule="auto"/>
              <w:rPr>
                <w:rFonts w:ascii="宋体"/>
                <w:color w:val="auto"/>
                <w:sz w:val="20"/>
                <w:highlight w:val="none"/>
              </w:rPr>
            </w:pPr>
          </w:p>
        </w:tc>
        <w:tc>
          <w:tcPr>
            <w:tcW w:w="1126" w:type="dxa"/>
            <w:vAlign w:val="center"/>
          </w:tcPr>
          <w:p w14:paraId="264EFB1E">
            <w:pPr>
              <w:spacing w:line="360" w:lineRule="auto"/>
              <w:rPr>
                <w:rFonts w:ascii="宋体"/>
                <w:color w:val="auto"/>
                <w:sz w:val="20"/>
                <w:highlight w:val="none"/>
              </w:rPr>
            </w:pPr>
          </w:p>
        </w:tc>
        <w:tc>
          <w:tcPr>
            <w:tcW w:w="2508" w:type="dxa"/>
            <w:vAlign w:val="center"/>
          </w:tcPr>
          <w:p w14:paraId="085547BE">
            <w:pPr>
              <w:spacing w:line="360" w:lineRule="auto"/>
              <w:rPr>
                <w:rFonts w:ascii="宋体"/>
                <w:color w:val="auto"/>
                <w:sz w:val="20"/>
                <w:highlight w:val="none"/>
              </w:rPr>
            </w:pPr>
          </w:p>
        </w:tc>
      </w:tr>
      <w:tr w14:paraId="58567D6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1" w:hRule="atLeast"/>
        </w:trPr>
        <w:tc>
          <w:tcPr>
            <w:tcW w:w="1070" w:type="dxa"/>
            <w:vAlign w:val="center"/>
          </w:tcPr>
          <w:p w14:paraId="517E27C2">
            <w:pPr>
              <w:spacing w:line="360" w:lineRule="auto"/>
              <w:rPr>
                <w:rFonts w:ascii="宋体"/>
                <w:color w:val="auto"/>
                <w:sz w:val="20"/>
                <w:highlight w:val="none"/>
              </w:rPr>
            </w:pPr>
          </w:p>
        </w:tc>
        <w:tc>
          <w:tcPr>
            <w:tcW w:w="1057" w:type="dxa"/>
            <w:vAlign w:val="center"/>
          </w:tcPr>
          <w:p w14:paraId="5A16BA8E">
            <w:pPr>
              <w:spacing w:line="360" w:lineRule="auto"/>
              <w:rPr>
                <w:rFonts w:ascii="宋体"/>
                <w:color w:val="auto"/>
                <w:sz w:val="20"/>
                <w:highlight w:val="none"/>
              </w:rPr>
            </w:pPr>
          </w:p>
        </w:tc>
        <w:tc>
          <w:tcPr>
            <w:tcW w:w="648" w:type="dxa"/>
            <w:vAlign w:val="center"/>
          </w:tcPr>
          <w:p w14:paraId="0C330286">
            <w:pPr>
              <w:spacing w:line="360" w:lineRule="auto"/>
              <w:rPr>
                <w:rFonts w:ascii="宋体"/>
                <w:color w:val="auto"/>
                <w:sz w:val="20"/>
                <w:highlight w:val="none"/>
              </w:rPr>
            </w:pPr>
          </w:p>
        </w:tc>
        <w:tc>
          <w:tcPr>
            <w:tcW w:w="648" w:type="dxa"/>
            <w:vAlign w:val="center"/>
          </w:tcPr>
          <w:p w14:paraId="05A9D12C">
            <w:pPr>
              <w:spacing w:line="360" w:lineRule="auto"/>
              <w:rPr>
                <w:rFonts w:ascii="宋体"/>
                <w:color w:val="auto"/>
                <w:sz w:val="20"/>
                <w:highlight w:val="none"/>
              </w:rPr>
            </w:pPr>
          </w:p>
        </w:tc>
        <w:tc>
          <w:tcPr>
            <w:tcW w:w="1368" w:type="dxa"/>
            <w:vAlign w:val="center"/>
          </w:tcPr>
          <w:p w14:paraId="7130C8F9">
            <w:pPr>
              <w:spacing w:line="360" w:lineRule="auto"/>
              <w:rPr>
                <w:rFonts w:ascii="宋体"/>
                <w:color w:val="auto"/>
                <w:sz w:val="20"/>
                <w:highlight w:val="none"/>
              </w:rPr>
            </w:pPr>
          </w:p>
        </w:tc>
        <w:tc>
          <w:tcPr>
            <w:tcW w:w="1065" w:type="dxa"/>
            <w:vAlign w:val="center"/>
          </w:tcPr>
          <w:p w14:paraId="1A74F1D5">
            <w:pPr>
              <w:spacing w:line="360" w:lineRule="auto"/>
              <w:rPr>
                <w:rFonts w:ascii="宋体"/>
                <w:color w:val="auto"/>
                <w:sz w:val="20"/>
                <w:highlight w:val="none"/>
              </w:rPr>
            </w:pPr>
          </w:p>
        </w:tc>
        <w:tc>
          <w:tcPr>
            <w:tcW w:w="1126" w:type="dxa"/>
            <w:vAlign w:val="center"/>
          </w:tcPr>
          <w:p w14:paraId="236C7361">
            <w:pPr>
              <w:spacing w:line="360" w:lineRule="auto"/>
              <w:rPr>
                <w:rFonts w:ascii="宋体"/>
                <w:color w:val="auto"/>
                <w:sz w:val="20"/>
                <w:highlight w:val="none"/>
              </w:rPr>
            </w:pPr>
          </w:p>
        </w:tc>
        <w:tc>
          <w:tcPr>
            <w:tcW w:w="2508" w:type="dxa"/>
            <w:vAlign w:val="center"/>
          </w:tcPr>
          <w:p w14:paraId="7534E8A8">
            <w:pPr>
              <w:spacing w:line="360" w:lineRule="auto"/>
              <w:rPr>
                <w:rFonts w:ascii="宋体"/>
                <w:color w:val="auto"/>
                <w:sz w:val="20"/>
                <w:highlight w:val="none"/>
              </w:rPr>
            </w:pPr>
          </w:p>
        </w:tc>
      </w:tr>
      <w:tr w14:paraId="36D1EE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1" w:hRule="atLeast"/>
        </w:trPr>
        <w:tc>
          <w:tcPr>
            <w:tcW w:w="1070" w:type="dxa"/>
            <w:vAlign w:val="center"/>
          </w:tcPr>
          <w:p w14:paraId="4909D915">
            <w:pPr>
              <w:spacing w:line="360" w:lineRule="auto"/>
              <w:rPr>
                <w:rFonts w:ascii="宋体"/>
                <w:color w:val="auto"/>
                <w:sz w:val="20"/>
                <w:highlight w:val="none"/>
              </w:rPr>
            </w:pPr>
          </w:p>
        </w:tc>
        <w:tc>
          <w:tcPr>
            <w:tcW w:w="1057" w:type="dxa"/>
            <w:vAlign w:val="center"/>
          </w:tcPr>
          <w:p w14:paraId="053DDA8E">
            <w:pPr>
              <w:spacing w:line="360" w:lineRule="auto"/>
              <w:rPr>
                <w:rFonts w:ascii="宋体"/>
                <w:color w:val="auto"/>
                <w:sz w:val="20"/>
                <w:highlight w:val="none"/>
              </w:rPr>
            </w:pPr>
          </w:p>
        </w:tc>
        <w:tc>
          <w:tcPr>
            <w:tcW w:w="648" w:type="dxa"/>
            <w:vAlign w:val="center"/>
          </w:tcPr>
          <w:p w14:paraId="479A789C">
            <w:pPr>
              <w:spacing w:line="360" w:lineRule="auto"/>
              <w:rPr>
                <w:rFonts w:ascii="宋体"/>
                <w:color w:val="auto"/>
                <w:sz w:val="20"/>
                <w:highlight w:val="none"/>
              </w:rPr>
            </w:pPr>
          </w:p>
        </w:tc>
        <w:tc>
          <w:tcPr>
            <w:tcW w:w="648" w:type="dxa"/>
            <w:vAlign w:val="center"/>
          </w:tcPr>
          <w:p w14:paraId="5FE533AA">
            <w:pPr>
              <w:spacing w:line="360" w:lineRule="auto"/>
              <w:rPr>
                <w:rFonts w:ascii="宋体"/>
                <w:color w:val="auto"/>
                <w:sz w:val="20"/>
                <w:highlight w:val="none"/>
              </w:rPr>
            </w:pPr>
          </w:p>
        </w:tc>
        <w:tc>
          <w:tcPr>
            <w:tcW w:w="1368" w:type="dxa"/>
            <w:vAlign w:val="center"/>
          </w:tcPr>
          <w:p w14:paraId="0CD4F4D3">
            <w:pPr>
              <w:spacing w:line="360" w:lineRule="auto"/>
              <w:rPr>
                <w:rFonts w:ascii="宋体"/>
                <w:color w:val="auto"/>
                <w:sz w:val="20"/>
                <w:highlight w:val="none"/>
              </w:rPr>
            </w:pPr>
          </w:p>
        </w:tc>
        <w:tc>
          <w:tcPr>
            <w:tcW w:w="1065" w:type="dxa"/>
            <w:vAlign w:val="center"/>
          </w:tcPr>
          <w:p w14:paraId="4143357B">
            <w:pPr>
              <w:spacing w:line="360" w:lineRule="auto"/>
              <w:rPr>
                <w:rFonts w:ascii="宋体"/>
                <w:color w:val="auto"/>
                <w:sz w:val="20"/>
                <w:highlight w:val="none"/>
              </w:rPr>
            </w:pPr>
          </w:p>
        </w:tc>
        <w:tc>
          <w:tcPr>
            <w:tcW w:w="1126" w:type="dxa"/>
            <w:vAlign w:val="center"/>
          </w:tcPr>
          <w:p w14:paraId="01003A99">
            <w:pPr>
              <w:spacing w:line="360" w:lineRule="auto"/>
              <w:rPr>
                <w:rFonts w:ascii="宋体"/>
                <w:color w:val="auto"/>
                <w:sz w:val="20"/>
                <w:highlight w:val="none"/>
              </w:rPr>
            </w:pPr>
          </w:p>
        </w:tc>
        <w:tc>
          <w:tcPr>
            <w:tcW w:w="2508" w:type="dxa"/>
            <w:vAlign w:val="center"/>
          </w:tcPr>
          <w:p w14:paraId="05AB7A97">
            <w:pPr>
              <w:spacing w:line="360" w:lineRule="auto"/>
              <w:rPr>
                <w:rFonts w:ascii="宋体"/>
                <w:color w:val="auto"/>
                <w:sz w:val="20"/>
                <w:highlight w:val="none"/>
              </w:rPr>
            </w:pPr>
          </w:p>
        </w:tc>
      </w:tr>
      <w:tr w14:paraId="5B588D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1" w:hRule="atLeast"/>
        </w:trPr>
        <w:tc>
          <w:tcPr>
            <w:tcW w:w="1070" w:type="dxa"/>
            <w:vAlign w:val="center"/>
          </w:tcPr>
          <w:p w14:paraId="61828132">
            <w:pPr>
              <w:spacing w:line="360" w:lineRule="auto"/>
              <w:rPr>
                <w:rFonts w:ascii="宋体"/>
                <w:color w:val="auto"/>
                <w:sz w:val="20"/>
                <w:highlight w:val="none"/>
              </w:rPr>
            </w:pPr>
          </w:p>
        </w:tc>
        <w:tc>
          <w:tcPr>
            <w:tcW w:w="1057" w:type="dxa"/>
            <w:vAlign w:val="center"/>
          </w:tcPr>
          <w:p w14:paraId="4F9B7D94">
            <w:pPr>
              <w:spacing w:line="360" w:lineRule="auto"/>
              <w:rPr>
                <w:rFonts w:ascii="宋体"/>
                <w:color w:val="auto"/>
                <w:sz w:val="20"/>
                <w:highlight w:val="none"/>
              </w:rPr>
            </w:pPr>
          </w:p>
        </w:tc>
        <w:tc>
          <w:tcPr>
            <w:tcW w:w="648" w:type="dxa"/>
            <w:vAlign w:val="center"/>
          </w:tcPr>
          <w:p w14:paraId="32CC9DBF">
            <w:pPr>
              <w:spacing w:line="360" w:lineRule="auto"/>
              <w:rPr>
                <w:rFonts w:ascii="宋体"/>
                <w:color w:val="auto"/>
                <w:sz w:val="20"/>
                <w:highlight w:val="none"/>
              </w:rPr>
            </w:pPr>
          </w:p>
        </w:tc>
        <w:tc>
          <w:tcPr>
            <w:tcW w:w="648" w:type="dxa"/>
            <w:vAlign w:val="center"/>
          </w:tcPr>
          <w:p w14:paraId="668267D6">
            <w:pPr>
              <w:spacing w:line="360" w:lineRule="auto"/>
              <w:rPr>
                <w:rFonts w:ascii="宋体"/>
                <w:color w:val="auto"/>
                <w:sz w:val="20"/>
                <w:highlight w:val="none"/>
              </w:rPr>
            </w:pPr>
          </w:p>
        </w:tc>
        <w:tc>
          <w:tcPr>
            <w:tcW w:w="1368" w:type="dxa"/>
            <w:vAlign w:val="center"/>
          </w:tcPr>
          <w:p w14:paraId="72AD6FD5">
            <w:pPr>
              <w:spacing w:line="360" w:lineRule="auto"/>
              <w:rPr>
                <w:rFonts w:ascii="宋体"/>
                <w:color w:val="auto"/>
                <w:sz w:val="20"/>
                <w:highlight w:val="none"/>
              </w:rPr>
            </w:pPr>
          </w:p>
        </w:tc>
        <w:tc>
          <w:tcPr>
            <w:tcW w:w="1065" w:type="dxa"/>
            <w:vAlign w:val="center"/>
          </w:tcPr>
          <w:p w14:paraId="5D634B58">
            <w:pPr>
              <w:spacing w:line="360" w:lineRule="auto"/>
              <w:rPr>
                <w:rFonts w:ascii="宋体"/>
                <w:color w:val="auto"/>
                <w:sz w:val="20"/>
                <w:highlight w:val="none"/>
              </w:rPr>
            </w:pPr>
          </w:p>
        </w:tc>
        <w:tc>
          <w:tcPr>
            <w:tcW w:w="1126" w:type="dxa"/>
            <w:vAlign w:val="center"/>
          </w:tcPr>
          <w:p w14:paraId="7296A559">
            <w:pPr>
              <w:spacing w:line="360" w:lineRule="auto"/>
              <w:rPr>
                <w:rFonts w:ascii="宋体"/>
                <w:color w:val="auto"/>
                <w:sz w:val="20"/>
                <w:highlight w:val="none"/>
              </w:rPr>
            </w:pPr>
          </w:p>
        </w:tc>
        <w:tc>
          <w:tcPr>
            <w:tcW w:w="2508" w:type="dxa"/>
            <w:vAlign w:val="center"/>
          </w:tcPr>
          <w:p w14:paraId="512AFF55">
            <w:pPr>
              <w:spacing w:line="360" w:lineRule="auto"/>
              <w:rPr>
                <w:rFonts w:ascii="宋体"/>
                <w:color w:val="auto"/>
                <w:sz w:val="20"/>
                <w:highlight w:val="none"/>
              </w:rPr>
            </w:pPr>
          </w:p>
        </w:tc>
      </w:tr>
      <w:tr w14:paraId="40441D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1" w:hRule="atLeast"/>
        </w:trPr>
        <w:tc>
          <w:tcPr>
            <w:tcW w:w="1070" w:type="dxa"/>
            <w:vAlign w:val="center"/>
          </w:tcPr>
          <w:p w14:paraId="3ED97D4F">
            <w:pPr>
              <w:spacing w:line="360" w:lineRule="auto"/>
              <w:rPr>
                <w:rFonts w:ascii="宋体"/>
                <w:color w:val="auto"/>
                <w:sz w:val="20"/>
                <w:highlight w:val="none"/>
              </w:rPr>
            </w:pPr>
          </w:p>
        </w:tc>
        <w:tc>
          <w:tcPr>
            <w:tcW w:w="1057" w:type="dxa"/>
            <w:vAlign w:val="center"/>
          </w:tcPr>
          <w:p w14:paraId="4409B3C4">
            <w:pPr>
              <w:spacing w:line="360" w:lineRule="auto"/>
              <w:rPr>
                <w:rFonts w:ascii="宋体"/>
                <w:color w:val="auto"/>
                <w:sz w:val="20"/>
                <w:highlight w:val="none"/>
              </w:rPr>
            </w:pPr>
          </w:p>
        </w:tc>
        <w:tc>
          <w:tcPr>
            <w:tcW w:w="648" w:type="dxa"/>
            <w:vAlign w:val="center"/>
          </w:tcPr>
          <w:p w14:paraId="661E4D8B">
            <w:pPr>
              <w:spacing w:line="360" w:lineRule="auto"/>
              <w:rPr>
                <w:rFonts w:ascii="宋体"/>
                <w:color w:val="auto"/>
                <w:sz w:val="20"/>
                <w:highlight w:val="none"/>
              </w:rPr>
            </w:pPr>
          </w:p>
        </w:tc>
        <w:tc>
          <w:tcPr>
            <w:tcW w:w="648" w:type="dxa"/>
            <w:vAlign w:val="center"/>
          </w:tcPr>
          <w:p w14:paraId="6B86526F">
            <w:pPr>
              <w:spacing w:line="360" w:lineRule="auto"/>
              <w:rPr>
                <w:rFonts w:ascii="宋体"/>
                <w:color w:val="auto"/>
                <w:sz w:val="20"/>
                <w:highlight w:val="none"/>
              </w:rPr>
            </w:pPr>
          </w:p>
        </w:tc>
        <w:tc>
          <w:tcPr>
            <w:tcW w:w="1368" w:type="dxa"/>
            <w:vAlign w:val="center"/>
          </w:tcPr>
          <w:p w14:paraId="1C6A26A7">
            <w:pPr>
              <w:spacing w:line="360" w:lineRule="auto"/>
              <w:rPr>
                <w:rFonts w:ascii="宋体"/>
                <w:color w:val="auto"/>
                <w:sz w:val="20"/>
                <w:highlight w:val="none"/>
              </w:rPr>
            </w:pPr>
          </w:p>
        </w:tc>
        <w:tc>
          <w:tcPr>
            <w:tcW w:w="1065" w:type="dxa"/>
            <w:vAlign w:val="center"/>
          </w:tcPr>
          <w:p w14:paraId="21A05035">
            <w:pPr>
              <w:spacing w:line="360" w:lineRule="auto"/>
              <w:rPr>
                <w:rFonts w:ascii="宋体"/>
                <w:color w:val="auto"/>
                <w:sz w:val="20"/>
                <w:highlight w:val="none"/>
              </w:rPr>
            </w:pPr>
          </w:p>
        </w:tc>
        <w:tc>
          <w:tcPr>
            <w:tcW w:w="1126" w:type="dxa"/>
            <w:vAlign w:val="center"/>
          </w:tcPr>
          <w:p w14:paraId="457A2112">
            <w:pPr>
              <w:spacing w:line="360" w:lineRule="auto"/>
              <w:rPr>
                <w:rFonts w:ascii="宋体"/>
                <w:color w:val="auto"/>
                <w:sz w:val="20"/>
                <w:highlight w:val="none"/>
              </w:rPr>
            </w:pPr>
          </w:p>
        </w:tc>
        <w:tc>
          <w:tcPr>
            <w:tcW w:w="2508" w:type="dxa"/>
            <w:vAlign w:val="center"/>
          </w:tcPr>
          <w:p w14:paraId="680F6694">
            <w:pPr>
              <w:spacing w:line="360" w:lineRule="auto"/>
              <w:rPr>
                <w:rFonts w:ascii="宋体"/>
                <w:color w:val="auto"/>
                <w:sz w:val="20"/>
                <w:highlight w:val="none"/>
              </w:rPr>
            </w:pPr>
          </w:p>
        </w:tc>
      </w:tr>
      <w:tr w14:paraId="28BD335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1" w:hRule="atLeast"/>
        </w:trPr>
        <w:tc>
          <w:tcPr>
            <w:tcW w:w="1070" w:type="dxa"/>
            <w:vAlign w:val="center"/>
          </w:tcPr>
          <w:p w14:paraId="2A97DAF6">
            <w:pPr>
              <w:spacing w:line="360" w:lineRule="auto"/>
              <w:rPr>
                <w:rFonts w:ascii="宋体"/>
                <w:color w:val="auto"/>
                <w:sz w:val="20"/>
                <w:highlight w:val="none"/>
              </w:rPr>
            </w:pPr>
          </w:p>
        </w:tc>
        <w:tc>
          <w:tcPr>
            <w:tcW w:w="1057" w:type="dxa"/>
            <w:vAlign w:val="center"/>
          </w:tcPr>
          <w:p w14:paraId="48C2CBCD">
            <w:pPr>
              <w:spacing w:line="360" w:lineRule="auto"/>
              <w:rPr>
                <w:rFonts w:ascii="宋体"/>
                <w:color w:val="auto"/>
                <w:sz w:val="20"/>
                <w:highlight w:val="none"/>
              </w:rPr>
            </w:pPr>
          </w:p>
        </w:tc>
        <w:tc>
          <w:tcPr>
            <w:tcW w:w="648" w:type="dxa"/>
            <w:vAlign w:val="center"/>
          </w:tcPr>
          <w:p w14:paraId="2E193CA1">
            <w:pPr>
              <w:spacing w:line="360" w:lineRule="auto"/>
              <w:rPr>
                <w:rFonts w:ascii="宋体"/>
                <w:color w:val="auto"/>
                <w:sz w:val="20"/>
                <w:highlight w:val="none"/>
              </w:rPr>
            </w:pPr>
          </w:p>
        </w:tc>
        <w:tc>
          <w:tcPr>
            <w:tcW w:w="648" w:type="dxa"/>
            <w:vAlign w:val="center"/>
          </w:tcPr>
          <w:p w14:paraId="458E3DEF">
            <w:pPr>
              <w:spacing w:line="360" w:lineRule="auto"/>
              <w:rPr>
                <w:rFonts w:ascii="宋体"/>
                <w:color w:val="auto"/>
                <w:sz w:val="20"/>
                <w:highlight w:val="none"/>
              </w:rPr>
            </w:pPr>
          </w:p>
        </w:tc>
        <w:tc>
          <w:tcPr>
            <w:tcW w:w="1368" w:type="dxa"/>
            <w:vAlign w:val="center"/>
          </w:tcPr>
          <w:p w14:paraId="4748BFEB">
            <w:pPr>
              <w:spacing w:line="360" w:lineRule="auto"/>
              <w:rPr>
                <w:rFonts w:ascii="宋体"/>
                <w:color w:val="auto"/>
                <w:sz w:val="20"/>
                <w:highlight w:val="none"/>
              </w:rPr>
            </w:pPr>
          </w:p>
        </w:tc>
        <w:tc>
          <w:tcPr>
            <w:tcW w:w="1065" w:type="dxa"/>
            <w:vAlign w:val="center"/>
          </w:tcPr>
          <w:p w14:paraId="2AD1307E">
            <w:pPr>
              <w:spacing w:line="360" w:lineRule="auto"/>
              <w:rPr>
                <w:rFonts w:ascii="宋体"/>
                <w:color w:val="auto"/>
                <w:sz w:val="20"/>
                <w:highlight w:val="none"/>
              </w:rPr>
            </w:pPr>
          </w:p>
        </w:tc>
        <w:tc>
          <w:tcPr>
            <w:tcW w:w="1126" w:type="dxa"/>
            <w:vAlign w:val="center"/>
          </w:tcPr>
          <w:p w14:paraId="6A69AA44">
            <w:pPr>
              <w:spacing w:line="360" w:lineRule="auto"/>
              <w:rPr>
                <w:rFonts w:ascii="宋体"/>
                <w:color w:val="auto"/>
                <w:sz w:val="20"/>
                <w:highlight w:val="none"/>
              </w:rPr>
            </w:pPr>
          </w:p>
        </w:tc>
        <w:tc>
          <w:tcPr>
            <w:tcW w:w="2508" w:type="dxa"/>
            <w:vAlign w:val="center"/>
          </w:tcPr>
          <w:p w14:paraId="4ABA5AE9">
            <w:pPr>
              <w:spacing w:line="360" w:lineRule="auto"/>
              <w:rPr>
                <w:rFonts w:ascii="宋体"/>
                <w:color w:val="auto"/>
                <w:sz w:val="20"/>
                <w:highlight w:val="none"/>
              </w:rPr>
            </w:pPr>
          </w:p>
        </w:tc>
      </w:tr>
      <w:tr w14:paraId="2B84F9B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1" w:hRule="atLeast"/>
        </w:trPr>
        <w:tc>
          <w:tcPr>
            <w:tcW w:w="1070" w:type="dxa"/>
            <w:vAlign w:val="center"/>
          </w:tcPr>
          <w:p w14:paraId="6BC003C5">
            <w:pPr>
              <w:spacing w:line="360" w:lineRule="auto"/>
              <w:rPr>
                <w:rFonts w:ascii="宋体"/>
                <w:color w:val="auto"/>
                <w:sz w:val="20"/>
                <w:highlight w:val="none"/>
              </w:rPr>
            </w:pPr>
          </w:p>
        </w:tc>
        <w:tc>
          <w:tcPr>
            <w:tcW w:w="1057" w:type="dxa"/>
            <w:vAlign w:val="center"/>
          </w:tcPr>
          <w:p w14:paraId="70A56426">
            <w:pPr>
              <w:spacing w:line="360" w:lineRule="auto"/>
              <w:rPr>
                <w:rFonts w:ascii="宋体"/>
                <w:color w:val="auto"/>
                <w:sz w:val="20"/>
                <w:highlight w:val="none"/>
              </w:rPr>
            </w:pPr>
          </w:p>
        </w:tc>
        <w:tc>
          <w:tcPr>
            <w:tcW w:w="648" w:type="dxa"/>
            <w:vAlign w:val="center"/>
          </w:tcPr>
          <w:p w14:paraId="17FEF740">
            <w:pPr>
              <w:spacing w:line="360" w:lineRule="auto"/>
              <w:rPr>
                <w:rFonts w:ascii="宋体"/>
                <w:color w:val="auto"/>
                <w:sz w:val="20"/>
                <w:highlight w:val="none"/>
              </w:rPr>
            </w:pPr>
          </w:p>
        </w:tc>
        <w:tc>
          <w:tcPr>
            <w:tcW w:w="648" w:type="dxa"/>
            <w:vAlign w:val="center"/>
          </w:tcPr>
          <w:p w14:paraId="17904FBE">
            <w:pPr>
              <w:spacing w:line="360" w:lineRule="auto"/>
              <w:rPr>
                <w:rFonts w:ascii="宋体"/>
                <w:color w:val="auto"/>
                <w:sz w:val="20"/>
                <w:highlight w:val="none"/>
              </w:rPr>
            </w:pPr>
          </w:p>
        </w:tc>
        <w:tc>
          <w:tcPr>
            <w:tcW w:w="1368" w:type="dxa"/>
            <w:vAlign w:val="center"/>
          </w:tcPr>
          <w:p w14:paraId="77036987">
            <w:pPr>
              <w:spacing w:line="360" w:lineRule="auto"/>
              <w:rPr>
                <w:rFonts w:ascii="宋体"/>
                <w:color w:val="auto"/>
                <w:sz w:val="20"/>
                <w:highlight w:val="none"/>
              </w:rPr>
            </w:pPr>
          </w:p>
        </w:tc>
        <w:tc>
          <w:tcPr>
            <w:tcW w:w="1065" w:type="dxa"/>
            <w:vAlign w:val="center"/>
          </w:tcPr>
          <w:p w14:paraId="7893890D">
            <w:pPr>
              <w:spacing w:line="360" w:lineRule="auto"/>
              <w:rPr>
                <w:rFonts w:ascii="宋体"/>
                <w:color w:val="auto"/>
                <w:sz w:val="20"/>
                <w:highlight w:val="none"/>
              </w:rPr>
            </w:pPr>
          </w:p>
        </w:tc>
        <w:tc>
          <w:tcPr>
            <w:tcW w:w="1126" w:type="dxa"/>
            <w:vAlign w:val="center"/>
          </w:tcPr>
          <w:p w14:paraId="07F8CB3F">
            <w:pPr>
              <w:spacing w:line="360" w:lineRule="auto"/>
              <w:rPr>
                <w:rFonts w:ascii="宋体"/>
                <w:color w:val="auto"/>
                <w:sz w:val="20"/>
                <w:highlight w:val="none"/>
              </w:rPr>
            </w:pPr>
          </w:p>
        </w:tc>
        <w:tc>
          <w:tcPr>
            <w:tcW w:w="2508" w:type="dxa"/>
            <w:vAlign w:val="center"/>
          </w:tcPr>
          <w:p w14:paraId="19C5C50D">
            <w:pPr>
              <w:spacing w:line="360" w:lineRule="auto"/>
              <w:rPr>
                <w:rFonts w:ascii="宋体"/>
                <w:color w:val="auto"/>
                <w:sz w:val="20"/>
                <w:highlight w:val="none"/>
              </w:rPr>
            </w:pPr>
          </w:p>
        </w:tc>
      </w:tr>
      <w:tr w14:paraId="39DC3B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1" w:hRule="atLeast"/>
        </w:trPr>
        <w:tc>
          <w:tcPr>
            <w:tcW w:w="1070" w:type="dxa"/>
            <w:vAlign w:val="center"/>
          </w:tcPr>
          <w:p w14:paraId="01FAD485">
            <w:pPr>
              <w:spacing w:line="360" w:lineRule="auto"/>
              <w:rPr>
                <w:rFonts w:ascii="宋体"/>
                <w:color w:val="auto"/>
                <w:sz w:val="20"/>
                <w:highlight w:val="none"/>
              </w:rPr>
            </w:pPr>
          </w:p>
        </w:tc>
        <w:tc>
          <w:tcPr>
            <w:tcW w:w="1057" w:type="dxa"/>
            <w:vAlign w:val="center"/>
          </w:tcPr>
          <w:p w14:paraId="1B48D381">
            <w:pPr>
              <w:spacing w:line="360" w:lineRule="auto"/>
              <w:rPr>
                <w:rFonts w:ascii="宋体"/>
                <w:color w:val="auto"/>
                <w:sz w:val="20"/>
                <w:highlight w:val="none"/>
              </w:rPr>
            </w:pPr>
          </w:p>
        </w:tc>
        <w:tc>
          <w:tcPr>
            <w:tcW w:w="648" w:type="dxa"/>
            <w:vAlign w:val="center"/>
          </w:tcPr>
          <w:p w14:paraId="685D1EDB">
            <w:pPr>
              <w:spacing w:line="360" w:lineRule="auto"/>
              <w:rPr>
                <w:rFonts w:ascii="宋体"/>
                <w:color w:val="auto"/>
                <w:sz w:val="20"/>
                <w:highlight w:val="none"/>
              </w:rPr>
            </w:pPr>
          </w:p>
        </w:tc>
        <w:tc>
          <w:tcPr>
            <w:tcW w:w="648" w:type="dxa"/>
            <w:vAlign w:val="center"/>
          </w:tcPr>
          <w:p w14:paraId="2AA8A523">
            <w:pPr>
              <w:spacing w:line="360" w:lineRule="auto"/>
              <w:rPr>
                <w:rFonts w:ascii="宋体"/>
                <w:color w:val="auto"/>
                <w:sz w:val="20"/>
                <w:highlight w:val="none"/>
              </w:rPr>
            </w:pPr>
          </w:p>
        </w:tc>
        <w:tc>
          <w:tcPr>
            <w:tcW w:w="1368" w:type="dxa"/>
            <w:vAlign w:val="center"/>
          </w:tcPr>
          <w:p w14:paraId="1101AD7C">
            <w:pPr>
              <w:spacing w:line="360" w:lineRule="auto"/>
              <w:rPr>
                <w:rFonts w:ascii="宋体"/>
                <w:color w:val="auto"/>
                <w:sz w:val="20"/>
                <w:highlight w:val="none"/>
              </w:rPr>
            </w:pPr>
          </w:p>
        </w:tc>
        <w:tc>
          <w:tcPr>
            <w:tcW w:w="1065" w:type="dxa"/>
            <w:vAlign w:val="center"/>
          </w:tcPr>
          <w:p w14:paraId="0CBA5CF8">
            <w:pPr>
              <w:spacing w:line="360" w:lineRule="auto"/>
              <w:rPr>
                <w:rFonts w:ascii="宋体"/>
                <w:color w:val="auto"/>
                <w:sz w:val="20"/>
                <w:highlight w:val="none"/>
              </w:rPr>
            </w:pPr>
          </w:p>
        </w:tc>
        <w:tc>
          <w:tcPr>
            <w:tcW w:w="1126" w:type="dxa"/>
            <w:vAlign w:val="center"/>
          </w:tcPr>
          <w:p w14:paraId="3019CB4E">
            <w:pPr>
              <w:spacing w:line="360" w:lineRule="auto"/>
              <w:rPr>
                <w:rFonts w:ascii="宋体"/>
                <w:color w:val="auto"/>
                <w:sz w:val="20"/>
                <w:highlight w:val="none"/>
              </w:rPr>
            </w:pPr>
          </w:p>
        </w:tc>
        <w:tc>
          <w:tcPr>
            <w:tcW w:w="2508" w:type="dxa"/>
            <w:vAlign w:val="center"/>
          </w:tcPr>
          <w:p w14:paraId="71D48AC3">
            <w:pPr>
              <w:spacing w:line="360" w:lineRule="auto"/>
              <w:rPr>
                <w:rFonts w:ascii="宋体"/>
                <w:color w:val="auto"/>
                <w:sz w:val="20"/>
                <w:highlight w:val="none"/>
              </w:rPr>
            </w:pPr>
          </w:p>
        </w:tc>
      </w:tr>
      <w:tr w14:paraId="74C85C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1" w:hRule="atLeast"/>
        </w:trPr>
        <w:tc>
          <w:tcPr>
            <w:tcW w:w="1070" w:type="dxa"/>
            <w:vAlign w:val="center"/>
          </w:tcPr>
          <w:p w14:paraId="0B2755B1">
            <w:pPr>
              <w:spacing w:line="360" w:lineRule="auto"/>
              <w:rPr>
                <w:rFonts w:ascii="宋体"/>
                <w:color w:val="auto"/>
                <w:sz w:val="20"/>
                <w:highlight w:val="none"/>
              </w:rPr>
            </w:pPr>
          </w:p>
        </w:tc>
        <w:tc>
          <w:tcPr>
            <w:tcW w:w="1057" w:type="dxa"/>
            <w:vAlign w:val="center"/>
          </w:tcPr>
          <w:p w14:paraId="7663B1AD">
            <w:pPr>
              <w:spacing w:line="360" w:lineRule="auto"/>
              <w:rPr>
                <w:rFonts w:ascii="宋体"/>
                <w:color w:val="auto"/>
                <w:sz w:val="20"/>
                <w:highlight w:val="none"/>
              </w:rPr>
            </w:pPr>
          </w:p>
        </w:tc>
        <w:tc>
          <w:tcPr>
            <w:tcW w:w="648" w:type="dxa"/>
            <w:vAlign w:val="center"/>
          </w:tcPr>
          <w:p w14:paraId="661BECAF">
            <w:pPr>
              <w:spacing w:line="360" w:lineRule="auto"/>
              <w:rPr>
                <w:rFonts w:ascii="宋体"/>
                <w:color w:val="auto"/>
                <w:sz w:val="20"/>
                <w:highlight w:val="none"/>
              </w:rPr>
            </w:pPr>
          </w:p>
        </w:tc>
        <w:tc>
          <w:tcPr>
            <w:tcW w:w="648" w:type="dxa"/>
            <w:vAlign w:val="center"/>
          </w:tcPr>
          <w:p w14:paraId="1070973C">
            <w:pPr>
              <w:spacing w:line="360" w:lineRule="auto"/>
              <w:rPr>
                <w:rFonts w:ascii="宋体"/>
                <w:color w:val="auto"/>
                <w:sz w:val="20"/>
                <w:highlight w:val="none"/>
              </w:rPr>
            </w:pPr>
          </w:p>
        </w:tc>
        <w:tc>
          <w:tcPr>
            <w:tcW w:w="1368" w:type="dxa"/>
            <w:vAlign w:val="center"/>
          </w:tcPr>
          <w:p w14:paraId="362B3CD1">
            <w:pPr>
              <w:spacing w:line="360" w:lineRule="auto"/>
              <w:rPr>
                <w:rFonts w:ascii="宋体"/>
                <w:color w:val="auto"/>
                <w:sz w:val="20"/>
                <w:highlight w:val="none"/>
              </w:rPr>
            </w:pPr>
          </w:p>
        </w:tc>
        <w:tc>
          <w:tcPr>
            <w:tcW w:w="1065" w:type="dxa"/>
            <w:vAlign w:val="center"/>
          </w:tcPr>
          <w:p w14:paraId="541E6FDB">
            <w:pPr>
              <w:spacing w:line="360" w:lineRule="auto"/>
              <w:rPr>
                <w:rFonts w:ascii="宋体"/>
                <w:color w:val="auto"/>
                <w:sz w:val="20"/>
                <w:highlight w:val="none"/>
              </w:rPr>
            </w:pPr>
          </w:p>
        </w:tc>
        <w:tc>
          <w:tcPr>
            <w:tcW w:w="1126" w:type="dxa"/>
            <w:vAlign w:val="center"/>
          </w:tcPr>
          <w:p w14:paraId="7C181616">
            <w:pPr>
              <w:spacing w:line="360" w:lineRule="auto"/>
              <w:rPr>
                <w:rFonts w:ascii="宋体"/>
                <w:color w:val="auto"/>
                <w:sz w:val="20"/>
                <w:highlight w:val="none"/>
              </w:rPr>
            </w:pPr>
          </w:p>
        </w:tc>
        <w:tc>
          <w:tcPr>
            <w:tcW w:w="2508" w:type="dxa"/>
            <w:vAlign w:val="center"/>
          </w:tcPr>
          <w:p w14:paraId="34248770">
            <w:pPr>
              <w:spacing w:line="360" w:lineRule="auto"/>
              <w:rPr>
                <w:rFonts w:ascii="宋体"/>
                <w:color w:val="auto"/>
                <w:sz w:val="20"/>
                <w:highlight w:val="none"/>
              </w:rPr>
            </w:pPr>
          </w:p>
        </w:tc>
      </w:tr>
      <w:tr w14:paraId="6EA5BC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1" w:hRule="atLeast"/>
        </w:trPr>
        <w:tc>
          <w:tcPr>
            <w:tcW w:w="1070" w:type="dxa"/>
            <w:vAlign w:val="center"/>
          </w:tcPr>
          <w:p w14:paraId="503EA84F">
            <w:pPr>
              <w:spacing w:line="360" w:lineRule="auto"/>
              <w:rPr>
                <w:rFonts w:ascii="宋体"/>
                <w:color w:val="auto"/>
                <w:sz w:val="20"/>
                <w:highlight w:val="none"/>
              </w:rPr>
            </w:pPr>
          </w:p>
        </w:tc>
        <w:tc>
          <w:tcPr>
            <w:tcW w:w="1057" w:type="dxa"/>
            <w:vAlign w:val="center"/>
          </w:tcPr>
          <w:p w14:paraId="47CDB546">
            <w:pPr>
              <w:spacing w:line="360" w:lineRule="auto"/>
              <w:rPr>
                <w:rFonts w:ascii="宋体"/>
                <w:color w:val="auto"/>
                <w:sz w:val="20"/>
                <w:highlight w:val="none"/>
              </w:rPr>
            </w:pPr>
          </w:p>
        </w:tc>
        <w:tc>
          <w:tcPr>
            <w:tcW w:w="648" w:type="dxa"/>
            <w:vAlign w:val="center"/>
          </w:tcPr>
          <w:p w14:paraId="5FCD43D6">
            <w:pPr>
              <w:spacing w:line="360" w:lineRule="auto"/>
              <w:rPr>
                <w:rFonts w:ascii="宋体"/>
                <w:color w:val="auto"/>
                <w:sz w:val="20"/>
                <w:highlight w:val="none"/>
              </w:rPr>
            </w:pPr>
          </w:p>
        </w:tc>
        <w:tc>
          <w:tcPr>
            <w:tcW w:w="648" w:type="dxa"/>
            <w:vAlign w:val="center"/>
          </w:tcPr>
          <w:p w14:paraId="42D5538F">
            <w:pPr>
              <w:spacing w:line="360" w:lineRule="auto"/>
              <w:rPr>
                <w:rFonts w:ascii="宋体"/>
                <w:color w:val="auto"/>
                <w:sz w:val="20"/>
                <w:highlight w:val="none"/>
              </w:rPr>
            </w:pPr>
          </w:p>
        </w:tc>
        <w:tc>
          <w:tcPr>
            <w:tcW w:w="1368" w:type="dxa"/>
            <w:vAlign w:val="center"/>
          </w:tcPr>
          <w:p w14:paraId="3623E75F">
            <w:pPr>
              <w:spacing w:line="360" w:lineRule="auto"/>
              <w:rPr>
                <w:rFonts w:ascii="宋体"/>
                <w:color w:val="auto"/>
                <w:sz w:val="20"/>
                <w:highlight w:val="none"/>
              </w:rPr>
            </w:pPr>
          </w:p>
        </w:tc>
        <w:tc>
          <w:tcPr>
            <w:tcW w:w="1065" w:type="dxa"/>
            <w:vAlign w:val="center"/>
          </w:tcPr>
          <w:p w14:paraId="35E2ADE5">
            <w:pPr>
              <w:spacing w:line="360" w:lineRule="auto"/>
              <w:rPr>
                <w:rFonts w:ascii="宋体"/>
                <w:color w:val="auto"/>
                <w:sz w:val="20"/>
                <w:highlight w:val="none"/>
              </w:rPr>
            </w:pPr>
          </w:p>
        </w:tc>
        <w:tc>
          <w:tcPr>
            <w:tcW w:w="1126" w:type="dxa"/>
            <w:vAlign w:val="center"/>
          </w:tcPr>
          <w:p w14:paraId="7FD320F4">
            <w:pPr>
              <w:spacing w:line="360" w:lineRule="auto"/>
              <w:rPr>
                <w:rFonts w:ascii="宋体"/>
                <w:color w:val="auto"/>
                <w:sz w:val="20"/>
                <w:highlight w:val="none"/>
              </w:rPr>
            </w:pPr>
          </w:p>
        </w:tc>
        <w:tc>
          <w:tcPr>
            <w:tcW w:w="2508" w:type="dxa"/>
            <w:vAlign w:val="center"/>
          </w:tcPr>
          <w:p w14:paraId="3FDF493C">
            <w:pPr>
              <w:spacing w:line="360" w:lineRule="auto"/>
              <w:rPr>
                <w:rFonts w:ascii="宋体"/>
                <w:color w:val="auto"/>
                <w:sz w:val="20"/>
                <w:highlight w:val="none"/>
              </w:rPr>
            </w:pPr>
          </w:p>
        </w:tc>
      </w:tr>
    </w:tbl>
    <w:p w14:paraId="603BD392">
      <w:pPr>
        <w:pStyle w:val="35"/>
        <w:keepNext w:val="0"/>
        <w:keepLines w:val="0"/>
        <w:pageBreakBefore w:val="0"/>
        <w:kinsoku/>
        <w:wordWrap/>
        <w:overflowPunct/>
        <w:topLinePunct w:val="0"/>
        <w:bidi w:val="0"/>
        <w:adjustRightInd w:val="0"/>
        <w:snapToGrid/>
        <w:spacing w:line="360" w:lineRule="exact"/>
        <w:textAlignment w:val="auto"/>
        <w:rPr>
          <w:rFonts w:hint="eastAsia" w:ascii="宋体" w:hAnsi="Times New Roman" w:eastAsia="宋体" w:cs="Times New Roman"/>
          <w:snapToGrid/>
          <w:color w:val="auto"/>
          <w:kern w:val="2"/>
          <w:sz w:val="22"/>
          <w:szCs w:val="24"/>
          <w:highlight w:val="none"/>
          <w:lang w:val="en-US" w:eastAsia="zh-CN" w:bidi="ar-SA"/>
        </w:rPr>
      </w:pPr>
      <w:r>
        <w:rPr>
          <w:rFonts w:hint="eastAsia" w:ascii="宋体"/>
          <w:color w:val="auto"/>
          <w:sz w:val="22"/>
          <w:highlight w:val="none"/>
        </w:rPr>
        <w:t>注：</w:t>
      </w:r>
      <w:r>
        <w:rPr>
          <w:rFonts w:hint="eastAsia" w:ascii="宋体" w:hAnsi="Times New Roman" w:eastAsia="宋体" w:cs="Times New Roman"/>
          <w:snapToGrid/>
          <w:color w:val="auto"/>
          <w:kern w:val="2"/>
          <w:sz w:val="22"/>
          <w:szCs w:val="24"/>
          <w:highlight w:val="none"/>
          <w:lang w:val="en-US" w:eastAsia="zh-CN" w:bidi="ar-SA"/>
        </w:rPr>
        <w:t>1.如有技术等级或职称证书，需将证书扫描件附于表后；</w:t>
      </w:r>
    </w:p>
    <w:p w14:paraId="61E4B1BE">
      <w:pPr>
        <w:keepNext w:val="0"/>
        <w:keepLines w:val="0"/>
        <w:pageBreakBefore w:val="0"/>
        <w:widowControl/>
        <w:suppressLineNumbers w:val="0"/>
        <w:kinsoku/>
        <w:wordWrap/>
        <w:overflowPunct/>
        <w:topLinePunct w:val="0"/>
        <w:bidi w:val="0"/>
        <w:adjustRightInd w:val="0"/>
        <w:snapToGrid/>
        <w:spacing w:line="360" w:lineRule="exact"/>
        <w:ind w:firstLine="440" w:firstLineChars="200"/>
        <w:jc w:val="left"/>
        <w:textAlignment w:val="auto"/>
        <w:rPr>
          <w:rFonts w:hint="eastAsia" w:ascii="宋体" w:hAnsi="Times New Roman" w:eastAsia="宋体" w:cs="Times New Roman"/>
          <w:snapToGrid/>
          <w:color w:val="auto"/>
          <w:kern w:val="2"/>
          <w:sz w:val="22"/>
          <w:szCs w:val="24"/>
          <w:highlight w:val="none"/>
          <w:lang w:val="en-US" w:eastAsia="zh-CN" w:bidi="ar-SA"/>
        </w:rPr>
      </w:pPr>
      <w:r>
        <w:rPr>
          <w:rFonts w:hint="eastAsia" w:ascii="宋体" w:hAnsi="Times New Roman" w:eastAsia="宋体" w:cs="Times New Roman"/>
          <w:snapToGrid/>
          <w:color w:val="auto"/>
          <w:kern w:val="2"/>
          <w:sz w:val="22"/>
          <w:szCs w:val="24"/>
          <w:highlight w:val="none"/>
          <w:lang w:val="en-US" w:eastAsia="zh-CN" w:bidi="ar-SA"/>
        </w:rPr>
        <w:t>2..在投标（响应）文件中需提供相关证书扫描件与该人员在投标单位缴纳的自2025年9月1日以来任意一个月的社保缴费清单，如投标单位新成立不足一个月的，按实际缴纳情况提供持证人员在该单位的社保缴费清单，社保缴费清单需加盖缴费当地社保机构公章或业务章。</w:t>
      </w:r>
    </w:p>
    <w:p w14:paraId="498037C4">
      <w:pPr>
        <w:keepNext w:val="0"/>
        <w:keepLines w:val="0"/>
        <w:pageBreakBefore w:val="0"/>
        <w:kinsoku/>
        <w:wordWrap/>
        <w:overflowPunct/>
        <w:topLinePunct w:val="0"/>
        <w:autoSpaceDE w:val="0"/>
        <w:autoSpaceDN w:val="0"/>
        <w:bidi w:val="0"/>
        <w:adjustRightInd w:val="0"/>
        <w:snapToGrid/>
        <w:spacing w:line="360" w:lineRule="exact"/>
        <w:ind w:firstLine="323" w:firstLineChars="147"/>
        <w:textAlignment w:val="auto"/>
        <w:rPr>
          <w:rFonts w:hint="eastAsia" w:ascii="宋体" w:hAnsi="Times New Roman" w:eastAsia="宋体" w:cs="Times New Roman"/>
          <w:snapToGrid/>
          <w:color w:val="auto"/>
          <w:kern w:val="2"/>
          <w:sz w:val="22"/>
          <w:szCs w:val="24"/>
          <w:highlight w:val="none"/>
          <w:lang w:val="en-US" w:eastAsia="zh-CN" w:bidi="ar-SA"/>
        </w:rPr>
      </w:pPr>
      <w:r>
        <w:rPr>
          <w:rFonts w:hint="eastAsia" w:ascii="宋体" w:hAnsi="Times New Roman" w:eastAsia="宋体" w:cs="Times New Roman"/>
          <w:snapToGrid/>
          <w:color w:val="auto"/>
          <w:kern w:val="2"/>
          <w:sz w:val="22"/>
          <w:szCs w:val="24"/>
          <w:highlight w:val="none"/>
          <w:lang w:val="en-US" w:eastAsia="zh-CN" w:bidi="ar-SA"/>
        </w:rPr>
        <w:t xml:space="preserve"> 3.列入本表人员如要更换，需经征集人同意；擅自更换或不到位属违约行为。</w:t>
      </w:r>
    </w:p>
    <w:p w14:paraId="17092693">
      <w:pPr>
        <w:pStyle w:val="35"/>
        <w:keepNext w:val="0"/>
        <w:keepLines w:val="0"/>
        <w:pageBreakBefore w:val="0"/>
        <w:kinsoku/>
        <w:wordWrap/>
        <w:overflowPunct/>
        <w:topLinePunct w:val="0"/>
        <w:bidi w:val="0"/>
        <w:adjustRightInd w:val="0"/>
        <w:snapToGrid/>
        <w:spacing w:line="360" w:lineRule="exact"/>
        <w:ind w:firstLine="440" w:firstLineChars="200"/>
        <w:textAlignment w:val="auto"/>
        <w:rPr>
          <w:rFonts w:hint="eastAsia" w:ascii="宋体" w:hAnsi="Times New Roman" w:eastAsia="宋体" w:cs="Times New Roman"/>
          <w:snapToGrid/>
          <w:color w:val="auto"/>
          <w:kern w:val="2"/>
          <w:sz w:val="22"/>
          <w:szCs w:val="24"/>
          <w:highlight w:val="none"/>
          <w:lang w:val="en-US" w:eastAsia="zh-CN" w:bidi="ar-SA"/>
        </w:rPr>
      </w:pPr>
      <w:r>
        <w:rPr>
          <w:rFonts w:hint="eastAsia" w:ascii="宋体" w:hAnsi="Times New Roman" w:eastAsia="宋体" w:cs="Times New Roman"/>
          <w:snapToGrid/>
          <w:color w:val="auto"/>
          <w:kern w:val="2"/>
          <w:sz w:val="22"/>
          <w:szCs w:val="24"/>
          <w:highlight w:val="none"/>
          <w:lang w:val="en-US" w:eastAsia="zh-CN" w:bidi="ar-SA"/>
        </w:rPr>
        <w:t>4.此表在不改变格式内容的情况下，可自行制作。</w:t>
      </w:r>
    </w:p>
    <w:p w14:paraId="0396B624">
      <w:pPr>
        <w:autoSpaceDE w:val="0"/>
        <w:autoSpaceDN w:val="0"/>
        <w:spacing w:line="360" w:lineRule="auto"/>
        <w:ind w:firstLine="323" w:firstLineChars="147"/>
        <w:rPr>
          <w:rFonts w:hint="eastAsia" w:ascii="宋体"/>
          <w:color w:val="auto"/>
          <w:sz w:val="22"/>
          <w:highlight w:val="none"/>
        </w:rPr>
      </w:pPr>
    </w:p>
    <w:p w14:paraId="7748FF37">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5E44E9D9">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供应商名称(</w:t>
      </w:r>
      <w:r>
        <w:rPr>
          <w:rFonts w:hint="eastAsia" w:ascii="宋体" w:hAnsi="宋体" w:cs="宋体"/>
          <w:color w:val="auto"/>
          <w:kern w:val="0"/>
          <w:sz w:val="24"/>
          <w:highlight w:val="none"/>
        </w:rPr>
        <w:t>电子签名</w:t>
      </w:r>
      <w:r>
        <w:rPr>
          <w:rFonts w:hint="eastAsia" w:ascii="宋体" w:hAnsi="宋体" w:cs="宋体"/>
          <w:color w:val="auto"/>
          <w:kern w:val="0"/>
          <w:sz w:val="24"/>
          <w:highlight w:val="none"/>
          <w:lang w:val="zh-CN"/>
        </w:rPr>
        <w:t xml:space="preserve">)：                              </w:t>
      </w:r>
    </w:p>
    <w:p w14:paraId="510BC6EB">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58B47EA0">
      <w:pPr>
        <w:snapToGrid w:val="0"/>
        <w:outlineLvl w:val="1"/>
        <w:rPr>
          <w:rFonts w:ascii="宋体"/>
          <w:color w:val="auto"/>
          <w:sz w:val="32"/>
          <w:szCs w:val="32"/>
          <w:highlight w:val="none"/>
        </w:rPr>
      </w:pPr>
    </w:p>
    <w:p w14:paraId="2AB0A2DC">
      <w:pPr>
        <w:pStyle w:val="20"/>
        <w:ind w:left="0" w:leftChars="0" w:firstLine="0" w:firstLineChars="0"/>
        <w:rPr>
          <w:lang w:val="zh-CN"/>
        </w:rPr>
      </w:pPr>
    </w:p>
    <w:p w14:paraId="7026A7BF">
      <w:pPr>
        <w:rPr>
          <w:lang w:val="zh-CN"/>
        </w:rPr>
      </w:pPr>
    </w:p>
    <w:p w14:paraId="6C267FFA">
      <w:pPr>
        <w:rPr>
          <w:color w:val="auto"/>
          <w:highlight w:val="none"/>
        </w:rPr>
      </w:pPr>
    </w:p>
    <w:p w14:paraId="2025764C">
      <w:pPr>
        <w:pStyle w:val="64"/>
        <w:ind w:left="0" w:leftChars="0" w:firstLine="0" w:firstLineChars="0"/>
        <w:jc w:val="both"/>
        <w:rPr>
          <w:rFonts w:hint="eastAsia"/>
          <w:color w:val="auto"/>
          <w:sz w:val="36"/>
          <w:szCs w:val="44"/>
          <w:highlight w:val="none"/>
          <w:lang w:val="en-US" w:eastAsia="zh-CN"/>
        </w:rPr>
      </w:pPr>
    </w:p>
    <w:p w14:paraId="139D9C0F">
      <w:pPr>
        <w:pStyle w:val="64"/>
        <w:ind w:left="0" w:leftChars="0" w:firstLine="0" w:firstLineChars="0"/>
        <w:jc w:val="both"/>
        <w:rPr>
          <w:rFonts w:hint="eastAsia"/>
          <w:color w:val="auto"/>
          <w:sz w:val="36"/>
          <w:szCs w:val="44"/>
          <w:highlight w:val="none"/>
          <w:lang w:val="en-US" w:eastAsia="zh-CN"/>
        </w:rPr>
      </w:pPr>
      <w:r>
        <w:rPr>
          <w:rFonts w:hint="eastAsia"/>
          <w:color w:val="auto"/>
          <w:sz w:val="36"/>
          <w:szCs w:val="44"/>
          <w:highlight w:val="none"/>
          <w:lang w:val="en-US" w:eastAsia="zh-CN"/>
        </w:rPr>
        <w:t>四、</w:t>
      </w:r>
    </w:p>
    <w:p w14:paraId="68DBC1C8">
      <w:pPr>
        <w:jc w:val="center"/>
        <w:rPr>
          <w:rFonts w:hint="eastAsia" w:eastAsia="宋体"/>
          <w:color w:val="auto"/>
          <w:sz w:val="36"/>
          <w:szCs w:val="44"/>
          <w:highlight w:val="none"/>
          <w:lang w:val="en-US" w:eastAsia="zh-CN"/>
        </w:rPr>
      </w:pPr>
      <w:r>
        <w:rPr>
          <w:rFonts w:hint="eastAsia" w:ascii="Times New Roman" w:hAnsi="Times New Roman" w:cs="Times New Roman"/>
          <w:sz w:val="36"/>
          <w:szCs w:val="36"/>
          <w:lang w:val="zh-CN"/>
        </w:rPr>
        <w:t>服务质量保证承诺书</w:t>
      </w:r>
      <w:r>
        <w:rPr>
          <w:rFonts w:hint="eastAsia" w:eastAsia="宋体"/>
          <w:color w:val="auto"/>
          <w:sz w:val="36"/>
          <w:szCs w:val="44"/>
          <w:highlight w:val="none"/>
          <w:lang w:val="en-US" w:eastAsia="zh-CN"/>
        </w:rPr>
        <w:t>（格式）</w:t>
      </w:r>
    </w:p>
    <w:p w14:paraId="78DEEEEA">
      <w:pPr>
        <w:pStyle w:val="20"/>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cs="宋体" w:asciiTheme="minorEastAsia" w:hAnsiTheme="minorEastAsia" w:eastAsiaTheme="minorEastAsia"/>
          <w:color w:val="auto"/>
          <w:kern w:val="2"/>
          <w:sz w:val="24"/>
          <w:szCs w:val="24"/>
          <w:highlight w:val="none"/>
          <w:lang w:val="en-US" w:eastAsia="zh-CN" w:bidi="ar-SA"/>
        </w:rPr>
      </w:pPr>
      <w:r>
        <w:rPr>
          <w:rFonts w:hint="eastAsia" w:cs="宋体" w:asciiTheme="minorEastAsia" w:hAnsiTheme="minorEastAsia" w:eastAsiaTheme="minorEastAsia"/>
          <w:color w:val="auto"/>
          <w:kern w:val="2"/>
          <w:sz w:val="24"/>
          <w:szCs w:val="24"/>
          <w:highlight w:val="none"/>
          <w:lang w:val="en-US" w:eastAsia="zh-CN" w:bidi="ar-SA"/>
        </w:rPr>
        <w:t>义乌市财政局：</w:t>
      </w:r>
    </w:p>
    <w:p w14:paraId="0B77C3BA">
      <w:pPr>
        <w:pStyle w:val="20"/>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cs="宋体" w:asciiTheme="minorEastAsia" w:hAnsiTheme="minorEastAsia" w:eastAsiaTheme="minorEastAsia"/>
          <w:color w:val="auto"/>
          <w:kern w:val="2"/>
          <w:sz w:val="24"/>
          <w:szCs w:val="24"/>
          <w:highlight w:val="none"/>
          <w:lang w:val="en-US" w:eastAsia="zh-CN" w:bidi="ar-SA"/>
        </w:rPr>
      </w:pPr>
      <w:r>
        <w:rPr>
          <w:rFonts w:hint="eastAsia" w:cs="宋体" w:asciiTheme="minorEastAsia" w:hAnsiTheme="minorEastAsia" w:eastAsiaTheme="minorEastAsia"/>
          <w:color w:val="auto"/>
          <w:kern w:val="2"/>
          <w:sz w:val="24"/>
          <w:szCs w:val="24"/>
          <w:highlight w:val="none"/>
          <w:lang w:val="en-US" w:eastAsia="zh-CN" w:bidi="ar-SA"/>
        </w:rPr>
        <w:t>本单位自愿参加贵单位组织的义乌市2026-2027年度专项债券发行准备法律专业服务封闭式框架协议采购项目，并就本项目服务内容及要求郑重作出如下承诺：</w:t>
      </w:r>
    </w:p>
    <w:p w14:paraId="6B83C7AD">
      <w:pPr>
        <w:pStyle w:val="20"/>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Theme="minorEastAsia" w:hAnsiTheme="minorEastAsia" w:eastAsiaTheme="minorEastAsia" w:cstheme="minorEastAsia"/>
          <w:b/>
          <w:bCs/>
          <w:kern w:val="2"/>
          <w:sz w:val="24"/>
          <w:szCs w:val="24"/>
          <w:highlight w:val="none"/>
          <w:lang w:val="en-US" w:eastAsia="zh-CN" w:bidi="ar-SA"/>
        </w:rPr>
      </w:pPr>
      <w:r>
        <w:rPr>
          <w:rFonts w:hint="eastAsia" w:asciiTheme="minorEastAsia" w:hAnsiTheme="minorEastAsia" w:eastAsiaTheme="minorEastAsia" w:cstheme="minorEastAsia"/>
          <w:b/>
          <w:bCs/>
          <w:kern w:val="2"/>
          <w:sz w:val="24"/>
          <w:szCs w:val="24"/>
          <w:highlight w:val="none"/>
          <w:lang w:val="en-US" w:eastAsia="zh-CN" w:bidi="ar-SA"/>
        </w:rPr>
        <w:t>一、服务内容与履约承诺</w:t>
      </w:r>
    </w:p>
    <w:p w14:paraId="3D1E7188">
      <w:pPr>
        <w:spacing w:line="360" w:lineRule="exact"/>
        <w:ind w:firstLine="482"/>
        <w:rPr>
          <w:rFonts w:hint="eastAsia" w:cs="宋体" w:asciiTheme="minorEastAsia" w:hAnsiTheme="minorEastAsia" w:eastAsiaTheme="minorEastAsia"/>
          <w:color w:val="auto"/>
          <w:sz w:val="24"/>
          <w:highlight w:val="none"/>
          <w:lang w:eastAsia="zh-CN"/>
        </w:rPr>
      </w:pPr>
      <w:r>
        <w:rPr>
          <w:rFonts w:hint="eastAsia" w:cs="宋体" w:asciiTheme="minorEastAsia" w:hAnsiTheme="minorEastAsia" w:eastAsiaTheme="minorEastAsia"/>
          <w:color w:val="auto"/>
          <w:sz w:val="24"/>
          <w:highlight w:val="none"/>
        </w:rPr>
        <w:t>1.</w:t>
      </w:r>
      <w:r>
        <w:rPr>
          <w:rFonts w:hint="eastAsia" w:cs="宋体" w:asciiTheme="minorEastAsia" w:hAnsiTheme="minorEastAsia" w:eastAsiaTheme="minorEastAsia"/>
          <w:color w:val="auto"/>
          <w:sz w:val="24"/>
          <w:highlight w:val="none"/>
          <w:lang w:eastAsia="zh-CN"/>
        </w:rPr>
        <w:t>本单位将</w:t>
      </w:r>
      <w:r>
        <w:rPr>
          <w:rFonts w:hint="eastAsia" w:cs="宋体" w:asciiTheme="minorEastAsia" w:hAnsiTheme="minorEastAsia" w:eastAsiaTheme="minorEastAsia"/>
          <w:color w:val="auto"/>
          <w:sz w:val="24"/>
          <w:highlight w:val="none"/>
        </w:rPr>
        <w:t>在债券需求申报阶段审查专项债券项目有关主体适格、基本信息、资金来源、资金投向、收费内容、收费政策依据等所涉法律事项的合法合规情况</w:t>
      </w:r>
      <w:r>
        <w:rPr>
          <w:rFonts w:hint="eastAsia" w:cs="宋体" w:asciiTheme="minorEastAsia" w:hAnsiTheme="minorEastAsia" w:eastAsiaTheme="minorEastAsia"/>
          <w:color w:val="auto"/>
          <w:sz w:val="24"/>
          <w:highlight w:val="none"/>
          <w:lang w:eastAsia="zh-CN"/>
        </w:rPr>
        <w:t>；并按贵单位要求的时间（必要时在</w:t>
      </w:r>
      <w:r>
        <w:rPr>
          <w:rFonts w:hint="eastAsia" w:cs="宋体" w:asciiTheme="minorEastAsia" w:hAnsiTheme="minorEastAsia" w:eastAsiaTheme="minorEastAsia"/>
          <w:color w:val="auto"/>
          <w:sz w:val="24"/>
          <w:highlight w:val="none"/>
          <w:lang w:val="en-US" w:eastAsia="zh-CN"/>
        </w:rPr>
        <w:t>8小时内</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出具加盖公章的《法律意见书》正式稿。</w:t>
      </w:r>
    </w:p>
    <w:p w14:paraId="171105FD">
      <w:pPr>
        <w:spacing w:line="360" w:lineRule="exact"/>
        <w:ind w:firstLine="482"/>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val="en-US" w:eastAsia="zh-CN"/>
        </w:rPr>
        <w:t>2.</w:t>
      </w:r>
      <w:r>
        <w:rPr>
          <w:rFonts w:hint="eastAsia" w:cs="宋体" w:asciiTheme="minorEastAsia" w:hAnsiTheme="minorEastAsia" w:eastAsiaTheme="minorEastAsia"/>
          <w:color w:val="auto"/>
          <w:sz w:val="24"/>
          <w:highlight w:val="none"/>
        </w:rPr>
        <w:t>在债券发行准备阶段，</w:t>
      </w:r>
      <w:r>
        <w:rPr>
          <w:rFonts w:hint="eastAsia" w:cs="宋体" w:asciiTheme="minorEastAsia" w:hAnsiTheme="minorEastAsia" w:eastAsiaTheme="minorEastAsia"/>
          <w:color w:val="auto"/>
          <w:sz w:val="24"/>
          <w:highlight w:val="none"/>
          <w:lang w:eastAsia="zh-CN"/>
        </w:rPr>
        <w:t>本单位将</w:t>
      </w:r>
      <w:r>
        <w:rPr>
          <w:rFonts w:hint="eastAsia" w:cs="宋体" w:asciiTheme="minorEastAsia" w:hAnsiTheme="minorEastAsia" w:eastAsiaTheme="minorEastAsia"/>
          <w:color w:val="auto"/>
          <w:sz w:val="24"/>
          <w:highlight w:val="none"/>
        </w:rPr>
        <w:t>协助</w:t>
      </w:r>
      <w:r>
        <w:rPr>
          <w:rFonts w:hint="eastAsia" w:cs="宋体" w:asciiTheme="minorEastAsia" w:hAnsiTheme="minorEastAsia" w:eastAsiaTheme="minorEastAsia"/>
          <w:color w:val="auto"/>
          <w:sz w:val="24"/>
          <w:highlight w:val="none"/>
          <w:lang w:eastAsia="zh-CN"/>
        </w:rPr>
        <w:t>征集人</w:t>
      </w:r>
      <w:r>
        <w:rPr>
          <w:rFonts w:hint="eastAsia" w:cs="宋体" w:asciiTheme="minorEastAsia" w:hAnsiTheme="minorEastAsia" w:eastAsiaTheme="minorEastAsia"/>
          <w:color w:val="auto"/>
          <w:sz w:val="24"/>
          <w:highlight w:val="none"/>
        </w:rPr>
        <w:t>进行专项债券发行申请，对申请政府专项债券的项目提供独立、专业的法律服务，</w:t>
      </w:r>
      <w:r>
        <w:rPr>
          <w:rFonts w:hint="eastAsia" w:ascii="宋体" w:hAnsi="宋体" w:cs="宋体"/>
          <w:color w:val="auto"/>
          <w:sz w:val="24"/>
          <w:highlight w:val="none"/>
        </w:rPr>
        <w:t>并在财政部门要求的时间内</w:t>
      </w:r>
      <w:r>
        <w:rPr>
          <w:rFonts w:hint="eastAsia" w:ascii="宋体" w:hAnsi="宋体" w:cs="宋体"/>
          <w:color w:val="auto"/>
          <w:sz w:val="24"/>
          <w:highlight w:val="none"/>
          <w:lang w:eastAsia="zh-CN"/>
        </w:rPr>
        <w:t>（必要时</w:t>
      </w:r>
      <w:r>
        <w:rPr>
          <w:rFonts w:hint="eastAsia" w:ascii="宋体" w:hAnsi="宋体" w:cs="宋体"/>
          <w:color w:val="auto"/>
          <w:sz w:val="24"/>
          <w:highlight w:val="none"/>
          <w:lang w:val="en-US" w:eastAsia="zh-CN"/>
        </w:rPr>
        <w:t>8小时内</w:t>
      </w:r>
      <w:r>
        <w:rPr>
          <w:rFonts w:hint="eastAsia" w:ascii="宋体" w:hAnsi="宋体" w:cs="宋体"/>
          <w:color w:val="auto"/>
          <w:sz w:val="24"/>
          <w:highlight w:val="none"/>
          <w:lang w:eastAsia="zh-CN"/>
        </w:rPr>
        <w:t>）</w:t>
      </w:r>
      <w:r>
        <w:rPr>
          <w:rFonts w:hint="eastAsia" w:cs="宋体" w:asciiTheme="minorEastAsia" w:hAnsiTheme="minorEastAsia" w:eastAsiaTheme="minorEastAsia"/>
          <w:color w:val="auto"/>
          <w:sz w:val="24"/>
          <w:highlight w:val="none"/>
        </w:rPr>
        <w:t>出具加盖公章的《法律意见书》正式稿。</w:t>
      </w:r>
    </w:p>
    <w:p w14:paraId="12E252C2">
      <w:pPr>
        <w:pStyle w:val="20"/>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cs="宋体" w:asciiTheme="minorEastAsia" w:hAnsiTheme="minorEastAsia" w:eastAsiaTheme="minorEastAsia"/>
          <w:color w:val="auto"/>
          <w:kern w:val="2"/>
          <w:sz w:val="24"/>
          <w:szCs w:val="24"/>
          <w:highlight w:val="none"/>
          <w:lang w:val="en-US" w:eastAsia="zh-CN" w:bidi="ar-SA"/>
        </w:rPr>
      </w:pPr>
      <w:r>
        <w:rPr>
          <w:rFonts w:hint="eastAsia" w:cs="宋体" w:asciiTheme="minorEastAsia" w:hAnsiTheme="minorEastAsia" w:eastAsiaTheme="minorEastAsia"/>
          <w:color w:val="auto"/>
          <w:kern w:val="2"/>
          <w:sz w:val="24"/>
          <w:szCs w:val="24"/>
          <w:highlight w:val="none"/>
          <w:lang w:val="en-US" w:eastAsia="zh-CN" w:bidi="ar-SA"/>
        </w:rPr>
        <w:t>3. 本单位将积极与贵单位招选的会计师事务所密切合作、相互配合，协助其及时出具债券发行所需文本材料。</w:t>
      </w:r>
    </w:p>
    <w:p w14:paraId="072BC368">
      <w:pPr>
        <w:pStyle w:val="20"/>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cs="宋体" w:asciiTheme="minorEastAsia" w:hAnsiTheme="minorEastAsia" w:eastAsiaTheme="minorEastAsia"/>
          <w:color w:val="auto"/>
          <w:kern w:val="2"/>
          <w:sz w:val="24"/>
          <w:szCs w:val="24"/>
          <w:highlight w:val="none"/>
          <w:lang w:val="en-US" w:eastAsia="zh-CN" w:bidi="ar-SA"/>
        </w:rPr>
      </w:pPr>
      <w:r>
        <w:rPr>
          <w:rFonts w:hint="eastAsia" w:cs="宋体" w:asciiTheme="minorEastAsia" w:hAnsiTheme="minorEastAsia" w:eastAsiaTheme="minorEastAsia"/>
          <w:color w:val="auto"/>
          <w:kern w:val="2"/>
          <w:sz w:val="24"/>
          <w:szCs w:val="24"/>
          <w:highlight w:val="none"/>
          <w:lang w:val="en-US" w:eastAsia="zh-CN" w:bidi="ar-SA"/>
        </w:rPr>
        <w:t>4. 本单位承诺在收到贵单位通知后 6 小时内到达现场，参与贵单位组织的专项债券项目联审工作。</w:t>
      </w:r>
    </w:p>
    <w:p w14:paraId="1C971B52">
      <w:pPr>
        <w:pStyle w:val="20"/>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cs="宋体" w:asciiTheme="minorEastAsia" w:hAnsiTheme="minorEastAsia" w:eastAsiaTheme="minorEastAsia"/>
          <w:color w:val="auto"/>
          <w:kern w:val="2"/>
          <w:sz w:val="24"/>
          <w:szCs w:val="24"/>
          <w:highlight w:val="none"/>
          <w:lang w:val="en-US" w:eastAsia="zh-CN" w:bidi="ar-SA"/>
        </w:rPr>
      </w:pPr>
      <w:r>
        <w:rPr>
          <w:rFonts w:hint="eastAsia" w:cs="宋体" w:asciiTheme="minorEastAsia" w:hAnsiTheme="minorEastAsia" w:eastAsiaTheme="minorEastAsia"/>
          <w:color w:val="auto"/>
          <w:kern w:val="2"/>
          <w:sz w:val="24"/>
          <w:szCs w:val="24"/>
          <w:highlight w:val="none"/>
          <w:lang w:val="en-US" w:eastAsia="zh-CN" w:bidi="ar-SA"/>
        </w:rPr>
        <w:t>5. 本单位承诺在服务期间廉洁执业，严格遵守工作纪律和职业道德规范，无违法违纪违规行为。</w:t>
      </w:r>
    </w:p>
    <w:p w14:paraId="389FF032">
      <w:pPr>
        <w:pStyle w:val="20"/>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cs="宋体" w:asciiTheme="minorEastAsia" w:hAnsiTheme="minorEastAsia" w:eastAsiaTheme="minorEastAsia"/>
          <w:color w:val="auto"/>
          <w:kern w:val="2"/>
          <w:sz w:val="24"/>
          <w:szCs w:val="24"/>
          <w:highlight w:val="none"/>
          <w:lang w:val="en-US" w:eastAsia="zh-CN" w:bidi="ar-SA"/>
        </w:rPr>
      </w:pPr>
      <w:r>
        <w:rPr>
          <w:rFonts w:hint="eastAsia" w:cs="宋体" w:asciiTheme="minorEastAsia" w:hAnsiTheme="minorEastAsia" w:eastAsiaTheme="minorEastAsia"/>
          <w:color w:val="auto"/>
          <w:kern w:val="2"/>
          <w:sz w:val="24"/>
          <w:szCs w:val="24"/>
          <w:highlight w:val="none"/>
          <w:lang w:val="en-US" w:eastAsia="zh-CN" w:bidi="ar-SA"/>
        </w:rPr>
        <w:t>6.本单位承诺委派的工作人员严格履行保密义务，对执业过程中所获取的相关信息予以保密，不私自对外泄露，并与其他中介机构密切配合，共同推进债券发行工作，不推诿、敷衍、拖延。</w:t>
      </w:r>
    </w:p>
    <w:p w14:paraId="61B8705E">
      <w:pPr>
        <w:pStyle w:val="20"/>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Theme="minorEastAsia" w:hAnsiTheme="minorEastAsia" w:eastAsiaTheme="minorEastAsia" w:cstheme="minorEastAsia"/>
          <w:b/>
          <w:bCs/>
          <w:kern w:val="2"/>
          <w:sz w:val="24"/>
          <w:szCs w:val="24"/>
          <w:highlight w:val="none"/>
          <w:lang w:val="en-US" w:eastAsia="zh-CN" w:bidi="ar-SA"/>
        </w:rPr>
      </w:pPr>
      <w:r>
        <w:rPr>
          <w:rFonts w:hint="eastAsia" w:asciiTheme="minorEastAsia" w:hAnsiTheme="minorEastAsia" w:eastAsiaTheme="minorEastAsia" w:cstheme="minorEastAsia"/>
          <w:b/>
          <w:bCs/>
          <w:kern w:val="2"/>
          <w:sz w:val="24"/>
          <w:szCs w:val="24"/>
          <w:highlight w:val="none"/>
          <w:lang w:val="en-US" w:eastAsia="zh-CN" w:bidi="ar-SA"/>
        </w:rPr>
        <w:t>二、违约责任</w:t>
      </w:r>
    </w:p>
    <w:p w14:paraId="758997AC">
      <w:pPr>
        <w:pStyle w:val="20"/>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Theme="minorEastAsia" w:hAnsiTheme="minorEastAsia" w:eastAsiaTheme="minorEastAsia" w:cstheme="minorEastAsia"/>
          <w:kern w:val="2"/>
          <w:sz w:val="22"/>
          <w:szCs w:val="22"/>
          <w:highlight w:val="none"/>
          <w:lang w:val="en-US" w:eastAsia="zh-CN" w:bidi="ar-SA"/>
        </w:rPr>
      </w:pPr>
      <w:r>
        <w:rPr>
          <w:rFonts w:hint="eastAsia" w:asciiTheme="minorEastAsia" w:hAnsiTheme="minorEastAsia" w:eastAsiaTheme="minorEastAsia" w:cstheme="minorEastAsia"/>
          <w:kern w:val="2"/>
          <w:sz w:val="22"/>
          <w:szCs w:val="22"/>
          <w:highlight w:val="none"/>
          <w:lang w:val="en-US" w:eastAsia="zh-CN" w:bidi="ar-SA"/>
        </w:rPr>
        <w:t>如</w:t>
      </w:r>
      <w:r>
        <w:rPr>
          <w:rFonts w:hint="eastAsia" w:cs="宋体" w:asciiTheme="minorEastAsia" w:hAnsiTheme="minorEastAsia" w:eastAsiaTheme="minorEastAsia"/>
          <w:color w:val="auto"/>
          <w:kern w:val="2"/>
          <w:sz w:val="24"/>
          <w:szCs w:val="24"/>
          <w:highlight w:val="none"/>
          <w:lang w:val="en-US" w:eastAsia="zh-CN" w:bidi="ar-SA"/>
        </w:rPr>
        <w:t>因本单位未履行上述承诺而影响项目实施，本单位愿意承担相应的经济和法律责任，并接受采购单位依据相关法律法规作出的处理决定。</w:t>
      </w:r>
    </w:p>
    <w:p w14:paraId="6378B34B">
      <w:pPr>
        <w:pStyle w:val="20"/>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Theme="minorEastAsia" w:hAnsiTheme="minorEastAsia" w:eastAsiaTheme="minorEastAsia" w:cstheme="minorEastAsia"/>
          <w:b/>
          <w:bCs/>
          <w:kern w:val="2"/>
          <w:sz w:val="24"/>
          <w:szCs w:val="24"/>
          <w:highlight w:val="none"/>
          <w:lang w:val="en-US" w:eastAsia="zh-CN" w:bidi="ar-SA"/>
        </w:rPr>
      </w:pPr>
      <w:r>
        <w:rPr>
          <w:rFonts w:hint="eastAsia" w:asciiTheme="minorEastAsia" w:hAnsiTheme="minorEastAsia" w:eastAsiaTheme="minorEastAsia" w:cstheme="minorEastAsia"/>
          <w:b/>
          <w:bCs/>
          <w:kern w:val="2"/>
          <w:sz w:val="24"/>
          <w:szCs w:val="24"/>
          <w:highlight w:val="none"/>
          <w:lang w:val="en-US" w:eastAsia="zh-CN" w:bidi="ar-SA"/>
        </w:rPr>
        <w:t>三、附则</w:t>
      </w:r>
    </w:p>
    <w:p w14:paraId="6ABAE3CE">
      <w:pPr>
        <w:pStyle w:val="20"/>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cs="宋体" w:asciiTheme="minorEastAsia" w:hAnsiTheme="minorEastAsia" w:eastAsiaTheme="minorEastAsia"/>
          <w:color w:val="auto"/>
          <w:kern w:val="2"/>
          <w:sz w:val="24"/>
          <w:szCs w:val="24"/>
          <w:highlight w:val="none"/>
          <w:lang w:val="en-US" w:eastAsia="zh-CN" w:bidi="ar-SA"/>
        </w:rPr>
      </w:pPr>
      <w:r>
        <w:rPr>
          <w:rFonts w:hint="eastAsia" w:cs="宋体" w:asciiTheme="minorEastAsia" w:hAnsiTheme="minorEastAsia" w:eastAsiaTheme="minorEastAsia"/>
          <w:color w:val="auto"/>
          <w:kern w:val="2"/>
          <w:sz w:val="24"/>
          <w:szCs w:val="24"/>
          <w:highlight w:val="none"/>
          <w:lang w:val="en-US" w:eastAsia="zh-CN" w:bidi="ar-SA"/>
        </w:rPr>
        <w:t>本承诺书为本项目投标文件的重要组成部分，具有法律效力。</w:t>
      </w:r>
    </w:p>
    <w:p w14:paraId="59FF37DA">
      <w:pPr>
        <w:pStyle w:val="20"/>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cs="宋体" w:asciiTheme="minorEastAsia" w:hAnsiTheme="minorEastAsia" w:eastAsiaTheme="minorEastAsia"/>
          <w:color w:val="auto"/>
          <w:kern w:val="2"/>
          <w:sz w:val="24"/>
          <w:szCs w:val="24"/>
          <w:highlight w:val="none"/>
          <w:lang w:val="en-US" w:eastAsia="zh-CN" w:bidi="ar-SA"/>
        </w:rPr>
      </w:pPr>
      <w:r>
        <w:rPr>
          <w:rFonts w:hint="eastAsia" w:cs="宋体" w:asciiTheme="minorEastAsia" w:hAnsiTheme="minorEastAsia" w:eastAsiaTheme="minorEastAsia"/>
          <w:color w:val="auto"/>
          <w:kern w:val="2"/>
          <w:sz w:val="24"/>
          <w:szCs w:val="24"/>
          <w:highlight w:val="none"/>
          <w:lang w:val="en-US" w:eastAsia="zh-CN" w:bidi="ar-SA"/>
        </w:rPr>
        <w:t>特此承诺。</w:t>
      </w:r>
    </w:p>
    <w:p w14:paraId="35884AA3">
      <w:pPr>
        <w:pStyle w:val="20"/>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Theme="minorEastAsia" w:hAnsiTheme="minorEastAsia" w:eastAsiaTheme="minorEastAsia" w:cstheme="minorEastAsia"/>
          <w:kern w:val="2"/>
          <w:sz w:val="22"/>
          <w:szCs w:val="22"/>
          <w:highlight w:val="none"/>
          <w:lang w:val="en-US" w:eastAsia="zh-CN" w:bidi="ar-SA"/>
        </w:rPr>
      </w:pPr>
    </w:p>
    <w:p w14:paraId="111C2EF4">
      <w:pPr>
        <w:pStyle w:val="20"/>
        <w:keepNext w:val="0"/>
        <w:keepLines w:val="0"/>
        <w:pageBreakBefore w:val="0"/>
        <w:widowControl w:val="0"/>
        <w:kinsoku/>
        <w:wordWrap/>
        <w:overflowPunct/>
        <w:topLinePunct w:val="0"/>
        <w:autoSpaceDE/>
        <w:autoSpaceDN/>
        <w:bidi w:val="0"/>
        <w:adjustRightInd w:val="0"/>
        <w:snapToGrid/>
        <w:spacing w:line="400" w:lineRule="exact"/>
        <w:jc w:val="right"/>
        <w:textAlignment w:val="auto"/>
        <w:rPr>
          <w:rFonts w:hint="eastAsia" w:asciiTheme="minorEastAsia" w:hAnsiTheme="minorEastAsia" w:eastAsiaTheme="minorEastAsia" w:cstheme="minorEastAsia"/>
          <w:kern w:val="2"/>
          <w:sz w:val="22"/>
          <w:szCs w:val="22"/>
          <w:highlight w:val="none"/>
          <w:lang w:val="en-US" w:eastAsia="zh-CN" w:bidi="ar-SA"/>
        </w:rPr>
      </w:pPr>
      <w:r>
        <w:rPr>
          <w:rFonts w:hint="eastAsia" w:asciiTheme="minorEastAsia" w:hAnsiTheme="minorEastAsia" w:eastAsiaTheme="minorEastAsia" w:cstheme="minorEastAsia"/>
          <w:kern w:val="2"/>
          <w:sz w:val="22"/>
          <w:szCs w:val="22"/>
          <w:highlight w:val="none"/>
          <w:lang w:val="en-US" w:eastAsia="zh-CN" w:bidi="ar-SA"/>
        </w:rPr>
        <w:t>供应商名称（盖章）： _________________________</w:t>
      </w:r>
    </w:p>
    <w:p w14:paraId="7F2B3F9C">
      <w:pPr>
        <w:pStyle w:val="20"/>
        <w:keepNext w:val="0"/>
        <w:keepLines w:val="0"/>
        <w:pageBreakBefore w:val="0"/>
        <w:widowControl w:val="0"/>
        <w:kinsoku/>
        <w:wordWrap/>
        <w:overflowPunct/>
        <w:topLinePunct w:val="0"/>
        <w:autoSpaceDE/>
        <w:autoSpaceDN/>
        <w:bidi w:val="0"/>
        <w:adjustRightInd w:val="0"/>
        <w:snapToGrid/>
        <w:spacing w:line="400" w:lineRule="exact"/>
        <w:jc w:val="right"/>
        <w:textAlignment w:val="auto"/>
        <w:rPr>
          <w:rFonts w:hint="eastAsia" w:asciiTheme="minorEastAsia" w:hAnsiTheme="minorEastAsia" w:eastAsiaTheme="minorEastAsia" w:cstheme="minorEastAsia"/>
          <w:kern w:val="2"/>
          <w:sz w:val="22"/>
          <w:szCs w:val="22"/>
          <w:highlight w:val="none"/>
          <w:lang w:val="en-US" w:eastAsia="zh-CN" w:bidi="ar-SA"/>
        </w:rPr>
      </w:pPr>
    </w:p>
    <w:p w14:paraId="708C61EF">
      <w:pPr>
        <w:pStyle w:val="20"/>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Theme="minorEastAsia" w:hAnsiTheme="minorEastAsia" w:eastAsiaTheme="minorEastAsia" w:cstheme="minorEastAsia"/>
          <w:kern w:val="2"/>
          <w:sz w:val="22"/>
          <w:szCs w:val="22"/>
          <w:highlight w:val="none"/>
          <w:lang w:val="en-US" w:eastAsia="zh-CN" w:bidi="ar-SA"/>
        </w:rPr>
      </w:pPr>
    </w:p>
    <w:p w14:paraId="4E24A04C">
      <w:pPr>
        <w:pStyle w:val="64"/>
        <w:ind w:left="0" w:leftChars="0" w:firstLine="6820" w:firstLineChars="3100"/>
        <w:jc w:val="center"/>
        <w:rPr>
          <w:rFonts w:hint="eastAsia" w:asciiTheme="minorEastAsia" w:hAnsiTheme="minorEastAsia" w:eastAsiaTheme="minorEastAsia" w:cstheme="minorEastAsia"/>
          <w:kern w:val="2"/>
          <w:sz w:val="22"/>
          <w:szCs w:val="22"/>
          <w:highlight w:val="none"/>
          <w:lang w:val="en-US" w:eastAsia="zh-CN" w:bidi="ar-SA"/>
        </w:rPr>
      </w:pPr>
      <w:r>
        <w:rPr>
          <w:rFonts w:hint="eastAsia" w:asciiTheme="minorEastAsia" w:hAnsiTheme="minorEastAsia" w:eastAsiaTheme="minorEastAsia" w:cstheme="minorEastAsia"/>
          <w:kern w:val="2"/>
          <w:sz w:val="22"/>
          <w:szCs w:val="22"/>
          <w:highlight w:val="none"/>
          <w:lang w:val="en-US" w:eastAsia="zh-CN" w:bidi="ar-SA"/>
        </w:rPr>
        <w:t>日期： 年   月  日</w:t>
      </w:r>
    </w:p>
    <w:p w14:paraId="6FC1E2AB">
      <w:pPr>
        <w:rPr>
          <w:rFonts w:hint="eastAsia" w:asciiTheme="minorEastAsia" w:hAnsiTheme="minorEastAsia" w:eastAsiaTheme="minorEastAsia" w:cstheme="minorEastAsia"/>
          <w:kern w:val="2"/>
          <w:sz w:val="22"/>
          <w:szCs w:val="22"/>
          <w:highlight w:val="yellow"/>
          <w:lang w:val="en-US" w:eastAsia="zh-CN" w:bidi="ar-SA"/>
        </w:rPr>
      </w:pPr>
    </w:p>
    <w:p w14:paraId="4968ADFE">
      <w:pPr>
        <w:pStyle w:val="20"/>
        <w:rPr>
          <w:rFonts w:hint="eastAsia" w:asciiTheme="minorEastAsia" w:hAnsiTheme="minorEastAsia" w:eastAsiaTheme="minorEastAsia" w:cstheme="minorEastAsia"/>
          <w:kern w:val="2"/>
          <w:sz w:val="22"/>
          <w:szCs w:val="22"/>
          <w:highlight w:val="yellow"/>
          <w:lang w:val="en-US" w:eastAsia="zh-CN" w:bidi="ar-SA"/>
        </w:rPr>
      </w:pPr>
    </w:p>
    <w:p w14:paraId="145E16E4">
      <w:pPr>
        <w:rPr>
          <w:rFonts w:hint="eastAsia" w:asciiTheme="minorEastAsia" w:hAnsiTheme="minorEastAsia" w:eastAsiaTheme="minorEastAsia" w:cstheme="minorEastAsia"/>
          <w:kern w:val="2"/>
          <w:sz w:val="22"/>
          <w:szCs w:val="22"/>
          <w:highlight w:val="yellow"/>
          <w:lang w:val="en-US" w:eastAsia="zh-CN" w:bidi="ar-SA"/>
        </w:rPr>
      </w:pPr>
    </w:p>
    <w:p w14:paraId="66EAF59A">
      <w:pPr>
        <w:pStyle w:val="20"/>
        <w:rPr>
          <w:rFonts w:hint="eastAsia" w:asciiTheme="minorEastAsia" w:hAnsiTheme="minorEastAsia" w:eastAsiaTheme="minorEastAsia" w:cstheme="minorEastAsia"/>
          <w:kern w:val="2"/>
          <w:sz w:val="22"/>
          <w:szCs w:val="22"/>
          <w:highlight w:val="yellow"/>
          <w:lang w:val="en-US" w:eastAsia="zh-CN" w:bidi="ar-SA"/>
        </w:rPr>
      </w:pPr>
    </w:p>
    <w:p w14:paraId="139880A7">
      <w:pPr>
        <w:rPr>
          <w:rFonts w:hint="eastAsia"/>
          <w:lang w:val="en-US" w:eastAsia="zh-CN"/>
        </w:rPr>
      </w:pPr>
    </w:p>
    <w:p w14:paraId="77B13496">
      <w:pPr>
        <w:pStyle w:val="64"/>
        <w:ind w:left="0" w:leftChars="0" w:firstLine="0" w:firstLineChars="0"/>
        <w:jc w:val="both"/>
        <w:rPr>
          <w:rFonts w:hint="eastAsia"/>
          <w:color w:val="auto"/>
          <w:sz w:val="36"/>
          <w:szCs w:val="44"/>
          <w:highlight w:val="none"/>
          <w:lang w:val="en-US" w:eastAsia="zh-CN"/>
        </w:rPr>
      </w:pPr>
      <w:r>
        <w:rPr>
          <w:rFonts w:hint="eastAsia"/>
          <w:color w:val="auto"/>
          <w:sz w:val="36"/>
          <w:szCs w:val="44"/>
          <w:highlight w:val="none"/>
          <w:lang w:val="en-US" w:eastAsia="zh-CN"/>
        </w:rPr>
        <w:t>五、</w:t>
      </w:r>
    </w:p>
    <w:p w14:paraId="2D7E42EC">
      <w:pPr>
        <w:jc w:val="center"/>
        <w:rPr>
          <w:rFonts w:hint="eastAsia" w:eastAsia="宋体"/>
          <w:color w:val="auto"/>
          <w:highlight w:val="none"/>
          <w:lang w:eastAsia="zh-CN"/>
        </w:rPr>
      </w:pPr>
      <w:r>
        <w:rPr>
          <w:rFonts w:hint="eastAsia"/>
          <w:color w:val="auto"/>
          <w:sz w:val="36"/>
          <w:szCs w:val="44"/>
          <w:highlight w:val="none"/>
          <w:lang w:eastAsia="zh-CN"/>
        </w:rPr>
        <w:t>开标一览表</w:t>
      </w:r>
    </w:p>
    <w:p w14:paraId="0A740F4D">
      <w:pPr>
        <w:pStyle w:val="64"/>
        <w:ind w:left="0" w:leftChars="0" w:firstLine="249" w:firstLineChars="104"/>
        <w:rPr>
          <w:rFonts w:cs="宋体"/>
          <w:color w:val="auto"/>
          <w:sz w:val="24"/>
          <w:highlight w:val="none"/>
        </w:rPr>
      </w:pPr>
      <w:r>
        <w:rPr>
          <w:rFonts w:hint="eastAsia" w:cs="宋体"/>
          <w:color w:val="auto"/>
          <w:sz w:val="24"/>
          <w:highlight w:val="none"/>
        </w:rPr>
        <w:t>项目名称：</w:t>
      </w:r>
    </w:p>
    <w:p w14:paraId="1074D6E5">
      <w:pPr>
        <w:ind w:firstLine="249" w:firstLineChars="104"/>
        <w:rPr>
          <w:rFonts w:ascii="宋体" w:hAnsi="宋体" w:cs="宋体"/>
          <w:color w:val="auto"/>
          <w:sz w:val="24"/>
          <w:highlight w:val="none"/>
        </w:rPr>
      </w:pPr>
      <w:r>
        <w:rPr>
          <w:rFonts w:hint="eastAsia" w:ascii="宋体" w:hAnsi="宋体" w:cs="宋体"/>
          <w:color w:val="auto"/>
          <w:sz w:val="24"/>
          <w:highlight w:val="none"/>
        </w:rPr>
        <w:t>项目编号：</w:t>
      </w:r>
    </w:p>
    <w:tbl>
      <w:tblPr>
        <w:tblStyle w:val="65"/>
        <w:tblW w:w="10677" w:type="dxa"/>
        <w:jc w:val="center"/>
        <w:tblLayout w:type="fixed"/>
        <w:tblCellMar>
          <w:top w:w="0" w:type="dxa"/>
          <w:left w:w="0" w:type="dxa"/>
          <w:bottom w:w="0" w:type="dxa"/>
          <w:right w:w="0" w:type="dxa"/>
        </w:tblCellMar>
      </w:tblPr>
      <w:tblGrid>
        <w:gridCol w:w="888"/>
        <w:gridCol w:w="4422"/>
        <w:gridCol w:w="1591"/>
        <w:gridCol w:w="2328"/>
        <w:gridCol w:w="1448"/>
      </w:tblGrid>
      <w:tr w14:paraId="3502AB0B">
        <w:tblPrEx>
          <w:tblCellMar>
            <w:top w:w="0" w:type="dxa"/>
            <w:left w:w="0" w:type="dxa"/>
            <w:bottom w:w="0" w:type="dxa"/>
            <w:right w:w="0" w:type="dxa"/>
          </w:tblCellMar>
        </w:tblPrEx>
        <w:trPr>
          <w:trHeight w:val="726" w:hRule="atLeast"/>
          <w:jc w:val="center"/>
        </w:trPr>
        <w:tc>
          <w:tcPr>
            <w:tcW w:w="888" w:type="dxa"/>
            <w:tcBorders>
              <w:top w:val="single" w:color="000000" w:sz="4" w:space="0"/>
              <w:left w:val="single" w:color="000000" w:sz="4" w:space="0"/>
              <w:bottom w:val="single" w:color="000000" w:sz="4" w:space="0"/>
              <w:right w:val="single" w:color="000000" w:sz="4" w:space="0"/>
              <w:tl2br w:val="nil"/>
              <w:tr2bl w:val="nil"/>
            </w:tcBorders>
            <w:tcMar>
              <w:top w:w="12" w:type="dxa"/>
              <w:left w:w="12" w:type="dxa"/>
              <w:right w:w="12" w:type="dxa"/>
            </w:tcMar>
            <w:vAlign w:val="center"/>
          </w:tcPr>
          <w:p w14:paraId="50372471">
            <w:pPr>
              <w:widowControl/>
              <w:snapToGrid w:val="0"/>
              <w:jc w:val="center"/>
              <w:rPr>
                <w:rFonts w:ascii="宋体" w:hAnsi="宋体" w:cs="宋体"/>
                <w:color w:val="auto"/>
                <w:sz w:val="24"/>
                <w:highlight w:val="none"/>
              </w:rPr>
            </w:pPr>
            <w:r>
              <w:rPr>
                <w:rFonts w:hint="eastAsia" w:ascii="宋体" w:hAnsi="宋体" w:cs="宋体"/>
                <w:color w:val="auto"/>
                <w:sz w:val="24"/>
                <w:highlight w:val="none"/>
              </w:rPr>
              <w:t>序号</w:t>
            </w:r>
          </w:p>
        </w:tc>
        <w:tc>
          <w:tcPr>
            <w:tcW w:w="4422" w:type="dxa"/>
            <w:tcBorders>
              <w:top w:val="single" w:color="000000" w:sz="4" w:space="0"/>
              <w:left w:val="single" w:color="000000" w:sz="4" w:space="0"/>
              <w:bottom w:val="single" w:color="000000" w:sz="4" w:space="0"/>
              <w:right w:val="single" w:color="000000" w:sz="4" w:space="0"/>
              <w:tl2br w:val="nil"/>
              <w:tr2bl w:val="nil"/>
            </w:tcBorders>
            <w:tcMar>
              <w:top w:w="12" w:type="dxa"/>
              <w:left w:w="12" w:type="dxa"/>
              <w:right w:w="12" w:type="dxa"/>
            </w:tcMar>
            <w:vAlign w:val="center"/>
          </w:tcPr>
          <w:p w14:paraId="15A3C3F7">
            <w:pPr>
              <w:widowControl/>
              <w:snapToGrid w:val="0"/>
              <w:jc w:val="center"/>
              <w:rPr>
                <w:rFonts w:ascii="宋体" w:hAnsi="宋体" w:cs="宋体"/>
                <w:color w:val="auto"/>
                <w:sz w:val="24"/>
                <w:highlight w:val="none"/>
              </w:rPr>
            </w:pPr>
            <w:r>
              <w:rPr>
                <w:rFonts w:hint="eastAsia" w:ascii="宋体" w:hAnsi="宋体" w:cs="宋体"/>
                <w:color w:val="auto"/>
                <w:sz w:val="24"/>
                <w:highlight w:val="none"/>
              </w:rPr>
              <w:t>项目类型</w:t>
            </w:r>
          </w:p>
        </w:tc>
        <w:tc>
          <w:tcPr>
            <w:tcW w:w="1591" w:type="dxa"/>
            <w:tcBorders>
              <w:top w:val="single" w:color="000000" w:sz="4" w:space="0"/>
              <w:left w:val="single" w:color="000000" w:sz="4" w:space="0"/>
              <w:bottom w:val="single" w:color="000000" w:sz="4" w:space="0"/>
              <w:right w:val="single" w:color="000000" w:sz="4" w:space="0"/>
              <w:tl2br w:val="nil"/>
              <w:tr2bl w:val="nil"/>
            </w:tcBorders>
            <w:tcMar>
              <w:top w:w="12" w:type="dxa"/>
              <w:left w:w="12" w:type="dxa"/>
              <w:right w:w="12" w:type="dxa"/>
            </w:tcMar>
            <w:vAlign w:val="center"/>
          </w:tcPr>
          <w:p w14:paraId="71BCD800">
            <w:pPr>
              <w:widowControl/>
              <w:snapToGrid w:val="0"/>
              <w:jc w:val="center"/>
              <w:rPr>
                <w:rStyle w:val="987"/>
                <w:rFonts w:ascii="宋体" w:hAnsi="宋体" w:cs="宋体"/>
                <w:bCs/>
                <w:color w:val="auto"/>
                <w:sz w:val="24"/>
                <w:highlight w:val="none"/>
              </w:rPr>
            </w:pPr>
            <w:r>
              <w:rPr>
                <w:rStyle w:val="987"/>
                <w:rFonts w:hint="eastAsia" w:ascii="宋体" w:hAnsi="宋体" w:cs="宋体"/>
                <w:bCs/>
                <w:color w:val="auto"/>
                <w:sz w:val="24"/>
                <w:highlight w:val="none"/>
              </w:rPr>
              <w:t>最高单价限价</w:t>
            </w:r>
          </w:p>
        </w:tc>
        <w:tc>
          <w:tcPr>
            <w:tcW w:w="2328" w:type="dxa"/>
            <w:tcBorders>
              <w:top w:val="single" w:color="000000" w:sz="4" w:space="0"/>
              <w:left w:val="single" w:color="000000" w:sz="4" w:space="0"/>
              <w:bottom w:val="single" w:color="000000" w:sz="4" w:space="0"/>
              <w:right w:val="single" w:color="000000" w:sz="4" w:space="0"/>
              <w:tl2br w:val="nil"/>
              <w:tr2bl w:val="nil"/>
            </w:tcBorders>
            <w:tcMar>
              <w:top w:w="12" w:type="dxa"/>
              <w:left w:w="12" w:type="dxa"/>
              <w:right w:w="12" w:type="dxa"/>
            </w:tcMar>
            <w:vAlign w:val="center"/>
          </w:tcPr>
          <w:p w14:paraId="693CB2DD">
            <w:pPr>
              <w:widowControl/>
              <w:snapToGrid w:val="0"/>
              <w:jc w:val="center"/>
              <w:rPr>
                <w:rFonts w:hint="eastAsia" w:ascii="宋体" w:hAnsi="宋体" w:eastAsia="宋体" w:cs="宋体"/>
                <w:color w:val="auto"/>
                <w:sz w:val="24"/>
                <w:highlight w:val="none"/>
                <w:lang w:val="en-US" w:eastAsia="zh-CN"/>
              </w:rPr>
            </w:pPr>
            <w:r>
              <w:rPr>
                <w:rStyle w:val="987"/>
                <w:rFonts w:hint="eastAsia" w:ascii="宋体" w:hAnsi="宋体" w:cs="宋体"/>
                <w:bCs/>
                <w:color w:val="auto"/>
                <w:sz w:val="24"/>
                <w:highlight w:val="none"/>
              </w:rPr>
              <w:t>响应单价</w:t>
            </w:r>
            <w:r>
              <w:rPr>
                <w:rStyle w:val="987"/>
                <w:rFonts w:hint="eastAsia" w:ascii="宋体" w:hAnsi="宋体" w:cs="宋体"/>
                <w:bCs/>
                <w:color w:val="auto"/>
                <w:sz w:val="24"/>
                <w:highlight w:val="none"/>
                <w:lang w:val="en-US" w:eastAsia="zh-CN"/>
              </w:rPr>
              <w:t>报价</w:t>
            </w:r>
          </w:p>
        </w:tc>
        <w:tc>
          <w:tcPr>
            <w:tcW w:w="1448" w:type="dxa"/>
            <w:tcBorders>
              <w:top w:val="single" w:color="000000" w:sz="4" w:space="0"/>
              <w:left w:val="single" w:color="000000" w:sz="4" w:space="0"/>
              <w:bottom w:val="single" w:color="000000" w:sz="4" w:space="0"/>
              <w:right w:val="single" w:color="000000" w:sz="4" w:space="0"/>
              <w:tl2br w:val="nil"/>
              <w:tr2bl w:val="nil"/>
            </w:tcBorders>
            <w:tcMar>
              <w:top w:w="12" w:type="dxa"/>
              <w:left w:w="12" w:type="dxa"/>
              <w:right w:w="12" w:type="dxa"/>
            </w:tcMar>
            <w:vAlign w:val="center"/>
          </w:tcPr>
          <w:p w14:paraId="3389FC56">
            <w:pPr>
              <w:widowControl/>
              <w:snapToGrid w:val="0"/>
              <w:jc w:val="center"/>
              <w:rPr>
                <w:rStyle w:val="987"/>
                <w:rFonts w:ascii="宋体" w:hAnsi="宋体" w:cs="宋体"/>
                <w:bCs/>
                <w:color w:val="auto"/>
                <w:sz w:val="24"/>
                <w:highlight w:val="none"/>
              </w:rPr>
            </w:pPr>
            <w:r>
              <w:rPr>
                <w:rStyle w:val="987"/>
                <w:rFonts w:hint="eastAsia" w:ascii="宋体" w:hAnsi="宋体" w:cs="宋体"/>
                <w:bCs/>
                <w:color w:val="auto"/>
                <w:sz w:val="24"/>
                <w:highlight w:val="none"/>
              </w:rPr>
              <w:t>备注</w:t>
            </w:r>
          </w:p>
        </w:tc>
      </w:tr>
      <w:tr w14:paraId="2ADBF395">
        <w:tblPrEx>
          <w:tblCellMar>
            <w:top w:w="0" w:type="dxa"/>
            <w:left w:w="0" w:type="dxa"/>
            <w:bottom w:w="0" w:type="dxa"/>
            <w:right w:w="0" w:type="dxa"/>
          </w:tblCellMar>
        </w:tblPrEx>
        <w:trPr>
          <w:trHeight w:val="1380" w:hRule="exact"/>
          <w:jc w:val="center"/>
        </w:trPr>
        <w:tc>
          <w:tcPr>
            <w:tcW w:w="888" w:type="dxa"/>
            <w:tcBorders>
              <w:top w:val="single" w:color="000000" w:sz="4" w:space="0"/>
              <w:left w:val="single" w:color="000000" w:sz="4" w:space="0"/>
              <w:bottom w:val="single" w:color="000000" w:sz="4" w:space="0"/>
              <w:right w:val="single" w:color="000000" w:sz="4" w:space="0"/>
              <w:tl2br w:val="nil"/>
              <w:tr2bl w:val="nil"/>
            </w:tcBorders>
            <w:tcMar>
              <w:top w:w="12" w:type="dxa"/>
              <w:left w:w="12" w:type="dxa"/>
              <w:right w:w="12" w:type="dxa"/>
            </w:tcMar>
            <w:vAlign w:val="center"/>
          </w:tcPr>
          <w:p w14:paraId="310FC21F">
            <w:pPr>
              <w:adjustRightInd/>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一</w:t>
            </w:r>
          </w:p>
        </w:tc>
        <w:tc>
          <w:tcPr>
            <w:tcW w:w="4422" w:type="dxa"/>
            <w:tcBorders>
              <w:top w:val="single" w:color="000000" w:sz="4" w:space="0"/>
              <w:left w:val="single" w:color="000000" w:sz="4" w:space="0"/>
              <w:bottom w:val="single" w:color="000000" w:sz="4" w:space="0"/>
              <w:right w:val="single" w:color="000000" w:sz="4" w:space="0"/>
              <w:tl2br w:val="nil"/>
              <w:tr2bl w:val="nil"/>
            </w:tcBorders>
            <w:tcMar>
              <w:top w:w="12" w:type="dxa"/>
              <w:left w:w="12" w:type="dxa"/>
              <w:right w:w="12" w:type="dxa"/>
            </w:tcMar>
            <w:vAlign w:val="center"/>
          </w:tcPr>
          <w:p w14:paraId="1DE17991">
            <w:pPr>
              <w:adjustRightInd/>
              <w:snapToGrid w:val="0"/>
              <w:spacing w:line="400" w:lineRule="exact"/>
              <w:rPr>
                <w:rFonts w:ascii="宋体" w:hAnsi="宋体" w:cs="宋体"/>
                <w:color w:val="auto"/>
                <w:sz w:val="24"/>
                <w:highlight w:val="none"/>
              </w:rPr>
            </w:pPr>
            <w:r>
              <w:rPr>
                <w:rFonts w:ascii="宋体" w:hAnsi="宋体" w:cs="宋体"/>
                <w:color w:val="auto"/>
                <w:sz w:val="24"/>
                <w:highlight w:val="none"/>
              </w:rPr>
              <w:t>出具加盖第三方中介机构公章的法律意见书</w:t>
            </w:r>
            <w:r>
              <w:rPr>
                <w:rFonts w:hint="eastAsia" w:ascii="宋体" w:hAnsi="宋体" w:cs="宋体"/>
                <w:color w:val="auto"/>
                <w:sz w:val="24"/>
                <w:highlight w:val="none"/>
                <w:lang w:eastAsia="zh-CN"/>
              </w:rPr>
              <w:t>（正式稿）</w:t>
            </w:r>
            <w:r>
              <w:rPr>
                <w:rFonts w:ascii="宋体" w:hAnsi="宋体" w:cs="宋体"/>
                <w:color w:val="auto"/>
                <w:sz w:val="24"/>
                <w:highlight w:val="none"/>
              </w:rPr>
              <w:t>并</w:t>
            </w:r>
            <w:r>
              <w:rPr>
                <w:rFonts w:hint="eastAsia" w:ascii="宋体" w:hAnsi="宋体" w:cs="宋体"/>
                <w:color w:val="auto"/>
                <w:sz w:val="24"/>
                <w:highlight w:val="none"/>
              </w:rPr>
              <w:t>首次</w:t>
            </w:r>
            <w:r>
              <w:rPr>
                <w:rFonts w:ascii="宋体" w:hAnsi="宋体" w:cs="宋体"/>
                <w:color w:val="auto"/>
                <w:sz w:val="24"/>
                <w:highlight w:val="none"/>
              </w:rPr>
              <w:t>成功发行</w:t>
            </w:r>
            <w:r>
              <w:rPr>
                <w:rFonts w:hint="eastAsia" w:ascii="宋体" w:hAnsi="宋体" w:cs="宋体"/>
                <w:color w:val="auto"/>
                <w:sz w:val="24"/>
                <w:highlight w:val="none"/>
              </w:rPr>
              <w:t>专项债的项目</w:t>
            </w:r>
          </w:p>
        </w:tc>
        <w:tc>
          <w:tcPr>
            <w:tcW w:w="1591" w:type="dxa"/>
            <w:tcBorders>
              <w:top w:val="single" w:color="000000" w:sz="4" w:space="0"/>
              <w:left w:val="single" w:color="000000" w:sz="4" w:space="0"/>
              <w:bottom w:val="single" w:color="000000" w:sz="4" w:space="0"/>
              <w:right w:val="single" w:color="000000" w:sz="4" w:space="0"/>
              <w:tl2br w:val="nil"/>
              <w:tr2bl w:val="nil"/>
            </w:tcBorders>
            <w:tcMar>
              <w:top w:w="12" w:type="dxa"/>
              <w:left w:w="12" w:type="dxa"/>
              <w:right w:w="12" w:type="dxa"/>
            </w:tcMar>
            <w:vAlign w:val="center"/>
          </w:tcPr>
          <w:p w14:paraId="7FC3D3C3">
            <w:pPr>
              <w:adjustRightInd/>
              <w:snapToGrid w:val="0"/>
              <w:spacing w:line="400" w:lineRule="exact"/>
              <w:jc w:val="center"/>
              <w:rPr>
                <w:rFonts w:ascii="宋体" w:hAnsi="宋体" w:cs="宋体"/>
                <w:color w:val="auto"/>
                <w:sz w:val="24"/>
                <w:highlight w:val="none"/>
                <w:u w:val="singl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万元/个</w:t>
            </w:r>
          </w:p>
        </w:tc>
        <w:tc>
          <w:tcPr>
            <w:tcW w:w="2328" w:type="dxa"/>
            <w:tcBorders>
              <w:top w:val="single" w:color="000000" w:sz="4" w:space="0"/>
              <w:left w:val="single" w:color="000000" w:sz="4" w:space="0"/>
              <w:bottom w:val="single" w:color="000000" w:sz="4" w:space="0"/>
              <w:right w:val="single" w:color="000000" w:sz="4" w:space="0"/>
              <w:tl2br w:val="nil"/>
              <w:tr2bl w:val="nil"/>
            </w:tcBorders>
            <w:tcMar>
              <w:top w:w="12" w:type="dxa"/>
              <w:left w:w="12" w:type="dxa"/>
              <w:right w:w="12" w:type="dxa"/>
            </w:tcMar>
            <w:vAlign w:val="center"/>
          </w:tcPr>
          <w:p w14:paraId="35BD4DC5">
            <w:pPr>
              <w:adjustRightInd/>
              <w:snapToGrid w:val="0"/>
              <w:spacing w:line="360" w:lineRule="auto"/>
              <w:rPr>
                <w:rFonts w:ascii="宋体" w:hAnsi="宋体" w:cs="宋体"/>
                <w:color w:val="auto"/>
                <w:sz w:val="24"/>
                <w:highlight w:val="none"/>
              </w:rPr>
            </w:pPr>
            <w:r>
              <w:rPr>
                <w:rFonts w:hint="eastAsia" w:ascii="宋体" w:hAnsi="宋体" w:cs="宋体"/>
                <w:color w:val="auto"/>
                <w:sz w:val="24"/>
                <w:highlight w:val="none"/>
              </w:rPr>
              <w:t>小写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元/个</w:t>
            </w:r>
          </w:p>
          <w:p w14:paraId="00DBB3C4">
            <w:pPr>
              <w:pStyle w:val="64"/>
              <w:ind w:left="0" w:leftChars="0" w:firstLine="0" w:firstLineChars="0"/>
              <w:rPr>
                <w:color w:val="auto"/>
                <w:highlight w:val="none"/>
                <w:u w:val="single"/>
              </w:rPr>
            </w:pPr>
            <w:r>
              <w:rPr>
                <w:rFonts w:hint="eastAsia"/>
                <w:color w:val="auto"/>
                <w:sz w:val="24"/>
                <w:highlight w:val="none"/>
              </w:rPr>
              <w:t>大写</w:t>
            </w:r>
            <w:r>
              <w:rPr>
                <w:rFonts w:hint="eastAsia"/>
                <w:color w:val="auto"/>
                <w:sz w:val="24"/>
                <w:highlight w:val="none"/>
                <w:u w:val="single"/>
              </w:rPr>
              <w:t xml:space="preserve"> </w:t>
            </w:r>
            <w:r>
              <w:rPr>
                <w:color w:val="auto"/>
                <w:sz w:val="24"/>
                <w:highlight w:val="none"/>
                <w:u w:val="single"/>
              </w:rPr>
              <w:t xml:space="preserve">       </w:t>
            </w:r>
            <w:r>
              <w:rPr>
                <w:rFonts w:hint="eastAsia"/>
                <w:color w:val="auto"/>
                <w:sz w:val="24"/>
                <w:highlight w:val="none"/>
                <w:u w:val="none"/>
              </w:rPr>
              <w:t>元/个</w:t>
            </w:r>
          </w:p>
        </w:tc>
        <w:tc>
          <w:tcPr>
            <w:tcW w:w="1448" w:type="dxa"/>
            <w:tcBorders>
              <w:top w:val="single" w:color="000000" w:sz="4" w:space="0"/>
              <w:left w:val="single" w:color="000000" w:sz="4" w:space="0"/>
              <w:bottom w:val="single" w:color="000000" w:sz="4" w:space="0"/>
              <w:right w:val="single" w:color="000000" w:sz="4" w:space="0"/>
              <w:tl2br w:val="nil"/>
              <w:tr2bl w:val="nil"/>
            </w:tcBorders>
            <w:tcMar>
              <w:top w:w="12" w:type="dxa"/>
              <w:left w:w="12" w:type="dxa"/>
              <w:right w:w="12" w:type="dxa"/>
            </w:tcMar>
            <w:vAlign w:val="center"/>
          </w:tcPr>
          <w:p w14:paraId="53FCB02C">
            <w:pPr>
              <w:adjustRightInd/>
              <w:snapToGrid w:val="0"/>
              <w:spacing w:line="360" w:lineRule="auto"/>
              <w:jc w:val="center"/>
              <w:rPr>
                <w:rFonts w:ascii="宋体" w:hAnsi="宋体" w:cs="宋体"/>
                <w:color w:val="auto"/>
                <w:sz w:val="24"/>
                <w:highlight w:val="none"/>
                <w:u w:val="single"/>
              </w:rPr>
            </w:pPr>
          </w:p>
        </w:tc>
      </w:tr>
    </w:tbl>
    <w:p w14:paraId="45A6A23E">
      <w:pPr>
        <w:adjustRightInd/>
        <w:spacing w:line="540" w:lineRule="exact"/>
        <w:ind w:firstLine="645"/>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71C625BA">
      <w:pPr>
        <w:adjustRightInd/>
        <w:spacing w:line="540" w:lineRule="exact"/>
        <w:ind w:firstLine="645"/>
        <w:rPr>
          <w:rFonts w:hint="eastAsia" w:ascii="宋体" w:hAnsi="宋体" w:eastAsia="宋体" w:cs="宋体"/>
          <w:color w:val="auto"/>
          <w:sz w:val="24"/>
          <w:highlight w:val="none"/>
        </w:rPr>
      </w:pPr>
      <w:r>
        <w:rPr>
          <w:rFonts w:hint="eastAsia" w:ascii="宋体" w:hAnsi="宋体" w:eastAsia="宋体" w:cs="宋体"/>
          <w:color w:val="auto"/>
          <w:sz w:val="24"/>
          <w:highlight w:val="none"/>
        </w:rPr>
        <w:t>最高限价：本项目征集人根据出具加盖第三方中介机构公章的法律意见书</w:t>
      </w:r>
      <w:r>
        <w:rPr>
          <w:rFonts w:hint="eastAsia" w:ascii="宋体" w:hAnsi="宋体" w:cs="宋体"/>
          <w:color w:val="auto"/>
          <w:kern w:val="0"/>
          <w:sz w:val="24"/>
          <w:highlight w:val="none"/>
        </w:rPr>
        <w:t>（正式稿）</w:t>
      </w:r>
      <w:r>
        <w:rPr>
          <w:rFonts w:hint="eastAsia" w:ascii="宋体" w:hAnsi="宋体" w:eastAsia="宋体" w:cs="宋体"/>
          <w:color w:val="auto"/>
          <w:sz w:val="24"/>
          <w:highlight w:val="none"/>
        </w:rPr>
        <w:t>的项目，设定专业服务费报价的最高单价限价。供应商应在最高单价限价范围内进行报价，报价内容为xx元/个。报价超过最高限价视为无效。</w:t>
      </w:r>
    </w:p>
    <w:p w14:paraId="6CB35115">
      <w:pPr>
        <w:adjustRightInd/>
        <w:spacing w:line="540" w:lineRule="exact"/>
        <w:ind w:firstLine="645"/>
        <w:rPr>
          <w:rFonts w:hint="eastAsia" w:ascii="宋体" w:hAnsi="宋体" w:eastAsia="宋体" w:cs="宋体"/>
          <w:color w:val="auto"/>
          <w:sz w:val="24"/>
          <w:highlight w:val="none"/>
        </w:rPr>
      </w:pPr>
    </w:p>
    <w:p w14:paraId="66E0E046">
      <w:pPr>
        <w:rPr>
          <w:rFonts w:ascii="宋体" w:hAnsi="宋体" w:cs="宋体"/>
          <w:color w:val="auto"/>
          <w:sz w:val="24"/>
          <w:highlight w:val="none"/>
        </w:rPr>
      </w:pPr>
    </w:p>
    <w:p w14:paraId="07749B21">
      <w:pPr>
        <w:pStyle w:val="64"/>
        <w:ind w:firstLine="480"/>
        <w:rPr>
          <w:rFonts w:cs="宋体"/>
          <w:color w:val="auto"/>
          <w:sz w:val="24"/>
          <w:highlight w:val="none"/>
        </w:rPr>
      </w:pPr>
    </w:p>
    <w:p w14:paraId="6C07DCCD">
      <w:pPr>
        <w:rPr>
          <w:rFonts w:ascii="宋体" w:hAnsi="宋体" w:cs="宋体"/>
          <w:color w:val="auto"/>
          <w:sz w:val="24"/>
          <w:highlight w:val="none"/>
        </w:rPr>
      </w:pPr>
    </w:p>
    <w:p w14:paraId="3BE2C5CB">
      <w:pPr>
        <w:pStyle w:val="64"/>
        <w:ind w:firstLine="420"/>
        <w:rPr>
          <w:color w:val="auto"/>
          <w:highlight w:val="none"/>
        </w:rPr>
      </w:pPr>
    </w:p>
    <w:p w14:paraId="5D35DA41">
      <w:pPr>
        <w:spacing w:line="360" w:lineRule="auto"/>
        <w:ind w:firstLine="4320" w:firstLineChars="1800"/>
        <w:rPr>
          <w:rFonts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kern w:val="0"/>
          <w:sz w:val="24"/>
          <w:highlight w:val="none"/>
        </w:rPr>
        <w:t>电子签名</w:t>
      </w:r>
      <w:r>
        <w:rPr>
          <w:rFonts w:hint="eastAsia" w:ascii="宋体" w:hAnsi="宋体" w:cs="宋体"/>
          <w:color w:val="auto"/>
          <w:sz w:val="24"/>
          <w:highlight w:val="none"/>
        </w:rPr>
        <w:t xml:space="preserve">）：                          </w:t>
      </w:r>
    </w:p>
    <w:p w14:paraId="099D315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28CA574D">
      <w:pPr>
        <w:rPr>
          <w:rFonts w:hint="eastAsia"/>
          <w:color w:val="auto"/>
          <w:highlight w:val="none"/>
        </w:rPr>
      </w:pPr>
    </w:p>
    <w:p w14:paraId="1592CAAE">
      <w:pPr>
        <w:pStyle w:val="64"/>
        <w:ind w:firstLine="420"/>
        <w:rPr>
          <w:rFonts w:hint="eastAsia"/>
          <w:color w:val="auto"/>
          <w:highlight w:val="none"/>
        </w:rPr>
      </w:pPr>
    </w:p>
    <w:p w14:paraId="3FEB75C2">
      <w:pPr>
        <w:rPr>
          <w:rFonts w:hint="eastAsia"/>
          <w:color w:val="auto"/>
          <w:highlight w:val="none"/>
        </w:rPr>
      </w:pPr>
    </w:p>
    <w:p w14:paraId="01965016">
      <w:pPr>
        <w:rPr>
          <w:rFonts w:hint="eastAsia"/>
          <w:color w:val="auto"/>
          <w:highlight w:val="none"/>
        </w:rPr>
      </w:pPr>
    </w:p>
    <w:p w14:paraId="25E656A8">
      <w:pPr>
        <w:rPr>
          <w:rFonts w:hint="eastAsia"/>
          <w:color w:val="auto"/>
          <w:highlight w:val="none"/>
        </w:rPr>
      </w:pPr>
    </w:p>
    <w:p w14:paraId="29AE2EEC">
      <w:pPr>
        <w:rPr>
          <w:rFonts w:hint="eastAsia"/>
          <w:color w:val="auto"/>
          <w:highlight w:val="none"/>
        </w:rPr>
      </w:pPr>
    </w:p>
    <w:p w14:paraId="259AF02B">
      <w:pPr>
        <w:rPr>
          <w:rFonts w:hint="eastAsia"/>
          <w:color w:val="auto"/>
          <w:highlight w:val="none"/>
        </w:rPr>
      </w:pPr>
    </w:p>
    <w:p w14:paraId="1E4E6298">
      <w:pPr>
        <w:rPr>
          <w:rFonts w:hint="eastAsia"/>
          <w:color w:val="auto"/>
          <w:highlight w:val="none"/>
        </w:rPr>
      </w:pPr>
    </w:p>
    <w:p w14:paraId="0BC64E21">
      <w:pPr>
        <w:rPr>
          <w:rFonts w:hint="eastAsia"/>
          <w:color w:val="auto"/>
          <w:highlight w:val="none"/>
        </w:rPr>
      </w:pPr>
    </w:p>
    <w:p w14:paraId="0DC08074">
      <w:pPr>
        <w:rPr>
          <w:rFonts w:hint="eastAsia"/>
          <w:color w:val="auto"/>
          <w:highlight w:val="none"/>
        </w:rPr>
      </w:pPr>
    </w:p>
    <w:p w14:paraId="7F2C2DC4">
      <w:pPr>
        <w:rPr>
          <w:rFonts w:hint="eastAsia"/>
          <w:color w:val="auto"/>
          <w:highlight w:val="none"/>
        </w:rPr>
      </w:pPr>
    </w:p>
    <w:p w14:paraId="04F0D179">
      <w:pPr>
        <w:rPr>
          <w:rFonts w:hint="eastAsia"/>
          <w:color w:val="auto"/>
          <w:highlight w:val="none"/>
        </w:rPr>
      </w:pPr>
    </w:p>
    <w:p w14:paraId="5B0698C5">
      <w:pPr>
        <w:rPr>
          <w:rFonts w:hint="eastAsia"/>
          <w:color w:val="auto"/>
          <w:highlight w:val="none"/>
        </w:rPr>
      </w:pPr>
    </w:p>
    <w:p w14:paraId="31654AFE">
      <w:pPr>
        <w:rPr>
          <w:rFonts w:hint="eastAsia"/>
          <w:color w:val="auto"/>
          <w:highlight w:val="none"/>
        </w:rPr>
      </w:pPr>
    </w:p>
    <w:p w14:paraId="52FAAB95">
      <w:pPr>
        <w:rPr>
          <w:rFonts w:hint="eastAsia"/>
          <w:color w:val="auto"/>
          <w:highlight w:val="none"/>
        </w:rPr>
      </w:pPr>
    </w:p>
    <w:p w14:paraId="1C4D199A">
      <w:pPr>
        <w:rPr>
          <w:rFonts w:hint="eastAsia"/>
          <w:color w:val="auto"/>
          <w:highlight w:val="none"/>
        </w:rPr>
      </w:pPr>
    </w:p>
    <w:p w14:paraId="580BE2D8">
      <w:pPr>
        <w:rPr>
          <w:rFonts w:hint="eastAsia"/>
          <w:color w:val="auto"/>
          <w:highlight w:val="none"/>
        </w:rPr>
      </w:pPr>
    </w:p>
    <w:p w14:paraId="01629D40">
      <w:pPr>
        <w:rPr>
          <w:rFonts w:hint="eastAsia"/>
          <w:color w:val="auto"/>
          <w:highlight w:val="none"/>
        </w:rPr>
      </w:pPr>
    </w:p>
    <w:p w14:paraId="0F1DB9DA">
      <w:pPr>
        <w:rPr>
          <w:rFonts w:hint="eastAsia"/>
          <w:color w:val="auto"/>
          <w:highlight w:val="none"/>
        </w:rPr>
      </w:pPr>
    </w:p>
    <w:p w14:paraId="7881CEF2">
      <w:pPr>
        <w:rPr>
          <w:rFonts w:hint="eastAsia"/>
          <w:color w:val="auto"/>
          <w:highlight w:val="none"/>
        </w:rPr>
      </w:pPr>
    </w:p>
    <w:p w14:paraId="2FD02BBD">
      <w:pPr>
        <w:rPr>
          <w:rFonts w:hint="eastAsia"/>
          <w:color w:val="auto"/>
          <w:highlight w:val="none"/>
        </w:rPr>
      </w:pPr>
    </w:p>
    <w:p w14:paraId="4CA22E94">
      <w:pPr>
        <w:snapToGrid w:val="0"/>
        <w:spacing w:before="50" w:after="50"/>
        <w:jc w:val="both"/>
        <w:rPr>
          <w:rFonts w:hint="eastAsia" w:ascii="新宋体" w:hAnsi="新宋体" w:eastAsia="新宋体"/>
          <w:b/>
          <w:color w:val="auto"/>
          <w:sz w:val="36"/>
          <w:szCs w:val="36"/>
          <w:lang w:val="en-US" w:eastAsia="zh-CN"/>
        </w:rPr>
      </w:pPr>
      <w:r>
        <w:rPr>
          <w:rFonts w:hint="eastAsia" w:ascii="新宋体" w:hAnsi="新宋体" w:eastAsia="新宋体"/>
          <w:b/>
          <w:color w:val="auto"/>
          <w:sz w:val="36"/>
          <w:szCs w:val="36"/>
          <w:lang w:val="en-US" w:eastAsia="zh-CN"/>
        </w:rPr>
        <w:t>六、</w:t>
      </w:r>
    </w:p>
    <w:p w14:paraId="3C5D9C14">
      <w:pPr>
        <w:snapToGrid w:val="0"/>
        <w:spacing w:before="50" w:after="50"/>
        <w:jc w:val="center"/>
        <w:rPr>
          <w:rFonts w:hint="default" w:ascii="新宋体" w:hAnsi="新宋体" w:eastAsia="新宋体"/>
          <w:b/>
          <w:color w:val="auto"/>
          <w:sz w:val="36"/>
          <w:szCs w:val="36"/>
          <w:u w:val="single"/>
          <w:lang w:val="en-US" w:eastAsia="zh-CN"/>
        </w:rPr>
      </w:pPr>
      <w:r>
        <w:rPr>
          <w:rFonts w:hint="eastAsia" w:ascii="新宋体" w:hAnsi="新宋体" w:eastAsia="新宋体"/>
          <w:b/>
          <w:color w:val="auto"/>
          <w:sz w:val="36"/>
          <w:szCs w:val="36"/>
        </w:rPr>
        <w:t>中小企业声明函（</w:t>
      </w:r>
      <w:r>
        <w:rPr>
          <w:rFonts w:hint="eastAsia" w:ascii="新宋体" w:hAnsi="新宋体" w:eastAsia="新宋体"/>
          <w:b/>
          <w:color w:val="auto"/>
          <w:sz w:val="36"/>
          <w:szCs w:val="36"/>
          <w:lang w:eastAsia="zh-CN"/>
        </w:rPr>
        <w:t>服务</w:t>
      </w:r>
      <w:r>
        <w:rPr>
          <w:rFonts w:hint="eastAsia" w:ascii="新宋体" w:hAnsi="新宋体" w:eastAsia="新宋体"/>
          <w:b/>
          <w:color w:val="auto"/>
          <w:sz w:val="36"/>
          <w:szCs w:val="36"/>
        </w:rPr>
        <w:t>）</w:t>
      </w:r>
    </w:p>
    <w:p w14:paraId="054EA96F">
      <w:pPr>
        <w:snapToGrid w:val="0"/>
        <w:spacing w:line="360" w:lineRule="auto"/>
        <w:ind w:firstLine="480" w:firstLineChars="200"/>
        <w:rPr>
          <w:rFonts w:hint="eastAsia" w:ascii="新宋体" w:hAnsi="新宋体" w:eastAsia="新宋体"/>
          <w:color w:val="auto"/>
          <w:sz w:val="24"/>
          <w:szCs w:val="24"/>
        </w:rPr>
      </w:pPr>
      <w:r>
        <w:rPr>
          <w:rFonts w:hint="eastAsia" w:ascii="新宋体" w:hAnsi="新宋体" w:eastAsia="新宋体"/>
          <w:color w:val="auto"/>
          <w:sz w:val="24"/>
          <w:szCs w:val="24"/>
        </w:rPr>
        <w:t>本公司（联合体）郑重声明，根据《政府采购促进中小企业发展管理办法》（财库﹝2020﹞46号）的规定，本公司（联合体）参加</w:t>
      </w:r>
      <w:r>
        <w:rPr>
          <w:rFonts w:hint="eastAsia" w:ascii="新宋体" w:hAnsi="新宋体" w:eastAsia="新宋体"/>
          <w:i/>
          <w:iCs/>
          <w:color w:val="auto"/>
          <w:sz w:val="24"/>
          <w:szCs w:val="24"/>
          <w:u w:val="single"/>
        </w:rPr>
        <w:t>（单位名称）</w:t>
      </w:r>
      <w:r>
        <w:rPr>
          <w:rFonts w:hint="eastAsia" w:ascii="新宋体" w:hAnsi="新宋体" w:eastAsia="新宋体"/>
          <w:color w:val="auto"/>
          <w:sz w:val="24"/>
          <w:szCs w:val="24"/>
        </w:rPr>
        <w:t>的</w:t>
      </w:r>
      <w:r>
        <w:rPr>
          <w:rFonts w:hint="eastAsia" w:ascii="新宋体" w:hAnsi="新宋体" w:eastAsia="新宋体"/>
          <w:i/>
          <w:iCs/>
          <w:color w:val="auto"/>
          <w:sz w:val="24"/>
          <w:szCs w:val="24"/>
          <w:u w:val="single"/>
        </w:rPr>
        <w:t>（项目名称）</w:t>
      </w:r>
      <w:r>
        <w:rPr>
          <w:rFonts w:hint="eastAsia" w:ascii="新宋体" w:hAnsi="新宋体" w:eastAsia="新宋体"/>
          <w:color w:val="auto"/>
          <w:sz w:val="24"/>
          <w:szCs w:val="24"/>
        </w:rPr>
        <w:t>采购活动，提供的货物全部由符合政策要求的中小企业制造。相关企业（含联合体中的中小企业、签订分包意向协议的中小企业）的具体情况如下：</w:t>
      </w:r>
    </w:p>
    <w:p w14:paraId="1BA04025">
      <w:pPr>
        <w:snapToGrid w:val="0"/>
        <w:spacing w:line="360" w:lineRule="auto"/>
        <w:ind w:firstLine="480" w:firstLineChars="200"/>
        <w:rPr>
          <w:rFonts w:hint="eastAsia" w:ascii="新宋体" w:hAnsi="新宋体" w:eastAsia="新宋体"/>
          <w:color w:val="auto"/>
          <w:sz w:val="24"/>
          <w:szCs w:val="24"/>
        </w:rPr>
      </w:pPr>
      <w:r>
        <w:rPr>
          <w:rFonts w:hint="eastAsia" w:ascii="新宋体" w:hAnsi="新宋体" w:eastAsia="新宋体"/>
          <w:color w:val="auto"/>
          <w:sz w:val="24"/>
          <w:szCs w:val="24"/>
        </w:rPr>
        <w:t>1.</w:t>
      </w:r>
      <w:r>
        <w:rPr>
          <w:rFonts w:hint="eastAsia" w:ascii="新宋体" w:hAnsi="新宋体" w:eastAsia="新宋体"/>
          <w:i/>
          <w:iCs/>
          <w:color w:val="auto"/>
          <w:sz w:val="24"/>
          <w:szCs w:val="24"/>
          <w:u w:val="single"/>
        </w:rPr>
        <w:t>（标的名称）</w:t>
      </w:r>
      <w:r>
        <w:rPr>
          <w:rFonts w:hint="eastAsia" w:ascii="新宋体" w:hAnsi="新宋体" w:eastAsia="新宋体"/>
          <w:color w:val="auto"/>
          <w:sz w:val="24"/>
          <w:szCs w:val="24"/>
        </w:rPr>
        <w:t>，属于</w:t>
      </w:r>
      <w:r>
        <w:rPr>
          <w:rFonts w:hint="eastAsia" w:ascii="新宋体" w:hAnsi="新宋体" w:eastAsia="新宋体"/>
          <w:i/>
          <w:iCs/>
          <w:color w:val="auto"/>
          <w:sz w:val="24"/>
          <w:szCs w:val="24"/>
          <w:u w:val="single"/>
        </w:rPr>
        <w:t>（采购文件中明确的所属行业）</w:t>
      </w:r>
      <w:r>
        <w:rPr>
          <w:rFonts w:hint="eastAsia" w:ascii="新宋体" w:hAnsi="新宋体" w:eastAsia="新宋体"/>
          <w:color w:val="auto"/>
          <w:sz w:val="24"/>
          <w:szCs w:val="24"/>
        </w:rPr>
        <w:t>行业；制造商为</w:t>
      </w:r>
      <w:r>
        <w:rPr>
          <w:rFonts w:hint="eastAsia" w:ascii="新宋体" w:hAnsi="新宋体" w:eastAsia="新宋体"/>
          <w:i/>
          <w:iCs/>
          <w:color w:val="auto"/>
          <w:sz w:val="24"/>
          <w:szCs w:val="24"/>
          <w:u w:val="single"/>
        </w:rPr>
        <w:t>（企业名称）</w:t>
      </w:r>
      <w:r>
        <w:rPr>
          <w:rFonts w:hint="eastAsia" w:ascii="新宋体" w:hAnsi="新宋体" w:eastAsia="新宋体"/>
          <w:color w:val="auto"/>
          <w:sz w:val="24"/>
          <w:szCs w:val="24"/>
        </w:rPr>
        <w:t>，从业人员</w:t>
      </w:r>
      <w:r>
        <w:rPr>
          <w:rFonts w:ascii="新宋体" w:hAnsi="新宋体" w:eastAsia="新宋体"/>
          <w:color w:val="auto"/>
          <w:sz w:val="24"/>
          <w:szCs w:val="24"/>
        </w:rPr>
        <w:t>______</w:t>
      </w:r>
      <w:r>
        <w:rPr>
          <w:rFonts w:hint="eastAsia" w:ascii="新宋体" w:hAnsi="新宋体" w:eastAsia="新宋体"/>
          <w:color w:val="auto"/>
          <w:sz w:val="24"/>
          <w:szCs w:val="24"/>
        </w:rPr>
        <w:t>人，营业收入为</w:t>
      </w:r>
      <w:r>
        <w:rPr>
          <w:rFonts w:ascii="新宋体" w:hAnsi="新宋体" w:eastAsia="新宋体"/>
          <w:color w:val="auto"/>
          <w:sz w:val="24"/>
          <w:szCs w:val="24"/>
        </w:rPr>
        <w:t>________</w:t>
      </w:r>
      <w:r>
        <w:rPr>
          <w:rFonts w:hint="eastAsia" w:ascii="新宋体" w:hAnsi="新宋体" w:eastAsia="新宋体"/>
          <w:color w:val="auto"/>
          <w:sz w:val="24"/>
          <w:szCs w:val="24"/>
        </w:rPr>
        <w:t>万元，资产总额为</w:t>
      </w:r>
      <w:r>
        <w:rPr>
          <w:rFonts w:ascii="新宋体" w:hAnsi="新宋体" w:eastAsia="新宋体"/>
          <w:color w:val="auto"/>
          <w:sz w:val="24"/>
          <w:szCs w:val="24"/>
        </w:rPr>
        <w:t>_________</w:t>
      </w:r>
      <w:r>
        <w:rPr>
          <w:rFonts w:hint="eastAsia" w:ascii="新宋体" w:hAnsi="新宋体" w:eastAsia="新宋体"/>
          <w:color w:val="auto"/>
          <w:sz w:val="24"/>
          <w:szCs w:val="24"/>
        </w:rPr>
        <w:t>万元，属于</w:t>
      </w:r>
      <w:r>
        <w:rPr>
          <w:rFonts w:hint="eastAsia" w:ascii="新宋体" w:hAnsi="新宋体" w:eastAsia="新宋体"/>
          <w:i/>
          <w:iCs/>
          <w:color w:val="auto"/>
          <w:sz w:val="24"/>
          <w:szCs w:val="24"/>
          <w:u w:val="single"/>
        </w:rPr>
        <w:t>（中型企业、小型企业、微型企业）</w:t>
      </w:r>
      <w:r>
        <w:rPr>
          <w:rFonts w:hint="eastAsia" w:ascii="新宋体" w:hAnsi="新宋体" w:eastAsia="新宋体"/>
          <w:color w:val="auto"/>
          <w:sz w:val="24"/>
          <w:szCs w:val="24"/>
        </w:rPr>
        <w:t>；</w:t>
      </w:r>
    </w:p>
    <w:p w14:paraId="5EC532A8">
      <w:pPr>
        <w:snapToGrid w:val="0"/>
        <w:spacing w:line="360" w:lineRule="auto"/>
        <w:ind w:firstLine="480" w:firstLineChars="200"/>
        <w:rPr>
          <w:rFonts w:ascii="仿宋" w:hAnsi="仿宋" w:eastAsia="仿宋" w:cs="仿宋"/>
          <w:color w:val="auto"/>
          <w:kern w:val="0"/>
          <w:sz w:val="24"/>
          <w:szCs w:val="24"/>
          <w:lang w:bidi="ar"/>
        </w:rPr>
      </w:pPr>
      <w:r>
        <w:rPr>
          <w:rFonts w:hint="eastAsia" w:ascii="新宋体" w:hAnsi="新宋体" w:eastAsia="新宋体"/>
          <w:color w:val="auto"/>
          <w:sz w:val="24"/>
          <w:szCs w:val="24"/>
        </w:rPr>
        <w:t>2.</w:t>
      </w:r>
      <w:r>
        <w:rPr>
          <w:rFonts w:hint="eastAsia" w:ascii="新宋体" w:hAnsi="新宋体" w:eastAsia="新宋体"/>
          <w:i/>
          <w:iCs/>
          <w:color w:val="auto"/>
          <w:sz w:val="24"/>
          <w:szCs w:val="24"/>
          <w:u w:val="single"/>
        </w:rPr>
        <w:t>（标的名称）</w:t>
      </w:r>
      <w:r>
        <w:rPr>
          <w:rFonts w:hint="eastAsia" w:ascii="新宋体" w:hAnsi="新宋体" w:eastAsia="新宋体"/>
          <w:color w:val="auto"/>
          <w:sz w:val="24"/>
          <w:szCs w:val="24"/>
        </w:rPr>
        <w:t>，属于</w:t>
      </w:r>
      <w:r>
        <w:rPr>
          <w:rFonts w:hint="eastAsia" w:ascii="新宋体" w:hAnsi="新宋体" w:eastAsia="新宋体"/>
          <w:i/>
          <w:iCs/>
          <w:color w:val="auto"/>
          <w:sz w:val="24"/>
          <w:szCs w:val="24"/>
          <w:u w:val="single"/>
        </w:rPr>
        <w:t>（采购文件中明确的所属行业）</w:t>
      </w:r>
      <w:r>
        <w:rPr>
          <w:rFonts w:hint="eastAsia" w:ascii="新宋体" w:hAnsi="新宋体" w:eastAsia="新宋体"/>
          <w:color w:val="auto"/>
          <w:sz w:val="24"/>
          <w:szCs w:val="24"/>
        </w:rPr>
        <w:t>行业；制造商为</w:t>
      </w:r>
      <w:r>
        <w:rPr>
          <w:rFonts w:hint="eastAsia" w:ascii="新宋体" w:hAnsi="新宋体" w:eastAsia="新宋体"/>
          <w:i/>
          <w:iCs/>
          <w:color w:val="auto"/>
          <w:sz w:val="24"/>
          <w:szCs w:val="24"/>
          <w:u w:val="single"/>
        </w:rPr>
        <w:t>（企业名称）</w:t>
      </w:r>
      <w:r>
        <w:rPr>
          <w:rFonts w:hint="eastAsia" w:ascii="新宋体" w:hAnsi="新宋体" w:eastAsia="新宋体"/>
          <w:color w:val="auto"/>
          <w:sz w:val="24"/>
          <w:szCs w:val="24"/>
        </w:rPr>
        <w:t>，从业人员</w:t>
      </w:r>
      <w:r>
        <w:rPr>
          <w:rFonts w:ascii="新宋体" w:hAnsi="新宋体" w:eastAsia="新宋体"/>
          <w:color w:val="auto"/>
          <w:sz w:val="24"/>
          <w:szCs w:val="24"/>
        </w:rPr>
        <w:t>______</w:t>
      </w:r>
      <w:r>
        <w:rPr>
          <w:rFonts w:hint="eastAsia" w:ascii="新宋体" w:hAnsi="新宋体" w:eastAsia="新宋体"/>
          <w:color w:val="auto"/>
          <w:sz w:val="24"/>
          <w:szCs w:val="24"/>
        </w:rPr>
        <w:t>人，营业收入为</w:t>
      </w:r>
      <w:r>
        <w:rPr>
          <w:rFonts w:ascii="新宋体" w:hAnsi="新宋体" w:eastAsia="新宋体"/>
          <w:color w:val="auto"/>
          <w:sz w:val="24"/>
          <w:szCs w:val="24"/>
        </w:rPr>
        <w:t>________</w:t>
      </w:r>
      <w:r>
        <w:rPr>
          <w:rFonts w:hint="eastAsia" w:ascii="新宋体" w:hAnsi="新宋体" w:eastAsia="新宋体"/>
          <w:color w:val="auto"/>
          <w:sz w:val="24"/>
          <w:szCs w:val="24"/>
        </w:rPr>
        <w:t>万元，资产总额为</w:t>
      </w:r>
      <w:r>
        <w:rPr>
          <w:rFonts w:ascii="新宋体" w:hAnsi="新宋体" w:eastAsia="新宋体"/>
          <w:color w:val="auto"/>
          <w:sz w:val="24"/>
          <w:szCs w:val="24"/>
        </w:rPr>
        <w:t>_________</w:t>
      </w:r>
      <w:r>
        <w:rPr>
          <w:rFonts w:hint="eastAsia" w:ascii="新宋体" w:hAnsi="新宋体" w:eastAsia="新宋体"/>
          <w:color w:val="auto"/>
          <w:sz w:val="24"/>
          <w:szCs w:val="24"/>
        </w:rPr>
        <w:t>万元，属于</w:t>
      </w:r>
      <w:r>
        <w:rPr>
          <w:rFonts w:hint="eastAsia" w:ascii="新宋体" w:hAnsi="新宋体" w:eastAsia="新宋体"/>
          <w:i/>
          <w:iCs/>
          <w:color w:val="auto"/>
          <w:sz w:val="24"/>
          <w:szCs w:val="24"/>
          <w:u w:val="single"/>
        </w:rPr>
        <w:t>（中型企业、小型企业、微型企业）</w:t>
      </w:r>
      <w:r>
        <w:rPr>
          <w:rFonts w:hint="eastAsia" w:ascii="新宋体" w:hAnsi="新宋体" w:eastAsia="新宋体"/>
          <w:color w:val="auto"/>
          <w:sz w:val="24"/>
          <w:szCs w:val="24"/>
        </w:rPr>
        <w:t>；</w:t>
      </w:r>
    </w:p>
    <w:p w14:paraId="7EB8AED8">
      <w:pPr>
        <w:snapToGrid w:val="0"/>
        <w:spacing w:line="360" w:lineRule="auto"/>
        <w:ind w:firstLine="480" w:firstLineChars="200"/>
        <w:rPr>
          <w:rFonts w:hint="eastAsia" w:ascii="新宋体" w:hAnsi="新宋体" w:eastAsia="新宋体"/>
          <w:color w:val="auto"/>
          <w:sz w:val="24"/>
          <w:szCs w:val="24"/>
        </w:rPr>
      </w:pPr>
      <w:r>
        <w:rPr>
          <w:rFonts w:hint="eastAsia" w:ascii="新宋体" w:hAnsi="新宋体" w:eastAsia="新宋体"/>
          <w:color w:val="auto"/>
          <w:sz w:val="24"/>
          <w:szCs w:val="24"/>
        </w:rPr>
        <w:t>……</w:t>
      </w:r>
    </w:p>
    <w:p w14:paraId="3A843A66">
      <w:pPr>
        <w:snapToGrid w:val="0"/>
        <w:spacing w:line="360" w:lineRule="auto"/>
        <w:ind w:firstLine="480" w:firstLineChars="200"/>
        <w:rPr>
          <w:rFonts w:hint="eastAsia" w:ascii="新宋体" w:hAnsi="新宋体" w:eastAsia="新宋体"/>
          <w:color w:val="auto"/>
          <w:sz w:val="24"/>
          <w:szCs w:val="24"/>
        </w:rPr>
      </w:pPr>
      <w:r>
        <w:rPr>
          <w:rFonts w:hint="eastAsia" w:ascii="新宋体" w:hAnsi="新宋体" w:eastAsia="新宋体"/>
          <w:color w:val="auto"/>
          <w:sz w:val="24"/>
          <w:szCs w:val="24"/>
        </w:rPr>
        <w:t>以上企业，不属于大企业的分支机构，不存在控股股东为大企业的情形，也不存在与大企业的负责人为同一人的情形。</w:t>
      </w:r>
    </w:p>
    <w:p w14:paraId="7D7E7A88">
      <w:pPr>
        <w:snapToGrid w:val="0"/>
        <w:spacing w:line="360" w:lineRule="auto"/>
        <w:ind w:firstLine="480" w:firstLineChars="200"/>
        <w:rPr>
          <w:rFonts w:hint="eastAsia" w:ascii="新宋体" w:hAnsi="新宋体" w:eastAsia="新宋体"/>
          <w:color w:val="auto"/>
          <w:sz w:val="24"/>
          <w:szCs w:val="24"/>
        </w:rPr>
      </w:pPr>
      <w:r>
        <w:rPr>
          <w:rFonts w:hint="eastAsia" w:ascii="新宋体" w:hAnsi="新宋体" w:eastAsia="新宋体"/>
          <w:color w:val="auto"/>
          <w:sz w:val="24"/>
          <w:szCs w:val="24"/>
        </w:rPr>
        <w:t>本企业对上述声明内容的真实性负责。如有虚假，将依法承担相应责任。</w:t>
      </w:r>
    </w:p>
    <w:p w14:paraId="21CCD3DD">
      <w:pPr>
        <w:snapToGrid w:val="0"/>
        <w:spacing w:line="360" w:lineRule="auto"/>
        <w:ind w:firstLine="2640" w:firstLineChars="1100"/>
        <w:rPr>
          <w:rFonts w:hint="eastAsia" w:ascii="新宋体" w:hAnsi="新宋体" w:eastAsia="新宋体"/>
          <w:color w:val="auto"/>
          <w:sz w:val="24"/>
          <w:szCs w:val="24"/>
        </w:rPr>
      </w:pPr>
      <w:r>
        <w:rPr>
          <w:rFonts w:hint="eastAsia" w:ascii="新宋体" w:hAnsi="新宋体" w:eastAsia="新宋体"/>
          <w:color w:val="auto"/>
          <w:sz w:val="24"/>
          <w:szCs w:val="24"/>
        </w:rPr>
        <w:t>企业（投标人）名称（电子签章）：</w:t>
      </w:r>
      <w:r>
        <w:rPr>
          <w:rFonts w:ascii="新宋体" w:hAnsi="新宋体" w:eastAsia="新宋体"/>
          <w:color w:val="auto"/>
          <w:sz w:val="24"/>
          <w:szCs w:val="24"/>
        </w:rPr>
        <w:t>_______</w:t>
      </w:r>
    </w:p>
    <w:p w14:paraId="67295A46">
      <w:pPr>
        <w:snapToGrid w:val="0"/>
        <w:spacing w:line="360" w:lineRule="auto"/>
        <w:ind w:firstLine="5040" w:firstLineChars="2100"/>
        <w:rPr>
          <w:rFonts w:ascii="新宋体" w:hAnsi="新宋体" w:eastAsia="新宋体"/>
          <w:color w:val="auto"/>
          <w:sz w:val="24"/>
          <w:szCs w:val="24"/>
        </w:rPr>
      </w:pPr>
      <w:r>
        <w:rPr>
          <w:rFonts w:hint="eastAsia" w:ascii="新宋体" w:hAnsi="新宋体" w:eastAsia="新宋体"/>
          <w:color w:val="auto"/>
          <w:sz w:val="24"/>
          <w:szCs w:val="24"/>
        </w:rPr>
        <w:t>日 期：</w:t>
      </w:r>
      <w:r>
        <w:rPr>
          <w:rFonts w:ascii="新宋体" w:hAnsi="新宋体" w:eastAsia="新宋体"/>
          <w:color w:val="auto"/>
          <w:sz w:val="24"/>
          <w:szCs w:val="24"/>
        </w:rPr>
        <w:t>_______</w:t>
      </w:r>
    </w:p>
    <w:p w14:paraId="72F7272A">
      <w:pPr>
        <w:snapToGrid w:val="0"/>
        <w:spacing w:line="360" w:lineRule="auto"/>
        <w:rPr>
          <w:rFonts w:hint="eastAsia" w:ascii="新宋体" w:hAnsi="新宋体" w:eastAsia="新宋体"/>
          <w:b/>
          <w:color w:val="auto"/>
          <w:sz w:val="24"/>
        </w:rPr>
      </w:pPr>
      <w:r>
        <w:rPr>
          <w:rFonts w:hint="eastAsia" w:ascii="新宋体" w:hAnsi="新宋体" w:eastAsia="新宋体"/>
          <w:b/>
          <w:color w:val="auto"/>
          <w:sz w:val="24"/>
        </w:rPr>
        <w:t>备注说明：</w:t>
      </w:r>
    </w:p>
    <w:p w14:paraId="55D38F5E">
      <w:pPr>
        <w:snapToGrid w:val="0"/>
        <w:spacing w:line="360" w:lineRule="auto"/>
        <w:rPr>
          <w:rFonts w:hint="eastAsia" w:ascii="新宋体" w:hAnsi="新宋体" w:eastAsia="新宋体"/>
          <w:color w:val="auto"/>
          <w:sz w:val="24"/>
        </w:rPr>
      </w:pPr>
      <w:r>
        <w:rPr>
          <w:rFonts w:hint="eastAsia" w:ascii="新宋体" w:hAnsi="新宋体" w:eastAsia="新宋体"/>
          <w:color w:val="auto"/>
          <w:sz w:val="24"/>
        </w:rPr>
        <w:t>1.从业人员、营业收入、资产总额填报上一年度数据，无上一年度数据的新成立企业可不填报。</w:t>
      </w:r>
    </w:p>
    <w:p w14:paraId="4146B59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right="0"/>
        <w:jc w:val="left"/>
        <w:rPr>
          <w:rFonts w:hint="eastAsia" w:ascii="新宋体" w:hAnsi="新宋体" w:eastAsia="新宋体" w:cs="Times New Roman"/>
          <w:color w:val="auto"/>
          <w:sz w:val="24"/>
        </w:rPr>
      </w:pPr>
      <w:r>
        <w:rPr>
          <w:rFonts w:hint="eastAsia" w:ascii="新宋体" w:hAnsi="新宋体" w:eastAsia="新宋体" w:cs="Times New Roman"/>
          <w:i w:val="0"/>
          <w:iCs w:val="0"/>
          <w:caps w:val="0"/>
          <w:color w:val="auto"/>
          <w:spacing w:val="0"/>
          <w:kern w:val="2"/>
          <w:sz w:val="24"/>
          <w:szCs w:val="24"/>
          <w:shd w:val="clear" w:color="auto" w:fill="auto"/>
          <w:lang w:val="en-US" w:eastAsia="zh-CN" w:bidi="ar"/>
        </w:rPr>
        <w:t>2</w:t>
      </w:r>
      <w:r>
        <w:rPr>
          <w:rFonts w:hint="eastAsia" w:ascii="新宋体" w:hAnsi="新宋体" w:eastAsia="新宋体" w:cs="新宋体"/>
          <w:color w:val="auto"/>
          <w:sz w:val="24"/>
          <w:highlight w:val="none"/>
          <w:lang w:val="en-US" w:eastAsia="zh-CN"/>
        </w:rPr>
        <w:t>..</w:t>
      </w:r>
      <w:r>
        <w:rPr>
          <w:rFonts w:hint="eastAsia" w:ascii="新宋体" w:hAnsi="新宋体" w:eastAsia="新宋体" w:cs="新宋体"/>
          <w:b/>
          <w:bCs/>
          <w:color w:val="auto"/>
          <w:sz w:val="24"/>
          <w:highlight w:val="none"/>
          <w:u w:val="single"/>
        </w:rPr>
        <w:t>采购标的</w:t>
      </w:r>
      <w:r>
        <w:rPr>
          <w:rFonts w:hint="eastAsia" w:ascii="新宋体" w:hAnsi="新宋体" w:eastAsia="新宋体" w:cs="Times New Roman"/>
          <w:i w:val="0"/>
          <w:iCs w:val="0"/>
          <w:caps w:val="0"/>
          <w:color w:val="auto"/>
          <w:spacing w:val="0"/>
          <w:kern w:val="2"/>
          <w:sz w:val="24"/>
          <w:szCs w:val="24"/>
          <w:shd w:val="clear" w:color="auto" w:fill="auto"/>
          <w:lang w:val="en-US" w:eastAsia="zh-CN" w:bidi="ar"/>
        </w:rPr>
        <w:t>（配件、辅料不作为标的）</w:t>
      </w:r>
      <w:r>
        <w:rPr>
          <w:rFonts w:hint="eastAsia" w:ascii="新宋体" w:hAnsi="新宋体" w:eastAsia="新宋体" w:cs="新宋体"/>
          <w:color w:val="auto"/>
          <w:sz w:val="24"/>
          <w:highlight w:val="none"/>
        </w:rPr>
        <w:t>对应的所属行业</w:t>
      </w:r>
      <w:r>
        <w:rPr>
          <w:rFonts w:hint="eastAsia" w:ascii="新宋体" w:hAnsi="新宋体" w:eastAsia="新宋体" w:cs="新宋体"/>
          <w:color w:val="auto"/>
          <w:sz w:val="24"/>
          <w:highlight w:val="none"/>
          <w:lang w:eastAsia="zh-CN"/>
        </w:rPr>
        <w:t>：【</w:t>
      </w:r>
      <w:r>
        <w:rPr>
          <w:color w:val="000000"/>
          <w:sz w:val="24"/>
          <w:szCs w:val="24"/>
        </w:rPr>
        <w:t>租赁和商务服务业</w:t>
      </w:r>
      <w:r>
        <w:rPr>
          <w:rFonts w:hint="eastAsia" w:ascii="新宋体" w:hAnsi="新宋体" w:eastAsia="新宋体" w:cs="新宋体"/>
          <w:color w:val="auto"/>
          <w:sz w:val="24"/>
          <w:highlight w:val="none"/>
          <w:lang w:eastAsia="zh-CN"/>
        </w:rPr>
        <w:t>】。</w:t>
      </w:r>
    </w:p>
    <w:p w14:paraId="2DF388F5">
      <w:pPr>
        <w:spacing w:line="400" w:lineRule="exact"/>
        <w:rPr>
          <w:rFonts w:hint="eastAsia"/>
          <w:color w:val="auto"/>
        </w:rPr>
      </w:pPr>
      <w:r>
        <w:rPr>
          <w:rFonts w:hint="eastAsia" w:ascii="新宋体" w:hAnsi="新宋体" w:eastAsia="新宋体" w:cs="新宋体"/>
          <w:color w:val="auto"/>
          <w:sz w:val="24"/>
          <w:highlight w:val="none"/>
        </w:rPr>
        <w:t>3.中型企业、小型企业、微型企业等3种企业类型，结合以上数据，依据《中小企业划型标准规定》（工信部联企业〔2011〕300号）确定。企业类型填写错误的，声明函无效。</w:t>
      </w:r>
    </w:p>
    <w:p w14:paraId="5FD7E4BE">
      <w:pPr>
        <w:rPr>
          <w:rFonts w:ascii="新宋体" w:hAnsi="新宋体" w:eastAsia="新宋体"/>
          <w:color w:val="auto"/>
        </w:rPr>
      </w:pPr>
      <w:r>
        <w:rPr>
          <w:rFonts w:ascii="新宋体" w:hAnsi="新宋体" w:eastAsia="新宋体"/>
          <w:color w:val="auto"/>
          <w:sz w:val="30"/>
          <w:szCs w:val="30"/>
        </w:rPr>
        <w:br w:type="page"/>
      </w:r>
      <w:r>
        <w:rPr>
          <w:rFonts w:hint="eastAsia" w:ascii="新宋体" w:hAnsi="新宋体" w:eastAsia="新宋体"/>
          <w:color w:val="auto"/>
          <w:sz w:val="30"/>
          <w:szCs w:val="30"/>
          <w:lang w:eastAsia="zh-CN"/>
        </w:rPr>
        <w:t>七、</w:t>
      </w:r>
    </w:p>
    <w:p w14:paraId="30D7B93C">
      <w:pPr>
        <w:rPr>
          <w:rFonts w:ascii="新宋体" w:hAnsi="新宋体" w:eastAsia="新宋体"/>
          <w:color w:val="auto"/>
        </w:rPr>
      </w:pPr>
    </w:p>
    <w:p w14:paraId="25FDE44C">
      <w:pPr>
        <w:spacing w:line="588" w:lineRule="exact"/>
        <w:jc w:val="center"/>
        <w:rPr>
          <w:rFonts w:ascii="新宋体" w:hAnsi="新宋体" w:eastAsia="新宋体"/>
          <w:b/>
          <w:color w:val="auto"/>
          <w:spacing w:val="6"/>
          <w:sz w:val="32"/>
          <w:szCs w:val="32"/>
        </w:rPr>
      </w:pPr>
      <w:r>
        <w:rPr>
          <w:rFonts w:hint="eastAsia" w:ascii="新宋体" w:hAnsi="新宋体" w:eastAsia="新宋体"/>
          <w:b/>
          <w:color w:val="auto"/>
          <w:spacing w:val="6"/>
          <w:sz w:val="32"/>
          <w:szCs w:val="32"/>
        </w:rPr>
        <w:t>残疾人福利性单位声明函</w:t>
      </w:r>
    </w:p>
    <w:p w14:paraId="131C695A">
      <w:pPr>
        <w:spacing w:line="588" w:lineRule="exact"/>
        <w:rPr>
          <w:rFonts w:ascii="新宋体" w:hAnsi="新宋体" w:eastAsia="新宋体"/>
          <w:b/>
          <w:color w:val="auto"/>
          <w:spacing w:val="6"/>
          <w:sz w:val="30"/>
          <w:szCs w:val="30"/>
        </w:rPr>
      </w:pPr>
    </w:p>
    <w:p w14:paraId="33E54BA7">
      <w:pPr>
        <w:snapToGrid w:val="0"/>
        <w:spacing w:line="360" w:lineRule="auto"/>
        <w:ind w:firstLine="560" w:firstLineChars="200"/>
        <w:rPr>
          <w:rFonts w:ascii="新宋体" w:hAnsi="新宋体" w:eastAsia="新宋体"/>
          <w:color w:val="auto"/>
          <w:sz w:val="28"/>
          <w:szCs w:val="28"/>
        </w:rPr>
      </w:pPr>
      <w:r>
        <w:rPr>
          <w:rFonts w:hint="eastAsia" w:ascii="新宋体" w:hAnsi="新宋体" w:eastAsia="新宋体"/>
          <w:color w:val="auto"/>
          <w:sz w:val="28"/>
          <w:szCs w:val="28"/>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38B5482">
      <w:pPr>
        <w:snapToGrid w:val="0"/>
        <w:spacing w:line="360" w:lineRule="auto"/>
        <w:ind w:firstLine="560" w:firstLineChars="200"/>
        <w:rPr>
          <w:rFonts w:ascii="新宋体" w:hAnsi="新宋体" w:eastAsia="新宋体"/>
          <w:color w:val="auto"/>
          <w:sz w:val="28"/>
          <w:szCs w:val="28"/>
        </w:rPr>
      </w:pPr>
      <w:r>
        <w:rPr>
          <w:rFonts w:hint="eastAsia" w:ascii="新宋体" w:hAnsi="新宋体" w:eastAsia="新宋体"/>
          <w:color w:val="auto"/>
          <w:sz w:val="28"/>
          <w:szCs w:val="28"/>
        </w:rPr>
        <w:t>本单位对上述声明的真实性负责。如有虚假，将依法承担相应责任。</w:t>
      </w:r>
    </w:p>
    <w:p w14:paraId="0D8E9C89">
      <w:pPr>
        <w:jc w:val="right"/>
        <w:rPr>
          <w:rFonts w:ascii="新宋体" w:hAnsi="新宋体" w:eastAsia="新宋体"/>
          <w:color w:val="auto"/>
          <w:sz w:val="24"/>
        </w:rPr>
      </w:pPr>
    </w:p>
    <w:p w14:paraId="5FD5F512">
      <w:pPr>
        <w:jc w:val="right"/>
        <w:rPr>
          <w:rFonts w:ascii="新宋体" w:hAnsi="新宋体" w:eastAsia="新宋体"/>
          <w:color w:val="auto"/>
          <w:sz w:val="24"/>
        </w:rPr>
      </w:pPr>
    </w:p>
    <w:p w14:paraId="79B61C8E">
      <w:pPr>
        <w:jc w:val="right"/>
        <w:rPr>
          <w:rFonts w:ascii="新宋体" w:hAnsi="新宋体" w:eastAsia="新宋体"/>
          <w:color w:val="auto"/>
          <w:sz w:val="24"/>
        </w:rPr>
      </w:pPr>
    </w:p>
    <w:p w14:paraId="4739CBC8">
      <w:pPr>
        <w:jc w:val="right"/>
        <w:rPr>
          <w:rFonts w:ascii="新宋体" w:hAnsi="新宋体" w:eastAsia="新宋体"/>
          <w:color w:val="auto"/>
          <w:sz w:val="24"/>
        </w:rPr>
      </w:pPr>
    </w:p>
    <w:p w14:paraId="59343DF1">
      <w:pPr>
        <w:jc w:val="right"/>
        <w:rPr>
          <w:rFonts w:ascii="新宋体" w:hAnsi="新宋体" w:eastAsia="新宋体"/>
          <w:color w:val="auto"/>
          <w:sz w:val="24"/>
        </w:rPr>
      </w:pPr>
      <w:r>
        <w:rPr>
          <w:rFonts w:hint="eastAsia" w:ascii="新宋体" w:hAnsi="新宋体" w:eastAsia="新宋体"/>
          <w:color w:val="auto"/>
          <w:sz w:val="24"/>
        </w:rPr>
        <w:t>投标人名称（盖章）：</w:t>
      </w:r>
      <w:r>
        <w:rPr>
          <w:rFonts w:ascii="新宋体" w:hAnsi="新宋体" w:eastAsia="新宋体"/>
          <w:color w:val="auto"/>
          <w:sz w:val="28"/>
          <w:szCs w:val="28"/>
        </w:rPr>
        <w:t>_____________</w:t>
      </w:r>
      <w:r>
        <w:rPr>
          <w:rFonts w:hint="eastAsia" w:ascii="新宋体" w:hAnsi="新宋体" w:eastAsia="新宋体"/>
          <w:color w:val="auto"/>
          <w:sz w:val="24"/>
        </w:rPr>
        <w:t xml:space="preserve"> </w:t>
      </w:r>
    </w:p>
    <w:p w14:paraId="75C48CB1">
      <w:pPr>
        <w:snapToGrid w:val="0"/>
        <w:spacing w:line="360" w:lineRule="auto"/>
        <w:jc w:val="right"/>
        <w:rPr>
          <w:rFonts w:ascii="新宋体" w:hAnsi="新宋体" w:eastAsia="新宋体"/>
          <w:color w:val="auto"/>
          <w:sz w:val="28"/>
          <w:szCs w:val="28"/>
        </w:rPr>
      </w:pPr>
      <w:r>
        <w:rPr>
          <w:rFonts w:hint="eastAsia" w:ascii="新宋体" w:hAnsi="新宋体" w:eastAsia="新宋体"/>
          <w:color w:val="auto"/>
          <w:sz w:val="24"/>
        </w:rPr>
        <w:t>日 期：</w:t>
      </w:r>
      <w:r>
        <w:rPr>
          <w:rFonts w:ascii="新宋体" w:hAnsi="新宋体" w:eastAsia="新宋体"/>
          <w:color w:val="auto"/>
          <w:sz w:val="28"/>
          <w:szCs w:val="28"/>
        </w:rPr>
        <w:t>_________</w:t>
      </w:r>
    </w:p>
    <w:p w14:paraId="029D7CD8">
      <w:pPr>
        <w:spacing w:line="588" w:lineRule="exact"/>
        <w:ind w:firstLine="624" w:firstLineChars="200"/>
        <w:rPr>
          <w:rFonts w:ascii="新宋体" w:hAnsi="新宋体" w:eastAsia="新宋体"/>
          <w:color w:val="auto"/>
          <w:spacing w:val="6"/>
          <w:sz w:val="30"/>
          <w:szCs w:val="30"/>
        </w:rPr>
      </w:pPr>
    </w:p>
    <w:p w14:paraId="4A0DD6EA">
      <w:pPr>
        <w:rPr>
          <w:rFonts w:hint="eastAsia"/>
          <w:color w:val="auto"/>
          <w:highlight w:val="none"/>
        </w:rPr>
      </w:pPr>
    </w:p>
    <w:p w14:paraId="23ADDA8C">
      <w:pPr>
        <w:spacing w:line="360" w:lineRule="auto"/>
        <w:jc w:val="center"/>
        <w:rPr>
          <w:rFonts w:ascii="宋体" w:hAnsi="宋体" w:cs="宋体"/>
          <w:b/>
          <w:color w:val="auto"/>
          <w:kern w:val="0"/>
          <w:sz w:val="36"/>
          <w:szCs w:val="36"/>
          <w:highlight w:val="none"/>
        </w:rPr>
      </w:pPr>
    </w:p>
    <w:p w14:paraId="51914524">
      <w:pPr>
        <w:snapToGrid w:val="0"/>
        <w:spacing w:line="480" w:lineRule="auto"/>
        <w:ind w:firstLine="480" w:firstLineChars="200"/>
        <w:jc w:val="left"/>
        <w:rPr>
          <w:rFonts w:ascii="宋体" w:hAnsi="宋体" w:cs="Courier New"/>
          <w:color w:val="auto"/>
          <w:kern w:val="0"/>
          <w:sz w:val="24"/>
          <w:highlight w:val="none"/>
        </w:rPr>
      </w:pPr>
    </w:p>
    <w:p w14:paraId="400F74CF">
      <w:pPr>
        <w:snapToGrid w:val="0"/>
        <w:spacing w:line="360" w:lineRule="auto"/>
        <w:ind w:firstLine="480" w:firstLineChars="200"/>
        <w:rPr>
          <w:color w:val="auto"/>
          <w:highlight w:val="none"/>
        </w:rPr>
      </w:pPr>
      <w:r>
        <w:rPr>
          <w:rFonts w:hint="eastAsia" w:ascii="宋体" w:hAnsi="宋体" w:eastAsia="仿宋" w:cs="Courier New"/>
          <w:color w:val="auto"/>
          <w:kern w:val="0"/>
          <w:sz w:val="24"/>
          <w:highlight w:val="none"/>
          <w:lang w:bidi="ar"/>
        </w:rPr>
        <w:t xml:space="preserve"> </w:t>
      </w:r>
    </w:p>
    <w:sectPr>
      <w:headerReference r:id="rId12" w:type="first"/>
      <w:footerReference r:id="rId14" w:type="first"/>
      <w:headerReference r:id="rId11" w:type="default"/>
      <w:footerReference r:id="rId13" w:type="default"/>
      <w:pgSz w:w="11905" w:h="16838"/>
      <w:pgMar w:top="822" w:right="1417" w:bottom="822" w:left="1417" w:header="539" w:footer="482" w:gutter="0"/>
      <w:pgNumType w:fmt="decimal"/>
      <w:cols w:space="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微软雅黑">
    <w:altName w:val="方正黑体_GBK"/>
    <w:panose1 w:val="020B0503020204020204"/>
    <w:charset w:val="86"/>
    <w:family w:val="swiss"/>
    <w:pitch w:val="default"/>
    <w:sig w:usb0="00000000" w:usb1="00000000" w:usb2="00000016" w:usb3="00000000" w:csb0="0004001F" w:csb1="00000000"/>
  </w:font>
  <w:font w:name="隶书">
    <w:altName w:val="方正隶书_GBK"/>
    <w:panose1 w:val="02010509060101010101"/>
    <w:charset w:val="86"/>
    <w:family w:val="modern"/>
    <w:pitch w:val="default"/>
    <w:sig w:usb0="00000000" w:usb1="00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楷体_GB2312">
    <w:altName w:val="方正楷体_GBK"/>
    <w:panose1 w:val="00000000000000000000"/>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Futura Bk">
    <w:altName w:val="国标宋体-超大字符集"/>
    <w:panose1 w:val="00000000000000000000"/>
    <w:charset w:val="00"/>
    <w:family w:val="swiss"/>
    <w:pitch w:val="default"/>
    <w:sig w:usb0="00000000" w:usb1="00000000" w:usb2="00000000" w:usb3="00000000" w:csb0="00000011" w:csb1="00000000"/>
  </w:font>
  <w:font w:name="国标宋体-超大字符集">
    <w:panose1 w:val="03000509000000000000"/>
    <w:charset w:val="86"/>
    <w:family w:val="auto"/>
    <w:pitch w:val="default"/>
    <w:sig w:usb0="00000001" w:usb1="08000000" w:usb2="00000000"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Lucida Sans">
    <w:altName w:val="Noto Naskh Arabic"/>
    <w:panose1 w:val="020B0602030504020204"/>
    <w:charset w:val="00"/>
    <w:family w:val="swiss"/>
    <w:pitch w:val="default"/>
    <w:sig w:usb0="00000000" w:usb1="00000000" w:usb2="00000000" w:usb3="00000000" w:csb0="20000001" w:csb1="00000000"/>
  </w:font>
  <w:font w:name="Noto Naskh Arabic">
    <w:panose1 w:val="020B0502040504020204"/>
    <w:charset w:val="00"/>
    <w:family w:val="auto"/>
    <w:pitch w:val="default"/>
    <w:sig w:usb0="80002003" w:usb1="80002000" w:usb2="00000008" w:usb3="00000000" w:csb0="00000041" w:csb1="00080000"/>
  </w:font>
  <w:font w:name="等线 Light">
    <w:altName w:val="汉仪中宋简"/>
    <w:panose1 w:val="02010600030101010101"/>
    <w:charset w:val="86"/>
    <w:family w:val="auto"/>
    <w:pitch w:val="default"/>
    <w:sig w:usb0="00000000" w:usb1="00000000" w:usb2="00000016" w:usb3="00000000" w:csb0="0004000F" w:csb1="00000000"/>
  </w:font>
  <w:font w:name="Verdana">
    <w:altName w:val="DejaVu Sans"/>
    <w:panose1 w:val="020B0604030504040204"/>
    <w:charset w:val="00"/>
    <w:family w:val="swiss"/>
    <w:pitch w:val="default"/>
    <w:sig w:usb0="00000000" w:usb1="00000000" w:usb2="00000010" w:usb3="00000000" w:csb0="2000019F" w:csb1="00000000"/>
  </w:font>
  <w:font w:name="ˎ̥">
    <w:altName w:val="Noto Sans CJK JP Bold"/>
    <w:panose1 w:val="00000000000000000000"/>
    <w:charset w:val="00"/>
    <w:family w:val="roman"/>
    <w:pitch w:val="default"/>
    <w:sig w:usb0="00000000" w:usb1="00000000" w:usb2="00000000" w:usb3="00000000" w:csb0="00040001" w:csb1="00000000"/>
  </w:font>
  <w:font w:name="Noto Sans CJK JP Bold">
    <w:panose1 w:val="020B0800000000000000"/>
    <w:charset w:val="86"/>
    <w:family w:val="auto"/>
    <w:pitch w:val="default"/>
    <w:sig w:usb0="30000003" w:usb1="2BDF3C10" w:usb2="00000016" w:usb3="00000000" w:csb0="602E0107" w:csb1="00000000"/>
  </w:font>
  <w:font w:name="幼圆">
    <w:altName w:val="汉仪中宋简"/>
    <w:panose1 w:val="02010509060101010101"/>
    <w:charset w:val="86"/>
    <w:family w:val="modern"/>
    <w:pitch w:val="default"/>
    <w:sig w:usb0="00000000" w:usb1="00000000" w:usb2="00000000" w:usb3="00000000" w:csb0="00040000" w:csb1="00000000"/>
  </w:font>
  <w:font w:name="Arial Narrow">
    <w:altName w:val="DejaVu Sans"/>
    <w:panose1 w:val="020B0606020202030204"/>
    <w:charset w:val="00"/>
    <w:family w:val="swiss"/>
    <w:pitch w:val="default"/>
    <w:sig w:usb0="00000000" w:usb1="00000000" w:usb2="00000000" w:usb3="00000000" w:csb0="2000009F" w:csb1="DFD70000"/>
  </w:font>
  <w:font w:name="FHLHE E+ Futura Bk">
    <w:altName w:val="国标仿宋"/>
    <w:panose1 w:val="00000000000000000000"/>
    <w:charset w:val="86"/>
    <w:family w:val="swiss"/>
    <w:pitch w:val="default"/>
    <w:sig w:usb0="00000000" w:usb1="00000000" w:usb2="00000010" w:usb3="00000000" w:csb0="00040000" w:csb1="00000000"/>
  </w:font>
  <w:font w:name="国标仿宋">
    <w:panose1 w:val="02000500000000000000"/>
    <w:charset w:val="86"/>
    <w:family w:val="auto"/>
    <w:pitch w:val="default"/>
    <w:sig w:usb0="A00002BF" w:usb1="38C77CFA" w:usb2="00000016" w:usb3="00000000" w:csb0="00060007" w:csb1="00000000"/>
  </w:font>
  <w:font w:name="Arial (W1)">
    <w:altName w:val="DejaVu Sans"/>
    <w:panose1 w:val="00000000000000000000"/>
    <w:charset w:val="00"/>
    <w:family w:val="swiss"/>
    <w:pitch w:val="default"/>
    <w:sig w:usb0="00000000" w:usb1="00000000" w:usb2="00000008" w:usb3="00000000" w:csb0="000001FF" w:csb1="00000000"/>
  </w:font>
  <w:font w:name="Arial Unicode MS">
    <w:altName w:val="DejaVu Sans"/>
    <w:panose1 w:val="020B0604020202020204"/>
    <w:charset w:val="86"/>
    <w:family w:val="swiss"/>
    <w:pitch w:val="default"/>
    <w:sig w:usb0="00000000" w:usb1="00000000" w:usb2="0000003F" w:usb3="00000000" w:csb0="603F01FF" w:csb1="FFFF0000"/>
  </w:font>
  <w:font w:name="Helvetica">
    <w:altName w:val="DejaVu Sans"/>
    <w:panose1 w:val="020B0604020202020204"/>
    <w:charset w:val="00"/>
    <w:family w:val="swiss"/>
    <w:pitch w:val="default"/>
    <w:sig w:usb0="00000000" w:usb1="00000000" w:usb2="00000009" w:usb3="00000000" w:csb0="000001FF" w:csb1="00000000"/>
  </w:font>
  <w:font w:name="Cumberland">
    <w:altName w:val="Noto Sans CJK JP Bold"/>
    <w:panose1 w:val="00000000000000000000"/>
    <w:charset w:val="00"/>
    <w:family w:val="modern"/>
    <w:pitch w:val="default"/>
    <w:sig w:usb0="00000000" w:usb1="00000000" w:usb2="00000000" w:usb3="00000000" w:csb0="00040001" w:csb1="00000000"/>
  </w:font>
  <w:font w:name="方正宋体">
    <w:altName w:val="方正书宋_GBK"/>
    <w:panose1 w:val="00000000000000000000"/>
    <w:charset w:val="00"/>
    <w:family w:val="auto"/>
    <w:pitch w:val="default"/>
    <w:sig w:usb0="00000000" w:usb1="00000000" w:usb2="00000000" w:usb3="00000000" w:csb0="00040001" w:csb1="00000000"/>
  </w:font>
  <w:font w:name="Futura Hv">
    <w:altName w:val="国标宋体-超大字符集"/>
    <w:panose1 w:val="00000000000000000000"/>
    <w:charset w:val="00"/>
    <w:family w:val="swiss"/>
    <w:pitch w:val="default"/>
    <w:sig w:usb0="00000000" w:usb1="00000000" w:usb2="00000000" w:usb3="00000000" w:csb0="000001FB" w:csb1="00000000"/>
  </w:font>
  <w:font w:name="Segoe UI">
    <w:altName w:val="Noto Naskh Arabic"/>
    <w:panose1 w:val="020B0502040204020203"/>
    <w:charset w:val="00"/>
    <w:family w:val="swiss"/>
    <w:pitch w:val="default"/>
    <w:sig w:usb0="00000000" w:usb1="00000000" w:usb2="00000009" w:usb3="00000000" w:csb0="200001FF" w:csb1="00000000"/>
  </w:font>
  <w:font w:name="Latha">
    <w:altName w:val="DejaVu Sans"/>
    <w:panose1 w:val="020B0604020202020204"/>
    <w:charset w:val="00"/>
    <w:family w:val="swiss"/>
    <w:pitch w:val="default"/>
    <w:sig w:usb0="00000000" w:usb1="00000000" w:usb2="00000000" w:usb3="00000000" w:csb0="00000001" w:csb1="00000000"/>
  </w:font>
  <w:font w:name="等线">
    <w:altName w:val="汉仪中宋简"/>
    <w:panose1 w:val="02010600030101010101"/>
    <w:charset w:val="86"/>
    <w:family w:val="auto"/>
    <w:pitch w:val="default"/>
    <w:sig w:usb0="00000000" w:usb1="00000000" w:usb2="00000016" w:usb3="00000000" w:csb0="0004000F" w:csb1="00000000"/>
  </w:font>
  <w:font w:name="新宋体">
    <w:altName w:val="方正书宋_GBK"/>
    <w:panose1 w:val="02010609030101010101"/>
    <w:charset w:val="86"/>
    <w:family w:val="modern"/>
    <w:pitch w:val="default"/>
    <w:sig w:usb0="00000000" w:usb1="00000000" w:usb2="0000000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Lucida Sans Unicode">
    <w:altName w:val="Noto Naskh Arabic"/>
    <w:panose1 w:val="020B0602030504020204"/>
    <w:charset w:val="00"/>
    <w:family w:val="swiss"/>
    <w:pitch w:val="default"/>
    <w:sig w:usb0="00000000" w:usb1="00000000" w:usb2="00000000" w:usb3="00000000" w:csb0="200000BF" w:csb1="D7F70000"/>
  </w:font>
  <w:font w:name="Century Gothic">
    <w:altName w:val="Noto Naskh Arabic"/>
    <w:panose1 w:val="020B0502020202020204"/>
    <w:charset w:val="00"/>
    <w:family w:val="swiss"/>
    <w:pitch w:val="default"/>
    <w:sig w:usb0="00000000" w:usb1="00000000" w:usb2="00000000" w:usb3="00000000" w:csb0="2000009F" w:csb1="DFD70000"/>
  </w:font>
  <w:font w:name="Aldine401 BT">
    <w:altName w:val="国标宋体-超大字符集"/>
    <w:panose1 w:val="00000000000000000000"/>
    <w:charset w:val="00"/>
    <w:family w:val="roman"/>
    <w:pitch w:val="default"/>
    <w:sig w:usb0="00000000" w:usb1="00000000" w:usb2="00000000" w:usb3="00000000" w:csb0="00000011" w:csb1="00000000"/>
  </w:font>
  <w:font w:name=".PingFang SC">
    <w:altName w:val="Noto Sans CJK JP Bold"/>
    <w:panose1 w:val="00000000000000000000"/>
    <w:charset w:val="86"/>
    <w:family w:val="modern"/>
    <w:pitch w:val="default"/>
    <w:sig w:usb0="00000000" w:usb1="00000000" w:usb2="00000000" w:usb3="00000000" w:csb0="00040001" w:csb1="00000000"/>
  </w:font>
  <w:font w:name="MingLiU">
    <w:altName w:val="方正书宋_GBK"/>
    <w:panose1 w:val="02020509000000000000"/>
    <w:charset w:val="88"/>
    <w:family w:val="modern"/>
    <w:pitch w:val="default"/>
    <w:sig w:usb0="00000000" w:usb1="00000000" w:usb2="00000016" w:usb3="00000000" w:csb0="00100001" w:csb1="00000000"/>
  </w:font>
  <w:font w:name="PMingLiU">
    <w:altName w:val="Droid Sans Fallback"/>
    <w:panose1 w:val="02020500000000000000"/>
    <w:charset w:val="88"/>
    <w:family w:val="roman"/>
    <w:pitch w:val="default"/>
    <w:sig w:usb0="00000000" w:usb1="00000000" w:usb2="00000016" w:usb3="00000000" w:csb0="00100001" w:csb1="00000000"/>
  </w:font>
  <w:font w:name="Droid Sans Fallback">
    <w:panose1 w:val="020B0502000000000001"/>
    <w:charset w:val="86"/>
    <w:family w:val="auto"/>
    <w:pitch w:val="default"/>
    <w:sig w:usb0="910002FF" w:usb1="2BDFFCFB" w:usb2="00000036" w:usb3="00000000" w:csb0="203F01FF" w:csb1="D7FF0000"/>
  </w:font>
  <w:font w:name="Wingdings 2">
    <w:panose1 w:val="05020102010507070707"/>
    <w:charset w:val="02"/>
    <w:family w:val="roman"/>
    <w:pitch w:val="default"/>
    <w:sig w:usb0="00000000" w:usb1="00000000" w:usb2="00000000" w:usb3="00000000" w:csb0="80000000" w:csb1="00000000"/>
  </w:font>
  <w:font w:name="国标黑体">
    <w:panose1 w:val="02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09881">
    <w:pPr>
      <w:pStyle w:val="42"/>
      <w:jc w:val="center"/>
      <w:rPr>
        <w:rFonts w:ascii="仿宋_GB2312" w:eastAsia="仿宋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A1828">
    <w:pPr>
      <w:pStyle w:val="42"/>
      <w:framePr w:wrap="around" w:vAnchor="text" w:hAnchor="margin" w:xAlign="right" w:y="1"/>
      <w:rPr>
        <w:rStyle w:val="75"/>
      </w:rPr>
    </w:pPr>
    <w:r>
      <w:fldChar w:fldCharType="begin"/>
    </w:r>
    <w:r>
      <w:rPr>
        <w:rStyle w:val="75"/>
      </w:rPr>
      <w:instrText xml:space="preserve">PAGE  </w:instrText>
    </w:r>
    <w:r>
      <w:fldChar w:fldCharType="end"/>
    </w:r>
  </w:p>
  <w:p w14:paraId="2EAD5323">
    <w:pPr>
      <w:pStyle w:val="4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8559A">
    <w:pPr>
      <w:pStyle w:val="42"/>
      <w:jc w:val="center"/>
      <w:rPr>
        <w:rFonts w:ascii="仿宋_GB2312" w:eastAsia="仿宋_GB231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65E67">
    <w:pPr>
      <w:pStyle w:val="42"/>
      <w:jc w:val="cente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7598D">
    <w:pPr>
      <w:pStyle w:val="42"/>
      <w:jc w:val="center"/>
      <w:rPr>
        <w:rFonts w:ascii="仿宋_GB2312" w:eastAsia="仿宋_GB231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F9DC49">
                          <w:pPr>
                            <w:pStyle w:val="42"/>
                          </w:pPr>
                          <w:r>
                            <w:fldChar w:fldCharType="begin"/>
                          </w:r>
                          <w:r>
                            <w:instrText xml:space="preserve"> PAGE  \* MERGEFORMAT </w:instrText>
                          </w:r>
                          <w:r>
                            <w:fldChar w:fldCharType="separate"/>
                          </w:r>
                          <w:r>
                            <w:t>- 32 -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53F9DC49">
                    <w:pPr>
                      <w:pStyle w:val="42"/>
                    </w:pPr>
                    <w:r>
                      <w:fldChar w:fldCharType="begin"/>
                    </w:r>
                    <w:r>
                      <w:instrText xml:space="preserve"> PAGE  \* MERGEFORMAT </w:instrText>
                    </w:r>
                    <w:r>
                      <w:fldChar w:fldCharType="separate"/>
                    </w:r>
                    <w:r>
                      <w:t>- 32 -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033C8">
    <w:pPr>
      <w:pStyle w:val="42"/>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9BFBB8">
                          <w:pPr>
                            <w:pStyle w:val="42"/>
                            <w:jc w:val="center"/>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99BFBB8">
                    <w:pPr>
                      <w:pStyle w:val="42"/>
                      <w:jc w:val="center"/>
                    </w:pPr>
                    <w:r>
                      <w:fldChar w:fldCharType="begin"/>
                    </w:r>
                    <w:r>
                      <w:instrText xml:space="preserve"> PAGE  \* MERGEFORMAT </w:instrText>
                    </w:r>
                    <w:r>
                      <w:fldChar w:fldCharType="separate"/>
                    </w:r>
                    <w:r>
                      <w:t>17</w:t>
                    </w:r>
                    <w:r>
                      <w:fldChar w:fldCharType="end"/>
                    </w:r>
                  </w:p>
                </w:txbxContent>
              </v:textbox>
            </v:shape>
          </w:pict>
        </mc:Fallback>
      </mc:AlternateContent>
    </w:r>
  </w:p>
  <w:p w14:paraId="2A0D961D">
    <w:pPr>
      <w:pStyle w:val="4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EF11E">
    <w:pPr>
      <w:pStyle w:val="42"/>
      <w:jc w:val="center"/>
      <w:rPr>
        <w:rFonts w:ascii="仿宋_GB2312" w:eastAsia="仿宋_GB2312"/>
        <w:szCs w:val="24"/>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AD72AE">
                          <w:pPr>
                            <w:pStyle w:val="42"/>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qthBktAgAAVwQAAA4AAABkcnMvZTJvRG9jLnhtbK1UzY7TMBC+I/EO&#10;lu80aYGlqp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JqthBktAgAAVwQAAA4AAAAAAAAAAQAgAAAAHwEAAGRycy9lMm9Eb2MueG1sUEsFBgAAAAAG&#10;AAYAWQEAAL4FAAAAAA==&#10;">
              <v:fill on="f" focussize="0,0"/>
              <v:stroke on="f" weight="0.5pt"/>
              <v:imagedata o:title=""/>
              <o:lock v:ext="edit" aspectratio="f"/>
              <v:textbox inset="0mm,0mm,0mm,0mm" style="mso-fit-shape-to-text:t;">
                <w:txbxContent>
                  <w:p w14:paraId="26AD72AE">
                    <w:pPr>
                      <w:pStyle w:val="42"/>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3FB4B">
    <w:pPr>
      <w:pStyle w:val="42"/>
      <w:jc w:val="center"/>
      <w:rPr>
        <w:rFonts w:ascii="仿宋_GB2312" w:eastAsia="仿宋_GB2312"/>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67EF4F">
                          <w:pPr>
                            <w:pStyle w:val="42"/>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AsRGw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ACxEbCwCAABXBAAADgAAAAAAAAABACAAAAAfAQAAZHJzL2Uyb0RvYy54bWxQSwUGAAAAAAYA&#10;BgBZAQAAvQUAAAAA&#10;">
              <v:fill on="f" focussize="0,0"/>
              <v:stroke on="f" weight="0.5pt"/>
              <v:imagedata o:title=""/>
              <o:lock v:ext="edit" aspectratio="f"/>
              <v:textbox inset="0mm,0mm,0mm,0mm" style="mso-fit-shape-to-text:t;">
                <w:txbxContent>
                  <w:p w14:paraId="2867EF4F">
                    <w:pPr>
                      <w:pStyle w:val="42"/>
                    </w:pPr>
                    <w:r>
                      <w:fldChar w:fldCharType="begin"/>
                    </w:r>
                    <w:r>
                      <w:instrText xml:space="preserve"> PAGE  \* MERGEFORMAT </w:instrText>
                    </w:r>
                    <w:r>
                      <w:fldChar w:fldCharType="separate"/>
                    </w:r>
                    <w:r>
                      <w:t>27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5DA0E">
    <w:pPr>
      <w:pStyle w:val="43"/>
      <w:pBdr>
        <w:bottom w:val="single" w:color="auto" w:sz="4" w:space="0"/>
      </w:pBdr>
      <w:rPr>
        <w:rFonts w:ascii="宋体" w:hAnsi="宋体" w:cs="宋体"/>
        <w:iCs/>
      </w:rPr>
    </w:pPr>
    <w:r>
      <w:rPr>
        <w:rFonts w:hint="eastAsia" w:ascii="宋体" w:hAnsi="宋体" w:cs="宋体"/>
        <w:iCs/>
        <w:lang w:eastAsia="zh-CN"/>
      </w:rPr>
      <w:t>义乌市2026-2027年度专项债券发行准备法律专业服务封闭式框架协议采购项目</w:t>
    </w:r>
    <w:r>
      <w:rPr>
        <w:rFonts w:hint="eastAsia" w:ascii="宋体" w:hAnsi="宋体" w:cs="宋体"/>
        <w:iCs/>
      </w:rPr>
      <w:t>封闭式框架协议采购公开征集文件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92E00">
    <w:pPr>
      <w:pStyle w:val="43"/>
      <w:pBdr>
        <w:bottom w:val="single" w:color="auto" w:sz="4" w:space="0"/>
      </w:pBdr>
      <w:rPr>
        <w:rFonts w:ascii="宋体" w:hAnsi="宋体" w:cs="宋体"/>
        <w:iCs/>
      </w:rPr>
    </w:pPr>
    <w:r>
      <w:rPr>
        <w:rFonts w:hint="eastAsia" w:ascii="宋体" w:hAnsi="宋体" w:cs="宋体"/>
        <w:iCs/>
        <w:lang w:eastAsia="zh-CN"/>
      </w:rPr>
      <w:t>义乌市2026-2027年度专项债券发行准备法律专业服务封闭式框架协议采购项目</w:t>
    </w:r>
    <w:r>
      <w:rPr>
        <w:rFonts w:hint="eastAsia" w:ascii="宋体" w:hAnsi="宋体" w:cs="宋体"/>
        <w:iCs/>
      </w:rPr>
      <w:t>封闭式框架协议采购公开征集文件</w:t>
    </w:r>
  </w:p>
  <w:p w14:paraId="28F1FB54">
    <w:pPr>
      <w:pStyle w:val="43"/>
      <w:pBdr>
        <w:bottom w:val="none" w:color="auto" w:sz="0" w:space="0"/>
      </w:pBdr>
      <w:tabs>
        <w:tab w:val="center" w:pos="4535"/>
        <w:tab w:val="right" w:pos="9070"/>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F4663">
    <w:pPr>
      <w:pStyle w:val="43"/>
      <w:pBdr>
        <w:bottom w:val="single" w:color="auto" w:sz="4" w:space="0"/>
      </w:pBdr>
      <w:rPr>
        <w:rFonts w:ascii="仿宋_GB2312" w:eastAsia="仿宋_GB2312"/>
        <w:b/>
        <w:i/>
        <w:iCs/>
        <w:u w:val="single"/>
      </w:rPr>
    </w:pPr>
    <w:r>
      <w:rPr>
        <w:rFonts w:hint="eastAsia" w:ascii="宋体" w:hAnsi="宋体" w:cs="宋体"/>
        <w:iCs/>
        <w:lang w:eastAsia="zh-CN"/>
      </w:rPr>
      <w:t>义乌市2026-2027年度专项债券发行准备法律专业服务封闭式框架协议采购项目</w:t>
    </w:r>
    <w:r>
      <w:rPr>
        <w:rFonts w:hint="eastAsia" w:ascii="宋体" w:hAnsi="宋体" w:cs="宋体"/>
        <w:iCs/>
      </w:rPr>
      <w:t>封闭式框架协议采购公开征集文件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F78C1">
    <w:pPr>
      <w:pStyle w:val="43"/>
      <w:pBdr>
        <w:bottom w:val="single" w:color="auto" w:sz="4" w:space="0"/>
      </w:pBdr>
      <w:rPr>
        <w:rFonts w:ascii="仿宋_GB2312" w:eastAsia="仿宋_GB2312"/>
        <w:b/>
        <w:i/>
        <w:iCs/>
        <w:u w:val="single"/>
      </w:rPr>
    </w:pPr>
    <w:r>
      <w:rPr>
        <w:rFonts w:hint="eastAsia"/>
      </w:rPr>
      <w:tab/>
    </w:r>
    <w:r>
      <w:rPr>
        <w:rFonts w:hint="eastAsia" w:ascii="宋体" w:hAnsi="宋体" w:cs="宋体"/>
        <w:iCs/>
        <w:lang w:eastAsia="zh-CN"/>
      </w:rPr>
      <w:t>义乌市2026-2027年度专项债券发行准备法律专业服务封闭式框架协议采购项目</w:t>
    </w:r>
    <w:r>
      <w:rPr>
        <w:rFonts w:hint="eastAsia" w:ascii="宋体" w:hAnsi="宋体" w:cs="宋体"/>
        <w:iCs/>
      </w:rPr>
      <w:t>封闭式框架协议采购公开征集文件</w:t>
    </w:r>
  </w:p>
  <w:p w14:paraId="63BD8536">
    <w:pPr>
      <w:pStyle w:val="43"/>
      <w:pBdr>
        <w:bottom w:val="none" w:color="auto" w:sz="0" w:space="0"/>
      </w:pBdr>
      <w:tabs>
        <w:tab w:val="left" w:pos="2824"/>
      </w:tabs>
      <w:jc w:val="left"/>
    </w:pPr>
    <w:r>
      <w:rPr>
        <w:rFonts w:hint="eastAsia"/>
      </w:rPr>
      <w:tab/>
    </w: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6B1CDC"/>
    <w:multiLevelType w:val="singleLevel"/>
    <w:tmpl w:val="CB6B1CDC"/>
    <w:lvl w:ilvl="0" w:tentative="0">
      <w:start w:val="1"/>
      <w:numFmt w:val="chineseCounting"/>
      <w:suff w:val="nothing"/>
      <w:lvlText w:val="%1、"/>
      <w:lvlJc w:val="left"/>
      <w:pPr>
        <w:ind w:left="-374"/>
      </w:pPr>
      <w:rPr>
        <w:rFonts w:hint="eastAsia"/>
      </w:rPr>
    </w:lvl>
  </w:abstractNum>
  <w:abstractNum w:abstractNumId="1">
    <w:nsid w:val="E6FD15D8"/>
    <w:multiLevelType w:val="singleLevel"/>
    <w:tmpl w:val="E6FD15D8"/>
    <w:lvl w:ilvl="0" w:tentative="0">
      <w:start w:val="1"/>
      <w:numFmt w:val="chineseCounting"/>
      <w:suff w:val="nothing"/>
      <w:lvlText w:val="%1、"/>
      <w:lvlJc w:val="left"/>
      <w:rPr>
        <w:rFonts w:hint="eastAsia"/>
      </w:rPr>
    </w:lvl>
  </w:abstractNum>
  <w:abstractNum w:abstractNumId="2">
    <w:nsid w:val="F79ADE57"/>
    <w:multiLevelType w:val="singleLevel"/>
    <w:tmpl w:val="F79ADE57"/>
    <w:lvl w:ilvl="0" w:tentative="0">
      <w:start w:val="1"/>
      <w:numFmt w:val="chineseCounting"/>
      <w:suff w:val="nothing"/>
      <w:lvlText w:val="%1、"/>
      <w:lvlJc w:val="left"/>
      <w:rPr>
        <w:rFonts w:hint="eastAsia"/>
      </w:rPr>
    </w:lvl>
  </w:abstractNum>
  <w:abstractNum w:abstractNumId="3">
    <w:nsid w:val="FCDBE4CE"/>
    <w:multiLevelType w:val="singleLevel"/>
    <w:tmpl w:val="FCDBE4CE"/>
    <w:lvl w:ilvl="0" w:tentative="0">
      <w:start w:val="4"/>
      <w:numFmt w:val="decimal"/>
      <w:lvlText w:val="%1."/>
      <w:lvlJc w:val="left"/>
      <w:pPr>
        <w:tabs>
          <w:tab w:val="left" w:pos="312"/>
        </w:tabs>
      </w:pPr>
    </w:lvl>
  </w:abstractNum>
  <w:abstractNum w:abstractNumId="4">
    <w:nsid w:val="FFF6CC69"/>
    <w:multiLevelType w:val="singleLevel"/>
    <w:tmpl w:val="FFF6CC69"/>
    <w:lvl w:ilvl="0" w:tentative="0">
      <w:start w:val="6"/>
      <w:numFmt w:val="chineseCounting"/>
      <w:suff w:val="space"/>
      <w:lvlText w:val="第%1章"/>
      <w:lvlJc w:val="left"/>
      <w:rPr>
        <w:rFonts w:hint="eastAsia"/>
      </w:rPr>
    </w:lvl>
  </w:abstractNum>
  <w:abstractNum w:abstractNumId="5">
    <w:nsid w:val="7F041723"/>
    <w:multiLevelType w:val="multilevel"/>
    <w:tmpl w:val="7F041723"/>
    <w:lvl w:ilvl="0" w:tentative="0">
      <w:start w:val="1"/>
      <w:numFmt w:val="chineseCountingThousand"/>
      <w:suff w:val="nothing"/>
      <w:lvlText w:val="(%1)"/>
      <w:lvlJc w:val="left"/>
      <w:pPr>
        <w:ind w:left="1050" w:hanging="420"/>
      </w:pPr>
      <w:rPr>
        <w:rFonts w:hint="eastAsia"/>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num w:numId="1">
    <w:abstractNumId w:val="3"/>
  </w:num>
  <w:num w:numId="2">
    <w:abstractNumId w:val="0"/>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hideSpellingErrors/>
  <w:documentProtection w:enforcement="0"/>
  <w:defaultTabStop w:val="420"/>
  <w:drawingGridHorizontalSpacing w:val="210"/>
  <w:drawingGridVerticalSpacing w:val="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1YTg2OWEwZWFhYWMzN2IzNjVjMmU0MWEwNDczZjQifQ=="/>
  </w:docVars>
  <w:rsids>
    <w:rsidRoot w:val="00172A27"/>
    <w:rsid w:val="00000451"/>
    <w:rsid w:val="0000108B"/>
    <w:rsid w:val="0000133D"/>
    <w:rsid w:val="00001509"/>
    <w:rsid w:val="000032B2"/>
    <w:rsid w:val="0000363B"/>
    <w:rsid w:val="000058BD"/>
    <w:rsid w:val="00006109"/>
    <w:rsid w:val="00006150"/>
    <w:rsid w:val="0000618E"/>
    <w:rsid w:val="000063E8"/>
    <w:rsid w:val="00006725"/>
    <w:rsid w:val="0000675E"/>
    <w:rsid w:val="00007CAA"/>
    <w:rsid w:val="00010199"/>
    <w:rsid w:val="00010FE9"/>
    <w:rsid w:val="0001122F"/>
    <w:rsid w:val="000113B7"/>
    <w:rsid w:val="00011A4B"/>
    <w:rsid w:val="00012251"/>
    <w:rsid w:val="0001337C"/>
    <w:rsid w:val="000138C4"/>
    <w:rsid w:val="00013C1F"/>
    <w:rsid w:val="00013F31"/>
    <w:rsid w:val="000140D8"/>
    <w:rsid w:val="00014530"/>
    <w:rsid w:val="00014BBC"/>
    <w:rsid w:val="000150EE"/>
    <w:rsid w:val="000168D8"/>
    <w:rsid w:val="000169DF"/>
    <w:rsid w:val="000170C8"/>
    <w:rsid w:val="000173F4"/>
    <w:rsid w:val="000177DF"/>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12B"/>
    <w:rsid w:val="00026EAC"/>
    <w:rsid w:val="000270F2"/>
    <w:rsid w:val="00027540"/>
    <w:rsid w:val="00030572"/>
    <w:rsid w:val="00030976"/>
    <w:rsid w:val="00030A97"/>
    <w:rsid w:val="00030CB3"/>
    <w:rsid w:val="0003206A"/>
    <w:rsid w:val="000326A7"/>
    <w:rsid w:val="00032EA0"/>
    <w:rsid w:val="000331B0"/>
    <w:rsid w:val="000336D4"/>
    <w:rsid w:val="00034FA7"/>
    <w:rsid w:val="0003533D"/>
    <w:rsid w:val="000357E4"/>
    <w:rsid w:val="00035ACA"/>
    <w:rsid w:val="00037972"/>
    <w:rsid w:val="00040447"/>
    <w:rsid w:val="00040494"/>
    <w:rsid w:val="00040B70"/>
    <w:rsid w:val="00042441"/>
    <w:rsid w:val="00042533"/>
    <w:rsid w:val="00042DBB"/>
    <w:rsid w:val="00042E65"/>
    <w:rsid w:val="0004347C"/>
    <w:rsid w:val="00043907"/>
    <w:rsid w:val="00043ABD"/>
    <w:rsid w:val="00044F48"/>
    <w:rsid w:val="00045A4E"/>
    <w:rsid w:val="00047354"/>
    <w:rsid w:val="00050656"/>
    <w:rsid w:val="00050A19"/>
    <w:rsid w:val="000511B6"/>
    <w:rsid w:val="00051B00"/>
    <w:rsid w:val="00051C72"/>
    <w:rsid w:val="00052192"/>
    <w:rsid w:val="0005238F"/>
    <w:rsid w:val="00052787"/>
    <w:rsid w:val="000528CB"/>
    <w:rsid w:val="00052BB8"/>
    <w:rsid w:val="000535AB"/>
    <w:rsid w:val="0005417A"/>
    <w:rsid w:val="00054D39"/>
    <w:rsid w:val="0005501B"/>
    <w:rsid w:val="000550F5"/>
    <w:rsid w:val="00055337"/>
    <w:rsid w:val="000554C7"/>
    <w:rsid w:val="00056145"/>
    <w:rsid w:val="00056402"/>
    <w:rsid w:val="00056617"/>
    <w:rsid w:val="00056791"/>
    <w:rsid w:val="00056868"/>
    <w:rsid w:val="00056876"/>
    <w:rsid w:val="000568DF"/>
    <w:rsid w:val="000578A3"/>
    <w:rsid w:val="00057D4C"/>
    <w:rsid w:val="00060C48"/>
    <w:rsid w:val="00061A3C"/>
    <w:rsid w:val="00061C48"/>
    <w:rsid w:val="00064278"/>
    <w:rsid w:val="000646CA"/>
    <w:rsid w:val="000665C4"/>
    <w:rsid w:val="00067821"/>
    <w:rsid w:val="0006785E"/>
    <w:rsid w:val="00067F92"/>
    <w:rsid w:val="00067FA7"/>
    <w:rsid w:val="0007038E"/>
    <w:rsid w:val="0007077C"/>
    <w:rsid w:val="00070825"/>
    <w:rsid w:val="00071CD8"/>
    <w:rsid w:val="00071DB2"/>
    <w:rsid w:val="00072AED"/>
    <w:rsid w:val="00072B56"/>
    <w:rsid w:val="00072D2B"/>
    <w:rsid w:val="00072D51"/>
    <w:rsid w:val="000730B1"/>
    <w:rsid w:val="0007369C"/>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D27"/>
    <w:rsid w:val="00084ED6"/>
    <w:rsid w:val="0008580E"/>
    <w:rsid w:val="00085A0E"/>
    <w:rsid w:val="00085C4F"/>
    <w:rsid w:val="00086EFD"/>
    <w:rsid w:val="00086F8A"/>
    <w:rsid w:val="00087031"/>
    <w:rsid w:val="00090243"/>
    <w:rsid w:val="000904F6"/>
    <w:rsid w:val="0009077D"/>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268D"/>
    <w:rsid w:val="000B291B"/>
    <w:rsid w:val="000B456C"/>
    <w:rsid w:val="000B45B9"/>
    <w:rsid w:val="000B47CE"/>
    <w:rsid w:val="000B4B56"/>
    <w:rsid w:val="000B4C62"/>
    <w:rsid w:val="000B541D"/>
    <w:rsid w:val="000B54C1"/>
    <w:rsid w:val="000B5553"/>
    <w:rsid w:val="000B5FE8"/>
    <w:rsid w:val="000B666E"/>
    <w:rsid w:val="000B7D6D"/>
    <w:rsid w:val="000C0A43"/>
    <w:rsid w:val="000C0CB1"/>
    <w:rsid w:val="000C1411"/>
    <w:rsid w:val="000C1ADE"/>
    <w:rsid w:val="000C1C38"/>
    <w:rsid w:val="000C21DC"/>
    <w:rsid w:val="000C2264"/>
    <w:rsid w:val="000C256B"/>
    <w:rsid w:val="000C3970"/>
    <w:rsid w:val="000C3B1A"/>
    <w:rsid w:val="000C4299"/>
    <w:rsid w:val="000C4727"/>
    <w:rsid w:val="000C47AE"/>
    <w:rsid w:val="000C51AD"/>
    <w:rsid w:val="000C5374"/>
    <w:rsid w:val="000C5EC0"/>
    <w:rsid w:val="000C6162"/>
    <w:rsid w:val="000C64CC"/>
    <w:rsid w:val="000C6688"/>
    <w:rsid w:val="000C6728"/>
    <w:rsid w:val="000C692E"/>
    <w:rsid w:val="000C6B28"/>
    <w:rsid w:val="000C6E8A"/>
    <w:rsid w:val="000C7BEB"/>
    <w:rsid w:val="000D0124"/>
    <w:rsid w:val="000D048B"/>
    <w:rsid w:val="000D11E5"/>
    <w:rsid w:val="000D19E8"/>
    <w:rsid w:val="000D1FA1"/>
    <w:rsid w:val="000D2834"/>
    <w:rsid w:val="000D2CAC"/>
    <w:rsid w:val="000D34C8"/>
    <w:rsid w:val="000D34FD"/>
    <w:rsid w:val="000D3BE5"/>
    <w:rsid w:val="000D3C37"/>
    <w:rsid w:val="000D453A"/>
    <w:rsid w:val="000D4AFA"/>
    <w:rsid w:val="000D5EA6"/>
    <w:rsid w:val="000D5F00"/>
    <w:rsid w:val="000D63E6"/>
    <w:rsid w:val="000D6C9F"/>
    <w:rsid w:val="000D6E3B"/>
    <w:rsid w:val="000D6F30"/>
    <w:rsid w:val="000D74E4"/>
    <w:rsid w:val="000D7594"/>
    <w:rsid w:val="000D7C9D"/>
    <w:rsid w:val="000D7CE0"/>
    <w:rsid w:val="000E2785"/>
    <w:rsid w:val="000E27BB"/>
    <w:rsid w:val="000E3153"/>
    <w:rsid w:val="000E3484"/>
    <w:rsid w:val="000E386F"/>
    <w:rsid w:val="000E4051"/>
    <w:rsid w:val="000E4139"/>
    <w:rsid w:val="000E4765"/>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77"/>
    <w:rsid w:val="000F5919"/>
    <w:rsid w:val="000F5DDB"/>
    <w:rsid w:val="000F628E"/>
    <w:rsid w:val="000F68A0"/>
    <w:rsid w:val="000F6CC2"/>
    <w:rsid w:val="000F729C"/>
    <w:rsid w:val="000F7D4B"/>
    <w:rsid w:val="0010118C"/>
    <w:rsid w:val="0010125E"/>
    <w:rsid w:val="001015F8"/>
    <w:rsid w:val="00101967"/>
    <w:rsid w:val="00103251"/>
    <w:rsid w:val="00103509"/>
    <w:rsid w:val="0010353C"/>
    <w:rsid w:val="0010393D"/>
    <w:rsid w:val="00103EBD"/>
    <w:rsid w:val="001040FB"/>
    <w:rsid w:val="00104699"/>
    <w:rsid w:val="00104E5B"/>
    <w:rsid w:val="00104EEC"/>
    <w:rsid w:val="001050DC"/>
    <w:rsid w:val="00105482"/>
    <w:rsid w:val="001056A5"/>
    <w:rsid w:val="00105BA9"/>
    <w:rsid w:val="00105FE1"/>
    <w:rsid w:val="00106AAA"/>
    <w:rsid w:val="00106E0E"/>
    <w:rsid w:val="001078A5"/>
    <w:rsid w:val="0010791E"/>
    <w:rsid w:val="00107BBD"/>
    <w:rsid w:val="00107BC7"/>
    <w:rsid w:val="00110033"/>
    <w:rsid w:val="001102B5"/>
    <w:rsid w:val="001109C5"/>
    <w:rsid w:val="00110ABC"/>
    <w:rsid w:val="00111C17"/>
    <w:rsid w:val="00111C7D"/>
    <w:rsid w:val="00112038"/>
    <w:rsid w:val="001127FF"/>
    <w:rsid w:val="00112B0B"/>
    <w:rsid w:val="00112EB5"/>
    <w:rsid w:val="0011383E"/>
    <w:rsid w:val="00113EE3"/>
    <w:rsid w:val="00114802"/>
    <w:rsid w:val="00114847"/>
    <w:rsid w:val="0011585B"/>
    <w:rsid w:val="00115B1A"/>
    <w:rsid w:val="001160FF"/>
    <w:rsid w:val="001164F4"/>
    <w:rsid w:val="001168F8"/>
    <w:rsid w:val="001176FF"/>
    <w:rsid w:val="0012153F"/>
    <w:rsid w:val="0012159D"/>
    <w:rsid w:val="00121804"/>
    <w:rsid w:val="00121A7D"/>
    <w:rsid w:val="00121EC9"/>
    <w:rsid w:val="001224FE"/>
    <w:rsid w:val="001231D3"/>
    <w:rsid w:val="001232A7"/>
    <w:rsid w:val="00123F7C"/>
    <w:rsid w:val="0012419E"/>
    <w:rsid w:val="001246DD"/>
    <w:rsid w:val="001248EF"/>
    <w:rsid w:val="00124AC0"/>
    <w:rsid w:val="00124FC4"/>
    <w:rsid w:val="001253AB"/>
    <w:rsid w:val="0012574C"/>
    <w:rsid w:val="001259B8"/>
    <w:rsid w:val="001264B9"/>
    <w:rsid w:val="0012693E"/>
    <w:rsid w:val="00126A3A"/>
    <w:rsid w:val="00127060"/>
    <w:rsid w:val="00127B83"/>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16D"/>
    <w:rsid w:val="00157432"/>
    <w:rsid w:val="00161185"/>
    <w:rsid w:val="001620BA"/>
    <w:rsid w:val="001623AC"/>
    <w:rsid w:val="00162BAA"/>
    <w:rsid w:val="00163C40"/>
    <w:rsid w:val="0016488B"/>
    <w:rsid w:val="00165758"/>
    <w:rsid w:val="00165A65"/>
    <w:rsid w:val="00166317"/>
    <w:rsid w:val="00167478"/>
    <w:rsid w:val="00167594"/>
    <w:rsid w:val="001702BE"/>
    <w:rsid w:val="001704B3"/>
    <w:rsid w:val="0017059C"/>
    <w:rsid w:val="00170F7E"/>
    <w:rsid w:val="0017105C"/>
    <w:rsid w:val="00171622"/>
    <w:rsid w:val="00171785"/>
    <w:rsid w:val="00171AB5"/>
    <w:rsid w:val="0017204F"/>
    <w:rsid w:val="001721CF"/>
    <w:rsid w:val="001728FD"/>
    <w:rsid w:val="00172A27"/>
    <w:rsid w:val="00172F02"/>
    <w:rsid w:val="00172F2D"/>
    <w:rsid w:val="00173631"/>
    <w:rsid w:val="0017372D"/>
    <w:rsid w:val="00173826"/>
    <w:rsid w:val="00173C58"/>
    <w:rsid w:val="00173E59"/>
    <w:rsid w:val="001741DC"/>
    <w:rsid w:val="00174C4F"/>
    <w:rsid w:val="00174F57"/>
    <w:rsid w:val="00175078"/>
    <w:rsid w:val="001755DC"/>
    <w:rsid w:val="00175726"/>
    <w:rsid w:val="00176AA6"/>
    <w:rsid w:val="00177063"/>
    <w:rsid w:val="00180A47"/>
    <w:rsid w:val="001827B7"/>
    <w:rsid w:val="001827EF"/>
    <w:rsid w:val="00182982"/>
    <w:rsid w:val="001829BC"/>
    <w:rsid w:val="00182D68"/>
    <w:rsid w:val="00183031"/>
    <w:rsid w:val="00183468"/>
    <w:rsid w:val="00183593"/>
    <w:rsid w:val="0018397E"/>
    <w:rsid w:val="00183ECB"/>
    <w:rsid w:val="00184466"/>
    <w:rsid w:val="00184DBF"/>
    <w:rsid w:val="001852A8"/>
    <w:rsid w:val="0018620A"/>
    <w:rsid w:val="00186EB0"/>
    <w:rsid w:val="00187121"/>
    <w:rsid w:val="00187243"/>
    <w:rsid w:val="00187717"/>
    <w:rsid w:val="001878CE"/>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5064"/>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F0E"/>
    <w:rsid w:val="001A3335"/>
    <w:rsid w:val="001A473A"/>
    <w:rsid w:val="001A4ED9"/>
    <w:rsid w:val="001A5785"/>
    <w:rsid w:val="001A5FD7"/>
    <w:rsid w:val="001A66A6"/>
    <w:rsid w:val="001A6BAF"/>
    <w:rsid w:val="001A6BBB"/>
    <w:rsid w:val="001A79A2"/>
    <w:rsid w:val="001B0215"/>
    <w:rsid w:val="001B06A6"/>
    <w:rsid w:val="001B13BF"/>
    <w:rsid w:val="001B13ED"/>
    <w:rsid w:val="001B16F5"/>
    <w:rsid w:val="001B1C1F"/>
    <w:rsid w:val="001B219B"/>
    <w:rsid w:val="001B2703"/>
    <w:rsid w:val="001B2865"/>
    <w:rsid w:val="001B2FC5"/>
    <w:rsid w:val="001B3DCD"/>
    <w:rsid w:val="001B446C"/>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D5867"/>
    <w:rsid w:val="001D67A5"/>
    <w:rsid w:val="001E17E3"/>
    <w:rsid w:val="001E2052"/>
    <w:rsid w:val="001E2492"/>
    <w:rsid w:val="001E257C"/>
    <w:rsid w:val="001E286C"/>
    <w:rsid w:val="001E2F34"/>
    <w:rsid w:val="001E35EE"/>
    <w:rsid w:val="001E3717"/>
    <w:rsid w:val="001E4B2C"/>
    <w:rsid w:val="001E507F"/>
    <w:rsid w:val="001E56C2"/>
    <w:rsid w:val="001E59FB"/>
    <w:rsid w:val="001E6D07"/>
    <w:rsid w:val="001E7F81"/>
    <w:rsid w:val="001F0FD1"/>
    <w:rsid w:val="001F1526"/>
    <w:rsid w:val="001F19D1"/>
    <w:rsid w:val="001F1CB9"/>
    <w:rsid w:val="001F1F18"/>
    <w:rsid w:val="001F2F92"/>
    <w:rsid w:val="001F5DA1"/>
    <w:rsid w:val="001F612E"/>
    <w:rsid w:val="001F6A92"/>
    <w:rsid w:val="001F77E8"/>
    <w:rsid w:val="00201A0C"/>
    <w:rsid w:val="00201B0F"/>
    <w:rsid w:val="0020255A"/>
    <w:rsid w:val="00202800"/>
    <w:rsid w:val="00202D33"/>
    <w:rsid w:val="00202E58"/>
    <w:rsid w:val="00202F99"/>
    <w:rsid w:val="00203C85"/>
    <w:rsid w:val="0020449A"/>
    <w:rsid w:val="00204E9B"/>
    <w:rsid w:val="00205298"/>
    <w:rsid w:val="002055C0"/>
    <w:rsid w:val="0020569E"/>
    <w:rsid w:val="00205E45"/>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1FD4"/>
    <w:rsid w:val="00232555"/>
    <w:rsid w:val="00233382"/>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3EC6"/>
    <w:rsid w:val="002542F8"/>
    <w:rsid w:val="002543EF"/>
    <w:rsid w:val="00254F2A"/>
    <w:rsid w:val="00255784"/>
    <w:rsid w:val="00255A29"/>
    <w:rsid w:val="0025631F"/>
    <w:rsid w:val="00256575"/>
    <w:rsid w:val="00256986"/>
    <w:rsid w:val="00256D61"/>
    <w:rsid w:val="00256E23"/>
    <w:rsid w:val="00257246"/>
    <w:rsid w:val="00257438"/>
    <w:rsid w:val="0026119C"/>
    <w:rsid w:val="002611F7"/>
    <w:rsid w:val="00261AFE"/>
    <w:rsid w:val="0026212A"/>
    <w:rsid w:val="002621D7"/>
    <w:rsid w:val="00262996"/>
    <w:rsid w:val="00263044"/>
    <w:rsid w:val="00263759"/>
    <w:rsid w:val="002638BD"/>
    <w:rsid w:val="0026470B"/>
    <w:rsid w:val="0026486D"/>
    <w:rsid w:val="00264C4B"/>
    <w:rsid w:val="00264ED0"/>
    <w:rsid w:val="00265346"/>
    <w:rsid w:val="00266045"/>
    <w:rsid w:val="002660C3"/>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7196"/>
    <w:rsid w:val="002775ED"/>
    <w:rsid w:val="002778AB"/>
    <w:rsid w:val="002802A5"/>
    <w:rsid w:val="00280CFB"/>
    <w:rsid w:val="00280D24"/>
    <w:rsid w:val="002815C4"/>
    <w:rsid w:val="00281BCB"/>
    <w:rsid w:val="00281C76"/>
    <w:rsid w:val="00281D7D"/>
    <w:rsid w:val="0028316D"/>
    <w:rsid w:val="00283296"/>
    <w:rsid w:val="002851FC"/>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AEF"/>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868"/>
    <w:rsid w:val="002A4A05"/>
    <w:rsid w:val="002A4EB3"/>
    <w:rsid w:val="002A51D9"/>
    <w:rsid w:val="002A525A"/>
    <w:rsid w:val="002A5968"/>
    <w:rsid w:val="002A5CAB"/>
    <w:rsid w:val="002A5D40"/>
    <w:rsid w:val="002A622E"/>
    <w:rsid w:val="002A6424"/>
    <w:rsid w:val="002A64E7"/>
    <w:rsid w:val="002A7748"/>
    <w:rsid w:val="002A787B"/>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00A"/>
    <w:rsid w:val="002C327D"/>
    <w:rsid w:val="002C3890"/>
    <w:rsid w:val="002C3AD9"/>
    <w:rsid w:val="002C4286"/>
    <w:rsid w:val="002C43FC"/>
    <w:rsid w:val="002C45C3"/>
    <w:rsid w:val="002C483B"/>
    <w:rsid w:val="002C4DFE"/>
    <w:rsid w:val="002C519E"/>
    <w:rsid w:val="002C5999"/>
    <w:rsid w:val="002C5D5E"/>
    <w:rsid w:val="002C6116"/>
    <w:rsid w:val="002C643D"/>
    <w:rsid w:val="002C66B8"/>
    <w:rsid w:val="002C70E7"/>
    <w:rsid w:val="002D0505"/>
    <w:rsid w:val="002D0C27"/>
    <w:rsid w:val="002D0E88"/>
    <w:rsid w:val="002D0EA7"/>
    <w:rsid w:val="002D0F31"/>
    <w:rsid w:val="002D142D"/>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2595"/>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373"/>
    <w:rsid w:val="002F03B6"/>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43C"/>
    <w:rsid w:val="00300573"/>
    <w:rsid w:val="003025FE"/>
    <w:rsid w:val="00302A27"/>
    <w:rsid w:val="00303AB6"/>
    <w:rsid w:val="00304157"/>
    <w:rsid w:val="00304640"/>
    <w:rsid w:val="00304AC1"/>
    <w:rsid w:val="00305090"/>
    <w:rsid w:val="00305454"/>
    <w:rsid w:val="00305B9F"/>
    <w:rsid w:val="00305E21"/>
    <w:rsid w:val="003066C6"/>
    <w:rsid w:val="003066FA"/>
    <w:rsid w:val="00306AD6"/>
    <w:rsid w:val="003077F4"/>
    <w:rsid w:val="00307DC7"/>
    <w:rsid w:val="00307FF2"/>
    <w:rsid w:val="00310039"/>
    <w:rsid w:val="00310EDB"/>
    <w:rsid w:val="00310FC8"/>
    <w:rsid w:val="00311C51"/>
    <w:rsid w:val="00311D56"/>
    <w:rsid w:val="00312016"/>
    <w:rsid w:val="00312340"/>
    <w:rsid w:val="00312DFC"/>
    <w:rsid w:val="0031318C"/>
    <w:rsid w:val="00313C9D"/>
    <w:rsid w:val="0031430C"/>
    <w:rsid w:val="00314919"/>
    <w:rsid w:val="00314C5A"/>
    <w:rsid w:val="0031531A"/>
    <w:rsid w:val="00315394"/>
    <w:rsid w:val="00315D77"/>
    <w:rsid w:val="00315D8E"/>
    <w:rsid w:val="00316002"/>
    <w:rsid w:val="00316CDE"/>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4A5E"/>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6EBB"/>
    <w:rsid w:val="00347356"/>
    <w:rsid w:val="0035005C"/>
    <w:rsid w:val="00350896"/>
    <w:rsid w:val="00350C31"/>
    <w:rsid w:val="00350C9F"/>
    <w:rsid w:val="00351391"/>
    <w:rsid w:val="003519CD"/>
    <w:rsid w:val="00351A3A"/>
    <w:rsid w:val="0035201E"/>
    <w:rsid w:val="0035455F"/>
    <w:rsid w:val="00355C76"/>
    <w:rsid w:val="00355D75"/>
    <w:rsid w:val="00355D8F"/>
    <w:rsid w:val="00356A73"/>
    <w:rsid w:val="00356FF0"/>
    <w:rsid w:val="003577EF"/>
    <w:rsid w:val="00357A60"/>
    <w:rsid w:val="00357B9E"/>
    <w:rsid w:val="00360304"/>
    <w:rsid w:val="00360A78"/>
    <w:rsid w:val="00361750"/>
    <w:rsid w:val="00362F9D"/>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21"/>
    <w:rsid w:val="00370A56"/>
    <w:rsid w:val="00370A70"/>
    <w:rsid w:val="00371213"/>
    <w:rsid w:val="00372842"/>
    <w:rsid w:val="003729A5"/>
    <w:rsid w:val="00372C89"/>
    <w:rsid w:val="00372E9A"/>
    <w:rsid w:val="003735B9"/>
    <w:rsid w:val="00373634"/>
    <w:rsid w:val="00374677"/>
    <w:rsid w:val="0037510C"/>
    <w:rsid w:val="00375850"/>
    <w:rsid w:val="0037632F"/>
    <w:rsid w:val="00376812"/>
    <w:rsid w:val="00377B26"/>
    <w:rsid w:val="00381014"/>
    <w:rsid w:val="00381604"/>
    <w:rsid w:val="00381C68"/>
    <w:rsid w:val="00381F60"/>
    <w:rsid w:val="00383204"/>
    <w:rsid w:val="00383AB0"/>
    <w:rsid w:val="003847BB"/>
    <w:rsid w:val="00384814"/>
    <w:rsid w:val="00384C0A"/>
    <w:rsid w:val="00384C94"/>
    <w:rsid w:val="00385B16"/>
    <w:rsid w:val="00385B96"/>
    <w:rsid w:val="0038637D"/>
    <w:rsid w:val="003868F6"/>
    <w:rsid w:val="003869DC"/>
    <w:rsid w:val="00386C07"/>
    <w:rsid w:val="00386F58"/>
    <w:rsid w:val="00387001"/>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EC0"/>
    <w:rsid w:val="003971A1"/>
    <w:rsid w:val="003A0F6B"/>
    <w:rsid w:val="003A12B6"/>
    <w:rsid w:val="003A1C44"/>
    <w:rsid w:val="003A20D5"/>
    <w:rsid w:val="003A24CC"/>
    <w:rsid w:val="003A2512"/>
    <w:rsid w:val="003A2A53"/>
    <w:rsid w:val="003A2EE8"/>
    <w:rsid w:val="003A373C"/>
    <w:rsid w:val="003A5378"/>
    <w:rsid w:val="003A553C"/>
    <w:rsid w:val="003A56DF"/>
    <w:rsid w:val="003A6008"/>
    <w:rsid w:val="003A6188"/>
    <w:rsid w:val="003A703F"/>
    <w:rsid w:val="003A7D11"/>
    <w:rsid w:val="003A7E2B"/>
    <w:rsid w:val="003A7E40"/>
    <w:rsid w:val="003B0336"/>
    <w:rsid w:val="003B0A3A"/>
    <w:rsid w:val="003B0D79"/>
    <w:rsid w:val="003B1850"/>
    <w:rsid w:val="003B231A"/>
    <w:rsid w:val="003B2930"/>
    <w:rsid w:val="003B31A7"/>
    <w:rsid w:val="003B4587"/>
    <w:rsid w:val="003B4B51"/>
    <w:rsid w:val="003B4FE1"/>
    <w:rsid w:val="003B514E"/>
    <w:rsid w:val="003B5531"/>
    <w:rsid w:val="003B636A"/>
    <w:rsid w:val="003B69CE"/>
    <w:rsid w:val="003B6B32"/>
    <w:rsid w:val="003B7403"/>
    <w:rsid w:val="003C011C"/>
    <w:rsid w:val="003C0E32"/>
    <w:rsid w:val="003C11D7"/>
    <w:rsid w:val="003C16CB"/>
    <w:rsid w:val="003C1B97"/>
    <w:rsid w:val="003C247B"/>
    <w:rsid w:val="003C3292"/>
    <w:rsid w:val="003C3C1E"/>
    <w:rsid w:val="003C3D88"/>
    <w:rsid w:val="003C4134"/>
    <w:rsid w:val="003C42C8"/>
    <w:rsid w:val="003C435B"/>
    <w:rsid w:val="003C4EBE"/>
    <w:rsid w:val="003C58FC"/>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88"/>
    <w:rsid w:val="003E20F7"/>
    <w:rsid w:val="003E336A"/>
    <w:rsid w:val="003E3E2F"/>
    <w:rsid w:val="003E4048"/>
    <w:rsid w:val="003E4CE5"/>
    <w:rsid w:val="003E57F3"/>
    <w:rsid w:val="003E604C"/>
    <w:rsid w:val="003E60DA"/>
    <w:rsid w:val="003E6E00"/>
    <w:rsid w:val="003E7111"/>
    <w:rsid w:val="003E7940"/>
    <w:rsid w:val="003F01BD"/>
    <w:rsid w:val="003F0486"/>
    <w:rsid w:val="003F048E"/>
    <w:rsid w:val="003F09FA"/>
    <w:rsid w:val="003F0AFF"/>
    <w:rsid w:val="003F1275"/>
    <w:rsid w:val="003F1AA2"/>
    <w:rsid w:val="003F2564"/>
    <w:rsid w:val="003F26DC"/>
    <w:rsid w:val="003F2B71"/>
    <w:rsid w:val="003F42FF"/>
    <w:rsid w:val="003F4B48"/>
    <w:rsid w:val="003F4DDC"/>
    <w:rsid w:val="003F56B8"/>
    <w:rsid w:val="003F5F1A"/>
    <w:rsid w:val="003F6327"/>
    <w:rsid w:val="003F6EAE"/>
    <w:rsid w:val="003F7425"/>
    <w:rsid w:val="003F765B"/>
    <w:rsid w:val="003F7CB8"/>
    <w:rsid w:val="00400CB4"/>
    <w:rsid w:val="00401386"/>
    <w:rsid w:val="004013E6"/>
    <w:rsid w:val="00401E31"/>
    <w:rsid w:val="00402BBA"/>
    <w:rsid w:val="004035D0"/>
    <w:rsid w:val="0040361D"/>
    <w:rsid w:val="00403795"/>
    <w:rsid w:val="004041FB"/>
    <w:rsid w:val="0040443E"/>
    <w:rsid w:val="0040548C"/>
    <w:rsid w:val="004056B6"/>
    <w:rsid w:val="00405764"/>
    <w:rsid w:val="00406745"/>
    <w:rsid w:val="0040674B"/>
    <w:rsid w:val="00406B32"/>
    <w:rsid w:val="00407281"/>
    <w:rsid w:val="004074FA"/>
    <w:rsid w:val="00407A56"/>
    <w:rsid w:val="00407FCC"/>
    <w:rsid w:val="0041035A"/>
    <w:rsid w:val="00410E76"/>
    <w:rsid w:val="004112D1"/>
    <w:rsid w:val="004113C9"/>
    <w:rsid w:val="00411D1E"/>
    <w:rsid w:val="00411DF2"/>
    <w:rsid w:val="004120DF"/>
    <w:rsid w:val="004126B5"/>
    <w:rsid w:val="00414909"/>
    <w:rsid w:val="00415034"/>
    <w:rsid w:val="00415B1A"/>
    <w:rsid w:val="00415DFD"/>
    <w:rsid w:val="00415FB8"/>
    <w:rsid w:val="00416208"/>
    <w:rsid w:val="0041690F"/>
    <w:rsid w:val="004169D3"/>
    <w:rsid w:val="00416C2B"/>
    <w:rsid w:val="00416D41"/>
    <w:rsid w:val="00416E70"/>
    <w:rsid w:val="00417264"/>
    <w:rsid w:val="004210C0"/>
    <w:rsid w:val="004211DD"/>
    <w:rsid w:val="00421454"/>
    <w:rsid w:val="00421762"/>
    <w:rsid w:val="00421D4B"/>
    <w:rsid w:val="00421ED8"/>
    <w:rsid w:val="00422907"/>
    <w:rsid w:val="00423125"/>
    <w:rsid w:val="00423309"/>
    <w:rsid w:val="004233AD"/>
    <w:rsid w:val="00424446"/>
    <w:rsid w:val="0042458A"/>
    <w:rsid w:val="00424867"/>
    <w:rsid w:val="00425341"/>
    <w:rsid w:val="004255FE"/>
    <w:rsid w:val="00425674"/>
    <w:rsid w:val="00425A82"/>
    <w:rsid w:val="00425C60"/>
    <w:rsid w:val="00426B2C"/>
    <w:rsid w:val="00427FA8"/>
    <w:rsid w:val="0043009D"/>
    <w:rsid w:val="0043026B"/>
    <w:rsid w:val="00430299"/>
    <w:rsid w:val="004306D4"/>
    <w:rsid w:val="00430AFE"/>
    <w:rsid w:val="00431A2A"/>
    <w:rsid w:val="00431E3B"/>
    <w:rsid w:val="00432ECA"/>
    <w:rsid w:val="0043554E"/>
    <w:rsid w:val="004355D4"/>
    <w:rsid w:val="004357B1"/>
    <w:rsid w:val="00435821"/>
    <w:rsid w:val="0043583E"/>
    <w:rsid w:val="00436CCE"/>
    <w:rsid w:val="00436EAD"/>
    <w:rsid w:val="004375E1"/>
    <w:rsid w:val="00437A2F"/>
    <w:rsid w:val="00440262"/>
    <w:rsid w:val="004406BF"/>
    <w:rsid w:val="00440814"/>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5576"/>
    <w:rsid w:val="00465A21"/>
    <w:rsid w:val="00465DE5"/>
    <w:rsid w:val="00466978"/>
    <w:rsid w:val="00466ABA"/>
    <w:rsid w:val="004672E3"/>
    <w:rsid w:val="0046775D"/>
    <w:rsid w:val="00467823"/>
    <w:rsid w:val="004705FA"/>
    <w:rsid w:val="004708AC"/>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64C6"/>
    <w:rsid w:val="00476AC1"/>
    <w:rsid w:val="00476E22"/>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2CEA"/>
    <w:rsid w:val="0049333E"/>
    <w:rsid w:val="00493FD9"/>
    <w:rsid w:val="0049418F"/>
    <w:rsid w:val="0049570D"/>
    <w:rsid w:val="00495C48"/>
    <w:rsid w:val="00495DC6"/>
    <w:rsid w:val="00496CCE"/>
    <w:rsid w:val="004978C1"/>
    <w:rsid w:val="00497AAD"/>
    <w:rsid w:val="00497BD7"/>
    <w:rsid w:val="00497D1A"/>
    <w:rsid w:val="004A00C9"/>
    <w:rsid w:val="004A03D0"/>
    <w:rsid w:val="004A1049"/>
    <w:rsid w:val="004A121B"/>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83"/>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45C8"/>
    <w:rsid w:val="004C4F8F"/>
    <w:rsid w:val="004C5F4B"/>
    <w:rsid w:val="004C612E"/>
    <w:rsid w:val="004C61B8"/>
    <w:rsid w:val="004C61D1"/>
    <w:rsid w:val="004C69FE"/>
    <w:rsid w:val="004C6C0A"/>
    <w:rsid w:val="004C6C6D"/>
    <w:rsid w:val="004C77FF"/>
    <w:rsid w:val="004C7DB0"/>
    <w:rsid w:val="004C7FFC"/>
    <w:rsid w:val="004D0223"/>
    <w:rsid w:val="004D0C4C"/>
    <w:rsid w:val="004D16A3"/>
    <w:rsid w:val="004D1934"/>
    <w:rsid w:val="004D1E41"/>
    <w:rsid w:val="004D2326"/>
    <w:rsid w:val="004D2E11"/>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4ECF"/>
    <w:rsid w:val="004E5101"/>
    <w:rsid w:val="004E5380"/>
    <w:rsid w:val="004E6746"/>
    <w:rsid w:val="004E6CAC"/>
    <w:rsid w:val="004E6F69"/>
    <w:rsid w:val="004E75C1"/>
    <w:rsid w:val="004E777F"/>
    <w:rsid w:val="004F0368"/>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313"/>
    <w:rsid w:val="004F7922"/>
    <w:rsid w:val="004F7A1F"/>
    <w:rsid w:val="004F7B47"/>
    <w:rsid w:val="0050079C"/>
    <w:rsid w:val="0050106A"/>
    <w:rsid w:val="005010BC"/>
    <w:rsid w:val="00501848"/>
    <w:rsid w:val="00502B31"/>
    <w:rsid w:val="00503914"/>
    <w:rsid w:val="0050434C"/>
    <w:rsid w:val="005045C0"/>
    <w:rsid w:val="0050537D"/>
    <w:rsid w:val="0050591C"/>
    <w:rsid w:val="005059BD"/>
    <w:rsid w:val="005060AE"/>
    <w:rsid w:val="0050790B"/>
    <w:rsid w:val="00507FDF"/>
    <w:rsid w:val="0051037C"/>
    <w:rsid w:val="0051050F"/>
    <w:rsid w:val="0051058B"/>
    <w:rsid w:val="00510DDC"/>
    <w:rsid w:val="00511166"/>
    <w:rsid w:val="00512217"/>
    <w:rsid w:val="00512459"/>
    <w:rsid w:val="00512B61"/>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00A"/>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D47"/>
    <w:rsid w:val="00540EE7"/>
    <w:rsid w:val="00541A22"/>
    <w:rsid w:val="00541EAD"/>
    <w:rsid w:val="005424C2"/>
    <w:rsid w:val="005426B2"/>
    <w:rsid w:val="00543519"/>
    <w:rsid w:val="00543640"/>
    <w:rsid w:val="00544019"/>
    <w:rsid w:val="005444C6"/>
    <w:rsid w:val="00544BF9"/>
    <w:rsid w:val="00544F05"/>
    <w:rsid w:val="00544FCC"/>
    <w:rsid w:val="005454B8"/>
    <w:rsid w:val="00545ACB"/>
    <w:rsid w:val="00545DB9"/>
    <w:rsid w:val="005462ED"/>
    <w:rsid w:val="00546585"/>
    <w:rsid w:val="005467BC"/>
    <w:rsid w:val="0054680A"/>
    <w:rsid w:val="00546BF8"/>
    <w:rsid w:val="00547BA2"/>
    <w:rsid w:val="00550AC5"/>
    <w:rsid w:val="00550B7E"/>
    <w:rsid w:val="00551052"/>
    <w:rsid w:val="005524ED"/>
    <w:rsid w:val="00553106"/>
    <w:rsid w:val="00553F91"/>
    <w:rsid w:val="00554007"/>
    <w:rsid w:val="00554C03"/>
    <w:rsid w:val="00554C58"/>
    <w:rsid w:val="00554D5D"/>
    <w:rsid w:val="005550F9"/>
    <w:rsid w:val="00556338"/>
    <w:rsid w:val="00556441"/>
    <w:rsid w:val="00557031"/>
    <w:rsid w:val="00557F87"/>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666"/>
    <w:rsid w:val="00570763"/>
    <w:rsid w:val="0057125A"/>
    <w:rsid w:val="0057200B"/>
    <w:rsid w:val="00572297"/>
    <w:rsid w:val="005724A8"/>
    <w:rsid w:val="0057345D"/>
    <w:rsid w:val="0057347D"/>
    <w:rsid w:val="00573560"/>
    <w:rsid w:val="005746E3"/>
    <w:rsid w:val="005748C6"/>
    <w:rsid w:val="00574E7B"/>
    <w:rsid w:val="00574F36"/>
    <w:rsid w:val="0057533F"/>
    <w:rsid w:val="005766BE"/>
    <w:rsid w:val="00576A55"/>
    <w:rsid w:val="00576B5C"/>
    <w:rsid w:val="005770CC"/>
    <w:rsid w:val="005802F9"/>
    <w:rsid w:val="005806D5"/>
    <w:rsid w:val="00580DFC"/>
    <w:rsid w:val="0058134C"/>
    <w:rsid w:val="005815CD"/>
    <w:rsid w:val="005827A7"/>
    <w:rsid w:val="00583D43"/>
    <w:rsid w:val="005846C3"/>
    <w:rsid w:val="00584F04"/>
    <w:rsid w:val="0058544C"/>
    <w:rsid w:val="00585623"/>
    <w:rsid w:val="005857F7"/>
    <w:rsid w:val="005865E9"/>
    <w:rsid w:val="005868FD"/>
    <w:rsid w:val="00587D7B"/>
    <w:rsid w:val="005904DB"/>
    <w:rsid w:val="005905ED"/>
    <w:rsid w:val="00590D11"/>
    <w:rsid w:val="00591525"/>
    <w:rsid w:val="00591BA6"/>
    <w:rsid w:val="00592825"/>
    <w:rsid w:val="00592B0C"/>
    <w:rsid w:val="00594437"/>
    <w:rsid w:val="00594B70"/>
    <w:rsid w:val="00594EE1"/>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42"/>
    <w:rsid w:val="005A57B8"/>
    <w:rsid w:val="005A5DDE"/>
    <w:rsid w:val="005A64A8"/>
    <w:rsid w:val="005A65C5"/>
    <w:rsid w:val="005A6875"/>
    <w:rsid w:val="005A7016"/>
    <w:rsid w:val="005A70EE"/>
    <w:rsid w:val="005A7A32"/>
    <w:rsid w:val="005A7F85"/>
    <w:rsid w:val="005B00DD"/>
    <w:rsid w:val="005B03B1"/>
    <w:rsid w:val="005B07D5"/>
    <w:rsid w:val="005B1A8A"/>
    <w:rsid w:val="005B1AAB"/>
    <w:rsid w:val="005B2578"/>
    <w:rsid w:val="005B26BF"/>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3C"/>
    <w:rsid w:val="005C1C83"/>
    <w:rsid w:val="005C1DB1"/>
    <w:rsid w:val="005C226F"/>
    <w:rsid w:val="005C2294"/>
    <w:rsid w:val="005C2E48"/>
    <w:rsid w:val="005C3344"/>
    <w:rsid w:val="005C4E4D"/>
    <w:rsid w:val="005C58F2"/>
    <w:rsid w:val="005C5A97"/>
    <w:rsid w:val="005C5F77"/>
    <w:rsid w:val="005C6AAB"/>
    <w:rsid w:val="005C6D5D"/>
    <w:rsid w:val="005C6FD0"/>
    <w:rsid w:val="005C704F"/>
    <w:rsid w:val="005D01C3"/>
    <w:rsid w:val="005D05FF"/>
    <w:rsid w:val="005D0FB4"/>
    <w:rsid w:val="005D1176"/>
    <w:rsid w:val="005D1747"/>
    <w:rsid w:val="005D266D"/>
    <w:rsid w:val="005D306D"/>
    <w:rsid w:val="005D3327"/>
    <w:rsid w:val="005D4854"/>
    <w:rsid w:val="005D5BCF"/>
    <w:rsid w:val="005D65BF"/>
    <w:rsid w:val="005D6C84"/>
    <w:rsid w:val="005D6D84"/>
    <w:rsid w:val="005D70A1"/>
    <w:rsid w:val="005D79F2"/>
    <w:rsid w:val="005D7CB1"/>
    <w:rsid w:val="005D7F57"/>
    <w:rsid w:val="005E0067"/>
    <w:rsid w:val="005E0141"/>
    <w:rsid w:val="005E09CA"/>
    <w:rsid w:val="005E1AB4"/>
    <w:rsid w:val="005E255B"/>
    <w:rsid w:val="005E2CF7"/>
    <w:rsid w:val="005E4543"/>
    <w:rsid w:val="005E4A1C"/>
    <w:rsid w:val="005E56C9"/>
    <w:rsid w:val="005E5CF7"/>
    <w:rsid w:val="005E5F37"/>
    <w:rsid w:val="005E5FF0"/>
    <w:rsid w:val="005E642A"/>
    <w:rsid w:val="005E65A7"/>
    <w:rsid w:val="005E721E"/>
    <w:rsid w:val="005E7A75"/>
    <w:rsid w:val="005F0857"/>
    <w:rsid w:val="005F1470"/>
    <w:rsid w:val="005F15A9"/>
    <w:rsid w:val="005F2807"/>
    <w:rsid w:val="005F2CD5"/>
    <w:rsid w:val="005F3382"/>
    <w:rsid w:val="005F3720"/>
    <w:rsid w:val="005F5506"/>
    <w:rsid w:val="005F5A0D"/>
    <w:rsid w:val="005F60DF"/>
    <w:rsid w:val="005F615B"/>
    <w:rsid w:val="005F61DF"/>
    <w:rsid w:val="005F680A"/>
    <w:rsid w:val="005F6880"/>
    <w:rsid w:val="005F6B3E"/>
    <w:rsid w:val="005F6ED2"/>
    <w:rsid w:val="005F745B"/>
    <w:rsid w:val="005F77F8"/>
    <w:rsid w:val="005F7CA8"/>
    <w:rsid w:val="00600DE1"/>
    <w:rsid w:val="00600F02"/>
    <w:rsid w:val="00601506"/>
    <w:rsid w:val="00601596"/>
    <w:rsid w:val="00601C92"/>
    <w:rsid w:val="00601F66"/>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30D0"/>
    <w:rsid w:val="0061355D"/>
    <w:rsid w:val="006139F7"/>
    <w:rsid w:val="00613AA2"/>
    <w:rsid w:val="00614906"/>
    <w:rsid w:val="0061517F"/>
    <w:rsid w:val="00615276"/>
    <w:rsid w:val="006155F1"/>
    <w:rsid w:val="006156F6"/>
    <w:rsid w:val="00615846"/>
    <w:rsid w:val="006160F0"/>
    <w:rsid w:val="0061618F"/>
    <w:rsid w:val="0061624B"/>
    <w:rsid w:val="006166AD"/>
    <w:rsid w:val="00616C1E"/>
    <w:rsid w:val="00617EFC"/>
    <w:rsid w:val="00620055"/>
    <w:rsid w:val="00620336"/>
    <w:rsid w:val="006204B3"/>
    <w:rsid w:val="006204C2"/>
    <w:rsid w:val="006212D3"/>
    <w:rsid w:val="00621639"/>
    <w:rsid w:val="00622B22"/>
    <w:rsid w:val="00622F67"/>
    <w:rsid w:val="00623571"/>
    <w:rsid w:val="00623A5E"/>
    <w:rsid w:val="00625008"/>
    <w:rsid w:val="0062548B"/>
    <w:rsid w:val="00626710"/>
    <w:rsid w:val="00626930"/>
    <w:rsid w:val="00626AD3"/>
    <w:rsid w:val="00626BAC"/>
    <w:rsid w:val="006271C3"/>
    <w:rsid w:val="00627B14"/>
    <w:rsid w:val="0063001E"/>
    <w:rsid w:val="00630023"/>
    <w:rsid w:val="006308EE"/>
    <w:rsid w:val="00630B8F"/>
    <w:rsid w:val="00630C70"/>
    <w:rsid w:val="00630D67"/>
    <w:rsid w:val="00631005"/>
    <w:rsid w:val="00631667"/>
    <w:rsid w:val="00631C79"/>
    <w:rsid w:val="00632727"/>
    <w:rsid w:val="0063283D"/>
    <w:rsid w:val="00633769"/>
    <w:rsid w:val="00633FE3"/>
    <w:rsid w:val="00634276"/>
    <w:rsid w:val="00634570"/>
    <w:rsid w:val="0063477C"/>
    <w:rsid w:val="0063487C"/>
    <w:rsid w:val="00634993"/>
    <w:rsid w:val="00635B73"/>
    <w:rsid w:val="00635BB7"/>
    <w:rsid w:val="00636743"/>
    <w:rsid w:val="00636CC7"/>
    <w:rsid w:val="00637F27"/>
    <w:rsid w:val="006405EC"/>
    <w:rsid w:val="00640A4D"/>
    <w:rsid w:val="00641768"/>
    <w:rsid w:val="006418F2"/>
    <w:rsid w:val="00641A84"/>
    <w:rsid w:val="00641B05"/>
    <w:rsid w:val="00641DA1"/>
    <w:rsid w:val="00641E5B"/>
    <w:rsid w:val="00641F12"/>
    <w:rsid w:val="00642C69"/>
    <w:rsid w:val="0064330A"/>
    <w:rsid w:val="00643F89"/>
    <w:rsid w:val="00644334"/>
    <w:rsid w:val="0064487C"/>
    <w:rsid w:val="00644BED"/>
    <w:rsid w:val="00644E2E"/>
    <w:rsid w:val="00645A3A"/>
    <w:rsid w:val="00645B87"/>
    <w:rsid w:val="00645CB4"/>
    <w:rsid w:val="00646084"/>
    <w:rsid w:val="006468ED"/>
    <w:rsid w:val="00647664"/>
    <w:rsid w:val="00650689"/>
    <w:rsid w:val="00650D19"/>
    <w:rsid w:val="00652CF5"/>
    <w:rsid w:val="0065343E"/>
    <w:rsid w:val="006536BB"/>
    <w:rsid w:val="0065398F"/>
    <w:rsid w:val="00653C69"/>
    <w:rsid w:val="00653C7C"/>
    <w:rsid w:val="00654252"/>
    <w:rsid w:val="006543B7"/>
    <w:rsid w:val="00654EA5"/>
    <w:rsid w:val="0065587E"/>
    <w:rsid w:val="006558CD"/>
    <w:rsid w:val="00655C26"/>
    <w:rsid w:val="0065637A"/>
    <w:rsid w:val="00656398"/>
    <w:rsid w:val="00656998"/>
    <w:rsid w:val="00656E4D"/>
    <w:rsid w:val="006576BA"/>
    <w:rsid w:val="006600BF"/>
    <w:rsid w:val="00660AF7"/>
    <w:rsid w:val="00660D3E"/>
    <w:rsid w:val="00661691"/>
    <w:rsid w:val="00662304"/>
    <w:rsid w:val="00662981"/>
    <w:rsid w:val="00662D3D"/>
    <w:rsid w:val="00662F1F"/>
    <w:rsid w:val="00663D15"/>
    <w:rsid w:val="00665030"/>
    <w:rsid w:val="00665670"/>
    <w:rsid w:val="006659EA"/>
    <w:rsid w:val="006661E8"/>
    <w:rsid w:val="00666424"/>
    <w:rsid w:val="0066676C"/>
    <w:rsid w:val="00666C0A"/>
    <w:rsid w:val="006673B9"/>
    <w:rsid w:val="0066790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77EF4"/>
    <w:rsid w:val="00680326"/>
    <w:rsid w:val="00680714"/>
    <w:rsid w:val="0068071D"/>
    <w:rsid w:val="00680C6B"/>
    <w:rsid w:val="006811F3"/>
    <w:rsid w:val="00681240"/>
    <w:rsid w:val="00683068"/>
    <w:rsid w:val="00683CCD"/>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780"/>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823"/>
    <w:rsid w:val="006B29DC"/>
    <w:rsid w:val="006B2F60"/>
    <w:rsid w:val="006B33DB"/>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7FB"/>
    <w:rsid w:val="006C5B4D"/>
    <w:rsid w:val="006C5D5D"/>
    <w:rsid w:val="006C627E"/>
    <w:rsid w:val="006C6303"/>
    <w:rsid w:val="006C6A51"/>
    <w:rsid w:val="006C6B21"/>
    <w:rsid w:val="006C6EBD"/>
    <w:rsid w:val="006C7E04"/>
    <w:rsid w:val="006C7F79"/>
    <w:rsid w:val="006D0004"/>
    <w:rsid w:val="006D015F"/>
    <w:rsid w:val="006D060E"/>
    <w:rsid w:val="006D0681"/>
    <w:rsid w:val="006D0A80"/>
    <w:rsid w:val="006D0AE8"/>
    <w:rsid w:val="006D135C"/>
    <w:rsid w:val="006D2F72"/>
    <w:rsid w:val="006D394B"/>
    <w:rsid w:val="006D43C1"/>
    <w:rsid w:val="006D5442"/>
    <w:rsid w:val="006D5886"/>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053"/>
    <w:rsid w:val="006E727B"/>
    <w:rsid w:val="006E76C8"/>
    <w:rsid w:val="006E7A92"/>
    <w:rsid w:val="006F01FF"/>
    <w:rsid w:val="006F0CB2"/>
    <w:rsid w:val="006F1DE9"/>
    <w:rsid w:val="006F2046"/>
    <w:rsid w:val="006F2F59"/>
    <w:rsid w:val="006F311E"/>
    <w:rsid w:val="006F3442"/>
    <w:rsid w:val="006F36A5"/>
    <w:rsid w:val="006F41F4"/>
    <w:rsid w:val="006F4576"/>
    <w:rsid w:val="006F5813"/>
    <w:rsid w:val="006F59A8"/>
    <w:rsid w:val="006F5A1D"/>
    <w:rsid w:val="006F71A6"/>
    <w:rsid w:val="006F7974"/>
    <w:rsid w:val="006F7C2C"/>
    <w:rsid w:val="006F7FD5"/>
    <w:rsid w:val="007003C3"/>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9AE"/>
    <w:rsid w:val="007069D4"/>
    <w:rsid w:val="00706C89"/>
    <w:rsid w:val="00707967"/>
    <w:rsid w:val="007100CB"/>
    <w:rsid w:val="00710257"/>
    <w:rsid w:val="00710587"/>
    <w:rsid w:val="007107D5"/>
    <w:rsid w:val="0071174F"/>
    <w:rsid w:val="007119DC"/>
    <w:rsid w:val="00711CC7"/>
    <w:rsid w:val="0071200E"/>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17ED7"/>
    <w:rsid w:val="007208A7"/>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BFF"/>
    <w:rsid w:val="00725D6A"/>
    <w:rsid w:val="007263A2"/>
    <w:rsid w:val="007266B9"/>
    <w:rsid w:val="00727351"/>
    <w:rsid w:val="00727AC5"/>
    <w:rsid w:val="00727C65"/>
    <w:rsid w:val="007300F0"/>
    <w:rsid w:val="00730904"/>
    <w:rsid w:val="0073116E"/>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37963"/>
    <w:rsid w:val="007403C6"/>
    <w:rsid w:val="007403FE"/>
    <w:rsid w:val="007413EB"/>
    <w:rsid w:val="007413FB"/>
    <w:rsid w:val="00742D32"/>
    <w:rsid w:val="00742E9B"/>
    <w:rsid w:val="007444E6"/>
    <w:rsid w:val="00744CC6"/>
    <w:rsid w:val="0074592C"/>
    <w:rsid w:val="00745C91"/>
    <w:rsid w:val="00746098"/>
    <w:rsid w:val="00746D58"/>
    <w:rsid w:val="00747578"/>
    <w:rsid w:val="00747ED9"/>
    <w:rsid w:val="00750D12"/>
    <w:rsid w:val="00750ECF"/>
    <w:rsid w:val="00751073"/>
    <w:rsid w:val="00751AF2"/>
    <w:rsid w:val="00751B1A"/>
    <w:rsid w:val="00751BD2"/>
    <w:rsid w:val="00751CE5"/>
    <w:rsid w:val="00752188"/>
    <w:rsid w:val="00752AC8"/>
    <w:rsid w:val="00752CC6"/>
    <w:rsid w:val="00753577"/>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F8B"/>
    <w:rsid w:val="007640F3"/>
    <w:rsid w:val="0076417E"/>
    <w:rsid w:val="0076497F"/>
    <w:rsid w:val="007660EC"/>
    <w:rsid w:val="007662C7"/>
    <w:rsid w:val="00766862"/>
    <w:rsid w:val="007675DD"/>
    <w:rsid w:val="007702BF"/>
    <w:rsid w:val="007705F0"/>
    <w:rsid w:val="00770A1C"/>
    <w:rsid w:val="00771CAC"/>
    <w:rsid w:val="00772036"/>
    <w:rsid w:val="00772B55"/>
    <w:rsid w:val="00773098"/>
    <w:rsid w:val="007739A3"/>
    <w:rsid w:val="00773BD9"/>
    <w:rsid w:val="00773CB0"/>
    <w:rsid w:val="00773D71"/>
    <w:rsid w:val="00774B57"/>
    <w:rsid w:val="00775526"/>
    <w:rsid w:val="00775651"/>
    <w:rsid w:val="00775F3F"/>
    <w:rsid w:val="0077710B"/>
    <w:rsid w:val="0077765A"/>
    <w:rsid w:val="00780032"/>
    <w:rsid w:val="00780636"/>
    <w:rsid w:val="00780E86"/>
    <w:rsid w:val="0078108C"/>
    <w:rsid w:val="00781727"/>
    <w:rsid w:val="007823E8"/>
    <w:rsid w:val="007829DE"/>
    <w:rsid w:val="00782CF3"/>
    <w:rsid w:val="00783959"/>
    <w:rsid w:val="00783BA5"/>
    <w:rsid w:val="007844A9"/>
    <w:rsid w:val="00785091"/>
    <w:rsid w:val="0078638C"/>
    <w:rsid w:val="007869F9"/>
    <w:rsid w:val="00786CBB"/>
    <w:rsid w:val="00786DAD"/>
    <w:rsid w:val="00786E21"/>
    <w:rsid w:val="0079026E"/>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3F0"/>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1A9D"/>
    <w:rsid w:val="007C2085"/>
    <w:rsid w:val="007C20F8"/>
    <w:rsid w:val="007C21C5"/>
    <w:rsid w:val="007C2229"/>
    <w:rsid w:val="007C225A"/>
    <w:rsid w:val="007C2313"/>
    <w:rsid w:val="007C2570"/>
    <w:rsid w:val="007C3590"/>
    <w:rsid w:val="007C387A"/>
    <w:rsid w:val="007C3A0D"/>
    <w:rsid w:val="007C3EB0"/>
    <w:rsid w:val="007C43D6"/>
    <w:rsid w:val="007C47FF"/>
    <w:rsid w:val="007C4838"/>
    <w:rsid w:val="007C60A8"/>
    <w:rsid w:val="007C660F"/>
    <w:rsid w:val="007C6664"/>
    <w:rsid w:val="007C66FF"/>
    <w:rsid w:val="007C69AE"/>
    <w:rsid w:val="007C6FE9"/>
    <w:rsid w:val="007C7688"/>
    <w:rsid w:val="007C76E3"/>
    <w:rsid w:val="007C76F3"/>
    <w:rsid w:val="007C7DD9"/>
    <w:rsid w:val="007D0199"/>
    <w:rsid w:val="007D03BC"/>
    <w:rsid w:val="007D0DC9"/>
    <w:rsid w:val="007D0ECD"/>
    <w:rsid w:val="007D1A8E"/>
    <w:rsid w:val="007D2882"/>
    <w:rsid w:val="007D296C"/>
    <w:rsid w:val="007D2C31"/>
    <w:rsid w:val="007D2E50"/>
    <w:rsid w:val="007D3D74"/>
    <w:rsid w:val="007D445F"/>
    <w:rsid w:val="007D4DED"/>
    <w:rsid w:val="007D59E6"/>
    <w:rsid w:val="007D5BA2"/>
    <w:rsid w:val="007D5ED3"/>
    <w:rsid w:val="007D682F"/>
    <w:rsid w:val="007D6FB9"/>
    <w:rsid w:val="007D7211"/>
    <w:rsid w:val="007E0595"/>
    <w:rsid w:val="007E0A63"/>
    <w:rsid w:val="007E0C63"/>
    <w:rsid w:val="007E0E05"/>
    <w:rsid w:val="007E0F5D"/>
    <w:rsid w:val="007E23A1"/>
    <w:rsid w:val="007E259F"/>
    <w:rsid w:val="007E347E"/>
    <w:rsid w:val="007E411A"/>
    <w:rsid w:val="007E41A4"/>
    <w:rsid w:val="007E43E3"/>
    <w:rsid w:val="007E54B8"/>
    <w:rsid w:val="007E5D12"/>
    <w:rsid w:val="007E6420"/>
    <w:rsid w:val="007E677F"/>
    <w:rsid w:val="007E6B25"/>
    <w:rsid w:val="007E6E06"/>
    <w:rsid w:val="007E6F4A"/>
    <w:rsid w:val="007E79CC"/>
    <w:rsid w:val="007F1124"/>
    <w:rsid w:val="007F152D"/>
    <w:rsid w:val="007F1EE5"/>
    <w:rsid w:val="007F20C4"/>
    <w:rsid w:val="007F20EE"/>
    <w:rsid w:val="007F23D8"/>
    <w:rsid w:val="007F307A"/>
    <w:rsid w:val="007F30C6"/>
    <w:rsid w:val="007F38FD"/>
    <w:rsid w:val="007F3C18"/>
    <w:rsid w:val="007F4318"/>
    <w:rsid w:val="007F4709"/>
    <w:rsid w:val="007F47DA"/>
    <w:rsid w:val="007F4E52"/>
    <w:rsid w:val="007F4F84"/>
    <w:rsid w:val="007F5382"/>
    <w:rsid w:val="007F55A4"/>
    <w:rsid w:val="007F5D28"/>
    <w:rsid w:val="007F6260"/>
    <w:rsid w:val="007F633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705B"/>
    <w:rsid w:val="0080723C"/>
    <w:rsid w:val="00807F71"/>
    <w:rsid w:val="0081000F"/>
    <w:rsid w:val="00812657"/>
    <w:rsid w:val="00812A1A"/>
    <w:rsid w:val="00812DFF"/>
    <w:rsid w:val="0081362F"/>
    <w:rsid w:val="0081383A"/>
    <w:rsid w:val="0081497F"/>
    <w:rsid w:val="00814B90"/>
    <w:rsid w:val="00814FC7"/>
    <w:rsid w:val="0081660C"/>
    <w:rsid w:val="00817195"/>
    <w:rsid w:val="00817416"/>
    <w:rsid w:val="00817658"/>
    <w:rsid w:val="008206AE"/>
    <w:rsid w:val="00821271"/>
    <w:rsid w:val="00821306"/>
    <w:rsid w:val="008213D9"/>
    <w:rsid w:val="008216CE"/>
    <w:rsid w:val="008218AE"/>
    <w:rsid w:val="00821AD5"/>
    <w:rsid w:val="00821C14"/>
    <w:rsid w:val="00821D85"/>
    <w:rsid w:val="00821E47"/>
    <w:rsid w:val="008220F6"/>
    <w:rsid w:val="00822456"/>
    <w:rsid w:val="00823819"/>
    <w:rsid w:val="00823C4B"/>
    <w:rsid w:val="0082427D"/>
    <w:rsid w:val="00825441"/>
    <w:rsid w:val="00826855"/>
    <w:rsid w:val="00827110"/>
    <w:rsid w:val="00830052"/>
    <w:rsid w:val="008300D0"/>
    <w:rsid w:val="008308D8"/>
    <w:rsid w:val="008320D2"/>
    <w:rsid w:val="008321CE"/>
    <w:rsid w:val="0083257C"/>
    <w:rsid w:val="0083261B"/>
    <w:rsid w:val="00832B44"/>
    <w:rsid w:val="00832EC9"/>
    <w:rsid w:val="00833307"/>
    <w:rsid w:val="00833583"/>
    <w:rsid w:val="00833B5B"/>
    <w:rsid w:val="00833E9A"/>
    <w:rsid w:val="00834FEF"/>
    <w:rsid w:val="00836323"/>
    <w:rsid w:val="00837D3D"/>
    <w:rsid w:val="00837E9B"/>
    <w:rsid w:val="008404AA"/>
    <w:rsid w:val="008406D7"/>
    <w:rsid w:val="0084074F"/>
    <w:rsid w:val="008407BA"/>
    <w:rsid w:val="00840AA3"/>
    <w:rsid w:val="00840AAC"/>
    <w:rsid w:val="0084101C"/>
    <w:rsid w:val="0084181B"/>
    <w:rsid w:val="00841F29"/>
    <w:rsid w:val="008425CC"/>
    <w:rsid w:val="00842DC2"/>
    <w:rsid w:val="0084357B"/>
    <w:rsid w:val="00843637"/>
    <w:rsid w:val="008465B4"/>
    <w:rsid w:val="00846D25"/>
    <w:rsid w:val="00850013"/>
    <w:rsid w:val="008500DD"/>
    <w:rsid w:val="00850A0A"/>
    <w:rsid w:val="00850A94"/>
    <w:rsid w:val="0085104E"/>
    <w:rsid w:val="00851E96"/>
    <w:rsid w:val="00851F1C"/>
    <w:rsid w:val="00852FA5"/>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257"/>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3DE5"/>
    <w:rsid w:val="0088434F"/>
    <w:rsid w:val="00884371"/>
    <w:rsid w:val="008848E2"/>
    <w:rsid w:val="00884B7A"/>
    <w:rsid w:val="00884D47"/>
    <w:rsid w:val="008856BF"/>
    <w:rsid w:val="008856C5"/>
    <w:rsid w:val="00886112"/>
    <w:rsid w:val="008872B3"/>
    <w:rsid w:val="00887392"/>
    <w:rsid w:val="00890A64"/>
    <w:rsid w:val="00890C40"/>
    <w:rsid w:val="0089122E"/>
    <w:rsid w:val="008912A7"/>
    <w:rsid w:val="0089183A"/>
    <w:rsid w:val="008920B4"/>
    <w:rsid w:val="008925EB"/>
    <w:rsid w:val="0089275E"/>
    <w:rsid w:val="0089294F"/>
    <w:rsid w:val="00892B43"/>
    <w:rsid w:val="00893432"/>
    <w:rsid w:val="00893936"/>
    <w:rsid w:val="00893CE2"/>
    <w:rsid w:val="00893F41"/>
    <w:rsid w:val="00894580"/>
    <w:rsid w:val="00895144"/>
    <w:rsid w:val="00895963"/>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4F46"/>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2F6D"/>
    <w:rsid w:val="008C3A4E"/>
    <w:rsid w:val="008C46BE"/>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68E7"/>
    <w:rsid w:val="008D7247"/>
    <w:rsid w:val="008D74F0"/>
    <w:rsid w:val="008D7567"/>
    <w:rsid w:val="008E0300"/>
    <w:rsid w:val="008E0EE4"/>
    <w:rsid w:val="008E12BE"/>
    <w:rsid w:val="008E13FD"/>
    <w:rsid w:val="008E1C24"/>
    <w:rsid w:val="008E2626"/>
    <w:rsid w:val="008E27A9"/>
    <w:rsid w:val="008E323C"/>
    <w:rsid w:val="008E32E0"/>
    <w:rsid w:val="008E35A6"/>
    <w:rsid w:val="008E36D9"/>
    <w:rsid w:val="008E3A5C"/>
    <w:rsid w:val="008E3A9A"/>
    <w:rsid w:val="008E429E"/>
    <w:rsid w:val="008E4A00"/>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1BD"/>
    <w:rsid w:val="008F5D5A"/>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2B7A"/>
    <w:rsid w:val="00903969"/>
    <w:rsid w:val="00903C83"/>
    <w:rsid w:val="00903D77"/>
    <w:rsid w:val="0090408F"/>
    <w:rsid w:val="0090446A"/>
    <w:rsid w:val="00904537"/>
    <w:rsid w:val="00904C01"/>
    <w:rsid w:val="00904DC3"/>
    <w:rsid w:val="0090534A"/>
    <w:rsid w:val="00905469"/>
    <w:rsid w:val="00906078"/>
    <w:rsid w:val="0090629C"/>
    <w:rsid w:val="00906EA2"/>
    <w:rsid w:val="00907278"/>
    <w:rsid w:val="00910041"/>
    <w:rsid w:val="0091112B"/>
    <w:rsid w:val="009111F1"/>
    <w:rsid w:val="00911D61"/>
    <w:rsid w:val="00912850"/>
    <w:rsid w:val="009128B8"/>
    <w:rsid w:val="0091472C"/>
    <w:rsid w:val="00914DC9"/>
    <w:rsid w:val="00915351"/>
    <w:rsid w:val="00915679"/>
    <w:rsid w:val="009159C2"/>
    <w:rsid w:val="00915D5A"/>
    <w:rsid w:val="0091627F"/>
    <w:rsid w:val="00916E45"/>
    <w:rsid w:val="0092030A"/>
    <w:rsid w:val="0092077A"/>
    <w:rsid w:val="00920DC0"/>
    <w:rsid w:val="009219F3"/>
    <w:rsid w:val="00921A1B"/>
    <w:rsid w:val="009221CB"/>
    <w:rsid w:val="00922320"/>
    <w:rsid w:val="00923643"/>
    <w:rsid w:val="00923E1A"/>
    <w:rsid w:val="009245CC"/>
    <w:rsid w:val="0092490A"/>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3DAE"/>
    <w:rsid w:val="00934C8E"/>
    <w:rsid w:val="00935194"/>
    <w:rsid w:val="00935C40"/>
    <w:rsid w:val="00936EA5"/>
    <w:rsid w:val="00937114"/>
    <w:rsid w:val="0094003D"/>
    <w:rsid w:val="0094015D"/>
    <w:rsid w:val="00940916"/>
    <w:rsid w:val="009412B7"/>
    <w:rsid w:val="00941B13"/>
    <w:rsid w:val="0094215C"/>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C0"/>
    <w:rsid w:val="0095436B"/>
    <w:rsid w:val="009557A9"/>
    <w:rsid w:val="00956647"/>
    <w:rsid w:val="00957380"/>
    <w:rsid w:val="00957409"/>
    <w:rsid w:val="00957499"/>
    <w:rsid w:val="00957ED2"/>
    <w:rsid w:val="009604AE"/>
    <w:rsid w:val="009609AF"/>
    <w:rsid w:val="00960DE4"/>
    <w:rsid w:val="009610C7"/>
    <w:rsid w:val="00961164"/>
    <w:rsid w:val="00961867"/>
    <w:rsid w:val="00961A4F"/>
    <w:rsid w:val="009625B7"/>
    <w:rsid w:val="00962FB8"/>
    <w:rsid w:val="00963183"/>
    <w:rsid w:val="0096373F"/>
    <w:rsid w:val="00964007"/>
    <w:rsid w:val="00964283"/>
    <w:rsid w:val="009642A4"/>
    <w:rsid w:val="009643F4"/>
    <w:rsid w:val="009645A6"/>
    <w:rsid w:val="00964F5A"/>
    <w:rsid w:val="0096527F"/>
    <w:rsid w:val="009653ED"/>
    <w:rsid w:val="00966A21"/>
    <w:rsid w:val="00966AD2"/>
    <w:rsid w:val="00971415"/>
    <w:rsid w:val="009716D8"/>
    <w:rsid w:val="00971F54"/>
    <w:rsid w:val="00972057"/>
    <w:rsid w:val="0097227B"/>
    <w:rsid w:val="0097262E"/>
    <w:rsid w:val="0097293F"/>
    <w:rsid w:val="00973103"/>
    <w:rsid w:val="0097314F"/>
    <w:rsid w:val="00974022"/>
    <w:rsid w:val="009743E8"/>
    <w:rsid w:val="009745D8"/>
    <w:rsid w:val="0097485D"/>
    <w:rsid w:val="00974F3B"/>
    <w:rsid w:val="0097552A"/>
    <w:rsid w:val="0097564A"/>
    <w:rsid w:val="00975974"/>
    <w:rsid w:val="00975D06"/>
    <w:rsid w:val="00975D63"/>
    <w:rsid w:val="00975DAE"/>
    <w:rsid w:val="00976BBE"/>
    <w:rsid w:val="0098055B"/>
    <w:rsid w:val="00980B30"/>
    <w:rsid w:val="009810BE"/>
    <w:rsid w:val="009817BC"/>
    <w:rsid w:val="009819A7"/>
    <w:rsid w:val="00981F09"/>
    <w:rsid w:val="0098220A"/>
    <w:rsid w:val="00982E75"/>
    <w:rsid w:val="0098302A"/>
    <w:rsid w:val="00983337"/>
    <w:rsid w:val="009836AA"/>
    <w:rsid w:val="009846BF"/>
    <w:rsid w:val="00984768"/>
    <w:rsid w:val="009851F5"/>
    <w:rsid w:val="0098534B"/>
    <w:rsid w:val="00985D26"/>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6C1"/>
    <w:rsid w:val="00993AC7"/>
    <w:rsid w:val="00993BAD"/>
    <w:rsid w:val="00993E49"/>
    <w:rsid w:val="00994120"/>
    <w:rsid w:val="009942F5"/>
    <w:rsid w:val="00994568"/>
    <w:rsid w:val="00994602"/>
    <w:rsid w:val="00994A33"/>
    <w:rsid w:val="00995B01"/>
    <w:rsid w:val="00996055"/>
    <w:rsid w:val="00996EF4"/>
    <w:rsid w:val="00996F23"/>
    <w:rsid w:val="00997044"/>
    <w:rsid w:val="00997BC9"/>
    <w:rsid w:val="009A113D"/>
    <w:rsid w:val="009A1ECA"/>
    <w:rsid w:val="009A2BE9"/>
    <w:rsid w:val="009A2BF3"/>
    <w:rsid w:val="009A3688"/>
    <w:rsid w:val="009A3713"/>
    <w:rsid w:val="009A3B04"/>
    <w:rsid w:val="009A3C3E"/>
    <w:rsid w:val="009A4153"/>
    <w:rsid w:val="009A4C2C"/>
    <w:rsid w:val="009A59B3"/>
    <w:rsid w:val="009A5CB3"/>
    <w:rsid w:val="009A5F1B"/>
    <w:rsid w:val="009A5FAE"/>
    <w:rsid w:val="009A6B3A"/>
    <w:rsid w:val="009A70A3"/>
    <w:rsid w:val="009A7E7C"/>
    <w:rsid w:val="009B0237"/>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20"/>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2A8"/>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FB"/>
    <w:rsid w:val="009E7D6B"/>
    <w:rsid w:val="009E7E81"/>
    <w:rsid w:val="009F020A"/>
    <w:rsid w:val="009F05AD"/>
    <w:rsid w:val="009F0659"/>
    <w:rsid w:val="009F0A87"/>
    <w:rsid w:val="009F1109"/>
    <w:rsid w:val="009F143E"/>
    <w:rsid w:val="009F1DE8"/>
    <w:rsid w:val="009F2186"/>
    <w:rsid w:val="009F227C"/>
    <w:rsid w:val="009F28DC"/>
    <w:rsid w:val="009F2EDB"/>
    <w:rsid w:val="009F33DC"/>
    <w:rsid w:val="009F4550"/>
    <w:rsid w:val="009F56C0"/>
    <w:rsid w:val="009F5C76"/>
    <w:rsid w:val="009F6A75"/>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3C3"/>
    <w:rsid w:val="00A03A7C"/>
    <w:rsid w:val="00A03DA5"/>
    <w:rsid w:val="00A044AA"/>
    <w:rsid w:val="00A0700C"/>
    <w:rsid w:val="00A102F8"/>
    <w:rsid w:val="00A10A20"/>
    <w:rsid w:val="00A117D5"/>
    <w:rsid w:val="00A11C11"/>
    <w:rsid w:val="00A11F98"/>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ADE"/>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33B"/>
    <w:rsid w:val="00A40685"/>
    <w:rsid w:val="00A40E2F"/>
    <w:rsid w:val="00A41819"/>
    <w:rsid w:val="00A41C9A"/>
    <w:rsid w:val="00A41D73"/>
    <w:rsid w:val="00A42406"/>
    <w:rsid w:val="00A433E8"/>
    <w:rsid w:val="00A43A1D"/>
    <w:rsid w:val="00A43AB0"/>
    <w:rsid w:val="00A44854"/>
    <w:rsid w:val="00A44A45"/>
    <w:rsid w:val="00A4665D"/>
    <w:rsid w:val="00A46859"/>
    <w:rsid w:val="00A46D39"/>
    <w:rsid w:val="00A47019"/>
    <w:rsid w:val="00A472B8"/>
    <w:rsid w:val="00A47511"/>
    <w:rsid w:val="00A5004A"/>
    <w:rsid w:val="00A5017C"/>
    <w:rsid w:val="00A502D6"/>
    <w:rsid w:val="00A502F5"/>
    <w:rsid w:val="00A504F4"/>
    <w:rsid w:val="00A507C4"/>
    <w:rsid w:val="00A508AA"/>
    <w:rsid w:val="00A50EE7"/>
    <w:rsid w:val="00A526CE"/>
    <w:rsid w:val="00A54909"/>
    <w:rsid w:val="00A54DC0"/>
    <w:rsid w:val="00A550C9"/>
    <w:rsid w:val="00A55228"/>
    <w:rsid w:val="00A55410"/>
    <w:rsid w:val="00A55A04"/>
    <w:rsid w:val="00A564DE"/>
    <w:rsid w:val="00A6054E"/>
    <w:rsid w:val="00A60799"/>
    <w:rsid w:val="00A6170B"/>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7E7"/>
    <w:rsid w:val="00A85806"/>
    <w:rsid w:val="00A8597A"/>
    <w:rsid w:val="00A85B87"/>
    <w:rsid w:val="00A85F83"/>
    <w:rsid w:val="00A86019"/>
    <w:rsid w:val="00A86EED"/>
    <w:rsid w:val="00A8733A"/>
    <w:rsid w:val="00A9106C"/>
    <w:rsid w:val="00A9151F"/>
    <w:rsid w:val="00A9196B"/>
    <w:rsid w:val="00A91BB5"/>
    <w:rsid w:val="00A91BEE"/>
    <w:rsid w:val="00A91D4B"/>
    <w:rsid w:val="00A91E23"/>
    <w:rsid w:val="00A920B2"/>
    <w:rsid w:val="00A92A96"/>
    <w:rsid w:val="00A92AF0"/>
    <w:rsid w:val="00A933FE"/>
    <w:rsid w:val="00A937D5"/>
    <w:rsid w:val="00A93C70"/>
    <w:rsid w:val="00A94A32"/>
    <w:rsid w:val="00A94AFC"/>
    <w:rsid w:val="00A94BF5"/>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498"/>
    <w:rsid w:val="00AA57C9"/>
    <w:rsid w:val="00AA5A5C"/>
    <w:rsid w:val="00AA5A6F"/>
    <w:rsid w:val="00AA634D"/>
    <w:rsid w:val="00AA6F6C"/>
    <w:rsid w:val="00AA721D"/>
    <w:rsid w:val="00AA7519"/>
    <w:rsid w:val="00AA790A"/>
    <w:rsid w:val="00AB02EA"/>
    <w:rsid w:val="00AB110C"/>
    <w:rsid w:val="00AB227A"/>
    <w:rsid w:val="00AB22BF"/>
    <w:rsid w:val="00AB256E"/>
    <w:rsid w:val="00AB3466"/>
    <w:rsid w:val="00AB3874"/>
    <w:rsid w:val="00AB38B2"/>
    <w:rsid w:val="00AB3BBB"/>
    <w:rsid w:val="00AB408C"/>
    <w:rsid w:val="00AB43AF"/>
    <w:rsid w:val="00AB4785"/>
    <w:rsid w:val="00AB4E41"/>
    <w:rsid w:val="00AB5EB1"/>
    <w:rsid w:val="00AB6003"/>
    <w:rsid w:val="00AB759A"/>
    <w:rsid w:val="00AB7B06"/>
    <w:rsid w:val="00AB7EAA"/>
    <w:rsid w:val="00AC0432"/>
    <w:rsid w:val="00AC0770"/>
    <w:rsid w:val="00AC1683"/>
    <w:rsid w:val="00AC1D82"/>
    <w:rsid w:val="00AC1F83"/>
    <w:rsid w:val="00AC2D5F"/>
    <w:rsid w:val="00AC4094"/>
    <w:rsid w:val="00AC42B6"/>
    <w:rsid w:val="00AC4AB7"/>
    <w:rsid w:val="00AC51E0"/>
    <w:rsid w:val="00AC6D24"/>
    <w:rsid w:val="00AC6E18"/>
    <w:rsid w:val="00AC7F64"/>
    <w:rsid w:val="00AD1065"/>
    <w:rsid w:val="00AD159E"/>
    <w:rsid w:val="00AD2AB1"/>
    <w:rsid w:val="00AD2B24"/>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0D2F"/>
    <w:rsid w:val="00AE11C1"/>
    <w:rsid w:val="00AE163D"/>
    <w:rsid w:val="00AE1A42"/>
    <w:rsid w:val="00AE1C5C"/>
    <w:rsid w:val="00AE315E"/>
    <w:rsid w:val="00AE319F"/>
    <w:rsid w:val="00AE31D9"/>
    <w:rsid w:val="00AE3CF0"/>
    <w:rsid w:val="00AE4546"/>
    <w:rsid w:val="00AE4C71"/>
    <w:rsid w:val="00AE52CE"/>
    <w:rsid w:val="00AE5BAB"/>
    <w:rsid w:val="00AE6575"/>
    <w:rsid w:val="00AE71EE"/>
    <w:rsid w:val="00AF03CF"/>
    <w:rsid w:val="00AF0A0A"/>
    <w:rsid w:val="00AF14FC"/>
    <w:rsid w:val="00AF1ED2"/>
    <w:rsid w:val="00AF1F4E"/>
    <w:rsid w:val="00AF2302"/>
    <w:rsid w:val="00AF262A"/>
    <w:rsid w:val="00AF2951"/>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633"/>
    <w:rsid w:val="00B00D91"/>
    <w:rsid w:val="00B00E84"/>
    <w:rsid w:val="00B01DD9"/>
    <w:rsid w:val="00B01F0E"/>
    <w:rsid w:val="00B038F1"/>
    <w:rsid w:val="00B03C1B"/>
    <w:rsid w:val="00B040CD"/>
    <w:rsid w:val="00B04678"/>
    <w:rsid w:val="00B047C9"/>
    <w:rsid w:val="00B04A04"/>
    <w:rsid w:val="00B04B78"/>
    <w:rsid w:val="00B04C37"/>
    <w:rsid w:val="00B04F00"/>
    <w:rsid w:val="00B05BA6"/>
    <w:rsid w:val="00B066FE"/>
    <w:rsid w:val="00B06912"/>
    <w:rsid w:val="00B07316"/>
    <w:rsid w:val="00B07F74"/>
    <w:rsid w:val="00B10618"/>
    <w:rsid w:val="00B10B04"/>
    <w:rsid w:val="00B10C39"/>
    <w:rsid w:val="00B10CC6"/>
    <w:rsid w:val="00B11932"/>
    <w:rsid w:val="00B11A61"/>
    <w:rsid w:val="00B12082"/>
    <w:rsid w:val="00B12648"/>
    <w:rsid w:val="00B1270C"/>
    <w:rsid w:val="00B12710"/>
    <w:rsid w:val="00B13389"/>
    <w:rsid w:val="00B1364C"/>
    <w:rsid w:val="00B13EDB"/>
    <w:rsid w:val="00B141A5"/>
    <w:rsid w:val="00B1453B"/>
    <w:rsid w:val="00B14F47"/>
    <w:rsid w:val="00B15282"/>
    <w:rsid w:val="00B15286"/>
    <w:rsid w:val="00B1539F"/>
    <w:rsid w:val="00B1550D"/>
    <w:rsid w:val="00B15F6C"/>
    <w:rsid w:val="00B163E8"/>
    <w:rsid w:val="00B173CA"/>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9F8"/>
    <w:rsid w:val="00B27C4B"/>
    <w:rsid w:val="00B30563"/>
    <w:rsid w:val="00B3069E"/>
    <w:rsid w:val="00B30A76"/>
    <w:rsid w:val="00B31246"/>
    <w:rsid w:val="00B32295"/>
    <w:rsid w:val="00B33AB5"/>
    <w:rsid w:val="00B3412E"/>
    <w:rsid w:val="00B343E0"/>
    <w:rsid w:val="00B35AD6"/>
    <w:rsid w:val="00B35B6D"/>
    <w:rsid w:val="00B35D53"/>
    <w:rsid w:val="00B35DD6"/>
    <w:rsid w:val="00B367C4"/>
    <w:rsid w:val="00B36D3E"/>
    <w:rsid w:val="00B37B8E"/>
    <w:rsid w:val="00B40222"/>
    <w:rsid w:val="00B404C3"/>
    <w:rsid w:val="00B41A04"/>
    <w:rsid w:val="00B42132"/>
    <w:rsid w:val="00B42743"/>
    <w:rsid w:val="00B430E9"/>
    <w:rsid w:val="00B4311F"/>
    <w:rsid w:val="00B431AE"/>
    <w:rsid w:val="00B4326E"/>
    <w:rsid w:val="00B44288"/>
    <w:rsid w:val="00B448BF"/>
    <w:rsid w:val="00B45A59"/>
    <w:rsid w:val="00B45C56"/>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D1D"/>
    <w:rsid w:val="00B53E98"/>
    <w:rsid w:val="00B53F9B"/>
    <w:rsid w:val="00B54B19"/>
    <w:rsid w:val="00B55F64"/>
    <w:rsid w:val="00B56799"/>
    <w:rsid w:val="00B56ECA"/>
    <w:rsid w:val="00B57093"/>
    <w:rsid w:val="00B577BE"/>
    <w:rsid w:val="00B57B5D"/>
    <w:rsid w:val="00B60613"/>
    <w:rsid w:val="00B61504"/>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4AD9"/>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1F3B"/>
    <w:rsid w:val="00BA2C82"/>
    <w:rsid w:val="00BA3869"/>
    <w:rsid w:val="00BA4399"/>
    <w:rsid w:val="00BA4452"/>
    <w:rsid w:val="00BA46C6"/>
    <w:rsid w:val="00BA498C"/>
    <w:rsid w:val="00BA4ACF"/>
    <w:rsid w:val="00BA5039"/>
    <w:rsid w:val="00BA583B"/>
    <w:rsid w:val="00BA5DF2"/>
    <w:rsid w:val="00BA5EC7"/>
    <w:rsid w:val="00BA6319"/>
    <w:rsid w:val="00BA63CE"/>
    <w:rsid w:val="00BA676E"/>
    <w:rsid w:val="00BA6980"/>
    <w:rsid w:val="00BA6EF2"/>
    <w:rsid w:val="00BA7146"/>
    <w:rsid w:val="00BA7227"/>
    <w:rsid w:val="00BA763C"/>
    <w:rsid w:val="00BA784D"/>
    <w:rsid w:val="00BA7CD7"/>
    <w:rsid w:val="00BB00E5"/>
    <w:rsid w:val="00BB12D3"/>
    <w:rsid w:val="00BB1688"/>
    <w:rsid w:val="00BB1EFB"/>
    <w:rsid w:val="00BB269F"/>
    <w:rsid w:val="00BB27CC"/>
    <w:rsid w:val="00BB2ACE"/>
    <w:rsid w:val="00BB2DE5"/>
    <w:rsid w:val="00BB2E4E"/>
    <w:rsid w:val="00BB2E62"/>
    <w:rsid w:val="00BB36C9"/>
    <w:rsid w:val="00BB3A66"/>
    <w:rsid w:val="00BB40D1"/>
    <w:rsid w:val="00BB5AA0"/>
    <w:rsid w:val="00BB777D"/>
    <w:rsid w:val="00BB7EC0"/>
    <w:rsid w:val="00BB7F88"/>
    <w:rsid w:val="00BC0207"/>
    <w:rsid w:val="00BC089F"/>
    <w:rsid w:val="00BC0A0C"/>
    <w:rsid w:val="00BC0A5A"/>
    <w:rsid w:val="00BC0E64"/>
    <w:rsid w:val="00BC25D1"/>
    <w:rsid w:val="00BC2DBD"/>
    <w:rsid w:val="00BC36E6"/>
    <w:rsid w:val="00BC3BCB"/>
    <w:rsid w:val="00BC3CF1"/>
    <w:rsid w:val="00BC428A"/>
    <w:rsid w:val="00BC4C40"/>
    <w:rsid w:val="00BC4D52"/>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73"/>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3DA8"/>
    <w:rsid w:val="00BE3F26"/>
    <w:rsid w:val="00BE4222"/>
    <w:rsid w:val="00BE472D"/>
    <w:rsid w:val="00BE4C03"/>
    <w:rsid w:val="00BE7095"/>
    <w:rsid w:val="00BE7F4D"/>
    <w:rsid w:val="00BF03C0"/>
    <w:rsid w:val="00BF0EBF"/>
    <w:rsid w:val="00BF1534"/>
    <w:rsid w:val="00BF2021"/>
    <w:rsid w:val="00BF21D4"/>
    <w:rsid w:val="00BF2DDC"/>
    <w:rsid w:val="00BF32DE"/>
    <w:rsid w:val="00BF461F"/>
    <w:rsid w:val="00BF4A15"/>
    <w:rsid w:val="00BF4E0E"/>
    <w:rsid w:val="00BF4E27"/>
    <w:rsid w:val="00BF4F7C"/>
    <w:rsid w:val="00BF537B"/>
    <w:rsid w:val="00BF5901"/>
    <w:rsid w:val="00BF626A"/>
    <w:rsid w:val="00BF688E"/>
    <w:rsid w:val="00BF6CC1"/>
    <w:rsid w:val="00BF6D77"/>
    <w:rsid w:val="00BF739A"/>
    <w:rsid w:val="00BF7A34"/>
    <w:rsid w:val="00BF7EF5"/>
    <w:rsid w:val="00C00BF6"/>
    <w:rsid w:val="00C0234A"/>
    <w:rsid w:val="00C0247B"/>
    <w:rsid w:val="00C0378E"/>
    <w:rsid w:val="00C04314"/>
    <w:rsid w:val="00C04BD0"/>
    <w:rsid w:val="00C05730"/>
    <w:rsid w:val="00C05AF4"/>
    <w:rsid w:val="00C05AFD"/>
    <w:rsid w:val="00C0661C"/>
    <w:rsid w:val="00C0675F"/>
    <w:rsid w:val="00C0702A"/>
    <w:rsid w:val="00C0724C"/>
    <w:rsid w:val="00C07C11"/>
    <w:rsid w:val="00C07E10"/>
    <w:rsid w:val="00C10015"/>
    <w:rsid w:val="00C1110A"/>
    <w:rsid w:val="00C11689"/>
    <w:rsid w:val="00C12414"/>
    <w:rsid w:val="00C12ECB"/>
    <w:rsid w:val="00C14313"/>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B6C"/>
    <w:rsid w:val="00C20B86"/>
    <w:rsid w:val="00C21145"/>
    <w:rsid w:val="00C215ED"/>
    <w:rsid w:val="00C22350"/>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6D86"/>
    <w:rsid w:val="00C3701A"/>
    <w:rsid w:val="00C379EF"/>
    <w:rsid w:val="00C405C8"/>
    <w:rsid w:val="00C40C2F"/>
    <w:rsid w:val="00C415AC"/>
    <w:rsid w:val="00C4297A"/>
    <w:rsid w:val="00C4360C"/>
    <w:rsid w:val="00C439B8"/>
    <w:rsid w:val="00C43A0B"/>
    <w:rsid w:val="00C43EDA"/>
    <w:rsid w:val="00C43FEC"/>
    <w:rsid w:val="00C4414C"/>
    <w:rsid w:val="00C45101"/>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6798C"/>
    <w:rsid w:val="00C70718"/>
    <w:rsid w:val="00C70B25"/>
    <w:rsid w:val="00C71528"/>
    <w:rsid w:val="00C717B4"/>
    <w:rsid w:val="00C717E4"/>
    <w:rsid w:val="00C7191B"/>
    <w:rsid w:val="00C71F09"/>
    <w:rsid w:val="00C72588"/>
    <w:rsid w:val="00C727B9"/>
    <w:rsid w:val="00C72F44"/>
    <w:rsid w:val="00C73670"/>
    <w:rsid w:val="00C737D1"/>
    <w:rsid w:val="00C738A0"/>
    <w:rsid w:val="00C73DE0"/>
    <w:rsid w:val="00C74609"/>
    <w:rsid w:val="00C749AB"/>
    <w:rsid w:val="00C7544E"/>
    <w:rsid w:val="00C75A8F"/>
    <w:rsid w:val="00C76129"/>
    <w:rsid w:val="00C76C0C"/>
    <w:rsid w:val="00C76FFC"/>
    <w:rsid w:val="00C774E0"/>
    <w:rsid w:val="00C776BA"/>
    <w:rsid w:val="00C7791E"/>
    <w:rsid w:val="00C81716"/>
    <w:rsid w:val="00C832CB"/>
    <w:rsid w:val="00C83E71"/>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A1"/>
    <w:rsid w:val="00C90BC4"/>
    <w:rsid w:val="00C90CA9"/>
    <w:rsid w:val="00C9135C"/>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AEF"/>
    <w:rsid w:val="00CA3CAB"/>
    <w:rsid w:val="00CA3FC0"/>
    <w:rsid w:val="00CA5685"/>
    <w:rsid w:val="00CA6A2E"/>
    <w:rsid w:val="00CA6B56"/>
    <w:rsid w:val="00CA7D3E"/>
    <w:rsid w:val="00CB0317"/>
    <w:rsid w:val="00CB0662"/>
    <w:rsid w:val="00CB0A82"/>
    <w:rsid w:val="00CB0F2F"/>
    <w:rsid w:val="00CB1556"/>
    <w:rsid w:val="00CB2913"/>
    <w:rsid w:val="00CB3970"/>
    <w:rsid w:val="00CB42B9"/>
    <w:rsid w:val="00CB4550"/>
    <w:rsid w:val="00CB4F39"/>
    <w:rsid w:val="00CB505A"/>
    <w:rsid w:val="00CB52A4"/>
    <w:rsid w:val="00CB537C"/>
    <w:rsid w:val="00CB5A26"/>
    <w:rsid w:val="00CB645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774"/>
    <w:rsid w:val="00CC7E0D"/>
    <w:rsid w:val="00CC7E97"/>
    <w:rsid w:val="00CD00EB"/>
    <w:rsid w:val="00CD1255"/>
    <w:rsid w:val="00CD1484"/>
    <w:rsid w:val="00CD1892"/>
    <w:rsid w:val="00CD1C01"/>
    <w:rsid w:val="00CD1D00"/>
    <w:rsid w:val="00CD2009"/>
    <w:rsid w:val="00CD27AC"/>
    <w:rsid w:val="00CD2A82"/>
    <w:rsid w:val="00CD2E15"/>
    <w:rsid w:val="00CD3C1C"/>
    <w:rsid w:val="00CD3CAB"/>
    <w:rsid w:val="00CD44FF"/>
    <w:rsid w:val="00CD46A7"/>
    <w:rsid w:val="00CD47BC"/>
    <w:rsid w:val="00CD4E50"/>
    <w:rsid w:val="00CD57CB"/>
    <w:rsid w:val="00CD64E1"/>
    <w:rsid w:val="00CD66BA"/>
    <w:rsid w:val="00CD699D"/>
    <w:rsid w:val="00CD6BA3"/>
    <w:rsid w:val="00CD70DB"/>
    <w:rsid w:val="00CD74FA"/>
    <w:rsid w:val="00CD7544"/>
    <w:rsid w:val="00CD78D4"/>
    <w:rsid w:val="00CD79DA"/>
    <w:rsid w:val="00CE0697"/>
    <w:rsid w:val="00CE14CB"/>
    <w:rsid w:val="00CE2E2E"/>
    <w:rsid w:val="00CE3A51"/>
    <w:rsid w:val="00CE41F9"/>
    <w:rsid w:val="00CE59F6"/>
    <w:rsid w:val="00CE66CD"/>
    <w:rsid w:val="00CE6BA9"/>
    <w:rsid w:val="00CE71C3"/>
    <w:rsid w:val="00CE727A"/>
    <w:rsid w:val="00CF029C"/>
    <w:rsid w:val="00CF07AA"/>
    <w:rsid w:val="00CF0AF0"/>
    <w:rsid w:val="00CF157E"/>
    <w:rsid w:val="00CF1631"/>
    <w:rsid w:val="00CF1834"/>
    <w:rsid w:val="00CF1AAA"/>
    <w:rsid w:val="00CF1EC2"/>
    <w:rsid w:val="00CF2ACF"/>
    <w:rsid w:val="00CF345B"/>
    <w:rsid w:val="00CF393C"/>
    <w:rsid w:val="00CF475F"/>
    <w:rsid w:val="00CF5008"/>
    <w:rsid w:val="00CF5069"/>
    <w:rsid w:val="00CF5E34"/>
    <w:rsid w:val="00CF6707"/>
    <w:rsid w:val="00CF7101"/>
    <w:rsid w:val="00CF7327"/>
    <w:rsid w:val="00CF7385"/>
    <w:rsid w:val="00CF7539"/>
    <w:rsid w:val="00CF75C6"/>
    <w:rsid w:val="00CF7B77"/>
    <w:rsid w:val="00CF7DF5"/>
    <w:rsid w:val="00CF7E22"/>
    <w:rsid w:val="00D001D2"/>
    <w:rsid w:val="00D01654"/>
    <w:rsid w:val="00D02A80"/>
    <w:rsid w:val="00D0352D"/>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BE1"/>
    <w:rsid w:val="00D11FE3"/>
    <w:rsid w:val="00D12393"/>
    <w:rsid w:val="00D12945"/>
    <w:rsid w:val="00D12CC0"/>
    <w:rsid w:val="00D12DA1"/>
    <w:rsid w:val="00D130C0"/>
    <w:rsid w:val="00D1343A"/>
    <w:rsid w:val="00D13D50"/>
    <w:rsid w:val="00D14101"/>
    <w:rsid w:val="00D144D8"/>
    <w:rsid w:val="00D14919"/>
    <w:rsid w:val="00D14C8C"/>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B70"/>
    <w:rsid w:val="00D27F75"/>
    <w:rsid w:val="00D3046D"/>
    <w:rsid w:val="00D30497"/>
    <w:rsid w:val="00D30C4D"/>
    <w:rsid w:val="00D30F5F"/>
    <w:rsid w:val="00D31243"/>
    <w:rsid w:val="00D316D9"/>
    <w:rsid w:val="00D31B07"/>
    <w:rsid w:val="00D31B9D"/>
    <w:rsid w:val="00D3249A"/>
    <w:rsid w:val="00D3272E"/>
    <w:rsid w:val="00D32FA0"/>
    <w:rsid w:val="00D33112"/>
    <w:rsid w:val="00D331CB"/>
    <w:rsid w:val="00D3497A"/>
    <w:rsid w:val="00D35F2F"/>
    <w:rsid w:val="00D35FC6"/>
    <w:rsid w:val="00D36BB8"/>
    <w:rsid w:val="00D37622"/>
    <w:rsid w:val="00D377D4"/>
    <w:rsid w:val="00D401A1"/>
    <w:rsid w:val="00D40217"/>
    <w:rsid w:val="00D40385"/>
    <w:rsid w:val="00D404CE"/>
    <w:rsid w:val="00D40E8F"/>
    <w:rsid w:val="00D412BF"/>
    <w:rsid w:val="00D417C6"/>
    <w:rsid w:val="00D417D0"/>
    <w:rsid w:val="00D42B0C"/>
    <w:rsid w:val="00D42D6E"/>
    <w:rsid w:val="00D43C72"/>
    <w:rsid w:val="00D43DEF"/>
    <w:rsid w:val="00D44259"/>
    <w:rsid w:val="00D446C9"/>
    <w:rsid w:val="00D45C61"/>
    <w:rsid w:val="00D45DDC"/>
    <w:rsid w:val="00D46899"/>
    <w:rsid w:val="00D5064C"/>
    <w:rsid w:val="00D50778"/>
    <w:rsid w:val="00D50C94"/>
    <w:rsid w:val="00D511E7"/>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1ED"/>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9F4"/>
    <w:rsid w:val="00D67D81"/>
    <w:rsid w:val="00D70170"/>
    <w:rsid w:val="00D702E8"/>
    <w:rsid w:val="00D70552"/>
    <w:rsid w:val="00D70D42"/>
    <w:rsid w:val="00D71285"/>
    <w:rsid w:val="00D71ABC"/>
    <w:rsid w:val="00D721C5"/>
    <w:rsid w:val="00D72454"/>
    <w:rsid w:val="00D7245F"/>
    <w:rsid w:val="00D729A7"/>
    <w:rsid w:val="00D72A5B"/>
    <w:rsid w:val="00D73991"/>
    <w:rsid w:val="00D73CD4"/>
    <w:rsid w:val="00D73F06"/>
    <w:rsid w:val="00D740B2"/>
    <w:rsid w:val="00D7415C"/>
    <w:rsid w:val="00D74247"/>
    <w:rsid w:val="00D743F1"/>
    <w:rsid w:val="00D744CF"/>
    <w:rsid w:val="00D7456E"/>
    <w:rsid w:val="00D753A9"/>
    <w:rsid w:val="00D755F7"/>
    <w:rsid w:val="00D75DDB"/>
    <w:rsid w:val="00D75E4B"/>
    <w:rsid w:val="00D774F4"/>
    <w:rsid w:val="00D77687"/>
    <w:rsid w:val="00D77AF6"/>
    <w:rsid w:val="00D804C5"/>
    <w:rsid w:val="00D81211"/>
    <w:rsid w:val="00D815E6"/>
    <w:rsid w:val="00D81A28"/>
    <w:rsid w:val="00D81BDE"/>
    <w:rsid w:val="00D8201D"/>
    <w:rsid w:val="00D82B00"/>
    <w:rsid w:val="00D82B04"/>
    <w:rsid w:val="00D82BE4"/>
    <w:rsid w:val="00D82E05"/>
    <w:rsid w:val="00D83C0D"/>
    <w:rsid w:val="00D83C80"/>
    <w:rsid w:val="00D83F5B"/>
    <w:rsid w:val="00D848B8"/>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A0175"/>
    <w:rsid w:val="00DA07D1"/>
    <w:rsid w:val="00DA099C"/>
    <w:rsid w:val="00DA0F18"/>
    <w:rsid w:val="00DA1D5D"/>
    <w:rsid w:val="00DA2125"/>
    <w:rsid w:val="00DA21EC"/>
    <w:rsid w:val="00DA24DE"/>
    <w:rsid w:val="00DA270C"/>
    <w:rsid w:val="00DA281F"/>
    <w:rsid w:val="00DA316A"/>
    <w:rsid w:val="00DA3C5B"/>
    <w:rsid w:val="00DA3D23"/>
    <w:rsid w:val="00DA4A61"/>
    <w:rsid w:val="00DA5AFE"/>
    <w:rsid w:val="00DA61AB"/>
    <w:rsid w:val="00DA61CD"/>
    <w:rsid w:val="00DA6EE2"/>
    <w:rsid w:val="00DA718A"/>
    <w:rsid w:val="00DA78CF"/>
    <w:rsid w:val="00DA78D5"/>
    <w:rsid w:val="00DA7A89"/>
    <w:rsid w:val="00DA7BF4"/>
    <w:rsid w:val="00DB052F"/>
    <w:rsid w:val="00DB0913"/>
    <w:rsid w:val="00DB14D3"/>
    <w:rsid w:val="00DB154B"/>
    <w:rsid w:val="00DB1BDC"/>
    <w:rsid w:val="00DB20F7"/>
    <w:rsid w:val="00DB3490"/>
    <w:rsid w:val="00DB3593"/>
    <w:rsid w:val="00DB440B"/>
    <w:rsid w:val="00DB4426"/>
    <w:rsid w:val="00DB4522"/>
    <w:rsid w:val="00DB4B40"/>
    <w:rsid w:val="00DB4F12"/>
    <w:rsid w:val="00DB4F21"/>
    <w:rsid w:val="00DB4F42"/>
    <w:rsid w:val="00DB540C"/>
    <w:rsid w:val="00DB6A51"/>
    <w:rsid w:val="00DB6F96"/>
    <w:rsid w:val="00DB71B9"/>
    <w:rsid w:val="00DB7662"/>
    <w:rsid w:val="00DB7E46"/>
    <w:rsid w:val="00DC1395"/>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0FCF"/>
    <w:rsid w:val="00DD1205"/>
    <w:rsid w:val="00DD15AA"/>
    <w:rsid w:val="00DD1633"/>
    <w:rsid w:val="00DD17A0"/>
    <w:rsid w:val="00DD1B97"/>
    <w:rsid w:val="00DD2831"/>
    <w:rsid w:val="00DD2A6D"/>
    <w:rsid w:val="00DD2E17"/>
    <w:rsid w:val="00DD42DE"/>
    <w:rsid w:val="00DD4309"/>
    <w:rsid w:val="00DD4344"/>
    <w:rsid w:val="00DD4357"/>
    <w:rsid w:val="00DD4DDD"/>
    <w:rsid w:val="00DD573B"/>
    <w:rsid w:val="00DD576B"/>
    <w:rsid w:val="00DD57E7"/>
    <w:rsid w:val="00DD5A1E"/>
    <w:rsid w:val="00DD5B8C"/>
    <w:rsid w:val="00DD5DFA"/>
    <w:rsid w:val="00DD5E91"/>
    <w:rsid w:val="00DD6CE2"/>
    <w:rsid w:val="00DD720D"/>
    <w:rsid w:val="00DD7E04"/>
    <w:rsid w:val="00DE0229"/>
    <w:rsid w:val="00DE0359"/>
    <w:rsid w:val="00DE04E0"/>
    <w:rsid w:val="00DE12F1"/>
    <w:rsid w:val="00DE1A9D"/>
    <w:rsid w:val="00DE1CB1"/>
    <w:rsid w:val="00DE2073"/>
    <w:rsid w:val="00DE2F1B"/>
    <w:rsid w:val="00DE30AC"/>
    <w:rsid w:val="00DE38D1"/>
    <w:rsid w:val="00DE4106"/>
    <w:rsid w:val="00DE466B"/>
    <w:rsid w:val="00DE48F4"/>
    <w:rsid w:val="00DE4F03"/>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5A8"/>
    <w:rsid w:val="00DF3798"/>
    <w:rsid w:val="00DF4FF1"/>
    <w:rsid w:val="00DF52BA"/>
    <w:rsid w:val="00DF56A3"/>
    <w:rsid w:val="00DF5AB9"/>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712"/>
    <w:rsid w:val="00E10DD1"/>
    <w:rsid w:val="00E1224C"/>
    <w:rsid w:val="00E1254C"/>
    <w:rsid w:val="00E12BDF"/>
    <w:rsid w:val="00E13326"/>
    <w:rsid w:val="00E13D07"/>
    <w:rsid w:val="00E14356"/>
    <w:rsid w:val="00E14961"/>
    <w:rsid w:val="00E14D76"/>
    <w:rsid w:val="00E15183"/>
    <w:rsid w:val="00E15D6C"/>
    <w:rsid w:val="00E15FE0"/>
    <w:rsid w:val="00E1720B"/>
    <w:rsid w:val="00E174DC"/>
    <w:rsid w:val="00E203DE"/>
    <w:rsid w:val="00E20CE7"/>
    <w:rsid w:val="00E217B1"/>
    <w:rsid w:val="00E21E1C"/>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82E"/>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4AAB"/>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03D"/>
    <w:rsid w:val="00E6514D"/>
    <w:rsid w:val="00E65161"/>
    <w:rsid w:val="00E652C9"/>
    <w:rsid w:val="00E6593B"/>
    <w:rsid w:val="00E65D74"/>
    <w:rsid w:val="00E66E11"/>
    <w:rsid w:val="00E672C6"/>
    <w:rsid w:val="00E70192"/>
    <w:rsid w:val="00E70C55"/>
    <w:rsid w:val="00E70E34"/>
    <w:rsid w:val="00E7163B"/>
    <w:rsid w:val="00E71809"/>
    <w:rsid w:val="00E71D1E"/>
    <w:rsid w:val="00E726F2"/>
    <w:rsid w:val="00E728E2"/>
    <w:rsid w:val="00E738FA"/>
    <w:rsid w:val="00E739B6"/>
    <w:rsid w:val="00E74A2B"/>
    <w:rsid w:val="00E75667"/>
    <w:rsid w:val="00E756D3"/>
    <w:rsid w:val="00E75A5A"/>
    <w:rsid w:val="00E76004"/>
    <w:rsid w:val="00E7608F"/>
    <w:rsid w:val="00E760D7"/>
    <w:rsid w:val="00E769CC"/>
    <w:rsid w:val="00E76E70"/>
    <w:rsid w:val="00E77124"/>
    <w:rsid w:val="00E77341"/>
    <w:rsid w:val="00E7783E"/>
    <w:rsid w:val="00E778B8"/>
    <w:rsid w:val="00E801C7"/>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7A37"/>
    <w:rsid w:val="00E87CF7"/>
    <w:rsid w:val="00E900D0"/>
    <w:rsid w:val="00E9036E"/>
    <w:rsid w:val="00E9078A"/>
    <w:rsid w:val="00E912FD"/>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865"/>
    <w:rsid w:val="00E97DC6"/>
    <w:rsid w:val="00E97F7A"/>
    <w:rsid w:val="00EA0010"/>
    <w:rsid w:val="00EA0143"/>
    <w:rsid w:val="00EA089B"/>
    <w:rsid w:val="00EA1318"/>
    <w:rsid w:val="00EA1ACC"/>
    <w:rsid w:val="00EA2E21"/>
    <w:rsid w:val="00EA2EAA"/>
    <w:rsid w:val="00EA380C"/>
    <w:rsid w:val="00EA4E88"/>
    <w:rsid w:val="00EA613D"/>
    <w:rsid w:val="00EA6744"/>
    <w:rsid w:val="00EA7308"/>
    <w:rsid w:val="00EA7474"/>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B67"/>
    <w:rsid w:val="00EC07F1"/>
    <w:rsid w:val="00EC0981"/>
    <w:rsid w:val="00EC1E8A"/>
    <w:rsid w:val="00EC1F1F"/>
    <w:rsid w:val="00EC328C"/>
    <w:rsid w:val="00EC32F5"/>
    <w:rsid w:val="00EC3852"/>
    <w:rsid w:val="00EC4528"/>
    <w:rsid w:val="00EC4D3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06C3"/>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DB4"/>
    <w:rsid w:val="00EF5234"/>
    <w:rsid w:val="00EF55E9"/>
    <w:rsid w:val="00EF5B41"/>
    <w:rsid w:val="00EF5BA2"/>
    <w:rsid w:val="00EF611C"/>
    <w:rsid w:val="00EF625F"/>
    <w:rsid w:val="00EF62C0"/>
    <w:rsid w:val="00EF6D5A"/>
    <w:rsid w:val="00EF71E6"/>
    <w:rsid w:val="00F0058A"/>
    <w:rsid w:val="00F00630"/>
    <w:rsid w:val="00F00922"/>
    <w:rsid w:val="00F00924"/>
    <w:rsid w:val="00F01506"/>
    <w:rsid w:val="00F0187E"/>
    <w:rsid w:val="00F01BE6"/>
    <w:rsid w:val="00F01F75"/>
    <w:rsid w:val="00F0217A"/>
    <w:rsid w:val="00F02275"/>
    <w:rsid w:val="00F026D3"/>
    <w:rsid w:val="00F027E8"/>
    <w:rsid w:val="00F03395"/>
    <w:rsid w:val="00F034E6"/>
    <w:rsid w:val="00F03E4C"/>
    <w:rsid w:val="00F03F73"/>
    <w:rsid w:val="00F041FD"/>
    <w:rsid w:val="00F04D19"/>
    <w:rsid w:val="00F050A3"/>
    <w:rsid w:val="00F06340"/>
    <w:rsid w:val="00F0665D"/>
    <w:rsid w:val="00F06D42"/>
    <w:rsid w:val="00F07134"/>
    <w:rsid w:val="00F0724D"/>
    <w:rsid w:val="00F07378"/>
    <w:rsid w:val="00F07FFC"/>
    <w:rsid w:val="00F10B81"/>
    <w:rsid w:val="00F10BC9"/>
    <w:rsid w:val="00F113C9"/>
    <w:rsid w:val="00F11C01"/>
    <w:rsid w:val="00F11D80"/>
    <w:rsid w:val="00F13B0A"/>
    <w:rsid w:val="00F14692"/>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99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77C"/>
    <w:rsid w:val="00F2689C"/>
    <w:rsid w:val="00F27E44"/>
    <w:rsid w:val="00F30313"/>
    <w:rsid w:val="00F303BC"/>
    <w:rsid w:val="00F30472"/>
    <w:rsid w:val="00F31052"/>
    <w:rsid w:val="00F318A1"/>
    <w:rsid w:val="00F31CF5"/>
    <w:rsid w:val="00F3265C"/>
    <w:rsid w:val="00F32C4A"/>
    <w:rsid w:val="00F33262"/>
    <w:rsid w:val="00F3417C"/>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003"/>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0BCC"/>
    <w:rsid w:val="00F51A82"/>
    <w:rsid w:val="00F51B78"/>
    <w:rsid w:val="00F51BDD"/>
    <w:rsid w:val="00F52065"/>
    <w:rsid w:val="00F521CE"/>
    <w:rsid w:val="00F5253E"/>
    <w:rsid w:val="00F5254B"/>
    <w:rsid w:val="00F52CB7"/>
    <w:rsid w:val="00F53A44"/>
    <w:rsid w:val="00F54E5E"/>
    <w:rsid w:val="00F551DB"/>
    <w:rsid w:val="00F55810"/>
    <w:rsid w:val="00F559BE"/>
    <w:rsid w:val="00F5649C"/>
    <w:rsid w:val="00F56F7E"/>
    <w:rsid w:val="00F56FEF"/>
    <w:rsid w:val="00F57521"/>
    <w:rsid w:val="00F60938"/>
    <w:rsid w:val="00F60C7E"/>
    <w:rsid w:val="00F60E0A"/>
    <w:rsid w:val="00F61606"/>
    <w:rsid w:val="00F61918"/>
    <w:rsid w:val="00F62151"/>
    <w:rsid w:val="00F62CA8"/>
    <w:rsid w:val="00F62F92"/>
    <w:rsid w:val="00F630B4"/>
    <w:rsid w:val="00F635EF"/>
    <w:rsid w:val="00F636EE"/>
    <w:rsid w:val="00F63BF4"/>
    <w:rsid w:val="00F63C55"/>
    <w:rsid w:val="00F63C60"/>
    <w:rsid w:val="00F64991"/>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2550"/>
    <w:rsid w:val="00F74103"/>
    <w:rsid w:val="00F7410A"/>
    <w:rsid w:val="00F745A4"/>
    <w:rsid w:val="00F74C0C"/>
    <w:rsid w:val="00F758E1"/>
    <w:rsid w:val="00F75BB5"/>
    <w:rsid w:val="00F75FD5"/>
    <w:rsid w:val="00F7604C"/>
    <w:rsid w:val="00F773A9"/>
    <w:rsid w:val="00F803DA"/>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4C1B"/>
    <w:rsid w:val="00F97A34"/>
    <w:rsid w:val="00F97E4A"/>
    <w:rsid w:val="00F97EA1"/>
    <w:rsid w:val="00FA003A"/>
    <w:rsid w:val="00FA05C8"/>
    <w:rsid w:val="00FA0678"/>
    <w:rsid w:val="00FA0DB6"/>
    <w:rsid w:val="00FA2091"/>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2E5"/>
    <w:rsid w:val="00FC4345"/>
    <w:rsid w:val="00FC444A"/>
    <w:rsid w:val="00FC453D"/>
    <w:rsid w:val="00FC4A89"/>
    <w:rsid w:val="00FC619B"/>
    <w:rsid w:val="00FC665F"/>
    <w:rsid w:val="00FC6C35"/>
    <w:rsid w:val="00FC6D59"/>
    <w:rsid w:val="00FC7561"/>
    <w:rsid w:val="00FC78F5"/>
    <w:rsid w:val="00FC7ACA"/>
    <w:rsid w:val="00FC7AD2"/>
    <w:rsid w:val="00FD10B3"/>
    <w:rsid w:val="00FD11C3"/>
    <w:rsid w:val="00FD154E"/>
    <w:rsid w:val="00FD20BE"/>
    <w:rsid w:val="00FD24D7"/>
    <w:rsid w:val="00FD29CE"/>
    <w:rsid w:val="00FD3AE2"/>
    <w:rsid w:val="00FD3E41"/>
    <w:rsid w:val="00FD3EFA"/>
    <w:rsid w:val="00FD54A8"/>
    <w:rsid w:val="00FD5AE4"/>
    <w:rsid w:val="00FD5F25"/>
    <w:rsid w:val="00FD60BE"/>
    <w:rsid w:val="00FD62C2"/>
    <w:rsid w:val="00FD6894"/>
    <w:rsid w:val="00FD6AF0"/>
    <w:rsid w:val="00FD6F11"/>
    <w:rsid w:val="00FD704D"/>
    <w:rsid w:val="00FD74EF"/>
    <w:rsid w:val="00FD79B8"/>
    <w:rsid w:val="00FD79F6"/>
    <w:rsid w:val="00FE033F"/>
    <w:rsid w:val="00FE07A8"/>
    <w:rsid w:val="00FE0AD1"/>
    <w:rsid w:val="00FE0CC0"/>
    <w:rsid w:val="00FE1852"/>
    <w:rsid w:val="00FE1963"/>
    <w:rsid w:val="00FE1981"/>
    <w:rsid w:val="00FE1BF1"/>
    <w:rsid w:val="00FE33DB"/>
    <w:rsid w:val="00FE33F5"/>
    <w:rsid w:val="00FE352A"/>
    <w:rsid w:val="00FE37DD"/>
    <w:rsid w:val="00FE3C31"/>
    <w:rsid w:val="00FE4015"/>
    <w:rsid w:val="00FE44F5"/>
    <w:rsid w:val="00FE4783"/>
    <w:rsid w:val="00FE480D"/>
    <w:rsid w:val="00FE4ACC"/>
    <w:rsid w:val="00FE4F80"/>
    <w:rsid w:val="00FE570E"/>
    <w:rsid w:val="00FE6870"/>
    <w:rsid w:val="00FE6D11"/>
    <w:rsid w:val="00FE713E"/>
    <w:rsid w:val="00FE7877"/>
    <w:rsid w:val="00FE7DD1"/>
    <w:rsid w:val="00FF0B4F"/>
    <w:rsid w:val="00FF0F58"/>
    <w:rsid w:val="00FF183C"/>
    <w:rsid w:val="00FF1A06"/>
    <w:rsid w:val="00FF1AD3"/>
    <w:rsid w:val="00FF1B46"/>
    <w:rsid w:val="00FF219D"/>
    <w:rsid w:val="00FF2A7B"/>
    <w:rsid w:val="00FF3D2B"/>
    <w:rsid w:val="00FF42C9"/>
    <w:rsid w:val="00FF49B4"/>
    <w:rsid w:val="00FF49F4"/>
    <w:rsid w:val="00FF5C6A"/>
    <w:rsid w:val="00FF651D"/>
    <w:rsid w:val="00FF6843"/>
    <w:rsid w:val="00FF6C25"/>
    <w:rsid w:val="00FF7BD2"/>
    <w:rsid w:val="010158D6"/>
    <w:rsid w:val="010651D9"/>
    <w:rsid w:val="011662CC"/>
    <w:rsid w:val="011F6449"/>
    <w:rsid w:val="012313A8"/>
    <w:rsid w:val="01236AFB"/>
    <w:rsid w:val="01271E0A"/>
    <w:rsid w:val="013F5477"/>
    <w:rsid w:val="014001AC"/>
    <w:rsid w:val="015E3B2D"/>
    <w:rsid w:val="017A5090"/>
    <w:rsid w:val="017F2BBC"/>
    <w:rsid w:val="01845256"/>
    <w:rsid w:val="018A2693"/>
    <w:rsid w:val="019F7441"/>
    <w:rsid w:val="01AE15BA"/>
    <w:rsid w:val="01B37585"/>
    <w:rsid w:val="01D32DCE"/>
    <w:rsid w:val="01D55165"/>
    <w:rsid w:val="01DF6BF8"/>
    <w:rsid w:val="01E71852"/>
    <w:rsid w:val="01EC2C57"/>
    <w:rsid w:val="02262AB8"/>
    <w:rsid w:val="02405F8A"/>
    <w:rsid w:val="02533F0F"/>
    <w:rsid w:val="02594515"/>
    <w:rsid w:val="025A26FC"/>
    <w:rsid w:val="02604264"/>
    <w:rsid w:val="02677347"/>
    <w:rsid w:val="026B2E25"/>
    <w:rsid w:val="0271577C"/>
    <w:rsid w:val="027658DD"/>
    <w:rsid w:val="0279309D"/>
    <w:rsid w:val="02824D4D"/>
    <w:rsid w:val="02987B74"/>
    <w:rsid w:val="029B2D72"/>
    <w:rsid w:val="02BB5E18"/>
    <w:rsid w:val="02CD4DC8"/>
    <w:rsid w:val="02D23086"/>
    <w:rsid w:val="02D90BFD"/>
    <w:rsid w:val="02DC4B10"/>
    <w:rsid w:val="02DD76CE"/>
    <w:rsid w:val="02DE5ECF"/>
    <w:rsid w:val="02DF389F"/>
    <w:rsid w:val="02F36323"/>
    <w:rsid w:val="02F5619C"/>
    <w:rsid w:val="03192A63"/>
    <w:rsid w:val="0326446A"/>
    <w:rsid w:val="032D5555"/>
    <w:rsid w:val="033301DC"/>
    <w:rsid w:val="03404493"/>
    <w:rsid w:val="034B2E38"/>
    <w:rsid w:val="03527DB5"/>
    <w:rsid w:val="03564A89"/>
    <w:rsid w:val="036634D2"/>
    <w:rsid w:val="03885263"/>
    <w:rsid w:val="03A2514E"/>
    <w:rsid w:val="03A574F2"/>
    <w:rsid w:val="03C20F77"/>
    <w:rsid w:val="03C70711"/>
    <w:rsid w:val="03C75283"/>
    <w:rsid w:val="03D742BD"/>
    <w:rsid w:val="03DD35E4"/>
    <w:rsid w:val="03E91EB6"/>
    <w:rsid w:val="03FC5F2A"/>
    <w:rsid w:val="04076900"/>
    <w:rsid w:val="041A5A3B"/>
    <w:rsid w:val="042311BA"/>
    <w:rsid w:val="042B157A"/>
    <w:rsid w:val="04415108"/>
    <w:rsid w:val="04602319"/>
    <w:rsid w:val="04697FD2"/>
    <w:rsid w:val="048F3DCE"/>
    <w:rsid w:val="048F763B"/>
    <w:rsid w:val="049F330E"/>
    <w:rsid w:val="04AA775C"/>
    <w:rsid w:val="04AF1889"/>
    <w:rsid w:val="04B3263F"/>
    <w:rsid w:val="04BA4312"/>
    <w:rsid w:val="04C34E7B"/>
    <w:rsid w:val="04CB1885"/>
    <w:rsid w:val="04E06992"/>
    <w:rsid w:val="04E76BC6"/>
    <w:rsid w:val="04F66F48"/>
    <w:rsid w:val="050464C8"/>
    <w:rsid w:val="05251E14"/>
    <w:rsid w:val="055D1DD7"/>
    <w:rsid w:val="056027A2"/>
    <w:rsid w:val="056D353A"/>
    <w:rsid w:val="05721F43"/>
    <w:rsid w:val="05A16594"/>
    <w:rsid w:val="05A7762D"/>
    <w:rsid w:val="05DA66AF"/>
    <w:rsid w:val="05F41C2F"/>
    <w:rsid w:val="06007F0A"/>
    <w:rsid w:val="060E5941"/>
    <w:rsid w:val="06110FAF"/>
    <w:rsid w:val="061E64BE"/>
    <w:rsid w:val="0628422C"/>
    <w:rsid w:val="062D516C"/>
    <w:rsid w:val="06493CA7"/>
    <w:rsid w:val="065A6178"/>
    <w:rsid w:val="066761DB"/>
    <w:rsid w:val="066F1CF3"/>
    <w:rsid w:val="067B1C86"/>
    <w:rsid w:val="067E5607"/>
    <w:rsid w:val="067F1E48"/>
    <w:rsid w:val="06930BB8"/>
    <w:rsid w:val="069F0814"/>
    <w:rsid w:val="06C278B5"/>
    <w:rsid w:val="070F7789"/>
    <w:rsid w:val="07245D42"/>
    <w:rsid w:val="07264C62"/>
    <w:rsid w:val="072B4B05"/>
    <w:rsid w:val="07351E35"/>
    <w:rsid w:val="076170CE"/>
    <w:rsid w:val="0779354C"/>
    <w:rsid w:val="0790350F"/>
    <w:rsid w:val="07B61E00"/>
    <w:rsid w:val="07BA5875"/>
    <w:rsid w:val="07E31891"/>
    <w:rsid w:val="07FE23B9"/>
    <w:rsid w:val="080545BE"/>
    <w:rsid w:val="08061376"/>
    <w:rsid w:val="08382DBB"/>
    <w:rsid w:val="0845247E"/>
    <w:rsid w:val="08452D77"/>
    <w:rsid w:val="086401F8"/>
    <w:rsid w:val="0874091F"/>
    <w:rsid w:val="08751CAA"/>
    <w:rsid w:val="087E4C40"/>
    <w:rsid w:val="0888779C"/>
    <w:rsid w:val="08A2174C"/>
    <w:rsid w:val="08A80E6D"/>
    <w:rsid w:val="08AB6853"/>
    <w:rsid w:val="08D37B58"/>
    <w:rsid w:val="08D66AD6"/>
    <w:rsid w:val="08DA33A3"/>
    <w:rsid w:val="08E40988"/>
    <w:rsid w:val="08E65ADD"/>
    <w:rsid w:val="08E80F13"/>
    <w:rsid w:val="08F47C1C"/>
    <w:rsid w:val="09335624"/>
    <w:rsid w:val="0944690F"/>
    <w:rsid w:val="09535675"/>
    <w:rsid w:val="09572D2B"/>
    <w:rsid w:val="095F057D"/>
    <w:rsid w:val="09642282"/>
    <w:rsid w:val="09733572"/>
    <w:rsid w:val="09737F58"/>
    <w:rsid w:val="09772C16"/>
    <w:rsid w:val="098353B5"/>
    <w:rsid w:val="099B67B3"/>
    <w:rsid w:val="09A908B8"/>
    <w:rsid w:val="09A92330"/>
    <w:rsid w:val="09AF7ED3"/>
    <w:rsid w:val="09B06B87"/>
    <w:rsid w:val="09B2685E"/>
    <w:rsid w:val="09BE0E50"/>
    <w:rsid w:val="09C13146"/>
    <w:rsid w:val="09D247A9"/>
    <w:rsid w:val="09DC47EA"/>
    <w:rsid w:val="09DE5453"/>
    <w:rsid w:val="09E04166"/>
    <w:rsid w:val="09EA1AEE"/>
    <w:rsid w:val="09FE6D16"/>
    <w:rsid w:val="0A1A1394"/>
    <w:rsid w:val="0A1C0718"/>
    <w:rsid w:val="0A2851B6"/>
    <w:rsid w:val="0A2B4970"/>
    <w:rsid w:val="0A3E7710"/>
    <w:rsid w:val="0A432ABB"/>
    <w:rsid w:val="0A4B312D"/>
    <w:rsid w:val="0A522000"/>
    <w:rsid w:val="0A560A40"/>
    <w:rsid w:val="0A563A66"/>
    <w:rsid w:val="0A5B7E63"/>
    <w:rsid w:val="0A6633BE"/>
    <w:rsid w:val="0A67494D"/>
    <w:rsid w:val="0A6752D1"/>
    <w:rsid w:val="0A960AF7"/>
    <w:rsid w:val="0AA374A5"/>
    <w:rsid w:val="0AA87736"/>
    <w:rsid w:val="0AAB7649"/>
    <w:rsid w:val="0ABC5606"/>
    <w:rsid w:val="0AC11B84"/>
    <w:rsid w:val="0AC41328"/>
    <w:rsid w:val="0AC91212"/>
    <w:rsid w:val="0ACE6829"/>
    <w:rsid w:val="0ADD6AE9"/>
    <w:rsid w:val="0AFA761E"/>
    <w:rsid w:val="0AFC1873"/>
    <w:rsid w:val="0B0C57AA"/>
    <w:rsid w:val="0B135418"/>
    <w:rsid w:val="0B30404E"/>
    <w:rsid w:val="0B3D458E"/>
    <w:rsid w:val="0B412664"/>
    <w:rsid w:val="0B48567B"/>
    <w:rsid w:val="0B4C6C14"/>
    <w:rsid w:val="0B631A88"/>
    <w:rsid w:val="0B683D45"/>
    <w:rsid w:val="0B7F3F11"/>
    <w:rsid w:val="0B884417"/>
    <w:rsid w:val="0B8909A2"/>
    <w:rsid w:val="0B9B7BE5"/>
    <w:rsid w:val="0BAF70CA"/>
    <w:rsid w:val="0BBE4AEF"/>
    <w:rsid w:val="0BBE5231"/>
    <w:rsid w:val="0BC65BEC"/>
    <w:rsid w:val="0BCD088E"/>
    <w:rsid w:val="0BCE0120"/>
    <w:rsid w:val="0BDD0E14"/>
    <w:rsid w:val="0BE27D20"/>
    <w:rsid w:val="0BF6188C"/>
    <w:rsid w:val="0BF73C91"/>
    <w:rsid w:val="0C0733B6"/>
    <w:rsid w:val="0C1666D9"/>
    <w:rsid w:val="0C170175"/>
    <w:rsid w:val="0C4900DF"/>
    <w:rsid w:val="0C571A41"/>
    <w:rsid w:val="0C5C1171"/>
    <w:rsid w:val="0C5E1CBC"/>
    <w:rsid w:val="0C615B50"/>
    <w:rsid w:val="0C812B51"/>
    <w:rsid w:val="0C8445DA"/>
    <w:rsid w:val="0C87121B"/>
    <w:rsid w:val="0C88523B"/>
    <w:rsid w:val="0C93736C"/>
    <w:rsid w:val="0CAF4438"/>
    <w:rsid w:val="0CC007F7"/>
    <w:rsid w:val="0CC243E4"/>
    <w:rsid w:val="0CD02D66"/>
    <w:rsid w:val="0CE50631"/>
    <w:rsid w:val="0CF40175"/>
    <w:rsid w:val="0CFE707A"/>
    <w:rsid w:val="0D017656"/>
    <w:rsid w:val="0D063BDA"/>
    <w:rsid w:val="0D08375F"/>
    <w:rsid w:val="0D184CFB"/>
    <w:rsid w:val="0D1878DF"/>
    <w:rsid w:val="0D2E0CC5"/>
    <w:rsid w:val="0D363981"/>
    <w:rsid w:val="0D4A7419"/>
    <w:rsid w:val="0D5258E4"/>
    <w:rsid w:val="0D6E147C"/>
    <w:rsid w:val="0D724973"/>
    <w:rsid w:val="0D827401"/>
    <w:rsid w:val="0D84094E"/>
    <w:rsid w:val="0D8A00E9"/>
    <w:rsid w:val="0D8D589E"/>
    <w:rsid w:val="0D985689"/>
    <w:rsid w:val="0DA01C73"/>
    <w:rsid w:val="0DBA45FA"/>
    <w:rsid w:val="0DC41553"/>
    <w:rsid w:val="0DD31A38"/>
    <w:rsid w:val="0DD57ECE"/>
    <w:rsid w:val="0DD63300"/>
    <w:rsid w:val="0DED346A"/>
    <w:rsid w:val="0DEF573D"/>
    <w:rsid w:val="0DF50604"/>
    <w:rsid w:val="0DF702FE"/>
    <w:rsid w:val="0E060E51"/>
    <w:rsid w:val="0E0802A4"/>
    <w:rsid w:val="0E19600D"/>
    <w:rsid w:val="0E225AB9"/>
    <w:rsid w:val="0E2A7675"/>
    <w:rsid w:val="0E2B3FEA"/>
    <w:rsid w:val="0E4673D2"/>
    <w:rsid w:val="0E5604B2"/>
    <w:rsid w:val="0E5E6115"/>
    <w:rsid w:val="0E6D5D79"/>
    <w:rsid w:val="0E75310C"/>
    <w:rsid w:val="0E7E325D"/>
    <w:rsid w:val="0E855450"/>
    <w:rsid w:val="0E87566C"/>
    <w:rsid w:val="0E8C2C83"/>
    <w:rsid w:val="0E921AE2"/>
    <w:rsid w:val="0E942262"/>
    <w:rsid w:val="0E9D0089"/>
    <w:rsid w:val="0EA0228A"/>
    <w:rsid w:val="0EAB4CCC"/>
    <w:rsid w:val="0EB803EE"/>
    <w:rsid w:val="0ECF42AE"/>
    <w:rsid w:val="0EE06B2A"/>
    <w:rsid w:val="0EE67D92"/>
    <w:rsid w:val="0EF17760"/>
    <w:rsid w:val="0EF44384"/>
    <w:rsid w:val="0EF94D4B"/>
    <w:rsid w:val="0F101073"/>
    <w:rsid w:val="0F134CC3"/>
    <w:rsid w:val="0F183BEF"/>
    <w:rsid w:val="0F20024D"/>
    <w:rsid w:val="0F2C7FC2"/>
    <w:rsid w:val="0F344D93"/>
    <w:rsid w:val="0F3E51C3"/>
    <w:rsid w:val="0F4958DC"/>
    <w:rsid w:val="0F4E001C"/>
    <w:rsid w:val="0F515DF7"/>
    <w:rsid w:val="0F596BA8"/>
    <w:rsid w:val="0F5D63CD"/>
    <w:rsid w:val="0F61429E"/>
    <w:rsid w:val="0F6248D2"/>
    <w:rsid w:val="0F672818"/>
    <w:rsid w:val="0F693536"/>
    <w:rsid w:val="0F7B0511"/>
    <w:rsid w:val="0F7B76D9"/>
    <w:rsid w:val="0F7C354D"/>
    <w:rsid w:val="0F7F28E8"/>
    <w:rsid w:val="0F816ACD"/>
    <w:rsid w:val="0F8E47D8"/>
    <w:rsid w:val="0F9832DB"/>
    <w:rsid w:val="0FB0333E"/>
    <w:rsid w:val="0FBF2BE4"/>
    <w:rsid w:val="0FBF3FD2"/>
    <w:rsid w:val="0FBF7FF3"/>
    <w:rsid w:val="0FC06194"/>
    <w:rsid w:val="0FEB176D"/>
    <w:rsid w:val="0FF271F9"/>
    <w:rsid w:val="10006D15"/>
    <w:rsid w:val="10182A25"/>
    <w:rsid w:val="103678F2"/>
    <w:rsid w:val="10563D68"/>
    <w:rsid w:val="10646583"/>
    <w:rsid w:val="1070041D"/>
    <w:rsid w:val="10797237"/>
    <w:rsid w:val="107D4B15"/>
    <w:rsid w:val="108A3C80"/>
    <w:rsid w:val="108F0808"/>
    <w:rsid w:val="10A17219"/>
    <w:rsid w:val="10B262A5"/>
    <w:rsid w:val="10C26171"/>
    <w:rsid w:val="10C97166"/>
    <w:rsid w:val="10D678B9"/>
    <w:rsid w:val="10EF5B09"/>
    <w:rsid w:val="10F33360"/>
    <w:rsid w:val="10FC16EA"/>
    <w:rsid w:val="10FC5772"/>
    <w:rsid w:val="11034D52"/>
    <w:rsid w:val="110F1D40"/>
    <w:rsid w:val="111B365C"/>
    <w:rsid w:val="111B6D01"/>
    <w:rsid w:val="11266F33"/>
    <w:rsid w:val="11695CA6"/>
    <w:rsid w:val="11734152"/>
    <w:rsid w:val="118963A1"/>
    <w:rsid w:val="118A1374"/>
    <w:rsid w:val="118F08FD"/>
    <w:rsid w:val="11916802"/>
    <w:rsid w:val="119B31DD"/>
    <w:rsid w:val="11C6522A"/>
    <w:rsid w:val="11E104CC"/>
    <w:rsid w:val="11E20309"/>
    <w:rsid w:val="120B3EBE"/>
    <w:rsid w:val="12135469"/>
    <w:rsid w:val="12255233"/>
    <w:rsid w:val="12347C54"/>
    <w:rsid w:val="124436F3"/>
    <w:rsid w:val="12530213"/>
    <w:rsid w:val="12594386"/>
    <w:rsid w:val="1269011E"/>
    <w:rsid w:val="126B2BAF"/>
    <w:rsid w:val="127723A9"/>
    <w:rsid w:val="127B54E8"/>
    <w:rsid w:val="12862074"/>
    <w:rsid w:val="12883966"/>
    <w:rsid w:val="12933991"/>
    <w:rsid w:val="12950962"/>
    <w:rsid w:val="129E45B4"/>
    <w:rsid w:val="12A14256"/>
    <w:rsid w:val="12B967B5"/>
    <w:rsid w:val="12D81596"/>
    <w:rsid w:val="12E55CFE"/>
    <w:rsid w:val="12EC0194"/>
    <w:rsid w:val="13072A44"/>
    <w:rsid w:val="131A5CA6"/>
    <w:rsid w:val="131F1BB3"/>
    <w:rsid w:val="132B66B5"/>
    <w:rsid w:val="132D0739"/>
    <w:rsid w:val="133B576B"/>
    <w:rsid w:val="135B4E34"/>
    <w:rsid w:val="135F4BE2"/>
    <w:rsid w:val="13685340"/>
    <w:rsid w:val="137957A2"/>
    <w:rsid w:val="13853043"/>
    <w:rsid w:val="13877EBC"/>
    <w:rsid w:val="13925EA9"/>
    <w:rsid w:val="13944A2C"/>
    <w:rsid w:val="139B1A0A"/>
    <w:rsid w:val="139D25C7"/>
    <w:rsid w:val="13A20852"/>
    <w:rsid w:val="13BE1388"/>
    <w:rsid w:val="13BF3CE4"/>
    <w:rsid w:val="13D11138"/>
    <w:rsid w:val="14037739"/>
    <w:rsid w:val="14067033"/>
    <w:rsid w:val="141008D8"/>
    <w:rsid w:val="14125FE6"/>
    <w:rsid w:val="1432418F"/>
    <w:rsid w:val="145511F1"/>
    <w:rsid w:val="14565544"/>
    <w:rsid w:val="145C6C53"/>
    <w:rsid w:val="146705D2"/>
    <w:rsid w:val="146B50E8"/>
    <w:rsid w:val="146D271E"/>
    <w:rsid w:val="1494463F"/>
    <w:rsid w:val="14982588"/>
    <w:rsid w:val="149A5AD9"/>
    <w:rsid w:val="14A7619D"/>
    <w:rsid w:val="14C81A92"/>
    <w:rsid w:val="14E81904"/>
    <w:rsid w:val="14ED3819"/>
    <w:rsid w:val="150536C3"/>
    <w:rsid w:val="15064E11"/>
    <w:rsid w:val="150C1963"/>
    <w:rsid w:val="150E6B56"/>
    <w:rsid w:val="151447A0"/>
    <w:rsid w:val="151A4B37"/>
    <w:rsid w:val="152F25BA"/>
    <w:rsid w:val="15421AFA"/>
    <w:rsid w:val="154A6454"/>
    <w:rsid w:val="154D3803"/>
    <w:rsid w:val="15762120"/>
    <w:rsid w:val="158B33E1"/>
    <w:rsid w:val="158F12AA"/>
    <w:rsid w:val="1592490D"/>
    <w:rsid w:val="159C67C1"/>
    <w:rsid w:val="15C216B2"/>
    <w:rsid w:val="15CA15FD"/>
    <w:rsid w:val="15EE2139"/>
    <w:rsid w:val="15EF27FC"/>
    <w:rsid w:val="16491459"/>
    <w:rsid w:val="164B6F7F"/>
    <w:rsid w:val="16602267"/>
    <w:rsid w:val="16606BAD"/>
    <w:rsid w:val="166938A9"/>
    <w:rsid w:val="16776354"/>
    <w:rsid w:val="167F0B3A"/>
    <w:rsid w:val="169E2A55"/>
    <w:rsid w:val="169E79F7"/>
    <w:rsid w:val="169F2025"/>
    <w:rsid w:val="16A8729C"/>
    <w:rsid w:val="16B33777"/>
    <w:rsid w:val="16BC70A7"/>
    <w:rsid w:val="16C6339E"/>
    <w:rsid w:val="16DB76B1"/>
    <w:rsid w:val="16E41209"/>
    <w:rsid w:val="17012110"/>
    <w:rsid w:val="17065D41"/>
    <w:rsid w:val="17243C30"/>
    <w:rsid w:val="172C16AC"/>
    <w:rsid w:val="172F2D79"/>
    <w:rsid w:val="173C05FF"/>
    <w:rsid w:val="17557BEF"/>
    <w:rsid w:val="1767428D"/>
    <w:rsid w:val="176C1D45"/>
    <w:rsid w:val="17CA481C"/>
    <w:rsid w:val="17D349C1"/>
    <w:rsid w:val="17D42FA4"/>
    <w:rsid w:val="18040CDB"/>
    <w:rsid w:val="1821268E"/>
    <w:rsid w:val="182C2DE0"/>
    <w:rsid w:val="1830729E"/>
    <w:rsid w:val="18455C50"/>
    <w:rsid w:val="1864257A"/>
    <w:rsid w:val="1870062C"/>
    <w:rsid w:val="18707171"/>
    <w:rsid w:val="1874420E"/>
    <w:rsid w:val="187C5B16"/>
    <w:rsid w:val="187D53EA"/>
    <w:rsid w:val="18817102"/>
    <w:rsid w:val="18830A15"/>
    <w:rsid w:val="18852B28"/>
    <w:rsid w:val="188A2917"/>
    <w:rsid w:val="188B5321"/>
    <w:rsid w:val="189310B2"/>
    <w:rsid w:val="189A022E"/>
    <w:rsid w:val="18AE1328"/>
    <w:rsid w:val="18BC23B6"/>
    <w:rsid w:val="18E304B2"/>
    <w:rsid w:val="18EC5CFD"/>
    <w:rsid w:val="195902ED"/>
    <w:rsid w:val="197607B7"/>
    <w:rsid w:val="19793B2B"/>
    <w:rsid w:val="197E65D9"/>
    <w:rsid w:val="19907918"/>
    <w:rsid w:val="19932372"/>
    <w:rsid w:val="19A20DD5"/>
    <w:rsid w:val="19AE03F1"/>
    <w:rsid w:val="19F27963"/>
    <w:rsid w:val="1A033733"/>
    <w:rsid w:val="1A071A03"/>
    <w:rsid w:val="1A1F16AE"/>
    <w:rsid w:val="1A2C6C3F"/>
    <w:rsid w:val="1A3B5C77"/>
    <w:rsid w:val="1A6C5716"/>
    <w:rsid w:val="1A8C400A"/>
    <w:rsid w:val="1A984BAD"/>
    <w:rsid w:val="1AA43102"/>
    <w:rsid w:val="1AA90718"/>
    <w:rsid w:val="1AB8220E"/>
    <w:rsid w:val="1AB85CB8"/>
    <w:rsid w:val="1ABE0444"/>
    <w:rsid w:val="1AE4166C"/>
    <w:rsid w:val="1AE85900"/>
    <w:rsid w:val="1AF06CFB"/>
    <w:rsid w:val="1AF11B8D"/>
    <w:rsid w:val="1AFB2B95"/>
    <w:rsid w:val="1B11359C"/>
    <w:rsid w:val="1B1232D1"/>
    <w:rsid w:val="1B1D177B"/>
    <w:rsid w:val="1B2A271F"/>
    <w:rsid w:val="1B3D21A7"/>
    <w:rsid w:val="1B460DC4"/>
    <w:rsid w:val="1B4F3923"/>
    <w:rsid w:val="1B530544"/>
    <w:rsid w:val="1B713184"/>
    <w:rsid w:val="1B7F5EC6"/>
    <w:rsid w:val="1B86231B"/>
    <w:rsid w:val="1B91311E"/>
    <w:rsid w:val="1BA209CF"/>
    <w:rsid w:val="1BA36F23"/>
    <w:rsid w:val="1BB4777D"/>
    <w:rsid w:val="1BBE4697"/>
    <w:rsid w:val="1BD45161"/>
    <w:rsid w:val="1BD75AB8"/>
    <w:rsid w:val="1BDA1D9C"/>
    <w:rsid w:val="1BDB7AAB"/>
    <w:rsid w:val="1BF1134C"/>
    <w:rsid w:val="1C0459C2"/>
    <w:rsid w:val="1C1B3B4A"/>
    <w:rsid w:val="1C5F7AD6"/>
    <w:rsid w:val="1C6A22A8"/>
    <w:rsid w:val="1C745C7A"/>
    <w:rsid w:val="1C88086E"/>
    <w:rsid w:val="1C9C00FE"/>
    <w:rsid w:val="1CA07A92"/>
    <w:rsid w:val="1CAC707E"/>
    <w:rsid w:val="1CD86393"/>
    <w:rsid w:val="1CE04199"/>
    <w:rsid w:val="1CFB5A88"/>
    <w:rsid w:val="1D0350C5"/>
    <w:rsid w:val="1D097B94"/>
    <w:rsid w:val="1D1C1676"/>
    <w:rsid w:val="1D2579B7"/>
    <w:rsid w:val="1D266CE1"/>
    <w:rsid w:val="1D3963AF"/>
    <w:rsid w:val="1D3D6A4B"/>
    <w:rsid w:val="1D436C02"/>
    <w:rsid w:val="1D6A673C"/>
    <w:rsid w:val="1D70676E"/>
    <w:rsid w:val="1D783852"/>
    <w:rsid w:val="1D792624"/>
    <w:rsid w:val="1D865A27"/>
    <w:rsid w:val="1D882867"/>
    <w:rsid w:val="1D8D4321"/>
    <w:rsid w:val="1D902354"/>
    <w:rsid w:val="1D9247AE"/>
    <w:rsid w:val="1D9C27B6"/>
    <w:rsid w:val="1DB567EC"/>
    <w:rsid w:val="1DC553F5"/>
    <w:rsid w:val="1DD44E99"/>
    <w:rsid w:val="1DEF4894"/>
    <w:rsid w:val="1DF51A98"/>
    <w:rsid w:val="1DF93765"/>
    <w:rsid w:val="1E140328"/>
    <w:rsid w:val="1E3D060F"/>
    <w:rsid w:val="1E3D5921"/>
    <w:rsid w:val="1E3E3281"/>
    <w:rsid w:val="1E3F7D2E"/>
    <w:rsid w:val="1E4134E4"/>
    <w:rsid w:val="1E5062B3"/>
    <w:rsid w:val="1E523514"/>
    <w:rsid w:val="1E5C6A55"/>
    <w:rsid w:val="1E635082"/>
    <w:rsid w:val="1E714A66"/>
    <w:rsid w:val="1E802593"/>
    <w:rsid w:val="1EA703CC"/>
    <w:rsid w:val="1EA77665"/>
    <w:rsid w:val="1EB7330C"/>
    <w:rsid w:val="1EC630FC"/>
    <w:rsid w:val="1EC728D8"/>
    <w:rsid w:val="1ECD1D9F"/>
    <w:rsid w:val="1EDC4C44"/>
    <w:rsid w:val="1F093E7B"/>
    <w:rsid w:val="1F0A0FF3"/>
    <w:rsid w:val="1F5771FF"/>
    <w:rsid w:val="1F605587"/>
    <w:rsid w:val="1F6317DE"/>
    <w:rsid w:val="1F666CD2"/>
    <w:rsid w:val="1F6C0512"/>
    <w:rsid w:val="1F7D3F22"/>
    <w:rsid w:val="1FA31BDA"/>
    <w:rsid w:val="1FB160A1"/>
    <w:rsid w:val="1FCD4EA9"/>
    <w:rsid w:val="1FDA75E3"/>
    <w:rsid w:val="1FDF1639"/>
    <w:rsid w:val="1FE868A9"/>
    <w:rsid w:val="1FEA15B7"/>
    <w:rsid w:val="1FEE0565"/>
    <w:rsid w:val="1FFF5F75"/>
    <w:rsid w:val="200044F4"/>
    <w:rsid w:val="2000702C"/>
    <w:rsid w:val="20034907"/>
    <w:rsid w:val="200563F1"/>
    <w:rsid w:val="20173E4B"/>
    <w:rsid w:val="202866BE"/>
    <w:rsid w:val="204E48BC"/>
    <w:rsid w:val="20561A3E"/>
    <w:rsid w:val="20575593"/>
    <w:rsid w:val="206D262D"/>
    <w:rsid w:val="207D68CF"/>
    <w:rsid w:val="208018C7"/>
    <w:rsid w:val="208921B3"/>
    <w:rsid w:val="2090422C"/>
    <w:rsid w:val="20921109"/>
    <w:rsid w:val="20973DEB"/>
    <w:rsid w:val="20B0621D"/>
    <w:rsid w:val="20B26522"/>
    <w:rsid w:val="20B44310"/>
    <w:rsid w:val="20D12777"/>
    <w:rsid w:val="20D44015"/>
    <w:rsid w:val="20DE6C42"/>
    <w:rsid w:val="211116EB"/>
    <w:rsid w:val="21470E6E"/>
    <w:rsid w:val="216133FC"/>
    <w:rsid w:val="21657A51"/>
    <w:rsid w:val="21A5330F"/>
    <w:rsid w:val="21B03E34"/>
    <w:rsid w:val="21D56769"/>
    <w:rsid w:val="21DD26D6"/>
    <w:rsid w:val="21E40288"/>
    <w:rsid w:val="21E421B3"/>
    <w:rsid w:val="21E47761"/>
    <w:rsid w:val="21E52EF3"/>
    <w:rsid w:val="21EC16FC"/>
    <w:rsid w:val="21EC5DE9"/>
    <w:rsid w:val="21F32E80"/>
    <w:rsid w:val="21FB5D7B"/>
    <w:rsid w:val="21FD475F"/>
    <w:rsid w:val="220B1C3D"/>
    <w:rsid w:val="22141111"/>
    <w:rsid w:val="22163247"/>
    <w:rsid w:val="221D1D20"/>
    <w:rsid w:val="22235254"/>
    <w:rsid w:val="22334A87"/>
    <w:rsid w:val="223A4F4A"/>
    <w:rsid w:val="22453DC6"/>
    <w:rsid w:val="2265586D"/>
    <w:rsid w:val="2277DA73"/>
    <w:rsid w:val="227C4964"/>
    <w:rsid w:val="22993768"/>
    <w:rsid w:val="22A10DA1"/>
    <w:rsid w:val="22AA4F68"/>
    <w:rsid w:val="22BA5BB9"/>
    <w:rsid w:val="22BB36DF"/>
    <w:rsid w:val="22BB548D"/>
    <w:rsid w:val="22BB723C"/>
    <w:rsid w:val="22BE6801"/>
    <w:rsid w:val="22C41BDF"/>
    <w:rsid w:val="22D155B4"/>
    <w:rsid w:val="22FB2D4B"/>
    <w:rsid w:val="23083B45"/>
    <w:rsid w:val="233500BF"/>
    <w:rsid w:val="23377209"/>
    <w:rsid w:val="23377FF7"/>
    <w:rsid w:val="23487548"/>
    <w:rsid w:val="236B425F"/>
    <w:rsid w:val="23706C39"/>
    <w:rsid w:val="23825FAA"/>
    <w:rsid w:val="23836192"/>
    <w:rsid w:val="23901F29"/>
    <w:rsid w:val="239C0061"/>
    <w:rsid w:val="23B908A4"/>
    <w:rsid w:val="23BA47E3"/>
    <w:rsid w:val="23D305B4"/>
    <w:rsid w:val="23D909ED"/>
    <w:rsid w:val="23DA6859"/>
    <w:rsid w:val="23E95BEF"/>
    <w:rsid w:val="23ED78C8"/>
    <w:rsid w:val="23FD0064"/>
    <w:rsid w:val="24207C9D"/>
    <w:rsid w:val="243B1FD6"/>
    <w:rsid w:val="24431BDE"/>
    <w:rsid w:val="2445609C"/>
    <w:rsid w:val="245375B0"/>
    <w:rsid w:val="24631119"/>
    <w:rsid w:val="24642C0A"/>
    <w:rsid w:val="24863878"/>
    <w:rsid w:val="24886ADB"/>
    <w:rsid w:val="249E4B2C"/>
    <w:rsid w:val="249E6CBA"/>
    <w:rsid w:val="24A804E6"/>
    <w:rsid w:val="24B22173"/>
    <w:rsid w:val="24B67167"/>
    <w:rsid w:val="24B95AD9"/>
    <w:rsid w:val="24BE24DA"/>
    <w:rsid w:val="24C465A1"/>
    <w:rsid w:val="24CF5825"/>
    <w:rsid w:val="24D663E6"/>
    <w:rsid w:val="24D77F2B"/>
    <w:rsid w:val="24EA3E07"/>
    <w:rsid w:val="25025326"/>
    <w:rsid w:val="2513335E"/>
    <w:rsid w:val="25183A2B"/>
    <w:rsid w:val="253E3E32"/>
    <w:rsid w:val="257A35C3"/>
    <w:rsid w:val="257A518B"/>
    <w:rsid w:val="258B00E2"/>
    <w:rsid w:val="259C03A6"/>
    <w:rsid w:val="25A917A6"/>
    <w:rsid w:val="25AF7A72"/>
    <w:rsid w:val="25B97332"/>
    <w:rsid w:val="25BE27CC"/>
    <w:rsid w:val="25C0149C"/>
    <w:rsid w:val="25E92378"/>
    <w:rsid w:val="25F74A5C"/>
    <w:rsid w:val="261B0F18"/>
    <w:rsid w:val="261C7718"/>
    <w:rsid w:val="2628662C"/>
    <w:rsid w:val="262D45DE"/>
    <w:rsid w:val="265359DC"/>
    <w:rsid w:val="265B3015"/>
    <w:rsid w:val="266877EA"/>
    <w:rsid w:val="266C18D4"/>
    <w:rsid w:val="26856E3E"/>
    <w:rsid w:val="2686568A"/>
    <w:rsid w:val="26915AE8"/>
    <w:rsid w:val="26943E2C"/>
    <w:rsid w:val="26961C08"/>
    <w:rsid w:val="26A53EF9"/>
    <w:rsid w:val="26A94201"/>
    <w:rsid w:val="26AC274F"/>
    <w:rsid w:val="26AF74D5"/>
    <w:rsid w:val="26B40B71"/>
    <w:rsid w:val="26C03F07"/>
    <w:rsid w:val="26C41924"/>
    <w:rsid w:val="26DE7813"/>
    <w:rsid w:val="26F07935"/>
    <w:rsid w:val="27044A29"/>
    <w:rsid w:val="271D34C8"/>
    <w:rsid w:val="271F7034"/>
    <w:rsid w:val="27267F98"/>
    <w:rsid w:val="275315CB"/>
    <w:rsid w:val="27550CD5"/>
    <w:rsid w:val="275C4F85"/>
    <w:rsid w:val="276142BF"/>
    <w:rsid w:val="276E6F72"/>
    <w:rsid w:val="27741567"/>
    <w:rsid w:val="2778023A"/>
    <w:rsid w:val="27783712"/>
    <w:rsid w:val="278E4F1E"/>
    <w:rsid w:val="27907362"/>
    <w:rsid w:val="279315CC"/>
    <w:rsid w:val="27973D17"/>
    <w:rsid w:val="27BB7CDD"/>
    <w:rsid w:val="27C44DE4"/>
    <w:rsid w:val="27CE6EE6"/>
    <w:rsid w:val="27E72424"/>
    <w:rsid w:val="28105561"/>
    <w:rsid w:val="28165027"/>
    <w:rsid w:val="28177609"/>
    <w:rsid w:val="281913D2"/>
    <w:rsid w:val="28333E1D"/>
    <w:rsid w:val="28454BD6"/>
    <w:rsid w:val="28455253"/>
    <w:rsid w:val="28551971"/>
    <w:rsid w:val="285B1C53"/>
    <w:rsid w:val="286D5867"/>
    <w:rsid w:val="28770115"/>
    <w:rsid w:val="289305E4"/>
    <w:rsid w:val="289F7086"/>
    <w:rsid w:val="28C32028"/>
    <w:rsid w:val="28CC490F"/>
    <w:rsid w:val="28CF4645"/>
    <w:rsid w:val="28D3513F"/>
    <w:rsid w:val="28DE40AA"/>
    <w:rsid w:val="28EA57CD"/>
    <w:rsid w:val="28FC2C00"/>
    <w:rsid w:val="29071838"/>
    <w:rsid w:val="29097894"/>
    <w:rsid w:val="291D7223"/>
    <w:rsid w:val="292C0D62"/>
    <w:rsid w:val="29345E77"/>
    <w:rsid w:val="294C65AD"/>
    <w:rsid w:val="296F7A85"/>
    <w:rsid w:val="29753362"/>
    <w:rsid w:val="29806583"/>
    <w:rsid w:val="298B3C4C"/>
    <w:rsid w:val="2994507C"/>
    <w:rsid w:val="299C1D15"/>
    <w:rsid w:val="29B76E57"/>
    <w:rsid w:val="29BB71CD"/>
    <w:rsid w:val="29CC6A8C"/>
    <w:rsid w:val="29F26D24"/>
    <w:rsid w:val="2A024C96"/>
    <w:rsid w:val="2A067935"/>
    <w:rsid w:val="2A110E23"/>
    <w:rsid w:val="2A15033F"/>
    <w:rsid w:val="2A1662C1"/>
    <w:rsid w:val="2A1C7367"/>
    <w:rsid w:val="2A2815FA"/>
    <w:rsid w:val="2A3E70CF"/>
    <w:rsid w:val="2A437712"/>
    <w:rsid w:val="2A4B17EC"/>
    <w:rsid w:val="2A67266B"/>
    <w:rsid w:val="2A6D6092"/>
    <w:rsid w:val="2A741800"/>
    <w:rsid w:val="2A7C5075"/>
    <w:rsid w:val="2A7D76B4"/>
    <w:rsid w:val="2A8B3672"/>
    <w:rsid w:val="2AA1282F"/>
    <w:rsid w:val="2AAA6D4D"/>
    <w:rsid w:val="2ABB524A"/>
    <w:rsid w:val="2AF12DEA"/>
    <w:rsid w:val="2B0E4C00"/>
    <w:rsid w:val="2B114234"/>
    <w:rsid w:val="2B261369"/>
    <w:rsid w:val="2B3109E2"/>
    <w:rsid w:val="2B391645"/>
    <w:rsid w:val="2B437463"/>
    <w:rsid w:val="2B47108B"/>
    <w:rsid w:val="2B480F4F"/>
    <w:rsid w:val="2B550C2B"/>
    <w:rsid w:val="2B593A95"/>
    <w:rsid w:val="2B6E3F6A"/>
    <w:rsid w:val="2B722141"/>
    <w:rsid w:val="2B746B21"/>
    <w:rsid w:val="2B7807EE"/>
    <w:rsid w:val="2B9B2EEA"/>
    <w:rsid w:val="2BAA396D"/>
    <w:rsid w:val="2BB2051B"/>
    <w:rsid w:val="2BB71FB5"/>
    <w:rsid w:val="2BBF00EC"/>
    <w:rsid w:val="2BC37CFD"/>
    <w:rsid w:val="2BCE686B"/>
    <w:rsid w:val="2BD001FB"/>
    <w:rsid w:val="2BD5237F"/>
    <w:rsid w:val="2BE536CE"/>
    <w:rsid w:val="2BE758D9"/>
    <w:rsid w:val="2C0724B8"/>
    <w:rsid w:val="2C09049E"/>
    <w:rsid w:val="2C0A653C"/>
    <w:rsid w:val="2C191F85"/>
    <w:rsid w:val="2C26606D"/>
    <w:rsid w:val="2C35440A"/>
    <w:rsid w:val="2C5C64EB"/>
    <w:rsid w:val="2C723060"/>
    <w:rsid w:val="2C7D7498"/>
    <w:rsid w:val="2C8A6AA3"/>
    <w:rsid w:val="2C914855"/>
    <w:rsid w:val="2C914E7D"/>
    <w:rsid w:val="2CB0513C"/>
    <w:rsid w:val="2CB63A29"/>
    <w:rsid w:val="2CB66EF8"/>
    <w:rsid w:val="2CD13D68"/>
    <w:rsid w:val="2CE82D6F"/>
    <w:rsid w:val="2CEF7814"/>
    <w:rsid w:val="2CF240C0"/>
    <w:rsid w:val="2D035FCE"/>
    <w:rsid w:val="2D343236"/>
    <w:rsid w:val="2D376058"/>
    <w:rsid w:val="2D606C7D"/>
    <w:rsid w:val="2D661664"/>
    <w:rsid w:val="2D7753A9"/>
    <w:rsid w:val="2D847B6B"/>
    <w:rsid w:val="2DAA4023"/>
    <w:rsid w:val="2DC747E2"/>
    <w:rsid w:val="2DD15014"/>
    <w:rsid w:val="2DF72DE4"/>
    <w:rsid w:val="2DFC7732"/>
    <w:rsid w:val="2DFE6127"/>
    <w:rsid w:val="2E0220AF"/>
    <w:rsid w:val="2E110657"/>
    <w:rsid w:val="2E1E4633"/>
    <w:rsid w:val="2E257E86"/>
    <w:rsid w:val="2E3D3B2F"/>
    <w:rsid w:val="2E4525DD"/>
    <w:rsid w:val="2E4B082A"/>
    <w:rsid w:val="2E4D4C86"/>
    <w:rsid w:val="2E5D4E86"/>
    <w:rsid w:val="2E5D790B"/>
    <w:rsid w:val="2E7500CE"/>
    <w:rsid w:val="2E8A1071"/>
    <w:rsid w:val="2E9A3C18"/>
    <w:rsid w:val="2EB363AC"/>
    <w:rsid w:val="2EBB0FEE"/>
    <w:rsid w:val="2EC545AB"/>
    <w:rsid w:val="2EC63002"/>
    <w:rsid w:val="2ED96459"/>
    <w:rsid w:val="2EE03233"/>
    <w:rsid w:val="2EE351AC"/>
    <w:rsid w:val="2EE87609"/>
    <w:rsid w:val="2EEB698A"/>
    <w:rsid w:val="2F0A6B38"/>
    <w:rsid w:val="2F946CCB"/>
    <w:rsid w:val="2F972268"/>
    <w:rsid w:val="2F9742ED"/>
    <w:rsid w:val="2F990904"/>
    <w:rsid w:val="2FAE750D"/>
    <w:rsid w:val="2FB052CF"/>
    <w:rsid w:val="2FBA041B"/>
    <w:rsid w:val="2FC718A5"/>
    <w:rsid w:val="2FD25781"/>
    <w:rsid w:val="2FF7494D"/>
    <w:rsid w:val="2FFD7934"/>
    <w:rsid w:val="301215AD"/>
    <w:rsid w:val="305050BC"/>
    <w:rsid w:val="305822AC"/>
    <w:rsid w:val="305E4B15"/>
    <w:rsid w:val="30733ACD"/>
    <w:rsid w:val="307C26FF"/>
    <w:rsid w:val="30861519"/>
    <w:rsid w:val="308C3862"/>
    <w:rsid w:val="309379D8"/>
    <w:rsid w:val="309A3CCC"/>
    <w:rsid w:val="30A270F7"/>
    <w:rsid w:val="30C10112"/>
    <w:rsid w:val="30C44F7C"/>
    <w:rsid w:val="30DF1478"/>
    <w:rsid w:val="30E22CDA"/>
    <w:rsid w:val="30EC586F"/>
    <w:rsid w:val="30F229C1"/>
    <w:rsid w:val="30FB426E"/>
    <w:rsid w:val="310538A1"/>
    <w:rsid w:val="311E2BFD"/>
    <w:rsid w:val="3138414C"/>
    <w:rsid w:val="31405BC4"/>
    <w:rsid w:val="316A1E4B"/>
    <w:rsid w:val="317C04DD"/>
    <w:rsid w:val="3192350A"/>
    <w:rsid w:val="319C6071"/>
    <w:rsid w:val="31AB5907"/>
    <w:rsid w:val="31AC537E"/>
    <w:rsid w:val="31BD2BF4"/>
    <w:rsid w:val="31C111F3"/>
    <w:rsid w:val="31E3679B"/>
    <w:rsid w:val="31E732FD"/>
    <w:rsid w:val="31F81362"/>
    <w:rsid w:val="31FA3F13"/>
    <w:rsid w:val="31FE0EF2"/>
    <w:rsid w:val="3200110E"/>
    <w:rsid w:val="3205734C"/>
    <w:rsid w:val="32126E9C"/>
    <w:rsid w:val="3236068C"/>
    <w:rsid w:val="32454D73"/>
    <w:rsid w:val="32517576"/>
    <w:rsid w:val="32523523"/>
    <w:rsid w:val="3268280F"/>
    <w:rsid w:val="329F4D04"/>
    <w:rsid w:val="32BC6982"/>
    <w:rsid w:val="32BE5C2C"/>
    <w:rsid w:val="32C75571"/>
    <w:rsid w:val="32C83C83"/>
    <w:rsid w:val="32F07DD5"/>
    <w:rsid w:val="32FB6478"/>
    <w:rsid w:val="32FC70F2"/>
    <w:rsid w:val="33062B19"/>
    <w:rsid w:val="33263B3F"/>
    <w:rsid w:val="332B1372"/>
    <w:rsid w:val="333A0650"/>
    <w:rsid w:val="335A2AA0"/>
    <w:rsid w:val="336963EB"/>
    <w:rsid w:val="33816EEB"/>
    <w:rsid w:val="33EB55CD"/>
    <w:rsid w:val="33EC4C02"/>
    <w:rsid w:val="33F3B298"/>
    <w:rsid w:val="340B78F6"/>
    <w:rsid w:val="340D2360"/>
    <w:rsid w:val="3410665D"/>
    <w:rsid w:val="34211214"/>
    <w:rsid w:val="342E63AB"/>
    <w:rsid w:val="34733234"/>
    <w:rsid w:val="34763909"/>
    <w:rsid w:val="347A14C3"/>
    <w:rsid w:val="34867F1B"/>
    <w:rsid w:val="34950E68"/>
    <w:rsid w:val="3495784E"/>
    <w:rsid w:val="34986E94"/>
    <w:rsid w:val="34AE0B4C"/>
    <w:rsid w:val="34AF257B"/>
    <w:rsid w:val="34AF62C9"/>
    <w:rsid w:val="34CB4388"/>
    <w:rsid w:val="34CD66C2"/>
    <w:rsid w:val="34D4418C"/>
    <w:rsid w:val="34E147BC"/>
    <w:rsid w:val="34ED0215"/>
    <w:rsid w:val="34EF11A1"/>
    <w:rsid w:val="34FA6E12"/>
    <w:rsid w:val="3508232F"/>
    <w:rsid w:val="350B22A4"/>
    <w:rsid w:val="35400528"/>
    <w:rsid w:val="355B3740"/>
    <w:rsid w:val="35661288"/>
    <w:rsid w:val="356E6F10"/>
    <w:rsid w:val="358D5588"/>
    <w:rsid w:val="359A3628"/>
    <w:rsid w:val="359E1737"/>
    <w:rsid w:val="35A05E57"/>
    <w:rsid w:val="35A61D02"/>
    <w:rsid w:val="35AA0A18"/>
    <w:rsid w:val="35B244CD"/>
    <w:rsid w:val="35CC4F2D"/>
    <w:rsid w:val="35F66AB0"/>
    <w:rsid w:val="35FD6EE8"/>
    <w:rsid w:val="36157521"/>
    <w:rsid w:val="361918A7"/>
    <w:rsid w:val="36251143"/>
    <w:rsid w:val="362751E6"/>
    <w:rsid w:val="363312B5"/>
    <w:rsid w:val="363A3B40"/>
    <w:rsid w:val="365302AE"/>
    <w:rsid w:val="36607A0A"/>
    <w:rsid w:val="366C4520"/>
    <w:rsid w:val="366E227C"/>
    <w:rsid w:val="366F2E0D"/>
    <w:rsid w:val="367B6A5C"/>
    <w:rsid w:val="367C48DF"/>
    <w:rsid w:val="367E52AD"/>
    <w:rsid w:val="368708D6"/>
    <w:rsid w:val="36992A33"/>
    <w:rsid w:val="369E3CEB"/>
    <w:rsid w:val="36A74ADA"/>
    <w:rsid w:val="36AD60D5"/>
    <w:rsid w:val="36B224F9"/>
    <w:rsid w:val="36CE6538"/>
    <w:rsid w:val="36DB27E6"/>
    <w:rsid w:val="36E56B24"/>
    <w:rsid w:val="36EC0CC9"/>
    <w:rsid w:val="36F32FEF"/>
    <w:rsid w:val="370C24CD"/>
    <w:rsid w:val="3714541D"/>
    <w:rsid w:val="373F410B"/>
    <w:rsid w:val="37474571"/>
    <w:rsid w:val="375662BE"/>
    <w:rsid w:val="376C7D61"/>
    <w:rsid w:val="37721B96"/>
    <w:rsid w:val="37907D63"/>
    <w:rsid w:val="37976191"/>
    <w:rsid w:val="37A13C16"/>
    <w:rsid w:val="37A21F3B"/>
    <w:rsid w:val="37B41E56"/>
    <w:rsid w:val="37BA3B0D"/>
    <w:rsid w:val="37EE7094"/>
    <w:rsid w:val="37FD4734"/>
    <w:rsid w:val="37FFC9B0"/>
    <w:rsid w:val="37FFEE8B"/>
    <w:rsid w:val="3805122C"/>
    <w:rsid w:val="381E5E4A"/>
    <w:rsid w:val="381F2104"/>
    <w:rsid w:val="382564B0"/>
    <w:rsid w:val="38296B3F"/>
    <w:rsid w:val="38296C89"/>
    <w:rsid w:val="382F0057"/>
    <w:rsid w:val="383002EB"/>
    <w:rsid w:val="383C4522"/>
    <w:rsid w:val="38586797"/>
    <w:rsid w:val="38667EC5"/>
    <w:rsid w:val="3894435E"/>
    <w:rsid w:val="38975BFC"/>
    <w:rsid w:val="38997F35"/>
    <w:rsid w:val="389E33A0"/>
    <w:rsid w:val="389F4A2A"/>
    <w:rsid w:val="38A71F00"/>
    <w:rsid w:val="38B638A9"/>
    <w:rsid w:val="38BC0149"/>
    <w:rsid w:val="38BC48FF"/>
    <w:rsid w:val="38C5276A"/>
    <w:rsid w:val="38CD7870"/>
    <w:rsid w:val="38D34E86"/>
    <w:rsid w:val="38D87D1C"/>
    <w:rsid w:val="38F5199B"/>
    <w:rsid w:val="38F815D3"/>
    <w:rsid w:val="390D37F8"/>
    <w:rsid w:val="390E5EBF"/>
    <w:rsid w:val="39222F04"/>
    <w:rsid w:val="392350DC"/>
    <w:rsid w:val="394713D0"/>
    <w:rsid w:val="395F2BBE"/>
    <w:rsid w:val="39636459"/>
    <w:rsid w:val="396B7F6C"/>
    <w:rsid w:val="397B107A"/>
    <w:rsid w:val="39893EFA"/>
    <w:rsid w:val="39AD5E68"/>
    <w:rsid w:val="39B417A9"/>
    <w:rsid w:val="39CD2315"/>
    <w:rsid w:val="39CD5D7A"/>
    <w:rsid w:val="39D42349"/>
    <w:rsid w:val="39F33306"/>
    <w:rsid w:val="39FC5695"/>
    <w:rsid w:val="3A006D8E"/>
    <w:rsid w:val="3A013C75"/>
    <w:rsid w:val="3A053F5E"/>
    <w:rsid w:val="3A0D43C8"/>
    <w:rsid w:val="3A212837"/>
    <w:rsid w:val="3A2B0CF2"/>
    <w:rsid w:val="3A333C6D"/>
    <w:rsid w:val="3A3651E5"/>
    <w:rsid w:val="3A444DB1"/>
    <w:rsid w:val="3A4E5A4A"/>
    <w:rsid w:val="3A56271C"/>
    <w:rsid w:val="3A5E4C24"/>
    <w:rsid w:val="3A6218FE"/>
    <w:rsid w:val="3A6A698E"/>
    <w:rsid w:val="3A744481"/>
    <w:rsid w:val="3A797E6F"/>
    <w:rsid w:val="3A7F1136"/>
    <w:rsid w:val="3A8C7BEF"/>
    <w:rsid w:val="3A906246"/>
    <w:rsid w:val="3A9248BC"/>
    <w:rsid w:val="3AB25A09"/>
    <w:rsid w:val="3AC802EF"/>
    <w:rsid w:val="3ACF7F42"/>
    <w:rsid w:val="3ADD3456"/>
    <w:rsid w:val="3AFC4F2B"/>
    <w:rsid w:val="3AFF12B6"/>
    <w:rsid w:val="3B0743A5"/>
    <w:rsid w:val="3B2349B7"/>
    <w:rsid w:val="3B311256"/>
    <w:rsid w:val="3B3F4A55"/>
    <w:rsid w:val="3B542821"/>
    <w:rsid w:val="3B5953EB"/>
    <w:rsid w:val="3B5D00DF"/>
    <w:rsid w:val="3B5D137F"/>
    <w:rsid w:val="3B616CFF"/>
    <w:rsid w:val="3B6259F6"/>
    <w:rsid w:val="3B976654"/>
    <w:rsid w:val="3BC01EFC"/>
    <w:rsid w:val="3BC476BA"/>
    <w:rsid w:val="3BCA786A"/>
    <w:rsid w:val="3BCC4781"/>
    <w:rsid w:val="3BD22094"/>
    <w:rsid w:val="3BD31E2F"/>
    <w:rsid w:val="3BD74DAA"/>
    <w:rsid w:val="3BD80A06"/>
    <w:rsid w:val="3BD93247"/>
    <w:rsid w:val="3BF15831"/>
    <w:rsid w:val="3BF92D28"/>
    <w:rsid w:val="3C00178B"/>
    <w:rsid w:val="3C035A0C"/>
    <w:rsid w:val="3C09790D"/>
    <w:rsid w:val="3C105946"/>
    <w:rsid w:val="3C467402"/>
    <w:rsid w:val="3C471448"/>
    <w:rsid w:val="3C577B7C"/>
    <w:rsid w:val="3C5D60F0"/>
    <w:rsid w:val="3C5F759A"/>
    <w:rsid w:val="3C6B3628"/>
    <w:rsid w:val="3C6C525A"/>
    <w:rsid w:val="3C771FCD"/>
    <w:rsid w:val="3C776471"/>
    <w:rsid w:val="3C7C6193"/>
    <w:rsid w:val="3C8F0D83"/>
    <w:rsid w:val="3C990195"/>
    <w:rsid w:val="3CAF1767"/>
    <w:rsid w:val="3CB678A5"/>
    <w:rsid w:val="3CB85199"/>
    <w:rsid w:val="3CBE7BFC"/>
    <w:rsid w:val="3CCE23CB"/>
    <w:rsid w:val="3CD17D17"/>
    <w:rsid w:val="3CE6634A"/>
    <w:rsid w:val="3CF03B2D"/>
    <w:rsid w:val="3CF74BDC"/>
    <w:rsid w:val="3D1E069A"/>
    <w:rsid w:val="3D2E6F84"/>
    <w:rsid w:val="3D330CF2"/>
    <w:rsid w:val="3D334A0A"/>
    <w:rsid w:val="3D3B749E"/>
    <w:rsid w:val="3D3C7F39"/>
    <w:rsid w:val="3D410DCD"/>
    <w:rsid w:val="3D440F09"/>
    <w:rsid w:val="3D4504A0"/>
    <w:rsid w:val="3D6D1E2D"/>
    <w:rsid w:val="3D73347A"/>
    <w:rsid w:val="3D803103"/>
    <w:rsid w:val="3D8734BB"/>
    <w:rsid w:val="3D9A11D4"/>
    <w:rsid w:val="3DA16D89"/>
    <w:rsid w:val="3DA364BE"/>
    <w:rsid w:val="3DA51394"/>
    <w:rsid w:val="3DC01751"/>
    <w:rsid w:val="3DC74721"/>
    <w:rsid w:val="3DCC00F6"/>
    <w:rsid w:val="3DDD5A75"/>
    <w:rsid w:val="3DE041CB"/>
    <w:rsid w:val="3DF40815"/>
    <w:rsid w:val="3DF4DB72"/>
    <w:rsid w:val="3DFC7637"/>
    <w:rsid w:val="3E021D6A"/>
    <w:rsid w:val="3E083B55"/>
    <w:rsid w:val="3E0D48F6"/>
    <w:rsid w:val="3E105D74"/>
    <w:rsid w:val="3E1868B4"/>
    <w:rsid w:val="3E1A73F6"/>
    <w:rsid w:val="3E2A04EE"/>
    <w:rsid w:val="3E353C3E"/>
    <w:rsid w:val="3E377251"/>
    <w:rsid w:val="3E3E3D98"/>
    <w:rsid w:val="3E42664B"/>
    <w:rsid w:val="3E5A7334"/>
    <w:rsid w:val="3E5F5B3A"/>
    <w:rsid w:val="3E614CE2"/>
    <w:rsid w:val="3E77193B"/>
    <w:rsid w:val="3E7B5D6B"/>
    <w:rsid w:val="3E8306C6"/>
    <w:rsid w:val="3E843E66"/>
    <w:rsid w:val="3E8F51FE"/>
    <w:rsid w:val="3E926F87"/>
    <w:rsid w:val="3E9A59DE"/>
    <w:rsid w:val="3EAF4836"/>
    <w:rsid w:val="3EC01BF6"/>
    <w:rsid w:val="3EC33DFA"/>
    <w:rsid w:val="3EF22185"/>
    <w:rsid w:val="3F017B7E"/>
    <w:rsid w:val="3F060E16"/>
    <w:rsid w:val="3F1D1096"/>
    <w:rsid w:val="3F2A47C8"/>
    <w:rsid w:val="3F2F0234"/>
    <w:rsid w:val="3F4110D8"/>
    <w:rsid w:val="3F58688B"/>
    <w:rsid w:val="3F6363FE"/>
    <w:rsid w:val="3F7337E4"/>
    <w:rsid w:val="3F742888"/>
    <w:rsid w:val="3F756B8F"/>
    <w:rsid w:val="3F7BE093"/>
    <w:rsid w:val="3F7C2F01"/>
    <w:rsid w:val="3F800E2D"/>
    <w:rsid w:val="3F95482B"/>
    <w:rsid w:val="3FA330D9"/>
    <w:rsid w:val="3FBAA955"/>
    <w:rsid w:val="3FCC33C2"/>
    <w:rsid w:val="3FF34060"/>
    <w:rsid w:val="3FFF225E"/>
    <w:rsid w:val="3FFF49A2"/>
    <w:rsid w:val="40171C89"/>
    <w:rsid w:val="4019356B"/>
    <w:rsid w:val="403460EE"/>
    <w:rsid w:val="40491ED2"/>
    <w:rsid w:val="40582115"/>
    <w:rsid w:val="40592157"/>
    <w:rsid w:val="406E1CAE"/>
    <w:rsid w:val="40750F19"/>
    <w:rsid w:val="40781723"/>
    <w:rsid w:val="408178BE"/>
    <w:rsid w:val="409622BC"/>
    <w:rsid w:val="40A0133A"/>
    <w:rsid w:val="40C31A53"/>
    <w:rsid w:val="40CA2FA4"/>
    <w:rsid w:val="40E1730B"/>
    <w:rsid w:val="40F55BB6"/>
    <w:rsid w:val="40FB10EC"/>
    <w:rsid w:val="40FE4A6B"/>
    <w:rsid w:val="40FF545D"/>
    <w:rsid w:val="410067C8"/>
    <w:rsid w:val="410B3A33"/>
    <w:rsid w:val="41235AB1"/>
    <w:rsid w:val="41344930"/>
    <w:rsid w:val="413B5CBF"/>
    <w:rsid w:val="413D75D0"/>
    <w:rsid w:val="416C5F4F"/>
    <w:rsid w:val="418A5AB5"/>
    <w:rsid w:val="418F0D2A"/>
    <w:rsid w:val="418F1B67"/>
    <w:rsid w:val="419719C7"/>
    <w:rsid w:val="41992059"/>
    <w:rsid w:val="419A3758"/>
    <w:rsid w:val="41D01505"/>
    <w:rsid w:val="41D37CA5"/>
    <w:rsid w:val="41FA1949"/>
    <w:rsid w:val="42025DE2"/>
    <w:rsid w:val="420D11ED"/>
    <w:rsid w:val="42474939"/>
    <w:rsid w:val="424C3C57"/>
    <w:rsid w:val="42506C4F"/>
    <w:rsid w:val="425761C4"/>
    <w:rsid w:val="425A6618"/>
    <w:rsid w:val="425F778B"/>
    <w:rsid w:val="42613FF3"/>
    <w:rsid w:val="42660D96"/>
    <w:rsid w:val="42750D5C"/>
    <w:rsid w:val="428667D2"/>
    <w:rsid w:val="4287441B"/>
    <w:rsid w:val="42A12863"/>
    <w:rsid w:val="42B21FB1"/>
    <w:rsid w:val="42C53E91"/>
    <w:rsid w:val="42CD1CE0"/>
    <w:rsid w:val="42D40179"/>
    <w:rsid w:val="42E1381E"/>
    <w:rsid w:val="42ED6459"/>
    <w:rsid w:val="42EE7007"/>
    <w:rsid w:val="42F11CB6"/>
    <w:rsid w:val="42F308B1"/>
    <w:rsid w:val="42FE58DD"/>
    <w:rsid w:val="43174B3D"/>
    <w:rsid w:val="431A1904"/>
    <w:rsid w:val="434B790E"/>
    <w:rsid w:val="435571DE"/>
    <w:rsid w:val="43590042"/>
    <w:rsid w:val="4360274F"/>
    <w:rsid w:val="436037BB"/>
    <w:rsid w:val="436B679D"/>
    <w:rsid w:val="43957229"/>
    <w:rsid w:val="43965470"/>
    <w:rsid w:val="43977AB6"/>
    <w:rsid w:val="43A3342B"/>
    <w:rsid w:val="43C114AA"/>
    <w:rsid w:val="43C77C27"/>
    <w:rsid w:val="43CB4A1B"/>
    <w:rsid w:val="43DE09EE"/>
    <w:rsid w:val="44002FAD"/>
    <w:rsid w:val="44021755"/>
    <w:rsid w:val="440525B4"/>
    <w:rsid w:val="4405758C"/>
    <w:rsid w:val="442346AF"/>
    <w:rsid w:val="44291FE0"/>
    <w:rsid w:val="44450C02"/>
    <w:rsid w:val="444B446B"/>
    <w:rsid w:val="44623562"/>
    <w:rsid w:val="446C43E1"/>
    <w:rsid w:val="449101DD"/>
    <w:rsid w:val="44B43EE8"/>
    <w:rsid w:val="44C55076"/>
    <w:rsid w:val="44D42A00"/>
    <w:rsid w:val="44DE1391"/>
    <w:rsid w:val="451B225C"/>
    <w:rsid w:val="451C6FFC"/>
    <w:rsid w:val="452410C9"/>
    <w:rsid w:val="45317DFB"/>
    <w:rsid w:val="45336CAD"/>
    <w:rsid w:val="45394546"/>
    <w:rsid w:val="454D7D6F"/>
    <w:rsid w:val="4565330A"/>
    <w:rsid w:val="456D3CE4"/>
    <w:rsid w:val="45765517"/>
    <w:rsid w:val="4579042C"/>
    <w:rsid w:val="457F0571"/>
    <w:rsid w:val="45851176"/>
    <w:rsid w:val="459C7154"/>
    <w:rsid w:val="45C63B94"/>
    <w:rsid w:val="45D5524E"/>
    <w:rsid w:val="45F428E0"/>
    <w:rsid w:val="46054AED"/>
    <w:rsid w:val="460A487E"/>
    <w:rsid w:val="460E7DA5"/>
    <w:rsid w:val="460F14C8"/>
    <w:rsid w:val="461245A8"/>
    <w:rsid w:val="461A7364"/>
    <w:rsid w:val="463158E2"/>
    <w:rsid w:val="46422483"/>
    <w:rsid w:val="464257AC"/>
    <w:rsid w:val="4659254A"/>
    <w:rsid w:val="465B0637"/>
    <w:rsid w:val="465E3F0D"/>
    <w:rsid w:val="466A16E6"/>
    <w:rsid w:val="46717A8D"/>
    <w:rsid w:val="46893F2B"/>
    <w:rsid w:val="468B03AE"/>
    <w:rsid w:val="469317FC"/>
    <w:rsid w:val="46942A15"/>
    <w:rsid w:val="469A3487"/>
    <w:rsid w:val="46C4686E"/>
    <w:rsid w:val="46F106CB"/>
    <w:rsid w:val="47030182"/>
    <w:rsid w:val="4733546E"/>
    <w:rsid w:val="474D4586"/>
    <w:rsid w:val="474E0C66"/>
    <w:rsid w:val="47520928"/>
    <w:rsid w:val="47767A51"/>
    <w:rsid w:val="477B778F"/>
    <w:rsid w:val="478203EC"/>
    <w:rsid w:val="478C05DB"/>
    <w:rsid w:val="47B025FA"/>
    <w:rsid w:val="47F366F7"/>
    <w:rsid w:val="48027365"/>
    <w:rsid w:val="48061E29"/>
    <w:rsid w:val="4809698F"/>
    <w:rsid w:val="4811697D"/>
    <w:rsid w:val="48217291"/>
    <w:rsid w:val="48276F9D"/>
    <w:rsid w:val="48345216"/>
    <w:rsid w:val="4839282C"/>
    <w:rsid w:val="483B3270"/>
    <w:rsid w:val="483E5FFB"/>
    <w:rsid w:val="485A1120"/>
    <w:rsid w:val="486457A8"/>
    <w:rsid w:val="48733940"/>
    <w:rsid w:val="487A3E25"/>
    <w:rsid w:val="48806AEF"/>
    <w:rsid w:val="488B5503"/>
    <w:rsid w:val="488F069E"/>
    <w:rsid w:val="48937E21"/>
    <w:rsid w:val="489A0361"/>
    <w:rsid w:val="48B94FF3"/>
    <w:rsid w:val="48D735D8"/>
    <w:rsid w:val="48E37AAB"/>
    <w:rsid w:val="48FB5D0B"/>
    <w:rsid w:val="48FD4B4C"/>
    <w:rsid w:val="48FF152B"/>
    <w:rsid w:val="490044E7"/>
    <w:rsid w:val="49064E04"/>
    <w:rsid w:val="490A68E0"/>
    <w:rsid w:val="491055FE"/>
    <w:rsid w:val="49117305"/>
    <w:rsid w:val="492435B3"/>
    <w:rsid w:val="493A685C"/>
    <w:rsid w:val="494616A5"/>
    <w:rsid w:val="49470F79"/>
    <w:rsid w:val="495F5B3E"/>
    <w:rsid w:val="496F77D7"/>
    <w:rsid w:val="497654FD"/>
    <w:rsid w:val="49A07007"/>
    <w:rsid w:val="49B64211"/>
    <w:rsid w:val="49F6167F"/>
    <w:rsid w:val="49F8402B"/>
    <w:rsid w:val="4A064FA0"/>
    <w:rsid w:val="4A0A248B"/>
    <w:rsid w:val="4A0E7992"/>
    <w:rsid w:val="4A0F6CA7"/>
    <w:rsid w:val="4A16615C"/>
    <w:rsid w:val="4A4424D7"/>
    <w:rsid w:val="4A4E6A63"/>
    <w:rsid w:val="4A4F242F"/>
    <w:rsid w:val="4A52794A"/>
    <w:rsid w:val="4A5E4B39"/>
    <w:rsid w:val="4A7F4927"/>
    <w:rsid w:val="4A83308A"/>
    <w:rsid w:val="4A8910CD"/>
    <w:rsid w:val="4AA0093E"/>
    <w:rsid w:val="4AA51DDF"/>
    <w:rsid w:val="4AAF7430"/>
    <w:rsid w:val="4AB50890"/>
    <w:rsid w:val="4AB56AE2"/>
    <w:rsid w:val="4AB82D0F"/>
    <w:rsid w:val="4AEB7664"/>
    <w:rsid w:val="4AFD7C19"/>
    <w:rsid w:val="4B0213BB"/>
    <w:rsid w:val="4B0567D1"/>
    <w:rsid w:val="4B0E4466"/>
    <w:rsid w:val="4B104C17"/>
    <w:rsid w:val="4B1F10C6"/>
    <w:rsid w:val="4B204E6B"/>
    <w:rsid w:val="4B226226"/>
    <w:rsid w:val="4B236AAE"/>
    <w:rsid w:val="4B253F29"/>
    <w:rsid w:val="4B2F1727"/>
    <w:rsid w:val="4B335C59"/>
    <w:rsid w:val="4B3B7573"/>
    <w:rsid w:val="4B3D424A"/>
    <w:rsid w:val="4B471143"/>
    <w:rsid w:val="4B4C0AC8"/>
    <w:rsid w:val="4B667538"/>
    <w:rsid w:val="4B6B30EF"/>
    <w:rsid w:val="4B707271"/>
    <w:rsid w:val="4B7778F3"/>
    <w:rsid w:val="4B9739F7"/>
    <w:rsid w:val="4B983B6E"/>
    <w:rsid w:val="4BA13E68"/>
    <w:rsid w:val="4BA86BF5"/>
    <w:rsid w:val="4BAF3531"/>
    <w:rsid w:val="4BBC4071"/>
    <w:rsid w:val="4BEE2503"/>
    <w:rsid w:val="4BFC69AC"/>
    <w:rsid w:val="4C1F238B"/>
    <w:rsid w:val="4C2442A0"/>
    <w:rsid w:val="4C245A30"/>
    <w:rsid w:val="4C575977"/>
    <w:rsid w:val="4C714C8A"/>
    <w:rsid w:val="4C7B1D9D"/>
    <w:rsid w:val="4C89719B"/>
    <w:rsid w:val="4C8A6BFA"/>
    <w:rsid w:val="4CB6685F"/>
    <w:rsid w:val="4CC22DCD"/>
    <w:rsid w:val="4CC367FE"/>
    <w:rsid w:val="4CCA0782"/>
    <w:rsid w:val="4CCE5E33"/>
    <w:rsid w:val="4CDD7C2A"/>
    <w:rsid w:val="4D077F3C"/>
    <w:rsid w:val="4D0B0B91"/>
    <w:rsid w:val="4D123355"/>
    <w:rsid w:val="4D28011D"/>
    <w:rsid w:val="4D297313"/>
    <w:rsid w:val="4D2A3B31"/>
    <w:rsid w:val="4D312C52"/>
    <w:rsid w:val="4D440D0B"/>
    <w:rsid w:val="4D747D65"/>
    <w:rsid w:val="4D905305"/>
    <w:rsid w:val="4D964A72"/>
    <w:rsid w:val="4D9C1254"/>
    <w:rsid w:val="4DBC44B5"/>
    <w:rsid w:val="4DCB03CA"/>
    <w:rsid w:val="4DEE5E67"/>
    <w:rsid w:val="4DFC0584"/>
    <w:rsid w:val="4DFF1E22"/>
    <w:rsid w:val="4E264413"/>
    <w:rsid w:val="4E3708CE"/>
    <w:rsid w:val="4E372CEF"/>
    <w:rsid w:val="4E3D5AC3"/>
    <w:rsid w:val="4E3F66C2"/>
    <w:rsid w:val="4E4063F4"/>
    <w:rsid w:val="4E564778"/>
    <w:rsid w:val="4E6A4F74"/>
    <w:rsid w:val="4E6C5709"/>
    <w:rsid w:val="4E7065EE"/>
    <w:rsid w:val="4E793892"/>
    <w:rsid w:val="4E7D74A7"/>
    <w:rsid w:val="4E800872"/>
    <w:rsid w:val="4E94015D"/>
    <w:rsid w:val="4EAF34D1"/>
    <w:rsid w:val="4EB1260B"/>
    <w:rsid w:val="4EC569ED"/>
    <w:rsid w:val="4EC8315B"/>
    <w:rsid w:val="4ED50EA1"/>
    <w:rsid w:val="4EEC050C"/>
    <w:rsid w:val="4EF77EC0"/>
    <w:rsid w:val="4F104EC3"/>
    <w:rsid w:val="4F1E1E73"/>
    <w:rsid w:val="4F26120E"/>
    <w:rsid w:val="4F27253D"/>
    <w:rsid w:val="4F4426F6"/>
    <w:rsid w:val="4F44B1B2"/>
    <w:rsid w:val="4F47354A"/>
    <w:rsid w:val="4F691B75"/>
    <w:rsid w:val="4F7A5C04"/>
    <w:rsid w:val="4F895E47"/>
    <w:rsid w:val="4F911C54"/>
    <w:rsid w:val="4F9763EB"/>
    <w:rsid w:val="4FC33B8C"/>
    <w:rsid w:val="4FCC21D8"/>
    <w:rsid w:val="4FE625E0"/>
    <w:rsid w:val="4FF84D7B"/>
    <w:rsid w:val="4FFD7DC3"/>
    <w:rsid w:val="501A1D50"/>
    <w:rsid w:val="501B67F5"/>
    <w:rsid w:val="5021480F"/>
    <w:rsid w:val="50485DFD"/>
    <w:rsid w:val="504E6959"/>
    <w:rsid w:val="505200C7"/>
    <w:rsid w:val="508E304A"/>
    <w:rsid w:val="50962ECB"/>
    <w:rsid w:val="5099655E"/>
    <w:rsid w:val="50A42E38"/>
    <w:rsid w:val="50A4577F"/>
    <w:rsid w:val="50A868B7"/>
    <w:rsid w:val="50A94B87"/>
    <w:rsid w:val="50B73D1F"/>
    <w:rsid w:val="50BB4E97"/>
    <w:rsid w:val="50BD5212"/>
    <w:rsid w:val="50BD5BC9"/>
    <w:rsid w:val="50C11EEE"/>
    <w:rsid w:val="50E2040B"/>
    <w:rsid w:val="50E97CFC"/>
    <w:rsid w:val="50F9524E"/>
    <w:rsid w:val="50FA4028"/>
    <w:rsid w:val="50FC4F0E"/>
    <w:rsid w:val="510374A0"/>
    <w:rsid w:val="510D65B7"/>
    <w:rsid w:val="511157AB"/>
    <w:rsid w:val="5118277B"/>
    <w:rsid w:val="51244194"/>
    <w:rsid w:val="51333D03"/>
    <w:rsid w:val="514249A7"/>
    <w:rsid w:val="5142540C"/>
    <w:rsid w:val="514B6067"/>
    <w:rsid w:val="514C35D0"/>
    <w:rsid w:val="516918E3"/>
    <w:rsid w:val="516E1798"/>
    <w:rsid w:val="517D5E7F"/>
    <w:rsid w:val="518479C2"/>
    <w:rsid w:val="518832C8"/>
    <w:rsid w:val="51A0432A"/>
    <w:rsid w:val="51A86090"/>
    <w:rsid w:val="51B7396D"/>
    <w:rsid w:val="51D04201"/>
    <w:rsid w:val="51DD06CC"/>
    <w:rsid w:val="51F464F4"/>
    <w:rsid w:val="51F53C68"/>
    <w:rsid w:val="51F831BD"/>
    <w:rsid w:val="51FD791B"/>
    <w:rsid w:val="52170CBE"/>
    <w:rsid w:val="52187956"/>
    <w:rsid w:val="522E4CC3"/>
    <w:rsid w:val="523818E8"/>
    <w:rsid w:val="5244713B"/>
    <w:rsid w:val="524E02CE"/>
    <w:rsid w:val="52615633"/>
    <w:rsid w:val="526279A5"/>
    <w:rsid w:val="526B5049"/>
    <w:rsid w:val="528973AD"/>
    <w:rsid w:val="528B637A"/>
    <w:rsid w:val="52977FD4"/>
    <w:rsid w:val="529E280C"/>
    <w:rsid w:val="52A25790"/>
    <w:rsid w:val="52A339CB"/>
    <w:rsid w:val="52A96B6F"/>
    <w:rsid w:val="52B20989"/>
    <w:rsid w:val="52B45975"/>
    <w:rsid w:val="52BB6C5F"/>
    <w:rsid w:val="52D375AC"/>
    <w:rsid w:val="52D94AA4"/>
    <w:rsid w:val="52EA3A62"/>
    <w:rsid w:val="52ED1235"/>
    <w:rsid w:val="52F50BB8"/>
    <w:rsid w:val="53097272"/>
    <w:rsid w:val="530C60F3"/>
    <w:rsid w:val="532B7B0A"/>
    <w:rsid w:val="532C36B9"/>
    <w:rsid w:val="534B76CB"/>
    <w:rsid w:val="53544462"/>
    <w:rsid w:val="53690469"/>
    <w:rsid w:val="536C6901"/>
    <w:rsid w:val="5397158E"/>
    <w:rsid w:val="539B4F01"/>
    <w:rsid w:val="539F3E8B"/>
    <w:rsid w:val="53A26BE5"/>
    <w:rsid w:val="53B31B8A"/>
    <w:rsid w:val="53B536AF"/>
    <w:rsid w:val="53BF38EC"/>
    <w:rsid w:val="53C2401E"/>
    <w:rsid w:val="53C5766A"/>
    <w:rsid w:val="53F90357"/>
    <w:rsid w:val="54013861"/>
    <w:rsid w:val="54280325"/>
    <w:rsid w:val="54395D5B"/>
    <w:rsid w:val="54487265"/>
    <w:rsid w:val="544D6070"/>
    <w:rsid w:val="54576514"/>
    <w:rsid w:val="54605E1E"/>
    <w:rsid w:val="548059AC"/>
    <w:rsid w:val="54931E82"/>
    <w:rsid w:val="54B3506A"/>
    <w:rsid w:val="54B87E29"/>
    <w:rsid w:val="54CA0D16"/>
    <w:rsid w:val="54D272FC"/>
    <w:rsid w:val="54DD4057"/>
    <w:rsid w:val="54E7490F"/>
    <w:rsid w:val="54F969C9"/>
    <w:rsid w:val="550764A4"/>
    <w:rsid w:val="550B2BF6"/>
    <w:rsid w:val="550F3998"/>
    <w:rsid w:val="55175CA3"/>
    <w:rsid w:val="55214D74"/>
    <w:rsid w:val="55214EB5"/>
    <w:rsid w:val="55364EFD"/>
    <w:rsid w:val="554271C4"/>
    <w:rsid w:val="55437327"/>
    <w:rsid w:val="555D4828"/>
    <w:rsid w:val="556D3484"/>
    <w:rsid w:val="557645ED"/>
    <w:rsid w:val="557A4C8B"/>
    <w:rsid w:val="557B4484"/>
    <w:rsid w:val="557B7D23"/>
    <w:rsid w:val="557D4AFD"/>
    <w:rsid w:val="55801A9A"/>
    <w:rsid w:val="558931E1"/>
    <w:rsid w:val="558D41B7"/>
    <w:rsid w:val="55923347"/>
    <w:rsid w:val="55925180"/>
    <w:rsid w:val="55983B1B"/>
    <w:rsid w:val="559B6418"/>
    <w:rsid w:val="55A014EF"/>
    <w:rsid w:val="55A614B1"/>
    <w:rsid w:val="55A8376B"/>
    <w:rsid w:val="55D43B94"/>
    <w:rsid w:val="55DC29B6"/>
    <w:rsid w:val="55DD4241"/>
    <w:rsid w:val="55F43710"/>
    <w:rsid w:val="5618423F"/>
    <w:rsid w:val="56602FA9"/>
    <w:rsid w:val="56675D2B"/>
    <w:rsid w:val="566B6D1E"/>
    <w:rsid w:val="567FDC70"/>
    <w:rsid w:val="56846705"/>
    <w:rsid w:val="568B3A0D"/>
    <w:rsid w:val="56933A4F"/>
    <w:rsid w:val="56E415E6"/>
    <w:rsid w:val="56EA31AE"/>
    <w:rsid w:val="56F85528"/>
    <w:rsid w:val="56F93566"/>
    <w:rsid w:val="57032A2C"/>
    <w:rsid w:val="570F5219"/>
    <w:rsid w:val="57150236"/>
    <w:rsid w:val="571C3E42"/>
    <w:rsid w:val="571D1B2E"/>
    <w:rsid w:val="572920EB"/>
    <w:rsid w:val="572C012C"/>
    <w:rsid w:val="575D12B5"/>
    <w:rsid w:val="57610A87"/>
    <w:rsid w:val="577B1140"/>
    <w:rsid w:val="577B7F21"/>
    <w:rsid w:val="577F181B"/>
    <w:rsid w:val="57874D86"/>
    <w:rsid w:val="57921984"/>
    <w:rsid w:val="579737F0"/>
    <w:rsid w:val="579D5315"/>
    <w:rsid w:val="57A072DC"/>
    <w:rsid w:val="57AB7B30"/>
    <w:rsid w:val="57AF5251"/>
    <w:rsid w:val="57B04EBD"/>
    <w:rsid w:val="57B26373"/>
    <w:rsid w:val="57B63F04"/>
    <w:rsid w:val="57B83428"/>
    <w:rsid w:val="57CA16F3"/>
    <w:rsid w:val="57CD20C2"/>
    <w:rsid w:val="57D07FEA"/>
    <w:rsid w:val="57D573DB"/>
    <w:rsid w:val="57D675AB"/>
    <w:rsid w:val="57D918C5"/>
    <w:rsid w:val="57D95FDD"/>
    <w:rsid w:val="57E5652D"/>
    <w:rsid w:val="57E6C355"/>
    <w:rsid w:val="57F1549A"/>
    <w:rsid w:val="58047084"/>
    <w:rsid w:val="58070A5D"/>
    <w:rsid w:val="582B31D0"/>
    <w:rsid w:val="584E416F"/>
    <w:rsid w:val="5859375E"/>
    <w:rsid w:val="58917D2F"/>
    <w:rsid w:val="58932672"/>
    <w:rsid w:val="5894085C"/>
    <w:rsid w:val="58AE4F0C"/>
    <w:rsid w:val="58B85899"/>
    <w:rsid w:val="58DB1FB6"/>
    <w:rsid w:val="58DC16DE"/>
    <w:rsid w:val="58E363A9"/>
    <w:rsid w:val="58F1480B"/>
    <w:rsid w:val="59034EBC"/>
    <w:rsid w:val="59254A57"/>
    <w:rsid w:val="59460135"/>
    <w:rsid w:val="595E1678"/>
    <w:rsid w:val="595F4EB3"/>
    <w:rsid w:val="59696A4A"/>
    <w:rsid w:val="596D5BD4"/>
    <w:rsid w:val="597072EF"/>
    <w:rsid w:val="59722042"/>
    <w:rsid w:val="597E3DD8"/>
    <w:rsid w:val="598D7058"/>
    <w:rsid w:val="599B6EA3"/>
    <w:rsid w:val="599F412D"/>
    <w:rsid w:val="59C44CCC"/>
    <w:rsid w:val="59D32AE1"/>
    <w:rsid w:val="59D86349"/>
    <w:rsid w:val="59DD570D"/>
    <w:rsid w:val="59E9551A"/>
    <w:rsid w:val="59EC5950"/>
    <w:rsid w:val="59F80043"/>
    <w:rsid w:val="59F92CC7"/>
    <w:rsid w:val="59FF17EC"/>
    <w:rsid w:val="5A09252F"/>
    <w:rsid w:val="5A0B2778"/>
    <w:rsid w:val="5A0E316A"/>
    <w:rsid w:val="5A146C55"/>
    <w:rsid w:val="5A2A7C7B"/>
    <w:rsid w:val="5A3E2560"/>
    <w:rsid w:val="5A4A4207"/>
    <w:rsid w:val="5A5D3B6E"/>
    <w:rsid w:val="5A625C12"/>
    <w:rsid w:val="5A637A76"/>
    <w:rsid w:val="5A6D33BA"/>
    <w:rsid w:val="5A792B1F"/>
    <w:rsid w:val="5A874767"/>
    <w:rsid w:val="5A8F463C"/>
    <w:rsid w:val="5AAB1367"/>
    <w:rsid w:val="5AAD6F28"/>
    <w:rsid w:val="5AC43F7A"/>
    <w:rsid w:val="5AD63A24"/>
    <w:rsid w:val="5ADA0928"/>
    <w:rsid w:val="5ADF0A1B"/>
    <w:rsid w:val="5AED342D"/>
    <w:rsid w:val="5AF2343A"/>
    <w:rsid w:val="5AFC1BC3"/>
    <w:rsid w:val="5B1038C0"/>
    <w:rsid w:val="5B226ED3"/>
    <w:rsid w:val="5B246C75"/>
    <w:rsid w:val="5B2E1A1D"/>
    <w:rsid w:val="5B2F09D6"/>
    <w:rsid w:val="5B5F57C3"/>
    <w:rsid w:val="5B603F18"/>
    <w:rsid w:val="5B833462"/>
    <w:rsid w:val="5B8347D7"/>
    <w:rsid w:val="5B843A1C"/>
    <w:rsid w:val="5B873E3F"/>
    <w:rsid w:val="5B9B13DC"/>
    <w:rsid w:val="5BB22606"/>
    <w:rsid w:val="5BD164BB"/>
    <w:rsid w:val="5BD445A4"/>
    <w:rsid w:val="5BDB3215"/>
    <w:rsid w:val="5BDF66AB"/>
    <w:rsid w:val="5BE72BC3"/>
    <w:rsid w:val="5BF7476C"/>
    <w:rsid w:val="5C02690E"/>
    <w:rsid w:val="5C0A6562"/>
    <w:rsid w:val="5C196DA7"/>
    <w:rsid w:val="5C220A3A"/>
    <w:rsid w:val="5C2869E8"/>
    <w:rsid w:val="5C2A048C"/>
    <w:rsid w:val="5C545A2F"/>
    <w:rsid w:val="5C6B34A4"/>
    <w:rsid w:val="5C6C358C"/>
    <w:rsid w:val="5C6E0D96"/>
    <w:rsid w:val="5C7A4768"/>
    <w:rsid w:val="5C80234E"/>
    <w:rsid w:val="5C831903"/>
    <w:rsid w:val="5C8A680C"/>
    <w:rsid w:val="5C9127DF"/>
    <w:rsid w:val="5CA60F58"/>
    <w:rsid w:val="5CBF2D50"/>
    <w:rsid w:val="5CD5091E"/>
    <w:rsid w:val="5CDD3C76"/>
    <w:rsid w:val="5CE44EFA"/>
    <w:rsid w:val="5CE75958"/>
    <w:rsid w:val="5CEBD0C9"/>
    <w:rsid w:val="5D0A075D"/>
    <w:rsid w:val="5D0C4701"/>
    <w:rsid w:val="5D0E3E30"/>
    <w:rsid w:val="5D0F0395"/>
    <w:rsid w:val="5D221076"/>
    <w:rsid w:val="5D383B2F"/>
    <w:rsid w:val="5D397964"/>
    <w:rsid w:val="5D3D64C3"/>
    <w:rsid w:val="5D491257"/>
    <w:rsid w:val="5D5A391C"/>
    <w:rsid w:val="5D5F10C0"/>
    <w:rsid w:val="5D7243BE"/>
    <w:rsid w:val="5D72592E"/>
    <w:rsid w:val="5D83037A"/>
    <w:rsid w:val="5D891B7B"/>
    <w:rsid w:val="5D9635FF"/>
    <w:rsid w:val="5D9D7BB3"/>
    <w:rsid w:val="5DAD38EE"/>
    <w:rsid w:val="5DBD9B37"/>
    <w:rsid w:val="5DD40BD5"/>
    <w:rsid w:val="5DDC06E4"/>
    <w:rsid w:val="5DDD7460"/>
    <w:rsid w:val="5DDE5264"/>
    <w:rsid w:val="5DE01E82"/>
    <w:rsid w:val="5DE702CE"/>
    <w:rsid w:val="5DF72B16"/>
    <w:rsid w:val="5E006862"/>
    <w:rsid w:val="5E0207B9"/>
    <w:rsid w:val="5E0349F2"/>
    <w:rsid w:val="5E1834A1"/>
    <w:rsid w:val="5E1840D4"/>
    <w:rsid w:val="5E22427D"/>
    <w:rsid w:val="5E251431"/>
    <w:rsid w:val="5E261785"/>
    <w:rsid w:val="5E2E29DB"/>
    <w:rsid w:val="5E3B7091"/>
    <w:rsid w:val="5E4A7017"/>
    <w:rsid w:val="5E552BBA"/>
    <w:rsid w:val="5E5B745B"/>
    <w:rsid w:val="5E611C10"/>
    <w:rsid w:val="5E7FB1C2"/>
    <w:rsid w:val="5EAF5C0D"/>
    <w:rsid w:val="5ECD523E"/>
    <w:rsid w:val="5EE83F9A"/>
    <w:rsid w:val="5EFC7377"/>
    <w:rsid w:val="5F06174D"/>
    <w:rsid w:val="5F0C00E7"/>
    <w:rsid w:val="5F182D44"/>
    <w:rsid w:val="5F3A3602"/>
    <w:rsid w:val="5F4B136B"/>
    <w:rsid w:val="5F4B2916"/>
    <w:rsid w:val="5F587050"/>
    <w:rsid w:val="5F6277C6"/>
    <w:rsid w:val="5F6D0B1D"/>
    <w:rsid w:val="5F7A1C50"/>
    <w:rsid w:val="5F7D08AF"/>
    <w:rsid w:val="5F7D5B25"/>
    <w:rsid w:val="5F7E34EF"/>
    <w:rsid w:val="5F8D0B82"/>
    <w:rsid w:val="5FA23A48"/>
    <w:rsid w:val="5FA46697"/>
    <w:rsid w:val="5FB056DC"/>
    <w:rsid w:val="5FCC5339"/>
    <w:rsid w:val="5FD47FCC"/>
    <w:rsid w:val="5FE34A5B"/>
    <w:rsid w:val="5FE86BBA"/>
    <w:rsid w:val="5FEA0180"/>
    <w:rsid w:val="5FED5F7E"/>
    <w:rsid w:val="5FF44E9B"/>
    <w:rsid w:val="5FF90EA4"/>
    <w:rsid w:val="5FFC5682"/>
    <w:rsid w:val="5FFE1E36"/>
    <w:rsid w:val="6007225A"/>
    <w:rsid w:val="600862CC"/>
    <w:rsid w:val="601710AD"/>
    <w:rsid w:val="60232584"/>
    <w:rsid w:val="606972E1"/>
    <w:rsid w:val="607330CE"/>
    <w:rsid w:val="60825176"/>
    <w:rsid w:val="608B48D4"/>
    <w:rsid w:val="609F2AC4"/>
    <w:rsid w:val="60B65B72"/>
    <w:rsid w:val="60BB42CE"/>
    <w:rsid w:val="60CC798A"/>
    <w:rsid w:val="60FA2EE8"/>
    <w:rsid w:val="60FE42AA"/>
    <w:rsid w:val="61054A27"/>
    <w:rsid w:val="610A52BC"/>
    <w:rsid w:val="610B536B"/>
    <w:rsid w:val="611D2366"/>
    <w:rsid w:val="61421856"/>
    <w:rsid w:val="614326F6"/>
    <w:rsid w:val="614C3178"/>
    <w:rsid w:val="615227C4"/>
    <w:rsid w:val="615A38B8"/>
    <w:rsid w:val="615B5B2A"/>
    <w:rsid w:val="6161296D"/>
    <w:rsid w:val="61654E3F"/>
    <w:rsid w:val="61700C15"/>
    <w:rsid w:val="6182292A"/>
    <w:rsid w:val="619F7F92"/>
    <w:rsid w:val="61A80477"/>
    <w:rsid w:val="61AC36FA"/>
    <w:rsid w:val="61CD2D79"/>
    <w:rsid w:val="61F94C26"/>
    <w:rsid w:val="62000E56"/>
    <w:rsid w:val="620E382D"/>
    <w:rsid w:val="62435056"/>
    <w:rsid w:val="624F2F20"/>
    <w:rsid w:val="624F3E49"/>
    <w:rsid w:val="62582BDC"/>
    <w:rsid w:val="625B08CA"/>
    <w:rsid w:val="62632286"/>
    <w:rsid w:val="626E32BA"/>
    <w:rsid w:val="627BB889"/>
    <w:rsid w:val="6283706E"/>
    <w:rsid w:val="62885958"/>
    <w:rsid w:val="628C5ACD"/>
    <w:rsid w:val="629152E7"/>
    <w:rsid w:val="62984E01"/>
    <w:rsid w:val="62996CEF"/>
    <w:rsid w:val="629D5670"/>
    <w:rsid w:val="62F40B65"/>
    <w:rsid w:val="62FC2CFE"/>
    <w:rsid w:val="62FC6DD3"/>
    <w:rsid w:val="63024505"/>
    <w:rsid w:val="6306451B"/>
    <w:rsid w:val="632A0BAF"/>
    <w:rsid w:val="632E2182"/>
    <w:rsid w:val="63561C82"/>
    <w:rsid w:val="635B1DB5"/>
    <w:rsid w:val="63711FED"/>
    <w:rsid w:val="63880DDC"/>
    <w:rsid w:val="638D750D"/>
    <w:rsid w:val="63913F53"/>
    <w:rsid w:val="639435FE"/>
    <w:rsid w:val="63AC6CC0"/>
    <w:rsid w:val="63BC5880"/>
    <w:rsid w:val="63D43986"/>
    <w:rsid w:val="63D86CEC"/>
    <w:rsid w:val="64055776"/>
    <w:rsid w:val="64205BC6"/>
    <w:rsid w:val="64240056"/>
    <w:rsid w:val="642C4B68"/>
    <w:rsid w:val="643857C5"/>
    <w:rsid w:val="643E143A"/>
    <w:rsid w:val="644C27A0"/>
    <w:rsid w:val="645A7CF9"/>
    <w:rsid w:val="645C60CA"/>
    <w:rsid w:val="64714BEC"/>
    <w:rsid w:val="64781593"/>
    <w:rsid w:val="648B6EEF"/>
    <w:rsid w:val="648F7022"/>
    <w:rsid w:val="649C61C5"/>
    <w:rsid w:val="64BB489D"/>
    <w:rsid w:val="64C158BF"/>
    <w:rsid w:val="64CE2EAA"/>
    <w:rsid w:val="64CF0348"/>
    <w:rsid w:val="64E301EE"/>
    <w:rsid w:val="64E61C88"/>
    <w:rsid w:val="653C3090"/>
    <w:rsid w:val="656E26A3"/>
    <w:rsid w:val="657B6143"/>
    <w:rsid w:val="65854376"/>
    <w:rsid w:val="658767BE"/>
    <w:rsid w:val="65892531"/>
    <w:rsid w:val="658C560E"/>
    <w:rsid w:val="65956E9C"/>
    <w:rsid w:val="65B670C7"/>
    <w:rsid w:val="65C1176D"/>
    <w:rsid w:val="65C94F25"/>
    <w:rsid w:val="65DFAB07"/>
    <w:rsid w:val="66151A2D"/>
    <w:rsid w:val="66195831"/>
    <w:rsid w:val="661E50E3"/>
    <w:rsid w:val="662E75B1"/>
    <w:rsid w:val="66313021"/>
    <w:rsid w:val="66337ECA"/>
    <w:rsid w:val="66342C2E"/>
    <w:rsid w:val="663E784C"/>
    <w:rsid w:val="66596FF2"/>
    <w:rsid w:val="66652D12"/>
    <w:rsid w:val="66707909"/>
    <w:rsid w:val="66807B4C"/>
    <w:rsid w:val="668B6A45"/>
    <w:rsid w:val="668E4F07"/>
    <w:rsid w:val="669C5CBA"/>
    <w:rsid w:val="669E0497"/>
    <w:rsid w:val="66B01071"/>
    <w:rsid w:val="66B274F3"/>
    <w:rsid w:val="66CB277F"/>
    <w:rsid w:val="66CD3C88"/>
    <w:rsid w:val="67023DD3"/>
    <w:rsid w:val="67044A5E"/>
    <w:rsid w:val="67112C45"/>
    <w:rsid w:val="67112E9A"/>
    <w:rsid w:val="672C3830"/>
    <w:rsid w:val="672F3F24"/>
    <w:rsid w:val="67310E46"/>
    <w:rsid w:val="67340937"/>
    <w:rsid w:val="673E055F"/>
    <w:rsid w:val="67484DA3"/>
    <w:rsid w:val="67551CE3"/>
    <w:rsid w:val="675A24C7"/>
    <w:rsid w:val="6772060E"/>
    <w:rsid w:val="678A5A74"/>
    <w:rsid w:val="67944D0A"/>
    <w:rsid w:val="679B36C4"/>
    <w:rsid w:val="67A22552"/>
    <w:rsid w:val="67ADF863"/>
    <w:rsid w:val="67B22DCC"/>
    <w:rsid w:val="67BE71AA"/>
    <w:rsid w:val="67C5345F"/>
    <w:rsid w:val="67D90273"/>
    <w:rsid w:val="67DE5875"/>
    <w:rsid w:val="67DF53C7"/>
    <w:rsid w:val="67E55852"/>
    <w:rsid w:val="67EB1AB4"/>
    <w:rsid w:val="67F105D6"/>
    <w:rsid w:val="67F53CE1"/>
    <w:rsid w:val="67FA1285"/>
    <w:rsid w:val="68077DF9"/>
    <w:rsid w:val="682269E1"/>
    <w:rsid w:val="68353B8B"/>
    <w:rsid w:val="683B1BC8"/>
    <w:rsid w:val="68464DC5"/>
    <w:rsid w:val="6854113D"/>
    <w:rsid w:val="68551F4F"/>
    <w:rsid w:val="685E5C6B"/>
    <w:rsid w:val="687C10C9"/>
    <w:rsid w:val="68840C16"/>
    <w:rsid w:val="68876EFB"/>
    <w:rsid w:val="68884654"/>
    <w:rsid w:val="689F444F"/>
    <w:rsid w:val="68B166E3"/>
    <w:rsid w:val="68B96DBB"/>
    <w:rsid w:val="68C116E7"/>
    <w:rsid w:val="68C2564E"/>
    <w:rsid w:val="68C450DB"/>
    <w:rsid w:val="68CA2805"/>
    <w:rsid w:val="68CA6994"/>
    <w:rsid w:val="68CB0E27"/>
    <w:rsid w:val="68CD2E71"/>
    <w:rsid w:val="68E937A3"/>
    <w:rsid w:val="69036813"/>
    <w:rsid w:val="690D582F"/>
    <w:rsid w:val="691118A5"/>
    <w:rsid w:val="69154FBD"/>
    <w:rsid w:val="69271990"/>
    <w:rsid w:val="692F7B9E"/>
    <w:rsid w:val="69320EA6"/>
    <w:rsid w:val="693E15D3"/>
    <w:rsid w:val="6954706E"/>
    <w:rsid w:val="69627681"/>
    <w:rsid w:val="696D4DFA"/>
    <w:rsid w:val="6977531D"/>
    <w:rsid w:val="699C5768"/>
    <w:rsid w:val="69A2427D"/>
    <w:rsid w:val="69B71EBC"/>
    <w:rsid w:val="69B720BD"/>
    <w:rsid w:val="69B848FC"/>
    <w:rsid w:val="69C02F33"/>
    <w:rsid w:val="69C064B2"/>
    <w:rsid w:val="69CC2BFF"/>
    <w:rsid w:val="69D5399A"/>
    <w:rsid w:val="69E47C01"/>
    <w:rsid w:val="69EF3BD1"/>
    <w:rsid w:val="69F01B9F"/>
    <w:rsid w:val="69F756F6"/>
    <w:rsid w:val="69FD55B8"/>
    <w:rsid w:val="6A0740E0"/>
    <w:rsid w:val="6A0B1C62"/>
    <w:rsid w:val="6A0E546F"/>
    <w:rsid w:val="6A1879E8"/>
    <w:rsid w:val="6A2406C8"/>
    <w:rsid w:val="6A41142C"/>
    <w:rsid w:val="6A4A0458"/>
    <w:rsid w:val="6A696B49"/>
    <w:rsid w:val="6A7E45FB"/>
    <w:rsid w:val="6A7E7B7A"/>
    <w:rsid w:val="6A812359"/>
    <w:rsid w:val="6A8C4CE6"/>
    <w:rsid w:val="6A9A6387"/>
    <w:rsid w:val="6AAB3ED7"/>
    <w:rsid w:val="6ABC167B"/>
    <w:rsid w:val="6AC31CBE"/>
    <w:rsid w:val="6AC954A6"/>
    <w:rsid w:val="6ACF2E50"/>
    <w:rsid w:val="6AD3AACA"/>
    <w:rsid w:val="6ADE0BD1"/>
    <w:rsid w:val="6AE6019A"/>
    <w:rsid w:val="6AE96859"/>
    <w:rsid w:val="6B013226"/>
    <w:rsid w:val="6B147746"/>
    <w:rsid w:val="6B24787C"/>
    <w:rsid w:val="6B357E3D"/>
    <w:rsid w:val="6B3929BF"/>
    <w:rsid w:val="6B3A254D"/>
    <w:rsid w:val="6B573233"/>
    <w:rsid w:val="6B5B6274"/>
    <w:rsid w:val="6B6920A6"/>
    <w:rsid w:val="6B7F24A8"/>
    <w:rsid w:val="6B935D53"/>
    <w:rsid w:val="6B943D7F"/>
    <w:rsid w:val="6B9E0AD0"/>
    <w:rsid w:val="6BBF5E5E"/>
    <w:rsid w:val="6BCE28C6"/>
    <w:rsid w:val="6BD86FC5"/>
    <w:rsid w:val="6BE04891"/>
    <w:rsid w:val="6BE648F5"/>
    <w:rsid w:val="6BF958E1"/>
    <w:rsid w:val="6C0B35B2"/>
    <w:rsid w:val="6C196F71"/>
    <w:rsid w:val="6C1F1BB5"/>
    <w:rsid w:val="6C226FCB"/>
    <w:rsid w:val="6C276CBC"/>
    <w:rsid w:val="6C31226F"/>
    <w:rsid w:val="6C3F3B3F"/>
    <w:rsid w:val="6C496C32"/>
    <w:rsid w:val="6C552F0B"/>
    <w:rsid w:val="6C8C67B7"/>
    <w:rsid w:val="6C9D744C"/>
    <w:rsid w:val="6CB0280D"/>
    <w:rsid w:val="6CB34986"/>
    <w:rsid w:val="6CDC3602"/>
    <w:rsid w:val="6CE86A00"/>
    <w:rsid w:val="6D06067F"/>
    <w:rsid w:val="6D0D692A"/>
    <w:rsid w:val="6D167928"/>
    <w:rsid w:val="6D26299B"/>
    <w:rsid w:val="6D2F659C"/>
    <w:rsid w:val="6D3E7B9E"/>
    <w:rsid w:val="6D4772EC"/>
    <w:rsid w:val="6D536141"/>
    <w:rsid w:val="6D6C0E2A"/>
    <w:rsid w:val="6D8141C3"/>
    <w:rsid w:val="6D9078AF"/>
    <w:rsid w:val="6D997AB1"/>
    <w:rsid w:val="6D9E2FAE"/>
    <w:rsid w:val="6DAA3FEF"/>
    <w:rsid w:val="6DB30807"/>
    <w:rsid w:val="6DBD77C1"/>
    <w:rsid w:val="6DC0172B"/>
    <w:rsid w:val="6DCB690C"/>
    <w:rsid w:val="6DCF0754"/>
    <w:rsid w:val="6DD41A5B"/>
    <w:rsid w:val="6DF43C2E"/>
    <w:rsid w:val="6DF51CA3"/>
    <w:rsid w:val="6E0C170B"/>
    <w:rsid w:val="6E0F2EA4"/>
    <w:rsid w:val="6E180A6F"/>
    <w:rsid w:val="6E1D2124"/>
    <w:rsid w:val="6E3000AA"/>
    <w:rsid w:val="6E4057A2"/>
    <w:rsid w:val="6E5A623E"/>
    <w:rsid w:val="6E5B2C4D"/>
    <w:rsid w:val="6E7066F8"/>
    <w:rsid w:val="6E8335BD"/>
    <w:rsid w:val="6E8479ED"/>
    <w:rsid w:val="6E8B4A99"/>
    <w:rsid w:val="6E8E12EF"/>
    <w:rsid w:val="6E8F4877"/>
    <w:rsid w:val="6E972936"/>
    <w:rsid w:val="6E9E5B00"/>
    <w:rsid w:val="6ED446C5"/>
    <w:rsid w:val="6EEB3FD1"/>
    <w:rsid w:val="6EFF5F38"/>
    <w:rsid w:val="6EFFD040"/>
    <w:rsid w:val="6F1570A7"/>
    <w:rsid w:val="6F172299"/>
    <w:rsid w:val="6F2A7D94"/>
    <w:rsid w:val="6F2D4A05"/>
    <w:rsid w:val="6F3C482C"/>
    <w:rsid w:val="6F412BA0"/>
    <w:rsid w:val="6F4B2014"/>
    <w:rsid w:val="6F6F0244"/>
    <w:rsid w:val="6F767D8D"/>
    <w:rsid w:val="6F80522B"/>
    <w:rsid w:val="6F8331F1"/>
    <w:rsid w:val="6F875189"/>
    <w:rsid w:val="6FAE1A09"/>
    <w:rsid w:val="6FB51F6A"/>
    <w:rsid w:val="6FBF42CC"/>
    <w:rsid w:val="6FC62348"/>
    <w:rsid w:val="6FD75BF8"/>
    <w:rsid w:val="6FF3AEB1"/>
    <w:rsid w:val="6FF3D1E9"/>
    <w:rsid w:val="6FFB5146"/>
    <w:rsid w:val="7030295B"/>
    <w:rsid w:val="70383246"/>
    <w:rsid w:val="703B7829"/>
    <w:rsid w:val="70423FD9"/>
    <w:rsid w:val="70444548"/>
    <w:rsid w:val="704A4D27"/>
    <w:rsid w:val="70706E37"/>
    <w:rsid w:val="70764150"/>
    <w:rsid w:val="707723D0"/>
    <w:rsid w:val="707B1384"/>
    <w:rsid w:val="70827C5B"/>
    <w:rsid w:val="708E0A52"/>
    <w:rsid w:val="709C24CA"/>
    <w:rsid w:val="70A1504C"/>
    <w:rsid w:val="70AF4583"/>
    <w:rsid w:val="70C747BE"/>
    <w:rsid w:val="70D4240C"/>
    <w:rsid w:val="70E03262"/>
    <w:rsid w:val="70E37655"/>
    <w:rsid w:val="70F5661B"/>
    <w:rsid w:val="70FC162C"/>
    <w:rsid w:val="712007C5"/>
    <w:rsid w:val="71280AC2"/>
    <w:rsid w:val="71296EFD"/>
    <w:rsid w:val="71360107"/>
    <w:rsid w:val="71370DFE"/>
    <w:rsid w:val="713B688E"/>
    <w:rsid w:val="71436346"/>
    <w:rsid w:val="71451B23"/>
    <w:rsid w:val="716D7745"/>
    <w:rsid w:val="71805602"/>
    <w:rsid w:val="71CC608C"/>
    <w:rsid w:val="71D43752"/>
    <w:rsid w:val="71DC54C0"/>
    <w:rsid w:val="71E002A1"/>
    <w:rsid w:val="71E837E6"/>
    <w:rsid w:val="71EE501B"/>
    <w:rsid w:val="71F1796A"/>
    <w:rsid w:val="71FE1399"/>
    <w:rsid w:val="72154626"/>
    <w:rsid w:val="72262B5D"/>
    <w:rsid w:val="72283FF7"/>
    <w:rsid w:val="722A4E10"/>
    <w:rsid w:val="722E7212"/>
    <w:rsid w:val="723A0474"/>
    <w:rsid w:val="724539F8"/>
    <w:rsid w:val="725923E4"/>
    <w:rsid w:val="72710E68"/>
    <w:rsid w:val="72864BF7"/>
    <w:rsid w:val="729023FC"/>
    <w:rsid w:val="72991030"/>
    <w:rsid w:val="729915CE"/>
    <w:rsid w:val="729C6F3E"/>
    <w:rsid w:val="72A90E49"/>
    <w:rsid w:val="72AD22E1"/>
    <w:rsid w:val="72C33A26"/>
    <w:rsid w:val="72E6359F"/>
    <w:rsid w:val="73137F9A"/>
    <w:rsid w:val="731742D0"/>
    <w:rsid w:val="731955B0"/>
    <w:rsid w:val="734F0FF3"/>
    <w:rsid w:val="73643F2E"/>
    <w:rsid w:val="739A11A0"/>
    <w:rsid w:val="73C0646E"/>
    <w:rsid w:val="73C92407"/>
    <w:rsid w:val="73CE7C58"/>
    <w:rsid w:val="73D95081"/>
    <w:rsid w:val="73FBCA3E"/>
    <w:rsid w:val="740438BA"/>
    <w:rsid w:val="7407365B"/>
    <w:rsid w:val="740B0B57"/>
    <w:rsid w:val="742222F5"/>
    <w:rsid w:val="7426187A"/>
    <w:rsid w:val="742D5398"/>
    <w:rsid w:val="742F2BB2"/>
    <w:rsid w:val="74315D68"/>
    <w:rsid w:val="7439279F"/>
    <w:rsid w:val="74476126"/>
    <w:rsid w:val="74685100"/>
    <w:rsid w:val="74706664"/>
    <w:rsid w:val="74792DAA"/>
    <w:rsid w:val="747F3682"/>
    <w:rsid w:val="749C4185"/>
    <w:rsid w:val="74B17A6A"/>
    <w:rsid w:val="74BF59FB"/>
    <w:rsid w:val="74C85DB6"/>
    <w:rsid w:val="74CF4EC9"/>
    <w:rsid w:val="75067759"/>
    <w:rsid w:val="752B5DB7"/>
    <w:rsid w:val="752E6DCD"/>
    <w:rsid w:val="7533222E"/>
    <w:rsid w:val="754D5AA2"/>
    <w:rsid w:val="7551380D"/>
    <w:rsid w:val="75555F04"/>
    <w:rsid w:val="75600BE5"/>
    <w:rsid w:val="7564475C"/>
    <w:rsid w:val="75650C46"/>
    <w:rsid w:val="756B1755"/>
    <w:rsid w:val="756C6C89"/>
    <w:rsid w:val="7574140D"/>
    <w:rsid w:val="7583797F"/>
    <w:rsid w:val="758B5E3B"/>
    <w:rsid w:val="75954C96"/>
    <w:rsid w:val="759E179B"/>
    <w:rsid w:val="75A373B3"/>
    <w:rsid w:val="75AD3D8E"/>
    <w:rsid w:val="75AF3FF1"/>
    <w:rsid w:val="75B00DA7"/>
    <w:rsid w:val="75B165AB"/>
    <w:rsid w:val="75D20F1D"/>
    <w:rsid w:val="75DA2C18"/>
    <w:rsid w:val="75E83018"/>
    <w:rsid w:val="75F54412"/>
    <w:rsid w:val="75FE6CDF"/>
    <w:rsid w:val="76033702"/>
    <w:rsid w:val="760A5684"/>
    <w:rsid w:val="760F2C9B"/>
    <w:rsid w:val="761C2309"/>
    <w:rsid w:val="761D08E0"/>
    <w:rsid w:val="76206A90"/>
    <w:rsid w:val="762322A2"/>
    <w:rsid w:val="764C5E0A"/>
    <w:rsid w:val="76515EF5"/>
    <w:rsid w:val="765D347C"/>
    <w:rsid w:val="765F126C"/>
    <w:rsid w:val="76826699"/>
    <w:rsid w:val="7690015C"/>
    <w:rsid w:val="76C43680"/>
    <w:rsid w:val="76C87133"/>
    <w:rsid w:val="76CD08D5"/>
    <w:rsid w:val="76DB4B92"/>
    <w:rsid w:val="770110A1"/>
    <w:rsid w:val="77021C1D"/>
    <w:rsid w:val="77052AA4"/>
    <w:rsid w:val="770866FF"/>
    <w:rsid w:val="7713250F"/>
    <w:rsid w:val="77136511"/>
    <w:rsid w:val="771613AE"/>
    <w:rsid w:val="77340A39"/>
    <w:rsid w:val="77351FD0"/>
    <w:rsid w:val="77386161"/>
    <w:rsid w:val="77414F47"/>
    <w:rsid w:val="77457985"/>
    <w:rsid w:val="77472422"/>
    <w:rsid w:val="774E6E46"/>
    <w:rsid w:val="775545E5"/>
    <w:rsid w:val="775A7F45"/>
    <w:rsid w:val="77727630"/>
    <w:rsid w:val="777F31F2"/>
    <w:rsid w:val="77A57603"/>
    <w:rsid w:val="77B207CD"/>
    <w:rsid w:val="77D1700D"/>
    <w:rsid w:val="77D54E66"/>
    <w:rsid w:val="77D777E8"/>
    <w:rsid w:val="77DB6BE6"/>
    <w:rsid w:val="77EC04CC"/>
    <w:rsid w:val="77F55EC0"/>
    <w:rsid w:val="77F5D2F5"/>
    <w:rsid w:val="77FDBBB5"/>
    <w:rsid w:val="77FFC6A0"/>
    <w:rsid w:val="781C51FB"/>
    <w:rsid w:val="782F21C9"/>
    <w:rsid w:val="785E75AD"/>
    <w:rsid w:val="78775729"/>
    <w:rsid w:val="7878706D"/>
    <w:rsid w:val="78872FBC"/>
    <w:rsid w:val="789C4865"/>
    <w:rsid w:val="78A42DB0"/>
    <w:rsid w:val="78A656AB"/>
    <w:rsid w:val="78B10039"/>
    <w:rsid w:val="78B2245C"/>
    <w:rsid w:val="78B73293"/>
    <w:rsid w:val="78BD2AE3"/>
    <w:rsid w:val="78C338C8"/>
    <w:rsid w:val="78E172CC"/>
    <w:rsid w:val="78E558A6"/>
    <w:rsid w:val="78EA1D1F"/>
    <w:rsid w:val="78FA19E0"/>
    <w:rsid w:val="7904172F"/>
    <w:rsid w:val="790D44A7"/>
    <w:rsid w:val="790E79E2"/>
    <w:rsid w:val="790F7E27"/>
    <w:rsid w:val="79167E9C"/>
    <w:rsid w:val="79202C44"/>
    <w:rsid w:val="79216A1F"/>
    <w:rsid w:val="792A231A"/>
    <w:rsid w:val="79316829"/>
    <w:rsid w:val="79440F0B"/>
    <w:rsid w:val="797E66A9"/>
    <w:rsid w:val="79A100AE"/>
    <w:rsid w:val="79A97383"/>
    <w:rsid w:val="79AD3C96"/>
    <w:rsid w:val="79C175F9"/>
    <w:rsid w:val="79D77D74"/>
    <w:rsid w:val="79E27E8B"/>
    <w:rsid w:val="79EE79A7"/>
    <w:rsid w:val="79F850CE"/>
    <w:rsid w:val="79FD443C"/>
    <w:rsid w:val="7A08012D"/>
    <w:rsid w:val="7A0E5017"/>
    <w:rsid w:val="7A191B7B"/>
    <w:rsid w:val="7A1D1975"/>
    <w:rsid w:val="7A266154"/>
    <w:rsid w:val="7A3E5150"/>
    <w:rsid w:val="7A4670D6"/>
    <w:rsid w:val="7A534B63"/>
    <w:rsid w:val="7A5E118D"/>
    <w:rsid w:val="7A5F5873"/>
    <w:rsid w:val="7A615382"/>
    <w:rsid w:val="7A67303B"/>
    <w:rsid w:val="7A7C6561"/>
    <w:rsid w:val="7A8A5390"/>
    <w:rsid w:val="7AAB1D04"/>
    <w:rsid w:val="7ABA4368"/>
    <w:rsid w:val="7ABA5A5E"/>
    <w:rsid w:val="7AC758F2"/>
    <w:rsid w:val="7ACD4DD5"/>
    <w:rsid w:val="7ACF29F8"/>
    <w:rsid w:val="7AD05746"/>
    <w:rsid w:val="7AE2272C"/>
    <w:rsid w:val="7B017E0B"/>
    <w:rsid w:val="7B1A0118"/>
    <w:rsid w:val="7B257FFD"/>
    <w:rsid w:val="7B343476"/>
    <w:rsid w:val="7B362A78"/>
    <w:rsid w:val="7B4679A3"/>
    <w:rsid w:val="7B5A2978"/>
    <w:rsid w:val="7B5A7E4C"/>
    <w:rsid w:val="7B667AF9"/>
    <w:rsid w:val="7B722A71"/>
    <w:rsid w:val="7B7468F8"/>
    <w:rsid w:val="7B8732D3"/>
    <w:rsid w:val="7B973637"/>
    <w:rsid w:val="7BAB5214"/>
    <w:rsid w:val="7BBB7869"/>
    <w:rsid w:val="7BBD2817"/>
    <w:rsid w:val="7BCA093E"/>
    <w:rsid w:val="7BDE0BC1"/>
    <w:rsid w:val="7BE1474D"/>
    <w:rsid w:val="7BEE0103"/>
    <w:rsid w:val="7BF6244F"/>
    <w:rsid w:val="7BFC15CB"/>
    <w:rsid w:val="7BFD3327"/>
    <w:rsid w:val="7BFF730D"/>
    <w:rsid w:val="7C0A0FE4"/>
    <w:rsid w:val="7C0A4AB0"/>
    <w:rsid w:val="7C254906"/>
    <w:rsid w:val="7C286864"/>
    <w:rsid w:val="7C2A698A"/>
    <w:rsid w:val="7C2D3E7B"/>
    <w:rsid w:val="7C3FA571"/>
    <w:rsid w:val="7C4D0079"/>
    <w:rsid w:val="7C590818"/>
    <w:rsid w:val="7C7C10F6"/>
    <w:rsid w:val="7C7FB27D"/>
    <w:rsid w:val="7C8276E1"/>
    <w:rsid w:val="7C8415C1"/>
    <w:rsid w:val="7C853BEA"/>
    <w:rsid w:val="7C881368"/>
    <w:rsid w:val="7CE27788"/>
    <w:rsid w:val="7D0C32F1"/>
    <w:rsid w:val="7D0F408D"/>
    <w:rsid w:val="7D1F485D"/>
    <w:rsid w:val="7D254B52"/>
    <w:rsid w:val="7D384885"/>
    <w:rsid w:val="7D491C6C"/>
    <w:rsid w:val="7D5429C0"/>
    <w:rsid w:val="7D55FD01"/>
    <w:rsid w:val="7D5E0B9A"/>
    <w:rsid w:val="7D6E6D43"/>
    <w:rsid w:val="7D7F679E"/>
    <w:rsid w:val="7D834497"/>
    <w:rsid w:val="7D8F44D2"/>
    <w:rsid w:val="7D901F30"/>
    <w:rsid w:val="7DA04833"/>
    <w:rsid w:val="7DB042A2"/>
    <w:rsid w:val="7DB33A21"/>
    <w:rsid w:val="7DB57A34"/>
    <w:rsid w:val="7DDF11A4"/>
    <w:rsid w:val="7DDF6644"/>
    <w:rsid w:val="7DE60973"/>
    <w:rsid w:val="7DE655B3"/>
    <w:rsid w:val="7DEF0916"/>
    <w:rsid w:val="7DEF4A96"/>
    <w:rsid w:val="7DF1FBEC"/>
    <w:rsid w:val="7E0368A3"/>
    <w:rsid w:val="7E0C30A1"/>
    <w:rsid w:val="7E1E5218"/>
    <w:rsid w:val="7E32168D"/>
    <w:rsid w:val="7E3F39F1"/>
    <w:rsid w:val="7E4E00D8"/>
    <w:rsid w:val="7E507BCA"/>
    <w:rsid w:val="7E84532A"/>
    <w:rsid w:val="7E9957F7"/>
    <w:rsid w:val="7E9A331D"/>
    <w:rsid w:val="7E9A4E1F"/>
    <w:rsid w:val="7E9E60C3"/>
    <w:rsid w:val="7EA7723A"/>
    <w:rsid w:val="7EAF180F"/>
    <w:rsid w:val="7EB1784D"/>
    <w:rsid w:val="7ECB618F"/>
    <w:rsid w:val="7EE10F4C"/>
    <w:rsid w:val="7EE66E14"/>
    <w:rsid w:val="7EF56FBB"/>
    <w:rsid w:val="7F042BD6"/>
    <w:rsid w:val="7F0569E9"/>
    <w:rsid w:val="7F0768EB"/>
    <w:rsid w:val="7F143BEC"/>
    <w:rsid w:val="7F1A6A43"/>
    <w:rsid w:val="7F2B6368"/>
    <w:rsid w:val="7F370B6C"/>
    <w:rsid w:val="7F405C73"/>
    <w:rsid w:val="7F4D6BBA"/>
    <w:rsid w:val="7F515A2D"/>
    <w:rsid w:val="7F6F6558"/>
    <w:rsid w:val="7F715AF2"/>
    <w:rsid w:val="7F79F14F"/>
    <w:rsid w:val="7F7A169C"/>
    <w:rsid w:val="7F886E69"/>
    <w:rsid w:val="7F9A1827"/>
    <w:rsid w:val="7F9FFAD8"/>
    <w:rsid w:val="7FAE7D05"/>
    <w:rsid w:val="7FB97D2B"/>
    <w:rsid w:val="7FBD5B5A"/>
    <w:rsid w:val="7FCFFB8D"/>
    <w:rsid w:val="7FDE7D64"/>
    <w:rsid w:val="7FF750A2"/>
    <w:rsid w:val="7FF87E3A"/>
    <w:rsid w:val="7FF8B6B2"/>
    <w:rsid w:val="7FFB5CE1"/>
    <w:rsid w:val="7FFD2605"/>
    <w:rsid w:val="7FFE64CA"/>
    <w:rsid w:val="8FBE7628"/>
    <w:rsid w:val="9C7E50FA"/>
    <w:rsid w:val="ABFF97DC"/>
    <w:rsid w:val="ADCAE25E"/>
    <w:rsid w:val="AFEE935D"/>
    <w:rsid w:val="AFFE5A92"/>
    <w:rsid w:val="B5CD78FB"/>
    <w:rsid w:val="B657CE4B"/>
    <w:rsid w:val="B744AB4E"/>
    <w:rsid w:val="B7FF93B6"/>
    <w:rsid w:val="B95DDBDC"/>
    <w:rsid w:val="BB7FA927"/>
    <w:rsid w:val="BBE7D42D"/>
    <w:rsid w:val="BCFF8253"/>
    <w:rsid w:val="BF7C3AFB"/>
    <w:rsid w:val="BFBFCAD3"/>
    <w:rsid w:val="BFBFE6FC"/>
    <w:rsid w:val="BFF81B8E"/>
    <w:rsid w:val="C3F73D52"/>
    <w:rsid w:val="CF7F4F8F"/>
    <w:rsid w:val="D5EE3350"/>
    <w:rsid w:val="D5FF97C1"/>
    <w:rsid w:val="D6E3904B"/>
    <w:rsid w:val="D77D4720"/>
    <w:rsid w:val="D7BB4593"/>
    <w:rsid w:val="DD53BEFA"/>
    <w:rsid w:val="DDB6D6B8"/>
    <w:rsid w:val="DDD96A43"/>
    <w:rsid w:val="DDFB1A02"/>
    <w:rsid w:val="DF6CA95C"/>
    <w:rsid w:val="DFD6BEB1"/>
    <w:rsid w:val="DFDD637A"/>
    <w:rsid w:val="DFDD9721"/>
    <w:rsid w:val="E6E3E7B0"/>
    <w:rsid w:val="E7AD591A"/>
    <w:rsid w:val="EABFE5BD"/>
    <w:rsid w:val="EB3F7E51"/>
    <w:rsid w:val="EB7FDB5E"/>
    <w:rsid w:val="EBFB63F5"/>
    <w:rsid w:val="EDBF0422"/>
    <w:rsid w:val="EDDF9875"/>
    <w:rsid w:val="EDFFA403"/>
    <w:rsid w:val="F23B75C4"/>
    <w:rsid w:val="F2AAD3C4"/>
    <w:rsid w:val="F2FEBF75"/>
    <w:rsid w:val="F5F08C64"/>
    <w:rsid w:val="F5FC89B2"/>
    <w:rsid w:val="F5FFD31F"/>
    <w:rsid w:val="F77B0ACA"/>
    <w:rsid w:val="F7A568F1"/>
    <w:rsid w:val="F7FC0AAA"/>
    <w:rsid w:val="F7FC9C53"/>
    <w:rsid w:val="F7FCB5F7"/>
    <w:rsid w:val="F7FD610C"/>
    <w:rsid w:val="F9BFCE7B"/>
    <w:rsid w:val="F9CC4370"/>
    <w:rsid w:val="FB2FFB32"/>
    <w:rsid w:val="FB39BAF3"/>
    <w:rsid w:val="FBF984D1"/>
    <w:rsid w:val="FBFBAC02"/>
    <w:rsid w:val="FBFFBA70"/>
    <w:rsid w:val="FDFD6199"/>
    <w:rsid w:val="FDFFE75C"/>
    <w:rsid w:val="FE9F31E1"/>
    <w:rsid w:val="FE9F62DA"/>
    <w:rsid w:val="FEBBB37D"/>
    <w:rsid w:val="FEFFAF8B"/>
    <w:rsid w:val="FF6D6DE6"/>
    <w:rsid w:val="FF7FBC5A"/>
    <w:rsid w:val="FFC7DB09"/>
    <w:rsid w:val="FFD7959A"/>
    <w:rsid w:val="FFF4E63D"/>
    <w:rsid w:val="FFFA74EE"/>
    <w:rsid w:val="FFFB6A24"/>
    <w:rsid w:val="FFFF5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qFormat="1" w:unhideWhenUsed="0" w:uiPriority="0" w:semiHidden="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qFormat="1" w:unhideWhenUsed="0" w:uiPriority="0" w:semiHidden="0" w:name="List Number"/>
    <w:lsdException w:qFormat="1" w:unhideWhenUsed="0" w:uiPriority="0" w:semiHidden="0" w:name="List 2"/>
    <w:lsdException w:qFormat="1" w:uiPriority="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iPriority="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qFormat="1" w:unhideWhenUsed="0" w:uiPriority="0" w:semiHidden="0" w:name="HTML Address"/>
    <w:lsdException w:uiPriority="0" w:name="HTML Cite"/>
    <w:lsdException w:qFormat="1" w:unhideWhenUsed="0" w:uiPriority="0" w:semiHidden="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991"/>
    <w:qFormat/>
    <w:uiPriority w:val="0"/>
    <w:pPr>
      <w:keepNext/>
      <w:keepLines/>
      <w:tabs>
        <w:tab w:val="left" w:pos="432"/>
      </w:tabs>
      <w:spacing w:before="340" w:after="330" w:line="578" w:lineRule="auto"/>
      <w:ind w:left="432" w:hanging="432"/>
      <w:outlineLvl w:val="0"/>
    </w:pPr>
    <w:rPr>
      <w:b/>
      <w:bCs/>
      <w:kern w:val="44"/>
      <w:sz w:val="44"/>
      <w:szCs w:val="44"/>
    </w:rPr>
  </w:style>
  <w:style w:type="paragraph" w:styleId="6">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7">
    <w:name w:val="heading 3"/>
    <w:basedOn w:val="1"/>
    <w:next w:val="1"/>
    <w:qFormat/>
    <w:uiPriority w:val="0"/>
    <w:pPr>
      <w:keepNext/>
      <w:keepLines/>
      <w:tabs>
        <w:tab w:val="left" w:pos="900"/>
      </w:tabs>
      <w:spacing w:before="260" w:after="260" w:line="416" w:lineRule="auto"/>
      <w:ind w:left="900" w:hanging="720"/>
      <w:outlineLvl w:val="2"/>
    </w:pPr>
    <w:rPr>
      <w:b/>
      <w:bCs/>
      <w:sz w:val="32"/>
      <w:szCs w:val="32"/>
    </w:rPr>
  </w:style>
  <w:style w:type="paragraph" w:styleId="8">
    <w:name w:val="heading 4"/>
    <w:basedOn w:val="1"/>
    <w:next w:val="1"/>
    <w:link w:val="328"/>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9">
    <w:name w:val="heading 5"/>
    <w:basedOn w:val="1"/>
    <w:next w:val="1"/>
    <w:link w:val="294"/>
    <w:qFormat/>
    <w:uiPriority w:val="0"/>
    <w:pPr>
      <w:keepNext/>
      <w:keepLines/>
      <w:tabs>
        <w:tab w:val="left" w:pos="1008"/>
      </w:tabs>
      <w:spacing w:before="280" w:after="290" w:line="376" w:lineRule="auto"/>
      <w:ind w:left="1008" w:hanging="1008"/>
      <w:outlineLvl w:val="4"/>
    </w:pPr>
    <w:rPr>
      <w:b/>
      <w:bCs/>
      <w:sz w:val="28"/>
      <w:szCs w:val="28"/>
    </w:rPr>
  </w:style>
  <w:style w:type="paragraph" w:styleId="10">
    <w:name w:val="heading 6"/>
    <w:basedOn w:val="1"/>
    <w:next w:val="1"/>
    <w:link w:val="148"/>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11">
    <w:name w:val="heading 7"/>
    <w:basedOn w:val="1"/>
    <w:next w:val="1"/>
    <w:link w:val="308"/>
    <w:qFormat/>
    <w:uiPriority w:val="0"/>
    <w:pPr>
      <w:keepNext/>
      <w:keepLines/>
      <w:tabs>
        <w:tab w:val="left" w:pos="1296"/>
      </w:tabs>
      <w:spacing w:before="240" w:after="64" w:line="320" w:lineRule="auto"/>
      <w:ind w:left="1296" w:hanging="1296"/>
      <w:outlineLvl w:val="6"/>
    </w:pPr>
    <w:rPr>
      <w:b/>
      <w:bCs/>
      <w:sz w:val="24"/>
    </w:rPr>
  </w:style>
  <w:style w:type="paragraph" w:styleId="12">
    <w:name w:val="heading 8"/>
    <w:basedOn w:val="1"/>
    <w:next w:val="1"/>
    <w:link w:val="359"/>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3">
    <w:name w:val="heading 9"/>
    <w:basedOn w:val="1"/>
    <w:next w:val="1"/>
    <w:link w:val="183"/>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2">
    <w:name w:val="Default Paragraph Font"/>
    <w:semiHidden/>
    <w:unhideWhenUsed/>
    <w:qFormat/>
    <w:uiPriority w:val="1"/>
  </w:style>
  <w:style w:type="table" w:default="1" w:styleId="65">
    <w:name w:val="Normal Table"/>
    <w:semiHidden/>
    <w:unhideWhenUsed/>
    <w:qFormat/>
    <w:uiPriority w:val="99"/>
    <w:tblPr>
      <w:tblCellMar>
        <w:top w:w="0" w:type="dxa"/>
        <w:left w:w="108" w:type="dxa"/>
        <w:bottom w:w="0" w:type="dxa"/>
        <w:right w:w="108" w:type="dxa"/>
      </w:tblCellMar>
    </w:tblPr>
  </w:style>
  <w:style w:type="paragraph" w:customStyle="1" w:styleId="2">
    <w:name w:val="样式  + 首行缩进:  2 字符"/>
    <w:basedOn w:val="3"/>
    <w:qFormat/>
    <w:uiPriority w:val="0"/>
    <w:pPr>
      <w:adjustRightInd/>
      <w:spacing w:before="60" w:after="60" w:line="360" w:lineRule="auto"/>
      <w:ind w:firstLine="200" w:firstLineChars="200"/>
    </w:pPr>
    <w:rPr>
      <w:sz w:val="28"/>
      <w:szCs w:val="20"/>
    </w:rPr>
  </w:style>
  <w:style w:type="paragraph" w:customStyle="1" w:styleId="3">
    <w:name w:val="9"/>
    <w:next w:val="4"/>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styleId="4">
    <w:name w:val="Body Text"/>
    <w:basedOn w:val="1"/>
    <w:link w:val="431"/>
    <w:qFormat/>
    <w:uiPriority w:val="0"/>
    <w:pPr>
      <w:autoSpaceDE w:val="0"/>
      <w:autoSpaceDN w:val="0"/>
      <w:spacing w:line="360" w:lineRule="auto"/>
    </w:pPr>
    <w:rPr>
      <w:rFonts w:ascii="宋体" w:hAnsi="Arial" w:cs="Arial"/>
      <w:snapToGrid w:val="0"/>
      <w:sz w:val="24"/>
      <w:szCs w:val="21"/>
      <w:lang w:val="zh-CN"/>
    </w:rPr>
  </w:style>
  <w:style w:type="paragraph" w:styleId="14">
    <w:name w:val="List 3"/>
    <w:basedOn w:val="1"/>
    <w:semiHidden/>
    <w:unhideWhenUsed/>
    <w:qFormat/>
    <w:uiPriority w:val="0"/>
    <w:pPr>
      <w:ind w:left="100" w:leftChars="400" w:hanging="200" w:hangingChars="200"/>
      <w:contextualSpacing/>
    </w:pPr>
  </w:style>
  <w:style w:type="paragraph" w:styleId="15">
    <w:name w:val="toc 7"/>
    <w:basedOn w:val="1"/>
    <w:next w:val="1"/>
    <w:qFormat/>
    <w:uiPriority w:val="0"/>
    <w:pPr>
      <w:ind w:left="2520" w:leftChars="1200"/>
    </w:pPr>
  </w:style>
  <w:style w:type="paragraph" w:styleId="16">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7">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8">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9">
    <w:name w:val="Normal Indent"/>
    <w:basedOn w:val="1"/>
    <w:next w:val="20"/>
    <w:link w:val="194"/>
    <w:qFormat/>
    <w:uiPriority w:val="0"/>
    <w:pPr>
      <w:widowControl/>
      <w:snapToGrid w:val="0"/>
      <w:spacing w:line="480" w:lineRule="exact"/>
      <w:ind w:firstLine="567"/>
    </w:pPr>
    <w:rPr>
      <w:rFonts w:ascii="宋体"/>
      <w:snapToGrid w:val="0"/>
      <w:color w:val="000000"/>
      <w:kern w:val="28"/>
      <w:sz w:val="28"/>
      <w:szCs w:val="20"/>
    </w:rPr>
  </w:style>
  <w:style w:type="paragraph" w:styleId="20">
    <w:name w:val="Body Text Indent"/>
    <w:basedOn w:val="1"/>
    <w:next w:val="1"/>
    <w:link w:val="266"/>
    <w:qFormat/>
    <w:uiPriority w:val="99"/>
    <w:pPr>
      <w:spacing w:line="480" w:lineRule="exact"/>
      <w:ind w:firstLine="480" w:firstLineChars="200"/>
    </w:pPr>
    <w:rPr>
      <w:rFonts w:ascii="宋体" w:hAnsi="宋体"/>
      <w:sz w:val="24"/>
    </w:rPr>
  </w:style>
  <w:style w:type="paragraph" w:styleId="21">
    <w:name w:val="caption"/>
    <w:basedOn w:val="1"/>
    <w:next w:val="1"/>
    <w:link w:val="230"/>
    <w:qFormat/>
    <w:uiPriority w:val="0"/>
    <w:rPr>
      <w:b/>
      <w:sz w:val="28"/>
      <w:szCs w:val="20"/>
    </w:rPr>
  </w:style>
  <w:style w:type="paragraph" w:styleId="22">
    <w:name w:val="index 5"/>
    <w:basedOn w:val="1"/>
    <w:next w:val="1"/>
    <w:qFormat/>
    <w:uiPriority w:val="0"/>
    <w:pPr>
      <w:adjustRightInd/>
      <w:ind w:left="800" w:leftChars="800" w:firstLine="200" w:firstLineChars="200"/>
    </w:pPr>
  </w:style>
  <w:style w:type="paragraph" w:styleId="23">
    <w:name w:val="Document Map"/>
    <w:basedOn w:val="1"/>
    <w:link w:val="203"/>
    <w:qFormat/>
    <w:uiPriority w:val="0"/>
    <w:pPr>
      <w:shd w:val="clear" w:color="auto" w:fill="000080"/>
    </w:pPr>
  </w:style>
  <w:style w:type="paragraph" w:styleId="24">
    <w:name w:val="annotation text"/>
    <w:basedOn w:val="1"/>
    <w:link w:val="345"/>
    <w:qFormat/>
    <w:uiPriority w:val="99"/>
    <w:pPr>
      <w:jc w:val="left"/>
    </w:pPr>
    <w:rPr>
      <w:rFonts w:hint="eastAsia" w:ascii="宋体" w:hAnsi="宋体"/>
      <w:szCs w:val="20"/>
    </w:rPr>
  </w:style>
  <w:style w:type="paragraph" w:styleId="25">
    <w:name w:val="Salutation"/>
    <w:basedOn w:val="1"/>
    <w:next w:val="1"/>
    <w:link w:val="299"/>
    <w:qFormat/>
    <w:uiPriority w:val="0"/>
    <w:rPr>
      <w:rFonts w:ascii="仿宋_GB2312" w:eastAsia="仿宋_GB2312"/>
      <w:sz w:val="28"/>
      <w:szCs w:val="20"/>
    </w:rPr>
  </w:style>
  <w:style w:type="paragraph" w:styleId="26">
    <w:name w:val="Body Text 3"/>
    <w:basedOn w:val="1"/>
    <w:link w:val="331"/>
    <w:qFormat/>
    <w:uiPriority w:val="0"/>
    <w:pPr>
      <w:jc w:val="center"/>
    </w:pPr>
    <w:rPr>
      <w:szCs w:val="20"/>
    </w:rPr>
  </w:style>
  <w:style w:type="paragraph" w:styleId="27">
    <w:name w:val="List Bullet 3"/>
    <w:basedOn w:val="1"/>
    <w:unhideWhenUsed/>
    <w:qFormat/>
    <w:uiPriority w:val="0"/>
    <w:pPr>
      <w:snapToGrid w:val="0"/>
      <w:spacing w:line="360" w:lineRule="auto"/>
      <w:ind w:left="360" w:right="238" w:hanging="360"/>
      <w:contextualSpacing/>
    </w:pPr>
    <w:rPr>
      <w:sz w:val="24"/>
    </w:rPr>
  </w:style>
  <w:style w:type="paragraph" w:styleId="28">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9">
    <w:name w:val="List 2"/>
    <w:basedOn w:val="1"/>
    <w:qFormat/>
    <w:uiPriority w:val="0"/>
    <w:pPr>
      <w:adjustRightInd/>
      <w:spacing w:line="360" w:lineRule="auto"/>
      <w:ind w:left="100" w:leftChars="200" w:hanging="200" w:hangingChars="200"/>
    </w:pPr>
    <w:rPr>
      <w:rFonts w:eastAsia="微软雅黑"/>
    </w:rPr>
  </w:style>
  <w:style w:type="paragraph" w:styleId="30">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31">
    <w:name w:val="List Bullet 2"/>
    <w:basedOn w:val="1"/>
    <w:qFormat/>
    <w:uiPriority w:val="0"/>
    <w:pPr>
      <w:autoSpaceDE w:val="0"/>
      <w:autoSpaceDN w:val="0"/>
      <w:ind w:left="420"/>
      <w:jc w:val="left"/>
    </w:pPr>
    <w:rPr>
      <w:rFonts w:ascii="宋体" w:hAnsi="宋体"/>
      <w:color w:val="000000"/>
      <w:kern w:val="0"/>
      <w:sz w:val="24"/>
      <w:szCs w:val="20"/>
    </w:rPr>
  </w:style>
  <w:style w:type="paragraph" w:styleId="32">
    <w:name w:val="HTML Address"/>
    <w:basedOn w:val="1"/>
    <w:link w:val="220"/>
    <w:qFormat/>
    <w:uiPriority w:val="0"/>
    <w:pPr>
      <w:widowControl/>
      <w:adjustRightInd/>
      <w:ind w:firstLine="200" w:firstLineChars="200"/>
      <w:jc w:val="left"/>
    </w:pPr>
    <w:rPr>
      <w:rFonts w:ascii="宋体" w:hAnsi="宋体"/>
      <w:i/>
      <w:iCs/>
      <w:kern w:val="0"/>
      <w:sz w:val="24"/>
    </w:rPr>
  </w:style>
  <w:style w:type="paragraph" w:styleId="33">
    <w:name w:val="toc 5"/>
    <w:basedOn w:val="1"/>
    <w:next w:val="1"/>
    <w:qFormat/>
    <w:uiPriority w:val="0"/>
    <w:pPr>
      <w:ind w:left="1680" w:leftChars="800"/>
    </w:pPr>
  </w:style>
  <w:style w:type="paragraph" w:styleId="34">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5">
    <w:name w:val="Plain Text"/>
    <w:basedOn w:val="1"/>
    <w:next w:val="1"/>
    <w:link w:val="126"/>
    <w:qFormat/>
    <w:uiPriority w:val="99"/>
    <w:rPr>
      <w:rFonts w:ascii="宋体" w:hAnsi="Courier New" w:cs="Arial"/>
      <w:snapToGrid w:val="0"/>
      <w:szCs w:val="21"/>
    </w:rPr>
  </w:style>
  <w:style w:type="paragraph" w:styleId="36">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7">
    <w:name w:val="toc 8"/>
    <w:basedOn w:val="1"/>
    <w:next w:val="1"/>
    <w:qFormat/>
    <w:uiPriority w:val="0"/>
    <w:pPr>
      <w:ind w:left="2940" w:leftChars="1400"/>
    </w:pPr>
  </w:style>
  <w:style w:type="paragraph" w:styleId="38">
    <w:name w:val="Date"/>
    <w:basedOn w:val="1"/>
    <w:next w:val="1"/>
    <w:link w:val="182"/>
    <w:qFormat/>
    <w:uiPriority w:val="0"/>
    <w:pPr>
      <w:ind w:left="100" w:leftChars="2500"/>
    </w:pPr>
    <w:rPr>
      <w:rFonts w:ascii="宋体"/>
      <w:sz w:val="24"/>
      <w:szCs w:val="21"/>
      <w:lang w:val="zh-CN"/>
    </w:rPr>
  </w:style>
  <w:style w:type="paragraph" w:styleId="39">
    <w:name w:val="Body Text Indent 2"/>
    <w:basedOn w:val="1"/>
    <w:link w:val="309"/>
    <w:qFormat/>
    <w:uiPriority w:val="0"/>
    <w:pPr>
      <w:spacing w:line="360" w:lineRule="auto"/>
      <w:ind w:firstLine="601"/>
      <w:textAlignment w:val="baseline"/>
    </w:pPr>
    <w:rPr>
      <w:rFonts w:ascii="宋体"/>
      <w:kern w:val="0"/>
      <w:sz w:val="28"/>
      <w:szCs w:val="20"/>
    </w:rPr>
  </w:style>
  <w:style w:type="paragraph" w:styleId="40">
    <w:name w:val="endnote text"/>
    <w:basedOn w:val="1"/>
    <w:link w:val="932"/>
    <w:qFormat/>
    <w:uiPriority w:val="0"/>
    <w:rPr>
      <w:lang w:val="zh-CN"/>
    </w:rPr>
  </w:style>
  <w:style w:type="paragraph" w:styleId="41">
    <w:name w:val="Balloon Text"/>
    <w:basedOn w:val="1"/>
    <w:link w:val="189"/>
    <w:qFormat/>
    <w:uiPriority w:val="99"/>
    <w:rPr>
      <w:sz w:val="18"/>
      <w:szCs w:val="18"/>
    </w:rPr>
  </w:style>
  <w:style w:type="paragraph" w:styleId="42">
    <w:name w:val="footer"/>
    <w:basedOn w:val="1"/>
    <w:link w:val="384"/>
    <w:qFormat/>
    <w:uiPriority w:val="99"/>
    <w:pPr>
      <w:tabs>
        <w:tab w:val="center" w:pos="4153"/>
        <w:tab w:val="right" w:pos="8306"/>
      </w:tabs>
      <w:snapToGrid w:val="0"/>
      <w:jc w:val="left"/>
    </w:pPr>
    <w:rPr>
      <w:sz w:val="18"/>
      <w:szCs w:val="18"/>
    </w:rPr>
  </w:style>
  <w:style w:type="paragraph" w:styleId="43">
    <w:name w:val="header"/>
    <w:basedOn w:val="1"/>
    <w:link w:val="393"/>
    <w:qFormat/>
    <w:uiPriority w:val="99"/>
    <w:pPr>
      <w:pBdr>
        <w:bottom w:val="single" w:color="auto" w:sz="6" w:space="1"/>
      </w:pBdr>
      <w:tabs>
        <w:tab w:val="center" w:pos="4153"/>
        <w:tab w:val="right" w:pos="8306"/>
      </w:tabs>
      <w:snapToGrid w:val="0"/>
      <w:jc w:val="center"/>
    </w:pPr>
    <w:rPr>
      <w:sz w:val="18"/>
      <w:szCs w:val="18"/>
    </w:rPr>
  </w:style>
  <w:style w:type="paragraph" w:styleId="44">
    <w:name w:val="Signature"/>
    <w:basedOn w:val="1"/>
    <w:link w:val="346"/>
    <w:qFormat/>
    <w:uiPriority w:val="0"/>
    <w:pPr>
      <w:spacing w:after="600" w:line="312" w:lineRule="atLeast"/>
      <w:jc w:val="center"/>
      <w:textAlignment w:val="baseline"/>
    </w:pPr>
    <w:rPr>
      <w:rFonts w:eastAsia="仿宋_GB2312"/>
      <w:kern w:val="0"/>
      <w:sz w:val="24"/>
      <w:szCs w:val="20"/>
    </w:rPr>
  </w:style>
  <w:style w:type="paragraph" w:styleId="45">
    <w:name w:val="toc 1"/>
    <w:basedOn w:val="1"/>
    <w:next w:val="1"/>
    <w:qFormat/>
    <w:uiPriority w:val="0"/>
  </w:style>
  <w:style w:type="paragraph" w:styleId="46">
    <w:name w:val="toc 4"/>
    <w:basedOn w:val="1"/>
    <w:next w:val="1"/>
    <w:qFormat/>
    <w:uiPriority w:val="0"/>
    <w:pPr>
      <w:ind w:left="1260" w:leftChars="600"/>
    </w:pPr>
  </w:style>
  <w:style w:type="paragraph" w:styleId="47">
    <w:name w:val="index heading"/>
    <w:basedOn w:val="1"/>
    <w:next w:val="48"/>
    <w:qFormat/>
    <w:uiPriority w:val="0"/>
    <w:pPr>
      <w:adjustRightInd/>
      <w:ind w:firstLine="200" w:firstLineChars="200"/>
    </w:pPr>
  </w:style>
  <w:style w:type="paragraph" w:styleId="48">
    <w:name w:val="index 1"/>
    <w:basedOn w:val="1"/>
    <w:next w:val="1"/>
    <w:qFormat/>
    <w:uiPriority w:val="0"/>
    <w:pPr>
      <w:adjustRightInd/>
      <w:spacing w:line="360" w:lineRule="auto"/>
      <w:ind w:firstLine="200" w:firstLineChars="200"/>
      <w:jc w:val="center"/>
    </w:pPr>
    <w:rPr>
      <w:sz w:val="24"/>
      <w:szCs w:val="20"/>
    </w:rPr>
  </w:style>
  <w:style w:type="paragraph" w:styleId="49">
    <w:name w:val="Subtitle"/>
    <w:link w:val="134"/>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50">
    <w:name w:val="List Number 5"/>
    <w:basedOn w:val="1"/>
    <w:qFormat/>
    <w:uiPriority w:val="0"/>
    <w:pPr>
      <w:tabs>
        <w:tab w:val="left" w:pos="902"/>
      </w:tabs>
      <w:adjustRightInd/>
      <w:spacing w:line="400" w:lineRule="exact"/>
      <w:ind w:left="902" w:hanging="420"/>
    </w:pPr>
    <w:rPr>
      <w:sz w:val="24"/>
      <w:szCs w:val="20"/>
    </w:rPr>
  </w:style>
  <w:style w:type="paragraph" w:styleId="51">
    <w:name w:val="List"/>
    <w:basedOn w:val="1"/>
    <w:qFormat/>
    <w:uiPriority w:val="0"/>
    <w:pPr>
      <w:ind w:left="200" w:hanging="200" w:hangingChars="200"/>
    </w:pPr>
  </w:style>
  <w:style w:type="paragraph" w:styleId="52">
    <w:name w:val="footnote text"/>
    <w:basedOn w:val="1"/>
    <w:link w:val="311"/>
    <w:qFormat/>
    <w:uiPriority w:val="0"/>
    <w:pPr>
      <w:adjustRightInd/>
      <w:spacing w:before="60" w:after="60" w:line="300" w:lineRule="exact"/>
    </w:pPr>
    <w:rPr>
      <w:rFonts w:ascii="Calibri"/>
      <w:color w:val="0000FF"/>
      <w:kern w:val="0"/>
    </w:rPr>
  </w:style>
  <w:style w:type="paragraph" w:styleId="53">
    <w:name w:val="toc 6"/>
    <w:basedOn w:val="1"/>
    <w:next w:val="1"/>
    <w:qFormat/>
    <w:uiPriority w:val="0"/>
    <w:pPr>
      <w:ind w:left="2100" w:leftChars="1000"/>
    </w:pPr>
  </w:style>
  <w:style w:type="paragraph" w:styleId="54">
    <w:name w:val="List 5"/>
    <w:basedOn w:val="1"/>
    <w:qFormat/>
    <w:uiPriority w:val="0"/>
    <w:pPr>
      <w:adjustRightInd/>
      <w:ind w:left="100" w:leftChars="800" w:hanging="200" w:hangingChars="200"/>
    </w:pPr>
  </w:style>
  <w:style w:type="paragraph" w:styleId="55">
    <w:name w:val="Body Text Indent 3"/>
    <w:basedOn w:val="1"/>
    <w:link w:val="376"/>
    <w:qFormat/>
    <w:uiPriority w:val="0"/>
    <w:pPr>
      <w:spacing w:line="360" w:lineRule="auto"/>
      <w:ind w:firstLine="420"/>
    </w:pPr>
    <w:rPr>
      <w:sz w:val="24"/>
      <w:szCs w:val="20"/>
    </w:rPr>
  </w:style>
  <w:style w:type="paragraph" w:styleId="56">
    <w:name w:val="toc 2"/>
    <w:basedOn w:val="1"/>
    <w:next w:val="1"/>
    <w:qFormat/>
    <w:uiPriority w:val="0"/>
    <w:pPr>
      <w:ind w:left="420" w:leftChars="200"/>
    </w:pPr>
  </w:style>
  <w:style w:type="paragraph" w:styleId="57">
    <w:name w:val="toc 9"/>
    <w:basedOn w:val="1"/>
    <w:next w:val="1"/>
    <w:qFormat/>
    <w:uiPriority w:val="0"/>
    <w:pPr>
      <w:ind w:left="3360" w:leftChars="1600"/>
    </w:pPr>
  </w:style>
  <w:style w:type="paragraph" w:styleId="58">
    <w:name w:val="Body Text 2"/>
    <w:basedOn w:val="1"/>
    <w:link w:val="303"/>
    <w:qFormat/>
    <w:uiPriority w:val="0"/>
    <w:pPr>
      <w:spacing w:after="120" w:line="480" w:lineRule="auto"/>
    </w:pPr>
  </w:style>
  <w:style w:type="paragraph" w:styleId="59">
    <w:name w:val="HTML Preformatted"/>
    <w:basedOn w:val="1"/>
    <w:link w:val="30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60">
    <w:name w:val="Normal (Web)"/>
    <w:basedOn w:val="1"/>
    <w:qFormat/>
    <w:uiPriority w:val="99"/>
    <w:pPr>
      <w:widowControl/>
      <w:spacing w:before="100" w:beforeAutospacing="1" w:after="100" w:afterAutospacing="1"/>
      <w:jc w:val="left"/>
    </w:pPr>
    <w:rPr>
      <w:rFonts w:ascii="宋体" w:hAnsi="宋体"/>
      <w:kern w:val="0"/>
      <w:sz w:val="24"/>
    </w:rPr>
  </w:style>
  <w:style w:type="paragraph" w:styleId="61">
    <w:name w:val="Title"/>
    <w:basedOn w:val="1"/>
    <w:link w:val="287"/>
    <w:qFormat/>
    <w:uiPriority w:val="10"/>
    <w:pPr>
      <w:widowControl/>
      <w:overflowPunct w:val="0"/>
      <w:autoSpaceDE w:val="0"/>
      <w:autoSpaceDN w:val="0"/>
      <w:jc w:val="center"/>
      <w:textAlignment w:val="baseline"/>
    </w:pPr>
    <w:rPr>
      <w:b/>
      <w:kern w:val="0"/>
      <w:sz w:val="24"/>
      <w:szCs w:val="20"/>
      <w:lang w:val="en-GB"/>
    </w:rPr>
  </w:style>
  <w:style w:type="paragraph" w:styleId="62">
    <w:name w:val="annotation subject"/>
    <w:basedOn w:val="24"/>
    <w:next w:val="24"/>
    <w:link w:val="97"/>
    <w:qFormat/>
    <w:uiPriority w:val="0"/>
    <w:rPr>
      <w:b/>
      <w:bCs/>
    </w:rPr>
  </w:style>
  <w:style w:type="paragraph" w:styleId="63">
    <w:name w:val="Body Text First Indent"/>
    <w:basedOn w:val="4"/>
    <w:next w:val="1"/>
    <w:link w:val="322"/>
    <w:qFormat/>
    <w:uiPriority w:val="0"/>
    <w:pPr>
      <w:ind w:firstLine="420"/>
    </w:pPr>
    <w:rPr>
      <w:rFonts w:hAnsi="Calibri" w:cs="Times New Roman"/>
      <w:snapToGrid/>
      <w:szCs w:val="20"/>
    </w:rPr>
  </w:style>
  <w:style w:type="paragraph" w:styleId="64">
    <w:name w:val="Body Text First Indent 2"/>
    <w:basedOn w:val="20"/>
    <w:next w:val="1"/>
    <w:link w:val="990"/>
    <w:qFormat/>
    <w:uiPriority w:val="0"/>
    <w:pPr>
      <w:adjustRightInd/>
      <w:spacing w:after="120" w:line="240" w:lineRule="auto"/>
      <w:ind w:left="420" w:leftChars="200" w:firstLine="210"/>
    </w:pPr>
    <w:rPr>
      <w:sz w:val="21"/>
    </w:rPr>
  </w:style>
  <w:style w:type="table" w:styleId="66">
    <w:name w:val="Table Grid"/>
    <w:basedOn w:val="6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7">
    <w:name w:val="Table Theme"/>
    <w:basedOn w:val="6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8">
    <w:name w:val="Table Elegant"/>
    <w:basedOn w:val="65"/>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9">
    <w:name w:val="Table Grid 5"/>
    <w:basedOn w:val="65"/>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70">
    <w:name w:val="Table Grid 8"/>
    <w:basedOn w:val="65"/>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71">
    <w:name w:val="Table Professional"/>
    <w:basedOn w:val="65"/>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3">
    <w:name w:val="Strong"/>
    <w:qFormat/>
    <w:uiPriority w:val="22"/>
    <w:rPr>
      <w:b/>
      <w:bCs/>
    </w:rPr>
  </w:style>
  <w:style w:type="character" w:styleId="74">
    <w:name w:val="endnote reference"/>
    <w:qFormat/>
    <w:uiPriority w:val="0"/>
    <w:rPr>
      <w:vertAlign w:val="superscript"/>
    </w:rPr>
  </w:style>
  <w:style w:type="character" w:styleId="75">
    <w:name w:val="page number"/>
    <w:basedOn w:val="72"/>
    <w:qFormat/>
    <w:uiPriority w:val="0"/>
    <w:rPr>
      <w:rFonts w:ascii="Arial" w:hAnsi="Arial" w:eastAsia="黑体" w:cs="Arial"/>
      <w:snapToGrid w:val="0"/>
      <w:kern w:val="0"/>
      <w:szCs w:val="21"/>
    </w:rPr>
  </w:style>
  <w:style w:type="character" w:styleId="76">
    <w:name w:val="FollowedHyperlink"/>
    <w:qFormat/>
    <w:uiPriority w:val="99"/>
    <w:rPr>
      <w:rFonts w:ascii="Arial" w:hAnsi="Arial" w:eastAsia="黑体" w:cs="Arial"/>
      <w:snapToGrid w:val="0"/>
      <w:color w:val="000000"/>
      <w:kern w:val="0"/>
      <w:sz w:val="18"/>
      <w:szCs w:val="18"/>
      <w:u w:val="none"/>
    </w:rPr>
  </w:style>
  <w:style w:type="character" w:styleId="77">
    <w:name w:val="Emphasis"/>
    <w:qFormat/>
    <w:uiPriority w:val="20"/>
    <w:rPr>
      <w:color w:val="CC0033"/>
    </w:rPr>
  </w:style>
  <w:style w:type="character" w:styleId="78">
    <w:name w:val="line number"/>
    <w:basedOn w:val="72"/>
    <w:qFormat/>
    <w:uiPriority w:val="0"/>
    <w:rPr>
      <w:rFonts w:ascii="Arial" w:hAnsi="Arial" w:eastAsia="黑体" w:cs="Arial"/>
      <w:snapToGrid w:val="0"/>
      <w:kern w:val="0"/>
      <w:szCs w:val="21"/>
    </w:rPr>
  </w:style>
  <w:style w:type="character" w:styleId="79">
    <w:name w:val="Hyperlink"/>
    <w:qFormat/>
    <w:uiPriority w:val="99"/>
    <w:rPr>
      <w:rFonts w:ascii="Arial" w:hAnsi="Arial" w:eastAsia="黑体" w:cs="Arial"/>
      <w:snapToGrid w:val="0"/>
      <w:color w:val="000000"/>
      <w:kern w:val="0"/>
      <w:sz w:val="18"/>
      <w:szCs w:val="18"/>
      <w:u w:val="none"/>
    </w:rPr>
  </w:style>
  <w:style w:type="character" w:styleId="80">
    <w:name w:val="HTML Code"/>
    <w:qFormat/>
    <w:uiPriority w:val="0"/>
    <w:rPr>
      <w:rFonts w:ascii="黑体" w:hAnsi="Courier New" w:eastAsia="黑体" w:cs="楷体_GB2312"/>
      <w:sz w:val="20"/>
      <w:szCs w:val="20"/>
    </w:rPr>
  </w:style>
  <w:style w:type="character" w:styleId="81">
    <w:name w:val="annotation reference"/>
    <w:qFormat/>
    <w:uiPriority w:val="99"/>
    <w:rPr>
      <w:sz w:val="21"/>
      <w:szCs w:val="21"/>
    </w:rPr>
  </w:style>
  <w:style w:type="paragraph" w:customStyle="1" w:styleId="82">
    <w:name w:val="xl53"/>
    <w:basedOn w:val="1"/>
    <w:next w:val="1"/>
    <w:qFormat/>
    <w:uiPriority w:val="0"/>
    <w:pPr>
      <w:spacing w:before="280" w:after="280" w:line="100" w:lineRule="exact"/>
      <w:jc w:val="center"/>
    </w:pPr>
    <w:rPr>
      <w:rFonts w:ascii="宋体"/>
      <w:b/>
      <w:sz w:val="20"/>
    </w:rPr>
  </w:style>
  <w:style w:type="character" w:customStyle="1" w:styleId="83">
    <w:name w:val="表格非标题文字 Char"/>
    <w:link w:val="84"/>
    <w:qFormat/>
    <w:uiPriority w:val="0"/>
    <w:rPr>
      <w:rFonts w:ascii="Futura Bk" w:hAnsi="Futura Bk"/>
      <w:kern w:val="2"/>
      <w:sz w:val="18"/>
      <w:szCs w:val="21"/>
      <w:lang w:val="en-US" w:eastAsia="zh-CN" w:bidi="ar-SA"/>
    </w:rPr>
  </w:style>
  <w:style w:type="paragraph" w:customStyle="1" w:styleId="84">
    <w:name w:val="表格非标题文字"/>
    <w:link w:val="83"/>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5">
    <w:name w:val="*正文 Char"/>
    <w:link w:val="86"/>
    <w:qFormat/>
    <w:locked/>
    <w:uiPriority w:val="0"/>
    <w:rPr>
      <w:rFonts w:ascii="宋体" w:hAnsi="宋体"/>
      <w:sz w:val="24"/>
    </w:rPr>
  </w:style>
  <w:style w:type="paragraph" w:customStyle="1" w:styleId="86">
    <w:name w:val="*正文"/>
    <w:basedOn w:val="1"/>
    <w:link w:val="85"/>
    <w:qFormat/>
    <w:uiPriority w:val="0"/>
    <w:pPr>
      <w:snapToGrid w:val="0"/>
      <w:spacing w:line="360" w:lineRule="auto"/>
      <w:ind w:firstLine="482"/>
      <w:jc w:val="left"/>
    </w:pPr>
    <w:rPr>
      <w:rFonts w:ascii="宋体" w:hAnsi="宋体"/>
      <w:kern w:val="0"/>
      <w:sz w:val="24"/>
      <w:szCs w:val="20"/>
    </w:rPr>
  </w:style>
  <w:style w:type="character" w:customStyle="1" w:styleId="87">
    <w:name w:val="Char Char71"/>
    <w:semiHidden/>
    <w:qFormat/>
    <w:uiPriority w:val="0"/>
    <w:rPr>
      <w:rFonts w:eastAsia="宋体"/>
      <w:kern w:val="2"/>
      <w:sz w:val="21"/>
      <w:szCs w:val="24"/>
      <w:lang w:val="en-US" w:eastAsia="zh-CN" w:bidi="ar-SA"/>
    </w:rPr>
  </w:style>
  <w:style w:type="character" w:customStyle="1" w:styleId="88">
    <w:name w:val="Char Char6"/>
    <w:qFormat/>
    <w:uiPriority w:val="0"/>
    <w:rPr>
      <w:rFonts w:eastAsia="宋体"/>
      <w:kern w:val="2"/>
      <w:sz w:val="21"/>
      <w:szCs w:val="24"/>
      <w:lang w:val="en-US" w:eastAsia="zh-CN" w:bidi="ar-SA"/>
    </w:rPr>
  </w:style>
  <w:style w:type="character" w:customStyle="1" w:styleId="89">
    <w:name w:val="正文缩进 Char"/>
    <w:qFormat/>
    <w:uiPriority w:val="0"/>
    <w:rPr>
      <w:rFonts w:eastAsia="宋体"/>
      <w:kern w:val="2"/>
      <w:sz w:val="21"/>
      <w:lang w:val="en-US" w:eastAsia="zh-CN"/>
    </w:rPr>
  </w:style>
  <w:style w:type="character" w:customStyle="1" w:styleId="90">
    <w:name w:val="正文首行缩进 Char1"/>
    <w:qFormat/>
    <w:uiPriority w:val="0"/>
    <w:rPr>
      <w:rFonts w:ascii="宋体" w:hAnsi="Times New Roman" w:eastAsia="宋体" w:cs="Times New Roman"/>
      <w:snapToGrid w:val="0"/>
      <w:kern w:val="2"/>
      <w:sz w:val="24"/>
      <w:szCs w:val="21"/>
      <w:lang w:val="zh-CN"/>
    </w:rPr>
  </w:style>
  <w:style w:type="character" w:customStyle="1" w:styleId="91">
    <w:name w:val="Char Char28"/>
    <w:qFormat/>
    <w:uiPriority w:val="6"/>
    <w:rPr>
      <w:rFonts w:ascii="仿宋_GB2312" w:hAnsi="仿宋_GB2312" w:eastAsia="仿宋_GB2312"/>
      <w:kern w:val="1"/>
      <w:sz w:val="28"/>
    </w:rPr>
  </w:style>
  <w:style w:type="character" w:customStyle="1" w:styleId="92">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3">
    <w:name w:val="Heading 1 Char"/>
    <w:qFormat/>
    <w:uiPriority w:val="6"/>
    <w:rPr>
      <w:rFonts w:ascii="Times New Roman" w:hAnsi="Times New Roman" w:eastAsia="黑体" w:cs="Times New Roman"/>
      <w:b/>
      <w:kern w:val="0"/>
      <w:sz w:val="24"/>
      <w:szCs w:val="24"/>
    </w:rPr>
  </w:style>
  <w:style w:type="character" w:customStyle="1" w:styleId="94">
    <w:name w:val="U_正文 Char"/>
    <w:link w:val="95"/>
    <w:qFormat/>
    <w:uiPriority w:val="0"/>
    <w:rPr>
      <w:sz w:val="24"/>
      <w:szCs w:val="24"/>
    </w:rPr>
  </w:style>
  <w:style w:type="paragraph" w:customStyle="1" w:styleId="95">
    <w:name w:val="U_正文"/>
    <w:basedOn w:val="1"/>
    <w:link w:val="94"/>
    <w:qFormat/>
    <w:uiPriority w:val="0"/>
    <w:pPr>
      <w:adjustRightInd/>
      <w:spacing w:beforeLines="20" w:afterLines="20" w:line="300" w:lineRule="auto"/>
      <w:ind w:firstLine="200" w:firstLineChars="200"/>
    </w:pPr>
    <w:rPr>
      <w:kern w:val="0"/>
      <w:sz w:val="24"/>
    </w:rPr>
  </w:style>
  <w:style w:type="character" w:customStyle="1" w:styleId="96">
    <w:name w:val="HTML 地址 Char1"/>
    <w:qFormat/>
    <w:uiPriority w:val="0"/>
    <w:rPr>
      <w:rFonts w:ascii="Times New Roman" w:hAnsi="Times New Roman" w:eastAsia="宋体" w:cs="Times New Roman"/>
      <w:i/>
      <w:iCs/>
      <w:szCs w:val="24"/>
    </w:rPr>
  </w:style>
  <w:style w:type="character" w:customStyle="1" w:styleId="97">
    <w:name w:val="批注主题 字符"/>
    <w:link w:val="62"/>
    <w:qFormat/>
    <w:uiPriority w:val="0"/>
    <w:rPr>
      <w:b/>
      <w:bCs/>
      <w:kern w:val="2"/>
      <w:sz w:val="21"/>
      <w:szCs w:val="24"/>
    </w:rPr>
  </w:style>
  <w:style w:type="character" w:customStyle="1" w:styleId="98">
    <w:name w:val="Char Char51"/>
    <w:qFormat/>
    <w:uiPriority w:val="0"/>
    <w:rPr>
      <w:rFonts w:ascii="宋体" w:hAnsi="Courier New" w:eastAsia="宋体"/>
      <w:kern w:val="2"/>
      <w:sz w:val="21"/>
      <w:lang w:val="en-US" w:eastAsia="zh-CN"/>
    </w:rPr>
  </w:style>
  <w:style w:type="character" w:customStyle="1" w:styleId="99">
    <w:name w:val="表正文 Char"/>
    <w:qFormat/>
    <w:uiPriority w:val="0"/>
    <w:rPr>
      <w:rFonts w:ascii="宋体" w:eastAsia="宋体"/>
      <w:snapToGrid w:val="0"/>
      <w:color w:val="000000"/>
      <w:kern w:val="28"/>
      <w:sz w:val="28"/>
      <w:lang w:val="en-US" w:eastAsia="zh-CN" w:bidi="ar-SA"/>
    </w:rPr>
  </w:style>
  <w:style w:type="character" w:customStyle="1" w:styleId="100">
    <w:name w:val="Char Char34"/>
    <w:qFormat/>
    <w:uiPriority w:val="6"/>
    <w:rPr>
      <w:b/>
      <w:kern w:val="1"/>
      <w:sz w:val="28"/>
      <w:szCs w:val="28"/>
    </w:rPr>
  </w:style>
  <w:style w:type="character" w:customStyle="1" w:styleId="101">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2">
    <w:name w:val="哈哈正文 Char"/>
    <w:link w:val="103"/>
    <w:qFormat/>
    <w:uiPriority w:val="0"/>
    <w:rPr>
      <w:rFonts w:ascii="宋体" w:hAnsi="宋体" w:eastAsia="宋体"/>
      <w:kern w:val="2"/>
      <w:sz w:val="24"/>
      <w:lang w:bidi="ar-SA"/>
    </w:rPr>
  </w:style>
  <w:style w:type="paragraph" w:customStyle="1" w:styleId="103">
    <w:name w:val="哈哈正文"/>
    <w:basedOn w:val="1"/>
    <w:link w:val="102"/>
    <w:qFormat/>
    <w:uiPriority w:val="0"/>
    <w:pPr>
      <w:adjustRightInd/>
      <w:spacing w:line="360" w:lineRule="auto"/>
      <w:ind w:firstLine="200" w:firstLineChars="200"/>
    </w:pPr>
    <w:rPr>
      <w:rFonts w:ascii="宋体" w:hAnsi="宋体"/>
      <w:sz w:val="24"/>
      <w:szCs w:val="20"/>
    </w:rPr>
  </w:style>
  <w:style w:type="character" w:customStyle="1" w:styleId="104">
    <w:name w:val="未处理的提及1"/>
    <w:qFormat/>
    <w:uiPriority w:val="0"/>
    <w:rPr>
      <w:color w:val="808080"/>
      <w:shd w:val="clear" w:color="auto" w:fill="E6E6E6"/>
    </w:rPr>
  </w:style>
  <w:style w:type="character" w:customStyle="1" w:styleId="105">
    <w:name w:val="txt"/>
    <w:qFormat/>
    <w:uiPriority w:val="0"/>
    <w:rPr>
      <w:rFonts w:ascii="仿宋_GB2312" w:eastAsia="微软雅黑"/>
      <w:b/>
      <w:kern w:val="2"/>
      <w:sz w:val="32"/>
      <w:szCs w:val="32"/>
      <w:lang w:val="en-US" w:eastAsia="zh-CN" w:bidi="ar-SA"/>
    </w:rPr>
  </w:style>
  <w:style w:type="character" w:customStyle="1" w:styleId="106">
    <w:name w:val="二级标题 Char Char"/>
    <w:qFormat/>
    <w:uiPriority w:val="0"/>
    <w:rPr>
      <w:rFonts w:ascii="宋体" w:hAnsi="宋体" w:eastAsia="宋体"/>
      <w:b/>
      <w:snapToGrid w:val="0"/>
      <w:kern w:val="2"/>
      <w:sz w:val="24"/>
      <w:szCs w:val="24"/>
      <w:lang w:val="en-US" w:eastAsia="zh-CN" w:bidi="ar-SA"/>
    </w:rPr>
  </w:style>
  <w:style w:type="character" w:customStyle="1" w:styleId="107">
    <w:name w:val="Char Char32"/>
    <w:qFormat/>
    <w:uiPriority w:val="6"/>
    <w:rPr>
      <w:b/>
      <w:kern w:val="1"/>
      <w:sz w:val="24"/>
      <w:szCs w:val="24"/>
    </w:rPr>
  </w:style>
  <w:style w:type="character" w:customStyle="1" w:styleId="108">
    <w:name w:val="PI Char1"/>
    <w:qFormat/>
    <w:uiPriority w:val="0"/>
    <w:rPr>
      <w:rFonts w:ascii="宋体" w:hAnsi="宋体"/>
      <w:kern w:val="2"/>
      <w:sz w:val="24"/>
      <w:szCs w:val="24"/>
    </w:rPr>
  </w:style>
  <w:style w:type="character" w:customStyle="1" w:styleId="109">
    <w:name w:val="tw4winTerm"/>
    <w:qFormat/>
    <w:uiPriority w:val="0"/>
    <w:rPr>
      <w:color w:val="0000FF"/>
    </w:rPr>
  </w:style>
  <w:style w:type="character" w:customStyle="1" w:styleId="110">
    <w:name w:val="Footer Char"/>
    <w:qFormat/>
    <w:locked/>
    <w:uiPriority w:val="0"/>
    <w:rPr>
      <w:rFonts w:eastAsia="宋体"/>
      <w:kern w:val="2"/>
      <w:sz w:val="18"/>
      <w:lang w:val="en-US" w:eastAsia="zh-CN" w:bidi="ar-SA"/>
    </w:rPr>
  </w:style>
  <w:style w:type="character" w:customStyle="1" w:styleId="111">
    <w:name w:val="普通文字 Char Char1"/>
    <w:qFormat/>
    <w:uiPriority w:val="0"/>
    <w:rPr>
      <w:rFonts w:ascii="宋体" w:hAnsi="Courier New"/>
      <w:kern w:val="2"/>
      <w:sz w:val="21"/>
    </w:rPr>
  </w:style>
  <w:style w:type="character" w:customStyle="1" w:styleId="112">
    <w:name w:val="Char Char101"/>
    <w:qFormat/>
    <w:uiPriority w:val="6"/>
    <w:rPr>
      <w:rFonts w:ascii="宋体" w:hAnsi="宋体"/>
      <w:kern w:val="2"/>
      <w:sz w:val="21"/>
      <w:szCs w:val="24"/>
      <w:lang w:val="en-US" w:eastAsia="zh-CN"/>
    </w:rPr>
  </w:style>
  <w:style w:type="character" w:customStyle="1" w:styleId="113">
    <w:name w:val="标题 4 Char"/>
    <w:qFormat/>
    <w:uiPriority w:val="0"/>
    <w:rPr>
      <w:rFonts w:ascii="Arial" w:hAnsi="Arial" w:eastAsia="黑体"/>
      <w:b/>
      <w:kern w:val="2"/>
      <w:sz w:val="28"/>
    </w:rPr>
  </w:style>
  <w:style w:type="character" w:customStyle="1" w:styleId="114">
    <w:name w:val="链接"/>
    <w:qFormat/>
    <w:uiPriority w:val="0"/>
    <w:rPr>
      <w:color w:val="0000FF"/>
      <w:sz w:val="21"/>
      <w:szCs w:val="21"/>
      <w:u w:val="single"/>
    </w:rPr>
  </w:style>
  <w:style w:type="character" w:customStyle="1" w:styleId="115">
    <w:name w:val="h4 Char"/>
    <w:qFormat/>
    <w:uiPriority w:val="0"/>
    <w:rPr>
      <w:rFonts w:ascii="Arial" w:hAnsi="Arial" w:eastAsia="黑体"/>
      <w:b/>
      <w:bCs/>
      <w:kern w:val="2"/>
      <w:sz w:val="28"/>
      <w:szCs w:val="28"/>
      <w:lang w:val="zh-CN" w:eastAsia="zh-CN" w:bidi="ar-SA"/>
    </w:rPr>
  </w:style>
  <w:style w:type="character" w:customStyle="1" w:styleId="116">
    <w:name w:val="5正文 Char"/>
    <w:link w:val="117"/>
    <w:qFormat/>
    <w:uiPriority w:val="0"/>
    <w:rPr>
      <w:rFonts w:ascii="仿宋_GB2312" w:hAnsi="微软雅黑" w:eastAsia="仿宋_GB2312"/>
      <w:sz w:val="28"/>
      <w:szCs w:val="21"/>
    </w:rPr>
  </w:style>
  <w:style w:type="paragraph" w:customStyle="1" w:styleId="117">
    <w:name w:val="5正文"/>
    <w:basedOn w:val="1"/>
    <w:link w:val="116"/>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8">
    <w:name w:val="标题 3 字符"/>
    <w:qFormat/>
    <w:uiPriority w:val="9"/>
    <w:rPr>
      <w:b/>
      <w:bCs/>
      <w:kern w:val="2"/>
      <w:sz w:val="32"/>
      <w:szCs w:val="32"/>
    </w:rPr>
  </w:style>
  <w:style w:type="character" w:customStyle="1" w:styleId="119">
    <w:name w:val="样式6 Char"/>
    <w:qFormat/>
    <w:uiPriority w:val="0"/>
    <w:rPr>
      <w:rFonts w:ascii="仿宋_GB2312" w:hAnsi="宋体" w:eastAsia="仿宋_GB2312"/>
      <w:b/>
      <w:bCs/>
      <w:kern w:val="2"/>
      <w:sz w:val="24"/>
      <w:szCs w:val="24"/>
      <w:lang w:val="en-US" w:eastAsia="zh-CN" w:bidi="ar-SA"/>
    </w:rPr>
  </w:style>
  <w:style w:type="character" w:customStyle="1" w:styleId="120">
    <w:name w:val="Char Char14"/>
    <w:qFormat/>
    <w:uiPriority w:val="6"/>
    <w:rPr>
      <w:rFonts w:ascii="黑体" w:hAnsi="黑体" w:eastAsia="黑体"/>
    </w:rPr>
  </w:style>
  <w:style w:type="character" w:customStyle="1" w:styleId="121">
    <w:name w:val="Heading 2 Hidden Char"/>
    <w:qFormat/>
    <w:uiPriority w:val="0"/>
    <w:rPr>
      <w:rFonts w:ascii="仿宋_GB2312" w:eastAsia="仿宋_GB2312"/>
      <w:b/>
      <w:bCs/>
      <w:kern w:val="2"/>
      <w:sz w:val="24"/>
      <w:szCs w:val="24"/>
      <w:lang w:val="zh-CN" w:eastAsia="zh-CN" w:bidi="ar-SA"/>
    </w:rPr>
  </w:style>
  <w:style w:type="character" w:customStyle="1" w:styleId="122">
    <w:name w:val="正文文本首行缩进 2 字符"/>
    <w:qFormat/>
    <w:uiPriority w:val="0"/>
    <w:rPr>
      <w:rFonts w:ascii="宋体" w:hAnsi="宋体"/>
      <w:kern w:val="2"/>
      <w:sz w:val="21"/>
      <w:szCs w:val="24"/>
    </w:rPr>
  </w:style>
  <w:style w:type="character" w:customStyle="1" w:styleId="123">
    <w:name w:val="font11"/>
    <w:basedOn w:val="72"/>
    <w:qFormat/>
    <w:uiPriority w:val="0"/>
    <w:rPr>
      <w:rFonts w:hint="default" w:ascii="Times New Roman" w:hAnsi="Times New Roman" w:cs="Times New Roman"/>
      <w:color w:val="000000"/>
      <w:sz w:val="22"/>
      <w:szCs w:val="22"/>
      <w:u w:val="none"/>
    </w:rPr>
  </w:style>
  <w:style w:type="character" w:customStyle="1" w:styleId="124">
    <w:name w:val="表正文 Char1"/>
    <w:qFormat/>
    <w:uiPriority w:val="0"/>
    <w:rPr>
      <w:rFonts w:ascii="宋体" w:eastAsia="宋体"/>
      <w:snapToGrid w:val="0"/>
      <w:color w:val="000000"/>
      <w:kern w:val="28"/>
      <w:sz w:val="28"/>
    </w:rPr>
  </w:style>
  <w:style w:type="character" w:customStyle="1" w:styleId="125">
    <w:name w:val="blue1"/>
    <w:basedOn w:val="72"/>
    <w:qFormat/>
    <w:uiPriority w:val="0"/>
    <w:rPr>
      <w:rFonts w:ascii="Arial" w:hAnsi="Arial" w:eastAsia="黑体" w:cs="Arial"/>
      <w:snapToGrid w:val="0"/>
      <w:kern w:val="0"/>
      <w:szCs w:val="21"/>
    </w:rPr>
  </w:style>
  <w:style w:type="character" w:customStyle="1" w:styleId="126">
    <w:name w:val="纯文本 字符1"/>
    <w:link w:val="35"/>
    <w:qFormat/>
    <w:uiPriority w:val="0"/>
    <w:rPr>
      <w:rFonts w:ascii="宋体" w:hAnsi="Courier New" w:eastAsia="宋体" w:cs="Arial"/>
      <w:snapToGrid w:val="0"/>
      <w:kern w:val="2"/>
      <w:sz w:val="21"/>
      <w:szCs w:val="21"/>
      <w:lang w:val="en-US" w:eastAsia="zh-CN" w:bidi="ar-SA"/>
    </w:rPr>
  </w:style>
  <w:style w:type="character" w:customStyle="1" w:styleId="127">
    <w:name w:val="标书1 Char"/>
    <w:qFormat/>
    <w:uiPriority w:val="0"/>
    <w:rPr>
      <w:rFonts w:eastAsia="宋体"/>
      <w:b/>
      <w:bCs/>
      <w:kern w:val="44"/>
      <w:sz w:val="44"/>
      <w:szCs w:val="44"/>
      <w:lang w:val="en-US" w:eastAsia="zh-CN" w:bidi="ar-SA"/>
    </w:rPr>
  </w:style>
  <w:style w:type="character" w:customStyle="1" w:styleId="128">
    <w:name w:val="样式5 Char"/>
    <w:qFormat/>
    <w:uiPriority w:val="0"/>
    <w:rPr>
      <w:rFonts w:ascii="仿宋_GB2312" w:hAnsi="仿宋" w:eastAsia="仿宋_GB2312"/>
      <w:kern w:val="2"/>
      <w:sz w:val="24"/>
      <w:szCs w:val="24"/>
    </w:rPr>
  </w:style>
  <w:style w:type="character" w:customStyle="1" w:styleId="129">
    <w:name w:val="样式4 Char"/>
    <w:qFormat/>
    <w:uiPriority w:val="0"/>
    <w:rPr>
      <w:rFonts w:ascii="仿宋_GB2312" w:hAnsi="仿宋" w:eastAsia="仿宋_GB2312"/>
      <w:b/>
      <w:kern w:val="2"/>
      <w:sz w:val="32"/>
      <w:szCs w:val="32"/>
      <w:lang w:bidi="ar-SA"/>
    </w:rPr>
  </w:style>
  <w:style w:type="character" w:customStyle="1" w:styleId="130">
    <w:name w:val="插图说明 Char"/>
    <w:qFormat/>
    <w:uiPriority w:val="0"/>
    <w:rPr>
      <w:rFonts w:eastAsia="黑体"/>
      <w:sz w:val="24"/>
      <w:lang w:val="en-US" w:eastAsia="zh-CN"/>
    </w:rPr>
  </w:style>
  <w:style w:type="character" w:customStyle="1" w:styleId="131">
    <w:name w:val="正文2 Char Char"/>
    <w:link w:val="132"/>
    <w:qFormat/>
    <w:uiPriority w:val="0"/>
    <w:rPr>
      <w:rFonts w:eastAsia="宋体"/>
      <w:kern w:val="2"/>
      <w:sz w:val="24"/>
      <w:lang w:val="en-US" w:eastAsia="zh-CN" w:bidi="ar-SA"/>
    </w:rPr>
  </w:style>
  <w:style w:type="paragraph" w:customStyle="1" w:styleId="132">
    <w:name w:val="正文2"/>
    <w:basedOn w:val="1"/>
    <w:link w:val="131"/>
    <w:qFormat/>
    <w:uiPriority w:val="0"/>
    <w:pPr>
      <w:spacing w:before="156" w:line="360" w:lineRule="auto"/>
      <w:ind w:firstLine="510" w:firstLineChars="200"/>
    </w:pPr>
    <w:rPr>
      <w:sz w:val="24"/>
      <w:szCs w:val="20"/>
    </w:rPr>
  </w:style>
  <w:style w:type="character" w:customStyle="1" w:styleId="133">
    <w:name w:val="Char Char24"/>
    <w:qFormat/>
    <w:uiPriority w:val="6"/>
    <w:rPr>
      <w:kern w:val="1"/>
      <w:sz w:val="21"/>
    </w:rPr>
  </w:style>
  <w:style w:type="character" w:customStyle="1" w:styleId="134">
    <w:name w:val="副标题 字符"/>
    <w:link w:val="49"/>
    <w:qFormat/>
    <w:uiPriority w:val="0"/>
    <w:rPr>
      <w:rFonts w:ascii="Arial" w:hAnsi="Arial" w:eastAsia="隶书"/>
      <w:b/>
      <w:bCs/>
      <w:kern w:val="28"/>
      <w:sz w:val="44"/>
      <w:szCs w:val="32"/>
      <w:lang w:val="en-US" w:eastAsia="zh-CN" w:bidi="ar-SA"/>
    </w:rPr>
  </w:style>
  <w:style w:type="character" w:customStyle="1" w:styleId="135">
    <w:name w:val="普通文字 Char1 Char"/>
    <w:qFormat/>
    <w:uiPriority w:val="0"/>
    <w:rPr>
      <w:rFonts w:ascii="宋体" w:hAnsi="Courier New" w:eastAsia="宋体"/>
      <w:kern w:val="2"/>
      <w:sz w:val="21"/>
      <w:szCs w:val="24"/>
      <w:lang w:val="en-US" w:eastAsia="zh-CN" w:bidi="ar-SA"/>
    </w:rPr>
  </w:style>
  <w:style w:type="character" w:customStyle="1" w:styleId="136">
    <w:name w:val="h3 Char1"/>
    <w:qFormat/>
    <w:uiPriority w:val="0"/>
    <w:rPr>
      <w:rFonts w:eastAsia="宋体"/>
      <w:b/>
      <w:bCs/>
      <w:kern w:val="2"/>
      <w:sz w:val="32"/>
      <w:szCs w:val="32"/>
      <w:lang w:bidi="ar-SA"/>
    </w:rPr>
  </w:style>
  <w:style w:type="character" w:customStyle="1" w:styleId="137">
    <w:name w:val="标题 Char1"/>
    <w:qFormat/>
    <w:uiPriority w:val="0"/>
    <w:rPr>
      <w:rFonts w:ascii="Cambria" w:hAnsi="Cambria" w:eastAsia="宋体" w:cs="Times New Roman"/>
      <w:b/>
      <w:bCs/>
      <w:sz w:val="32"/>
      <w:szCs w:val="32"/>
      <w:lang w:bidi="ar-SA"/>
    </w:rPr>
  </w:style>
  <w:style w:type="character" w:customStyle="1" w:styleId="138">
    <w:name w:val="gf正文1 Char"/>
    <w:qFormat/>
    <w:uiPriority w:val="0"/>
    <w:rPr>
      <w:rFonts w:ascii="宋体" w:hAnsi="宋体" w:eastAsia="宋体" w:cs="宋体"/>
      <w:kern w:val="2"/>
      <w:sz w:val="24"/>
      <w:szCs w:val="24"/>
      <w:lang w:val="en-US" w:eastAsia="zh-CN" w:bidi="ar-SA"/>
    </w:rPr>
  </w:style>
  <w:style w:type="character" w:customStyle="1" w:styleId="139">
    <w:name w:val="正文文本缩进 Char1"/>
    <w:qFormat/>
    <w:uiPriority w:val="0"/>
    <w:rPr>
      <w:rFonts w:ascii="Calibri" w:hAnsi="Calibri"/>
      <w:sz w:val="28"/>
    </w:rPr>
  </w:style>
  <w:style w:type="character" w:customStyle="1" w:styleId="140">
    <w:name w:val="No Spacing Char"/>
    <w:link w:val="141"/>
    <w:qFormat/>
    <w:uiPriority w:val="1"/>
    <w:rPr>
      <w:sz w:val="22"/>
      <w:szCs w:val="22"/>
      <w:lang w:val="en-US" w:eastAsia="zh-CN" w:bidi="ar-SA"/>
    </w:rPr>
  </w:style>
  <w:style w:type="paragraph" w:customStyle="1" w:styleId="141">
    <w:name w:val="无间隔1"/>
    <w:link w:val="140"/>
    <w:qFormat/>
    <w:uiPriority w:val="1"/>
    <w:rPr>
      <w:rFonts w:ascii="Times New Roman" w:hAnsi="Times New Roman" w:eastAsia="宋体" w:cs="Times New Roman"/>
      <w:sz w:val="22"/>
      <w:szCs w:val="22"/>
      <w:lang w:val="en-US" w:eastAsia="zh-CN" w:bidi="ar-SA"/>
    </w:rPr>
  </w:style>
  <w:style w:type="character" w:customStyle="1" w:styleId="142">
    <w:name w:val="样式7 Char"/>
    <w:qFormat/>
    <w:uiPriority w:val="0"/>
    <w:rPr>
      <w:rFonts w:ascii="仿宋_GB2312" w:hAnsi="仿宋" w:eastAsia="仿宋_GB2312"/>
      <w:b/>
      <w:kern w:val="2"/>
      <w:sz w:val="24"/>
      <w:szCs w:val="24"/>
    </w:rPr>
  </w:style>
  <w:style w:type="character" w:customStyle="1" w:styleId="143">
    <w:name w:val="font12gray1"/>
    <w:qFormat/>
    <w:uiPriority w:val="0"/>
    <w:rPr>
      <w:rFonts w:ascii="仿宋_GB2312" w:eastAsia="微软雅黑"/>
      <w:b/>
      <w:spacing w:val="300"/>
      <w:kern w:val="2"/>
      <w:sz w:val="18"/>
      <w:szCs w:val="18"/>
      <w:lang w:val="en-US" w:eastAsia="zh-CN" w:bidi="ar-SA"/>
    </w:rPr>
  </w:style>
  <w:style w:type="character" w:customStyle="1" w:styleId="144">
    <w:name w:val="Char Char7"/>
    <w:semiHidden/>
    <w:qFormat/>
    <w:uiPriority w:val="0"/>
    <w:rPr>
      <w:rFonts w:eastAsia="宋体"/>
      <w:kern w:val="2"/>
      <w:sz w:val="21"/>
      <w:szCs w:val="24"/>
      <w:lang w:val="en-US" w:eastAsia="zh-CN" w:bidi="ar-SA"/>
    </w:rPr>
  </w:style>
  <w:style w:type="character" w:customStyle="1" w:styleId="145">
    <w:name w:val="表名 Char"/>
    <w:qFormat/>
    <w:uiPriority w:val="0"/>
    <w:rPr>
      <w:rFonts w:eastAsia="宋体"/>
      <w:b/>
      <w:bCs/>
      <w:kern w:val="2"/>
      <w:sz w:val="24"/>
      <w:szCs w:val="24"/>
      <w:lang w:val="en-US" w:eastAsia="zh-CN" w:bidi="ar-SA"/>
    </w:rPr>
  </w:style>
  <w:style w:type="character" w:customStyle="1" w:styleId="146">
    <w:name w:val="Document Map Char"/>
    <w:qFormat/>
    <w:locked/>
    <w:uiPriority w:val="0"/>
    <w:rPr>
      <w:rFonts w:eastAsia="宋体"/>
      <w:kern w:val="2"/>
      <w:sz w:val="21"/>
      <w:szCs w:val="24"/>
      <w:lang w:val="en-US" w:eastAsia="zh-CN" w:bidi="ar-SA"/>
    </w:rPr>
  </w:style>
  <w:style w:type="character" w:customStyle="1" w:styleId="147">
    <w:name w:val="font41"/>
    <w:qFormat/>
    <w:uiPriority w:val="0"/>
    <w:rPr>
      <w:rFonts w:hint="eastAsia" w:ascii="仿宋_GB2312" w:eastAsia="仿宋_GB2312" w:cs="仿宋_GB2312"/>
      <w:color w:val="000000"/>
      <w:sz w:val="22"/>
      <w:szCs w:val="22"/>
      <w:u w:val="none"/>
    </w:rPr>
  </w:style>
  <w:style w:type="character" w:customStyle="1" w:styleId="148">
    <w:name w:val="标题 6 字符"/>
    <w:link w:val="10"/>
    <w:qFormat/>
    <w:uiPriority w:val="0"/>
    <w:rPr>
      <w:rFonts w:ascii="Arial" w:hAnsi="Arial" w:eastAsia="黑体"/>
      <w:b/>
      <w:bCs/>
      <w:kern w:val="2"/>
      <w:sz w:val="24"/>
      <w:szCs w:val="24"/>
    </w:rPr>
  </w:style>
  <w:style w:type="character" w:customStyle="1" w:styleId="149">
    <w:name w:val="纯文本 Char_0"/>
    <w:link w:val="150"/>
    <w:qFormat/>
    <w:uiPriority w:val="0"/>
    <w:rPr>
      <w:rFonts w:ascii="宋体" w:hAnsi="Courier New"/>
      <w:kern w:val="2"/>
      <w:sz w:val="21"/>
      <w:szCs w:val="21"/>
      <w:lang w:val="en-US" w:eastAsia="zh-CN"/>
    </w:rPr>
  </w:style>
  <w:style w:type="paragraph" w:customStyle="1" w:styleId="150">
    <w:name w:val="纯文本_0_0"/>
    <w:basedOn w:val="151"/>
    <w:link w:val="149"/>
    <w:qFormat/>
    <w:uiPriority w:val="0"/>
    <w:rPr>
      <w:rFonts w:ascii="宋体" w:hAnsi="Courier New"/>
      <w:szCs w:val="21"/>
    </w:rPr>
  </w:style>
  <w:style w:type="paragraph" w:customStyle="1" w:styleId="151">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2">
    <w:name w:val="Balloon Text Char"/>
    <w:qFormat/>
    <w:locked/>
    <w:uiPriority w:val="0"/>
    <w:rPr>
      <w:rFonts w:eastAsia="宋体"/>
      <w:kern w:val="2"/>
      <w:sz w:val="18"/>
      <w:szCs w:val="18"/>
      <w:lang w:val="en-US" w:eastAsia="zh-CN" w:bidi="ar-SA"/>
    </w:rPr>
  </w:style>
  <w:style w:type="character" w:customStyle="1" w:styleId="153">
    <w:name w:val="正文 项目2 Char"/>
    <w:basedOn w:val="154"/>
    <w:qFormat/>
    <w:uiPriority w:val="0"/>
    <w:rPr>
      <w:rFonts w:ascii="仿宋_GB2312" w:hAnsi="仿宋_GB2312" w:eastAsia="仿宋_GB2312"/>
      <w:kern w:val="2"/>
      <w:sz w:val="24"/>
      <w:lang w:bidi="ar-SA"/>
    </w:rPr>
  </w:style>
  <w:style w:type="character" w:customStyle="1" w:styleId="154">
    <w:name w:val="正文 项目 Char"/>
    <w:qFormat/>
    <w:uiPriority w:val="0"/>
    <w:rPr>
      <w:rFonts w:ascii="仿宋_GB2312" w:hAnsi="仿宋_GB2312" w:eastAsia="仿宋_GB2312"/>
      <w:kern w:val="2"/>
      <w:sz w:val="24"/>
      <w:lang w:bidi="ar-SA"/>
    </w:rPr>
  </w:style>
  <w:style w:type="character" w:customStyle="1" w:styleId="155">
    <w:name w:val="h Char Char1"/>
    <w:qFormat/>
    <w:uiPriority w:val="0"/>
    <w:rPr>
      <w:rFonts w:eastAsia="宋体"/>
      <w:kern w:val="2"/>
      <w:sz w:val="18"/>
      <w:szCs w:val="18"/>
      <w:lang w:val="en-US" w:eastAsia="zh-CN" w:bidi="ar-SA"/>
    </w:rPr>
  </w:style>
  <w:style w:type="character" w:customStyle="1" w:styleId="156">
    <w:name w:val="Char Char27"/>
    <w:qFormat/>
    <w:uiPriority w:val="6"/>
    <w:rPr>
      <w:rFonts w:ascii="宋体" w:hAnsi="宋体" w:eastAsia="宋体"/>
      <w:color w:val="000000"/>
      <w:kern w:val="1"/>
      <w:sz w:val="28"/>
      <w:lang w:val="en-US" w:eastAsia="zh-CN" w:bidi="ar-SA"/>
    </w:rPr>
  </w:style>
  <w:style w:type="character" w:customStyle="1" w:styleId="157">
    <w:name w:val="px14"/>
    <w:qFormat/>
    <w:uiPriority w:val="0"/>
    <w:rPr>
      <w:rFonts w:ascii="仿宋_GB2312" w:eastAsia="微软雅黑" w:cs="Times New Roman"/>
      <w:b/>
      <w:kern w:val="2"/>
      <w:sz w:val="32"/>
      <w:szCs w:val="32"/>
      <w:lang w:val="en-US" w:eastAsia="zh-CN" w:bidi="ar-SA"/>
    </w:rPr>
  </w:style>
  <w:style w:type="character" w:customStyle="1" w:styleId="158">
    <w:name w:val="HTML 预设格式 Char1"/>
    <w:qFormat/>
    <w:uiPriority w:val="0"/>
    <w:rPr>
      <w:rFonts w:ascii="Courier New" w:hAnsi="Courier New" w:eastAsia="宋体" w:cs="Courier New"/>
      <w:sz w:val="20"/>
      <w:szCs w:val="20"/>
    </w:rPr>
  </w:style>
  <w:style w:type="character" w:customStyle="1" w:styleId="159">
    <w:name w:val="普通文字 Char1"/>
    <w:qFormat/>
    <w:uiPriority w:val="0"/>
    <w:rPr>
      <w:rFonts w:ascii="宋体" w:hAnsi="Courier New" w:eastAsia="宋体"/>
      <w:kern w:val="2"/>
      <w:sz w:val="21"/>
      <w:lang w:val="en-US" w:eastAsia="zh-CN"/>
    </w:rPr>
  </w:style>
  <w:style w:type="character" w:customStyle="1" w:styleId="160">
    <w:name w:val="hei16b1"/>
    <w:qFormat/>
    <w:uiPriority w:val="0"/>
    <w:rPr>
      <w:rFonts w:hint="default" w:ascii="Arial" w:hAnsi="Arial" w:cs="Arial"/>
      <w:b/>
      <w:bCs/>
      <w:color w:val="000000"/>
      <w:sz w:val="24"/>
      <w:szCs w:val="24"/>
    </w:rPr>
  </w:style>
  <w:style w:type="character" w:customStyle="1" w:styleId="161">
    <w:name w:val="正文（绿盟科技） Char"/>
    <w:link w:val="162"/>
    <w:qFormat/>
    <w:uiPriority w:val="0"/>
    <w:rPr>
      <w:rFonts w:ascii="Arial" w:hAnsi="Arial"/>
      <w:sz w:val="21"/>
      <w:szCs w:val="21"/>
    </w:rPr>
  </w:style>
  <w:style w:type="paragraph" w:customStyle="1" w:styleId="162">
    <w:name w:val="正文（绿盟科技）"/>
    <w:link w:val="161"/>
    <w:qFormat/>
    <w:uiPriority w:val="0"/>
    <w:pPr>
      <w:spacing w:line="300" w:lineRule="auto"/>
    </w:pPr>
    <w:rPr>
      <w:rFonts w:ascii="Arial" w:hAnsi="Arial" w:eastAsia="宋体" w:cs="Times New Roman"/>
      <w:sz w:val="21"/>
      <w:szCs w:val="21"/>
      <w:lang w:val="en-US" w:eastAsia="zh-CN" w:bidi="ar-SA"/>
    </w:rPr>
  </w:style>
  <w:style w:type="character" w:customStyle="1" w:styleId="163">
    <w:name w:val="Char Char19"/>
    <w:qFormat/>
    <w:uiPriority w:val="6"/>
    <w:rPr>
      <w:rFonts w:ascii="宋体" w:hAnsi="宋体"/>
      <w:i/>
      <w:sz w:val="24"/>
      <w:szCs w:val="24"/>
    </w:rPr>
  </w:style>
  <w:style w:type="character" w:customStyle="1" w:styleId="164">
    <w:name w:val="页脚 Char"/>
    <w:qFormat/>
    <w:uiPriority w:val="0"/>
    <w:rPr>
      <w:rFonts w:eastAsia="仿宋_GB2312"/>
      <w:kern w:val="2"/>
      <w:sz w:val="18"/>
      <w:lang w:val="en-US" w:eastAsia="zh-CN"/>
    </w:rPr>
  </w:style>
  <w:style w:type="character" w:customStyle="1" w:styleId="165">
    <w:name w:val="批注主题 Char"/>
    <w:qFormat/>
    <w:uiPriority w:val="0"/>
    <w:rPr>
      <w:rFonts w:eastAsia="宋体"/>
      <w:b/>
      <w:bCs/>
      <w:kern w:val="2"/>
      <w:sz w:val="21"/>
      <w:szCs w:val="24"/>
      <w:lang w:val="en-US" w:eastAsia="zh-CN" w:bidi="ar-SA"/>
    </w:rPr>
  </w:style>
  <w:style w:type="character" w:customStyle="1" w:styleId="166">
    <w:name w:val="Comment Text Char"/>
    <w:qFormat/>
    <w:locked/>
    <w:uiPriority w:val="0"/>
    <w:rPr>
      <w:rFonts w:ascii="宋体" w:hAnsi="宋体" w:eastAsia="宋体"/>
      <w:kern w:val="2"/>
      <w:sz w:val="24"/>
      <w:lang w:val="en-US" w:eastAsia="zh-CN" w:bidi="ar-SA"/>
    </w:rPr>
  </w:style>
  <w:style w:type="character" w:customStyle="1" w:styleId="167">
    <w:name w:val="标题 2 字符"/>
    <w:qFormat/>
    <w:uiPriority w:val="1"/>
    <w:rPr>
      <w:rFonts w:ascii="仿宋_GB2312" w:hAnsi="Times New Roman" w:eastAsia="仿宋_GB2312" w:cs="Times New Roman"/>
      <w:b/>
      <w:kern w:val="2"/>
      <w:sz w:val="24"/>
      <w:lang w:val="zh-CN"/>
    </w:rPr>
  </w:style>
  <w:style w:type="character" w:customStyle="1" w:styleId="168">
    <w:name w:val="Char Char72"/>
    <w:qFormat/>
    <w:uiPriority w:val="0"/>
    <w:rPr>
      <w:rFonts w:eastAsia="宋体"/>
      <w:kern w:val="2"/>
      <w:sz w:val="21"/>
      <w:szCs w:val="24"/>
      <w:lang w:val="en-US" w:eastAsia="zh-CN" w:bidi="ar-SA"/>
    </w:rPr>
  </w:style>
  <w:style w:type="character" w:customStyle="1" w:styleId="169">
    <w:name w:val="正文文本缩进 Char2"/>
    <w:qFormat/>
    <w:uiPriority w:val="0"/>
    <w:rPr>
      <w:rFonts w:ascii="Times New Roman" w:hAnsi="Times New Roman" w:eastAsia="宋体" w:cs="Times New Roman"/>
      <w:snapToGrid w:val="0"/>
      <w:kern w:val="0"/>
      <w:szCs w:val="24"/>
    </w:rPr>
  </w:style>
  <w:style w:type="character" w:customStyle="1" w:styleId="170">
    <w:name w:val="样式2 Char"/>
    <w:qFormat/>
    <w:uiPriority w:val="0"/>
    <w:rPr>
      <w:rFonts w:ascii="仿宋_GB2312" w:hAnsi="仿宋" w:eastAsia="仿宋_GB2312" w:cs="仿宋_GB2312"/>
      <w:b/>
      <w:bCs/>
      <w:sz w:val="32"/>
      <w:szCs w:val="30"/>
      <w:lang w:val="zh-CN"/>
    </w:rPr>
  </w:style>
  <w:style w:type="character" w:customStyle="1" w:styleId="171">
    <w:name w:val="表格名称[858D7CFB-ED40-4347-BF05-701D383B685F]"/>
    <w:link w:val="172"/>
    <w:qFormat/>
    <w:uiPriority w:val="0"/>
    <w:rPr>
      <w:sz w:val="32"/>
    </w:rPr>
  </w:style>
  <w:style w:type="paragraph" w:customStyle="1" w:styleId="172">
    <w:name w:val="表格名称"/>
    <w:basedOn w:val="6"/>
    <w:link w:val="171"/>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3">
    <w:name w:val="Char Char4"/>
    <w:qFormat/>
    <w:uiPriority w:val="0"/>
    <w:rPr>
      <w:rFonts w:eastAsia="宋体"/>
      <w:b/>
      <w:sz w:val="24"/>
      <w:lang w:val="en-GB" w:eastAsia="zh-CN" w:bidi="ar-SA"/>
    </w:rPr>
  </w:style>
  <w:style w:type="character" w:customStyle="1" w:styleId="174">
    <w:name w:val="c7 style3"/>
    <w:qFormat/>
    <w:uiPriority w:val="0"/>
  </w:style>
  <w:style w:type="character" w:customStyle="1" w:styleId="175">
    <w:name w:val="正文文本 3 Char1"/>
    <w:semiHidden/>
    <w:qFormat/>
    <w:uiPriority w:val="99"/>
    <w:rPr>
      <w:rFonts w:ascii="Times New Roman" w:hAnsi="Times New Roman" w:eastAsia="宋体" w:cs="Times New Roman"/>
      <w:sz w:val="16"/>
      <w:szCs w:val="16"/>
    </w:rPr>
  </w:style>
  <w:style w:type="character" w:customStyle="1" w:styleId="176">
    <w:name w:val="tw4winInternal"/>
    <w:qFormat/>
    <w:uiPriority w:val="0"/>
    <w:rPr>
      <w:rFonts w:ascii="Courier New" w:hAnsi="Courier New" w:cs="Courier New"/>
      <w:color w:val="FF0000"/>
      <w:lang w:val="en-US" w:eastAsia="zh-CN"/>
    </w:rPr>
  </w:style>
  <w:style w:type="character" w:customStyle="1" w:styleId="177">
    <w:name w:val="Char Char10"/>
    <w:semiHidden/>
    <w:qFormat/>
    <w:uiPriority w:val="0"/>
    <w:rPr>
      <w:rFonts w:ascii="宋体" w:hAnsi="宋体"/>
      <w:kern w:val="2"/>
      <w:sz w:val="21"/>
      <w:szCs w:val="24"/>
      <w:lang w:val="en-US" w:eastAsia="zh-CN"/>
    </w:rPr>
  </w:style>
  <w:style w:type="character" w:customStyle="1" w:styleId="178">
    <w:name w:val="shadow11"/>
    <w:qFormat/>
    <w:uiPriority w:val="0"/>
    <w:rPr>
      <w:color w:val="000000"/>
      <w:sz w:val="21"/>
    </w:rPr>
  </w:style>
  <w:style w:type="character" w:customStyle="1" w:styleId="179">
    <w:name w:val="正文非缩进 Char3"/>
    <w:qFormat/>
    <w:uiPriority w:val="0"/>
    <w:rPr>
      <w:rFonts w:ascii="宋体" w:eastAsia="宋体"/>
      <w:snapToGrid w:val="0"/>
      <w:color w:val="000000"/>
      <w:kern w:val="28"/>
      <w:sz w:val="28"/>
      <w:lang w:val="en-US" w:eastAsia="zh-CN" w:bidi="ar-SA"/>
    </w:rPr>
  </w:style>
  <w:style w:type="character" w:customStyle="1" w:styleId="180">
    <w:name w:val="Char Char"/>
    <w:qFormat/>
    <w:uiPriority w:val="0"/>
    <w:rPr>
      <w:rFonts w:ascii="宋体" w:hAnsi="Courier New" w:eastAsia="宋体"/>
      <w:kern w:val="2"/>
      <w:sz w:val="21"/>
      <w:lang w:val="en-US" w:eastAsia="zh-CN" w:bidi="ar-SA"/>
    </w:rPr>
  </w:style>
  <w:style w:type="character" w:customStyle="1" w:styleId="181">
    <w:name w:val="签名 Char1"/>
    <w:qFormat/>
    <w:uiPriority w:val="0"/>
    <w:rPr>
      <w:rFonts w:ascii="Times New Roman" w:hAnsi="Times New Roman" w:eastAsia="宋体" w:cs="Times New Roman"/>
      <w:szCs w:val="24"/>
    </w:rPr>
  </w:style>
  <w:style w:type="character" w:customStyle="1" w:styleId="182">
    <w:name w:val="日期 字符"/>
    <w:link w:val="38"/>
    <w:qFormat/>
    <w:uiPriority w:val="0"/>
    <w:rPr>
      <w:rFonts w:ascii="宋体"/>
      <w:kern w:val="2"/>
      <w:sz w:val="24"/>
      <w:szCs w:val="21"/>
      <w:lang w:val="zh-CN"/>
    </w:rPr>
  </w:style>
  <w:style w:type="character" w:customStyle="1" w:styleId="183">
    <w:name w:val="标题 9 字符"/>
    <w:link w:val="13"/>
    <w:qFormat/>
    <w:uiPriority w:val="0"/>
    <w:rPr>
      <w:rFonts w:ascii="Arial" w:hAnsi="Arial" w:eastAsia="黑体"/>
      <w:kern w:val="2"/>
      <w:sz w:val="21"/>
      <w:szCs w:val="21"/>
    </w:rPr>
  </w:style>
  <w:style w:type="character" w:customStyle="1" w:styleId="184">
    <w:name w:val="Char Char18"/>
    <w:qFormat/>
    <w:uiPriority w:val="6"/>
    <w:rPr>
      <w:rFonts w:ascii="宋体" w:hAnsi="宋体"/>
      <w:sz w:val="28"/>
    </w:rPr>
  </w:style>
  <w:style w:type="character" w:customStyle="1" w:styleId="185">
    <w:name w:val="批注文字 Char"/>
    <w:qFormat/>
    <w:uiPriority w:val="99"/>
    <w:rPr>
      <w:kern w:val="2"/>
      <w:sz w:val="21"/>
      <w:szCs w:val="24"/>
    </w:rPr>
  </w:style>
  <w:style w:type="character" w:customStyle="1" w:styleId="186">
    <w:name w:val="Char Char22"/>
    <w:qFormat/>
    <w:uiPriority w:val="6"/>
    <w:rPr>
      <w:rFonts w:ascii="宋体" w:hAnsi="宋体"/>
      <w:kern w:val="1"/>
      <w:sz w:val="24"/>
      <w:szCs w:val="24"/>
    </w:rPr>
  </w:style>
  <w:style w:type="character" w:customStyle="1" w:styleId="187">
    <w:name w:val="pt141"/>
    <w:qFormat/>
    <w:uiPriority w:val="0"/>
    <w:rPr>
      <w:color w:val="330066"/>
      <w:sz w:val="22"/>
      <w:szCs w:val="22"/>
    </w:rPr>
  </w:style>
  <w:style w:type="character" w:customStyle="1" w:styleId="188">
    <w:name w:val="正文文本缩进 2 Char1"/>
    <w:semiHidden/>
    <w:qFormat/>
    <w:uiPriority w:val="99"/>
    <w:rPr>
      <w:rFonts w:ascii="Times New Roman" w:hAnsi="Times New Roman" w:eastAsia="宋体" w:cs="Times New Roman"/>
      <w:szCs w:val="24"/>
    </w:rPr>
  </w:style>
  <w:style w:type="character" w:customStyle="1" w:styleId="189">
    <w:name w:val="批注框文本 字符1"/>
    <w:link w:val="41"/>
    <w:qFormat/>
    <w:uiPriority w:val="0"/>
    <w:rPr>
      <w:kern w:val="2"/>
      <w:sz w:val="18"/>
      <w:szCs w:val="18"/>
    </w:rPr>
  </w:style>
  <w:style w:type="character" w:customStyle="1" w:styleId="190">
    <w:name w:val="Char Char611"/>
    <w:qFormat/>
    <w:uiPriority w:val="0"/>
    <w:rPr>
      <w:rFonts w:eastAsia="宋体"/>
      <w:kern w:val="2"/>
      <w:sz w:val="21"/>
      <w:szCs w:val="24"/>
      <w:lang w:val="en-US" w:eastAsia="zh-CN" w:bidi="ar-SA"/>
    </w:rPr>
  </w:style>
  <w:style w:type="character" w:customStyle="1" w:styleId="191">
    <w:name w:val="highlight1"/>
    <w:qFormat/>
    <w:uiPriority w:val="0"/>
    <w:rPr>
      <w:rFonts w:ascii="仿宋_GB2312" w:eastAsia="微软雅黑"/>
      <w:b/>
      <w:kern w:val="2"/>
      <w:sz w:val="23"/>
      <w:szCs w:val="23"/>
      <w:lang w:val="en-US" w:eastAsia="zh-CN" w:bidi="ar-SA"/>
    </w:rPr>
  </w:style>
  <w:style w:type="character" w:customStyle="1" w:styleId="192">
    <w:name w:val="my正文 Char"/>
    <w:link w:val="193"/>
    <w:qFormat/>
    <w:locked/>
    <w:uiPriority w:val="0"/>
    <w:rPr>
      <w:rFonts w:ascii="Tahoma" w:hAnsi="Tahoma"/>
      <w:sz w:val="24"/>
      <w:szCs w:val="24"/>
    </w:rPr>
  </w:style>
  <w:style w:type="paragraph" w:customStyle="1" w:styleId="193">
    <w:name w:val="my正文"/>
    <w:basedOn w:val="1"/>
    <w:link w:val="192"/>
    <w:qFormat/>
    <w:uiPriority w:val="0"/>
    <w:pPr>
      <w:adjustRightInd/>
      <w:spacing w:line="360" w:lineRule="auto"/>
      <w:ind w:firstLine="480" w:firstLineChars="200"/>
    </w:pPr>
    <w:rPr>
      <w:rFonts w:ascii="Tahoma" w:hAnsi="Tahoma"/>
      <w:kern w:val="0"/>
      <w:sz w:val="24"/>
    </w:rPr>
  </w:style>
  <w:style w:type="character" w:customStyle="1" w:styleId="194">
    <w:name w:val="正文缩进 字符2"/>
    <w:link w:val="19"/>
    <w:qFormat/>
    <w:uiPriority w:val="0"/>
    <w:rPr>
      <w:rFonts w:ascii="宋体" w:eastAsia="宋体"/>
      <w:snapToGrid w:val="0"/>
      <w:color w:val="000000"/>
      <w:kern w:val="28"/>
      <w:sz w:val="28"/>
      <w:lang w:val="en-US" w:eastAsia="zh-CN" w:bidi="ar-SA"/>
    </w:rPr>
  </w:style>
  <w:style w:type="character" w:customStyle="1" w:styleId="195">
    <w:name w:val="Used by Word for text of Help footnotes Char Char1"/>
    <w:qFormat/>
    <w:uiPriority w:val="0"/>
    <w:rPr>
      <w:color w:val="0000FF"/>
      <w:sz w:val="21"/>
    </w:rPr>
  </w:style>
  <w:style w:type="character" w:customStyle="1" w:styleId="196">
    <w:name w:val="页眉 Char"/>
    <w:qFormat/>
    <w:uiPriority w:val="0"/>
    <w:rPr>
      <w:rFonts w:eastAsia="仿宋_GB2312"/>
      <w:kern w:val="2"/>
      <w:sz w:val="18"/>
      <w:lang w:val="en-US" w:eastAsia="zh-CN"/>
    </w:rPr>
  </w:style>
  <w:style w:type="character" w:customStyle="1" w:styleId="197">
    <w:name w:val="FA正文 Char Char"/>
    <w:qFormat/>
    <w:uiPriority w:val="0"/>
    <w:rPr>
      <w:rFonts w:hAnsi="宋体"/>
      <w:kern w:val="2"/>
      <w:sz w:val="24"/>
      <w:lang w:bidi="ar-SA"/>
    </w:rPr>
  </w:style>
  <w:style w:type="character" w:customStyle="1" w:styleId="198">
    <w:name w:val="纯文本 字符"/>
    <w:qFormat/>
    <w:uiPriority w:val="99"/>
    <w:rPr>
      <w:rFonts w:ascii="宋体" w:hAnsi="Courier New" w:eastAsia="宋体" w:cs="Arial"/>
      <w:snapToGrid w:val="0"/>
      <w:kern w:val="2"/>
      <w:sz w:val="21"/>
      <w:szCs w:val="21"/>
      <w:lang w:val="en-US" w:eastAsia="zh-CN" w:bidi="ar-SA"/>
    </w:rPr>
  </w:style>
  <w:style w:type="character" w:customStyle="1" w:styleId="199">
    <w:name w:val="3级 Char"/>
    <w:link w:val="200"/>
    <w:qFormat/>
    <w:uiPriority w:val="0"/>
    <w:rPr>
      <w:rFonts w:ascii="宋体" w:hAnsi="宋体"/>
      <w:b/>
      <w:bCs/>
      <w:snapToGrid/>
      <w:sz w:val="28"/>
    </w:rPr>
  </w:style>
  <w:style w:type="paragraph" w:customStyle="1" w:styleId="200">
    <w:name w:val="3级"/>
    <w:basedOn w:val="201"/>
    <w:link w:val="199"/>
    <w:qFormat/>
    <w:uiPriority w:val="0"/>
    <w:pPr>
      <w:ind w:left="0" w:right="466" w:firstLine="288"/>
    </w:pPr>
    <w:rPr>
      <w:rFonts w:hAnsi="宋体"/>
      <w:snapToGrid/>
    </w:rPr>
  </w:style>
  <w:style w:type="paragraph" w:customStyle="1" w:styleId="201">
    <w:name w:val="样式 标题 3h33rd level3BOD 0H3l3CTHeading 3 - oldLevel 3 He..."/>
    <w:basedOn w:val="7"/>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2">
    <w:name w:val="myp11"/>
    <w:qFormat/>
    <w:uiPriority w:val="0"/>
    <w:rPr>
      <w:rFonts w:ascii="仿宋_GB2312" w:eastAsia="微软雅黑"/>
      <w:b/>
      <w:kern w:val="2"/>
      <w:sz w:val="32"/>
      <w:szCs w:val="32"/>
      <w:lang w:val="en-US" w:eastAsia="zh-CN" w:bidi="ar-SA"/>
    </w:rPr>
  </w:style>
  <w:style w:type="character" w:customStyle="1" w:styleId="203">
    <w:name w:val="文档结构图 字符"/>
    <w:link w:val="23"/>
    <w:qFormat/>
    <w:uiPriority w:val="0"/>
    <w:rPr>
      <w:kern w:val="2"/>
      <w:sz w:val="21"/>
      <w:szCs w:val="24"/>
      <w:shd w:val="clear" w:color="auto" w:fill="000080"/>
    </w:rPr>
  </w:style>
  <w:style w:type="character" w:customStyle="1" w:styleId="204">
    <w:name w:val="H6 Char"/>
    <w:qFormat/>
    <w:uiPriority w:val="0"/>
    <w:rPr>
      <w:rFonts w:ascii="Arial" w:hAnsi="Arial" w:eastAsia="黑体"/>
      <w:b/>
      <w:bCs/>
      <w:kern w:val="2"/>
      <w:sz w:val="24"/>
      <w:szCs w:val="24"/>
    </w:rPr>
  </w:style>
  <w:style w:type="character" w:customStyle="1" w:styleId="205">
    <w:name w:val="Char Char91"/>
    <w:qFormat/>
    <w:uiPriority w:val="0"/>
    <w:rPr>
      <w:rFonts w:eastAsia="宋体"/>
      <w:kern w:val="2"/>
      <w:sz w:val="18"/>
      <w:szCs w:val="18"/>
      <w:lang w:val="en-US" w:eastAsia="zh-CN" w:bidi="ar-SA"/>
    </w:rPr>
  </w:style>
  <w:style w:type="character" w:customStyle="1" w:styleId="206">
    <w:name w:val="副标题 Char1"/>
    <w:qFormat/>
    <w:uiPriority w:val="0"/>
    <w:rPr>
      <w:rFonts w:ascii="Cambria" w:hAnsi="Cambria" w:eastAsia="宋体" w:cs="Times New Roman"/>
      <w:b/>
      <w:bCs/>
      <w:snapToGrid w:val="0"/>
      <w:kern w:val="28"/>
      <w:sz w:val="32"/>
      <w:szCs w:val="32"/>
    </w:rPr>
  </w:style>
  <w:style w:type="character" w:customStyle="1" w:styleId="207">
    <w:name w:val="font61"/>
    <w:qFormat/>
    <w:uiPriority w:val="0"/>
    <w:rPr>
      <w:rFonts w:hint="eastAsia" w:ascii="仿宋" w:hAnsi="仿宋" w:eastAsia="仿宋" w:cs="仿宋"/>
      <w:color w:val="000000"/>
      <w:sz w:val="20"/>
      <w:szCs w:val="20"/>
      <w:u w:val="none"/>
    </w:rPr>
  </w:style>
  <w:style w:type="character" w:customStyle="1" w:styleId="208">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9">
    <w:name w:val="Char Char211"/>
    <w:qFormat/>
    <w:uiPriority w:val="0"/>
    <w:rPr>
      <w:rFonts w:eastAsia="宋体"/>
      <w:b/>
      <w:bCs/>
      <w:kern w:val="2"/>
      <w:sz w:val="21"/>
      <w:szCs w:val="24"/>
      <w:lang w:val="en-US" w:eastAsia="zh-CN" w:bidi="ar-SA"/>
    </w:rPr>
  </w:style>
  <w:style w:type="character" w:customStyle="1" w:styleId="210">
    <w:name w:val="标题 2 Char"/>
    <w:qFormat/>
    <w:uiPriority w:val="0"/>
    <w:rPr>
      <w:rFonts w:ascii="Arial" w:hAnsi="Arial" w:eastAsia="黑体"/>
      <w:b/>
      <w:kern w:val="2"/>
      <w:sz w:val="32"/>
      <w:lang w:val="en-US" w:eastAsia="zh-CN"/>
    </w:rPr>
  </w:style>
  <w:style w:type="character" w:customStyle="1" w:styleId="211">
    <w:name w:val="maywed421"/>
    <w:qFormat/>
    <w:uiPriority w:val="0"/>
    <w:rPr>
      <w:color w:val="366FB6"/>
      <w:u w:val="none"/>
    </w:rPr>
  </w:style>
  <w:style w:type="character" w:customStyle="1" w:styleId="212">
    <w:name w:val="正文文本缩进 Char"/>
    <w:qFormat/>
    <w:uiPriority w:val="0"/>
    <w:rPr>
      <w:rFonts w:ascii="宋体" w:hAnsi="宋体"/>
      <w:kern w:val="2"/>
      <w:sz w:val="24"/>
      <w:szCs w:val="24"/>
    </w:rPr>
  </w:style>
  <w:style w:type="character" w:customStyle="1" w:styleId="213">
    <w:name w:val="Char Char102"/>
    <w:semiHidden/>
    <w:qFormat/>
    <w:uiPriority w:val="0"/>
    <w:rPr>
      <w:rFonts w:ascii="宋体" w:hAnsi="宋体"/>
      <w:kern w:val="2"/>
      <w:sz w:val="21"/>
      <w:szCs w:val="24"/>
      <w:lang w:val="en-US" w:eastAsia="zh-CN"/>
    </w:rPr>
  </w:style>
  <w:style w:type="character" w:customStyle="1" w:styleId="214">
    <w:name w:val="页眉 Char1"/>
    <w:qFormat/>
    <w:uiPriority w:val="0"/>
    <w:rPr>
      <w:rFonts w:eastAsia="宋体"/>
      <w:kern w:val="2"/>
      <w:sz w:val="18"/>
      <w:szCs w:val="18"/>
      <w:lang w:val="en-US" w:eastAsia="zh-CN" w:bidi="ar-SA"/>
    </w:rPr>
  </w:style>
  <w:style w:type="character" w:customStyle="1" w:styleId="215">
    <w:name w:val="md"/>
    <w:basedOn w:val="72"/>
    <w:qFormat/>
    <w:uiPriority w:val="0"/>
    <w:rPr>
      <w:rFonts w:ascii="Arial" w:hAnsi="Arial" w:eastAsia="黑体" w:cs="Arial"/>
      <w:snapToGrid w:val="0"/>
      <w:kern w:val="0"/>
      <w:szCs w:val="21"/>
    </w:rPr>
  </w:style>
  <w:style w:type="character" w:customStyle="1" w:styleId="216">
    <w:name w:val="big1"/>
    <w:qFormat/>
    <w:uiPriority w:val="0"/>
    <w:rPr>
      <w:rFonts w:hint="eastAsia" w:ascii="宋体" w:hAnsi="宋体" w:eastAsia="宋体"/>
      <w:color w:val="333333"/>
      <w:sz w:val="22"/>
      <w:szCs w:val="22"/>
    </w:rPr>
  </w:style>
  <w:style w:type="character" w:customStyle="1" w:styleId="217">
    <w:name w:val="Char Char311"/>
    <w:qFormat/>
    <w:uiPriority w:val="0"/>
    <w:rPr>
      <w:rFonts w:eastAsia="宋体"/>
      <w:kern w:val="2"/>
      <w:sz w:val="21"/>
      <w:szCs w:val="24"/>
      <w:lang w:val="en-US" w:eastAsia="zh-CN" w:bidi="ar-SA"/>
    </w:rPr>
  </w:style>
  <w:style w:type="character" w:customStyle="1" w:styleId="218">
    <w:name w:val="Char Char81"/>
    <w:qFormat/>
    <w:uiPriority w:val="6"/>
    <w:rPr>
      <w:rFonts w:eastAsia="宋体"/>
      <w:b/>
      <w:sz w:val="24"/>
      <w:lang w:val="en-GB" w:eastAsia="zh-CN"/>
    </w:rPr>
  </w:style>
  <w:style w:type="character" w:customStyle="1" w:styleId="219">
    <w:name w:val="样式3 Char"/>
    <w:basedOn w:val="170"/>
    <w:qFormat/>
    <w:uiPriority w:val="0"/>
    <w:rPr>
      <w:rFonts w:ascii="仿宋_GB2312" w:hAnsi="仿宋" w:eastAsia="仿宋_GB2312" w:cs="仿宋_GB2312"/>
      <w:sz w:val="32"/>
      <w:szCs w:val="30"/>
      <w:lang w:val="zh-CN"/>
    </w:rPr>
  </w:style>
  <w:style w:type="character" w:customStyle="1" w:styleId="220">
    <w:name w:val="HTML 地址 字符"/>
    <w:link w:val="32"/>
    <w:qFormat/>
    <w:uiPriority w:val="0"/>
    <w:rPr>
      <w:rFonts w:ascii="宋体" w:hAnsi="宋体"/>
      <w:i/>
      <w:iCs/>
      <w:sz w:val="24"/>
      <w:szCs w:val="24"/>
    </w:rPr>
  </w:style>
  <w:style w:type="character" w:customStyle="1" w:styleId="221">
    <w:name w:val="正文首行缩进 2 Char1"/>
    <w:qFormat/>
    <w:uiPriority w:val="0"/>
    <w:rPr>
      <w:rFonts w:ascii="Times New Roman" w:hAnsi="Times New Roman" w:eastAsia="宋体" w:cs="Times New Roman"/>
      <w:kern w:val="2"/>
      <w:sz w:val="24"/>
      <w:szCs w:val="24"/>
    </w:rPr>
  </w:style>
  <w:style w:type="character" w:customStyle="1" w:styleId="222">
    <w:name w:val="副标题 Char2"/>
    <w:qFormat/>
    <w:uiPriority w:val="0"/>
    <w:rPr>
      <w:rFonts w:ascii="Cambria" w:hAnsi="Cambria" w:eastAsia="宋体" w:cs="Times New Roman"/>
      <w:b/>
      <w:bCs/>
      <w:snapToGrid w:val="0"/>
      <w:kern w:val="28"/>
      <w:sz w:val="32"/>
      <w:szCs w:val="32"/>
    </w:rPr>
  </w:style>
  <w:style w:type="character" w:customStyle="1" w:styleId="223">
    <w:name w:val="标题4-dyf Char"/>
    <w:link w:val="224"/>
    <w:qFormat/>
    <w:uiPriority w:val="0"/>
    <w:rPr>
      <w:rFonts w:ascii="Cambria" w:hAnsi="Cambria"/>
      <w:b/>
      <w:bCs/>
      <w:color w:val="000000"/>
      <w:kern w:val="2"/>
      <w:sz w:val="21"/>
      <w:szCs w:val="21"/>
    </w:rPr>
  </w:style>
  <w:style w:type="paragraph" w:customStyle="1" w:styleId="224">
    <w:name w:val="标题4-dyf"/>
    <w:basedOn w:val="8"/>
    <w:link w:val="223"/>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5">
    <w:name w:val="dectext1"/>
    <w:qFormat/>
    <w:uiPriority w:val="0"/>
    <w:rPr>
      <w:rFonts w:ascii="宋体" w:hAnsi="宋体" w:eastAsia="宋体"/>
      <w:color w:val="333333"/>
      <w:sz w:val="21"/>
      <w:szCs w:val="21"/>
      <w:u w:val="none"/>
    </w:rPr>
  </w:style>
  <w:style w:type="character" w:customStyle="1" w:styleId="226">
    <w:name w:val="冯 Char"/>
    <w:link w:val="227"/>
    <w:qFormat/>
    <w:uiPriority w:val="0"/>
    <w:rPr>
      <w:rFonts w:ascii="宋体" w:hAnsi="宋体"/>
      <w:color w:val="000000"/>
      <w:sz w:val="24"/>
      <w:szCs w:val="24"/>
    </w:rPr>
  </w:style>
  <w:style w:type="paragraph" w:customStyle="1" w:styleId="227">
    <w:name w:val="冯"/>
    <w:basedOn w:val="1"/>
    <w:link w:val="226"/>
    <w:qFormat/>
    <w:uiPriority w:val="0"/>
    <w:pPr>
      <w:widowControl/>
      <w:adjustRightInd/>
      <w:spacing w:line="360" w:lineRule="auto"/>
      <w:ind w:firstLine="480" w:firstLineChars="200"/>
    </w:pPr>
    <w:rPr>
      <w:rFonts w:ascii="宋体" w:hAnsi="宋体"/>
      <w:color w:val="000000"/>
      <w:kern w:val="0"/>
      <w:sz w:val="24"/>
    </w:rPr>
  </w:style>
  <w:style w:type="character" w:customStyle="1" w:styleId="228">
    <w:name w:val="Header Char"/>
    <w:qFormat/>
    <w:locked/>
    <w:uiPriority w:val="0"/>
    <w:rPr>
      <w:rFonts w:eastAsia="宋体"/>
      <w:kern w:val="2"/>
      <w:sz w:val="18"/>
      <w:szCs w:val="18"/>
      <w:lang w:val="en-US" w:eastAsia="zh-CN" w:bidi="ar-SA"/>
    </w:rPr>
  </w:style>
  <w:style w:type="character" w:customStyle="1" w:styleId="229">
    <w:name w:val="Char Char12"/>
    <w:qFormat/>
    <w:uiPriority w:val="0"/>
    <w:rPr>
      <w:rFonts w:ascii="仿宋_GB2312" w:eastAsia="仿宋_GB2312"/>
      <w:b/>
      <w:bCs/>
      <w:kern w:val="2"/>
      <w:sz w:val="24"/>
      <w:szCs w:val="24"/>
      <w:lang w:val="zh-CN" w:eastAsia="zh-CN" w:bidi="ar-SA"/>
    </w:rPr>
  </w:style>
  <w:style w:type="character" w:customStyle="1" w:styleId="230">
    <w:name w:val="题注 字符"/>
    <w:link w:val="21"/>
    <w:qFormat/>
    <w:uiPriority w:val="0"/>
    <w:rPr>
      <w:b/>
      <w:kern w:val="2"/>
      <w:sz w:val="28"/>
    </w:rPr>
  </w:style>
  <w:style w:type="character" w:customStyle="1" w:styleId="231">
    <w:name w:val="普通文字 Char3"/>
    <w:qFormat/>
    <w:uiPriority w:val="0"/>
    <w:rPr>
      <w:rFonts w:ascii="宋体" w:hAnsi="Courier New" w:eastAsia="宋体"/>
      <w:kern w:val="2"/>
      <w:sz w:val="21"/>
      <w:lang w:val="en-US" w:eastAsia="zh-CN" w:bidi="ar-SA"/>
    </w:rPr>
  </w:style>
  <w:style w:type="character" w:customStyle="1" w:styleId="232">
    <w:name w:val="公文正文 Char"/>
    <w:qFormat/>
    <w:uiPriority w:val="0"/>
    <w:rPr>
      <w:rFonts w:ascii="仿宋_GB2312" w:eastAsia="仿宋_GB2312"/>
      <w:kern w:val="2"/>
      <w:sz w:val="24"/>
      <w:szCs w:val="24"/>
      <w:lang w:val="en-US" w:eastAsia="zh-CN" w:bidi="ar-SA"/>
    </w:rPr>
  </w:style>
  <w:style w:type="character" w:customStyle="1" w:styleId="233">
    <w:name w:val="正文首行缩进 Char Char Char Char Char"/>
    <w:qFormat/>
    <w:uiPriority w:val="0"/>
    <w:rPr>
      <w:rFonts w:ascii="宋体"/>
      <w:kern w:val="2"/>
      <w:sz w:val="24"/>
      <w:lang w:val="zh-CN"/>
    </w:rPr>
  </w:style>
  <w:style w:type="character" w:customStyle="1" w:styleId="234">
    <w:name w:val="PI Char"/>
    <w:qFormat/>
    <w:uiPriority w:val="0"/>
    <w:rPr>
      <w:rFonts w:ascii="宋体" w:hAnsi="宋体" w:eastAsia="宋体"/>
      <w:kern w:val="2"/>
      <w:sz w:val="24"/>
      <w:szCs w:val="24"/>
      <w:lang w:val="en-US" w:eastAsia="zh-CN" w:bidi="ar-SA"/>
    </w:rPr>
  </w:style>
  <w:style w:type="character" w:customStyle="1" w:styleId="235">
    <w:name w:val="Default Char"/>
    <w:link w:val="236"/>
    <w:qFormat/>
    <w:uiPriority w:val="0"/>
    <w:rPr>
      <w:rFonts w:ascii="仿宋_GB2312" w:eastAsia="仿宋_GB2312" w:cs="仿宋_GB2312"/>
      <w:color w:val="000000"/>
      <w:sz w:val="24"/>
      <w:szCs w:val="24"/>
      <w:lang w:val="en-US" w:eastAsia="zh-CN" w:bidi="ar-SA"/>
    </w:rPr>
  </w:style>
  <w:style w:type="paragraph" w:customStyle="1" w:styleId="236">
    <w:name w:val="Default"/>
    <w:link w:val="235"/>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7">
    <w:name w:val="style91"/>
    <w:qFormat/>
    <w:uiPriority w:val="0"/>
    <w:rPr>
      <w:color w:val="333333"/>
    </w:rPr>
  </w:style>
  <w:style w:type="character" w:customStyle="1" w:styleId="238">
    <w:name w:val="列出段落 Char2"/>
    <w:qFormat/>
    <w:uiPriority w:val="34"/>
    <w:rPr>
      <w:rFonts w:ascii="Calibri" w:hAnsi="Calibri"/>
      <w:kern w:val="2"/>
      <w:sz w:val="28"/>
    </w:rPr>
  </w:style>
  <w:style w:type="character" w:customStyle="1" w:styleId="239">
    <w:name w:val="mdeck"/>
    <w:qFormat/>
    <w:uiPriority w:val="0"/>
    <w:rPr>
      <w:rFonts w:ascii="仿宋_GB2312" w:eastAsia="微软雅黑"/>
      <w:b/>
      <w:kern w:val="2"/>
      <w:sz w:val="32"/>
      <w:szCs w:val="32"/>
      <w:lang w:val="en-US" w:eastAsia="zh-CN" w:bidi="ar-SA"/>
    </w:rPr>
  </w:style>
  <w:style w:type="character" w:customStyle="1" w:styleId="240">
    <w:name w:val="unnamed11"/>
    <w:qFormat/>
    <w:uiPriority w:val="0"/>
    <w:rPr>
      <w:sz w:val="20"/>
      <w:szCs w:val="20"/>
    </w:rPr>
  </w:style>
  <w:style w:type="character" w:customStyle="1" w:styleId="241">
    <w:name w:val="正文文本 Char2"/>
    <w:semiHidden/>
    <w:qFormat/>
    <w:uiPriority w:val="99"/>
    <w:rPr>
      <w:rFonts w:ascii="Times New Roman" w:hAnsi="Times New Roman" w:eastAsia="宋体" w:cs="Times New Roman"/>
      <w:snapToGrid w:val="0"/>
      <w:kern w:val="0"/>
      <w:szCs w:val="24"/>
    </w:rPr>
  </w:style>
  <w:style w:type="character" w:customStyle="1" w:styleId="242">
    <w:name w:val="标书正文格式 Char"/>
    <w:qFormat/>
    <w:uiPriority w:val="0"/>
    <w:rPr>
      <w:rFonts w:eastAsia="楷体_GB2312"/>
      <w:kern w:val="2"/>
      <w:sz w:val="24"/>
      <w:szCs w:val="24"/>
      <w:lang w:bidi="ar-SA"/>
    </w:rPr>
  </w:style>
  <w:style w:type="character" w:customStyle="1" w:styleId="243">
    <w:name w:val="Char Char11"/>
    <w:qFormat/>
    <w:locked/>
    <w:uiPriority w:val="0"/>
    <w:rPr>
      <w:rFonts w:ascii="宋体" w:hAnsi="宋体" w:eastAsia="宋体"/>
      <w:b/>
      <w:kern w:val="2"/>
      <w:sz w:val="24"/>
      <w:szCs w:val="24"/>
      <w:lang w:val="en-US" w:eastAsia="zh-CN" w:bidi="ar-SA"/>
    </w:rPr>
  </w:style>
  <w:style w:type="character" w:customStyle="1" w:styleId="244">
    <w:name w:val="ca-131"/>
    <w:qFormat/>
    <w:uiPriority w:val="0"/>
    <w:rPr>
      <w:rFonts w:hint="eastAsia" w:ascii="仿宋_GB2312" w:eastAsia="仿宋_GB2312"/>
      <w:b/>
      <w:bCs/>
      <w:color w:val="000000"/>
      <w:spacing w:val="-20"/>
      <w:sz w:val="24"/>
      <w:szCs w:val="24"/>
    </w:rPr>
  </w:style>
  <w:style w:type="character" w:customStyle="1" w:styleId="245">
    <w:name w:val="tw4winMark"/>
    <w:qFormat/>
    <w:uiPriority w:val="0"/>
    <w:rPr>
      <w:rFonts w:ascii="Courier New" w:hAnsi="Courier New" w:cs="Courier New"/>
      <w:vanish/>
      <w:color w:val="800080"/>
      <w:sz w:val="24"/>
      <w:szCs w:val="24"/>
      <w:vertAlign w:val="subscript"/>
    </w:rPr>
  </w:style>
  <w:style w:type="character" w:customStyle="1" w:styleId="246">
    <w:name w:val="正文样式 Char"/>
    <w:link w:val="247"/>
    <w:qFormat/>
    <w:uiPriority w:val="0"/>
    <w:rPr>
      <w:rFonts w:ascii="Calibri" w:hAnsi="Calibri"/>
      <w:sz w:val="24"/>
      <w:szCs w:val="24"/>
    </w:rPr>
  </w:style>
  <w:style w:type="paragraph" w:customStyle="1" w:styleId="247">
    <w:name w:val="正文样式"/>
    <w:basedOn w:val="1"/>
    <w:link w:val="246"/>
    <w:qFormat/>
    <w:uiPriority w:val="0"/>
    <w:pPr>
      <w:adjustRightInd/>
      <w:spacing w:line="360" w:lineRule="auto"/>
      <w:ind w:firstLine="480" w:firstLineChars="200"/>
    </w:pPr>
    <w:rPr>
      <w:kern w:val="0"/>
      <w:sz w:val="24"/>
    </w:rPr>
  </w:style>
  <w:style w:type="character" w:customStyle="1" w:styleId="248">
    <w:name w:val="表正文 Char3"/>
    <w:qFormat/>
    <w:uiPriority w:val="0"/>
    <w:rPr>
      <w:rFonts w:eastAsia="宋体"/>
    </w:rPr>
  </w:style>
  <w:style w:type="character" w:customStyle="1" w:styleId="249">
    <w:name w:val="H5 Char"/>
    <w:qFormat/>
    <w:uiPriority w:val="0"/>
    <w:rPr>
      <w:b/>
      <w:bCs/>
      <w:kern w:val="2"/>
      <w:sz w:val="28"/>
      <w:szCs w:val="28"/>
    </w:rPr>
  </w:style>
  <w:style w:type="character" w:customStyle="1" w:styleId="250">
    <w:name w:val="Char Char3"/>
    <w:qFormat/>
    <w:uiPriority w:val="0"/>
    <w:rPr>
      <w:rFonts w:eastAsia="宋体"/>
      <w:kern w:val="2"/>
      <w:sz w:val="21"/>
      <w:szCs w:val="24"/>
      <w:lang w:val="en-US" w:eastAsia="zh-CN" w:bidi="ar-SA"/>
    </w:rPr>
  </w:style>
  <w:style w:type="character" w:customStyle="1" w:styleId="251">
    <w:name w:val="正文 编号 Char"/>
    <w:qFormat/>
    <w:uiPriority w:val="0"/>
    <w:rPr>
      <w:rFonts w:ascii="仿宋_GB2312" w:hAnsi="仿宋_GB2312" w:eastAsia="仿宋_GB2312"/>
      <w:kern w:val="2"/>
      <w:sz w:val="24"/>
      <w:lang w:bidi="ar-SA"/>
    </w:rPr>
  </w:style>
  <w:style w:type="character" w:customStyle="1" w:styleId="252">
    <w:name w:val="question-title2"/>
    <w:qFormat/>
    <w:uiPriority w:val="6"/>
    <w:rPr>
      <w:rFonts w:ascii="Arial" w:hAnsi="Arial" w:eastAsia="黑体" w:cs="Arial"/>
      <w:snapToGrid w:val="0"/>
      <w:kern w:val="0"/>
      <w:szCs w:val="21"/>
    </w:rPr>
  </w:style>
  <w:style w:type="character" w:customStyle="1" w:styleId="253">
    <w:name w:val="gf正文1 Char Char"/>
    <w:link w:val="254"/>
    <w:qFormat/>
    <w:uiPriority w:val="0"/>
    <w:rPr>
      <w:rFonts w:ascii="宋体" w:hAnsi="宋体" w:cs="宋体"/>
      <w:kern w:val="2"/>
      <w:sz w:val="24"/>
      <w:szCs w:val="24"/>
    </w:rPr>
  </w:style>
  <w:style w:type="paragraph" w:customStyle="1" w:styleId="254">
    <w:name w:val="gf正文1"/>
    <w:basedOn w:val="1"/>
    <w:link w:val="253"/>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5">
    <w:name w:val="Char Char15"/>
    <w:qFormat/>
    <w:uiPriority w:val="6"/>
    <w:rPr>
      <w:rFonts w:ascii="宋体" w:hAnsi="宋体"/>
      <w:kern w:val="1"/>
      <w:sz w:val="21"/>
    </w:rPr>
  </w:style>
  <w:style w:type="character" w:customStyle="1" w:styleId="256">
    <w:name w:val="正文缩进 Char3"/>
    <w:qFormat/>
    <w:uiPriority w:val="0"/>
    <w:rPr>
      <w:rFonts w:ascii="宋体" w:eastAsia="宋体"/>
      <w:snapToGrid w:val="0"/>
      <w:color w:val="000000"/>
      <w:kern w:val="28"/>
      <w:sz w:val="28"/>
      <w:lang w:val="en-US" w:eastAsia="zh-CN" w:bidi="ar-SA"/>
    </w:rPr>
  </w:style>
  <w:style w:type="character" w:customStyle="1" w:styleId="257">
    <w:name w:val="列出段落 Char1"/>
    <w:link w:val="258"/>
    <w:qFormat/>
    <w:uiPriority w:val="0"/>
    <w:rPr>
      <w:rFonts w:ascii="Calibri" w:hAnsi="Calibri"/>
      <w:sz w:val="24"/>
      <w:lang w:eastAsia="en-US"/>
    </w:rPr>
  </w:style>
  <w:style w:type="paragraph" w:customStyle="1" w:styleId="258">
    <w:name w:val="列表1"/>
    <w:basedOn w:val="1"/>
    <w:next w:val="259"/>
    <w:link w:val="257"/>
    <w:qFormat/>
    <w:uiPriority w:val="0"/>
    <w:pPr>
      <w:widowControl/>
      <w:adjustRightInd/>
      <w:spacing w:after="200" w:line="360" w:lineRule="auto"/>
      <w:ind w:left="720" w:firstLine="200" w:firstLineChars="200"/>
      <w:jc w:val="left"/>
    </w:pPr>
    <w:rPr>
      <w:kern w:val="0"/>
      <w:sz w:val="24"/>
      <w:szCs w:val="20"/>
      <w:lang w:eastAsia="en-US"/>
    </w:rPr>
  </w:style>
  <w:style w:type="paragraph" w:customStyle="1" w:styleId="259">
    <w:name w:val="列表段落1"/>
    <w:basedOn w:val="1"/>
    <w:qFormat/>
    <w:uiPriority w:val="34"/>
    <w:pPr>
      <w:spacing w:line="360" w:lineRule="auto"/>
      <w:ind w:firstLine="200" w:firstLineChars="200"/>
    </w:pPr>
    <w:rPr>
      <w:rFonts w:eastAsia="楷体_GB2312" w:cs="Lucida Sans"/>
      <w:sz w:val="24"/>
    </w:rPr>
  </w:style>
  <w:style w:type="character" w:customStyle="1" w:styleId="260">
    <w:name w:val="Char Char8"/>
    <w:qFormat/>
    <w:uiPriority w:val="0"/>
    <w:rPr>
      <w:rFonts w:eastAsia="宋体"/>
      <w:b/>
      <w:sz w:val="24"/>
      <w:lang w:val="en-GB" w:eastAsia="zh-CN"/>
    </w:rPr>
  </w:style>
  <w:style w:type="character" w:customStyle="1" w:styleId="261">
    <w:name w:val="Normal Indent Char Char"/>
    <w:qFormat/>
    <w:uiPriority w:val="0"/>
    <w:rPr>
      <w:rFonts w:eastAsia="宋体"/>
      <w:kern w:val="2"/>
      <w:sz w:val="21"/>
      <w:lang w:val="en-US" w:eastAsia="zh-CN" w:bidi="ar-SA"/>
    </w:rPr>
  </w:style>
  <w:style w:type="character" w:customStyle="1" w:styleId="262">
    <w:name w:val="列表段落 字符"/>
    <w:qFormat/>
    <w:uiPriority w:val="99"/>
  </w:style>
  <w:style w:type="character" w:customStyle="1" w:styleId="263">
    <w:name w:val="Ò³Ã¼ Char Char1"/>
    <w:qFormat/>
    <w:uiPriority w:val="0"/>
    <w:rPr>
      <w:rFonts w:eastAsia="宋体"/>
      <w:kern w:val="2"/>
      <w:sz w:val="18"/>
      <w:szCs w:val="18"/>
      <w:lang w:val="en-US" w:eastAsia="zh-CN" w:bidi="ar-SA"/>
    </w:rPr>
  </w:style>
  <w:style w:type="character" w:customStyle="1" w:styleId="264">
    <w:name w:val="方案正文 Char"/>
    <w:qFormat/>
    <w:uiPriority w:val="0"/>
    <w:rPr>
      <w:rFonts w:ascii="仿宋_GB2312" w:eastAsia="仿宋_GB2312"/>
      <w:b/>
      <w:color w:val="000000"/>
      <w:kern w:val="2"/>
      <w:sz w:val="24"/>
      <w:lang w:val="en-US" w:eastAsia="zh-CN" w:bidi="ar-SA"/>
    </w:rPr>
  </w:style>
  <w:style w:type="character" w:customStyle="1" w:styleId="265">
    <w:name w:val="Char Char30"/>
    <w:qFormat/>
    <w:uiPriority w:val="6"/>
    <w:rPr>
      <w:rFonts w:ascii="Arial" w:hAnsi="Arial" w:eastAsia="黑体"/>
      <w:kern w:val="1"/>
      <w:sz w:val="21"/>
      <w:szCs w:val="21"/>
    </w:rPr>
  </w:style>
  <w:style w:type="character" w:customStyle="1" w:styleId="266">
    <w:name w:val="正文文本缩进 字符1"/>
    <w:link w:val="20"/>
    <w:qFormat/>
    <w:uiPriority w:val="0"/>
    <w:rPr>
      <w:rFonts w:ascii="宋体" w:hAnsi="宋体"/>
      <w:kern w:val="2"/>
      <w:sz w:val="24"/>
      <w:szCs w:val="24"/>
    </w:rPr>
  </w:style>
  <w:style w:type="character" w:customStyle="1" w:styleId="267">
    <w:name w:val="font01"/>
    <w:qFormat/>
    <w:uiPriority w:val="0"/>
    <w:rPr>
      <w:rFonts w:hint="eastAsia" w:ascii="微软雅黑" w:hAnsi="微软雅黑" w:eastAsia="微软雅黑" w:cs="微软雅黑"/>
      <w:color w:val="000000"/>
      <w:sz w:val="20"/>
      <w:szCs w:val="20"/>
      <w:u w:val="none"/>
    </w:rPr>
  </w:style>
  <w:style w:type="character" w:customStyle="1" w:styleId="268">
    <w:name w:val="Char Char20"/>
    <w:qFormat/>
    <w:uiPriority w:val="6"/>
    <w:rPr>
      <w:kern w:val="1"/>
      <w:sz w:val="24"/>
    </w:rPr>
  </w:style>
  <w:style w:type="character" w:customStyle="1" w:styleId="269">
    <w:name w:val="tw4winExternal"/>
    <w:qFormat/>
    <w:uiPriority w:val="0"/>
    <w:rPr>
      <w:rFonts w:ascii="Courier New" w:hAnsi="Courier New" w:cs="Courier New"/>
      <w:color w:val="808080"/>
      <w:lang w:val="en-US" w:eastAsia="zh-CN"/>
    </w:rPr>
  </w:style>
  <w:style w:type="character" w:customStyle="1" w:styleId="270">
    <w:name w:val="标题 4 Char1"/>
    <w:qFormat/>
    <w:uiPriority w:val="9"/>
    <w:rPr>
      <w:rFonts w:ascii="Cambria" w:hAnsi="Cambria" w:eastAsia="宋体" w:cs="Times New Roman"/>
      <w:b/>
      <w:bCs/>
      <w:kern w:val="2"/>
      <w:sz w:val="28"/>
      <w:szCs w:val="28"/>
    </w:rPr>
  </w:style>
  <w:style w:type="character" w:customStyle="1" w:styleId="271">
    <w:name w:val="批注文字 Char2"/>
    <w:qFormat/>
    <w:uiPriority w:val="99"/>
    <w:rPr>
      <w:rFonts w:ascii="Times New Roman" w:hAnsi="Times New Roman" w:eastAsia="宋体" w:cs="Times New Roman"/>
      <w:snapToGrid w:val="0"/>
      <w:kern w:val="0"/>
      <w:szCs w:val="24"/>
    </w:rPr>
  </w:style>
  <w:style w:type="character" w:customStyle="1" w:styleId="272">
    <w:name w:val="正文文本 2 Char"/>
    <w:qFormat/>
    <w:uiPriority w:val="0"/>
    <w:rPr>
      <w:rFonts w:eastAsia="宋体"/>
      <w:kern w:val="2"/>
      <w:sz w:val="21"/>
      <w:szCs w:val="24"/>
      <w:lang w:val="en-US" w:eastAsia="zh-CN" w:bidi="ar-SA"/>
    </w:rPr>
  </w:style>
  <w:style w:type="character" w:customStyle="1" w:styleId="273">
    <w:name w:val="Ò³Ã¼ Char Char"/>
    <w:qFormat/>
    <w:uiPriority w:val="0"/>
    <w:rPr>
      <w:rFonts w:eastAsia="宋体"/>
      <w:kern w:val="2"/>
      <w:sz w:val="18"/>
      <w:lang w:val="en-US" w:eastAsia="zh-CN" w:bidi="ar-SA"/>
    </w:rPr>
  </w:style>
  <w:style w:type="character" w:customStyle="1" w:styleId="274">
    <w:name w:val="message1"/>
    <w:qFormat/>
    <w:uiPriority w:val="0"/>
    <w:rPr>
      <w:rFonts w:hint="default" w:ascii="Tahoma" w:hAnsi="Tahoma" w:cs="Tahoma"/>
      <w:sz w:val="18"/>
      <w:szCs w:val="18"/>
    </w:rPr>
  </w:style>
  <w:style w:type="character" w:customStyle="1" w:styleId="275">
    <w:name w:val="Char Char23"/>
    <w:qFormat/>
    <w:uiPriority w:val="6"/>
    <w:rPr>
      <w:color w:val="0000FF"/>
      <w:sz w:val="21"/>
    </w:rPr>
  </w:style>
  <w:style w:type="character" w:customStyle="1" w:styleId="276">
    <w:name w:val="批注框文本 字符"/>
    <w:qFormat/>
    <w:uiPriority w:val="99"/>
    <w:rPr>
      <w:rFonts w:ascii="Arial" w:hAnsi="Arial" w:eastAsia="黑体" w:cs="Arial"/>
      <w:snapToGrid w:val="0"/>
      <w:kern w:val="0"/>
      <w:sz w:val="18"/>
      <w:szCs w:val="18"/>
    </w:rPr>
  </w:style>
  <w:style w:type="character" w:customStyle="1" w:styleId="277">
    <w:name w:val="纯文本 Char2"/>
    <w:semiHidden/>
    <w:qFormat/>
    <w:uiPriority w:val="99"/>
    <w:rPr>
      <w:rFonts w:ascii="宋体" w:hAnsi="Courier New" w:eastAsia="宋体" w:cs="Courier New"/>
    </w:rPr>
  </w:style>
  <w:style w:type="character" w:customStyle="1" w:styleId="278">
    <w:name w:val="Char Char25"/>
    <w:qFormat/>
    <w:uiPriority w:val="6"/>
    <w:rPr>
      <w:rFonts w:ascii="宋体" w:hAnsi="宋体"/>
      <w:kern w:val="1"/>
      <w:sz w:val="24"/>
      <w:lang w:val="zh-CN"/>
    </w:rPr>
  </w:style>
  <w:style w:type="character" w:customStyle="1" w:styleId="279">
    <w:name w:val="Char Char411"/>
    <w:qFormat/>
    <w:uiPriority w:val="0"/>
    <w:rPr>
      <w:rFonts w:eastAsia="宋体"/>
      <w:b/>
      <w:sz w:val="24"/>
      <w:lang w:val="en-GB" w:eastAsia="zh-CN" w:bidi="ar-SA"/>
    </w:rPr>
  </w:style>
  <w:style w:type="character" w:customStyle="1" w:styleId="280">
    <w:name w:val="Heading 7 Char"/>
    <w:qFormat/>
    <w:locked/>
    <w:uiPriority w:val="0"/>
    <w:rPr>
      <w:rFonts w:ascii="宋体" w:hAnsi="宋体" w:eastAsia="宋体"/>
      <w:b/>
      <w:bCs/>
      <w:kern w:val="2"/>
      <w:sz w:val="24"/>
      <w:szCs w:val="24"/>
      <w:lang w:val="en-US" w:eastAsia="zh-CN" w:bidi="ar-SA"/>
    </w:rPr>
  </w:style>
  <w:style w:type="character" w:customStyle="1" w:styleId="281">
    <w:name w:val="此正文 Char"/>
    <w:link w:val="282"/>
    <w:qFormat/>
    <w:uiPriority w:val="0"/>
    <w:rPr>
      <w:kern w:val="2"/>
      <w:sz w:val="24"/>
      <w:szCs w:val="24"/>
    </w:rPr>
  </w:style>
  <w:style w:type="paragraph" w:customStyle="1" w:styleId="282">
    <w:name w:val="此正文"/>
    <w:basedOn w:val="1"/>
    <w:link w:val="281"/>
    <w:qFormat/>
    <w:uiPriority w:val="0"/>
    <w:pPr>
      <w:adjustRightInd/>
      <w:spacing w:line="360" w:lineRule="auto"/>
      <w:ind w:firstLine="200" w:firstLineChars="200"/>
    </w:pPr>
    <w:rPr>
      <w:sz w:val="24"/>
    </w:rPr>
  </w:style>
  <w:style w:type="character" w:customStyle="1" w:styleId="283">
    <w:name w:val="Char Char2"/>
    <w:qFormat/>
    <w:uiPriority w:val="0"/>
    <w:rPr>
      <w:rFonts w:eastAsia="宋体"/>
      <w:b/>
      <w:bCs/>
      <w:kern w:val="2"/>
      <w:sz w:val="21"/>
      <w:szCs w:val="24"/>
      <w:lang w:val="en-US" w:eastAsia="zh-CN" w:bidi="ar-SA"/>
    </w:rPr>
  </w:style>
  <w:style w:type="character" w:customStyle="1" w:styleId="284">
    <w:name w:val="标题 1 字符1"/>
    <w:link w:val="5"/>
    <w:qFormat/>
    <w:uiPriority w:val="9"/>
    <w:rPr>
      <w:b/>
      <w:bCs/>
      <w:kern w:val="44"/>
      <w:sz w:val="44"/>
      <w:szCs w:val="44"/>
    </w:rPr>
  </w:style>
  <w:style w:type="character" w:customStyle="1" w:styleId="285">
    <w:name w:val="Footer-Even Char1"/>
    <w:qFormat/>
    <w:uiPriority w:val="0"/>
    <w:rPr>
      <w:rFonts w:eastAsia="宋体"/>
      <w:kern w:val="2"/>
      <w:sz w:val="18"/>
      <w:szCs w:val="18"/>
      <w:lang w:val="en-US" w:eastAsia="zh-CN" w:bidi="ar-SA"/>
    </w:rPr>
  </w:style>
  <w:style w:type="character" w:customStyle="1" w:styleId="286">
    <w:name w:val="Char Char29"/>
    <w:qFormat/>
    <w:uiPriority w:val="6"/>
    <w:rPr>
      <w:rFonts w:ascii="Arial" w:hAnsi="Arial" w:eastAsia="微软雅黑"/>
      <w:b/>
      <w:kern w:val="1"/>
      <w:sz w:val="44"/>
      <w:szCs w:val="32"/>
      <w:lang w:val="en-US" w:eastAsia="zh-CN" w:bidi="ar-SA"/>
    </w:rPr>
  </w:style>
  <w:style w:type="character" w:customStyle="1" w:styleId="287">
    <w:name w:val="标题 字符"/>
    <w:link w:val="61"/>
    <w:qFormat/>
    <w:uiPriority w:val="10"/>
    <w:rPr>
      <w:b/>
      <w:sz w:val="24"/>
      <w:lang w:val="en-GB"/>
    </w:rPr>
  </w:style>
  <w:style w:type="character" w:customStyle="1" w:styleId="288">
    <w:name w:val="font81"/>
    <w:qFormat/>
    <w:uiPriority w:val="0"/>
    <w:rPr>
      <w:rFonts w:ascii="微软雅黑" w:hAnsi="微软雅黑" w:eastAsia="微软雅黑" w:cs="微软雅黑"/>
      <w:color w:val="000000"/>
      <w:sz w:val="20"/>
      <w:szCs w:val="20"/>
      <w:u w:val="none"/>
    </w:rPr>
  </w:style>
  <w:style w:type="character" w:customStyle="1" w:styleId="289">
    <w:name w:val="Char Char312"/>
    <w:qFormat/>
    <w:uiPriority w:val="0"/>
    <w:rPr>
      <w:rFonts w:ascii="Times New Roman" w:hAnsi="Times New Roman" w:eastAsia="宋体" w:cs="Times New Roman"/>
      <w:b/>
      <w:kern w:val="2"/>
      <w:sz w:val="32"/>
      <w:szCs w:val="24"/>
      <w:lang w:val="en-US" w:eastAsia="zh-CN" w:bidi="ar-SA"/>
    </w:rPr>
  </w:style>
  <w:style w:type="character" w:customStyle="1" w:styleId="290">
    <w:name w:val="t21"/>
    <w:qFormat/>
    <w:uiPriority w:val="0"/>
    <w:rPr>
      <w:rFonts w:ascii="仿宋_GB2312" w:eastAsia="微软雅黑"/>
      <w:b/>
      <w:kern w:val="2"/>
      <w:sz w:val="23"/>
      <w:szCs w:val="23"/>
      <w:lang w:val="en-US" w:eastAsia="zh-CN" w:bidi="ar-SA"/>
    </w:rPr>
  </w:style>
  <w:style w:type="character" w:customStyle="1" w:styleId="291">
    <w:name w:val="样式8 Char"/>
    <w:qFormat/>
    <w:uiPriority w:val="0"/>
    <w:rPr>
      <w:rFonts w:ascii="仿宋_GB2312" w:hAnsi="宋体" w:eastAsia="仿宋_GB2312"/>
      <w:b/>
      <w:bCs/>
      <w:kern w:val="2"/>
      <w:sz w:val="24"/>
      <w:szCs w:val="24"/>
    </w:rPr>
  </w:style>
  <w:style w:type="character" w:customStyle="1" w:styleId="292">
    <w:name w:val="表格 Char Char"/>
    <w:qFormat/>
    <w:uiPriority w:val="0"/>
    <w:rPr>
      <w:rFonts w:ascii="宋体" w:hAnsi="宋体" w:eastAsia="宋体"/>
      <w:lang w:bidi="ar-SA"/>
    </w:rPr>
  </w:style>
  <w:style w:type="character" w:customStyle="1" w:styleId="293">
    <w:name w:val="正文文本 字符1"/>
    <w:qFormat/>
    <w:uiPriority w:val="0"/>
    <w:rPr>
      <w:rFonts w:ascii="Calibri" w:hAnsi="Calibri" w:eastAsia="黑体" w:cs="Arial"/>
      <w:snapToGrid w:val="0"/>
      <w:kern w:val="2"/>
      <w:sz w:val="28"/>
      <w:szCs w:val="21"/>
    </w:rPr>
  </w:style>
  <w:style w:type="character" w:customStyle="1" w:styleId="294">
    <w:name w:val="标题 5 字符"/>
    <w:link w:val="9"/>
    <w:qFormat/>
    <w:uiPriority w:val="9"/>
    <w:rPr>
      <w:b/>
      <w:bCs/>
      <w:kern w:val="2"/>
      <w:sz w:val="28"/>
      <w:szCs w:val="28"/>
    </w:rPr>
  </w:style>
  <w:style w:type="character" w:customStyle="1" w:styleId="295">
    <w:name w:val="标题 6 Char1"/>
    <w:qFormat/>
    <w:uiPriority w:val="0"/>
    <w:rPr>
      <w:rFonts w:ascii="Arial" w:hAnsi="Arial" w:eastAsia="黑体" w:cs="Times New Roman"/>
      <w:b/>
      <w:sz w:val="24"/>
      <w:szCs w:val="20"/>
      <w:lang w:bidi="ar-SA"/>
    </w:rPr>
  </w:style>
  <w:style w:type="character" w:customStyle="1" w:styleId="296">
    <w:name w:val="带编号样式 Char"/>
    <w:qFormat/>
    <w:uiPriority w:val="0"/>
    <w:rPr>
      <w:rFonts w:ascii="仿宋_GB2312" w:eastAsia="仿宋_GB2312"/>
      <w:color w:val="000000"/>
      <w:sz w:val="24"/>
      <w:lang w:bidi="ar-SA"/>
    </w:rPr>
  </w:style>
  <w:style w:type="character" w:customStyle="1" w:styleId="297">
    <w:name w:val="unnamed31"/>
    <w:qFormat/>
    <w:uiPriority w:val="0"/>
    <w:rPr>
      <w:rFonts w:ascii="Tahoma" w:hAnsi="Tahoma" w:eastAsia="宋体"/>
      <w:b/>
      <w:kern w:val="2"/>
      <w:sz w:val="24"/>
      <w:szCs w:val="32"/>
      <w:u w:val="none"/>
      <w:lang w:val="en-US" w:eastAsia="zh-CN" w:bidi="ar-SA"/>
    </w:rPr>
  </w:style>
  <w:style w:type="character" w:customStyle="1" w:styleId="298">
    <w:name w:val="正文首行缩进 Char Char Char Char Char Char1"/>
    <w:qFormat/>
    <w:uiPriority w:val="0"/>
    <w:rPr>
      <w:rFonts w:ascii="宋体" w:eastAsia="宋体"/>
      <w:kern w:val="2"/>
      <w:sz w:val="24"/>
      <w:szCs w:val="24"/>
      <w:lang w:val="zh-CN" w:bidi="ar-SA"/>
    </w:rPr>
  </w:style>
  <w:style w:type="character" w:customStyle="1" w:styleId="299">
    <w:name w:val="称呼 字符"/>
    <w:link w:val="25"/>
    <w:qFormat/>
    <w:uiPriority w:val="0"/>
    <w:rPr>
      <w:rFonts w:ascii="仿宋_GB2312" w:eastAsia="仿宋_GB2312"/>
      <w:kern w:val="2"/>
      <w:sz w:val="28"/>
    </w:rPr>
  </w:style>
  <w:style w:type="character" w:customStyle="1" w:styleId="300">
    <w:name w:val="文本正文 Char Char"/>
    <w:qFormat/>
    <w:locked/>
    <w:uiPriority w:val="0"/>
    <w:rPr>
      <w:sz w:val="24"/>
      <w:lang w:bidi="ar-SA"/>
    </w:rPr>
  </w:style>
  <w:style w:type="character" w:customStyle="1" w:styleId="301">
    <w:name w:val="正文缩进 字符"/>
    <w:qFormat/>
    <w:uiPriority w:val="0"/>
    <w:rPr>
      <w:rFonts w:ascii="宋体" w:eastAsia="宋体"/>
      <w:snapToGrid w:val="0"/>
      <w:color w:val="000000"/>
      <w:kern w:val="28"/>
      <w:sz w:val="28"/>
      <w:lang w:val="en-US" w:eastAsia="zh-CN" w:bidi="ar-SA"/>
    </w:rPr>
  </w:style>
  <w:style w:type="character" w:customStyle="1" w:styleId="302">
    <w:name w:val="HTML 预设格式 字符"/>
    <w:link w:val="59"/>
    <w:qFormat/>
    <w:uiPriority w:val="0"/>
    <w:rPr>
      <w:rFonts w:ascii="黑体" w:hAnsi="Courier New" w:eastAsia="黑体"/>
    </w:rPr>
  </w:style>
  <w:style w:type="character" w:customStyle="1" w:styleId="303">
    <w:name w:val="正文文本 2 字符1"/>
    <w:link w:val="58"/>
    <w:qFormat/>
    <w:uiPriority w:val="0"/>
    <w:rPr>
      <w:kern w:val="2"/>
      <w:sz w:val="21"/>
      <w:szCs w:val="24"/>
    </w:rPr>
  </w:style>
  <w:style w:type="character" w:customStyle="1" w:styleId="304">
    <w:name w:val="样式 样式 标题 4h4H4Fab-4T5Ref Heading 1rh1Heading sqlsect 1.2.3.... +... Char"/>
    <w:link w:val="305"/>
    <w:qFormat/>
    <w:uiPriority w:val="0"/>
    <w:rPr>
      <w:rFonts w:ascii="微软雅黑" w:hAnsi="微软雅黑" w:eastAsia="微软雅黑"/>
      <w:b/>
      <w:bCs/>
      <w:kern w:val="2"/>
      <w:sz w:val="24"/>
      <w:szCs w:val="28"/>
    </w:rPr>
  </w:style>
  <w:style w:type="paragraph" w:customStyle="1" w:styleId="305">
    <w:name w:val="样式 样式 标题 4h4H4Fab-4T5Ref Heading 1rh1Heading sqlsect 1.2.3.... +..."/>
    <w:basedOn w:val="306"/>
    <w:link w:val="304"/>
    <w:qFormat/>
    <w:uiPriority w:val="0"/>
    <w:pPr>
      <w:tabs>
        <w:tab w:val="left" w:pos="2356"/>
      </w:tabs>
    </w:pPr>
  </w:style>
  <w:style w:type="paragraph" w:customStyle="1" w:styleId="306">
    <w:name w:val="样式 标题 4h4H4Fab-4T5Ref Heading 1rh1Heading sqlsect 1.2.3...."/>
    <w:basedOn w:val="8"/>
    <w:link w:val="414"/>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7">
    <w:name w:val="正文非缩进 Char"/>
    <w:qFormat/>
    <w:uiPriority w:val="0"/>
    <w:rPr>
      <w:rFonts w:ascii="宋体" w:eastAsia="宋体"/>
      <w:snapToGrid w:val="0"/>
      <w:color w:val="000000"/>
      <w:kern w:val="28"/>
      <w:sz w:val="28"/>
      <w:lang w:val="en-US" w:eastAsia="zh-CN" w:bidi="ar-SA"/>
    </w:rPr>
  </w:style>
  <w:style w:type="character" w:customStyle="1" w:styleId="308">
    <w:name w:val="标题 7 字符"/>
    <w:link w:val="11"/>
    <w:qFormat/>
    <w:uiPriority w:val="0"/>
    <w:rPr>
      <w:b/>
      <w:bCs/>
      <w:kern w:val="2"/>
      <w:sz w:val="24"/>
      <w:szCs w:val="24"/>
    </w:rPr>
  </w:style>
  <w:style w:type="character" w:customStyle="1" w:styleId="309">
    <w:name w:val="正文文本缩进 2 字符"/>
    <w:link w:val="39"/>
    <w:qFormat/>
    <w:uiPriority w:val="0"/>
    <w:rPr>
      <w:rFonts w:ascii="宋体"/>
      <w:sz w:val="28"/>
    </w:rPr>
  </w:style>
  <w:style w:type="character" w:customStyle="1" w:styleId="310">
    <w:name w:val="Char Char5"/>
    <w:qFormat/>
    <w:uiPriority w:val="0"/>
    <w:rPr>
      <w:rFonts w:ascii="宋体" w:hAnsi="Courier New" w:eastAsia="宋体"/>
      <w:kern w:val="2"/>
      <w:sz w:val="21"/>
      <w:lang w:val="en-US" w:eastAsia="zh-CN"/>
    </w:rPr>
  </w:style>
  <w:style w:type="character" w:customStyle="1" w:styleId="311">
    <w:name w:val="脚注文本 字符"/>
    <w:link w:val="52"/>
    <w:qFormat/>
    <w:uiPriority w:val="0"/>
    <w:rPr>
      <w:color w:val="0000FF"/>
      <w:sz w:val="21"/>
    </w:rPr>
  </w:style>
  <w:style w:type="character" w:customStyle="1" w:styleId="312">
    <w:name w:val="称呼 Char1"/>
    <w:qFormat/>
    <w:uiPriority w:val="0"/>
    <w:rPr>
      <w:rFonts w:ascii="Times New Roman" w:hAnsi="Times New Roman" w:eastAsia="宋体" w:cs="Times New Roman"/>
      <w:szCs w:val="24"/>
    </w:rPr>
  </w:style>
  <w:style w:type="character" w:customStyle="1" w:styleId="313">
    <w:name w:val="正文1 Char"/>
    <w:qFormat/>
    <w:uiPriority w:val="0"/>
    <w:rPr>
      <w:rFonts w:ascii="宋体" w:eastAsia="宋体"/>
      <w:snapToGrid w:val="0"/>
      <w:color w:val="000000"/>
      <w:kern w:val="28"/>
      <w:sz w:val="28"/>
      <w:lang w:val="en-US" w:eastAsia="zh-CN" w:bidi="ar-SA"/>
    </w:rPr>
  </w:style>
  <w:style w:type="character" w:customStyle="1" w:styleId="314">
    <w:name w:val="正文缩进 Char1"/>
    <w:qFormat/>
    <w:uiPriority w:val="0"/>
    <w:rPr>
      <w:rFonts w:ascii="宋体" w:eastAsia="宋体"/>
      <w:snapToGrid w:val="0"/>
      <w:color w:val="000000"/>
      <w:kern w:val="28"/>
      <w:sz w:val="28"/>
      <w:lang w:val="en-US" w:eastAsia="zh-CN" w:bidi="ar-SA"/>
    </w:rPr>
  </w:style>
  <w:style w:type="character" w:customStyle="1" w:styleId="315">
    <w:name w:val="font21"/>
    <w:qFormat/>
    <w:uiPriority w:val="0"/>
    <w:rPr>
      <w:rFonts w:hint="eastAsia" w:ascii="宋体" w:hAnsi="宋体" w:eastAsia="宋体"/>
      <w:kern w:val="2"/>
      <w:sz w:val="28"/>
      <w:szCs w:val="28"/>
      <w:lang w:val="en-US" w:eastAsia="zh-CN" w:bidi="ar-SA"/>
    </w:rPr>
  </w:style>
  <w:style w:type="character" w:customStyle="1" w:styleId="316">
    <w:name w:val="Char Char26"/>
    <w:qFormat/>
    <w:uiPriority w:val="6"/>
    <w:rPr>
      <w:kern w:val="1"/>
      <w:sz w:val="21"/>
      <w:szCs w:val="24"/>
    </w:rPr>
  </w:style>
  <w:style w:type="character" w:customStyle="1" w:styleId="317">
    <w:name w:val="Item List Char"/>
    <w:link w:val="318"/>
    <w:qFormat/>
    <w:uiPriority w:val="0"/>
    <w:rPr>
      <w:rFonts w:ascii="Arial"/>
      <w:bCs/>
      <w:sz w:val="21"/>
      <w:szCs w:val="21"/>
      <w:lang w:val="en-US" w:eastAsia="zh-CN" w:bidi="ar-SA"/>
    </w:rPr>
  </w:style>
  <w:style w:type="paragraph" w:customStyle="1" w:styleId="318">
    <w:name w:val="Item List"/>
    <w:link w:val="317"/>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9">
    <w:name w:val="批注框文本 Char1"/>
    <w:qFormat/>
    <w:uiPriority w:val="0"/>
    <w:rPr>
      <w:rFonts w:ascii="Times New Roman" w:hAnsi="Times New Roman" w:eastAsia="宋体" w:cs="Times New Roman"/>
      <w:sz w:val="18"/>
      <w:szCs w:val="18"/>
    </w:rPr>
  </w:style>
  <w:style w:type="character" w:customStyle="1" w:styleId="320">
    <w:name w:val="纯文本 Char1"/>
    <w:link w:val="321"/>
    <w:qFormat/>
    <w:uiPriority w:val="0"/>
    <w:rPr>
      <w:rFonts w:ascii="宋体" w:hAnsi="Courier New"/>
    </w:rPr>
  </w:style>
  <w:style w:type="paragraph" w:customStyle="1" w:styleId="321">
    <w:name w:val="纯文本1"/>
    <w:basedOn w:val="1"/>
    <w:link w:val="320"/>
    <w:qFormat/>
    <w:uiPriority w:val="0"/>
    <w:pPr>
      <w:adjustRightInd/>
    </w:pPr>
    <w:rPr>
      <w:rFonts w:ascii="宋体" w:hAnsi="Courier New"/>
      <w:kern w:val="0"/>
      <w:sz w:val="20"/>
      <w:szCs w:val="20"/>
    </w:rPr>
  </w:style>
  <w:style w:type="character" w:customStyle="1" w:styleId="322">
    <w:name w:val="正文文本首行缩进 字符"/>
    <w:link w:val="63"/>
    <w:qFormat/>
    <w:uiPriority w:val="0"/>
    <w:rPr>
      <w:rFonts w:ascii="宋体"/>
      <w:kern w:val="2"/>
      <w:sz w:val="24"/>
      <w:lang w:val="zh-CN"/>
    </w:rPr>
  </w:style>
  <w:style w:type="character" w:customStyle="1" w:styleId="323">
    <w:name w:val="h3 Char"/>
    <w:qFormat/>
    <w:uiPriority w:val="0"/>
    <w:rPr>
      <w:rFonts w:eastAsia="宋体"/>
      <w:b/>
      <w:kern w:val="2"/>
      <w:sz w:val="32"/>
      <w:lang w:val="en-US" w:eastAsia="zh-CN" w:bidi="ar-SA"/>
    </w:rPr>
  </w:style>
  <w:style w:type="character" w:customStyle="1" w:styleId="324">
    <w:name w:val="dandyren_title1"/>
    <w:qFormat/>
    <w:uiPriority w:val="0"/>
    <w:rPr>
      <w:b/>
      <w:bCs/>
      <w:color w:val="FF6633"/>
      <w:sz w:val="18"/>
      <w:szCs w:val="18"/>
    </w:rPr>
  </w:style>
  <w:style w:type="character" w:customStyle="1" w:styleId="325">
    <w:name w:val="Char Char31"/>
    <w:qFormat/>
    <w:uiPriority w:val="6"/>
    <w:rPr>
      <w:rFonts w:ascii="Arial" w:hAnsi="Arial" w:eastAsia="黑体"/>
      <w:kern w:val="1"/>
      <w:sz w:val="24"/>
      <w:szCs w:val="24"/>
    </w:rPr>
  </w:style>
  <w:style w:type="character" w:customStyle="1" w:styleId="326">
    <w:name w:val="h Char1"/>
    <w:qFormat/>
    <w:uiPriority w:val="0"/>
    <w:rPr>
      <w:sz w:val="18"/>
      <w:szCs w:val="18"/>
    </w:rPr>
  </w:style>
  <w:style w:type="character" w:customStyle="1" w:styleId="327">
    <w:name w:val="solutionfonts"/>
    <w:qFormat/>
    <w:uiPriority w:val="0"/>
  </w:style>
  <w:style w:type="character" w:customStyle="1" w:styleId="328">
    <w:name w:val="标题 4 字符1"/>
    <w:link w:val="8"/>
    <w:qFormat/>
    <w:uiPriority w:val="9"/>
    <w:rPr>
      <w:rFonts w:ascii="Arial" w:hAnsi="Arial" w:eastAsia="黑体"/>
      <w:b/>
      <w:bCs/>
      <w:kern w:val="2"/>
      <w:sz w:val="28"/>
      <w:szCs w:val="28"/>
      <w:lang w:val="zh-CN"/>
    </w:rPr>
  </w:style>
  <w:style w:type="character" w:customStyle="1" w:styleId="329">
    <w:name w:val="首行缩进 Char"/>
    <w:qFormat/>
    <w:uiPriority w:val="0"/>
    <w:rPr>
      <w:rFonts w:ascii="宋体" w:eastAsia="宋体"/>
      <w:kern w:val="2"/>
      <w:sz w:val="24"/>
      <w:lang w:val="en-US" w:eastAsia="zh-CN" w:bidi="ar-SA"/>
    </w:rPr>
  </w:style>
  <w:style w:type="character" w:customStyle="1" w:styleId="330">
    <w:name w:val="Char Char52"/>
    <w:qFormat/>
    <w:uiPriority w:val="0"/>
    <w:rPr>
      <w:rFonts w:ascii="宋体" w:hAnsi="Courier New" w:eastAsia="宋体"/>
      <w:kern w:val="2"/>
      <w:sz w:val="21"/>
      <w:lang w:val="en-US" w:eastAsia="zh-CN"/>
    </w:rPr>
  </w:style>
  <w:style w:type="character" w:customStyle="1" w:styleId="331">
    <w:name w:val="正文文本 3 字符"/>
    <w:link w:val="26"/>
    <w:qFormat/>
    <w:uiPriority w:val="0"/>
    <w:rPr>
      <w:kern w:val="2"/>
      <w:sz w:val="21"/>
    </w:rPr>
  </w:style>
  <w:style w:type="character" w:customStyle="1" w:styleId="332">
    <w:name w:val="font31"/>
    <w:qFormat/>
    <w:uiPriority w:val="0"/>
    <w:rPr>
      <w:rFonts w:hint="eastAsia" w:ascii="仿宋" w:hAnsi="仿宋" w:eastAsia="仿宋" w:cs="仿宋"/>
      <w:color w:val="000000"/>
      <w:sz w:val="20"/>
      <w:szCs w:val="20"/>
      <w:u w:val="none"/>
    </w:rPr>
  </w:style>
  <w:style w:type="character" w:customStyle="1" w:styleId="333">
    <w:name w:val="正文说明 Char"/>
    <w:link w:val="334"/>
    <w:qFormat/>
    <w:uiPriority w:val="0"/>
    <w:rPr>
      <w:sz w:val="24"/>
      <w:szCs w:val="24"/>
    </w:rPr>
  </w:style>
  <w:style w:type="paragraph" w:customStyle="1" w:styleId="334">
    <w:name w:val="正文说明"/>
    <w:basedOn w:val="1"/>
    <w:link w:val="333"/>
    <w:qFormat/>
    <w:uiPriority w:val="0"/>
    <w:pPr>
      <w:adjustRightInd/>
      <w:spacing w:line="360" w:lineRule="auto"/>
    </w:pPr>
    <w:rPr>
      <w:kern w:val="0"/>
      <w:sz w:val="24"/>
    </w:rPr>
  </w:style>
  <w:style w:type="character" w:customStyle="1" w:styleId="335">
    <w:name w:val="脚注文本 Char1"/>
    <w:qFormat/>
    <w:uiPriority w:val="0"/>
    <w:rPr>
      <w:rFonts w:ascii="Times New Roman" w:hAnsi="Times New Roman" w:eastAsia="宋体" w:cs="Times New Roman"/>
      <w:sz w:val="18"/>
      <w:szCs w:val="18"/>
    </w:rPr>
  </w:style>
  <w:style w:type="character" w:customStyle="1" w:styleId="336">
    <w:name w:val="Char Char1211"/>
    <w:qFormat/>
    <w:uiPriority w:val="0"/>
    <w:rPr>
      <w:rFonts w:ascii="仿宋_GB2312" w:eastAsia="仿宋_GB2312"/>
      <w:b/>
      <w:bCs/>
      <w:kern w:val="2"/>
      <w:sz w:val="24"/>
      <w:szCs w:val="24"/>
      <w:lang w:val="zh-CN" w:eastAsia="zh-CN" w:bidi="ar-SA"/>
    </w:rPr>
  </w:style>
  <w:style w:type="character" w:customStyle="1" w:styleId="337">
    <w:name w:val="标题 Char"/>
    <w:qFormat/>
    <w:uiPriority w:val="0"/>
    <w:rPr>
      <w:rFonts w:eastAsia="宋体"/>
      <w:b/>
      <w:sz w:val="24"/>
      <w:lang w:val="en-GB" w:eastAsia="zh-CN" w:bidi="ar-SA"/>
    </w:rPr>
  </w:style>
  <w:style w:type="character" w:customStyle="1" w:styleId="338">
    <w:name w:val="Char Char35"/>
    <w:qFormat/>
    <w:uiPriority w:val="6"/>
    <w:rPr>
      <w:rFonts w:ascii="Arial" w:hAnsi="Arial" w:eastAsia="黑体"/>
      <w:b/>
      <w:kern w:val="1"/>
      <w:sz w:val="28"/>
      <w:szCs w:val="28"/>
      <w:lang w:val="zh-CN"/>
    </w:rPr>
  </w:style>
  <w:style w:type="character" w:customStyle="1" w:styleId="339">
    <w:name w:val="纯文本 Char Char Char"/>
    <w:qFormat/>
    <w:uiPriority w:val="0"/>
    <w:rPr>
      <w:rFonts w:ascii="宋体" w:hAnsi="Courier New" w:eastAsia="宋体"/>
      <w:kern w:val="2"/>
      <w:sz w:val="21"/>
      <w:lang w:val="en-US" w:eastAsia="zh-CN" w:bidi="ar-SA"/>
    </w:rPr>
  </w:style>
  <w:style w:type="character" w:customStyle="1" w:styleId="340">
    <w:name w:val="Table Text Char"/>
    <w:link w:val="341"/>
    <w:qFormat/>
    <w:uiPriority w:val="0"/>
    <w:rPr>
      <w:sz w:val="24"/>
      <w:szCs w:val="24"/>
    </w:rPr>
  </w:style>
  <w:style w:type="paragraph" w:customStyle="1" w:styleId="341">
    <w:name w:val="Table Text"/>
    <w:basedOn w:val="1"/>
    <w:link w:val="340"/>
    <w:qFormat/>
    <w:uiPriority w:val="0"/>
    <w:pPr>
      <w:widowControl/>
      <w:spacing w:before="60" w:after="60"/>
      <w:jc w:val="left"/>
    </w:pPr>
    <w:rPr>
      <w:kern w:val="0"/>
      <w:sz w:val="24"/>
    </w:rPr>
  </w:style>
  <w:style w:type="character" w:customStyle="1" w:styleId="342">
    <w:name w:val="正文1 Char1"/>
    <w:qFormat/>
    <w:uiPriority w:val="0"/>
    <w:rPr>
      <w:rFonts w:ascii="仿宋_GB2312" w:hAnsi="Courier New" w:eastAsia="仿宋_GB2312"/>
      <w:kern w:val="28"/>
      <w:sz w:val="24"/>
      <w:szCs w:val="24"/>
      <w:lang w:val="en-US" w:eastAsia="zh-CN"/>
    </w:rPr>
  </w:style>
  <w:style w:type="character" w:customStyle="1" w:styleId="343">
    <w:name w:val="页脚 Char1"/>
    <w:qFormat/>
    <w:uiPriority w:val="0"/>
    <w:rPr>
      <w:rFonts w:eastAsia="宋体"/>
      <w:kern w:val="2"/>
      <w:sz w:val="18"/>
      <w:szCs w:val="18"/>
      <w:lang w:val="en-US" w:eastAsia="zh-CN" w:bidi="ar-SA"/>
    </w:rPr>
  </w:style>
  <w:style w:type="character" w:customStyle="1" w:styleId="344">
    <w:name w:val="Bold"/>
    <w:qFormat/>
    <w:uiPriority w:val="0"/>
    <w:rPr>
      <w:rFonts w:ascii="Arial" w:hAnsi="Arial" w:eastAsia="黑体" w:cs="Times New Roman"/>
      <w:b/>
      <w:kern w:val="2"/>
      <w:sz w:val="32"/>
      <w:szCs w:val="32"/>
      <w:lang w:val="en-US" w:eastAsia="zh-CN" w:bidi="ar-SA"/>
    </w:rPr>
  </w:style>
  <w:style w:type="character" w:customStyle="1" w:styleId="345">
    <w:name w:val="批注文字 字符1"/>
    <w:link w:val="24"/>
    <w:qFormat/>
    <w:uiPriority w:val="99"/>
    <w:rPr>
      <w:kern w:val="2"/>
      <w:sz w:val="21"/>
      <w:szCs w:val="24"/>
    </w:rPr>
  </w:style>
  <w:style w:type="character" w:customStyle="1" w:styleId="346">
    <w:name w:val="签名 字符"/>
    <w:link w:val="44"/>
    <w:qFormat/>
    <w:uiPriority w:val="0"/>
    <w:rPr>
      <w:rFonts w:eastAsia="仿宋_GB2312"/>
      <w:sz w:val="24"/>
    </w:rPr>
  </w:style>
  <w:style w:type="character" w:customStyle="1" w:styleId="347">
    <w:name w:val="hui3"/>
    <w:qFormat/>
    <w:uiPriority w:val="0"/>
    <w:rPr>
      <w:color w:val="333333"/>
    </w:rPr>
  </w:style>
  <w:style w:type="character" w:customStyle="1" w:styleId="348">
    <w:name w:val="Char Char17"/>
    <w:qFormat/>
    <w:uiPriority w:val="6"/>
    <w:rPr>
      <w:rFonts w:eastAsia="仿宋_GB2312"/>
      <w:sz w:val="24"/>
    </w:rPr>
  </w:style>
  <w:style w:type="character" w:customStyle="1" w:styleId="349">
    <w:name w:val="标题 4 字符"/>
    <w:qFormat/>
    <w:uiPriority w:val="9"/>
    <w:rPr>
      <w:rFonts w:ascii="等线 Light" w:hAnsi="等线 Light" w:eastAsia="等线 Light" w:cs="Times New Roman"/>
      <w:b/>
      <w:bCs/>
      <w:snapToGrid w:val="0"/>
      <w:kern w:val="0"/>
      <w:sz w:val="28"/>
      <w:szCs w:val="28"/>
    </w:rPr>
  </w:style>
  <w:style w:type="character" w:customStyle="1" w:styleId="350">
    <w:name w:val="Char Char37"/>
    <w:qFormat/>
    <w:uiPriority w:val="6"/>
    <w:rPr>
      <w:b/>
      <w:kern w:val="1"/>
      <w:sz w:val="44"/>
      <w:szCs w:val="44"/>
    </w:rPr>
  </w:style>
  <w:style w:type="character" w:customStyle="1" w:styleId="351">
    <w:name w:val="列出段落 Char"/>
    <w:qFormat/>
    <w:uiPriority w:val="0"/>
    <w:rPr>
      <w:rFonts w:eastAsia="楷体_GB2312" w:cs="Lucida Sans"/>
      <w:kern w:val="2"/>
      <w:sz w:val="24"/>
      <w:szCs w:val="24"/>
      <w:lang w:val="en-US" w:eastAsia="zh-CN" w:bidi="ar-SA"/>
    </w:rPr>
  </w:style>
  <w:style w:type="character" w:customStyle="1" w:styleId="352">
    <w:name w:val="正文文本缩进 3 Char1"/>
    <w:semiHidden/>
    <w:qFormat/>
    <w:uiPriority w:val="99"/>
    <w:rPr>
      <w:rFonts w:ascii="Times New Roman" w:hAnsi="Times New Roman" w:eastAsia="宋体" w:cs="Times New Roman"/>
      <w:sz w:val="16"/>
      <w:szCs w:val="16"/>
    </w:rPr>
  </w:style>
  <w:style w:type="character" w:customStyle="1" w:styleId="353">
    <w:name w:val="公文正文 Char Char"/>
    <w:link w:val="354"/>
    <w:qFormat/>
    <w:uiPriority w:val="0"/>
    <w:rPr>
      <w:rFonts w:ascii="仿宋_GB2312" w:eastAsia="仿宋_GB2312"/>
      <w:kern w:val="2"/>
      <w:sz w:val="24"/>
      <w:szCs w:val="24"/>
    </w:rPr>
  </w:style>
  <w:style w:type="paragraph" w:customStyle="1" w:styleId="354">
    <w:name w:val="公文正文"/>
    <w:basedOn w:val="1"/>
    <w:link w:val="353"/>
    <w:qFormat/>
    <w:uiPriority w:val="0"/>
    <w:pPr>
      <w:adjustRightInd/>
      <w:spacing w:before="156" w:line="360" w:lineRule="auto"/>
      <w:ind w:firstLine="360" w:firstLineChars="200"/>
    </w:pPr>
    <w:rPr>
      <w:rFonts w:ascii="仿宋_GB2312" w:eastAsia="仿宋_GB2312"/>
      <w:sz w:val="24"/>
    </w:rPr>
  </w:style>
  <w:style w:type="character" w:customStyle="1" w:styleId="355">
    <w:name w:val="Table Text Char1"/>
    <w:qFormat/>
    <w:uiPriority w:val="0"/>
    <w:rPr>
      <w:rFonts w:eastAsia="宋体"/>
      <w:sz w:val="24"/>
      <w:szCs w:val="24"/>
      <w:lang w:val="en-US" w:eastAsia="zh-CN" w:bidi="ar-SA"/>
    </w:rPr>
  </w:style>
  <w:style w:type="character" w:customStyle="1" w:styleId="356">
    <w:name w:val="标题 1 Char Char"/>
    <w:qFormat/>
    <w:uiPriority w:val="0"/>
    <w:rPr>
      <w:rFonts w:hint="eastAsia" w:ascii="宋体" w:hAnsi="宋体" w:eastAsia="宋体"/>
      <w:b/>
      <w:spacing w:val="-2"/>
      <w:sz w:val="24"/>
      <w:lang w:val="en-US" w:eastAsia="zh-CN" w:bidi="ar-SA"/>
    </w:rPr>
  </w:style>
  <w:style w:type="character" w:customStyle="1" w:styleId="357">
    <w:name w:val="正文（缩进2汉字） Char"/>
    <w:link w:val="358"/>
    <w:qFormat/>
    <w:uiPriority w:val="0"/>
    <w:rPr>
      <w:rFonts w:ascii="宋体"/>
    </w:rPr>
  </w:style>
  <w:style w:type="paragraph" w:customStyle="1" w:styleId="358">
    <w:name w:val="正文（缩进2汉字）"/>
    <w:basedOn w:val="1"/>
    <w:link w:val="357"/>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9">
    <w:name w:val="标题 8 字符"/>
    <w:link w:val="12"/>
    <w:qFormat/>
    <w:uiPriority w:val="0"/>
    <w:rPr>
      <w:rFonts w:ascii="Arial" w:hAnsi="Arial" w:eastAsia="黑体"/>
      <w:kern w:val="2"/>
      <w:sz w:val="24"/>
      <w:szCs w:val="24"/>
    </w:rPr>
  </w:style>
  <w:style w:type="character" w:customStyle="1" w:styleId="360">
    <w:name w:val="标书表格字体格式 Char"/>
    <w:qFormat/>
    <w:uiPriority w:val="0"/>
    <w:rPr>
      <w:kern w:val="2"/>
      <w:sz w:val="21"/>
      <w:szCs w:val="24"/>
      <w:lang w:bidi="ar-SA"/>
    </w:rPr>
  </w:style>
  <w:style w:type="character" w:customStyle="1" w:styleId="361">
    <w:name w:val="tw4winError"/>
    <w:qFormat/>
    <w:uiPriority w:val="0"/>
    <w:rPr>
      <w:rFonts w:ascii="Courier New" w:hAnsi="Courier New" w:cs="Courier New"/>
      <w:color w:val="00FF00"/>
      <w:sz w:val="40"/>
      <w:szCs w:val="40"/>
    </w:rPr>
  </w:style>
  <w:style w:type="character" w:customStyle="1" w:styleId="362">
    <w:name w:val="Body Text(ch) Char Char"/>
    <w:qFormat/>
    <w:uiPriority w:val="0"/>
    <w:rPr>
      <w:rFonts w:ascii="宋体"/>
      <w:kern w:val="2"/>
      <w:sz w:val="24"/>
      <w:szCs w:val="21"/>
      <w:lang w:val="zh-CN"/>
    </w:rPr>
  </w:style>
  <w:style w:type="character" w:customStyle="1" w:styleId="363">
    <w:name w:val="正文首行缩进两字 Char"/>
    <w:qFormat/>
    <w:uiPriority w:val="0"/>
    <w:rPr>
      <w:sz w:val="24"/>
      <w:szCs w:val="24"/>
      <w:lang w:val="en-US" w:eastAsia="zh-CN" w:bidi="ar-SA"/>
    </w:rPr>
  </w:style>
  <w:style w:type="character" w:customStyle="1" w:styleId="364">
    <w:name w:val="正文文本 Char"/>
    <w:qFormat/>
    <w:uiPriority w:val="0"/>
    <w:rPr>
      <w:rFonts w:eastAsia="宋体"/>
      <w:kern w:val="2"/>
      <w:sz w:val="24"/>
      <w:szCs w:val="24"/>
      <w:lang w:val="en-US" w:eastAsia="zh-CN" w:bidi="ar-SA"/>
    </w:rPr>
  </w:style>
  <w:style w:type="character" w:customStyle="1" w:styleId="365">
    <w:name w:val="文档结构图 字符1"/>
    <w:qFormat/>
    <w:uiPriority w:val="0"/>
    <w:rPr>
      <w:rFonts w:ascii="宋体" w:hAnsi="Calibri" w:eastAsia="黑体" w:cs="Arial"/>
      <w:snapToGrid w:val="0"/>
      <w:kern w:val="2"/>
      <w:sz w:val="18"/>
      <w:szCs w:val="18"/>
    </w:rPr>
  </w:style>
  <w:style w:type="character" w:customStyle="1" w:styleId="366">
    <w:name w:val="content"/>
    <w:qFormat/>
    <w:uiPriority w:val="0"/>
  </w:style>
  <w:style w:type="character" w:customStyle="1" w:styleId="367">
    <w:name w:val="tw4winPopup"/>
    <w:qFormat/>
    <w:uiPriority w:val="0"/>
    <w:rPr>
      <w:rFonts w:ascii="Courier New" w:hAnsi="Courier New" w:cs="Courier New"/>
      <w:color w:val="008000"/>
      <w:lang w:val="en-US" w:eastAsia="zh-CN"/>
    </w:rPr>
  </w:style>
  <w:style w:type="character" w:customStyle="1" w:styleId="368">
    <w:name w:val="param-name"/>
    <w:qFormat/>
    <w:uiPriority w:val="99"/>
    <w:rPr>
      <w:rFonts w:ascii="Arial" w:hAnsi="Arial" w:eastAsia="黑体" w:cs="Arial"/>
      <w:snapToGrid w:val="0"/>
      <w:kern w:val="0"/>
      <w:szCs w:val="21"/>
    </w:rPr>
  </w:style>
  <w:style w:type="character" w:customStyle="1" w:styleId="369">
    <w:name w:val="标准正文格式 Char"/>
    <w:qFormat/>
    <w:uiPriority w:val="0"/>
    <w:rPr>
      <w:rFonts w:ascii="宋体" w:eastAsia="仿宋_GB2312" w:cs="宋体"/>
      <w:color w:val="000000"/>
      <w:sz w:val="24"/>
      <w:lang w:val="en-US" w:eastAsia="zh-CN" w:bidi="ar-SA"/>
    </w:rPr>
  </w:style>
  <w:style w:type="character" w:customStyle="1" w:styleId="370">
    <w:name w:val="Char Char212"/>
    <w:qFormat/>
    <w:uiPriority w:val="0"/>
    <w:rPr>
      <w:rFonts w:eastAsia="宋体"/>
      <w:b/>
      <w:bCs/>
      <w:kern w:val="2"/>
      <w:sz w:val="21"/>
      <w:szCs w:val="24"/>
      <w:lang w:val="en-US" w:eastAsia="zh-CN" w:bidi="ar-SA"/>
    </w:rPr>
  </w:style>
  <w:style w:type="character" w:customStyle="1" w:styleId="371">
    <w:name w:val="文档结构图 Char"/>
    <w:qFormat/>
    <w:uiPriority w:val="0"/>
    <w:rPr>
      <w:rFonts w:eastAsia="宋体"/>
      <w:kern w:val="2"/>
      <w:sz w:val="21"/>
      <w:szCs w:val="24"/>
      <w:lang w:val="en-US" w:eastAsia="zh-CN" w:bidi="ar-SA"/>
    </w:rPr>
  </w:style>
  <w:style w:type="character" w:customStyle="1" w:styleId="372">
    <w:name w:val="zbggmain style9"/>
    <w:qFormat/>
    <w:uiPriority w:val="0"/>
  </w:style>
  <w:style w:type="character" w:customStyle="1" w:styleId="373">
    <w:name w:val="Char Char16"/>
    <w:qFormat/>
    <w:uiPriority w:val="6"/>
    <w:rPr>
      <w:kern w:val="1"/>
      <w:sz w:val="18"/>
      <w:szCs w:val="18"/>
    </w:rPr>
  </w:style>
  <w:style w:type="character" w:customStyle="1" w:styleId="374">
    <w:name w:val="font51"/>
    <w:qFormat/>
    <w:uiPriority w:val="0"/>
    <w:rPr>
      <w:rFonts w:hint="eastAsia" w:ascii="仿宋" w:hAnsi="仿宋" w:eastAsia="仿宋" w:cs="仿宋"/>
      <w:color w:val="000000"/>
      <w:sz w:val="20"/>
      <w:szCs w:val="20"/>
      <w:u w:val="none"/>
    </w:rPr>
  </w:style>
  <w:style w:type="character" w:customStyle="1" w:styleId="375">
    <w:name w:val="Char Char82"/>
    <w:qFormat/>
    <w:uiPriority w:val="0"/>
    <w:rPr>
      <w:rFonts w:eastAsia="宋体"/>
      <w:b/>
      <w:sz w:val="24"/>
      <w:lang w:val="en-GB" w:eastAsia="zh-CN"/>
    </w:rPr>
  </w:style>
  <w:style w:type="character" w:customStyle="1" w:styleId="376">
    <w:name w:val="正文文本缩进 3 字符"/>
    <w:link w:val="55"/>
    <w:qFormat/>
    <w:uiPriority w:val="0"/>
    <w:rPr>
      <w:kern w:val="2"/>
      <w:sz w:val="24"/>
    </w:rPr>
  </w:style>
  <w:style w:type="character" w:customStyle="1" w:styleId="377">
    <w:name w:val="日期 Char1"/>
    <w:semiHidden/>
    <w:qFormat/>
    <w:uiPriority w:val="99"/>
    <w:rPr>
      <w:rFonts w:ascii="Times New Roman" w:hAnsi="Times New Roman" w:eastAsia="宋体" w:cs="Times New Roman"/>
      <w:szCs w:val="24"/>
    </w:rPr>
  </w:style>
  <w:style w:type="character" w:customStyle="1" w:styleId="378">
    <w:name w:val="页眉 字符"/>
    <w:qFormat/>
    <w:uiPriority w:val="99"/>
    <w:rPr>
      <w:kern w:val="2"/>
      <w:sz w:val="18"/>
      <w:szCs w:val="18"/>
    </w:rPr>
  </w:style>
  <w:style w:type="character" w:customStyle="1" w:styleId="379">
    <w:name w:val="Char Char33"/>
    <w:qFormat/>
    <w:uiPriority w:val="6"/>
    <w:rPr>
      <w:rFonts w:ascii="Arial" w:hAnsi="Arial" w:eastAsia="黑体"/>
      <w:b/>
      <w:kern w:val="1"/>
      <w:sz w:val="24"/>
      <w:szCs w:val="24"/>
    </w:rPr>
  </w:style>
  <w:style w:type="character" w:customStyle="1" w:styleId="380">
    <w:name w:val="b11_01b Char"/>
    <w:link w:val="381"/>
    <w:qFormat/>
    <w:uiPriority w:val="0"/>
    <w:rPr>
      <w:rFonts w:ascii="Verdana" w:hAnsi="Verdana"/>
      <w:b/>
      <w:bCs/>
      <w:color w:val="4A82CA"/>
      <w:sz w:val="17"/>
      <w:szCs w:val="17"/>
    </w:rPr>
  </w:style>
  <w:style w:type="paragraph" w:customStyle="1" w:styleId="381">
    <w:name w:val="b11_01b"/>
    <w:basedOn w:val="1"/>
    <w:next w:val="1"/>
    <w:link w:val="380"/>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2">
    <w:name w:val="Char Char121"/>
    <w:qFormat/>
    <w:uiPriority w:val="6"/>
    <w:rPr>
      <w:rFonts w:ascii="仿宋_GB2312" w:eastAsia="仿宋_GB2312"/>
      <w:b/>
      <w:bCs/>
      <w:kern w:val="2"/>
      <w:sz w:val="24"/>
      <w:szCs w:val="24"/>
      <w:lang w:val="zh-CN" w:eastAsia="zh-CN" w:bidi="ar-SA"/>
    </w:rPr>
  </w:style>
  <w:style w:type="character" w:customStyle="1" w:styleId="383">
    <w:name w:val="Footer-Even Char"/>
    <w:qFormat/>
    <w:uiPriority w:val="0"/>
    <w:rPr>
      <w:rFonts w:eastAsia="宋体"/>
      <w:kern w:val="2"/>
      <w:sz w:val="18"/>
      <w:lang w:val="en-US" w:eastAsia="zh-CN" w:bidi="ar-SA"/>
    </w:rPr>
  </w:style>
  <w:style w:type="character" w:customStyle="1" w:styleId="384">
    <w:name w:val="页脚 字符2"/>
    <w:link w:val="42"/>
    <w:qFormat/>
    <w:locked/>
    <w:uiPriority w:val="99"/>
    <w:rPr>
      <w:kern w:val="2"/>
      <w:sz w:val="18"/>
      <w:szCs w:val="18"/>
    </w:rPr>
  </w:style>
  <w:style w:type="character" w:customStyle="1" w:styleId="385">
    <w:name w:val="Char Char36"/>
    <w:qFormat/>
    <w:uiPriority w:val="6"/>
    <w:rPr>
      <w:rFonts w:ascii="仿宋_GB2312" w:hAnsi="仿宋_GB2312" w:eastAsia="仿宋_GB2312" w:cs="Arial"/>
      <w:b/>
      <w:kern w:val="1"/>
      <w:sz w:val="32"/>
      <w:szCs w:val="32"/>
      <w:lang w:val="zh-CN" w:eastAsia="zh-CN" w:bidi="ar-SA"/>
    </w:rPr>
  </w:style>
  <w:style w:type="character" w:customStyle="1" w:styleId="386">
    <w:name w:val="Char Char61"/>
    <w:qFormat/>
    <w:uiPriority w:val="6"/>
    <w:rPr>
      <w:rFonts w:eastAsia="宋体"/>
      <w:kern w:val="2"/>
      <w:sz w:val="21"/>
      <w:szCs w:val="24"/>
      <w:lang w:val="en-US" w:eastAsia="zh-CN" w:bidi="ar-SA"/>
    </w:rPr>
  </w:style>
  <w:style w:type="character" w:customStyle="1" w:styleId="387">
    <w:name w:val="正文文字缩进 2 Char Char"/>
    <w:qFormat/>
    <w:uiPriority w:val="0"/>
    <w:rPr>
      <w:rFonts w:ascii="宋体"/>
      <w:sz w:val="28"/>
    </w:rPr>
  </w:style>
  <w:style w:type="character" w:customStyle="1" w:styleId="388">
    <w:name w:val="f141"/>
    <w:qFormat/>
    <w:uiPriority w:val="0"/>
    <w:rPr>
      <w:rFonts w:ascii="Tahoma" w:hAnsi="Tahoma" w:eastAsia="宋体"/>
      <w:b/>
      <w:kern w:val="2"/>
      <w:sz w:val="21"/>
      <w:szCs w:val="21"/>
      <w:lang w:val="en-US" w:eastAsia="zh-CN" w:bidi="ar-SA"/>
    </w:rPr>
  </w:style>
  <w:style w:type="character" w:customStyle="1" w:styleId="389">
    <w:name w:val="段落 Char Char"/>
    <w:link w:val="390"/>
    <w:qFormat/>
    <w:uiPriority w:val="0"/>
    <w:rPr>
      <w:rFonts w:ascii="宋体" w:hAnsi="宋体"/>
      <w:sz w:val="24"/>
    </w:rPr>
  </w:style>
  <w:style w:type="paragraph" w:customStyle="1" w:styleId="390">
    <w:name w:val="段落"/>
    <w:basedOn w:val="1"/>
    <w:link w:val="389"/>
    <w:qFormat/>
    <w:uiPriority w:val="0"/>
    <w:pPr>
      <w:adjustRightInd/>
      <w:spacing w:line="360" w:lineRule="auto"/>
      <w:ind w:firstLine="480" w:firstLineChars="200"/>
    </w:pPr>
    <w:rPr>
      <w:rFonts w:ascii="宋体" w:hAnsi="宋体"/>
      <w:kern w:val="0"/>
      <w:sz w:val="24"/>
      <w:szCs w:val="20"/>
    </w:rPr>
  </w:style>
  <w:style w:type="character" w:customStyle="1" w:styleId="391">
    <w:name w:val="标题 3 Char2"/>
    <w:qFormat/>
    <w:uiPriority w:val="0"/>
    <w:rPr>
      <w:rFonts w:eastAsia="宋体"/>
      <w:b/>
      <w:bCs/>
      <w:kern w:val="2"/>
      <w:sz w:val="32"/>
      <w:szCs w:val="32"/>
      <w:lang w:val="en-US" w:eastAsia="zh-CN" w:bidi="ar-SA"/>
    </w:rPr>
  </w:style>
  <w:style w:type="character" w:customStyle="1" w:styleId="392">
    <w:name w:val="apple-converted-space"/>
    <w:qFormat/>
    <w:uiPriority w:val="0"/>
  </w:style>
  <w:style w:type="character" w:customStyle="1" w:styleId="393">
    <w:name w:val="页眉 字符2"/>
    <w:link w:val="43"/>
    <w:qFormat/>
    <w:uiPriority w:val="99"/>
    <w:rPr>
      <w:kern w:val="2"/>
      <w:sz w:val="18"/>
      <w:szCs w:val="18"/>
    </w:rPr>
  </w:style>
  <w:style w:type="character" w:customStyle="1" w:styleId="394">
    <w:name w:val="Char Char9"/>
    <w:qFormat/>
    <w:uiPriority w:val="0"/>
    <w:rPr>
      <w:rFonts w:eastAsia="宋体"/>
      <w:kern w:val="2"/>
      <w:sz w:val="18"/>
      <w:szCs w:val="18"/>
      <w:lang w:val="en-US" w:eastAsia="zh-CN" w:bidi="ar-SA"/>
    </w:rPr>
  </w:style>
  <w:style w:type="character" w:customStyle="1" w:styleId="395">
    <w:name w:val="Char Char41"/>
    <w:qFormat/>
    <w:uiPriority w:val="0"/>
    <w:rPr>
      <w:rFonts w:eastAsia="宋体"/>
      <w:b/>
      <w:sz w:val="24"/>
      <w:lang w:val="en-GB" w:eastAsia="zh-CN" w:bidi="ar-SA"/>
    </w:rPr>
  </w:style>
  <w:style w:type="character" w:customStyle="1" w:styleId="396">
    <w:name w:val="large1"/>
    <w:qFormat/>
    <w:uiPriority w:val="0"/>
    <w:rPr>
      <w:rFonts w:hint="eastAsia" w:ascii="宋体" w:hAnsi="宋体" w:eastAsia="宋体"/>
      <w:sz w:val="21"/>
      <w:szCs w:val="21"/>
    </w:rPr>
  </w:style>
  <w:style w:type="character" w:customStyle="1" w:styleId="397">
    <w:name w:val="正文段 Char"/>
    <w:link w:val="398"/>
    <w:qFormat/>
    <w:uiPriority w:val="0"/>
    <w:rPr>
      <w:sz w:val="24"/>
    </w:rPr>
  </w:style>
  <w:style w:type="paragraph" w:customStyle="1" w:styleId="398">
    <w:name w:val="正文段"/>
    <w:basedOn w:val="1"/>
    <w:link w:val="397"/>
    <w:qFormat/>
    <w:uiPriority w:val="0"/>
    <w:pPr>
      <w:widowControl/>
      <w:snapToGrid w:val="0"/>
      <w:spacing w:after="156" w:afterLines="50"/>
      <w:ind w:firstLine="200" w:firstLineChars="200"/>
    </w:pPr>
    <w:rPr>
      <w:kern w:val="0"/>
      <w:sz w:val="24"/>
      <w:szCs w:val="20"/>
    </w:rPr>
  </w:style>
  <w:style w:type="character" w:customStyle="1" w:styleId="399">
    <w:name w:val="Char Char13"/>
    <w:qFormat/>
    <w:uiPriority w:val="6"/>
    <w:rPr>
      <w:rFonts w:ascii="宋体" w:hAnsi="宋体"/>
      <w:kern w:val="1"/>
      <w:sz w:val="21"/>
      <w:szCs w:val="24"/>
    </w:rPr>
  </w:style>
  <w:style w:type="character" w:customStyle="1" w:styleId="400">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1">
    <w:name w:val="冯广丽 Char"/>
    <w:link w:val="402"/>
    <w:qFormat/>
    <w:uiPriority w:val="0"/>
    <w:rPr>
      <w:rFonts w:ascii="宋体" w:hAnsi="宋体"/>
      <w:kern w:val="2"/>
      <w:sz w:val="24"/>
      <w:szCs w:val="22"/>
    </w:rPr>
  </w:style>
  <w:style w:type="paragraph" w:customStyle="1" w:styleId="402">
    <w:name w:val="冯广丽"/>
    <w:basedOn w:val="1"/>
    <w:link w:val="401"/>
    <w:qFormat/>
    <w:uiPriority w:val="0"/>
    <w:pPr>
      <w:adjustRightInd/>
      <w:spacing w:line="360" w:lineRule="auto"/>
      <w:ind w:firstLine="480" w:firstLineChars="200"/>
    </w:pPr>
    <w:rPr>
      <w:rFonts w:ascii="宋体" w:hAnsi="宋体"/>
      <w:sz w:val="24"/>
      <w:szCs w:val="22"/>
    </w:rPr>
  </w:style>
  <w:style w:type="character" w:customStyle="1" w:styleId="403">
    <w:name w:val="批注文字 字符"/>
    <w:qFormat/>
    <w:uiPriority w:val="0"/>
    <w:rPr>
      <w:rFonts w:ascii="Arial" w:hAnsi="Arial" w:eastAsia="黑体" w:cs="Arial"/>
      <w:snapToGrid w:val="0"/>
      <w:kern w:val="0"/>
      <w:szCs w:val="21"/>
    </w:rPr>
  </w:style>
  <w:style w:type="character" w:customStyle="1" w:styleId="404">
    <w:name w:val="Char Char161"/>
    <w:qFormat/>
    <w:uiPriority w:val="0"/>
    <w:rPr>
      <w:rFonts w:eastAsia="宋体"/>
      <w:b/>
      <w:kern w:val="2"/>
      <w:sz w:val="32"/>
      <w:lang w:val="en-US" w:eastAsia="zh-CN"/>
    </w:rPr>
  </w:style>
  <w:style w:type="character" w:customStyle="1" w:styleId="405">
    <w:name w:val="javascript"/>
    <w:qFormat/>
    <w:uiPriority w:val="0"/>
  </w:style>
  <w:style w:type="character" w:customStyle="1" w:styleId="406">
    <w:name w:val="图名 Char"/>
    <w:qFormat/>
    <w:uiPriority w:val="0"/>
    <w:rPr>
      <w:rFonts w:ascii="Arial" w:hAnsi="Arial" w:eastAsia="黑体"/>
      <w:kern w:val="2"/>
      <w:sz w:val="24"/>
      <w:szCs w:val="24"/>
      <w:lang w:val="en-US" w:eastAsia="zh-CN" w:bidi="ar-SA"/>
    </w:rPr>
  </w:style>
  <w:style w:type="character" w:customStyle="1" w:styleId="407">
    <w:name w:val="Used by Word for text of Help footnotes Char Char"/>
    <w:qFormat/>
    <w:uiPriority w:val="0"/>
    <w:rPr>
      <w:rFonts w:ascii="Times New Roman" w:hAnsi="Times New Roman" w:eastAsia="宋体" w:cs="Times New Roman"/>
      <w:sz w:val="20"/>
      <w:szCs w:val="20"/>
    </w:rPr>
  </w:style>
  <w:style w:type="character" w:customStyle="1" w:styleId="408">
    <w:name w:val="编号，小四 Char"/>
    <w:link w:val="409"/>
    <w:qFormat/>
    <w:uiPriority w:val="0"/>
    <w:rPr>
      <w:rFonts w:ascii="Arial" w:hAnsi="Arial"/>
      <w:sz w:val="24"/>
    </w:rPr>
  </w:style>
  <w:style w:type="paragraph" w:customStyle="1" w:styleId="409">
    <w:name w:val="编号，小四"/>
    <w:basedOn w:val="1"/>
    <w:link w:val="408"/>
    <w:qFormat/>
    <w:uiPriority w:val="0"/>
    <w:pPr>
      <w:tabs>
        <w:tab w:val="left" w:pos="432"/>
      </w:tabs>
      <w:adjustRightInd/>
      <w:spacing w:line="360" w:lineRule="auto"/>
      <w:ind w:left="432" w:hanging="432"/>
    </w:pPr>
    <w:rPr>
      <w:rFonts w:ascii="Arial" w:hAnsi="Arial"/>
      <w:kern w:val="0"/>
      <w:sz w:val="24"/>
      <w:szCs w:val="20"/>
    </w:rPr>
  </w:style>
  <w:style w:type="character" w:customStyle="1" w:styleId="410">
    <w:name w:val="Font Style82"/>
    <w:qFormat/>
    <w:uiPriority w:val="99"/>
    <w:rPr>
      <w:rFonts w:ascii="宋体" w:eastAsia="宋体" w:cs="宋体"/>
      <w:color w:val="000000"/>
      <w:sz w:val="14"/>
      <w:szCs w:val="14"/>
    </w:rPr>
  </w:style>
  <w:style w:type="character" w:customStyle="1" w:styleId="411">
    <w:name w:val="标题 2 Char Char"/>
    <w:qFormat/>
    <w:uiPriority w:val="0"/>
    <w:rPr>
      <w:rFonts w:ascii="楷体_GB2312" w:hAnsi="Arial" w:eastAsia="楷体_GB2312"/>
      <w:b/>
      <w:bCs/>
      <w:kern w:val="2"/>
      <w:sz w:val="24"/>
      <w:szCs w:val="32"/>
      <w:lang w:val="en-US" w:eastAsia="zh-CN" w:bidi="ar-SA"/>
    </w:rPr>
  </w:style>
  <w:style w:type="character" w:customStyle="1" w:styleId="412">
    <w:name w:val="未用 Char"/>
    <w:qFormat/>
    <w:uiPriority w:val="0"/>
    <w:rPr>
      <w:rFonts w:ascii="Arial" w:hAnsi="Arial" w:eastAsia="黑体"/>
      <w:kern w:val="2"/>
      <w:sz w:val="21"/>
      <w:szCs w:val="21"/>
      <w:lang w:val="en-US" w:eastAsia="zh-CN" w:bidi="ar-SA"/>
    </w:rPr>
  </w:style>
  <w:style w:type="character" w:customStyle="1" w:styleId="413">
    <w:name w:val="myp1111"/>
    <w:qFormat/>
    <w:uiPriority w:val="0"/>
    <w:rPr>
      <w:rFonts w:hint="default" w:ascii="ˎ̥" w:hAnsi="ˎ̥"/>
      <w:color w:val="000000"/>
      <w:sz w:val="20"/>
      <w:szCs w:val="20"/>
      <w:u w:val="none"/>
    </w:rPr>
  </w:style>
  <w:style w:type="character" w:customStyle="1" w:styleId="414">
    <w:name w:val="样式 标题 4h4H4Fab-4T5Ref Heading 1rh1Heading sqlsect 1.2.3.... Char"/>
    <w:link w:val="306"/>
    <w:qFormat/>
    <w:uiPriority w:val="0"/>
    <w:rPr>
      <w:rFonts w:ascii="微软雅黑" w:hAnsi="微软雅黑" w:eastAsia="微软雅黑"/>
      <w:b/>
      <w:bCs/>
      <w:kern w:val="2"/>
      <w:sz w:val="24"/>
      <w:szCs w:val="28"/>
    </w:rPr>
  </w:style>
  <w:style w:type="character" w:customStyle="1" w:styleId="415">
    <w:name w:val="h Char Char"/>
    <w:qFormat/>
    <w:uiPriority w:val="0"/>
    <w:rPr>
      <w:rFonts w:eastAsia="宋体"/>
      <w:kern w:val="2"/>
      <w:sz w:val="18"/>
      <w:lang w:val="en-US" w:eastAsia="zh-CN" w:bidi="ar-SA"/>
    </w:rPr>
  </w:style>
  <w:style w:type="character" w:customStyle="1" w:styleId="416">
    <w:name w:val="仿宋正文 Char"/>
    <w:link w:val="417"/>
    <w:qFormat/>
    <w:uiPriority w:val="0"/>
    <w:rPr>
      <w:rFonts w:ascii="仿宋_GB2312" w:eastAsia="仿宋_GB2312"/>
      <w:kern w:val="2"/>
      <w:sz w:val="24"/>
      <w:lang w:val="en-US" w:eastAsia="zh-CN" w:bidi="ar-SA"/>
    </w:rPr>
  </w:style>
  <w:style w:type="paragraph" w:customStyle="1" w:styleId="417">
    <w:name w:val="仿宋正文"/>
    <w:basedOn w:val="1"/>
    <w:link w:val="416"/>
    <w:qFormat/>
    <w:uiPriority w:val="0"/>
    <w:pPr>
      <w:adjustRightInd/>
      <w:spacing w:line="360" w:lineRule="auto"/>
      <w:ind w:firstLine="480" w:firstLineChars="200"/>
    </w:pPr>
    <w:rPr>
      <w:rFonts w:ascii="仿宋_GB2312" w:eastAsia="仿宋_GB2312"/>
      <w:sz w:val="24"/>
      <w:szCs w:val="20"/>
    </w:rPr>
  </w:style>
  <w:style w:type="character" w:customStyle="1" w:styleId="418">
    <w:name w:val="正文首行缩进 Char Char Char Char Char Char"/>
    <w:qFormat/>
    <w:uiPriority w:val="0"/>
    <w:rPr>
      <w:rFonts w:ascii="宋体" w:eastAsia="宋体"/>
      <w:kern w:val="2"/>
      <w:sz w:val="24"/>
      <w:lang w:val="zh-CN" w:bidi="ar-SA"/>
    </w:rPr>
  </w:style>
  <w:style w:type="character" w:customStyle="1" w:styleId="419">
    <w:name w:val="样式 宋体"/>
    <w:qFormat/>
    <w:uiPriority w:val="0"/>
    <w:rPr>
      <w:rFonts w:ascii="宋体" w:hAnsi="宋体"/>
      <w:sz w:val="24"/>
    </w:rPr>
  </w:style>
  <w:style w:type="character" w:customStyle="1" w:styleId="420">
    <w:name w:val="tw4winJump"/>
    <w:qFormat/>
    <w:uiPriority w:val="0"/>
    <w:rPr>
      <w:rFonts w:ascii="Courier New" w:hAnsi="Courier New" w:cs="Courier New"/>
      <w:color w:val="008080"/>
      <w:lang w:val="en-US" w:eastAsia="zh-CN"/>
    </w:rPr>
  </w:style>
  <w:style w:type="character" w:customStyle="1" w:styleId="421">
    <w:name w:val="标题 1 字符"/>
    <w:qFormat/>
    <w:uiPriority w:val="99"/>
    <w:rPr>
      <w:rFonts w:ascii="Arial" w:hAnsi="Arial" w:eastAsia="黑体" w:cs="Arial"/>
      <w:b/>
      <w:bCs/>
      <w:snapToGrid w:val="0"/>
      <w:kern w:val="44"/>
      <w:sz w:val="44"/>
      <w:szCs w:val="44"/>
    </w:rPr>
  </w:style>
  <w:style w:type="character" w:customStyle="1" w:styleId="422">
    <w:name w:val="style36"/>
    <w:basedOn w:val="72"/>
    <w:qFormat/>
    <w:uiPriority w:val="0"/>
    <w:rPr>
      <w:rFonts w:ascii="Arial" w:hAnsi="Arial" w:eastAsia="黑体" w:cs="Arial"/>
      <w:snapToGrid w:val="0"/>
      <w:kern w:val="0"/>
      <w:szCs w:val="21"/>
    </w:rPr>
  </w:style>
  <w:style w:type="character" w:customStyle="1" w:styleId="423">
    <w:name w:val="pt9"/>
    <w:qFormat/>
    <w:uiPriority w:val="0"/>
    <w:rPr>
      <w:rFonts w:ascii="仿宋_GB2312" w:eastAsia="微软雅黑"/>
      <w:b/>
      <w:kern w:val="2"/>
      <w:sz w:val="32"/>
      <w:szCs w:val="32"/>
      <w:lang w:val="en-US" w:eastAsia="zh-CN" w:bidi="ar-SA"/>
    </w:rPr>
  </w:style>
  <w:style w:type="character" w:customStyle="1" w:styleId="424">
    <w:name w:val="DO_NOT_TRANSLATE"/>
    <w:qFormat/>
    <w:uiPriority w:val="0"/>
    <w:rPr>
      <w:rFonts w:ascii="Courier New" w:hAnsi="Courier New" w:cs="Courier New"/>
      <w:color w:val="800000"/>
      <w:lang w:val="en-US" w:eastAsia="zh-CN"/>
    </w:rPr>
  </w:style>
  <w:style w:type="character" w:customStyle="1" w:styleId="425">
    <w:name w:val="标书1 Char1"/>
    <w:qFormat/>
    <w:uiPriority w:val="0"/>
    <w:rPr>
      <w:rFonts w:eastAsia="宋体"/>
      <w:b/>
      <w:bCs/>
      <w:kern w:val="44"/>
      <w:sz w:val="44"/>
      <w:szCs w:val="44"/>
      <w:lang w:val="en-US" w:eastAsia="zh-CN" w:bidi="ar-SA"/>
    </w:rPr>
  </w:style>
  <w:style w:type="character" w:customStyle="1" w:styleId="426">
    <w:name w:val="页脚 字符"/>
    <w:qFormat/>
    <w:uiPriority w:val="99"/>
    <w:rPr>
      <w:kern w:val="2"/>
      <w:sz w:val="18"/>
      <w:szCs w:val="18"/>
    </w:rPr>
  </w:style>
  <w:style w:type="character" w:customStyle="1" w:styleId="427">
    <w:name w:val="正文2 Char"/>
    <w:qFormat/>
    <w:uiPriority w:val="0"/>
    <w:rPr>
      <w:rFonts w:eastAsia="宋体"/>
      <w:kern w:val="2"/>
      <w:sz w:val="24"/>
      <w:lang w:val="en-US" w:eastAsia="zh-CN" w:bidi="ar-SA"/>
    </w:rPr>
  </w:style>
  <w:style w:type="character" w:customStyle="1" w:styleId="428">
    <w:name w:val="Char Char21"/>
    <w:qFormat/>
    <w:uiPriority w:val="6"/>
    <w:rPr>
      <w:rFonts w:ascii="宋体" w:hAnsi="宋体"/>
      <w:kern w:val="1"/>
      <w:sz w:val="24"/>
      <w:szCs w:val="21"/>
      <w:lang w:val="zh-CN"/>
    </w:rPr>
  </w:style>
  <w:style w:type="character" w:customStyle="1" w:styleId="429">
    <w:name w:val="样式 正文缩进 + 首行缩进:  2 字符 Char Char"/>
    <w:link w:val="430"/>
    <w:qFormat/>
    <w:uiPriority w:val="0"/>
    <w:rPr>
      <w:rFonts w:cs="宋体"/>
      <w:kern w:val="2"/>
      <w:sz w:val="24"/>
    </w:rPr>
  </w:style>
  <w:style w:type="paragraph" w:customStyle="1" w:styleId="430">
    <w:name w:val="样式 正文缩进 + 首行缩进:  2 字符"/>
    <w:basedOn w:val="19"/>
    <w:link w:val="429"/>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1">
    <w:name w:val="正文文本 字符"/>
    <w:link w:val="4"/>
    <w:qFormat/>
    <w:uiPriority w:val="0"/>
    <w:rPr>
      <w:rFonts w:ascii="宋体" w:hAnsi="Arial" w:eastAsia="宋体" w:cs="Arial"/>
      <w:snapToGrid w:val="0"/>
      <w:kern w:val="2"/>
      <w:sz w:val="24"/>
      <w:szCs w:val="21"/>
      <w:lang w:val="zh-CN" w:eastAsia="zh-CN" w:bidi="ar-SA"/>
    </w:rPr>
  </w:style>
  <w:style w:type="character" w:customStyle="1" w:styleId="432">
    <w:name w:val="gray6"/>
    <w:basedOn w:val="72"/>
    <w:qFormat/>
    <w:uiPriority w:val="0"/>
    <w:rPr>
      <w:rFonts w:ascii="Arial" w:hAnsi="Arial" w:eastAsia="黑体" w:cs="Arial"/>
      <w:snapToGrid w:val="0"/>
      <w:kern w:val="0"/>
      <w:szCs w:val="21"/>
    </w:rPr>
  </w:style>
  <w:style w:type="character" w:customStyle="1" w:styleId="433">
    <w:name w:val="hui"/>
    <w:basedOn w:val="72"/>
    <w:qFormat/>
    <w:uiPriority w:val="0"/>
    <w:rPr>
      <w:rFonts w:ascii="Arial" w:hAnsi="Arial" w:eastAsia="黑体" w:cs="Arial"/>
      <w:snapToGrid w:val="0"/>
      <w:kern w:val="0"/>
      <w:szCs w:val="21"/>
    </w:rPr>
  </w:style>
  <w:style w:type="character" w:customStyle="1" w:styleId="434">
    <w:name w:val="哈哈正文 Char Char"/>
    <w:qFormat/>
    <w:uiPriority w:val="0"/>
    <w:rPr>
      <w:rFonts w:ascii="宋体" w:hAnsi="宋体" w:eastAsia="宋体" w:cs="宋体"/>
      <w:kern w:val="2"/>
      <w:sz w:val="24"/>
      <w:lang w:val="en-US" w:eastAsia="zh-CN" w:bidi="ar-SA"/>
    </w:rPr>
  </w:style>
  <w:style w:type="paragraph" w:customStyle="1" w:styleId="435">
    <w:name w:val="样式 正文文本缩进 + 左侧:  2 字符 首行缩进:  2 字符"/>
    <w:basedOn w:val="20"/>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6">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7">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8">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9">
    <w:name w:val="目录标题"/>
    <w:basedOn w:val="440"/>
    <w:next w:val="440"/>
    <w:qFormat/>
    <w:uiPriority w:val="0"/>
    <w:pPr>
      <w:autoSpaceDE w:val="0"/>
      <w:autoSpaceDN w:val="0"/>
      <w:spacing w:before="566" w:after="544" w:line="566" w:lineRule="atLeast"/>
      <w:ind w:firstLine="419" w:firstLineChars="200"/>
    </w:pPr>
    <w:rPr>
      <w:rFonts w:ascii="Arial" w:hAnsi="Arial"/>
      <w:color w:val="000000"/>
      <w:spacing w:val="565"/>
      <w:kern w:val="0"/>
      <w:sz w:val="54"/>
      <w:szCs w:val="54"/>
    </w:rPr>
  </w:style>
  <w:style w:type="paragraph" w:customStyle="1" w:styleId="440">
    <w:name w:val="第一部分"/>
    <w:basedOn w:val="1"/>
    <w:qFormat/>
    <w:uiPriority w:val="0"/>
    <w:pPr>
      <w:jc w:val="center"/>
    </w:pPr>
    <w:rPr>
      <w:b/>
      <w:sz w:val="36"/>
    </w:rPr>
  </w:style>
  <w:style w:type="paragraph" w:customStyle="1" w:styleId="441">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2">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3">
    <w:name w:val="标题4_自定义"/>
    <w:basedOn w:val="8"/>
    <w:qFormat/>
    <w:uiPriority w:val="0"/>
    <w:pPr>
      <w:adjustRightInd/>
      <w:spacing w:before="0" w:after="0" w:line="360" w:lineRule="auto"/>
    </w:pPr>
    <w:rPr>
      <w:rFonts w:ascii="Verdana" w:eastAsia="Verdana"/>
      <w:sz w:val="21"/>
      <w:lang w:val="en-US"/>
    </w:rPr>
  </w:style>
  <w:style w:type="paragraph" w:customStyle="1" w:styleId="444">
    <w:name w:val="正文 内标 序号标"/>
    <w:basedOn w:val="445"/>
    <w:qFormat/>
    <w:uiPriority w:val="0"/>
    <w:pPr>
      <w:tabs>
        <w:tab w:val="left" w:pos="0"/>
      </w:tabs>
      <w:adjustRightInd/>
      <w:spacing w:before="0"/>
      <w:ind w:firstLine="482"/>
    </w:pPr>
    <w:rPr>
      <w:rFonts w:ascii="微软雅黑" w:hAnsi="微软雅黑"/>
      <w:sz w:val="24"/>
      <w:szCs w:val="24"/>
    </w:rPr>
  </w:style>
  <w:style w:type="paragraph" w:customStyle="1" w:styleId="445">
    <w:name w:val="My正文"/>
    <w:basedOn w:val="1"/>
    <w:qFormat/>
    <w:uiPriority w:val="0"/>
    <w:pPr>
      <w:spacing w:before="120" w:line="360" w:lineRule="auto"/>
      <w:ind w:firstLine="567"/>
    </w:pPr>
    <w:rPr>
      <w:rFonts w:ascii="Arial" w:hAnsi="Arial"/>
      <w:sz w:val="20"/>
      <w:szCs w:val="20"/>
    </w:rPr>
  </w:style>
  <w:style w:type="paragraph" w:customStyle="1" w:styleId="446">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7">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8">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9">
    <w:name w:val="修订2"/>
    <w:qFormat/>
    <w:uiPriority w:val="0"/>
    <w:rPr>
      <w:rFonts w:ascii="Times New Roman" w:hAnsi="Times New Roman" w:eastAsia="宋体" w:cs="Times New Roman"/>
      <w:kern w:val="2"/>
      <w:sz w:val="21"/>
      <w:lang w:val="en-US" w:eastAsia="zh-CN" w:bidi="ar-SA"/>
    </w:rPr>
  </w:style>
  <w:style w:type="paragraph" w:customStyle="1" w:styleId="450">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51">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2">
    <w:name w:val="文章标题"/>
    <w:next w:val="453"/>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3">
    <w:name w:val="封面公司名"/>
    <w:qFormat/>
    <w:uiPriority w:val="0"/>
    <w:pPr>
      <w:jc w:val="center"/>
    </w:pPr>
    <w:rPr>
      <w:rFonts w:ascii="Arial" w:hAnsi="Arial" w:eastAsia="楷体_GB2312" w:cs="宋体"/>
      <w:bCs/>
      <w:kern w:val="2"/>
      <w:sz w:val="28"/>
      <w:lang w:val="en-US" w:eastAsia="zh-CN" w:bidi="ar-SA"/>
    </w:rPr>
  </w:style>
  <w:style w:type="paragraph" w:customStyle="1" w:styleId="454">
    <w:name w:val="Char1 Char Char Char5"/>
    <w:basedOn w:val="1"/>
    <w:qFormat/>
    <w:uiPriority w:val="0"/>
    <w:pPr>
      <w:adjustRightInd/>
      <w:ind w:firstLine="200" w:firstLineChars="200"/>
    </w:pPr>
    <w:rPr>
      <w:rFonts w:ascii="Tahoma" w:hAnsi="Tahoma"/>
      <w:sz w:val="24"/>
      <w:szCs w:val="20"/>
    </w:rPr>
  </w:style>
  <w:style w:type="paragraph" w:customStyle="1" w:styleId="455">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6">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7">
    <w:name w:val="Char Char Char Char Char Char Char Char"/>
    <w:basedOn w:val="1"/>
    <w:qFormat/>
    <w:uiPriority w:val="0"/>
    <w:pPr>
      <w:tabs>
        <w:tab w:val="left" w:pos="360"/>
      </w:tabs>
    </w:pPr>
    <w:rPr>
      <w:sz w:val="24"/>
      <w:szCs w:val="20"/>
    </w:rPr>
  </w:style>
  <w:style w:type="paragraph" w:customStyle="1" w:styleId="458">
    <w:name w:val="Char Char11 Char Char Char"/>
    <w:basedOn w:val="1"/>
    <w:qFormat/>
    <w:uiPriority w:val="0"/>
    <w:pPr>
      <w:spacing w:line="360" w:lineRule="auto"/>
    </w:pPr>
    <w:rPr>
      <w:szCs w:val="20"/>
    </w:rPr>
  </w:style>
  <w:style w:type="paragraph" w:customStyle="1" w:styleId="459">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60">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61">
    <w:name w:val="样式3"/>
    <w:basedOn w:val="462"/>
    <w:qFormat/>
    <w:uiPriority w:val="0"/>
    <w:pPr>
      <w:tabs>
        <w:tab w:val="left" w:pos="2790"/>
        <w:tab w:val="left" w:pos="4230"/>
      </w:tabs>
      <w:spacing w:before="312" w:beforeLines="100"/>
      <w:jc w:val="left"/>
    </w:pPr>
  </w:style>
  <w:style w:type="paragraph" w:customStyle="1" w:styleId="462">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3">
    <w:name w:val="Char Char1 Char Char1 Char Char1"/>
    <w:basedOn w:val="1"/>
    <w:qFormat/>
    <w:uiPriority w:val="0"/>
    <w:pPr>
      <w:tabs>
        <w:tab w:val="left" w:pos="840"/>
      </w:tabs>
      <w:ind w:left="840" w:hanging="420"/>
    </w:pPr>
    <w:rPr>
      <w:rFonts w:ascii="Tahoma" w:hAnsi="Tahoma"/>
      <w:sz w:val="24"/>
    </w:rPr>
  </w:style>
  <w:style w:type="paragraph" w:customStyle="1" w:styleId="464">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5">
    <w:name w:val="标书标题2"/>
    <w:basedOn w:val="6"/>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6">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7">
    <w:name w:val="正文21"/>
    <w:basedOn w:val="1"/>
    <w:qFormat/>
    <w:uiPriority w:val="0"/>
    <w:pPr>
      <w:adjustRightInd/>
      <w:spacing w:before="156" w:line="360" w:lineRule="auto"/>
      <w:ind w:firstLine="510" w:firstLineChars="200"/>
    </w:pPr>
    <w:rPr>
      <w:sz w:val="24"/>
      <w:szCs w:val="20"/>
    </w:rPr>
  </w:style>
  <w:style w:type="paragraph" w:customStyle="1" w:styleId="468">
    <w:name w:val="Test2"/>
    <w:basedOn w:val="6"/>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9">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70">
    <w:name w:val="Char1"/>
    <w:basedOn w:val="1"/>
    <w:qFormat/>
    <w:uiPriority w:val="0"/>
    <w:rPr>
      <w:rFonts w:ascii="仿宋_GB2312" w:eastAsia="仿宋_GB2312"/>
      <w:b/>
      <w:sz w:val="32"/>
      <w:szCs w:val="32"/>
    </w:rPr>
  </w:style>
  <w:style w:type="paragraph" w:customStyle="1" w:styleId="471">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2">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3">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4">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5">
    <w:name w:val="6级标题"/>
    <w:basedOn w:val="476"/>
    <w:qFormat/>
    <w:uiPriority w:val="0"/>
    <w:pPr>
      <w:keepNext/>
      <w:tabs>
        <w:tab w:val="left" w:pos="360"/>
      </w:tabs>
      <w:spacing w:before="0" w:after="0"/>
      <w:outlineLvl w:val="5"/>
    </w:pPr>
  </w:style>
  <w:style w:type="paragraph" w:customStyle="1" w:styleId="476">
    <w:name w:val="5级标题"/>
    <w:basedOn w:val="477"/>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7">
    <w:name w:val="4级标题"/>
    <w:basedOn w:val="259"/>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8">
    <w:name w:val="样式 正文文本缩进 + 段前: 2 字符"/>
    <w:basedOn w:val="1"/>
    <w:qFormat/>
    <w:uiPriority w:val="0"/>
    <w:pPr>
      <w:adjustRightInd/>
      <w:ind w:left="420" w:leftChars="200"/>
      <w:jc w:val="left"/>
    </w:pPr>
    <w:rPr>
      <w:sz w:val="28"/>
      <w:szCs w:val="20"/>
      <w:lang w:eastAsia="zh-TW"/>
    </w:rPr>
  </w:style>
  <w:style w:type="paragraph" w:customStyle="1" w:styleId="479">
    <w:name w:val="Char2 Char Char"/>
    <w:basedOn w:val="1"/>
    <w:qFormat/>
    <w:uiPriority w:val="0"/>
    <w:pPr>
      <w:adjustRightInd/>
    </w:pPr>
    <w:rPr>
      <w:rFonts w:ascii="Tahoma" w:hAnsi="Tahoma"/>
      <w:sz w:val="24"/>
      <w:szCs w:val="20"/>
    </w:rPr>
  </w:style>
  <w:style w:type="paragraph" w:customStyle="1" w:styleId="480">
    <w:name w:val="_Style 11"/>
    <w:basedOn w:val="1"/>
    <w:qFormat/>
    <w:uiPriority w:val="34"/>
    <w:pPr>
      <w:adjustRightInd/>
      <w:ind w:firstLine="420" w:firstLineChars="200"/>
    </w:pPr>
    <w:rPr>
      <w:rFonts w:eastAsia="仿宋_GB2312"/>
      <w:sz w:val="28"/>
    </w:rPr>
  </w:style>
  <w:style w:type="paragraph" w:customStyle="1" w:styleId="481">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2">
    <w:name w:val="Char Char Char"/>
    <w:basedOn w:val="1"/>
    <w:qFormat/>
    <w:uiPriority w:val="0"/>
    <w:rPr>
      <w:rFonts w:ascii="Tahoma" w:hAnsi="Tahoma"/>
      <w:sz w:val="24"/>
      <w:szCs w:val="20"/>
    </w:rPr>
  </w:style>
  <w:style w:type="paragraph" w:customStyle="1" w:styleId="483">
    <w:name w:val="数字标题6"/>
    <w:basedOn w:val="10"/>
    <w:next w:val="1"/>
    <w:qFormat/>
    <w:uiPriority w:val="0"/>
    <w:pPr>
      <w:tabs>
        <w:tab w:val="left" w:pos="1080"/>
      </w:tabs>
      <w:ind w:left="1080" w:hanging="1080"/>
    </w:pPr>
    <w:rPr>
      <w:rFonts w:ascii="Times New Roman" w:hAnsi="Times New Roman" w:eastAsia="宋体"/>
      <w:i/>
    </w:rPr>
  </w:style>
  <w:style w:type="paragraph" w:customStyle="1" w:styleId="484">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485">
    <w:name w:val="无间隔2"/>
    <w:basedOn w:val="1"/>
    <w:link w:val="933"/>
    <w:qFormat/>
    <w:uiPriority w:val="99"/>
    <w:rPr>
      <w:szCs w:val="22"/>
    </w:rPr>
  </w:style>
  <w:style w:type="paragraph" w:customStyle="1" w:styleId="486">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7">
    <w:name w:val="Char Char Char Char Char Char Char Char Char Char Char Char1 Char1"/>
    <w:basedOn w:val="1"/>
    <w:qFormat/>
    <w:uiPriority w:val="6"/>
    <w:rPr>
      <w:rFonts w:ascii="Tahoma" w:hAnsi="Tahoma" w:cs="仿宋_GB2312"/>
      <w:sz w:val="24"/>
      <w:szCs w:val="20"/>
    </w:rPr>
  </w:style>
  <w:style w:type="paragraph" w:customStyle="1" w:styleId="488">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9">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90">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91">
    <w:name w:val="MM Topic 2"/>
    <w:basedOn w:val="6"/>
    <w:qFormat/>
    <w:uiPriority w:val="0"/>
    <w:pPr>
      <w:tabs>
        <w:tab w:val="left" w:pos="1260"/>
      </w:tabs>
      <w:ind w:left="1260" w:hanging="420"/>
    </w:pPr>
    <w:rPr>
      <w:rFonts w:ascii="Arial" w:hAnsi="Arial" w:eastAsia="黑体"/>
      <w:lang w:val="en-US"/>
    </w:rPr>
  </w:style>
  <w:style w:type="paragraph" w:customStyle="1" w:styleId="492">
    <w:name w:val="五级无标题条"/>
    <w:basedOn w:val="1"/>
    <w:qFormat/>
    <w:uiPriority w:val="0"/>
    <w:pPr>
      <w:adjustRightInd/>
    </w:pPr>
  </w:style>
  <w:style w:type="paragraph" w:customStyle="1" w:styleId="493">
    <w:name w:val="Char5"/>
    <w:basedOn w:val="1"/>
    <w:qFormat/>
    <w:uiPriority w:val="0"/>
    <w:rPr>
      <w:rFonts w:ascii="仿宋_GB2312" w:eastAsia="仿宋_GB2312"/>
      <w:b/>
      <w:sz w:val="32"/>
      <w:szCs w:val="32"/>
    </w:rPr>
  </w:style>
  <w:style w:type="paragraph" w:customStyle="1" w:styleId="494">
    <w:name w:val="TOC 标题1"/>
    <w:basedOn w:val="5"/>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5">
    <w:name w:val="彩色列表 - 强调文字颜色 12"/>
    <w:basedOn w:val="1"/>
    <w:qFormat/>
    <w:uiPriority w:val="0"/>
    <w:pPr>
      <w:adjustRightInd/>
      <w:ind w:firstLine="420" w:firstLineChars="200"/>
    </w:pPr>
    <w:rPr>
      <w:rFonts w:ascii="Calibri" w:hAnsi="Calibri"/>
      <w:szCs w:val="22"/>
    </w:rPr>
  </w:style>
  <w:style w:type="paragraph" w:customStyle="1" w:styleId="496">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7">
    <w:name w:val="Char2"/>
    <w:basedOn w:val="1"/>
    <w:qFormat/>
    <w:uiPriority w:val="0"/>
    <w:rPr>
      <w:rFonts w:ascii="仿宋_GB2312" w:eastAsia="仿宋_GB2312"/>
      <w:b/>
      <w:sz w:val="32"/>
      <w:szCs w:val="32"/>
    </w:rPr>
  </w:style>
  <w:style w:type="paragraph" w:customStyle="1" w:styleId="498">
    <w:name w:val="数字标题3"/>
    <w:basedOn w:val="7"/>
    <w:next w:val="1"/>
    <w:qFormat/>
    <w:uiPriority w:val="0"/>
    <w:pPr>
      <w:spacing w:line="240" w:lineRule="auto"/>
    </w:pPr>
    <w:rPr>
      <w:sz w:val="28"/>
      <w:szCs w:val="28"/>
    </w:rPr>
  </w:style>
  <w:style w:type="paragraph" w:customStyle="1" w:styleId="499">
    <w:name w:val="FA正文"/>
    <w:basedOn w:val="1"/>
    <w:qFormat/>
    <w:uiPriority w:val="0"/>
    <w:pPr>
      <w:spacing w:line="360" w:lineRule="auto"/>
      <w:ind w:firstLine="480" w:firstLineChars="200"/>
    </w:pPr>
    <w:rPr>
      <w:rFonts w:hAnsi="宋体"/>
      <w:sz w:val="24"/>
      <w:szCs w:val="20"/>
    </w:rPr>
  </w:style>
  <w:style w:type="paragraph" w:customStyle="1" w:styleId="500">
    <w:name w:val="MM Topic 5"/>
    <w:basedOn w:val="9"/>
    <w:qFormat/>
    <w:uiPriority w:val="0"/>
    <w:pPr>
      <w:tabs>
        <w:tab w:val="left" w:pos="2520"/>
      </w:tabs>
      <w:adjustRightInd/>
      <w:ind w:left="2520" w:hanging="420"/>
    </w:pPr>
  </w:style>
  <w:style w:type="paragraph" w:customStyle="1" w:styleId="501">
    <w:name w:val="Char Char Char Char Char Char Char Char Char Char1"/>
    <w:basedOn w:val="1"/>
    <w:qFormat/>
    <w:uiPriority w:val="0"/>
    <w:rPr>
      <w:rFonts w:ascii="仿宋_GB2312" w:eastAsia="仿宋_GB2312"/>
      <w:b/>
      <w:sz w:val="32"/>
      <w:szCs w:val="32"/>
    </w:rPr>
  </w:style>
  <w:style w:type="paragraph" w:customStyle="1" w:styleId="502">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3">
    <w:name w:val="修订1"/>
    <w:qFormat/>
    <w:uiPriority w:val="3"/>
    <w:rPr>
      <w:rFonts w:ascii="Times New Roman" w:hAnsi="Times New Roman" w:eastAsia="宋体" w:cs="Times New Roman"/>
      <w:color w:val="000000"/>
      <w:kern w:val="1"/>
      <w:sz w:val="21"/>
      <w:lang w:val="en-US" w:eastAsia="zh-CN" w:bidi="ar-SA"/>
    </w:rPr>
  </w:style>
  <w:style w:type="paragraph" w:customStyle="1" w:styleId="504">
    <w:name w:val="Char2 Char Char Char"/>
    <w:basedOn w:val="1"/>
    <w:qFormat/>
    <w:uiPriority w:val="0"/>
    <w:rPr>
      <w:rFonts w:ascii="仿宋_GB2312" w:eastAsia="仿宋_GB2312"/>
      <w:b/>
      <w:sz w:val="32"/>
      <w:szCs w:val="32"/>
    </w:rPr>
  </w:style>
  <w:style w:type="paragraph" w:customStyle="1" w:styleId="505">
    <w:name w:val="Char2 Char Char Char1"/>
    <w:basedOn w:val="1"/>
    <w:qFormat/>
    <w:uiPriority w:val="6"/>
    <w:rPr>
      <w:rFonts w:ascii="仿宋_GB2312" w:eastAsia="仿宋_GB2312"/>
      <w:b/>
      <w:sz w:val="32"/>
      <w:szCs w:val="32"/>
    </w:rPr>
  </w:style>
  <w:style w:type="paragraph" w:customStyle="1" w:styleId="506">
    <w:name w:val="默认段落样式"/>
    <w:basedOn w:val="132"/>
    <w:qFormat/>
    <w:uiPriority w:val="0"/>
    <w:pPr>
      <w:spacing w:before="0"/>
      <w:ind w:firstLine="480"/>
      <w:outlineLvl w:val="2"/>
    </w:pPr>
    <w:rPr>
      <w:rFonts w:ascii="仿宋_GB2312" w:hAnsi="宋体" w:eastAsia="仿宋_GB2312"/>
      <w:color w:val="000000"/>
      <w:szCs w:val="24"/>
    </w:rPr>
  </w:style>
  <w:style w:type="paragraph" w:customStyle="1" w:styleId="507">
    <w:name w:val="图中文字"/>
    <w:basedOn w:val="1"/>
    <w:qFormat/>
    <w:uiPriority w:val="0"/>
    <w:pPr>
      <w:snapToGrid w:val="0"/>
      <w:spacing w:line="0" w:lineRule="atLeast"/>
      <w:ind w:firstLine="200" w:firstLineChars="200"/>
      <w:jc w:val="center"/>
    </w:pPr>
    <w:rPr>
      <w:sz w:val="24"/>
      <w:szCs w:val="20"/>
    </w:rPr>
  </w:style>
  <w:style w:type="paragraph" w:customStyle="1" w:styleId="508">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9">
    <w:name w:val="MM Topic 3"/>
    <w:basedOn w:val="7"/>
    <w:qFormat/>
    <w:uiPriority w:val="0"/>
    <w:pPr>
      <w:tabs>
        <w:tab w:val="left" w:pos="1680"/>
      </w:tabs>
      <w:adjustRightInd/>
      <w:ind w:left="1680" w:hanging="420"/>
    </w:pPr>
  </w:style>
  <w:style w:type="paragraph" w:customStyle="1" w:styleId="510">
    <w:name w:val="标准小四"/>
    <w:basedOn w:val="1"/>
    <w:qFormat/>
    <w:uiPriority w:val="0"/>
    <w:pPr>
      <w:spacing w:line="360" w:lineRule="auto"/>
      <w:ind w:firstLine="480" w:firstLineChars="200"/>
    </w:pPr>
    <w:rPr>
      <w:rFonts w:ascii="Arial" w:hAnsi="Arial"/>
      <w:sz w:val="24"/>
      <w:szCs w:val="21"/>
    </w:rPr>
  </w:style>
  <w:style w:type="paragraph" w:customStyle="1" w:styleId="511">
    <w:name w:val="样式 标题 2H2h2Underrubrik1prop2l2Chapter Titlesect 1.2DO NO..."/>
    <w:basedOn w:val="6"/>
    <w:qFormat/>
    <w:uiPriority w:val="0"/>
    <w:pPr>
      <w:spacing w:before="120" w:after="120"/>
      <w:ind w:left="425" w:hanging="425"/>
    </w:pPr>
    <w:rPr>
      <w:rFonts w:ascii="微软雅黑" w:hAnsi="微软雅黑" w:eastAsia="微软雅黑" w:cs="宋体"/>
      <w:szCs w:val="20"/>
      <w:lang w:val="en-US"/>
    </w:rPr>
  </w:style>
  <w:style w:type="paragraph" w:customStyle="1" w:styleId="512">
    <w:name w:val="表格（小）"/>
    <w:basedOn w:val="1"/>
    <w:qFormat/>
    <w:uiPriority w:val="0"/>
    <w:pPr>
      <w:adjustRightInd/>
      <w:snapToGrid w:val="0"/>
      <w:spacing w:line="300" w:lineRule="auto"/>
    </w:pPr>
    <w:rPr>
      <w:rFonts w:eastAsia="仿宋"/>
      <w:szCs w:val="21"/>
    </w:rPr>
  </w:style>
  <w:style w:type="paragraph" w:customStyle="1" w:styleId="513">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4">
    <w:name w:val="Char2 Char Char1"/>
    <w:basedOn w:val="1"/>
    <w:qFormat/>
    <w:uiPriority w:val="6"/>
    <w:pPr>
      <w:adjustRightInd/>
    </w:pPr>
    <w:rPr>
      <w:rFonts w:ascii="Tahoma" w:hAnsi="Tahoma"/>
      <w:sz w:val="24"/>
      <w:szCs w:val="20"/>
    </w:rPr>
  </w:style>
  <w:style w:type="paragraph" w:customStyle="1" w:styleId="515">
    <w:name w:val="列出段落5"/>
    <w:basedOn w:val="1"/>
    <w:qFormat/>
    <w:uiPriority w:val="0"/>
    <w:pPr>
      <w:spacing w:line="360" w:lineRule="auto"/>
      <w:ind w:firstLine="200" w:firstLineChars="200"/>
    </w:pPr>
    <w:rPr>
      <w:rFonts w:eastAsia="楷体_GB2312" w:cs="Lucida Sans"/>
      <w:sz w:val="24"/>
    </w:rPr>
  </w:style>
  <w:style w:type="paragraph" w:customStyle="1" w:styleId="516">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7">
    <w:name w:val="表格文字"/>
    <w:basedOn w:val="1"/>
    <w:next w:val="19"/>
    <w:qFormat/>
    <w:uiPriority w:val="0"/>
    <w:pPr>
      <w:adjustRightInd/>
      <w:ind w:firstLine="200" w:firstLineChars="200"/>
    </w:pPr>
    <w:rPr>
      <w:rFonts w:ascii="Arial" w:hAnsi="Arial"/>
      <w:spacing w:val="-5"/>
      <w:kern w:val="0"/>
      <w:sz w:val="24"/>
      <w:szCs w:val="20"/>
    </w:rPr>
  </w:style>
  <w:style w:type="paragraph" w:customStyle="1" w:styleId="518">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9">
    <w:name w:val="TOC 标题111"/>
    <w:basedOn w:val="5"/>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20">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21">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2">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3">
    <w:name w:val="_Style 3"/>
    <w:basedOn w:val="1"/>
    <w:qFormat/>
    <w:uiPriority w:val="0"/>
    <w:pPr>
      <w:adjustRightInd/>
      <w:ind w:firstLine="420" w:firstLineChars="200"/>
    </w:pPr>
    <w:rPr>
      <w:rFonts w:eastAsia="仿宋_GB2312"/>
      <w:sz w:val="28"/>
    </w:rPr>
  </w:style>
  <w:style w:type="paragraph" w:customStyle="1" w:styleId="524">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5">
    <w:name w:val="Bulleting First Indent 1"/>
    <w:basedOn w:val="63"/>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6">
    <w:name w:val="左对齐表格文字"/>
    <w:basedOn w:val="1"/>
    <w:qFormat/>
    <w:uiPriority w:val="0"/>
    <w:pPr>
      <w:adjustRightInd/>
      <w:ind w:firstLine="200" w:firstLineChars="200"/>
      <w:jc w:val="right"/>
    </w:pPr>
  </w:style>
  <w:style w:type="paragraph" w:customStyle="1" w:styleId="527">
    <w:name w:val="Char Char11 Char Char Char Char Char Char Char Char Char"/>
    <w:basedOn w:val="1"/>
    <w:qFormat/>
    <w:uiPriority w:val="0"/>
    <w:pPr>
      <w:spacing w:line="360" w:lineRule="auto"/>
    </w:pPr>
    <w:rPr>
      <w:szCs w:val="20"/>
    </w:rPr>
  </w:style>
  <w:style w:type="paragraph" w:customStyle="1" w:styleId="528">
    <w:name w:val="正文1.25"/>
    <w:basedOn w:val="1"/>
    <w:qFormat/>
    <w:uiPriority w:val="0"/>
    <w:pPr>
      <w:adjustRightInd/>
      <w:spacing w:line="300" w:lineRule="auto"/>
      <w:ind w:firstLine="480" w:firstLineChars="200"/>
    </w:pPr>
    <w:rPr>
      <w:sz w:val="24"/>
      <w:szCs w:val="20"/>
    </w:rPr>
  </w:style>
  <w:style w:type="paragraph" w:customStyle="1" w:styleId="529">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30">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31">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2">
    <w:name w:val="Char Char1 Char Char Char1"/>
    <w:basedOn w:val="1"/>
    <w:qFormat/>
    <w:uiPriority w:val="6"/>
    <w:rPr>
      <w:rFonts w:ascii="仿宋_GB2312" w:eastAsia="仿宋_GB2312"/>
      <w:b/>
      <w:sz w:val="32"/>
      <w:szCs w:val="20"/>
    </w:rPr>
  </w:style>
  <w:style w:type="paragraph" w:customStyle="1" w:styleId="533">
    <w:name w:val="列出段落2"/>
    <w:basedOn w:val="1"/>
    <w:qFormat/>
    <w:uiPriority w:val="0"/>
    <w:pPr>
      <w:adjustRightInd/>
      <w:ind w:firstLine="420" w:firstLineChars="200"/>
    </w:pPr>
    <w:rPr>
      <w:rFonts w:ascii="宋体" w:hAnsi="宋体"/>
      <w:sz w:val="24"/>
    </w:rPr>
  </w:style>
  <w:style w:type="paragraph" w:customStyle="1" w:styleId="534">
    <w:name w:val="默认段落字体 Para Char Char Char Char Char Char Char"/>
    <w:basedOn w:val="1"/>
    <w:qFormat/>
    <w:uiPriority w:val="0"/>
    <w:rPr>
      <w:rFonts w:eastAsia="仿宋_GB2312"/>
      <w:sz w:val="28"/>
      <w:szCs w:val="20"/>
    </w:rPr>
  </w:style>
  <w:style w:type="paragraph" w:customStyle="1" w:styleId="535">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6">
    <w:name w:val="样式 标题 4PIM 4H4h4bulletblbbH41H42H43H44H45H46H47H48...1"/>
    <w:basedOn w:val="8"/>
    <w:qFormat/>
    <w:uiPriority w:val="0"/>
    <w:pPr>
      <w:widowControl/>
      <w:jc w:val="left"/>
    </w:pPr>
    <w:rPr>
      <w:rFonts w:cs="宋体"/>
      <w:sz w:val="24"/>
      <w:szCs w:val="20"/>
    </w:rPr>
  </w:style>
  <w:style w:type="paragraph" w:customStyle="1" w:styleId="537">
    <w:name w:val="彩色列表 - 强调文字颜色 11"/>
    <w:basedOn w:val="1"/>
    <w:qFormat/>
    <w:uiPriority w:val="0"/>
    <w:pPr>
      <w:adjustRightInd/>
      <w:ind w:firstLine="420" w:firstLineChars="200"/>
    </w:pPr>
    <w:rPr>
      <w:rFonts w:ascii="Calibri" w:hAnsi="Calibri"/>
      <w:szCs w:val="22"/>
    </w:rPr>
  </w:style>
  <w:style w:type="paragraph" w:customStyle="1" w:styleId="538">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9">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40">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41">
    <w:name w:val="Char Char Char1 Char1"/>
    <w:basedOn w:val="1"/>
    <w:qFormat/>
    <w:uiPriority w:val="6"/>
    <w:rPr>
      <w:szCs w:val="20"/>
    </w:rPr>
  </w:style>
  <w:style w:type="paragraph" w:customStyle="1" w:styleId="542">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3">
    <w:name w:val="样式 标题 2 + 宋体 左侧:  1.76 厘米 首行缩进:  0 厘米"/>
    <w:basedOn w:val="6"/>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4">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5">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6">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7">
    <w:name w:val="CM14"/>
    <w:basedOn w:val="236"/>
    <w:next w:val="236"/>
    <w:qFormat/>
    <w:uiPriority w:val="0"/>
    <w:pPr>
      <w:spacing w:after="68"/>
    </w:pPr>
    <w:rPr>
      <w:rFonts w:ascii="FHLHE E+ Futura Bk" w:eastAsia="FHLHE E+ Futura Bk" w:cs="Times New Roman"/>
      <w:color w:val="auto"/>
    </w:rPr>
  </w:style>
  <w:style w:type="paragraph" w:customStyle="1" w:styleId="548">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9">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50">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51">
    <w:name w:val="正文文字 2"/>
    <w:basedOn w:val="236"/>
    <w:next w:val="236"/>
    <w:qFormat/>
    <w:uiPriority w:val="0"/>
    <w:rPr>
      <w:rFonts w:ascii="宋体" w:eastAsia="宋体" w:cs="Times New Roman"/>
      <w:color w:val="auto"/>
    </w:rPr>
  </w:style>
  <w:style w:type="paragraph" w:customStyle="1" w:styleId="552">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3">
    <w:name w:val="Char Char1 Char"/>
    <w:basedOn w:val="1"/>
    <w:qFormat/>
    <w:uiPriority w:val="0"/>
    <w:rPr>
      <w:rFonts w:ascii="仿宋_GB2312" w:eastAsia="仿宋_GB2312"/>
      <w:b/>
      <w:sz w:val="32"/>
      <w:szCs w:val="32"/>
    </w:rPr>
  </w:style>
  <w:style w:type="paragraph" w:customStyle="1" w:styleId="554">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5">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6">
    <w:name w:val="Char Char111"/>
    <w:basedOn w:val="1"/>
    <w:qFormat/>
    <w:uiPriority w:val="0"/>
    <w:pPr>
      <w:spacing w:line="360" w:lineRule="auto"/>
    </w:pPr>
    <w:rPr>
      <w:szCs w:val="20"/>
    </w:rPr>
  </w:style>
  <w:style w:type="paragraph" w:customStyle="1" w:styleId="557">
    <w:name w:val="Char"/>
    <w:basedOn w:val="1"/>
    <w:qFormat/>
    <w:uiPriority w:val="0"/>
    <w:rPr>
      <w:rFonts w:ascii="仿宋_GB2312" w:eastAsia="仿宋_GB2312"/>
      <w:b/>
      <w:sz w:val="32"/>
      <w:szCs w:val="32"/>
    </w:rPr>
  </w:style>
  <w:style w:type="paragraph" w:customStyle="1" w:styleId="558">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9">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60">
    <w:name w:val="Char Char Char1 Char"/>
    <w:basedOn w:val="1"/>
    <w:qFormat/>
    <w:uiPriority w:val="0"/>
    <w:rPr>
      <w:szCs w:val="20"/>
    </w:rPr>
  </w:style>
  <w:style w:type="paragraph" w:customStyle="1" w:styleId="561">
    <w:name w:val="正文标准"/>
    <w:basedOn w:val="1"/>
    <w:qFormat/>
    <w:uiPriority w:val="0"/>
    <w:pPr>
      <w:adjustRightInd/>
      <w:spacing w:line="360" w:lineRule="auto"/>
      <w:ind w:firstLine="200" w:firstLineChars="200"/>
    </w:pPr>
    <w:rPr>
      <w:rFonts w:ascii="宋体" w:hAnsi="Calibri"/>
      <w:sz w:val="24"/>
    </w:rPr>
  </w:style>
  <w:style w:type="paragraph" w:customStyle="1" w:styleId="562">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3">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4">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5">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6">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7">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8">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9">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0">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71">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2">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3">
    <w:name w:val="标准有序列表（L1）"/>
    <w:basedOn w:val="19"/>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4">
    <w:name w:val="Char Char Char Char Char Char Char Char Char Char"/>
    <w:basedOn w:val="1"/>
    <w:qFormat/>
    <w:uiPriority w:val="0"/>
    <w:rPr>
      <w:rFonts w:ascii="仿宋_GB2312" w:eastAsia="仿宋_GB2312"/>
      <w:b/>
      <w:sz w:val="32"/>
      <w:szCs w:val="32"/>
    </w:rPr>
  </w:style>
  <w:style w:type="paragraph" w:customStyle="1" w:styleId="575">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6">
    <w:name w:val="_正文段落"/>
    <w:basedOn w:val="1"/>
    <w:qFormat/>
    <w:uiPriority w:val="0"/>
    <w:pPr>
      <w:adjustRightInd/>
      <w:ind w:firstLine="560"/>
    </w:pPr>
    <w:rPr>
      <w:rFonts w:ascii="仿宋_GB2312" w:hAnsi="仿宋" w:eastAsia="仿宋_GB2312"/>
      <w:kern w:val="0"/>
      <w:sz w:val="28"/>
      <w:szCs w:val="28"/>
    </w:rPr>
  </w:style>
  <w:style w:type="paragraph" w:customStyle="1" w:styleId="577">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8">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9">
    <w:name w:val="正文（首行缩进）"/>
    <w:basedOn w:val="20"/>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80">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81">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2">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3">
    <w:name w:val="Char Char Char1 Char2"/>
    <w:basedOn w:val="1"/>
    <w:qFormat/>
    <w:uiPriority w:val="0"/>
    <w:rPr>
      <w:szCs w:val="20"/>
    </w:rPr>
  </w:style>
  <w:style w:type="paragraph" w:customStyle="1" w:styleId="584">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5">
    <w:name w:val="默认段落字体 Para Char"/>
    <w:basedOn w:val="1"/>
    <w:qFormat/>
    <w:uiPriority w:val="0"/>
    <w:rPr>
      <w:rFonts w:ascii="Tahoma" w:hAnsi="Tahoma"/>
      <w:sz w:val="24"/>
      <w:szCs w:val="20"/>
    </w:rPr>
  </w:style>
  <w:style w:type="paragraph" w:customStyle="1" w:styleId="586">
    <w:name w:val="标题五"/>
    <w:basedOn w:val="1"/>
    <w:qFormat/>
    <w:uiPriority w:val="0"/>
    <w:pPr>
      <w:adjustRightInd/>
      <w:spacing w:before="156" w:beforeLines="50" w:line="360" w:lineRule="auto"/>
    </w:pPr>
    <w:rPr>
      <w:b/>
      <w:sz w:val="24"/>
    </w:rPr>
  </w:style>
  <w:style w:type="paragraph" w:customStyle="1" w:styleId="587">
    <w:name w:val="Char Char1101"/>
    <w:basedOn w:val="1"/>
    <w:qFormat/>
    <w:uiPriority w:val="0"/>
    <w:pPr>
      <w:spacing w:line="360" w:lineRule="auto"/>
    </w:pPr>
    <w:rPr>
      <w:rFonts w:ascii="Tahoma" w:hAnsi="Tahoma"/>
      <w:sz w:val="24"/>
      <w:szCs w:val="20"/>
    </w:rPr>
  </w:style>
  <w:style w:type="paragraph" w:customStyle="1" w:styleId="588">
    <w:name w:val="Char Char Char Char Char Char Char Char1"/>
    <w:basedOn w:val="1"/>
    <w:qFormat/>
    <w:uiPriority w:val="0"/>
    <w:pPr>
      <w:tabs>
        <w:tab w:val="left" w:pos="360"/>
      </w:tabs>
    </w:pPr>
    <w:rPr>
      <w:sz w:val="24"/>
      <w:szCs w:val="20"/>
    </w:rPr>
  </w:style>
  <w:style w:type="paragraph" w:customStyle="1" w:styleId="589">
    <w:name w:val="Char Char Char 字元 字元"/>
    <w:basedOn w:val="1"/>
    <w:qFormat/>
    <w:uiPriority w:val="0"/>
    <w:pPr>
      <w:adjustRightInd/>
      <w:spacing w:line="360" w:lineRule="auto"/>
      <w:ind w:firstLine="200" w:firstLineChars="200"/>
    </w:pPr>
    <w:rPr>
      <w:szCs w:val="20"/>
    </w:rPr>
  </w:style>
  <w:style w:type="paragraph" w:customStyle="1" w:styleId="590">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1">
    <w:name w:val="Char Char Char Char Char Char Char"/>
    <w:basedOn w:val="1"/>
    <w:qFormat/>
    <w:uiPriority w:val="0"/>
    <w:rPr>
      <w:rFonts w:ascii="仿宋_GB2312" w:eastAsia="仿宋_GB2312"/>
      <w:b/>
      <w:sz w:val="32"/>
      <w:szCs w:val="32"/>
    </w:rPr>
  </w:style>
  <w:style w:type="paragraph" w:customStyle="1" w:styleId="592">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3">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4">
    <w:name w:val="样式 标题 22h2L1 Heading 2H2sect 1.2H21sect 1.21H22sect 1.2..."/>
    <w:basedOn w:val="6"/>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5">
    <w:name w:val="样式6"/>
    <w:basedOn w:val="35"/>
    <w:qFormat/>
    <w:uiPriority w:val="0"/>
    <w:pPr>
      <w:spacing w:line="460" w:lineRule="exact"/>
      <w:outlineLvl w:val="2"/>
    </w:pPr>
    <w:rPr>
      <w:rFonts w:ascii="仿宋_GB2312" w:hAnsi="宋体" w:eastAsia="仿宋_GB2312"/>
      <w:b/>
      <w:bCs/>
      <w:sz w:val="24"/>
      <w:szCs w:val="24"/>
    </w:rPr>
  </w:style>
  <w:style w:type="paragraph" w:customStyle="1" w:styleId="596">
    <w:name w:val="批注框文本 Char Char"/>
    <w:basedOn w:val="1"/>
    <w:qFormat/>
    <w:uiPriority w:val="0"/>
    <w:pPr>
      <w:adjustRightInd/>
    </w:pPr>
    <w:rPr>
      <w:sz w:val="18"/>
      <w:szCs w:val="20"/>
    </w:rPr>
  </w:style>
  <w:style w:type="paragraph" w:customStyle="1" w:styleId="597">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8">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9">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600">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601">
    <w:name w:val="索引 11"/>
    <w:basedOn w:val="1"/>
    <w:next w:val="1"/>
    <w:qFormat/>
    <w:uiPriority w:val="99"/>
    <w:pPr>
      <w:adjustRightInd/>
      <w:spacing w:line="360" w:lineRule="auto"/>
    </w:pPr>
    <w:rPr>
      <w:rFonts w:ascii="仿宋_GB2312" w:eastAsia="仿宋_GB2312"/>
      <w:sz w:val="24"/>
      <w:szCs w:val="20"/>
    </w:rPr>
  </w:style>
  <w:style w:type="paragraph" w:customStyle="1" w:styleId="602">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3">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4">
    <w:name w:val="正文文字缩进项目"/>
    <w:basedOn w:val="20"/>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5">
    <w:name w:val="文档正文"/>
    <w:basedOn w:val="1"/>
    <w:qFormat/>
    <w:uiPriority w:val="0"/>
    <w:pPr>
      <w:spacing w:line="480" w:lineRule="atLeast"/>
      <w:ind w:firstLine="567"/>
      <w:textAlignment w:val="baseline"/>
    </w:pPr>
    <w:rPr>
      <w:kern w:val="0"/>
      <w:sz w:val="24"/>
      <w:szCs w:val="20"/>
    </w:rPr>
  </w:style>
  <w:style w:type="paragraph" w:customStyle="1" w:styleId="606">
    <w:name w:val="正文文字表格居中"/>
    <w:basedOn w:val="1"/>
    <w:next w:val="58"/>
    <w:qFormat/>
    <w:uiPriority w:val="0"/>
    <w:pPr>
      <w:snapToGrid w:val="0"/>
      <w:spacing w:line="360" w:lineRule="auto"/>
    </w:pPr>
    <w:rPr>
      <w:rFonts w:ascii="宋体"/>
      <w:b/>
      <w:sz w:val="24"/>
      <w:szCs w:val="20"/>
    </w:rPr>
  </w:style>
  <w:style w:type="paragraph" w:customStyle="1" w:styleId="607">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8">
    <w:name w:val="小节"/>
    <w:basedOn w:val="7"/>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9">
    <w:name w:val="Plain Text1"/>
    <w:basedOn w:val="1"/>
    <w:qFormat/>
    <w:uiPriority w:val="7"/>
    <w:pPr>
      <w:adjustRightInd/>
    </w:pPr>
    <w:rPr>
      <w:rFonts w:ascii="宋体" w:hAnsi="Courier New"/>
    </w:rPr>
  </w:style>
  <w:style w:type="paragraph" w:customStyle="1" w:styleId="610">
    <w:name w:val="Char3"/>
    <w:basedOn w:val="1"/>
    <w:qFormat/>
    <w:uiPriority w:val="0"/>
    <w:pPr>
      <w:adjustRightInd/>
    </w:pPr>
    <w:rPr>
      <w:rFonts w:ascii="仿宋_GB2312" w:eastAsia="仿宋_GB2312"/>
      <w:b/>
      <w:sz w:val="32"/>
      <w:szCs w:val="32"/>
    </w:rPr>
  </w:style>
  <w:style w:type="paragraph" w:customStyle="1" w:styleId="611">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2">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3">
    <w:name w:val="标题2"/>
    <w:basedOn w:val="6"/>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4">
    <w:name w:val="List Paragraph1"/>
    <w:basedOn w:val="1"/>
    <w:qFormat/>
    <w:uiPriority w:val="0"/>
    <w:pPr>
      <w:spacing w:line="360" w:lineRule="auto"/>
      <w:ind w:firstLine="200" w:firstLineChars="200"/>
    </w:pPr>
    <w:rPr>
      <w:rFonts w:eastAsia="楷体_GB2312" w:cs="Lucida Sans"/>
      <w:sz w:val="24"/>
    </w:rPr>
  </w:style>
  <w:style w:type="paragraph" w:customStyle="1" w:styleId="615">
    <w:name w:val="样式 标题 3标题 3 Char第二层条h33Bold Headbh章标题1小标题level_3PIM 3..."/>
    <w:basedOn w:val="7"/>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6">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7">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8">
    <w:name w:val="Char3 Char Char Char"/>
    <w:basedOn w:val="1"/>
    <w:qFormat/>
    <w:uiPriority w:val="0"/>
    <w:pPr>
      <w:widowControl/>
      <w:adjustRightInd/>
      <w:spacing w:after="160" w:line="240" w:lineRule="exact"/>
      <w:jc w:val="left"/>
    </w:pPr>
    <w:rPr>
      <w:szCs w:val="20"/>
    </w:rPr>
  </w:style>
  <w:style w:type="paragraph" w:customStyle="1" w:styleId="619">
    <w:name w:val="表格标题2"/>
    <w:basedOn w:val="620"/>
    <w:qFormat/>
    <w:uiPriority w:val="0"/>
    <w:rPr>
      <w:b/>
    </w:rPr>
  </w:style>
  <w:style w:type="paragraph" w:customStyle="1" w:styleId="620">
    <w:name w:val="表格内文"/>
    <w:basedOn w:val="1"/>
    <w:qFormat/>
    <w:uiPriority w:val="0"/>
    <w:pPr>
      <w:adjustRightInd/>
      <w:spacing w:line="360" w:lineRule="auto"/>
    </w:pPr>
    <w:rPr>
      <w:rFonts w:ascii="宋体" w:hAnsi="宋体" w:cs="宋体"/>
      <w:color w:val="000000"/>
      <w:szCs w:val="20"/>
    </w:rPr>
  </w:style>
  <w:style w:type="paragraph" w:customStyle="1" w:styleId="621">
    <w:name w:val="Char Char Char Char Char Char Char Char Char Char2"/>
    <w:basedOn w:val="1"/>
    <w:qFormat/>
    <w:uiPriority w:val="0"/>
    <w:rPr>
      <w:rFonts w:ascii="仿宋_GB2312" w:eastAsia="仿宋_GB2312"/>
      <w:b/>
      <w:sz w:val="32"/>
      <w:szCs w:val="32"/>
    </w:rPr>
  </w:style>
  <w:style w:type="paragraph" w:customStyle="1" w:styleId="622">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3">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4">
    <w:name w:val="Char Char11 Char Char Char Char Char Char Char Char Char11"/>
    <w:basedOn w:val="1"/>
    <w:qFormat/>
    <w:uiPriority w:val="0"/>
    <w:pPr>
      <w:spacing w:line="360" w:lineRule="auto"/>
    </w:pPr>
    <w:rPr>
      <w:szCs w:val="20"/>
    </w:rPr>
  </w:style>
  <w:style w:type="paragraph" w:customStyle="1" w:styleId="625">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6">
    <w:name w:val="MM Topic 1"/>
    <w:basedOn w:val="5"/>
    <w:qFormat/>
    <w:uiPriority w:val="0"/>
    <w:pPr>
      <w:tabs>
        <w:tab w:val="left" w:pos="840"/>
      </w:tabs>
      <w:adjustRightInd/>
      <w:ind w:left="840" w:hanging="420"/>
    </w:pPr>
  </w:style>
  <w:style w:type="paragraph" w:customStyle="1" w:styleId="627">
    <w:name w:val="样式 标题 2标题2H2Heading 2 HiddenHeading 2 CCBSheading 22nd lev..."/>
    <w:basedOn w:val="6"/>
    <w:qFormat/>
    <w:uiPriority w:val="0"/>
    <w:pPr>
      <w:widowControl/>
      <w:spacing w:before="260" w:after="260" w:line="416" w:lineRule="auto"/>
      <w:ind w:left="0" w:firstLine="0"/>
    </w:pPr>
    <w:rPr>
      <w:rFonts w:ascii="Arial" w:hAnsi="Arial" w:eastAsia="黑体"/>
      <w:sz w:val="30"/>
      <w:szCs w:val="21"/>
    </w:rPr>
  </w:style>
  <w:style w:type="paragraph" w:customStyle="1" w:styleId="628">
    <w:name w:val="文本正文 Char"/>
    <w:basedOn w:val="1"/>
    <w:qFormat/>
    <w:uiPriority w:val="0"/>
    <w:pPr>
      <w:spacing w:line="360" w:lineRule="auto"/>
      <w:ind w:firstLine="200" w:firstLineChars="200"/>
    </w:pPr>
    <w:rPr>
      <w:kern w:val="0"/>
      <w:sz w:val="24"/>
      <w:szCs w:val="20"/>
    </w:rPr>
  </w:style>
  <w:style w:type="paragraph" w:customStyle="1" w:styleId="629">
    <w:name w:val="表格"/>
    <w:basedOn w:val="1"/>
    <w:qFormat/>
    <w:uiPriority w:val="0"/>
    <w:pPr>
      <w:snapToGrid w:val="0"/>
      <w:ind w:firstLine="42" w:firstLineChars="21"/>
    </w:pPr>
    <w:rPr>
      <w:rFonts w:ascii="宋体" w:hAnsi="宋体"/>
      <w:kern w:val="0"/>
      <w:sz w:val="20"/>
      <w:szCs w:val="20"/>
    </w:rPr>
  </w:style>
  <w:style w:type="paragraph" w:customStyle="1" w:styleId="630">
    <w:name w:val="标书标题4"/>
    <w:basedOn w:val="8"/>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1">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2">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3">
    <w:name w:val="表格项目符号 2"/>
    <w:basedOn w:val="31"/>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4">
    <w:name w:val="EB_表格"/>
    <w:basedOn w:val="1"/>
    <w:qFormat/>
    <w:uiPriority w:val="0"/>
    <w:pPr>
      <w:adjustRightInd/>
      <w:spacing w:line="300" w:lineRule="auto"/>
      <w:jc w:val="center"/>
    </w:pPr>
  </w:style>
  <w:style w:type="paragraph" w:customStyle="1" w:styleId="635">
    <w:name w:val="_Style 6"/>
    <w:basedOn w:val="1"/>
    <w:qFormat/>
    <w:uiPriority w:val="34"/>
    <w:pPr>
      <w:adjustRightInd/>
      <w:ind w:firstLine="420" w:firstLineChars="200"/>
    </w:pPr>
    <w:rPr>
      <w:rFonts w:eastAsia="仿宋_GB2312"/>
      <w:sz w:val="28"/>
    </w:rPr>
  </w:style>
  <w:style w:type="paragraph" w:customStyle="1" w:styleId="636">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7">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8">
    <w:name w:val="!大节"/>
    <w:basedOn w:val="6"/>
    <w:qFormat/>
    <w:uiPriority w:val="0"/>
    <w:pPr>
      <w:spacing w:before="260" w:after="260" w:line="415" w:lineRule="auto"/>
      <w:ind w:left="420" w:hanging="420"/>
    </w:pPr>
    <w:rPr>
      <w:rFonts w:ascii="Arial" w:hAnsi="Arial" w:eastAsia="微软雅黑"/>
      <w:lang w:val="en-US"/>
    </w:rPr>
  </w:style>
  <w:style w:type="paragraph" w:customStyle="1" w:styleId="639">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40">
    <w:name w:val="正文表标题"/>
    <w:next w:val="641"/>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2">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3">
    <w:name w:val="trademark"/>
    <w:qFormat/>
    <w:uiPriority w:val="0"/>
    <w:pPr>
      <w:spacing w:after="60"/>
    </w:pPr>
    <w:rPr>
      <w:rFonts w:ascii="Futura Bk" w:hAnsi="Futura Bk" w:eastAsia="宋体" w:cs="Times New Roman"/>
      <w:sz w:val="15"/>
      <w:lang w:val="en-US" w:eastAsia="en-US" w:bidi="ar-SA"/>
    </w:rPr>
  </w:style>
  <w:style w:type="paragraph" w:customStyle="1" w:styleId="644">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5">
    <w:name w:val="Char Char1 Char Char Char Char Char Char1"/>
    <w:basedOn w:val="1"/>
    <w:qFormat/>
    <w:uiPriority w:val="0"/>
    <w:rPr>
      <w:rFonts w:ascii="仿宋_GB2312" w:eastAsia="仿宋_GB2312"/>
      <w:b/>
      <w:sz w:val="32"/>
      <w:szCs w:val="20"/>
    </w:rPr>
  </w:style>
  <w:style w:type="paragraph" w:customStyle="1" w:styleId="646">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7">
    <w:name w:val="Char1 Char Char Char1"/>
    <w:basedOn w:val="1"/>
    <w:qFormat/>
    <w:uiPriority w:val="0"/>
    <w:pPr>
      <w:adjustRightInd/>
      <w:ind w:firstLine="200" w:firstLineChars="200"/>
    </w:pPr>
    <w:rPr>
      <w:rFonts w:ascii="Tahoma" w:hAnsi="Tahoma"/>
      <w:sz w:val="24"/>
      <w:szCs w:val="20"/>
    </w:rPr>
  </w:style>
  <w:style w:type="paragraph" w:customStyle="1" w:styleId="648">
    <w:name w:val="a1"/>
    <w:basedOn w:val="1"/>
    <w:qFormat/>
    <w:uiPriority w:val="0"/>
    <w:pPr>
      <w:widowControl/>
      <w:spacing w:line="300" w:lineRule="atLeast"/>
      <w:jc w:val="left"/>
    </w:pPr>
    <w:rPr>
      <w:rFonts w:ascii="宋体" w:hAnsi="宋体"/>
      <w:kern w:val="0"/>
      <w:sz w:val="18"/>
      <w:szCs w:val="20"/>
    </w:rPr>
  </w:style>
  <w:style w:type="paragraph" w:customStyle="1" w:styleId="649">
    <w:name w:val="样式7"/>
    <w:basedOn w:val="650"/>
    <w:next w:val="1"/>
    <w:qFormat/>
    <w:uiPriority w:val="0"/>
    <w:pPr>
      <w:spacing w:after="156" w:afterLines="50"/>
      <w:jc w:val="left"/>
      <w:outlineLvl w:val="3"/>
    </w:pPr>
    <w:rPr>
      <w:sz w:val="24"/>
      <w:szCs w:val="24"/>
    </w:rPr>
  </w:style>
  <w:style w:type="paragraph" w:customStyle="1" w:styleId="650">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1">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2">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3">
    <w:name w:val="样式 样式2 + 左侧:  1 字符 右侧:  1 字符"/>
    <w:basedOn w:val="462"/>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4">
    <w:name w:val="Char2 Char Char2"/>
    <w:basedOn w:val="1"/>
    <w:qFormat/>
    <w:uiPriority w:val="0"/>
    <w:pPr>
      <w:adjustRightInd/>
    </w:pPr>
    <w:rPr>
      <w:rFonts w:ascii="Tahoma" w:hAnsi="Tahoma"/>
      <w:sz w:val="24"/>
      <w:szCs w:val="20"/>
    </w:rPr>
  </w:style>
  <w:style w:type="paragraph" w:customStyle="1" w:styleId="655">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6">
    <w:name w:val="三级条标题"/>
    <w:basedOn w:val="657"/>
    <w:next w:val="641"/>
    <w:qFormat/>
    <w:uiPriority w:val="0"/>
    <w:pPr>
      <w:tabs>
        <w:tab w:val="left" w:pos="1260"/>
        <w:tab w:val="left" w:pos="1680"/>
        <w:tab w:val="left" w:pos="2100"/>
        <w:tab w:val="left" w:pos="2520"/>
      </w:tabs>
      <w:ind w:left="2520"/>
      <w:outlineLvl w:val="4"/>
    </w:pPr>
  </w:style>
  <w:style w:type="paragraph" w:customStyle="1" w:styleId="657">
    <w:name w:val="二级条标题"/>
    <w:basedOn w:val="658"/>
    <w:next w:val="641"/>
    <w:qFormat/>
    <w:uiPriority w:val="0"/>
    <w:pPr>
      <w:tabs>
        <w:tab w:val="left" w:pos="1260"/>
        <w:tab w:val="left" w:pos="1680"/>
        <w:tab w:val="left" w:pos="2100"/>
      </w:tabs>
      <w:ind w:left="0"/>
      <w:outlineLvl w:val="3"/>
    </w:pPr>
  </w:style>
  <w:style w:type="paragraph" w:customStyle="1" w:styleId="658">
    <w:name w:val="一级条标题"/>
    <w:basedOn w:val="659"/>
    <w:next w:val="641"/>
    <w:qFormat/>
    <w:uiPriority w:val="0"/>
    <w:pPr>
      <w:tabs>
        <w:tab w:val="left" w:pos="1260"/>
        <w:tab w:val="left" w:pos="1680"/>
      </w:tabs>
      <w:spacing w:before="0" w:beforeLines="0" w:after="0" w:afterLines="0"/>
      <w:ind w:left="1680"/>
      <w:outlineLvl w:val="2"/>
    </w:pPr>
  </w:style>
  <w:style w:type="paragraph" w:customStyle="1" w:styleId="659">
    <w:name w:val="章标题"/>
    <w:next w:val="641"/>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60">
    <w:name w:val="数字标题2"/>
    <w:basedOn w:val="6"/>
    <w:next w:val="1"/>
    <w:qFormat/>
    <w:uiPriority w:val="0"/>
    <w:pPr>
      <w:tabs>
        <w:tab w:val="left" w:pos="480"/>
      </w:tabs>
      <w:ind w:left="480" w:hanging="480"/>
    </w:pPr>
    <w:rPr>
      <w:rFonts w:ascii="Times New Roman" w:eastAsia="宋体"/>
      <w:i/>
      <w:sz w:val="36"/>
      <w:szCs w:val="36"/>
      <w:lang w:val="en-US"/>
    </w:rPr>
  </w:style>
  <w:style w:type="paragraph" w:customStyle="1" w:styleId="661">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2">
    <w:name w:val="样式 标题 1Level 1 HeadPIM 1Section Headh1l11Heading 0Datash..."/>
    <w:basedOn w:val="5"/>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3">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4">
    <w:name w:val="样式 标题 1章节第一层h1H"/>
    <w:basedOn w:val="5"/>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5">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6">
    <w:name w:val="正文 项目2"/>
    <w:basedOn w:val="667"/>
    <w:qFormat/>
    <w:uiPriority w:val="0"/>
    <w:pPr>
      <w:tabs>
        <w:tab w:val="left" w:pos="840"/>
      </w:tabs>
      <w:spacing w:after="0"/>
      <w:ind w:left="900"/>
    </w:pPr>
  </w:style>
  <w:style w:type="paragraph" w:customStyle="1" w:styleId="667">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8">
    <w:name w:val="Body Text 2*"/>
    <w:basedOn w:val="1"/>
    <w:qFormat/>
    <w:uiPriority w:val="6"/>
    <w:pPr>
      <w:widowControl/>
      <w:adjustRightInd/>
      <w:ind w:left="720" w:hanging="720"/>
    </w:pPr>
    <w:rPr>
      <w:color w:val="000000"/>
      <w:kern w:val="0"/>
      <w:sz w:val="24"/>
      <w:szCs w:val="20"/>
      <w:lang w:val="en-GB"/>
    </w:rPr>
  </w:style>
  <w:style w:type="paragraph" w:customStyle="1" w:styleId="669">
    <w:name w:val="表1"/>
    <w:basedOn w:val="1"/>
    <w:qFormat/>
    <w:uiPriority w:val="0"/>
    <w:pPr>
      <w:tabs>
        <w:tab w:val="left" w:pos="703"/>
      </w:tabs>
      <w:adjustRightInd/>
      <w:spacing w:line="360" w:lineRule="auto"/>
      <w:ind w:left="703"/>
      <w:jc w:val="center"/>
    </w:pPr>
  </w:style>
  <w:style w:type="paragraph" w:customStyle="1" w:styleId="670">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1">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2">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3">
    <w:name w:val="2级标题"/>
    <w:basedOn w:val="674"/>
    <w:qFormat/>
    <w:uiPriority w:val="0"/>
    <w:pPr>
      <w:jc w:val="left"/>
      <w:outlineLvl w:val="1"/>
    </w:pPr>
    <w:rPr>
      <w:rFonts w:ascii="Times New Roman" w:hAnsi="Times New Roman" w:eastAsia="仿宋"/>
      <w:sz w:val="30"/>
    </w:rPr>
  </w:style>
  <w:style w:type="paragraph" w:customStyle="1" w:styleId="674">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5">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6">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7">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8">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9">
    <w:name w:val="bullet"/>
    <w:basedOn w:val="1"/>
    <w:qFormat/>
    <w:uiPriority w:val="0"/>
    <w:pPr>
      <w:tabs>
        <w:tab w:val="left" w:pos="840"/>
      </w:tabs>
      <w:adjustRightInd/>
      <w:ind w:left="840" w:hanging="420"/>
    </w:pPr>
  </w:style>
  <w:style w:type="paragraph" w:customStyle="1" w:styleId="680">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1">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2">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3">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4">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5">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6">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7">
    <w:name w:val="MM Topic 4"/>
    <w:basedOn w:val="8"/>
    <w:qFormat/>
    <w:uiPriority w:val="0"/>
    <w:pPr>
      <w:tabs>
        <w:tab w:val="left" w:pos="2100"/>
      </w:tabs>
      <w:adjustRightInd/>
      <w:ind w:left="2100" w:hanging="420"/>
    </w:pPr>
    <w:rPr>
      <w:lang w:val="en-US"/>
    </w:rPr>
  </w:style>
  <w:style w:type="paragraph" w:customStyle="1" w:styleId="688">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9">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90">
    <w:name w:val="Char Char11 Char Char Char Char Char Char Char Char Char1"/>
    <w:basedOn w:val="1"/>
    <w:qFormat/>
    <w:uiPriority w:val="6"/>
    <w:pPr>
      <w:spacing w:line="360" w:lineRule="auto"/>
    </w:pPr>
    <w:rPr>
      <w:szCs w:val="20"/>
    </w:rPr>
  </w:style>
  <w:style w:type="paragraph" w:customStyle="1" w:styleId="691">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2">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3">
    <w:name w:val="body text bold"/>
    <w:basedOn w:val="4"/>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4">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5">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6">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7">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8">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9">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700">
    <w:name w:val="单元格居中"/>
    <w:basedOn w:val="1"/>
    <w:qFormat/>
    <w:uiPriority w:val="0"/>
    <w:pPr>
      <w:adjustRightInd/>
      <w:spacing w:line="360" w:lineRule="auto"/>
      <w:jc w:val="center"/>
    </w:pPr>
    <w:rPr>
      <w:sz w:val="24"/>
    </w:rPr>
  </w:style>
  <w:style w:type="paragraph" w:customStyle="1" w:styleId="701">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2">
    <w:name w:val="Char Char Char Char Char Char Char1"/>
    <w:basedOn w:val="1"/>
    <w:qFormat/>
    <w:uiPriority w:val="6"/>
    <w:rPr>
      <w:rFonts w:ascii="仿宋_GB2312" w:eastAsia="仿宋_GB2312"/>
      <w:b/>
      <w:sz w:val="32"/>
      <w:szCs w:val="32"/>
    </w:rPr>
  </w:style>
  <w:style w:type="paragraph" w:customStyle="1" w:styleId="703">
    <w:name w:val="正文缩进1"/>
    <w:basedOn w:val="1"/>
    <w:next w:val="20"/>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4">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5">
    <w:name w:val="Char3 Char Char Char11"/>
    <w:basedOn w:val="1"/>
    <w:qFormat/>
    <w:uiPriority w:val="0"/>
    <w:pPr>
      <w:widowControl/>
      <w:adjustRightInd/>
      <w:spacing w:after="160" w:line="240" w:lineRule="exact"/>
      <w:jc w:val="left"/>
    </w:pPr>
    <w:rPr>
      <w:szCs w:val="20"/>
    </w:rPr>
  </w:style>
  <w:style w:type="paragraph" w:customStyle="1" w:styleId="706">
    <w:name w:val="Char Char1121"/>
    <w:basedOn w:val="1"/>
    <w:qFormat/>
    <w:uiPriority w:val="0"/>
    <w:pPr>
      <w:spacing w:line="360" w:lineRule="auto"/>
    </w:pPr>
    <w:rPr>
      <w:szCs w:val="20"/>
    </w:rPr>
  </w:style>
  <w:style w:type="paragraph" w:customStyle="1" w:styleId="707">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8">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9">
    <w:name w:val="Normal0"/>
    <w:qFormat/>
    <w:uiPriority w:val="0"/>
    <w:rPr>
      <w:rFonts w:ascii="Times New Roman" w:hAnsi="Times New Roman" w:eastAsia="宋体" w:cs="Times New Roman"/>
      <w:lang w:val="en-US" w:eastAsia="en-US" w:bidi="ar-SA"/>
    </w:rPr>
  </w:style>
  <w:style w:type="paragraph" w:customStyle="1" w:styleId="710">
    <w:name w:val="带编号样式"/>
    <w:basedOn w:val="628"/>
    <w:qFormat/>
    <w:uiPriority w:val="0"/>
    <w:pPr>
      <w:tabs>
        <w:tab w:val="left" w:pos="840"/>
      </w:tabs>
      <w:snapToGrid w:val="0"/>
      <w:ind w:left="840" w:hanging="420" w:firstLineChars="0"/>
    </w:pPr>
    <w:rPr>
      <w:rFonts w:ascii="仿宋_GB2312" w:eastAsia="仿宋_GB2312"/>
      <w:color w:val="000000"/>
    </w:rPr>
  </w:style>
  <w:style w:type="paragraph" w:customStyle="1" w:styleId="711">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2">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3">
    <w:name w:val="封面"/>
    <w:basedOn w:val="1"/>
    <w:qFormat/>
    <w:uiPriority w:val="0"/>
    <w:pPr>
      <w:spacing w:line="360" w:lineRule="atLeast"/>
      <w:jc w:val="right"/>
      <w:textAlignment w:val="baseline"/>
    </w:pPr>
    <w:rPr>
      <w:rFonts w:ascii="Symbol" w:hAnsi="Symbol"/>
      <w:kern w:val="0"/>
      <w:szCs w:val="20"/>
    </w:rPr>
  </w:style>
  <w:style w:type="paragraph" w:customStyle="1" w:styleId="714">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5">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6">
    <w:name w:val="默认段落字体 Para Char Char Char1 Char"/>
    <w:basedOn w:val="1"/>
    <w:qFormat/>
    <w:uiPriority w:val="0"/>
    <w:pPr>
      <w:spacing w:line="240" w:lineRule="atLeast"/>
      <w:ind w:left="420" w:firstLine="420"/>
    </w:pPr>
    <w:rPr>
      <w:sz w:val="24"/>
    </w:rPr>
  </w:style>
  <w:style w:type="paragraph" w:customStyle="1" w:styleId="717">
    <w:name w:val="WW-正文文字缩进 2"/>
    <w:basedOn w:val="1"/>
    <w:qFormat/>
    <w:uiPriority w:val="0"/>
    <w:pPr>
      <w:suppressAutoHyphens/>
      <w:adjustRightInd/>
      <w:ind w:firstLine="420"/>
    </w:pPr>
    <w:rPr>
      <w:kern w:val="1"/>
      <w:szCs w:val="20"/>
    </w:rPr>
  </w:style>
  <w:style w:type="paragraph" w:customStyle="1" w:styleId="718">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9">
    <w:name w:val="样式 标题 2 + 四号"/>
    <w:basedOn w:val="6"/>
    <w:qFormat/>
    <w:uiPriority w:val="0"/>
    <w:pPr>
      <w:spacing w:before="120" w:after="120"/>
      <w:ind w:left="0" w:firstLine="0"/>
      <w:jc w:val="both"/>
    </w:pPr>
    <w:rPr>
      <w:rFonts w:ascii="宋体" w:hAnsi="Arial" w:eastAsia="宋体"/>
      <w:sz w:val="28"/>
      <w:lang w:val="en-US"/>
    </w:rPr>
  </w:style>
  <w:style w:type="paragraph" w:customStyle="1" w:styleId="720">
    <w:name w:val="有符号正文"/>
    <w:basedOn w:val="1"/>
    <w:qFormat/>
    <w:uiPriority w:val="0"/>
    <w:pPr>
      <w:adjustRightInd/>
      <w:spacing w:line="400" w:lineRule="exact"/>
      <w:ind w:firstLine="200" w:firstLineChars="200"/>
    </w:pPr>
    <w:rPr>
      <w:rFonts w:ascii="Arial" w:hAnsi="Arial"/>
    </w:rPr>
  </w:style>
  <w:style w:type="paragraph" w:customStyle="1" w:styleId="721">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2">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3">
    <w:name w:val="4"/>
    <w:basedOn w:val="1"/>
    <w:next w:val="39"/>
    <w:qFormat/>
    <w:uiPriority w:val="0"/>
    <w:pPr>
      <w:spacing w:after="120" w:line="480" w:lineRule="auto"/>
      <w:ind w:left="420" w:leftChars="200"/>
    </w:pPr>
    <w:rPr>
      <w:sz w:val="24"/>
      <w:szCs w:val="20"/>
    </w:rPr>
  </w:style>
  <w:style w:type="paragraph" w:customStyle="1" w:styleId="724">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5">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6">
    <w:name w:val="样式 标题 3H3 + 两端对齐"/>
    <w:basedOn w:val="7"/>
    <w:qFormat/>
    <w:uiPriority w:val="0"/>
    <w:pPr>
      <w:keepLines w:val="0"/>
      <w:spacing w:before="0" w:after="0" w:line="240" w:lineRule="auto"/>
      <w:jc w:val="left"/>
    </w:pPr>
    <w:rPr>
      <w:rFonts w:cs="宋体"/>
      <w:sz w:val="21"/>
      <w:szCs w:val="20"/>
    </w:rPr>
  </w:style>
  <w:style w:type="paragraph" w:customStyle="1" w:styleId="727">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8">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9">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30">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1">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2">
    <w:name w:val="Char Char1 Char Char Char"/>
    <w:basedOn w:val="1"/>
    <w:qFormat/>
    <w:uiPriority w:val="0"/>
    <w:rPr>
      <w:rFonts w:ascii="仿宋_GB2312" w:eastAsia="仿宋_GB2312"/>
      <w:b/>
      <w:sz w:val="32"/>
      <w:szCs w:val="20"/>
    </w:rPr>
  </w:style>
  <w:style w:type="paragraph" w:customStyle="1" w:styleId="733">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4">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5">
    <w:name w:val="Picture"/>
    <w:basedOn w:val="1"/>
    <w:next w:val="21"/>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6">
    <w:name w:val="Char Char1 Char Char Char2"/>
    <w:basedOn w:val="1"/>
    <w:qFormat/>
    <w:uiPriority w:val="0"/>
    <w:rPr>
      <w:rFonts w:ascii="仿宋_GB2312" w:eastAsia="仿宋_GB2312"/>
      <w:b/>
      <w:sz w:val="32"/>
      <w:szCs w:val="32"/>
    </w:rPr>
  </w:style>
  <w:style w:type="paragraph" w:customStyle="1" w:styleId="737">
    <w:name w:val="Char3 Char Char Char1"/>
    <w:basedOn w:val="1"/>
    <w:qFormat/>
    <w:uiPriority w:val="6"/>
    <w:pPr>
      <w:widowControl/>
      <w:adjustRightInd/>
      <w:spacing w:after="160" w:line="240" w:lineRule="exact"/>
      <w:jc w:val="left"/>
    </w:pPr>
    <w:rPr>
      <w:szCs w:val="20"/>
    </w:rPr>
  </w:style>
  <w:style w:type="paragraph" w:customStyle="1" w:styleId="738">
    <w:name w:val="Char1 Char Char Char21"/>
    <w:basedOn w:val="1"/>
    <w:qFormat/>
    <w:uiPriority w:val="0"/>
    <w:rPr>
      <w:rFonts w:ascii="Tahoma" w:hAnsi="Tahoma"/>
      <w:sz w:val="24"/>
      <w:szCs w:val="20"/>
    </w:rPr>
  </w:style>
  <w:style w:type="paragraph" w:customStyle="1" w:styleId="739">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40">
    <w:name w:val="正文（标题三）"/>
    <w:basedOn w:val="1"/>
    <w:qFormat/>
    <w:uiPriority w:val="0"/>
    <w:pPr>
      <w:spacing w:line="360" w:lineRule="auto"/>
      <w:ind w:firstLine="200" w:firstLineChars="200"/>
    </w:pPr>
    <w:rPr>
      <w:sz w:val="24"/>
    </w:rPr>
  </w:style>
  <w:style w:type="paragraph" w:customStyle="1" w:styleId="741">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2">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3">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4">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5">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6">
    <w:name w:val="Char1 Char Char Char4"/>
    <w:basedOn w:val="1"/>
    <w:qFormat/>
    <w:uiPriority w:val="0"/>
    <w:pPr>
      <w:adjustRightInd/>
      <w:ind w:firstLine="200" w:firstLineChars="200"/>
    </w:pPr>
    <w:rPr>
      <w:rFonts w:ascii="Tahoma" w:hAnsi="Tahoma"/>
      <w:sz w:val="24"/>
      <w:szCs w:val="20"/>
    </w:rPr>
  </w:style>
  <w:style w:type="paragraph" w:customStyle="1" w:styleId="747">
    <w:name w:val="_标题2"/>
    <w:basedOn w:val="714"/>
    <w:next w:val="714"/>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8">
    <w:name w:val="样式1 + (中宋体"/>
    <w:basedOn w:val="725"/>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9">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50">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1">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2">
    <w:name w:val="四号　首行缩进"/>
    <w:basedOn w:val="1"/>
    <w:qFormat/>
    <w:uiPriority w:val="0"/>
    <w:pPr>
      <w:adjustRightInd/>
      <w:spacing w:line="360" w:lineRule="auto"/>
    </w:pPr>
    <w:rPr>
      <w:rFonts w:ascii="宋体" w:hAnsi="宋体"/>
      <w:szCs w:val="20"/>
    </w:rPr>
  </w:style>
  <w:style w:type="paragraph" w:customStyle="1" w:styleId="753">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4">
    <w:name w:val="Char Char Char Char Char Char Char Char Char Char Char1 Char"/>
    <w:basedOn w:val="1"/>
    <w:qFormat/>
    <w:uiPriority w:val="0"/>
    <w:pPr>
      <w:adjustRightInd/>
    </w:pPr>
    <w:rPr>
      <w:rFonts w:ascii="Tahoma" w:hAnsi="Tahoma"/>
      <w:sz w:val="24"/>
    </w:rPr>
  </w:style>
  <w:style w:type="paragraph" w:customStyle="1" w:styleId="755">
    <w:name w:val="Char Char Char Char11"/>
    <w:basedOn w:val="1"/>
    <w:qFormat/>
    <w:uiPriority w:val="0"/>
    <w:rPr>
      <w:rFonts w:ascii="Tahoma" w:hAnsi="Tahoma"/>
      <w:sz w:val="24"/>
      <w:szCs w:val="20"/>
    </w:rPr>
  </w:style>
  <w:style w:type="paragraph" w:customStyle="1" w:styleId="756">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7">
    <w:name w:val="Char Char Char Char"/>
    <w:basedOn w:val="1"/>
    <w:qFormat/>
    <w:uiPriority w:val="0"/>
    <w:rPr>
      <w:rFonts w:ascii="Tahoma" w:hAnsi="Tahoma"/>
      <w:sz w:val="24"/>
      <w:szCs w:val="20"/>
    </w:rPr>
  </w:style>
  <w:style w:type="paragraph" w:customStyle="1" w:styleId="758">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9">
    <w:name w:val="Char19"/>
    <w:basedOn w:val="1"/>
    <w:qFormat/>
    <w:uiPriority w:val="0"/>
    <w:pPr>
      <w:adjustRightInd/>
    </w:pPr>
    <w:rPr>
      <w:szCs w:val="20"/>
    </w:rPr>
  </w:style>
  <w:style w:type="paragraph" w:customStyle="1" w:styleId="760">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1">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2">
    <w:name w:val="_Style 5"/>
    <w:basedOn w:val="1"/>
    <w:qFormat/>
    <w:uiPriority w:val="34"/>
    <w:pPr>
      <w:adjustRightInd/>
      <w:ind w:firstLine="420" w:firstLineChars="200"/>
    </w:pPr>
    <w:rPr>
      <w:rFonts w:eastAsia="仿宋_GB2312"/>
      <w:sz w:val="28"/>
    </w:rPr>
  </w:style>
  <w:style w:type="paragraph" w:customStyle="1" w:styleId="763">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4">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5">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6">
    <w:name w:val="标书表格字体格式"/>
    <w:next w:val="760"/>
    <w:qFormat/>
    <w:uiPriority w:val="0"/>
    <w:rPr>
      <w:rFonts w:ascii="Times New Roman" w:hAnsi="Times New Roman" w:eastAsia="宋体" w:cs="Times New Roman"/>
      <w:kern w:val="2"/>
      <w:sz w:val="21"/>
      <w:szCs w:val="24"/>
      <w:lang w:val="en-US" w:eastAsia="zh-CN" w:bidi="ar-SA"/>
    </w:rPr>
  </w:style>
  <w:style w:type="paragraph" w:customStyle="1" w:styleId="767">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8">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9">
    <w:name w:val="修订3"/>
    <w:qFormat/>
    <w:uiPriority w:val="0"/>
    <w:rPr>
      <w:rFonts w:ascii="Times New Roman" w:hAnsi="Times New Roman" w:eastAsia="宋体" w:cs="Times New Roman"/>
      <w:kern w:val="2"/>
      <w:sz w:val="21"/>
      <w:lang w:val="en-US" w:eastAsia="zh-CN" w:bidi="ar-SA"/>
    </w:rPr>
  </w:style>
  <w:style w:type="paragraph" w:customStyle="1" w:styleId="770">
    <w:name w:val="CSS1级正文 Char"/>
    <w:basedOn w:val="4"/>
    <w:qFormat/>
    <w:uiPriority w:val="0"/>
    <w:pPr>
      <w:autoSpaceDE/>
      <w:autoSpaceDN/>
      <w:snapToGrid w:val="0"/>
      <w:ind w:firstLine="480" w:firstLineChars="200"/>
    </w:pPr>
    <w:rPr>
      <w:rFonts w:ascii="Times New Roman"/>
      <w:szCs w:val="24"/>
      <w:lang w:val="en-US"/>
    </w:rPr>
  </w:style>
  <w:style w:type="paragraph" w:customStyle="1" w:styleId="771">
    <w:name w:val="无间隔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2">
    <w:name w:val="表文字"/>
    <w:qFormat/>
    <w:uiPriority w:val="0"/>
    <w:rPr>
      <w:rFonts w:ascii="宋体" w:hAnsi="Times New Roman" w:eastAsia="宋体" w:cs="Times New Roman"/>
      <w:kern w:val="2"/>
      <w:lang w:val="en-US" w:eastAsia="zh-CN" w:bidi="ar-SA"/>
    </w:rPr>
  </w:style>
  <w:style w:type="paragraph" w:customStyle="1" w:styleId="773">
    <w:name w:val="MM Title"/>
    <w:basedOn w:val="61"/>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4">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5">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6">
    <w:name w:val="Char Char Char Char Char Char Char Char2"/>
    <w:basedOn w:val="1"/>
    <w:qFormat/>
    <w:uiPriority w:val="0"/>
    <w:pPr>
      <w:tabs>
        <w:tab w:val="left" w:pos="360"/>
      </w:tabs>
    </w:pPr>
    <w:rPr>
      <w:sz w:val="24"/>
      <w:szCs w:val="20"/>
    </w:rPr>
  </w:style>
  <w:style w:type="paragraph" w:customStyle="1" w:styleId="777">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8">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9">
    <w:name w:val="中文标题 3"/>
    <w:basedOn w:val="20"/>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80">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1">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2">
    <w:name w:val="正文－恩普"/>
    <w:basedOn w:val="19"/>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3">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4">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5">
    <w:name w:val="p0"/>
    <w:basedOn w:val="1"/>
    <w:qFormat/>
    <w:uiPriority w:val="0"/>
    <w:pPr>
      <w:widowControl/>
      <w:adjustRightInd/>
    </w:pPr>
    <w:rPr>
      <w:kern w:val="0"/>
      <w:szCs w:val="21"/>
    </w:rPr>
  </w:style>
  <w:style w:type="paragraph" w:customStyle="1" w:styleId="786">
    <w:name w:val="Char6"/>
    <w:basedOn w:val="1"/>
    <w:qFormat/>
    <w:uiPriority w:val="0"/>
    <w:rPr>
      <w:rFonts w:ascii="仿宋_GB2312" w:eastAsia="仿宋_GB2312"/>
      <w:b/>
      <w:sz w:val="32"/>
      <w:szCs w:val="32"/>
    </w:rPr>
  </w:style>
  <w:style w:type="paragraph" w:customStyle="1" w:styleId="787">
    <w:name w:val="Char111"/>
    <w:basedOn w:val="1"/>
    <w:qFormat/>
    <w:uiPriority w:val="0"/>
    <w:rPr>
      <w:rFonts w:ascii="仿宋_GB2312" w:eastAsia="仿宋_GB2312"/>
      <w:b/>
      <w:sz w:val="32"/>
      <w:szCs w:val="32"/>
    </w:rPr>
  </w:style>
  <w:style w:type="paragraph" w:customStyle="1" w:styleId="788">
    <w:name w:val="标题3"/>
    <w:basedOn w:val="7"/>
    <w:next w:val="55"/>
    <w:qFormat/>
    <w:uiPriority w:val="0"/>
    <w:pPr>
      <w:tabs>
        <w:tab w:val="clear" w:pos="900"/>
      </w:tabs>
      <w:spacing w:after="0" w:line="360" w:lineRule="auto"/>
    </w:pPr>
    <w:rPr>
      <w:rFonts w:ascii="仿宋" w:hAnsi="仿宋" w:eastAsia="仿宋" w:cs="仿宋"/>
    </w:rPr>
  </w:style>
  <w:style w:type="paragraph" w:customStyle="1" w:styleId="789">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90">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1">
    <w:name w:val="Char1 Char Char Char2"/>
    <w:basedOn w:val="1"/>
    <w:qFormat/>
    <w:uiPriority w:val="0"/>
    <w:pPr>
      <w:adjustRightInd/>
      <w:ind w:firstLine="200" w:firstLineChars="200"/>
    </w:pPr>
    <w:rPr>
      <w:rFonts w:ascii="Tahoma" w:hAnsi="Tahoma"/>
      <w:sz w:val="24"/>
      <w:szCs w:val="20"/>
    </w:rPr>
  </w:style>
  <w:style w:type="paragraph" w:customStyle="1" w:styleId="792">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3">
    <w:name w:val="样式 标题 1 + 黑色 段前: 0.5 行 段后: 0.5 行1"/>
    <w:basedOn w:val="5"/>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4">
    <w:name w:val="Char Char Char Char Char Char Char2"/>
    <w:basedOn w:val="1"/>
    <w:qFormat/>
    <w:uiPriority w:val="0"/>
    <w:rPr>
      <w:rFonts w:ascii="仿宋_GB2312" w:eastAsia="仿宋_GB2312"/>
      <w:b/>
      <w:sz w:val="32"/>
      <w:szCs w:val="32"/>
    </w:rPr>
  </w:style>
  <w:style w:type="paragraph" w:customStyle="1" w:styleId="795">
    <w:name w:val="五级条标题"/>
    <w:basedOn w:val="796"/>
    <w:next w:val="641"/>
    <w:qFormat/>
    <w:uiPriority w:val="0"/>
    <w:pPr>
      <w:tabs>
        <w:tab w:val="left" w:pos="1260"/>
        <w:tab w:val="left" w:pos="1680"/>
        <w:tab w:val="left" w:pos="2100"/>
        <w:tab w:val="left" w:pos="2940"/>
        <w:tab w:val="left" w:pos="3360"/>
      </w:tabs>
      <w:ind w:left="3360"/>
      <w:outlineLvl w:val="6"/>
    </w:pPr>
  </w:style>
  <w:style w:type="paragraph" w:customStyle="1" w:styleId="796">
    <w:name w:val="四级条标题"/>
    <w:basedOn w:val="656"/>
    <w:next w:val="641"/>
    <w:qFormat/>
    <w:uiPriority w:val="0"/>
    <w:pPr>
      <w:tabs>
        <w:tab w:val="left" w:pos="2940"/>
        <w:tab w:val="clear" w:pos="2520"/>
      </w:tabs>
      <w:ind w:left="2940"/>
      <w:outlineLvl w:val="5"/>
    </w:pPr>
  </w:style>
  <w:style w:type="paragraph" w:customStyle="1" w:styleId="797">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8">
    <w:name w:val="Char23"/>
    <w:basedOn w:val="1"/>
    <w:qFormat/>
    <w:uiPriority w:val="0"/>
    <w:rPr>
      <w:rFonts w:ascii="仿宋_GB2312" w:eastAsia="仿宋_GB2312"/>
      <w:b/>
      <w:sz w:val="32"/>
      <w:szCs w:val="32"/>
    </w:rPr>
  </w:style>
  <w:style w:type="paragraph" w:customStyle="1" w:styleId="799">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800">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1">
    <w:name w:val="首行缩进"/>
    <w:basedOn w:val="1"/>
    <w:qFormat/>
    <w:uiPriority w:val="0"/>
    <w:pPr>
      <w:spacing w:line="360" w:lineRule="auto"/>
      <w:ind w:firstLine="480" w:firstLineChars="200"/>
    </w:pPr>
    <w:rPr>
      <w:rFonts w:ascii="宋体"/>
      <w:sz w:val="24"/>
      <w:szCs w:val="20"/>
    </w:rPr>
  </w:style>
  <w:style w:type="paragraph" w:customStyle="1" w:styleId="802">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3">
    <w:name w:val="单元格左对齐"/>
    <w:basedOn w:val="1"/>
    <w:qFormat/>
    <w:uiPriority w:val="0"/>
    <w:pPr>
      <w:adjustRightInd/>
      <w:spacing w:line="360" w:lineRule="auto"/>
    </w:pPr>
    <w:rPr>
      <w:sz w:val="24"/>
    </w:rPr>
  </w:style>
  <w:style w:type="paragraph" w:customStyle="1" w:styleId="804">
    <w:name w:val="正文主体"/>
    <w:basedOn w:val="2"/>
    <w:qFormat/>
    <w:uiPriority w:val="0"/>
  </w:style>
  <w:style w:type="paragraph" w:customStyle="1" w:styleId="805">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6">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7">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8">
    <w:name w:val="正文（首行缩进2字符）"/>
    <w:basedOn w:val="1"/>
    <w:qFormat/>
    <w:uiPriority w:val="0"/>
    <w:pPr>
      <w:adjustRightInd/>
      <w:spacing w:line="360" w:lineRule="auto"/>
      <w:ind w:firstLine="480" w:firstLineChars="200"/>
    </w:pPr>
    <w:rPr>
      <w:sz w:val="24"/>
      <w:szCs w:val="20"/>
    </w:rPr>
  </w:style>
  <w:style w:type="paragraph" w:customStyle="1" w:styleId="809">
    <w:name w:val="P1"/>
    <w:basedOn w:val="1"/>
    <w:qFormat/>
    <w:uiPriority w:val="0"/>
    <w:pPr>
      <w:adjustRightInd/>
      <w:spacing w:line="288" w:lineRule="auto"/>
      <w:ind w:firstLine="425" w:firstLineChars="200"/>
    </w:pPr>
  </w:style>
  <w:style w:type="paragraph" w:customStyle="1" w:styleId="810">
    <w:name w:val="列表内容"/>
    <w:basedOn w:val="1"/>
    <w:next w:val="1"/>
    <w:qFormat/>
    <w:uiPriority w:val="0"/>
    <w:pPr>
      <w:widowControl/>
      <w:tabs>
        <w:tab w:val="left" w:pos="840"/>
      </w:tabs>
      <w:ind w:left="840" w:hanging="420"/>
      <w:jc w:val="left"/>
    </w:pPr>
    <w:rPr>
      <w:kern w:val="0"/>
      <w:sz w:val="18"/>
    </w:rPr>
  </w:style>
  <w:style w:type="paragraph" w:customStyle="1" w:styleId="811">
    <w:name w:val="Char Char11 Char Char Char1"/>
    <w:basedOn w:val="1"/>
    <w:qFormat/>
    <w:uiPriority w:val="6"/>
    <w:pPr>
      <w:spacing w:line="360" w:lineRule="auto"/>
    </w:pPr>
    <w:rPr>
      <w:szCs w:val="20"/>
    </w:rPr>
  </w:style>
  <w:style w:type="paragraph" w:customStyle="1" w:styleId="812">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3">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4">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5">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6">
    <w:name w:val="正文文字缩进2字"/>
    <w:basedOn w:val="4"/>
    <w:qFormat/>
    <w:uiPriority w:val="0"/>
    <w:pPr>
      <w:autoSpaceDE/>
      <w:autoSpaceDN/>
      <w:adjustRightInd/>
      <w:spacing w:before="60" w:after="60"/>
      <w:ind w:firstLine="200" w:firstLineChars="200"/>
    </w:pPr>
    <w:rPr>
      <w:rFonts w:ascii="Times New Roman"/>
      <w:szCs w:val="20"/>
      <w:lang w:val="en-US"/>
    </w:rPr>
  </w:style>
  <w:style w:type="paragraph" w:customStyle="1" w:styleId="817">
    <w:name w:val="默认段落字体 Para Char Char Char Char"/>
    <w:basedOn w:val="1"/>
    <w:qFormat/>
    <w:uiPriority w:val="0"/>
    <w:pPr>
      <w:spacing w:line="360" w:lineRule="auto"/>
    </w:pPr>
    <w:rPr>
      <w:szCs w:val="20"/>
    </w:rPr>
  </w:style>
  <w:style w:type="paragraph" w:customStyle="1" w:styleId="818">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9">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20">
    <w:name w:val="Char2 Char Char Char2"/>
    <w:basedOn w:val="1"/>
    <w:qFormat/>
    <w:uiPriority w:val="0"/>
    <w:rPr>
      <w:rFonts w:ascii="仿宋_GB2312" w:eastAsia="仿宋_GB2312"/>
      <w:b/>
      <w:sz w:val="32"/>
      <w:szCs w:val="32"/>
    </w:rPr>
  </w:style>
  <w:style w:type="paragraph" w:customStyle="1" w:styleId="821">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2">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3">
    <w:name w:val="正文 首行缩进:  2 字符 Char"/>
    <w:basedOn w:val="1"/>
    <w:qFormat/>
    <w:uiPriority w:val="0"/>
    <w:pPr>
      <w:adjustRightInd/>
      <w:spacing w:line="360" w:lineRule="auto"/>
      <w:ind w:firstLine="480"/>
    </w:pPr>
    <w:rPr>
      <w:rFonts w:cs="宋体"/>
      <w:sz w:val="24"/>
      <w:szCs w:val="20"/>
    </w:rPr>
  </w:style>
  <w:style w:type="paragraph" w:customStyle="1" w:styleId="824">
    <w:name w:val="Char Char4 Char Char"/>
    <w:basedOn w:val="1"/>
    <w:qFormat/>
    <w:uiPriority w:val="0"/>
    <w:pPr>
      <w:widowControl/>
      <w:adjustRightInd/>
      <w:spacing w:after="160" w:line="240" w:lineRule="exact"/>
      <w:jc w:val="left"/>
    </w:pPr>
  </w:style>
  <w:style w:type="paragraph" w:customStyle="1" w:styleId="825">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6">
    <w:name w:val="Char Char11 Char Char Char2"/>
    <w:basedOn w:val="1"/>
    <w:qFormat/>
    <w:uiPriority w:val="0"/>
    <w:pPr>
      <w:spacing w:line="360" w:lineRule="auto"/>
    </w:pPr>
    <w:rPr>
      <w:szCs w:val="20"/>
    </w:rPr>
  </w:style>
  <w:style w:type="paragraph" w:customStyle="1" w:styleId="827">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8">
    <w:name w:val="数字标题4"/>
    <w:basedOn w:val="8"/>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9">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0">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1">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2">
    <w:name w:val="Char311"/>
    <w:basedOn w:val="1"/>
    <w:qFormat/>
    <w:uiPriority w:val="0"/>
    <w:pPr>
      <w:adjustRightInd/>
      <w:ind w:firstLine="200" w:firstLineChars="200"/>
    </w:pPr>
    <w:rPr>
      <w:rFonts w:ascii="Tahoma" w:hAnsi="Tahoma"/>
      <w:sz w:val="24"/>
      <w:szCs w:val="20"/>
    </w:rPr>
  </w:style>
  <w:style w:type="paragraph" w:customStyle="1" w:styleId="833">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4">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5">
    <w:name w:val="正文 内标"/>
    <w:basedOn w:val="751"/>
    <w:qFormat/>
    <w:uiPriority w:val="0"/>
    <w:pPr>
      <w:tabs>
        <w:tab w:val="left" w:pos="0"/>
      </w:tabs>
      <w:ind w:left="900" w:firstLine="0" w:firstLineChars="0"/>
    </w:pPr>
  </w:style>
  <w:style w:type="paragraph" w:customStyle="1" w:styleId="836">
    <w:name w:val="Bulleted List"/>
    <w:basedOn w:val="1"/>
    <w:qFormat/>
    <w:uiPriority w:val="0"/>
    <w:pPr>
      <w:tabs>
        <w:tab w:val="left" w:pos="1260"/>
      </w:tabs>
      <w:adjustRightInd/>
      <w:ind w:left="1260" w:hanging="420"/>
    </w:pPr>
  </w:style>
  <w:style w:type="paragraph" w:customStyle="1" w:styleId="837">
    <w:name w:val="样式 正文文本缩进 2 + 仿宋_GB2312 黑色 行距: 1.5 倍行距"/>
    <w:basedOn w:val="39"/>
    <w:qFormat/>
    <w:uiPriority w:val="0"/>
    <w:pPr>
      <w:adjustRightInd/>
      <w:ind w:firstLine="560" w:firstLineChars="200"/>
      <w:textAlignment w:val="auto"/>
    </w:pPr>
    <w:rPr>
      <w:rFonts w:hAnsi="宋体" w:cs="宋体"/>
      <w:color w:val="000000"/>
      <w:kern w:val="2"/>
      <w:sz w:val="24"/>
    </w:rPr>
  </w:style>
  <w:style w:type="paragraph" w:customStyle="1" w:styleId="838">
    <w:name w:val="样式 左侧:  0.85 厘米"/>
    <w:basedOn w:val="1"/>
    <w:qFormat/>
    <w:uiPriority w:val="2"/>
    <w:pPr>
      <w:adjustRightInd/>
      <w:spacing w:line="360" w:lineRule="auto"/>
    </w:pPr>
    <w:rPr>
      <w:rFonts w:cs="宋体"/>
      <w:sz w:val="24"/>
      <w:szCs w:val="20"/>
    </w:rPr>
  </w:style>
  <w:style w:type="paragraph" w:customStyle="1" w:styleId="839">
    <w:name w:val="Char Char Char Char Char Char Char Char Char Char Char Char1 Char"/>
    <w:basedOn w:val="1"/>
    <w:qFormat/>
    <w:uiPriority w:val="0"/>
    <w:rPr>
      <w:rFonts w:ascii="Tahoma" w:hAnsi="Tahoma" w:cs="仿宋_GB2312"/>
      <w:sz w:val="24"/>
      <w:szCs w:val="20"/>
    </w:rPr>
  </w:style>
  <w:style w:type="paragraph" w:customStyle="1" w:styleId="840">
    <w:name w:val="正文1"/>
    <w:basedOn w:val="34"/>
    <w:qFormat/>
    <w:uiPriority w:val="0"/>
    <w:pPr>
      <w:ind w:left="0" w:leftChars="0" w:firstLine="480" w:firstLineChars="200"/>
    </w:pPr>
    <w:rPr>
      <w:rFonts w:ascii="仿宋_GB2312" w:hAnsi="Courier New" w:eastAsia="仿宋_GB2312"/>
      <w:kern w:val="28"/>
      <w:sz w:val="24"/>
    </w:rPr>
  </w:style>
  <w:style w:type="paragraph" w:customStyle="1" w:styleId="841">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2">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3">
    <w:name w:val="模板普通正文"/>
    <w:basedOn w:val="20"/>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4">
    <w:name w:val="Char Char1 Char Char Char Char Char Char"/>
    <w:basedOn w:val="1"/>
    <w:qFormat/>
    <w:uiPriority w:val="0"/>
    <w:rPr>
      <w:rFonts w:ascii="仿宋_GB2312" w:eastAsia="仿宋_GB2312"/>
      <w:b/>
      <w:sz w:val="32"/>
      <w:szCs w:val="20"/>
    </w:rPr>
  </w:style>
  <w:style w:type="paragraph" w:customStyle="1" w:styleId="845">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6">
    <w:name w:val="Char Char1 Char Char Char Char Char Char2"/>
    <w:basedOn w:val="1"/>
    <w:qFormat/>
    <w:uiPriority w:val="0"/>
    <w:rPr>
      <w:rFonts w:ascii="仿宋_GB2312" w:eastAsia="仿宋_GB2312"/>
      <w:b/>
      <w:sz w:val="32"/>
      <w:szCs w:val="20"/>
    </w:rPr>
  </w:style>
  <w:style w:type="paragraph" w:customStyle="1" w:styleId="847">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8">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9">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0">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1">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2">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3">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4">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5">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6">
    <w:name w:val="Char31"/>
    <w:basedOn w:val="1"/>
    <w:qFormat/>
    <w:uiPriority w:val="0"/>
    <w:pPr>
      <w:adjustRightInd/>
    </w:pPr>
    <w:rPr>
      <w:rFonts w:ascii="仿宋_GB2312" w:eastAsia="仿宋_GB2312"/>
      <w:b/>
      <w:sz w:val="32"/>
      <w:szCs w:val="32"/>
    </w:rPr>
  </w:style>
  <w:style w:type="paragraph" w:customStyle="1" w:styleId="857">
    <w:name w:val="样式 标题 3h33rd level3Heading 3 - oldH3l3CTheading 3Headin..."/>
    <w:basedOn w:val="7"/>
    <w:qFormat/>
    <w:uiPriority w:val="0"/>
    <w:pPr>
      <w:snapToGrid w:val="0"/>
      <w:ind w:left="0" w:firstLine="0"/>
      <w:jc w:val="left"/>
    </w:pPr>
    <w:rPr>
      <w:rFonts w:eastAsia="黑体" w:cs="宋体"/>
      <w:sz w:val="28"/>
      <w:szCs w:val="20"/>
    </w:rPr>
  </w:style>
  <w:style w:type="paragraph" w:customStyle="1" w:styleId="858">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9">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0">
    <w:name w:val="Char Char1"/>
    <w:basedOn w:val="1"/>
    <w:qFormat/>
    <w:uiPriority w:val="0"/>
    <w:pPr>
      <w:widowControl/>
      <w:spacing w:after="160" w:line="240" w:lineRule="exact"/>
      <w:jc w:val="left"/>
    </w:pPr>
    <w:rPr>
      <w:rFonts w:eastAsia="仿宋_GB2312"/>
      <w:sz w:val="28"/>
    </w:rPr>
  </w:style>
  <w:style w:type="paragraph" w:customStyle="1" w:styleId="861">
    <w:name w:val="Char21"/>
    <w:basedOn w:val="1"/>
    <w:qFormat/>
    <w:uiPriority w:val="0"/>
    <w:pPr>
      <w:adjustRightInd/>
      <w:ind w:firstLine="200" w:firstLineChars="200"/>
    </w:pPr>
    <w:rPr>
      <w:rFonts w:ascii="仿宋_GB2312" w:eastAsia="仿宋_GB2312"/>
      <w:b/>
      <w:sz w:val="32"/>
      <w:szCs w:val="32"/>
    </w:rPr>
  </w:style>
  <w:style w:type="paragraph" w:customStyle="1" w:styleId="862">
    <w:name w:val="列表段落11"/>
    <w:basedOn w:val="1"/>
    <w:qFormat/>
    <w:uiPriority w:val="34"/>
    <w:pPr>
      <w:adjustRightInd/>
      <w:ind w:right="238" w:firstLine="420"/>
    </w:pPr>
    <w:rPr>
      <w:rFonts w:ascii="Calibri" w:hAnsi="Calibri"/>
      <w:sz w:val="24"/>
    </w:rPr>
  </w:style>
  <w:style w:type="paragraph" w:customStyle="1" w:styleId="863">
    <w:name w:val="Char Char110"/>
    <w:basedOn w:val="1"/>
    <w:qFormat/>
    <w:uiPriority w:val="6"/>
    <w:pPr>
      <w:spacing w:line="360" w:lineRule="auto"/>
    </w:pPr>
    <w:rPr>
      <w:rFonts w:ascii="Tahoma" w:hAnsi="Tahoma"/>
      <w:sz w:val="24"/>
      <w:szCs w:val="20"/>
    </w:rPr>
  </w:style>
  <w:style w:type="paragraph" w:customStyle="1" w:styleId="864">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5">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6">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7">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8">
    <w:name w:val="Char Char Char Char Char Char Char Char Char Char Char Char1 Char2"/>
    <w:basedOn w:val="1"/>
    <w:qFormat/>
    <w:uiPriority w:val="0"/>
    <w:rPr>
      <w:rFonts w:ascii="Tahoma" w:hAnsi="Tahoma" w:cs="仿宋_GB2312"/>
      <w:sz w:val="24"/>
      <w:szCs w:val="20"/>
    </w:rPr>
  </w:style>
  <w:style w:type="paragraph" w:customStyle="1" w:styleId="869">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0">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1">
    <w:name w:val="样式 列表编号 + 段后: 0.5 行"/>
    <w:basedOn w:val="18"/>
    <w:qFormat/>
    <w:uiPriority w:val="2"/>
    <w:pPr>
      <w:tabs>
        <w:tab w:val="clear" w:pos="390"/>
        <w:tab w:val="clear" w:pos="454"/>
      </w:tabs>
      <w:spacing w:after="0"/>
      <w:ind w:left="840" w:hanging="420"/>
      <w:contextualSpacing/>
    </w:pPr>
    <w:rPr>
      <w:rFonts w:cs="宋体"/>
    </w:rPr>
  </w:style>
  <w:style w:type="paragraph" w:customStyle="1" w:styleId="872">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3">
    <w:name w:val="_Style 12"/>
    <w:basedOn w:val="23"/>
    <w:qFormat/>
    <w:uiPriority w:val="0"/>
    <w:pPr>
      <w:snapToGrid w:val="0"/>
      <w:spacing w:line="360" w:lineRule="auto"/>
    </w:pPr>
  </w:style>
  <w:style w:type="paragraph" w:customStyle="1" w:styleId="874">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5">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6">
    <w:name w:val="_Style 94"/>
    <w:basedOn w:val="1"/>
    <w:next w:val="259"/>
    <w:qFormat/>
    <w:uiPriority w:val="34"/>
    <w:pPr>
      <w:adjustRightInd/>
      <w:spacing w:line="360" w:lineRule="auto"/>
      <w:ind w:firstLine="200" w:firstLineChars="200"/>
    </w:pPr>
    <w:rPr>
      <w:rFonts w:ascii="Calibri" w:hAnsi="Calibri"/>
      <w:sz w:val="28"/>
      <w:szCs w:val="20"/>
    </w:rPr>
  </w:style>
  <w:style w:type="paragraph" w:customStyle="1" w:styleId="877">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8">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9">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0">
    <w:name w:val="3级标题"/>
    <w:basedOn w:val="673"/>
    <w:qFormat/>
    <w:uiPriority w:val="0"/>
    <w:pPr>
      <w:outlineLvl w:val="2"/>
    </w:pPr>
  </w:style>
  <w:style w:type="paragraph" w:customStyle="1" w:styleId="881">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2">
    <w:name w:val="Char1 Char Char Char3"/>
    <w:basedOn w:val="1"/>
    <w:qFormat/>
    <w:uiPriority w:val="0"/>
    <w:pPr>
      <w:adjustRightInd/>
      <w:ind w:firstLine="200" w:firstLineChars="200"/>
    </w:pPr>
    <w:rPr>
      <w:rFonts w:ascii="Tahoma" w:hAnsi="Tahoma"/>
      <w:sz w:val="24"/>
      <w:szCs w:val="20"/>
    </w:rPr>
  </w:style>
  <w:style w:type="paragraph" w:customStyle="1" w:styleId="883">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4">
    <w:name w:val="MM Empty"/>
    <w:basedOn w:val="1"/>
    <w:qFormat/>
    <w:uiPriority w:val="0"/>
    <w:pPr>
      <w:adjustRightInd/>
    </w:pPr>
  </w:style>
  <w:style w:type="paragraph" w:customStyle="1" w:styleId="885">
    <w:name w:val="Char24"/>
    <w:basedOn w:val="1"/>
    <w:qFormat/>
    <w:uiPriority w:val="0"/>
    <w:rPr>
      <w:rFonts w:ascii="仿宋_GB2312" w:eastAsia="仿宋_GB2312"/>
      <w:b/>
      <w:sz w:val="32"/>
      <w:szCs w:val="32"/>
    </w:rPr>
  </w:style>
  <w:style w:type="paragraph" w:customStyle="1" w:styleId="886">
    <w:name w:val="正文箭头"/>
    <w:basedOn w:val="540"/>
    <w:qFormat/>
    <w:uiPriority w:val="0"/>
  </w:style>
  <w:style w:type="paragraph" w:customStyle="1" w:styleId="887">
    <w:name w:val="U_编号2"/>
    <w:basedOn w:val="1"/>
    <w:qFormat/>
    <w:uiPriority w:val="0"/>
    <w:pPr>
      <w:tabs>
        <w:tab w:val="left" w:pos="785"/>
      </w:tabs>
      <w:adjustRightInd/>
      <w:spacing w:beforeLines="10" w:afterLines="10" w:line="300" w:lineRule="auto"/>
    </w:pPr>
    <w:rPr>
      <w:sz w:val="24"/>
    </w:rPr>
  </w:style>
  <w:style w:type="paragraph" w:customStyle="1" w:styleId="888">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9">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0">
    <w:name w:val="标书标题3"/>
    <w:basedOn w:val="7"/>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1">
    <w:name w:val="TOC 标题11"/>
    <w:basedOn w:val="5"/>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2">
    <w:name w:val="_Style 1"/>
    <w:basedOn w:val="1"/>
    <w:qFormat/>
    <w:uiPriority w:val="0"/>
    <w:pPr>
      <w:adjustRightInd/>
      <w:ind w:firstLine="420" w:firstLineChars="200"/>
    </w:pPr>
    <w:rPr>
      <w:rFonts w:eastAsia="仿宋_GB2312"/>
      <w:sz w:val="28"/>
    </w:rPr>
  </w:style>
  <w:style w:type="paragraph" w:customStyle="1" w:styleId="893">
    <w:name w:val="表格 内容"/>
    <w:basedOn w:val="730"/>
    <w:qFormat/>
    <w:uiPriority w:val="0"/>
    <w:rPr>
      <w:b w:val="0"/>
      <w:sz w:val="20"/>
    </w:rPr>
  </w:style>
  <w:style w:type="paragraph" w:customStyle="1" w:styleId="894">
    <w:name w:val="正文首行缩进1"/>
    <w:basedOn w:val="4"/>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5">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6">
    <w:name w:val="数字标题5"/>
    <w:basedOn w:val="9"/>
    <w:next w:val="1"/>
    <w:qFormat/>
    <w:uiPriority w:val="0"/>
    <w:pPr>
      <w:tabs>
        <w:tab w:val="left" w:pos="1080"/>
      </w:tabs>
      <w:ind w:left="1080" w:hanging="1080"/>
    </w:pPr>
  </w:style>
  <w:style w:type="paragraph" w:customStyle="1" w:styleId="897">
    <w:name w:val="数字标题1"/>
    <w:basedOn w:val="5"/>
    <w:next w:val="1"/>
    <w:qFormat/>
    <w:uiPriority w:val="0"/>
    <w:pPr>
      <w:tabs>
        <w:tab w:val="left" w:pos="480"/>
      </w:tabs>
      <w:ind w:left="480" w:hanging="480"/>
    </w:pPr>
  </w:style>
  <w:style w:type="paragraph" w:customStyle="1" w:styleId="898">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9">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0">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1">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2">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3">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4">
    <w:name w:val="0"/>
    <w:basedOn w:val="1"/>
    <w:qFormat/>
    <w:uiPriority w:val="0"/>
    <w:pPr>
      <w:widowControl/>
    </w:pPr>
    <w:rPr>
      <w:kern w:val="0"/>
      <w:sz w:val="24"/>
      <w:szCs w:val="20"/>
    </w:rPr>
  </w:style>
  <w:style w:type="paragraph" w:customStyle="1" w:styleId="905">
    <w:name w:val="Char Char113"/>
    <w:basedOn w:val="1"/>
    <w:qFormat/>
    <w:uiPriority w:val="0"/>
    <w:pPr>
      <w:widowControl/>
      <w:spacing w:after="160" w:line="240" w:lineRule="exact"/>
      <w:jc w:val="left"/>
    </w:pPr>
    <w:rPr>
      <w:rFonts w:eastAsia="仿宋_GB2312"/>
      <w:sz w:val="28"/>
    </w:rPr>
  </w:style>
  <w:style w:type="paragraph" w:customStyle="1" w:styleId="906">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7">
    <w:name w:val="_Style 8"/>
    <w:basedOn w:val="1"/>
    <w:qFormat/>
    <w:uiPriority w:val="0"/>
    <w:pPr>
      <w:adjustRightInd/>
      <w:ind w:firstLine="420" w:firstLineChars="200"/>
    </w:pPr>
    <w:rPr>
      <w:rFonts w:eastAsia="仿宋_GB2312"/>
      <w:sz w:val="28"/>
    </w:rPr>
  </w:style>
  <w:style w:type="paragraph" w:customStyle="1" w:styleId="908">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9">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10">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1">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2">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3">
    <w:name w:val="Char Char112"/>
    <w:basedOn w:val="1"/>
    <w:qFormat/>
    <w:uiPriority w:val="6"/>
    <w:pPr>
      <w:widowControl/>
      <w:spacing w:after="160" w:line="240" w:lineRule="exact"/>
      <w:jc w:val="left"/>
    </w:pPr>
    <w:rPr>
      <w:rFonts w:eastAsia="仿宋_GB2312"/>
      <w:sz w:val="28"/>
    </w:rPr>
  </w:style>
  <w:style w:type="paragraph" w:customStyle="1" w:styleId="914">
    <w:name w:val="正文 图"/>
    <w:basedOn w:val="445"/>
    <w:qFormat/>
    <w:uiPriority w:val="0"/>
    <w:pPr>
      <w:adjustRightInd/>
      <w:spacing w:before="0"/>
      <w:ind w:firstLine="0"/>
      <w:jc w:val="center"/>
    </w:pPr>
    <w:rPr>
      <w:rFonts w:ascii="微软雅黑" w:hAnsi="微软雅黑"/>
    </w:rPr>
  </w:style>
  <w:style w:type="paragraph" w:customStyle="1" w:styleId="915">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6">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7">
    <w:name w:val="Thf"/>
    <w:basedOn w:val="564"/>
    <w:qFormat/>
    <w:uiPriority w:val="0"/>
    <w:pPr>
      <w:ind w:left="0"/>
    </w:pPr>
  </w:style>
  <w:style w:type="paragraph" w:customStyle="1" w:styleId="918">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9">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0">
    <w:name w:val="注释"/>
    <w:basedOn w:val="1"/>
    <w:qFormat/>
    <w:uiPriority w:val="0"/>
    <w:pPr>
      <w:adjustRightInd/>
      <w:spacing w:line="360" w:lineRule="auto"/>
      <w:ind w:firstLine="480"/>
    </w:pPr>
    <w:rPr>
      <w:sz w:val="24"/>
    </w:rPr>
  </w:style>
  <w:style w:type="table" w:customStyle="1" w:styleId="921">
    <w:name w:val="网格型2"/>
    <w:basedOn w:val="65"/>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2">
    <w:name w:val="网格型1"/>
    <w:basedOn w:val="65"/>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3">
    <w:name w:val="网格型6"/>
    <w:basedOn w:val="65"/>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4">
    <w:name w:val="网格型3"/>
    <w:basedOn w:val="65"/>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5">
    <w:name w:val="网格型4"/>
    <w:basedOn w:val="65"/>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6">
    <w:name w:val="网格型5"/>
    <w:basedOn w:val="65"/>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27">
    <w:name w:val="列出段落111"/>
    <w:basedOn w:val="1"/>
    <w:qFormat/>
    <w:uiPriority w:val="34"/>
    <w:pPr>
      <w:ind w:firstLine="420" w:firstLineChars="200"/>
    </w:pPr>
  </w:style>
  <w:style w:type="character" w:customStyle="1" w:styleId="928">
    <w:name w:val="交叉引用"/>
    <w:qFormat/>
    <w:uiPriority w:val="1"/>
    <w:rPr>
      <w:rFonts w:ascii="Arial" w:hAnsi="Arial" w:eastAsia="黑体"/>
      <w:snapToGrid w:val="0"/>
      <w:color w:val="0000FF"/>
      <w:kern w:val="0"/>
      <w:sz w:val="20"/>
      <w:szCs w:val="21"/>
      <w:u w:val="single"/>
      <w:lang w:val="en-US" w:eastAsia="zh-CN"/>
    </w:rPr>
  </w:style>
  <w:style w:type="character" w:customStyle="1" w:styleId="929">
    <w:name w:val="正文缩进 字符1"/>
    <w:qFormat/>
    <w:uiPriority w:val="0"/>
    <w:rPr>
      <w:rFonts w:ascii="宋体" w:eastAsia="宋体"/>
      <w:snapToGrid w:val="0"/>
      <w:color w:val="000000"/>
      <w:kern w:val="28"/>
      <w:sz w:val="28"/>
      <w:lang w:val="en-US" w:eastAsia="zh-CN" w:bidi="ar-SA"/>
    </w:rPr>
  </w:style>
  <w:style w:type="character" w:customStyle="1" w:styleId="930">
    <w:name w:val="页脚 字符1"/>
    <w:qFormat/>
    <w:locked/>
    <w:uiPriority w:val="99"/>
    <w:rPr>
      <w:kern w:val="2"/>
      <w:sz w:val="18"/>
      <w:szCs w:val="18"/>
    </w:rPr>
  </w:style>
  <w:style w:type="character" w:customStyle="1" w:styleId="931">
    <w:name w:val="页眉 字符1"/>
    <w:qFormat/>
    <w:uiPriority w:val="99"/>
    <w:rPr>
      <w:kern w:val="2"/>
      <w:sz w:val="18"/>
      <w:szCs w:val="18"/>
    </w:rPr>
  </w:style>
  <w:style w:type="character" w:customStyle="1" w:styleId="932">
    <w:name w:val="尾注文本 字符"/>
    <w:link w:val="40"/>
    <w:qFormat/>
    <w:uiPriority w:val="0"/>
    <w:rPr>
      <w:kern w:val="2"/>
      <w:sz w:val="21"/>
      <w:szCs w:val="24"/>
      <w:lang w:val="zh-CN"/>
    </w:rPr>
  </w:style>
  <w:style w:type="character" w:customStyle="1" w:styleId="933">
    <w:name w:val="无间隔 字符"/>
    <w:link w:val="485"/>
    <w:qFormat/>
    <w:uiPriority w:val="99"/>
    <w:rPr>
      <w:kern w:val="2"/>
      <w:sz w:val="21"/>
      <w:szCs w:val="22"/>
    </w:rPr>
  </w:style>
  <w:style w:type="character" w:customStyle="1" w:styleId="934">
    <w:name w:val="标准文本 Char Char"/>
    <w:link w:val="935"/>
    <w:qFormat/>
    <w:uiPriority w:val="0"/>
    <w:rPr>
      <w:rFonts w:cs="宋体"/>
      <w:kern w:val="2"/>
      <w:sz w:val="24"/>
    </w:rPr>
  </w:style>
  <w:style w:type="paragraph" w:customStyle="1" w:styleId="935">
    <w:name w:val="标准文本"/>
    <w:basedOn w:val="1"/>
    <w:link w:val="934"/>
    <w:qFormat/>
    <w:uiPriority w:val="0"/>
    <w:pPr>
      <w:adjustRightInd/>
      <w:spacing w:line="360" w:lineRule="auto"/>
      <w:ind w:firstLine="480" w:firstLineChars="200"/>
    </w:pPr>
    <w:rPr>
      <w:rFonts w:cs="宋体"/>
      <w:sz w:val="24"/>
      <w:szCs w:val="20"/>
    </w:rPr>
  </w:style>
  <w:style w:type="character" w:customStyle="1" w:styleId="936">
    <w:name w:val="Char Char213"/>
    <w:qFormat/>
    <w:uiPriority w:val="0"/>
    <w:rPr>
      <w:rFonts w:eastAsia="Century Gothic"/>
      <w:b/>
      <w:bCs/>
      <w:kern w:val="44"/>
      <w:sz w:val="32"/>
      <w:szCs w:val="44"/>
      <w:lang w:val="en-US" w:eastAsia="zh-CN" w:bidi="ar-SA"/>
    </w:rPr>
  </w:style>
  <w:style w:type="character" w:customStyle="1" w:styleId="937">
    <w:name w:val="apple-style-span"/>
    <w:qFormat/>
    <w:uiPriority w:val="0"/>
    <w:rPr>
      <w:rFonts w:ascii="Arial" w:hAnsi="Arial" w:eastAsia="黑体" w:cs="Arial"/>
      <w:snapToGrid w:val="0"/>
      <w:kern w:val="0"/>
      <w:szCs w:val="21"/>
    </w:rPr>
  </w:style>
  <w:style w:type="character" w:customStyle="1" w:styleId="938">
    <w:name w:val="15"/>
    <w:qFormat/>
    <w:uiPriority w:val="0"/>
    <w:rPr>
      <w:rFonts w:hint="default" w:ascii="Calibri" w:hAnsi="Calibri"/>
      <w:color w:val="0000FF"/>
      <w:u w:val="single"/>
    </w:rPr>
  </w:style>
  <w:style w:type="character" w:customStyle="1" w:styleId="939">
    <w:name w:val="16"/>
    <w:qFormat/>
    <w:uiPriority w:val="0"/>
    <w:rPr>
      <w:rFonts w:hint="eastAsia" w:ascii="宋体" w:hAnsi="宋体" w:eastAsia="宋体"/>
      <w:color w:val="000000"/>
      <w:sz w:val="20"/>
      <w:szCs w:val="20"/>
    </w:rPr>
  </w:style>
  <w:style w:type="character" w:customStyle="1" w:styleId="940">
    <w:name w:val="edui-unclickable"/>
    <w:qFormat/>
    <w:uiPriority w:val="0"/>
    <w:rPr>
      <w:color w:val="808080"/>
    </w:rPr>
  </w:style>
  <w:style w:type="character" w:customStyle="1" w:styleId="941">
    <w:name w:val="tpc_content1"/>
    <w:qFormat/>
    <w:uiPriority w:val="0"/>
    <w:rPr>
      <w:sz w:val="20"/>
      <w:szCs w:val="20"/>
    </w:rPr>
  </w:style>
  <w:style w:type="character" w:customStyle="1" w:styleId="942">
    <w:name w:val="正文文本缩进 字符"/>
    <w:qFormat/>
    <w:uiPriority w:val="99"/>
    <w:rPr>
      <w:rFonts w:ascii="Century Gothic" w:hAnsi="Century Gothic" w:eastAsia="Century Gothic"/>
      <w:kern w:val="2"/>
      <w:sz w:val="24"/>
      <w:lang w:val="en-US" w:eastAsia="zh-CN" w:bidi="ar-SA"/>
    </w:rPr>
  </w:style>
  <w:style w:type="character" w:customStyle="1" w:styleId="943">
    <w:name w:val="正文文本 2 字符"/>
    <w:qFormat/>
    <w:uiPriority w:val="0"/>
    <w:rPr>
      <w:rFonts w:ascii="Arial" w:hAnsi="Arial" w:eastAsia="宋体"/>
      <w:kern w:val="2"/>
      <w:sz w:val="24"/>
      <w:szCs w:val="24"/>
      <w:lang w:val="en-US" w:eastAsia="zh-CN" w:bidi="ar-SA"/>
    </w:rPr>
  </w:style>
  <w:style w:type="character" w:customStyle="1" w:styleId="944">
    <w:name w:val="edui-clickable2"/>
    <w:qFormat/>
    <w:uiPriority w:val="0"/>
    <w:rPr>
      <w:color w:val="0000FF"/>
      <w:u w:val="single"/>
    </w:rPr>
  </w:style>
  <w:style w:type="character" w:customStyle="1" w:styleId="945">
    <w:name w:val="style1"/>
    <w:qFormat/>
    <w:uiPriority w:val="0"/>
    <w:rPr>
      <w:rFonts w:ascii="Arial" w:hAnsi="Arial" w:eastAsia="黑体" w:cs="Arial"/>
      <w:snapToGrid w:val="0"/>
      <w:kern w:val="0"/>
      <w:szCs w:val="21"/>
    </w:rPr>
  </w:style>
  <w:style w:type="character" w:customStyle="1" w:styleId="946">
    <w:name w:val="zbggtop11 style5"/>
    <w:qFormat/>
    <w:uiPriority w:val="0"/>
    <w:rPr>
      <w:rFonts w:ascii="Arial" w:hAnsi="Arial" w:eastAsia="黑体" w:cs="Arial"/>
      <w:snapToGrid w:val="0"/>
      <w:kern w:val="0"/>
      <w:szCs w:val="21"/>
    </w:rPr>
  </w:style>
  <w:style w:type="character" w:customStyle="1" w:styleId="947">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8">
    <w:name w:val="bulletintext1"/>
    <w:qFormat/>
    <w:uiPriority w:val="0"/>
    <w:rPr>
      <w:color w:val="000000"/>
      <w:sz w:val="18"/>
    </w:rPr>
  </w:style>
  <w:style w:type="paragraph" w:customStyle="1" w:styleId="949">
    <w:name w:val="_Style 947"/>
    <w:basedOn w:val="1"/>
    <w:next w:val="259"/>
    <w:qFormat/>
    <w:uiPriority w:val="34"/>
    <w:pPr>
      <w:adjustRightInd/>
      <w:ind w:firstLine="420" w:firstLineChars="200"/>
    </w:pPr>
  </w:style>
  <w:style w:type="paragraph" w:customStyle="1" w:styleId="950">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1">
    <w:name w:val="纯文本2"/>
    <w:basedOn w:val="1"/>
    <w:qFormat/>
    <w:uiPriority w:val="0"/>
    <w:pPr>
      <w:adjustRightInd/>
      <w:snapToGrid w:val="0"/>
      <w:jc w:val="left"/>
    </w:pPr>
    <w:rPr>
      <w:rFonts w:ascii="Century Gothic" w:hAnsi="楷体_GB2312" w:eastAsia="Century Gothic"/>
      <w:szCs w:val="20"/>
    </w:rPr>
  </w:style>
  <w:style w:type="paragraph" w:customStyle="1" w:styleId="952">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3">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4">
    <w:name w:val="节"/>
    <w:basedOn w:val="6"/>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5">
    <w:name w:val="Blockquote"/>
    <w:basedOn w:val="1"/>
    <w:qFormat/>
    <w:uiPriority w:val="0"/>
    <w:pPr>
      <w:autoSpaceDE w:val="0"/>
      <w:autoSpaceDN w:val="0"/>
      <w:spacing w:before="100" w:after="100"/>
      <w:ind w:left="360" w:right="360"/>
      <w:jc w:val="left"/>
    </w:pPr>
    <w:rPr>
      <w:kern w:val="0"/>
      <w:sz w:val="24"/>
      <w:szCs w:val="20"/>
    </w:rPr>
  </w:style>
  <w:style w:type="paragraph" w:customStyle="1" w:styleId="956">
    <w:name w:val="p1"/>
    <w:basedOn w:val="1"/>
    <w:qFormat/>
    <w:uiPriority w:val="0"/>
    <w:pPr>
      <w:widowControl/>
      <w:adjustRightInd/>
      <w:jc w:val="left"/>
    </w:pPr>
    <w:rPr>
      <w:rFonts w:ascii=".PingFang SC" w:eastAsia=".PingFang SC"/>
      <w:color w:val="454545"/>
      <w:kern w:val="0"/>
      <w:sz w:val="18"/>
      <w:szCs w:val="18"/>
    </w:rPr>
  </w:style>
  <w:style w:type="paragraph" w:customStyle="1" w:styleId="957">
    <w:name w:val="Table Paragraph"/>
    <w:basedOn w:val="1"/>
    <w:qFormat/>
    <w:uiPriority w:val="1"/>
    <w:pPr>
      <w:adjustRightInd/>
      <w:jc w:val="left"/>
    </w:pPr>
    <w:rPr>
      <w:rFonts w:ascii="Calibri" w:hAnsi="Calibri"/>
      <w:kern w:val="0"/>
      <w:sz w:val="22"/>
      <w:szCs w:val="22"/>
      <w:lang w:eastAsia="en-US"/>
    </w:rPr>
  </w:style>
  <w:style w:type="paragraph" w:customStyle="1" w:styleId="958">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9">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0">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1">
    <w:name w:val="ksfind_class_select1"/>
    <w:basedOn w:val="72"/>
    <w:qFormat/>
    <w:uiPriority w:val="0"/>
    <w:rPr>
      <w:color w:val="000000"/>
      <w:shd w:val="clear" w:color="auto" w:fill="EFD200"/>
    </w:rPr>
  </w:style>
  <w:style w:type="character" w:customStyle="1" w:styleId="962">
    <w:name w:val="font71"/>
    <w:qFormat/>
    <w:uiPriority w:val="0"/>
    <w:rPr>
      <w:rFonts w:hint="eastAsia" w:ascii="宋体" w:hAnsi="宋体" w:eastAsia="宋体" w:cs="宋体"/>
      <w:color w:val="000000"/>
      <w:sz w:val="22"/>
      <w:szCs w:val="22"/>
      <w:u w:val="none"/>
    </w:rPr>
  </w:style>
  <w:style w:type="character" w:customStyle="1" w:styleId="963">
    <w:name w:val="font91"/>
    <w:qFormat/>
    <w:uiPriority w:val="0"/>
    <w:rPr>
      <w:rFonts w:hint="eastAsia" w:ascii="仿宋" w:hAnsi="仿宋" w:eastAsia="仿宋" w:cs="仿宋"/>
      <w:color w:val="000000"/>
      <w:sz w:val="22"/>
      <w:szCs w:val="22"/>
      <w:u w:val="none"/>
    </w:rPr>
  </w:style>
  <w:style w:type="paragraph" w:customStyle="1" w:styleId="964">
    <w:name w:val="[Normal]"/>
    <w:qFormat/>
    <w:uiPriority w:val="0"/>
    <w:rPr>
      <w:rFonts w:ascii="宋体" w:hAnsi="宋体" w:eastAsia="宋体" w:cs="Times New Roman"/>
      <w:sz w:val="24"/>
      <w:szCs w:val="22"/>
      <w:lang w:val="zh-CN" w:eastAsia="zh-CN" w:bidi="ar-SA"/>
    </w:rPr>
  </w:style>
  <w:style w:type="paragraph" w:customStyle="1" w:styleId="965">
    <w:name w:val="大标题"/>
    <w:basedOn w:val="439"/>
    <w:qFormat/>
    <w:uiPriority w:val="0"/>
    <w:rPr>
      <w:szCs w:val="36"/>
    </w:rPr>
  </w:style>
  <w:style w:type="paragraph" w:customStyle="1" w:styleId="966">
    <w:name w:val="WPSOffice手动目录 1"/>
    <w:qFormat/>
    <w:uiPriority w:val="0"/>
    <w:rPr>
      <w:rFonts w:ascii="Times New Roman" w:hAnsi="Times New Roman" w:eastAsia="宋体" w:cs="Times New Roman"/>
      <w:lang w:val="en-US" w:eastAsia="zh-CN" w:bidi="ar-SA"/>
    </w:rPr>
  </w:style>
  <w:style w:type="paragraph" w:customStyle="1" w:styleId="967">
    <w:name w:val="Style1"/>
    <w:qFormat/>
    <w:uiPriority w:val="0"/>
    <w:pPr>
      <w:spacing w:after="120"/>
      <w:jc w:val="both"/>
    </w:pPr>
    <w:rPr>
      <w:rFonts w:ascii="Times New Roman" w:hAnsi="Times New Roman" w:eastAsia="Times New Roman" w:cs="Times New Roman"/>
      <w:color w:val="000000"/>
      <w:spacing w:val="-3"/>
      <w:sz w:val="24"/>
      <w:szCs w:val="24"/>
      <w:lang w:val="en-US" w:eastAsia="zh-CN" w:bidi="ar-SA"/>
    </w:rPr>
  </w:style>
  <w:style w:type="character" w:customStyle="1" w:styleId="968">
    <w:name w:val="未处理的提及2"/>
    <w:basedOn w:val="72"/>
    <w:unhideWhenUsed/>
    <w:qFormat/>
    <w:uiPriority w:val="99"/>
    <w:rPr>
      <w:color w:val="605E5C"/>
      <w:shd w:val="clear" w:color="auto" w:fill="E1DFDD"/>
    </w:rPr>
  </w:style>
  <w:style w:type="paragraph" w:customStyle="1" w:styleId="969">
    <w:name w:val="修订4"/>
    <w:hidden/>
    <w:semiHidden/>
    <w:qFormat/>
    <w:uiPriority w:val="99"/>
    <w:rPr>
      <w:rFonts w:ascii="Times New Roman" w:hAnsi="Times New Roman" w:eastAsia="宋体" w:cs="Times New Roman"/>
      <w:kern w:val="2"/>
      <w:sz w:val="21"/>
      <w:szCs w:val="24"/>
      <w:lang w:val="en-US" w:eastAsia="zh-CN" w:bidi="ar-SA"/>
    </w:rPr>
  </w:style>
  <w:style w:type="character" w:customStyle="1" w:styleId="970">
    <w:name w:val="未处理的提及3"/>
    <w:basedOn w:val="72"/>
    <w:unhideWhenUsed/>
    <w:qFormat/>
    <w:uiPriority w:val="99"/>
    <w:rPr>
      <w:color w:val="605E5C"/>
      <w:shd w:val="clear" w:color="auto" w:fill="E1DFDD"/>
    </w:rPr>
  </w:style>
  <w:style w:type="paragraph" w:customStyle="1" w:styleId="971">
    <w:name w:val="修订5"/>
    <w:hidden/>
    <w:semiHidden/>
    <w:qFormat/>
    <w:uiPriority w:val="99"/>
    <w:rPr>
      <w:rFonts w:ascii="Times New Roman" w:hAnsi="Times New Roman" w:eastAsia="宋体" w:cs="Times New Roman"/>
      <w:kern w:val="2"/>
      <w:sz w:val="21"/>
      <w:szCs w:val="24"/>
      <w:lang w:val="en-US" w:eastAsia="zh-CN" w:bidi="ar-SA"/>
    </w:rPr>
  </w:style>
  <w:style w:type="table" w:customStyle="1" w:styleId="972">
    <w:name w:val="网格型7"/>
    <w:basedOn w:val="65"/>
    <w:unhideWhenUsed/>
    <w:qFormat/>
    <w:uiPriority w:val="0"/>
    <w:rPr>
      <w:rFonts w:ascii="MingLiU" w:hAnsi="MingLiU" w:cs="MingLi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73">
    <w:name w:val="未处理的提及4"/>
    <w:basedOn w:val="72"/>
    <w:unhideWhenUsed/>
    <w:qFormat/>
    <w:uiPriority w:val="99"/>
    <w:rPr>
      <w:color w:val="605E5C"/>
      <w:shd w:val="clear" w:color="auto" w:fill="E1DFDD"/>
    </w:rPr>
  </w:style>
  <w:style w:type="paragraph" w:customStyle="1" w:styleId="974">
    <w:name w:val="修订6"/>
    <w:hidden/>
    <w:semiHidden/>
    <w:qFormat/>
    <w:uiPriority w:val="99"/>
    <w:rPr>
      <w:rFonts w:ascii="Times New Roman" w:hAnsi="Times New Roman" w:eastAsia="宋体" w:cs="Times New Roman"/>
      <w:kern w:val="2"/>
      <w:sz w:val="21"/>
      <w:szCs w:val="24"/>
      <w:lang w:val="en-US" w:eastAsia="zh-CN" w:bidi="ar-SA"/>
    </w:rPr>
  </w:style>
  <w:style w:type="table" w:customStyle="1" w:styleId="975">
    <w:name w:val="网格型11"/>
    <w:basedOn w:val="6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6">
    <w:name w:val="网格型8"/>
    <w:basedOn w:val="65"/>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7">
    <w:name w:val="网格型12"/>
    <w:basedOn w:val="6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78">
    <w:name w:val="正文首行缩进 21"/>
    <w:basedOn w:val="20"/>
    <w:qFormat/>
    <w:uiPriority w:val="0"/>
    <w:pPr>
      <w:adjustRightInd/>
      <w:spacing w:before="100" w:beforeAutospacing="1" w:after="120" w:line="240" w:lineRule="auto"/>
      <w:ind w:left="420" w:leftChars="200" w:firstLine="210"/>
    </w:pPr>
    <w:rPr>
      <w:sz w:val="21"/>
      <w:szCs w:val="21"/>
    </w:rPr>
  </w:style>
  <w:style w:type="table" w:customStyle="1" w:styleId="979">
    <w:name w:val="网格型21"/>
    <w:basedOn w:val="6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0">
    <w:name w:val="网格型31"/>
    <w:basedOn w:val="6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81">
    <w:name w:val="Body Text Indent1"/>
    <w:qFormat/>
    <w:uiPriority w:val="0"/>
    <w:pPr>
      <w:widowControl w:val="0"/>
      <w:ind w:firstLine="602"/>
      <w:jc w:val="both"/>
    </w:pPr>
    <w:rPr>
      <w:rFonts w:ascii="Times New Roman" w:hAnsi="Times New Roman" w:eastAsia="宋体" w:cs="Times New Roman"/>
      <w:b/>
      <w:kern w:val="2"/>
      <w:sz w:val="21"/>
      <w:szCs w:val="24"/>
      <w:lang w:val="en-US" w:eastAsia="zh-CN" w:bidi="ar-SA"/>
    </w:rPr>
  </w:style>
  <w:style w:type="paragraph" w:styleId="982">
    <w:name w:val="List Paragraph"/>
    <w:basedOn w:val="1"/>
    <w:qFormat/>
    <w:uiPriority w:val="99"/>
    <w:pPr>
      <w:adjustRightInd/>
      <w:ind w:firstLine="420" w:firstLineChars="200"/>
    </w:pPr>
    <w:rPr>
      <w:rFonts w:ascii="等线" w:hAnsi="等线" w:eastAsia="等线"/>
      <w:szCs w:val="22"/>
    </w:rPr>
  </w:style>
  <w:style w:type="table" w:customStyle="1" w:styleId="983">
    <w:name w:val="网格型32"/>
    <w:basedOn w:val="6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84">
    <w:name w:val="修订7"/>
    <w:hidden/>
    <w:semiHidden/>
    <w:qFormat/>
    <w:uiPriority w:val="99"/>
    <w:rPr>
      <w:rFonts w:ascii="Times New Roman" w:hAnsi="Times New Roman" w:eastAsia="宋体" w:cs="Times New Roman"/>
      <w:kern w:val="2"/>
      <w:sz w:val="21"/>
      <w:szCs w:val="24"/>
      <w:lang w:val="en-US" w:eastAsia="zh-CN" w:bidi="ar-SA"/>
    </w:rPr>
  </w:style>
  <w:style w:type="character" w:customStyle="1" w:styleId="985">
    <w:name w:val="未处理的提及5"/>
    <w:basedOn w:val="72"/>
    <w:semiHidden/>
    <w:unhideWhenUsed/>
    <w:qFormat/>
    <w:uiPriority w:val="99"/>
    <w:rPr>
      <w:color w:val="605E5C"/>
      <w:shd w:val="clear" w:color="auto" w:fill="E1DFDD"/>
    </w:rPr>
  </w:style>
  <w:style w:type="paragraph" w:customStyle="1" w:styleId="986">
    <w:name w:val="列出段落12"/>
    <w:basedOn w:val="1"/>
    <w:qFormat/>
    <w:uiPriority w:val="0"/>
    <w:pPr>
      <w:adjustRightInd/>
      <w:ind w:firstLine="420" w:firstLineChars="200"/>
    </w:pPr>
    <w:rPr>
      <w:rFonts w:ascii="Calibri" w:hAnsi="Calibri"/>
      <w:szCs w:val="22"/>
    </w:rPr>
  </w:style>
  <w:style w:type="character" w:customStyle="1" w:styleId="987">
    <w:name w:val="17"/>
    <w:basedOn w:val="72"/>
    <w:qFormat/>
    <w:uiPriority w:val="0"/>
    <w:rPr>
      <w:rFonts w:hint="default" w:ascii="Calibri" w:hAnsi="Calibri"/>
    </w:rPr>
  </w:style>
  <w:style w:type="paragraph" w:customStyle="1" w:styleId="988">
    <w:name w:val="修订8"/>
    <w:hidden/>
    <w:semiHidden/>
    <w:qFormat/>
    <w:uiPriority w:val="99"/>
    <w:rPr>
      <w:rFonts w:ascii="Times New Roman" w:hAnsi="Times New Roman" w:eastAsia="宋体" w:cs="Times New Roman"/>
      <w:kern w:val="2"/>
      <w:sz w:val="21"/>
      <w:szCs w:val="24"/>
      <w:lang w:val="en-US" w:eastAsia="zh-CN" w:bidi="ar-SA"/>
    </w:rPr>
  </w:style>
  <w:style w:type="character" w:customStyle="1" w:styleId="989">
    <w:name w:val="18"/>
    <w:basedOn w:val="72"/>
    <w:qFormat/>
    <w:uiPriority w:val="0"/>
    <w:rPr>
      <w:rFonts w:hint="default" w:ascii="Calibri" w:hAnsi="Calibri"/>
    </w:rPr>
  </w:style>
  <w:style w:type="character" w:customStyle="1" w:styleId="990">
    <w:name w:val="正文文本首行缩进 2 字符1"/>
    <w:link w:val="64"/>
    <w:qFormat/>
    <w:uiPriority w:val="0"/>
    <w:rPr>
      <w:rFonts w:hint="default" w:ascii="Calibri" w:hAnsi="Calibri" w:eastAsia="宋体" w:cs="Times New Roman"/>
      <w:kern w:val="2"/>
      <w:sz w:val="21"/>
      <w:szCs w:val="22"/>
    </w:rPr>
  </w:style>
  <w:style w:type="character" w:customStyle="1" w:styleId="991">
    <w:name w:val="标题 1 Char"/>
    <w:link w:val="5"/>
    <w:qFormat/>
    <w:uiPriority w:val="9"/>
    <w:rPr>
      <w:b/>
      <w:bCs/>
      <w:kern w:val="44"/>
      <w:sz w:val="44"/>
      <w:szCs w:val="44"/>
    </w:rPr>
  </w:style>
  <w:style w:type="paragraph" w:customStyle="1" w:styleId="992">
    <w:name w:val="样式 表格正文 + 两端对齐"/>
    <w:basedOn w:val="1"/>
    <w:qFormat/>
    <w:uiPriority w:val="0"/>
    <w:pPr>
      <w:spacing w:line="300" w:lineRule="auto"/>
    </w:pPr>
    <w:rPr>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44</Pages>
  <Words>25363</Words>
  <Characters>26541</Characters>
  <Lines>205</Lines>
  <Paragraphs>57</Paragraphs>
  <TotalTime>0</TotalTime>
  <ScaleCrop>false</ScaleCrop>
  <LinksUpToDate>false</LinksUpToDate>
  <CharactersWithSpaces>27841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2022-04-16T14:08:00Z</dcterms:created>
  <dc:creator>玥</dc:creator>
  <cp:lastModifiedBy>cgzx</cp:lastModifiedBy>
  <cp:lastPrinted>2026-02-14T09:49:00Z</cp:lastPrinted>
  <dcterms:modified xsi:type="dcterms:W3CDTF">2026-02-14T09:57:42Z</dcterms:modified>
  <dc:title>杭州市市民卡扩大发卡工程</dc:title>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6815014594674627AEF42D9AB662AA12</vt:lpwstr>
  </property>
</Properties>
</file>